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514647F0" w14:textId="77777777" w:rsidTr="005B51C4">
        <w:trPr>
          <w:trHeight w:hRule="exact" w:val="851"/>
        </w:trPr>
        <w:tc>
          <w:tcPr>
            <w:tcW w:w="1274" w:type="dxa"/>
            <w:tcBorders>
              <w:bottom w:val="single" w:sz="4" w:space="0" w:color="auto"/>
            </w:tcBorders>
            <w:shd w:val="clear" w:color="auto" w:fill="auto"/>
          </w:tcPr>
          <w:p w14:paraId="3D8872C8" w14:textId="77777777" w:rsidR="006B3E27" w:rsidRPr="00945FFB" w:rsidRDefault="006B3E27" w:rsidP="005B51C4">
            <w:pPr>
              <w:jc w:val="center"/>
              <w:rPr>
                <w:sz w:val="56"/>
                <w:szCs w:val="56"/>
              </w:rPr>
            </w:pPr>
          </w:p>
        </w:tc>
        <w:tc>
          <w:tcPr>
            <w:tcW w:w="4537" w:type="dxa"/>
            <w:tcBorders>
              <w:bottom w:val="single" w:sz="4" w:space="0" w:color="auto"/>
            </w:tcBorders>
            <w:shd w:val="clear" w:color="auto" w:fill="auto"/>
            <w:vAlign w:val="bottom"/>
          </w:tcPr>
          <w:p w14:paraId="36A82C04"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6CAD5943" w14:textId="77777777" w:rsidR="006B3E27" w:rsidRPr="005B51C4" w:rsidRDefault="00945FFB" w:rsidP="003D7631">
            <w:pPr>
              <w:bidi w:val="0"/>
              <w:spacing w:after="20"/>
              <w:jc w:val="left"/>
              <w:rPr>
                <w:szCs w:val="20"/>
              </w:rPr>
            </w:pPr>
            <w:r w:rsidRPr="00945FFB">
              <w:rPr>
                <w:sz w:val="40"/>
                <w:szCs w:val="20"/>
              </w:rPr>
              <w:t>CCPR</w:t>
            </w:r>
            <w:r>
              <w:rPr>
                <w:szCs w:val="20"/>
              </w:rPr>
              <w:t>/C/GC/</w:t>
            </w:r>
            <w:r w:rsidRPr="00931AC2">
              <w:rPr>
                <w:szCs w:val="20"/>
              </w:rPr>
              <w:t>37</w:t>
            </w:r>
          </w:p>
        </w:tc>
      </w:tr>
      <w:tr w:rsidR="006B3E27" w:rsidRPr="00ED7442" w14:paraId="6868222E" w14:textId="77777777" w:rsidTr="005B51C4">
        <w:trPr>
          <w:trHeight w:hRule="exact" w:val="2835"/>
        </w:trPr>
        <w:tc>
          <w:tcPr>
            <w:tcW w:w="1274" w:type="dxa"/>
            <w:tcBorders>
              <w:top w:val="single" w:sz="4" w:space="0" w:color="auto"/>
              <w:bottom w:val="single" w:sz="12" w:space="0" w:color="auto"/>
            </w:tcBorders>
            <w:shd w:val="clear" w:color="auto" w:fill="auto"/>
          </w:tcPr>
          <w:p w14:paraId="1042B1E9" w14:textId="00303D22" w:rsidR="006B3E27" w:rsidRPr="005B51C4" w:rsidRDefault="00213ADC" w:rsidP="005B51C4">
            <w:pPr>
              <w:jc w:val="center"/>
              <w:rPr>
                <w:sz w:val="56"/>
                <w:szCs w:val="56"/>
                <w:rtl/>
              </w:rPr>
            </w:pPr>
            <w:r>
              <w:rPr>
                <w:noProof/>
                <w:sz w:val="56"/>
                <w:szCs w:val="56"/>
              </w:rPr>
              <w:drawing>
                <wp:inline distT="0" distB="0" distL="0" distR="0" wp14:anchorId="1986BD94" wp14:editId="1DC741B3">
                  <wp:extent cx="629285" cy="607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9AFE473"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802113C" w14:textId="77777777" w:rsidR="00A11D21" w:rsidRPr="00A41ACD" w:rsidRDefault="00A11D21" w:rsidP="00A11D21">
            <w:pPr>
              <w:bidi w:val="0"/>
              <w:spacing w:before="240" w:line="240" w:lineRule="exact"/>
            </w:pPr>
            <w:r w:rsidRPr="00A41ACD">
              <w:t xml:space="preserve">Distr.: </w:t>
            </w:r>
            <w:r>
              <w:t>General</w:t>
            </w:r>
          </w:p>
          <w:p w14:paraId="425BFA72" w14:textId="77777777" w:rsidR="00A11D21" w:rsidRPr="00A41ACD" w:rsidRDefault="00A11D21" w:rsidP="00A11D21">
            <w:pPr>
              <w:bidi w:val="0"/>
              <w:spacing w:line="240" w:lineRule="exact"/>
            </w:pPr>
            <w:r>
              <w:t>17 September 2020</w:t>
            </w:r>
          </w:p>
          <w:p w14:paraId="5DA3C479" w14:textId="6FD6A0CB" w:rsidR="00A11D21" w:rsidRPr="00A41ACD" w:rsidRDefault="00A11D21" w:rsidP="00A11D21">
            <w:pPr>
              <w:bidi w:val="0"/>
              <w:spacing w:line="240" w:lineRule="exact"/>
            </w:pPr>
            <w:r>
              <w:t>Arabic</w:t>
            </w:r>
          </w:p>
          <w:p w14:paraId="3E01DC2B" w14:textId="6EB546B9" w:rsidR="003D7631" w:rsidRPr="005B51C4" w:rsidRDefault="00A11D21" w:rsidP="00A11D21">
            <w:pPr>
              <w:bidi w:val="0"/>
              <w:jc w:val="left"/>
              <w:rPr>
                <w:szCs w:val="20"/>
              </w:rPr>
            </w:pPr>
            <w:r w:rsidRPr="00A41ACD">
              <w:t>Original: English</w:t>
            </w:r>
          </w:p>
        </w:tc>
      </w:tr>
    </w:tbl>
    <w:p w14:paraId="6F95DA42" w14:textId="77777777" w:rsidR="00B828C2" w:rsidRPr="00851DA1" w:rsidRDefault="00B828C2" w:rsidP="00B828C2">
      <w:pPr>
        <w:autoSpaceDE w:val="0"/>
        <w:autoSpaceDN w:val="0"/>
        <w:adjustRightInd w:val="0"/>
        <w:spacing w:before="120" w:line="360" w:lineRule="exact"/>
        <w:textDirection w:val="tbRlV"/>
        <w:rPr>
          <w:b/>
          <w:bCs/>
          <w:sz w:val="30"/>
          <w:szCs w:val="26"/>
          <w:lang w:eastAsia="zh-TW" w:bidi="en-GB"/>
        </w:rPr>
      </w:pPr>
      <w:r w:rsidRPr="00851DA1">
        <w:rPr>
          <w:b/>
          <w:bCs/>
          <w:sz w:val="26"/>
          <w:szCs w:val="36"/>
          <w:rtl/>
        </w:rPr>
        <w:t>اللجنة المعنية بحقوق الإنسان</w:t>
      </w:r>
    </w:p>
    <w:p w14:paraId="62E3125B" w14:textId="1C9756BB" w:rsidR="00B828C2" w:rsidRPr="00851DA1" w:rsidRDefault="00B828C2" w:rsidP="00ED7372">
      <w:pPr>
        <w:pStyle w:val="HChGA"/>
        <w:rPr>
          <w:rFonts w:hint="cs"/>
          <w:rtl/>
        </w:rPr>
      </w:pPr>
      <w:r w:rsidRPr="00851DA1">
        <w:rPr>
          <w:spacing w:val="-6"/>
          <w:rtl/>
        </w:rPr>
        <w:tab/>
      </w:r>
      <w:r w:rsidRPr="00851DA1">
        <w:rPr>
          <w:rtl/>
        </w:rPr>
        <w:tab/>
        <w:t xml:space="preserve">التعليق العام رقم </w:t>
      </w:r>
      <w:r w:rsidRPr="00851DA1">
        <w:rPr>
          <w:szCs w:val="28"/>
          <w:rtl/>
        </w:rPr>
        <w:t>37</w:t>
      </w:r>
      <w:r w:rsidR="00E13836" w:rsidRPr="00851DA1">
        <w:rPr>
          <w:bCs w:val="0"/>
          <w:sz w:val="38"/>
          <w:rtl/>
        </w:rPr>
        <w:t>(</w:t>
      </w:r>
      <w:r w:rsidRPr="00851DA1">
        <w:rPr>
          <w:szCs w:val="28"/>
          <w:rtl/>
        </w:rPr>
        <w:t>2020</w:t>
      </w:r>
      <w:r w:rsidR="00E13836" w:rsidRPr="00851DA1">
        <w:rPr>
          <w:bCs w:val="0"/>
          <w:sz w:val="38"/>
          <w:rtl/>
        </w:rPr>
        <w:t>)</w:t>
      </w:r>
      <w:r w:rsidRPr="00851DA1">
        <w:rPr>
          <w:sz w:val="34"/>
          <w:szCs w:val="44"/>
          <w:rtl/>
        </w:rPr>
        <w:t xml:space="preserve"> </w:t>
      </w:r>
      <w:r w:rsidRPr="00851DA1">
        <w:rPr>
          <w:rtl/>
        </w:rPr>
        <w:t>بشأن الحق في التجمع السلمي</w:t>
      </w:r>
      <w:r w:rsidR="00ED7372" w:rsidRPr="00851DA1">
        <w:rPr>
          <w:rFonts w:hint="cs"/>
          <w:rtl/>
        </w:rPr>
        <w:t xml:space="preserve"> </w:t>
      </w:r>
      <w:r w:rsidR="00E13836" w:rsidRPr="00851DA1">
        <w:rPr>
          <w:bCs w:val="0"/>
          <w:sz w:val="38"/>
          <w:rtl/>
        </w:rPr>
        <w:t>(</w:t>
      </w:r>
      <w:r w:rsidRPr="00851DA1">
        <w:rPr>
          <w:rtl/>
        </w:rPr>
        <w:t>المادة</w:t>
      </w:r>
      <w:r w:rsidR="00ED7372" w:rsidRPr="00851DA1">
        <w:rPr>
          <w:rFonts w:hint="cs"/>
          <w:rtl/>
        </w:rPr>
        <w:t> </w:t>
      </w:r>
      <w:r w:rsidRPr="00851DA1">
        <w:rPr>
          <w:szCs w:val="28"/>
          <w:rtl/>
        </w:rPr>
        <w:t>21</w:t>
      </w:r>
      <w:r w:rsidR="00E13836" w:rsidRPr="00851DA1">
        <w:rPr>
          <w:bCs w:val="0"/>
          <w:sz w:val="38"/>
          <w:rtl/>
        </w:rPr>
        <w:t>)</w:t>
      </w:r>
      <w:r w:rsidRPr="00851DA1">
        <w:rPr>
          <w:rStyle w:val="FootnoteReference"/>
          <w:b/>
          <w:sz w:val="28"/>
          <w:vertAlign w:val="baseline"/>
          <w:rtl/>
        </w:rPr>
        <w:footnoteReference w:customMarkFollows="1" w:id="1"/>
        <w:t>*</w:t>
      </w:r>
    </w:p>
    <w:p w14:paraId="3C441AFB" w14:textId="0E8AB8DB" w:rsidR="00B828C2" w:rsidRPr="00851DA1" w:rsidRDefault="0020465C" w:rsidP="00B828C2">
      <w:pPr>
        <w:pStyle w:val="HChGA"/>
        <w:rPr>
          <w:szCs w:val="20"/>
          <w:lang w:eastAsia="zh-TW" w:bidi="en-GB"/>
        </w:rPr>
      </w:pPr>
      <w:r w:rsidRPr="00851DA1">
        <w:rPr>
          <w:rtl/>
        </w:rPr>
        <w:tab/>
      </w:r>
      <w:r w:rsidR="00B828C2" w:rsidRPr="00851DA1">
        <w:rPr>
          <w:rtl/>
        </w:rPr>
        <w:t>أولا</w:t>
      </w:r>
      <w:r w:rsidRPr="00851DA1">
        <w:rPr>
          <w:rFonts w:hint="cs"/>
          <w:rtl/>
        </w:rPr>
        <w:t>ً</w:t>
      </w:r>
      <w:r w:rsidR="00B828C2" w:rsidRPr="00851DA1">
        <w:rPr>
          <w:rtl/>
        </w:rPr>
        <w:t>-</w:t>
      </w:r>
      <w:r w:rsidR="00B828C2" w:rsidRPr="00851DA1">
        <w:rPr>
          <w:rtl/>
        </w:rPr>
        <w:tab/>
        <w:t>مقدمة</w:t>
      </w:r>
    </w:p>
    <w:p w14:paraId="1BCBD492" w14:textId="16C04D3C" w:rsidR="00B828C2" w:rsidRPr="00851DA1" w:rsidRDefault="00B828C2" w:rsidP="00B828C2">
      <w:pPr>
        <w:pStyle w:val="SingleTxtGA"/>
        <w:rPr>
          <w:szCs w:val="20"/>
          <w:lang w:val="ar-SA" w:eastAsia="zh-TW" w:bidi="en-GB"/>
        </w:rPr>
      </w:pPr>
      <w:r w:rsidRPr="00851DA1">
        <w:rPr>
          <w:szCs w:val="20"/>
          <w:rtl/>
        </w:rPr>
        <w:t>1-</w:t>
      </w:r>
      <w:r w:rsidRPr="00851DA1">
        <w:rPr>
          <w:rtl/>
        </w:rPr>
        <w:tab/>
        <w:t>يسمح حق الإنسان الأساسي في التجمع السلمي للأفراد بالتعبير الجماعي والمشاركة في تشكيل مجتمعاتهم. والحق في التجمع السلمي مهم في حد ذ</w:t>
      </w:r>
      <w:bookmarkStart w:id="0" w:name="_GoBack"/>
      <w:bookmarkEnd w:id="0"/>
      <w:r w:rsidRPr="00851DA1">
        <w:rPr>
          <w:rtl/>
        </w:rPr>
        <w:t>اته لأنه يحمي قدرة الناس على ممارسة الاستقلال الذاتي الفردي في تضامن مع الآخرين. وهو يشكل أيض</w:t>
      </w:r>
      <w:r w:rsidR="000B128E" w:rsidRPr="00851DA1">
        <w:rPr>
          <w:rtl/>
        </w:rPr>
        <w:t xml:space="preserve">اً، </w:t>
      </w:r>
      <w:r w:rsidRPr="00851DA1">
        <w:rPr>
          <w:rtl/>
        </w:rPr>
        <w:t>إلى جانب حقوق أخرى ذات</w:t>
      </w:r>
      <w:r w:rsidR="006A4B73" w:rsidRPr="00851DA1">
        <w:rPr>
          <w:rFonts w:hint="cs"/>
          <w:rtl/>
        </w:rPr>
        <w:t> </w:t>
      </w:r>
      <w:r w:rsidRPr="00851DA1">
        <w:rPr>
          <w:rtl/>
        </w:rPr>
        <w:t>صلة، الأساس ذاته لنظام حكم تشاركي قائم على الديمقراطية وحقوق الإنسان وسيادة القانون والتعددية. ويمكن أن تؤدي التجمعات السلمية دوراً حاسماً في تمكين المشاركين من تقديم أفكار وأهداف طموحة في المجال العام وتحديد مستوى الدعم أو المعارضة الذي تحظى به تلك الأفكار أو</w:t>
      </w:r>
      <w:r w:rsidR="006A4B73" w:rsidRPr="00851DA1">
        <w:rPr>
          <w:rFonts w:hint="cs"/>
          <w:rtl/>
        </w:rPr>
        <w:t> </w:t>
      </w:r>
      <w:r w:rsidRPr="00851DA1">
        <w:rPr>
          <w:rtl/>
        </w:rPr>
        <w:t>الأهداف. وعندما تستخدم التجمعات السلمية للتعبير عن المظالم، قد تتيح فرصاً لتسوية الخلافات على نحو شامل وتشاركي وسلمي.</w:t>
      </w:r>
    </w:p>
    <w:p w14:paraId="75A6A028" w14:textId="7441E385" w:rsidR="00B828C2" w:rsidRPr="00851DA1" w:rsidRDefault="00B828C2" w:rsidP="00B828C2">
      <w:pPr>
        <w:pStyle w:val="SingleTxtGA"/>
        <w:rPr>
          <w:szCs w:val="20"/>
          <w:lang w:eastAsia="zh-TW"/>
        </w:rPr>
      </w:pPr>
      <w:r w:rsidRPr="00851DA1">
        <w:rPr>
          <w:szCs w:val="20"/>
          <w:rtl/>
        </w:rPr>
        <w:t>2-</w:t>
      </w:r>
      <w:r w:rsidRPr="00851DA1">
        <w:rPr>
          <w:rtl/>
        </w:rPr>
        <w:tab/>
        <w:t>وعلاوة على ذلك، يشكّل الحق في التجمع السلمي أداة قيِّمة استُخدِمت ويمكن استخدامها لإقرار وإعمال مجموعة واسعة من الحقوق الأخرى، بما فيها الحقوق الاقتصادية والاجتماعية والثقافية. ويكتسي الحق في التجمع السلمي أهمية خاصة بالنسبة للمهمّشين، أفراداً وجماعات. وفي العادة، يمثل عدم احترام وكفالة الحق في التجمع السلمي علامة من علامات القمع</w:t>
      </w:r>
      <w:r w:rsidR="006A4B73" w:rsidRPr="00851DA1">
        <w:rPr>
          <w:rFonts w:hint="cs"/>
          <w:rtl/>
        </w:rPr>
        <w:t>.</w:t>
      </w:r>
    </w:p>
    <w:p w14:paraId="145B0470" w14:textId="72B81019" w:rsidR="00B828C2" w:rsidRPr="00851DA1" w:rsidRDefault="00B828C2" w:rsidP="00B828C2">
      <w:pPr>
        <w:pStyle w:val="SingleTxtGA"/>
        <w:rPr>
          <w:spacing w:val="-2"/>
          <w:szCs w:val="20"/>
          <w:lang w:val="ar-SA" w:eastAsia="zh-TW" w:bidi="en-GB"/>
        </w:rPr>
      </w:pPr>
      <w:r w:rsidRPr="00851DA1">
        <w:rPr>
          <w:spacing w:val="-2"/>
          <w:szCs w:val="20"/>
          <w:rtl/>
        </w:rPr>
        <w:t>3-</w:t>
      </w:r>
      <w:r w:rsidRPr="00851DA1">
        <w:rPr>
          <w:spacing w:val="-2"/>
          <w:rtl/>
        </w:rPr>
        <w:tab/>
        <w:t xml:space="preserve">وتنص الجملة الأولى من المادة </w:t>
      </w:r>
      <w:r w:rsidRPr="00851DA1">
        <w:rPr>
          <w:spacing w:val="-2"/>
          <w:szCs w:val="20"/>
          <w:rtl/>
        </w:rPr>
        <w:t>21</w:t>
      </w:r>
      <w:r w:rsidRPr="00851DA1">
        <w:rPr>
          <w:spacing w:val="-2"/>
          <w:rtl/>
        </w:rPr>
        <w:t xml:space="preserve"> من العهد الدولي للحقوق المدنية والسياسية على ما يلي: "يكون الحق في التجمع السلمي معترفاً به". ويرد هذا الحق بعبارات مماثلة في صكوك دولية وإقليمية أخرى</w:t>
      </w:r>
      <w:r w:rsidR="00E13836" w:rsidRPr="00851DA1">
        <w:rPr>
          <w:rStyle w:val="FootnoteReference"/>
          <w:spacing w:val="-2"/>
          <w:rtl/>
        </w:rPr>
        <w:t>(</w:t>
      </w:r>
      <w:r w:rsidR="00C04E6F" w:rsidRPr="00851DA1">
        <w:rPr>
          <w:rStyle w:val="FootnoteReference"/>
          <w:rFonts w:cs="Times New Roman"/>
          <w:b w:val="0"/>
          <w:spacing w:val="-2"/>
          <w:position w:val="4"/>
          <w:sz w:val="20"/>
        </w:rPr>
        <w:footnoteReference w:id="2"/>
      </w:r>
      <w:r w:rsidR="00E13836" w:rsidRPr="00851DA1">
        <w:rPr>
          <w:rStyle w:val="FootnoteReference"/>
          <w:spacing w:val="-2"/>
          <w:rtl/>
        </w:rPr>
        <w:t>)</w:t>
      </w:r>
      <w:r w:rsidRPr="00851DA1">
        <w:rPr>
          <w:spacing w:val="-2"/>
          <w:rtl/>
        </w:rPr>
        <w:t xml:space="preserve">، وتناولت مضمونَه بالتفصيل هيئات الرصد، مثلاً في آرائها وملاحظاتها الختامية وقراراتها </w:t>
      </w:r>
      <w:r w:rsidRPr="00851DA1">
        <w:rPr>
          <w:spacing w:val="-2"/>
          <w:rtl/>
        </w:rPr>
        <w:lastRenderedPageBreak/>
        <w:t>ومبادئها التوجيهية التفسيرية وأحكامها القضائية</w:t>
      </w:r>
      <w:r w:rsidR="00E13836" w:rsidRPr="00851DA1">
        <w:rPr>
          <w:rStyle w:val="FootnoteReference"/>
          <w:spacing w:val="-2"/>
          <w:rtl/>
        </w:rPr>
        <w:t>(</w:t>
      </w:r>
      <w:r w:rsidR="00C04E6F" w:rsidRPr="00851DA1">
        <w:rPr>
          <w:rStyle w:val="FootnoteReference"/>
          <w:rFonts w:cs="Times New Roman"/>
          <w:b w:val="0"/>
          <w:spacing w:val="-2"/>
          <w:position w:val="4"/>
          <w:sz w:val="20"/>
        </w:rPr>
        <w:footnoteReference w:id="3"/>
      </w:r>
      <w:r w:rsidR="00E13836" w:rsidRPr="00851DA1">
        <w:rPr>
          <w:rStyle w:val="FootnoteReference"/>
          <w:spacing w:val="-2"/>
          <w:rtl/>
        </w:rPr>
        <w:t>)</w:t>
      </w:r>
      <w:r w:rsidR="00ED7372" w:rsidRPr="00851DA1">
        <w:rPr>
          <w:spacing w:val="-2"/>
          <w:rtl/>
        </w:rPr>
        <w:t>.</w:t>
      </w:r>
      <w:r w:rsidRPr="00851DA1">
        <w:rPr>
          <w:spacing w:val="-2"/>
          <w:rtl/>
        </w:rPr>
        <w:t xml:space="preserve"> وبالإضافة إلى كون معظم الدول ملزمة</w:t>
      </w:r>
      <w:r w:rsidR="00851DA1">
        <w:rPr>
          <w:rFonts w:hint="cs"/>
          <w:spacing w:val="-2"/>
          <w:rtl/>
        </w:rPr>
        <w:t xml:space="preserve"> </w:t>
      </w:r>
      <w:r w:rsidRPr="00851DA1">
        <w:rPr>
          <w:spacing w:val="-2"/>
          <w:rtl/>
        </w:rPr>
        <w:t>بموجب</w:t>
      </w:r>
      <w:r w:rsidR="00851DA1">
        <w:rPr>
          <w:rFonts w:hint="cs"/>
          <w:spacing w:val="-2"/>
          <w:rtl/>
        </w:rPr>
        <w:t xml:space="preserve"> </w:t>
      </w:r>
      <w:r w:rsidRPr="00851DA1">
        <w:rPr>
          <w:spacing w:val="-2"/>
          <w:rtl/>
        </w:rPr>
        <w:t>القانون الدولي بالاعتراف بالحق في التجمع السلمي، فإنها تعترف أيضاً بهذا الحق في دساتيرها الوطنية</w:t>
      </w:r>
      <w:r w:rsidR="00E13836" w:rsidRPr="00851DA1">
        <w:rPr>
          <w:rStyle w:val="FootnoteReference"/>
          <w:spacing w:val="-2"/>
          <w:rtl/>
        </w:rPr>
        <w:t>(</w:t>
      </w:r>
      <w:r w:rsidR="00C04E6F" w:rsidRPr="00851DA1">
        <w:rPr>
          <w:rStyle w:val="FootnoteReference"/>
          <w:rFonts w:cs="Times New Roman"/>
          <w:b w:val="0"/>
          <w:spacing w:val="-2"/>
          <w:position w:val="4"/>
          <w:sz w:val="20"/>
        </w:rPr>
        <w:footnoteReference w:id="4"/>
      </w:r>
      <w:r w:rsidR="00E13836" w:rsidRPr="00851DA1">
        <w:rPr>
          <w:rStyle w:val="FootnoteReference"/>
          <w:spacing w:val="-2"/>
          <w:rtl/>
        </w:rPr>
        <w:t>)</w:t>
      </w:r>
      <w:r w:rsidRPr="00851DA1">
        <w:rPr>
          <w:spacing w:val="-2"/>
          <w:rtl/>
        </w:rPr>
        <w:t>.</w:t>
      </w:r>
    </w:p>
    <w:p w14:paraId="02C5F15E" w14:textId="1F304B2A" w:rsidR="00B828C2" w:rsidRPr="00851DA1" w:rsidRDefault="00B828C2" w:rsidP="00B828C2">
      <w:pPr>
        <w:pStyle w:val="SingleTxtGA"/>
        <w:rPr>
          <w:szCs w:val="20"/>
          <w:lang w:val="ar-SA" w:eastAsia="zh-TW" w:bidi="en-GB"/>
        </w:rPr>
      </w:pPr>
      <w:r w:rsidRPr="00851DA1">
        <w:rPr>
          <w:szCs w:val="20"/>
          <w:rtl/>
        </w:rPr>
        <w:t>4-</w:t>
      </w:r>
      <w:r w:rsidRPr="00851DA1">
        <w:rPr>
          <w:rtl/>
        </w:rPr>
        <w:tab/>
        <w:t>ويحمي الحق في التجمع السلمي التجمّع غير العنيف الذي يعقده أشخاص لأغراض محدّدة، وبالأساس لأغراض التعبير</w:t>
      </w:r>
      <w:r w:rsidR="00E13836" w:rsidRPr="00851DA1">
        <w:rPr>
          <w:rStyle w:val="FootnoteReference"/>
          <w:rtl/>
        </w:rPr>
        <w:t>(</w:t>
      </w:r>
      <w:r w:rsidR="00C04E6F" w:rsidRPr="00851DA1">
        <w:rPr>
          <w:rStyle w:val="FootnoteReference"/>
          <w:rFonts w:cs="Times New Roman"/>
          <w:b w:val="0"/>
          <w:position w:val="4"/>
          <w:sz w:val="20"/>
        </w:rPr>
        <w:footnoteReference w:id="5"/>
      </w:r>
      <w:r w:rsidR="00E13836" w:rsidRPr="00851DA1">
        <w:rPr>
          <w:rStyle w:val="FootnoteReference"/>
          <w:rtl/>
        </w:rPr>
        <w:t>)</w:t>
      </w:r>
      <w:r w:rsidR="00ED7372" w:rsidRPr="00851DA1">
        <w:rPr>
          <w:rtl/>
        </w:rPr>
        <w:t>.</w:t>
      </w:r>
      <w:r w:rsidRPr="00851DA1">
        <w:rPr>
          <w:rtl/>
        </w:rPr>
        <w:t xml:space="preserve"> وهو يشكل حقاً فردياً يمارس بصورة جماعية</w:t>
      </w:r>
      <w:r w:rsidR="00E13836" w:rsidRPr="00851DA1">
        <w:rPr>
          <w:rStyle w:val="FootnoteReference"/>
          <w:rtl/>
        </w:rPr>
        <w:t>(</w:t>
      </w:r>
      <w:r w:rsidR="00C04E6F" w:rsidRPr="00851DA1">
        <w:rPr>
          <w:rStyle w:val="FootnoteReference"/>
          <w:rFonts w:cs="Times New Roman"/>
          <w:b w:val="0"/>
          <w:position w:val="4"/>
          <w:sz w:val="20"/>
        </w:rPr>
        <w:footnoteReference w:id="6"/>
      </w:r>
      <w:r w:rsidR="00E13836" w:rsidRPr="00851DA1">
        <w:rPr>
          <w:rStyle w:val="FootnoteReference"/>
          <w:rtl/>
        </w:rPr>
        <w:t>)</w:t>
      </w:r>
      <w:r w:rsidRPr="00851DA1">
        <w:rPr>
          <w:rtl/>
        </w:rPr>
        <w:t xml:space="preserve"> وهكذا ينطوي هذا الحق في صميمه على مكون جمعوي.</w:t>
      </w:r>
    </w:p>
    <w:p w14:paraId="7EC94ADB" w14:textId="45EFDC1B" w:rsidR="00B828C2" w:rsidRPr="00851DA1" w:rsidRDefault="00B828C2" w:rsidP="00B828C2">
      <w:pPr>
        <w:pStyle w:val="SingleTxtGA"/>
        <w:rPr>
          <w:szCs w:val="20"/>
          <w:lang w:val="ar-SA" w:eastAsia="zh-TW" w:bidi="en-GB"/>
        </w:rPr>
      </w:pPr>
      <w:r w:rsidRPr="00851DA1">
        <w:rPr>
          <w:szCs w:val="20"/>
          <w:rtl/>
        </w:rPr>
        <w:t>5-</w:t>
      </w:r>
      <w:r w:rsidRPr="00851DA1">
        <w:rPr>
          <w:rtl/>
        </w:rPr>
        <w:tab/>
        <w:t>ولكل شخص الحق في التجمع السلمي: المواطنون وغير المواطنين على حد سواء. ويمكن أن يمارسه، على سبيل المثال، الرعايا الأجانب</w:t>
      </w:r>
      <w:r w:rsidR="00CC4DBD" w:rsidRPr="00851DA1">
        <w:rPr>
          <w:rStyle w:val="FootnoteReference"/>
          <w:rtl/>
        </w:rPr>
        <w:t>(</w:t>
      </w:r>
      <w:r w:rsidR="00CC4DBD" w:rsidRPr="00851DA1">
        <w:rPr>
          <w:rStyle w:val="FootnoteReference"/>
          <w:rFonts w:cs="Times New Roman"/>
          <w:b w:val="0"/>
          <w:position w:val="4"/>
          <w:sz w:val="20"/>
        </w:rPr>
        <w:footnoteReference w:id="7"/>
      </w:r>
      <w:r w:rsidR="00CC4DBD" w:rsidRPr="00851DA1">
        <w:rPr>
          <w:rStyle w:val="FootnoteReference"/>
          <w:rtl/>
        </w:rPr>
        <w:t>)</w:t>
      </w:r>
      <w:r w:rsidRPr="00851DA1">
        <w:rPr>
          <w:rtl/>
        </w:rPr>
        <w:t xml:space="preserve"> والمهاجرون </w:t>
      </w:r>
      <w:r w:rsidR="00E13836" w:rsidRPr="00851DA1">
        <w:rPr>
          <w:rtl/>
        </w:rPr>
        <w:t>(</w:t>
      </w:r>
      <w:r w:rsidRPr="00851DA1">
        <w:rPr>
          <w:rtl/>
        </w:rPr>
        <w:t>النظاميون وغير النظاميين</w:t>
      </w:r>
      <w:r w:rsidR="00E13836" w:rsidRPr="00851DA1">
        <w:rPr>
          <w:rtl/>
        </w:rPr>
        <w:t>)</w:t>
      </w:r>
      <w:r w:rsidRPr="00851DA1">
        <w:rPr>
          <w:rtl/>
        </w:rPr>
        <w:t xml:space="preserve"> وملتمسو اللجوء واللاجئون</w:t>
      </w:r>
      <w:r w:rsidR="00CC4DBD" w:rsidRPr="00851DA1">
        <w:rPr>
          <w:rStyle w:val="FootnoteReference"/>
          <w:rtl/>
        </w:rPr>
        <w:t>(</w:t>
      </w:r>
      <w:r w:rsidR="00CC4DBD" w:rsidRPr="00851DA1">
        <w:rPr>
          <w:rStyle w:val="FootnoteReference"/>
          <w:rFonts w:cs="Times New Roman"/>
          <w:b w:val="0"/>
          <w:position w:val="4"/>
          <w:sz w:val="20"/>
        </w:rPr>
        <w:footnoteReference w:id="8"/>
      </w:r>
      <w:r w:rsidR="00CC4DBD" w:rsidRPr="00851DA1">
        <w:rPr>
          <w:rStyle w:val="FootnoteReference"/>
          <w:rtl/>
        </w:rPr>
        <w:t>)</w:t>
      </w:r>
      <w:r w:rsidRPr="00851DA1">
        <w:rPr>
          <w:rtl/>
        </w:rPr>
        <w:t xml:space="preserve"> وعديمو الجنسية</w:t>
      </w:r>
      <w:r w:rsidR="00E13836" w:rsidRPr="00851DA1">
        <w:rPr>
          <w:rStyle w:val="FootnoteReference"/>
          <w:rtl/>
        </w:rPr>
        <w:t>(</w:t>
      </w:r>
      <w:r w:rsidR="00C04E6F" w:rsidRPr="00851DA1">
        <w:rPr>
          <w:rStyle w:val="FootnoteReference"/>
          <w:rFonts w:cs="Times New Roman"/>
          <w:b w:val="0"/>
          <w:position w:val="4"/>
          <w:sz w:val="20"/>
        </w:rPr>
        <w:footnoteReference w:id="9"/>
      </w:r>
      <w:r w:rsidR="00E13836" w:rsidRPr="00851DA1">
        <w:rPr>
          <w:rStyle w:val="FootnoteReference"/>
          <w:rtl/>
        </w:rPr>
        <w:t>)</w:t>
      </w:r>
      <w:r w:rsidR="00ED7372" w:rsidRPr="00851DA1">
        <w:rPr>
          <w:rFonts w:hint="cs"/>
          <w:rtl/>
        </w:rPr>
        <w:t>.</w:t>
      </w:r>
    </w:p>
    <w:p w14:paraId="0B49BE1B" w14:textId="77777777" w:rsidR="00B828C2" w:rsidRPr="00851DA1" w:rsidRDefault="00B828C2" w:rsidP="00B828C2">
      <w:pPr>
        <w:pStyle w:val="SingleTxtGA"/>
        <w:rPr>
          <w:szCs w:val="20"/>
          <w:lang w:val="ar-SA" w:eastAsia="zh-TW" w:bidi="en-GB"/>
        </w:rPr>
      </w:pPr>
      <w:r w:rsidRPr="00851DA1">
        <w:rPr>
          <w:szCs w:val="20"/>
          <w:rtl/>
        </w:rPr>
        <w:t>6-</w:t>
      </w:r>
      <w:r w:rsidRPr="00851DA1">
        <w:rPr>
          <w:rtl/>
        </w:rPr>
        <w:tab/>
        <w:t xml:space="preserve">وتحمي المادة </w:t>
      </w:r>
      <w:r w:rsidRPr="00851DA1">
        <w:rPr>
          <w:szCs w:val="20"/>
          <w:rtl/>
        </w:rPr>
        <w:t>21</w:t>
      </w:r>
      <w:r w:rsidRPr="00851DA1">
        <w:rPr>
          <w:rtl/>
        </w:rPr>
        <w:t xml:space="preserve"> من العهد التجمعات السلمية أينما كانت، سواء في الهواء الطلق أو في الأماكن المغلقة أو عبر الإنترنت؛ أو في الفضاءين العام والخاص؛ أو مزيج منهما. وقد تتّخذ هذه التجمعات أشكالاً عديدة، بما فيها المظاهرات والاحتجاجات والاجتماعات والمواكب والتجمعات والاعتصامات والوقفات على ضوء الشموع والتجمعات المفاجئة. وهي محمية بموجب المادة </w:t>
      </w:r>
      <w:r w:rsidRPr="00851DA1">
        <w:rPr>
          <w:szCs w:val="20"/>
          <w:rtl/>
        </w:rPr>
        <w:t>21</w:t>
      </w:r>
      <w:r w:rsidRPr="00851DA1">
        <w:rPr>
          <w:rtl/>
        </w:rPr>
        <w:t xml:space="preserve"> سواء أكانت ثابتة، مثل الاعتصامات، أم متنقلة، مثل المواكب أو المسيرات.</w:t>
      </w:r>
    </w:p>
    <w:p w14:paraId="270ED6AB" w14:textId="6A8F93EC" w:rsidR="00B828C2" w:rsidRPr="00851DA1" w:rsidRDefault="00B828C2" w:rsidP="00B828C2">
      <w:pPr>
        <w:pStyle w:val="SingleTxtGA"/>
        <w:rPr>
          <w:szCs w:val="20"/>
          <w:lang w:val="ar-SA" w:eastAsia="zh-TW"/>
        </w:rPr>
      </w:pPr>
      <w:r w:rsidRPr="00851DA1">
        <w:rPr>
          <w:szCs w:val="20"/>
          <w:rtl/>
        </w:rPr>
        <w:t>7-</w:t>
      </w:r>
      <w:r w:rsidRPr="00851DA1">
        <w:rPr>
          <w:rtl/>
        </w:rPr>
        <w:tab/>
        <w:t>وفي كثير من الأحيان، لا تكون للتجمعات السلمية أهداف مثيرة للجدل ولا تتسبب سوى في اضطرابات قليلة أو لا تتسبب فيها إطلاق</w:t>
      </w:r>
      <w:r w:rsidR="000B128E" w:rsidRPr="00851DA1">
        <w:rPr>
          <w:rtl/>
        </w:rPr>
        <w:t xml:space="preserve">اً. </w:t>
      </w:r>
      <w:r w:rsidRPr="00851DA1">
        <w:rPr>
          <w:rtl/>
        </w:rPr>
        <w:t>وقد يكون الهدف بالفعل، مثل</w:t>
      </w:r>
      <w:r w:rsidR="000B128E" w:rsidRPr="00851DA1">
        <w:rPr>
          <w:rtl/>
        </w:rPr>
        <w:t xml:space="preserve">اً، </w:t>
      </w:r>
      <w:r w:rsidRPr="00851DA1">
        <w:rPr>
          <w:rtl/>
        </w:rPr>
        <w:t>الاحتفال بيوم وطني أو بنتائج حدث رياضي. ومع ذلك، قد تُستخدم التجمعات السلمية أحيانا لطرح أفكار أو أهداف مثيرة للجدل. وقد تتسبب بحكم حجمها أو طبيعتها في عرقلة حركة المركبات أو المشاة أو الأنشطة الاقتصادية على سبيل المثال</w:t>
      </w:r>
      <w:r w:rsidR="00E13836" w:rsidRPr="00851DA1">
        <w:rPr>
          <w:rStyle w:val="FootnoteReference"/>
          <w:rtl/>
        </w:rPr>
        <w:t>(</w:t>
      </w:r>
      <w:r w:rsidR="00C04E6F" w:rsidRPr="00851DA1">
        <w:rPr>
          <w:rStyle w:val="FootnoteReference"/>
          <w:rFonts w:cs="Times New Roman"/>
          <w:b w:val="0"/>
          <w:position w:val="4"/>
          <w:sz w:val="20"/>
        </w:rPr>
        <w:footnoteReference w:id="10"/>
      </w:r>
      <w:r w:rsidR="00E13836" w:rsidRPr="00851DA1">
        <w:rPr>
          <w:rStyle w:val="FootnoteReference"/>
          <w:rtl/>
        </w:rPr>
        <w:t>)</w:t>
      </w:r>
      <w:r w:rsidR="00ED7372" w:rsidRPr="00851DA1">
        <w:rPr>
          <w:rtl/>
        </w:rPr>
        <w:t>.</w:t>
      </w:r>
      <w:r w:rsidRPr="00851DA1">
        <w:rPr>
          <w:rtl/>
        </w:rPr>
        <w:t xml:space="preserve"> وهذه التبعات، سواء أكانت مقصودة أم غير مقصودة، لا تستوجب إعادة النظر في الحماية التي تحظى بها هذه التجمعات. وبقدر ما يمكن أن يتسبب حدث ما في اضطرابات أو مخاطر من هذا القبيل، يجب إدارة هذه الاضطرابات أو المخاطر في إطار العهد.</w:t>
      </w:r>
    </w:p>
    <w:p w14:paraId="7F4E352F" w14:textId="7E149C69" w:rsidR="00B828C2" w:rsidRPr="00851DA1" w:rsidRDefault="00B828C2" w:rsidP="00B828C2">
      <w:pPr>
        <w:pStyle w:val="SingleTxtGA"/>
        <w:rPr>
          <w:rFonts w:hint="cs"/>
          <w:szCs w:val="20"/>
          <w:lang w:eastAsia="zh-TW" w:bidi="en-GB"/>
        </w:rPr>
      </w:pPr>
      <w:r w:rsidRPr="00851DA1">
        <w:rPr>
          <w:szCs w:val="20"/>
          <w:rtl/>
        </w:rPr>
        <w:lastRenderedPageBreak/>
        <w:t>8-</w:t>
      </w:r>
      <w:r w:rsidRPr="00851DA1">
        <w:rPr>
          <w:rtl/>
        </w:rPr>
        <w:tab/>
        <w:t>ويفرض الاعتراف بالحق في التجمع السلمي على الدول الأطراف التزاماً مقابلاً باحترام وكفالة ممارسته دون تمييز</w:t>
      </w:r>
      <w:r w:rsidR="00E13836" w:rsidRPr="00851DA1">
        <w:rPr>
          <w:rStyle w:val="FootnoteReference"/>
          <w:rtl/>
        </w:rPr>
        <w:t>(</w:t>
      </w:r>
      <w:r w:rsidR="00C04E6F" w:rsidRPr="00851DA1">
        <w:rPr>
          <w:rStyle w:val="FootnoteReference"/>
          <w:rFonts w:cs="Times New Roman"/>
          <w:b w:val="0"/>
          <w:position w:val="4"/>
          <w:sz w:val="20"/>
        </w:rPr>
        <w:footnoteReference w:id="11"/>
      </w:r>
      <w:r w:rsidR="00E13836" w:rsidRPr="00851DA1">
        <w:rPr>
          <w:rStyle w:val="FootnoteReference"/>
          <w:rtl/>
        </w:rPr>
        <w:t>)</w:t>
      </w:r>
      <w:r w:rsidR="00ED7372" w:rsidRPr="00851DA1">
        <w:rPr>
          <w:rtl/>
        </w:rPr>
        <w:t>.</w:t>
      </w:r>
      <w:r w:rsidRPr="00851DA1">
        <w:rPr>
          <w:rtl/>
        </w:rPr>
        <w:t xml:space="preserve"> ويقتضي ذلك من الدول أن تسمح بعقد هذه التجمعات دون تدخل غير مبرر وأن تيسّر ممارسة الحق وأن تحمي المشاركين. وتنص الجملة الثانية من المادة </w:t>
      </w:r>
      <w:r w:rsidRPr="00851DA1">
        <w:rPr>
          <w:szCs w:val="20"/>
          <w:rtl/>
        </w:rPr>
        <w:t>21</w:t>
      </w:r>
      <w:r w:rsidRPr="00851DA1">
        <w:rPr>
          <w:rtl/>
        </w:rPr>
        <w:t xml:space="preserve"> على أسباب التقييد المحتمل لهذا الحق، غير أنه يجب توخي الدقة عند وضع هذه القيود. وتوجد في الواقع حدود للقيود الممكن فرضها.</w:t>
      </w:r>
    </w:p>
    <w:p w14:paraId="765B4ED2" w14:textId="52F222E3" w:rsidR="00B828C2" w:rsidRPr="00851DA1" w:rsidRDefault="00B828C2" w:rsidP="00B828C2">
      <w:pPr>
        <w:pStyle w:val="SingleTxtGA"/>
        <w:rPr>
          <w:szCs w:val="20"/>
          <w:lang w:val="ar-SA" w:eastAsia="zh-TW" w:bidi="en-GB"/>
        </w:rPr>
      </w:pPr>
      <w:r w:rsidRPr="00851DA1">
        <w:rPr>
          <w:szCs w:val="20"/>
          <w:rtl/>
        </w:rPr>
        <w:t>9-</w:t>
      </w:r>
      <w:r w:rsidRPr="00851DA1">
        <w:rPr>
          <w:rtl/>
        </w:rPr>
        <w:tab/>
        <w:t>ولا يمكن توفير الحماية الكاملة للحق في التجمع السلمي إلا عندما تكون حقوق أخرى، متداخلة في الغالب، محمية أيضاً، ولا سيما حرية التعبير وحرية تكوين الجمعيات والمشاركة السياسية</w:t>
      </w:r>
      <w:r w:rsidR="00E13836" w:rsidRPr="00851DA1">
        <w:rPr>
          <w:rStyle w:val="FootnoteReference"/>
          <w:rtl/>
        </w:rPr>
        <w:t>(</w:t>
      </w:r>
      <w:r w:rsidR="00C04E6F" w:rsidRPr="00851DA1">
        <w:rPr>
          <w:rStyle w:val="FootnoteReference"/>
          <w:rFonts w:cs="Times New Roman"/>
          <w:b w:val="0"/>
          <w:position w:val="4"/>
          <w:sz w:val="20"/>
        </w:rPr>
        <w:footnoteReference w:id="12"/>
      </w:r>
      <w:r w:rsidR="00E13836" w:rsidRPr="00851DA1">
        <w:rPr>
          <w:rStyle w:val="FootnoteReference"/>
          <w:rtl/>
        </w:rPr>
        <w:t>)</w:t>
      </w:r>
      <w:r w:rsidR="00ED7372" w:rsidRPr="00851DA1">
        <w:rPr>
          <w:rtl/>
        </w:rPr>
        <w:t>.</w:t>
      </w:r>
      <w:r w:rsidRPr="00851DA1">
        <w:rPr>
          <w:rtl/>
        </w:rPr>
        <w:t xml:space="preserve"> وغالباً ما تتوقف حماية الحق في التجمع السلمي أيضاً على إعمال طائفة أوسع من الحقوق المدنية والسياسية والحقوق الاقتصادية والاجتماعية والثقافية. وعندما يتصرف الأفراد بطريقة تخرجهم من نطاق الحماية التي تنص عليها المادة </w:t>
      </w:r>
      <w:r w:rsidRPr="00851DA1">
        <w:rPr>
          <w:szCs w:val="20"/>
          <w:rtl/>
        </w:rPr>
        <w:t>21</w:t>
      </w:r>
      <w:r w:rsidRPr="00851DA1">
        <w:rPr>
          <w:rtl/>
        </w:rPr>
        <w:t>، لأنهم يمارسون العنف مثل</w:t>
      </w:r>
      <w:r w:rsidR="000B128E" w:rsidRPr="00851DA1">
        <w:rPr>
          <w:rtl/>
        </w:rPr>
        <w:t xml:space="preserve">اً، </w:t>
      </w:r>
      <w:r w:rsidRPr="00851DA1">
        <w:rPr>
          <w:rtl/>
        </w:rPr>
        <w:t>فإنهم يحتفظون بحقوقهم الأخرى بموجب العهد، رهناً بالحدود والقيود الواجبة التطبيق.</w:t>
      </w:r>
    </w:p>
    <w:p w14:paraId="27EBCD25" w14:textId="22F07CB9" w:rsidR="00B828C2" w:rsidRPr="00851DA1" w:rsidRDefault="00B828C2" w:rsidP="00B828C2">
      <w:pPr>
        <w:pStyle w:val="SingleTxtGA"/>
        <w:rPr>
          <w:szCs w:val="20"/>
          <w:lang w:eastAsia="zh-TW" w:bidi="en-GB"/>
        </w:rPr>
      </w:pPr>
      <w:r w:rsidRPr="00851DA1">
        <w:rPr>
          <w:szCs w:val="20"/>
          <w:rtl/>
        </w:rPr>
        <w:t>10-</w:t>
      </w:r>
      <w:r w:rsidRPr="00851DA1">
        <w:rPr>
          <w:rtl/>
        </w:rPr>
        <w:tab/>
        <w:t xml:space="preserve">وتتغير طريقة وسياقات إجراء التجمعات مع مرور الوقت. وقد يؤثر ذلك بدوره على طريقة تعامل السلطات معها. فعلى سبيل المثال، تسمح تكنولوجيات الاتصال الناشئة بالتجمع كلياً أو جزئياً على الإنترنت، وكثيراً ما تؤدي دوراً أساسياً في تنظيم التجمعات المادية والمشاركة فيها ورصدها، وبالتالي فإن التدخل في هذه التكنولوجيات من شأنه أن يعوق التجمعات. ولئن كان من الممكن استخدام تكنولوجيات المراقبة للكشف عن التهديدات بالعنف وبالتالي لحماية الجمهور، فإن ذلك قد يتسبب أيضاً في انتهاك حق المشاركين والمارة في الخصوصية وغيره من الحقوق، وقد يكون له أثر مثبط. وعلاوة على ذلك، هناك تزايد في الملكية الخاصة وغيرها من أشكال التحكم في الأماكن ومنصات التواصل التي يمكن لعامة الجمهور الوصول إليها. وينبغي الاسترشاد بمثل هذه الاعتبارات لبلوغ فهم معاصر للإطار القانوني الذي تقتضيه المادة </w:t>
      </w:r>
      <w:r w:rsidRPr="00851DA1">
        <w:rPr>
          <w:szCs w:val="20"/>
          <w:rtl/>
        </w:rPr>
        <w:t>21</w:t>
      </w:r>
      <w:r w:rsidR="00275BA1" w:rsidRPr="00851DA1">
        <w:rPr>
          <w:rFonts w:hint="cs"/>
          <w:rtl/>
        </w:rPr>
        <w:t>.</w:t>
      </w:r>
    </w:p>
    <w:p w14:paraId="1C29CBDA" w14:textId="3CE62905" w:rsidR="00B828C2" w:rsidRPr="00851DA1" w:rsidRDefault="00153B5D" w:rsidP="00153B5D">
      <w:pPr>
        <w:pStyle w:val="HChGA"/>
        <w:rPr>
          <w:szCs w:val="20"/>
          <w:lang w:val="ar-SA" w:eastAsia="zh-TW" w:bidi="en-GB"/>
        </w:rPr>
      </w:pPr>
      <w:r w:rsidRPr="00851DA1">
        <w:rPr>
          <w:rtl/>
        </w:rPr>
        <w:tab/>
      </w:r>
      <w:r w:rsidR="00B828C2" w:rsidRPr="00851DA1">
        <w:rPr>
          <w:rtl/>
        </w:rPr>
        <w:t>ثانيا</w:t>
      </w:r>
      <w:r w:rsidRPr="00851DA1">
        <w:rPr>
          <w:rFonts w:hint="cs"/>
          <w:rtl/>
        </w:rPr>
        <w:t>ً</w:t>
      </w:r>
      <w:r w:rsidR="00B828C2" w:rsidRPr="00851DA1">
        <w:rPr>
          <w:rtl/>
        </w:rPr>
        <w:t>-</w:t>
      </w:r>
      <w:r w:rsidR="00B828C2" w:rsidRPr="00851DA1">
        <w:rPr>
          <w:rtl/>
        </w:rPr>
        <w:tab/>
        <w:t>نطاق الحق في التجمع السلمي</w:t>
      </w:r>
    </w:p>
    <w:p w14:paraId="0A7E21A5" w14:textId="45985F82" w:rsidR="00B828C2" w:rsidRPr="00851DA1" w:rsidRDefault="00B828C2" w:rsidP="00B828C2">
      <w:pPr>
        <w:pStyle w:val="SingleTxtGA"/>
        <w:rPr>
          <w:szCs w:val="20"/>
          <w:lang w:val="ar-SA" w:eastAsia="zh-TW" w:bidi="en-GB"/>
        </w:rPr>
      </w:pPr>
      <w:r w:rsidRPr="00851DA1">
        <w:rPr>
          <w:szCs w:val="20"/>
          <w:rtl/>
        </w:rPr>
        <w:t>11-</w:t>
      </w:r>
      <w:r w:rsidRPr="00851DA1">
        <w:rPr>
          <w:rtl/>
        </w:rPr>
        <w:tab/>
        <w:t xml:space="preserve">ينطوي تحديد ما إذا كانت مشاركة شخص ما في تجمع محمية بموجب المادة </w:t>
      </w:r>
      <w:r w:rsidRPr="00851DA1">
        <w:rPr>
          <w:szCs w:val="20"/>
          <w:rtl/>
        </w:rPr>
        <w:t>21</w:t>
      </w:r>
      <w:r w:rsidRPr="00851DA1">
        <w:rPr>
          <w:rtl/>
        </w:rPr>
        <w:t xml:space="preserve"> على عملية</w:t>
      </w:r>
      <w:r w:rsidRPr="00851DA1">
        <w:t xml:space="preserve"> </w:t>
      </w:r>
      <w:r w:rsidRPr="00851DA1">
        <w:rPr>
          <w:rtl/>
        </w:rPr>
        <w:t xml:space="preserve">تنقسم إلى مرحلتين. أولاً، يجب تحديد ما إذا كان تصرّف الشخص المعني يندرج ضمن نطاق الحماية التي يوفّرها الحق، من حيث أنه يُعتبَر مشاركة في "تجمع سلمي" </w:t>
      </w:r>
      <w:r w:rsidR="00E13836" w:rsidRPr="00851DA1">
        <w:rPr>
          <w:rtl/>
        </w:rPr>
        <w:t>(</w:t>
      </w:r>
      <w:r w:rsidRPr="00851DA1">
        <w:rPr>
          <w:rtl/>
        </w:rPr>
        <w:t>على النحو المبين في هذا الفرع</w:t>
      </w:r>
      <w:r w:rsidR="00E13836" w:rsidRPr="00851DA1">
        <w:rPr>
          <w:rtl/>
        </w:rPr>
        <w:t>)</w:t>
      </w:r>
      <w:r w:rsidRPr="00851DA1">
        <w:rPr>
          <w:rtl/>
        </w:rPr>
        <w:t>. وإذا</w:t>
      </w:r>
      <w:r w:rsidR="000B128E" w:rsidRPr="00851DA1">
        <w:rPr>
          <w:rFonts w:hint="cs"/>
          <w:rtl/>
        </w:rPr>
        <w:t> </w:t>
      </w:r>
      <w:r w:rsidRPr="00851DA1">
        <w:rPr>
          <w:rtl/>
        </w:rPr>
        <w:t xml:space="preserve">كان الأمر كذلك، يجب على الدولة أن تحترم حقوق المشاركين وتكفلها </w:t>
      </w:r>
      <w:r w:rsidR="00E13836" w:rsidRPr="00851DA1">
        <w:rPr>
          <w:rtl/>
        </w:rPr>
        <w:t>(</w:t>
      </w:r>
      <w:r w:rsidRPr="00851DA1">
        <w:rPr>
          <w:rtl/>
        </w:rPr>
        <w:t>على النحو المبين في الفرع الثالث أدناه</w:t>
      </w:r>
      <w:r w:rsidR="00E13836" w:rsidRPr="00851DA1">
        <w:rPr>
          <w:rtl/>
        </w:rPr>
        <w:t>)</w:t>
      </w:r>
      <w:r w:rsidRPr="00851DA1">
        <w:rPr>
          <w:rtl/>
        </w:rPr>
        <w:t>. ثانياً، يجب تحديد ما إذا كان تطبيق أي قيود على ممارسة هذا الحق أمر</w:t>
      </w:r>
      <w:r w:rsidR="000B128E" w:rsidRPr="00851DA1">
        <w:rPr>
          <w:rtl/>
        </w:rPr>
        <w:t xml:space="preserve">اً </w:t>
      </w:r>
      <w:r w:rsidRPr="00851DA1">
        <w:rPr>
          <w:rtl/>
        </w:rPr>
        <w:t>مشروع</w:t>
      </w:r>
      <w:r w:rsidR="000B128E" w:rsidRPr="00851DA1">
        <w:rPr>
          <w:rtl/>
        </w:rPr>
        <w:t xml:space="preserve">اً </w:t>
      </w:r>
      <w:r w:rsidRPr="00851DA1">
        <w:rPr>
          <w:rtl/>
        </w:rPr>
        <w:t xml:space="preserve">أم لا في هذا السياق </w:t>
      </w:r>
      <w:r w:rsidR="00E13836" w:rsidRPr="00851DA1">
        <w:rPr>
          <w:rtl/>
        </w:rPr>
        <w:t>(</w:t>
      </w:r>
      <w:r w:rsidRPr="00851DA1">
        <w:rPr>
          <w:rtl/>
        </w:rPr>
        <w:t>على النحو المبين في الفرع الرابع أدناه</w:t>
      </w:r>
      <w:r w:rsidR="00E13836" w:rsidRPr="00851DA1">
        <w:rPr>
          <w:rtl/>
        </w:rPr>
        <w:t>)</w:t>
      </w:r>
      <w:r w:rsidRPr="00851DA1">
        <w:rPr>
          <w:rtl/>
        </w:rPr>
        <w:t>.</w:t>
      </w:r>
    </w:p>
    <w:p w14:paraId="23DD7A4E" w14:textId="206A8BF8" w:rsidR="00B828C2" w:rsidRPr="00851DA1" w:rsidRDefault="00B828C2" w:rsidP="00B828C2">
      <w:pPr>
        <w:pStyle w:val="SingleTxtGA"/>
        <w:rPr>
          <w:szCs w:val="20"/>
          <w:lang w:val="ar-SA" w:eastAsia="zh-TW" w:bidi="en-GB"/>
        </w:rPr>
      </w:pPr>
      <w:r w:rsidRPr="00851DA1">
        <w:rPr>
          <w:szCs w:val="20"/>
          <w:rtl/>
        </w:rPr>
        <w:t>12-</w:t>
      </w:r>
      <w:r w:rsidRPr="00851DA1">
        <w:rPr>
          <w:rtl/>
        </w:rPr>
        <w:tab/>
        <w:t xml:space="preserve"> والمشاركة في "تجمّع" يعني تنظيم تجمع للأشخاص أو المشاركة فيه بغرض التعبير عن رأي أو موقف بشأن مسألة معينة أو تبادل الأفكار مثل</w:t>
      </w:r>
      <w:r w:rsidR="000B128E" w:rsidRPr="00851DA1">
        <w:rPr>
          <w:rtl/>
        </w:rPr>
        <w:t xml:space="preserve">اً. </w:t>
      </w:r>
      <w:r w:rsidRPr="00851DA1">
        <w:rPr>
          <w:rtl/>
        </w:rPr>
        <w:t>وقد يهدف التجمع أيض</w:t>
      </w:r>
      <w:r w:rsidR="000B128E" w:rsidRPr="00851DA1">
        <w:rPr>
          <w:rtl/>
        </w:rPr>
        <w:t xml:space="preserve">اً </w:t>
      </w:r>
      <w:r w:rsidRPr="00851DA1">
        <w:rPr>
          <w:rtl/>
        </w:rPr>
        <w:t>إلى تأكيد التضامن الجماعي أو الهوية الجماعية أو إثباتهما. وبالإضافة إلى هذه الأهداف، قد تكون للتجمعات أهداف أخرى، ذات طابع ترفيهي أو ثقافي أو ديني أو تجاري مثل</w:t>
      </w:r>
      <w:r w:rsidR="000B128E" w:rsidRPr="00851DA1">
        <w:rPr>
          <w:rtl/>
        </w:rPr>
        <w:t xml:space="preserve">اً، </w:t>
      </w:r>
      <w:r w:rsidRPr="00851DA1">
        <w:rPr>
          <w:rtl/>
        </w:rPr>
        <w:t xml:space="preserve">وتظل مع ذلك محمية بموجب المادة </w:t>
      </w:r>
      <w:r w:rsidRPr="00851DA1">
        <w:rPr>
          <w:szCs w:val="20"/>
          <w:rtl/>
        </w:rPr>
        <w:t>21</w:t>
      </w:r>
      <w:r w:rsidRPr="00851DA1">
        <w:rPr>
          <w:rtl/>
        </w:rPr>
        <w:t>.</w:t>
      </w:r>
    </w:p>
    <w:p w14:paraId="02A9C121" w14:textId="0194C530" w:rsidR="00B828C2" w:rsidRPr="00851DA1" w:rsidRDefault="00B828C2" w:rsidP="00B828C2">
      <w:pPr>
        <w:pStyle w:val="SingleTxtGA"/>
        <w:rPr>
          <w:szCs w:val="20"/>
          <w:lang w:val="ar-SA" w:eastAsia="zh-TW" w:bidi="en-GB"/>
        </w:rPr>
      </w:pPr>
      <w:r w:rsidRPr="00851DA1">
        <w:rPr>
          <w:szCs w:val="20"/>
          <w:rtl/>
        </w:rPr>
        <w:t>13-</w:t>
      </w:r>
      <w:r w:rsidRPr="00851DA1">
        <w:rPr>
          <w:rtl/>
        </w:rPr>
        <w:tab/>
        <w:t xml:space="preserve">وعلى الرغم من أن فكرة التجمع تعني ضمناً مشاركة أكثر من شخص واحد، فإن محتجاً واحداً يتمتع بحماية مماثلة بموجب العهد، مثلاً في إطار المادة </w:t>
      </w:r>
      <w:r w:rsidRPr="00851DA1">
        <w:rPr>
          <w:szCs w:val="20"/>
          <w:rtl/>
        </w:rPr>
        <w:t>19</w:t>
      </w:r>
      <w:r w:rsidR="00E13836" w:rsidRPr="00851DA1">
        <w:rPr>
          <w:rStyle w:val="FootnoteReference"/>
          <w:rtl/>
        </w:rPr>
        <w:t>(</w:t>
      </w:r>
      <w:r w:rsidR="00C04E6F" w:rsidRPr="00851DA1">
        <w:rPr>
          <w:rStyle w:val="FootnoteReference"/>
          <w:rFonts w:cs="Times New Roman"/>
          <w:b w:val="0"/>
          <w:position w:val="4"/>
          <w:sz w:val="20"/>
        </w:rPr>
        <w:footnoteReference w:id="13"/>
      </w:r>
      <w:r w:rsidR="00E13836" w:rsidRPr="00851DA1">
        <w:rPr>
          <w:rStyle w:val="FootnoteReference"/>
          <w:rtl/>
        </w:rPr>
        <w:t>)</w:t>
      </w:r>
      <w:r w:rsidR="00ED7372" w:rsidRPr="00851DA1">
        <w:rPr>
          <w:rtl/>
        </w:rPr>
        <w:t>.</w:t>
      </w:r>
      <w:r w:rsidRPr="00851DA1">
        <w:rPr>
          <w:rtl/>
        </w:rPr>
        <w:t xml:space="preserve"> ولئن كان يُفهَم عموماً أن ممارسة </w:t>
      </w:r>
      <w:r w:rsidRPr="00851DA1">
        <w:rPr>
          <w:rtl/>
        </w:rPr>
        <w:lastRenderedPageBreak/>
        <w:t xml:space="preserve">الحق في التجمع السلمي ترتبط بالتجمع المادي للأشخاص، فإن الحماية بموجب المادة </w:t>
      </w:r>
      <w:r w:rsidRPr="00851DA1">
        <w:rPr>
          <w:szCs w:val="20"/>
          <w:rtl/>
        </w:rPr>
        <w:t>21</w:t>
      </w:r>
      <w:r w:rsidRPr="00851DA1">
        <w:rPr>
          <w:rtl/>
        </w:rPr>
        <w:t xml:space="preserve"> تمتد أيضاً إلى المشاركة في التجمعات وتنظيمها عن بُعد، على الإنترنت مثلاً</w:t>
      </w:r>
      <w:r w:rsidR="00E13836" w:rsidRPr="00851DA1">
        <w:rPr>
          <w:rStyle w:val="FootnoteReference"/>
          <w:rtl/>
        </w:rPr>
        <w:t>(</w:t>
      </w:r>
      <w:r w:rsidR="00C04E6F" w:rsidRPr="00851DA1">
        <w:rPr>
          <w:rStyle w:val="FootnoteReference"/>
          <w:rFonts w:cs="Times New Roman"/>
          <w:b w:val="0"/>
          <w:position w:val="4"/>
          <w:sz w:val="20"/>
        </w:rPr>
        <w:footnoteReference w:id="14"/>
      </w:r>
      <w:r w:rsidR="00E13836" w:rsidRPr="00851DA1">
        <w:rPr>
          <w:rStyle w:val="FootnoteReference"/>
          <w:rtl/>
        </w:rPr>
        <w:t>)</w:t>
      </w:r>
      <w:r w:rsidR="00ED7372" w:rsidRPr="00851DA1">
        <w:rPr>
          <w:rtl/>
        </w:rPr>
        <w:t>.</w:t>
      </w:r>
    </w:p>
    <w:p w14:paraId="4562CAB5" w14:textId="739582C6" w:rsidR="00B828C2" w:rsidRPr="00851DA1" w:rsidRDefault="00B828C2" w:rsidP="00B828C2">
      <w:pPr>
        <w:pStyle w:val="SingleTxtGA"/>
        <w:rPr>
          <w:szCs w:val="20"/>
          <w:lang w:val="ar-SA" w:eastAsia="zh-TW" w:bidi="en-GB"/>
        </w:rPr>
      </w:pPr>
      <w:r w:rsidRPr="00851DA1">
        <w:rPr>
          <w:szCs w:val="20"/>
          <w:rtl/>
        </w:rPr>
        <w:t>14-</w:t>
      </w:r>
      <w:r w:rsidRPr="00851DA1">
        <w:rPr>
          <w:rtl/>
        </w:rPr>
        <w:tab/>
        <w:t>وغالب</w:t>
      </w:r>
      <w:r w:rsidR="000B128E" w:rsidRPr="00851DA1">
        <w:rPr>
          <w:rtl/>
        </w:rPr>
        <w:t xml:space="preserve">اً </w:t>
      </w:r>
      <w:r w:rsidRPr="00851DA1">
        <w:rPr>
          <w:rtl/>
        </w:rPr>
        <w:t>ما تنظم التجمعات السلمية مسبق</w:t>
      </w:r>
      <w:r w:rsidR="000B128E" w:rsidRPr="00851DA1">
        <w:rPr>
          <w:rtl/>
        </w:rPr>
        <w:t xml:space="preserve">اً، </w:t>
      </w:r>
      <w:r w:rsidRPr="00851DA1">
        <w:rPr>
          <w:rtl/>
        </w:rPr>
        <w:t>مما يمنح المنظمين متسع</w:t>
      </w:r>
      <w:r w:rsidR="000B128E" w:rsidRPr="00851DA1">
        <w:rPr>
          <w:rtl/>
        </w:rPr>
        <w:t xml:space="preserve">اً </w:t>
      </w:r>
      <w:r w:rsidRPr="00851DA1">
        <w:rPr>
          <w:rtl/>
        </w:rPr>
        <w:t>من الوقت لإخطار السلطات حتى تقوم بالتحضيرات اللازمة. ومع ذلك فإن التجمعات التلقائية، التي تكون في العادة رد</w:t>
      </w:r>
      <w:r w:rsidR="000B128E" w:rsidRPr="00851DA1">
        <w:rPr>
          <w:rtl/>
        </w:rPr>
        <w:t xml:space="preserve">اً </w:t>
      </w:r>
      <w:r w:rsidRPr="00851DA1">
        <w:rPr>
          <w:rtl/>
        </w:rPr>
        <w:t>مباشر</w:t>
      </w:r>
      <w:r w:rsidR="000B128E" w:rsidRPr="00851DA1">
        <w:rPr>
          <w:rtl/>
        </w:rPr>
        <w:t xml:space="preserve">اً </w:t>
      </w:r>
      <w:r w:rsidRPr="00851DA1">
        <w:rPr>
          <w:rtl/>
        </w:rPr>
        <w:t>على الأحداث الجارية، سواء أكانت منسقة أم لا، تحظى هي الأخرى بالحماية بموجب المادة</w:t>
      </w:r>
      <w:r w:rsidR="00910346" w:rsidRPr="00851DA1">
        <w:rPr>
          <w:rFonts w:hint="cs"/>
          <w:rtl/>
        </w:rPr>
        <w:t> </w:t>
      </w:r>
      <w:r w:rsidRPr="00851DA1">
        <w:rPr>
          <w:szCs w:val="20"/>
          <w:rtl/>
        </w:rPr>
        <w:t>21</w:t>
      </w:r>
      <w:r w:rsidRPr="00851DA1">
        <w:rPr>
          <w:sz w:val="28"/>
          <w:rtl/>
        </w:rPr>
        <w:t>.</w:t>
      </w:r>
      <w:r w:rsidRPr="00851DA1">
        <w:rPr>
          <w:rtl/>
        </w:rPr>
        <w:t xml:space="preserve"> وتحدث المظاهرات المضادّة عندما ينظَّم تجمع للتعبير عن معارضته لتجمع آخر. ويمكن أن يندرج كلا التجمعين في نطاق حماية المادة </w:t>
      </w:r>
      <w:r w:rsidRPr="00851DA1">
        <w:rPr>
          <w:szCs w:val="20"/>
          <w:rtl/>
        </w:rPr>
        <w:t>21</w:t>
      </w:r>
      <w:r w:rsidRPr="00851DA1">
        <w:rPr>
          <w:rtl/>
        </w:rPr>
        <w:t>.</w:t>
      </w:r>
    </w:p>
    <w:p w14:paraId="7A0752AD" w14:textId="1A4E815A" w:rsidR="00B828C2" w:rsidRPr="00851DA1" w:rsidRDefault="00B828C2" w:rsidP="00B828C2">
      <w:pPr>
        <w:pStyle w:val="SingleTxtGA"/>
        <w:rPr>
          <w:szCs w:val="20"/>
          <w:lang w:val="ar-SA" w:eastAsia="zh-TW" w:bidi="en-GB"/>
        </w:rPr>
      </w:pPr>
      <w:r w:rsidRPr="00851DA1">
        <w:rPr>
          <w:szCs w:val="20"/>
          <w:rtl/>
        </w:rPr>
        <w:t>15-</w:t>
      </w:r>
      <w:r w:rsidRPr="00851DA1">
        <w:rPr>
          <w:rtl/>
        </w:rPr>
        <w:tab/>
        <w:t xml:space="preserve">ويتعارض التجمع "السلمي" مع التجمع الذي يتسم بعنف خطير وواسع النطاق. وهكذا فإن مصطلحي "سلمي" و"غير عنيف" يستخدمان على نحو متبادل في هذا السياق. ولا يجوز، بحكم تعريف الحق في التجمع السلمي، ممارسة هذا الحق باستخدام العنف. وعادة ما يعني "العنف" في سياق المادة </w:t>
      </w:r>
      <w:r w:rsidRPr="00851DA1">
        <w:rPr>
          <w:szCs w:val="20"/>
          <w:rtl/>
        </w:rPr>
        <w:t>21</w:t>
      </w:r>
      <w:r w:rsidRPr="00851DA1">
        <w:rPr>
          <w:rtl/>
        </w:rPr>
        <w:t xml:space="preserve"> استخدام المشاركين القوة البدنية ضد الآخرين، مما قد يؤدي إلى الإصابة أو الوفاة، أو</w:t>
      </w:r>
      <w:r w:rsidR="00CC4DBD" w:rsidRPr="00851DA1">
        <w:rPr>
          <w:rFonts w:hint="cs"/>
          <w:rtl/>
        </w:rPr>
        <w:t> </w:t>
      </w:r>
      <w:r w:rsidRPr="00851DA1">
        <w:rPr>
          <w:rtl/>
        </w:rPr>
        <w:t>إلى إلحاق ضرر جسيم بالممتلكات</w:t>
      </w:r>
      <w:r w:rsidR="00E13836" w:rsidRPr="00851DA1">
        <w:rPr>
          <w:rStyle w:val="FootnoteReference"/>
          <w:rtl/>
        </w:rPr>
        <w:t>(</w:t>
      </w:r>
      <w:r w:rsidR="00C04E6F" w:rsidRPr="00851DA1">
        <w:rPr>
          <w:rStyle w:val="FootnoteReference"/>
          <w:rFonts w:cs="Times New Roman"/>
          <w:b w:val="0"/>
          <w:position w:val="4"/>
          <w:sz w:val="20"/>
        </w:rPr>
        <w:footnoteReference w:id="15"/>
      </w:r>
      <w:r w:rsidR="00E13836" w:rsidRPr="00851DA1">
        <w:rPr>
          <w:rStyle w:val="FootnoteReference"/>
          <w:rtl/>
        </w:rPr>
        <w:t>)</w:t>
      </w:r>
      <w:r w:rsidR="00ED7372" w:rsidRPr="00851DA1">
        <w:rPr>
          <w:rtl/>
        </w:rPr>
        <w:t>.</w:t>
      </w:r>
      <w:r w:rsidRPr="00851DA1">
        <w:rPr>
          <w:rtl/>
        </w:rPr>
        <w:t xml:space="preserve"> ولا يُعتبَر "عنفاً" مجرد الدفع والتدافع أو تعطيل حركة المركبات أو المشاة أو الأنشطة اليومية.</w:t>
      </w:r>
    </w:p>
    <w:p w14:paraId="05FBAE4A" w14:textId="33BE480F" w:rsidR="00B828C2" w:rsidRPr="00851DA1" w:rsidRDefault="00B828C2" w:rsidP="00B828C2">
      <w:pPr>
        <w:pStyle w:val="SingleTxtGA"/>
        <w:rPr>
          <w:szCs w:val="20"/>
          <w:lang w:val="ar-SA" w:eastAsia="zh-TW" w:bidi="en-GB"/>
        </w:rPr>
      </w:pPr>
      <w:r w:rsidRPr="00851DA1">
        <w:rPr>
          <w:szCs w:val="20"/>
          <w:rtl/>
        </w:rPr>
        <w:t>16</w:t>
      </w:r>
      <w:r w:rsidR="00C04E6F" w:rsidRPr="00851DA1">
        <w:rPr>
          <w:szCs w:val="20"/>
          <w:rtl/>
        </w:rPr>
        <w:t>-</w:t>
      </w:r>
      <w:r w:rsidR="00C04E6F" w:rsidRPr="00851DA1">
        <w:rPr>
          <w:szCs w:val="20"/>
          <w:rtl/>
        </w:rPr>
        <w:tab/>
      </w:r>
      <w:r w:rsidRPr="00851DA1">
        <w:rPr>
          <w:rtl/>
        </w:rPr>
        <w:t xml:space="preserve">وإذا كان سلوك المشاركين في تجمّع ما سلمياً، فإن عدم امتثال منظمي التجمع أو المشاركين فيه بعض المقتضيات القانونية المحلية المتعلقة بالتجمعات غير كاف لاستبعاد المشاركين من نطاق الحماية المنصوص عليها في المادة </w:t>
      </w:r>
      <w:r w:rsidRPr="00851DA1">
        <w:rPr>
          <w:szCs w:val="20"/>
          <w:rtl/>
        </w:rPr>
        <w:t>21</w:t>
      </w:r>
      <w:r w:rsidR="00E13836" w:rsidRPr="00851DA1">
        <w:rPr>
          <w:rStyle w:val="FootnoteReference"/>
          <w:rtl/>
        </w:rPr>
        <w:t>(</w:t>
      </w:r>
      <w:r w:rsidR="00C04E6F" w:rsidRPr="00851DA1">
        <w:rPr>
          <w:rStyle w:val="FootnoteReference"/>
          <w:rFonts w:cs="Times New Roman"/>
          <w:b w:val="0"/>
          <w:position w:val="4"/>
          <w:sz w:val="20"/>
        </w:rPr>
        <w:footnoteReference w:id="16"/>
      </w:r>
      <w:r w:rsidR="00E13836" w:rsidRPr="00851DA1">
        <w:rPr>
          <w:rStyle w:val="FootnoteReference"/>
          <w:rtl/>
        </w:rPr>
        <w:t>)</w:t>
      </w:r>
      <w:r w:rsidR="00ED7372" w:rsidRPr="00851DA1">
        <w:rPr>
          <w:szCs w:val="20"/>
          <w:rtl/>
        </w:rPr>
        <w:t>.</w:t>
      </w:r>
      <w:r w:rsidRPr="00851DA1">
        <w:rPr>
          <w:rtl/>
        </w:rPr>
        <w:t xml:space="preserve"> ويمكن أن تشمل المادة </w:t>
      </w:r>
      <w:r w:rsidRPr="00851DA1">
        <w:rPr>
          <w:szCs w:val="20"/>
          <w:rtl/>
        </w:rPr>
        <w:t>21</w:t>
      </w:r>
      <w:r w:rsidRPr="00851DA1">
        <w:rPr>
          <w:rtl/>
        </w:rPr>
        <w:t xml:space="preserve"> حملات العصيان المدني الجماعي أو العمل المباشر، شريطة أن تكون غير عنيفة</w:t>
      </w:r>
      <w:r w:rsidR="00E13836" w:rsidRPr="00851DA1">
        <w:rPr>
          <w:rStyle w:val="FootnoteReference"/>
          <w:rtl/>
        </w:rPr>
        <w:t>(</w:t>
      </w:r>
      <w:r w:rsidR="00C04E6F" w:rsidRPr="00851DA1">
        <w:rPr>
          <w:rStyle w:val="FootnoteReference"/>
          <w:rFonts w:cs="Times New Roman"/>
          <w:b w:val="0"/>
          <w:position w:val="4"/>
          <w:sz w:val="20"/>
        </w:rPr>
        <w:footnoteReference w:id="17"/>
      </w:r>
      <w:r w:rsidR="00E13836" w:rsidRPr="00851DA1">
        <w:rPr>
          <w:rStyle w:val="FootnoteReference"/>
          <w:rtl/>
        </w:rPr>
        <w:t>)</w:t>
      </w:r>
      <w:r w:rsidR="00ED7372" w:rsidRPr="00851DA1">
        <w:rPr>
          <w:rtl/>
        </w:rPr>
        <w:t>.</w:t>
      </w:r>
    </w:p>
    <w:p w14:paraId="2359EEAD" w14:textId="6C67A591" w:rsidR="00B828C2" w:rsidRPr="00851DA1" w:rsidRDefault="00B828C2" w:rsidP="00B828C2">
      <w:pPr>
        <w:pStyle w:val="SingleTxtGA"/>
        <w:rPr>
          <w:szCs w:val="20"/>
          <w:lang w:val="ar-SA" w:eastAsia="zh-TW" w:bidi="en-GB"/>
        </w:rPr>
      </w:pPr>
      <w:r w:rsidRPr="00851DA1">
        <w:rPr>
          <w:szCs w:val="20"/>
          <w:rtl/>
        </w:rPr>
        <w:t>17-</w:t>
      </w:r>
      <w:r w:rsidRPr="00851DA1">
        <w:rPr>
          <w:rtl/>
        </w:rPr>
        <w:tab/>
        <w:t>ولا يوجد دائم</w:t>
      </w:r>
      <w:r w:rsidR="000B128E" w:rsidRPr="00851DA1">
        <w:rPr>
          <w:rtl/>
        </w:rPr>
        <w:t xml:space="preserve">اً </w:t>
      </w:r>
      <w:r w:rsidRPr="00851DA1">
        <w:rPr>
          <w:rtl/>
        </w:rPr>
        <w:t>خط فاصل واضح بين التجمعات السلمية والتجمعات غير السلمية، ولكن هناك قرينة سلمية التجمعات</w:t>
      </w:r>
      <w:r w:rsidR="00E13836" w:rsidRPr="00851DA1">
        <w:rPr>
          <w:rStyle w:val="FootnoteReference"/>
          <w:rtl/>
        </w:rPr>
        <w:t>(</w:t>
      </w:r>
      <w:r w:rsidR="00C04E6F" w:rsidRPr="00851DA1">
        <w:rPr>
          <w:rStyle w:val="FootnoteReference"/>
          <w:rFonts w:cs="Times New Roman"/>
          <w:b w:val="0"/>
          <w:position w:val="4"/>
          <w:sz w:val="20"/>
        </w:rPr>
        <w:footnoteReference w:id="18"/>
      </w:r>
      <w:r w:rsidR="00E13836" w:rsidRPr="00851DA1">
        <w:rPr>
          <w:rStyle w:val="FootnoteReference"/>
          <w:rtl/>
        </w:rPr>
        <w:t>)</w:t>
      </w:r>
      <w:r w:rsidR="00ED7372" w:rsidRPr="00851DA1">
        <w:rPr>
          <w:rtl/>
        </w:rPr>
        <w:t>.</w:t>
      </w:r>
      <w:r w:rsidRPr="00851DA1">
        <w:rPr>
          <w:rtl/>
        </w:rPr>
        <w:t xml:space="preserve"> وعلاوة على ذلك، ينبغي ألا تُنسَب أعمال العنف المعزولة التي يرتكبها بعض المشاركين إلى المشاركين الآخرين أو إلى المنظمين أو إلى التجمع في حد ذاته</w:t>
      </w:r>
      <w:r w:rsidR="00E13836" w:rsidRPr="00851DA1">
        <w:rPr>
          <w:rStyle w:val="FootnoteReference"/>
          <w:rtl/>
        </w:rPr>
        <w:t>(</w:t>
      </w:r>
      <w:r w:rsidR="00C04E6F" w:rsidRPr="00851DA1">
        <w:rPr>
          <w:rStyle w:val="FootnoteReference"/>
          <w:rFonts w:cs="Times New Roman"/>
          <w:b w:val="0"/>
          <w:position w:val="4"/>
          <w:sz w:val="20"/>
        </w:rPr>
        <w:footnoteReference w:id="19"/>
      </w:r>
      <w:r w:rsidR="00E13836" w:rsidRPr="00851DA1">
        <w:rPr>
          <w:rStyle w:val="FootnoteReference"/>
          <w:rtl/>
        </w:rPr>
        <w:t>)</w:t>
      </w:r>
      <w:r w:rsidR="00ED7372" w:rsidRPr="00851DA1">
        <w:rPr>
          <w:rtl/>
        </w:rPr>
        <w:t>.</w:t>
      </w:r>
      <w:r w:rsidRPr="00851DA1">
        <w:rPr>
          <w:rtl/>
        </w:rPr>
        <w:t xml:space="preserve"> وهكذا، قد تشمل المادة </w:t>
      </w:r>
      <w:r w:rsidRPr="00851DA1">
        <w:rPr>
          <w:szCs w:val="20"/>
          <w:rtl/>
        </w:rPr>
        <w:t>21</w:t>
      </w:r>
      <w:r w:rsidRPr="00851DA1">
        <w:rPr>
          <w:rtl/>
        </w:rPr>
        <w:t xml:space="preserve"> بعض المشاركين في تجمع ما ولا تشمل آخرين في التجمع نفسه.</w:t>
      </w:r>
    </w:p>
    <w:p w14:paraId="4C26399D" w14:textId="26100F49" w:rsidR="00B828C2" w:rsidRPr="00851DA1" w:rsidRDefault="00B828C2" w:rsidP="00B828C2">
      <w:pPr>
        <w:pStyle w:val="SingleTxtGA"/>
        <w:rPr>
          <w:szCs w:val="20"/>
          <w:lang w:val="ar-SA" w:eastAsia="zh-TW" w:bidi="en-GB"/>
        </w:rPr>
      </w:pPr>
      <w:r w:rsidRPr="00851DA1">
        <w:rPr>
          <w:szCs w:val="20"/>
          <w:rtl/>
        </w:rPr>
        <w:t>18</w:t>
      </w:r>
      <w:r w:rsidR="00C04E6F" w:rsidRPr="00851DA1">
        <w:rPr>
          <w:szCs w:val="20"/>
          <w:rtl/>
        </w:rPr>
        <w:t>-</w:t>
      </w:r>
      <w:r w:rsidR="00C04E6F" w:rsidRPr="00851DA1">
        <w:rPr>
          <w:szCs w:val="20"/>
          <w:rtl/>
        </w:rPr>
        <w:tab/>
      </w:r>
      <w:r w:rsidRPr="00851DA1">
        <w:rPr>
          <w:rtl/>
        </w:rPr>
        <w:t>وينبغي الإجابة عن سؤال ما إذا كان التجمع سلمي</w:t>
      </w:r>
      <w:r w:rsidR="000B128E" w:rsidRPr="00851DA1">
        <w:rPr>
          <w:rtl/>
        </w:rPr>
        <w:t xml:space="preserve">اً </w:t>
      </w:r>
      <w:r w:rsidRPr="00851DA1">
        <w:rPr>
          <w:rtl/>
        </w:rPr>
        <w:t>أم لا بالإشارة إلى العنف الذي يمارسه المشاركون. أما العنف الممارس ضد المشاركين في تجمع سلمي من قبل السلطات، أو من قبل وكلاء محرضين يتصرفون نيابة عنها، فلا يجعل هذا التجمع غير سلمي. وينطبق الأمر نفسه على العنف الذي يمارسه أفراد من الجمهور ضد التجمع، أو يمارسه مشاركون في مظاهرات مضادة.</w:t>
      </w:r>
    </w:p>
    <w:p w14:paraId="717D22E9" w14:textId="79918858" w:rsidR="00B828C2" w:rsidRPr="00851DA1" w:rsidRDefault="00B828C2" w:rsidP="00B828C2">
      <w:pPr>
        <w:pStyle w:val="SingleTxtGA"/>
        <w:rPr>
          <w:szCs w:val="20"/>
          <w:lang w:val="ar-SA" w:eastAsia="zh-TW" w:bidi="en-GB"/>
        </w:rPr>
      </w:pPr>
      <w:r w:rsidRPr="00851DA1">
        <w:rPr>
          <w:szCs w:val="20"/>
          <w:rtl/>
        </w:rPr>
        <w:t>19-</w:t>
      </w:r>
      <w:r w:rsidRPr="00851DA1">
        <w:rPr>
          <w:rtl/>
        </w:rPr>
        <w:tab/>
        <w:t xml:space="preserve"> ويمكن اعتبار سلوك مشاركين محدّدين في أي تجمّع عنيفاً إذا كان بإمكان السلطات تقديم أدلّة موثوقة على أن هؤلاء المشاركين حرّضوا آخرين، قبل الحدث أو أثناءه، على استخدام العنف، وعلى أن من شأن ذلك أن يؤدي إلى العنف؛ أو على أن للمشاركين </w:t>
      </w:r>
      <w:r w:rsidR="00275BA1" w:rsidRPr="00851DA1">
        <w:rPr>
          <w:rFonts w:hint="cs"/>
          <w:rtl/>
        </w:rPr>
        <w:t>ن</w:t>
      </w:r>
      <w:r w:rsidRPr="00851DA1">
        <w:rPr>
          <w:rtl/>
        </w:rPr>
        <w:t xml:space="preserve">وايا عنيفة ويخططون لتنفيذها؛ </w:t>
      </w:r>
      <w:r w:rsidRPr="00851DA1">
        <w:rPr>
          <w:rtl/>
        </w:rPr>
        <w:lastRenderedPageBreak/>
        <w:t>أو على أنهم على وشك استخدام العنف</w:t>
      </w:r>
      <w:r w:rsidR="00E13836" w:rsidRPr="00851DA1">
        <w:rPr>
          <w:rStyle w:val="FootnoteReference"/>
          <w:rtl/>
        </w:rPr>
        <w:t>(</w:t>
      </w:r>
      <w:r w:rsidR="00C04E6F" w:rsidRPr="00851DA1">
        <w:rPr>
          <w:rStyle w:val="FootnoteReference"/>
          <w:rFonts w:cs="Times New Roman"/>
          <w:b w:val="0"/>
          <w:position w:val="4"/>
          <w:sz w:val="20"/>
        </w:rPr>
        <w:footnoteReference w:id="20"/>
      </w:r>
      <w:r w:rsidR="00E13836" w:rsidRPr="00851DA1">
        <w:rPr>
          <w:rStyle w:val="FootnoteReference"/>
          <w:rtl/>
        </w:rPr>
        <w:t>)</w:t>
      </w:r>
      <w:r w:rsidR="00ED7372" w:rsidRPr="00851DA1">
        <w:rPr>
          <w:rtl/>
        </w:rPr>
        <w:t>.</w:t>
      </w:r>
      <w:r w:rsidRPr="00851DA1">
        <w:rPr>
          <w:rtl/>
        </w:rPr>
        <w:t xml:space="preserve"> ولن تكفي حالات معزولة من هذا السلوك لنعت تجمّع بأكمله على أنه غير سلمي، لكن عند تفشيه بشكل واضح داخل التجمع، فإن المشاركة تصبح غير محمية بموجب المادة </w:t>
      </w:r>
      <w:r w:rsidRPr="00851DA1">
        <w:rPr>
          <w:szCs w:val="20"/>
          <w:rtl/>
        </w:rPr>
        <w:t>21</w:t>
      </w:r>
      <w:r w:rsidRPr="00851DA1">
        <w:rPr>
          <w:rtl/>
        </w:rPr>
        <w:t>.</w:t>
      </w:r>
    </w:p>
    <w:p w14:paraId="68B12D8B" w14:textId="17E5E8FE" w:rsidR="00B828C2" w:rsidRPr="00851DA1" w:rsidRDefault="00B828C2" w:rsidP="00B828C2">
      <w:pPr>
        <w:pStyle w:val="SingleTxtGA"/>
        <w:rPr>
          <w:szCs w:val="20"/>
          <w:lang w:val="ar-SA" w:eastAsia="zh-TW" w:bidi="en-GB"/>
        </w:rPr>
      </w:pPr>
      <w:r w:rsidRPr="00851DA1">
        <w:rPr>
          <w:szCs w:val="20"/>
          <w:rtl/>
        </w:rPr>
        <w:t>20</w:t>
      </w:r>
      <w:r w:rsidR="00C04E6F" w:rsidRPr="00851DA1">
        <w:rPr>
          <w:szCs w:val="20"/>
          <w:rtl/>
        </w:rPr>
        <w:t>-</w:t>
      </w:r>
      <w:r w:rsidR="00C04E6F" w:rsidRPr="00851DA1">
        <w:rPr>
          <w:szCs w:val="20"/>
          <w:rtl/>
        </w:rPr>
        <w:tab/>
      </w:r>
      <w:r w:rsidRPr="00851DA1">
        <w:rPr>
          <w:rtl/>
        </w:rPr>
        <w:t xml:space="preserve">ولا يكفي بالضرورة أن يحمل المشاركون أشياء تعتبر، أو يمكن اعتبارها، أسلحة أو معدّات </w:t>
      </w:r>
      <w:r w:rsidRPr="00851DA1">
        <w:rPr>
          <w:spacing w:val="-4"/>
          <w:rtl/>
        </w:rPr>
        <w:t>واقية مثل أقنعة الغاز أو الخوذات لاعتبار سلوكهم عنيف</w:t>
      </w:r>
      <w:r w:rsidR="000B128E" w:rsidRPr="00851DA1">
        <w:rPr>
          <w:spacing w:val="-4"/>
          <w:rtl/>
        </w:rPr>
        <w:t xml:space="preserve">اً. </w:t>
      </w:r>
      <w:r w:rsidRPr="00851DA1">
        <w:rPr>
          <w:spacing w:val="-4"/>
          <w:rtl/>
        </w:rPr>
        <w:t>ويتعين تحديد ذلك على أساس كل حالة على حدة، رهن</w:t>
      </w:r>
      <w:r w:rsidR="000B128E" w:rsidRPr="00851DA1">
        <w:rPr>
          <w:spacing w:val="-4"/>
          <w:rtl/>
        </w:rPr>
        <w:t xml:space="preserve">اً، </w:t>
      </w:r>
      <w:r w:rsidRPr="00851DA1">
        <w:rPr>
          <w:spacing w:val="-4"/>
          <w:rtl/>
        </w:rPr>
        <w:t xml:space="preserve">في جملة اعتبارات أخرى، باللوائح المحلية المنظمة لحمل الأسلحة </w:t>
      </w:r>
      <w:r w:rsidR="00E13836" w:rsidRPr="00851DA1">
        <w:rPr>
          <w:spacing w:val="-4"/>
          <w:rtl/>
        </w:rPr>
        <w:t>(</w:t>
      </w:r>
      <w:r w:rsidRPr="00851DA1">
        <w:rPr>
          <w:spacing w:val="-4"/>
          <w:rtl/>
        </w:rPr>
        <w:t>لا سيما الأسلحة النارية</w:t>
      </w:r>
      <w:r w:rsidR="00E13836" w:rsidRPr="00851DA1">
        <w:rPr>
          <w:spacing w:val="-4"/>
          <w:rtl/>
        </w:rPr>
        <w:t>)</w:t>
      </w:r>
      <w:r w:rsidRPr="00851DA1">
        <w:rPr>
          <w:spacing w:val="-4"/>
          <w:rtl/>
        </w:rPr>
        <w:t>،</w:t>
      </w:r>
      <w:r w:rsidRPr="00851DA1">
        <w:rPr>
          <w:rtl/>
        </w:rPr>
        <w:t xml:space="preserve"> والممارسات الثقافية المحلية، ومسألة ما إذا كان هناك دليل أم لا على وجود نوايا عنيفة، وخطر العنف الذي ينطوي عليه وجود هذه الأمور.</w:t>
      </w:r>
    </w:p>
    <w:p w14:paraId="702D12B9" w14:textId="290DCB02" w:rsidR="00B828C2" w:rsidRPr="00851DA1" w:rsidRDefault="00153B5D" w:rsidP="00153B5D">
      <w:pPr>
        <w:pStyle w:val="HChGA"/>
        <w:rPr>
          <w:szCs w:val="20"/>
          <w:lang w:val="ar-SA" w:eastAsia="zh-TW" w:bidi="en-GB"/>
        </w:rPr>
      </w:pPr>
      <w:r w:rsidRPr="00851DA1">
        <w:rPr>
          <w:rtl/>
        </w:rPr>
        <w:tab/>
      </w:r>
      <w:r w:rsidR="00B828C2" w:rsidRPr="00851DA1">
        <w:rPr>
          <w:rtl/>
        </w:rPr>
        <w:t>ثالثا</w:t>
      </w:r>
      <w:r w:rsidRPr="00851DA1">
        <w:rPr>
          <w:rFonts w:hint="cs"/>
          <w:rtl/>
        </w:rPr>
        <w:t>ً</w:t>
      </w:r>
      <w:r w:rsidR="00B828C2" w:rsidRPr="00851DA1">
        <w:rPr>
          <w:rtl/>
        </w:rPr>
        <w:t>-</w:t>
      </w:r>
      <w:r w:rsidR="00B828C2" w:rsidRPr="00851DA1">
        <w:rPr>
          <w:rtl/>
        </w:rPr>
        <w:tab/>
        <w:t>التزام الدول الأطراف فيما يتعلق بالحق في التجمع السلمي</w:t>
      </w:r>
    </w:p>
    <w:p w14:paraId="0C342C43" w14:textId="1DEACCC9" w:rsidR="00B828C2" w:rsidRPr="00851DA1" w:rsidRDefault="00B828C2" w:rsidP="00B828C2">
      <w:pPr>
        <w:pStyle w:val="SingleTxtGA"/>
        <w:rPr>
          <w:szCs w:val="20"/>
          <w:lang w:val="ar-SA" w:eastAsia="zh-TW" w:bidi="en-GB"/>
        </w:rPr>
      </w:pPr>
      <w:r w:rsidRPr="00851DA1">
        <w:rPr>
          <w:szCs w:val="20"/>
          <w:rtl/>
        </w:rPr>
        <w:t>21</w:t>
      </w:r>
      <w:r w:rsidR="00C04E6F" w:rsidRPr="00851DA1">
        <w:rPr>
          <w:szCs w:val="20"/>
          <w:rtl/>
        </w:rPr>
        <w:t>-</w:t>
      </w:r>
      <w:r w:rsidR="00C04E6F" w:rsidRPr="00851DA1">
        <w:rPr>
          <w:szCs w:val="20"/>
          <w:rtl/>
        </w:rPr>
        <w:tab/>
      </w:r>
      <w:r w:rsidRPr="00851DA1">
        <w:rPr>
          <w:rtl/>
        </w:rPr>
        <w:t xml:space="preserve">يلزم العهد الدول الأطراف بواجب "احترام وكفالة" جميع الحقوق الواردة في العهد </w:t>
      </w:r>
      <w:r w:rsidR="00E13836" w:rsidRPr="00851DA1">
        <w:rPr>
          <w:rtl/>
        </w:rPr>
        <w:t>(</w:t>
      </w:r>
      <w:r w:rsidRPr="00851DA1">
        <w:rPr>
          <w:rtl/>
        </w:rPr>
        <w:t>المادة</w:t>
      </w:r>
      <w:r w:rsidR="00453ECF" w:rsidRPr="00851DA1">
        <w:rPr>
          <w:rFonts w:hint="cs"/>
          <w:rtl/>
        </w:rPr>
        <w:t> </w:t>
      </w:r>
      <w:r w:rsidRPr="00851DA1">
        <w:rPr>
          <w:szCs w:val="20"/>
          <w:rtl/>
        </w:rPr>
        <w:t>2</w:t>
      </w:r>
      <w:r w:rsidR="00E13836" w:rsidRPr="00851DA1">
        <w:rPr>
          <w:rtl/>
        </w:rPr>
        <w:t>(</w:t>
      </w:r>
      <w:r w:rsidRPr="00851DA1">
        <w:rPr>
          <w:szCs w:val="20"/>
        </w:rPr>
        <w:t>1</w:t>
      </w:r>
      <w:r w:rsidR="00E13836" w:rsidRPr="00851DA1">
        <w:rPr>
          <w:sz w:val="28"/>
          <w:rtl/>
        </w:rPr>
        <w:t>)</w:t>
      </w:r>
      <w:r w:rsidRPr="00851DA1">
        <w:rPr>
          <w:rtl/>
        </w:rPr>
        <w:t xml:space="preserve">؛ واتخاذ تدابير تشريعية وغير تشريعية لتحقيق هذا الغرض </w:t>
      </w:r>
      <w:r w:rsidR="00E13836" w:rsidRPr="00851DA1">
        <w:rPr>
          <w:rtl/>
        </w:rPr>
        <w:t>(</w:t>
      </w:r>
      <w:r w:rsidRPr="00851DA1">
        <w:rPr>
          <w:rtl/>
        </w:rPr>
        <w:t xml:space="preserve">المادة </w:t>
      </w:r>
      <w:r w:rsidRPr="00851DA1">
        <w:rPr>
          <w:szCs w:val="20"/>
          <w:rtl/>
        </w:rPr>
        <w:t>2</w:t>
      </w:r>
      <w:r w:rsidR="00E13836" w:rsidRPr="00851DA1">
        <w:rPr>
          <w:rtl/>
        </w:rPr>
        <w:t>(</w:t>
      </w:r>
      <w:r w:rsidRPr="00851DA1">
        <w:rPr>
          <w:szCs w:val="20"/>
          <w:rtl/>
        </w:rPr>
        <w:t>2</w:t>
      </w:r>
      <w:r w:rsidR="00E13836" w:rsidRPr="00851DA1">
        <w:rPr>
          <w:sz w:val="28"/>
          <w:rtl/>
        </w:rPr>
        <w:t>)</w:t>
      </w:r>
      <w:r w:rsidRPr="00851DA1">
        <w:rPr>
          <w:rtl/>
        </w:rPr>
        <w:t xml:space="preserve">؛ والسعي إلى المساءلة وتوفير سبل انتصاف فعالة في حالة انتهاك الحقوق التي ينص عليها العهد </w:t>
      </w:r>
      <w:r w:rsidR="00E13836" w:rsidRPr="00851DA1">
        <w:rPr>
          <w:rtl/>
        </w:rPr>
        <w:t>(</w:t>
      </w:r>
      <w:r w:rsidRPr="00851DA1">
        <w:rPr>
          <w:rtl/>
        </w:rPr>
        <w:t xml:space="preserve">المادة </w:t>
      </w:r>
      <w:r w:rsidRPr="00851DA1">
        <w:rPr>
          <w:szCs w:val="20"/>
          <w:rtl/>
        </w:rPr>
        <w:t>2</w:t>
      </w:r>
      <w:r w:rsidR="00E13836" w:rsidRPr="00851DA1">
        <w:rPr>
          <w:sz w:val="28"/>
          <w:rtl/>
        </w:rPr>
        <w:t>(</w:t>
      </w:r>
      <w:proofErr w:type="gramStart"/>
      <w:r w:rsidR="0020465C" w:rsidRPr="00851DA1">
        <w:rPr>
          <w:rFonts w:hint="cs"/>
          <w:szCs w:val="20"/>
          <w:rtl/>
        </w:rPr>
        <w:t>3</w:t>
      </w:r>
      <w:r w:rsidR="0020465C" w:rsidRPr="00851DA1">
        <w:rPr>
          <w:rFonts w:hint="cs"/>
          <w:sz w:val="28"/>
          <w:rtl/>
        </w:rPr>
        <w:t>)</w:t>
      </w:r>
      <w:r w:rsidR="0020465C" w:rsidRPr="00851DA1">
        <w:rPr>
          <w:rFonts w:hint="cs"/>
          <w:sz w:val="28"/>
          <w:vertAlign w:val="superscript"/>
          <w:rtl/>
        </w:rPr>
        <w:t>(</w:t>
      </w:r>
      <w:proofErr w:type="gramEnd"/>
      <w:r w:rsidR="00C04E6F" w:rsidRPr="00851DA1">
        <w:rPr>
          <w:rStyle w:val="FootnoteReference"/>
          <w:rFonts w:cs="Times New Roman"/>
          <w:b w:val="0"/>
          <w:position w:val="4"/>
          <w:sz w:val="20"/>
        </w:rPr>
        <w:footnoteReference w:id="21"/>
      </w:r>
      <w:r w:rsidR="00E13836" w:rsidRPr="00851DA1">
        <w:rPr>
          <w:rStyle w:val="FootnoteReference"/>
          <w:rtl/>
        </w:rPr>
        <w:t>)</w:t>
      </w:r>
      <w:r w:rsidR="00ED7372" w:rsidRPr="00851DA1">
        <w:rPr>
          <w:rtl/>
        </w:rPr>
        <w:t>.</w:t>
      </w:r>
      <w:r w:rsidRPr="00851DA1">
        <w:rPr>
          <w:rtl/>
        </w:rPr>
        <w:t xml:space="preserve"> وهكذا، يشمل التزام الدول الأطراف بالحق في التجمع السلمي هذه العناصر المختلفة، وإن كان يجوز في بعض الحالات تقييد هذا الحق وفقاً للمعايير الواردة في المادة </w:t>
      </w:r>
      <w:r w:rsidRPr="00851DA1">
        <w:rPr>
          <w:szCs w:val="20"/>
          <w:rtl/>
        </w:rPr>
        <w:t>21</w:t>
      </w:r>
      <w:r w:rsidRPr="00851DA1">
        <w:rPr>
          <w:rtl/>
        </w:rPr>
        <w:t>.</w:t>
      </w:r>
    </w:p>
    <w:p w14:paraId="4892ACED" w14:textId="50C88E64" w:rsidR="00B828C2" w:rsidRPr="00851DA1" w:rsidRDefault="00B828C2" w:rsidP="00B828C2">
      <w:pPr>
        <w:pStyle w:val="SingleTxtGA"/>
        <w:rPr>
          <w:szCs w:val="20"/>
          <w:lang w:eastAsia="zh-TW" w:bidi="en-GB"/>
        </w:rPr>
      </w:pPr>
      <w:r w:rsidRPr="00851DA1">
        <w:rPr>
          <w:szCs w:val="20"/>
          <w:rtl/>
        </w:rPr>
        <w:t>22-</w:t>
      </w:r>
      <w:r w:rsidRPr="00851DA1">
        <w:rPr>
          <w:rtl/>
        </w:rPr>
        <w:tab/>
        <w:t>ويجب على الدول أن تترك للمشاركين حرية تحديد أغراض التجمع أو محتواه التعبيري. وهكذا، يجب أن يكون نهج السلطات في التعامل مع التجمعات السلمية وأي قيود تفرضها عليها محايداً مبدئياً من حيث المحتوى، وألا يستند إلى هوية المشاركين أو علاقتهم بالسلطات</w:t>
      </w:r>
      <w:r w:rsidR="00E13836" w:rsidRPr="00851DA1">
        <w:rPr>
          <w:rStyle w:val="FootnoteReference"/>
          <w:rtl/>
        </w:rPr>
        <w:t>(</w:t>
      </w:r>
      <w:r w:rsidR="00C04E6F" w:rsidRPr="00851DA1">
        <w:rPr>
          <w:rStyle w:val="FootnoteReference"/>
          <w:rFonts w:cs="Times New Roman"/>
          <w:b w:val="0"/>
          <w:position w:val="4"/>
          <w:sz w:val="20"/>
        </w:rPr>
        <w:footnoteReference w:id="22"/>
      </w:r>
      <w:r w:rsidR="00E13836" w:rsidRPr="00851DA1">
        <w:rPr>
          <w:rStyle w:val="FootnoteReference"/>
          <w:rtl/>
        </w:rPr>
        <w:t>)</w:t>
      </w:r>
      <w:r w:rsidR="00ED7372" w:rsidRPr="00851DA1">
        <w:rPr>
          <w:rtl/>
        </w:rPr>
        <w:t>.</w:t>
      </w:r>
      <w:r w:rsidRPr="00851DA1">
        <w:rPr>
          <w:rtl/>
        </w:rPr>
        <w:t xml:space="preserve"> وعلاوة على ذلك، قد يكون توقيت التجمعات ومكانها وطريقة عقدها موضع قيود مشروعة في بعض الظروف بموجب المادة </w:t>
      </w:r>
      <w:r w:rsidRPr="00851DA1">
        <w:rPr>
          <w:szCs w:val="20"/>
          <w:rtl/>
        </w:rPr>
        <w:t>21</w:t>
      </w:r>
      <w:r w:rsidRPr="00851DA1">
        <w:rPr>
          <w:rtl/>
        </w:rPr>
        <w:t>، بالنظر إلى الطابع التعبيري المعتاد للتجمعات، إلا أنه يجب السماح للمشاركين قدر الإمكان بعقد التجمعات على مرأى ومسمع من جمهورهم المستهدف</w:t>
      </w:r>
      <w:r w:rsidR="00E13836" w:rsidRPr="00851DA1">
        <w:rPr>
          <w:rStyle w:val="FootnoteReference"/>
          <w:rtl/>
        </w:rPr>
        <w:t>(</w:t>
      </w:r>
      <w:r w:rsidR="00C04E6F" w:rsidRPr="00851DA1">
        <w:rPr>
          <w:rStyle w:val="FootnoteReference"/>
          <w:rFonts w:cs="Times New Roman"/>
          <w:b w:val="0"/>
          <w:position w:val="4"/>
          <w:sz w:val="20"/>
        </w:rPr>
        <w:footnoteReference w:id="23"/>
      </w:r>
      <w:r w:rsidR="00E13836" w:rsidRPr="00851DA1">
        <w:rPr>
          <w:rStyle w:val="FootnoteReference"/>
          <w:rtl/>
        </w:rPr>
        <w:t>)</w:t>
      </w:r>
      <w:r w:rsidR="00ED7372" w:rsidRPr="00851DA1">
        <w:rPr>
          <w:rtl/>
        </w:rPr>
        <w:t>.</w:t>
      </w:r>
    </w:p>
    <w:p w14:paraId="3E00EED8" w14:textId="4E8AB7E1" w:rsidR="00B828C2" w:rsidRPr="00851DA1" w:rsidRDefault="00B828C2" w:rsidP="00B828C2">
      <w:pPr>
        <w:pStyle w:val="SingleTxtGA"/>
        <w:rPr>
          <w:szCs w:val="20"/>
          <w:lang w:eastAsia="zh-TW" w:bidi="en-GB"/>
        </w:rPr>
      </w:pPr>
      <w:r w:rsidRPr="00851DA1">
        <w:rPr>
          <w:szCs w:val="20"/>
          <w:rtl/>
        </w:rPr>
        <w:t>23</w:t>
      </w:r>
      <w:r w:rsidR="00C04E6F" w:rsidRPr="00851DA1">
        <w:rPr>
          <w:szCs w:val="20"/>
          <w:rtl/>
        </w:rPr>
        <w:t>-</w:t>
      </w:r>
      <w:r w:rsidR="00C04E6F" w:rsidRPr="00851DA1">
        <w:rPr>
          <w:szCs w:val="20"/>
          <w:rtl/>
        </w:rPr>
        <w:tab/>
      </w:r>
      <w:r w:rsidRPr="00851DA1">
        <w:rPr>
          <w:rtl/>
        </w:rPr>
        <w:t>ويفرض الالتزام باحترام وكفالة التجمعات السلمية واجبات سلبية وإيجابية على الدول قبل عقد التجمعات وأثناءها وبعدها. ويستلزم الواجب السلبي عدم التدخل بشكل غير مبرر في التجمعات السلمية. فالدول ملزمة، مثل</w:t>
      </w:r>
      <w:r w:rsidR="000B128E" w:rsidRPr="00851DA1">
        <w:rPr>
          <w:rtl/>
        </w:rPr>
        <w:t xml:space="preserve">اً، </w:t>
      </w:r>
      <w:r w:rsidRPr="00851DA1">
        <w:rPr>
          <w:rtl/>
        </w:rPr>
        <w:t>بعدم حظر التجمعات السلمية أو تقييدها أو منعها أو</w:t>
      </w:r>
      <w:r w:rsidR="000B128E" w:rsidRPr="00851DA1">
        <w:rPr>
          <w:rFonts w:hint="cs"/>
          <w:rtl/>
        </w:rPr>
        <w:t> </w:t>
      </w:r>
      <w:r w:rsidRPr="00851DA1">
        <w:rPr>
          <w:rtl/>
        </w:rPr>
        <w:t>تفريقها أو عرقلتها دون مبرّر مقنع، وبعدم معاقبة المشاركين أو المنظّمين دون سبب مشروع.</w:t>
      </w:r>
    </w:p>
    <w:p w14:paraId="44D799C7" w14:textId="300FB2F7" w:rsidR="00B828C2" w:rsidRPr="00851DA1" w:rsidRDefault="00B828C2" w:rsidP="00B828C2">
      <w:pPr>
        <w:pStyle w:val="SingleTxtGA"/>
        <w:rPr>
          <w:szCs w:val="20"/>
          <w:lang w:eastAsia="zh-TW" w:bidi="en-GB"/>
        </w:rPr>
      </w:pPr>
      <w:r w:rsidRPr="00851DA1">
        <w:rPr>
          <w:szCs w:val="20"/>
          <w:rtl/>
        </w:rPr>
        <w:t>24</w:t>
      </w:r>
      <w:r w:rsidR="00C04E6F" w:rsidRPr="00851DA1">
        <w:rPr>
          <w:szCs w:val="20"/>
          <w:rtl/>
        </w:rPr>
        <w:t>-</w:t>
      </w:r>
      <w:r w:rsidR="00C04E6F" w:rsidRPr="00851DA1">
        <w:rPr>
          <w:szCs w:val="20"/>
          <w:rtl/>
        </w:rPr>
        <w:tab/>
      </w:r>
      <w:r w:rsidRPr="00851DA1">
        <w:rPr>
          <w:rtl/>
        </w:rPr>
        <w:t>وعلاوة على ذلك، تكون للدول الأطراف واجبات إيجابية معيّنة لتيسير التجمعات السلمية، ولمساعدة المشاركين على تحقيق أهدافهم</w:t>
      </w:r>
      <w:r w:rsidR="00E13836" w:rsidRPr="00851DA1">
        <w:rPr>
          <w:rStyle w:val="FootnoteReference"/>
          <w:rtl/>
        </w:rPr>
        <w:t>(</w:t>
      </w:r>
      <w:r w:rsidR="00C04E6F" w:rsidRPr="00851DA1">
        <w:rPr>
          <w:rStyle w:val="FootnoteReference"/>
          <w:rFonts w:cs="Times New Roman"/>
          <w:b w:val="0"/>
          <w:position w:val="4"/>
          <w:sz w:val="20"/>
        </w:rPr>
        <w:footnoteReference w:id="24"/>
      </w:r>
      <w:r w:rsidR="00E13836" w:rsidRPr="00851DA1">
        <w:rPr>
          <w:rStyle w:val="FootnoteReference"/>
          <w:rtl/>
        </w:rPr>
        <w:t>)</w:t>
      </w:r>
      <w:r w:rsidR="00ED7372" w:rsidRPr="00851DA1">
        <w:rPr>
          <w:rtl/>
        </w:rPr>
        <w:t>.</w:t>
      </w:r>
      <w:r w:rsidRPr="00851DA1">
        <w:rPr>
          <w:rtl/>
        </w:rPr>
        <w:t xml:space="preserve"> وبالتالي، يجب على الدول أن تهيئ بيئة مواتية لممارسة الحق في التجمع السلمي دون تمييز، وأن تضع إطار</w:t>
      </w:r>
      <w:r w:rsidR="000B128E" w:rsidRPr="00851DA1">
        <w:rPr>
          <w:rtl/>
        </w:rPr>
        <w:t xml:space="preserve">اً </w:t>
      </w:r>
      <w:r w:rsidRPr="00851DA1">
        <w:rPr>
          <w:rtl/>
        </w:rPr>
        <w:t>قانوني</w:t>
      </w:r>
      <w:r w:rsidR="000B128E" w:rsidRPr="00851DA1">
        <w:rPr>
          <w:rtl/>
        </w:rPr>
        <w:t xml:space="preserve">اً </w:t>
      </w:r>
      <w:r w:rsidRPr="00851DA1">
        <w:rPr>
          <w:rtl/>
        </w:rPr>
        <w:t>ومؤسسي</w:t>
      </w:r>
      <w:r w:rsidR="000B128E" w:rsidRPr="00851DA1">
        <w:rPr>
          <w:rtl/>
        </w:rPr>
        <w:t xml:space="preserve">اً </w:t>
      </w:r>
      <w:r w:rsidRPr="00851DA1">
        <w:rPr>
          <w:rtl/>
        </w:rPr>
        <w:t xml:space="preserve">يسمح بممارسة هذا الحق بفعالية. </w:t>
      </w:r>
      <w:r w:rsidRPr="00851DA1">
        <w:rPr>
          <w:rtl/>
        </w:rPr>
        <w:lastRenderedPageBreak/>
        <w:t>وقد يتعين على السلطات أحيان</w:t>
      </w:r>
      <w:r w:rsidR="000B128E" w:rsidRPr="00851DA1">
        <w:rPr>
          <w:rtl/>
        </w:rPr>
        <w:t xml:space="preserve">اً </w:t>
      </w:r>
      <w:r w:rsidRPr="00851DA1">
        <w:rPr>
          <w:rtl/>
        </w:rPr>
        <w:t>اتخاذ تدابير محددة، مثل إغلاق الشوارع أو إعادة توجيه حركة المرور أو توفير الأمن. وعند الاقتضاء، يجب على الدول أيضاً حماية المشاركين من الإساءة التي قد ترتكبها جهات فاعلة من غير الدول، مثل التدخل أو العنف الذي يمارسه أفراد آخرون من الجمهور</w:t>
      </w:r>
      <w:r w:rsidR="006C4AAD" w:rsidRPr="00851DA1">
        <w:rPr>
          <w:rStyle w:val="FootnoteReference"/>
          <w:rtl/>
        </w:rPr>
        <w:t>(</w:t>
      </w:r>
      <w:r w:rsidR="006C4AAD" w:rsidRPr="00851DA1">
        <w:rPr>
          <w:rStyle w:val="FootnoteReference"/>
          <w:rFonts w:cs="Times New Roman"/>
          <w:b w:val="0"/>
          <w:position w:val="4"/>
          <w:sz w:val="20"/>
        </w:rPr>
        <w:footnoteReference w:id="25"/>
      </w:r>
      <w:r w:rsidR="006C4AAD" w:rsidRPr="00851DA1">
        <w:rPr>
          <w:rStyle w:val="FootnoteReference"/>
          <w:rtl/>
        </w:rPr>
        <w:t>)</w:t>
      </w:r>
      <w:r w:rsidR="006C4AAD" w:rsidRPr="00851DA1">
        <w:rPr>
          <w:rFonts w:hint="cs"/>
          <w:rtl/>
        </w:rPr>
        <w:t>،</w:t>
      </w:r>
      <w:r w:rsidRPr="00851DA1">
        <w:rPr>
          <w:rtl/>
        </w:rPr>
        <w:t xml:space="preserve"> والمتظاهرون المضادون ومقدمو الخدمات الأمنية</w:t>
      </w:r>
      <w:r w:rsidR="00ED7372" w:rsidRPr="00851DA1">
        <w:rPr>
          <w:rtl/>
        </w:rPr>
        <w:t>.</w:t>
      </w:r>
    </w:p>
    <w:p w14:paraId="1E3341CF" w14:textId="2F8750BD" w:rsidR="00B828C2" w:rsidRPr="00851DA1" w:rsidRDefault="00B828C2" w:rsidP="00B828C2">
      <w:pPr>
        <w:pStyle w:val="SingleTxtGA"/>
        <w:rPr>
          <w:szCs w:val="20"/>
          <w:lang w:val="ar-SA" w:eastAsia="zh-TW" w:bidi="en-GB"/>
        </w:rPr>
      </w:pPr>
      <w:r w:rsidRPr="00851DA1">
        <w:rPr>
          <w:szCs w:val="20"/>
          <w:rtl/>
        </w:rPr>
        <w:t>25</w:t>
      </w:r>
      <w:r w:rsidR="00C04E6F" w:rsidRPr="00851DA1">
        <w:rPr>
          <w:szCs w:val="20"/>
          <w:rtl/>
        </w:rPr>
        <w:t>-</w:t>
      </w:r>
      <w:r w:rsidR="00C04E6F" w:rsidRPr="00851DA1">
        <w:rPr>
          <w:szCs w:val="20"/>
          <w:rtl/>
        </w:rPr>
        <w:tab/>
      </w:r>
      <w:r w:rsidRPr="00851DA1">
        <w:rPr>
          <w:rtl/>
        </w:rPr>
        <w:t>ويجب على الدول أن تكفل ألا تؤدي القوانين وتفسيرها وتطبيقها إلى التمييز في التمتع بالحق في التجمع السّلمي، مثلاً على أساس العرق، أو اللون، أو الأصل الإثني، أو السّن، أو نوع الجنس، أو</w:t>
      </w:r>
      <w:r w:rsidR="00E13836" w:rsidRPr="00851DA1">
        <w:rPr>
          <w:rFonts w:hint="cs"/>
          <w:rtl/>
        </w:rPr>
        <w:t> </w:t>
      </w:r>
      <w:r w:rsidRPr="00851DA1">
        <w:rPr>
          <w:rtl/>
        </w:rPr>
        <w:t>اللغة، أو الملكية، أو الدين أو المعتقد، أو الرأي السياسي أو غير السياسي، أو الأصل القومي أو</w:t>
      </w:r>
      <w:r w:rsidR="00E13836" w:rsidRPr="00851DA1">
        <w:rPr>
          <w:rFonts w:hint="cs"/>
          <w:rtl/>
        </w:rPr>
        <w:t> </w:t>
      </w:r>
      <w:r w:rsidRPr="00851DA1">
        <w:rPr>
          <w:rtl/>
        </w:rPr>
        <w:t>الاجتماعي، أو المولد، أو الأقلية، أو وضع السكان الأصليين أو غيره من الأوضاع، أو الإعاقة، أو</w:t>
      </w:r>
      <w:r w:rsidR="00E13836" w:rsidRPr="00851DA1">
        <w:rPr>
          <w:rFonts w:hint="cs"/>
          <w:rtl/>
        </w:rPr>
        <w:t> </w:t>
      </w:r>
      <w:r w:rsidRPr="00851DA1">
        <w:rPr>
          <w:rtl/>
        </w:rPr>
        <w:t>الميل الجنسي أو الهوية الجنسانية، أو أي وضع آخر</w:t>
      </w:r>
      <w:r w:rsidR="00E13836" w:rsidRPr="00851DA1">
        <w:rPr>
          <w:rStyle w:val="FootnoteReference"/>
          <w:rtl/>
        </w:rPr>
        <w:t>(</w:t>
      </w:r>
      <w:r w:rsidR="00C04E6F" w:rsidRPr="00851DA1">
        <w:rPr>
          <w:rStyle w:val="FootnoteReference"/>
          <w:rFonts w:cs="Times New Roman"/>
          <w:b w:val="0"/>
          <w:position w:val="4"/>
          <w:sz w:val="20"/>
        </w:rPr>
        <w:footnoteReference w:id="26"/>
      </w:r>
      <w:r w:rsidR="00E13836" w:rsidRPr="00851DA1">
        <w:rPr>
          <w:rStyle w:val="FootnoteReference"/>
          <w:rtl/>
        </w:rPr>
        <w:t>)</w:t>
      </w:r>
      <w:r w:rsidR="00ED7372" w:rsidRPr="00851DA1">
        <w:rPr>
          <w:rtl/>
        </w:rPr>
        <w:t>.</w:t>
      </w:r>
      <w:r w:rsidRPr="00851DA1">
        <w:rPr>
          <w:rtl/>
        </w:rPr>
        <w:t xml:space="preserve"> ويجب بذل جهود خاصة لضمان المساواة والفعالية في تيسير وحماية حق التجمع السلمي للأفراد الذين ينتمون إلى جماعات تعرضت للتمييز</w:t>
      </w:r>
      <w:r w:rsidR="00E13836" w:rsidRPr="00851DA1">
        <w:rPr>
          <w:rFonts w:hint="cs"/>
          <w:rtl/>
        </w:rPr>
        <w:t xml:space="preserve"> </w:t>
      </w:r>
      <w:r w:rsidRPr="00851DA1">
        <w:rPr>
          <w:rtl/>
        </w:rPr>
        <w:t>أو</w:t>
      </w:r>
      <w:r w:rsidR="00E13836" w:rsidRPr="00851DA1">
        <w:rPr>
          <w:rFonts w:hint="cs"/>
          <w:rtl/>
        </w:rPr>
        <w:t> </w:t>
      </w:r>
      <w:r w:rsidRPr="00851DA1">
        <w:rPr>
          <w:rtl/>
        </w:rPr>
        <w:t>تتعرّض له حالياً، أو قد تواجه صعوبات خاصة للمشاركة في التجمعات</w:t>
      </w:r>
      <w:r w:rsidR="00E13836" w:rsidRPr="00851DA1">
        <w:rPr>
          <w:rStyle w:val="FootnoteReference"/>
          <w:rtl/>
        </w:rPr>
        <w:t>(</w:t>
      </w:r>
      <w:r w:rsidR="00C04E6F" w:rsidRPr="00851DA1">
        <w:rPr>
          <w:rStyle w:val="FootnoteReference"/>
          <w:rFonts w:cs="Times New Roman"/>
          <w:b w:val="0"/>
          <w:position w:val="4"/>
          <w:sz w:val="20"/>
        </w:rPr>
        <w:footnoteReference w:id="27"/>
      </w:r>
      <w:r w:rsidR="00E13836" w:rsidRPr="00851DA1">
        <w:rPr>
          <w:rStyle w:val="FootnoteReference"/>
          <w:rtl/>
        </w:rPr>
        <w:t>)</w:t>
      </w:r>
      <w:r w:rsidR="00ED7372" w:rsidRPr="00851DA1">
        <w:rPr>
          <w:rtl/>
        </w:rPr>
        <w:t>.</w:t>
      </w:r>
      <w:r w:rsidRPr="00851DA1">
        <w:rPr>
          <w:rtl/>
        </w:rPr>
        <w:t xml:space="preserve"> وعلاوة على ذلك، من</w:t>
      </w:r>
      <w:r w:rsidR="00E13836" w:rsidRPr="00851DA1">
        <w:rPr>
          <w:rFonts w:hint="cs"/>
          <w:rtl/>
        </w:rPr>
        <w:t> </w:t>
      </w:r>
      <w:r w:rsidRPr="00851DA1">
        <w:rPr>
          <w:rtl/>
        </w:rPr>
        <w:t>واجب الدول أن تحمي المشاركين من جميع أشكال الإساءة والاعتداءات على أساس تمييزي</w:t>
      </w:r>
      <w:r w:rsidR="00E13836" w:rsidRPr="00851DA1">
        <w:rPr>
          <w:rStyle w:val="FootnoteReference"/>
          <w:rtl/>
        </w:rPr>
        <w:t>(</w:t>
      </w:r>
      <w:r w:rsidR="00C04E6F" w:rsidRPr="00851DA1">
        <w:rPr>
          <w:rStyle w:val="FootnoteReference"/>
          <w:rFonts w:cs="Times New Roman"/>
          <w:b w:val="0"/>
          <w:position w:val="4"/>
          <w:sz w:val="20"/>
        </w:rPr>
        <w:footnoteReference w:id="28"/>
      </w:r>
      <w:r w:rsidR="00E13836" w:rsidRPr="00851DA1">
        <w:rPr>
          <w:rStyle w:val="FootnoteReference"/>
          <w:rtl/>
        </w:rPr>
        <w:t>)</w:t>
      </w:r>
      <w:r w:rsidR="00ED7372" w:rsidRPr="00851DA1">
        <w:rPr>
          <w:rtl/>
        </w:rPr>
        <w:t>.</w:t>
      </w:r>
    </w:p>
    <w:p w14:paraId="2F7065DC" w14:textId="5F1DEC51" w:rsidR="00B828C2" w:rsidRPr="00851DA1" w:rsidRDefault="00B828C2" w:rsidP="00B828C2">
      <w:pPr>
        <w:pStyle w:val="SingleTxtGA"/>
        <w:rPr>
          <w:szCs w:val="20"/>
          <w:lang w:eastAsia="zh-TW" w:bidi="en-GB"/>
        </w:rPr>
      </w:pPr>
      <w:r w:rsidRPr="00851DA1">
        <w:rPr>
          <w:szCs w:val="20"/>
          <w:rtl/>
        </w:rPr>
        <w:t>26</w:t>
      </w:r>
      <w:r w:rsidR="00C04E6F" w:rsidRPr="00851DA1">
        <w:rPr>
          <w:szCs w:val="20"/>
          <w:rtl/>
        </w:rPr>
        <w:t>-</w:t>
      </w:r>
      <w:r w:rsidR="00C04E6F" w:rsidRPr="00851DA1">
        <w:rPr>
          <w:szCs w:val="20"/>
          <w:rtl/>
        </w:rPr>
        <w:tab/>
      </w:r>
      <w:r w:rsidRPr="00851DA1">
        <w:rPr>
          <w:rtl/>
        </w:rPr>
        <w:t>ولا يعفي الحق في التجمع السلمي المشاركين من اعتراضات باقي أعضاء المجتمع. ويجب على الدول أن تحترم وتكفل المظاهرات المضادة بوصفها تجمعات قائمة بذاتها، مع منع عرقلة التجمعات التي تعارضها بدون مبرر</w:t>
      </w:r>
      <w:r w:rsidR="00E13836" w:rsidRPr="00851DA1">
        <w:rPr>
          <w:rStyle w:val="FootnoteReference"/>
          <w:rtl/>
        </w:rPr>
        <w:t>(</w:t>
      </w:r>
      <w:r w:rsidR="00C04E6F" w:rsidRPr="00851DA1">
        <w:rPr>
          <w:rStyle w:val="FootnoteReference"/>
          <w:rFonts w:cs="Times New Roman"/>
          <w:b w:val="0"/>
          <w:position w:val="4"/>
          <w:sz w:val="20"/>
        </w:rPr>
        <w:footnoteReference w:id="29"/>
      </w:r>
      <w:r w:rsidR="00E13836" w:rsidRPr="00851DA1">
        <w:rPr>
          <w:rStyle w:val="FootnoteReference"/>
          <w:rtl/>
        </w:rPr>
        <w:t>)</w:t>
      </w:r>
      <w:r w:rsidR="00ED7372" w:rsidRPr="00851DA1">
        <w:rPr>
          <w:rtl/>
        </w:rPr>
        <w:t>.</w:t>
      </w:r>
      <w:r w:rsidRPr="00851DA1">
        <w:rPr>
          <w:rtl/>
        </w:rPr>
        <w:t xml:space="preserve"> ويجب أن تتخذ الدول من حيث المبدأ نهج</w:t>
      </w:r>
      <w:r w:rsidR="000B128E" w:rsidRPr="00851DA1">
        <w:rPr>
          <w:rtl/>
        </w:rPr>
        <w:t xml:space="preserve">اً </w:t>
      </w:r>
      <w:r w:rsidRPr="00851DA1">
        <w:rPr>
          <w:rtl/>
        </w:rPr>
        <w:t>محايداً من حيث المحتوى إزاء</w:t>
      </w:r>
      <w:r w:rsidR="0020465C" w:rsidRPr="00851DA1">
        <w:rPr>
          <w:rFonts w:hint="cs"/>
          <w:rtl/>
        </w:rPr>
        <w:t> </w:t>
      </w:r>
      <w:r w:rsidRPr="00851DA1">
        <w:rPr>
          <w:rtl/>
        </w:rPr>
        <w:t>المظاهرات المضادة التي يجب السماح بتنظيمها، قدر الإمكان، على مرأى ومسمع من التجمعات التي تستهدفها.</w:t>
      </w:r>
    </w:p>
    <w:p w14:paraId="06008397" w14:textId="765C09BD" w:rsidR="00B828C2" w:rsidRPr="00851DA1" w:rsidRDefault="00B828C2" w:rsidP="00B828C2">
      <w:pPr>
        <w:pStyle w:val="SingleTxtGA"/>
        <w:rPr>
          <w:szCs w:val="20"/>
          <w:lang w:eastAsia="zh-TW" w:bidi="en-GB"/>
        </w:rPr>
      </w:pPr>
      <w:r w:rsidRPr="00851DA1">
        <w:rPr>
          <w:szCs w:val="20"/>
          <w:rtl/>
        </w:rPr>
        <w:t>27</w:t>
      </w:r>
      <w:r w:rsidR="00C04E6F" w:rsidRPr="00851DA1">
        <w:rPr>
          <w:szCs w:val="20"/>
          <w:rtl/>
        </w:rPr>
        <w:t>-</w:t>
      </w:r>
      <w:r w:rsidR="00C04E6F" w:rsidRPr="00851DA1">
        <w:rPr>
          <w:szCs w:val="20"/>
          <w:rtl/>
        </w:rPr>
        <w:tab/>
      </w:r>
      <w:r w:rsidRPr="00851DA1">
        <w:rPr>
          <w:rtl/>
        </w:rPr>
        <w:t>وليس احتمال أن يثير تجمع سلمي ردود فعل سلبية أو حتى عنيفة من جانب بعض أفراد الجمهور سبباً كافياً لحظر التجمع أو تقييده</w:t>
      </w:r>
      <w:r w:rsidR="00E13836" w:rsidRPr="00851DA1">
        <w:rPr>
          <w:rStyle w:val="FootnoteReference"/>
          <w:rtl/>
        </w:rPr>
        <w:t>(</w:t>
      </w:r>
      <w:r w:rsidR="00C04E6F" w:rsidRPr="00851DA1">
        <w:rPr>
          <w:rStyle w:val="FootnoteReference"/>
          <w:rFonts w:cs="Times New Roman"/>
          <w:b w:val="0"/>
          <w:position w:val="4"/>
          <w:sz w:val="20"/>
        </w:rPr>
        <w:footnoteReference w:id="30"/>
      </w:r>
      <w:r w:rsidR="00E13836" w:rsidRPr="00851DA1">
        <w:rPr>
          <w:rStyle w:val="FootnoteReference"/>
          <w:rtl/>
        </w:rPr>
        <w:t>)</w:t>
      </w:r>
      <w:r w:rsidR="00ED7372" w:rsidRPr="00851DA1">
        <w:rPr>
          <w:rtl/>
        </w:rPr>
        <w:t>.</w:t>
      </w:r>
      <w:r w:rsidRPr="00851DA1">
        <w:rPr>
          <w:rtl/>
        </w:rPr>
        <w:t xml:space="preserve"> والدول ملزمة باتخاذ جميع التدابير المعقولة التي لا</w:t>
      </w:r>
      <w:r w:rsidR="000B128E" w:rsidRPr="00851DA1">
        <w:rPr>
          <w:rFonts w:hint="cs"/>
          <w:rtl/>
        </w:rPr>
        <w:t> </w:t>
      </w:r>
      <w:r w:rsidRPr="00851DA1">
        <w:rPr>
          <w:rtl/>
        </w:rPr>
        <w:t xml:space="preserve">تحمّلها أعباء مفرطة لحماية جميع المشاركين والسماح بعقد هذه التجمعات دون انقطاع </w:t>
      </w:r>
      <w:r w:rsidR="00E13836" w:rsidRPr="00851DA1">
        <w:rPr>
          <w:rtl/>
        </w:rPr>
        <w:t>(</w:t>
      </w:r>
      <w:r w:rsidRPr="00851DA1">
        <w:rPr>
          <w:rtl/>
        </w:rPr>
        <w:t>انظر أيض</w:t>
      </w:r>
      <w:r w:rsidR="000B128E" w:rsidRPr="00851DA1">
        <w:rPr>
          <w:rtl/>
        </w:rPr>
        <w:t xml:space="preserve">اً </w:t>
      </w:r>
      <w:r w:rsidRPr="00851DA1">
        <w:rPr>
          <w:rtl/>
        </w:rPr>
        <w:t xml:space="preserve">الفقرة </w:t>
      </w:r>
      <w:r w:rsidRPr="00851DA1">
        <w:rPr>
          <w:szCs w:val="20"/>
          <w:rtl/>
        </w:rPr>
        <w:t>52</w:t>
      </w:r>
      <w:r w:rsidRPr="00851DA1">
        <w:rPr>
          <w:rtl/>
        </w:rPr>
        <w:t xml:space="preserve"> أدناه</w:t>
      </w:r>
      <w:r w:rsidR="00E13836" w:rsidRPr="00851DA1">
        <w:rPr>
          <w:rtl/>
        </w:rPr>
        <w:t>)</w:t>
      </w:r>
      <w:r w:rsidRPr="00851DA1">
        <w:rPr>
          <w:rtl/>
        </w:rPr>
        <w:t>.</w:t>
      </w:r>
    </w:p>
    <w:p w14:paraId="5CC4E316" w14:textId="3972B517" w:rsidR="00B828C2" w:rsidRPr="00851DA1" w:rsidRDefault="00B828C2" w:rsidP="00B828C2">
      <w:pPr>
        <w:pStyle w:val="SingleTxtGA"/>
        <w:rPr>
          <w:szCs w:val="20"/>
          <w:lang w:val="ar-SA" w:eastAsia="zh-TW" w:bidi="en-GB"/>
        </w:rPr>
      </w:pPr>
      <w:r w:rsidRPr="00851DA1">
        <w:rPr>
          <w:szCs w:val="20"/>
          <w:rtl/>
        </w:rPr>
        <w:t>28</w:t>
      </w:r>
      <w:r w:rsidR="00C04E6F" w:rsidRPr="00851DA1">
        <w:rPr>
          <w:szCs w:val="20"/>
          <w:rtl/>
        </w:rPr>
        <w:t>-</w:t>
      </w:r>
      <w:r w:rsidR="00C04E6F" w:rsidRPr="00851DA1">
        <w:rPr>
          <w:szCs w:val="20"/>
          <w:rtl/>
        </w:rPr>
        <w:tab/>
      </w:r>
      <w:r w:rsidRPr="00851DA1">
        <w:rPr>
          <w:rtl/>
        </w:rPr>
        <w:t>ويستند واجب احترام وكفالة التجمعات السلمية في جوهره إلى نظام قانوني وسياساتي سليم وشفاف. ويجب أن يعترف القانون المحلي بالحق في التجمع السلمي، وأن يحدّد بوضوح واجبات ومسؤوليات جميع الموظفين العموميين المعنيين، وأن يكون متوائم</w:t>
      </w:r>
      <w:r w:rsidR="000B128E" w:rsidRPr="00851DA1">
        <w:rPr>
          <w:rtl/>
        </w:rPr>
        <w:t xml:space="preserve">اً </w:t>
      </w:r>
      <w:r w:rsidRPr="00851DA1">
        <w:rPr>
          <w:rtl/>
        </w:rPr>
        <w:t>مع المعايير الدولية ذات الصلة ومتاح</w:t>
      </w:r>
      <w:r w:rsidR="000B128E" w:rsidRPr="00851DA1">
        <w:rPr>
          <w:rtl/>
        </w:rPr>
        <w:t xml:space="preserve">اً </w:t>
      </w:r>
      <w:r w:rsidRPr="00851DA1">
        <w:rPr>
          <w:rtl/>
        </w:rPr>
        <w:t>لعامة الجمهور. ويجب على الدول أن تكفل التوعية العامة بالقانون واللوائح ذات الصلة، بما في ذلك أي إجراءات يجب أن يتبعها الراغبون في ممارسة هذا الحق، والسلطات المعنية، والقواعد المنطبقة على هؤلاء الموظفين، وسبل الانتصاف المتاحة فيما يتعلق بالانتهاكات المزعومة للحقوق.</w:t>
      </w:r>
    </w:p>
    <w:p w14:paraId="0848BBC8" w14:textId="7DFC1B76" w:rsidR="00B828C2" w:rsidRPr="00851DA1" w:rsidRDefault="00B828C2" w:rsidP="00B828C2">
      <w:pPr>
        <w:pStyle w:val="SingleTxtGA"/>
        <w:rPr>
          <w:spacing w:val="-4"/>
          <w:szCs w:val="20"/>
          <w:lang w:val="ar-SA" w:eastAsia="zh-TW" w:bidi="en-GB"/>
        </w:rPr>
      </w:pPr>
      <w:r w:rsidRPr="00851DA1">
        <w:rPr>
          <w:szCs w:val="20"/>
          <w:rtl/>
        </w:rPr>
        <w:lastRenderedPageBreak/>
        <w:t>29</w:t>
      </w:r>
      <w:r w:rsidR="00C04E6F" w:rsidRPr="00851DA1">
        <w:rPr>
          <w:szCs w:val="20"/>
          <w:rtl/>
        </w:rPr>
        <w:t>-</w:t>
      </w:r>
      <w:r w:rsidR="00C04E6F" w:rsidRPr="00851DA1">
        <w:rPr>
          <w:szCs w:val="20"/>
          <w:rtl/>
        </w:rPr>
        <w:tab/>
      </w:r>
      <w:r w:rsidRPr="00851DA1">
        <w:rPr>
          <w:spacing w:val="-4"/>
          <w:rtl/>
        </w:rPr>
        <w:t>ويجب على الدول الأطراف أن تكفل رقابة مستقلّة وشفّافة على جميع الهيئات المعنية بالتجمعات السلمية، بطرق منها الوصول في الوقت المناسب إلى سبل الانتصاف الفعالة، بما فيها سبل الانتصاف القضائية، أو إلى المؤسسات الوطنية لحقوق الإنسان، بغية التمسك بهذا الحق قبل التجمع وأثناءه وبعده.</w:t>
      </w:r>
    </w:p>
    <w:p w14:paraId="695893A3" w14:textId="4AB5D9D2" w:rsidR="00B828C2" w:rsidRPr="00851DA1" w:rsidRDefault="00B828C2" w:rsidP="00B828C2">
      <w:pPr>
        <w:pStyle w:val="SingleTxtGA"/>
        <w:rPr>
          <w:szCs w:val="20"/>
          <w:lang w:eastAsia="zh-TW" w:bidi="en-GB"/>
        </w:rPr>
      </w:pPr>
      <w:r w:rsidRPr="00851DA1">
        <w:rPr>
          <w:szCs w:val="20"/>
          <w:rtl/>
        </w:rPr>
        <w:t>30</w:t>
      </w:r>
      <w:r w:rsidR="00C04E6F" w:rsidRPr="00851DA1">
        <w:rPr>
          <w:szCs w:val="20"/>
          <w:rtl/>
        </w:rPr>
        <w:t>-</w:t>
      </w:r>
      <w:r w:rsidR="00C04E6F" w:rsidRPr="00851DA1">
        <w:rPr>
          <w:szCs w:val="20"/>
          <w:rtl/>
        </w:rPr>
        <w:tab/>
      </w:r>
      <w:r w:rsidRPr="00851DA1">
        <w:rPr>
          <w:rtl/>
        </w:rPr>
        <w:t>ويكتسي دور الصحفيين والمدافعين عن حقوق الإنسان ومراقبي الانتخابات وغيرهم من المشاركين في رصد التجمّعات أو الإبلاغ عنها أهمية خاصة بالنسبة للتمتع الكامل بالحق في التجمع السلمي. ويحق لهؤلاء الأشخاص الحصول على الحماية بموجب العهد</w:t>
      </w:r>
      <w:r w:rsidR="00E13836" w:rsidRPr="00851DA1">
        <w:rPr>
          <w:rStyle w:val="FootnoteReference"/>
          <w:rtl/>
        </w:rPr>
        <w:t>(</w:t>
      </w:r>
      <w:r w:rsidR="00C04E6F" w:rsidRPr="00851DA1">
        <w:rPr>
          <w:rStyle w:val="FootnoteReference"/>
          <w:rFonts w:cs="Times New Roman"/>
          <w:b w:val="0"/>
          <w:position w:val="4"/>
          <w:sz w:val="20"/>
        </w:rPr>
        <w:footnoteReference w:id="31"/>
      </w:r>
      <w:r w:rsidR="00E13836" w:rsidRPr="00851DA1">
        <w:rPr>
          <w:rStyle w:val="FootnoteReference"/>
          <w:rtl/>
        </w:rPr>
        <w:t>)</w:t>
      </w:r>
      <w:r w:rsidR="00ED7372" w:rsidRPr="00851DA1">
        <w:rPr>
          <w:rtl/>
        </w:rPr>
        <w:t>.</w:t>
      </w:r>
      <w:r w:rsidRPr="00851DA1">
        <w:rPr>
          <w:rtl/>
        </w:rPr>
        <w:t xml:space="preserve"> ولا يجوز منعهم من ممارسة هذه الوظائف، بما فيها المتعلقة بمراقبة تصرفات الموظفين المكلفين بإنفاذ القوانين، أو تقييد ممارستهم لها تقييد</w:t>
      </w:r>
      <w:r w:rsidR="000B128E" w:rsidRPr="00851DA1">
        <w:rPr>
          <w:rtl/>
        </w:rPr>
        <w:t xml:space="preserve">اً </w:t>
      </w:r>
      <w:r w:rsidRPr="00851DA1">
        <w:rPr>
          <w:rtl/>
        </w:rPr>
        <w:t>غير مبرر. ويجب ألا يتعرّضوا للانتقام أو غيره من المضايقات، وألا تصادر معداتهم أو تدمّر</w:t>
      </w:r>
      <w:r w:rsidR="00E13836" w:rsidRPr="00851DA1">
        <w:rPr>
          <w:rStyle w:val="FootnoteReference"/>
          <w:rtl/>
        </w:rPr>
        <w:t>(</w:t>
      </w:r>
      <w:r w:rsidR="00C04E6F" w:rsidRPr="00851DA1">
        <w:rPr>
          <w:rStyle w:val="FootnoteReference"/>
          <w:rFonts w:cs="Times New Roman"/>
          <w:b w:val="0"/>
          <w:position w:val="4"/>
          <w:sz w:val="20"/>
        </w:rPr>
        <w:footnoteReference w:id="32"/>
      </w:r>
      <w:r w:rsidR="00E13836" w:rsidRPr="00851DA1">
        <w:rPr>
          <w:rStyle w:val="FootnoteReference"/>
          <w:rtl/>
        </w:rPr>
        <w:t>)</w:t>
      </w:r>
      <w:r w:rsidR="00ED7372" w:rsidRPr="00851DA1">
        <w:rPr>
          <w:rtl/>
        </w:rPr>
        <w:t>.</w:t>
      </w:r>
      <w:r w:rsidRPr="00851DA1">
        <w:rPr>
          <w:rtl/>
        </w:rPr>
        <w:t xml:space="preserve"> وحتى إن أُعلن أن التجمع غير قانوني أو تم تفريقه، فإن ذلك لا ينهي الحق في المراقبة. ومن الممارسات الجيّدة للمؤسسات الوطنية المستقلة لحقوق الإنسان والمنظمات غير الحكومية مراقبة التجمعات.</w:t>
      </w:r>
    </w:p>
    <w:p w14:paraId="0624C5F6" w14:textId="5FEC47CE" w:rsidR="00B828C2" w:rsidRPr="00851DA1" w:rsidRDefault="00B828C2" w:rsidP="00B828C2">
      <w:pPr>
        <w:pStyle w:val="SingleTxtGA"/>
        <w:rPr>
          <w:szCs w:val="20"/>
          <w:lang w:val="ar-SA" w:eastAsia="zh-TW" w:bidi="en-GB"/>
        </w:rPr>
      </w:pPr>
      <w:r w:rsidRPr="00851DA1">
        <w:rPr>
          <w:szCs w:val="20"/>
          <w:rtl/>
        </w:rPr>
        <w:t>31-</w:t>
      </w:r>
      <w:r w:rsidR="006274F1" w:rsidRPr="00851DA1">
        <w:rPr>
          <w:rtl/>
        </w:rPr>
        <w:tab/>
      </w:r>
      <w:r w:rsidRPr="00851DA1">
        <w:rPr>
          <w:rtl/>
        </w:rPr>
        <w:t>وتتحمل الدول الأطراف المسؤولية الرئيسية عن إعمال الحق في التجمع السلمي. غير أن المؤسسات التجارية تتحمل مسؤولية احترام حقوق الإنسان، بما في ذلك، مثلاً، حق المجتمعات المحلية المتضررة من أنشطتها وحق موظفيها في التجمع السلمي</w:t>
      </w:r>
      <w:r w:rsidR="00E13836" w:rsidRPr="00851DA1">
        <w:rPr>
          <w:rStyle w:val="FootnoteReference"/>
          <w:rtl/>
        </w:rPr>
        <w:t>(</w:t>
      </w:r>
      <w:r w:rsidR="00C04E6F" w:rsidRPr="00851DA1">
        <w:rPr>
          <w:rStyle w:val="FootnoteReference"/>
          <w:rFonts w:cs="Times New Roman"/>
          <w:b w:val="0"/>
          <w:position w:val="4"/>
          <w:sz w:val="20"/>
        </w:rPr>
        <w:footnoteReference w:id="33"/>
      </w:r>
      <w:r w:rsidR="00E13836" w:rsidRPr="00851DA1">
        <w:rPr>
          <w:rStyle w:val="FootnoteReference"/>
          <w:rtl/>
        </w:rPr>
        <w:t>)</w:t>
      </w:r>
      <w:r w:rsidR="00ED7372" w:rsidRPr="00851DA1">
        <w:rPr>
          <w:rtl/>
        </w:rPr>
        <w:t>.</w:t>
      </w:r>
      <w:r w:rsidRPr="00851DA1">
        <w:rPr>
          <w:rtl/>
        </w:rPr>
        <w:t xml:space="preserve"> ويمكن توقع أن تقبل الكيانات الخاصة والمجتمع على نحو أوسع حدوث قدر معين من الاضطرابات بسبب ممارسة هذا الحق.</w:t>
      </w:r>
    </w:p>
    <w:p w14:paraId="4BCB1781" w14:textId="32F961FE" w:rsidR="00B828C2" w:rsidRPr="00851DA1" w:rsidRDefault="00B828C2" w:rsidP="00B828C2">
      <w:pPr>
        <w:pStyle w:val="SingleTxtGA"/>
        <w:rPr>
          <w:szCs w:val="20"/>
          <w:lang w:val="ar-SA" w:eastAsia="zh-TW" w:bidi="en-GB"/>
        </w:rPr>
      </w:pPr>
      <w:r w:rsidRPr="00851DA1">
        <w:rPr>
          <w:szCs w:val="20"/>
          <w:rtl/>
        </w:rPr>
        <w:t>32</w:t>
      </w:r>
      <w:r w:rsidR="00C04E6F" w:rsidRPr="00851DA1">
        <w:rPr>
          <w:szCs w:val="20"/>
          <w:rtl/>
        </w:rPr>
        <w:t>-</w:t>
      </w:r>
      <w:r w:rsidR="00C04E6F" w:rsidRPr="00851DA1">
        <w:rPr>
          <w:szCs w:val="20"/>
          <w:rtl/>
        </w:rPr>
        <w:tab/>
      </w:r>
      <w:r w:rsidRPr="00851DA1">
        <w:rPr>
          <w:rtl/>
        </w:rPr>
        <w:t>ونظراً لأن التجمعات السلمية غالباً ما تكون لها وظائف تعبيرية، ولأن الخطاب السياسي يتمتع بحماية خاصة كشكل من أشكال التعبير، فإن من الضروري أن تتمتع التجمعات التي لها رسالة سياسية بمستوى تيسير وحماية رفيع</w:t>
      </w:r>
      <w:r w:rsidR="00E13836" w:rsidRPr="00851DA1">
        <w:rPr>
          <w:rStyle w:val="FootnoteReference"/>
          <w:rtl/>
        </w:rPr>
        <w:t>(</w:t>
      </w:r>
      <w:r w:rsidR="00C04E6F" w:rsidRPr="00851DA1">
        <w:rPr>
          <w:rStyle w:val="FootnoteReference"/>
          <w:rFonts w:cs="Times New Roman"/>
          <w:b w:val="0"/>
          <w:position w:val="4"/>
          <w:sz w:val="20"/>
        </w:rPr>
        <w:footnoteReference w:id="34"/>
      </w:r>
      <w:r w:rsidR="00E13836" w:rsidRPr="00851DA1">
        <w:rPr>
          <w:rStyle w:val="FootnoteReference"/>
          <w:rtl/>
        </w:rPr>
        <w:t>)</w:t>
      </w:r>
      <w:r w:rsidR="00ED7372" w:rsidRPr="00851DA1">
        <w:rPr>
          <w:rtl/>
        </w:rPr>
        <w:t>.</w:t>
      </w:r>
    </w:p>
    <w:p w14:paraId="49517EFD" w14:textId="021F5F0B" w:rsidR="00B828C2" w:rsidRPr="00851DA1" w:rsidRDefault="00B828C2" w:rsidP="00453ECF">
      <w:pPr>
        <w:pStyle w:val="SingleTxtGA"/>
        <w:rPr>
          <w:szCs w:val="20"/>
          <w:lang w:eastAsia="zh-TW" w:bidi="en-GB"/>
        </w:rPr>
      </w:pPr>
      <w:r w:rsidRPr="00851DA1">
        <w:rPr>
          <w:szCs w:val="20"/>
          <w:rtl/>
        </w:rPr>
        <w:t>33-</w:t>
      </w:r>
      <w:r w:rsidR="00C04E6F" w:rsidRPr="00851DA1">
        <w:rPr>
          <w:szCs w:val="20"/>
          <w:rtl/>
        </w:rPr>
        <w:tab/>
      </w:r>
      <w:r w:rsidRPr="00851DA1">
        <w:rPr>
          <w:rtl/>
        </w:rPr>
        <w:t xml:space="preserve">ولا تقتصر المادة </w:t>
      </w:r>
      <w:r w:rsidRPr="00851DA1">
        <w:rPr>
          <w:szCs w:val="20"/>
          <w:rtl/>
        </w:rPr>
        <w:t>21</w:t>
      </w:r>
      <w:r w:rsidRPr="00851DA1">
        <w:rPr>
          <w:rtl/>
        </w:rPr>
        <w:t xml:space="preserve"> والحقوق المرتبطة بها على حماية المشاركين في الوقت والمكان اللذين يجري فيهما التجمع، بل تشمل أيض</w:t>
      </w:r>
      <w:r w:rsidR="000B128E" w:rsidRPr="00851DA1">
        <w:rPr>
          <w:rtl/>
        </w:rPr>
        <w:t xml:space="preserve">اً </w:t>
      </w:r>
      <w:r w:rsidRPr="00851DA1">
        <w:rPr>
          <w:rtl/>
        </w:rPr>
        <w:t>الأنشطة ذات الصلة التي يضطلع بها فرد أو مجموعة من الأفراد خارج السياق المباشر للتجمع ولكنها ضرورية لجعل العملية ذات مغزى. وهكذا، تمتد التزامات الدول الأطراف لتشمل إجراءات مثل تعبئة المشاركين أو المنظمين للموارد؛ والتخطيط؛ ونشر المعلومات بشأن حدث قادم</w:t>
      </w:r>
      <w:r w:rsidR="00E13836" w:rsidRPr="00851DA1">
        <w:rPr>
          <w:rStyle w:val="FootnoteReference"/>
          <w:rtl/>
        </w:rPr>
        <w:t>(</w:t>
      </w:r>
      <w:r w:rsidR="00C04E6F" w:rsidRPr="00851DA1">
        <w:rPr>
          <w:rStyle w:val="FootnoteReference"/>
          <w:rFonts w:cs="Times New Roman"/>
          <w:b w:val="0"/>
          <w:position w:val="4"/>
          <w:sz w:val="20"/>
        </w:rPr>
        <w:footnoteReference w:id="35"/>
      </w:r>
      <w:r w:rsidR="00E13836" w:rsidRPr="00851DA1">
        <w:rPr>
          <w:rStyle w:val="FootnoteReference"/>
          <w:rtl/>
        </w:rPr>
        <w:t>)</w:t>
      </w:r>
      <w:r w:rsidRPr="00851DA1">
        <w:rPr>
          <w:rtl/>
        </w:rPr>
        <w:t>؛ وإعداد الحدث والسفر إليه</w:t>
      </w:r>
      <w:r w:rsidR="00E13836" w:rsidRPr="00851DA1">
        <w:rPr>
          <w:rStyle w:val="FootnoteReference"/>
          <w:rtl/>
        </w:rPr>
        <w:t>(</w:t>
      </w:r>
      <w:r w:rsidR="00C04E6F" w:rsidRPr="00851DA1">
        <w:rPr>
          <w:rStyle w:val="FootnoteReference"/>
          <w:rFonts w:cs="Times New Roman"/>
          <w:b w:val="0"/>
          <w:position w:val="4"/>
          <w:sz w:val="20"/>
        </w:rPr>
        <w:footnoteReference w:id="36"/>
      </w:r>
      <w:r w:rsidR="00E13836" w:rsidRPr="00851DA1">
        <w:rPr>
          <w:rStyle w:val="FootnoteReference"/>
          <w:rtl/>
        </w:rPr>
        <w:t>)</w:t>
      </w:r>
      <w:r w:rsidRPr="00851DA1">
        <w:rPr>
          <w:rtl/>
        </w:rPr>
        <w:t>؛ والتواصل بين المشاركين قبل التجمع وأثناءه؛ وبث وقائع التجمع أو البث من داخله؛ ومغادرة التجمع بعد انتهائه. وعلى غرار المشاركة في التجمع نفسه، يجوز أن تخضع هذه الأنشطة لقيود، شريطة أن تُحدَّد هذه القيود تحديداً دقيقاً. وعلاوة على ذلك، لا</w:t>
      </w:r>
      <w:r w:rsidR="00453ECF" w:rsidRPr="00851DA1">
        <w:rPr>
          <w:rFonts w:hint="cs"/>
          <w:rtl/>
        </w:rPr>
        <w:t> </w:t>
      </w:r>
      <w:r w:rsidRPr="00851DA1">
        <w:rPr>
          <w:rtl/>
        </w:rPr>
        <w:t>ينبغي أن يتعرّض أي شخص للمضايقة أو أن يواجه أي أعمال انتقامية أخرى نتيجة لوجوده في تجمع سلمي أو لانتمائه إليه.</w:t>
      </w:r>
    </w:p>
    <w:p w14:paraId="5681828E" w14:textId="037A4156" w:rsidR="00B828C2" w:rsidRPr="00851DA1" w:rsidRDefault="00B828C2" w:rsidP="00B828C2">
      <w:pPr>
        <w:pStyle w:val="SingleTxtGA"/>
        <w:rPr>
          <w:szCs w:val="20"/>
          <w:lang w:val="ar-SA" w:eastAsia="zh-TW" w:bidi="en-GB"/>
        </w:rPr>
      </w:pPr>
      <w:r w:rsidRPr="00851DA1">
        <w:rPr>
          <w:szCs w:val="20"/>
          <w:rtl/>
        </w:rPr>
        <w:t>34</w:t>
      </w:r>
      <w:r w:rsidR="00C04E6F" w:rsidRPr="00851DA1">
        <w:rPr>
          <w:szCs w:val="20"/>
          <w:rtl/>
        </w:rPr>
        <w:t>-</w:t>
      </w:r>
      <w:r w:rsidR="00C04E6F" w:rsidRPr="00851DA1">
        <w:rPr>
          <w:szCs w:val="20"/>
          <w:rtl/>
        </w:rPr>
        <w:tab/>
      </w:r>
      <w:r w:rsidRPr="00851DA1">
        <w:rPr>
          <w:rtl/>
        </w:rPr>
        <w:t xml:space="preserve">ويحدث العديد من الأنشطة ذات الصلة عبر الإنترنت أو يعتمد على الخدمات الرقمية. وتحظى هذه الأنشطة أيضاً بالحماية بموجب المادة </w:t>
      </w:r>
      <w:r w:rsidRPr="00851DA1">
        <w:rPr>
          <w:szCs w:val="20"/>
          <w:rtl/>
        </w:rPr>
        <w:t>21</w:t>
      </w:r>
      <w:r w:rsidRPr="00851DA1">
        <w:rPr>
          <w:sz w:val="28"/>
          <w:rtl/>
        </w:rPr>
        <w:t>.</w:t>
      </w:r>
      <w:r w:rsidRPr="00851DA1">
        <w:rPr>
          <w:rtl/>
        </w:rPr>
        <w:t xml:space="preserve"> وعلى الدول الأطراف، مثل</w:t>
      </w:r>
      <w:r w:rsidR="000B128E" w:rsidRPr="00851DA1">
        <w:rPr>
          <w:rtl/>
        </w:rPr>
        <w:t xml:space="preserve">اً، </w:t>
      </w:r>
      <w:r w:rsidRPr="00851DA1">
        <w:rPr>
          <w:rtl/>
        </w:rPr>
        <w:t xml:space="preserve">ألا تعرقل </w:t>
      </w:r>
      <w:r w:rsidRPr="00851DA1">
        <w:rPr>
          <w:rtl/>
        </w:rPr>
        <w:lastRenderedPageBreak/>
        <w:t>أو</w:t>
      </w:r>
      <w:r w:rsidR="006C4AAD" w:rsidRPr="00851DA1">
        <w:rPr>
          <w:rFonts w:hint="cs"/>
          <w:rtl/>
        </w:rPr>
        <w:t> </w:t>
      </w:r>
      <w:r w:rsidRPr="00851DA1">
        <w:rPr>
          <w:rtl/>
        </w:rPr>
        <w:t>تعوق التوصيل بشبكة الإنترنت فيما يخص التجمعات السلمية</w:t>
      </w:r>
      <w:r w:rsidR="00E13836" w:rsidRPr="00851DA1">
        <w:rPr>
          <w:rStyle w:val="FootnoteReference"/>
          <w:rtl/>
        </w:rPr>
        <w:t>(</w:t>
      </w:r>
      <w:r w:rsidR="00C04E6F" w:rsidRPr="00851DA1">
        <w:rPr>
          <w:rStyle w:val="FootnoteReference"/>
          <w:rFonts w:cs="Times New Roman"/>
          <w:b w:val="0"/>
          <w:position w:val="4"/>
          <w:sz w:val="20"/>
        </w:rPr>
        <w:footnoteReference w:id="37"/>
      </w:r>
      <w:r w:rsidR="00E13836" w:rsidRPr="00851DA1">
        <w:rPr>
          <w:rStyle w:val="FootnoteReference"/>
          <w:rtl/>
        </w:rPr>
        <w:t>)</w:t>
      </w:r>
      <w:r w:rsidR="00ED7372" w:rsidRPr="00851DA1">
        <w:rPr>
          <w:rtl/>
        </w:rPr>
        <w:t>.</w:t>
      </w:r>
      <w:r w:rsidRPr="00851DA1">
        <w:rPr>
          <w:rtl/>
        </w:rPr>
        <w:t xml:space="preserve"> وينطبق الشيء نفسه على التشويش الموجه جغرافي</w:t>
      </w:r>
      <w:r w:rsidR="000B128E" w:rsidRPr="00851DA1">
        <w:rPr>
          <w:rtl/>
        </w:rPr>
        <w:t xml:space="preserve">اً </w:t>
      </w:r>
      <w:r w:rsidRPr="00851DA1">
        <w:rPr>
          <w:rtl/>
        </w:rPr>
        <w:t>أو الخاص بتكنولوجيا معينة على التوصيل بشبكة الإنترنت أو الوصول إلى المحتوى. وينبغي للدول أن تكفل عدم تسبب أنشطة مقدّمي خدمات الإنترنت والوسطاء في تقييد التجمعات أو الحياة الخاصة للمشاركين فيها تقييداً غير مبرر. ويجب أن تستجيب أي قيود تُفرض على تشغيل نظم نشر المعلومات لشروط تقييد حرية التعبير</w:t>
      </w:r>
      <w:r w:rsidR="00E13836" w:rsidRPr="00851DA1">
        <w:rPr>
          <w:rStyle w:val="FootnoteReference"/>
          <w:rtl/>
        </w:rPr>
        <w:t>(</w:t>
      </w:r>
      <w:r w:rsidR="00C04E6F" w:rsidRPr="00851DA1">
        <w:rPr>
          <w:rStyle w:val="FootnoteReference"/>
          <w:rFonts w:cs="Times New Roman"/>
          <w:b w:val="0"/>
          <w:position w:val="4"/>
          <w:sz w:val="20"/>
        </w:rPr>
        <w:footnoteReference w:id="38"/>
      </w:r>
      <w:r w:rsidR="00E13836" w:rsidRPr="00851DA1">
        <w:rPr>
          <w:rStyle w:val="FootnoteReference"/>
          <w:rtl/>
        </w:rPr>
        <w:t>)</w:t>
      </w:r>
      <w:r w:rsidR="00ED7372" w:rsidRPr="00851DA1">
        <w:rPr>
          <w:rtl/>
        </w:rPr>
        <w:t>.</w:t>
      </w:r>
    </w:p>
    <w:p w14:paraId="417A68D6" w14:textId="37CAE3F5" w:rsidR="00B828C2" w:rsidRPr="00851DA1" w:rsidRDefault="00B828C2" w:rsidP="00B828C2">
      <w:pPr>
        <w:pStyle w:val="SingleTxtGA"/>
        <w:rPr>
          <w:szCs w:val="20"/>
          <w:lang w:val="ar-SA" w:eastAsia="zh-TW" w:bidi="en-GB"/>
        </w:rPr>
      </w:pPr>
      <w:r w:rsidRPr="00851DA1">
        <w:rPr>
          <w:szCs w:val="20"/>
          <w:rtl/>
        </w:rPr>
        <w:t>35</w:t>
      </w:r>
      <w:r w:rsidR="00C04E6F" w:rsidRPr="00851DA1">
        <w:rPr>
          <w:szCs w:val="20"/>
          <w:rtl/>
        </w:rPr>
        <w:t>-</w:t>
      </w:r>
      <w:r w:rsidR="00C04E6F" w:rsidRPr="00851DA1">
        <w:rPr>
          <w:szCs w:val="20"/>
          <w:rtl/>
        </w:rPr>
        <w:tab/>
      </w:r>
      <w:r w:rsidRPr="00851DA1">
        <w:rPr>
          <w:rtl/>
        </w:rPr>
        <w:t>وإذا كانت جميع أجهزة الدولة ملزمة باحترام وكفالة الحق في التجمع السلمي، فإن القرارات المتعلقة بالتجمعات غالب</w:t>
      </w:r>
      <w:r w:rsidR="000B128E" w:rsidRPr="00851DA1">
        <w:rPr>
          <w:rtl/>
        </w:rPr>
        <w:t xml:space="preserve">اً </w:t>
      </w:r>
      <w:r w:rsidRPr="00851DA1">
        <w:rPr>
          <w:rtl/>
        </w:rPr>
        <w:t>ما تُتّخذ على المستوى المحلي. ولذلك، يجب على الدول أن تكفل توفير التدريب والموارد الكافية للموظفين المشاركين في اتخاذ هذه القرارات على جميع مستويات الحكومة.</w:t>
      </w:r>
    </w:p>
    <w:p w14:paraId="1014BF20" w14:textId="44DC6654" w:rsidR="00B828C2" w:rsidRPr="00851DA1" w:rsidRDefault="00153B5D" w:rsidP="00153B5D">
      <w:pPr>
        <w:pStyle w:val="HChGA"/>
        <w:rPr>
          <w:szCs w:val="20"/>
          <w:lang w:val="ar-SA" w:eastAsia="zh-TW" w:bidi="en-GB"/>
        </w:rPr>
      </w:pPr>
      <w:r w:rsidRPr="00851DA1">
        <w:rPr>
          <w:rtl/>
        </w:rPr>
        <w:tab/>
      </w:r>
      <w:r w:rsidR="00B828C2" w:rsidRPr="00851DA1">
        <w:rPr>
          <w:rtl/>
        </w:rPr>
        <w:t>رابعا</w:t>
      </w:r>
      <w:r w:rsidRPr="00851DA1">
        <w:rPr>
          <w:rFonts w:hint="cs"/>
          <w:rtl/>
        </w:rPr>
        <w:t>ً</w:t>
      </w:r>
      <w:r w:rsidR="00B828C2" w:rsidRPr="00851DA1">
        <w:rPr>
          <w:rtl/>
        </w:rPr>
        <w:t>-</w:t>
      </w:r>
      <w:r w:rsidR="00B828C2" w:rsidRPr="00851DA1">
        <w:rPr>
          <w:rtl/>
        </w:rPr>
        <w:tab/>
        <w:t>تقييد الحق في التجمع السلمي</w:t>
      </w:r>
    </w:p>
    <w:p w14:paraId="06F4D8E3" w14:textId="3BAC2BC6" w:rsidR="00B828C2" w:rsidRPr="00851DA1" w:rsidRDefault="00B828C2" w:rsidP="00B828C2">
      <w:pPr>
        <w:pStyle w:val="SingleTxtGA"/>
        <w:rPr>
          <w:szCs w:val="20"/>
          <w:lang w:val="ar-SA" w:eastAsia="zh-TW" w:bidi="en-GB"/>
        </w:rPr>
      </w:pPr>
      <w:r w:rsidRPr="00851DA1">
        <w:rPr>
          <w:szCs w:val="20"/>
          <w:rtl/>
        </w:rPr>
        <w:t>36</w:t>
      </w:r>
      <w:r w:rsidR="00C04E6F" w:rsidRPr="00851DA1">
        <w:rPr>
          <w:szCs w:val="20"/>
          <w:rtl/>
        </w:rPr>
        <w:t>-</w:t>
      </w:r>
      <w:r w:rsidR="00C04E6F" w:rsidRPr="00851DA1">
        <w:rPr>
          <w:szCs w:val="20"/>
          <w:rtl/>
        </w:rPr>
        <w:tab/>
      </w:r>
      <w:r w:rsidRPr="00851DA1">
        <w:rPr>
          <w:rtl/>
        </w:rPr>
        <w:t>إن كان يجوز أحياناً تقييد الحق في التجمع السلمي، فإن مسؤولية تبرير أي قيود تقع على عاتق السلطات</w:t>
      </w:r>
      <w:r w:rsidR="00E13836" w:rsidRPr="00851DA1">
        <w:rPr>
          <w:rStyle w:val="FootnoteReference"/>
          <w:rtl/>
        </w:rPr>
        <w:t>(</w:t>
      </w:r>
      <w:r w:rsidR="00C04E6F" w:rsidRPr="00851DA1">
        <w:rPr>
          <w:rStyle w:val="FootnoteReference"/>
          <w:rFonts w:cs="Times New Roman"/>
          <w:b w:val="0"/>
          <w:position w:val="4"/>
          <w:sz w:val="20"/>
        </w:rPr>
        <w:footnoteReference w:id="39"/>
      </w:r>
      <w:r w:rsidR="00E13836" w:rsidRPr="00851DA1">
        <w:rPr>
          <w:rStyle w:val="FootnoteReference"/>
          <w:rtl/>
        </w:rPr>
        <w:t>)</w:t>
      </w:r>
      <w:r w:rsidR="00ED7372" w:rsidRPr="00851DA1">
        <w:rPr>
          <w:rtl/>
        </w:rPr>
        <w:t>.</w:t>
      </w:r>
      <w:r w:rsidRPr="00851DA1">
        <w:rPr>
          <w:rtl/>
        </w:rPr>
        <w:t xml:space="preserve"> ويجب أن تكون السلطات قادرة على إثبات أن أي قيد من القيود المفروضة يفي بشرط المشروعية، وأنه أيض</w:t>
      </w:r>
      <w:r w:rsidR="000B128E" w:rsidRPr="00851DA1">
        <w:rPr>
          <w:rtl/>
        </w:rPr>
        <w:t xml:space="preserve">اً </w:t>
      </w:r>
      <w:r w:rsidRPr="00851DA1">
        <w:rPr>
          <w:rtl/>
        </w:rPr>
        <w:t xml:space="preserve">ضروري لأساس واحد على الأقل من الأسس المسموح بها لفرض القيود المذكورة في المادة </w:t>
      </w:r>
      <w:r w:rsidRPr="00851DA1">
        <w:rPr>
          <w:szCs w:val="20"/>
          <w:rtl/>
        </w:rPr>
        <w:t>21</w:t>
      </w:r>
      <w:r w:rsidRPr="00851DA1">
        <w:rPr>
          <w:rtl/>
        </w:rPr>
        <w:t xml:space="preserve"> ومتناسب معه، كما هو مبين أدناه. وفي حال عدم الوفاء بهذه المسؤولية، تُخرق المادة </w:t>
      </w:r>
      <w:r w:rsidRPr="00851DA1">
        <w:rPr>
          <w:szCs w:val="20"/>
          <w:rtl/>
        </w:rPr>
        <w:t>21</w:t>
      </w:r>
      <w:r w:rsidR="00E13836" w:rsidRPr="00851DA1">
        <w:rPr>
          <w:rStyle w:val="FootnoteReference"/>
          <w:rtl/>
        </w:rPr>
        <w:t>(</w:t>
      </w:r>
      <w:r w:rsidR="00C04E6F" w:rsidRPr="00851DA1">
        <w:rPr>
          <w:rStyle w:val="FootnoteReference"/>
          <w:rFonts w:cs="Times New Roman"/>
          <w:b w:val="0"/>
          <w:position w:val="4"/>
          <w:sz w:val="20"/>
        </w:rPr>
        <w:footnoteReference w:id="40"/>
      </w:r>
      <w:r w:rsidR="00E13836" w:rsidRPr="00851DA1">
        <w:rPr>
          <w:rStyle w:val="FootnoteReference"/>
          <w:rtl/>
        </w:rPr>
        <w:t>)</w:t>
      </w:r>
      <w:r w:rsidR="00ED7372" w:rsidRPr="00851DA1">
        <w:rPr>
          <w:szCs w:val="20"/>
          <w:rtl/>
        </w:rPr>
        <w:t>.</w:t>
      </w:r>
      <w:r w:rsidRPr="00851DA1">
        <w:rPr>
          <w:rtl/>
        </w:rPr>
        <w:t xml:space="preserve"> وينبغي أن يسترشد فرض أي قيود بهدف تيسير هذا الحق بدلاً من السعي إلى تقييده على نحو غير ضروري وغير متناسب</w:t>
      </w:r>
      <w:r w:rsidR="00E13836" w:rsidRPr="00851DA1">
        <w:rPr>
          <w:rStyle w:val="FootnoteReference"/>
          <w:rtl/>
        </w:rPr>
        <w:t>(</w:t>
      </w:r>
      <w:r w:rsidR="00C04E6F" w:rsidRPr="00851DA1">
        <w:rPr>
          <w:rStyle w:val="FootnoteReference"/>
          <w:rFonts w:cs="Times New Roman"/>
          <w:b w:val="0"/>
          <w:position w:val="4"/>
          <w:sz w:val="20"/>
        </w:rPr>
        <w:footnoteReference w:id="41"/>
      </w:r>
      <w:r w:rsidR="00E13836" w:rsidRPr="00851DA1">
        <w:rPr>
          <w:rStyle w:val="FootnoteReference"/>
          <w:rtl/>
        </w:rPr>
        <w:t>)</w:t>
      </w:r>
      <w:r w:rsidR="00ED7372" w:rsidRPr="00851DA1">
        <w:rPr>
          <w:rtl/>
        </w:rPr>
        <w:t>.</w:t>
      </w:r>
      <w:r w:rsidRPr="00851DA1">
        <w:rPr>
          <w:rtl/>
        </w:rPr>
        <w:t xml:space="preserve"> ويجب ألا تكون القيود تمييزية، أو مخلة بجوهر الحق، أو هادفة إلى ردع المشاركة في التجمعات، أو ذات أثر </w:t>
      </w:r>
      <w:bookmarkStart w:id="1" w:name="_Hlk53063622"/>
      <w:r w:rsidRPr="00851DA1">
        <w:rPr>
          <w:rtl/>
        </w:rPr>
        <w:t>مثبط</w:t>
      </w:r>
      <w:bookmarkEnd w:id="1"/>
      <w:r w:rsidRPr="00851DA1">
        <w:rPr>
          <w:rtl/>
        </w:rPr>
        <w:t>.</w:t>
      </w:r>
    </w:p>
    <w:p w14:paraId="7A314105" w14:textId="32333E0A" w:rsidR="00B828C2" w:rsidRPr="00851DA1" w:rsidRDefault="00B828C2" w:rsidP="00B828C2">
      <w:pPr>
        <w:pStyle w:val="SingleTxtGA"/>
        <w:rPr>
          <w:szCs w:val="20"/>
          <w:lang w:val="ar-SA" w:eastAsia="zh-TW" w:bidi="en-GB"/>
        </w:rPr>
      </w:pPr>
      <w:r w:rsidRPr="00851DA1">
        <w:rPr>
          <w:szCs w:val="20"/>
          <w:rtl/>
        </w:rPr>
        <w:t>37</w:t>
      </w:r>
      <w:r w:rsidR="00C04E6F" w:rsidRPr="00851DA1">
        <w:rPr>
          <w:szCs w:val="20"/>
          <w:rtl/>
        </w:rPr>
        <w:t>-</w:t>
      </w:r>
      <w:r w:rsidR="00C04E6F" w:rsidRPr="00851DA1">
        <w:rPr>
          <w:szCs w:val="20"/>
          <w:rtl/>
        </w:rPr>
        <w:tab/>
      </w:r>
      <w:r w:rsidRPr="00851DA1">
        <w:rPr>
          <w:rtl/>
        </w:rPr>
        <w:t>ولا يمكن النظر في حظر تجمّع ما سوى كتدبير أخير. وحيثما اعتُبِر أن من الضروري فرض قيود على تجمع معين، ينبغي للسلطات أن تسعى أولاً إلى تطبيق أقل التدابير تدخلاً. وينبغي للدول أن تنظر أيضاً في السماح بعقد التجمّعات قبل أن تقرّر ما إذا كان ينبغي اتخاذ تدابير بشأن التجاوزات المحتملة خلال حدوثها، بدلاً من فرض قيود مسبقة في محاولة للقضاء على جميع المخاطر</w:t>
      </w:r>
      <w:r w:rsidR="00E13836" w:rsidRPr="00851DA1">
        <w:rPr>
          <w:rStyle w:val="FootnoteReference"/>
          <w:rtl/>
        </w:rPr>
        <w:t>(</w:t>
      </w:r>
      <w:r w:rsidR="00C04E6F" w:rsidRPr="00851DA1">
        <w:rPr>
          <w:rStyle w:val="FootnoteReference"/>
          <w:rFonts w:cs="Times New Roman"/>
          <w:b w:val="0"/>
          <w:position w:val="4"/>
          <w:sz w:val="20"/>
        </w:rPr>
        <w:footnoteReference w:id="42"/>
      </w:r>
      <w:r w:rsidR="00E13836" w:rsidRPr="00851DA1">
        <w:rPr>
          <w:rStyle w:val="FootnoteReference"/>
          <w:rtl/>
        </w:rPr>
        <w:t>)</w:t>
      </w:r>
      <w:r w:rsidR="00ED7372" w:rsidRPr="00851DA1">
        <w:rPr>
          <w:rtl/>
        </w:rPr>
        <w:t>.</w:t>
      </w:r>
    </w:p>
    <w:p w14:paraId="4E9864BC" w14:textId="3BEC2FC6" w:rsidR="00B828C2" w:rsidRPr="00851DA1" w:rsidRDefault="00B828C2" w:rsidP="00B828C2">
      <w:pPr>
        <w:pStyle w:val="SingleTxtGA"/>
        <w:rPr>
          <w:szCs w:val="20"/>
          <w:lang w:eastAsia="zh-TW" w:bidi="en-GB"/>
        </w:rPr>
      </w:pPr>
      <w:r w:rsidRPr="00851DA1">
        <w:rPr>
          <w:szCs w:val="20"/>
          <w:rtl/>
        </w:rPr>
        <w:t>38</w:t>
      </w:r>
      <w:r w:rsidR="00C04E6F" w:rsidRPr="00851DA1">
        <w:rPr>
          <w:szCs w:val="20"/>
          <w:rtl/>
        </w:rPr>
        <w:t>-</w:t>
      </w:r>
      <w:r w:rsidR="00C04E6F" w:rsidRPr="00851DA1">
        <w:rPr>
          <w:szCs w:val="20"/>
          <w:rtl/>
        </w:rPr>
        <w:tab/>
      </w:r>
      <w:r w:rsidRPr="00851DA1">
        <w:rPr>
          <w:rtl/>
        </w:rPr>
        <w:t>وينبغي أن تستند أي قيود تفرض على المشاركة في التجمعات السلمية إلى تقييم متمايز أو</w:t>
      </w:r>
      <w:r w:rsidR="00453ECF" w:rsidRPr="00851DA1">
        <w:rPr>
          <w:rFonts w:hint="eastAsia"/>
          <w:rtl/>
        </w:rPr>
        <w:t> </w:t>
      </w:r>
      <w:r w:rsidRPr="00851DA1">
        <w:rPr>
          <w:rtl/>
        </w:rPr>
        <w:t>فردي لسلوك المشاركين والتجمع المعني. ويفترض أن من غير المتناسب فرض قيود شاملة على التجمعات السلمية.</w:t>
      </w:r>
    </w:p>
    <w:p w14:paraId="475D6D51" w14:textId="1214108E" w:rsidR="00B828C2" w:rsidRPr="00851DA1" w:rsidRDefault="00B828C2" w:rsidP="00B828C2">
      <w:pPr>
        <w:pStyle w:val="SingleTxtGA"/>
        <w:rPr>
          <w:color w:val="000000"/>
          <w:szCs w:val="20"/>
          <w:lang w:val="ar-SA" w:eastAsia="zh-TW" w:bidi="en-GB"/>
        </w:rPr>
      </w:pPr>
      <w:r w:rsidRPr="00851DA1">
        <w:rPr>
          <w:szCs w:val="20"/>
          <w:rtl/>
        </w:rPr>
        <w:t>39</w:t>
      </w:r>
      <w:r w:rsidR="00C04E6F" w:rsidRPr="00851DA1">
        <w:rPr>
          <w:szCs w:val="20"/>
          <w:rtl/>
        </w:rPr>
        <w:t>-</w:t>
      </w:r>
      <w:r w:rsidR="00C04E6F" w:rsidRPr="00851DA1">
        <w:rPr>
          <w:szCs w:val="20"/>
          <w:rtl/>
        </w:rPr>
        <w:tab/>
      </w:r>
      <w:r w:rsidRPr="00851DA1">
        <w:rPr>
          <w:rtl/>
        </w:rPr>
        <w:t xml:space="preserve">وتنص الجملة الثانية من المادة </w:t>
      </w:r>
      <w:r w:rsidRPr="00851DA1">
        <w:rPr>
          <w:szCs w:val="20"/>
          <w:rtl/>
        </w:rPr>
        <w:t>21</w:t>
      </w:r>
      <w:r w:rsidRPr="00851DA1">
        <w:rPr>
          <w:rtl/>
        </w:rPr>
        <w:t xml:space="preserve"> على أنه لا يجوز فرض أي قيود على ممارسة الحق في التجمع السلمي غير تلك التي ينص عليها القانون. ويطرح ذلك الشرط الرسمي المتعلق بالمشروعية، على غرار شرط أن تكون القيود منصوصاً عليها بموجب القانون في مواد أخرى من العهد. وهكذا يجب فرض القيود من خلال القانون أو قرارات إدارية مستندة إلى القانون. ويجب أن تكون القوانين المعنية </w:t>
      </w:r>
      <w:r w:rsidRPr="00851DA1">
        <w:rPr>
          <w:rtl/>
        </w:rPr>
        <w:lastRenderedPageBreak/>
        <w:t>دقيقة بما يكفي للسماح لأفراد المجتمع بتقرير طريقة تنظيم سلوكهم، ولا يجوز أن تمنح سلطة تقديرية مطلقة أو شاملة للمكلفين بإنفاذها</w:t>
      </w:r>
      <w:r w:rsidR="00E13836" w:rsidRPr="00851DA1">
        <w:rPr>
          <w:rStyle w:val="FootnoteReference"/>
          <w:rtl/>
        </w:rPr>
        <w:t>(</w:t>
      </w:r>
      <w:r w:rsidR="00C04E6F" w:rsidRPr="00851DA1">
        <w:rPr>
          <w:rStyle w:val="FootnoteReference"/>
          <w:rFonts w:cs="Times New Roman"/>
          <w:b w:val="0"/>
          <w:position w:val="4"/>
          <w:sz w:val="20"/>
        </w:rPr>
        <w:footnoteReference w:id="43"/>
      </w:r>
      <w:r w:rsidR="00E13836" w:rsidRPr="00851DA1">
        <w:rPr>
          <w:rStyle w:val="FootnoteReference"/>
          <w:rtl/>
        </w:rPr>
        <w:t>)</w:t>
      </w:r>
      <w:r w:rsidR="00ED7372" w:rsidRPr="00851DA1">
        <w:rPr>
          <w:rtl/>
        </w:rPr>
        <w:t>.</w:t>
      </w:r>
    </w:p>
    <w:p w14:paraId="6637A147" w14:textId="78514583" w:rsidR="00B828C2" w:rsidRPr="00851DA1" w:rsidRDefault="00B828C2" w:rsidP="00B828C2">
      <w:pPr>
        <w:pStyle w:val="SingleTxtGA"/>
        <w:rPr>
          <w:spacing w:val="-2"/>
          <w:szCs w:val="20"/>
          <w:lang w:eastAsia="zh-TW" w:bidi="en-GB"/>
        </w:rPr>
      </w:pPr>
      <w:r w:rsidRPr="00851DA1">
        <w:rPr>
          <w:szCs w:val="20"/>
          <w:rtl/>
        </w:rPr>
        <w:t>40</w:t>
      </w:r>
      <w:r w:rsidR="00C04E6F" w:rsidRPr="00851DA1">
        <w:rPr>
          <w:szCs w:val="20"/>
          <w:rtl/>
        </w:rPr>
        <w:t>-</w:t>
      </w:r>
      <w:r w:rsidR="00C04E6F" w:rsidRPr="00851DA1">
        <w:rPr>
          <w:szCs w:val="20"/>
          <w:rtl/>
        </w:rPr>
        <w:tab/>
      </w:r>
      <w:r w:rsidRPr="00851DA1">
        <w:rPr>
          <w:spacing w:val="-2"/>
          <w:rtl/>
        </w:rPr>
        <w:t xml:space="preserve">وتنص المادة </w:t>
      </w:r>
      <w:r w:rsidRPr="00851DA1">
        <w:rPr>
          <w:spacing w:val="-2"/>
          <w:szCs w:val="20"/>
          <w:rtl/>
        </w:rPr>
        <w:t>21</w:t>
      </w:r>
      <w:r w:rsidRPr="00851DA1">
        <w:rPr>
          <w:spacing w:val="-2"/>
          <w:rtl/>
        </w:rPr>
        <w:t xml:space="preserve"> على وجوب أن تشكل القيود تدابير ضرورية في مجتمع ديمقراطي. ولذلك يجب أن تكون القيود ضرورية ومتناسبة في سياق مجتمع قائم على الديمقراطية وسيادة القانون والتعددية السياسية وحقوق الإنسان، بدل</w:t>
      </w:r>
      <w:r w:rsidR="000B128E" w:rsidRPr="00851DA1">
        <w:rPr>
          <w:spacing w:val="-2"/>
          <w:rtl/>
        </w:rPr>
        <w:t xml:space="preserve">اً </w:t>
      </w:r>
      <w:r w:rsidRPr="00851DA1">
        <w:rPr>
          <w:spacing w:val="-2"/>
          <w:rtl/>
        </w:rPr>
        <w:t>من أن تكون فقط معقولة أو مناسبة</w:t>
      </w:r>
      <w:r w:rsidR="00E13836" w:rsidRPr="00851DA1">
        <w:rPr>
          <w:rStyle w:val="FootnoteReference"/>
          <w:spacing w:val="-2"/>
          <w:rtl/>
        </w:rPr>
        <w:t>(</w:t>
      </w:r>
      <w:r w:rsidR="00C04E6F" w:rsidRPr="00851DA1">
        <w:rPr>
          <w:rStyle w:val="FootnoteReference"/>
          <w:rFonts w:cs="Times New Roman"/>
          <w:b w:val="0"/>
          <w:spacing w:val="-2"/>
          <w:position w:val="4"/>
          <w:sz w:val="20"/>
        </w:rPr>
        <w:footnoteReference w:id="44"/>
      </w:r>
      <w:r w:rsidR="00E13836" w:rsidRPr="00851DA1">
        <w:rPr>
          <w:rStyle w:val="FootnoteReference"/>
          <w:spacing w:val="-2"/>
          <w:rtl/>
        </w:rPr>
        <w:t>)</w:t>
      </w:r>
      <w:r w:rsidR="00ED7372" w:rsidRPr="00851DA1">
        <w:rPr>
          <w:spacing w:val="-2"/>
          <w:rtl/>
        </w:rPr>
        <w:t>.</w:t>
      </w:r>
      <w:r w:rsidRPr="00851DA1">
        <w:rPr>
          <w:spacing w:val="-2"/>
          <w:rtl/>
        </w:rPr>
        <w:t xml:space="preserve"> ويجب أن تشكل هذه القيود استجابات مناسبة لضرورة اجتماعية ملحة تتصل بأحد الأسس المسموح بها في المادة </w:t>
      </w:r>
      <w:r w:rsidRPr="00851DA1">
        <w:rPr>
          <w:spacing w:val="-2"/>
          <w:szCs w:val="20"/>
          <w:rtl/>
        </w:rPr>
        <w:t>21</w:t>
      </w:r>
      <w:r w:rsidRPr="00851DA1">
        <w:rPr>
          <w:spacing w:val="-2"/>
          <w:sz w:val="28"/>
          <w:rtl/>
        </w:rPr>
        <w:t>.</w:t>
      </w:r>
      <w:r w:rsidRPr="00851DA1">
        <w:rPr>
          <w:spacing w:val="-2"/>
          <w:rtl/>
        </w:rPr>
        <w:t xml:space="preserve"> ويجب أيض</w:t>
      </w:r>
      <w:r w:rsidR="000B128E" w:rsidRPr="00851DA1">
        <w:rPr>
          <w:spacing w:val="-2"/>
          <w:rtl/>
        </w:rPr>
        <w:t xml:space="preserve">اً </w:t>
      </w:r>
      <w:r w:rsidRPr="00851DA1">
        <w:rPr>
          <w:spacing w:val="-2"/>
          <w:rtl/>
        </w:rPr>
        <w:t>أن تكون الأقل تدخل</w:t>
      </w:r>
      <w:r w:rsidR="000B128E" w:rsidRPr="00851DA1">
        <w:rPr>
          <w:spacing w:val="-2"/>
          <w:rtl/>
        </w:rPr>
        <w:t xml:space="preserve">اً </w:t>
      </w:r>
      <w:r w:rsidRPr="00851DA1">
        <w:rPr>
          <w:spacing w:val="-2"/>
          <w:rtl/>
        </w:rPr>
        <w:t>من بين التدابير التي قد تؤدي وظيفة الحماية ذات الصلة</w:t>
      </w:r>
      <w:r w:rsidR="00E13836" w:rsidRPr="00851DA1">
        <w:rPr>
          <w:rStyle w:val="FootnoteReference"/>
          <w:spacing w:val="-2"/>
          <w:rtl/>
        </w:rPr>
        <w:t>(</w:t>
      </w:r>
      <w:r w:rsidR="00C04E6F" w:rsidRPr="00851DA1">
        <w:rPr>
          <w:rStyle w:val="FootnoteReference"/>
          <w:rFonts w:cs="Times New Roman"/>
          <w:b w:val="0"/>
          <w:spacing w:val="-2"/>
          <w:position w:val="4"/>
          <w:sz w:val="20"/>
        </w:rPr>
        <w:footnoteReference w:id="45"/>
      </w:r>
      <w:r w:rsidR="00E13836" w:rsidRPr="00851DA1">
        <w:rPr>
          <w:rStyle w:val="FootnoteReference"/>
          <w:spacing w:val="-2"/>
          <w:rtl/>
        </w:rPr>
        <w:t>)</w:t>
      </w:r>
      <w:r w:rsidR="00ED7372" w:rsidRPr="00851DA1">
        <w:rPr>
          <w:spacing w:val="-2"/>
          <w:rtl/>
        </w:rPr>
        <w:t>.</w:t>
      </w:r>
      <w:r w:rsidRPr="00851DA1">
        <w:rPr>
          <w:spacing w:val="-2"/>
          <w:rtl/>
        </w:rPr>
        <w:t xml:space="preserve"> وعلاوة على ذلك، يجب أن تكون متناسبة، وهو ما يتطلب تحديد قيمتها من خلال الموازنة بين طبيعة التدخل وتأثيره الضار على ممارسة الحق، من جهة، والفائدة المترتبة على أحد أسباب التدخل، من جهة أخرى</w:t>
      </w:r>
      <w:r w:rsidR="00E13836" w:rsidRPr="00851DA1">
        <w:rPr>
          <w:rStyle w:val="FootnoteReference"/>
          <w:spacing w:val="-2"/>
          <w:rtl/>
        </w:rPr>
        <w:t>(</w:t>
      </w:r>
      <w:r w:rsidR="00C04E6F" w:rsidRPr="00851DA1">
        <w:rPr>
          <w:rStyle w:val="FootnoteReference"/>
          <w:rFonts w:cs="Times New Roman"/>
          <w:b w:val="0"/>
          <w:spacing w:val="-2"/>
          <w:position w:val="4"/>
          <w:sz w:val="20"/>
        </w:rPr>
        <w:footnoteReference w:id="46"/>
      </w:r>
      <w:r w:rsidR="00E13836" w:rsidRPr="00851DA1">
        <w:rPr>
          <w:rStyle w:val="FootnoteReference"/>
          <w:spacing w:val="-2"/>
          <w:rtl/>
        </w:rPr>
        <w:t>)</w:t>
      </w:r>
      <w:r w:rsidR="00ED7372" w:rsidRPr="00851DA1">
        <w:rPr>
          <w:spacing w:val="-2"/>
          <w:rtl/>
        </w:rPr>
        <w:t>.</w:t>
      </w:r>
      <w:r w:rsidRPr="00851DA1">
        <w:rPr>
          <w:spacing w:val="-2"/>
          <w:rtl/>
        </w:rPr>
        <w:t xml:space="preserve"> وفي حال رجحان الضرر على الفائدة، يكون التقييد غير متناسب وبالتالي غير مسموح به.</w:t>
      </w:r>
    </w:p>
    <w:p w14:paraId="7F330D5C" w14:textId="44AF5E8C" w:rsidR="00B828C2" w:rsidRPr="00851DA1" w:rsidRDefault="00B828C2" w:rsidP="00B828C2">
      <w:pPr>
        <w:pStyle w:val="SingleTxtGA"/>
        <w:rPr>
          <w:szCs w:val="20"/>
          <w:lang w:eastAsia="zh-TW" w:bidi="en-GB"/>
        </w:rPr>
      </w:pPr>
      <w:r w:rsidRPr="00851DA1">
        <w:rPr>
          <w:szCs w:val="20"/>
          <w:rtl/>
        </w:rPr>
        <w:t>41</w:t>
      </w:r>
      <w:r w:rsidR="00C04E6F" w:rsidRPr="00851DA1">
        <w:rPr>
          <w:szCs w:val="20"/>
          <w:rtl/>
        </w:rPr>
        <w:t>-</w:t>
      </w:r>
      <w:r w:rsidR="00C04E6F" w:rsidRPr="00851DA1">
        <w:rPr>
          <w:szCs w:val="20"/>
          <w:rtl/>
        </w:rPr>
        <w:tab/>
      </w:r>
      <w:r w:rsidRPr="00851DA1">
        <w:rPr>
          <w:rtl/>
        </w:rPr>
        <w:t xml:space="preserve">ويحدد الجزء الأخير من الجملة الثانية من المادة </w:t>
      </w:r>
      <w:r w:rsidRPr="00851DA1">
        <w:rPr>
          <w:szCs w:val="20"/>
          <w:rtl/>
        </w:rPr>
        <w:t>21</w:t>
      </w:r>
      <w:r w:rsidRPr="00851DA1">
        <w:rPr>
          <w:rtl/>
        </w:rPr>
        <w:t xml:space="preserve"> الأسباب المشروعة التي تسمح بتقييد الحق</w:t>
      </w:r>
      <w:r w:rsidR="00697C5F" w:rsidRPr="00851DA1">
        <w:rPr>
          <w:rFonts w:hint="cs"/>
          <w:rtl/>
        </w:rPr>
        <w:t> </w:t>
      </w:r>
      <w:r w:rsidRPr="00851DA1">
        <w:rPr>
          <w:rtl/>
        </w:rPr>
        <w:t>في التجمع السلمي. وهو يتضمن قائمة شاملة تتألف من الأسباب التالية: صيانة الأمن القومي؛ أو</w:t>
      </w:r>
      <w:r w:rsidR="00697C5F" w:rsidRPr="00851DA1">
        <w:rPr>
          <w:rFonts w:hint="eastAsia"/>
          <w:rtl/>
        </w:rPr>
        <w:t> </w:t>
      </w:r>
      <w:r w:rsidRPr="00851DA1">
        <w:rPr>
          <w:rtl/>
        </w:rPr>
        <w:t>السلامة العامة؛ أو النظام العام؛ أو حماية الصحة العامة أو الآداب العامة؛ أو حماية حقوق الآخرين</w:t>
      </w:r>
      <w:r w:rsidR="00697C5F" w:rsidRPr="00851DA1">
        <w:rPr>
          <w:rFonts w:hint="cs"/>
          <w:rtl/>
        </w:rPr>
        <w:t> </w:t>
      </w:r>
      <w:r w:rsidRPr="00851DA1">
        <w:rPr>
          <w:rtl/>
        </w:rPr>
        <w:t>وحرياتهم.</w:t>
      </w:r>
    </w:p>
    <w:p w14:paraId="64948A31" w14:textId="5C456F57" w:rsidR="00B828C2" w:rsidRPr="00851DA1" w:rsidRDefault="00B828C2" w:rsidP="00B828C2">
      <w:pPr>
        <w:pStyle w:val="SingleTxtGA"/>
        <w:rPr>
          <w:color w:val="000000"/>
          <w:szCs w:val="20"/>
          <w:lang w:eastAsia="zh-TW" w:bidi="en-GB"/>
        </w:rPr>
      </w:pPr>
      <w:r w:rsidRPr="00851DA1">
        <w:rPr>
          <w:szCs w:val="20"/>
          <w:rtl/>
        </w:rPr>
        <w:t>42</w:t>
      </w:r>
      <w:r w:rsidR="00C04E6F" w:rsidRPr="00851DA1">
        <w:rPr>
          <w:szCs w:val="20"/>
          <w:rtl/>
        </w:rPr>
        <w:t>-</w:t>
      </w:r>
      <w:r w:rsidR="00C04E6F" w:rsidRPr="00851DA1">
        <w:rPr>
          <w:szCs w:val="20"/>
          <w:rtl/>
        </w:rPr>
        <w:tab/>
      </w:r>
      <w:r w:rsidRPr="00851DA1">
        <w:rPr>
          <w:rtl/>
        </w:rPr>
        <w:t>ويمكن أن تشكل مسألة "صيانة الأمن القومي" سبب</w:t>
      </w:r>
      <w:r w:rsidR="000B128E" w:rsidRPr="00851DA1">
        <w:rPr>
          <w:rtl/>
        </w:rPr>
        <w:t xml:space="preserve">اً </w:t>
      </w:r>
      <w:r w:rsidRPr="00851DA1">
        <w:rPr>
          <w:rtl/>
        </w:rPr>
        <w:t>لفرض قيود إذا كانت هذه القيود ضرورية للحفاظ على قدرة الدولة على حماية بقائها أو سلامتها الإقليمية أو استقلالها السياسي من استخدام القوة أو من تهديد موثوق باستخدامها</w:t>
      </w:r>
      <w:r w:rsidR="00E13836" w:rsidRPr="00851DA1">
        <w:rPr>
          <w:rStyle w:val="FootnoteReference"/>
          <w:rtl/>
        </w:rPr>
        <w:t>(</w:t>
      </w:r>
      <w:r w:rsidR="00C04E6F" w:rsidRPr="00851DA1">
        <w:rPr>
          <w:rStyle w:val="FootnoteReference"/>
          <w:rFonts w:cs="Times New Roman"/>
          <w:b w:val="0"/>
          <w:position w:val="4"/>
          <w:sz w:val="20"/>
        </w:rPr>
        <w:footnoteReference w:id="47"/>
      </w:r>
      <w:r w:rsidR="00E13836" w:rsidRPr="00851DA1">
        <w:rPr>
          <w:rStyle w:val="FootnoteReference"/>
          <w:rtl/>
        </w:rPr>
        <w:t>)</w:t>
      </w:r>
      <w:r w:rsidR="00ED7372" w:rsidRPr="00851DA1">
        <w:rPr>
          <w:rtl/>
        </w:rPr>
        <w:t>.</w:t>
      </w:r>
      <w:r w:rsidRPr="00851DA1">
        <w:rPr>
          <w:rtl/>
        </w:rPr>
        <w:t xml:space="preserve"> ولن تبلغ التجمعات "السلمية" هذا الحد إلا في حالات استثنائية. وعلاوة على ذلك، لا يمكن قمع حقوق الإنسان لتبرير فرض مزيد من القيود، بما في ذلك على الحق في التجمع السلمي، عندما يكون ذلك القمع نفسه هو الذي أدى إلى تدهور الأمن</w:t>
      </w:r>
      <w:r w:rsidR="0020465C" w:rsidRPr="00851DA1">
        <w:rPr>
          <w:rFonts w:hint="cs"/>
          <w:rtl/>
        </w:rPr>
        <w:t> </w:t>
      </w:r>
      <w:r w:rsidRPr="00851DA1">
        <w:rPr>
          <w:rtl/>
        </w:rPr>
        <w:t>القومي</w:t>
      </w:r>
      <w:r w:rsidR="00E13836" w:rsidRPr="00851DA1">
        <w:rPr>
          <w:rStyle w:val="FootnoteReference"/>
          <w:rtl/>
        </w:rPr>
        <w:t>(</w:t>
      </w:r>
      <w:r w:rsidR="00C04E6F" w:rsidRPr="00851DA1">
        <w:rPr>
          <w:rStyle w:val="FootnoteReference"/>
          <w:rFonts w:cs="Times New Roman"/>
          <w:b w:val="0"/>
          <w:position w:val="4"/>
          <w:sz w:val="20"/>
        </w:rPr>
        <w:footnoteReference w:id="48"/>
      </w:r>
      <w:r w:rsidR="00E13836" w:rsidRPr="00851DA1">
        <w:rPr>
          <w:rStyle w:val="FootnoteReference"/>
          <w:rtl/>
        </w:rPr>
        <w:t>)</w:t>
      </w:r>
      <w:r w:rsidR="00ED7372" w:rsidRPr="00851DA1">
        <w:rPr>
          <w:rtl/>
        </w:rPr>
        <w:t>.</w:t>
      </w:r>
    </w:p>
    <w:p w14:paraId="318658BC" w14:textId="030941D3" w:rsidR="00B828C2" w:rsidRPr="00851DA1" w:rsidRDefault="00B828C2" w:rsidP="00B828C2">
      <w:pPr>
        <w:pStyle w:val="SingleTxtGA"/>
        <w:rPr>
          <w:color w:val="000000"/>
          <w:szCs w:val="20"/>
          <w:lang w:val="ar-SA" w:eastAsia="zh-TW" w:bidi="en-GB"/>
        </w:rPr>
      </w:pPr>
      <w:r w:rsidRPr="00851DA1">
        <w:rPr>
          <w:szCs w:val="20"/>
          <w:rtl/>
        </w:rPr>
        <w:t>43</w:t>
      </w:r>
      <w:r w:rsidR="00C04E6F" w:rsidRPr="00851DA1">
        <w:rPr>
          <w:szCs w:val="20"/>
          <w:rtl/>
        </w:rPr>
        <w:t>-</w:t>
      </w:r>
      <w:r w:rsidR="00C04E6F" w:rsidRPr="00851DA1">
        <w:rPr>
          <w:szCs w:val="20"/>
          <w:rtl/>
        </w:rPr>
        <w:tab/>
      </w:r>
      <w:r w:rsidRPr="00851DA1">
        <w:rPr>
          <w:rtl/>
        </w:rPr>
        <w:t>وللاحتجاج بحماية "السلامة العامة" كسبب لتقييد الحق في التجمع السلمي</w:t>
      </w:r>
      <w:r w:rsidR="00E13836" w:rsidRPr="00851DA1">
        <w:rPr>
          <w:rStyle w:val="FootnoteReference"/>
          <w:rtl/>
        </w:rPr>
        <w:t>(</w:t>
      </w:r>
      <w:r w:rsidR="00C04E6F" w:rsidRPr="00851DA1">
        <w:rPr>
          <w:rStyle w:val="FootnoteReference"/>
          <w:rFonts w:cs="Times New Roman"/>
          <w:b w:val="0"/>
          <w:position w:val="4"/>
          <w:sz w:val="20"/>
        </w:rPr>
        <w:footnoteReference w:id="49"/>
      </w:r>
      <w:r w:rsidR="00E13836" w:rsidRPr="00851DA1">
        <w:rPr>
          <w:rStyle w:val="FootnoteReference"/>
          <w:rtl/>
        </w:rPr>
        <w:t>)</w:t>
      </w:r>
      <w:r w:rsidRPr="00851DA1">
        <w:rPr>
          <w:rtl/>
        </w:rPr>
        <w:t xml:space="preserve">، يجب إثبات أن التجمع يشكل خطراً حقيقياً وكبيراً على سلامة الأشخاص </w:t>
      </w:r>
      <w:r w:rsidR="00E13836" w:rsidRPr="00851DA1">
        <w:rPr>
          <w:rtl/>
        </w:rPr>
        <w:t>(</w:t>
      </w:r>
      <w:r w:rsidRPr="00851DA1">
        <w:rPr>
          <w:rtl/>
        </w:rPr>
        <w:t>على حياة الأشخاص أو أمنهم</w:t>
      </w:r>
      <w:r w:rsidR="00E13836" w:rsidRPr="00851DA1">
        <w:rPr>
          <w:rtl/>
        </w:rPr>
        <w:t>)</w:t>
      </w:r>
      <w:r w:rsidRPr="00851DA1">
        <w:rPr>
          <w:rtl/>
        </w:rPr>
        <w:t xml:space="preserve"> أو</w:t>
      </w:r>
      <w:r w:rsidR="00697C5F" w:rsidRPr="00851DA1">
        <w:rPr>
          <w:rFonts w:hint="cs"/>
          <w:rtl/>
        </w:rPr>
        <w:t> </w:t>
      </w:r>
      <w:r w:rsidRPr="00851DA1">
        <w:rPr>
          <w:rtl/>
        </w:rPr>
        <w:t>خطراً مماثلاً يتمثل في إلحاق ضرر جسيم بالممتلكات</w:t>
      </w:r>
      <w:r w:rsidR="00E13836" w:rsidRPr="00851DA1">
        <w:rPr>
          <w:rStyle w:val="FootnoteReference"/>
          <w:rtl/>
        </w:rPr>
        <w:t>(</w:t>
      </w:r>
      <w:r w:rsidR="00C04E6F" w:rsidRPr="00851DA1">
        <w:rPr>
          <w:rStyle w:val="FootnoteReference"/>
          <w:rFonts w:cs="Times New Roman"/>
          <w:b w:val="0"/>
          <w:position w:val="4"/>
          <w:sz w:val="20"/>
        </w:rPr>
        <w:footnoteReference w:id="50"/>
      </w:r>
      <w:r w:rsidR="00E13836" w:rsidRPr="00851DA1">
        <w:rPr>
          <w:rStyle w:val="FootnoteReference"/>
          <w:rtl/>
        </w:rPr>
        <w:t>)</w:t>
      </w:r>
      <w:r w:rsidR="00ED7372" w:rsidRPr="00851DA1">
        <w:rPr>
          <w:rtl/>
        </w:rPr>
        <w:t>.</w:t>
      </w:r>
    </w:p>
    <w:p w14:paraId="0A070376" w14:textId="45E607A9" w:rsidR="00B828C2" w:rsidRPr="00851DA1" w:rsidRDefault="00B828C2" w:rsidP="00B828C2">
      <w:pPr>
        <w:pStyle w:val="SingleTxtGA"/>
        <w:rPr>
          <w:color w:val="000000"/>
          <w:spacing w:val="-3"/>
          <w:w w:val="105"/>
          <w:szCs w:val="20"/>
          <w:lang w:val="ar-SA" w:eastAsia="zh-TW" w:bidi="en-GB"/>
        </w:rPr>
      </w:pPr>
      <w:r w:rsidRPr="00851DA1">
        <w:rPr>
          <w:szCs w:val="20"/>
          <w:rtl/>
        </w:rPr>
        <w:t>44</w:t>
      </w:r>
      <w:r w:rsidR="00C04E6F" w:rsidRPr="00851DA1">
        <w:rPr>
          <w:szCs w:val="20"/>
          <w:rtl/>
        </w:rPr>
        <w:t>-</w:t>
      </w:r>
      <w:r w:rsidR="00C04E6F" w:rsidRPr="00851DA1">
        <w:rPr>
          <w:szCs w:val="20"/>
          <w:rtl/>
        </w:rPr>
        <w:tab/>
      </w:r>
      <w:r w:rsidRPr="00851DA1">
        <w:rPr>
          <w:rtl/>
        </w:rPr>
        <w:t>ويشير مصطلح "النظام العام" إلى مجموع القواعد التي تكفل حسن سير المجتمع، أو مجموعة المبادئ الأساسية التي يقوم عليها المجتمع، وهو ما يعني أيض</w:t>
      </w:r>
      <w:r w:rsidR="000B128E" w:rsidRPr="00851DA1">
        <w:rPr>
          <w:rtl/>
        </w:rPr>
        <w:t xml:space="preserve">اً </w:t>
      </w:r>
      <w:r w:rsidRPr="00851DA1">
        <w:rPr>
          <w:rtl/>
        </w:rPr>
        <w:t xml:space="preserve">احترام حقوق الإنسان، بما فيها الحق </w:t>
      </w:r>
      <w:r w:rsidRPr="00851DA1">
        <w:rPr>
          <w:rtl/>
        </w:rPr>
        <w:lastRenderedPageBreak/>
        <w:t>في</w:t>
      </w:r>
      <w:r w:rsidR="00697C5F" w:rsidRPr="00851DA1">
        <w:rPr>
          <w:rFonts w:hint="cs"/>
          <w:rtl/>
        </w:rPr>
        <w:t> </w:t>
      </w:r>
      <w:r w:rsidRPr="00851DA1">
        <w:rPr>
          <w:rtl/>
        </w:rPr>
        <w:t>التجمع السلمي</w:t>
      </w:r>
      <w:r w:rsidR="00E13836" w:rsidRPr="00851DA1">
        <w:rPr>
          <w:rStyle w:val="FootnoteReference"/>
          <w:rtl/>
        </w:rPr>
        <w:t>(</w:t>
      </w:r>
      <w:r w:rsidR="00C04E6F" w:rsidRPr="00851DA1">
        <w:rPr>
          <w:rStyle w:val="FootnoteReference"/>
          <w:rFonts w:cs="Times New Roman"/>
          <w:b w:val="0"/>
          <w:position w:val="4"/>
          <w:sz w:val="20"/>
        </w:rPr>
        <w:footnoteReference w:id="51"/>
      </w:r>
      <w:r w:rsidR="00E13836" w:rsidRPr="00851DA1">
        <w:rPr>
          <w:rStyle w:val="FootnoteReference"/>
          <w:rtl/>
        </w:rPr>
        <w:t>)</w:t>
      </w:r>
      <w:r w:rsidR="00ED7372" w:rsidRPr="00851DA1">
        <w:rPr>
          <w:rtl/>
        </w:rPr>
        <w:t>.</w:t>
      </w:r>
      <w:r w:rsidRPr="00851DA1">
        <w:rPr>
          <w:rtl/>
        </w:rPr>
        <w:t xml:space="preserve"> وينبغي ألا تعتمد الدول الأطراف على تعريف غامض لمصطلح "النظام العام" لتبرير فرض قيود مفرطة على الحق في التجمع السلمي</w:t>
      </w:r>
      <w:r w:rsidR="00E13836" w:rsidRPr="00851DA1">
        <w:rPr>
          <w:rStyle w:val="FootnoteReference"/>
          <w:rtl/>
        </w:rPr>
        <w:t>(</w:t>
      </w:r>
      <w:r w:rsidR="00C04E6F" w:rsidRPr="00851DA1">
        <w:rPr>
          <w:rStyle w:val="FootnoteReference"/>
          <w:rFonts w:cs="Times New Roman"/>
          <w:b w:val="0"/>
          <w:position w:val="4"/>
          <w:sz w:val="20"/>
        </w:rPr>
        <w:footnoteReference w:id="52"/>
      </w:r>
      <w:r w:rsidR="00E13836" w:rsidRPr="00851DA1">
        <w:rPr>
          <w:rStyle w:val="FootnoteReference"/>
          <w:rtl/>
        </w:rPr>
        <w:t>)</w:t>
      </w:r>
      <w:r w:rsidR="00ED7372" w:rsidRPr="00851DA1">
        <w:rPr>
          <w:rtl/>
        </w:rPr>
        <w:t>.</w:t>
      </w:r>
      <w:r w:rsidRPr="00851DA1">
        <w:rPr>
          <w:rtl/>
        </w:rPr>
        <w:t xml:space="preserve"> وأحيان</w:t>
      </w:r>
      <w:r w:rsidR="000B128E" w:rsidRPr="00851DA1">
        <w:rPr>
          <w:rtl/>
        </w:rPr>
        <w:t xml:space="preserve">اً، </w:t>
      </w:r>
      <w:r w:rsidRPr="00851DA1">
        <w:rPr>
          <w:rtl/>
        </w:rPr>
        <w:t>قد تكون التجمعات السلمية مخلة بالنظام بطبيعتها أو بشكل مقصود، وتتطلب التحلي بدرجة كبيرة من التسامح. ومصطلح "النظام</w:t>
      </w:r>
      <w:r w:rsidR="00CC4DBD" w:rsidRPr="00851DA1">
        <w:rPr>
          <w:rFonts w:hint="cs"/>
          <w:rtl/>
        </w:rPr>
        <w:t> </w:t>
      </w:r>
      <w:r w:rsidRPr="00851DA1">
        <w:rPr>
          <w:rtl/>
        </w:rPr>
        <w:t>العام" ليس مرادف</w:t>
      </w:r>
      <w:r w:rsidR="000B128E" w:rsidRPr="00851DA1">
        <w:rPr>
          <w:rtl/>
        </w:rPr>
        <w:t xml:space="preserve">اً </w:t>
      </w:r>
      <w:r w:rsidRPr="00851DA1">
        <w:rPr>
          <w:rtl/>
        </w:rPr>
        <w:t>لـمصطلح "القانون والنظام" ولا ينبغي استخدام حظر "الفوضى العامة" في القانون المحلي استخدام</w:t>
      </w:r>
      <w:r w:rsidR="000B128E" w:rsidRPr="00851DA1">
        <w:rPr>
          <w:rtl/>
        </w:rPr>
        <w:t xml:space="preserve">اً </w:t>
      </w:r>
      <w:r w:rsidRPr="00851DA1">
        <w:rPr>
          <w:rtl/>
        </w:rPr>
        <w:t>غير ملائم لتقييد التجمعات السلمية.</w:t>
      </w:r>
    </w:p>
    <w:p w14:paraId="4A1C6D34" w14:textId="460D6AC5" w:rsidR="00B828C2" w:rsidRPr="00851DA1" w:rsidRDefault="00B828C2" w:rsidP="00B828C2">
      <w:pPr>
        <w:pStyle w:val="SingleTxtGA"/>
        <w:rPr>
          <w:color w:val="000000"/>
          <w:szCs w:val="20"/>
          <w:lang w:val="ar-SA" w:eastAsia="zh-TW" w:bidi="en-GB"/>
        </w:rPr>
      </w:pPr>
      <w:r w:rsidRPr="00851DA1">
        <w:rPr>
          <w:szCs w:val="20"/>
          <w:rtl/>
        </w:rPr>
        <w:t>45</w:t>
      </w:r>
      <w:r w:rsidR="00C04E6F" w:rsidRPr="00851DA1">
        <w:rPr>
          <w:szCs w:val="20"/>
          <w:rtl/>
        </w:rPr>
        <w:t>-</w:t>
      </w:r>
      <w:r w:rsidR="00C04E6F" w:rsidRPr="00851DA1">
        <w:rPr>
          <w:szCs w:val="20"/>
          <w:rtl/>
        </w:rPr>
        <w:tab/>
      </w:r>
      <w:r w:rsidRPr="00851DA1">
        <w:rPr>
          <w:rtl/>
        </w:rPr>
        <w:t>وقد تسمح حماية "الصحة العامة" بفرض قيود استثنائية، كما هو الحال مثلاً عندما يتفشى مرض معد وتكون التجمعات خطرة. وقد ينطبق هذا الأمر أيضاً في الحالات القصوى عندما تشكّل الحالة الصحية أثناء تجمع ما خطراً صحياً كبيراً على الجمهور العام أو المشاركين أنفسهم</w:t>
      </w:r>
      <w:r w:rsidR="00E13836" w:rsidRPr="00851DA1">
        <w:rPr>
          <w:rStyle w:val="FootnoteReference"/>
          <w:rtl/>
        </w:rPr>
        <w:t>(</w:t>
      </w:r>
      <w:r w:rsidR="00C04E6F" w:rsidRPr="00851DA1">
        <w:rPr>
          <w:rStyle w:val="FootnoteReference"/>
          <w:rFonts w:cs="Times New Roman"/>
          <w:b w:val="0"/>
          <w:position w:val="4"/>
          <w:sz w:val="20"/>
        </w:rPr>
        <w:footnoteReference w:id="53"/>
      </w:r>
      <w:r w:rsidR="00E13836" w:rsidRPr="00851DA1">
        <w:rPr>
          <w:rStyle w:val="FootnoteReference"/>
          <w:rtl/>
        </w:rPr>
        <w:t>)</w:t>
      </w:r>
      <w:r w:rsidR="00ED7372" w:rsidRPr="00851DA1">
        <w:rPr>
          <w:rtl/>
        </w:rPr>
        <w:t>.</w:t>
      </w:r>
    </w:p>
    <w:p w14:paraId="3F964B97" w14:textId="11237F11" w:rsidR="00B828C2" w:rsidRPr="00851DA1" w:rsidRDefault="00B828C2" w:rsidP="00B828C2">
      <w:pPr>
        <w:pStyle w:val="SingleTxtGA"/>
        <w:rPr>
          <w:color w:val="000000"/>
          <w:szCs w:val="20"/>
          <w:lang w:eastAsia="zh-TW" w:bidi="en-GB"/>
        </w:rPr>
      </w:pPr>
      <w:r w:rsidRPr="00851DA1">
        <w:rPr>
          <w:szCs w:val="20"/>
          <w:rtl/>
        </w:rPr>
        <w:t>46</w:t>
      </w:r>
      <w:r w:rsidR="00C04E6F" w:rsidRPr="00851DA1">
        <w:rPr>
          <w:szCs w:val="20"/>
          <w:rtl/>
        </w:rPr>
        <w:t>-</w:t>
      </w:r>
      <w:r w:rsidR="00C04E6F" w:rsidRPr="00851DA1">
        <w:rPr>
          <w:szCs w:val="20"/>
          <w:rtl/>
        </w:rPr>
        <w:tab/>
      </w:r>
      <w:r w:rsidRPr="00851DA1">
        <w:rPr>
          <w:rtl/>
        </w:rPr>
        <w:t>ولا ينبغي تقييد التجمعات السلمية لحماية "الآداب" إلا في حالات استثنائية. وفي حال استخدام هذا السبب، ينبغي ألا يكون ذلك لحماية مفاهيم أخلاقية تُستمد من تقليد اجتماعي أو</w:t>
      </w:r>
      <w:r w:rsidR="00697C5F" w:rsidRPr="00851DA1">
        <w:rPr>
          <w:rFonts w:hint="cs"/>
          <w:rtl/>
        </w:rPr>
        <w:t> </w:t>
      </w:r>
      <w:r w:rsidRPr="00851DA1">
        <w:rPr>
          <w:rtl/>
        </w:rPr>
        <w:t>فلسفي أو ديني واحد فقط</w:t>
      </w:r>
      <w:r w:rsidR="00E13836" w:rsidRPr="00851DA1">
        <w:rPr>
          <w:rStyle w:val="FootnoteReference"/>
          <w:rtl/>
        </w:rPr>
        <w:t>(</w:t>
      </w:r>
      <w:r w:rsidR="00C04E6F" w:rsidRPr="00851DA1">
        <w:rPr>
          <w:rStyle w:val="FootnoteReference"/>
          <w:rFonts w:cs="Times New Roman"/>
          <w:b w:val="0"/>
          <w:position w:val="4"/>
          <w:sz w:val="20"/>
        </w:rPr>
        <w:footnoteReference w:id="54"/>
      </w:r>
      <w:r w:rsidR="00E13836" w:rsidRPr="00851DA1">
        <w:rPr>
          <w:rStyle w:val="FootnoteReference"/>
          <w:rtl/>
        </w:rPr>
        <w:t>)</w:t>
      </w:r>
      <w:r w:rsidRPr="00851DA1">
        <w:rPr>
          <w:rtl/>
        </w:rPr>
        <w:t>، ويجب فهم أي قيود من هذا القبيل في ضوء الطابع العالمي لحقوق الإنسان والتعددية ومبدأ عدم التمييز</w:t>
      </w:r>
      <w:r w:rsidR="00E13836" w:rsidRPr="00851DA1">
        <w:rPr>
          <w:rStyle w:val="FootnoteReference"/>
          <w:rtl/>
        </w:rPr>
        <w:t>(</w:t>
      </w:r>
      <w:r w:rsidR="00C04E6F" w:rsidRPr="00851DA1">
        <w:rPr>
          <w:rStyle w:val="FootnoteReference"/>
          <w:rFonts w:cs="Times New Roman"/>
          <w:b w:val="0"/>
          <w:position w:val="4"/>
          <w:sz w:val="20"/>
        </w:rPr>
        <w:footnoteReference w:id="55"/>
      </w:r>
      <w:r w:rsidR="00E13836" w:rsidRPr="00851DA1">
        <w:rPr>
          <w:rStyle w:val="FootnoteReference"/>
          <w:rtl/>
        </w:rPr>
        <w:t>)</w:t>
      </w:r>
      <w:r w:rsidR="00ED7372" w:rsidRPr="00851DA1">
        <w:rPr>
          <w:rtl/>
        </w:rPr>
        <w:t>.</w:t>
      </w:r>
      <w:r w:rsidRPr="00851DA1">
        <w:rPr>
          <w:rtl/>
        </w:rPr>
        <w:t xml:space="preserve"> ولا يجوز فرض قيود على هذا الأساس، مثل</w:t>
      </w:r>
      <w:r w:rsidR="000B128E" w:rsidRPr="00851DA1">
        <w:rPr>
          <w:rtl/>
        </w:rPr>
        <w:t xml:space="preserve">اً، </w:t>
      </w:r>
      <w:r w:rsidRPr="00851DA1">
        <w:rPr>
          <w:rtl/>
        </w:rPr>
        <w:t>بسبب معارضة التعبير عن الميل الجنسي أو الهوية الجنسانية</w:t>
      </w:r>
      <w:r w:rsidR="00E13836" w:rsidRPr="00851DA1">
        <w:rPr>
          <w:rStyle w:val="FootnoteReference"/>
          <w:rtl/>
        </w:rPr>
        <w:t>(</w:t>
      </w:r>
      <w:r w:rsidR="00C04E6F" w:rsidRPr="00851DA1">
        <w:rPr>
          <w:rStyle w:val="FootnoteReference"/>
          <w:rFonts w:cs="Times New Roman"/>
          <w:b w:val="0"/>
          <w:position w:val="4"/>
          <w:sz w:val="20"/>
        </w:rPr>
        <w:footnoteReference w:id="56"/>
      </w:r>
      <w:r w:rsidR="00E13836" w:rsidRPr="00851DA1">
        <w:rPr>
          <w:rStyle w:val="FootnoteReference"/>
          <w:rtl/>
        </w:rPr>
        <w:t>)</w:t>
      </w:r>
      <w:r w:rsidR="00ED7372" w:rsidRPr="00851DA1">
        <w:rPr>
          <w:rtl/>
        </w:rPr>
        <w:t>.</w:t>
      </w:r>
    </w:p>
    <w:p w14:paraId="03DEC8AF" w14:textId="63A92E75" w:rsidR="00B828C2" w:rsidRPr="00851DA1" w:rsidRDefault="00B828C2" w:rsidP="00B828C2">
      <w:pPr>
        <w:pStyle w:val="SingleTxtGA"/>
        <w:rPr>
          <w:color w:val="000000"/>
          <w:szCs w:val="20"/>
          <w:lang w:val="ar-SA" w:eastAsia="zh-TW" w:bidi="en-GB"/>
        </w:rPr>
      </w:pPr>
      <w:r w:rsidRPr="00851DA1">
        <w:rPr>
          <w:szCs w:val="20"/>
          <w:rtl/>
        </w:rPr>
        <w:t>47</w:t>
      </w:r>
      <w:r w:rsidR="00C04E6F" w:rsidRPr="00851DA1">
        <w:rPr>
          <w:szCs w:val="20"/>
          <w:rtl/>
        </w:rPr>
        <w:t>-</w:t>
      </w:r>
      <w:r w:rsidR="00C04E6F" w:rsidRPr="00851DA1">
        <w:rPr>
          <w:szCs w:val="20"/>
          <w:rtl/>
        </w:rPr>
        <w:tab/>
      </w:r>
      <w:r w:rsidRPr="00851DA1">
        <w:rPr>
          <w:rtl/>
        </w:rPr>
        <w:t>وقد تتعلق القيود المفروضة لحماية "حقوق الآخرين وحرياتهم" بالحمايات المنصوص عليها في العهد أو غيرها من حقوق الإنسان المكفولة للأشخاص غير المشاركين في التجمع. وفي الوقت نفسه، تشكّل التجمّعات استخدام</w:t>
      </w:r>
      <w:r w:rsidR="000B128E" w:rsidRPr="00851DA1">
        <w:rPr>
          <w:rtl/>
        </w:rPr>
        <w:t xml:space="preserve">اً </w:t>
      </w:r>
      <w:r w:rsidRPr="00851DA1">
        <w:rPr>
          <w:rtl/>
        </w:rPr>
        <w:t>مشروع</w:t>
      </w:r>
      <w:r w:rsidR="000B128E" w:rsidRPr="00851DA1">
        <w:rPr>
          <w:rtl/>
        </w:rPr>
        <w:t xml:space="preserve">اً </w:t>
      </w:r>
      <w:r w:rsidRPr="00851DA1">
        <w:rPr>
          <w:rtl/>
        </w:rPr>
        <w:t>للأماكن العامة وغير العامة. ولأنها قد تتسبب بطبيعتها في اضطرابات معينة للحياة العادية، فإنه يجب مراعاة هذه الاضطرابات ما لم تفرض عبئ</w:t>
      </w:r>
      <w:r w:rsidR="000B128E" w:rsidRPr="00851DA1">
        <w:rPr>
          <w:rtl/>
        </w:rPr>
        <w:t xml:space="preserve">اً </w:t>
      </w:r>
      <w:r w:rsidRPr="00851DA1">
        <w:rPr>
          <w:rtl/>
        </w:rPr>
        <w:t>غير متناسب، إذ</w:t>
      </w:r>
      <w:r w:rsidR="000B128E" w:rsidRPr="00851DA1">
        <w:rPr>
          <w:rFonts w:hint="cs"/>
          <w:rtl/>
        </w:rPr>
        <w:t> </w:t>
      </w:r>
      <w:r w:rsidRPr="00851DA1">
        <w:rPr>
          <w:rtl/>
        </w:rPr>
        <w:t>سيتعين على السلطات حينها أن تكون قادرة على تقديم مبررات مفصلة لأي قيود</w:t>
      </w:r>
      <w:r w:rsidR="00E13836" w:rsidRPr="00851DA1">
        <w:rPr>
          <w:rStyle w:val="FootnoteReference"/>
          <w:rtl/>
        </w:rPr>
        <w:t>(</w:t>
      </w:r>
      <w:r w:rsidR="00C04E6F" w:rsidRPr="00851DA1">
        <w:rPr>
          <w:rStyle w:val="FootnoteReference"/>
          <w:rFonts w:cs="Times New Roman"/>
          <w:b w:val="0"/>
          <w:position w:val="4"/>
          <w:sz w:val="20"/>
        </w:rPr>
        <w:footnoteReference w:id="57"/>
      </w:r>
      <w:r w:rsidR="00E13836" w:rsidRPr="00851DA1">
        <w:rPr>
          <w:rStyle w:val="FootnoteReference"/>
          <w:rtl/>
        </w:rPr>
        <w:t>)</w:t>
      </w:r>
      <w:r w:rsidR="00ED7372" w:rsidRPr="00851DA1">
        <w:rPr>
          <w:rtl/>
        </w:rPr>
        <w:t>.</w:t>
      </w:r>
    </w:p>
    <w:p w14:paraId="14C59979" w14:textId="3F8FA4C5" w:rsidR="00B828C2" w:rsidRPr="00851DA1" w:rsidRDefault="00B828C2" w:rsidP="00B828C2">
      <w:pPr>
        <w:pStyle w:val="SingleTxtGA"/>
        <w:rPr>
          <w:color w:val="000000"/>
          <w:szCs w:val="20"/>
          <w:lang w:eastAsia="zh-TW" w:bidi="en-GB"/>
        </w:rPr>
      </w:pPr>
      <w:r w:rsidRPr="00851DA1">
        <w:rPr>
          <w:szCs w:val="20"/>
          <w:rtl/>
        </w:rPr>
        <w:t>48</w:t>
      </w:r>
      <w:r w:rsidR="00C04E6F" w:rsidRPr="00851DA1">
        <w:rPr>
          <w:szCs w:val="20"/>
          <w:rtl/>
        </w:rPr>
        <w:t>-</w:t>
      </w:r>
      <w:r w:rsidR="00C04E6F" w:rsidRPr="00851DA1">
        <w:rPr>
          <w:szCs w:val="20"/>
          <w:rtl/>
        </w:rPr>
        <w:tab/>
      </w:r>
      <w:r w:rsidRPr="00851DA1">
        <w:rPr>
          <w:rtl/>
        </w:rPr>
        <w:t xml:space="preserve">وبالإضافة إلى الإطار العام للقيود المنصوص عليها في المادة </w:t>
      </w:r>
      <w:r w:rsidRPr="00851DA1">
        <w:rPr>
          <w:szCs w:val="20"/>
          <w:rtl/>
        </w:rPr>
        <w:t>21</w:t>
      </w:r>
      <w:r w:rsidRPr="00851DA1">
        <w:rPr>
          <w:rtl/>
        </w:rPr>
        <w:t>، كما نوقش أعلاه، ثمة اعتبارات إضافية ذات صلة بالقيود المفروضة على الحق في التجمع السلمي. ومن الشروط الأساسية لإعمال هذا الحق أن تكون القيود، مبدئي</w:t>
      </w:r>
      <w:r w:rsidR="000B128E" w:rsidRPr="00851DA1">
        <w:rPr>
          <w:rtl/>
        </w:rPr>
        <w:t xml:space="preserve">اً، </w:t>
      </w:r>
      <w:r w:rsidRPr="00851DA1">
        <w:rPr>
          <w:rtl/>
        </w:rPr>
        <w:t>محايدة من حيث المحتوى، وبالتالي لا تكون مرتبطة بالرسالة التي ينقلها التجمع</w:t>
      </w:r>
      <w:r w:rsidR="00E13836" w:rsidRPr="00851DA1">
        <w:rPr>
          <w:rStyle w:val="FootnoteReference"/>
          <w:rtl/>
        </w:rPr>
        <w:t>(</w:t>
      </w:r>
      <w:r w:rsidR="00C04E6F" w:rsidRPr="00851DA1">
        <w:rPr>
          <w:rStyle w:val="FootnoteReference"/>
          <w:rFonts w:cs="Times New Roman"/>
          <w:b w:val="0"/>
          <w:position w:val="4"/>
          <w:sz w:val="20"/>
        </w:rPr>
        <w:footnoteReference w:id="58"/>
      </w:r>
      <w:r w:rsidR="00E13836" w:rsidRPr="00851DA1">
        <w:rPr>
          <w:rStyle w:val="FootnoteReference"/>
          <w:rtl/>
        </w:rPr>
        <w:t>)</w:t>
      </w:r>
      <w:r w:rsidR="00ED7372" w:rsidRPr="00851DA1">
        <w:rPr>
          <w:rtl/>
        </w:rPr>
        <w:t>.</w:t>
      </w:r>
      <w:r w:rsidRPr="00851DA1">
        <w:rPr>
          <w:rtl/>
        </w:rPr>
        <w:t xml:space="preserve"> واتباع نهج مخالف يبطل الغرض ذاته من التجمعات السلمية بوصفها أداة</w:t>
      </w:r>
      <w:r w:rsidR="0020465C" w:rsidRPr="00851DA1">
        <w:rPr>
          <w:rFonts w:hint="cs"/>
          <w:rtl/>
        </w:rPr>
        <w:t> </w:t>
      </w:r>
      <w:r w:rsidRPr="00851DA1">
        <w:rPr>
          <w:rtl/>
        </w:rPr>
        <w:t>محتملة للمشاركة السياسية والاجتماعية التي تسمح للناس بطرح أفكارهم وتحديد مدى الدعم الذي تتمتع به.</w:t>
      </w:r>
    </w:p>
    <w:p w14:paraId="7B9D7DC3" w14:textId="16D68CDF" w:rsidR="00B828C2" w:rsidRPr="00851DA1" w:rsidRDefault="00B828C2" w:rsidP="00B828C2">
      <w:pPr>
        <w:pStyle w:val="SingleTxtGA"/>
        <w:rPr>
          <w:szCs w:val="20"/>
          <w:lang w:val="ar-SA" w:eastAsia="zh-TW" w:bidi="en-GB"/>
        </w:rPr>
      </w:pPr>
      <w:r w:rsidRPr="00851DA1">
        <w:rPr>
          <w:szCs w:val="20"/>
          <w:rtl/>
        </w:rPr>
        <w:t>49</w:t>
      </w:r>
      <w:r w:rsidR="00C04E6F" w:rsidRPr="00851DA1">
        <w:rPr>
          <w:szCs w:val="20"/>
          <w:rtl/>
        </w:rPr>
        <w:t>-</w:t>
      </w:r>
      <w:r w:rsidR="00C04E6F" w:rsidRPr="00851DA1">
        <w:rPr>
          <w:szCs w:val="20"/>
          <w:rtl/>
        </w:rPr>
        <w:tab/>
      </w:r>
      <w:r w:rsidRPr="00851DA1">
        <w:rPr>
          <w:rtl/>
        </w:rPr>
        <w:t>وينبغي اتباع القواعد المنطبقة على حرية التعبير عند تناول أي عناصر تعبيرية في التجمّعات. وبالتالي، يجب عدم فرض قيود على التجمعات السلمية، صراحة أو ضمناً، لقمع التعبير عن المعارضة السياسية لحكومة ما</w:t>
      </w:r>
      <w:r w:rsidR="00697C5F" w:rsidRPr="00851DA1">
        <w:rPr>
          <w:rStyle w:val="FootnoteReference"/>
          <w:rtl/>
        </w:rPr>
        <w:t>(</w:t>
      </w:r>
      <w:r w:rsidR="00697C5F" w:rsidRPr="00851DA1">
        <w:rPr>
          <w:rStyle w:val="FootnoteReference"/>
          <w:rFonts w:cs="Times New Roman"/>
          <w:b w:val="0"/>
          <w:position w:val="4"/>
          <w:sz w:val="20"/>
        </w:rPr>
        <w:footnoteReference w:id="59"/>
      </w:r>
      <w:r w:rsidR="00697C5F" w:rsidRPr="00851DA1">
        <w:rPr>
          <w:rStyle w:val="FootnoteReference"/>
          <w:rtl/>
        </w:rPr>
        <w:t>)</w:t>
      </w:r>
      <w:r w:rsidRPr="00851DA1">
        <w:rPr>
          <w:rtl/>
        </w:rPr>
        <w:t xml:space="preserve">، أو الاحتجاج على السلطة، بما في ذلك الدعوة إلى إجراء تغييرات ديمقراطية </w:t>
      </w:r>
      <w:r w:rsidRPr="00851DA1">
        <w:rPr>
          <w:rtl/>
        </w:rPr>
        <w:lastRenderedPageBreak/>
        <w:t>في</w:t>
      </w:r>
      <w:r w:rsidR="0020465C" w:rsidRPr="00851DA1">
        <w:rPr>
          <w:rFonts w:hint="cs"/>
          <w:rtl/>
        </w:rPr>
        <w:t> </w:t>
      </w:r>
      <w:r w:rsidRPr="00851DA1">
        <w:rPr>
          <w:rtl/>
        </w:rPr>
        <w:t>الحكومة أو الدستور أو النظام السياسي، أو السعي إلى تقرير المصير</w:t>
      </w:r>
      <w:r w:rsidR="00ED7372" w:rsidRPr="00851DA1">
        <w:rPr>
          <w:rtl/>
        </w:rPr>
        <w:t>.</w:t>
      </w:r>
      <w:r w:rsidRPr="00851DA1">
        <w:rPr>
          <w:rtl/>
        </w:rPr>
        <w:t xml:space="preserve"> ولا ينبغي استخدام القيود لحظر المس بشرف وسمعة المسؤولين أو بأجهزة الدولة</w:t>
      </w:r>
      <w:r w:rsidR="00E13836" w:rsidRPr="00851DA1">
        <w:rPr>
          <w:rStyle w:val="FootnoteReference"/>
          <w:rtl/>
        </w:rPr>
        <w:t>(</w:t>
      </w:r>
      <w:r w:rsidR="00C04E6F" w:rsidRPr="00851DA1">
        <w:rPr>
          <w:rStyle w:val="FootnoteReference"/>
          <w:rFonts w:cs="Times New Roman"/>
          <w:b w:val="0"/>
          <w:position w:val="4"/>
          <w:sz w:val="20"/>
        </w:rPr>
        <w:footnoteReference w:id="60"/>
      </w:r>
      <w:r w:rsidR="00E13836" w:rsidRPr="00851DA1">
        <w:rPr>
          <w:rStyle w:val="FootnoteReference"/>
          <w:rtl/>
        </w:rPr>
        <w:t>)</w:t>
      </w:r>
      <w:r w:rsidR="00ED7372" w:rsidRPr="00851DA1">
        <w:rPr>
          <w:rtl/>
        </w:rPr>
        <w:t>.</w:t>
      </w:r>
    </w:p>
    <w:p w14:paraId="63EE94A1" w14:textId="1478FBC7" w:rsidR="00B828C2" w:rsidRPr="00851DA1" w:rsidRDefault="00B828C2" w:rsidP="00B828C2">
      <w:pPr>
        <w:pStyle w:val="SingleTxtGA"/>
        <w:rPr>
          <w:szCs w:val="20"/>
          <w:lang w:val="ar-SA" w:eastAsia="zh-TW" w:bidi="en-GB"/>
        </w:rPr>
      </w:pPr>
      <w:r w:rsidRPr="00851DA1">
        <w:rPr>
          <w:szCs w:val="20"/>
          <w:rtl/>
        </w:rPr>
        <w:t>50</w:t>
      </w:r>
      <w:r w:rsidR="00C04E6F" w:rsidRPr="00851DA1">
        <w:rPr>
          <w:szCs w:val="20"/>
          <w:rtl/>
        </w:rPr>
        <w:t>-</w:t>
      </w:r>
      <w:r w:rsidR="00C04E6F" w:rsidRPr="00851DA1">
        <w:rPr>
          <w:szCs w:val="20"/>
          <w:rtl/>
        </w:rPr>
        <w:tab/>
      </w:r>
      <w:r w:rsidRPr="00851DA1">
        <w:rPr>
          <w:rtl/>
        </w:rPr>
        <w:t xml:space="preserve">ووفقاً للمادة </w:t>
      </w:r>
      <w:r w:rsidRPr="00851DA1">
        <w:rPr>
          <w:szCs w:val="20"/>
          <w:rtl/>
        </w:rPr>
        <w:t>20</w:t>
      </w:r>
      <w:r w:rsidRPr="00851DA1">
        <w:rPr>
          <w:rtl/>
        </w:rPr>
        <w:t xml:space="preserve"> من العهد، لا يجوز أن تستخدم التجمعات السلمية من أجل الدعاية للحرب </w:t>
      </w:r>
      <w:r w:rsidR="00E13836" w:rsidRPr="00851DA1">
        <w:rPr>
          <w:rtl/>
        </w:rPr>
        <w:t>(</w:t>
      </w:r>
      <w:r w:rsidRPr="00851DA1">
        <w:rPr>
          <w:rtl/>
        </w:rPr>
        <w:t xml:space="preserve">المادة </w:t>
      </w:r>
      <w:r w:rsidRPr="00851DA1">
        <w:rPr>
          <w:szCs w:val="20"/>
          <w:rtl/>
        </w:rPr>
        <w:t>20</w:t>
      </w:r>
      <w:r w:rsidR="00E13836" w:rsidRPr="00851DA1">
        <w:rPr>
          <w:sz w:val="28"/>
          <w:rtl/>
        </w:rPr>
        <w:t>(</w:t>
      </w:r>
      <w:r w:rsidRPr="00851DA1">
        <w:rPr>
          <w:szCs w:val="20"/>
        </w:rPr>
        <w:t>1</w:t>
      </w:r>
      <w:r w:rsidR="00E13836" w:rsidRPr="00851DA1">
        <w:rPr>
          <w:sz w:val="28"/>
          <w:rtl/>
        </w:rPr>
        <w:t>))</w:t>
      </w:r>
      <w:r w:rsidRPr="00851DA1">
        <w:rPr>
          <w:rtl/>
        </w:rPr>
        <w:t xml:space="preserve">، أو الدعوة إلى الكراهية القومية أو العنصرية أو الدينية التي تشكل تحريضاً على التمييز أو العداء أو العنف </w:t>
      </w:r>
      <w:r w:rsidR="00E13836" w:rsidRPr="00851DA1">
        <w:rPr>
          <w:rtl/>
        </w:rPr>
        <w:t>(</w:t>
      </w:r>
      <w:r w:rsidRPr="00851DA1">
        <w:rPr>
          <w:rtl/>
        </w:rPr>
        <w:t xml:space="preserve">المادة </w:t>
      </w:r>
      <w:r w:rsidRPr="00851DA1">
        <w:rPr>
          <w:szCs w:val="20"/>
          <w:rtl/>
        </w:rPr>
        <w:t>20</w:t>
      </w:r>
      <w:r w:rsidR="00E13836" w:rsidRPr="00851DA1">
        <w:rPr>
          <w:rtl/>
        </w:rPr>
        <w:t>(</w:t>
      </w:r>
      <w:r w:rsidRPr="00851DA1">
        <w:rPr>
          <w:szCs w:val="20"/>
          <w:rtl/>
        </w:rPr>
        <w:t>2</w:t>
      </w:r>
      <w:r w:rsidR="00E13836" w:rsidRPr="00851DA1">
        <w:rPr>
          <w:rtl/>
        </w:rPr>
        <w:t>))</w:t>
      </w:r>
      <w:r w:rsidRPr="00851DA1">
        <w:rPr>
          <w:rtl/>
        </w:rPr>
        <w:t>. وفي مثل هذه الحالات، ينبغي، قدر الإمكان، اتخاذ إجراءات ضد فرادى الجناة، بدل</w:t>
      </w:r>
      <w:r w:rsidR="000B128E" w:rsidRPr="00851DA1">
        <w:rPr>
          <w:rtl/>
        </w:rPr>
        <w:t xml:space="preserve">اً </w:t>
      </w:r>
      <w:r w:rsidRPr="00851DA1">
        <w:rPr>
          <w:rtl/>
        </w:rPr>
        <w:t xml:space="preserve">من اتخاذها ضد التجمع ككل. ويجب معالجة مسألة المشاركة في التجمعات التي تندرج رسالتها الأساسية ضمن نطاق المادة </w:t>
      </w:r>
      <w:r w:rsidRPr="00851DA1">
        <w:rPr>
          <w:szCs w:val="20"/>
          <w:rtl/>
        </w:rPr>
        <w:t>20</w:t>
      </w:r>
      <w:r w:rsidRPr="00851DA1">
        <w:rPr>
          <w:rtl/>
        </w:rPr>
        <w:t xml:space="preserve"> وفقاً لشروط التقييد المبينة في المادتين</w:t>
      </w:r>
      <w:r w:rsidR="00E13836" w:rsidRPr="00851DA1">
        <w:rPr>
          <w:rFonts w:hint="cs"/>
          <w:rtl/>
        </w:rPr>
        <w:t> </w:t>
      </w:r>
      <w:r w:rsidRPr="00851DA1">
        <w:rPr>
          <w:szCs w:val="20"/>
          <w:rtl/>
        </w:rPr>
        <w:t>19</w:t>
      </w:r>
      <w:r w:rsidRPr="00851DA1">
        <w:rPr>
          <w:rtl/>
        </w:rPr>
        <w:t xml:space="preserve"> </w:t>
      </w:r>
      <w:proofErr w:type="spellStart"/>
      <w:r w:rsidRPr="00851DA1">
        <w:rPr>
          <w:rtl/>
        </w:rPr>
        <w:t>و</w:t>
      </w:r>
      <w:r w:rsidRPr="00851DA1">
        <w:rPr>
          <w:szCs w:val="20"/>
          <w:rtl/>
        </w:rPr>
        <w:t>21</w:t>
      </w:r>
      <w:proofErr w:type="spellEnd"/>
      <w:r w:rsidR="00E13836" w:rsidRPr="00851DA1">
        <w:rPr>
          <w:rStyle w:val="FootnoteReference"/>
          <w:rtl/>
        </w:rPr>
        <w:t>(</w:t>
      </w:r>
      <w:r w:rsidR="00C04E6F" w:rsidRPr="00851DA1">
        <w:rPr>
          <w:rStyle w:val="FootnoteReference"/>
          <w:rFonts w:cs="Times New Roman"/>
          <w:b w:val="0"/>
          <w:position w:val="4"/>
          <w:sz w:val="20"/>
        </w:rPr>
        <w:footnoteReference w:id="61"/>
      </w:r>
      <w:r w:rsidR="00E13836" w:rsidRPr="00851DA1">
        <w:rPr>
          <w:rStyle w:val="FootnoteReference"/>
          <w:rtl/>
        </w:rPr>
        <w:t>)</w:t>
      </w:r>
      <w:r w:rsidR="00ED7372" w:rsidRPr="00851DA1">
        <w:rPr>
          <w:rtl/>
        </w:rPr>
        <w:t>.</w:t>
      </w:r>
    </w:p>
    <w:p w14:paraId="52C8C8D1" w14:textId="7635F23D" w:rsidR="00B828C2" w:rsidRPr="00851DA1" w:rsidRDefault="00B828C2" w:rsidP="00B828C2">
      <w:pPr>
        <w:pStyle w:val="SingleTxtGA"/>
        <w:rPr>
          <w:szCs w:val="20"/>
          <w:lang w:eastAsia="zh-TW" w:bidi="en-GB"/>
        </w:rPr>
      </w:pPr>
      <w:r w:rsidRPr="00851DA1">
        <w:rPr>
          <w:szCs w:val="20"/>
          <w:rtl/>
        </w:rPr>
        <w:t>51</w:t>
      </w:r>
      <w:r w:rsidR="00C04E6F" w:rsidRPr="00851DA1">
        <w:rPr>
          <w:szCs w:val="20"/>
          <w:rtl/>
        </w:rPr>
        <w:t>-</w:t>
      </w:r>
      <w:r w:rsidR="00C04E6F" w:rsidRPr="00851DA1">
        <w:rPr>
          <w:szCs w:val="20"/>
          <w:rtl/>
        </w:rPr>
        <w:tab/>
      </w:r>
      <w:r w:rsidRPr="00851DA1">
        <w:rPr>
          <w:rtl/>
        </w:rPr>
        <w:t>وعموم</w:t>
      </w:r>
      <w:r w:rsidR="000B128E" w:rsidRPr="00851DA1">
        <w:rPr>
          <w:rtl/>
        </w:rPr>
        <w:t xml:space="preserve">اً، </w:t>
      </w:r>
      <w:r w:rsidRPr="00851DA1">
        <w:rPr>
          <w:rtl/>
        </w:rPr>
        <w:t>يعتبر استخدام الأعلام والزي الرسمي واللافتات واليافطات شكل</w:t>
      </w:r>
      <w:r w:rsidR="000B128E" w:rsidRPr="00851DA1">
        <w:rPr>
          <w:rtl/>
        </w:rPr>
        <w:t xml:space="preserve">اً </w:t>
      </w:r>
      <w:r w:rsidRPr="00851DA1">
        <w:rPr>
          <w:rtl/>
        </w:rPr>
        <w:t>تعبيري</w:t>
      </w:r>
      <w:r w:rsidR="000B128E" w:rsidRPr="00851DA1">
        <w:rPr>
          <w:rtl/>
        </w:rPr>
        <w:t xml:space="preserve">اً </w:t>
      </w:r>
      <w:r w:rsidRPr="00851DA1">
        <w:rPr>
          <w:rtl/>
        </w:rPr>
        <w:t>مشروع</w:t>
      </w:r>
      <w:r w:rsidR="000B128E" w:rsidRPr="00851DA1">
        <w:rPr>
          <w:rtl/>
        </w:rPr>
        <w:t xml:space="preserve">اً </w:t>
      </w:r>
      <w:r w:rsidRPr="00851DA1">
        <w:rPr>
          <w:rtl/>
        </w:rPr>
        <w:t>لا</w:t>
      </w:r>
      <w:r w:rsidR="000B128E" w:rsidRPr="00851DA1">
        <w:rPr>
          <w:rFonts w:hint="cs"/>
          <w:rtl/>
        </w:rPr>
        <w:t> ي</w:t>
      </w:r>
      <w:r w:rsidRPr="00851DA1">
        <w:rPr>
          <w:rtl/>
        </w:rPr>
        <w:t>نبغي تقييده، حتى وإن كانت هذه الرموز تذكّر بماض مؤلم. وفي حالات استثنائية، تطبق القيود المناسبة عندما تكون هذه الرموز مرتبطة ارتباطاً مباشراً وأساسي</w:t>
      </w:r>
      <w:r w:rsidR="000B128E" w:rsidRPr="00851DA1">
        <w:rPr>
          <w:rtl/>
        </w:rPr>
        <w:t xml:space="preserve">اً </w:t>
      </w:r>
      <w:r w:rsidRPr="00851DA1">
        <w:rPr>
          <w:rtl/>
        </w:rPr>
        <w:t>بالتحريض على التمييز أو العداء أو</w:t>
      </w:r>
      <w:r w:rsidR="000B128E" w:rsidRPr="00851DA1">
        <w:rPr>
          <w:rFonts w:hint="cs"/>
          <w:rtl/>
        </w:rPr>
        <w:t> </w:t>
      </w:r>
      <w:r w:rsidRPr="00851DA1">
        <w:rPr>
          <w:rtl/>
        </w:rPr>
        <w:t>العنف</w:t>
      </w:r>
      <w:r w:rsidR="00E13836" w:rsidRPr="00851DA1">
        <w:rPr>
          <w:rStyle w:val="FootnoteReference"/>
          <w:rtl/>
        </w:rPr>
        <w:t>(</w:t>
      </w:r>
      <w:r w:rsidR="00C04E6F" w:rsidRPr="00851DA1">
        <w:rPr>
          <w:rStyle w:val="FootnoteReference"/>
          <w:rFonts w:cs="Times New Roman"/>
          <w:b w:val="0"/>
          <w:position w:val="4"/>
          <w:sz w:val="20"/>
        </w:rPr>
        <w:footnoteReference w:id="62"/>
      </w:r>
      <w:r w:rsidR="00E13836" w:rsidRPr="00851DA1">
        <w:rPr>
          <w:rStyle w:val="FootnoteReference"/>
          <w:rtl/>
        </w:rPr>
        <w:t>)</w:t>
      </w:r>
      <w:r w:rsidR="00ED7372" w:rsidRPr="00851DA1">
        <w:rPr>
          <w:rtl/>
        </w:rPr>
        <w:t>.</w:t>
      </w:r>
    </w:p>
    <w:p w14:paraId="7BCCDC14" w14:textId="50E1D6E7" w:rsidR="00B828C2" w:rsidRPr="00851DA1" w:rsidRDefault="00B828C2" w:rsidP="00B828C2">
      <w:pPr>
        <w:pStyle w:val="SingleTxtGA"/>
        <w:rPr>
          <w:szCs w:val="20"/>
          <w:lang w:eastAsia="zh-TW" w:bidi="en-GB"/>
        </w:rPr>
      </w:pPr>
      <w:r w:rsidRPr="00851DA1">
        <w:rPr>
          <w:szCs w:val="20"/>
          <w:rtl/>
        </w:rPr>
        <w:t>52</w:t>
      </w:r>
      <w:r w:rsidR="00C04E6F" w:rsidRPr="00851DA1">
        <w:rPr>
          <w:szCs w:val="20"/>
          <w:rtl/>
        </w:rPr>
        <w:t>-</w:t>
      </w:r>
      <w:r w:rsidR="00C04E6F" w:rsidRPr="00851DA1">
        <w:rPr>
          <w:szCs w:val="20"/>
          <w:rtl/>
        </w:rPr>
        <w:tab/>
      </w:r>
      <w:r w:rsidRPr="00851DA1">
        <w:rPr>
          <w:rtl/>
        </w:rPr>
        <w:t>وكقاعدة عامة، لا يبرر القيودَ كون التجمّع يتسبب، أو يمكن أن يتسبّب، في رد فعل عدائي من أفراد الجمهور ضد المشاركين؛ ويجب السماح للتجمع بالمضي قدم</w:t>
      </w:r>
      <w:r w:rsidR="000B128E" w:rsidRPr="00851DA1">
        <w:rPr>
          <w:rtl/>
        </w:rPr>
        <w:t xml:space="preserve">اً، </w:t>
      </w:r>
      <w:r w:rsidRPr="00851DA1">
        <w:rPr>
          <w:rtl/>
        </w:rPr>
        <w:t xml:space="preserve">وحماية المشاركين فيه </w:t>
      </w:r>
      <w:r w:rsidR="00E13836" w:rsidRPr="00851DA1">
        <w:rPr>
          <w:rtl/>
        </w:rPr>
        <w:t>(</w:t>
      </w:r>
      <w:r w:rsidRPr="00851DA1">
        <w:rPr>
          <w:rtl/>
        </w:rPr>
        <w:t>انظر</w:t>
      </w:r>
      <w:r w:rsidR="008D7BF3" w:rsidRPr="00851DA1">
        <w:rPr>
          <w:rFonts w:hint="cs"/>
          <w:rtl/>
        </w:rPr>
        <w:t> </w:t>
      </w:r>
      <w:r w:rsidRPr="00851DA1">
        <w:rPr>
          <w:rtl/>
        </w:rPr>
        <w:t xml:space="preserve">الفقرة </w:t>
      </w:r>
      <w:r w:rsidRPr="00851DA1">
        <w:rPr>
          <w:szCs w:val="20"/>
          <w:rtl/>
        </w:rPr>
        <w:t>18</w:t>
      </w:r>
      <w:r w:rsidRPr="00851DA1">
        <w:rPr>
          <w:rtl/>
        </w:rPr>
        <w:t xml:space="preserve"> أعلاه</w:t>
      </w:r>
      <w:r w:rsidR="00E13836" w:rsidRPr="00851DA1">
        <w:rPr>
          <w:rtl/>
        </w:rPr>
        <w:t>)</w:t>
      </w:r>
      <w:r w:rsidRPr="00851DA1">
        <w:rPr>
          <w:rtl/>
        </w:rPr>
        <w:t>. غير أنه في الحالات الاستثنائية التي تكون فيها الدولة عاجزة عن حماية المشاركين من تهديد خطير لسلامتهم، يجوز فرض قيود على المشاركة في التجمّع. ويجب أن تخضع أي قيود من هذا القبيل لتمحيص دقيق. ولا يكفي لتقييد التجمع وجود خطر عنف غير محدّد، أو مجرد احتمال عجز السلطات عن منع أو تحييد العنف الصادر عمن يعارضون هذا التجمع، بل يجب أن يكون بمقدور الدولة أن تبين، استناداً إلى تقييم ملموس للمخاطر، أنها لن تستطيع احتواء الوضع، حتى وإن نُشِرت قدرات كبيرة لإنفاذ القانون</w:t>
      </w:r>
      <w:r w:rsidR="00E13836" w:rsidRPr="00851DA1">
        <w:rPr>
          <w:rStyle w:val="FootnoteReference"/>
          <w:rtl/>
        </w:rPr>
        <w:t>(</w:t>
      </w:r>
      <w:r w:rsidR="00C04E6F" w:rsidRPr="00851DA1">
        <w:rPr>
          <w:rStyle w:val="FootnoteReference"/>
          <w:rFonts w:cs="Times New Roman"/>
          <w:b w:val="0"/>
          <w:position w:val="4"/>
          <w:sz w:val="20"/>
        </w:rPr>
        <w:footnoteReference w:id="63"/>
      </w:r>
      <w:r w:rsidR="00E13836" w:rsidRPr="00851DA1">
        <w:rPr>
          <w:rStyle w:val="FootnoteReference"/>
          <w:rtl/>
        </w:rPr>
        <w:t>)</w:t>
      </w:r>
      <w:r w:rsidR="00ED7372" w:rsidRPr="00851DA1">
        <w:rPr>
          <w:rtl/>
        </w:rPr>
        <w:t>.</w:t>
      </w:r>
      <w:r w:rsidRPr="00851DA1">
        <w:rPr>
          <w:rtl/>
        </w:rPr>
        <w:t xml:space="preserve"> ويجب النظر في فرض قيود أقل تدخلاً، مثل تأجيل التجمع أو نقله، قبل اللجوء إلى الحظر.</w:t>
      </w:r>
    </w:p>
    <w:p w14:paraId="589EC6D6" w14:textId="1C21E13B" w:rsidR="00F84062" w:rsidRPr="00851DA1" w:rsidRDefault="00F84062" w:rsidP="00B828C2">
      <w:pPr>
        <w:pStyle w:val="SingleTxtGA"/>
        <w:rPr>
          <w:rFonts w:eastAsia="SimSun" w:cs="Times New Roman"/>
          <w:szCs w:val="20"/>
          <w:lang w:eastAsia="zh-TW" w:bidi="en-GB"/>
        </w:rPr>
      </w:pPr>
      <w:r w:rsidRPr="00851DA1">
        <w:rPr>
          <w:szCs w:val="20"/>
          <w:rtl/>
        </w:rPr>
        <w:t>53</w:t>
      </w:r>
      <w:r w:rsidR="00B828C2" w:rsidRPr="00851DA1">
        <w:rPr>
          <w:szCs w:val="20"/>
          <w:rtl/>
        </w:rPr>
        <w:t>-</w:t>
      </w:r>
      <w:r w:rsidR="00B828C2" w:rsidRPr="00851DA1">
        <w:rPr>
          <w:szCs w:val="20"/>
          <w:rtl/>
        </w:rPr>
        <w:tab/>
      </w:r>
      <w:r w:rsidRPr="00851DA1">
        <w:rPr>
          <w:rtl/>
        </w:rPr>
        <w:t xml:space="preserve">وبوجه عام، يكون تنظيم زمان التجمع ومكانه وطريقته محايداً من حيث المحتوى، ورغم أنه يجوز إلى حد ما فرض قيود تنظِّم هذه العناصر، فإن السلطات تظل مسؤولة عن تبرير أي قيود من هذا القبيل على أساس كل حالة على </w:t>
      </w:r>
      <w:proofErr w:type="gramStart"/>
      <w:r w:rsidRPr="00851DA1">
        <w:rPr>
          <w:rtl/>
        </w:rPr>
        <w:t>حدة</w:t>
      </w:r>
      <w:r w:rsidR="00E13836" w:rsidRPr="00851DA1">
        <w:rPr>
          <w:rFonts w:eastAsia="SimSun"/>
          <w:sz w:val="18"/>
          <w:vertAlign w:val="superscript"/>
          <w:rtl/>
        </w:rPr>
        <w:t>(</w:t>
      </w:r>
      <w:proofErr w:type="gramEnd"/>
      <w:r w:rsidR="00C04E6F" w:rsidRPr="00851DA1">
        <w:rPr>
          <w:rFonts w:eastAsia="SimSun" w:cs="Times New Roman"/>
          <w:position w:val="4"/>
          <w:vertAlign w:val="superscript"/>
        </w:rPr>
        <w:footnoteReference w:id="64"/>
      </w:r>
      <w:r w:rsidR="00E13836" w:rsidRPr="00851DA1">
        <w:rPr>
          <w:rFonts w:eastAsia="SimSun"/>
          <w:sz w:val="18"/>
          <w:vertAlign w:val="superscript"/>
          <w:rtl/>
        </w:rPr>
        <w:t>)</w:t>
      </w:r>
      <w:r w:rsidRPr="00851DA1">
        <w:rPr>
          <w:rtl/>
        </w:rPr>
        <w:t xml:space="preserve">. غير أن أي قيود من هذا القبيل ينبغي أن تسمح للمشاركين، قدر الإمكان، بالتجمع على مرأى ومسمع من جمهورهم المستهدف، أو في أي موقع آخر مهم للغرض الذي </w:t>
      </w:r>
      <w:proofErr w:type="gramStart"/>
      <w:r w:rsidRPr="00851DA1">
        <w:rPr>
          <w:rtl/>
        </w:rPr>
        <w:t>ينشدونه</w:t>
      </w:r>
      <w:r w:rsidR="00E13836" w:rsidRPr="00851DA1">
        <w:rPr>
          <w:rFonts w:eastAsia="SimSun"/>
          <w:sz w:val="18"/>
          <w:vertAlign w:val="superscript"/>
          <w:rtl/>
        </w:rPr>
        <w:t>(</w:t>
      </w:r>
      <w:proofErr w:type="gramEnd"/>
      <w:r w:rsidR="00C04E6F" w:rsidRPr="00851DA1">
        <w:rPr>
          <w:rFonts w:eastAsia="SimSun" w:cs="Times New Roman"/>
          <w:position w:val="4"/>
          <w:vertAlign w:val="superscript"/>
        </w:rPr>
        <w:footnoteReference w:id="65"/>
      </w:r>
      <w:r w:rsidR="00E13836" w:rsidRPr="00851DA1">
        <w:rPr>
          <w:rFonts w:eastAsia="SimSun"/>
          <w:sz w:val="18"/>
          <w:vertAlign w:val="superscript"/>
          <w:rtl/>
        </w:rPr>
        <w:t>)</w:t>
      </w:r>
      <w:r w:rsidRPr="00851DA1">
        <w:rPr>
          <w:rtl/>
        </w:rPr>
        <w:t>.</w:t>
      </w:r>
    </w:p>
    <w:p w14:paraId="5E3EED5C" w14:textId="65AC0380" w:rsidR="00F84062" w:rsidRPr="00851DA1" w:rsidRDefault="00F84062" w:rsidP="00B828C2">
      <w:pPr>
        <w:pStyle w:val="SingleTxtGA"/>
        <w:rPr>
          <w:rFonts w:eastAsia="SimSun" w:cs="Times New Roman"/>
          <w:szCs w:val="20"/>
          <w:lang w:val="ar-SA" w:eastAsia="zh-TW" w:bidi="en-GB"/>
        </w:rPr>
      </w:pPr>
      <w:r w:rsidRPr="00851DA1">
        <w:rPr>
          <w:szCs w:val="20"/>
          <w:rtl/>
        </w:rPr>
        <w:lastRenderedPageBreak/>
        <w:t>54</w:t>
      </w:r>
      <w:r w:rsidR="00B828C2" w:rsidRPr="00851DA1">
        <w:rPr>
          <w:szCs w:val="20"/>
          <w:rtl/>
        </w:rPr>
        <w:t>-</w:t>
      </w:r>
      <w:r w:rsidR="00B828C2" w:rsidRPr="00851DA1">
        <w:rPr>
          <w:szCs w:val="20"/>
          <w:rtl/>
        </w:rPr>
        <w:tab/>
      </w:r>
      <w:r w:rsidRPr="00851DA1">
        <w:rPr>
          <w:rtl/>
        </w:rPr>
        <w:t xml:space="preserve">وفيما يتعلق بالقيود المفروضة على زمان التجمع، يجب أن تتاح للمشاركين فرصة كافية للتعبير عن آرائهم أو للسعي سعياً فعالاً لتحقيق أغراضهم </w:t>
      </w:r>
      <w:proofErr w:type="gramStart"/>
      <w:r w:rsidRPr="00851DA1">
        <w:rPr>
          <w:rtl/>
        </w:rPr>
        <w:t>الأخرى</w:t>
      </w:r>
      <w:r w:rsidR="00E13836" w:rsidRPr="00851DA1">
        <w:rPr>
          <w:vertAlign w:val="superscript"/>
          <w:rtl/>
        </w:rPr>
        <w:t>(</w:t>
      </w:r>
      <w:proofErr w:type="gramEnd"/>
      <w:r w:rsidRPr="00851DA1">
        <w:rPr>
          <w:rFonts w:eastAsia="SimSun" w:cs="Times New Roman"/>
          <w:position w:val="4"/>
          <w:vertAlign w:val="superscript"/>
        </w:rPr>
        <w:footnoteReference w:id="66"/>
      </w:r>
      <w:r w:rsidR="00E13836" w:rsidRPr="00851DA1">
        <w:rPr>
          <w:vertAlign w:val="superscript"/>
          <w:rtl/>
        </w:rPr>
        <w:t>)</w:t>
      </w:r>
      <w:r w:rsidRPr="00851DA1">
        <w:rPr>
          <w:rtl/>
        </w:rPr>
        <w:t>. وبوجه عام، ينبغي إفساح المجال للتجمعات السلمية لكي تنتهي من تلقاء نفسها. ذلك أن القيود التي تفرض على الوقت المحدد أو</w:t>
      </w:r>
      <w:r w:rsidR="000B128E" w:rsidRPr="00851DA1">
        <w:rPr>
          <w:rFonts w:hint="cs"/>
          <w:rtl/>
        </w:rPr>
        <w:t> </w:t>
      </w:r>
      <w:r w:rsidRPr="00851DA1">
        <w:rPr>
          <w:rtl/>
        </w:rPr>
        <w:t xml:space="preserve">التاريخ الذي يمكن أو لا يمكن فيه عقد التجمع قد لا تكون متوافقة مع أحكام </w:t>
      </w:r>
      <w:proofErr w:type="gramStart"/>
      <w:r w:rsidRPr="00851DA1">
        <w:rPr>
          <w:rtl/>
        </w:rPr>
        <w:t>العهد</w:t>
      </w:r>
      <w:r w:rsidR="00E13836" w:rsidRPr="00851DA1">
        <w:rPr>
          <w:vertAlign w:val="superscript"/>
          <w:rtl/>
        </w:rPr>
        <w:t>(</w:t>
      </w:r>
      <w:proofErr w:type="gramEnd"/>
      <w:r w:rsidRPr="00851DA1">
        <w:rPr>
          <w:rFonts w:eastAsia="SimSun" w:cs="Times New Roman"/>
          <w:position w:val="4"/>
          <w:vertAlign w:val="superscript"/>
        </w:rPr>
        <w:footnoteReference w:id="67"/>
      </w:r>
      <w:r w:rsidR="00E13836" w:rsidRPr="00851DA1">
        <w:rPr>
          <w:vertAlign w:val="superscript"/>
          <w:rtl/>
        </w:rPr>
        <w:t>)</w:t>
      </w:r>
      <w:r w:rsidRPr="00851DA1">
        <w:rPr>
          <w:rtl/>
        </w:rPr>
        <w:t>. وينبغي ألا تكون القيود المفروضة على التجمعات مستندة إلى تواترها فقط. فقد يؤدي توقيت المظاهرة أو</w:t>
      </w:r>
      <w:r w:rsidR="000B128E" w:rsidRPr="00851DA1">
        <w:rPr>
          <w:rFonts w:hint="cs"/>
          <w:rtl/>
        </w:rPr>
        <w:t> </w:t>
      </w:r>
      <w:r w:rsidRPr="00851DA1">
        <w:rPr>
          <w:rtl/>
        </w:rPr>
        <w:t>مدتها أو تواترها، مثلاً، دوراً محورياً في تحقيق الهدف المنشود منها. غير أنه يجوز تقييم الأثر التراكمي للتجمعات المستمرة في تقييم تناسبية القيود. فعلى سبيل المثال، قد يكون لبعض التجمعات التي تعقد بانتظام ليلاً في المناطق السكنية تأثير كبير على سكان تلك المناطق.</w:t>
      </w:r>
    </w:p>
    <w:p w14:paraId="2F24D8A9" w14:textId="50BA76B9" w:rsidR="00F84062" w:rsidRPr="00851DA1" w:rsidRDefault="00F84062" w:rsidP="00B828C2">
      <w:pPr>
        <w:pStyle w:val="SingleTxtGA"/>
        <w:rPr>
          <w:rFonts w:eastAsia="SimSun" w:cs="Times New Roman"/>
          <w:szCs w:val="20"/>
          <w:lang w:val="ar-SA" w:eastAsia="zh-TW" w:bidi="en-GB"/>
        </w:rPr>
      </w:pPr>
      <w:r w:rsidRPr="00851DA1">
        <w:rPr>
          <w:szCs w:val="20"/>
          <w:rtl/>
        </w:rPr>
        <w:t>55</w:t>
      </w:r>
      <w:r w:rsidR="00B828C2" w:rsidRPr="00851DA1">
        <w:rPr>
          <w:szCs w:val="20"/>
          <w:rtl/>
        </w:rPr>
        <w:t>-</w:t>
      </w:r>
      <w:r w:rsidR="00B828C2" w:rsidRPr="00851DA1">
        <w:rPr>
          <w:szCs w:val="20"/>
          <w:rtl/>
        </w:rPr>
        <w:tab/>
      </w:r>
      <w:r w:rsidRPr="00851DA1">
        <w:rPr>
          <w:rtl/>
        </w:rPr>
        <w:t xml:space="preserve">أما فيما يتعلق بالقيود المفروضة على عنصر المكان، فيجوز تنظيم التجمعات السلمية، من حيث المبدأ، في جميع الأماكن التي يمكن للجمهور الوصول إليها أو التي ينبغي أن تتاح له إمكانية الوصول إليها، مثل الساحات العامة </w:t>
      </w:r>
      <w:proofErr w:type="gramStart"/>
      <w:r w:rsidRPr="00851DA1">
        <w:rPr>
          <w:rtl/>
        </w:rPr>
        <w:t>والشوارع</w:t>
      </w:r>
      <w:r w:rsidR="00E13836" w:rsidRPr="00851DA1">
        <w:rPr>
          <w:vertAlign w:val="superscript"/>
          <w:rtl/>
        </w:rPr>
        <w:t>(</w:t>
      </w:r>
      <w:proofErr w:type="gramEnd"/>
      <w:r w:rsidRPr="00851DA1">
        <w:rPr>
          <w:rFonts w:eastAsia="SimSun" w:cs="Times New Roman"/>
          <w:position w:val="4"/>
          <w:vertAlign w:val="superscript"/>
        </w:rPr>
        <w:footnoteReference w:id="68"/>
      </w:r>
      <w:r w:rsidR="00E13836" w:rsidRPr="00851DA1">
        <w:rPr>
          <w:vertAlign w:val="superscript"/>
          <w:rtl/>
        </w:rPr>
        <w:t>)</w:t>
      </w:r>
      <w:r w:rsidRPr="00851DA1">
        <w:rPr>
          <w:rtl/>
        </w:rPr>
        <w:t xml:space="preserve">. ومع أن القواعد التي تنظم وصول عامة الجمهور إلى بعض الأماكن، مثل المباني والحدائق العامة، قد تحد أيضاً من الحق في التجمع في هذه الأماكن، فإن تطبيق هذه القيود على التجمعات السلمية يجب أن يكون مبرراً وفقاً لأحكام المادة </w:t>
      </w:r>
      <w:r w:rsidRPr="00851DA1">
        <w:rPr>
          <w:szCs w:val="20"/>
          <w:rtl/>
        </w:rPr>
        <w:t>21</w:t>
      </w:r>
      <w:r w:rsidRPr="00851DA1">
        <w:rPr>
          <w:sz w:val="28"/>
          <w:rtl/>
        </w:rPr>
        <w:t>.</w:t>
      </w:r>
      <w:r w:rsidRPr="00851DA1">
        <w:rPr>
          <w:rtl/>
        </w:rPr>
        <w:t xml:space="preserve"> ولا ينبغي إبعاد التجمعات السلمية إلى مناطق نائية يتعذر فيها جذب اهتمام الفئات المستهدفة أو عامة </w:t>
      </w:r>
      <w:proofErr w:type="gramStart"/>
      <w:r w:rsidRPr="00851DA1">
        <w:rPr>
          <w:rtl/>
        </w:rPr>
        <w:t>الجمهور</w:t>
      </w:r>
      <w:r w:rsidR="00E13836" w:rsidRPr="00851DA1">
        <w:rPr>
          <w:vertAlign w:val="superscript"/>
          <w:rtl/>
        </w:rPr>
        <w:t>(</w:t>
      </w:r>
      <w:proofErr w:type="gramEnd"/>
      <w:r w:rsidRPr="00851DA1">
        <w:rPr>
          <w:rFonts w:eastAsia="SimSun" w:cs="Times New Roman"/>
          <w:position w:val="4"/>
          <w:vertAlign w:val="superscript"/>
        </w:rPr>
        <w:footnoteReference w:id="69"/>
      </w:r>
      <w:r w:rsidR="00E13836" w:rsidRPr="00851DA1">
        <w:rPr>
          <w:vertAlign w:val="superscript"/>
          <w:rtl/>
        </w:rPr>
        <w:t>)</w:t>
      </w:r>
      <w:r w:rsidRPr="00851DA1">
        <w:rPr>
          <w:rtl/>
        </w:rPr>
        <w:t xml:space="preserve">. وكقاعدة عامة، لا يمكن فرض حظر شامل على جميع التجمعات في </w:t>
      </w:r>
      <w:proofErr w:type="gramStart"/>
      <w:r w:rsidRPr="00851DA1">
        <w:rPr>
          <w:rtl/>
        </w:rPr>
        <w:t>العاصمة</w:t>
      </w:r>
      <w:r w:rsidR="00E13836" w:rsidRPr="00851DA1">
        <w:rPr>
          <w:vertAlign w:val="superscript"/>
          <w:rtl/>
        </w:rPr>
        <w:t>(</w:t>
      </w:r>
      <w:proofErr w:type="gramEnd"/>
      <w:r w:rsidRPr="00851DA1">
        <w:rPr>
          <w:rFonts w:eastAsia="SimSun" w:cs="Times New Roman"/>
          <w:position w:val="4"/>
          <w:vertAlign w:val="superscript"/>
        </w:rPr>
        <w:footnoteReference w:id="70"/>
      </w:r>
      <w:r w:rsidR="00E13836" w:rsidRPr="00851DA1">
        <w:rPr>
          <w:vertAlign w:val="superscript"/>
          <w:rtl/>
        </w:rPr>
        <w:t>)</w:t>
      </w:r>
      <w:r w:rsidRPr="00851DA1">
        <w:rPr>
          <w:rtl/>
        </w:rPr>
        <w:t>، أو في جميع الأماكن العامة باستثناء موقع واحد محدد داخل المدينة</w:t>
      </w:r>
      <w:r w:rsidR="00E13836" w:rsidRPr="00851DA1">
        <w:rPr>
          <w:vertAlign w:val="superscript"/>
          <w:rtl/>
        </w:rPr>
        <w:t>(</w:t>
      </w:r>
      <w:r w:rsidRPr="00851DA1">
        <w:rPr>
          <w:rFonts w:eastAsia="SimSun" w:cs="Times New Roman"/>
          <w:position w:val="4"/>
          <w:vertAlign w:val="superscript"/>
        </w:rPr>
        <w:footnoteReference w:id="71"/>
      </w:r>
      <w:r w:rsidR="00E13836" w:rsidRPr="00851DA1">
        <w:rPr>
          <w:vertAlign w:val="superscript"/>
          <w:rtl/>
        </w:rPr>
        <w:t>)</w:t>
      </w:r>
      <w:r w:rsidRPr="00851DA1">
        <w:rPr>
          <w:rtl/>
        </w:rPr>
        <w:t>، أو خارج وسط المدينة</w:t>
      </w:r>
      <w:r w:rsidR="00ED7CF1" w:rsidRPr="00851DA1">
        <w:rPr>
          <w:vertAlign w:val="superscript"/>
          <w:rtl/>
        </w:rPr>
        <w:t>(</w:t>
      </w:r>
      <w:r w:rsidR="00ED7CF1" w:rsidRPr="00851DA1">
        <w:rPr>
          <w:rFonts w:eastAsia="SimSun" w:cs="Times New Roman"/>
          <w:position w:val="4"/>
          <w:vertAlign w:val="superscript"/>
        </w:rPr>
        <w:footnoteReference w:id="72"/>
      </w:r>
      <w:r w:rsidR="00ED7CF1" w:rsidRPr="00851DA1">
        <w:rPr>
          <w:vertAlign w:val="superscript"/>
          <w:rtl/>
        </w:rPr>
        <w:t>)</w:t>
      </w:r>
      <w:r w:rsidRPr="00851DA1">
        <w:rPr>
          <w:rtl/>
        </w:rPr>
        <w:t>، أو في جميع شوارع المدينة.</w:t>
      </w:r>
    </w:p>
    <w:p w14:paraId="33989700" w14:textId="385F8641" w:rsidR="00F84062" w:rsidRPr="00851DA1" w:rsidRDefault="00F84062" w:rsidP="00B828C2">
      <w:pPr>
        <w:pStyle w:val="SingleTxtGA"/>
        <w:rPr>
          <w:rFonts w:eastAsia="SimSun" w:cs="Times New Roman"/>
          <w:szCs w:val="20"/>
          <w:lang w:eastAsia="zh-TW" w:bidi="en-GB"/>
        </w:rPr>
      </w:pPr>
      <w:r w:rsidRPr="00851DA1">
        <w:rPr>
          <w:szCs w:val="20"/>
          <w:rtl/>
        </w:rPr>
        <w:t>56</w:t>
      </w:r>
      <w:r w:rsidR="00B828C2" w:rsidRPr="00851DA1">
        <w:rPr>
          <w:szCs w:val="20"/>
          <w:rtl/>
        </w:rPr>
        <w:t>-</w:t>
      </w:r>
      <w:r w:rsidR="00B828C2" w:rsidRPr="00851DA1">
        <w:rPr>
          <w:szCs w:val="20"/>
          <w:rtl/>
        </w:rPr>
        <w:tab/>
      </w:r>
      <w:r w:rsidRPr="00851DA1">
        <w:rPr>
          <w:rtl/>
        </w:rPr>
        <w:t xml:space="preserve">وينبغي عموماً تجنب تصنيف المناطق المحيطة بأماكن من قبيل المحاكم أو البرلمانات أو المواقع ذات الأهمية التاريخية أو غيرها من المباني الرسمية على أنها مناطق لا يجوز التجمع فيها، وذلك لأسباب منها أن هذه الأماكن أماكن عامة. وينبغي أن تكون أي قيود تفرض على تنظيم التجمعات في مثل هذه الأماكن وحولها مبررة ومحددة </w:t>
      </w:r>
      <w:proofErr w:type="gramStart"/>
      <w:r w:rsidRPr="00851DA1">
        <w:rPr>
          <w:rtl/>
        </w:rPr>
        <w:t>بدقة</w:t>
      </w:r>
      <w:r w:rsidR="00E13836" w:rsidRPr="00851DA1">
        <w:rPr>
          <w:vertAlign w:val="superscript"/>
          <w:rtl/>
        </w:rPr>
        <w:t>(</w:t>
      </w:r>
      <w:proofErr w:type="gramEnd"/>
      <w:r w:rsidRPr="00851DA1">
        <w:rPr>
          <w:rFonts w:eastAsia="SimSun" w:cs="Times New Roman"/>
          <w:position w:val="4"/>
          <w:vertAlign w:val="superscript"/>
        </w:rPr>
        <w:footnoteReference w:id="73"/>
      </w:r>
      <w:r w:rsidR="00E13836" w:rsidRPr="00851DA1">
        <w:rPr>
          <w:vertAlign w:val="superscript"/>
          <w:rtl/>
        </w:rPr>
        <w:t>)</w:t>
      </w:r>
      <w:r w:rsidRPr="00851DA1">
        <w:rPr>
          <w:rtl/>
        </w:rPr>
        <w:t>.</w:t>
      </w:r>
    </w:p>
    <w:p w14:paraId="7FE59909" w14:textId="69555CB9" w:rsidR="00F84062" w:rsidRPr="00851DA1" w:rsidRDefault="00F84062" w:rsidP="00B828C2">
      <w:pPr>
        <w:pStyle w:val="SingleTxtGA"/>
        <w:rPr>
          <w:rFonts w:eastAsia="SimSun" w:cs="Times New Roman"/>
          <w:szCs w:val="20"/>
          <w:lang w:val="ar-SA" w:eastAsia="zh-TW" w:bidi="en-GB"/>
        </w:rPr>
      </w:pPr>
      <w:r w:rsidRPr="00851DA1">
        <w:rPr>
          <w:szCs w:val="20"/>
          <w:rtl/>
        </w:rPr>
        <w:t>57</w:t>
      </w:r>
      <w:r w:rsidR="00B828C2" w:rsidRPr="00851DA1">
        <w:rPr>
          <w:szCs w:val="20"/>
          <w:rtl/>
        </w:rPr>
        <w:t>-</w:t>
      </w:r>
      <w:r w:rsidR="00B828C2" w:rsidRPr="00851DA1">
        <w:rPr>
          <w:szCs w:val="20"/>
          <w:rtl/>
        </w:rPr>
        <w:tab/>
      </w:r>
      <w:r w:rsidRPr="00851DA1">
        <w:rPr>
          <w:rtl/>
        </w:rPr>
        <w:t xml:space="preserve">ومع أن التجمعات التي تنظم في الأماكن الخاصة تندرج ضمن نطاق الحق في التجمع </w:t>
      </w:r>
      <w:proofErr w:type="gramStart"/>
      <w:r w:rsidRPr="00851DA1">
        <w:rPr>
          <w:rtl/>
        </w:rPr>
        <w:t>السلمي</w:t>
      </w:r>
      <w:r w:rsidR="00ED7CF1" w:rsidRPr="00851DA1">
        <w:rPr>
          <w:vertAlign w:val="superscript"/>
          <w:rtl/>
        </w:rPr>
        <w:t>(</w:t>
      </w:r>
      <w:proofErr w:type="gramEnd"/>
      <w:r w:rsidR="00ED7CF1" w:rsidRPr="00851DA1">
        <w:rPr>
          <w:rFonts w:eastAsia="SimSun" w:cs="Times New Roman"/>
          <w:position w:val="4"/>
          <w:vertAlign w:val="superscript"/>
        </w:rPr>
        <w:footnoteReference w:id="74"/>
      </w:r>
      <w:r w:rsidR="00ED7CF1" w:rsidRPr="00851DA1">
        <w:rPr>
          <w:vertAlign w:val="superscript"/>
          <w:rtl/>
        </w:rPr>
        <w:t>)</w:t>
      </w:r>
      <w:r w:rsidRPr="00851DA1">
        <w:rPr>
          <w:rtl/>
        </w:rPr>
        <w:t xml:space="preserve">، فإنه يجب إيلاء الاعتبار الواجب لمصالح أصحاب الحقوق الآخرين في هذه الممتلكات. ويتوقف مدى جواز فرض قيود على هذه التجمعات على اعتبارات من قبيل ما إذا كانت إمكانية الوصول إلى مكان التجمع متاحة لعامة الجمهور بانتظام، وطبيعة ومدى ما قد ينجم عن التجمع من تضارب مع مصالح أشخاص آخرين لديهم حقوق في ملكية مكان التجمع، وما إذا كان أصحاب الحقوق في الملكية يوافقون على استخدام مكان التجمع لهذا الغرض، وما إذا كان التجمع وسيلة </w:t>
      </w:r>
      <w:r w:rsidRPr="00851DA1">
        <w:rPr>
          <w:rtl/>
        </w:rPr>
        <w:lastRenderedPageBreak/>
        <w:t>للاحتجاج على ملكية المكان، وما إذا كانت لدى المشاركين في التجمع وسائل معقولة أخرى لتحقيق الغرض المنشود منه، وفقاً لمبدأ التجمع على مرأى ومسمع من الجمهور المستهدف</w:t>
      </w:r>
      <w:r w:rsidR="00E13836" w:rsidRPr="00851DA1">
        <w:rPr>
          <w:vertAlign w:val="superscript"/>
          <w:rtl/>
        </w:rPr>
        <w:t>(</w:t>
      </w:r>
      <w:r w:rsidRPr="00851DA1">
        <w:rPr>
          <w:rFonts w:eastAsia="SimSun" w:cs="Times New Roman"/>
          <w:position w:val="4"/>
          <w:vertAlign w:val="superscript"/>
        </w:rPr>
        <w:footnoteReference w:id="75"/>
      </w:r>
      <w:r w:rsidR="00E13836" w:rsidRPr="00851DA1">
        <w:rPr>
          <w:vertAlign w:val="superscript"/>
          <w:rtl/>
        </w:rPr>
        <w:t>)</w:t>
      </w:r>
      <w:r w:rsidRPr="00851DA1">
        <w:rPr>
          <w:rtl/>
        </w:rPr>
        <w:t>. ولا يجوز منع الوصول إلى الممتلكات الخاصة على أساس تمييزي.</w:t>
      </w:r>
    </w:p>
    <w:p w14:paraId="262CFDC2" w14:textId="52A12F11" w:rsidR="00F84062" w:rsidRPr="00851DA1" w:rsidRDefault="00F84062" w:rsidP="00B828C2">
      <w:pPr>
        <w:pStyle w:val="SingleTxtGA"/>
        <w:rPr>
          <w:rFonts w:eastAsia="SimSun" w:cs="Times New Roman"/>
          <w:szCs w:val="20"/>
          <w:lang w:val="ar-SA" w:eastAsia="zh-TW" w:bidi="en-GB"/>
        </w:rPr>
      </w:pPr>
      <w:r w:rsidRPr="00851DA1">
        <w:rPr>
          <w:szCs w:val="20"/>
          <w:rtl/>
        </w:rPr>
        <w:t>58</w:t>
      </w:r>
      <w:r w:rsidR="00B828C2" w:rsidRPr="00851DA1">
        <w:rPr>
          <w:szCs w:val="20"/>
          <w:rtl/>
        </w:rPr>
        <w:t>-</w:t>
      </w:r>
      <w:r w:rsidR="00B828C2" w:rsidRPr="00851DA1">
        <w:rPr>
          <w:szCs w:val="20"/>
          <w:rtl/>
        </w:rPr>
        <w:tab/>
      </w:r>
      <w:r w:rsidRPr="00851DA1">
        <w:rPr>
          <w:rtl/>
        </w:rPr>
        <w:t>وفيما يتعلق بالقيود المفروضة على طريقة التجمع السلمي، ينبغي أن يُترك للمشاركين أمرُ تحديد ما إذا كانوا يريدون استخدام معدات كالملصقات أو مكبرات الصوت أو الآلات الموسيقية أو</w:t>
      </w:r>
      <w:r w:rsidR="00ED7CF1" w:rsidRPr="00851DA1">
        <w:rPr>
          <w:rFonts w:hint="cs"/>
          <w:rtl/>
        </w:rPr>
        <w:t> </w:t>
      </w:r>
      <w:r w:rsidRPr="00851DA1">
        <w:rPr>
          <w:rtl/>
        </w:rPr>
        <w:t xml:space="preserve">غيرها من الوسائل التقنية، مثل معدات العرض الضوئي، لإيصال رسالتهم. وقد تستتبع التجمعات إقامة هياكل مؤقتة، مثل النظم الصوتية، للوصول إلى جمهورها أو تحقيق الغرض المنشود </w:t>
      </w:r>
      <w:proofErr w:type="gramStart"/>
      <w:r w:rsidRPr="00851DA1">
        <w:rPr>
          <w:rtl/>
        </w:rPr>
        <w:t>منها</w:t>
      </w:r>
      <w:r w:rsidR="00E13836" w:rsidRPr="00851DA1">
        <w:rPr>
          <w:vertAlign w:val="superscript"/>
          <w:rtl/>
        </w:rPr>
        <w:t>(</w:t>
      </w:r>
      <w:proofErr w:type="gramEnd"/>
      <w:r w:rsidRPr="00851DA1">
        <w:rPr>
          <w:rFonts w:eastAsia="SimSun" w:cs="Times New Roman"/>
          <w:position w:val="4"/>
          <w:vertAlign w:val="superscript"/>
        </w:rPr>
        <w:footnoteReference w:id="76"/>
      </w:r>
      <w:r w:rsidR="00E13836" w:rsidRPr="00851DA1">
        <w:rPr>
          <w:vertAlign w:val="superscript"/>
          <w:rtl/>
        </w:rPr>
        <w:t>)</w:t>
      </w:r>
      <w:r w:rsidRPr="00851DA1">
        <w:rPr>
          <w:rtl/>
        </w:rPr>
        <w:t>.</w:t>
      </w:r>
    </w:p>
    <w:p w14:paraId="270FCF53" w14:textId="0622E228" w:rsidR="00F84062" w:rsidRPr="00851DA1" w:rsidRDefault="00F84062" w:rsidP="00B828C2">
      <w:pPr>
        <w:pStyle w:val="SingleTxtGA"/>
        <w:rPr>
          <w:rFonts w:eastAsia="SimSun" w:cs="Times New Roman"/>
          <w:szCs w:val="20"/>
          <w:lang w:val="ar-SA" w:eastAsia="zh-TW" w:bidi="en-GB"/>
        </w:rPr>
      </w:pPr>
      <w:r w:rsidRPr="00851DA1">
        <w:rPr>
          <w:szCs w:val="20"/>
          <w:rtl/>
        </w:rPr>
        <w:t>59</w:t>
      </w:r>
      <w:r w:rsidR="00B828C2" w:rsidRPr="00851DA1">
        <w:rPr>
          <w:szCs w:val="20"/>
          <w:rtl/>
        </w:rPr>
        <w:t>-</w:t>
      </w:r>
      <w:r w:rsidR="00B828C2" w:rsidRPr="00851DA1">
        <w:rPr>
          <w:szCs w:val="20"/>
          <w:rtl/>
        </w:rPr>
        <w:tab/>
      </w:r>
      <w:r w:rsidRPr="00851DA1">
        <w:rPr>
          <w:rtl/>
        </w:rPr>
        <w:t xml:space="preserve">وبوجه عام، ينبغي للدول الأطراف ألاّ تفرض قيوداً على عدد المشاركين في </w:t>
      </w:r>
      <w:proofErr w:type="gramStart"/>
      <w:r w:rsidRPr="00851DA1">
        <w:rPr>
          <w:rtl/>
        </w:rPr>
        <w:t>التجمعات</w:t>
      </w:r>
      <w:r w:rsidR="00E13836" w:rsidRPr="00851DA1">
        <w:rPr>
          <w:vertAlign w:val="superscript"/>
          <w:rtl/>
        </w:rPr>
        <w:t>(</w:t>
      </w:r>
      <w:proofErr w:type="gramEnd"/>
      <w:r w:rsidRPr="00851DA1">
        <w:rPr>
          <w:rFonts w:eastAsia="SimSun" w:cs="Times New Roman"/>
          <w:position w:val="4"/>
          <w:vertAlign w:val="superscript"/>
        </w:rPr>
        <w:footnoteReference w:id="77"/>
      </w:r>
      <w:r w:rsidR="00E13836" w:rsidRPr="00851DA1">
        <w:rPr>
          <w:vertAlign w:val="superscript"/>
          <w:rtl/>
        </w:rPr>
        <w:t>)</w:t>
      </w:r>
      <w:r w:rsidRPr="00851DA1">
        <w:rPr>
          <w:rtl/>
        </w:rPr>
        <w:t xml:space="preserve">. ولا يمكن قبول فرض أي قيد من هذا القبيل ما لم تكن له صلة واضحة بسببٍ مشروعٍ يبرر فرض القيود على النحو المنصوص عليه في المادة </w:t>
      </w:r>
      <w:r w:rsidRPr="00851DA1">
        <w:rPr>
          <w:szCs w:val="20"/>
          <w:rtl/>
        </w:rPr>
        <w:t>21</w:t>
      </w:r>
      <w:r w:rsidRPr="00851DA1">
        <w:rPr>
          <w:rtl/>
        </w:rPr>
        <w:t>، مثلاً عندما تملي اعتبارات السلامة العامة فرض حد أقصى على عدد الجمهور المحتشد في ملعب أو في جسر، أو عندما تملي اعتبارات الصحة العامة التباعد البدني.</w:t>
      </w:r>
    </w:p>
    <w:p w14:paraId="24916072" w14:textId="2CEFFEC3" w:rsidR="00F84062" w:rsidRPr="00851DA1" w:rsidRDefault="00F84062" w:rsidP="00B828C2">
      <w:pPr>
        <w:pStyle w:val="SingleTxtGA"/>
        <w:rPr>
          <w:rFonts w:eastAsia="SimSun" w:cs="Times New Roman"/>
          <w:sz w:val="18"/>
          <w:szCs w:val="20"/>
          <w:lang w:val="ar-SA" w:eastAsia="zh-TW" w:bidi="en-GB"/>
        </w:rPr>
      </w:pPr>
      <w:r w:rsidRPr="00851DA1">
        <w:rPr>
          <w:szCs w:val="20"/>
          <w:rtl/>
        </w:rPr>
        <w:t>60</w:t>
      </w:r>
      <w:r w:rsidR="00B828C2" w:rsidRPr="00851DA1">
        <w:rPr>
          <w:szCs w:val="20"/>
          <w:rtl/>
        </w:rPr>
        <w:t>-</w:t>
      </w:r>
      <w:r w:rsidR="00B828C2" w:rsidRPr="00851DA1">
        <w:rPr>
          <w:szCs w:val="20"/>
          <w:rtl/>
        </w:rPr>
        <w:tab/>
      </w:r>
      <w:r w:rsidRPr="00851DA1">
        <w:rPr>
          <w:rtl/>
        </w:rPr>
        <w:t xml:space="preserve">وقد يشكل إقدام المشاركين في التجمع على ارتداء أغطية الوجه أو غيرها من وسائل التخفي، مثل </w:t>
      </w:r>
      <w:proofErr w:type="spellStart"/>
      <w:r w:rsidRPr="00851DA1">
        <w:rPr>
          <w:rtl/>
        </w:rPr>
        <w:t>القلنسوات</w:t>
      </w:r>
      <w:proofErr w:type="spellEnd"/>
      <w:r w:rsidRPr="00851DA1">
        <w:rPr>
          <w:rtl/>
        </w:rPr>
        <w:t xml:space="preserve"> أو الأقنعة أو لجو</w:t>
      </w:r>
      <w:r w:rsidR="00ED7CF1" w:rsidRPr="00851DA1">
        <w:rPr>
          <w:rFonts w:hint="cs"/>
          <w:rtl/>
        </w:rPr>
        <w:t>ئ</w:t>
      </w:r>
      <w:r w:rsidRPr="00851DA1">
        <w:rPr>
          <w:rtl/>
        </w:rPr>
        <w:t xml:space="preserve">هم إلى وسائل أخرى تكفل لهم المشاركة في التجمع من دون الكشف عن هويتهم جزءاً من العنصر التعبيري للتجمع السلمي أو وسيلة لتجنب تعرضهم لأعمال انتقامية أو لحماية خصوصيتهم، بما في ذلك في سياق تكنولوجيات المراقبة الجديدة. وينبغي أن يكون إغفال هوية المشاركين مسموحاً ما لم يشكل سلوكهم سبباً مشروعاً </w:t>
      </w:r>
      <w:proofErr w:type="gramStart"/>
      <w:r w:rsidRPr="00851DA1">
        <w:rPr>
          <w:rtl/>
        </w:rPr>
        <w:t>لاعتقالهم</w:t>
      </w:r>
      <w:r w:rsidR="00E13836" w:rsidRPr="00851DA1">
        <w:rPr>
          <w:vertAlign w:val="superscript"/>
          <w:rtl/>
        </w:rPr>
        <w:t>(</w:t>
      </w:r>
      <w:proofErr w:type="gramEnd"/>
      <w:r w:rsidRPr="00851DA1">
        <w:rPr>
          <w:rFonts w:eastAsia="SimSun" w:cs="Times New Roman"/>
          <w:position w:val="4"/>
          <w:vertAlign w:val="superscript"/>
        </w:rPr>
        <w:footnoteReference w:id="78"/>
      </w:r>
      <w:r w:rsidR="00E13836" w:rsidRPr="00851DA1">
        <w:rPr>
          <w:vertAlign w:val="superscript"/>
          <w:rtl/>
        </w:rPr>
        <w:t>)</w:t>
      </w:r>
      <w:r w:rsidRPr="00851DA1">
        <w:rPr>
          <w:rtl/>
        </w:rPr>
        <w:t xml:space="preserve">، أو تكن هناك أسباب قاهرة أخرى مماثلة، كأن يكون غطاء الوجه جزءاً من رمز يمنع ارتداؤه، بشكل استثنائي، للأسباب المشار إليها أعلاه </w:t>
      </w:r>
      <w:r w:rsidR="00E13836" w:rsidRPr="00851DA1">
        <w:rPr>
          <w:rtl/>
        </w:rPr>
        <w:t>(</w:t>
      </w:r>
      <w:r w:rsidRPr="00851DA1">
        <w:rPr>
          <w:rtl/>
        </w:rPr>
        <w:t xml:space="preserve">انظر الفقرة </w:t>
      </w:r>
      <w:r w:rsidRPr="00851DA1">
        <w:rPr>
          <w:szCs w:val="20"/>
          <w:rtl/>
        </w:rPr>
        <w:t>51</w:t>
      </w:r>
      <w:r w:rsidR="00E13836" w:rsidRPr="00851DA1">
        <w:rPr>
          <w:sz w:val="28"/>
          <w:rtl/>
        </w:rPr>
        <w:t>)</w:t>
      </w:r>
      <w:r w:rsidRPr="00851DA1">
        <w:rPr>
          <w:sz w:val="28"/>
          <w:rtl/>
        </w:rPr>
        <w:t>.</w:t>
      </w:r>
      <w:r w:rsidRPr="00851DA1">
        <w:rPr>
          <w:rtl/>
        </w:rPr>
        <w:t xml:space="preserve"> ولا ينبغي اعتبار ارتداء الأقنعة في حد ذاته دليلاً على نية ارتكاب فعل عنيف.</w:t>
      </w:r>
    </w:p>
    <w:p w14:paraId="782DBF37" w14:textId="1808C2C6" w:rsidR="00F84062" w:rsidRPr="00851DA1" w:rsidRDefault="00F84062" w:rsidP="00B828C2">
      <w:pPr>
        <w:pStyle w:val="SingleTxtGA"/>
        <w:rPr>
          <w:rFonts w:eastAsia="SimSun" w:cs="Times New Roman"/>
          <w:szCs w:val="20"/>
          <w:lang w:val="ar-SA" w:eastAsia="zh-TW" w:bidi="en-GB"/>
        </w:rPr>
      </w:pPr>
      <w:r w:rsidRPr="00851DA1">
        <w:rPr>
          <w:szCs w:val="20"/>
          <w:rtl/>
        </w:rPr>
        <w:t>61</w:t>
      </w:r>
      <w:r w:rsidR="00B828C2" w:rsidRPr="00851DA1">
        <w:rPr>
          <w:szCs w:val="20"/>
          <w:rtl/>
        </w:rPr>
        <w:t>-</w:t>
      </w:r>
      <w:r w:rsidR="00B828C2" w:rsidRPr="00851DA1">
        <w:rPr>
          <w:szCs w:val="20"/>
          <w:rtl/>
        </w:rPr>
        <w:tab/>
      </w:r>
      <w:r w:rsidRPr="00851DA1">
        <w:rPr>
          <w:rtl/>
        </w:rPr>
        <w:t xml:space="preserve">ومع أن قيام السلطات بجمع المعلومات والبيانات ذات الصلة قد يساعد على تيسير التجمعات في ظروف معينة، فإنه لا يجب أن يؤدي إلى قمع الحقوق أو إلى إحداث أثر مثبط لممارسة هذه الحرية. ويجب أن يكون أي جمعٍ للمعلومات، سواء من جانب كيانات عامة أو خاصة، بما في ذلك عن طريق مراقبة الاتصالات أو اعتراضها، والطريقة التي يتم بها جمع البيانات وتبادلها والاحتفاظ بها والوصول إليها، متفقاً تماماً مع المعايير الدولية السارية، بما في ذلك الحق في الخصوصية، ولا يجوز أبداً أن يكون الهدف منهما تخويف المشاركين الفعليين أو المحتملين في التجمعات أو </w:t>
      </w:r>
      <w:proofErr w:type="gramStart"/>
      <w:r w:rsidRPr="00851DA1">
        <w:rPr>
          <w:rtl/>
        </w:rPr>
        <w:t>مضايقتهم</w:t>
      </w:r>
      <w:r w:rsidR="00E13836" w:rsidRPr="00851DA1">
        <w:rPr>
          <w:vertAlign w:val="superscript"/>
          <w:rtl/>
        </w:rPr>
        <w:t>(</w:t>
      </w:r>
      <w:proofErr w:type="gramEnd"/>
      <w:r w:rsidRPr="00851DA1">
        <w:rPr>
          <w:rFonts w:eastAsia="SimSun" w:cs="Times New Roman"/>
          <w:position w:val="4"/>
          <w:vertAlign w:val="superscript"/>
        </w:rPr>
        <w:footnoteReference w:id="79"/>
      </w:r>
      <w:r w:rsidR="00E13836" w:rsidRPr="00851DA1">
        <w:rPr>
          <w:vertAlign w:val="superscript"/>
          <w:rtl/>
        </w:rPr>
        <w:t>)</w:t>
      </w:r>
      <w:r w:rsidRPr="00851DA1">
        <w:rPr>
          <w:rtl/>
        </w:rPr>
        <w:t xml:space="preserve">. وينبغي أن تنظم هذه الممارسات أطر قانونية وطنية مناسبة تكون متاحةً لعامة الجمهور ومتوافقة مع المعايير الدولية وخاضعة للتدقيق من جانب </w:t>
      </w:r>
      <w:proofErr w:type="gramStart"/>
      <w:r w:rsidRPr="00851DA1">
        <w:rPr>
          <w:rtl/>
        </w:rPr>
        <w:t>المحاكم</w:t>
      </w:r>
      <w:r w:rsidR="00E13836" w:rsidRPr="00851DA1">
        <w:rPr>
          <w:vertAlign w:val="superscript"/>
          <w:rtl/>
        </w:rPr>
        <w:t>(</w:t>
      </w:r>
      <w:proofErr w:type="gramEnd"/>
      <w:r w:rsidRPr="00851DA1">
        <w:rPr>
          <w:rFonts w:eastAsia="SimSun" w:cs="Times New Roman"/>
          <w:position w:val="4"/>
          <w:vertAlign w:val="superscript"/>
        </w:rPr>
        <w:footnoteReference w:id="80"/>
      </w:r>
      <w:r w:rsidR="00E13836" w:rsidRPr="00851DA1">
        <w:rPr>
          <w:vertAlign w:val="superscript"/>
          <w:rtl/>
        </w:rPr>
        <w:t>)</w:t>
      </w:r>
      <w:r w:rsidRPr="00851DA1">
        <w:rPr>
          <w:rtl/>
        </w:rPr>
        <w:t>.</w:t>
      </w:r>
    </w:p>
    <w:p w14:paraId="0E0D9DF7" w14:textId="2CFB613C" w:rsidR="00F84062" w:rsidRPr="00851DA1" w:rsidRDefault="00F84062" w:rsidP="00851DA1">
      <w:pPr>
        <w:pStyle w:val="SingleTxtGA"/>
        <w:pageBreakBefore/>
        <w:rPr>
          <w:rFonts w:eastAsia="SimSun" w:cs="Times New Roman"/>
          <w:szCs w:val="20"/>
          <w:lang w:val="ar-SA" w:eastAsia="zh-TW" w:bidi="en-GB"/>
        </w:rPr>
      </w:pPr>
      <w:r w:rsidRPr="00851DA1">
        <w:rPr>
          <w:szCs w:val="20"/>
          <w:rtl/>
        </w:rPr>
        <w:lastRenderedPageBreak/>
        <w:t>62</w:t>
      </w:r>
      <w:r w:rsidR="00B828C2" w:rsidRPr="00851DA1">
        <w:rPr>
          <w:szCs w:val="20"/>
          <w:rtl/>
        </w:rPr>
        <w:t>-</w:t>
      </w:r>
      <w:r w:rsidR="00B828C2" w:rsidRPr="00851DA1">
        <w:rPr>
          <w:szCs w:val="20"/>
          <w:rtl/>
        </w:rPr>
        <w:tab/>
      </w:r>
      <w:r w:rsidRPr="00851DA1">
        <w:rPr>
          <w:rtl/>
        </w:rPr>
        <w:t>ومجرد انعقاد أي تجمع في مكان عام لا يعني أنه لا يمكن انتهاك خصوصية المشاركين فيه. ذلك أنه يمكن انتهاك الحق في الخصوصية، مثلاً، من خلال تقنية التعرف على الوجه وغيرها من</w:t>
      </w:r>
      <w:r w:rsidR="00ED7CF1" w:rsidRPr="00851DA1">
        <w:rPr>
          <w:rFonts w:hint="cs"/>
          <w:rtl/>
        </w:rPr>
        <w:t> </w:t>
      </w:r>
      <w:r w:rsidRPr="00851DA1">
        <w:rPr>
          <w:rtl/>
        </w:rPr>
        <w:t xml:space="preserve">التقنيات القادرة على التعرف على هوية المشاركين في </w:t>
      </w:r>
      <w:proofErr w:type="gramStart"/>
      <w:r w:rsidRPr="00851DA1">
        <w:rPr>
          <w:rtl/>
        </w:rPr>
        <w:t>حشد</w:t>
      </w:r>
      <w:r w:rsidR="00E13836" w:rsidRPr="00851DA1">
        <w:rPr>
          <w:vertAlign w:val="superscript"/>
          <w:rtl/>
        </w:rPr>
        <w:t>(</w:t>
      </w:r>
      <w:proofErr w:type="gramEnd"/>
      <w:r w:rsidRPr="00851DA1">
        <w:rPr>
          <w:rFonts w:eastAsia="SimSun" w:cs="Times New Roman"/>
          <w:position w:val="4"/>
          <w:vertAlign w:val="superscript"/>
        </w:rPr>
        <w:footnoteReference w:id="81"/>
      </w:r>
      <w:r w:rsidR="00E13836" w:rsidRPr="00851DA1">
        <w:rPr>
          <w:vertAlign w:val="superscript"/>
          <w:rtl/>
        </w:rPr>
        <w:t>)</w:t>
      </w:r>
      <w:r w:rsidRPr="00851DA1">
        <w:rPr>
          <w:rtl/>
        </w:rPr>
        <w:t>. وينطبق الأمر نفسه على مراقبة وسائل التواصل الاجتماعي بغرض جمع معلومات عن المشاركة في التجمعات السلمية. ويجب ممارسة رقابة مستقلة وشفافة على قرار جمع معلومات شخصية وبيانات خاصة عن المشاركين في التجمعات السلمية، وعلى تبادلها أو الاحتفاظ بها، وذلك ضماناً لتوافق هذه الإجراءات مع العهد.</w:t>
      </w:r>
    </w:p>
    <w:p w14:paraId="3B71BF4F" w14:textId="5691CA06" w:rsidR="00F84062" w:rsidRPr="00851DA1" w:rsidRDefault="00F84062" w:rsidP="00B828C2">
      <w:pPr>
        <w:pStyle w:val="SingleTxtGA"/>
        <w:rPr>
          <w:rFonts w:eastAsia="SimSun" w:cs="Times New Roman"/>
          <w:szCs w:val="20"/>
          <w:lang w:val="ar-SA" w:eastAsia="zh-TW" w:bidi="en-GB"/>
        </w:rPr>
      </w:pPr>
      <w:r w:rsidRPr="00851DA1">
        <w:rPr>
          <w:szCs w:val="20"/>
          <w:rtl/>
        </w:rPr>
        <w:t>63</w:t>
      </w:r>
      <w:r w:rsidR="00B828C2" w:rsidRPr="00851DA1">
        <w:rPr>
          <w:szCs w:val="20"/>
          <w:rtl/>
        </w:rPr>
        <w:t>-</w:t>
      </w:r>
      <w:r w:rsidR="00B828C2" w:rsidRPr="00851DA1">
        <w:rPr>
          <w:szCs w:val="20"/>
          <w:rtl/>
        </w:rPr>
        <w:tab/>
      </w:r>
      <w:r w:rsidRPr="00851DA1">
        <w:rPr>
          <w:rtl/>
        </w:rPr>
        <w:t xml:space="preserve">ولا ينبغي أن تتجاوز القيود المفروضة على حرية الموظفين العموميين في المشاركة في التجمعات السلمية حدود ما تقتضيه ضرورة ضمان ثقة الجمهور في نزاهة هؤلاء الموظفين، وبالتالي، في قدرتهم على أداء واجبات الخدمة المنوطة </w:t>
      </w:r>
      <w:proofErr w:type="gramStart"/>
      <w:r w:rsidRPr="00851DA1">
        <w:rPr>
          <w:rtl/>
        </w:rPr>
        <w:t>بهم</w:t>
      </w:r>
      <w:r w:rsidR="00E13836" w:rsidRPr="00851DA1">
        <w:rPr>
          <w:vertAlign w:val="superscript"/>
          <w:rtl/>
        </w:rPr>
        <w:t>(</w:t>
      </w:r>
      <w:proofErr w:type="gramEnd"/>
      <w:r w:rsidRPr="00851DA1">
        <w:rPr>
          <w:rFonts w:eastAsia="SimSun" w:cs="Times New Roman"/>
          <w:position w:val="4"/>
          <w:vertAlign w:val="superscript"/>
        </w:rPr>
        <w:footnoteReference w:id="82"/>
      </w:r>
      <w:r w:rsidR="00E13836" w:rsidRPr="00851DA1">
        <w:rPr>
          <w:vertAlign w:val="superscript"/>
          <w:rtl/>
        </w:rPr>
        <w:t>)</w:t>
      </w:r>
      <w:r w:rsidRPr="00851DA1">
        <w:rPr>
          <w:rtl/>
        </w:rPr>
        <w:t xml:space="preserve">، ويجب أن تمتثل أي قيود من هذا القبيل لأحكام المادة </w:t>
      </w:r>
      <w:r w:rsidRPr="00851DA1">
        <w:rPr>
          <w:szCs w:val="20"/>
          <w:rtl/>
        </w:rPr>
        <w:t>21</w:t>
      </w:r>
      <w:r w:rsidRPr="00851DA1">
        <w:rPr>
          <w:rtl/>
        </w:rPr>
        <w:t>.</w:t>
      </w:r>
    </w:p>
    <w:p w14:paraId="15C5047B" w14:textId="71FE3C4E" w:rsidR="00F84062" w:rsidRPr="00851DA1" w:rsidRDefault="00F84062" w:rsidP="00B828C2">
      <w:pPr>
        <w:pStyle w:val="SingleTxtGA"/>
        <w:rPr>
          <w:rFonts w:eastAsia="SimSun" w:cs="Times New Roman"/>
          <w:szCs w:val="20"/>
          <w:lang w:val="ar-SA" w:eastAsia="zh-TW" w:bidi="en-GB"/>
        </w:rPr>
      </w:pPr>
      <w:r w:rsidRPr="00851DA1">
        <w:rPr>
          <w:szCs w:val="20"/>
          <w:rtl/>
        </w:rPr>
        <w:t>64</w:t>
      </w:r>
      <w:r w:rsidR="00B828C2" w:rsidRPr="00851DA1">
        <w:rPr>
          <w:szCs w:val="20"/>
          <w:rtl/>
        </w:rPr>
        <w:t>-</w:t>
      </w:r>
      <w:r w:rsidR="00B828C2" w:rsidRPr="00851DA1">
        <w:rPr>
          <w:szCs w:val="20"/>
          <w:rtl/>
        </w:rPr>
        <w:tab/>
      </w:r>
      <w:r w:rsidRPr="00851DA1">
        <w:rPr>
          <w:rtl/>
        </w:rPr>
        <w:t xml:space="preserve">وبوجه عام، لا تتفق مع أحكام المادة </w:t>
      </w:r>
      <w:r w:rsidRPr="00851DA1">
        <w:rPr>
          <w:szCs w:val="20"/>
          <w:rtl/>
        </w:rPr>
        <w:t xml:space="preserve">21 </w:t>
      </w:r>
      <w:r w:rsidRPr="00851DA1">
        <w:rPr>
          <w:rtl/>
        </w:rPr>
        <w:t>الشروط التي تلزم منظمي التجمع السلمي أو</w:t>
      </w:r>
      <w:r w:rsidR="00ED7CF1" w:rsidRPr="00851DA1">
        <w:rPr>
          <w:rFonts w:hint="cs"/>
          <w:rtl/>
        </w:rPr>
        <w:t> </w:t>
      </w:r>
      <w:r w:rsidRPr="00851DA1">
        <w:rPr>
          <w:rtl/>
        </w:rPr>
        <w:t xml:space="preserve">المشاركين فيه إما بترتيب ضبط النظام أو </w:t>
      </w:r>
      <w:proofErr w:type="gramStart"/>
      <w:r w:rsidRPr="00851DA1">
        <w:rPr>
          <w:rtl/>
        </w:rPr>
        <w:t>الأمن</w:t>
      </w:r>
      <w:r w:rsidR="00E13836" w:rsidRPr="00851DA1">
        <w:rPr>
          <w:vertAlign w:val="superscript"/>
          <w:rtl/>
        </w:rPr>
        <w:t>(</w:t>
      </w:r>
      <w:proofErr w:type="gramEnd"/>
      <w:r w:rsidRPr="00851DA1">
        <w:rPr>
          <w:rFonts w:eastAsia="SimSun" w:cs="Times New Roman"/>
          <w:position w:val="4"/>
          <w:vertAlign w:val="superscript"/>
        </w:rPr>
        <w:footnoteReference w:id="83"/>
      </w:r>
      <w:r w:rsidR="00E13836" w:rsidRPr="00851DA1">
        <w:rPr>
          <w:vertAlign w:val="superscript"/>
          <w:rtl/>
        </w:rPr>
        <w:t>)</w:t>
      </w:r>
      <w:r w:rsidRPr="00851DA1">
        <w:rPr>
          <w:rtl/>
        </w:rPr>
        <w:t>، أو المساعدة الطبية أو التنظيف</w:t>
      </w:r>
      <w:r w:rsidR="00E13836" w:rsidRPr="00851DA1">
        <w:rPr>
          <w:vertAlign w:val="superscript"/>
          <w:rtl/>
        </w:rPr>
        <w:t>(</w:t>
      </w:r>
      <w:r w:rsidRPr="00851DA1">
        <w:rPr>
          <w:rFonts w:eastAsia="SimSun" w:cs="Times New Roman"/>
          <w:position w:val="4"/>
          <w:vertAlign w:val="superscript"/>
        </w:rPr>
        <w:footnoteReference w:id="84"/>
      </w:r>
      <w:r w:rsidR="00E13836" w:rsidRPr="00851DA1">
        <w:rPr>
          <w:vertAlign w:val="superscript"/>
          <w:rtl/>
        </w:rPr>
        <w:t>)</w:t>
      </w:r>
      <w:r w:rsidRPr="00851DA1">
        <w:rPr>
          <w:rtl/>
        </w:rPr>
        <w:t>، أو أي خدمات عامة أخرى مرتبطة بالتجمعات السلمية وإما بالمساهمة في دفع تكاليف ذلك</w:t>
      </w:r>
      <w:r w:rsidR="00E13836" w:rsidRPr="00851DA1">
        <w:rPr>
          <w:vertAlign w:val="superscript"/>
          <w:rtl/>
        </w:rPr>
        <w:t>(</w:t>
      </w:r>
      <w:r w:rsidRPr="00851DA1">
        <w:rPr>
          <w:rFonts w:eastAsia="SimSun" w:cs="Times New Roman"/>
          <w:position w:val="4"/>
          <w:vertAlign w:val="superscript"/>
        </w:rPr>
        <w:footnoteReference w:id="85"/>
      </w:r>
      <w:r w:rsidR="00E13836" w:rsidRPr="00851DA1">
        <w:rPr>
          <w:vertAlign w:val="superscript"/>
          <w:rtl/>
        </w:rPr>
        <w:t>)</w:t>
      </w:r>
      <w:r w:rsidRPr="00851DA1">
        <w:rPr>
          <w:rtl/>
        </w:rPr>
        <w:t>.</w:t>
      </w:r>
    </w:p>
    <w:p w14:paraId="4249A0CD" w14:textId="7664A1AD" w:rsidR="00F84062" w:rsidRPr="00851DA1" w:rsidRDefault="00F84062" w:rsidP="00B828C2">
      <w:pPr>
        <w:pStyle w:val="SingleTxtGA"/>
        <w:rPr>
          <w:rFonts w:eastAsia="SimSun" w:cs="Times New Roman"/>
          <w:szCs w:val="20"/>
          <w:lang w:val="ar-SA" w:eastAsia="zh-TW" w:bidi="en-GB"/>
        </w:rPr>
      </w:pPr>
      <w:r w:rsidRPr="00851DA1">
        <w:rPr>
          <w:szCs w:val="20"/>
          <w:rtl/>
        </w:rPr>
        <w:t>65</w:t>
      </w:r>
      <w:r w:rsidR="00B828C2" w:rsidRPr="00851DA1">
        <w:rPr>
          <w:szCs w:val="20"/>
          <w:rtl/>
        </w:rPr>
        <w:t>-</w:t>
      </w:r>
      <w:r w:rsidR="00B828C2" w:rsidRPr="00851DA1">
        <w:rPr>
          <w:szCs w:val="20"/>
          <w:rtl/>
        </w:rPr>
        <w:tab/>
      </w:r>
      <w:r w:rsidRPr="00851DA1">
        <w:rPr>
          <w:rtl/>
        </w:rPr>
        <w:t xml:space="preserve">ويُتوقع من منظمي أي تجمع والمشاركين فيه الامتثال للشروط القانونية التي تسري على هذا اتجمع، ويجوز إخضاعهم للمساءلة عن أي سلوك غير مشروع يقدمون عليه، بما في ذلك تحريض </w:t>
      </w:r>
      <w:proofErr w:type="gramStart"/>
      <w:r w:rsidRPr="00851DA1">
        <w:rPr>
          <w:rtl/>
        </w:rPr>
        <w:t>الآخرين</w:t>
      </w:r>
      <w:r w:rsidR="00E13836" w:rsidRPr="00851DA1">
        <w:rPr>
          <w:vertAlign w:val="superscript"/>
          <w:rtl/>
        </w:rPr>
        <w:t>(</w:t>
      </w:r>
      <w:proofErr w:type="gramEnd"/>
      <w:r w:rsidRPr="00851DA1">
        <w:rPr>
          <w:rFonts w:eastAsia="SimSun" w:cs="Times New Roman"/>
          <w:position w:val="4"/>
          <w:vertAlign w:val="superscript"/>
        </w:rPr>
        <w:footnoteReference w:id="86"/>
      </w:r>
      <w:r w:rsidR="00E13836" w:rsidRPr="00851DA1">
        <w:rPr>
          <w:vertAlign w:val="superscript"/>
          <w:rtl/>
        </w:rPr>
        <w:t>)</w:t>
      </w:r>
      <w:r w:rsidRPr="00851DA1">
        <w:rPr>
          <w:rtl/>
        </w:rPr>
        <w:t>. أما في الحالات الاستثنائية التي يخضع فيها المنظِّمون للمساءلة عن وقوع أضرار أو</w:t>
      </w:r>
      <w:r w:rsidR="000B128E" w:rsidRPr="00851DA1">
        <w:rPr>
          <w:rFonts w:hint="cs"/>
          <w:rtl/>
        </w:rPr>
        <w:t> </w:t>
      </w:r>
      <w:r w:rsidRPr="00851DA1">
        <w:rPr>
          <w:rtl/>
        </w:rPr>
        <w:t xml:space="preserve">إصابات لم تثبت مسؤوليتهم المباشرة عنها، فيجب أن تقتصر مساءلتهم على الحالات التي تُثبِت فيها الأدلة أنه كان بوسع المنظمين إلى حد معقول توقّع تلك الأضرار والإصابات ومنع </w:t>
      </w:r>
      <w:proofErr w:type="gramStart"/>
      <w:r w:rsidRPr="00851DA1">
        <w:rPr>
          <w:rtl/>
        </w:rPr>
        <w:t>وقوعها</w:t>
      </w:r>
      <w:r w:rsidR="00E13836" w:rsidRPr="00851DA1">
        <w:rPr>
          <w:vertAlign w:val="superscript"/>
          <w:rtl/>
        </w:rPr>
        <w:t>(</w:t>
      </w:r>
      <w:proofErr w:type="gramEnd"/>
      <w:r w:rsidRPr="00851DA1">
        <w:rPr>
          <w:rFonts w:eastAsia="SimSun" w:cs="Times New Roman"/>
          <w:position w:val="4"/>
          <w:vertAlign w:val="superscript"/>
        </w:rPr>
        <w:footnoteReference w:id="87"/>
      </w:r>
      <w:r w:rsidR="00E13836" w:rsidRPr="00851DA1">
        <w:rPr>
          <w:vertAlign w:val="superscript"/>
          <w:rtl/>
        </w:rPr>
        <w:t>)</w:t>
      </w:r>
      <w:r w:rsidRPr="00851DA1">
        <w:rPr>
          <w:rtl/>
        </w:rPr>
        <w:t>. وثمة ممارسة جيدة يمكن لمنظمي التجمعات اتّباعها، ألا وهي تعيين مشرفين أو حراس عند الضرورة، ولكنها لا ينبغي أن تكون شرطاً قانونياً.</w:t>
      </w:r>
    </w:p>
    <w:p w14:paraId="1DAAA234" w14:textId="1490C448" w:rsidR="00F84062" w:rsidRPr="00851DA1" w:rsidRDefault="00F84062" w:rsidP="00B828C2">
      <w:pPr>
        <w:pStyle w:val="SingleTxtGA"/>
        <w:rPr>
          <w:rFonts w:eastAsia="SimSun" w:cs="Times New Roman"/>
          <w:szCs w:val="20"/>
          <w:lang w:val="ar-SA" w:eastAsia="zh-TW" w:bidi="en-GB"/>
        </w:rPr>
      </w:pPr>
      <w:r w:rsidRPr="00851DA1">
        <w:rPr>
          <w:szCs w:val="20"/>
          <w:rtl/>
        </w:rPr>
        <w:t>66-</w:t>
      </w:r>
      <w:r w:rsidRPr="00851DA1">
        <w:rPr>
          <w:rtl/>
        </w:rPr>
        <w:tab/>
        <w:t>ولا يجوز للسلطات أن تطلب من الأفراد التعهد أو الالتزام بعدم تنظيم تجمعات مقبلة أو</w:t>
      </w:r>
      <w:r w:rsidR="00CC4DBD" w:rsidRPr="00851DA1">
        <w:rPr>
          <w:rFonts w:hint="cs"/>
          <w:rtl/>
        </w:rPr>
        <w:t> </w:t>
      </w:r>
      <w:r w:rsidRPr="00851DA1">
        <w:rPr>
          <w:rtl/>
        </w:rPr>
        <w:t xml:space="preserve">المشاركة </w:t>
      </w:r>
      <w:proofErr w:type="gramStart"/>
      <w:r w:rsidRPr="00851DA1">
        <w:rPr>
          <w:rtl/>
        </w:rPr>
        <w:t>فيها</w:t>
      </w:r>
      <w:r w:rsidR="00E13836" w:rsidRPr="00851DA1">
        <w:rPr>
          <w:vertAlign w:val="superscript"/>
          <w:rtl/>
        </w:rPr>
        <w:t>(</w:t>
      </w:r>
      <w:proofErr w:type="gramEnd"/>
      <w:r w:rsidRPr="00851DA1">
        <w:rPr>
          <w:rFonts w:eastAsia="SimSun" w:cs="Times New Roman"/>
          <w:position w:val="4"/>
          <w:vertAlign w:val="superscript"/>
        </w:rPr>
        <w:footnoteReference w:id="88"/>
      </w:r>
      <w:r w:rsidR="00E13836" w:rsidRPr="00851DA1">
        <w:rPr>
          <w:vertAlign w:val="superscript"/>
          <w:rtl/>
        </w:rPr>
        <w:t>)</w:t>
      </w:r>
      <w:r w:rsidRPr="00851DA1">
        <w:rPr>
          <w:rtl/>
        </w:rPr>
        <w:t xml:space="preserve">. وفي المقابل، لا يجوز إرغام أي شخص على المشاركة في أي </w:t>
      </w:r>
      <w:proofErr w:type="gramStart"/>
      <w:r w:rsidRPr="00851DA1">
        <w:rPr>
          <w:rtl/>
        </w:rPr>
        <w:t>تجمع</w:t>
      </w:r>
      <w:r w:rsidR="00E13836" w:rsidRPr="00851DA1">
        <w:rPr>
          <w:vertAlign w:val="superscript"/>
          <w:rtl/>
        </w:rPr>
        <w:t>(</w:t>
      </w:r>
      <w:proofErr w:type="gramEnd"/>
      <w:r w:rsidRPr="00851DA1">
        <w:rPr>
          <w:rFonts w:eastAsia="SimSun" w:cs="Times New Roman"/>
          <w:position w:val="4"/>
          <w:vertAlign w:val="superscript"/>
        </w:rPr>
        <w:footnoteReference w:id="89"/>
      </w:r>
      <w:r w:rsidR="00E13836" w:rsidRPr="00851DA1">
        <w:rPr>
          <w:vertAlign w:val="superscript"/>
          <w:rtl/>
        </w:rPr>
        <w:t>)</w:t>
      </w:r>
      <w:r w:rsidRPr="00851DA1">
        <w:rPr>
          <w:rtl/>
        </w:rPr>
        <w:t>.</w:t>
      </w:r>
    </w:p>
    <w:p w14:paraId="361D748A" w14:textId="77777777" w:rsidR="00F84062" w:rsidRPr="00851DA1" w:rsidRDefault="00F84062" w:rsidP="00B828C2">
      <w:pPr>
        <w:pStyle w:val="SingleTxtGA"/>
        <w:rPr>
          <w:rFonts w:eastAsia="SimSun" w:cs="Times New Roman"/>
          <w:szCs w:val="20"/>
          <w:lang w:val="ar-SA" w:eastAsia="zh-TW" w:bidi="en-GB"/>
        </w:rPr>
      </w:pPr>
      <w:r w:rsidRPr="00851DA1">
        <w:rPr>
          <w:szCs w:val="20"/>
          <w:rtl/>
        </w:rPr>
        <w:t>67-</w:t>
      </w:r>
      <w:r w:rsidRPr="00851DA1">
        <w:rPr>
          <w:rtl/>
        </w:rPr>
        <w:tab/>
        <w:t>وفي حال فرض جزاءات جنائية أو إدارية على منظمي تجمع سلمي أو المشاركين فيه بسبب إقدامهم على سلوك غير مشروع، يجب أن تكون هذه الجزاءات متناسبة وغير تمييزية وألا تستند إلى جرائم معرفة تعريفاً غامضاً أو فضفاضاً للغاية أو تقمع سلوكاً محمياً بموجب العهد.</w:t>
      </w:r>
    </w:p>
    <w:p w14:paraId="230CAF32" w14:textId="1250E0D5" w:rsidR="00F84062" w:rsidRPr="00851DA1" w:rsidRDefault="00F84062" w:rsidP="00B828C2">
      <w:pPr>
        <w:pStyle w:val="SingleTxtGA"/>
        <w:rPr>
          <w:rFonts w:eastAsia="SimSun" w:cs="Times New Roman"/>
          <w:szCs w:val="20"/>
          <w:lang w:val="ar-SA" w:eastAsia="zh-TW" w:bidi="en-GB"/>
        </w:rPr>
      </w:pPr>
      <w:r w:rsidRPr="00851DA1">
        <w:rPr>
          <w:szCs w:val="20"/>
          <w:rtl/>
        </w:rPr>
        <w:t>68-</w:t>
      </w:r>
      <w:r w:rsidRPr="00851DA1">
        <w:rPr>
          <w:rtl/>
        </w:rPr>
        <w:tab/>
        <w:t>ورغم وجوب تجريم أعمال الإرهاب وفقاً للقانون الدولي، فإن تعريف هذه الجرائم يجب ألا</w:t>
      </w:r>
      <w:r w:rsidR="000B128E" w:rsidRPr="00851DA1">
        <w:rPr>
          <w:rFonts w:hint="cs"/>
          <w:rtl/>
        </w:rPr>
        <w:t> </w:t>
      </w:r>
      <w:r w:rsidRPr="00851DA1">
        <w:rPr>
          <w:rtl/>
        </w:rPr>
        <w:t xml:space="preserve">يكون فضفاضاً للغاية أو تمييزياً كما يجب ألاّ يطُّبق هذا التعريف على نحو يحد من ممارسة الحق </w:t>
      </w:r>
      <w:r w:rsidRPr="00851DA1">
        <w:rPr>
          <w:rtl/>
        </w:rPr>
        <w:lastRenderedPageBreak/>
        <w:t>في</w:t>
      </w:r>
      <w:r w:rsidR="00ED7CF1" w:rsidRPr="00851DA1">
        <w:rPr>
          <w:rFonts w:hint="cs"/>
          <w:rtl/>
        </w:rPr>
        <w:t> </w:t>
      </w:r>
      <w:r w:rsidRPr="00851DA1">
        <w:rPr>
          <w:rtl/>
        </w:rPr>
        <w:t xml:space="preserve">التجمع السلمي أو يثني عن </w:t>
      </w:r>
      <w:proofErr w:type="gramStart"/>
      <w:r w:rsidRPr="00851DA1">
        <w:rPr>
          <w:rtl/>
        </w:rPr>
        <w:t>ممارسته</w:t>
      </w:r>
      <w:r w:rsidR="00E13836" w:rsidRPr="00851DA1">
        <w:rPr>
          <w:vertAlign w:val="superscript"/>
          <w:rtl/>
        </w:rPr>
        <w:t>(</w:t>
      </w:r>
      <w:proofErr w:type="gramEnd"/>
      <w:r w:rsidRPr="00851DA1">
        <w:rPr>
          <w:rFonts w:eastAsia="SimSun" w:cs="Times New Roman"/>
          <w:position w:val="4"/>
          <w:vertAlign w:val="superscript"/>
        </w:rPr>
        <w:footnoteReference w:id="90"/>
      </w:r>
      <w:r w:rsidR="00E13836" w:rsidRPr="00851DA1">
        <w:rPr>
          <w:vertAlign w:val="superscript"/>
          <w:rtl/>
        </w:rPr>
        <w:t>)</w:t>
      </w:r>
      <w:r w:rsidRPr="00851DA1">
        <w:rPr>
          <w:rtl/>
        </w:rPr>
        <w:t>. ولا يجوز أن تُجرَّم قوانين مكافحة الإرهاب مجرد تنظيم تجمع سلمي أو المشاركة فيه.</w:t>
      </w:r>
    </w:p>
    <w:p w14:paraId="38A9DB92" w14:textId="05DD95E8" w:rsidR="00F84062" w:rsidRPr="00851DA1" w:rsidRDefault="00F84062" w:rsidP="00B828C2">
      <w:pPr>
        <w:pStyle w:val="SingleTxtGA"/>
        <w:rPr>
          <w:rFonts w:eastAsia="SimSun" w:cs="Times New Roman"/>
          <w:szCs w:val="20"/>
          <w:lang w:val="ar-SA" w:eastAsia="zh-TW" w:bidi="en-GB"/>
        </w:rPr>
      </w:pPr>
      <w:r w:rsidRPr="00851DA1">
        <w:rPr>
          <w:szCs w:val="20"/>
          <w:rtl/>
        </w:rPr>
        <w:t>69</w:t>
      </w:r>
      <w:r w:rsidR="00B828C2" w:rsidRPr="00851DA1">
        <w:rPr>
          <w:szCs w:val="20"/>
          <w:rtl/>
        </w:rPr>
        <w:t>-</w:t>
      </w:r>
      <w:r w:rsidR="00B828C2" w:rsidRPr="00851DA1">
        <w:rPr>
          <w:szCs w:val="20"/>
          <w:rtl/>
        </w:rPr>
        <w:tab/>
      </w:r>
      <w:r w:rsidRPr="00851DA1">
        <w:rPr>
          <w:rtl/>
        </w:rPr>
        <w:t xml:space="preserve">ويجب أن تكون إمكانية اللجوء إلى المحاكم أو الهيئات القضائية الأخرى لطلب الانتصاف فيما يتعلق بالقيود المفروضة متاحةً بسهولة، بما في ذلك إمكانية استئناف الحكم أو مراجعته. ولا يجب أن يؤدي توقيت الدعوى المرفوعة في حالة فرض قيود على تجمع ما والوقت الذي يستغرقه البت فيها إلى تعريض ممارسة هذا الحق </w:t>
      </w:r>
      <w:proofErr w:type="gramStart"/>
      <w:r w:rsidRPr="00851DA1">
        <w:rPr>
          <w:rtl/>
        </w:rPr>
        <w:t>للخطر</w:t>
      </w:r>
      <w:r w:rsidR="00E13836" w:rsidRPr="00851DA1">
        <w:rPr>
          <w:vertAlign w:val="superscript"/>
          <w:rtl/>
        </w:rPr>
        <w:t>(</w:t>
      </w:r>
      <w:proofErr w:type="gramEnd"/>
      <w:r w:rsidRPr="00851DA1">
        <w:rPr>
          <w:rFonts w:eastAsia="SimSun" w:cs="Times New Roman"/>
          <w:position w:val="4"/>
          <w:vertAlign w:val="superscript"/>
        </w:rPr>
        <w:footnoteReference w:id="91"/>
      </w:r>
      <w:r w:rsidR="00E13836" w:rsidRPr="00851DA1">
        <w:rPr>
          <w:vertAlign w:val="superscript"/>
          <w:rtl/>
        </w:rPr>
        <w:t>)</w:t>
      </w:r>
      <w:r w:rsidRPr="00851DA1">
        <w:rPr>
          <w:rtl/>
        </w:rPr>
        <w:t>. وتسري الضمانات الإجرائية التي يكفلها العهد على جميع هذه الحالات، وكذلك على حالات من قبيل الاحتجاز أو فرض الجزاءات، بما فيها الغرامات، فيما</w:t>
      </w:r>
      <w:r w:rsidR="000B128E" w:rsidRPr="00851DA1">
        <w:rPr>
          <w:rFonts w:hint="cs"/>
          <w:rtl/>
        </w:rPr>
        <w:t> </w:t>
      </w:r>
      <w:r w:rsidRPr="00851DA1">
        <w:rPr>
          <w:rtl/>
        </w:rPr>
        <w:t xml:space="preserve">يتصل بالتجمعات </w:t>
      </w:r>
      <w:proofErr w:type="gramStart"/>
      <w:r w:rsidRPr="00851DA1">
        <w:rPr>
          <w:rtl/>
        </w:rPr>
        <w:t>السلمية</w:t>
      </w:r>
      <w:r w:rsidR="00E13836" w:rsidRPr="00851DA1">
        <w:rPr>
          <w:vertAlign w:val="superscript"/>
          <w:rtl/>
        </w:rPr>
        <w:t>(</w:t>
      </w:r>
      <w:proofErr w:type="gramEnd"/>
      <w:r w:rsidRPr="00851DA1">
        <w:rPr>
          <w:rFonts w:eastAsia="SimSun" w:cs="Times New Roman"/>
          <w:position w:val="4"/>
          <w:vertAlign w:val="superscript"/>
        </w:rPr>
        <w:footnoteReference w:id="92"/>
      </w:r>
      <w:r w:rsidR="00E13836" w:rsidRPr="00851DA1">
        <w:rPr>
          <w:vertAlign w:val="superscript"/>
          <w:rtl/>
        </w:rPr>
        <w:t>)</w:t>
      </w:r>
      <w:r w:rsidRPr="00851DA1">
        <w:rPr>
          <w:rtl/>
        </w:rPr>
        <w:t>.</w:t>
      </w:r>
    </w:p>
    <w:p w14:paraId="675931AD" w14:textId="24BB9756" w:rsidR="00F84062" w:rsidRPr="00851DA1" w:rsidRDefault="00453ECF" w:rsidP="00453ECF">
      <w:pPr>
        <w:pStyle w:val="HChGA"/>
        <w:rPr>
          <w:rFonts w:cs="Times New Roman"/>
          <w:sz w:val="24"/>
          <w:szCs w:val="20"/>
          <w:lang w:val="ar-SA" w:eastAsia="zh-TW" w:bidi="en-GB"/>
        </w:rPr>
      </w:pPr>
      <w:r w:rsidRPr="00851DA1">
        <w:rPr>
          <w:rtl/>
        </w:rPr>
        <w:tab/>
      </w:r>
      <w:r w:rsidR="00F84062" w:rsidRPr="00851DA1">
        <w:rPr>
          <w:rtl/>
        </w:rPr>
        <w:t>خامسا</w:t>
      </w:r>
      <w:r w:rsidRPr="00851DA1">
        <w:rPr>
          <w:rFonts w:hint="cs"/>
          <w:rtl/>
        </w:rPr>
        <w:t>ً</w:t>
      </w:r>
      <w:r w:rsidR="00F84062" w:rsidRPr="00851DA1">
        <w:rPr>
          <w:rtl/>
        </w:rPr>
        <w:t>-</w:t>
      </w:r>
      <w:r w:rsidR="00F84062" w:rsidRPr="00851DA1">
        <w:rPr>
          <w:rtl/>
        </w:rPr>
        <w:tab/>
        <w:t>نظم الإخطار</w:t>
      </w:r>
    </w:p>
    <w:p w14:paraId="63D3982E" w14:textId="36BB6410" w:rsidR="00F84062" w:rsidRPr="00851DA1" w:rsidRDefault="00F84062" w:rsidP="00851DA1">
      <w:pPr>
        <w:pStyle w:val="SingleTxtGA"/>
        <w:spacing w:line="350" w:lineRule="exact"/>
        <w:rPr>
          <w:rFonts w:eastAsia="SimSun" w:cs="Times New Roman"/>
          <w:szCs w:val="20"/>
          <w:lang w:val="ar-SA" w:eastAsia="zh-TW" w:bidi="en-GB"/>
        </w:rPr>
      </w:pPr>
      <w:r w:rsidRPr="00851DA1">
        <w:rPr>
          <w:szCs w:val="20"/>
          <w:rtl/>
        </w:rPr>
        <w:t>70-</w:t>
      </w:r>
      <w:r w:rsidRPr="00851DA1">
        <w:rPr>
          <w:rtl/>
        </w:rPr>
        <w:tab/>
        <w:t xml:space="preserve">إن اشتراط تقديم طلب للحصول على إذن من السلطات يقوض الفكرة القائلة إن التجمع السلمي حق </w:t>
      </w:r>
      <w:proofErr w:type="gramStart"/>
      <w:r w:rsidRPr="00851DA1">
        <w:rPr>
          <w:rtl/>
        </w:rPr>
        <w:t>أساسي</w:t>
      </w:r>
      <w:r w:rsidR="00E13836" w:rsidRPr="00851DA1">
        <w:rPr>
          <w:vertAlign w:val="superscript"/>
          <w:rtl/>
        </w:rPr>
        <w:t>(</w:t>
      </w:r>
      <w:proofErr w:type="gramEnd"/>
      <w:r w:rsidRPr="00851DA1">
        <w:rPr>
          <w:rFonts w:eastAsia="SimSun" w:cs="Times New Roman"/>
          <w:position w:val="4"/>
          <w:vertAlign w:val="superscript"/>
        </w:rPr>
        <w:footnoteReference w:id="93"/>
      </w:r>
      <w:r w:rsidR="00E13836" w:rsidRPr="00851DA1">
        <w:rPr>
          <w:vertAlign w:val="superscript"/>
          <w:rtl/>
        </w:rPr>
        <w:t>)</w:t>
      </w:r>
      <w:r w:rsidRPr="00851DA1">
        <w:rPr>
          <w:rtl/>
        </w:rPr>
        <w:t xml:space="preserve">. فنظم الإخطار التي تلزم مَن يعتزمون تنظيم تجمع سلمي بإبلاغ السلطات مسبقاً به وبتقديم تفاصيل عن بعض سماته البارزة نظمٌ يجوز العمل بها بالقدر اللازم لمساعدة السلطات على تيسير سير التجمعات السلمية بسلاسة وحماية حقوق </w:t>
      </w:r>
      <w:proofErr w:type="gramStart"/>
      <w:r w:rsidRPr="00851DA1">
        <w:rPr>
          <w:rtl/>
        </w:rPr>
        <w:t>الآخرين</w:t>
      </w:r>
      <w:r w:rsidR="00E13836" w:rsidRPr="00851DA1">
        <w:rPr>
          <w:vertAlign w:val="superscript"/>
          <w:rtl/>
        </w:rPr>
        <w:t>(</w:t>
      </w:r>
      <w:proofErr w:type="gramEnd"/>
      <w:r w:rsidRPr="00851DA1">
        <w:rPr>
          <w:rFonts w:eastAsia="SimSun" w:cs="Times New Roman"/>
          <w:position w:val="4"/>
          <w:vertAlign w:val="superscript"/>
        </w:rPr>
        <w:footnoteReference w:id="94"/>
      </w:r>
      <w:r w:rsidR="00E13836" w:rsidRPr="00851DA1">
        <w:rPr>
          <w:vertAlign w:val="superscript"/>
          <w:rtl/>
        </w:rPr>
        <w:t>)</w:t>
      </w:r>
      <w:r w:rsidRPr="00851DA1">
        <w:rPr>
          <w:rtl/>
        </w:rPr>
        <w:t>. وفي الوقت ذاته، يجب ألاّ</w:t>
      </w:r>
      <w:r w:rsidR="000B128E" w:rsidRPr="00851DA1">
        <w:rPr>
          <w:rFonts w:hint="cs"/>
          <w:rtl/>
        </w:rPr>
        <w:t> </w:t>
      </w:r>
      <w:r w:rsidRPr="00851DA1">
        <w:rPr>
          <w:rtl/>
        </w:rPr>
        <w:t xml:space="preserve">يُساء استخدام هذا الشرط لتضييق الخناق على التجمعات السلمية، ويجب أن يكون فرضه مبرراً بالأسباب الواردة في المادة </w:t>
      </w:r>
      <w:r w:rsidRPr="00851DA1">
        <w:rPr>
          <w:szCs w:val="20"/>
          <w:rtl/>
        </w:rPr>
        <w:t>21</w:t>
      </w:r>
      <w:r w:rsidR="00ED7CF1" w:rsidRPr="00851DA1">
        <w:rPr>
          <w:vertAlign w:val="superscript"/>
          <w:rtl/>
        </w:rPr>
        <w:t>(</w:t>
      </w:r>
      <w:r w:rsidR="00ED7CF1" w:rsidRPr="00851DA1">
        <w:rPr>
          <w:rFonts w:eastAsia="SimSun" w:cs="Times New Roman"/>
          <w:position w:val="4"/>
          <w:vertAlign w:val="superscript"/>
        </w:rPr>
        <w:footnoteReference w:id="95"/>
      </w:r>
      <w:r w:rsidR="00ED7CF1" w:rsidRPr="00851DA1">
        <w:rPr>
          <w:vertAlign w:val="superscript"/>
          <w:rtl/>
        </w:rPr>
        <w:t>)</w:t>
      </w:r>
      <w:r w:rsidRPr="00851DA1">
        <w:rPr>
          <w:rtl/>
        </w:rPr>
        <w:t>، شأنه في ذلك شأن التدخلات الأخرى في هذا الحق. ويجب ألا</w:t>
      </w:r>
      <w:r w:rsidR="000B128E" w:rsidRPr="00851DA1">
        <w:rPr>
          <w:rFonts w:hint="cs"/>
          <w:rtl/>
        </w:rPr>
        <w:t> </w:t>
      </w:r>
      <w:r w:rsidRPr="00851DA1">
        <w:rPr>
          <w:rtl/>
        </w:rPr>
        <w:t xml:space="preserve">يصبح إنفاذ شروط الإخطار غايةً في حد </w:t>
      </w:r>
      <w:proofErr w:type="gramStart"/>
      <w:r w:rsidRPr="00851DA1">
        <w:rPr>
          <w:rtl/>
        </w:rPr>
        <w:t>ذاته</w:t>
      </w:r>
      <w:r w:rsidR="00E13836" w:rsidRPr="00851DA1">
        <w:rPr>
          <w:vertAlign w:val="superscript"/>
          <w:rtl/>
        </w:rPr>
        <w:t>(</w:t>
      </w:r>
      <w:proofErr w:type="gramEnd"/>
      <w:r w:rsidRPr="00851DA1">
        <w:rPr>
          <w:rFonts w:eastAsia="SimSun" w:cs="Times New Roman"/>
          <w:position w:val="4"/>
          <w:vertAlign w:val="superscript"/>
        </w:rPr>
        <w:footnoteReference w:id="96"/>
      </w:r>
      <w:r w:rsidR="00E13836" w:rsidRPr="00851DA1">
        <w:rPr>
          <w:vertAlign w:val="superscript"/>
          <w:rtl/>
        </w:rPr>
        <w:t>)</w:t>
      </w:r>
      <w:r w:rsidRPr="00851DA1">
        <w:rPr>
          <w:rtl/>
        </w:rPr>
        <w:t>. وينبغي أن تكون إجراءات الإخطار شفافة، لا</w:t>
      </w:r>
      <w:r w:rsidR="000B128E" w:rsidRPr="00851DA1">
        <w:rPr>
          <w:rFonts w:hint="cs"/>
          <w:rtl/>
        </w:rPr>
        <w:t> </w:t>
      </w:r>
      <w:r w:rsidRPr="00851DA1">
        <w:rPr>
          <w:rtl/>
        </w:rPr>
        <w:t xml:space="preserve">بيروقراطيةً بلا </w:t>
      </w:r>
      <w:proofErr w:type="gramStart"/>
      <w:r w:rsidRPr="00851DA1">
        <w:rPr>
          <w:rtl/>
        </w:rPr>
        <w:t>مبرر</w:t>
      </w:r>
      <w:r w:rsidR="00D45C86" w:rsidRPr="00851DA1">
        <w:rPr>
          <w:vertAlign w:val="superscript"/>
          <w:rtl/>
        </w:rPr>
        <w:t>(</w:t>
      </w:r>
      <w:proofErr w:type="gramEnd"/>
      <w:r w:rsidR="00D45C86" w:rsidRPr="00851DA1">
        <w:rPr>
          <w:rFonts w:eastAsia="SimSun" w:cs="Times New Roman"/>
          <w:position w:val="4"/>
          <w:vertAlign w:val="superscript"/>
        </w:rPr>
        <w:footnoteReference w:id="97"/>
      </w:r>
      <w:r w:rsidR="00D45C86" w:rsidRPr="00851DA1">
        <w:rPr>
          <w:vertAlign w:val="superscript"/>
          <w:rtl/>
        </w:rPr>
        <w:t>)</w:t>
      </w:r>
      <w:r w:rsidRPr="00851DA1">
        <w:rPr>
          <w:rtl/>
        </w:rPr>
        <w:t>، وأن تكون المتطلبات التي تفرضها على المنظِّمين متناسبة مع التأثير المحتمل للتجمع المعني على عامة الجمهور، وأن تكون مجانية.</w:t>
      </w:r>
    </w:p>
    <w:p w14:paraId="478210DA" w14:textId="1688ED89" w:rsidR="00F84062" w:rsidRPr="00851DA1" w:rsidRDefault="00F84062" w:rsidP="00851DA1">
      <w:pPr>
        <w:pStyle w:val="SingleTxtGA"/>
        <w:spacing w:line="350" w:lineRule="exact"/>
        <w:rPr>
          <w:rFonts w:eastAsia="SimSun" w:cs="Times New Roman"/>
          <w:szCs w:val="20"/>
          <w:lang w:eastAsia="zh-TW" w:bidi="en-GB"/>
        </w:rPr>
      </w:pPr>
      <w:r w:rsidRPr="00851DA1">
        <w:rPr>
          <w:szCs w:val="20"/>
          <w:rtl/>
        </w:rPr>
        <w:t>71-</w:t>
      </w:r>
      <w:r w:rsidRPr="00851DA1">
        <w:rPr>
          <w:rtl/>
        </w:rPr>
        <w:tab/>
        <w:t>ولا ينفي عدم إخطار السلطات، عند الاقتضاء، بنية تنظيم تجمعٍ صفة المشروعية عن فعل المشاركة فيه، ويجب ألاّ يُستخدم في حد ذاته كأساس لفض التجمع أو إلقاء القبض على منظميه أو</w:t>
      </w:r>
      <w:r w:rsidR="00D45C86" w:rsidRPr="00851DA1">
        <w:rPr>
          <w:rFonts w:hint="cs"/>
          <w:rtl/>
        </w:rPr>
        <w:t> </w:t>
      </w:r>
      <w:r w:rsidRPr="00851DA1">
        <w:rPr>
          <w:rtl/>
        </w:rPr>
        <w:t xml:space="preserve">المشاركين فيه، أو معاقبتهم على نحو غير مبرر مثل اتهامهم بارتكاب أفعال إجرامية. وفي حال فرض جزاءات إدارية على منظمي التجمع لعدم إخطارهم السلطات، يجب أن تبرر السلطات فرض تلك </w:t>
      </w:r>
      <w:proofErr w:type="gramStart"/>
      <w:r w:rsidRPr="00851DA1">
        <w:rPr>
          <w:rtl/>
        </w:rPr>
        <w:t>الجزاءات</w:t>
      </w:r>
      <w:r w:rsidR="00E13836" w:rsidRPr="00851DA1">
        <w:rPr>
          <w:vertAlign w:val="superscript"/>
          <w:rtl/>
        </w:rPr>
        <w:t>(</w:t>
      </w:r>
      <w:proofErr w:type="gramEnd"/>
      <w:r w:rsidRPr="00851DA1">
        <w:rPr>
          <w:rFonts w:eastAsia="SimSun" w:cs="Times New Roman"/>
          <w:position w:val="4"/>
          <w:vertAlign w:val="superscript"/>
        </w:rPr>
        <w:footnoteReference w:id="98"/>
      </w:r>
      <w:r w:rsidR="00E13836" w:rsidRPr="00851DA1">
        <w:rPr>
          <w:vertAlign w:val="superscript"/>
          <w:rtl/>
        </w:rPr>
        <w:t>)</w:t>
      </w:r>
      <w:r w:rsidRPr="00851DA1">
        <w:rPr>
          <w:rtl/>
        </w:rPr>
        <w:t>. فعدم الإخطار لا يعفي السلطات من الالتزام، في حدود قدراتها، بتيسير التجمع وحماية المشاركين فيه.</w:t>
      </w:r>
    </w:p>
    <w:p w14:paraId="63CD4380" w14:textId="5366AEC6" w:rsidR="00F84062" w:rsidRPr="00851DA1" w:rsidRDefault="00F84062" w:rsidP="00851DA1">
      <w:pPr>
        <w:pStyle w:val="SingleTxtGA"/>
        <w:spacing w:line="350" w:lineRule="exact"/>
        <w:rPr>
          <w:rFonts w:eastAsia="SimSun" w:cs="Times New Roman"/>
          <w:szCs w:val="20"/>
          <w:lang w:val="ar-SA" w:eastAsia="zh-TW" w:bidi="en-GB"/>
        </w:rPr>
      </w:pPr>
      <w:r w:rsidRPr="00851DA1">
        <w:rPr>
          <w:szCs w:val="20"/>
          <w:rtl/>
        </w:rPr>
        <w:t>72-</w:t>
      </w:r>
      <w:r w:rsidRPr="00851DA1">
        <w:rPr>
          <w:rtl/>
        </w:rPr>
        <w:tab/>
        <w:t>ويجب أن ينص القانون الوطني على أي شروط إخطار بالتجمعات المخطط لها مسبقاً. وقد</w:t>
      </w:r>
      <w:r w:rsidR="000B128E" w:rsidRPr="00851DA1">
        <w:rPr>
          <w:rFonts w:hint="cs"/>
          <w:rtl/>
        </w:rPr>
        <w:t> </w:t>
      </w:r>
      <w:r w:rsidRPr="00851DA1">
        <w:rPr>
          <w:rtl/>
        </w:rPr>
        <w:t xml:space="preserve">يختلف الحد الأدنى لفترة تقديم الإخطار المسبق باختلاف السياق ومستوى التيسير المطلوب، </w:t>
      </w:r>
      <w:r w:rsidRPr="00851DA1">
        <w:rPr>
          <w:rtl/>
        </w:rPr>
        <w:lastRenderedPageBreak/>
        <w:t>ولكنه لا</w:t>
      </w:r>
      <w:r w:rsidR="000B128E" w:rsidRPr="00851DA1">
        <w:rPr>
          <w:rFonts w:hint="cs"/>
          <w:rtl/>
        </w:rPr>
        <w:t> </w:t>
      </w:r>
      <w:r w:rsidRPr="00851DA1">
        <w:rPr>
          <w:rtl/>
        </w:rPr>
        <w:t xml:space="preserve">ينبغي أن يكون طويلاً إلى حد </w:t>
      </w:r>
      <w:proofErr w:type="gramStart"/>
      <w:r w:rsidRPr="00851DA1">
        <w:rPr>
          <w:rtl/>
        </w:rPr>
        <w:t>مفرط</w:t>
      </w:r>
      <w:r w:rsidR="00E13836" w:rsidRPr="00851DA1">
        <w:rPr>
          <w:vertAlign w:val="superscript"/>
          <w:rtl/>
        </w:rPr>
        <w:t>(</w:t>
      </w:r>
      <w:proofErr w:type="gramEnd"/>
      <w:r w:rsidRPr="00851DA1">
        <w:rPr>
          <w:rFonts w:eastAsia="SimSun" w:cs="Times New Roman"/>
          <w:position w:val="4"/>
          <w:vertAlign w:val="superscript"/>
        </w:rPr>
        <w:footnoteReference w:id="99"/>
      </w:r>
      <w:r w:rsidR="00E13836" w:rsidRPr="00851DA1">
        <w:rPr>
          <w:vertAlign w:val="superscript"/>
          <w:rtl/>
        </w:rPr>
        <w:t>)</w:t>
      </w:r>
      <w:r w:rsidRPr="00851DA1">
        <w:rPr>
          <w:rtl/>
        </w:rPr>
        <w:t>. أما في حال فرض قيود بعد تقديم الإخطار، فينبغي إبلاغ الجهات المعنية في وقت مبكر بما فيه الكفاية لتمكينها من اللجوء إلى المحاكم أو غيرها من الآليات للطعن فيها. وينبغي أن يستثني أي نظام إخطار التجمعات التي يُتَوقع إلى حد معقول أن يكون تأثيرها على الآخرين ضئيلاً، مثلاً، بسبب طبيعتها أو موقعها أو قلة عدد المشاركين فيها أو قصر مدتها. ويجب عدم اشتراط تقديم إخطار بالنسبة للتجمعات العفوية التي لا يوجد متسع كاف</w:t>
      </w:r>
      <w:r w:rsidR="00057CFF" w:rsidRPr="00851DA1">
        <w:rPr>
          <w:rFonts w:hint="cs"/>
          <w:rtl/>
        </w:rPr>
        <w:t xml:space="preserve"> من</w:t>
      </w:r>
      <w:r w:rsidRPr="00851DA1">
        <w:rPr>
          <w:rtl/>
        </w:rPr>
        <w:t xml:space="preserve"> الوقت لتقديم إخطار </w:t>
      </w:r>
      <w:proofErr w:type="gramStart"/>
      <w:r w:rsidRPr="00851DA1">
        <w:rPr>
          <w:rtl/>
        </w:rPr>
        <w:t>بها</w:t>
      </w:r>
      <w:r w:rsidR="00E13836" w:rsidRPr="00851DA1">
        <w:rPr>
          <w:vertAlign w:val="superscript"/>
          <w:rtl/>
        </w:rPr>
        <w:t>(</w:t>
      </w:r>
      <w:proofErr w:type="gramEnd"/>
      <w:r w:rsidRPr="00851DA1">
        <w:rPr>
          <w:rFonts w:eastAsia="SimSun" w:cs="Times New Roman"/>
          <w:position w:val="4"/>
          <w:vertAlign w:val="superscript"/>
        </w:rPr>
        <w:footnoteReference w:id="100"/>
      </w:r>
      <w:r w:rsidR="00E13836" w:rsidRPr="00851DA1">
        <w:rPr>
          <w:vertAlign w:val="superscript"/>
          <w:rtl/>
        </w:rPr>
        <w:t>)</w:t>
      </w:r>
      <w:r w:rsidRPr="00851DA1">
        <w:rPr>
          <w:rtl/>
        </w:rPr>
        <w:t>.</w:t>
      </w:r>
    </w:p>
    <w:p w14:paraId="54A36A34" w14:textId="79CC4B83" w:rsidR="00F84062" w:rsidRPr="00851DA1" w:rsidRDefault="00F84062" w:rsidP="00851DA1">
      <w:pPr>
        <w:pStyle w:val="SingleTxtGA"/>
        <w:spacing w:line="350" w:lineRule="exact"/>
        <w:rPr>
          <w:rFonts w:eastAsia="SimSun" w:cs="Times New Roman"/>
          <w:szCs w:val="20"/>
          <w:lang w:val="ar-SA" w:eastAsia="zh-TW" w:bidi="en-GB"/>
        </w:rPr>
      </w:pPr>
      <w:r w:rsidRPr="00851DA1">
        <w:rPr>
          <w:szCs w:val="20"/>
          <w:rtl/>
        </w:rPr>
        <w:t>73-</w:t>
      </w:r>
      <w:r w:rsidRPr="00851DA1">
        <w:rPr>
          <w:rtl/>
        </w:rPr>
        <w:tab/>
        <w:t xml:space="preserve">وإذا كانت القوانين الوطنية لا تزال تنص على نظم ترخيص، يجب استخدام هذه النظم، في الممارسة العملية، باعتبارها نظم إخطار، على أن يُمنح الترخيص تلقائياً ما لم تكن هناك أسباب قاهرة تمنع من ذلك. أما نظم الإخطار، فيجب ألاّ تُستخدم كنظم ترخيص، في الممارسة </w:t>
      </w:r>
      <w:proofErr w:type="gramStart"/>
      <w:r w:rsidRPr="00851DA1">
        <w:rPr>
          <w:rtl/>
        </w:rPr>
        <w:t>العملية</w:t>
      </w:r>
      <w:r w:rsidR="00E13836" w:rsidRPr="00851DA1">
        <w:rPr>
          <w:vertAlign w:val="superscript"/>
          <w:rtl/>
        </w:rPr>
        <w:t>(</w:t>
      </w:r>
      <w:proofErr w:type="gramEnd"/>
      <w:r w:rsidRPr="00851DA1">
        <w:rPr>
          <w:rFonts w:eastAsia="SimSun" w:cs="Times New Roman"/>
          <w:position w:val="4"/>
          <w:vertAlign w:val="superscript"/>
        </w:rPr>
        <w:footnoteReference w:id="101"/>
      </w:r>
      <w:r w:rsidR="00E13836" w:rsidRPr="00851DA1">
        <w:rPr>
          <w:vertAlign w:val="superscript"/>
          <w:rtl/>
        </w:rPr>
        <w:t>)</w:t>
      </w:r>
      <w:r w:rsidRPr="00851DA1">
        <w:rPr>
          <w:rtl/>
        </w:rPr>
        <w:t>.</w:t>
      </w:r>
    </w:p>
    <w:p w14:paraId="1C2E2B87" w14:textId="1BD9802A" w:rsidR="00F84062" w:rsidRPr="00851DA1" w:rsidRDefault="00153B5D" w:rsidP="00153B5D">
      <w:pPr>
        <w:pStyle w:val="HChGA"/>
        <w:rPr>
          <w:rFonts w:cs="Times New Roman"/>
          <w:sz w:val="24"/>
          <w:szCs w:val="20"/>
          <w:lang w:val="ar-SA" w:eastAsia="zh-TW" w:bidi="en-GB"/>
        </w:rPr>
      </w:pPr>
      <w:r w:rsidRPr="00851DA1">
        <w:rPr>
          <w:rtl/>
        </w:rPr>
        <w:tab/>
      </w:r>
      <w:r w:rsidR="00F84062" w:rsidRPr="00851DA1">
        <w:rPr>
          <w:rtl/>
        </w:rPr>
        <w:t>سادسا</w:t>
      </w:r>
      <w:r w:rsidRPr="00851DA1">
        <w:rPr>
          <w:rFonts w:hint="cs"/>
          <w:rtl/>
        </w:rPr>
        <w:t>ً</w:t>
      </w:r>
      <w:r w:rsidR="00F84062" w:rsidRPr="00851DA1">
        <w:rPr>
          <w:rtl/>
        </w:rPr>
        <w:t>-</w:t>
      </w:r>
      <w:r w:rsidR="00F84062" w:rsidRPr="00851DA1">
        <w:rPr>
          <w:rtl/>
        </w:rPr>
        <w:tab/>
        <w:t>واجبات وصلاحيات أجهزة إنفاذ القانون</w:t>
      </w:r>
    </w:p>
    <w:p w14:paraId="32489D54" w14:textId="39A1F2FC" w:rsidR="00F84062" w:rsidRPr="00851DA1" w:rsidRDefault="00F84062" w:rsidP="00851DA1">
      <w:pPr>
        <w:pStyle w:val="SingleTxtGA"/>
        <w:spacing w:line="350" w:lineRule="exact"/>
        <w:rPr>
          <w:rFonts w:eastAsia="SimSun" w:cs="Times New Roman"/>
          <w:szCs w:val="20"/>
          <w:lang w:val="ar-SA" w:eastAsia="zh-TW" w:bidi="en-GB"/>
        </w:rPr>
      </w:pPr>
      <w:r w:rsidRPr="00851DA1">
        <w:rPr>
          <w:szCs w:val="20"/>
          <w:rtl/>
        </w:rPr>
        <w:t>74-</w:t>
      </w:r>
      <w:r w:rsidRPr="00851DA1">
        <w:rPr>
          <w:rtl/>
        </w:rPr>
        <w:tab/>
        <w:t xml:space="preserve">يجب على موظفي إنفاذ القانون المنوط بهم ضبط أمن التجمعات احترام وكفالة ممارسة منظمي التجمعات والمشاركين فيها لحقوقهم الأساسية، كما يجب عليهم دفع الأذى عن </w:t>
      </w:r>
      <w:proofErr w:type="gramStart"/>
      <w:r w:rsidRPr="00851DA1">
        <w:rPr>
          <w:rtl/>
        </w:rPr>
        <w:t>الصحفيين</w:t>
      </w:r>
      <w:r w:rsidR="00E13836" w:rsidRPr="00851DA1">
        <w:rPr>
          <w:vertAlign w:val="superscript"/>
          <w:rtl/>
        </w:rPr>
        <w:t>(</w:t>
      </w:r>
      <w:proofErr w:type="gramEnd"/>
      <w:r w:rsidRPr="00851DA1">
        <w:rPr>
          <w:rFonts w:eastAsia="SimSun" w:cs="Times New Roman"/>
          <w:position w:val="4"/>
          <w:vertAlign w:val="superscript"/>
        </w:rPr>
        <w:footnoteReference w:id="102"/>
      </w:r>
      <w:r w:rsidR="00E13836" w:rsidRPr="00851DA1">
        <w:rPr>
          <w:vertAlign w:val="superscript"/>
          <w:rtl/>
        </w:rPr>
        <w:t>)</w:t>
      </w:r>
      <w:r w:rsidR="00385035" w:rsidRPr="00851DA1">
        <w:rPr>
          <w:rFonts w:hint="cs"/>
          <w:rtl/>
        </w:rPr>
        <w:t>،</w:t>
      </w:r>
      <w:r w:rsidR="006274F1" w:rsidRPr="00851DA1">
        <w:rPr>
          <w:rFonts w:hint="cs"/>
          <w:rtl/>
        </w:rPr>
        <w:t xml:space="preserve"> </w:t>
      </w:r>
      <w:r w:rsidRPr="00851DA1">
        <w:rPr>
          <w:rtl/>
        </w:rPr>
        <w:t>وراصدي التجمعات ومراقبيها والعاملين في القطاع الطبي وغيرهم من أفراد عامة الجمهور،</w:t>
      </w:r>
      <w:r w:rsidR="00B828C2" w:rsidRPr="00851DA1">
        <w:rPr>
          <w:rtl/>
        </w:rPr>
        <w:t xml:space="preserve"> </w:t>
      </w:r>
      <w:r w:rsidRPr="00851DA1">
        <w:rPr>
          <w:rtl/>
        </w:rPr>
        <w:t>فضلاً عن الممتلكات العامة والخاصة</w:t>
      </w:r>
      <w:r w:rsidR="00E13836" w:rsidRPr="00851DA1">
        <w:rPr>
          <w:vertAlign w:val="superscript"/>
          <w:rtl/>
        </w:rPr>
        <w:t>(</w:t>
      </w:r>
      <w:r w:rsidRPr="00851DA1">
        <w:rPr>
          <w:rFonts w:eastAsia="SimSun" w:cs="Times New Roman"/>
          <w:position w:val="4"/>
          <w:vertAlign w:val="superscript"/>
        </w:rPr>
        <w:footnoteReference w:id="103"/>
      </w:r>
      <w:r w:rsidR="00E13836" w:rsidRPr="00851DA1">
        <w:rPr>
          <w:vertAlign w:val="superscript"/>
          <w:rtl/>
        </w:rPr>
        <w:t>)</w:t>
      </w:r>
      <w:r w:rsidRPr="00851DA1">
        <w:rPr>
          <w:rtl/>
        </w:rPr>
        <w:t>. وعند الضرورة، ينبغي أن يكون السعي إلى تيسير التجمعات السلمية هو النهج الأساسي الذي تتبعه السلطات.</w:t>
      </w:r>
    </w:p>
    <w:p w14:paraId="26C87DB4" w14:textId="4801C78F" w:rsidR="00F84062" w:rsidRPr="00851DA1" w:rsidRDefault="00F84062" w:rsidP="00851DA1">
      <w:pPr>
        <w:pStyle w:val="SingleTxtGA"/>
        <w:spacing w:line="350" w:lineRule="exact"/>
        <w:rPr>
          <w:rFonts w:eastAsia="SimSun" w:cs="Times New Roman"/>
          <w:szCs w:val="20"/>
          <w:lang w:val="ar-SA" w:eastAsia="zh-TW" w:bidi="en-GB"/>
        </w:rPr>
      </w:pPr>
      <w:r w:rsidRPr="00851DA1">
        <w:rPr>
          <w:szCs w:val="20"/>
          <w:rtl/>
        </w:rPr>
        <w:t>75-</w:t>
      </w:r>
      <w:r w:rsidRPr="00851DA1">
        <w:rPr>
          <w:rtl/>
        </w:rPr>
        <w:tab/>
        <w:t xml:space="preserve">أما أجهزة إنفاذ القانون المعنية، فينبغي أن تعمل قدر الإمكان على إنشاء قنوات للاتصال والحوار بين مختلف الأطراف المشاركة في التجمعات، قبل التجمع وأثناءه، وذلك بهدف تعزيز التأهب والتخفيف من حدة التوتر وتسوية </w:t>
      </w:r>
      <w:proofErr w:type="gramStart"/>
      <w:r w:rsidRPr="00851DA1">
        <w:rPr>
          <w:rtl/>
        </w:rPr>
        <w:t>الخلافات</w:t>
      </w:r>
      <w:r w:rsidR="00E13836" w:rsidRPr="00851DA1">
        <w:rPr>
          <w:vertAlign w:val="superscript"/>
          <w:rtl/>
        </w:rPr>
        <w:t>(</w:t>
      </w:r>
      <w:proofErr w:type="gramEnd"/>
      <w:r w:rsidRPr="00851DA1">
        <w:rPr>
          <w:rFonts w:eastAsia="SimSun" w:cs="Times New Roman"/>
          <w:position w:val="4"/>
          <w:vertAlign w:val="superscript"/>
        </w:rPr>
        <w:footnoteReference w:id="104"/>
      </w:r>
      <w:r w:rsidR="00E13836" w:rsidRPr="00851DA1">
        <w:rPr>
          <w:vertAlign w:val="superscript"/>
          <w:rtl/>
        </w:rPr>
        <w:t>)</w:t>
      </w:r>
      <w:r w:rsidRPr="00851DA1">
        <w:rPr>
          <w:rtl/>
        </w:rPr>
        <w:t>. ولا يجوز إلزام منظمي التجمعات والمشاركين فيها باستخدام هذه القنوات، رغم كون ذلك ممارسة جيدة.</w:t>
      </w:r>
    </w:p>
    <w:p w14:paraId="748B223A" w14:textId="3C03A7C8" w:rsidR="00F84062" w:rsidRPr="00851DA1" w:rsidRDefault="00F84062" w:rsidP="00851DA1">
      <w:pPr>
        <w:pStyle w:val="SingleTxtGA"/>
        <w:spacing w:line="350" w:lineRule="exact"/>
        <w:rPr>
          <w:rFonts w:eastAsia="SimSun" w:cs="Times New Roman"/>
          <w:szCs w:val="20"/>
          <w:lang w:val="ar-SA" w:eastAsia="zh-TW" w:bidi="en-GB"/>
        </w:rPr>
      </w:pPr>
      <w:r w:rsidRPr="00851DA1">
        <w:rPr>
          <w:szCs w:val="20"/>
          <w:rtl/>
        </w:rPr>
        <w:t>76-</w:t>
      </w:r>
      <w:r w:rsidRPr="00851DA1">
        <w:rPr>
          <w:rtl/>
        </w:rPr>
        <w:tab/>
        <w:t xml:space="preserve">وفي الحالات التي تستدعي حضور موظفي إنفاذ القانون، ينبغي التخطيط لإجراءات ضبط الأمن في أي تجمع والاضطلاع بها بما يمكِّن من سير التجمع على النحو المتوخى وبما يقلل إلى أدنى حد من احتمال إصابة أي شخص بجروح أو إلحاق أي ضرر </w:t>
      </w:r>
      <w:proofErr w:type="gramStart"/>
      <w:r w:rsidRPr="00851DA1">
        <w:rPr>
          <w:rtl/>
        </w:rPr>
        <w:t>بالممتلكات</w:t>
      </w:r>
      <w:r w:rsidR="00E13836" w:rsidRPr="00851DA1">
        <w:rPr>
          <w:vertAlign w:val="superscript"/>
          <w:rtl/>
        </w:rPr>
        <w:t>(</w:t>
      </w:r>
      <w:proofErr w:type="gramEnd"/>
      <w:r w:rsidRPr="00851DA1">
        <w:rPr>
          <w:rFonts w:eastAsia="SimSun" w:cs="Times New Roman"/>
          <w:position w:val="4"/>
          <w:vertAlign w:val="superscript"/>
        </w:rPr>
        <w:footnoteReference w:id="105"/>
      </w:r>
      <w:r w:rsidR="00E13836" w:rsidRPr="00851DA1">
        <w:rPr>
          <w:vertAlign w:val="superscript"/>
          <w:rtl/>
        </w:rPr>
        <w:t>)</w:t>
      </w:r>
      <w:r w:rsidRPr="00851DA1">
        <w:rPr>
          <w:sz w:val="28"/>
          <w:rtl/>
        </w:rPr>
        <w:t>.</w:t>
      </w:r>
      <w:r w:rsidRPr="00851DA1">
        <w:rPr>
          <w:rtl/>
        </w:rPr>
        <w:t xml:space="preserve"> وينبغي للخطة أن تبين بالتفصيل التعليمات الموجهة إلى جميع الموظفين المعنيين والوحدات المعنية وعتادهم ومواقع نشرهم.</w:t>
      </w:r>
    </w:p>
    <w:p w14:paraId="18AD01FC" w14:textId="3CB03D94" w:rsidR="00F84062" w:rsidRPr="00851DA1" w:rsidRDefault="00F84062" w:rsidP="00851DA1">
      <w:pPr>
        <w:pStyle w:val="SingleTxtGA"/>
        <w:spacing w:line="350" w:lineRule="exact"/>
        <w:rPr>
          <w:rFonts w:eastAsia="SimSun" w:cs="Times New Roman"/>
          <w:szCs w:val="20"/>
          <w:lang w:val="ar-SA" w:eastAsia="zh-TW" w:bidi="en-GB"/>
        </w:rPr>
      </w:pPr>
      <w:r w:rsidRPr="00851DA1">
        <w:rPr>
          <w:szCs w:val="20"/>
          <w:rtl/>
        </w:rPr>
        <w:t>77</w:t>
      </w:r>
      <w:r w:rsidR="00B828C2" w:rsidRPr="00851DA1">
        <w:rPr>
          <w:szCs w:val="20"/>
          <w:rtl/>
        </w:rPr>
        <w:t>-</w:t>
      </w:r>
      <w:r w:rsidR="00B828C2" w:rsidRPr="00851DA1">
        <w:rPr>
          <w:szCs w:val="20"/>
          <w:rtl/>
        </w:rPr>
        <w:tab/>
      </w:r>
      <w:r w:rsidRPr="00851DA1">
        <w:rPr>
          <w:rtl/>
        </w:rPr>
        <w:t xml:space="preserve">وينبغي أن تضع أجهزة إنفاذ القانون المعنية أيضاً خطط طوارئ عامة وبروتوكولات تدريب، لا سيما فيما يتعلق بضبط الأمن في سياق التجمعات التي تنظّم من دون إخطار السلطات بها مسبقاً والتي قد تؤثر على النظام </w:t>
      </w:r>
      <w:proofErr w:type="gramStart"/>
      <w:r w:rsidRPr="00851DA1">
        <w:rPr>
          <w:rtl/>
        </w:rPr>
        <w:t>العام</w:t>
      </w:r>
      <w:r w:rsidR="00E13836" w:rsidRPr="00851DA1">
        <w:rPr>
          <w:vertAlign w:val="superscript"/>
          <w:rtl/>
        </w:rPr>
        <w:t>(</w:t>
      </w:r>
      <w:proofErr w:type="gramEnd"/>
      <w:r w:rsidRPr="00851DA1">
        <w:rPr>
          <w:rFonts w:eastAsia="SimSun" w:cs="Times New Roman"/>
          <w:position w:val="4"/>
          <w:vertAlign w:val="superscript"/>
        </w:rPr>
        <w:footnoteReference w:id="106"/>
      </w:r>
      <w:r w:rsidR="00E13836" w:rsidRPr="00851DA1">
        <w:rPr>
          <w:vertAlign w:val="superscript"/>
          <w:rtl/>
        </w:rPr>
        <w:t>)</w:t>
      </w:r>
      <w:r w:rsidRPr="00851DA1">
        <w:rPr>
          <w:rtl/>
        </w:rPr>
        <w:t>. ويجب أن تكون هناك هياكل قيادة واضحة لدعم المساءلة، كما</w:t>
      </w:r>
      <w:r w:rsidR="00385035" w:rsidRPr="00851DA1">
        <w:rPr>
          <w:rFonts w:hint="cs"/>
          <w:rtl/>
        </w:rPr>
        <w:t> </w:t>
      </w:r>
      <w:r w:rsidRPr="00851DA1">
        <w:rPr>
          <w:rtl/>
        </w:rPr>
        <w:t>يجب أن تكون هناك بروتوكولات لتسجيل الأحداث وتوثيقها، وضمان تحديد هوية الضباط والإبلاغ عن أي استخدام للقوة.</w:t>
      </w:r>
    </w:p>
    <w:p w14:paraId="4031DE37" w14:textId="491C838A" w:rsidR="00F84062" w:rsidRPr="00851DA1" w:rsidRDefault="00F84062" w:rsidP="00B828C2">
      <w:pPr>
        <w:pStyle w:val="SingleTxtGA"/>
        <w:rPr>
          <w:rFonts w:eastAsia="SimSun" w:cs="Times New Roman"/>
          <w:spacing w:val="-2"/>
          <w:szCs w:val="20"/>
          <w:lang w:val="ar-SA" w:eastAsia="zh-TW" w:bidi="en-GB"/>
        </w:rPr>
      </w:pPr>
      <w:r w:rsidRPr="00851DA1">
        <w:rPr>
          <w:szCs w:val="20"/>
          <w:rtl/>
        </w:rPr>
        <w:lastRenderedPageBreak/>
        <w:t>78-</w:t>
      </w:r>
      <w:r w:rsidRPr="00851DA1">
        <w:rPr>
          <w:rtl/>
        </w:rPr>
        <w:tab/>
      </w:r>
      <w:r w:rsidRPr="00851DA1">
        <w:rPr>
          <w:spacing w:val="-2"/>
          <w:rtl/>
        </w:rPr>
        <w:t xml:space="preserve">وينبغي أن يسعى الموظفون المكلفون بإنفاذ القوانين إلى تهدئة الأوضاع التي قد تؤدي إلى العنف. وهم ملزمون باستنفاد الوسائل غير العنيفة وبتوجيه إنذار مسبق إذا حتمت الضرورة استخدام القوة، ما لم يتبين أن ذلك لن يجدي نفعاً. ويجب أن يمتثل أي استخدام للقوة للمبادئ الأساسية المنطبقة على أحكام المادتين </w:t>
      </w:r>
      <w:r w:rsidRPr="00851DA1">
        <w:rPr>
          <w:spacing w:val="-2"/>
          <w:szCs w:val="20"/>
          <w:rtl/>
        </w:rPr>
        <w:t>6</w:t>
      </w:r>
      <w:r w:rsidRPr="00851DA1">
        <w:rPr>
          <w:spacing w:val="-2"/>
          <w:rtl/>
        </w:rPr>
        <w:t xml:space="preserve"> </w:t>
      </w:r>
      <w:proofErr w:type="spellStart"/>
      <w:r w:rsidRPr="00851DA1">
        <w:rPr>
          <w:spacing w:val="-2"/>
          <w:rtl/>
        </w:rPr>
        <w:t>و</w:t>
      </w:r>
      <w:r w:rsidRPr="00851DA1">
        <w:rPr>
          <w:spacing w:val="-2"/>
          <w:szCs w:val="20"/>
          <w:rtl/>
        </w:rPr>
        <w:t>7</w:t>
      </w:r>
      <w:proofErr w:type="spellEnd"/>
      <w:r w:rsidRPr="00851DA1">
        <w:rPr>
          <w:spacing w:val="-2"/>
          <w:rtl/>
        </w:rPr>
        <w:t xml:space="preserve"> من العهد، وهي مبادئ الشرعية والضرورة والتناسب والحيطة وعدم التمييز، ويجب إخضاع الأشخاص الذين يستخدمون القوة للمساءلة عن كل استخدام </w:t>
      </w:r>
      <w:proofErr w:type="gramStart"/>
      <w:r w:rsidRPr="00851DA1">
        <w:rPr>
          <w:spacing w:val="-2"/>
          <w:rtl/>
        </w:rPr>
        <w:t>للقوة</w:t>
      </w:r>
      <w:r w:rsidR="00E13836" w:rsidRPr="00851DA1">
        <w:rPr>
          <w:spacing w:val="-2"/>
          <w:vertAlign w:val="superscript"/>
          <w:rtl/>
        </w:rPr>
        <w:t>(</w:t>
      </w:r>
      <w:proofErr w:type="gramEnd"/>
      <w:r w:rsidRPr="00851DA1">
        <w:rPr>
          <w:rFonts w:eastAsia="SimSun" w:cs="Times New Roman"/>
          <w:spacing w:val="-2"/>
          <w:position w:val="4"/>
          <w:vertAlign w:val="superscript"/>
        </w:rPr>
        <w:footnoteReference w:id="107"/>
      </w:r>
      <w:r w:rsidR="00E13836" w:rsidRPr="00851DA1">
        <w:rPr>
          <w:spacing w:val="-2"/>
          <w:vertAlign w:val="superscript"/>
          <w:rtl/>
        </w:rPr>
        <w:t>)</w:t>
      </w:r>
      <w:r w:rsidRPr="00851DA1">
        <w:rPr>
          <w:spacing w:val="-2"/>
          <w:rtl/>
        </w:rPr>
        <w:t>. ويجب مواءمة النظم القانونية الوطنية المتعلقة باستخدام القوة من جانب موظفي إنفاذ القانون مع</w:t>
      </w:r>
      <w:r w:rsidR="00385035" w:rsidRPr="00851DA1">
        <w:rPr>
          <w:rFonts w:hint="cs"/>
          <w:spacing w:val="-2"/>
          <w:rtl/>
        </w:rPr>
        <w:t> </w:t>
      </w:r>
      <w:r w:rsidRPr="00851DA1">
        <w:rPr>
          <w:spacing w:val="-2"/>
          <w:rtl/>
        </w:rPr>
        <w:t>الشروط المنصوص عليها في القانون الدولي، مع الاسترشاد بمعايير مثل المبادئ الأساسية بشأن</w:t>
      </w:r>
      <w:r w:rsidR="00385035" w:rsidRPr="00851DA1">
        <w:rPr>
          <w:rFonts w:hint="cs"/>
          <w:spacing w:val="-2"/>
          <w:rtl/>
        </w:rPr>
        <w:t> </w:t>
      </w:r>
      <w:r w:rsidRPr="00851DA1">
        <w:rPr>
          <w:spacing w:val="-2"/>
          <w:rtl/>
        </w:rPr>
        <w:t>استخدام القوة والأسلحة النارية من جانب الموظفين المكلفين بإنفاذ القانون والتوجيهات المتعلقة</w:t>
      </w:r>
      <w:r w:rsidR="00385035" w:rsidRPr="00851DA1">
        <w:rPr>
          <w:rFonts w:hint="cs"/>
          <w:spacing w:val="-2"/>
          <w:rtl/>
        </w:rPr>
        <w:t> </w:t>
      </w:r>
      <w:r w:rsidRPr="00851DA1">
        <w:rPr>
          <w:spacing w:val="-2"/>
          <w:rtl/>
        </w:rPr>
        <w:t xml:space="preserve">بحقوق الإنسان الصادرة عن </w:t>
      </w:r>
      <w:r w:rsidRPr="00851DA1">
        <w:rPr>
          <w:i/>
          <w:iCs/>
          <w:spacing w:val="-2"/>
          <w:rtl/>
        </w:rPr>
        <w:t>الأمم المتحدة بشأن استخدام الأسلحة الأقل فتكاً في سياق إنفاذ</w:t>
      </w:r>
      <w:r w:rsidR="00453ECF" w:rsidRPr="00851DA1">
        <w:rPr>
          <w:rFonts w:hint="eastAsia"/>
          <w:i/>
          <w:iCs/>
          <w:spacing w:val="-2"/>
          <w:rtl/>
        </w:rPr>
        <w:t> </w:t>
      </w:r>
      <w:proofErr w:type="gramStart"/>
      <w:r w:rsidRPr="00851DA1">
        <w:rPr>
          <w:i/>
          <w:iCs/>
          <w:spacing w:val="-2"/>
          <w:rtl/>
        </w:rPr>
        <w:t>القانون</w:t>
      </w:r>
      <w:r w:rsidR="00E13836" w:rsidRPr="00851DA1">
        <w:rPr>
          <w:spacing w:val="-2"/>
          <w:vertAlign w:val="superscript"/>
          <w:rtl/>
        </w:rPr>
        <w:t>(</w:t>
      </w:r>
      <w:proofErr w:type="gramEnd"/>
      <w:r w:rsidRPr="00851DA1">
        <w:rPr>
          <w:rFonts w:eastAsia="SimSun" w:cs="Times New Roman"/>
          <w:spacing w:val="-2"/>
          <w:position w:val="4"/>
          <w:vertAlign w:val="superscript"/>
        </w:rPr>
        <w:footnoteReference w:id="108"/>
      </w:r>
      <w:r w:rsidR="00E13836" w:rsidRPr="00851DA1">
        <w:rPr>
          <w:spacing w:val="-2"/>
          <w:vertAlign w:val="superscript"/>
          <w:rtl/>
        </w:rPr>
        <w:t>)</w:t>
      </w:r>
      <w:r w:rsidRPr="00851DA1">
        <w:rPr>
          <w:spacing w:val="-2"/>
          <w:rtl/>
        </w:rPr>
        <w:t>.</w:t>
      </w:r>
    </w:p>
    <w:p w14:paraId="5426AA43" w14:textId="4C6549B1" w:rsidR="00F84062" w:rsidRPr="00851DA1" w:rsidRDefault="00F84062" w:rsidP="00B828C2">
      <w:pPr>
        <w:pStyle w:val="SingleTxtGA"/>
        <w:rPr>
          <w:rFonts w:eastAsia="SimSun" w:cs="Times New Roman"/>
          <w:szCs w:val="20"/>
          <w:lang w:val="ar-SA" w:eastAsia="zh-TW" w:bidi="en-GB"/>
        </w:rPr>
      </w:pPr>
      <w:r w:rsidRPr="00851DA1">
        <w:rPr>
          <w:szCs w:val="20"/>
          <w:rtl/>
        </w:rPr>
        <w:t>79-</w:t>
      </w:r>
      <w:r w:rsidRPr="00851DA1">
        <w:rPr>
          <w:rtl/>
        </w:rPr>
        <w:tab/>
        <w:t xml:space="preserve">ويجوز استخدام أدنى حد لازم من القوة فقط عندما يحتمه غرضٌ مشروع من أغراض إنفاذ القانون أثناء التجمع. وبمجرد انتفاء الحاجة إلى أي استخدام للقوة، مثل النجاح في إلقاء القبض على شخص عنيف، لا يجوز اللجوء إلى القوة مرة </w:t>
      </w:r>
      <w:proofErr w:type="gramStart"/>
      <w:r w:rsidRPr="00851DA1">
        <w:rPr>
          <w:rtl/>
        </w:rPr>
        <w:t>أخرى</w:t>
      </w:r>
      <w:r w:rsidR="00E13836" w:rsidRPr="00851DA1">
        <w:rPr>
          <w:vertAlign w:val="superscript"/>
          <w:rtl/>
        </w:rPr>
        <w:t>(</w:t>
      </w:r>
      <w:proofErr w:type="gramEnd"/>
      <w:r w:rsidRPr="00851DA1">
        <w:rPr>
          <w:rFonts w:eastAsia="SimSun" w:cs="Times New Roman"/>
          <w:position w:val="4"/>
          <w:vertAlign w:val="superscript"/>
        </w:rPr>
        <w:footnoteReference w:id="109"/>
      </w:r>
      <w:r w:rsidR="00E13836" w:rsidRPr="00851DA1">
        <w:rPr>
          <w:vertAlign w:val="superscript"/>
          <w:rtl/>
        </w:rPr>
        <w:t>)</w:t>
      </w:r>
      <w:r w:rsidRPr="00851DA1">
        <w:rPr>
          <w:rtl/>
        </w:rPr>
        <w:t xml:space="preserve">. ولا يجوز لموظفي إنفاذ القانون أن يستخدموا من القوة قدراً أكبر مما يتناسب مع الهدف المشروع المتمثل في تفريق تجمع ما، أو منع ارتكاب جريمة، أو إلقاء القبض بشكل قانوني على مجرم أو شخص يشبته في أنه مجرم، أو المساعدة في إلقاء القبض </w:t>
      </w:r>
      <w:proofErr w:type="gramStart"/>
      <w:r w:rsidRPr="00851DA1">
        <w:rPr>
          <w:rtl/>
        </w:rPr>
        <w:t>عليه</w:t>
      </w:r>
      <w:r w:rsidR="00E13836" w:rsidRPr="00851DA1">
        <w:rPr>
          <w:vertAlign w:val="superscript"/>
          <w:rtl/>
        </w:rPr>
        <w:t>(</w:t>
      </w:r>
      <w:proofErr w:type="gramEnd"/>
      <w:r w:rsidRPr="00851DA1">
        <w:rPr>
          <w:rFonts w:eastAsia="SimSun" w:cs="Times New Roman"/>
          <w:position w:val="4"/>
          <w:vertAlign w:val="superscript"/>
        </w:rPr>
        <w:footnoteReference w:id="110"/>
      </w:r>
      <w:r w:rsidR="00E13836" w:rsidRPr="00851DA1">
        <w:rPr>
          <w:vertAlign w:val="superscript"/>
          <w:rtl/>
        </w:rPr>
        <w:t>)</w:t>
      </w:r>
      <w:r w:rsidRPr="00851DA1">
        <w:rPr>
          <w:rtl/>
        </w:rPr>
        <w:t xml:space="preserve">. ويجب ألاّ يخوّل القانون الوطني هؤلاء الموظفين صلاحيات واسعة إلى حد كبير، مثل صلاحية استخدام </w:t>
      </w:r>
      <w:r w:rsidR="00CC4DBD" w:rsidRPr="00851DA1">
        <w:rPr>
          <w:rFonts w:hint="cs"/>
          <w:rtl/>
        </w:rPr>
        <w:t>"</w:t>
      </w:r>
      <w:r w:rsidRPr="00851DA1">
        <w:rPr>
          <w:rtl/>
        </w:rPr>
        <w:t>القوة</w:t>
      </w:r>
      <w:r w:rsidR="00CC4DBD" w:rsidRPr="00851DA1">
        <w:rPr>
          <w:rFonts w:hint="cs"/>
          <w:rtl/>
        </w:rPr>
        <w:t>"</w:t>
      </w:r>
      <w:r w:rsidRPr="00851DA1">
        <w:rPr>
          <w:rtl/>
        </w:rPr>
        <w:t xml:space="preserve"> أو </w:t>
      </w:r>
      <w:r w:rsidR="00CC4DBD" w:rsidRPr="00851DA1">
        <w:rPr>
          <w:rFonts w:hint="cs"/>
          <w:rtl/>
        </w:rPr>
        <w:t>"</w:t>
      </w:r>
      <w:r w:rsidRPr="00851DA1">
        <w:rPr>
          <w:rtl/>
        </w:rPr>
        <w:t>كل القوة اللازمة</w:t>
      </w:r>
      <w:r w:rsidR="00CC4DBD" w:rsidRPr="00851DA1">
        <w:rPr>
          <w:rFonts w:hint="cs"/>
          <w:rtl/>
        </w:rPr>
        <w:t>"</w:t>
      </w:r>
      <w:r w:rsidRPr="00851DA1">
        <w:rPr>
          <w:rtl/>
        </w:rPr>
        <w:t xml:space="preserve"> لتفريق التجمعات، أو ببساطة صلاحية</w:t>
      </w:r>
      <w:r w:rsidR="00B828C2" w:rsidRPr="00851DA1">
        <w:rPr>
          <w:rtl/>
        </w:rPr>
        <w:t xml:space="preserve"> </w:t>
      </w:r>
      <w:r w:rsidR="00CC4DBD" w:rsidRPr="00851DA1">
        <w:rPr>
          <w:rFonts w:hint="cs"/>
          <w:rtl/>
        </w:rPr>
        <w:t>"</w:t>
      </w:r>
      <w:r w:rsidRPr="00851DA1">
        <w:rPr>
          <w:rtl/>
        </w:rPr>
        <w:t>إطلاق النار على الساقين</w:t>
      </w:r>
      <w:r w:rsidR="00CC4DBD" w:rsidRPr="00851DA1">
        <w:rPr>
          <w:rFonts w:hint="cs"/>
          <w:rtl/>
        </w:rPr>
        <w:t>"</w:t>
      </w:r>
      <w:r w:rsidRPr="00851DA1">
        <w:rPr>
          <w:rtl/>
        </w:rPr>
        <w:t xml:space="preserve">. وعلى وجه الخصوص، يجب ألا يسمح القانون الوطني باستخدام القوة استخداماً عشوائياً أو مفرطاً أو تمييزياً ضد المشاركين في أي </w:t>
      </w:r>
      <w:proofErr w:type="gramStart"/>
      <w:r w:rsidRPr="00851DA1">
        <w:rPr>
          <w:rtl/>
        </w:rPr>
        <w:t>تجمع</w:t>
      </w:r>
      <w:r w:rsidR="00E13836" w:rsidRPr="00851DA1">
        <w:rPr>
          <w:vertAlign w:val="superscript"/>
          <w:rtl/>
        </w:rPr>
        <w:t>(</w:t>
      </w:r>
      <w:proofErr w:type="gramEnd"/>
      <w:r w:rsidRPr="00851DA1">
        <w:rPr>
          <w:rFonts w:eastAsia="SimSun" w:cs="Times New Roman"/>
          <w:position w:val="4"/>
          <w:vertAlign w:val="superscript"/>
        </w:rPr>
        <w:footnoteReference w:id="111"/>
      </w:r>
      <w:r w:rsidR="00E13836" w:rsidRPr="00851DA1">
        <w:rPr>
          <w:vertAlign w:val="superscript"/>
          <w:rtl/>
        </w:rPr>
        <w:t>)</w:t>
      </w:r>
      <w:r w:rsidRPr="00851DA1">
        <w:rPr>
          <w:rtl/>
        </w:rPr>
        <w:t>.</w:t>
      </w:r>
    </w:p>
    <w:p w14:paraId="6A5EB4B6" w14:textId="1E7E179B" w:rsidR="00F84062" w:rsidRPr="00851DA1" w:rsidRDefault="00F84062" w:rsidP="00B828C2">
      <w:pPr>
        <w:pStyle w:val="SingleTxtGA"/>
        <w:rPr>
          <w:rFonts w:eastAsia="SimSun" w:cs="Times New Roman"/>
          <w:szCs w:val="20"/>
          <w:lang w:val="ar-SA" w:eastAsia="zh-TW" w:bidi="en-GB"/>
        </w:rPr>
      </w:pPr>
      <w:r w:rsidRPr="00851DA1">
        <w:rPr>
          <w:szCs w:val="20"/>
          <w:rtl/>
        </w:rPr>
        <w:t>80-</w:t>
      </w:r>
      <w:r w:rsidRPr="00851DA1">
        <w:rPr>
          <w:rtl/>
        </w:rPr>
        <w:tab/>
        <w:t xml:space="preserve">ولذلك، فإن موظفي إنفاذ القانون المدربين على ضبط الأمن في التجمعات، بما في ذلك على معايير حقوق الإنسان ذات الصلة، هم وحدهم الذين ينبغي نشرهم لهذا </w:t>
      </w:r>
      <w:proofErr w:type="gramStart"/>
      <w:r w:rsidRPr="00851DA1">
        <w:rPr>
          <w:rtl/>
        </w:rPr>
        <w:t>الغرض</w:t>
      </w:r>
      <w:r w:rsidR="00E13836" w:rsidRPr="00851DA1">
        <w:rPr>
          <w:vertAlign w:val="superscript"/>
          <w:rtl/>
        </w:rPr>
        <w:t>(</w:t>
      </w:r>
      <w:proofErr w:type="gramEnd"/>
      <w:r w:rsidRPr="00851DA1">
        <w:rPr>
          <w:rFonts w:eastAsia="SimSun" w:cs="Times New Roman"/>
          <w:position w:val="4"/>
          <w:vertAlign w:val="superscript"/>
        </w:rPr>
        <w:footnoteReference w:id="112"/>
      </w:r>
      <w:r w:rsidR="00E13836" w:rsidRPr="00851DA1">
        <w:rPr>
          <w:vertAlign w:val="superscript"/>
          <w:rtl/>
        </w:rPr>
        <w:t>)</w:t>
      </w:r>
      <w:r w:rsidRPr="00851DA1">
        <w:rPr>
          <w:rtl/>
        </w:rPr>
        <w:t>. وينبغي أن يكون الغرض من التدريب توعية هؤلاء الموظفين بالاحتياجات الخاصة للأفراد المستضعفين أو</w:t>
      </w:r>
      <w:r w:rsidR="000B128E" w:rsidRPr="00851DA1">
        <w:rPr>
          <w:rFonts w:hint="cs"/>
          <w:rtl/>
        </w:rPr>
        <w:t> </w:t>
      </w:r>
      <w:r w:rsidRPr="00851DA1">
        <w:rPr>
          <w:rtl/>
        </w:rPr>
        <w:t xml:space="preserve">الجماعات المستضعفة، التي تشمل، في بعض الحالات، النساء والأطفال والأشخاص ذوي الإعاقة، عند المشاركة في التجمعات السلمية. ولا ينبغي استخدام الجيش في ضبط أمن </w:t>
      </w:r>
      <w:proofErr w:type="gramStart"/>
      <w:r w:rsidRPr="00851DA1">
        <w:rPr>
          <w:rtl/>
        </w:rPr>
        <w:t>التجمعات</w:t>
      </w:r>
      <w:r w:rsidR="00E13836" w:rsidRPr="00851DA1">
        <w:rPr>
          <w:vertAlign w:val="superscript"/>
          <w:rtl/>
        </w:rPr>
        <w:t>(</w:t>
      </w:r>
      <w:proofErr w:type="gramEnd"/>
      <w:r w:rsidRPr="00851DA1">
        <w:rPr>
          <w:rFonts w:eastAsia="SimSun" w:cs="Times New Roman"/>
          <w:position w:val="4"/>
          <w:vertAlign w:val="superscript"/>
        </w:rPr>
        <w:footnoteReference w:id="113"/>
      </w:r>
      <w:r w:rsidR="00E13836" w:rsidRPr="00851DA1">
        <w:rPr>
          <w:vertAlign w:val="superscript"/>
          <w:rtl/>
        </w:rPr>
        <w:t>)</w:t>
      </w:r>
      <w:r w:rsidRPr="00851DA1">
        <w:rPr>
          <w:rtl/>
        </w:rPr>
        <w:t>، ولكن</w:t>
      </w:r>
      <w:r w:rsidR="000B128E" w:rsidRPr="00851DA1">
        <w:rPr>
          <w:rFonts w:hint="cs"/>
          <w:rtl/>
        </w:rPr>
        <w:t> </w:t>
      </w:r>
      <w:r w:rsidRPr="00851DA1">
        <w:rPr>
          <w:rtl/>
        </w:rPr>
        <w:t>إذا نُشر أفراده في حالات استثنائية وعلى أساس مؤقت على سبيل الدعم، فإنهم يجب أن يكونوا قد تلقوا تدريباً مناسباً في مجال حقوق الإنسان، كما يجب أن يمتثلوا للقواعد والمعايير الدولية نفسها التي يمتثل لها موظفو إنفاذ القانون</w:t>
      </w:r>
      <w:r w:rsidR="00E13836" w:rsidRPr="00851DA1">
        <w:rPr>
          <w:vertAlign w:val="superscript"/>
          <w:rtl/>
        </w:rPr>
        <w:t>(</w:t>
      </w:r>
      <w:r w:rsidRPr="00851DA1">
        <w:rPr>
          <w:rFonts w:eastAsia="SimSun" w:cs="Times New Roman"/>
          <w:position w:val="4"/>
          <w:vertAlign w:val="superscript"/>
        </w:rPr>
        <w:footnoteReference w:id="114"/>
      </w:r>
      <w:r w:rsidR="00E13836" w:rsidRPr="00851DA1">
        <w:rPr>
          <w:vertAlign w:val="superscript"/>
          <w:rtl/>
        </w:rPr>
        <w:t>)</w:t>
      </w:r>
      <w:r w:rsidRPr="00851DA1">
        <w:rPr>
          <w:rtl/>
        </w:rPr>
        <w:t>.</w:t>
      </w:r>
    </w:p>
    <w:p w14:paraId="4E47AB4B" w14:textId="690040B0" w:rsidR="00F84062" w:rsidRPr="00851DA1" w:rsidRDefault="00F84062" w:rsidP="00B828C2">
      <w:pPr>
        <w:pStyle w:val="SingleTxtGA"/>
        <w:rPr>
          <w:rFonts w:eastAsia="SimSun" w:cs="Times New Roman"/>
          <w:szCs w:val="20"/>
          <w:lang w:val="ar-SA" w:eastAsia="zh-TW" w:bidi="en-GB"/>
        </w:rPr>
      </w:pPr>
      <w:r w:rsidRPr="00851DA1">
        <w:rPr>
          <w:szCs w:val="20"/>
          <w:rtl/>
        </w:rPr>
        <w:t>81-</w:t>
      </w:r>
      <w:r w:rsidRPr="00851DA1">
        <w:rPr>
          <w:rtl/>
        </w:rPr>
        <w:tab/>
        <w:t xml:space="preserve">ويجب أن يكون جميع موظفي إنفاذ القوانين المسؤولين عن ضبط أمن التجمعات مجهزين تجهيزاً مناسباً، بما في ذلك، عند الاقتضاء، بما يناسب ويلائم الغرض المنشود من معدات واقية وأسلحة </w:t>
      </w:r>
      <w:r w:rsidRPr="00851DA1">
        <w:rPr>
          <w:rtl/>
        </w:rPr>
        <w:lastRenderedPageBreak/>
        <w:t xml:space="preserve">أقل فتكاً. ويجب على الدول الأطراف أن تكفل إخضاع جميع الأسلحة، بما فيها الأسلحة الأقل فتكاً، لاختبارات مستقلة صارمة، ويجب أن يتلقى الضباط الذين يُنشرون وهم مزودون بهذه الأسلحة تدريباً خاصاً، كما يجب تقييم ورصد تأثير هذه الأسلحة على حقوق الأشخاص </w:t>
      </w:r>
      <w:proofErr w:type="gramStart"/>
      <w:r w:rsidRPr="00851DA1">
        <w:rPr>
          <w:rtl/>
        </w:rPr>
        <w:t>المتضررين</w:t>
      </w:r>
      <w:r w:rsidR="00E13836" w:rsidRPr="00851DA1">
        <w:rPr>
          <w:vertAlign w:val="superscript"/>
          <w:rtl/>
        </w:rPr>
        <w:t>(</w:t>
      </w:r>
      <w:proofErr w:type="gramEnd"/>
      <w:r w:rsidRPr="00851DA1">
        <w:rPr>
          <w:rFonts w:eastAsia="SimSun" w:cs="Times New Roman"/>
          <w:position w:val="4"/>
          <w:vertAlign w:val="superscript"/>
        </w:rPr>
        <w:footnoteReference w:id="115"/>
      </w:r>
      <w:r w:rsidR="00E13836" w:rsidRPr="00851DA1">
        <w:rPr>
          <w:vertAlign w:val="superscript"/>
          <w:rtl/>
        </w:rPr>
        <w:t>)</w:t>
      </w:r>
      <w:r w:rsidRPr="00851DA1">
        <w:rPr>
          <w:rtl/>
        </w:rPr>
        <w:t xml:space="preserve">. ويجب أن تكون أجهزة إنفاذ القانون متنبهة للآثار التمييزية التي يحتمل أن تنجم عن أساليب معينة لضبط الأمن، بما في ذلك في سياق التكنولوجيات الجديدة، ويجب أن تتصدى لهذه </w:t>
      </w:r>
      <w:proofErr w:type="gramStart"/>
      <w:r w:rsidRPr="00851DA1">
        <w:rPr>
          <w:rtl/>
        </w:rPr>
        <w:t>الآثار</w:t>
      </w:r>
      <w:r w:rsidR="00E13836" w:rsidRPr="00851DA1">
        <w:rPr>
          <w:vertAlign w:val="superscript"/>
          <w:rtl/>
        </w:rPr>
        <w:t>(</w:t>
      </w:r>
      <w:proofErr w:type="gramEnd"/>
      <w:r w:rsidRPr="00851DA1">
        <w:rPr>
          <w:rFonts w:eastAsia="SimSun" w:cs="Times New Roman"/>
          <w:position w:val="4"/>
          <w:vertAlign w:val="superscript"/>
        </w:rPr>
        <w:footnoteReference w:id="116"/>
      </w:r>
      <w:r w:rsidR="00E13836" w:rsidRPr="00851DA1">
        <w:rPr>
          <w:vertAlign w:val="superscript"/>
          <w:rtl/>
        </w:rPr>
        <w:t>)</w:t>
      </w:r>
      <w:r w:rsidRPr="00851DA1">
        <w:rPr>
          <w:rtl/>
        </w:rPr>
        <w:t>.</w:t>
      </w:r>
    </w:p>
    <w:p w14:paraId="2E833BC8" w14:textId="127B5596" w:rsidR="00F84062" w:rsidRPr="00851DA1" w:rsidRDefault="00F84062" w:rsidP="00B828C2">
      <w:pPr>
        <w:pStyle w:val="SingleTxtGA"/>
        <w:rPr>
          <w:rFonts w:eastAsia="SimSun" w:cs="Times New Roman"/>
          <w:szCs w:val="20"/>
          <w:lang w:val="ar-SA" w:eastAsia="zh-TW" w:bidi="en-GB"/>
        </w:rPr>
      </w:pPr>
      <w:r w:rsidRPr="00851DA1">
        <w:rPr>
          <w:szCs w:val="20"/>
          <w:rtl/>
        </w:rPr>
        <w:t>82-</w:t>
      </w:r>
      <w:r w:rsidRPr="00851DA1">
        <w:rPr>
          <w:rtl/>
        </w:rPr>
        <w:tab/>
        <w:t xml:space="preserve">وقد يشكل احتجاز أفراد بعينهم احتجازاً احتياطياً لمنعهم من المشاركة في التجمعات سلباً تعسفياً للحرية، وهو ما ينافي الحق في التجمع </w:t>
      </w:r>
      <w:proofErr w:type="gramStart"/>
      <w:r w:rsidRPr="00851DA1">
        <w:rPr>
          <w:rtl/>
        </w:rPr>
        <w:t>السلمي</w:t>
      </w:r>
      <w:r w:rsidR="00E13836" w:rsidRPr="00851DA1">
        <w:rPr>
          <w:vertAlign w:val="superscript"/>
          <w:rtl/>
        </w:rPr>
        <w:t>(</w:t>
      </w:r>
      <w:proofErr w:type="gramEnd"/>
      <w:r w:rsidRPr="00851DA1">
        <w:rPr>
          <w:rFonts w:eastAsia="SimSun" w:cs="Times New Roman"/>
          <w:position w:val="4"/>
          <w:vertAlign w:val="superscript"/>
        </w:rPr>
        <w:footnoteReference w:id="117"/>
      </w:r>
      <w:r w:rsidR="00E13836" w:rsidRPr="00851DA1">
        <w:rPr>
          <w:vertAlign w:val="superscript"/>
          <w:rtl/>
        </w:rPr>
        <w:t>)</w:t>
      </w:r>
      <w:r w:rsidRPr="00851DA1">
        <w:rPr>
          <w:rtl/>
        </w:rPr>
        <w:t xml:space="preserve">. وينطبق هذا بصفة خاصة على الاحتجاز إذا استمر أكثر من بضع ساعات. وإذا كان القانون الوطني يجيز الاحتجاز الاحتياطي، فلا يجوز اللجوء إلى هذا النوع من الاحتجاز إلا في الحالات الاستثنائية </w:t>
      </w:r>
      <w:proofErr w:type="gramStart"/>
      <w:r w:rsidRPr="00851DA1">
        <w:rPr>
          <w:rtl/>
        </w:rPr>
        <w:t>للغاية</w:t>
      </w:r>
      <w:r w:rsidR="00E13836" w:rsidRPr="00851DA1">
        <w:rPr>
          <w:vertAlign w:val="superscript"/>
          <w:rtl/>
        </w:rPr>
        <w:t>(</w:t>
      </w:r>
      <w:proofErr w:type="gramEnd"/>
      <w:r w:rsidRPr="00851DA1">
        <w:rPr>
          <w:rFonts w:eastAsia="SimSun" w:cs="Times New Roman"/>
          <w:position w:val="4"/>
          <w:vertAlign w:val="superscript"/>
        </w:rPr>
        <w:footnoteReference w:id="118"/>
      </w:r>
      <w:r w:rsidR="00E13836" w:rsidRPr="00851DA1">
        <w:rPr>
          <w:vertAlign w:val="superscript"/>
          <w:rtl/>
        </w:rPr>
        <w:t>)</w:t>
      </w:r>
      <w:r w:rsidRPr="00851DA1">
        <w:rPr>
          <w:rtl/>
        </w:rPr>
        <w:t>، ولفترات لا تتجاوز ما</w:t>
      </w:r>
      <w:r w:rsidR="000B128E" w:rsidRPr="00851DA1">
        <w:rPr>
          <w:rFonts w:hint="cs"/>
          <w:rtl/>
        </w:rPr>
        <w:t> </w:t>
      </w:r>
      <w:r w:rsidRPr="00851DA1">
        <w:rPr>
          <w:rtl/>
        </w:rPr>
        <w:t>تقتضيه الضرورة القصوى، وفقط عندما يكون لدى السلطات دليل على نية الأفراد المعنيين المشاركة في أعمال عنف أثناء تجمع معين أو التحريض على ارتكابها، وفي الحالات التي يتضح فيها أن أي تدابير أخرى لمنع العنف لن تكون كافية</w:t>
      </w:r>
      <w:r w:rsidR="00E13836" w:rsidRPr="00851DA1">
        <w:rPr>
          <w:vertAlign w:val="superscript"/>
          <w:rtl/>
        </w:rPr>
        <w:t>(</w:t>
      </w:r>
      <w:r w:rsidRPr="00851DA1">
        <w:rPr>
          <w:rFonts w:eastAsia="SimSun" w:cs="Times New Roman"/>
          <w:position w:val="4"/>
          <w:vertAlign w:val="superscript"/>
        </w:rPr>
        <w:footnoteReference w:id="119"/>
      </w:r>
      <w:r w:rsidR="00E13836" w:rsidRPr="00851DA1">
        <w:rPr>
          <w:vertAlign w:val="superscript"/>
          <w:rtl/>
        </w:rPr>
        <w:t>)</w:t>
      </w:r>
      <w:r w:rsidRPr="00851DA1">
        <w:rPr>
          <w:rtl/>
        </w:rPr>
        <w:t xml:space="preserve">. أما ممارسات الاعتقال الجماعي العشوائي قبل التجمعات أو أثناءها أو بعدها، فهي ممارسات تعسفية، ومن ثم، غير </w:t>
      </w:r>
      <w:proofErr w:type="gramStart"/>
      <w:r w:rsidRPr="00851DA1">
        <w:rPr>
          <w:rtl/>
        </w:rPr>
        <w:t>قانونية</w:t>
      </w:r>
      <w:r w:rsidR="00E13836" w:rsidRPr="00851DA1">
        <w:rPr>
          <w:vertAlign w:val="superscript"/>
          <w:rtl/>
        </w:rPr>
        <w:t>(</w:t>
      </w:r>
      <w:proofErr w:type="gramEnd"/>
      <w:r w:rsidRPr="00851DA1">
        <w:rPr>
          <w:rFonts w:eastAsia="SimSun" w:cs="Times New Roman"/>
          <w:position w:val="4"/>
          <w:vertAlign w:val="superscript"/>
        </w:rPr>
        <w:footnoteReference w:id="120"/>
      </w:r>
      <w:r w:rsidR="00E13836" w:rsidRPr="00851DA1">
        <w:rPr>
          <w:vertAlign w:val="superscript"/>
          <w:rtl/>
        </w:rPr>
        <w:t>)</w:t>
      </w:r>
      <w:r w:rsidRPr="00851DA1">
        <w:rPr>
          <w:rtl/>
        </w:rPr>
        <w:t>.</w:t>
      </w:r>
    </w:p>
    <w:p w14:paraId="7B9931D5" w14:textId="44851C9A" w:rsidR="00F84062" w:rsidRPr="00851DA1" w:rsidRDefault="00F84062" w:rsidP="00B828C2">
      <w:pPr>
        <w:pStyle w:val="SingleTxtGA"/>
        <w:rPr>
          <w:rFonts w:eastAsia="SimSun" w:cs="Times New Roman"/>
          <w:szCs w:val="20"/>
          <w:lang w:val="ar-SA" w:eastAsia="zh-TW" w:bidi="en-GB"/>
        </w:rPr>
      </w:pPr>
      <w:r w:rsidRPr="00851DA1">
        <w:rPr>
          <w:szCs w:val="20"/>
          <w:rtl/>
        </w:rPr>
        <w:t>83-</w:t>
      </w:r>
      <w:r w:rsidRPr="00851DA1">
        <w:rPr>
          <w:rtl/>
        </w:rPr>
        <w:tab/>
        <w:t xml:space="preserve">ويجب ممارسة صلاحيتي </w:t>
      </w:r>
      <w:r w:rsidR="00CC4DBD" w:rsidRPr="00851DA1">
        <w:rPr>
          <w:rFonts w:hint="cs"/>
          <w:rtl/>
        </w:rPr>
        <w:t>"</w:t>
      </w:r>
      <w:r w:rsidRPr="00851DA1">
        <w:rPr>
          <w:rtl/>
        </w:rPr>
        <w:t>التوقيف والتفتيش</w:t>
      </w:r>
      <w:r w:rsidR="00CC4DBD" w:rsidRPr="00851DA1">
        <w:rPr>
          <w:rFonts w:hint="cs"/>
          <w:rtl/>
        </w:rPr>
        <w:t>"</w:t>
      </w:r>
      <w:r w:rsidRPr="00851DA1">
        <w:rPr>
          <w:rtl/>
        </w:rPr>
        <w:t xml:space="preserve"> على الأشخاص المشاركين في التجمع أو مَن هم على وشك المشاركة فيه بناءً على وجود شبهة معقولة في ارتكاب جرم جسيم أو خطر ارتكاب جرم من هذا القبيل، ولا يجب استخدامهما بطريقة </w:t>
      </w:r>
      <w:proofErr w:type="gramStart"/>
      <w:r w:rsidRPr="00851DA1">
        <w:rPr>
          <w:rtl/>
        </w:rPr>
        <w:t>تمييزية</w:t>
      </w:r>
      <w:r w:rsidR="00E13836" w:rsidRPr="00851DA1">
        <w:rPr>
          <w:vertAlign w:val="superscript"/>
          <w:rtl/>
        </w:rPr>
        <w:t>(</w:t>
      </w:r>
      <w:proofErr w:type="gramEnd"/>
      <w:r w:rsidRPr="00851DA1">
        <w:rPr>
          <w:rFonts w:eastAsia="SimSun" w:cs="Times New Roman"/>
          <w:position w:val="4"/>
          <w:vertAlign w:val="superscript"/>
        </w:rPr>
        <w:footnoteReference w:id="121"/>
      </w:r>
      <w:r w:rsidR="00E13836" w:rsidRPr="00851DA1">
        <w:rPr>
          <w:vertAlign w:val="superscript"/>
          <w:rtl/>
        </w:rPr>
        <w:t>)</w:t>
      </w:r>
      <w:r w:rsidRPr="00851DA1">
        <w:rPr>
          <w:rtl/>
        </w:rPr>
        <w:t xml:space="preserve">. </w:t>
      </w:r>
      <w:dir w:val="rtl">
        <w:r w:rsidRPr="00851DA1">
          <w:rPr>
            <w:rtl/>
          </w:rPr>
          <w:t xml:space="preserve">فمجرد اشتباه السلطات في مشاركة شخص ما في تجمع سلمي لا يعد سبباً وجيهاً لتوقيفه </w:t>
        </w:r>
        <w:proofErr w:type="gramStart"/>
        <w:r w:rsidRPr="00851DA1">
          <w:rPr>
            <w:rtl/>
          </w:rPr>
          <w:t>وتفتيشه</w:t>
        </w:r>
        <w:r w:rsidR="00E13836" w:rsidRPr="00851DA1">
          <w:rPr>
            <w:vertAlign w:val="superscript"/>
            <w:rtl/>
          </w:rPr>
          <w:t>(</w:t>
        </w:r>
        <w:proofErr w:type="gramEnd"/>
        <w:r w:rsidRPr="00851DA1">
          <w:rPr>
            <w:rFonts w:eastAsia="SimSun" w:cs="Times New Roman"/>
            <w:position w:val="4"/>
            <w:vertAlign w:val="superscript"/>
          </w:rPr>
          <w:footnoteReference w:id="122"/>
        </w:r>
        <w:r w:rsidR="00E13836" w:rsidRPr="00851DA1">
          <w:rPr>
            <w:vertAlign w:val="superscript"/>
            <w:rtl/>
          </w:rPr>
          <w:t>)</w:t>
        </w:r>
        <w:r w:rsidRPr="00851DA1">
          <w:rPr>
            <w:rFonts w:cs="Times New Roman" w:hint="cs"/>
            <w:szCs w:val="20"/>
            <w:rtl/>
          </w:rPr>
          <w:t>‬</w:t>
        </w:r>
        <w:r w:rsidRPr="00851DA1">
          <w:rPr>
            <w:rtl/>
          </w:rPr>
          <w:t>.</w:t>
        </w:r>
        <w:r w:rsidRPr="00851DA1">
          <w:t>‬</w:t>
        </w:r>
        <w:r w:rsidRPr="00851DA1">
          <w:t>‬</w:t>
        </w:r>
        <w:r w:rsidRPr="00851DA1">
          <w:t>‬</w:t>
        </w:r>
        <w:r w:rsidRPr="00851DA1">
          <w:t>‬</w:t>
        </w:r>
        <w:r w:rsidRPr="00851DA1">
          <w:t>‬</w:t>
        </w:r>
        <w:r w:rsidRPr="00851DA1">
          <w:t>‬</w:t>
        </w:r>
        <w:r w:rsidR="00385885" w:rsidRPr="00851DA1">
          <w:t>‬</w:t>
        </w:r>
      </w:dir>
    </w:p>
    <w:p w14:paraId="3F19B1D7" w14:textId="180DD01B" w:rsidR="00F84062" w:rsidRPr="00851DA1" w:rsidRDefault="00F84062" w:rsidP="00B828C2">
      <w:pPr>
        <w:pStyle w:val="SingleTxtGA"/>
        <w:rPr>
          <w:rFonts w:eastAsia="SimSun" w:cs="Times New Roman"/>
          <w:szCs w:val="20"/>
          <w:lang w:val="ar-SA" w:eastAsia="zh-TW" w:bidi="en-GB"/>
        </w:rPr>
      </w:pPr>
      <w:r w:rsidRPr="00851DA1">
        <w:rPr>
          <w:szCs w:val="20"/>
          <w:rtl/>
        </w:rPr>
        <w:t>84-</w:t>
      </w:r>
      <w:r w:rsidRPr="00851DA1">
        <w:rPr>
          <w:rtl/>
        </w:rPr>
        <w:tab/>
        <w:t xml:space="preserve">ولا يجوز استخدام أسلوب التطويق، حيث يطوق موظفو إنفاذ القانون قسماً من المشاركين ويعزلونهم، إلا إذا كان استخدامه ضرورياً ومتناسباً للتصدي لعنف فعلي أو لتهديد وشيك من جانب ذلك القسم من المشاركين. وغالباً ما يحبذ الاستعاضة عن أسلوب التطويق بما يلزم من تدابير إنفاذ القانون التي تستهدف أشخاصاً بعينهم. ويجب الحرص، قدر الإمكان، على تطويق الأشخاص المرتبطين ارتباطاً مباشراً بأعمال العنف فقط، كما يجب ألا تتجاوز مدة التطويق الحد الأدنى اللازم. ذلك أن استخدام أسلوب التطويق بشكل عشوائي أو عقابي ينتهك الحق في التجمع السلمي وقد ينتهك أيضاً حقوقاً أخرى، مثل عدم التعرض للاحتجاز التعسفي وحرية </w:t>
      </w:r>
      <w:proofErr w:type="gramStart"/>
      <w:r w:rsidRPr="00851DA1">
        <w:rPr>
          <w:rtl/>
        </w:rPr>
        <w:t>التنقل</w:t>
      </w:r>
      <w:r w:rsidR="00E13836" w:rsidRPr="00851DA1">
        <w:rPr>
          <w:vertAlign w:val="superscript"/>
          <w:rtl/>
        </w:rPr>
        <w:t>(</w:t>
      </w:r>
      <w:proofErr w:type="gramEnd"/>
      <w:r w:rsidRPr="00851DA1">
        <w:rPr>
          <w:rFonts w:eastAsia="SimSun" w:cs="Times New Roman"/>
          <w:position w:val="4"/>
          <w:vertAlign w:val="superscript"/>
        </w:rPr>
        <w:footnoteReference w:id="123"/>
      </w:r>
      <w:r w:rsidR="00E13836" w:rsidRPr="00851DA1">
        <w:rPr>
          <w:vertAlign w:val="superscript"/>
          <w:rtl/>
        </w:rPr>
        <w:t>)</w:t>
      </w:r>
      <w:r w:rsidRPr="00851DA1">
        <w:rPr>
          <w:rtl/>
        </w:rPr>
        <w:t>.</w:t>
      </w:r>
    </w:p>
    <w:p w14:paraId="57C84984" w14:textId="4477EFF7" w:rsidR="00F84062" w:rsidRPr="00851DA1" w:rsidRDefault="00F84062" w:rsidP="00B828C2">
      <w:pPr>
        <w:pStyle w:val="SingleTxtGA"/>
        <w:rPr>
          <w:rFonts w:eastAsia="SimSun" w:cs="Times New Roman"/>
          <w:szCs w:val="20"/>
          <w:lang w:eastAsia="zh-TW" w:bidi="en-GB"/>
        </w:rPr>
      </w:pPr>
      <w:r w:rsidRPr="00851DA1">
        <w:rPr>
          <w:szCs w:val="20"/>
          <w:rtl/>
        </w:rPr>
        <w:lastRenderedPageBreak/>
        <w:t>85-</w:t>
      </w:r>
      <w:r w:rsidRPr="00851DA1">
        <w:rPr>
          <w:rtl/>
        </w:rPr>
        <w:tab/>
        <w:t xml:space="preserve">ولا يجوز تفريق التجمعات إلا في الحالات الاستثنائية. ويجوز اللجوء إلى التفريق إذا لم يعد التجمع في حد ذاته سلمياً، أو إذا كان هناك دليل واضح على وجود تهديد وشيك بوقوع عنف خطير لا يمكن التصدي له بشكل معقول من خلال تدابير أكثر تناسباً، مثل اعتقال أشخاص بعينهم. وفي جميع الحالات، يجب التقيد تقيداً صارماً بقواعد إنفاذ القانون المتعلقة باستخدام القوة. وينبغي أن يحدد القانون الوطني شروط الأمر بتفريق التجمعات، ولا يجوز أن يصدر أمر تفريق التجمع السلمي إلاّ من مسؤول مصرّح له على النحو الواجب. وكقاعدة عامة، لا يجوز تفريق أي تجمع سلمي ما دام سلمياً ولو تسبب في اضطراب شديد، مثل وقف حركة المرور لفترة مطولة، ما لم ينجم عنه اضطراب </w:t>
      </w:r>
      <w:r w:rsidR="000B128E" w:rsidRPr="00851DA1">
        <w:rPr>
          <w:rFonts w:hint="cs"/>
          <w:rtl/>
        </w:rPr>
        <w:t>"</w:t>
      </w:r>
      <w:r w:rsidRPr="00851DA1">
        <w:rPr>
          <w:rtl/>
        </w:rPr>
        <w:t>خطير</w:t>
      </w:r>
      <w:r w:rsidR="00CC4DBD" w:rsidRPr="00851DA1">
        <w:rPr>
          <w:rFonts w:hint="cs"/>
          <w:rtl/>
        </w:rPr>
        <w:t> </w:t>
      </w:r>
      <w:r w:rsidRPr="00851DA1">
        <w:rPr>
          <w:rtl/>
        </w:rPr>
        <w:t>ومستمر</w:t>
      </w:r>
      <w:r w:rsidR="000B128E" w:rsidRPr="00851DA1">
        <w:rPr>
          <w:rFonts w:hint="cs"/>
          <w:rtl/>
        </w:rPr>
        <w:t>"</w:t>
      </w:r>
      <w:r w:rsidR="00E13836" w:rsidRPr="00851DA1">
        <w:rPr>
          <w:vertAlign w:val="superscript"/>
          <w:rtl/>
        </w:rPr>
        <w:t>(</w:t>
      </w:r>
      <w:r w:rsidRPr="00851DA1">
        <w:rPr>
          <w:rFonts w:eastAsia="SimSun" w:cs="Times New Roman"/>
          <w:position w:val="4"/>
          <w:vertAlign w:val="superscript"/>
        </w:rPr>
        <w:footnoteReference w:id="124"/>
      </w:r>
      <w:r w:rsidR="00E13836" w:rsidRPr="00851DA1">
        <w:rPr>
          <w:vertAlign w:val="superscript"/>
          <w:rtl/>
        </w:rPr>
        <w:t>)</w:t>
      </w:r>
      <w:r w:rsidRPr="00851DA1">
        <w:rPr>
          <w:rtl/>
        </w:rPr>
        <w:t>.</w:t>
      </w:r>
    </w:p>
    <w:p w14:paraId="39B92093" w14:textId="6F9E0B85" w:rsidR="00F84062" w:rsidRPr="00851DA1" w:rsidRDefault="00F84062" w:rsidP="00B828C2">
      <w:pPr>
        <w:pStyle w:val="SingleTxtGA"/>
        <w:rPr>
          <w:rFonts w:eastAsia="SimSun" w:cs="Times New Roman"/>
          <w:szCs w:val="20"/>
          <w:lang w:val="ar-SA" w:eastAsia="zh-TW" w:bidi="en-GB"/>
        </w:rPr>
      </w:pPr>
      <w:r w:rsidRPr="00851DA1">
        <w:rPr>
          <w:szCs w:val="20"/>
          <w:rtl/>
        </w:rPr>
        <w:t>86-</w:t>
      </w:r>
      <w:r w:rsidRPr="00851DA1">
        <w:rPr>
          <w:rtl/>
        </w:rPr>
        <w:tab/>
        <w:t>وينبغي تجنب استخدام القوة إذا كان قرار التفريق قد اتُخذ وفقاً للقانون الوطني والدولي. وإذا</w:t>
      </w:r>
      <w:r w:rsidR="000B128E" w:rsidRPr="00851DA1">
        <w:rPr>
          <w:rFonts w:hint="cs"/>
          <w:rtl/>
        </w:rPr>
        <w:t> </w:t>
      </w:r>
      <w:r w:rsidRPr="00851DA1">
        <w:rPr>
          <w:rtl/>
        </w:rPr>
        <w:t xml:space="preserve">تعذر ذلك، لا يجوز سوى استخدام أدنى حد لازم من </w:t>
      </w:r>
      <w:proofErr w:type="gramStart"/>
      <w:r w:rsidRPr="00851DA1">
        <w:rPr>
          <w:rtl/>
        </w:rPr>
        <w:t>القوة</w:t>
      </w:r>
      <w:r w:rsidR="00E13836" w:rsidRPr="00851DA1">
        <w:rPr>
          <w:vertAlign w:val="superscript"/>
          <w:rtl/>
        </w:rPr>
        <w:t>(</w:t>
      </w:r>
      <w:proofErr w:type="gramEnd"/>
      <w:r w:rsidRPr="00851DA1">
        <w:rPr>
          <w:rFonts w:eastAsia="SimSun" w:cs="Times New Roman"/>
          <w:position w:val="4"/>
          <w:vertAlign w:val="superscript"/>
        </w:rPr>
        <w:footnoteReference w:id="125"/>
      </w:r>
      <w:r w:rsidR="00E13836" w:rsidRPr="00851DA1">
        <w:rPr>
          <w:vertAlign w:val="superscript"/>
          <w:rtl/>
        </w:rPr>
        <w:t>)</w:t>
      </w:r>
      <w:r w:rsidRPr="00851DA1">
        <w:rPr>
          <w:rtl/>
        </w:rPr>
        <w:t>. وأي قوة تستخدم ينبغي توجيهها، قدر الإمكان، ضد فرد معين أو جماعة معينة تمارس العنف أو تهدد به. ولا ينبغي استخدام القوة التي يرجح أن تسبب أكثر من جروح طفيفة ضد من يقاومون مقاومة سلبية من أفراد أو</w:t>
      </w:r>
      <w:r w:rsidR="000B128E" w:rsidRPr="00851DA1">
        <w:rPr>
          <w:rFonts w:hint="cs"/>
          <w:rtl/>
        </w:rPr>
        <w:t> </w:t>
      </w:r>
      <w:proofErr w:type="gramStart"/>
      <w:r w:rsidRPr="00851DA1">
        <w:rPr>
          <w:rtl/>
        </w:rPr>
        <w:t>جماعات</w:t>
      </w:r>
      <w:r w:rsidR="00E13836" w:rsidRPr="00851DA1">
        <w:rPr>
          <w:vertAlign w:val="superscript"/>
          <w:rtl/>
        </w:rPr>
        <w:t>(</w:t>
      </w:r>
      <w:proofErr w:type="gramEnd"/>
      <w:r w:rsidRPr="00851DA1">
        <w:rPr>
          <w:rFonts w:eastAsia="SimSun" w:cs="Times New Roman"/>
          <w:position w:val="4"/>
          <w:vertAlign w:val="superscript"/>
        </w:rPr>
        <w:footnoteReference w:id="126"/>
      </w:r>
      <w:r w:rsidR="00E13836" w:rsidRPr="00851DA1">
        <w:rPr>
          <w:vertAlign w:val="superscript"/>
          <w:rtl/>
        </w:rPr>
        <w:t>)</w:t>
      </w:r>
      <w:r w:rsidRPr="00851DA1">
        <w:rPr>
          <w:rtl/>
        </w:rPr>
        <w:t>.</w:t>
      </w:r>
    </w:p>
    <w:p w14:paraId="0E237628" w14:textId="7936964D" w:rsidR="00F84062" w:rsidRPr="00851DA1" w:rsidRDefault="00F84062" w:rsidP="00B828C2">
      <w:pPr>
        <w:pStyle w:val="SingleTxtGA"/>
        <w:rPr>
          <w:rFonts w:eastAsia="SimSun" w:cs="Times New Roman"/>
          <w:szCs w:val="20"/>
          <w:lang w:val="ar-SA" w:eastAsia="zh-TW" w:bidi="en-GB"/>
        </w:rPr>
      </w:pPr>
      <w:r w:rsidRPr="00851DA1">
        <w:rPr>
          <w:szCs w:val="20"/>
          <w:rtl/>
        </w:rPr>
        <w:t>87</w:t>
      </w:r>
      <w:r w:rsidR="00B828C2" w:rsidRPr="00851DA1">
        <w:rPr>
          <w:szCs w:val="20"/>
          <w:rtl/>
        </w:rPr>
        <w:t>-</w:t>
      </w:r>
      <w:r w:rsidR="00B828C2" w:rsidRPr="00851DA1">
        <w:rPr>
          <w:szCs w:val="20"/>
          <w:rtl/>
        </w:rPr>
        <w:tab/>
      </w:r>
      <w:r w:rsidRPr="00851DA1">
        <w:rPr>
          <w:rtl/>
        </w:rPr>
        <w:t xml:space="preserve">أما الأسلحة الأقل فتكاً ذات الآثار الواسعة النطاق، مثل الغاز المسيل للدموع وخراطيم المياه، فعادةً ما تكون لها آثار عشوائية. وعند استخدام هذه الأسلحة، ينبغي بذل جميع الجهود المعقولة للحد من مخاطرها، مثل التسبب في تدافع أو إلحاق ضرر بالمارة. وينبغي ألا تستخدم هذه الأسلحة </w:t>
      </w:r>
      <w:proofErr w:type="gramStart"/>
      <w:r w:rsidRPr="00851DA1">
        <w:rPr>
          <w:rtl/>
        </w:rPr>
        <w:t>إلا</w:t>
      </w:r>
      <w:r w:rsidR="00CE3EDF" w:rsidRPr="00851DA1">
        <w:rPr>
          <w:rFonts w:hint="cs"/>
          <w:rtl/>
        </w:rPr>
        <w:t> </w:t>
      </w:r>
      <w:r w:rsidR="000B128E" w:rsidRPr="00851DA1">
        <w:rPr>
          <w:rFonts w:hint="cs"/>
          <w:rtl/>
        </w:rPr>
        <w:t> </w:t>
      </w:r>
      <w:r w:rsidRPr="00851DA1">
        <w:rPr>
          <w:rtl/>
        </w:rPr>
        <w:t>تدبير</w:t>
      </w:r>
      <w:proofErr w:type="gramEnd"/>
      <w:r w:rsidRPr="00851DA1">
        <w:rPr>
          <w:rtl/>
        </w:rPr>
        <w:t xml:space="preserve"> يُلجأ إليه كملاذ أخير، بعد توجيه إنذار شفوي، ومع إتاحة فرصة كافية للمشاركين في التجمع لكي يتفرقوا. ولا ينبغي استخدام الغاز المسيل للدموع في الأماكن </w:t>
      </w:r>
      <w:proofErr w:type="gramStart"/>
      <w:r w:rsidRPr="00851DA1">
        <w:rPr>
          <w:rtl/>
        </w:rPr>
        <w:t>المغلقة</w:t>
      </w:r>
      <w:r w:rsidR="00E13836" w:rsidRPr="00851DA1">
        <w:rPr>
          <w:vertAlign w:val="superscript"/>
          <w:rtl/>
        </w:rPr>
        <w:t>(</w:t>
      </w:r>
      <w:proofErr w:type="gramEnd"/>
      <w:r w:rsidRPr="00851DA1">
        <w:rPr>
          <w:rFonts w:eastAsia="SimSun" w:cs="Times New Roman"/>
          <w:position w:val="4"/>
          <w:vertAlign w:val="superscript"/>
        </w:rPr>
        <w:footnoteReference w:id="127"/>
      </w:r>
      <w:r w:rsidR="00E13836" w:rsidRPr="00851DA1">
        <w:rPr>
          <w:vertAlign w:val="superscript"/>
          <w:rtl/>
        </w:rPr>
        <w:t>)</w:t>
      </w:r>
      <w:r w:rsidRPr="00851DA1">
        <w:rPr>
          <w:rtl/>
        </w:rPr>
        <w:t>.</w:t>
      </w:r>
    </w:p>
    <w:p w14:paraId="01788C57" w14:textId="088A7709" w:rsidR="00F84062" w:rsidRPr="00851DA1" w:rsidRDefault="00F84062" w:rsidP="00B828C2">
      <w:pPr>
        <w:pStyle w:val="SingleTxtGA"/>
        <w:rPr>
          <w:rFonts w:eastAsia="SimSun" w:cs="Times New Roman"/>
          <w:szCs w:val="20"/>
          <w:lang w:val="ar-SA" w:eastAsia="zh-TW" w:bidi="en-GB"/>
        </w:rPr>
      </w:pPr>
      <w:r w:rsidRPr="00851DA1">
        <w:rPr>
          <w:szCs w:val="20"/>
          <w:rtl/>
        </w:rPr>
        <w:t>88-</w:t>
      </w:r>
      <w:r w:rsidRPr="00851DA1">
        <w:rPr>
          <w:rtl/>
        </w:rPr>
        <w:tab/>
        <w:t xml:space="preserve">وأما الأسلحة النارية، فليست أداة مناسبة لضبط الأمن أثناء </w:t>
      </w:r>
      <w:proofErr w:type="gramStart"/>
      <w:r w:rsidRPr="00851DA1">
        <w:rPr>
          <w:rtl/>
        </w:rPr>
        <w:t>التجمعات</w:t>
      </w:r>
      <w:r w:rsidR="00E13836" w:rsidRPr="00851DA1">
        <w:rPr>
          <w:vertAlign w:val="superscript"/>
          <w:rtl/>
        </w:rPr>
        <w:t>(</w:t>
      </w:r>
      <w:proofErr w:type="gramEnd"/>
      <w:r w:rsidRPr="00851DA1">
        <w:rPr>
          <w:rFonts w:eastAsia="SimSun" w:cs="Times New Roman"/>
          <w:position w:val="4"/>
          <w:vertAlign w:val="superscript"/>
        </w:rPr>
        <w:footnoteReference w:id="128"/>
      </w:r>
      <w:r w:rsidR="00E13836" w:rsidRPr="00851DA1">
        <w:rPr>
          <w:vertAlign w:val="superscript"/>
          <w:rtl/>
        </w:rPr>
        <w:t>)</w:t>
      </w:r>
      <w:r w:rsidRPr="00851DA1">
        <w:rPr>
          <w:rtl/>
        </w:rPr>
        <w:t>. ويجب ألا</w:t>
      </w:r>
      <w:r w:rsidR="000B128E" w:rsidRPr="00851DA1">
        <w:rPr>
          <w:rFonts w:hint="cs"/>
          <w:rtl/>
        </w:rPr>
        <w:t> </w:t>
      </w:r>
      <w:r w:rsidRPr="00851DA1">
        <w:rPr>
          <w:rtl/>
        </w:rPr>
        <w:t xml:space="preserve">تستخدم هذه الأسلحة أبداً لمجرد تفريق تجمع </w:t>
      </w:r>
      <w:proofErr w:type="gramStart"/>
      <w:r w:rsidRPr="00851DA1">
        <w:rPr>
          <w:rtl/>
        </w:rPr>
        <w:t>ما</w:t>
      </w:r>
      <w:r w:rsidR="00E13836" w:rsidRPr="00851DA1">
        <w:rPr>
          <w:vertAlign w:val="superscript"/>
          <w:rtl/>
        </w:rPr>
        <w:t>(</w:t>
      </w:r>
      <w:proofErr w:type="gramEnd"/>
      <w:r w:rsidRPr="00851DA1">
        <w:rPr>
          <w:rFonts w:eastAsia="SimSun" w:cs="Times New Roman"/>
          <w:position w:val="4"/>
          <w:vertAlign w:val="superscript"/>
        </w:rPr>
        <w:footnoteReference w:id="129"/>
      </w:r>
      <w:r w:rsidR="00E13836" w:rsidRPr="00851DA1">
        <w:rPr>
          <w:vertAlign w:val="superscript"/>
          <w:rtl/>
        </w:rPr>
        <w:t>)</w:t>
      </w:r>
      <w:r w:rsidRPr="00851DA1">
        <w:rPr>
          <w:rtl/>
        </w:rPr>
        <w:t>. وحرصاً على الامتثال للقانون الدولي، يجب أن يقتصر أي استخدام للأسلحة النارية من جانب موظفي إنفاذ القانون في سياق التجمعات على</w:t>
      </w:r>
      <w:r w:rsidR="000B128E" w:rsidRPr="00851DA1">
        <w:rPr>
          <w:rFonts w:hint="cs"/>
          <w:rtl/>
        </w:rPr>
        <w:t> </w:t>
      </w:r>
      <w:r w:rsidRPr="00851DA1">
        <w:rPr>
          <w:rtl/>
        </w:rPr>
        <w:t>استهداف أفراد بعينهم في ظروف لا مناص فيها من مواجهة خطر محدق يهدد بوقوع وفيات أو</w:t>
      </w:r>
      <w:r w:rsidR="000B128E" w:rsidRPr="00851DA1">
        <w:rPr>
          <w:rFonts w:hint="cs"/>
          <w:rtl/>
        </w:rPr>
        <w:t> </w:t>
      </w:r>
      <w:r w:rsidRPr="00851DA1">
        <w:rPr>
          <w:rtl/>
        </w:rPr>
        <w:t xml:space="preserve">إصابات </w:t>
      </w:r>
      <w:proofErr w:type="gramStart"/>
      <w:r w:rsidRPr="00851DA1">
        <w:rPr>
          <w:rtl/>
        </w:rPr>
        <w:t>خطيرة</w:t>
      </w:r>
      <w:r w:rsidR="00E13836" w:rsidRPr="00851DA1">
        <w:rPr>
          <w:vertAlign w:val="superscript"/>
          <w:rtl/>
        </w:rPr>
        <w:t>(</w:t>
      </w:r>
      <w:proofErr w:type="gramEnd"/>
      <w:r w:rsidRPr="00851DA1">
        <w:rPr>
          <w:rFonts w:eastAsia="SimSun" w:cs="Times New Roman"/>
          <w:position w:val="4"/>
          <w:vertAlign w:val="superscript"/>
        </w:rPr>
        <w:footnoteReference w:id="130"/>
      </w:r>
      <w:r w:rsidR="00E13836" w:rsidRPr="00851DA1">
        <w:rPr>
          <w:vertAlign w:val="superscript"/>
          <w:rtl/>
        </w:rPr>
        <w:t>)</w:t>
      </w:r>
      <w:r w:rsidRPr="00851DA1">
        <w:rPr>
          <w:rtl/>
        </w:rPr>
        <w:t xml:space="preserve">. وبالنظر إلى ما تشكله هذه الأسلحة من خطر على الحياة، ينبغي أيضاً تطبيق هذا الحد الأدنى على إطلاق الرصاص المعدني المغلف </w:t>
      </w:r>
      <w:proofErr w:type="gramStart"/>
      <w:r w:rsidRPr="00851DA1">
        <w:rPr>
          <w:rtl/>
        </w:rPr>
        <w:t>بالمطاط</w:t>
      </w:r>
      <w:r w:rsidR="00E13836" w:rsidRPr="00851DA1">
        <w:rPr>
          <w:vertAlign w:val="superscript"/>
          <w:rtl/>
        </w:rPr>
        <w:t>(</w:t>
      </w:r>
      <w:proofErr w:type="gramEnd"/>
      <w:r w:rsidRPr="00851DA1">
        <w:rPr>
          <w:rFonts w:eastAsia="SimSun" w:cs="Times New Roman"/>
          <w:position w:val="4"/>
          <w:vertAlign w:val="superscript"/>
        </w:rPr>
        <w:footnoteReference w:id="131"/>
      </w:r>
      <w:r w:rsidR="00E13836" w:rsidRPr="00851DA1">
        <w:rPr>
          <w:vertAlign w:val="superscript"/>
          <w:rtl/>
        </w:rPr>
        <w:t>)</w:t>
      </w:r>
      <w:r w:rsidRPr="00851DA1">
        <w:rPr>
          <w:rtl/>
        </w:rPr>
        <w:t xml:space="preserve">. وفي حال كان الموظفون المكلفون بإنفاذ القانون مستعدين لاستخدام القوة أو كان حدوث أعمال عنف محتملاً، يجب على السلطات </w:t>
      </w:r>
      <w:r w:rsidRPr="00851DA1">
        <w:rPr>
          <w:rtl/>
        </w:rPr>
        <w:lastRenderedPageBreak/>
        <w:t xml:space="preserve">أيضاً أن تكفل توافر مرافق طبية مناسبة. ولا يجوز أبداً إطلاق النار عشوائياً أو استخدام الأسلحة النارية بطريقة آلية كُلياً في سياق ضبط أمن </w:t>
      </w:r>
      <w:proofErr w:type="gramStart"/>
      <w:r w:rsidRPr="00851DA1">
        <w:rPr>
          <w:rtl/>
        </w:rPr>
        <w:t>التجمعات</w:t>
      </w:r>
      <w:r w:rsidR="00E13836" w:rsidRPr="00851DA1">
        <w:rPr>
          <w:vertAlign w:val="superscript"/>
          <w:rtl/>
        </w:rPr>
        <w:t>(</w:t>
      </w:r>
      <w:proofErr w:type="gramEnd"/>
      <w:r w:rsidRPr="00851DA1">
        <w:rPr>
          <w:rFonts w:eastAsia="SimSun" w:cs="Times New Roman"/>
          <w:position w:val="4"/>
          <w:vertAlign w:val="superscript"/>
        </w:rPr>
        <w:footnoteReference w:id="132"/>
      </w:r>
      <w:r w:rsidR="00E13836" w:rsidRPr="00851DA1">
        <w:rPr>
          <w:vertAlign w:val="superscript"/>
          <w:rtl/>
        </w:rPr>
        <w:t>)</w:t>
      </w:r>
      <w:r w:rsidRPr="00851DA1">
        <w:rPr>
          <w:rtl/>
        </w:rPr>
        <w:t>.</w:t>
      </w:r>
    </w:p>
    <w:p w14:paraId="08AC94BD" w14:textId="3EAC4464" w:rsidR="00F84062" w:rsidRPr="00851DA1" w:rsidRDefault="00F84062" w:rsidP="00B828C2">
      <w:pPr>
        <w:pStyle w:val="SingleTxtGA"/>
        <w:rPr>
          <w:rFonts w:eastAsia="SimSun" w:cs="Times New Roman"/>
          <w:spacing w:val="-4"/>
          <w:szCs w:val="20"/>
          <w:lang w:val="ar-SA" w:eastAsia="zh-TW" w:bidi="en-GB"/>
        </w:rPr>
      </w:pPr>
      <w:r w:rsidRPr="00851DA1">
        <w:rPr>
          <w:szCs w:val="20"/>
          <w:rtl/>
        </w:rPr>
        <w:t>89</w:t>
      </w:r>
      <w:r w:rsidR="00B828C2" w:rsidRPr="00851DA1">
        <w:rPr>
          <w:szCs w:val="20"/>
          <w:rtl/>
        </w:rPr>
        <w:t>-</w:t>
      </w:r>
      <w:r w:rsidR="00B828C2" w:rsidRPr="00851DA1">
        <w:rPr>
          <w:szCs w:val="20"/>
          <w:rtl/>
        </w:rPr>
        <w:tab/>
      </w:r>
      <w:r w:rsidRPr="00851DA1">
        <w:rPr>
          <w:spacing w:val="-4"/>
          <w:rtl/>
        </w:rPr>
        <w:t xml:space="preserve">والدولة مسؤولة بموجب القانون الدولي عن أي فعل أو امتناع عن الفعل من جانب لأجهزة إنفاذ القانون التابعة لها. ومنعاً لارتكاب الانتهاكات، ينبغي للدول أن تعزز باستمرار ثقافة المساءلة لدى الموظفين المكلفين بإنفاذ القانون في سياق التجمعات. ولتعزيز المساءلة الفعالة، ينبغي أن يرتدي الموظفون النظاميون المكلفون بإنفاذ القانون دائماً شكلاً من أشكال تحديد الهوية يسهل التعرف عليه أثناء </w:t>
      </w:r>
      <w:proofErr w:type="gramStart"/>
      <w:r w:rsidRPr="00851DA1">
        <w:rPr>
          <w:spacing w:val="-4"/>
          <w:rtl/>
        </w:rPr>
        <w:t>التجمعات</w:t>
      </w:r>
      <w:r w:rsidR="00E13836" w:rsidRPr="00851DA1">
        <w:rPr>
          <w:spacing w:val="-4"/>
          <w:vertAlign w:val="superscript"/>
          <w:rtl/>
        </w:rPr>
        <w:t>(</w:t>
      </w:r>
      <w:proofErr w:type="gramEnd"/>
      <w:r w:rsidRPr="00851DA1">
        <w:rPr>
          <w:rFonts w:eastAsia="SimSun" w:cs="Times New Roman"/>
          <w:spacing w:val="-4"/>
          <w:position w:val="4"/>
          <w:vertAlign w:val="superscript"/>
        </w:rPr>
        <w:footnoteReference w:id="133"/>
      </w:r>
      <w:r w:rsidR="00E13836" w:rsidRPr="00851DA1">
        <w:rPr>
          <w:spacing w:val="-4"/>
          <w:vertAlign w:val="superscript"/>
          <w:rtl/>
        </w:rPr>
        <w:t>)</w:t>
      </w:r>
      <w:r w:rsidRPr="00851DA1">
        <w:rPr>
          <w:spacing w:val="-4"/>
          <w:rtl/>
        </w:rPr>
        <w:t>.</w:t>
      </w:r>
    </w:p>
    <w:p w14:paraId="5FD2D3CD" w14:textId="4DDE5894" w:rsidR="00F84062" w:rsidRPr="00851DA1" w:rsidRDefault="00F84062" w:rsidP="00B828C2">
      <w:pPr>
        <w:pStyle w:val="SingleTxtGA"/>
        <w:rPr>
          <w:rFonts w:eastAsia="SimSun" w:cs="Times New Roman"/>
          <w:szCs w:val="20"/>
          <w:lang w:val="ar-SA" w:eastAsia="zh-TW" w:bidi="en-GB"/>
        </w:rPr>
      </w:pPr>
      <w:r w:rsidRPr="00851DA1">
        <w:rPr>
          <w:szCs w:val="20"/>
          <w:rtl/>
        </w:rPr>
        <w:t>90</w:t>
      </w:r>
      <w:r w:rsidR="00B828C2" w:rsidRPr="00851DA1">
        <w:rPr>
          <w:szCs w:val="20"/>
          <w:rtl/>
        </w:rPr>
        <w:t>-</w:t>
      </w:r>
      <w:r w:rsidR="00B828C2" w:rsidRPr="00851DA1">
        <w:rPr>
          <w:szCs w:val="20"/>
          <w:rtl/>
        </w:rPr>
        <w:tab/>
      </w:r>
      <w:r w:rsidRPr="00851DA1">
        <w:rPr>
          <w:rtl/>
        </w:rPr>
        <w:t xml:space="preserve">والدول ملزمة بالتحقيق على نحو فعال ونزيه وفي الوقت المناسب في أي ادعاء أو شبهة معقولة في استخدام القوة استخداماً غير مشروع أو ارتكاب أي انتهاكات أخرى من جانب موظفي إنفاذ القانون، بما في ذلك العنف الجنسي أو الجنساني، في سياق </w:t>
      </w:r>
      <w:proofErr w:type="gramStart"/>
      <w:r w:rsidRPr="00851DA1">
        <w:rPr>
          <w:rtl/>
        </w:rPr>
        <w:t>التجمعات</w:t>
      </w:r>
      <w:r w:rsidR="00E13836" w:rsidRPr="00851DA1">
        <w:rPr>
          <w:vertAlign w:val="superscript"/>
          <w:rtl/>
        </w:rPr>
        <w:t>(</w:t>
      </w:r>
      <w:proofErr w:type="gramEnd"/>
      <w:r w:rsidRPr="00851DA1">
        <w:rPr>
          <w:rFonts w:eastAsia="SimSun" w:cs="Times New Roman"/>
          <w:position w:val="4"/>
          <w:vertAlign w:val="superscript"/>
        </w:rPr>
        <w:footnoteReference w:id="134"/>
      </w:r>
      <w:r w:rsidR="00E13836" w:rsidRPr="00851DA1">
        <w:rPr>
          <w:vertAlign w:val="superscript"/>
          <w:rtl/>
        </w:rPr>
        <w:t>)</w:t>
      </w:r>
      <w:r w:rsidRPr="00851DA1">
        <w:rPr>
          <w:rtl/>
        </w:rPr>
        <w:t xml:space="preserve">. ويمكن أن يشكل الفعل المتعمد أو الناجم عن الإهمال أو الامتناع عن الفعل انتهاكاً لحقوق الإنسان. ويجب إخضاع كل موظف من الموظفين المسؤولين عن ارتكاب تلك الانتهاكات للمساءلة بموجب القانون الوطني، وعند الاقتضاء، بموجب القانون الدولي، ويجب إتاحة سبل انتصاف فعالة </w:t>
      </w:r>
      <w:proofErr w:type="gramStart"/>
      <w:r w:rsidRPr="00851DA1">
        <w:rPr>
          <w:rtl/>
        </w:rPr>
        <w:t>للضحايا</w:t>
      </w:r>
      <w:r w:rsidR="00E13836" w:rsidRPr="00851DA1">
        <w:rPr>
          <w:vertAlign w:val="superscript"/>
          <w:rtl/>
        </w:rPr>
        <w:t>(</w:t>
      </w:r>
      <w:proofErr w:type="gramEnd"/>
      <w:r w:rsidRPr="00851DA1">
        <w:rPr>
          <w:rFonts w:eastAsia="SimSun" w:cs="Times New Roman"/>
          <w:position w:val="4"/>
          <w:vertAlign w:val="superscript"/>
        </w:rPr>
        <w:footnoteReference w:id="135"/>
      </w:r>
      <w:r w:rsidR="00E13836" w:rsidRPr="00851DA1">
        <w:rPr>
          <w:vertAlign w:val="superscript"/>
          <w:rtl/>
        </w:rPr>
        <w:t>)</w:t>
      </w:r>
      <w:r w:rsidRPr="00851DA1">
        <w:rPr>
          <w:rtl/>
        </w:rPr>
        <w:t>.</w:t>
      </w:r>
    </w:p>
    <w:p w14:paraId="36144D35" w14:textId="1C89ADF3" w:rsidR="00F84062" w:rsidRPr="00851DA1" w:rsidRDefault="00F84062" w:rsidP="00B828C2">
      <w:pPr>
        <w:pStyle w:val="SingleTxtGA"/>
        <w:rPr>
          <w:rFonts w:eastAsia="SimSun" w:cs="Times New Roman"/>
          <w:szCs w:val="20"/>
          <w:lang w:val="ar-SA" w:eastAsia="zh-TW" w:bidi="en-GB"/>
        </w:rPr>
      </w:pPr>
      <w:r w:rsidRPr="00851DA1">
        <w:rPr>
          <w:szCs w:val="20"/>
          <w:rtl/>
        </w:rPr>
        <w:t>91-</w:t>
      </w:r>
      <w:r w:rsidRPr="00851DA1">
        <w:rPr>
          <w:rtl/>
        </w:rPr>
        <w:tab/>
        <w:t xml:space="preserve">وينبغي تسجيل جميع حالات استخدام القوة من جانب موظفي إنفاذ القانون وإدراجها فوراً في تقرير يتسم بالشفافية. وفي حال وقوع إصابات أو أضرار، ينبغي أن يتضمن التقرير معلومات كافية لإثبات ما إذا كان استخدام القوة ضرورياً ومتناسباً، وذلك بسرد تفاصيل الواقعة، بما في ذلك أسباب استخدام القوة ومدى فعاليته والعواقب الناجمة </w:t>
      </w:r>
      <w:proofErr w:type="gramStart"/>
      <w:r w:rsidRPr="00851DA1">
        <w:rPr>
          <w:rtl/>
        </w:rPr>
        <w:t>عنه</w:t>
      </w:r>
      <w:r w:rsidR="00E13836" w:rsidRPr="00851DA1">
        <w:rPr>
          <w:vertAlign w:val="superscript"/>
          <w:rtl/>
        </w:rPr>
        <w:t>(</w:t>
      </w:r>
      <w:proofErr w:type="gramEnd"/>
      <w:r w:rsidRPr="00851DA1">
        <w:rPr>
          <w:rFonts w:eastAsia="SimSun" w:cs="Times New Roman"/>
          <w:position w:val="4"/>
          <w:vertAlign w:val="superscript"/>
        </w:rPr>
        <w:footnoteReference w:id="136"/>
      </w:r>
      <w:r w:rsidR="00E13836" w:rsidRPr="00851DA1">
        <w:rPr>
          <w:vertAlign w:val="superscript"/>
          <w:rtl/>
        </w:rPr>
        <w:t>)</w:t>
      </w:r>
      <w:r w:rsidRPr="00851DA1">
        <w:rPr>
          <w:rtl/>
        </w:rPr>
        <w:t>.</w:t>
      </w:r>
    </w:p>
    <w:p w14:paraId="43E2B170" w14:textId="71E06E56" w:rsidR="00F84062" w:rsidRPr="00851DA1" w:rsidRDefault="00F84062" w:rsidP="00B828C2">
      <w:pPr>
        <w:pStyle w:val="SingleTxtGA"/>
        <w:rPr>
          <w:rFonts w:eastAsia="SimSun" w:cs="Times New Roman"/>
          <w:szCs w:val="20"/>
          <w:lang w:val="ar-SA" w:eastAsia="zh-TW" w:bidi="en-GB"/>
        </w:rPr>
      </w:pPr>
      <w:r w:rsidRPr="00851DA1">
        <w:rPr>
          <w:szCs w:val="20"/>
          <w:rtl/>
        </w:rPr>
        <w:t>92</w:t>
      </w:r>
      <w:r w:rsidR="00B828C2" w:rsidRPr="00851DA1">
        <w:rPr>
          <w:szCs w:val="20"/>
          <w:rtl/>
        </w:rPr>
        <w:t>-</w:t>
      </w:r>
      <w:r w:rsidR="00B828C2" w:rsidRPr="00851DA1">
        <w:rPr>
          <w:szCs w:val="20"/>
          <w:rtl/>
        </w:rPr>
        <w:tab/>
      </w:r>
      <w:r w:rsidRPr="00851DA1">
        <w:rPr>
          <w:rtl/>
        </w:rPr>
        <w:t>ولا يجب نشر أي ضباط يرتدون زياً مدنياً في سياق التجمعات إلا في حالات الضرورة القصوى التي تمليها الظروف السائدة، ولا يجب أن يحرِّض هؤلاء الضباط على العنف أبداً. وقبل</w:t>
      </w:r>
      <w:r w:rsidR="0049341B" w:rsidRPr="00851DA1">
        <w:rPr>
          <w:rFonts w:hint="cs"/>
          <w:rtl/>
        </w:rPr>
        <w:t> </w:t>
      </w:r>
      <w:r w:rsidRPr="00851DA1">
        <w:rPr>
          <w:rtl/>
        </w:rPr>
        <w:t>الشروع في أي عملية من عمليات التفتيش أو إلقاء القبض أو اللجوء إلى أي استخدامٍ للقوة، يجب على الضباط الذين يرتدون زياً مدنياً أن يعرِّفوا الأشخاص المعنيين بأنفسهم.</w:t>
      </w:r>
    </w:p>
    <w:p w14:paraId="6ABDDE97" w14:textId="073B6196" w:rsidR="00F84062" w:rsidRPr="00851DA1" w:rsidRDefault="00F84062" w:rsidP="00B828C2">
      <w:pPr>
        <w:pStyle w:val="SingleTxtGA"/>
        <w:rPr>
          <w:rFonts w:eastAsia="SimSun" w:cs="Times New Roman"/>
          <w:spacing w:val="-2"/>
          <w:szCs w:val="20"/>
          <w:lang w:val="ar-SA" w:eastAsia="zh-TW" w:bidi="en-GB"/>
        </w:rPr>
      </w:pPr>
      <w:r w:rsidRPr="00851DA1">
        <w:rPr>
          <w:spacing w:val="-2"/>
          <w:szCs w:val="20"/>
          <w:rtl/>
        </w:rPr>
        <w:t>93</w:t>
      </w:r>
      <w:r w:rsidR="00B828C2" w:rsidRPr="00851DA1">
        <w:rPr>
          <w:spacing w:val="-2"/>
          <w:szCs w:val="20"/>
          <w:rtl/>
        </w:rPr>
        <w:t>-</w:t>
      </w:r>
      <w:r w:rsidR="00B828C2" w:rsidRPr="00851DA1">
        <w:rPr>
          <w:spacing w:val="-2"/>
          <w:szCs w:val="20"/>
          <w:rtl/>
        </w:rPr>
        <w:tab/>
      </w:r>
      <w:r w:rsidRPr="00851DA1">
        <w:rPr>
          <w:spacing w:val="-2"/>
          <w:rtl/>
        </w:rPr>
        <w:t xml:space="preserve">والدولة هي المسؤولة في نهاية المطاف عن إنفاذ القانون أثناء التجمعات ولا يجوز لها تفويض مقدمي الخدمات الأمنية الخاصة هذه المهام إلا في حالات استثنائية. وفي هذه الحالات، تظل الدولة مسؤولة عن سلوك مقدمي الخدمات </w:t>
      </w:r>
      <w:proofErr w:type="gramStart"/>
      <w:r w:rsidRPr="00851DA1">
        <w:rPr>
          <w:spacing w:val="-2"/>
          <w:rtl/>
        </w:rPr>
        <w:t>هؤلاء</w:t>
      </w:r>
      <w:r w:rsidR="00E13836" w:rsidRPr="00851DA1">
        <w:rPr>
          <w:spacing w:val="-2"/>
          <w:vertAlign w:val="superscript"/>
          <w:rtl/>
        </w:rPr>
        <w:t>(</w:t>
      </w:r>
      <w:proofErr w:type="gramEnd"/>
      <w:r w:rsidRPr="00851DA1">
        <w:rPr>
          <w:rFonts w:eastAsia="SimSun" w:cs="Times New Roman"/>
          <w:spacing w:val="-2"/>
          <w:position w:val="4"/>
          <w:vertAlign w:val="superscript"/>
        </w:rPr>
        <w:footnoteReference w:id="137"/>
      </w:r>
      <w:r w:rsidR="00E13836" w:rsidRPr="00851DA1">
        <w:rPr>
          <w:spacing w:val="-2"/>
          <w:vertAlign w:val="superscript"/>
          <w:rtl/>
        </w:rPr>
        <w:t>)</w:t>
      </w:r>
      <w:r w:rsidRPr="00851DA1">
        <w:rPr>
          <w:spacing w:val="-2"/>
          <w:rtl/>
        </w:rPr>
        <w:t xml:space="preserve">. وتظل الدولة مسؤولة، بالإضافة إلى ذلك، عن مساءلة مقدمي الخدمات الأمنية الخاصة بموجب القانون الوطني، وعند الاقتضاء، بموجب القانون </w:t>
      </w:r>
      <w:proofErr w:type="gramStart"/>
      <w:r w:rsidRPr="00851DA1">
        <w:rPr>
          <w:spacing w:val="-2"/>
          <w:rtl/>
        </w:rPr>
        <w:t>الدولي</w:t>
      </w:r>
      <w:r w:rsidR="00E13836" w:rsidRPr="00851DA1">
        <w:rPr>
          <w:spacing w:val="-2"/>
          <w:vertAlign w:val="superscript"/>
          <w:rtl/>
        </w:rPr>
        <w:t>(</w:t>
      </w:r>
      <w:proofErr w:type="gramEnd"/>
      <w:r w:rsidRPr="00851DA1">
        <w:rPr>
          <w:rFonts w:eastAsia="SimSun" w:cs="Times New Roman"/>
          <w:spacing w:val="-2"/>
          <w:position w:val="4"/>
          <w:vertAlign w:val="superscript"/>
        </w:rPr>
        <w:footnoteReference w:id="138"/>
      </w:r>
      <w:r w:rsidR="00E13836" w:rsidRPr="00851DA1">
        <w:rPr>
          <w:spacing w:val="-2"/>
          <w:vertAlign w:val="superscript"/>
          <w:rtl/>
        </w:rPr>
        <w:t>)</w:t>
      </w:r>
      <w:r w:rsidRPr="00851DA1">
        <w:rPr>
          <w:spacing w:val="-2"/>
          <w:rtl/>
        </w:rPr>
        <w:t xml:space="preserve">. </w:t>
      </w:r>
      <w:r w:rsidRPr="00851DA1">
        <w:rPr>
          <w:spacing w:val="-2"/>
          <w:rtl/>
        </w:rPr>
        <w:lastRenderedPageBreak/>
        <w:t xml:space="preserve">وينبغي أن تحدد السلطات في التشريعات الوطنية دور مقدمي الخدمات الأمنية الخاصة وصلاحياتهم في مجال إنفاذ القانون، وينبغي أن يخضع استخدامهم للقوة وتدريبهم لضوابط </w:t>
      </w:r>
      <w:proofErr w:type="gramStart"/>
      <w:r w:rsidRPr="00851DA1">
        <w:rPr>
          <w:spacing w:val="-2"/>
          <w:rtl/>
        </w:rPr>
        <w:t>صارمة</w:t>
      </w:r>
      <w:r w:rsidR="00E13836" w:rsidRPr="00851DA1">
        <w:rPr>
          <w:spacing w:val="-2"/>
          <w:vertAlign w:val="superscript"/>
          <w:rtl/>
        </w:rPr>
        <w:t>(</w:t>
      </w:r>
      <w:proofErr w:type="gramEnd"/>
      <w:r w:rsidRPr="00851DA1">
        <w:rPr>
          <w:rFonts w:eastAsia="SimSun" w:cs="Times New Roman"/>
          <w:spacing w:val="-2"/>
          <w:position w:val="4"/>
          <w:vertAlign w:val="superscript"/>
        </w:rPr>
        <w:footnoteReference w:id="139"/>
      </w:r>
      <w:r w:rsidR="00E13836" w:rsidRPr="00851DA1">
        <w:rPr>
          <w:spacing w:val="-2"/>
          <w:vertAlign w:val="superscript"/>
          <w:rtl/>
        </w:rPr>
        <w:t>)</w:t>
      </w:r>
      <w:r w:rsidRPr="00851DA1">
        <w:rPr>
          <w:spacing w:val="-2"/>
          <w:rtl/>
        </w:rPr>
        <w:t>.</w:t>
      </w:r>
    </w:p>
    <w:p w14:paraId="11113CF2" w14:textId="10C9F7AA" w:rsidR="00F84062" w:rsidRPr="00851DA1" w:rsidRDefault="00F84062" w:rsidP="00851DA1">
      <w:pPr>
        <w:pStyle w:val="SingleTxtGA"/>
        <w:spacing w:line="350" w:lineRule="exact"/>
        <w:rPr>
          <w:rFonts w:eastAsia="SimSun" w:cs="Times New Roman"/>
          <w:spacing w:val="-2"/>
          <w:szCs w:val="20"/>
          <w:lang w:val="ar-SA" w:eastAsia="zh-TW" w:bidi="en-GB"/>
        </w:rPr>
      </w:pPr>
      <w:r w:rsidRPr="00851DA1">
        <w:rPr>
          <w:szCs w:val="20"/>
          <w:rtl/>
        </w:rPr>
        <w:t>94</w:t>
      </w:r>
      <w:r w:rsidR="00B828C2" w:rsidRPr="00851DA1">
        <w:rPr>
          <w:szCs w:val="20"/>
          <w:rtl/>
        </w:rPr>
        <w:t>-</w:t>
      </w:r>
      <w:r w:rsidR="00B828C2" w:rsidRPr="00851DA1">
        <w:rPr>
          <w:szCs w:val="20"/>
          <w:rtl/>
        </w:rPr>
        <w:tab/>
      </w:r>
      <w:r w:rsidRPr="00851DA1">
        <w:rPr>
          <w:spacing w:val="-2"/>
          <w:rtl/>
        </w:rPr>
        <w:t xml:space="preserve">وقد يؤدي استخدام موظفي إنفاذ القانون أجهزة التسجيل أثناء التجمعات، بما في ذلك الكاميرات الصدرية، دوراً إيجابياً في ضمان المساءلة، إذا ما استُخدمت تلك الأجهزة استخداماً حكيماً. غير أنه ينبغي أن تكون لدى السلطات مبادئ توجيهية واضحة ومتاحة لعامة الجمهور لضمان استخدام تلك الأجهزة استخداماً يتسق مع المعايير الدولية المتعلقة بالخصوصية ولا ينجم عنه أثر يثبط المشاركة في </w:t>
      </w:r>
      <w:proofErr w:type="gramStart"/>
      <w:r w:rsidRPr="00851DA1">
        <w:rPr>
          <w:spacing w:val="-2"/>
          <w:rtl/>
        </w:rPr>
        <w:t>التجمعات</w:t>
      </w:r>
      <w:r w:rsidR="00E13836" w:rsidRPr="00851DA1">
        <w:rPr>
          <w:spacing w:val="-2"/>
          <w:vertAlign w:val="superscript"/>
          <w:rtl/>
        </w:rPr>
        <w:t>(</w:t>
      </w:r>
      <w:proofErr w:type="gramEnd"/>
      <w:r w:rsidRPr="00851DA1">
        <w:rPr>
          <w:rFonts w:eastAsia="SimSun" w:cs="Times New Roman"/>
          <w:spacing w:val="-2"/>
          <w:position w:val="4"/>
          <w:vertAlign w:val="superscript"/>
        </w:rPr>
        <w:footnoteReference w:id="140"/>
      </w:r>
      <w:r w:rsidR="00E13836" w:rsidRPr="00851DA1">
        <w:rPr>
          <w:spacing w:val="-2"/>
          <w:vertAlign w:val="superscript"/>
          <w:rtl/>
        </w:rPr>
        <w:t>)</w:t>
      </w:r>
      <w:r w:rsidRPr="00851DA1">
        <w:rPr>
          <w:spacing w:val="-2"/>
          <w:rtl/>
        </w:rPr>
        <w:t xml:space="preserve">. ويحق للمشاركين والصحفيين والمراقبين أيضاً تسجيل موظفي إنفاذ </w:t>
      </w:r>
      <w:proofErr w:type="gramStart"/>
      <w:r w:rsidRPr="00851DA1">
        <w:rPr>
          <w:spacing w:val="-2"/>
          <w:rtl/>
        </w:rPr>
        <w:t>القانون</w:t>
      </w:r>
      <w:r w:rsidR="00E13836" w:rsidRPr="00851DA1">
        <w:rPr>
          <w:spacing w:val="-2"/>
          <w:vertAlign w:val="superscript"/>
          <w:rtl/>
        </w:rPr>
        <w:t>(</w:t>
      </w:r>
      <w:proofErr w:type="gramEnd"/>
      <w:r w:rsidRPr="00851DA1">
        <w:rPr>
          <w:rFonts w:eastAsia="SimSun" w:cs="Times New Roman"/>
          <w:spacing w:val="-2"/>
          <w:position w:val="4"/>
          <w:vertAlign w:val="superscript"/>
        </w:rPr>
        <w:footnoteReference w:id="141"/>
      </w:r>
      <w:r w:rsidR="00E13836" w:rsidRPr="00851DA1">
        <w:rPr>
          <w:spacing w:val="-2"/>
          <w:vertAlign w:val="superscript"/>
          <w:rtl/>
        </w:rPr>
        <w:t>)</w:t>
      </w:r>
      <w:r w:rsidRPr="00851DA1">
        <w:rPr>
          <w:spacing w:val="-2"/>
          <w:rtl/>
        </w:rPr>
        <w:t>.</w:t>
      </w:r>
    </w:p>
    <w:p w14:paraId="5D5BCD94" w14:textId="3592F757" w:rsidR="00F84062" w:rsidRPr="00851DA1" w:rsidRDefault="00F84062" w:rsidP="00851DA1">
      <w:pPr>
        <w:pStyle w:val="SingleTxtGA"/>
        <w:spacing w:line="350" w:lineRule="exact"/>
        <w:rPr>
          <w:rFonts w:eastAsia="SimSun" w:cs="Times New Roman"/>
          <w:szCs w:val="20"/>
          <w:lang w:val="ar-SA" w:eastAsia="zh-TW" w:bidi="en-GB"/>
        </w:rPr>
      </w:pPr>
      <w:r w:rsidRPr="00851DA1">
        <w:rPr>
          <w:szCs w:val="20"/>
          <w:rtl/>
        </w:rPr>
        <w:t>95</w:t>
      </w:r>
      <w:r w:rsidR="00B828C2" w:rsidRPr="00851DA1">
        <w:rPr>
          <w:szCs w:val="20"/>
          <w:rtl/>
        </w:rPr>
        <w:t>-</w:t>
      </w:r>
      <w:r w:rsidR="00B828C2" w:rsidRPr="00851DA1">
        <w:rPr>
          <w:szCs w:val="20"/>
          <w:rtl/>
        </w:rPr>
        <w:tab/>
      </w:r>
      <w:r w:rsidRPr="00851DA1">
        <w:rPr>
          <w:rtl/>
        </w:rPr>
        <w:t xml:space="preserve">والدولة مسؤولة مسؤوليةً كاملة عن استخدام أي منظومات أسلحة يتم التحكم فيها عن بعد أثناء التجمعات. فقد تؤدي أساليب استخدام القوة هذه إلى تصعيد حدة التوترات، ولذلك، لا ينبغي استخدامها إلاّ بحذر شديد. أما منظومات الأسلحة المزودة بخاصية التشغيل الذاتي الكامل، التي يمكن أن تستخدم قوتها الفتاكة ضد المشاركين في التجمع بدون تدخل بشري فعلي بمجر نشرد منظومة منها، فيجب ألاّ تُستخدم أبداً في إنفاذ القانون في سياق </w:t>
      </w:r>
      <w:proofErr w:type="gramStart"/>
      <w:r w:rsidRPr="00851DA1">
        <w:rPr>
          <w:rtl/>
        </w:rPr>
        <w:t>التجمعات</w:t>
      </w:r>
      <w:r w:rsidR="00E13836" w:rsidRPr="00851DA1">
        <w:rPr>
          <w:vertAlign w:val="superscript"/>
          <w:rtl/>
        </w:rPr>
        <w:t>(</w:t>
      </w:r>
      <w:proofErr w:type="gramEnd"/>
      <w:r w:rsidRPr="00851DA1">
        <w:rPr>
          <w:rFonts w:eastAsia="SimSun" w:cs="Times New Roman"/>
          <w:position w:val="4"/>
          <w:vertAlign w:val="superscript"/>
        </w:rPr>
        <w:footnoteReference w:id="142"/>
      </w:r>
      <w:r w:rsidR="00E13836" w:rsidRPr="00851DA1">
        <w:rPr>
          <w:vertAlign w:val="superscript"/>
          <w:rtl/>
        </w:rPr>
        <w:t>)</w:t>
      </w:r>
      <w:r w:rsidRPr="00851DA1">
        <w:rPr>
          <w:rtl/>
        </w:rPr>
        <w:t>.</w:t>
      </w:r>
    </w:p>
    <w:p w14:paraId="25EA936A" w14:textId="36E8A2DD" w:rsidR="00F84062" w:rsidRPr="00851DA1" w:rsidRDefault="00153B5D" w:rsidP="00153B5D">
      <w:pPr>
        <w:pStyle w:val="HChGA"/>
        <w:rPr>
          <w:rFonts w:cs="Times New Roman"/>
          <w:sz w:val="24"/>
          <w:szCs w:val="20"/>
          <w:lang w:val="ar-SA" w:eastAsia="zh-TW" w:bidi="en-GB"/>
        </w:rPr>
      </w:pPr>
      <w:r w:rsidRPr="00851DA1">
        <w:rPr>
          <w:rtl/>
        </w:rPr>
        <w:tab/>
      </w:r>
      <w:r w:rsidR="00F84062" w:rsidRPr="00851DA1">
        <w:rPr>
          <w:rtl/>
        </w:rPr>
        <w:t>سابعا</w:t>
      </w:r>
      <w:r w:rsidRPr="00851DA1">
        <w:rPr>
          <w:rFonts w:hint="cs"/>
          <w:rtl/>
        </w:rPr>
        <w:t>ً</w:t>
      </w:r>
      <w:r w:rsidR="00F84062" w:rsidRPr="00851DA1">
        <w:rPr>
          <w:rtl/>
        </w:rPr>
        <w:t>-</w:t>
      </w:r>
      <w:r w:rsidR="00F84062" w:rsidRPr="00851DA1">
        <w:rPr>
          <w:rtl/>
        </w:rPr>
        <w:tab/>
        <w:t>التجمع في حالات الطوارئ والنزاع المسلح</w:t>
      </w:r>
    </w:p>
    <w:p w14:paraId="33260B85" w14:textId="5B834775" w:rsidR="00F84062" w:rsidRPr="00851DA1" w:rsidRDefault="00F84062" w:rsidP="00851DA1">
      <w:pPr>
        <w:pStyle w:val="SingleTxtGA"/>
        <w:spacing w:line="340" w:lineRule="exact"/>
        <w:rPr>
          <w:rFonts w:eastAsia="SimSun" w:cs="Times New Roman"/>
          <w:szCs w:val="20"/>
          <w:lang w:val="ar-SA" w:eastAsia="zh-TW" w:bidi="en-GB"/>
        </w:rPr>
      </w:pPr>
      <w:r w:rsidRPr="00851DA1">
        <w:rPr>
          <w:szCs w:val="20"/>
          <w:rtl/>
        </w:rPr>
        <w:t>96</w:t>
      </w:r>
      <w:r w:rsidR="00B828C2" w:rsidRPr="00851DA1">
        <w:rPr>
          <w:szCs w:val="20"/>
          <w:rtl/>
        </w:rPr>
        <w:t>-</w:t>
      </w:r>
      <w:r w:rsidR="00B828C2" w:rsidRPr="00851DA1">
        <w:rPr>
          <w:szCs w:val="20"/>
          <w:rtl/>
        </w:rPr>
        <w:tab/>
      </w:r>
      <w:r w:rsidRPr="00851DA1">
        <w:rPr>
          <w:rtl/>
        </w:rPr>
        <w:t xml:space="preserve">مع أن الحق في التجمع السلمي لا يرد في الفقرة </w:t>
      </w:r>
      <w:r w:rsidRPr="00851DA1">
        <w:rPr>
          <w:szCs w:val="20"/>
          <w:rtl/>
        </w:rPr>
        <w:t>2</w:t>
      </w:r>
      <w:r w:rsidRPr="00851DA1">
        <w:rPr>
          <w:rtl/>
        </w:rPr>
        <w:t xml:space="preserve"> من المادة </w:t>
      </w:r>
      <w:r w:rsidRPr="00851DA1">
        <w:rPr>
          <w:szCs w:val="20"/>
          <w:rtl/>
        </w:rPr>
        <w:t>4</w:t>
      </w:r>
      <w:r w:rsidRPr="00851DA1">
        <w:rPr>
          <w:rtl/>
        </w:rPr>
        <w:t xml:space="preserve"> ضمن الحقوق التي لا يجوز تقييدها، فإن الحقوق الأخرى التي يمكن أن تنطبق على التجمعات، كالحقوق التي تنص عليها المواد </w:t>
      </w:r>
      <w:r w:rsidRPr="00851DA1">
        <w:rPr>
          <w:szCs w:val="20"/>
          <w:rtl/>
        </w:rPr>
        <w:t>6</w:t>
      </w:r>
      <w:r w:rsidRPr="00851DA1">
        <w:rPr>
          <w:rtl/>
        </w:rPr>
        <w:t xml:space="preserve"> </w:t>
      </w:r>
      <w:proofErr w:type="spellStart"/>
      <w:r w:rsidRPr="00851DA1">
        <w:rPr>
          <w:rtl/>
        </w:rPr>
        <w:t>و</w:t>
      </w:r>
      <w:r w:rsidRPr="00851DA1">
        <w:rPr>
          <w:szCs w:val="20"/>
          <w:rtl/>
        </w:rPr>
        <w:t>7</w:t>
      </w:r>
      <w:proofErr w:type="spellEnd"/>
      <w:r w:rsidRPr="00851DA1">
        <w:rPr>
          <w:rtl/>
        </w:rPr>
        <w:t xml:space="preserve"> </w:t>
      </w:r>
      <w:proofErr w:type="spellStart"/>
      <w:r w:rsidRPr="00851DA1">
        <w:rPr>
          <w:rtl/>
        </w:rPr>
        <w:t>و</w:t>
      </w:r>
      <w:r w:rsidRPr="00851DA1">
        <w:rPr>
          <w:szCs w:val="20"/>
          <w:rtl/>
        </w:rPr>
        <w:t>18</w:t>
      </w:r>
      <w:proofErr w:type="spellEnd"/>
      <w:r w:rsidRPr="00851DA1">
        <w:rPr>
          <w:rtl/>
        </w:rPr>
        <w:t xml:space="preserve">، هي حقوق لا يجوز تقييدها. ويجب ألاّ تلجأ الدول الأطراف إلى تقييد الحق في التجمع السلمي إذا كان تحقيق أهدافها ممكناً من خلال فرض قيود بموجب أحكام المادة </w:t>
      </w:r>
      <w:r w:rsidRPr="00851DA1">
        <w:rPr>
          <w:szCs w:val="20"/>
          <w:rtl/>
        </w:rPr>
        <w:t>21</w:t>
      </w:r>
      <w:r w:rsidR="00E13836" w:rsidRPr="00851DA1">
        <w:rPr>
          <w:vertAlign w:val="superscript"/>
          <w:rtl/>
        </w:rPr>
        <w:t>(</w:t>
      </w:r>
      <w:r w:rsidRPr="00851DA1">
        <w:rPr>
          <w:rFonts w:eastAsia="SimSun" w:cs="Times New Roman"/>
          <w:position w:val="4"/>
          <w:vertAlign w:val="superscript"/>
        </w:rPr>
        <w:footnoteReference w:id="143"/>
      </w:r>
      <w:r w:rsidR="00E13836" w:rsidRPr="00851DA1">
        <w:rPr>
          <w:vertAlign w:val="superscript"/>
          <w:rtl/>
        </w:rPr>
        <w:t>)</w:t>
      </w:r>
      <w:r w:rsidRPr="00851DA1">
        <w:rPr>
          <w:sz w:val="28"/>
          <w:rtl/>
        </w:rPr>
        <w:t>.</w:t>
      </w:r>
      <w:r w:rsidRPr="00851DA1">
        <w:rPr>
          <w:rtl/>
        </w:rPr>
        <w:t xml:space="preserve"> وإذا خالفت الدول أحكام العهد في التعامل، مثلاً، مع مظاهرات جماهيرية تتخللها أعمال عنف، فإنها يجب أن تكون قادرة على أن تبرر أن هذه الحالة لا تشكل تهديداً لحياة الأمة فحسب، ولكن أيضاً أن جميع ما</w:t>
      </w:r>
      <w:r w:rsidR="000B128E" w:rsidRPr="00851DA1">
        <w:rPr>
          <w:rFonts w:hint="cs"/>
          <w:rtl/>
        </w:rPr>
        <w:t> </w:t>
      </w:r>
      <w:r w:rsidRPr="00851DA1">
        <w:rPr>
          <w:rtl/>
        </w:rPr>
        <w:t xml:space="preserve">اتخذته من تدابير لا تتقيد بالتزاماتها بموجب العهد هي تدابير تقتصر بشكل صارم على ما </w:t>
      </w:r>
      <w:proofErr w:type="spellStart"/>
      <w:r w:rsidRPr="00851DA1">
        <w:rPr>
          <w:rtl/>
        </w:rPr>
        <w:t>تستوجبه</w:t>
      </w:r>
      <w:proofErr w:type="spellEnd"/>
      <w:r w:rsidRPr="00851DA1">
        <w:rPr>
          <w:rtl/>
        </w:rPr>
        <w:t xml:space="preserve"> مقتضيات الحالة وتمتثل للشروط الواردة في المادة </w:t>
      </w:r>
      <w:r w:rsidRPr="00851DA1">
        <w:rPr>
          <w:szCs w:val="20"/>
          <w:rtl/>
        </w:rPr>
        <w:t>4</w:t>
      </w:r>
      <w:r w:rsidR="00E13836" w:rsidRPr="00851DA1">
        <w:rPr>
          <w:vertAlign w:val="superscript"/>
          <w:rtl/>
        </w:rPr>
        <w:t>(</w:t>
      </w:r>
      <w:r w:rsidRPr="00851DA1">
        <w:rPr>
          <w:rFonts w:eastAsia="SimSun" w:cs="Times New Roman"/>
          <w:position w:val="4"/>
          <w:vertAlign w:val="superscript"/>
        </w:rPr>
        <w:footnoteReference w:id="144"/>
      </w:r>
      <w:r w:rsidR="00E13836" w:rsidRPr="00851DA1">
        <w:rPr>
          <w:vertAlign w:val="superscript"/>
          <w:rtl/>
        </w:rPr>
        <w:t>)</w:t>
      </w:r>
      <w:r w:rsidRPr="00851DA1">
        <w:rPr>
          <w:rtl/>
        </w:rPr>
        <w:t>.</w:t>
      </w:r>
    </w:p>
    <w:p w14:paraId="5594C821" w14:textId="13FE1A0F" w:rsidR="00F84062" w:rsidRPr="00851DA1" w:rsidRDefault="00F84062" w:rsidP="00851DA1">
      <w:pPr>
        <w:pStyle w:val="SingleTxtGA"/>
        <w:spacing w:line="340" w:lineRule="exact"/>
        <w:rPr>
          <w:rFonts w:eastAsia="SimSun" w:cs="Times New Roman"/>
          <w:spacing w:val="-4"/>
          <w:szCs w:val="20"/>
          <w:lang w:val="ar-SA" w:eastAsia="zh-TW" w:bidi="en-GB"/>
        </w:rPr>
      </w:pPr>
      <w:r w:rsidRPr="00851DA1">
        <w:rPr>
          <w:szCs w:val="20"/>
          <w:rtl/>
        </w:rPr>
        <w:t>97</w:t>
      </w:r>
      <w:r w:rsidR="00B828C2" w:rsidRPr="00851DA1">
        <w:rPr>
          <w:szCs w:val="20"/>
          <w:rtl/>
        </w:rPr>
        <w:t>-</w:t>
      </w:r>
      <w:r w:rsidR="00B828C2" w:rsidRPr="00851DA1">
        <w:rPr>
          <w:szCs w:val="20"/>
          <w:rtl/>
        </w:rPr>
        <w:tab/>
      </w:r>
      <w:r w:rsidRPr="00851DA1">
        <w:rPr>
          <w:spacing w:val="-4"/>
          <w:rtl/>
        </w:rPr>
        <w:t xml:space="preserve">وفي حالة النزاع المسلح، يظل استخدام القوة أثناء التجمعات السلمية منظماً بالقواعد التي تحكم إنفاذ القانون، وتظل أحكام العهد </w:t>
      </w:r>
      <w:proofErr w:type="gramStart"/>
      <w:r w:rsidRPr="00851DA1">
        <w:rPr>
          <w:spacing w:val="-4"/>
          <w:rtl/>
        </w:rPr>
        <w:t>سارية</w:t>
      </w:r>
      <w:r w:rsidR="00E13836" w:rsidRPr="00851DA1">
        <w:rPr>
          <w:spacing w:val="-4"/>
          <w:vertAlign w:val="superscript"/>
          <w:rtl/>
        </w:rPr>
        <w:t>(</w:t>
      </w:r>
      <w:proofErr w:type="gramEnd"/>
      <w:r w:rsidRPr="00851DA1">
        <w:rPr>
          <w:rFonts w:eastAsia="SimSun" w:cs="Times New Roman"/>
          <w:spacing w:val="-4"/>
          <w:position w:val="4"/>
          <w:vertAlign w:val="superscript"/>
        </w:rPr>
        <w:footnoteReference w:id="145"/>
      </w:r>
      <w:r w:rsidR="00E13836" w:rsidRPr="00851DA1">
        <w:rPr>
          <w:spacing w:val="-4"/>
          <w:vertAlign w:val="superscript"/>
          <w:rtl/>
        </w:rPr>
        <w:t>)</w:t>
      </w:r>
      <w:r w:rsidRPr="00851DA1">
        <w:rPr>
          <w:spacing w:val="-4"/>
          <w:rtl/>
        </w:rPr>
        <w:t>. ويتمتع</w:t>
      </w:r>
      <w:r w:rsidR="00B828C2" w:rsidRPr="00851DA1">
        <w:rPr>
          <w:spacing w:val="-4"/>
          <w:rtl/>
        </w:rPr>
        <w:t xml:space="preserve"> </w:t>
      </w:r>
      <w:r w:rsidRPr="00851DA1">
        <w:rPr>
          <w:spacing w:val="-4"/>
          <w:rtl/>
        </w:rPr>
        <w:t>المدنيون الذين يشاركون في التجمعات بالحماية من الاستهداف بالقوة الفتاكة إلا إذا شاركوا مباشرة في الأعمال القتالية بالمعنى الذي يُفهَم به</w:t>
      </w:r>
      <w:r w:rsidR="00851DA1" w:rsidRPr="00851DA1">
        <w:rPr>
          <w:rFonts w:hint="cs"/>
          <w:spacing w:val="-4"/>
          <w:rtl/>
        </w:rPr>
        <w:t xml:space="preserve"> </w:t>
      </w:r>
      <w:r w:rsidRPr="00851DA1">
        <w:rPr>
          <w:spacing w:val="-4"/>
          <w:rtl/>
        </w:rPr>
        <w:t>هذا المصطلح في القانون الدولي الإنساني وأثناء مشاركتهم في تلك الأعمال فقط. وفي هذه الحالة، لا</w:t>
      </w:r>
      <w:r w:rsidR="00851DA1" w:rsidRPr="00851DA1">
        <w:rPr>
          <w:rFonts w:hint="cs"/>
          <w:spacing w:val="-4"/>
          <w:rtl/>
        </w:rPr>
        <w:t> </w:t>
      </w:r>
      <w:r w:rsidRPr="00851DA1">
        <w:rPr>
          <w:spacing w:val="-4"/>
          <w:rtl/>
        </w:rPr>
        <w:t>يجوز استهدافهم إلاّ في حال عدم تمتعهم بشكل آخر من أشكال الحماية من الاعتداء بموجب القانون الدولي. ويخضع أي استخدام للقوة بموجب القانون الدولي الإنساني المنطبق لقواعد ومبادئ التمييز، واتخاذ الاحتياطات اللازمة عند الهجوم، والتناسب، والضرورة العسكرية، والإنسانية. وينبغي أن تكون سلامة وحماية المشاركين في التجمع وعامة الجمهور من الاعتبارات الهامة في جميع القرارات المتعلقة باستخدام القوة.</w:t>
      </w:r>
    </w:p>
    <w:p w14:paraId="47CE7986" w14:textId="04E4E030" w:rsidR="00F84062" w:rsidRPr="00851DA1" w:rsidRDefault="00153B5D" w:rsidP="00153B5D">
      <w:pPr>
        <w:pStyle w:val="HChGA"/>
        <w:rPr>
          <w:rFonts w:cs="Times New Roman"/>
          <w:sz w:val="24"/>
          <w:szCs w:val="20"/>
          <w:lang w:val="ar-SA" w:eastAsia="zh-TW" w:bidi="en-GB"/>
        </w:rPr>
      </w:pPr>
      <w:r w:rsidRPr="00851DA1">
        <w:rPr>
          <w:rtl/>
        </w:rPr>
        <w:lastRenderedPageBreak/>
        <w:tab/>
      </w:r>
      <w:r w:rsidR="00F84062" w:rsidRPr="00851DA1">
        <w:rPr>
          <w:rtl/>
        </w:rPr>
        <w:t>ثامنا</w:t>
      </w:r>
      <w:r w:rsidRPr="00851DA1">
        <w:rPr>
          <w:rFonts w:hint="cs"/>
          <w:rtl/>
        </w:rPr>
        <w:t>ً</w:t>
      </w:r>
      <w:r w:rsidR="00F84062" w:rsidRPr="00851DA1">
        <w:rPr>
          <w:rtl/>
        </w:rPr>
        <w:t>-</w:t>
      </w:r>
      <w:r w:rsidR="00F84062" w:rsidRPr="00851DA1">
        <w:rPr>
          <w:rtl/>
        </w:rPr>
        <w:tab/>
        <w:t xml:space="preserve">علاقة المادة </w:t>
      </w:r>
      <w:r w:rsidR="00F84062" w:rsidRPr="00851DA1">
        <w:rPr>
          <w:szCs w:val="28"/>
          <w:rtl/>
        </w:rPr>
        <w:t>21</w:t>
      </w:r>
      <w:r w:rsidR="00F84062" w:rsidRPr="00851DA1">
        <w:rPr>
          <w:rtl/>
        </w:rPr>
        <w:t xml:space="preserve"> بغيرها من أحكام العهد وبالأنظمة القانونية الأخرى</w:t>
      </w:r>
    </w:p>
    <w:p w14:paraId="5718D3DC" w14:textId="74BB3D94" w:rsidR="00F84062" w:rsidRPr="00851DA1" w:rsidRDefault="00F84062" w:rsidP="00B828C2">
      <w:pPr>
        <w:pStyle w:val="SingleTxtGA"/>
        <w:rPr>
          <w:rFonts w:eastAsia="SimSun" w:cs="Times New Roman"/>
          <w:szCs w:val="20"/>
          <w:lang w:val="ar-SA" w:eastAsia="zh-TW" w:bidi="en-GB"/>
        </w:rPr>
      </w:pPr>
      <w:r w:rsidRPr="00851DA1">
        <w:rPr>
          <w:szCs w:val="20"/>
          <w:rtl/>
        </w:rPr>
        <w:t>98</w:t>
      </w:r>
      <w:r w:rsidR="00B828C2" w:rsidRPr="00851DA1">
        <w:rPr>
          <w:szCs w:val="20"/>
          <w:rtl/>
        </w:rPr>
        <w:t>-</w:t>
      </w:r>
      <w:r w:rsidR="00B828C2" w:rsidRPr="00851DA1">
        <w:rPr>
          <w:szCs w:val="20"/>
          <w:rtl/>
        </w:rPr>
        <w:tab/>
      </w:r>
      <w:r w:rsidRPr="00851DA1">
        <w:rPr>
          <w:rtl/>
        </w:rPr>
        <w:t>إن حماية الحق في التجمع السلمي حمايةً كاملة تتوقف على حماية طائفة من الحقوق. فقد</w:t>
      </w:r>
      <w:r w:rsidR="0049341B" w:rsidRPr="00851DA1">
        <w:rPr>
          <w:rFonts w:hint="cs"/>
          <w:rtl/>
        </w:rPr>
        <w:t> </w:t>
      </w:r>
      <w:r w:rsidRPr="00851DA1">
        <w:rPr>
          <w:rtl/>
        </w:rPr>
        <w:t xml:space="preserve">يشكل استخدام القوة غير الضرورية أو غير المتناسبة أو أي سلوك غير قانوني آخر من جانب موظفي الدولة أثناء التجمعات خرقاً لأحكام المواد </w:t>
      </w:r>
      <w:r w:rsidRPr="00851DA1">
        <w:rPr>
          <w:szCs w:val="20"/>
          <w:rtl/>
        </w:rPr>
        <w:t>6</w:t>
      </w:r>
      <w:r w:rsidRPr="00851DA1">
        <w:rPr>
          <w:rtl/>
        </w:rPr>
        <w:t xml:space="preserve"> </w:t>
      </w:r>
      <w:proofErr w:type="spellStart"/>
      <w:r w:rsidRPr="00851DA1">
        <w:rPr>
          <w:rtl/>
        </w:rPr>
        <w:t>و</w:t>
      </w:r>
      <w:r w:rsidRPr="00851DA1">
        <w:rPr>
          <w:szCs w:val="20"/>
          <w:rtl/>
        </w:rPr>
        <w:t>7</w:t>
      </w:r>
      <w:proofErr w:type="spellEnd"/>
      <w:r w:rsidRPr="00851DA1">
        <w:rPr>
          <w:rtl/>
        </w:rPr>
        <w:t xml:space="preserve"> </w:t>
      </w:r>
      <w:proofErr w:type="spellStart"/>
      <w:r w:rsidRPr="00851DA1">
        <w:rPr>
          <w:rtl/>
        </w:rPr>
        <w:t>و</w:t>
      </w:r>
      <w:r w:rsidRPr="00851DA1">
        <w:rPr>
          <w:szCs w:val="20"/>
          <w:rtl/>
        </w:rPr>
        <w:t>9</w:t>
      </w:r>
      <w:proofErr w:type="spellEnd"/>
      <w:r w:rsidRPr="00851DA1">
        <w:rPr>
          <w:rtl/>
        </w:rPr>
        <w:t xml:space="preserve"> من </w:t>
      </w:r>
      <w:proofErr w:type="gramStart"/>
      <w:r w:rsidRPr="00851DA1">
        <w:rPr>
          <w:rtl/>
        </w:rPr>
        <w:t>العهد</w:t>
      </w:r>
      <w:r w:rsidR="00E13836" w:rsidRPr="00851DA1">
        <w:rPr>
          <w:vertAlign w:val="superscript"/>
          <w:rtl/>
        </w:rPr>
        <w:t>(</w:t>
      </w:r>
      <w:proofErr w:type="gramEnd"/>
      <w:r w:rsidRPr="00851DA1">
        <w:rPr>
          <w:rFonts w:eastAsia="SimSun" w:cs="Times New Roman"/>
          <w:position w:val="4"/>
          <w:vertAlign w:val="superscript"/>
        </w:rPr>
        <w:footnoteReference w:id="146"/>
      </w:r>
      <w:r w:rsidR="00E13836" w:rsidRPr="00851DA1">
        <w:rPr>
          <w:vertAlign w:val="superscript"/>
          <w:rtl/>
        </w:rPr>
        <w:t>)</w:t>
      </w:r>
      <w:r w:rsidRPr="00851DA1">
        <w:rPr>
          <w:rtl/>
        </w:rPr>
        <w:t xml:space="preserve">. وقد تشكل الحالات القصوى التي يتعرض فيها المشاركون في التجمعات السلمية إلى القوة غير المشروعة أو السلوك غير المشروع في سياق هجوم منهجي أو واسع النطاق يستهدف السكان المدنيين، أياً كانوا، جريمةً ضد الإنسانية في حال استيفاء المعايير الأخرى ذات </w:t>
      </w:r>
      <w:proofErr w:type="gramStart"/>
      <w:r w:rsidRPr="00851DA1">
        <w:rPr>
          <w:rtl/>
        </w:rPr>
        <w:t>الصلة</w:t>
      </w:r>
      <w:r w:rsidR="00E13836" w:rsidRPr="00851DA1">
        <w:rPr>
          <w:vertAlign w:val="superscript"/>
          <w:rtl/>
        </w:rPr>
        <w:t>(</w:t>
      </w:r>
      <w:proofErr w:type="gramEnd"/>
      <w:r w:rsidRPr="00851DA1">
        <w:rPr>
          <w:rFonts w:eastAsia="SimSun" w:cs="Times New Roman"/>
          <w:position w:val="4"/>
          <w:vertAlign w:val="superscript"/>
        </w:rPr>
        <w:footnoteReference w:id="147"/>
      </w:r>
      <w:r w:rsidR="00E13836" w:rsidRPr="00851DA1">
        <w:rPr>
          <w:vertAlign w:val="superscript"/>
          <w:rtl/>
        </w:rPr>
        <w:t>)</w:t>
      </w:r>
      <w:r w:rsidRPr="00851DA1">
        <w:rPr>
          <w:rtl/>
        </w:rPr>
        <w:t>.</w:t>
      </w:r>
    </w:p>
    <w:p w14:paraId="6E847204" w14:textId="58B1DD52" w:rsidR="00F84062" w:rsidRPr="00851DA1" w:rsidRDefault="00F84062" w:rsidP="00B828C2">
      <w:pPr>
        <w:pStyle w:val="SingleTxtGA"/>
        <w:rPr>
          <w:rFonts w:eastAsia="SimSun" w:cs="Times New Roman"/>
          <w:szCs w:val="20"/>
          <w:lang w:val="ar-SA" w:eastAsia="zh-TW" w:bidi="en-GB"/>
        </w:rPr>
      </w:pPr>
      <w:r w:rsidRPr="00851DA1">
        <w:rPr>
          <w:szCs w:val="20"/>
          <w:rtl/>
        </w:rPr>
        <w:t>99</w:t>
      </w:r>
      <w:r w:rsidR="00B828C2" w:rsidRPr="00851DA1">
        <w:rPr>
          <w:szCs w:val="20"/>
          <w:rtl/>
        </w:rPr>
        <w:t>-</w:t>
      </w:r>
      <w:r w:rsidR="00B828C2" w:rsidRPr="00851DA1">
        <w:rPr>
          <w:szCs w:val="20"/>
          <w:rtl/>
        </w:rPr>
        <w:tab/>
      </w:r>
      <w:r w:rsidRPr="00851DA1">
        <w:rPr>
          <w:rtl/>
        </w:rPr>
        <w:t xml:space="preserve">أما القيود التي تُفرض على قدرة الأشخاص على السفر، بما في ذلك إلى الخارج </w:t>
      </w:r>
      <w:r w:rsidR="00E13836" w:rsidRPr="00851DA1">
        <w:rPr>
          <w:rtl/>
        </w:rPr>
        <w:t>(</w:t>
      </w:r>
      <w:r w:rsidRPr="00851DA1">
        <w:rPr>
          <w:rtl/>
        </w:rPr>
        <w:t xml:space="preserve">الفقرة </w:t>
      </w:r>
      <w:r w:rsidRPr="00851DA1">
        <w:rPr>
          <w:szCs w:val="20"/>
          <w:rtl/>
        </w:rPr>
        <w:t>2</w:t>
      </w:r>
      <w:r w:rsidRPr="00851DA1">
        <w:rPr>
          <w:rtl/>
        </w:rPr>
        <w:t xml:space="preserve"> من المادة </w:t>
      </w:r>
      <w:r w:rsidRPr="00851DA1">
        <w:rPr>
          <w:szCs w:val="20"/>
          <w:rtl/>
        </w:rPr>
        <w:t>12</w:t>
      </w:r>
      <w:r w:rsidR="00E13836" w:rsidRPr="00851DA1">
        <w:rPr>
          <w:rtl/>
        </w:rPr>
        <w:t>)</w:t>
      </w:r>
      <w:r w:rsidRPr="00851DA1">
        <w:rPr>
          <w:rtl/>
        </w:rPr>
        <w:t xml:space="preserve"> بغرض المشاركة في التجمعات والمسيرات وغيرها من التجمعات المتحركة، فقد تنتهك حريتهم في التنقل </w:t>
      </w:r>
      <w:r w:rsidR="00E13836" w:rsidRPr="00851DA1">
        <w:rPr>
          <w:rtl/>
        </w:rPr>
        <w:t>(</w:t>
      </w:r>
      <w:r w:rsidRPr="00851DA1">
        <w:rPr>
          <w:rtl/>
        </w:rPr>
        <w:t xml:space="preserve">الفقرة </w:t>
      </w:r>
      <w:r w:rsidRPr="00851DA1">
        <w:rPr>
          <w:szCs w:val="20"/>
          <w:rtl/>
        </w:rPr>
        <w:t>1</w:t>
      </w:r>
      <w:r w:rsidRPr="00851DA1">
        <w:rPr>
          <w:rtl/>
        </w:rPr>
        <w:t xml:space="preserve"> من المادة </w:t>
      </w:r>
      <w:r w:rsidRPr="00851DA1">
        <w:rPr>
          <w:szCs w:val="20"/>
          <w:rtl/>
        </w:rPr>
        <w:t>12</w:t>
      </w:r>
      <w:r w:rsidR="00E13836" w:rsidRPr="00851DA1">
        <w:rPr>
          <w:rtl/>
        </w:rPr>
        <w:t>)</w:t>
      </w:r>
      <w:r w:rsidRPr="00851DA1">
        <w:rPr>
          <w:rtl/>
        </w:rPr>
        <w:t xml:space="preserve">. ويجب أن تكون القرارات الرسمية التي تقيد ممارسة حقوق التجمع قابلة للطعن فيها قانوناً في محاكمات تستوفي شروط المحاكمة العادلة والعامة </w:t>
      </w:r>
      <w:r w:rsidR="00E13836" w:rsidRPr="00851DA1">
        <w:rPr>
          <w:rtl/>
        </w:rPr>
        <w:t>(</w:t>
      </w:r>
      <w:r w:rsidRPr="00851DA1">
        <w:rPr>
          <w:rtl/>
        </w:rPr>
        <w:t xml:space="preserve">الفقرة </w:t>
      </w:r>
      <w:r w:rsidRPr="00851DA1">
        <w:rPr>
          <w:szCs w:val="20"/>
          <w:rtl/>
        </w:rPr>
        <w:t>1</w:t>
      </w:r>
      <w:r w:rsidRPr="00851DA1">
        <w:rPr>
          <w:rtl/>
        </w:rPr>
        <w:t xml:space="preserve"> من المادة</w:t>
      </w:r>
      <w:r w:rsidR="006274F1" w:rsidRPr="00851DA1">
        <w:rPr>
          <w:rFonts w:hint="eastAsia"/>
          <w:rtl/>
        </w:rPr>
        <w:t> </w:t>
      </w:r>
      <w:proofErr w:type="gramStart"/>
      <w:r w:rsidRPr="00851DA1">
        <w:rPr>
          <w:szCs w:val="20"/>
          <w:rtl/>
        </w:rPr>
        <w:t>14</w:t>
      </w:r>
      <w:r w:rsidR="00E13836" w:rsidRPr="00851DA1">
        <w:rPr>
          <w:rtl/>
        </w:rPr>
        <w:t>)</w:t>
      </w:r>
      <w:r w:rsidR="00E13836" w:rsidRPr="00851DA1">
        <w:rPr>
          <w:vertAlign w:val="superscript"/>
          <w:rtl/>
        </w:rPr>
        <w:t>(</w:t>
      </w:r>
      <w:proofErr w:type="gramEnd"/>
      <w:r w:rsidRPr="00851DA1">
        <w:rPr>
          <w:rFonts w:eastAsia="SimSun" w:cs="Times New Roman"/>
          <w:position w:val="4"/>
          <w:vertAlign w:val="superscript"/>
        </w:rPr>
        <w:footnoteReference w:id="148"/>
      </w:r>
      <w:r w:rsidR="00E13836" w:rsidRPr="00851DA1">
        <w:rPr>
          <w:vertAlign w:val="superscript"/>
          <w:rtl/>
        </w:rPr>
        <w:t>)</w:t>
      </w:r>
      <w:r w:rsidRPr="00851DA1">
        <w:rPr>
          <w:rtl/>
        </w:rPr>
        <w:t xml:space="preserve">. وقد تنتهك مراقبة المشاركين في التجمعات وغيرها من أنشطة جمع البيانات حقهم في الخصوصية </w:t>
      </w:r>
      <w:r w:rsidR="00E13836" w:rsidRPr="00851DA1">
        <w:rPr>
          <w:rtl/>
        </w:rPr>
        <w:t>(</w:t>
      </w:r>
      <w:r w:rsidRPr="00851DA1">
        <w:rPr>
          <w:rtl/>
        </w:rPr>
        <w:t xml:space="preserve">المادة </w:t>
      </w:r>
      <w:r w:rsidRPr="00851DA1">
        <w:rPr>
          <w:szCs w:val="20"/>
          <w:rtl/>
        </w:rPr>
        <w:t>17</w:t>
      </w:r>
      <w:r w:rsidR="00E13836" w:rsidRPr="00851DA1">
        <w:rPr>
          <w:rtl/>
        </w:rPr>
        <w:t>)</w:t>
      </w:r>
      <w:r w:rsidRPr="00851DA1">
        <w:rPr>
          <w:rtl/>
        </w:rPr>
        <w:t xml:space="preserve">. ويمكن أيضاً حماية التجمعات الدينية بموجب حرية المجاهرة بالدين أو المعتقد </w:t>
      </w:r>
      <w:r w:rsidR="00E13836" w:rsidRPr="00851DA1">
        <w:rPr>
          <w:rtl/>
        </w:rPr>
        <w:t>(</w:t>
      </w:r>
      <w:r w:rsidRPr="00851DA1">
        <w:rPr>
          <w:rtl/>
        </w:rPr>
        <w:t xml:space="preserve">المادة </w:t>
      </w:r>
      <w:proofErr w:type="gramStart"/>
      <w:r w:rsidRPr="00851DA1">
        <w:rPr>
          <w:szCs w:val="20"/>
          <w:rtl/>
        </w:rPr>
        <w:t>18</w:t>
      </w:r>
      <w:r w:rsidR="00E13836" w:rsidRPr="00851DA1">
        <w:rPr>
          <w:rtl/>
        </w:rPr>
        <w:t>)</w:t>
      </w:r>
      <w:r w:rsidR="00E13836" w:rsidRPr="00851DA1">
        <w:rPr>
          <w:vertAlign w:val="superscript"/>
          <w:rtl/>
        </w:rPr>
        <w:t>(</w:t>
      </w:r>
      <w:proofErr w:type="gramEnd"/>
      <w:r w:rsidRPr="00851DA1">
        <w:rPr>
          <w:rFonts w:eastAsia="SimSun" w:cs="Times New Roman"/>
          <w:position w:val="4"/>
          <w:vertAlign w:val="superscript"/>
        </w:rPr>
        <w:footnoteReference w:id="149"/>
      </w:r>
      <w:r w:rsidR="00E13836" w:rsidRPr="00851DA1">
        <w:rPr>
          <w:vertAlign w:val="superscript"/>
          <w:rtl/>
        </w:rPr>
        <w:t>)</w:t>
      </w:r>
      <w:r w:rsidRPr="00851DA1">
        <w:rPr>
          <w:rtl/>
        </w:rPr>
        <w:t xml:space="preserve">. والحق في التجمع السلمي ليس مجرد مظهر من مظاهر حرية التعبير </w:t>
      </w:r>
      <w:r w:rsidR="00E13836" w:rsidRPr="00851DA1">
        <w:rPr>
          <w:rtl/>
        </w:rPr>
        <w:t>(</w:t>
      </w:r>
      <w:r w:rsidRPr="00851DA1">
        <w:rPr>
          <w:rtl/>
        </w:rPr>
        <w:t xml:space="preserve">الفقرة </w:t>
      </w:r>
      <w:r w:rsidRPr="00851DA1">
        <w:rPr>
          <w:szCs w:val="20"/>
          <w:rtl/>
        </w:rPr>
        <w:t>2</w:t>
      </w:r>
      <w:r w:rsidRPr="00851DA1">
        <w:rPr>
          <w:rtl/>
        </w:rPr>
        <w:t xml:space="preserve"> من المادة</w:t>
      </w:r>
      <w:r w:rsidR="000B128E" w:rsidRPr="00851DA1">
        <w:rPr>
          <w:rFonts w:hint="cs"/>
          <w:rtl/>
        </w:rPr>
        <w:t> </w:t>
      </w:r>
      <w:r w:rsidRPr="00851DA1">
        <w:rPr>
          <w:szCs w:val="20"/>
          <w:rtl/>
        </w:rPr>
        <w:t>19</w:t>
      </w:r>
      <w:r w:rsidR="00E13836" w:rsidRPr="00851DA1">
        <w:rPr>
          <w:rtl/>
        </w:rPr>
        <w:t>)</w:t>
      </w:r>
      <w:r w:rsidRPr="00851DA1">
        <w:rPr>
          <w:rtl/>
        </w:rPr>
        <w:t>؛ بل غالباً ما يتسم بعنصر تعبيري، ذلك أن الأسس المنطقية للاعتراف بهذين الحقين والقيود المقبول فرضها عليهما تتداخل من نواح عديدة. وتشكل حرية الوصول إلى المعلومات التي تحتفظ بها</w:t>
      </w:r>
      <w:r w:rsidR="000B128E" w:rsidRPr="00851DA1">
        <w:rPr>
          <w:rFonts w:hint="cs"/>
          <w:rtl/>
        </w:rPr>
        <w:t> </w:t>
      </w:r>
      <w:r w:rsidRPr="00851DA1">
        <w:rPr>
          <w:rtl/>
        </w:rPr>
        <w:t xml:space="preserve">الهيئات العامة </w:t>
      </w:r>
      <w:r w:rsidR="00E13836" w:rsidRPr="00851DA1">
        <w:rPr>
          <w:rtl/>
        </w:rPr>
        <w:t>(</w:t>
      </w:r>
      <w:r w:rsidRPr="00851DA1">
        <w:rPr>
          <w:rtl/>
        </w:rPr>
        <w:t xml:space="preserve">الفقرة </w:t>
      </w:r>
      <w:r w:rsidRPr="00851DA1">
        <w:rPr>
          <w:szCs w:val="20"/>
          <w:rtl/>
        </w:rPr>
        <w:t>2</w:t>
      </w:r>
      <w:r w:rsidRPr="00851DA1">
        <w:rPr>
          <w:rtl/>
        </w:rPr>
        <w:t xml:space="preserve"> من المادة </w:t>
      </w:r>
      <w:r w:rsidRPr="00851DA1">
        <w:rPr>
          <w:szCs w:val="20"/>
          <w:rtl/>
        </w:rPr>
        <w:t>19</w:t>
      </w:r>
      <w:r w:rsidR="00E13836" w:rsidRPr="00851DA1">
        <w:rPr>
          <w:rtl/>
        </w:rPr>
        <w:t>)</w:t>
      </w:r>
      <w:r w:rsidRPr="00851DA1">
        <w:rPr>
          <w:rtl/>
        </w:rPr>
        <w:t xml:space="preserve"> الأساس لقدرة الجمهور على معرفة الإطار القانوني والإداري المنطبق على التجمعات وتمكنه من مساءلة الموظفين العموميين.</w:t>
      </w:r>
    </w:p>
    <w:p w14:paraId="6A16EE26" w14:textId="4AEA4472" w:rsidR="00F84062" w:rsidRPr="00851DA1" w:rsidRDefault="00F84062" w:rsidP="00B828C2">
      <w:pPr>
        <w:pStyle w:val="SingleTxtGA"/>
        <w:rPr>
          <w:rFonts w:eastAsia="SimSun" w:cs="Times New Roman"/>
          <w:szCs w:val="20"/>
          <w:lang w:val="ar-SA" w:eastAsia="zh-TW" w:bidi="en-GB"/>
        </w:rPr>
      </w:pPr>
      <w:r w:rsidRPr="00851DA1">
        <w:rPr>
          <w:szCs w:val="20"/>
          <w:rtl/>
        </w:rPr>
        <w:t>100</w:t>
      </w:r>
      <w:r w:rsidR="00B828C2" w:rsidRPr="00851DA1">
        <w:rPr>
          <w:szCs w:val="20"/>
          <w:rtl/>
        </w:rPr>
        <w:t>-</w:t>
      </w:r>
      <w:r w:rsidR="00B828C2" w:rsidRPr="00851DA1">
        <w:rPr>
          <w:szCs w:val="20"/>
          <w:rtl/>
        </w:rPr>
        <w:tab/>
      </w:r>
      <w:r w:rsidRPr="00851DA1">
        <w:rPr>
          <w:rtl/>
        </w:rPr>
        <w:t xml:space="preserve">أما حرية تكوين الجمعيات </w:t>
      </w:r>
      <w:r w:rsidR="00E13836" w:rsidRPr="00851DA1">
        <w:rPr>
          <w:rtl/>
        </w:rPr>
        <w:t>(</w:t>
      </w:r>
      <w:r w:rsidRPr="00851DA1">
        <w:rPr>
          <w:rtl/>
        </w:rPr>
        <w:t xml:space="preserve">المادة </w:t>
      </w:r>
      <w:r w:rsidRPr="00851DA1">
        <w:rPr>
          <w:szCs w:val="20"/>
          <w:rtl/>
        </w:rPr>
        <w:t>22</w:t>
      </w:r>
      <w:r w:rsidR="00E13836" w:rsidRPr="00851DA1">
        <w:rPr>
          <w:rtl/>
        </w:rPr>
        <w:t>)</w:t>
      </w:r>
      <w:r w:rsidRPr="00851DA1">
        <w:rPr>
          <w:rtl/>
        </w:rPr>
        <w:t xml:space="preserve">، فتحمي أيضاً العمل الجماعي، وكثيراً ما تؤثر القيود المفروضة على هذا الحق في الحق في التجمع السلمي. ويرتبط حق المشاركة في الحياة السياسية </w:t>
      </w:r>
      <w:r w:rsidR="00E13836" w:rsidRPr="00851DA1">
        <w:rPr>
          <w:rtl/>
        </w:rPr>
        <w:t>(</w:t>
      </w:r>
      <w:r w:rsidRPr="00851DA1">
        <w:rPr>
          <w:rtl/>
        </w:rPr>
        <w:t>المادة</w:t>
      </w:r>
      <w:r w:rsidR="000B128E" w:rsidRPr="00851DA1">
        <w:rPr>
          <w:rFonts w:hint="cs"/>
          <w:rtl/>
        </w:rPr>
        <w:t> </w:t>
      </w:r>
      <w:r w:rsidRPr="00851DA1">
        <w:rPr>
          <w:szCs w:val="20"/>
          <w:rtl/>
        </w:rPr>
        <w:t>25</w:t>
      </w:r>
      <w:r w:rsidR="00E13836" w:rsidRPr="00851DA1">
        <w:rPr>
          <w:rtl/>
        </w:rPr>
        <w:t>)</w:t>
      </w:r>
      <w:r w:rsidRPr="00851DA1">
        <w:rPr>
          <w:rtl/>
        </w:rPr>
        <w:t xml:space="preserve"> ارتباطاً وثيقاً بالحق في التجمع السلمي، وفي الحالات التي ينطبق عليها ذلك، يجب تبرير القيود المفروضة على هذا الحق وفقاً للشروط المنصوص عليها في المادتين </w:t>
      </w:r>
      <w:r w:rsidRPr="00851DA1">
        <w:rPr>
          <w:szCs w:val="20"/>
          <w:rtl/>
        </w:rPr>
        <w:t>21</w:t>
      </w:r>
      <w:r w:rsidRPr="00851DA1">
        <w:rPr>
          <w:rtl/>
        </w:rPr>
        <w:t xml:space="preserve"> </w:t>
      </w:r>
      <w:proofErr w:type="spellStart"/>
      <w:r w:rsidRPr="00851DA1">
        <w:rPr>
          <w:rtl/>
        </w:rPr>
        <w:t>و</w:t>
      </w:r>
      <w:r w:rsidRPr="00851DA1">
        <w:rPr>
          <w:szCs w:val="20"/>
          <w:rtl/>
        </w:rPr>
        <w:t>25</w:t>
      </w:r>
      <w:proofErr w:type="spellEnd"/>
      <w:r w:rsidR="00E13836" w:rsidRPr="00851DA1">
        <w:rPr>
          <w:vertAlign w:val="superscript"/>
          <w:rtl/>
        </w:rPr>
        <w:t>(</w:t>
      </w:r>
      <w:r w:rsidRPr="00851DA1">
        <w:rPr>
          <w:rFonts w:eastAsia="SimSun" w:cs="Times New Roman"/>
          <w:position w:val="4"/>
          <w:vertAlign w:val="superscript"/>
        </w:rPr>
        <w:footnoteReference w:id="150"/>
      </w:r>
      <w:r w:rsidR="00E13836" w:rsidRPr="00851DA1">
        <w:rPr>
          <w:vertAlign w:val="superscript"/>
          <w:rtl/>
        </w:rPr>
        <w:t>)</w:t>
      </w:r>
      <w:r w:rsidRPr="00851DA1">
        <w:rPr>
          <w:rtl/>
        </w:rPr>
        <w:t xml:space="preserve">. ويحمي الحق في عدم التمييز المشاركين من الممارسات التمييزية في سياق التجمعات </w:t>
      </w:r>
      <w:r w:rsidR="00E13836" w:rsidRPr="00851DA1">
        <w:rPr>
          <w:rtl/>
        </w:rPr>
        <w:t>(</w:t>
      </w:r>
      <w:r w:rsidRPr="00851DA1">
        <w:rPr>
          <w:rtl/>
        </w:rPr>
        <w:t xml:space="preserve">المواد </w:t>
      </w:r>
      <w:r w:rsidRPr="00851DA1">
        <w:rPr>
          <w:szCs w:val="20"/>
          <w:rtl/>
        </w:rPr>
        <w:t>2</w:t>
      </w:r>
      <w:r w:rsidR="00E13836" w:rsidRPr="00851DA1">
        <w:rPr>
          <w:rtl/>
        </w:rPr>
        <w:t>(</w:t>
      </w:r>
      <w:r w:rsidRPr="00851DA1">
        <w:rPr>
          <w:szCs w:val="20"/>
          <w:rtl/>
        </w:rPr>
        <w:t>1</w:t>
      </w:r>
      <w:r w:rsidR="00E13836" w:rsidRPr="00851DA1">
        <w:rPr>
          <w:rtl/>
        </w:rPr>
        <w:t>)</w:t>
      </w:r>
      <w:r w:rsidRPr="00851DA1">
        <w:rPr>
          <w:rtl/>
        </w:rPr>
        <w:t xml:space="preserve"> </w:t>
      </w:r>
      <w:proofErr w:type="spellStart"/>
      <w:r w:rsidRPr="00851DA1">
        <w:rPr>
          <w:rtl/>
        </w:rPr>
        <w:t>و</w:t>
      </w:r>
      <w:r w:rsidRPr="00851DA1">
        <w:rPr>
          <w:szCs w:val="20"/>
          <w:rtl/>
        </w:rPr>
        <w:t>24</w:t>
      </w:r>
      <w:proofErr w:type="spellEnd"/>
      <w:r w:rsidRPr="00851DA1">
        <w:rPr>
          <w:rtl/>
        </w:rPr>
        <w:t xml:space="preserve"> </w:t>
      </w:r>
      <w:proofErr w:type="spellStart"/>
      <w:r w:rsidRPr="00851DA1">
        <w:rPr>
          <w:rtl/>
        </w:rPr>
        <w:t>و</w:t>
      </w:r>
      <w:r w:rsidRPr="00851DA1">
        <w:rPr>
          <w:szCs w:val="20"/>
          <w:rtl/>
        </w:rPr>
        <w:t>26</w:t>
      </w:r>
      <w:proofErr w:type="spellEnd"/>
      <w:r w:rsidR="00E13836" w:rsidRPr="00851DA1">
        <w:rPr>
          <w:rtl/>
        </w:rPr>
        <w:t>)</w:t>
      </w:r>
      <w:r w:rsidRPr="00851DA1">
        <w:rPr>
          <w:rtl/>
        </w:rPr>
        <w:t>.</w:t>
      </w:r>
    </w:p>
    <w:p w14:paraId="0CBB1AD3" w14:textId="047F4C5A" w:rsidR="00F84062" w:rsidRPr="00851DA1" w:rsidRDefault="00F84062" w:rsidP="00B828C2">
      <w:pPr>
        <w:pStyle w:val="SingleTxtGA"/>
        <w:rPr>
          <w:rFonts w:eastAsia="SimSun" w:cs="Times New Roman"/>
          <w:szCs w:val="20"/>
          <w:lang w:eastAsia="zh-TW" w:bidi="en-GB"/>
        </w:rPr>
      </w:pPr>
      <w:r w:rsidRPr="00851DA1">
        <w:rPr>
          <w:szCs w:val="20"/>
          <w:rtl/>
        </w:rPr>
        <w:t>101</w:t>
      </w:r>
      <w:r w:rsidR="00B828C2" w:rsidRPr="00851DA1">
        <w:rPr>
          <w:szCs w:val="20"/>
          <w:rtl/>
        </w:rPr>
        <w:t>-</w:t>
      </w:r>
      <w:r w:rsidR="00B828C2" w:rsidRPr="00851DA1">
        <w:rPr>
          <w:szCs w:val="20"/>
          <w:rtl/>
        </w:rPr>
        <w:tab/>
      </w:r>
      <w:r w:rsidRPr="00851DA1">
        <w:rPr>
          <w:rtl/>
        </w:rPr>
        <w:t xml:space="preserve">أما الحق في المشاركة في التجمعات السلمية، فيجوز تقييده وفقاً للمادة </w:t>
      </w:r>
      <w:r w:rsidRPr="00851DA1">
        <w:rPr>
          <w:szCs w:val="20"/>
          <w:rtl/>
        </w:rPr>
        <w:t>21</w:t>
      </w:r>
      <w:r w:rsidRPr="00851DA1">
        <w:rPr>
          <w:rtl/>
        </w:rPr>
        <w:t xml:space="preserve"> من أجل حماية حقوق الآخرين وحرياتهم.</w:t>
      </w:r>
    </w:p>
    <w:p w14:paraId="0100BD2A" w14:textId="105D87C9" w:rsidR="00F84062" w:rsidRPr="00851DA1" w:rsidRDefault="00F84062" w:rsidP="00B828C2">
      <w:pPr>
        <w:pStyle w:val="SingleTxtGA"/>
        <w:rPr>
          <w:rFonts w:eastAsia="Calibri" w:cs="Times New Roman"/>
          <w:szCs w:val="20"/>
          <w:lang w:eastAsia="zh-TW" w:bidi="en-GB"/>
        </w:rPr>
      </w:pPr>
      <w:r w:rsidRPr="00851DA1">
        <w:rPr>
          <w:szCs w:val="20"/>
          <w:rtl/>
        </w:rPr>
        <w:t>102</w:t>
      </w:r>
      <w:r w:rsidR="00B828C2" w:rsidRPr="00851DA1">
        <w:rPr>
          <w:szCs w:val="20"/>
          <w:rtl/>
        </w:rPr>
        <w:t>-</w:t>
      </w:r>
      <w:r w:rsidR="00B828C2" w:rsidRPr="00851DA1">
        <w:rPr>
          <w:szCs w:val="20"/>
          <w:rtl/>
        </w:rPr>
        <w:tab/>
      </w:r>
      <w:r w:rsidRPr="00851DA1">
        <w:rPr>
          <w:rtl/>
        </w:rPr>
        <w:t>وللحق في التجمع السلمي قيمة جوهرية. وهو، علاوة على ذلك، كثيراً ما يمارس بهدف النهوض بإعمال حقوق الإنسان الأخرى وغيرها من قواعد ومبادئ القانون الدولي. وفي هذه الحالات، يستمد واجب احترام الحق في التجمع السلمي وضمانه أيضاً مبرراته القانونية من أهمية الطائفة الأوسع من الحقوق والقواعد والمبادئ الأخرى التي يعزز هذا الحق إعمالها.</w:t>
      </w:r>
    </w:p>
    <w:p w14:paraId="4732301F" w14:textId="6B6CE0CA" w:rsidR="00B828C2" w:rsidRPr="00B828C2" w:rsidRDefault="00B828C2" w:rsidP="00B828C2">
      <w:pPr>
        <w:spacing w:before="120"/>
        <w:jc w:val="center"/>
        <w:rPr>
          <w:rFonts w:eastAsia="Calibri"/>
          <w:u w:val="single"/>
          <w:lang w:eastAsia="zh-TW" w:bidi="en-GB"/>
        </w:rPr>
      </w:pPr>
      <w:r>
        <w:rPr>
          <w:rFonts w:eastAsia="Calibri"/>
          <w:u w:val="single"/>
          <w:rtl/>
          <w:lang w:eastAsia="zh-TW"/>
        </w:rPr>
        <w:tab/>
      </w:r>
      <w:r>
        <w:rPr>
          <w:rFonts w:eastAsia="Calibri"/>
          <w:u w:val="single"/>
          <w:rtl/>
          <w:lang w:eastAsia="zh-TW"/>
        </w:rPr>
        <w:tab/>
      </w:r>
      <w:r>
        <w:rPr>
          <w:rFonts w:eastAsia="Calibri"/>
          <w:u w:val="single"/>
          <w:rtl/>
          <w:lang w:eastAsia="zh-TW"/>
        </w:rPr>
        <w:tab/>
      </w:r>
    </w:p>
    <w:sectPr w:rsidR="00B828C2" w:rsidRPr="00B828C2" w:rsidSect="00945FF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77EED" w14:textId="77777777" w:rsidR="0020465C" w:rsidRPr="002901D9" w:rsidRDefault="0020465C" w:rsidP="002901D9">
      <w:pPr>
        <w:spacing w:after="60" w:line="240" w:lineRule="auto"/>
        <w:rPr>
          <w:i/>
          <w:iCs/>
        </w:rPr>
      </w:pPr>
      <w:r>
        <w:rPr>
          <w:rFonts w:hint="cs"/>
          <w:i/>
          <w:iCs/>
          <w:rtl/>
        </w:rPr>
        <w:t>الحواشي</w:t>
      </w:r>
    </w:p>
  </w:endnote>
  <w:endnote w:type="continuationSeparator" w:id="0">
    <w:p w14:paraId="2557AC8A" w14:textId="77777777" w:rsidR="0020465C" w:rsidRDefault="0020465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42B6" w14:textId="77777777" w:rsidR="0020465C" w:rsidRPr="003D7631" w:rsidRDefault="0020465C" w:rsidP="003D7631">
    <w:pPr>
      <w:pStyle w:val="Footer"/>
      <w:tabs>
        <w:tab w:val="right" w:pos="9598"/>
      </w:tabs>
      <w:rPr>
        <w:sz w:val="17"/>
      </w:rPr>
    </w:pPr>
    <w:r>
      <w:rPr>
        <w:sz w:val="17"/>
      </w:rPr>
      <w:t>GE.</w:t>
    </w:r>
    <w:r w:rsidRPr="00931AC2">
      <w:rPr>
        <w:sz w:val="17"/>
      </w:rPr>
      <w:t>20</w:t>
    </w:r>
    <w:r>
      <w:rPr>
        <w:sz w:val="17"/>
      </w:rPr>
      <w:t>-</w:t>
    </w:r>
    <w:r w:rsidRPr="00931AC2">
      <w:rPr>
        <w:sz w:val="17"/>
      </w:rPr>
      <w:t>12048</w:t>
    </w:r>
    <w:r>
      <w:rPr>
        <w:sz w:val="17"/>
      </w:rPr>
      <w:tab/>
    </w:r>
    <w:r w:rsidRPr="003D7631">
      <w:rPr>
        <w:b/>
        <w:sz w:val="18"/>
      </w:rPr>
      <w:fldChar w:fldCharType="begin"/>
    </w:r>
    <w:r w:rsidRPr="003D7631">
      <w:rPr>
        <w:b/>
        <w:sz w:val="18"/>
      </w:rPr>
      <w:instrText xml:space="preserve"> PAGE  \* MERGEFORMAT </w:instrText>
    </w:r>
    <w:r w:rsidRPr="003D7631">
      <w:rPr>
        <w:b/>
        <w:sz w:val="18"/>
      </w:rPr>
      <w:fldChar w:fldCharType="separate"/>
    </w:r>
    <w:r w:rsidRPr="00931AC2">
      <w:rPr>
        <w:b/>
        <w:sz w:val="18"/>
      </w:rPr>
      <w:t>2</w:t>
    </w:r>
    <w:r w:rsidRPr="003D763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F5D7" w14:textId="77777777" w:rsidR="0020465C" w:rsidRPr="003D7631" w:rsidRDefault="0020465C" w:rsidP="006959B0">
    <w:pPr>
      <w:pStyle w:val="Footer"/>
      <w:tabs>
        <w:tab w:val="right" w:pos="9599"/>
      </w:tabs>
      <w:jc w:val="left"/>
      <w:rPr>
        <w:b/>
        <w:sz w:val="18"/>
        <w:lang w:val="en-US"/>
      </w:rPr>
    </w:pPr>
    <w:r w:rsidRPr="003D7631">
      <w:rPr>
        <w:b/>
        <w:sz w:val="18"/>
        <w:lang w:val="en-US"/>
      </w:rPr>
      <w:fldChar w:fldCharType="begin"/>
    </w:r>
    <w:r w:rsidRPr="003D7631">
      <w:rPr>
        <w:b/>
        <w:sz w:val="18"/>
        <w:lang w:val="en-US"/>
      </w:rPr>
      <w:instrText xml:space="preserve"> PAGE  \* MERGEFORMAT </w:instrText>
    </w:r>
    <w:r w:rsidRPr="003D7631">
      <w:rPr>
        <w:b/>
        <w:sz w:val="18"/>
        <w:lang w:val="en-US"/>
      </w:rPr>
      <w:fldChar w:fldCharType="separate"/>
    </w:r>
    <w:r w:rsidRPr="00931AC2">
      <w:rPr>
        <w:b/>
        <w:noProof/>
        <w:sz w:val="18"/>
        <w:lang w:val="en-US"/>
      </w:rPr>
      <w:t>3</w:t>
    </w:r>
    <w:r w:rsidRPr="003D7631">
      <w:rPr>
        <w:b/>
        <w:sz w:val="18"/>
        <w:lang w:val="en-US"/>
      </w:rPr>
      <w:fldChar w:fldCharType="end"/>
    </w:r>
    <w:r>
      <w:rPr>
        <w:b/>
        <w:sz w:val="18"/>
        <w:lang w:val="en-US"/>
      </w:rPr>
      <w:tab/>
    </w:r>
    <w:r>
      <w:rPr>
        <w:sz w:val="17"/>
        <w:lang w:val="en-US"/>
      </w:rPr>
      <w:t>GE.</w:t>
    </w:r>
    <w:r w:rsidRPr="00931AC2">
      <w:rPr>
        <w:sz w:val="17"/>
        <w:lang w:val="en-US"/>
      </w:rPr>
      <w:t>20</w:t>
    </w:r>
    <w:r>
      <w:rPr>
        <w:sz w:val="17"/>
        <w:lang w:val="en-US"/>
      </w:rPr>
      <w:t>-</w:t>
    </w:r>
    <w:r w:rsidRPr="00931AC2">
      <w:rPr>
        <w:sz w:val="17"/>
        <w:lang w:val="en-US"/>
      </w:rPr>
      <w:t>12048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A3EA" w14:textId="166B1BE1" w:rsidR="0020465C" w:rsidRDefault="0020465C" w:rsidP="00982139">
    <w:pPr>
      <w:pStyle w:val="Footer"/>
      <w:spacing w:before="360"/>
      <w:jc w:val="right"/>
      <w:rPr>
        <w:sz w:val="20"/>
        <w:szCs w:val="20"/>
      </w:rPr>
    </w:pPr>
    <w:r>
      <w:rPr>
        <w:sz w:val="20"/>
        <w:szCs w:val="20"/>
      </w:rPr>
      <w:t>GE.</w:t>
    </w:r>
    <w:r w:rsidRPr="00931AC2">
      <w:rPr>
        <w:sz w:val="20"/>
        <w:szCs w:val="20"/>
      </w:rPr>
      <w:t>20</w:t>
    </w:r>
    <w:r>
      <w:rPr>
        <w:sz w:val="20"/>
        <w:szCs w:val="20"/>
      </w:rPr>
      <w:t>-</w:t>
    </w:r>
    <w:r w:rsidRPr="00931AC2">
      <w:rPr>
        <w:sz w:val="20"/>
        <w:szCs w:val="20"/>
      </w:rPr>
      <w:t>12048</w:t>
    </w:r>
    <w:r w:rsidR="00213ADC">
      <w:rPr>
        <w:noProof/>
      </w:rPr>
      <w:drawing>
        <wp:anchor distT="0" distB="0" distL="114300" distR="114300" simplePos="0" relativeHeight="251657728" behindDoc="1" locked="1" layoutInCell="0" allowOverlap="1" wp14:anchorId="242CCD31" wp14:editId="3099C6C4">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E13836">
      <w:rPr>
        <w:sz w:val="20"/>
        <w:szCs w:val="28"/>
      </w:rPr>
      <w:t>(</w:t>
    </w:r>
    <w:r w:rsidRPr="007A0286">
      <w:rPr>
        <w:sz w:val="20"/>
        <w:szCs w:val="20"/>
      </w:rPr>
      <w:t>A</w:t>
    </w:r>
    <w:r w:rsidRPr="00E13836">
      <w:rPr>
        <w:sz w:val="20"/>
        <w:szCs w:val="28"/>
      </w:rPr>
      <w:t>)</w:t>
    </w:r>
  </w:p>
  <w:p w14:paraId="21C0103E" w14:textId="538E97F6" w:rsidR="0020465C" w:rsidRPr="00945FFB" w:rsidRDefault="0020465C" w:rsidP="00945FFB">
    <w:pPr>
      <w:pStyle w:val="Footer"/>
      <w:jc w:val="right"/>
      <w:rPr>
        <w:rFonts w:ascii="C39T30Lfz" w:hAnsi="C39T30Lfz"/>
        <w:sz w:val="56"/>
        <w:szCs w:val="20"/>
      </w:rPr>
    </w:pPr>
    <w:r>
      <w:rPr>
        <w:rFonts w:ascii="C39T30Lfz" w:hAnsi="C39T30Lfz"/>
        <w:sz w:val="56"/>
        <w:szCs w:val="20"/>
      </w:rPr>
      <w:t>*2012048*</w:t>
    </w:r>
    <w:r w:rsidR="00213ADC">
      <w:rPr>
        <w:noProof/>
      </w:rPr>
      <w:drawing>
        <wp:anchor distT="0" distB="0" distL="114300" distR="114300" simplePos="0" relativeHeight="251659776" behindDoc="0" locked="0" layoutInCell="1" allowOverlap="1" wp14:anchorId="65C88C38" wp14:editId="0CE54B83">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125F" w14:textId="77777777" w:rsidR="0020465C" w:rsidRDefault="0020465C" w:rsidP="000437B8">
      <w:pPr>
        <w:pStyle w:val="Footer"/>
        <w:bidi/>
        <w:spacing w:after="80" w:line="200" w:lineRule="exact"/>
        <w:ind w:left="680"/>
      </w:pPr>
      <w:r>
        <w:rPr>
          <w:rtl/>
        </w:rPr>
        <w:t>__________</w:t>
      </w:r>
    </w:p>
  </w:footnote>
  <w:footnote w:type="continuationSeparator" w:id="0">
    <w:p w14:paraId="12F2608D" w14:textId="77777777" w:rsidR="0020465C" w:rsidRDefault="0020465C" w:rsidP="00656392">
      <w:pPr>
        <w:spacing w:line="240" w:lineRule="auto"/>
      </w:pPr>
      <w:r>
        <w:continuationSeparator/>
      </w:r>
    </w:p>
  </w:footnote>
  <w:footnote w:id="1">
    <w:p w14:paraId="4567A05F" w14:textId="75F45DB4" w:rsidR="0020465C" w:rsidRPr="00851DA1" w:rsidRDefault="0020465C" w:rsidP="00453ECF">
      <w:pPr>
        <w:pStyle w:val="FootnoteText1"/>
        <w:spacing w:line="280" w:lineRule="exact"/>
        <w:rPr>
          <w:rtl/>
        </w:rPr>
      </w:pPr>
      <w:r w:rsidRPr="00851DA1">
        <w:rPr>
          <w:rtl/>
        </w:rPr>
        <w:t>*</w:t>
      </w:r>
      <w:r w:rsidRPr="00851DA1">
        <w:rPr>
          <w:rtl/>
        </w:rPr>
        <w:tab/>
        <w:t xml:space="preserve">اعتمدته اللجنة في دورتها </w:t>
      </w:r>
      <w:r w:rsidRPr="00851DA1">
        <w:rPr>
          <w:szCs w:val="18"/>
          <w:rtl/>
        </w:rPr>
        <w:t>129</w:t>
      </w:r>
      <w:r w:rsidRPr="00851DA1">
        <w:rPr>
          <w:rtl/>
        </w:rPr>
        <w:t xml:space="preserve"> (</w:t>
      </w:r>
      <w:r w:rsidRPr="00851DA1">
        <w:rPr>
          <w:szCs w:val="18"/>
          <w:rtl/>
        </w:rPr>
        <w:t>29</w:t>
      </w:r>
      <w:r w:rsidRPr="00851DA1">
        <w:rPr>
          <w:rtl/>
        </w:rPr>
        <w:t xml:space="preserve"> حزيران/</w:t>
      </w:r>
      <w:proofErr w:type="gramStart"/>
      <w:r w:rsidRPr="00851DA1">
        <w:rPr>
          <w:rtl/>
        </w:rPr>
        <w:t>يونيه</w:t>
      </w:r>
      <w:proofErr w:type="gramEnd"/>
      <w:r w:rsidRPr="00851DA1">
        <w:rPr>
          <w:rtl/>
        </w:rPr>
        <w:t xml:space="preserve"> -</w:t>
      </w:r>
      <w:r w:rsidRPr="00851DA1">
        <w:rPr>
          <w:rFonts w:hint="cs"/>
          <w:rtl/>
        </w:rPr>
        <w:t xml:space="preserve"> </w:t>
      </w:r>
      <w:r w:rsidRPr="00851DA1">
        <w:rPr>
          <w:szCs w:val="18"/>
          <w:rtl/>
        </w:rPr>
        <w:t>24</w:t>
      </w:r>
      <w:r w:rsidRPr="00851DA1">
        <w:rPr>
          <w:rtl/>
        </w:rPr>
        <w:t xml:space="preserve"> تموز/يوليه </w:t>
      </w:r>
      <w:r w:rsidRPr="00851DA1">
        <w:rPr>
          <w:szCs w:val="18"/>
          <w:rtl/>
        </w:rPr>
        <w:t>2020</w:t>
      </w:r>
      <w:r w:rsidRPr="00851DA1">
        <w:rPr>
          <w:rtl/>
        </w:rPr>
        <w:t>).</w:t>
      </w:r>
    </w:p>
  </w:footnote>
  <w:footnote w:id="2">
    <w:p w14:paraId="0AFC2442" w14:textId="02E1ABCE"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مثلاً الإعلان العالمي لحقوق الإنسان (المادة </w:t>
      </w:r>
      <w:r w:rsidRPr="00851DA1">
        <w:rPr>
          <w:szCs w:val="18"/>
          <w:rtl/>
        </w:rPr>
        <w:t>20</w:t>
      </w:r>
      <w:r w:rsidRPr="00851DA1">
        <w:rPr>
          <w:rtl/>
        </w:rPr>
        <w:t>(</w:t>
      </w:r>
      <w:r w:rsidRPr="00851DA1">
        <w:rPr>
          <w:szCs w:val="18"/>
          <w:rtl/>
        </w:rPr>
        <w:t>1</w:t>
      </w:r>
      <w:r w:rsidRPr="00851DA1">
        <w:rPr>
          <w:rtl/>
        </w:rPr>
        <w:t xml:space="preserve">))، واتفاقية حماية حقوق الإنسان والحريات الأساسية (الاتفاقية الأوروبية لحقوق الإنسان) (المادة </w:t>
      </w:r>
      <w:r w:rsidRPr="00851DA1">
        <w:rPr>
          <w:szCs w:val="18"/>
          <w:rtl/>
        </w:rPr>
        <w:t>11</w:t>
      </w:r>
      <w:r w:rsidRPr="00851DA1">
        <w:rPr>
          <w:rtl/>
        </w:rPr>
        <w:t xml:space="preserve">)؛ والاتفاقية الأمريكية لحقوق الإنسان (المادة </w:t>
      </w:r>
      <w:r w:rsidRPr="00851DA1">
        <w:rPr>
          <w:szCs w:val="18"/>
          <w:rtl/>
        </w:rPr>
        <w:t>15</w:t>
      </w:r>
      <w:r w:rsidRPr="00851DA1">
        <w:rPr>
          <w:rtl/>
        </w:rPr>
        <w:t xml:space="preserve">)؛ والميثاق الأفريقي لحقوق الإنسان والشعوب (المادة </w:t>
      </w:r>
      <w:r w:rsidRPr="00851DA1">
        <w:rPr>
          <w:szCs w:val="18"/>
          <w:rtl/>
        </w:rPr>
        <w:t>11</w:t>
      </w:r>
      <w:r w:rsidRPr="00851DA1">
        <w:rPr>
          <w:rtl/>
        </w:rPr>
        <w:t xml:space="preserve">). وينص الميثاق العربي لحقوق الإنسان على حماية حق المواطنين (المادة </w:t>
      </w:r>
      <w:r w:rsidRPr="00851DA1">
        <w:rPr>
          <w:szCs w:val="18"/>
          <w:rtl/>
        </w:rPr>
        <w:t>24</w:t>
      </w:r>
      <w:r w:rsidRPr="00851DA1">
        <w:rPr>
          <w:rtl/>
        </w:rPr>
        <w:t xml:space="preserve">). ويمكن العثور أيضاً على التزامات محدّدة تتعلق بالمشاركة في التجمعات السلمية في اتفاقية حقوق الطفل (المادة </w:t>
      </w:r>
      <w:r w:rsidRPr="00851DA1">
        <w:rPr>
          <w:szCs w:val="18"/>
          <w:rtl/>
        </w:rPr>
        <w:t>15</w:t>
      </w:r>
      <w:r w:rsidRPr="00851DA1">
        <w:rPr>
          <w:rtl/>
        </w:rPr>
        <w:t xml:space="preserve">)؛ والاتفاقية الدولية للقضاء على جميع أشكال التمييز العنصري، (المادة </w:t>
      </w:r>
      <w:r w:rsidRPr="00851DA1">
        <w:rPr>
          <w:szCs w:val="18"/>
          <w:rtl/>
        </w:rPr>
        <w:t>5</w:t>
      </w:r>
      <w:r w:rsidRPr="00851DA1">
        <w:rPr>
          <w:rtl/>
        </w:rPr>
        <w:t>(ه)</w:t>
      </w:r>
      <w:r w:rsidRPr="00851DA1">
        <w:rPr>
          <w:rFonts w:hint="cs"/>
          <w:rtl/>
        </w:rPr>
        <w:t>’</w:t>
      </w:r>
      <w:r w:rsidRPr="00851DA1">
        <w:rPr>
          <w:szCs w:val="18"/>
          <w:rtl/>
        </w:rPr>
        <w:t>9</w:t>
      </w:r>
      <w:r w:rsidRPr="00851DA1">
        <w:rPr>
          <w:rtl/>
        </w:rPr>
        <w:t xml:space="preserve">‘)؛ والميثاق الأفريقي لحقوق الطفل ورفاهه (المادة </w:t>
      </w:r>
      <w:r w:rsidRPr="00851DA1">
        <w:rPr>
          <w:szCs w:val="18"/>
          <w:rtl/>
        </w:rPr>
        <w:t>8</w:t>
      </w:r>
      <w:r w:rsidRPr="00851DA1">
        <w:rPr>
          <w:rtl/>
        </w:rPr>
        <w:t>).</w:t>
      </w:r>
    </w:p>
  </w:footnote>
  <w:footnote w:id="3">
    <w:p w14:paraId="66468C34" w14:textId="7232CFE7"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للاطلاع على أمثلة عن الآليات الإقليمية، انظر منظمة الأمن والتعاون في أوروبا، ومكتب المؤسسات الديمقراطية وحقوق الإنسان، واللجنة الأوروبية للديمقراطية من خلال القانون (لجنة فينيسيا)، </w:t>
      </w:r>
      <w:r w:rsidRPr="00851DA1">
        <w:rPr>
          <w:i/>
          <w:iCs/>
          <w:rtl/>
        </w:rPr>
        <w:t>مبادئ توجيهية بشأن حرية التجمع السلمي</w:t>
      </w:r>
      <w:r w:rsidRPr="00851DA1">
        <w:rPr>
          <w:rtl/>
        </w:rPr>
        <w:t xml:space="preserve">، النسخة الثالثة (وارسو/ستراسبورغ، </w:t>
      </w:r>
      <w:r w:rsidRPr="00851DA1">
        <w:rPr>
          <w:szCs w:val="18"/>
          <w:rtl/>
        </w:rPr>
        <w:t>2019</w:t>
      </w:r>
      <w:r w:rsidRPr="00851DA1">
        <w:rPr>
          <w:rtl/>
        </w:rPr>
        <w:t xml:space="preserve">)؛ واللجنة الأفريقية لحقوق الإنسان والشعوب، </w:t>
      </w:r>
      <w:r w:rsidRPr="00851DA1">
        <w:rPr>
          <w:i/>
          <w:iCs/>
          <w:rtl/>
        </w:rPr>
        <w:t>مبادئ توجيهية بشأن حرية تكوين الجمعيات والتجمع في أفريقيا</w:t>
      </w:r>
      <w:r w:rsidRPr="00851DA1">
        <w:rPr>
          <w:rtl/>
        </w:rPr>
        <w:t xml:space="preserve"> (بانجول، </w:t>
      </w:r>
      <w:r w:rsidRPr="00851DA1">
        <w:rPr>
          <w:szCs w:val="18"/>
          <w:rtl/>
        </w:rPr>
        <w:t>2017</w:t>
      </w:r>
      <w:r w:rsidRPr="00851DA1">
        <w:rPr>
          <w:rtl/>
        </w:rPr>
        <w:t xml:space="preserve">) </w:t>
      </w:r>
      <w:r w:rsidRPr="00851DA1">
        <w:rPr>
          <w:i/>
          <w:iCs/>
          <w:rtl/>
        </w:rPr>
        <w:t>ومبادئ توجيهية بشأن حفظ الأمن من قبل موظفي إنفاذ القانون أثناء التجمعات في أفريقيا</w:t>
      </w:r>
      <w:r w:rsidRPr="00851DA1">
        <w:rPr>
          <w:rtl/>
        </w:rPr>
        <w:t xml:space="preserve"> (بانجول، </w:t>
      </w:r>
      <w:r w:rsidRPr="00851DA1">
        <w:rPr>
          <w:szCs w:val="18"/>
          <w:rtl/>
        </w:rPr>
        <w:t>2017</w:t>
      </w:r>
      <w:r w:rsidRPr="00851DA1">
        <w:rPr>
          <w:rtl/>
        </w:rPr>
        <w:t xml:space="preserve">)؛ ولجنة البلدان الأمريكية لحقوق الإنسان، مكتب المقرر الخاص المعني بحرية التعبير، الاحتجاج وحقوق الإنسان: </w:t>
      </w:r>
      <w:r w:rsidRPr="00851DA1">
        <w:rPr>
          <w:i/>
          <w:iCs/>
          <w:rtl/>
        </w:rPr>
        <w:t>معايير بشأن الحقوق التي ينطوي عليها الاحتجاج الاجتماعي والتزامات توجيه استجابة الدولة</w:t>
      </w:r>
      <w:r w:rsidRPr="00851DA1">
        <w:rPr>
          <w:rtl/>
        </w:rPr>
        <w:t xml:space="preserve"> (</w:t>
      </w:r>
      <w:r w:rsidRPr="00851DA1">
        <w:rPr>
          <w:szCs w:val="18"/>
          <w:rtl/>
        </w:rPr>
        <w:t>2019</w:t>
      </w:r>
      <w:r w:rsidRPr="00851DA1">
        <w:rPr>
          <w:rtl/>
        </w:rPr>
        <w:t>).</w:t>
      </w:r>
    </w:p>
  </w:footnote>
  <w:footnote w:id="4">
    <w:p w14:paraId="3B6B8F74" w14:textId="29671126" w:rsidR="0020465C" w:rsidRPr="00851DA1" w:rsidRDefault="0020465C" w:rsidP="00453ECF">
      <w:pPr>
        <w:pStyle w:val="FootnoteText1"/>
        <w:spacing w:line="280" w:lineRule="exact"/>
        <w:rPr>
          <w:lang w:eastAsia="zh-TW" w:bidi="en-GB"/>
        </w:rPr>
      </w:pPr>
      <w:r w:rsidRPr="00851DA1">
        <w:rPr>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يعترف ما مجموعه </w:t>
      </w:r>
      <w:r w:rsidRPr="00851DA1">
        <w:rPr>
          <w:szCs w:val="18"/>
          <w:rtl/>
        </w:rPr>
        <w:t>184</w:t>
      </w:r>
      <w:r w:rsidRPr="00851DA1">
        <w:rPr>
          <w:rtl/>
        </w:rPr>
        <w:t xml:space="preserve"> دولة من أصل </w:t>
      </w:r>
      <w:r w:rsidRPr="00851DA1">
        <w:rPr>
          <w:szCs w:val="18"/>
          <w:rtl/>
        </w:rPr>
        <w:t>193</w:t>
      </w:r>
      <w:r w:rsidRPr="00851DA1">
        <w:rPr>
          <w:rtl/>
        </w:rPr>
        <w:t xml:space="preserve"> دولة عضواً في الأمم المتحدة بالحق في التجمع السلمي في دساتيرها. انظر</w:t>
      </w:r>
      <w:r w:rsidRPr="00851DA1">
        <w:rPr>
          <w:rFonts w:cs="Times New Roman"/>
          <w:rtl/>
        </w:rPr>
        <w:t xml:space="preserve"> </w:t>
      </w:r>
      <w:proofErr w:type="spellStart"/>
      <w:r w:rsidRPr="00851DA1">
        <w:rPr>
          <w:rFonts w:cs="Times New Roman"/>
        </w:rPr>
        <w:t>www.rightofassembly.info</w:t>
      </w:r>
      <w:proofErr w:type="spellEnd"/>
      <w:r w:rsidRPr="00851DA1">
        <w:rPr>
          <w:rFonts w:cs="Times New Roman"/>
          <w:rtl/>
        </w:rPr>
        <w:t>.</w:t>
      </w:r>
    </w:p>
  </w:footnote>
  <w:footnote w:id="5">
    <w:p w14:paraId="6A5223AD" w14:textId="631722C7" w:rsidR="0020465C" w:rsidRPr="00851DA1" w:rsidRDefault="0020465C" w:rsidP="00453ECF">
      <w:pPr>
        <w:pStyle w:val="FootnoteText1"/>
        <w:spacing w:line="280" w:lineRule="exact"/>
        <w:rPr>
          <w:spacing w:val="-6"/>
          <w:lang w:eastAsia="zh-TW" w:bidi="en-GB"/>
        </w:rPr>
      </w:pPr>
      <w:r w:rsidRPr="00851DA1">
        <w:rPr>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spacing w:val="6"/>
          <w:rtl/>
        </w:rPr>
        <w:t>كيفينما</w:t>
      </w:r>
      <w:proofErr w:type="spellEnd"/>
      <w:r w:rsidRPr="00851DA1">
        <w:rPr>
          <w:i/>
          <w:iCs/>
          <w:spacing w:val="6"/>
          <w:rtl/>
        </w:rPr>
        <w:t xml:space="preserve"> ضد فنلندا</w:t>
      </w:r>
      <w:r w:rsidRPr="00851DA1">
        <w:rPr>
          <w:spacing w:val="6"/>
          <w:rtl/>
        </w:rPr>
        <w:t xml:space="preserve"> (</w:t>
      </w:r>
      <w:r w:rsidRPr="00851DA1">
        <w:rPr>
          <w:spacing w:val="6"/>
        </w:rPr>
        <w:t>CCPR/C/</w:t>
      </w:r>
      <w:r w:rsidRPr="00851DA1">
        <w:rPr>
          <w:spacing w:val="6"/>
          <w:szCs w:val="18"/>
        </w:rPr>
        <w:t>50</w:t>
      </w:r>
      <w:r w:rsidRPr="00851DA1">
        <w:rPr>
          <w:spacing w:val="6"/>
        </w:rPr>
        <w:t>/D/</w:t>
      </w:r>
      <w:r w:rsidRPr="00851DA1">
        <w:rPr>
          <w:spacing w:val="6"/>
          <w:szCs w:val="18"/>
        </w:rPr>
        <w:t>412</w:t>
      </w:r>
      <w:r w:rsidRPr="00851DA1">
        <w:rPr>
          <w:spacing w:val="6"/>
        </w:rPr>
        <w:t>/</w:t>
      </w:r>
      <w:r w:rsidRPr="00851DA1">
        <w:rPr>
          <w:spacing w:val="6"/>
          <w:szCs w:val="18"/>
        </w:rPr>
        <w:t>1990</w:t>
      </w:r>
      <w:r w:rsidRPr="00851DA1">
        <w:rPr>
          <w:spacing w:val="6"/>
          <w:rtl/>
        </w:rPr>
        <w:t xml:space="preserve">)، </w:t>
      </w:r>
      <w:proofErr w:type="spellStart"/>
      <w:r w:rsidRPr="00851DA1">
        <w:rPr>
          <w:spacing w:val="6"/>
          <w:rtl/>
        </w:rPr>
        <w:t>الفقرة</w:t>
      </w:r>
      <w:r w:rsidRPr="00851DA1">
        <w:rPr>
          <w:spacing w:val="6"/>
          <w:szCs w:val="18"/>
          <w:rtl/>
        </w:rPr>
        <w:t>7</w:t>
      </w:r>
      <w:proofErr w:type="spellEnd"/>
      <w:r w:rsidRPr="00851DA1">
        <w:rPr>
          <w:spacing w:val="6"/>
          <w:rtl/>
        </w:rPr>
        <w:t>-</w:t>
      </w:r>
      <w:r w:rsidRPr="00851DA1">
        <w:rPr>
          <w:spacing w:val="6"/>
          <w:szCs w:val="18"/>
          <w:rtl/>
        </w:rPr>
        <w:t>6</w:t>
      </w:r>
      <w:r w:rsidRPr="00851DA1">
        <w:rPr>
          <w:spacing w:val="6"/>
          <w:rtl/>
        </w:rPr>
        <w:t xml:space="preserve">؛ </w:t>
      </w:r>
      <w:proofErr w:type="spellStart"/>
      <w:r w:rsidRPr="00851DA1">
        <w:rPr>
          <w:i/>
          <w:iCs/>
          <w:spacing w:val="6"/>
          <w:rtl/>
        </w:rPr>
        <w:t>وسكيركو</w:t>
      </w:r>
      <w:proofErr w:type="spellEnd"/>
      <w:r w:rsidRPr="00851DA1">
        <w:rPr>
          <w:i/>
          <w:iCs/>
          <w:spacing w:val="6"/>
          <w:rtl/>
        </w:rPr>
        <w:t xml:space="preserve"> ضد بيلاروس</w:t>
      </w:r>
      <w:r w:rsidRPr="00851DA1">
        <w:rPr>
          <w:i/>
          <w:iCs/>
          <w:spacing w:val="-6"/>
          <w:rtl/>
        </w:rPr>
        <w:t xml:space="preserve"> </w:t>
      </w:r>
      <w:r w:rsidRPr="00851DA1">
        <w:rPr>
          <w:spacing w:val="-6"/>
          <w:rtl/>
        </w:rPr>
        <w:t>(</w:t>
      </w:r>
      <w:r w:rsidRPr="00851DA1">
        <w:rPr>
          <w:spacing w:val="-6"/>
        </w:rPr>
        <w:t>CCPR/C/</w:t>
      </w:r>
      <w:r w:rsidRPr="00851DA1">
        <w:rPr>
          <w:spacing w:val="-6"/>
          <w:szCs w:val="18"/>
        </w:rPr>
        <w:t>109</w:t>
      </w:r>
      <w:r w:rsidRPr="00851DA1">
        <w:rPr>
          <w:spacing w:val="-6"/>
        </w:rPr>
        <w:t>/D/</w:t>
      </w:r>
      <w:r w:rsidRPr="00851DA1">
        <w:rPr>
          <w:spacing w:val="-6"/>
          <w:szCs w:val="18"/>
        </w:rPr>
        <w:t>1851</w:t>
      </w:r>
      <w:r w:rsidRPr="00851DA1">
        <w:rPr>
          <w:spacing w:val="-6"/>
        </w:rPr>
        <w:t>/</w:t>
      </w:r>
      <w:r w:rsidRPr="00851DA1">
        <w:rPr>
          <w:spacing w:val="-6"/>
          <w:szCs w:val="18"/>
        </w:rPr>
        <w:t>2008</w:t>
      </w:r>
      <w:r w:rsidRPr="00851DA1">
        <w:rPr>
          <w:spacing w:val="-6"/>
          <w:rtl/>
        </w:rPr>
        <w:t xml:space="preserve">)، الفقرة </w:t>
      </w:r>
      <w:r w:rsidRPr="00851DA1">
        <w:rPr>
          <w:spacing w:val="-6"/>
          <w:szCs w:val="18"/>
          <w:rtl/>
        </w:rPr>
        <w:t>9</w:t>
      </w:r>
      <w:r w:rsidRPr="00851DA1">
        <w:rPr>
          <w:spacing w:val="-6"/>
          <w:rtl/>
        </w:rPr>
        <w:t>-</w:t>
      </w:r>
      <w:r w:rsidRPr="00851DA1">
        <w:rPr>
          <w:spacing w:val="-6"/>
          <w:szCs w:val="18"/>
          <w:rtl/>
        </w:rPr>
        <w:t>3</w:t>
      </w:r>
      <w:r w:rsidRPr="00851DA1">
        <w:rPr>
          <w:spacing w:val="-6"/>
          <w:rtl/>
        </w:rPr>
        <w:t>؛</w:t>
      </w:r>
      <w:r w:rsidRPr="00851DA1">
        <w:rPr>
          <w:i/>
          <w:iCs/>
          <w:spacing w:val="-6"/>
          <w:rtl/>
        </w:rPr>
        <w:t xml:space="preserve"> </w:t>
      </w:r>
      <w:proofErr w:type="spellStart"/>
      <w:r w:rsidRPr="00851DA1">
        <w:rPr>
          <w:i/>
          <w:iCs/>
          <w:spacing w:val="-6"/>
          <w:rtl/>
        </w:rPr>
        <w:t>وبوبلافني</w:t>
      </w:r>
      <w:proofErr w:type="spellEnd"/>
      <w:r w:rsidRPr="00851DA1">
        <w:rPr>
          <w:i/>
          <w:iCs/>
          <w:spacing w:val="-6"/>
          <w:rtl/>
        </w:rPr>
        <w:t xml:space="preserve"> </w:t>
      </w:r>
      <w:proofErr w:type="spellStart"/>
      <w:r w:rsidRPr="00851DA1">
        <w:rPr>
          <w:i/>
          <w:iCs/>
          <w:spacing w:val="-6"/>
          <w:rtl/>
        </w:rPr>
        <w:t>وسودالينكو</w:t>
      </w:r>
      <w:proofErr w:type="spellEnd"/>
      <w:r w:rsidRPr="00851DA1">
        <w:rPr>
          <w:i/>
          <w:iCs/>
          <w:spacing w:val="-6"/>
          <w:rtl/>
        </w:rPr>
        <w:t xml:space="preserve"> ضد بيلاروس</w:t>
      </w:r>
      <w:r w:rsidRPr="00851DA1">
        <w:rPr>
          <w:spacing w:val="-6"/>
          <w:rtl/>
        </w:rPr>
        <w:t xml:space="preserve"> (</w:t>
      </w:r>
      <w:r w:rsidRPr="00851DA1">
        <w:rPr>
          <w:spacing w:val="-6"/>
        </w:rPr>
        <w:t>CCPR/C/</w:t>
      </w:r>
      <w:r w:rsidRPr="00851DA1">
        <w:rPr>
          <w:spacing w:val="-6"/>
          <w:szCs w:val="18"/>
        </w:rPr>
        <w:t>118</w:t>
      </w:r>
      <w:r w:rsidRPr="00851DA1">
        <w:rPr>
          <w:spacing w:val="-6"/>
        </w:rPr>
        <w:t>/D/</w:t>
      </w:r>
      <w:r w:rsidRPr="00851DA1">
        <w:rPr>
          <w:spacing w:val="-6"/>
          <w:szCs w:val="18"/>
        </w:rPr>
        <w:t>2139</w:t>
      </w:r>
      <w:r w:rsidRPr="00851DA1">
        <w:rPr>
          <w:spacing w:val="-6"/>
        </w:rPr>
        <w:t>/</w:t>
      </w:r>
      <w:r w:rsidRPr="00851DA1">
        <w:rPr>
          <w:spacing w:val="-6"/>
          <w:szCs w:val="18"/>
        </w:rPr>
        <w:t>2012</w:t>
      </w:r>
      <w:r w:rsidRPr="00851DA1">
        <w:rPr>
          <w:spacing w:val="-6"/>
          <w:rtl/>
        </w:rPr>
        <w:t>)، الفقرة</w:t>
      </w:r>
      <w:r w:rsidR="006A4B73" w:rsidRPr="00851DA1">
        <w:rPr>
          <w:rFonts w:hint="cs"/>
          <w:spacing w:val="-6"/>
          <w:rtl/>
        </w:rPr>
        <w:t xml:space="preserve"> </w:t>
      </w:r>
      <w:r w:rsidR="006A4B73" w:rsidRPr="00851DA1">
        <w:rPr>
          <w:rFonts w:hint="cs"/>
          <w:spacing w:val="-6"/>
          <w:szCs w:val="18"/>
          <w:rtl/>
        </w:rPr>
        <w:t>8-5</w:t>
      </w:r>
      <w:r w:rsidRPr="00851DA1">
        <w:rPr>
          <w:spacing w:val="-6"/>
          <w:rtl/>
        </w:rPr>
        <w:t>.</w:t>
      </w:r>
    </w:p>
  </w:footnote>
  <w:footnote w:id="6">
    <w:p w14:paraId="1E8D08B3" w14:textId="2D91E345" w:rsidR="0020465C" w:rsidRPr="00851DA1" w:rsidRDefault="0020465C" w:rsidP="00453ECF">
      <w:pPr>
        <w:pStyle w:val="FootnoteText1"/>
        <w:spacing w:line="280" w:lineRule="exact"/>
        <w:rPr>
          <w:spacing w:val="-4"/>
          <w:lang w:eastAsia="zh-TW" w:bidi="en-GB"/>
        </w:rPr>
      </w:pPr>
      <w:r w:rsidRPr="00851DA1">
        <w:rPr>
          <w:spacing w:val="-4"/>
          <w:rtl/>
        </w:rPr>
        <w:t>(</w:t>
      </w:r>
      <w:r w:rsidRPr="00851DA1">
        <w:rPr>
          <w:rStyle w:val="FootnoteReference"/>
          <w:rFonts w:cs="Times New Roman"/>
          <w:b w:val="0"/>
          <w:spacing w:val="-4"/>
          <w:szCs w:val="26"/>
          <w:vertAlign w:val="baseline"/>
        </w:rPr>
        <w:footnoteRef/>
      </w:r>
      <w:r w:rsidRPr="00851DA1">
        <w:rPr>
          <w:rStyle w:val="FootnoteReference"/>
          <w:spacing w:val="-4"/>
          <w:szCs w:val="26"/>
          <w:vertAlign w:val="baseline"/>
          <w:rtl/>
        </w:rPr>
        <w:t>)</w:t>
      </w:r>
      <w:r w:rsidRPr="00851DA1">
        <w:rPr>
          <w:spacing w:val="-4"/>
          <w:rtl/>
        </w:rPr>
        <w:tab/>
        <w:t xml:space="preserve">التعليق </w:t>
      </w:r>
      <w:r w:rsidRPr="00851DA1">
        <w:rPr>
          <w:spacing w:val="-6"/>
          <w:szCs w:val="18"/>
          <w:rtl/>
        </w:rPr>
        <w:t>العام</w:t>
      </w:r>
      <w:r w:rsidRPr="00851DA1">
        <w:rPr>
          <w:spacing w:val="-4"/>
          <w:rtl/>
        </w:rPr>
        <w:t xml:space="preserve"> رقم </w:t>
      </w:r>
      <w:r w:rsidRPr="00851DA1">
        <w:rPr>
          <w:spacing w:val="-4"/>
          <w:szCs w:val="18"/>
          <w:rtl/>
        </w:rPr>
        <w:t>31</w:t>
      </w:r>
      <w:r w:rsidRPr="00851DA1">
        <w:rPr>
          <w:spacing w:val="-4"/>
          <w:rtl/>
        </w:rPr>
        <w:t>(</w:t>
      </w:r>
      <w:r w:rsidRPr="00851DA1">
        <w:rPr>
          <w:spacing w:val="-4"/>
          <w:sz w:val="26"/>
        </w:rPr>
        <w:t>(</w:t>
      </w:r>
      <w:r w:rsidRPr="00851DA1">
        <w:rPr>
          <w:spacing w:val="-4"/>
          <w:szCs w:val="18"/>
        </w:rPr>
        <w:t>2004</w:t>
      </w:r>
      <w:r w:rsidR="00851DA1">
        <w:rPr>
          <w:rFonts w:hint="cs"/>
          <w:spacing w:val="-4"/>
          <w:rtl/>
        </w:rPr>
        <w:t xml:space="preserve"> </w:t>
      </w:r>
      <w:r w:rsidRPr="00851DA1">
        <w:rPr>
          <w:spacing w:val="-4"/>
          <w:rtl/>
        </w:rPr>
        <w:t xml:space="preserve">بشأن طبيعة الالتزام القانوني العام المفروض على الدول الأطراف في العهد، الفقرة </w:t>
      </w:r>
      <w:r w:rsidRPr="00851DA1">
        <w:rPr>
          <w:spacing w:val="-4"/>
          <w:szCs w:val="18"/>
          <w:rtl/>
        </w:rPr>
        <w:t>9</w:t>
      </w:r>
      <w:r w:rsidRPr="00851DA1">
        <w:rPr>
          <w:spacing w:val="-4"/>
          <w:rtl/>
        </w:rPr>
        <w:t xml:space="preserve">. </w:t>
      </w:r>
    </w:p>
  </w:footnote>
  <w:footnote w:id="7">
    <w:p w14:paraId="70929795" w14:textId="77777777" w:rsidR="00CC4DBD" w:rsidRPr="00851DA1" w:rsidRDefault="00CC4DBD" w:rsidP="00CC4DBD">
      <w:pPr>
        <w:pStyle w:val="FootnoteText1"/>
        <w:spacing w:line="280" w:lineRule="exact"/>
        <w:rPr>
          <w:spacing w:val="-6"/>
          <w:lang w:eastAsia="zh-TW" w:bidi="en-GB"/>
        </w:rPr>
      </w:pPr>
      <w:r w:rsidRPr="00851DA1">
        <w:rPr>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spacing w:val="-6"/>
          <w:rtl/>
        </w:rPr>
        <w:t>التعليق العام رقم</w:t>
      </w:r>
      <w:r w:rsidRPr="00851DA1">
        <w:rPr>
          <w:spacing w:val="-6"/>
        </w:rPr>
        <w:t xml:space="preserve"> </w:t>
      </w:r>
      <w:r w:rsidRPr="00851DA1">
        <w:rPr>
          <w:spacing w:val="-6"/>
          <w:szCs w:val="18"/>
          <w:rtl/>
          <w:lang w:val="fr-CH"/>
        </w:rPr>
        <w:t>15</w:t>
      </w:r>
      <w:r w:rsidRPr="00851DA1">
        <w:rPr>
          <w:spacing w:val="-6"/>
          <w:rtl/>
          <w:lang w:val="fr-CH"/>
        </w:rPr>
        <w:t>(</w:t>
      </w:r>
      <w:r w:rsidRPr="00851DA1">
        <w:rPr>
          <w:spacing w:val="-6"/>
          <w:szCs w:val="18"/>
          <w:rtl/>
          <w:lang w:val="fr-CH"/>
        </w:rPr>
        <w:t>1986</w:t>
      </w:r>
      <w:r w:rsidRPr="00851DA1">
        <w:rPr>
          <w:spacing w:val="-6"/>
          <w:rtl/>
          <w:lang w:val="fr-CH"/>
        </w:rPr>
        <w:t xml:space="preserve">) </w:t>
      </w:r>
      <w:r w:rsidRPr="00851DA1">
        <w:rPr>
          <w:spacing w:val="-6"/>
          <w:rtl/>
        </w:rPr>
        <w:t xml:space="preserve">بشأن وضع الأجانب بموجب العهد، الفقرة </w:t>
      </w:r>
      <w:r w:rsidRPr="00851DA1">
        <w:rPr>
          <w:spacing w:val="-6"/>
          <w:szCs w:val="18"/>
          <w:rtl/>
        </w:rPr>
        <w:t>1</w:t>
      </w:r>
      <w:r w:rsidRPr="00851DA1">
        <w:rPr>
          <w:spacing w:val="-6"/>
          <w:rtl/>
        </w:rPr>
        <w:t>-</w:t>
      </w:r>
      <w:r w:rsidRPr="00851DA1">
        <w:rPr>
          <w:spacing w:val="-6"/>
          <w:szCs w:val="18"/>
          <w:rtl/>
        </w:rPr>
        <w:t>2</w:t>
      </w:r>
      <w:r w:rsidRPr="00851DA1">
        <w:rPr>
          <w:spacing w:val="-6"/>
          <w:rtl/>
        </w:rPr>
        <w:t xml:space="preserve">ـ؛ والوثيقة </w:t>
      </w:r>
      <w:r w:rsidRPr="00851DA1">
        <w:rPr>
          <w:spacing w:val="-6"/>
          <w:lang w:val="pt-BR"/>
        </w:rPr>
        <w:t>CCPR/C/KWT/CO/</w:t>
      </w:r>
      <w:r w:rsidRPr="00851DA1">
        <w:rPr>
          <w:spacing w:val="-6"/>
          <w:szCs w:val="18"/>
          <w:lang w:val="pt-BR"/>
        </w:rPr>
        <w:t>3</w:t>
      </w:r>
      <w:r w:rsidRPr="00851DA1">
        <w:rPr>
          <w:spacing w:val="-6"/>
          <w:rtl/>
        </w:rPr>
        <w:t xml:space="preserve"> الفقرة</w:t>
      </w:r>
      <w:r w:rsidRPr="00851DA1">
        <w:rPr>
          <w:rFonts w:hint="eastAsia"/>
          <w:spacing w:val="-6"/>
          <w:rtl/>
        </w:rPr>
        <w:t> </w:t>
      </w:r>
      <w:r w:rsidRPr="00851DA1">
        <w:rPr>
          <w:spacing w:val="-6"/>
          <w:szCs w:val="18"/>
          <w:rtl/>
        </w:rPr>
        <w:t>42</w:t>
      </w:r>
      <w:r w:rsidRPr="00851DA1">
        <w:rPr>
          <w:spacing w:val="-6"/>
          <w:rtl/>
        </w:rPr>
        <w:t>.</w:t>
      </w:r>
    </w:p>
  </w:footnote>
  <w:footnote w:id="8">
    <w:p w14:paraId="651DDE8E" w14:textId="77777777" w:rsidR="00CC4DBD" w:rsidRPr="00851DA1" w:rsidRDefault="00CC4DBD" w:rsidP="00CC4DBD">
      <w:pPr>
        <w:pStyle w:val="FootnoteText1"/>
        <w:spacing w:line="280" w:lineRule="exact"/>
        <w:rPr>
          <w:lang w:eastAsia="zh-TW" w:bidi="en-GB"/>
        </w:rPr>
      </w:pPr>
      <w:r w:rsidRPr="00851DA1">
        <w:rPr>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CCPR/C/DOM/CO/</w:t>
      </w:r>
      <w:r w:rsidRPr="00851DA1">
        <w:rPr>
          <w:rFonts w:cs="Times New Roman"/>
          <w:szCs w:val="18"/>
        </w:rPr>
        <w:t>6</w:t>
      </w:r>
      <w:r w:rsidRPr="00851DA1">
        <w:rPr>
          <w:rFonts w:hint="cs"/>
          <w:rtl/>
        </w:rPr>
        <w:t>،</w:t>
      </w:r>
      <w:r w:rsidRPr="00851DA1">
        <w:rPr>
          <w:rtl/>
        </w:rPr>
        <w:t xml:space="preserve"> الفقرة</w:t>
      </w:r>
      <w:r w:rsidRPr="00851DA1">
        <w:rPr>
          <w:rFonts w:cs="Times New Roman"/>
          <w:rtl/>
        </w:rPr>
        <w:t xml:space="preserve"> </w:t>
      </w:r>
      <w:r w:rsidRPr="00851DA1">
        <w:rPr>
          <w:rFonts w:cs="Times New Roman"/>
          <w:szCs w:val="18"/>
          <w:rtl/>
        </w:rPr>
        <w:t>32</w:t>
      </w:r>
      <w:r w:rsidRPr="00851DA1">
        <w:rPr>
          <w:rtl/>
        </w:rPr>
        <w:t>.</w:t>
      </w:r>
    </w:p>
  </w:footnote>
  <w:footnote w:id="9">
    <w:p w14:paraId="33F47D6C" w14:textId="3590BCCC" w:rsidR="0020465C" w:rsidRPr="00851DA1" w:rsidRDefault="0020465C" w:rsidP="00453ECF">
      <w:pPr>
        <w:pStyle w:val="FootnoteText1"/>
        <w:spacing w:line="280" w:lineRule="exact"/>
        <w:rPr>
          <w:lang w:eastAsia="zh-TW" w:bidi="en-GB"/>
        </w:rPr>
      </w:pPr>
      <w:r w:rsidRPr="00851DA1">
        <w:rPr>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lang w:val="pt-BR"/>
        </w:rPr>
        <w:t>CCPR/C/NPL/CO/</w:t>
      </w:r>
      <w:r w:rsidRPr="00851DA1">
        <w:rPr>
          <w:szCs w:val="18"/>
          <w:lang w:val="pt-BR"/>
        </w:rPr>
        <w:t>2</w:t>
      </w:r>
      <w:r w:rsidRPr="00851DA1">
        <w:rPr>
          <w:rtl/>
        </w:rPr>
        <w:t xml:space="preserve">، الفقرة </w:t>
      </w:r>
      <w:r w:rsidRPr="00851DA1">
        <w:rPr>
          <w:szCs w:val="18"/>
          <w:rtl/>
        </w:rPr>
        <w:t>14</w:t>
      </w:r>
      <w:r w:rsidRPr="00851DA1">
        <w:rPr>
          <w:rtl/>
        </w:rPr>
        <w:t xml:space="preserve">. </w:t>
      </w:r>
    </w:p>
  </w:footnote>
  <w:footnote w:id="10">
    <w:p w14:paraId="5B970CF6" w14:textId="1623DB2A" w:rsidR="0020465C" w:rsidRPr="00851DA1" w:rsidRDefault="0020465C" w:rsidP="00453ECF">
      <w:pPr>
        <w:pStyle w:val="FootnoteText1"/>
        <w:spacing w:line="280" w:lineRule="exact"/>
        <w:rPr>
          <w:lang w:val="ar-SA" w:eastAsia="zh-TW" w:bidi="en-GB"/>
        </w:rPr>
      </w:pPr>
      <w:r w:rsidRPr="00851DA1">
        <w:rPr>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lang w:val="es-ES"/>
        </w:rPr>
        <w:t>CCPR/C/KOR/Q/</w:t>
      </w:r>
      <w:r w:rsidRPr="00851DA1">
        <w:rPr>
          <w:rFonts w:cs="Times New Roman"/>
          <w:szCs w:val="18"/>
          <w:lang w:val="es-ES"/>
        </w:rPr>
        <w:t>4</w:t>
      </w:r>
      <w:r w:rsidRPr="00851DA1">
        <w:rPr>
          <w:rFonts w:hint="cs"/>
          <w:rtl/>
        </w:rPr>
        <w:t xml:space="preserve">، </w:t>
      </w:r>
      <w:r w:rsidRPr="00851DA1">
        <w:rPr>
          <w:rtl/>
        </w:rPr>
        <w:t>الفقرة</w:t>
      </w:r>
      <w:r w:rsidRPr="00851DA1">
        <w:rPr>
          <w:rFonts w:cs="Times New Roman"/>
          <w:rtl/>
        </w:rPr>
        <w:t xml:space="preserve"> </w:t>
      </w:r>
      <w:r w:rsidRPr="00851DA1">
        <w:rPr>
          <w:rFonts w:cs="Times New Roman"/>
          <w:szCs w:val="18"/>
          <w:rtl/>
        </w:rPr>
        <w:t>26</w:t>
      </w:r>
      <w:r w:rsidRPr="00851DA1">
        <w:rPr>
          <w:rtl/>
        </w:rPr>
        <w:t>.</w:t>
      </w:r>
    </w:p>
  </w:footnote>
  <w:footnote w:id="11">
    <w:p w14:paraId="695FE4E1" w14:textId="4A08872B" w:rsidR="0020465C" w:rsidRPr="00851DA1" w:rsidRDefault="0020465C" w:rsidP="00453ECF">
      <w:pPr>
        <w:pStyle w:val="FootnoteText1"/>
        <w:spacing w:line="280" w:lineRule="exact"/>
        <w:rPr>
          <w:lang w:val="ar-SA" w:eastAsia="zh-TW" w:bidi="en-GB"/>
        </w:rPr>
      </w:pPr>
      <w:r w:rsidRPr="00851DA1">
        <w:rPr>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العهد الدولي الخاص بالحقوق المدنية والسياسية، المادة </w:t>
      </w:r>
      <w:r w:rsidRPr="00851DA1">
        <w:rPr>
          <w:szCs w:val="18"/>
          <w:rtl/>
        </w:rPr>
        <w:t>2</w:t>
      </w:r>
      <w:r w:rsidRPr="00851DA1">
        <w:rPr>
          <w:rtl/>
        </w:rPr>
        <w:t>(</w:t>
      </w:r>
      <w:r w:rsidRPr="00851DA1">
        <w:rPr>
          <w:szCs w:val="18"/>
          <w:rtl/>
        </w:rPr>
        <w:t>1</w:t>
      </w:r>
      <w:r w:rsidRPr="00851DA1">
        <w:rPr>
          <w:rtl/>
        </w:rPr>
        <w:t>).</w:t>
      </w:r>
    </w:p>
  </w:footnote>
  <w:footnote w:id="12">
    <w:p w14:paraId="264C46A5" w14:textId="74467709" w:rsidR="0020465C" w:rsidRPr="00851DA1" w:rsidRDefault="0020465C" w:rsidP="00453ECF">
      <w:pPr>
        <w:pStyle w:val="FootnoteText1"/>
        <w:spacing w:line="280" w:lineRule="exact"/>
        <w:rPr>
          <w:lang w:eastAsia="zh-TW" w:bidi="en-GB"/>
        </w:rPr>
      </w:pPr>
      <w:r w:rsidRPr="00851DA1">
        <w:rPr>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lang w:val="es-ES"/>
        </w:rPr>
        <w:t>A/HRC/</w:t>
      </w:r>
      <w:r w:rsidRPr="00851DA1">
        <w:rPr>
          <w:szCs w:val="18"/>
          <w:lang w:val="es-ES"/>
        </w:rPr>
        <w:t>39</w:t>
      </w:r>
      <w:r w:rsidRPr="00851DA1">
        <w:rPr>
          <w:lang w:val="es-ES"/>
        </w:rPr>
        <w:t>/</w:t>
      </w:r>
      <w:r w:rsidRPr="00851DA1">
        <w:rPr>
          <w:szCs w:val="18"/>
          <w:lang w:val="es-ES"/>
        </w:rPr>
        <w:t>28</w:t>
      </w:r>
      <w:r w:rsidRPr="00851DA1">
        <w:rPr>
          <w:rtl/>
        </w:rPr>
        <w:t xml:space="preserve">، الفقرة </w:t>
      </w:r>
      <w:r w:rsidRPr="00851DA1">
        <w:rPr>
          <w:szCs w:val="18"/>
          <w:rtl/>
        </w:rPr>
        <w:t>14</w:t>
      </w:r>
      <w:r w:rsidRPr="00851DA1">
        <w:rPr>
          <w:rtl/>
        </w:rPr>
        <w:t xml:space="preserve">. </w:t>
      </w:r>
    </w:p>
  </w:footnote>
  <w:footnote w:id="13">
    <w:p w14:paraId="37E10447" w14:textId="432B5E2E" w:rsidR="0020465C" w:rsidRPr="00851DA1" w:rsidRDefault="0020465C" w:rsidP="00453ECF">
      <w:pPr>
        <w:pStyle w:val="FootnoteText1"/>
        <w:spacing w:line="280" w:lineRule="exact"/>
        <w:rPr>
          <w:lang w:val="ar-SA" w:eastAsia="zh-TW" w:bidi="en-GB"/>
        </w:rPr>
      </w:pPr>
      <w:r w:rsidRPr="00851DA1">
        <w:rPr>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i/>
          <w:iCs/>
          <w:rtl/>
        </w:rPr>
        <w:t>كولمان ضد استراليا</w:t>
      </w:r>
      <w:r w:rsidRPr="00851DA1">
        <w:rPr>
          <w:rtl/>
        </w:rPr>
        <w:t xml:space="preserve"> (</w:t>
      </w:r>
      <w:r w:rsidRPr="00851DA1">
        <w:rPr>
          <w:lang w:val="es-ES"/>
        </w:rPr>
        <w:t>CCPR/C/</w:t>
      </w:r>
      <w:r w:rsidRPr="00851DA1">
        <w:rPr>
          <w:szCs w:val="18"/>
          <w:lang w:val="es-ES"/>
        </w:rPr>
        <w:t>87</w:t>
      </w:r>
      <w:r w:rsidRPr="00851DA1">
        <w:rPr>
          <w:lang w:val="es-ES"/>
        </w:rPr>
        <w:t>/D/</w:t>
      </w:r>
      <w:r w:rsidRPr="00851DA1">
        <w:rPr>
          <w:szCs w:val="18"/>
          <w:lang w:val="es-ES"/>
        </w:rPr>
        <w:t>1157</w:t>
      </w:r>
      <w:r w:rsidRPr="00851DA1">
        <w:rPr>
          <w:lang w:val="es-ES"/>
        </w:rPr>
        <w:t>/</w:t>
      </w:r>
      <w:r w:rsidRPr="00851DA1">
        <w:rPr>
          <w:szCs w:val="18"/>
          <w:lang w:val="es-ES"/>
        </w:rPr>
        <w:t>2003</w:t>
      </w:r>
      <w:r w:rsidRPr="00851DA1">
        <w:rPr>
          <w:rtl/>
        </w:rPr>
        <w:t xml:space="preserve">)، الفقرة </w:t>
      </w:r>
      <w:r w:rsidRPr="00851DA1">
        <w:rPr>
          <w:szCs w:val="18"/>
          <w:rtl/>
        </w:rPr>
        <w:t>6</w:t>
      </w:r>
      <w:r w:rsidRPr="00851DA1">
        <w:rPr>
          <w:rtl/>
        </w:rPr>
        <w:t>-</w:t>
      </w:r>
      <w:r w:rsidRPr="00851DA1">
        <w:rPr>
          <w:szCs w:val="18"/>
          <w:rtl/>
        </w:rPr>
        <w:t>4</w:t>
      </w:r>
      <w:r w:rsidRPr="00851DA1">
        <w:rPr>
          <w:rtl/>
        </w:rPr>
        <w:t>.</w:t>
      </w:r>
    </w:p>
  </w:footnote>
  <w:footnote w:id="14">
    <w:p w14:paraId="76527FAC" w14:textId="6041B3FE"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انظر </w:t>
      </w:r>
      <w:r w:rsidRPr="00851DA1">
        <w:t>A/HRC/</w:t>
      </w:r>
      <w:r w:rsidRPr="00851DA1">
        <w:rPr>
          <w:szCs w:val="18"/>
        </w:rPr>
        <w:t>41</w:t>
      </w:r>
      <w:r w:rsidRPr="00851DA1">
        <w:t>/</w:t>
      </w:r>
      <w:r w:rsidRPr="00851DA1">
        <w:rPr>
          <w:szCs w:val="18"/>
        </w:rPr>
        <w:t>41</w:t>
      </w:r>
      <w:r w:rsidRPr="00851DA1">
        <w:rPr>
          <w:rtl/>
        </w:rPr>
        <w:t>.</w:t>
      </w:r>
    </w:p>
  </w:footnote>
  <w:footnote w:id="15">
    <w:p w14:paraId="53841CCC" w14:textId="306FB006"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منظمة الأمن والتعاون في أوروبا ولجنة فينيسيا، مبادئ توجيهية بشأن الحرية والتجمع السلمي، الفقرة </w:t>
      </w:r>
      <w:r w:rsidRPr="00851DA1">
        <w:rPr>
          <w:szCs w:val="18"/>
          <w:rtl/>
        </w:rPr>
        <w:t>51</w:t>
      </w:r>
      <w:r w:rsidRPr="00851DA1">
        <w:rPr>
          <w:rtl/>
        </w:rPr>
        <w:t>.</w:t>
      </w:r>
    </w:p>
  </w:footnote>
  <w:footnote w:id="16">
    <w:p w14:paraId="16C5F34E" w14:textId="6BCB56E0"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المحكمة الأوروبية لحقوق الإنسان، قضية </w:t>
      </w:r>
      <w:r w:rsidRPr="00851DA1">
        <w:rPr>
          <w:i/>
          <w:iCs/>
          <w:rtl/>
        </w:rPr>
        <w:t>فرامكين ضد روسيا</w:t>
      </w:r>
      <w:r w:rsidRPr="00851DA1">
        <w:rPr>
          <w:rtl/>
        </w:rPr>
        <w:t xml:space="preserve"> (الدعوى رقم </w:t>
      </w:r>
      <w:r w:rsidRPr="00851DA1">
        <w:rPr>
          <w:szCs w:val="18"/>
          <w:rtl/>
        </w:rPr>
        <w:t>74568</w:t>
      </w:r>
      <w:r w:rsidRPr="00851DA1">
        <w:rPr>
          <w:sz w:val="10"/>
          <w:szCs w:val="18"/>
          <w:rtl/>
        </w:rPr>
        <w:t>/</w:t>
      </w:r>
      <w:r w:rsidRPr="00851DA1">
        <w:rPr>
          <w:szCs w:val="18"/>
          <w:rtl/>
        </w:rPr>
        <w:t>12</w:t>
      </w:r>
      <w:r w:rsidRPr="00851DA1">
        <w:rPr>
          <w:rtl/>
        </w:rPr>
        <w:t xml:space="preserve">)، الحكم الصادر في </w:t>
      </w:r>
      <w:r w:rsidR="00910346" w:rsidRPr="00851DA1">
        <w:rPr>
          <w:rFonts w:hint="cs"/>
          <w:sz w:val="10"/>
          <w:szCs w:val="18"/>
          <w:rtl/>
        </w:rPr>
        <w:t>5</w:t>
      </w:r>
      <w:r w:rsidR="00910346" w:rsidRPr="00851DA1">
        <w:rPr>
          <w:rFonts w:hint="cs"/>
          <w:rtl/>
        </w:rPr>
        <w:t xml:space="preserve"> </w:t>
      </w:r>
      <w:r w:rsidRPr="00851DA1">
        <w:rPr>
          <w:rtl/>
        </w:rPr>
        <w:t xml:space="preserve">كانون الثاني/يناير </w:t>
      </w:r>
      <w:r w:rsidRPr="00851DA1">
        <w:rPr>
          <w:szCs w:val="18"/>
          <w:rtl/>
        </w:rPr>
        <w:t>2016</w:t>
      </w:r>
      <w:r w:rsidRPr="00851DA1">
        <w:rPr>
          <w:rtl/>
        </w:rPr>
        <w:t xml:space="preserve">، الفقرة </w:t>
      </w:r>
      <w:r w:rsidRPr="00851DA1">
        <w:rPr>
          <w:szCs w:val="18"/>
          <w:rtl/>
        </w:rPr>
        <w:t>97</w:t>
      </w:r>
      <w:r w:rsidRPr="00851DA1">
        <w:rPr>
          <w:rtl/>
        </w:rPr>
        <w:t>.</w:t>
      </w:r>
    </w:p>
  </w:footnote>
  <w:footnote w:id="17">
    <w:p w14:paraId="0F9CC786" w14:textId="09C3937D" w:rsidR="0020465C" w:rsidRPr="00851DA1" w:rsidRDefault="0020465C" w:rsidP="00453ECF">
      <w:pPr>
        <w:pStyle w:val="FootnoteText1"/>
        <w:spacing w:line="280" w:lineRule="exact"/>
        <w:rPr>
          <w:rStyle w:val="FootnoteReference"/>
          <w:szCs w:val="26"/>
          <w:vertAlign w:val="baseline"/>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Style w:val="FootnoteReference"/>
          <w:b w:val="0"/>
          <w:bCs/>
          <w:szCs w:val="26"/>
          <w:vertAlign w:val="baseline"/>
        </w:rPr>
        <w:t>CCPR/C/CHN-MAC/CO/</w:t>
      </w:r>
      <w:r w:rsidRPr="00851DA1">
        <w:rPr>
          <w:rStyle w:val="FootnoteReference"/>
          <w:b w:val="0"/>
          <w:bCs/>
          <w:szCs w:val="18"/>
          <w:vertAlign w:val="baseline"/>
        </w:rPr>
        <w:t>1</w:t>
      </w:r>
      <w:r w:rsidRPr="00851DA1">
        <w:rPr>
          <w:rStyle w:val="FootnoteReference"/>
          <w:szCs w:val="26"/>
          <w:vertAlign w:val="baseline"/>
          <w:rtl/>
        </w:rPr>
        <w:t xml:space="preserve">، الفقرة </w:t>
      </w:r>
      <w:r w:rsidRPr="00851DA1">
        <w:rPr>
          <w:rStyle w:val="FootnoteReference"/>
          <w:szCs w:val="18"/>
          <w:vertAlign w:val="baseline"/>
          <w:rtl/>
        </w:rPr>
        <w:t>16</w:t>
      </w:r>
      <w:r w:rsidRPr="00851DA1">
        <w:rPr>
          <w:rStyle w:val="FootnoteReference"/>
          <w:szCs w:val="26"/>
          <w:vertAlign w:val="baseline"/>
          <w:rtl/>
        </w:rPr>
        <w:t xml:space="preserve">. </w:t>
      </w:r>
    </w:p>
  </w:footnote>
  <w:footnote w:id="18">
    <w:p w14:paraId="150907A0" w14:textId="5BFD4BE2"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t>A/HRC/</w:t>
      </w:r>
      <w:r w:rsidRPr="00851DA1">
        <w:rPr>
          <w:szCs w:val="18"/>
        </w:rPr>
        <w:t>31</w:t>
      </w:r>
      <w:r w:rsidRPr="00851DA1">
        <w:t>/</w:t>
      </w:r>
      <w:r w:rsidRPr="00851DA1">
        <w:rPr>
          <w:szCs w:val="18"/>
        </w:rPr>
        <w:t>66</w:t>
      </w:r>
      <w:r w:rsidRPr="00851DA1">
        <w:rPr>
          <w:rtl/>
        </w:rPr>
        <w:t xml:space="preserve">، الفقرة </w:t>
      </w:r>
      <w:r w:rsidRPr="00851DA1">
        <w:rPr>
          <w:szCs w:val="18"/>
          <w:rtl/>
        </w:rPr>
        <w:t>18</w:t>
      </w:r>
      <w:r w:rsidRPr="00851DA1">
        <w:rPr>
          <w:rtl/>
        </w:rPr>
        <w:t>.</w:t>
      </w:r>
    </w:p>
  </w:footnote>
  <w:footnote w:id="19">
    <w:p w14:paraId="54EF64EF" w14:textId="1D4402AD"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محكمة البلدان الأمريكية لحقوق الإنسان، </w:t>
      </w:r>
      <w:r w:rsidRPr="00851DA1">
        <w:rPr>
          <w:i/>
          <w:iCs/>
          <w:rtl/>
        </w:rPr>
        <w:t>النساء ضحايا التعذيب الجنسي</w:t>
      </w:r>
      <w:r w:rsidRPr="00851DA1">
        <w:rPr>
          <w:rtl/>
        </w:rPr>
        <w:t xml:space="preserve"> في قضية </w:t>
      </w:r>
      <w:proofErr w:type="spellStart"/>
      <w:r w:rsidRPr="00851DA1">
        <w:rPr>
          <w:i/>
          <w:iCs/>
          <w:rtl/>
        </w:rPr>
        <w:t>أتينكو</w:t>
      </w:r>
      <w:proofErr w:type="spellEnd"/>
      <w:r w:rsidRPr="00851DA1">
        <w:rPr>
          <w:i/>
          <w:iCs/>
          <w:rtl/>
        </w:rPr>
        <w:t xml:space="preserve"> ضد المكسيك</w:t>
      </w:r>
      <w:r w:rsidRPr="00851DA1">
        <w:rPr>
          <w:rtl/>
        </w:rPr>
        <w:t xml:space="preserve">، الحكم الصادر في </w:t>
      </w:r>
      <w:r w:rsidRPr="00851DA1">
        <w:rPr>
          <w:szCs w:val="18"/>
          <w:rtl/>
        </w:rPr>
        <w:t>28</w:t>
      </w:r>
      <w:r w:rsidRPr="00851DA1">
        <w:rPr>
          <w:rtl/>
        </w:rPr>
        <w:t xml:space="preserve"> تشرين الثاني/نوفمبر </w:t>
      </w:r>
      <w:r w:rsidRPr="00851DA1">
        <w:rPr>
          <w:szCs w:val="18"/>
          <w:rtl/>
        </w:rPr>
        <w:t>2018</w:t>
      </w:r>
      <w:r w:rsidRPr="00851DA1">
        <w:rPr>
          <w:rtl/>
        </w:rPr>
        <w:t xml:space="preserve">، السلسلة جيم، رقم </w:t>
      </w:r>
      <w:r w:rsidRPr="00851DA1">
        <w:rPr>
          <w:szCs w:val="18"/>
          <w:rtl/>
        </w:rPr>
        <w:t>371</w:t>
      </w:r>
      <w:r w:rsidRPr="00851DA1">
        <w:rPr>
          <w:rtl/>
        </w:rPr>
        <w:t xml:space="preserve">، الفقرة </w:t>
      </w:r>
      <w:r w:rsidRPr="00851DA1">
        <w:rPr>
          <w:szCs w:val="18"/>
          <w:rtl/>
        </w:rPr>
        <w:t>175</w:t>
      </w:r>
      <w:r w:rsidRPr="00851DA1">
        <w:rPr>
          <w:rtl/>
        </w:rPr>
        <w:t xml:space="preserve">؛ المحكمة الأوروبية لحقوق الإنسان، قضية </w:t>
      </w:r>
      <w:r w:rsidRPr="00851DA1">
        <w:rPr>
          <w:i/>
          <w:iCs/>
          <w:rtl/>
        </w:rPr>
        <w:t>فرامكين ضد روسيا</w:t>
      </w:r>
      <w:r w:rsidRPr="00851DA1">
        <w:rPr>
          <w:rtl/>
        </w:rPr>
        <w:t xml:space="preserve">، الفقرة </w:t>
      </w:r>
      <w:r w:rsidRPr="00851DA1">
        <w:rPr>
          <w:szCs w:val="18"/>
          <w:rtl/>
        </w:rPr>
        <w:t>99</w:t>
      </w:r>
      <w:r w:rsidRPr="00851DA1">
        <w:rPr>
          <w:rtl/>
        </w:rPr>
        <w:t>.</w:t>
      </w:r>
    </w:p>
  </w:footnote>
  <w:footnote w:id="20">
    <w:p w14:paraId="4F82B759" w14:textId="2CC209E1"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خطة عمل الرباط بشأن حظر الدعوة إلى الكراهية القومية أو العرقية أو الدينية التي تشكل تحريضاً على التمييز أو العداء أو العنف (الوثيقة </w:t>
      </w:r>
      <w:r w:rsidRPr="00851DA1">
        <w:rPr>
          <w:rFonts w:cs="Times New Roman"/>
        </w:rPr>
        <w:t>A/HRC/</w:t>
      </w:r>
      <w:r w:rsidRPr="00851DA1">
        <w:rPr>
          <w:rFonts w:cs="Times New Roman"/>
          <w:szCs w:val="18"/>
        </w:rPr>
        <w:t>22</w:t>
      </w:r>
      <w:r w:rsidRPr="00851DA1">
        <w:rPr>
          <w:rFonts w:cs="Times New Roman"/>
        </w:rPr>
        <w:t>/</w:t>
      </w:r>
      <w:r w:rsidRPr="00851DA1">
        <w:rPr>
          <w:rFonts w:cs="Times New Roman"/>
          <w:szCs w:val="18"/>
        </w:rPr>
        <w:t>17</w:t>
      </w:r>
      <w:r w:rsidRPr="00851DA1">
        <w:rPr>
          <w:rFonts w:cs="Times New Roman"/>
        </w:rPr>
        <w:t>/</w:t>
      </w:r>
      <w:proofErr w:type="spellStart"/>
      <w:r w:rsidRPr="00851DA1">
        <w:rPr>
          <w:rFonts w:cs="Times New Roman"/>
        </w:rPr>
        <w:t>Add.</w:t>
      </w:r>
      <w:r w:rsidRPr="00851DA1">
        <w:rPr>
          <w:rFonts w:cs="Times New Roman"/>
          <w:szCs w:val="18"/>
        </w:rPr>
        <w:t>4</w:t>
      </w:r>
      <w:proofErr w:type="spellEnd"/>
      <w:r w:rsidRPr="00851DA1">
        <w:rPr>
          <w:rtl/>
        </w:rPr>
        <w:t xml:space="preserve">، الملحق)، الفقرة </w:t>
      </w:r>
      <w:r w:rsidRPr="00851DA1">
        <w:rPr>
          <w:szCs w:val="18"/>
          <w:rtl/>
        </w:rPr>
        <w:t>29</w:t>
      </w:r>
      <w:r w:rsidRPr="00851DA1">
        <w:rPr>
          <w:rtl/>
        </w:rPr>
        <w:t>(و).</w:t>
      </w:r>
    </w:p>
  </w:footnote>
  <w:footnote w:id="21">
    <w:p w14:paraId="14E06B28" w14:textId="7CCEC8C2"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انظر أيضاً التعليق العام رقم </w:t>
      </w:r>
      <w:r w:rsidRPr="00851DA1">
        <w:rPr>
          <w:szCs w:val="18"/>
          <w:rtl/>
        </w:rPr>
        <w:t>31</w:t>
      </w:r>
      <w:r w:rsidRPr="00851DA1">
        <w:rPr>
          <w:rtl/>
        </w:rPr>
        <w:t>.</w:t>
      </w:r>
    </w:p>
  </w:footnote>
  <w:footnote w:id="22">
    <w:p w14:paraId="16B500F6" w14:textId="4E3423E5" w:rsidR="0020465C" w:rsidRPr="00851DA1" w:rsidRDefault="0020465C" w:rsidP="00453ECF">
      <w:pPr>
        <w:pStyle w:val="FootnoteText1"/>
        <w:spacing w:line="280" w:lineRule="exact"/>
        <w:rPr>
          <w:spacing w:val="-4"/>
          <w:lang w:val="ar-SA" w:eastAsia="zh-TW"/>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spacing w:val="-4"/>
          <w:rtl/>
        </w:rPr>
        <w:t>أليكسييف</w:t>
      </w:r>
      <w:proofErr w:type="spellEnd"/>
      <w:r w:rsidRPr="00851DA1">
        <w:rPr>
          <w:i/>
          <w:iCs/>
          <w:spacing w:val="-4"/>
          <w:rtl/>
        </w:rPr>
        <w:t xml:space="preserve"> ضد الاتحاد الروسي</w:t>
      </w:r>
      <w:r w:rsidRPr="00851DA1">
        <w:rPr>
          <w:spacing w:val="-4"/>
          <w:rtl/>
        </w:rPr>
        <w:t xml:space="preserve"> </w:t>
      </w:r>
      <w:r w:rsidRPr="00851DA1">
        <w:rPr>
          <w:spacing w:val="-4"/>
          <w:rtl/>
          <w:lang w:val="fr-CH"/>
        </w:rPr>
        <w:t>(</w:t>
      </w:r>
      <w:r w:rsidRPr="00851DA1">
        <w:rPr>
          <w:spacing w:val="-4"/>
        </w:rPr>
        <w:t>CCPR/C/</w:t>
      </w:r>
      <w:r w:rsidRPr="00851DA1">
        <w:rPr>
          <w:spacing w:val="-4"/>
          <w:szCs w:val="18"/>
        </w:rPr>
        <w:t>109</w:t>
      </w:r>
      <w:r w:rsidRPr="00851DA1">
        <w:rPr>
          <w:spacing w:val="-4"/>
        </w:rPr>
        <w:t>/D/</w:t>
      </w:r>
      <w:r w:rsidRPr="00851DA1">
        <w:rPr>
          <w:spacing w:val="-4"/>
          <w:szCs w:val="18"/>
        </w:rPr>
        <w:t>1873</w:t>
      </w:r>
      <w:r w:rsidRPr="00851DA1">
        <w:rPr>
          <w:spacing w:val="-4"/>
        </w:rPr>
        <w:t>/</w:t>
      </w:r>
      <w:r w:rsidRPr="00851DA1">
        <w:rPr>
          <w:spacing w:val="-4"/>
          <w:szCs w:val="18"/>
        </w:rPr>
        <w:t>2009</w:t>
      </w:r>
      <w:r w:rsidRPr="00851DA1">
        <w:rPr>
          <w:spacing w:val="-4"/>
          <w:rtl/>
          <w:lang w:val="fr-CH"/>
        </w:rPr>
        <w:t>)</w:t>
      </w:r>
      <w:r w:rsidRPr="00851DA1">
        <w:rPr>
          <w:spacing w:val="-4"/>
          <w:rtl/>
        </w:rPr>
        <w:t xml:space="preserve">، الفقرة </w:t>
      </w:r>
      <w:r w:rsidRPr="00851DA1">
        <w:rPr>
          <w:spacing w:val="-4"/>
          <w:szCs w:val="18"/>
          <w:rtl/>
        </w:rPr>
        <w:t>9</w:t>
      </w:r>
      <w:r w:rsidRPr="00851DA1">
        <w:rPr>
          <w:spacing w:val="-4"/>
          <w:rtl/>
        </w:rPr>
        <w:t>-</w:t>
      </w:r>
      <w:r w:rsidRPr="00851DA1">
        <w:rPr>
          <w:spacing w:val="-4"/>
          <w:szCs w:val="18"/>
          <w:rtl/>
        </w:rPr>
        <w:t>6</w:t>
      </w:r>
      <w:r w:rsidRPr="00851DA1">
        <w:rPr>
          <w:spacing w:val="-4"/>
          <w:rtl/>
        </w:rPr>
        <w:t xml:space="preserve">؛ انظر أيضاً قضية </w:t>
      </w:r>
      <w:proofErr w:type="spellStart"/>
      <w:r w:rsidRPr="00851DA1">
        <w:rPr>
          <w:i/>
          <w:iCs/>
          <w:spacing w:val="-4"/>
          <w:rtl/>
        </w:rPr>
        <w:t>أميلكوفيتش</w:t>
      </w:r>
      <w:proofErr w:type="spellEnd"/>
      <w:r w:rsidRPr="00851DA1">
        <w:rPr>
          <w:i/>
          <w:iCs/>
          <w:spacing w:val="-4"/>
          <w:rtl/>
        </w:rPr>
        <w:t xml:space="preserve"> ضد بيلاروس</w:t>
      </w:r>
      <w:r w:rsidRPr="00851DA1">
        <w:rPr>
          <w:spacing w:val="-4"/>
          <w:rtl/>
        </w:rPr>
        <w:t xml:space="preserve"> (</w:t>
      </w:r>
      <w:r w:rsidRPr="00851DA1">
        <w:rPr>
          <w:spacing w:val="-4"/>
        </w:rPr>
        <w:t>CCPR/C/</w:t>
      </w:r>
      <w:r w:rsidRPr="00851DA1">
        <w:rPr>
          <w:spacing w:val="-4"/>
          <w:szCs w:val="18"/>
        </w:rPr>
        <w:t>125</w:t>
      </w:r>
      <w:r w:rsidRPr="00851DA1">
        <w:rPr>
          <w:spacing w:val="-4"/>
        </w:rPr>
        <w:t>/D/</w:t>
      </w:r>
      <w:r w:rsidRPr="00851DA1">
        <w:rPr>
          <w:spacing w:val="-4"/>
          <w:szCs w:val="18"/>
        </w:rPr>
        <w:t>2720</w:t>
      </w:r>
      <w:r w:rsidRPr="00851DA1">
        <w:rPr>
          <w:spacing w:val="-4"/>
        </w:rPr>
        <w:t>/</w:t>
      </w:r>
      <w:r w:rsidRPr="00851DA1">
        <w:rPr>
          <w:spacing w:val="-4"/>
          <w:szCs w:val="18"/>
        </w:rPr>
        <w:t>2016</w:t>
      </w:r>
      <w:r w:rsidRPr="00851DA1">
        <w:rPr>
          <w:spacing w:val="-4"/>
          <w:rtl/>
        </w:rPr>
        <w:t xml:space="preserve">)، الفقرة </w:t>
      </w:r>
      <w:r w:rsidRPr="00851DA1">
        <w:rPr>
          <w:spacing w:val="-4"/>
          <w:szCs w:val="18"/>
          <w:rtl/>
        </w:rPr>
        <w:t>6</w:t>
      </w:r>
      <w:r w:rsidRPr="00851DA1">
        <w:rPr>
          <w:spacing w:val="-4"/>
          <w:rtl/>
        </w:rPr>
        <w:t>-</w:t>
      </w:r>
      <w:r w:rsidRPr="00851DA1">
        <w:rPr>
          <w:spacing w:val="-4"/>
          <w:szCs w:val="18"/>
          <w:rtl/>
        </w:rPr>
        <w:t>6</w:t>
      </w:r>
      <w:r w:rsidRPr="00851DA1">
        <w:rPr>
          <w:spacing w:val="-4"/>
          <w:rtl/>
        </w:rPr>
        <w:t xml:space="preserve">؛ والوثيقة </w:t>
      </w:r>
      <w:r w:rsidRPr="00851DA1">
        <w:rPr>
          <w:spacing w:val="-4"/>
        </w:rPr>
        <w:t>CCPR/C/GNQ/CO/</w:t>
      </w:r>
      <w:r w:rsidRPr="00851DA1">
        <w:rPr>
          <w:spacing w:val="-4"/>
          <w:szCs w:val="18"/>
        </w:rPr>
        <w:t>1</w:t>
      </w:r>
      <w:r w:rsidRPr="00851DA1">
        <w:rPr>
          <w:spacing w:val="-4"/>
          <w:rtl/>
        </w:rPr>
        <w:t xml:space="preserve">، الفقرتان </w:t>
      </w:r>
      <w:r w:rsidRPr="00851DA1">
        <w:rPr>
          <w:spacing w:val="-4"/>
          <w:szCs w:val="18"/>
          <w:rtl/>
        </w:rPr>
        <w:t>54</w:t>
      </w:r>
      <w:r w:rsidRPr="00851DA1">
        <w:rPr>
          <w:spacing w:val="-4"/>
          <w:rtl/>
        </w:rPr>
        <w:t>-</w:t>
      </w:r>
      <w:r w:rsidRPr="00851DA1">
        <w:rPr>
          <w:spacing w:val="-4"/>
          <w:szCs w:val="18"/>
          <w:rtl/>
        </w:rPr>
        <w:t>55</w:t>
      </w:r>
      <w:r w:rsidR="00910346" w:rsidRPr="00851DA1">
        <w:rPr>
          <w:spacing w:val="-4"/>
          <w:rtl/>
          <w:lang w:val="ar-SA" w:eastAsia="zh-TW"/>
        </w:rPr>
        <w:t>.</w:t>
      </w:r>
    </w:p>
  </w:footnote>
  <w:footnote w:id="23">
    <w:p w14:paraId="7ECF1DB8" w14:textId="11F3350E"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ستريزاك</w:t>
      </w:r>
      <w:proofErr w:type="spellEnd"/>
      <w:r w:rsidRPr="00851DA1">
        <w:rPr>
          <w:i/>
          <w:iCs/>
          <w:rtl/>
        </w:rPr>
        <w:t xml:space="preserve"> ضد بيلاروس</w:t>
      </w:r>
      <w:r w:rsidRPr="00851DA1">
        <w:rPr>
          <w:rtl/>
        </w:rPr>
        <w:t xml:space="preserve"> (</w:t>
      </w:r>
      <w:r w:rsidRPr="00851DA1">
        <w:rPr>
          <w:iCs/>
        </w:rPr>
        <w:t>CCPR/C/</w:t>
      </w:r>
      <w:r w:rsidRPr="00851DA1">
        <w:rPr>
          <w:iCs/>
          <w:szCs w:val="18"/>
        </w:rPr>
        <w:t>124</w:t>
      </w:r>
      <w:r w:rsidRPr="00851DA1">
        <w:rPr>
          <w:iCs/>
        </w:rPr>
        <w:t>/D/</w:t>
      </w:r>
      <w:r w:rsidRPr="00851DA1">
        <w:rPr>
          <w:iCs/>
          <w:szCs w:val="18"/>
        </w:rPr>
        <w:t>2260</w:t>
      </w:r>
      <w:r w:rsidRPr="00851DA1">
        <w:rPr>
          <w:iCs/>
        </w:rPr>
        <w:t>/</w:t>
      </w:r>
      <w:r w:rsidRPr="00851DA1">
        <w:rPr>
          <w:iCs/>
          <w:szCs w:val="18"/>
        </w:rPr>
        <w:t>2013</w:t>
      </w:r>
      <w:r w:rsidRPr="00851DA1">
        <w:rPr>
          <w:rtl/>
        </w:rPr>
        <w:t xml:space="preserve">)، الفقرة </w:t>
      </w:r>
      <w:r w:rsidRPr="00851DA1">
        <w:rPr>
          <w:szCs w:val="18"/>
          <w:rtl/>
        </w:rPr>
        <w:t>6</w:t>
      </w:r>
      <w:r w:rsidRPr="00851DA1">
        <w:rPr>
          <w:rtl/>
        </w:rPr>
        <w:t>-</w:t>
      </w:r>
      <w:r w:rsidRPr="00851DA1">
        <w:rPr>
          <w:szCs w:val="18"/>
          <w:rtl/>
        </w:rPr>
        <w:t>5</w:t>
      </w:r>
      <w:r w:rsidRPr="00851DA1">
        <w:rPr>
          <w:rtl/>
        </w:rPr>
        <w:t xml:space="preserve">. </w:t>
      </w:r>
    </w:p>
  </w:footnote>
  <w:footnote w:id="24">
    <w:p w14:paraId="3A425A99" w14:textId="01B1C891"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منذ إصدار اللجنة آراءها في قضية </w:t>
      </w:r>
      <w:proofErr w:type="spellStart"/>
      <w:r w:rsidRPr="00851DA1">
        <w:rPr>
          <w:i/>
          <w:iCs/>
          <w:rtl/>
        </w:rPr>
        <w:t>تورشينياك</w:t>
      </w:r>
      <w:proofErr w:type="spellEnd"/>
      <w:r w:rsidRPr="00851DA1">
        <w:rPr>
          <w:i/>
          <w:iCs/>
          <w:rtl/>
        </w:rPr>
        <w:t xml:space="preserve"> وآخرون ضد بيلاروس</w:t>
      </w:r>
      <w:r w:rsidRPr="00851DA1">
        <w:rPr>
          <w:rtl/>
        </w:rPr>
        <w:t xml:space="preserve"> (</w:t>
      </w:r>
      <w:r w:rsidRPr="00851DA1">
        <w:rPr>
          <w:rFonts w:cs="Times New Roman"/>
        </w:rPr>
        <w:t>CCPR/C/</w:t>
      </w:r>
      <w:r w:rsidRPr="00851DA1">
        <w:rPr>
          <w:rFonts w:cs="Times New Roman"/>
          <w:szCs w:val="18"/>
        </w:rPr>
        <w:t>108</w:t>
      </w:r>
      <w:r w:rsidRPr="00851DA1">
        <w:rPr>
          <w:rFonts w:cs="Times New Roman"/>
        </w:rPr>
        <w:t>/D/</w:t>
      </w:r>
      <w:r w:rsidRPr="00851DA1">
        <w:rPr>
          <w:rFonts w:cs="Times New Roman"/>
          <w:szCs w:val="18"/>
        </w:rPr>
        <w:t>1948</w:t>
      </w:r>
      <w:r w:rsidRPr="00851DA1">
        <w:rPr>
          <w:rFonts w:cs="Times New Roman"/>
        </w:rPr>
        <w:t>/</w:t>
      </w:r>
      <w:r w:rsidRPr="00851DA1">
        <w:rPr>
          <w:rFonts w:cs="Times New Roman"/>
          <w:szCs w:val="18"/>
        </w:rPr>
        <w:t>2010</w:t>
      </w:r>
      <w:r w:rsidRPr="00851DA1">
        <w:rPr>
          <w:rtl/>
        </w:rPr>
        <w:t xml:space="preserve"> و</w:t>
      </w:r>
      <w:proofErr w:type="spellStart"/>
      <w:r w:rsidRPr="00851DA1">
        <w:rPr>
          <w:rFonts w:cs="Times New Roman"/>
        </w:rPr>
        <w:t>Corr.</w:t>
      </w:r>
      <w:r w:rsidRPr="00851DA1">
        <w:rPr>
          <w:rFonts w:cs="Times New Roman"/>
          <w:szCs w:val="18"/>
        </w:rPr>
        <w:t>1</w:t>
      </w:r>
      <w:proofErr w:type="spellEnd"/>
      <w:r w:rsidRPr="00851DA1">
        <w:rPr>
          <w:rtl/>
        </w:rPr>
        <w:t xml:space="preserve">)، أشارت في كثير من الأحيان إلى أن الخطوات التي تتّخذها الدول ردّاً على تجمع ما "ينبغي أن تسترشد بهدف تيسير الحق" (الفقرة </w:t>
      </w:r>
      <w:r w:rsidRPr="00851DA1">
        <w:rPr>
          <w:szCs w:val="18"/>
          <w:rtl/>
        </w:rPr>
        <w:t>7</w:t>
      </w:r>
      <w:r w:rsidRPr="00851DA1">
        <w:rPr>
          <w:rtl/>
        </w:rPr>
        <w:t>-</w:t>
      </w:r>
      <w:r w:rsidRPr="00851DA1">
        <w:rPr>
          <w:szCs w:val="18"/>
          <w:rtl/>
        </w:rPr>
        <w:t>4</w:t>
      </w:r>
      <w:r w:rsidRPr="00851DA1">
        <w:rPr>
          <w:rtl/>
        </w:rPr>
        <w:t xml:space="preserve">). انظر أيضاً الوثيقة </w:t>
      </w:r>
      <w:r w:rsidRPr="00851DA1">
        <w:rPr>
          <w:rFonts w:cs="Times New Roman"/>
        </w:rPr>
        <w:t>CCPR/C/BEN/CO/</w:t>
      </w:r>
      <w:r w:rsidRPr="00851DA1">
        <w:rPr>
          <w:rFonts w:cs="Times New Roman"/>
          <w:szCs w:val="18"/>
        </w:rPr>
        <w:t>2</w:t>
      </w:r>
      <w:r w:rsidRPr="00851DA1">
        <w:rPr>
          <w:rtl/>
        </w:rPr>
        <w:t xml:space="preserve">، الفقرة </w:t>
      </w:r>
      <w:r w:rsidRPr="00851DA1">
        <w:rPr>
          <w:szCs w:val="18"/>
          <w:rtl/>
        </w:rPr>
        <w:t>33</w:t>
      </w:r>
      <w:r w:rsidRPr="00851DA1">
        <w:rPr>
          <w:rtl/>
        </w:rPr>
        <w:t xml:space="preserve">، والوثيقة </w:t>
      </w:r>
      <w:r w:rsidRPr="00851DA1">
        <w:rPr>
          <w:rFonts w:cs="Times New Roman"/>
        </w:rPr>
        <w:t>A/HRC/</w:t>
      </w:r>
      <w:r w:rsidRPr="00851DA1">
        <w:rPr>
          <w:rFonts w:cs="Times New Roman"/>
          <w:szCs w:val="18"/>
        </w:rPr>
        <w:t>20</w:t>
      </w:r>
      <w:r w:rsidRPr="00851DA1">
        <w:rPr>
          <w:rFonts w:cs="Times New Roman"/>
        </w:rPr>
        <w:t>/</w:t>
      </w:r>
      <w:r w:rsidRPr="00851DA1">
        <w:rPr>
          <w:rFonts w:cs="Times New Roman"/>
          <w:szCs w:val="18"/>
        </w:rPr>
        <w:t>27</w:t>
      </w:r>
      <w:r w:rsidRPr="00851DA1">
        <w:rPr>
          <w:rtl/>
        </w:rPr>
        <w:t xml:space="preserve">، الفقرة </w:t>
      </w:r>
      <w:r w:rsidRPr="00851DA1">
        <w:rPr>
          <w:szCs w:val="18"/>
          <w:rtl/>
        </w:rPr>
        <w:t>33</w:t>
      </w:r>
      <w:r w:rsidRPr="00851DA1">
        <w:rPr>
          <w:rtl/>
        </w:rPr>
        <w:t xml:space="preserve">، وقرار مجلس حقوق الإنسان </w:t>
      </w:r>
      <w:r w:rsidRPr="00851DA1">
        <w:rPr>
          <w:szCs w:val="18"/>
        </w:rPr>
        <w:t>11</w:t>
      </w:r>
      <w:r w:rsidRPr="00851DA1">
        <w:t>/</w:t>
      </w:r>
      <w:r w:rsidRPr="00851DA1">
        <w:rPr>
          <w:szCs w:val="18"/>
        </w:rPr>
        <w:t>38</w:t>
      </w:r>
      <w:r w:rsidRPr="00851DA1">
        <w:rPr>
          <w:rtl/>
        </w:rPr>
        <w:t>.</w:t>
      </w:r>
    </w:p>
  </w:footnote>
  <w:footnote w:id="25">
    <w:p w14:paraId="668FA73D" w14:textId="77777777" w:rsidR="006C4AAD" w:rsidRPr="00851DA1" w:rsidRDefault="006C4AAD" w:rsidP="006C4AAD">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أليكسيف</w:t>
      </w:r>
      <w:proofErr w:type="spellEnd"/>
      <w:r w:rsidRPr="00851DA1">
        <w:rPr>
          <w:i/>
          <w:iCs/>
          <w:rtl/>
        </w:rPr>
        <w:t xml:space="preserve"> ضد الاتحاد الروسي</w:t>
      </w:r>
      <w:r w:rsidRPr="00851DA1">
        <w:rPr>
          <w:rtl/>
        </w:rPr>
        <w:t xml:space="preserve">، الفقرة </w:t>
      </w:r>
      <w:r w:rsidRPr="00851DA1">
        <w:rPr>
          <w:szCs w:val="18"/>
          <w:rtl/>
        </w:rPr>
        <w:t>9</w:t>
      </w:r>
      <w:r w:rsidRPr="00851DA1">
        <w:rPr>
          <w:rtl/>
        </w:rPr>
        <w:t>-</w:t>
      </w:r>
      <w:r w:rsidRPr="00851DA1">
        <w:rPr>
          <w:szCs w:val="18"/>
          <w:rtl/>
        </w:rPr>
        <w:t>6</w:t>
      </w:r>
      <w:r w:rsidRPr="00851DA1">
        <w:rPr>
          <w:rtl/>
        </w:rPr>
        <w:t xml:space="preserve">. </w:t>
      </w:r>
    </w:p>
  </w:footnote>
  <w:footnote w:id="26">
    <w:p w14:paraId="73916B66" w14:textId="54489296"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الوثيقة </w:t>
      </w:r>
      <w:r w:rsidRPr="00851DA1">
        <w:rPr>
          <w:lang w:val="pt-BR"/>
        </w:rPr>
        <w:t>CCPR/C/GEO/CO/</w:t>
      </w:r>
      <w:r w:rsidRPr="00851DA1">
        <w:rPr>
          <w:szCs w:val="18"/>
          <w:lang w:val="pt-BR"/>
        </w:rPr>
        <w:t>4</w:t>
      </w:r>
      <w:r w:rsidRPr="00851DA1">
        <w:rPr>
          <w:rtl/>
        </w:rPr>
        <w:t xml:space="preserve">، الفقرة </w:t>
      </w:r>
      <w:r w:rsidRPr="00851DA1">
        <w:rPr>
          <w:szCs w:val="18"/>
          <w:rtl/>
        </w:rPr>
        <w:t>8</w:t>
      </w:r>
      <w:r w:rsidRPr="00851DA1">
        <w:rPr>
          <w:rtl/>
        </w:rPr>
        <w:t xml:space="preserve">؛ والوثيقة </w:t>
      </w:r>
      <w:r w:rsidRPr="00851DA1">
        <w:rPr>
          <w:lang w:val="pt-BR"/>
        </w:rPr>
        <w:t>CCPR/C/MNG/CO/</w:t>
      </w:r>
      <w:r w:rsidRPr="00851DA1">
        <w:rPr>
          <w:szCs w:val="18"/>
          <w:lang w:val="pt-BR"/>
        </w:rPr>
        <w:t>6</w:t>
      </w:r>
      <w:r w:rsidRPr="00851DA1">
        <w:rPr>
          <w:rtl/>
        </w:rPr>
        <w:t xml:space="preserve">، الفقرتان </w:t>
      </w:r>
      <w:r w:rsidRPr="00851DA1">
        <w:rPr>
          <w:szCs w:val="18"/>
          <w:rtl/>
        </w:rPr>
        <w:t>11</w:t>
      </w:r>
      <w:r w:rsidRPr="00851DA1">
        <w:rPr>
          <w:rtl/>
        </w:rPr>
        <w:t xml:space="preserve"> </w:t>
      </w:r>
      <w:proofErr w:type="spellStart"/>
      <w:r w:rsidRPr="00851DA1">
        <w:rPr>
          <w:rtl/>
        </w:rPr>
        <w:t>و</w:t>
      </w:r>
      <w:r w:rsidRPr="00851DA1">
        <w:rPr>
          <w:szCs w:val="18"/>
          <w:rtl/>
        </w:rPr>
        <w:t>12</w:t>
      </w:r>
      <w:proofErr w:type="spellEnd"/>
      <w:r w:rsidRPr="00851DA1">
        <w:rPr>
          <w:rtl/>
        </w:rPr>
        <w:t xml:space="preserve">؛ والوثيقة </w:t>
      </w:r>
      <w:r w:rsidRPr="00851DA1">
        <w:rPr>
          <w:rFonts w:cs="Calibri"/>
          <w:lang w:val="pt-BR"/>
        </w:rPr>
        <w:t>CCPR/C/RUS/CO/</w:t>
      </w:r>
      <w:r w:rsidRPr="00851DA1">
        <w:rPr>
          <w:rFonts w:cs="Calibri"/>
          <w:szCs w:val="18"/>
          <w:lang w:val="pt-BR"/>
        </w:rPr>
        <w:t>7</w:t>
      </w:r>
      <w:r w:rsidRPr="00851DA1">
        <w:rPr>
          <w:rtl/>
        </w:rPr>
        <w:t xml:space="preserve">، الفقرة </w:t>
      </w:r>
      <w:r w:rsidRPr="00851DA1">
        <w:rPr>
          <w:szCs w:val="18"/>
          <w:rtl/>
        </w:rPr>
        <w:t>10</w:t>
      </w:r>
      <w:r w:rsidRPr="00851DA1">
        <w:rPr>
          <w:rtl/>
        </w:rPr>
        <w:t xml:space="preserve">. والوثيقة </w:t>
      </w:r>
      <w:r w:rsidRPr="00851DA1">
        <w:rPr>
          <w:rFonts w:cs="Calibri"/>
        </w:rPr>
        <w:t>CCPR/C/PRY/CO/</w:t>
      </w:r>
      <w:r w:rsidRPr="00851DA1">
        <w:rPr>
          <w:rFonts w:cs="Calibri"/>
          <w:szCs w:val="18"/>
        </w:rPr>
        <w:t>3</w:t>
      </w:r>
      <w:r w:rsidRPr="00851DA1">
        <w:rPr>
          <w:rtl/>
        </w:rPr>
        <w:t xml:space="preserve">، الفقرة </w:t>
      </w:r>
      <w:r w:rsidRPr="00851DA1">
        <w:rPr>
          <w:szCs w:val="18"/>
          <w:rtl/>
        </w:rPr>
        <w:t>9</w:t>
      </w:r>
      <w:r w:rsidRPr="00851DA1">
        <w:rPr>
          <w:rtl/>
        </w:rPr>
        <w:t xml:space="preserve">. انظر أيضاً الوثيقة </w:t>
      </w:r>
      <w:r w:rsidRPr="00851DA1">
        <w:rPr>
          <w:rFonts w:eastAsia="Calibri"/>
        </w:rPr>
        <w:t>CRC/C/KEN/CO/</w:t>
      </w:r>
      <w:r w:rsidRPr="00851DA1">
        <w:rPr>
          <w:rFonts w:eastAsia="Calibri"/>
          <w:szCs w:val="18"/>
        </w:rPr>
        <w:t>3</w:t>
      </w:r>
      <w:r w:rsidRPr="00851DA1">
        <w:rPr>
          <w:rFonts w:eastAsia="Calibri"/>
        </w:rPr>
        <w:t>-</w:t>
      </w:r>
      <w:r w:rsidRPr="00851DA1">
        <w:rPr>
          <w:rFonts w:eastAsia="Calibri"/>
          <w:szCs w:val="18"/>
        </w:rPr>
        <w:t>5</w:t>
      </w:r>
      <w:r w:rsidRPr="00851DA1">
        <w:rPr>
          <w:rtl/>
        </w:rPr>
        <w:t xml:space="preserve">، الفقرتان </w:t>
      </w:r>
      <w:r w:rsidRPr="00851DA1">
        <w:rPr>
          <w:szCs w:val="18"/>
          <w:rtl/>
        </w:rPr>
        <w:t>27</w:t>
      </w:r>
      <w:r w:rsidRPr="00851DA1">
        <w:rPr>
          <w:rtl/>
        </w:rPr>
        <w:t>-</w:t>
      </w:r>
      <w:r w:rsidRPr="00851DA1">
        <w:rPr>
          <w:szCs w:val="18"/>
          <w:rtl/>
        </w:rPr>
        <w:t>28</w:t>
      </w:r>
      <w:r w:rsidRPr="00851DA1">
        <w:rPr>
          <w:rtl/>
        </w:rPr>
        <w:t xml:space="preserve">؛ وإعلان الأمم المتحدة بشأن حقوق الشعوب الأصلية، المادة </w:t>
      </w:r>
      <w:r w:rsidRPr="00851DA1">
        <w:rPr>
          <w:szCs w:val="18"/>
          <w:rtl/>
        </w:rPr>
        <w:t>2</w:t>
      </w:r>
      <w:r w:rsidRPr="00851DA1">
        <w:rPr>
          <w:rtl/>
        </w:rPr>
        <w:t>.</w:t>
      </w:r>
    </w:p>
  </w:footnote>
  <w:footnote w:id="27">
    <w:p w14:paraId="187C3C48" w14:textId="63262051"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Style w:val="FootnoteReference"/>
          <w:szCs w:val="26"/>
          <w:vertAlign w:val="baseline"/>
          <w:rtl/>
        </w:rPr>
        <w:t>الوثيقة</w:t>
      </w:r>
      <w:r w:rsidRPr="00851DA1">
        <w:rPr>
          <w:rtl/>
        </w:rPr>
        <w:t xml:space="preserve"> </w:t>
      </w:r>
      <w:r w:rsidRPr="00851DA1">
        <w:rPr>
          <w:lang w:val="pt-BR"/>
        </w:rPr>
        <w:t>A/HRC/</w:t>
      </w:r>
      <w:r w:rsidRPr="00851DA1">
        <w:rPr>
          <w:szCs w:val="18"/>
          <w:lang w:val="pt-BR"/>
        </w:rPr>
        <w:t>31</w:t>
      </w:r>
      <w:r w:rsidRPr="00851DA1">
        <w:rPr>
          <w:lang w:val="pt-BR"/>
        </w:rPr>
        <w:t>/</w:t>
      </w:r>
      <w:r w:rsidRPr="00851DA1">
        <w:rPr>
          <w:szCs w:val="18"/>
          <w:lang w:val="pt-BR"/>
        </w:rPr>
        <w:t>66</w:t>
      </w:r>
      <w:r w:rsidRPr="00851DA1">
        <w:rPr>
          <w:rtl/>
        </w:rPr>
        <w:t xml:space="preserve">، الفقرة </w:t>
      </w:r>
      <w:r w:rsidRPr="00851DA1">
        <w:rPr>
          <w:szCs w:val="18"/>
          <w:rtl/>
        </w:rPr>
        <w:t>16</w:t>
      </w:r>
      <w:r w:rsidRPr="00851DA1">
        <w:rPr>
          <w:rtl/>
        </w:rPr>
        <w:t>.</w:t>
      </w:r>
    </w:p>
  </w:footnote>
  <w:footnote w:id="28">
    <w:p w14:paraId="34E9A39B" w14:textId="286E3D6A"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lang w:val="pt-BR"/>
        </w:rPr>
        <w:t>CCPR/C/CHL/CO/</w:t>
      </w:r>
      <w:r w:rsidRPr="00851DA1">
        <w:rPr>
          <w:szCs w:val="18"/>
          <w:lang w:val="pt-BR"/>
        </w:rPr>
        <w:t>6</w:t>
      </w:r>
      <w:r w:rsidRPr="00851DA1">
        <w:rPr>
          <w:rtl/>
        </w:rPr>
        <w:t xml:space="preserve">، الفقرة </w:t>
      </w:r>
      <w:r w:rsidRPr="00851DA1">
        <w:rPr>
          <w:szCs w:val="18"/>
          <w:rtl/>
        </w:rPr>
        <w:t>19</w:t>
      </w:r>
      <w:r w:rsidRPr="00851DA1">
        <w:rPr>
          <w:rtl/>
        </w:rPr>
        <w:t xml:space="preserve">. انظر أيضاً </w:t>
      </w:r>
      <w:proofErr w:type="spellStart"/>
      <w:r w:rsidRPr="00851DA1">
        <w:rPr>
          <w:i/>
          <w:iCs/>
          <w:rtl/>
        </w:rPr>
        <w:t>فيدوتوفا</w:t>
      </w:r>
      <w:proofErr w:type="spellEnd"/>
      <w:r w:rsidRPr="00851DA1">
        <w:rPr>
          <w:i/>
          <w:iCs/>
          <w:rtl/>
        </w:rPr>
        <w:t xml:space="preserve"> ضد الاتحاد الروسي</w:t>
      </w:r>
      <w:r w:rsidRPr="00851DA1">
        <w:rPr>
          <w:rtl/>
        </w:rPr>
        <w:t xml:space="preserve"> (</w:t>
      </w:r>
      <w:r w:rsidRPr="00851DA1">
        <w:t>CCPR/C/</w:t>
      </w:r>
      <w:r w:rsidRPr="00851DA1">
        <w:rPr>
          <w:szCs w:val="18"/>
        </w:rPr>
        <w:t>106</w:t>
      </w:r>
      <w:r w:rsidRPr="00851DA1">
        <w:t>/D/</w:t>
      </w:r>
      <w:r w:rsidRPr="00851DA1">
        <w:rPr>
          <w:szCs w:val="18"/>
        </w:rPr>
        <w:t>1932</w:t>
      </w:r>
      <w:r w:rsidRPr="00851DA1">
        <w:t>/</w:t>
      </w:r>
      <w:r w:rsidRPr="00851DA1">
        <w:rPr>
          <w:szCs w:val="18"/>
        </w:rPr>
        <w:t>2010</w:t>
      </w:r>
      <w:r w:rsidRPr="00851DA1">
        <w:rPr>
          <w:rtl/>
        </w:rPr>
        <w:t xml:space="preserve">)، الفقرة </w:t>
      </w:r>
      <w:r w:rsidRPr="00851DA1">
        <w:rPr>
          <w:szCs w:val="18"/>
          <w:rtl/>
        </w:rPr>
        <w:t>10</w:t>
      </w:r>
      <w:r w:rsidRPr="00851DA1">
        <w:rPr>
          <w:rtl/>
        </w:rPr>
        <w:t>-</w:t>
      </w:r>
      <w:r w:rsidRPr="00851DA1">
        <w:rPr>
          <w:szCs w:val="18"/>
          <w:rtl/>
        </w:rPr>
        <w:t>4</w:t>
      </w:r>
      <w:r w:rsidRPr="00851DA1">
        <w:rPr>
          <w:rtl/>
        </w:rPr>
        <w:t xml:space="preserve">. </w:t>
      </w:r>
    </w:p>
  </w:footnote>
  <w:footnote w:id="29">
    <w:p w14:paraId="0D1174BE" w14:textId="7AF5EDB2"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المحكمة الأوروبية لحقوق الإنسان، </w:t>
      </w:r>
      <w:r w:rsidRPr="00851DA1">
        <w:rPr>
          <w:rtl/>
          <w:lang w:val="fr-CH"/>
        </w:rPr>
        <w:t>المنصة</w:t>
      </w:r>
      <w:r w:rsidRPr="00851DA1">
        <w:rPr>
          <w:rtl/>
        </w:rPr>
        <w:t xml:space="preserve"> </w:t>
      </w:r>
      <w:r w:rsidRPr="00851DA1">
        <w:rPr>
          <w:i/>
          <w:iCs/>
          <w:rtl/>
        </w:rPr>
        <w:t>"</w:t>
      </w:r>
      <w:r w:rsidRPr="00851DA1">
        <w:rPr>
          <w:i/>
          <w:iCs/>
        </w:rPr>
        <w:t>Ärzte</w:t>
      </w:r>
      <w:r w:rsidR="00851DA1">
        <w:rPr>
          <w:i/>
          <w:iCs/>
        </w:rPr>
        <w:t> </w:t>
      </w:r>
      <w:proofErr w:type="spellStart"/>
      <w:r w:rsidRPr="00851DA1">
        <w:rPr>
          <w:i/>
          <w:iCs/>
        </w:rPr>
        <w:t>für</w:t>
      </w:r>
      <w:proofErr w:type="spellEnd"/>
      <w:r w:rsidR="00851DA1">
        <w:rPr>
          <w:i/>
          <w:iCs/>
        </w:rPr>
        <w:t> </w:t>
      </w:r>
      <w:r w:rsidRPr="00851DA1">
        <w:rPr>
          <w:i/>
          <w:iCs/>
        </w:rPr>
        <w:t>das</w:t>
      </w:r>
      <w:r w:rsidR="00851DA1">
        <w:rPr>
          <w:i/>
          <w:iCs/>
        </w:rPr>
        <w:t> </w:t>
      </w:r>
      <w:r w:rsidRPr="00851DA1">
        <w:rPr>
          <w:i/>
          <w:iCs/>
        </w:rPr>
        <w:t>Leben</w:t>
      </w:r>
      <w:r w:rsidRPr="00851DA1">
        <w:rPr>
          <w:i/>
          <w:iCs/>
          <w:rtl/>
        </w:rPr>
        <w:t xml:space="preserve">" ضد النمسا </w:t>
      </w:r>
      <w:r w:rsidRPr="00851DA1">
        <w:rPr>
          <w:rtl/>
        </w:rPr>
        <w:t xml:space="preserve">(الدعوى رقم </w:t>
      </w:r>
      <w:r w:rsidRPr="00851DA1">
        <w:rPr>
          <w:szCs w:val="18"/>
        </w:rPr>
        <w:t>82</w:t>
      </w:r>
      <w:r w:rsidRPr="00851DA1">
        <w:t>/</w:t>
      </w:r>
      <w:r w:rsidRPr="00851DA1">
        <w:rPr>
          <w:szCs w:val="18"/>
        </w:rPr>
        <w:t>10126</w:t>
      </w:r>
      <w:r w:rsidRPr="00851DA1">
        <w:rPr>
          <w:rtl/>
        </w:rPr>
        <w:t xml:space="preserve">)، الحكم الصادر في </w:t>
      </w:r>
      <w:r w:rsidRPr="00851DA1">
        <w:rPr>
          <w:szCs w:val="18"/>
          <w:rtl/>
        </w:rPr>
        <w:t>21</w:t>
      </w:r>
      <w:r w:rsidRPr="00851DA1">
        <w:rPr>
          <w:rtl/>
        </w:rPr>
        <w:t xml:space="preserve"> حزيران/</w:t>
      </w:r>
      <w:proofErr w:type="gramStart"/>
      <w:r w:rsidRPr="00851DA1">
        <w:rPr>
          <w:rtl/>
        </w:rPr>
        <w:t>يونيه</w:t>
      </w:r>
      <w:proofErr w:type="gramEnd"/>
      <w:r w:rsidRPr="00851DA1">
        <w:rPr>
          <w:rtl/>
        </w:rPr>
        <w:t xml:space="preserve"> </w:t>
      </w:r>
      <w:r w:rsidRPr="00851DA1">
        <w:rPr>
          <w:szCs w:val="18"/>
          <w:rtl/>
        </w:rPr>
        <w:t>1988</w:t>
      </w:r>
      <w:r w:rsidRPr="00851DA1">
        <w:rPr>
          <w:rtl/>
        </w:rPr>
        <w:t xml:space="preserve">، الفقرة </w:t>
      </w:r>
      <w:r w:rsidRPr="00851DA1">
        <w:rPr>
          <w:szCs w:val="18"/>
          <w:rtl/>
        </w:rPr>
        <w:t>32</w:t>
      </w:r>
      <w:r w:rsidRPr="00851DA1">
        <w:rPr>
          <w:rtl/>
        </w:rPr>
        <w:t>.</w:t>
      </w:r>
      <w:r w:rsidRPr="00851DA1">
        <w:t xml:space="preserve"> </w:t>
      </w:r>
    </w:p>
  </w:footnote>
  <w:footnote w:id="30">
    <w:p w14:paraId="2A7F61B4" w14:textId="3DB1DEA0"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اللجنة الأفريقية لحقوق الإنسان والشعوب، </w:t>
      </w:r>
      <w:r w:rsidRPr="00851DA1">
        <w:rPr>
          <w:i/>
          <w:iCs/>
          <w:rtl/>
        </w:rPr>
        <w:t>مبادئ توجيهية بشأن حرية تكوين الجمعيات والتجمع في أفريقيا</w:t>
      </w:r>
      <w:r w:rsidRPr="00851DA1">
        <w:rPr>
          <w:rtl/>
        </w:rPr>
        <w:t xml:space="preserve">، الفقرة </w:t>
      </w:r>
      <w:r w:rsidRPr="00851DA1">
        <w:rPr>
          <w:szCs w:val="18"/>
          <w:rtl/>
        </w:rPr>
        <w:t>70</w:t>
      </w:r>
      <w:r w:rsidRPr="00851DA1">
        <w:rPr>
          <w:rtl/>
        </w:rPr>
        <w:t>(أ).</w:t>
      </w:r>
    </w:p>
  </w:footnote>
  <w:footnote w:id="31">
    <w:p w14:paraId="1F239665" w14:textId="1CD58E59"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جاغيباروف</w:t>
      </w:r>
      <w:proofErr w:type="spellEnd"/>
      <w:r w:rsidRPr="00851DA1">
        <w:rPr>
          <w:i/>
          <w:iCs/>
          <w:rtl/>
        </w:rPr>
        <w:t xml:space="preserve"> ضد كازاخستان</w:t>
      </w:r>
      <w:r w:rsidRPr="00851DA1">
        <w:rPr>
          <w:rtl/>
        </w:rPr>
        <w:t xml:space="preserve"> (</w:t>
      </w:r>
      <w:r w:rsidRPr="00851DA1">
        <w:t>CCPR/C/</w:t>
      </w:r>
      <w:r w:rsidRPr="00851DA1">
        <w:rPr>
          <w:szCs w:val="18"/>
        </w:rPr>
        <w:t>124</w:t>
      </w:r>
      <w:r w:rsidRPr="00851DA1">
        <w:t>/D/</w:t>
      </w:r>
      <w:r w:rsidRPr="00851DA1">
        <w:rPr>
          <w:szCs w:val="18"/>
        </w:rPr>
        <w:t>2441</w:t>
      </w:r>
      <w:r w:rsidRPr="00851DA1">
        <w:t>/</w:t>
      </w:r>
      <w:r w:rsidRPr="00851DA1">
        <w:rPr>
          <w:szCs w:val="18"/>
        </w:rPr>
        <w:t>2014</w:t>
      </w:r>
      <w:r w:rsidRPr="00851DA1">
        <w:rPr>
          <w:rtl/>
        </w:rPr>
        <w:t xml:space="preserve">)، الفقرات من </w:t>
      </w:r>
      <w:r w:rsidRPr="00851DA1">
        <w:rPr>
          <w:szCs w:val="18"/>
          <w:rtl/>
        </w:rPr>
        <w:t>13</w:t>
      </w:r>
      <w:r w:rsidRPr="00851DA1">
        <w:rPr>
          <w:rtl/>
        </w:rPr>
        <w:t>-</w:t>
      </w:r>
      <w:r w:rsidRPr="00851DA1">
        <w:rPr>
          <w:szCs w:val="18"/>
          <w:rtl/>
        </w:rPr>
        <w:t>2</w:t>
      </w:r>
      <w:r w:rsidRPr="00851DA1">
        <w:rPr>
          <w:rtl/>
        </w:rPr>
        <w:t xml:space="preserve"> إلى </w:t>
      </w:r>
      <w:r w:rsidRPr="00851DA1">
        <w:rPr>
          <w:szCs w:val="18"/>
          <w:rtl/>
        </w:rPr>
        <w:t>13</w:t>
      </w:r>
      <w:r w:rsidRPr="00851DA1">
        <w:rPr>
          <w:rtl/>
        </w:rPr>
        <w:t>-</w:t>
      </w:r>
      <w:r w:rsidRPr="00851DA1">
        <w:rPr>
          <w:szCs w:val="18"/>
          <w:rtl/>
        </w:rPr>
        <w:t>5</w:t>
      </w:r>
      <w:r w:rsidRPr="00851DA1">
        <w:rPr>
          <w:rtl/>
        </w:rPr>
        <w:t>. انظر أيضاً الإعلان المتعلق بحق ومسؤولية الأفراد والجماعات وهيئات المجتمع في تعزيز وحماية حقوق الإنسان والحريات الأساسية المعترف بها عالمياً.</w:t>
      </w:r>
    </w:p>
  </w:footnote>
  <w:footnote w:id="32">
    <w:p w14:paraId="2A47F37B" w14:textId="12C9BF3C"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الوثيقة </w:t>
      </w:r>
      <w:r w:rsidRPr="00851DA1">
        <w:t>CCPR/C/MRT/CO/</w:t>
      </w:r>
      <w:r w:rsidRPr="00851DA1">
        <w:rPr>
          <w:szCs w:val="18"/>
        </w:rPr>
        <w:t>1</w:t>
      </w:r>
      <w:r w:rsidRPr="00851DA1">
        <w:rPr>
          <w:rtl/>
        </w:rPr>
        <w:t xml:space="preserve">، الفقرة </w:t>
      </w:r>
      <w:r w:rsidRPr="00851DA1">
        <w:rPr>
          <w:szCs w:val="18"/>
          <w:rtl/>
        </w:rPr>
        <w:t>22</w:t>
      </w:r>
      <w:r w:rsidRPr="00851DA1">
        <w:rPr>
          <w:rtl/>
        </w:rPr>
        <w:t xml:space="preserve">. انظر أيضاً قرار الجمعية العامة </w:t>
      </w:r>
      <w:r w:rsidRPr="00851DA1">
        <w:rPr>
          <w:szCs w:val="18"/>
          <w:rtl/>
        </w:rPr>
        <w:t>66</w:t>
      </w:r>
      <w:r w:rsidRPr="00851DA1">
        <w:rPr>
          <w:sz w:val="10"/>
          <w:szCs w:val="18"/>
          <w:rtl/>
        </w:rPr>
        <w:t>/</w:t>
      </w:r>
      <w:r w:rsidRPr="00851DA1">
        <w:rPr>
          <w:szCs w:val="18"/>
          <w:rtl/>
        </w:rPr>
        <w:t>164</w:t>
      </w:r>
      <w:r w:rsidRPr="00851DA1">
        <w:rPr>
          <w:rtl/>
        </w:rPr>
        <w:t>.</w:t>
      </w:r>
    </w:p>
  </w:footnote>
  <w:footnote w:id="33">
    <w:p w14:paraId="314FD15A" w14:textId="5CD99C69"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المبادئ التوجيهية بشأن الأعمال التجارية وحقوق الإنسان: تنفيذ إطار الأمم المتحدة "الحماية والاحترام والانتصاف".</w:t>
      </w:r>
    </w:p>
  </w:footnote>
  <w:footnote w:id="34">
    <w:p w14:paraId="0954C4D9" w14:textId="4155508C"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34</w:t>
      </w:r>
      <w:r w:rsidRPr="00851DA1">
        <w:rPr>
          <w:rtl/>
        </w:rPr>
        <w:t>(</w:t>
      </w:r>
      <w:r w:rsidRPr="00851DA1">
        <w:rPr>
          <w:sz w:val="26"/>
          <w:rtl/>
        </w:rPr>
        <w:t>(</w:t>
      </w:r>
      <w:r w:rsidRPr="00851DA1">
        <w:rPr>
          <w:szCs w:val="18"/>
        </w:rPr>
        <w:t>2011</w:t>
      </w:r>
      <w:r w:rsidRPr="00851DA1">
        <w:rPr>
          <w:rFonts w:hint="cs"/>
          <w:rtl/>
        </w:rPr>
        <w:t xml:space="preserve"> </w:t>
      </w:r>
      <w:r w:rsidRPr="00851DA1">
        <w:rPr>
          <w:rtl/>
        </w:rPr>
        <w:t xml:space="preserve">بشأن حرية الرأي والتعبير، الفقرات </w:t>
      </w:r>
      <w:r w:rsidRPr="00851DA1">
        <w:rPr>
          <w:szCs w:val="18"/>
          <w:rtl/>
        </w:rPr>
        <w:t>34</w:t>
      </w:r>
      <w:r w:rsidRPr="00851DA1">
        <w:rPr>
          <w:rtl/>
        </w:rPr>
        <w:t xml:space="preserve">، </w:t>
      </w:r>
      <w:proofErr w:type="spellStart"/>
      <w:r w:rsidRPr="00851DA1">
        <w:rPr>
          <w:rtl/>
        </w:rPr>
        <w:t>و</w:t>
      </w:r>
      <w:r w:rsidRPr="00851DA1">
        <w:rPr>
          <w:szCs w:val="18"/>
          <w:rtl/>
        </w:rPr>
        <w:t>37</w:t>
      </w:r>
      <w:proofErr w:type="spellEnd"/>
      <w:r w:rsidRPr="00851DA1">
        <w:rPr>
          <w:rtl/>
        </w:rPr>
        <w:t>-</w:t>
      </w:r>
      <w:r w:rsidRPr="00851DA1">
        <w:rPr>
          <w:szCs w:val="18"/>
          <w:rtl/>
        </w:rPr>
        <w:t>38</w:t>
      </w:r>
      <w:r w:rsidRPr="00851DA1">
        <w:rPr>
          <w:rtl/>
        </w:rPr>
        <w:t xml:space="preserve"> </w:t>
      </w:r>
      <w:proofErr w:type="spellStart"/>
      <w:r w:rsidRPr="00851DA1">
        <w:rPr>
          <w:rtl/>
        </w:rPr>
        <w:t>و</w:t>
      </w:r>
      <w:r w:rsidRPr="00851DA1">
        <w:rPr>
          <w:szCs w:val="18"/>
          <w:rtl/>
        </w:rPr>
        <w:t>42</w:t>
      </w:r>
      <w:proofErr w:type="spellEnd"/>
      <w:r w:rsidRPr="00851DA1">
        <w:rPr>
          <w:rtl/>
        </w:rPr>
        <w:t>-</w:t>
      </w:r>
      <w:r w:rsidRPr="00851DA1">
        <w:rPr>
          <w:szCs w:val="18"/>
          <w:rtl/>
        </w:rPr>
        <w:t>43</w:t>
      </w:r>
      <w:r w:rsidRPr="00851DA1">
        <w:rPr>
          <w:rtl/>
        </w:rPr>
        <w:t>. انظر أيضاً الوثيقة (</w:t>
      </w:r>
      <w:r w:rsidRPr="00851DA1">
        <w:t>CCPR/C/LAO/CO/</w:t>
      </w:r>
      <w:r w:rsidRPr="00851DA1">
        <w:rPr>
          <w:szCs w:val="18"/>
        </w:rPr>
        <w:t>1</w:t>
      </w:r>
      <w:r w:rsidRPr="00851DA1">
        <w:rPr>
          <w:rtl/>
        </w:rPr>
        <w:t xml:space="preserve">)، الفقرة </w:t>
      </w:r>
      <w:r w:rsidRPr="00851DA1">
        <w:rPr>
          <w:szCs w:val="18"/>
          <w:rtl/>
        </w:rPr>
        <w:t>33</w:t>
      </w:r>
      <w:r w:rsidRPr="00851DA1">
        <w:rPr>
          <w:rtl/>
        </w:rPr>
        <w:t>.</w:t>
      </w:r>
    </w:p>
  </w:footnote>
  <w:footnote w:id="35">
    <w:p w14:paraId="4FAC9EDB" w14:textId="78B4543D"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تولزينكوفا</w:t>
      </w:r>
      <w:proofErr w:type="spellEnd"/>
      <w:r w:rsidRPr="00851DA1">
        <w:rPr>
          <w:i/>
          <w:iCs/>
          <w:rtl/>
        </w:rPr>
        <w:t xml:space="preserve"> ضد بيلاروس</w:t>
      </w:r>
      <w:r w:rsidRPr="00851DA1">
        <w:rPr>
          <w:rtl/>
        </w:rPr>
        <w:t xml:space="preserve"> (</w:t>
      </w:r>
      <w:r w:rsidRPr="00851DA1">
        <w:t>CCPR/C/</w:t>
      </w:r>
      <w:r w:rsidRPr="00851DA1">
        <w:rPr>
          <w:szCs w:val="18"/>
        </w:rPr>
        <w:t>103</w:t>
      </w:r>
      <w:r w:rsidRPr="00851DA1">
        <w:t>/D/</w:t>
      </w:r>
      <w:r w:rsidRPr="00851DA1">
        <w:rPr>
          <w:szCs w:val="18"/>
        </w:rPr>
        <w:t>1838</w:t>
      </w:r>
      <w:r w:rsidRPr="00851DA1">
        <w:t>/</w:t>
      </w:r>
      <w:r w:rsidRPr="00851DA1">
        <w:rPr>
          <w:szCs w:val="18"/>
        </w:rPr>
        <w:t>2008</w:t>
      </w:r>
      <w:r w:rsidRPr="00851DA1">
        <w:rPr>
          <w:rtl/>
        </w:rPr>
        <w:t xml:space="preserve">)، الفقرة </w:t>
      </w:r>
      <w:r w:rsidRPr="00851DA1">
        <w:rPr>
          <w:szCs w:val="18"/>
          <w:rtl/>
        </w:rPr>
        <w:t>9</w:t>
      </w:r>
      <w:r w:rsidRPr="00851DA1">
        <w:rPr>
          <w:rtl/>
        </w:rPr>
        <w:t>-</w:t>
      </w:r>
      <w:r w:rsidRPr="00851DA1">
        <w:rPr>
          <w:szCs w:val="18"/>
          <w:rtl/>
        </w:rPr>
        <w:t>3</w:t>
      </w:r>
      <w:r w:rsidRPr="00851DA1">
        <w:rPr>
          <w:rtl/>
        </w:rPr>
        <w:t xml:space="preserve">. </w:t>
      </w:r>
    </w:p>
  </w:footnote>
  <w:footnote w:id="36">
    <w:p w14:paraId="7D6CB411" w14:textId="078D7874"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إفريزوف</w:t>
      </w:r>
      <w:proofErr w:type="spellEnd"/>
      <w:r w:rsidRPr="00851DA1">
        <w:rPr>
          <w:i/>
          <w:iCs/>
          <w:rtl/>
        </w:rPr>
        <w:t xml:space="preserve"> وآخرون ضد بيلاروس</w:t>
      </w:r>
      <w:r w:rsidRPr="00851DA1">
        <w:rPr>
          <w:rFonts w:hint="cs"/>
          <w:rtl/>
        </w:rPr>
        <w:t xml:space="preserve"> </w:t>
      </w:r>
      <w:r w:rsidRPr="00851DA1">
        <w:rPr>
          <w:rtl/>
        </w:rPr>
        <w:t>(</w:t>
      </w:r>
      <w:r w:rsidRPr="00851DA1">
        <w:rPr>
          <w:lang w:val="es-ES"/>
        </w:rPr>
        <w:t>CCPR/C/</w:t>
      </w:r>
      <w:r w:rsidRPr="00851DA1">
        <w:rPr>
          <w:szCs w:val="18"/>
          <w:lang w:val="es-ES"/>
        </w:rPr>
        <w:t>112</w:t>
      </w:r>
      <w:r w:rsidRPr="00851DA1">
        <w:rPr>
          <w:lang w:val="es-ES"/>
        </w:rPr>
        <w:t>/D/</w:t>
      </w:r>
      <w:r w:rsidRPr="00851DA1">
        <w:rPr>
          <w:szCs w:val="18"/>
          <w:lang w:val="es-ES"/>
        </w:rPr>
        <w:t>1999</w:t>
      </w:r>
      <w:r w:rsidRPr="00851DA1">
        <w:rPr>
          <w:lang w:val="es-ES"/>
        </w:rPr>
        <w:t>/</w:t>
      </w:r>
      <w:r w:rsidRPr="00851DA1">
        <w:rPr>
          <w:szCs w:val="18"/>
          <w:lang w:val="es-ES"/>
        </w:rPr>
        <w:t>2010</w:t>
      </w:r>
      <w:r w:rsidRPr="00851DA1">
        <w:rPr>
          <w:rtl/>
          <w:lang w:val="es-ES"/>
        </w:rPr>
        <w:t xml:space="preserve"> </w:t>
      </w:r>
      <w:r w:rsidRPr="00851DA1">
        <w:rPr>
          <w:rtl/>
        </w:rPr>
        <w:t>و</w:t>
      </w:r>
      <w:proofErr w:type="spellStart"/>
      <w:r w:rsidRPr="00851DA1">
        <w:t>Corr.</w:t>
      </w:r>
      <w:r w:rsidRPr="00851DA1">
        <w:rPr>
          <w:szCs w:val="18"/>
        </w:rPr>
        <w:t>1</w:t>
      </w:r>
      <w:proofErr w:type="spellEnd"/>
      <w:r w:rsidRPr="00851DA1">
        <w:rPr>
          <w:rtl/>
        </w:rPr>
        <w:t xml:space="preserve">)، الفقرة </w:t>
      </w:r>
      <w:r w:rsidRPr="00851DA1">
        <w:rPr>
          <w:szCs w:val="18"/>
          <w:rtl/>
        </w:rPr>
        <w:t>8</w:t>
      </w:r>
      <w:r w:rsidRPr="00851DA1">
        <w:rPr>
          <w:rtl/>
        </w:rPr>
        <w:t>-</w:t>
      </w:r>
      <w:r w:rsidRPr="00851DA1">
        <w:rPr>
          <w:szCs w:val="18"/>
          <w:rtl/>
        </w:rPr>
        <w:t>5</w:t>
      </w:r>
      <w:r w:rsidRPr="00851DA1">
        <w:rPr>
          <w:rtl/>
        </w:rPr>
        <w:t>.</w:t>
      </w:r>
    </w:p>
  </w:footnote>
  <w:footnote w:id="37">
    <w:p w14:paraId="197F7097" w14:textId="546DF179"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الوثيقة </w:t>
      </w:r>
      <w:r w:rsidRPr="00851DA1">
        <w:rPr>
          <w:lang w:val="es-ES"/>
        </w:rPr>
        <w:t>CCPR/C/CMR/CO/</w:t>
      </w:r>
      <w:r w:rsidRPr="00851DA1">
        <w:rPr>
          <w:szCs w:val="18"/>
          <w:lang w:val="es-ES"/>
        </w:rPr>
        <w:t>5</w:t>
      </w:r>
      <w:r w:rsidRPr="00851DA1">
        <w:rPr>
          <w:rtl/>
        </w:rPr>
        <w:t xml:space="preserve">، الفقرة </w:t>
      </w:r>
      <w:r w:rsidRPr="00851DA1">
        <w:rPr>
          <w:szCs w:val="18"/>
          <w:rtl/>
        </w:rPr>
        <w:t>41</w:t>
      </w:r>
      <w:r w:rsidRPr="00851DA1">
        <w:rPr>
          <w:rtl/>
        </w:rPr>
        <w:t xml:space="preserve">. </w:t>
      </w:r>
    </w:p>
  </w:footnote>
  <w:footnote w:id="38">
    <w:p w14:paraId="02E3C479" w14:textId="55DC0A07"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34</w:t>
      </w:r>
      <w:r w:rsidRPr="00851DA1">
        <w:rPr>
          <w:rtl/>
        </w:rPr>
        <w:t xml:space="preserve">، الفقرة </w:t>
      </w:r>
      <w:r w:rsidRPr="00851DA1">
        <w:rPr>
          <w:szCs w:val="18"/>
          <w:rtl/>
        </w:rPr>
        <w:t>34</w:t>
      </w:r>
      <w:r w:rsidRPr="00851DA1">
        <w:rPr>
          <w:rtl/>
        </w:rPr>
        <w:t>.</w:t>
      </w:r>
    </w:p>
  </w:footnote>
  <w:footnote w:id="39">
    <w:p w14:paraId="1704CF32" w14:textId="426E8051"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i/>
          <w:iCs/>
          <w:rtl/>
        </w:rPr>
        <w:t>غريب ضد بيلاروس</w:t>
      </w:r>
      <w:r w:rsidRPr="00851DA1">
        <w:rPr>
          <w:rtl/>
        </w:rPr>
        <w:t xml:space="preserve"> (</w:t>
      </w:r>
      <w:r w:rsidRPr="00851DA1">
        <w:rPr>
          <w:lang w:val="es-ES"/>
        </w:rPr>
        <w:t>CCPR/C/</w:t>
      </w:r>
      <w:r w:rsidRPr="00851DA1">
        <w:rPr>
          <w:szCs w:val="18"/>
          <w:lang w:val="es-ES"/>
        </w:rPr>
        <w:t>103</w:t>
      </w:r>
      <w:r w:rsidRPr="00851DA1">
        <w:rPr>
          <w:lang w:val="es-ES"/>
        </w:rPr>
        <w:t>/D/</w:t>
      </w:r>
      <w:r w:rsidRPr="00851DA1">
        <w:rPr>
          <w:szCs w:val="18"/>
          <w:lang w:val="es-ES"/>
        </w:rPr>
        <w:t>1316</w:t>
      </w:r>
      <w:r w:rsidRPr="00851DA1">
        <w:rPr>
          <w:lang w:val="es-ES"/>
        </w:rPr>
        <w:t>/</w:t>
      </w:r>
      <w:r w:rsidRPr="00851DA1">
        <w:rPr>
          <w:szCs w:val="18"/>
          <w:lang w:val="es-ES"/>
        </w:rPr>
        <w:t>2004</w:t>
      </w:r>
      <w:r w:rsidRPr="00851DA1">
        <w:rPr>
          <w:rtl/>
        </w:rPr>
        <w:t xml:space="preserve">)، الفقرة </w:t>
      </w:r>
      <w:r w:rsidRPr="00851DA1">
        <w:rPr>
          <w:szCs w:val="18"/>
          <w:rtl/>
        </w:rPr>
        <w:t>13</w:t>
      </w:r>
      <w:r w:rsidRPr="00851DA1">
        <w:rPr>
          <w:rtl/>
        </w:rPr>
        <w:t>-</w:t>
      </w:r>
      <w:r w:rsidRPr="00851DA1">
        <w:rPr>
          <w:szCs w:val="18"/>
          <w:rtl/>
        </w:rPr>
        <w:t>4</w:t>
      </w:r>
      <w:r w:rsidRPr="00851DA1">
        <w:rPr>
          <w:rtl/>
        </w:rPr>
        <w:t>.</w:t>
      </w:r>
      <w:r w:rsidRPr="00851DA1">
        <w:rPr>
          <w:rFonts w:cs="Times New Roman" w:hint="cs"/>
          <w:rtl/>
        </w:rPr>
        <w:t>‬</w:t>
      </w:r>
      <w:r w:rsidRPr="00851DA1">
        <w:rPr>
          <w:rtl/>
        </w:rPr>
        <w:t xml:space="preserve"> </w:t>
      </w:r>
    </w:p>
  </w:footnote>
  <w:footnote w:id="40">
    <w:p w14:paraId="6C6FC9AB" w14:textId="54DCFB46"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تشيبوتاريفا</w:t>
      </w:r>
      <w:proofErr w:type="spellEnd"/>
      <w:r w:rsidRPr="00851DA1">
        <w:rPr>
          <w:i/>
          <w:iCs/>
          <w:rtl/>
        </w:rPr>
        <w:t xml:space="preserve"> ضد الاتحاد الروسي</w:t>
      </w:r>
      <w:r w:rsidRPr="00851DA1">
        <w:rPr>
          <w:rtl/>
        </w:rPr>
        <w:t xml:space="preserve"> (</w:t>
      </w:r>
      <w:r w:rsidRPr="00851DA1">
        <w:rPr>
          <w:lang w:val="es-ES"/>
        </w:rPr>
        <w:t>CCPR/C/</w:t>
      </w:r>
      <w:r w:rsidRPr="00851DA1">
        <w:rPr>
          <w:szCs w:val="18"/>
          <w:lang w:val="es-ES"/>
        </w:rPr>
        <w:t>104</w:t>
      </w:r>
      <w:r w:rsidRPr="00851DA1">
        <w:rPr>
          <w:lang w:val="es-ES"/>
        </w:rPr>
        <w:t>/D/</w:t>
      </w:r>
      <w:r w:rsidRPr="00851DA1">
        <w:rPr>
          <w:szCs w:val="18"/>
          <w:lang w:val="es-ES"/>
        </w:rPr>
        <w:t>1866</w:t>
      </w:r>
      <w:r w:rsidRPr="00851DA1">
        <w:rPr>
          <w:lang w:val="es-ES"/>
        </w:rPr>
        <w:t>/</w:t>
      </w:r>
      <w:r w:rsidRPr="00851DA1">
        <w:rPr>
          <w:szCs w:val="18"/>
          <w:lang w:val="es-ES"/>
        </w:rPr>
        <w:t>2009</w:t>
      </w:r>
      <w:r w:rsidRPr="00851DA1">
        <w:rPr>
          <w:rtl/>
        </w:rPr>
        <w:t xml:space="preserve">)، الفقرة </w:t>
      </w:r>
      <w:r w:rsidRPr="00851DA1">
        <w:rPr>
          <w:szCs w:val="18"/>
          <w:rtl/>
        </w:rPr>
        <w:t>9</w:t>
      </w:r>
      <w:r w:rsidRPr="00851DA1">
        <w:rPr>
          <w:rtl/>
        </w:rPr>
        <w:t>-</w:t>
      </w:r>
      <w:r w:rsidRPr="00851DA1">
        <w:rPr>
          <w:szCs w:val="18"/>
          <w:rtl/>
        </w:rPr>
        <w:t>3</w:t>
      </w:r>
      <w:r w:rsidRPr="00851DA1">
        <w:rPr>
          <w:rtl/>
        </w:rPr>
        <w:t xml:space="preserve">. </w:t>
      </w:r>
    </w:p>
  </w:footnote>
  <w:footnote w:id="41">
    <w:p w14:paraId="1555DA15" w14:textId="75BED190"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تورتشنياك</w:t>
      </w:r>
      <w:proofErr w:type="spellEnd"/>
      <w:r w:rsidRPr="00851DA1">
        <w:rPr>
          <w:i/>
          <w:iCs/>
          <w:rtl/>
        </w:rPr>
        <w:t xml:space="preserve"> وآخرون ضد بيلاروس</w:t>
      </w:r>
      <w:r w:rsidRPr="00851DA1">
        <w:rPr>
          <w:rtl/>
        </w:rPr>
        <w:t xml:space="preserve">، الفقرة </w:t>
      </w:r>
      <w:r w:rsidRPr="00851DA1">
        <w:rPr>
          <w:szCs w:val="18"/>
          <w:rtl/>
        </w:rPr>
        <w:t>7</w:t>
      </w:r>
      <w:r w:rsidRPr="00851DA1">
        <w:rPr>
          <w:rtl/>
        </w:rPr>
        <w:t>-</w:t>
      </w:r>
      <w:r w:rsidRPr="00851DA1">
        <w:rPr>
          <w:szCs w:val="18"/>
          <w:rtl/>
        </w:rPr>
        <w:t>4</w:t>
      </w:r>
      <w:r w:rsidRPr="00851DA1">
        <w:rPr>
          <w:rtl/>
        </w:rPr>
        <w:t>.</w:t>
      </w:r>
      <w:r w:rsidRPr="00851DA1">
        <w:rPr>
          <w:rFonts w:cs="Times New Roman" w:hint="cs"/>
          <w:rtl/>
        </w:rPr>
        <w:t>‬</w:t>
      </w:r>
    </w:p>
  </w:footnote>
  <w:footnote w:id="42">
    <w:p w14:paraId="0D790361" w14:textId="59014B22"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منظمة الأمن والتعاون في أوروبا ولجنة فينيسيا، مبادئ توجيهية بشأن الحرية والتجمع السلمي، الفقرات </w:t>
      </w:r>
      <w:r w:rsidRPr="00851DA1">
        <w:rPr>
          <w:szCs w:val="18"/>
          <w:rtl/>
        </w:rPr>
        <w:t>132</w:t>
      </w:r>
      <w:r w:rsidRPr="00851DA1">
        <w:rPr>
          <w:rtl/>
        </w:rPr>
        <w:t xml:space="preserve"> </w:t>
      </w:r>
      <w:proofErr w:type="spellStart"/>
      <w:r w:rsidRPr="00851DA1">
        <w:rPr>
          <w:rtl/>
        </w:rPr>
        <w:t>و</w:t>
      </w:r>
      <w:r w:rsidRPr="00851DA1">
        <w:rPr>
          <w:szCs w:val="18"/>
          <w:rtl/>
        </w:rPr>
        <w:t>220</w:t>
      </w:r>
      <w:proofErr w:type="spellEnd"/>
      <w:r w:rsidRPr="00851DA1">
        <w:rPr>
          <w:rtl/>
        </w:rPr>
        <w:t>-</w:t>
      </w:r>
      <w:r w:rsidRPr="00851DA1">
        <w:rPr>
          <w:szCs w:val="18"/>
          <w:rtl/>
        </w:rPr>
        <w:t>222</w:t>
      </w:r>
      <w:r w:rsidRPr="00851DA1">
        <w:rPr>
          <w:rtl/>
        </w:rPr>
        <w:t>.</w:t>
      </w:r>
    </w:p>
  </w:footnote>
  <w:footnote w:id="43">
    <w:p w14:paraId="63548C59" w14:textId="4D1E585C"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نيبومنياشي</w:t>
      </w:r>
      <w:proofErr w:type="spellEnd"/>
      <w:r w:rsidRPr="00851DA1">
        <w:rPr>
          <w:i/>
          <w:iCs/>
          <w:rtl/>
        </w:rPr>
        <w:t xml:space="preserve"> ضد الاتحاد الروسي</w:t>
      </w:r>
      <w:r w:rsidRPr="00851DA1">
        <w:rPr>
          <w:rtl/>
        </w:rPr>
        <w:t xml:space="preserve"> (</w:t>
      </w:r>
      <w:r w:rsidRPr="00851DA1">
        <w:t>CCPR/C/</w:t>
      </w:r>
      <w:r w:rsidRPr="00851DA1">
        <w:rPr>
          <w:szCs w:val="18"/>
        </w:rPr>
        <w:t>123</w:t>
      </w:r>
      <w:r w:rsidRPr="00851DA1">
        <w:t>/D/</w:t>
      </w:r>
      <w:r w:rsidRPr="00851DA1">
        <w:rPr>
          <w:szCs w:val="18"/>
        </w:rPr>
        <w:t>2318</w:t>
      </w:r>
      <w:r w:rsidRPr="00851DA1">
        <w:t>/</w:t>
      </w:r>
      <w:r w:rsidRPr="00851DA1">
        <w:rPr>
          <w:szCs w:val="18"/>
        </w:rPr>
        <w:t>2013</w:t>
      </w:r>
      <w:r w:rsidRPr="00851DA1">
        <w:rPr>
          <w:rtl/>
        </w:rPr>
        <w:t xml:space="preserve">)، الفقرة </w:t>
      </w:r>
      <w:r w:rsidRPr="00851DA1">
        <w:rPr>
          <w:szCs w:val="18"/>
          <w:rtl/>
        </w:rPr>
        <w:t>7</w:t>
      </w:r>
      <w:r w:rsidRPr="00851DA1">
        <w:rPr>
          <w:rtl/>
        </w:rPr>
        <w:t>-</w:t>
      </w:r>
      <w:r w:rsidRPr="00851DA1">
        <w:rPr>
          <w:szCs w:val="18"/>
          <w:rtl/>
        </w:rPr>
        <w:t>7</w:t>
      </w:r>
      <w:r w:rsidRPr="00851DA1">
        <w:rPr>
          <w:rtl/>
        </w:rPr>
        <w:t xml:space="preserve">. والتعليق العام رقم </w:t>
      </w:r>
      <w:r w:rsidRPr="00851DA1">
        <w:rPr>
          <w:szCs w:val="18"/>
          <w:rtl/>
        </w:rPr>
        <w:t>34</w:t>
      </w:r>
      <w:r w:rsidRPr="00851DA1">
        <w:rPr>
          <w:rtl/>
        </w:rPr>
        <w:t xml:space="preserve">، الفقرة </w:t>
      </w:r>
      <w:r w:rsidRPr="00851DA1">
        <w:rPr>
          <w:szCs w:val="18"/>
          <w:rtl/>
        </w:rPr>
        <w:t>25</w:t>
      </w:r>
      <w:r w:rsidRPr="00851DA1">
        <w:rPr>
          <w:rtl/>
        </w:rPr>
        <w:t>.</w:t>
      </w:r>
    </w:p>
  </w:footnote>
  <w:footnote w:id="44">
    <w:p w14:paraId="2D1C4EB5" w14:textId="035C9B02"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34</w:t>
      </w:r>
      <w:r w:rsidRPr="00851DA1">
        <w:rPr>
          <w:rtl/>
        </w:rPr>
        <w:t xml:space="preserve">، الفقرة </w:t>
      </w:r>
      <w:r w:rsidRPr="00851DA1">
        <w:rPr>
          <w:szCs w:val="18"/>
          <w:rtl/>
        </w:rPr>
        <w:t>34</w:t>
      </w:r>
      <w:r w:rsidRPr="00851DA1">
        <w:rPr>
          <w:rtl/>
        </w:rPr>
        <w:t>.</w:t>
      </w:r>
    </w:p>
  </w:footnote>
  <w:footnote w:id="45">
    <w:p w14:paraId="5B52EAC0" w14:textId="771077C3"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توريغوزينا</w:t>
      </w:r>
      <w:proofErr w:type="spellEnd"/>
      <w:r w:rsidRPr="00851DA1">
        <w:rPr>
          <w:i/>
          <w:iCs/>
          <w:rtl/>
        </w:rPr>
        <w:t xml:space="preserve"> ضد كازاخستان</w:t>
      </w:r>
      <w:r w:rsidRPr="00851DA1">
        <w:rPr>
          <w:rtl/>
        </w:rPr>
        <w:t xml:space="preserve"> </w:t>
      </w:r>
      <w:r w:rsidRPr="00851DA1">
        <w:rPr>
          <w:sz w:val="26"/>
          <w:rtl/>
          <w:lang w:val="es-ES"/>
        </w:rPr>
        <w:t>(</w:t>
      </w:r>
      <w:r w:rsidRPr="00851DA1">
        <w:rPr>
          <w:lang w:val="es-ES"/>
        </w:rPr>
        <w:t>CCPR/C/</w:t>
      </w:r>
      <w:r w:rsidRPr="00851DA1">
        <w:rPr>
          <w:szCs w:val="18"/>
          <w:lang w:val="es-ES"/>
        </w:rPr>
        <w:t>112</w:t>
      </w:r>
      <w:r w:rsidRPr="00851DA1">
        <w:rPr>
          <w:lang w:val="es-ES"/>
        </w:rPr>
        <w:t>/D/</w:t>
      </w:r>
      <w:r w:rsidRPr="00851DA1">
        <w:rPr>
          <w:szCs w:val="18"/>
          <w:lang w:val="es-ES"/>
        </w:rPr>
        <w:t>2137</w:t>
      </w:r>
      <w:r w:rsidRPr="00851DA1">
        <w:rPr>
          <w:lang w:val="es-ES"/>
        </w:rPr>
        <w:t>/</w:t>
      </w:r>
      <w:r w:rsidRPr="00851DA1">
        <w:rPr>
          <w:szCs w:val="18"/>
          <w:lang w:val="es-ES"/>
        </w:rPr>
        <w:t>2012</w:t>
      </w:r>
      <w:r w:rsidRPr="00851DA1">
        <w:rPr>
          <w:sz w:val="26"/>
          <w:rtl/>
          <w:lang w:val="es-ES"/>
        </w:rPr>
        <w:t>)</w:t>
      </w:r>
      <w:r w:rsidRPr="00851DA1">
        <w:rPr>
          <w:rtl/>
          <w:lang w:val="es-ES"/>
        </w:rPr>
        <w:t>،</w:t>
      </w:r>
      <w:r w:rsidRPr="00851DA1">
        <w:rPr>
          <w:rtl/>
        </w:rPr>
        <w:t xml:space="preserve"> الفقرة </w:t>
      </w:r>
      <w:r w:rsidRPr="00851DA1">
        <w:rPr>
          <w:szCs w:val="18"/>
          <w:rtl/>
        </w:rPr>
        <w:t>7</w:t>
      </w:r>
      <w:r w:rsidRPr="00851DA1">
        <w:rPr>
          <w:rtl/>
        </w:rPr>
        <w:t>-</w:t>
      </w:r>
      <w:r w:rsidRPr="00851DA1">
        <w:rPr>
          <w:szCs w:val="18"/>
          <w:rtl/>
        </w:rPr>
        <w:t>4</w:t>
      </w:r>
      <w:r w:rsidRPr="00851DA1">
        <w:rPr>
          <w:rtl/>
        </w:rPr>
        <w:t>.</w:t>
      </w:r>
    </w:p>
  </w:footnote>
  <w:footnote w:id="46">
    <w:p w14:paraId="551CB909" w14:textId="28509671"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المرجع نفسه، الفقرتان </w:t>
      </w:r>
      <w:r w:rsidRPr="00851DA1">
        <w:rPr>
          <w:szCs w:val="18"/>
          <w:rtl/>
        </w:rPr>
        <w:t>7</w:t>
      </w:r>
      <w:r w:rsidRPr="00851DA1">
        <w:rPr>
          <w:rtl/>
        </w:rPr>
        <w:t>-</w:t>
      </w:r>
      <w:r w:rsidRPr="00851DA1">
        <w:rPr>
          <w:szCs w:val="18"/>
          <w:rtl/>
        </w:rPr>
        <w:t>4</w:t>
      </w:r>
      <w:r w:rsidRPr="00851DA1">
        <w:rPr>
          <w:rtl/>
        </w:rPr>
        <w:t xml:space="preserve"> </w:t>
      </w:r>
      <w:proofErr w:type="spellStart"/>
      <w:r w:rsidRPr="00851DA1">
        <w:rPr>
          <w:rtl/>
        </w:rPr>
        <w:t>و</w:t>
      </w:r>
      <w:r w:rsidRPr="00851DA1">
        <w:rPr>
          <w:szCs w:val="18"/>
          <w:rtl/>
        </w:rPr>
        <w:t>7</w:t>
      </w:r>
      <w:proofErr w:type="spellEnd"/>
      <w:r w:rsidRPr="00851DA1">
        <w:rPr>
          <w:rtl/>
        </w:rPr>
        <w:t>-</w:t>
      </w:r>
      <w:r w:rsidRPr="00851DA1">
        <w:rPr>
          <w:szCs w:val="18"/>
          <w:rtl/>
        </w:rPr>
        <w:t>6</w:t>
      </w:r>
      <w:r w:rsidRPr="00851DA1">
        <w:rPr>
          <w:rtl/>
        </w:rPr>
        <w:t xml:space="preserve">. انظر أيضاً منظمة الأمن والتعاون في أوروبا ولجنة فينيسيا، </w:t>
      </w:r>
      <w:r w:rsidRPr="00851DA1">
        <w:rPr>
          <w:i/>
          <w:iCs/>
          <w:rtl/>
        </w:rPr>
        <w:t>مبادئ توجيهية بشأن الحرية والتجمع السلمي</w:t>
      </w:r>
      <w:r w:rsidRPr="00851DA1">
        <w:rPr>
          <w:rtl/>
        </w:rPr>
        <w:t xml:space="preserve">، الفقرة </w:t>
      </w:r>
      <w:r w:rsidRPr="00851DA1">
        <w:rPr>
          <w:szCs w:val="18"/>
          <w:rtl/>
        </w:rPr>
        <w:t>131</w:t>
      </w:r>
      <w:r w:rsidRPr="00851DA1">
        <w:rPr>
          <w:rtl/>
        </w:rPr>
        <w:t>.</w:t>
      </w:r>
    </w:p>
  </w:footnote>
  <w:footnote w:id="47">
    <w:p w14:paraId="595E436F" w14:textId="5F6C5D8E"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انظر مبادئ </w:t>
      </w:r>
      <w:proofErr w:type="spellStart"/>
      <w:r w:rsidRPr="00851DA1">
        <w:rPr>
          <w:rtl/>
        </w:rPr>
        <w:t>سيراكوزا</w:t>
      </w:r>
      <w:proofErr w:type="spellEnd"/>
      <w:r w:rsidRPr="00851DA1">
        <w:rPr>
          <w:rtl/>
        </w:rPr>
        <w:t xml:space="preserve"> المتعلقة بأحكام التقييد وعدم التقيد الواردة في العهد الدولي الخاص بالحقوق المدنية والسياسية (</w:t>
      </w:r>
      <w:r w:rsidRPr="00851DA1">
        <w:t>E/CN.</w:t>
      </w:r>
      <w:r w:rsidRPr="00851DA1">
        <w:rPr>
          <w:szCs w:val="18"/>
        </w:rPr>
        <w:t>4</w:t>
      </w:r>
      <w:r w:rsidRPr="00851DA1">
        <w:t>/</w:t>
      </w:r>
      <w:r w:rsidRPr="00851DA1">
        <w:rPr>
          <w:szCs w:val="18"/>
        </w:rPr>
        <w:t>1985</w:t>
      </w:r>
      <w:r w:rsidRPr="00851DA1">
        <w:t>/</w:t>
      </w:r>
      <w:r w:rsidRPr="00851DA1">
        <w:rPr>
          <w:szCs w:val="18"/>
        </w:rPr>
        <w:t>4</w:t>
      </w:r>
      <w:r w:rsidRPr="00851DA1">
        <w:rPr>
          <w:rtl/>
        </w:rPr>
        <w:t xml:space="preserve">، المرفق)، الفقرة </w:t>
      </w:r>
      <w:r w:rsidRPr="00851DA1">
        <w:rPr>
          <w:szCs w:val="18"/>
          <w:rtl/>
        </w:rPr>
        <w:t>29</w:t>
      </w:r>
      <w:r w:rsidRPr="00851DA1">
        <w:rPr>
          <w:rtl/>
        </w:rPr>
        <w:t>.</w:t>
      </w:r>
    </w:p>
  </w:footnote>
  <w:footnote w:id="48">
    <w:p w14:paraId="6D0D3587" w14:textId="5797443A"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المرجع نفسه، الفقرة </w:t>
      </w:r>
      <w:r w:rsidRPr="00851DA1">
        <w:rPr>
          <w:szCs w:val="18"/>
          <w:rtl/>
        </w:rPr>
        <w:t>32</w:t>
      </w:r>
      <w:r w:rsidRPr="00851DA1">
        <w:rPr>
          <w:rtl/>
        </w:rPr>
        <w:t xml:space="preserve">. </w:t>
      </w:r>
    </w:p>
  </w:footnote>
  <w:footnote w:id="49">
    <w:p w14:paraId="4C367FA6" w14:textId="524F2FA3"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الوثيقة </w:t>
      </w:r>
      <w:r w:rsidRPr="00851DA1">
        <w:t>CCPR/C/MKD/CO/</w:t>
      </w:r>
      <w:r w:rsidRPr="00851DA1">
        <w:rPr>
          <w:szCs w:val="18"/>
        </w:rPr>
        <w:t>3</w:t>
      </w:r>
      <w:r w:rsidRPr="00851DA1">
        <w:rPr>
          <w:rtl/>
        </w:rPr>
        <w:t xml:space="preserve">، الفقرة </w:t>
      </w:r>
      <w:r w:rsidRPr="00851DA1">
        <w:rPr>
          <w:szCs w:val="18"/>
          <w:rtl/>
        </w:rPr>
        <w:t>19</w:t>
      </w:r>
      <w:r w:rsidRPr="00851DA1">
        <w:rPr>
          <w:rtl/>
        </w:rPr>
        <w:t xml:space="preserve">؛ قضية </w:t>
      </w:r>
      <w:proofErr w:type="spellStart"/>
      <w:r w:rsidRPr="00851DA1">
        <w:rPr>
          <w:i/>
          <w:iCs/>
          <w:rtl/>
        </w:rPr>
        <w:t>أليكسيف</w:t>
      </w:r>
      <w:proofErr w:type="spellEnd"/>
      <w:r w:rsidRPr="00851DA1">
        <w:rPr>
          <w:i/>
          <w:iCs/>
          <w:rtl/>
        </w:rPr>
        <w:t xml:space="preserve"> ضد </w:t>
      </w:r>
      <w:proofErr w:type="spellStart"/>
      <w:r w:rsidRPr="00851DA1">
        <w:rPr>
          <w:i/>
          <w:iCs/>
          <w:rtl/>
        </w:rPr>
        <w:t>الاتجاد</w:t>
      </w:r>
      <w:proofErr w:type="spellEnd"/>
      <w:r w:rsidRPr="00851DA1">
        <w:rPr>
          <w:i/>
          <w:iCs/>
          <w:rtl/>
        </w:rPr>
        <w:t xml:space="preserve"> الروسي</w:t>
      </w:r>
      <w:r w:rsidRPr="00851DA1">
        <w:rPr>
          <w:rtl/>
        </w:rPr>
        <w:t xml:space="preserve">، الفقرة </w:t>
      </w:r>
      <w:r w:rsidRPr="00851DA1">
        <w:rPr>
          <w:szCs w:val="18"/>
          <w:rtl/>
        </w:rPr>
        <w:t>9</w:t>
      </w:r>
      <w:r w:rsidRPr="00851DA1">
        <w:rPr>
          <w:rtl/>
        </w:rPr>
        <w:t>-</w:t>
      </w:r>
      <w:r w:rsidRPr="00851DA1">
        <w:rPr>
          <w:szCs w:val="18"/>
          <w:rtl/>
        </w:rPr>
        <w:t>5</w:t>
      </w:r>
      <w:r w:rsidRPr="00851DA1">
        <w:rPr>
          <w:rtl/>
        </w:rPr>
        <w:t>.</w:t>
      </w:r>
    </w:p>
  </w:footnote>
  <w:footnote w:id="50">
    <w:p w14:paraId="641833A3" w14:textId="27503945"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مبادئ </w:t>
      </w:r>
      <w:proofErr w:type="spellStart"/>
      <w:r w:rsidRPr="00851DA1">
        <w:rPr>
          <w:rtl/>
        </w:rPr>
        <w:t>سيراكوزا</w:t>
      </w:r>
      <w:proofErr w:type="spellEnd"/>
      <w:r w:rsidRPr="00851DA1">
        <w:rPr>
          <w:rtl/>
        </w:rPr>
        <w:t xml:space="preserve"> المتعلقة بأحكام التقييد وعدم التقيد الواردة في العهد الدولي الخاص بالحقوق المدنية والسياسية، الفقرة </w:t>
      </w:r>
      <w:r w:rsidRPr="00851DA1">
        <w:rPr>
          <w:szCs w:val="18"/>
          <w:rtl/>
        </w:rPr>
        <w:t>33</w:t>
      </w:r>
      <w:r w:rsidRPr="00851DA1">
        <w:rPr>
          <w:rtl/>
        </w:rPr>
        <w:t>.</w:t>
      </w:r>
      <w:r w:rsidRPr="00851DA1">
        <w:rPr>
          <w:rFonts w:cs="Times New Roman" w:hint="cs"/>
          <w:rtl/>
        </w:rPr>
        <w:t>‬</w:t>
      </w:r>
    </w:p>
  </w:footnote>
  <w:footnote w:id="51">
    <w:p w14:paraId="7619B6C5" w14:textId="7D8F6358"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المرجع نفسه، الفقرة </w:t>
      </w:r>
      <w:r w:rsidRPr="00851DA1">
        <w:rPr>
          <w:szCs w:val="18"/>
          <w:rtl/>
        </w:rPr>
        <w:t>22</w:t>
      </w:r>
      <w:r w:rsidRPr="00851DA1">
        <w:rPr>
          <w:rtl/>
        </w:rPr>
        <w:t>.</w:t>
      </w:r>
    </w:p>
  </w:footnote>
  <w:footnote w:id="52">
    <w:p w14:paraId="4BFC4501" w14:textId="2645AA97"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الوثيقة</w:t>
      </w:r>
      <w:r w:rsidRPr="00851DA1">
        <w:rPr>
          <w:rFonts w:cs="Times New Roman"/>
          <w:rtl/>
        </w:rPr>
        <w:t xml:space="preserve"> </w:t>
      </w:r>
      <w:r w:rsidRPr="00851DA1">
        <w:rPr>
          <w:lang w:val="pt-BR"/>
        </w:rPr>
        <w:t>CCPR/C/KAZ/CO/</w:t>
      </w:r>
      <w:r w:rsidRPr="00851DA1">
        <w:rPr>
          <w:szCs w:val="18"/>
          <w:lang w:val="pt-BR"/>
        </w:rPr>
        <w:t>1</w:t>
      </w:r>
      <w:r w:rsidRPr="00851DA1">
        <w:rPr>
          <w:rtl/>
        </w:rPr>
        <w:t xml:space="preserve">، الفقرة </w:t>
      </w:r>
      <w:r w:rsidRPr="00851DA1">
        <w:rPr>
          <w:szCs w:val="18"/>
          <w:rtl/>
        </w:rPr>
        <w:t>26</w:t>
      </w:r>
      <w:r w:rsidRPr="00851DA1">
        <w:rPr>
          <w:rtl/>
        </w:rPr>
        <w:t xml:space="preserve">؛ والوثيقة </w:t>
      </w:r>
      <w:r w:rsidRPr="00851DA1">
        <w:rPr>
          <w:lang w:val="pt-BR"/>
        </w:rPr>
        <w:t>CCPR/C/DZA/CO/</w:t>
      </w:r>
      <w:r w:rsidRPr="00851DA1">
        <w:rPr>
          <w:szCs w:val="18"/>
          <w:lang w:val="pt-BR"/>
        </w:rPr>
        <w:t>4</w:t>
      </w:r>
      <w:r w:rsidRPr="00851DA1">
        <w:rPr>
          <w:rtl/>
        </w:rPr>
        <w:t xml:space="preserve">، الفقرتان </w:t>
      </w:r>
      <w:r w:rsidRPr="00851DA1">
        <w:rPr>
          <w:szCs w:val="18"/>
          <w:rtl/>
        </w:rPr>
        <w:t>45</w:t>
      </w:r>
      <w:r w:rsidRPr="00851DA1">
        <w:rPr>
          <w:rtl/>
        </w:rPr>
        <w:t xml:space="preserve"> </w:t>
      </w:r>
      <w:proofErr w:type="spellStart"/>
      <w:r w:rsidRPr="00851DA1">
        <w:rPr>
          <w:rtl/>
        </w:rPr>
        <w:t>و</w:t>
      </w:r>
      <w:r w:rsidRPr="00851DA1">
        <w:rPr>
          <w:szCs w:val="18"/>
          <w:rtl/>
        </w:rPr>
        <w:t>46</w:t>
      </w:r>
      <w:proofErr w:type="spellEnd"/>
      <w:r w:rsidRPr="00851DA1">
        <w:rPr>
          <w:rtl/>
        </w:rPr>
        <w:t xml:space="preserve">. </w:t>
      </w:r>
    </w:p>
  </w:footnote>
  <w:footnote w:id="53">
    <w:p w14:paraId="04C5E5DA" w14:textId="505DCB3D"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المحكمة الأوروبية لحقوق الإنسان، </w:t>
      </w:r>
      <w:r w:rsidRPr="00851DA1">
        <w:rPr>
          <w:i/>
          <w:iCs/>
          <w:rtl/>
        </w:rPr>
        <w:t>سيسي ضد فرنسا</w:t>
      </w:r>
      <w:r w:rsidRPr="00851DA1">
        <w:rPr>
          <w:rtl/>
        </w:rPr>
        <w:t xml:space="preserve"> (الدعوى رقم </w:t>
      </w:r>
      <w:r w:rsidRPr="00851DA1">
        <w:rPr>
          <w:szCs w:val="18"/>
          <w:rtl/>
        </w:rPr>
        <w:t>51346</w:t>
      </w:r>
      <w:r w:rsidRPr="00851DA1">
        <w:rPr>
          <w:sz w:val="10"/>
          <w:szCs w:val="18"/>
          <w:rtl/>
        </w:rPr>
        <w:t>/</w:t>
      </w:r>
      <w:r w:rsidRPr="00851DA1">
        <w:rPr>
          <w:szCs w:val="18"/>
          <w:rtl/>
        </w:rPr>
        <w:t>99</w:t>
      </w:r>
      <w:r w:rsidRPr="00851DA1">
        <w:rPr>
          <w:rtl/>
        </w:rPr>
        <w:t xml:space="preserve">)، الحكم الصادر في </w:t>
      </w:r>
      <w:r w:rsidRPr="00851DA1">
        <w:rPr>
          <w:szCs w:val="18"/>
          <w:rtl/>
        </w:rPr>
        <w:t>9</w:t>
      </w:r>
      <w:r w:rsidRPr="00851DA1">
        <w:rPr>
          <w:rtl/>
        </w:rPr>
        <w:t xml:space="preserve"> نيسان/أبريل </w:t>
      </w:r>
      <w:r w:rsidRPr="00851DA1">
        <w:rPr>
          <w:szCs w:val="18"/>
          <w:rtl/>
        </w:rPr>
        <w:t>2002</w:t>
      </w:r>
      <w:r w:rsidRPr="00851DA1">
        <w:rPr>
          <w:rtl/>
        </w:rPr>
        <w:t>.</w:t>
      </w:r>
    </w:p>
  </w:footnote>
  <w:footnote w:id="54">
    <w:p w14:paraId="78CD233F" w14:textId="0E2D23AF"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انظر التعليق العام رقم </w:t>
      </w:r>
      <w:r w:rsidRPr="00851DA1">
        <w:rPr>
          <w:szCs w:val="18"/>
          <w:rtl/>
        </w:rPr>
        <w:t>22</w:t>
      </w:r>
      <w:r w:rsidRPr="00851DA1">
        <w:rPr>
          <w:rtl/>
        </w:rPr>
        <w:t>(</w:t>
      </w:r>
      <w:r w:rsidRPr="00851DA1">
        <w:rPr>
          <w:szCs w:val="18"/>
        </w:rPr>
        <w:t>1993</w:t>
      </w:r>
      <w:r w:rsidRPr="00851DA1">
        <w:rPr>
          <w:rtl/>
        </w:rPr>
        <w:t xml:space="preserve">) بشأن الحق في حرية الفكر والوجدان والدين، الفقرة </w:t>
      </w:r>
      <w:r w:rsidRPr="00851DA1">
        <w:rPr>
          <w:szCs w:val="18"/>
          <w:rtl/>
        </w:rPr>
        <w:t>8</w:t>
      </w:r>
      <w:r w:rsidRPr="00851DA1">
        <w:rPr>
          <w:rtl/>
        </w:rPr>
        <w:t>.</w:t>
      </w:r>
    </w:p>
  </w:footnote>
  <w:footnote w:id="55">
    <w:p w14:paraId="26378C94" w14:textId="5237E66B"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34</w:t>
      </w:r>
      <w:r w:rsidRPr="00851DA1">
        <w:rPr>
          <w:rtl/>
        </w:rPr>
        <w:t xml:space="preserve">، الفقرة </w:t>
      </w:r>
      <w:r w:rsidRPr="00851DA1">
        <w:rPr>
          <w:szCs w:val="18"/>
          <w:rtl/>
        </w:rPr>
        <w:t>32</w:t>
      </w:r>
      <w:r w:rsidRPr="00851DA1">
        <w:rPr>
          <w:rtl/>
        </w:rPr>
        <w:t>.</w:t>
      </w:r>
    </w:p>
  </w:footnote>
  <w:footnote w:id="56">
    <w:p w14:paraId="321F50DE" w14:textId="2B3A03E9" w:rsidR="0020465C" w:rsidRPr="00851DA1" w:rsidRDefault="0020465C" w:rsidP="00453ECF">
      <w:pPr>
        <w:pStyle w:val="FootnoteText1"/>
        <w:spacing w:line="280" w:lineRule="exact"/>
        <w:rPr>
          <w:spacing w:val="-4"/>
          <w:lang w:val="ar-SA" w:eastAsia="zh-TW" w:bidi="en-GB"/>
        </w:rPr>
      </w:pPr>
      <w:r w:rsidRPr="00851DA1">
        <w:rPr>
          <w:rStyle w:val="FootnoteReference"/>
          <w:spacing w:val="-4"/>
          <w:szCs w:val="26"/>
          <w:vertAlign w:val="baseline"/>
          <w:rtl/>
        </w:rPr>
        <w:t>(</w:t>
      </w:r>
      <w:r w:rsidRPr="00851DA1">
        <w:rPr>
          <w:rStyle w:val="FootnoteReference"/>
          <w:rFonts w:cs="Times New Roman"/>
          <w:b w:val="0"/>
          <w:spacing w:val="-4"/>
          <w:szCs w:val="26"/>
          <w:vertAlign w:val="baseline"/>
        </w:rPr>
        <w:footnoteRef/>
      </w:r>
      <w:r w:rsidRPr="00851DA1">
        <w:rPr>
          <w:rStyle w:val="FootnoteReference"/>
          <w:spacing w:val="-4"/>
          <w:szCs w:val="26"/>
          <w:vertAlign w:val="baseline"/>
          <w:rtl/>
        </w:rPr>
        <w:t>)</w:t>
      </w:r>
      <w:r w:rsidRPr="00851DA1">
        <w:rPr>
          <w:spacing w:val="-4"/>
          <w:rtl/>
        </w:rPr>
        <w:tab/>
        <w:t xml:space="preserve">قضية </w:t>
      </w:r>
      <w:proofErr w:type="spellStart"/>
      <w:r w:rsidRPr="00851DA1">
        <w:rPr>
          <w:i/>
          <w:iCs/>
          <w:spacing w:val="-4"/>
          <w:rtl/>
        </w:rPr>
        <w:t>فيدوتوفا</w:t>
      </w:r>
      <w:proofErr w:type="spellEnd"/>
      <w:r w:rsidRPr="00851DA1">
        <w:rPr>
          <w:i/>
          <w:iCs/>
          <w:spacing w:val="-4"/>
          <w:rtl/>
        </w:rPr>
        <w:t xml:space="preserve"> ضد الاتحاد الروسي</w:t>
      </w:r>
      <w:r w:rsidRPr="00851DA1">
        <w:rPr>
          <w:spacing w:val="-4"/>
          <w:rtl/>
        </w:rPr>
        <w:t xml:space="preserve">، الفقرتان </w:t>
      </w:r>
      <w:r w:rsidRPr="00851DA1">
        <w:rPr>
          <w:spacing w:val="-4"/>
          <w:szCs w:val="18"/>
          <w:rtl/>
        </w:rPr>
        <w:t>10</w:t>
      </w:r>
      <w:r w:rsidRPr="00851DA1">
        <w:rPr>
          <w:spacing w:val="-4"/>
          <w:rtl/>
        </w:rPr>
        <w:t>-</w:t>
      </w:r>
      <w:r w:rsidRPr="00851DA1">
        <w:rPr>
          <w:spacing w:val="-4"/>
          <w:szCs w:val="18"/>
          <w:rtl/>
        </w:rPr>
        <w:t>5</w:t>
      </w:r>
      <w:r w:rsidRPr="00851DA1">
        <w:rPr>
          <w:spacing w:val="-4"/>
          <w:rtl/>
        </w:rPr>
        <w:t xml:space="preserve"> </w:t>
      </w:r>
      <w:proofErr w:type="spellStart"/>
      <w:r w:rsidRPr="00851DA1">
        <w:rPr>
          <w:spacing w:val="-4"/>
          <w:rtl/>
        </w:rPr>
        <w:t>و</w:t>
      </w:r>
      <w:r w:rsidRPr="00851DA1">
        <w:rPr>
          <w:spacing w:val="-4"/>
          <w:szCs w:val="18"/>
          <w:rtl/>
        </w:rPr>
        <w:t>10</w:t>
      </w:r>
      <w:proofErr w:type="spellEnd"/>
      <w:r w:rsidRPr="00851DA1">
        <w:rPr>
          <w:spacing w:val="-4"/>
          <w:rtl/>
        </w:rPr>
        <w:t>-</w:t>
      </w:r>
      <w:r w:rsidRPr="00851DA1">
        <w:rPr>
          <w:spacing w:val="-4"/>
          <w:szCs w:val="18"/>
          <w:rtl/>
        </w:rPr>
        <w:t>6</w:t>
      </w:r>
      <w:r w:rsidRPr="00851DA1">
        <w:rPr>
          <w:spacing w:val="-4"/>
          <w:rtl/>
        </w:rPr>
        <w:t xml:space="preserve">؛ وقضية </w:t>
      </w:r>
      <w:proofErr w:type="spellStart"/>
      <w:r w:rsidRPr="00851DA1">
        <w:rPr>
          <w:i/>
          <w:iCs/>
          <w:spacing w:val="-4"/>
          <w:rtl/>
        </w:rPr>
        <w:t>أليكسيف</w:t>
      </w:r>
      <w:proofErr w:type="spellEnd"/>
      <w:r w:rsidRPr="00851DA1">
        <w:rPr>
          <w:i/>
          <w:iCs/>
          <w:spacing w:val="-4"/>
          <w:rtl/>
        </w:rPr>
        <w:t xml:space="preserve"> ضد الاتحاد الروسي</w:t>
      </w:r>
      <w:r w:rsidRPr="00851DA1">
        <w:rPr>
          <w:spacing w:val="-4"/>
          <w:rtl/>
        </w:rPr>
        <w:t xml:space="preserve">، الفقرة </w:t>
      </w:r>
      <w:r w:rsidRPr="00851DA1">
        <w:rPr>
          <w:spacing w:val="-4"/>
          <w:szCs w:val="18"/>
          <w:rtl/>
        </w:rPr>
        <w:t>9</w:t>
      </w:r>
      <w:r w:rsidRPr="00851DA1">
        <w:rPr>
          <w:spacing w:val="-4"/>
          <w:rtl/>
        </w:rPr>
        <w:t>-</w:t>
      </w:r>
      <w:r w:rsidRPr="00851DA1">
        <w:rPr>
          <w:spacing w:val="-4"/>
          <w:szCs w:val="18"/>
          <w:rtl/>
        </w:rPr>
        <w:t>6</w:t>
      </w:r>
      <w:r w:rsidRPr="00851DA1">
        <w:rPr>
          <w:spacing w:val="-4"/>
          <w:rtl/>
        </w:rPr>
        <w:t>.</w:t>
      </w:r>
    </w:p>
  </w:footnote>
  <w:footnote w:id="57">
    <w:p w14:paraId="637AF6C3" w14:textId="25EB7A70"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ستامبروفسكي</w:t>
      </w:r>
      <w:proofErr w:type="spellEnd"/>
      <w:r w:rsidRPr="00851DA1">
        <w:rPr>
          <w:i/>
          <w:iCs/>
          <w:rtl/>
        </w:rPr>
        <w:t xml:space="preserve"> ضد بيلاروس</w:t>
      </w:r>
      <w:r w:rsidRPr="00851DA1">
        <w:rPr>
          <w:rtl/>
        </w:rPr>
        <w:t xml:space="preserve"> (</w:t>
      </w:r>
      <w:r w:rsidRPr="00851DA1">
        <w:rPr>
          <w:lang w:val="es-ES"/>
        </w:rPr>
        <w:t>CCPR/C/</w:t>
      </w:r>
      <w:r w:rsidRPr="00851DA1">
        <w:rPr>
          <w:szCs w:val="18"/>
          <w:lang w:val="es-ES"/>
        </w:rPr>
        <w:t>112</w:t>
      </w:r>
      <w:r w:rsidRPr="00851DA1">
        <w:rPr>
          <w:lang w:val="es-ES"/>
        </w:rPr>
        <w:t>/D/</w:t>
      </w:r>
      <w:r w:rsidRPr="00851DA1">
        <w:rPr>
          <w:szCs w:val="18"/>
          <w:lang w:val="es-ES"/>
        </w:rPr>
        <w:t>1987</w:t>
      </w:r>
      <w:r w:rsidRPr="00851DA1">
        <w:rPr>
          <w:lang w:val="es-ES"/>
        </w:rPr>
        <w:t>/</w:t>
      </w:r>
      <w:r w:rsidRPr="00851DA1">
        <w:rPr>
          <w:szCs w:val="18"/>
          <w:lang w:val="es-ES"/>
        </w:rPr>
        <w:t>2010</w:t>
      </w:r>
      <w:r w:rsidRPr="00851DA1">
        <w:rPr>
          <w:rtl/>
        </w:rPr>
        <w:t xml:space="preserve">)، الفقرة </w:t>
      </w:r>
      <w:r w:rsidRPr="00851DA1">
        <w:rPr>
          <w:szCs w:val="18"/>
          <w:rtl/>
        </w:rPr>
        <w:t>7</w:t>
      </w:r>
      <w:r w:rsidRPr="00851DA1">
        <w:rPr>
          <w:rtl/>
        </w:rPr>
        <w:t>-</w:t>
      </w:r>
      <w:r w:rsidRPr="00851DA1">
        <w:rPr>
          <w:szCs w:val="18"/>
          <w:rtl/>
        </w:rPr>
        <w:t>6</w:t>
      </w:r>
      <w:r w:rsidRPr="00851DA1">
        <w:rPr>
          <w:rtl/>
        </w:rPr>
        <w:t xml:space="preserve">؛ وقضية </w:t>
      </w:r>
      <w:proofErr w:type="spellStart"/>
      <w:r w:rsidRPr="00851DA1">
        <w:rPr>
          <w:i/>
          <w:iCs/>
          <w:rtl/>
        </w:rPr>
        <w:t>بوغاش</w:t>
      </w:r>
      <w:proofErr w:type="spellEnd"/>
      <w:r w:rsidRPr="00851DA1">
        <w:rPr>
          <w:i/>
          <w:iCs/>
          <w:rtl/>
        </w:rPr>
        <w:t xml:space="preserve"> ضد بيلاروس</w:t>
      </w:r>
      <w:r w:rsidRPr="00851DA1">
        <w:rPr>
          <w:rtl/>
        </w:rPr>
        <w:t xml:space="preserve"> (</w:t>
      </w:r>
      <w:r w:rsidRPr="00851DA1">
        <w:rPr>
          <w:lang w:val="es-ES"/>
        </w:rPr>
        <w:t>CCPR/C/</w:t>
      </w:r>
      <w:r w:rsidRPr="00851DA1">
        <w:rPr>
          <w:szCs w:val="18"/>
          <w:lang w:val="es-ES"/>
        </w:rPr>
        <w:t>114</w:t>
      </w:r>
      <w:r w:rsidRPr="00851DA1">
        <w:rPr>
          <w:lang w:val="es-ES"/>
        </w:rPr>
        <w:t>/D/</w:t>
      </w:r>
      <w:r w:rsidRPr="00851DA1">
        <w:rPr>
          <w:szCs w:val="18"/>
          <w:lang w:val="es-ES"/>
        </w:rPr>
        <w:t>1984</w:t>
      </w:r>
      <w:r w:rsidRPr="00851DA1">
        <w:rPr>
          <w:lang w:val="es-ES"/>
        </w:rPr>
        <w:t>/</w:t>
      </w:r>
      <w:r w:rsidRPr="00851DA1">
        <w:rPr>
          <w:szCs w:val="18"/>
          <w:lang w:val="es-ES"/>
        </w:rPr>
        <w:t>2010</w:t>
      </w:r>
      <w:r w:rsidRPr="00851DA1">
        <w:rPr>
          <w:rtl/>
        </w:rPr>
        <w:t xml:space="preserve">)، الفقرة </w:t>
      </w:r>
      <w:r w:rsidRPr="00851DA1">
        <w:rPr>
          <w:szCs w:val="18"/>
          <w:rtl/>
        </w:rPr>
        <w:t>7</w:t>
      </w:r>
      <w:r w:rsidRPr="00851DA1">
        <w:rPr>
          <w:rtl/>
        </w:rPr>
        <w:t>-</w:t>
      </w:r>
      <w:r w:rsidRPr="00851DA1">
        <w:rPr>
          <w:szCs w:val="18"/>
          <w:rtl/>
          <w:lang w:val="fr-CH"/>
        </w:rPr>
        <w:t>8</w:t>
      </w:r>
      <w:r w:rsidRPr="00851DA1">
        <w:rPr>
          <w:rtl/>
          <w:lang w:val="fr-CH"/>
        </w:rPr>
        <w:t>.</w:t>
      </w:r>
      <w:r w:rsidRPr="00851DA1">
        <w:rPr>
          <w:rFonts w:cs="Times New Roman" w:hint="cs"/>
          <w:rtl/>
        </w:rPr>
        <w:t>‬</w:t>
      </w:r>
    </w:p>
  </w:footnote>
  <w:footnote w:id="58">
    <w:p w14:paraId="565435A1" w14:textId="7AF4E99D"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أليكسيف</w:t>
      </w:r>
      <w:proofErr w:type="spellEnd"/>
      <w:r w:rsidRPr="00851DA1">
        <w:rPr>
          <w:i/>
          <w:iCs/>
          <w:rtl/>
        </w:rPr>
        <w:t xml:space="preserve"> ضد الاتحاد الروسي</w:t>
      </w:r>
      <w:r w:rsidRPr="00851DA1">
        <w:rPr>
          <w:rtl/>
        </w:rPr>
        <w:t xml:space="preserve">، الفقرة </w:t>
      </w:r>
      <w:r w:rsidRPr="00851DA1">
        <w:rPr>
          <w:szCs w:val="18"/>
          <w:rtl/>
        </w:rPr>
        <w:t>9</w:t>
      </w:r>
      <w:r w:rsidRPr="00851DA1">
        <w:rPr>
          <w:rtl/>
        </w:rPr>
        <w:t>-</w:t>
      </w:r>
      <w:r w:rsidRPr="00851DA1">
        <w:rPr>
          <w:szCs w:val="18"/>
          <w:rtl/>
        </w:rPr>
        <w:t>6</w:t>
      </w:r>
      <w:r w:rsidRPr="00851DA1">
        <w:rPr>
          <w:rtl/>
        </w:rPr>
        <w:t>.</w:t>
      </w:r>
    </w:p>
  </w:footnote>
  <w:footnote w:id="59">
    <w:p w14:paraId="3FE7079A" w14:textId="77777777" w:rsidR="00697C5F" w:rsidRPr="00851DA1" w:rsidRDefault="00697C5F" w:rsidP="00697C5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الوثيقة </w:t>
      </w:r>
      <w:r w:rsidRPr="00851DA1">
        <w:t>CCPR/C/MDG/CO/</w:t>
      </w:r>
      <w:r w:rsidRPr="00851DA1">
        <w:rPr>
          <w:szCs w:val="18"/>
        </w:rPr>
        <w:t>4</w:t>
      </w:r>
      <w:r w:rsidRPr="00851DA1">
        <w:rPr>
          <w:rtl/>
        </w:rPr>
        <w:t xml:space="preserve">، الفقرة </w:t>
      </w:r>
      <w:r w:rsidRPr="00851DA1">
        <w:rPr>
          <w:szCs w:val="18"/>
          <w:rtl/>
        </w:rPr>
        <w:t>51</w:t>
      </w:r>
      <w:r w:rsidRPr="00851DA1">
        <w:rPr>
          <w:rtl/>
        </w:rPr>
        <w:t>.</w:t>
      </w:r>
    </w:p>
  </w:footnote>
  <w:footnote w:id="60">
    <w:p w14:paraId="3986354A" w14:textId="618AE50A"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الوثيقة </w:t>
      </w:r>
      <w:r w:rsidRPr="00851DA1">
        <w:t>CCPR/C/</w:t>
      </w:r>
      <w:r w:rsidRPr="00851DA1">
        <w:rPr>
          <w:szCs w:val="18"/>
        </w:rPr>
        <w:t>79</w:t>
      </w:r>
      <w:r w:rsidRPr="00851DA1">
        <w:t xml:space="preserve">/Add. </w:t>
      </w:r>
      <w:r w:rsidRPr="00851DA1">
        <w:rPr>
          <w:szCs w:val="18"/>
        </w:rPr>
        <w:t>86</w:t>
      </w:r>
      <w:r w:rsidRPr="00851DA1">
        <w:rPr>
          <w:rtl/>
        </w:rPr>
        <w:t xml:space="preserve">، الفقرة </w:t>
      </w:r>
      <w:r w:rsidRPr="00851DA1">
        <w:rPr>
          <w:szCs w:val="18"/>
          <w:rtl/>
        </w:rPr>
        <w:t>18</w:t>
      </w:r>
      <w:r w:rsidRPr="00851DA1">
        <w:rPr>
          <w:rtl/>
        </w:rPr>
        <w:t xml:space="preserve">؛ والتعليق العام رقم </w:t>
      </w:r>
      <w:r w:rsidRPr="00851DA1">
        <w:rPr>
          <w:szCs w:val="18"/>
          <w:rtl/>
        </w:rPr>
        <w:t>34</w:t>
      </w:r>
      <w:r w:rsidRPr="00851DA1">
        <w:rPr>
          <w:rtl/>
        </w:rPr>
        <w:t xml:space="preserve">، الفقرة </w:t>
      </w:r>
      <w:r w:rsidRPr="00851DA1">
        <w:rPr>
          <w:szCs w:val="18"/>
          <w:rtl/>
        </w:rPr>
        <w:t>38</w:t>
      </w:r>
      <w:r w:rsidRPr="00851DA1">
        <w:rPr>
          <w:rtl/>
        </w:rPr>
        <w:t xml:space="preserve">. </w:t>
      </w:r>
    </w:p>
  </w:footnote>
  <w:footnote w:id="61">
    <w:p w14:paraId="62799733" w14:textId="2E6D9B31"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34</w:t>
      </w:r>
      <w:r w:rsidRPr="00851DA1">
        <w:rPr>
          <w:rtl/>
        </w:rPr>
        <w:t xml:space="preserve">، الفقرات </w:t>
      </w:r>
      <w:r w:rsidRPr="00851DA1">
        <w:rPr>
          <w:szCs w:val="18"/>
          <w:rtl/>
        </w:rPr>
        <w:t>50</w:t>
      </w:r>
      <w:r w:rsidRPr="00851DA1">
        <w:rPr>
          <w:rtl/>
        </w:rPr>
        <w:t>-</w:t>
      </w:r>
      <w:r w:rsidRPr="00851DA1">
        <w:rPr>
          <w:szCs w:val="18"/>
          <w:rtl/>
        </w:rPr>
        <w:t>52</w:t>
      </w:r>
      <w:r w:rsidRPr="00851DA1">
        <w:rPr>
          <w:rtl/>
        </w:rPr>
        <w:t>؛ والاتفاقية الدولية للقضاء على جميع أشكال التمييز العنصري، المادة</w:t>
      </w:r>
      <w:r w:rsidR="008D7BF3" w:rsidRPr="00851DA1">
        <w:rPr>
          <w:rFonts w:hint="eastAsia"/>
          <w:rtl/>
        </w:rPr>
        <w:t> </w:t>
      </w:r>
      <w:r w:rsidRPr="00851DA1">
        <w:rPr>
          <w:szCs w:val="18"/>
          <w:rtl/>
        </w:rPr>
        <w:t>4</w:t>
      </w:r>
      <w:r w:rsidRPr="00851DA1">
        <w:rPr>
          <w:rtl/>
        </w:rPr>
        <w:t xml:space="preserve">؛ ولجنة القضاء على التمييز العنصري، التوصية العامة رقم </w:t>
      </w:r>
      <w:r w:rsidRPr="00851DA1">
        <w:rPr>
          <w:szCs w:val="18"/>
          <w:rtl/>
        </w:rPr>
        <w:t>35</w:t>
      </w:r>
      <w:r w:rsidRPr="00851DA1">
        <w:rPr>
          <w:rtl/>
        </w:rPr>
        <w:t>(</w:t>
      </w:r>
      <w:r w:rsidRPr="00851DA1">
        <w:rPr>
          <w:szCs w:val="18"/>
          <w:rtl/>
        </w:rPr>
        <w:t>2013</w:t>
      </w:r>
      <w:r w:rsidRPr="00851DA1">
        <w:rPr>
          <w:rtl/>
        </w:rPr>
        <w:t xml:space="preserve">) بشأن مكافحة خطاب التحريض على الكراهية العنصرية. انظر أيضاً خطة عمل الرباط، الفقرة </w:t>
      </w:r>
      <w:r w:rsidRPr="00851DA1">
        <w:rPr>
          <w:szCs w:val="18"/>
          <w:rtl/>
        </w:rPr>
        <w:t>29</w:t>
      </w:r>
      <w:r w:rsidRPr="00851DA1">
        <w:rPr>
          <w:rtl/>
        </w:rPr>
        <w:t xml:space="preserve">، وإعلان بيروت بشأن الإيمان من أجل الحقوق </w:t>
      </w:r>
      <w:r w:rsidRPr="00851DA1">
        <w:t>A/HRC/</w:t>
      </w:r>
      <w:r w:rsidRPr="00851DA1">
        <w:rPr>
          <w:szCs w:val="18"/>
        </w:rPr>
        <w:t>40</w:t>
      </w:r>
      <w:r w:rsidRPr="00851DA1">
        <w:t>/</w:t>
      </w:r>
      <w:r w:rsidRPr="00851DA1">
        <w:rPr>
          <w:szCs w:val="18"/>
        </w:rPr>
        <w:t>58</w:t>
      </w:r>
      <w:r w:rsidRPr="00851DA1">
        <w:rPr>
          <w:rtl/>
        </w:rPr>
        <w:t>، المرفقان الأول والثاني).</w:t>
      </w:r>
    </w:p>
  </w:footnote>
  <w:footnote w:id="62">
    <w:p w14:paraId="3FFD5926" w14:textId="28180EDB"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منظمة الأمن والتعاون في أوروبا ولجنة فينيسيا، </w:t>
      </w:r>
      <w:r w:rsidRPr="00851DA1">
        <w:rPr>
          <w:i/>
          <w:iCs/>
          <w:rtl/>
        </w:rPr>
        <w:t>مبادئ توجيهية بشأن الحرية والتجمع السلمي</w:t>
      </w:r>
      <w:r w:rsidRPr="00851DA1">
        <w:rPr>
          <w:rtl/>
        </w:rPr>
        <w:t xml:space="preserve">، الفقرة </w:t>
      </w:r>
      <w:r w:rsidRPr="00851DA1">
        <w:rPr>
          <w:szCs w:val="18"/>
          <w:rtl/>
        </w:rPr>
        <w:t>152</w:t>
      </w:r>
      <w:r w:rsidRPr="00851DA1">
        <w:rPr>
          <w:rtl/>
        </w:rPr>
        <w:t xml:space="preserve">. انظر أيضاً حكم المحكمة الأوروبية لحقوق الإنسان، الصادر في قضية </w:t>
      </w:r>
      <w:r w:rsidRPr="00851DA1">
        <w:rPr>
          <w:i/>
          <w:iCs/>
          <w:rtl/>
        </w:rPr>
        <w:t>فابر ضد هنغاريا</w:t>
      </w:r>
      <w:r w:rsidRPr="00851DA1">
        <w:rPr>
          <w:rtl/>
        </w:rPr>
        <w:t xml:space="preserve"> (الدعوى رقم</w:t>
      </w:r>
      <w:r w:rsidR="008D7BF3" w:rsidRPr="00851DA1">
        <w:rPr>
          <w:rFonts w:hint="cs"/>
          <w:rtl/>
        </w:rPr>
        <w:t xml:space="preserve"> </w:t>
      </w:r>
      <w:r w:rsidR="008D7BF3" w:rsidRPr="00851DA1">
        <w:rPr>
          <w:szCs w:val="18"/>
          <w:rtl/>
        </w:rPr>
        <w:t>40721/08</w:t>
      </w:r>
      <w:r w:rsidRPr="00851DA1">
        <w:rPr>
          <w:rtl/>
        </w:rPr>
        <w:t xml:space="preserve">)، في </w:t>
      </w:r>
      <w:r w:rsidRPr="00851DA1">
        <w:rPr>
          <w:szCs w:val="18"/>
          <w:rtl/>
        </w:rPr>
        <w:t>24</w:t>
      </w:r>
      <w:r w:rsidRPr="00851DA1">
        <w:rPr>
          <w:rtl/>
        </w:rPr>
        <w:t xml:space="preserve"> تشرين الأول/أكتوبر </w:t>
      </w:r>
      <w:r w:rsidRPr="00851DA1">
        <w:rPr>
          <w:szCs w:val="18"/>
          <w:rtl/>
        </w:rPr>
        <w:t>2012</w:t>
      </w:r>
      <w:r w:rsidRPr="00851DA1">
        <w:rPr>
          <w:rtl/>
        </w:rPr>
        <w:t xml:space="preserve">، الفقرات من </w:t>
      </w:r>
      <w:r w:rsidRPr="00851DA1">
        <w:rPr>
          <w:szCs w:val="18"/>
          <w:rtl/>
        </w:rPr>
        <w:t>56</w:t>
      </w:r>
      <w:r w:rsidRPr="00851DA1">
        <w:rPr>
          <w:rtl/>
        </w:rPr>
        <w:t xml:space="preserve"> إلى </w:t>
      </w:r>
      <w:r w:rsidRPr="00851DA1">
        <w:rPr>
          <w:szCs w:val="18"/>
          <w:rtl/>
        </w:rPr>
        <w:t>58</w:t>
      </w:r>
      <w:r w:rsidRPr="00851DA1">
        <w:rPr>
          <w:rtl/>
        </w:rPr>
        <w:t>.</w:t>
      </w:r>
    </w:p>
  </w:footnote>
  <w:footnote w:id="63">
    <w:p w14:paraId="64F28B7D" w14:textId="56464B37"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قضية </w:t>
      </w:r>
      <w:proofErr w:type="spellStart"/>
      <w:r w:rsidRPr="00851DA1">
        <w:rPr>
          <w:i/>
          <w:iCs/>
          <w:rtl/>
        </w:rPr>
        <w:t>أليكسيف</w:t>
      </w:r>
      <w:proofErr w:type="spellEnd"/>
      <w:r w:rsidRPr="00851DA1">
        <w:rPr>
          <w:i/>
          <w:iCs/>
          <w:rtl/>
        </w:rPr>
        <w:t xml:space="preserve"> ضد الاتحاد الروسي</w:t>
      </w:r>
      <w:r w:rsidRPr="00851DA1">
        <w:rPr>
          <w:rtl/>
        </w:rPr>
        <w:t xml:space="preserve">، الفقرة </w:t>
      </w:r>
      <w:r w:rsidRPr="00851DA1">
        <w:rPr>
          <w:szCs w:val="18"/>
          <w:rtl/>
        </w:rPr>
        <w:t>9</w:t>
      </w:r>
      <w:r w:rsidRPr="00851DA1">
        <w:rPr>
          <w:rtl/>
        </w:rPr>
        <w:t>-</w:t>
      </w:r>
      <w:r w:rsidRPr="00851DA1">
        <w:rPr>
          <w:szCs w:val="18"/>
          <w:rtl/>
        </w:rPr>
        <w:t>6</w:t>
      </w:r>
      <w:r w:rsidRPr="00851DA1">
        <w:rPr>
          <w:rtl/>
        </w:rPr>
        <w:t xml:space="preserve">. </w:t>
      </w:r>
    </w:p>
  </w:footnote>
  <w:footnote w:id="64">
    <w:p w14:paraId="0A8747B2" w14:textId="2B7EE013"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 xml:space="preserve">OSCE and Venice Commission, </w:t>
      </w:r>
      <w:r w:rsidRPr="00851DA1">
        <w:rPr>
          <w:rFonts w:cs="Times New Roman"/>
          <w:i/>
          <w:iCs/>
        </w:rPr>
        <w:t>Guidelines on Freedom of Peaceful Assembly</w:t>
      </w:r>
      <w:r w:rsidRPr="00851DA1">
        <w:rPr>
          <w:rFonts w:cs="Times New Roman"/>
        </w:rPr>
        <w:t xml:space="preserve">, para. </w:t>
      </w:r>
      <w:r w:rsidRPr="00851DA1">
        <w:rPr>
          <w:rFonts w:cs="Times New Roman"/>
          <w:szCs w:val="18"/>
        </w:rPr>
        <w:t>13</w:t>
      </w:r>
      <w:r w:rsidRPr="00851DA1">
        <w:rPr>
          <w:szCs w:val="18"/>
        </w:rPr>
        <w:t>2</w:t>
      </w:r>
      <w:r w:rsidRPr="00851DA1">
        <w:rPr>
          <w:rtl/>
        </w:rPr>
        <w:t>.</w:t>
      </w:r>
    </w:p>
  </w:footnote>
  <w:footnote w:id="65">
    <w:p w14:paraId="341DCFE7" w14:textId="33081A12"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تورشنياك</w:t>
      </w:r>
      <w:proofErr w:type="spellEnd"/>
      <w:r w:rsidRPr="00851DA1">
        <w:rPr>
          <w:i/>
          <w:iCs/>
          <w:rtl/>
        </w:rPr>
        <w:t xml:space="preserve"> وآخرون ضد بيلاروس</w:t>
      </w:r>
      <w:r w:rsidRPr="00851DA1">
        <w:rPr>
          <w:rtl/>
        </w:rPr>
        <w:t xml:space="preserve">، الفقرة </w:t>
      </w:r>
      <w:r w:rsidRPr="00851DA1">
        <w:rPr>
          <w:szCs w:val="18"/>
          <w:rtl/>
        </w:rPr>
        <w:t>7</w:t>
      </w:r>
      <w:r w:rsidRPr="00851DA1">
        <w:rPr>
          <w:rtl/>
        </w:rPr>
        <w:t>-</w:t>
      </w:r>
      <w:r w:rsidRPr="00851DA1">
        <w:rPr>
          <w:szCs w:val="18"/>
          <w:rtl/>
        </w:rPr>
        <w:t>4</w:t>
      </w:r>
      <w:r w:rsidRPr="00851DA1">
        <w:rPr>
          <w:rtl/>
        </w:rPr>
        <w:t xml:space="preserve">. </w:t>
      </w:r>
    </w:p>
  </w:footnote>
  <w:footnote w:id="66">
    <w:p w14:paraId="191FB82B" w14:textId="273E4EF2"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 xml:space="preserve">European Court of Human Rights, </w:t>
      </w:r>
      <w:proofErr w:type="spellStart"/>
      <w:r w:rsidRPr="00851DA1">
        <w:rPr>
          <w:rFonts w:cs="Times New Roman"/>
        </w:rPr>
        <w:t>Éva</w:t>
      </w:r>
      <w:proofErr w:type="spellEnd"/>
      <w:r w:rsidRPr="00851DA1">
        <w:rPr>
          <w:rFonts w:cs="Times New Roman"/>
        </w:rPr>
        <w:t xml:space="preserve"> </w:t>
      </w:r>
      <w:proofErr w:type="spellStart"/>
      <w:r w:rsidRPr="00851DA1">
        <w:rPr>
          <w:rFonts w:cs="Times New Roman"/>
        </w:rPr>
        <w:t>Molnár</w:t>
      </w:r>
      <w:proofErr w:type="spellEnd"/>
      <w:r w:rsidRPr="00851DA1">
        <w:rPr>
          <w:rFonts w:cs="Times New Roman"/>
        </w:rPr>
        <w:t xml:space="preserve"> v. Hungary </w:t>
      </w:r>
      <w:r w:rsidRPr="00851DA1">
        <w:t>(</w:t>
      </w:r>
      <w:r w:rsidRPr="00851DA1">
        <w:rPr>
          <w:rFonts w:cs="Times New Roman"/>
        </w:rPr>
        <w:t xml:space="preserve">application No. </w:t>
      </w:r>
      <w:r w:rsidRPr="00851DA1">
        <w:rPr>
          <w:rFonts w:cs="Times New Roman"/>
          <w:szCs w:val="18"/>
        </w:rPr>
        <w:t>10346</w:t>
      </w:r>
      <w:r w:rsidRPr="00851DA1">
        <w:rPr>
          <w:rFonts w:cs="Times New Roman"/>
        </w:rPr>
        <w:t>/</w:t>
      </w:r>
      <w:r w:rsidRPr="00851DA1">
        <w:rPr>
          <w:rFonts w:cs="Times New Roman"/>
          <w:szCs w:val="18"/>
        </w:rPr>
        <w:t>05</w:t>
      </w:r>
      <w:r w:rsidRPr="00851DA1">
        <w:t>)</w:t>
      </w:r>
      <w:r w:rsidRPr="00851DA1">
        <w:rPr>
          <w:rFonts w:cs="Times New Roman"/>
        </w:rPr>
        <w:t xml:space="preserve">, judgment of </w:t>
      </w:r>
      <w:r w:rsidRPr="00851DA1">
        <w:rPr>
          <w:rFonts w:cs="Times New Roman"/>
          <w:szCs w:val="18"/>
        </w:rPr>
        <w:t>7</w:t>
      </w:r>
      <w:r w:rsidRPr="00851DA1">
        <w:rPr>
          <w:rFonts w:cs="Times New Roman"/>
        </w:rPr>
        <w:t xml:space="preserve"> October </w:t>
      </w:r>
      <w:r w:rsidRPr="00851DA1">
        <w:rPr>
          <w:rFonts w:cs="Times New Roman"/>
          <w:szCs w:val="18"/>
        </w:rPr>
        <w:t>2008</w:t>
      </w:r>
      <w:r w:rsidRPr="00851DA1">
        <w:rPr>
          <w:rFonts w:cs="Times New Roman"/>
        </w:rPr>
        <w:t xml:space="preserve">, para. </w:t>
      </w:r>
      <w:r w:rsidRPr="00851DA1">
        <w:rPr>
          <w:rFonts w:cs="Times New Roman"/>
          <w:szCs w:val="18"/>
        </w:rPr>
        <w:t>4</w:t>
      </w:r>
      <w:r w:rsidRPr="00851DA1">
        <w:rPr>
          <w:szCs w:val="18"/>
        </w:rPr>
        <w:t>2</w:t>
      </w:r>
      <w:r w:rsidRPr="00851DA1">
        <w:rPr>
          <w:rtl/>
        </w:rPr>
        <w:t>.</w:t>
      </w:r>
    </w:p>
  </w:footnote>
  <w:footnote w:id="67">
    <w:p w14:paraId="70E8F959" w14:textId="427B2237"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CCPR/C/KOR/CO/</w:t>
      </w:r>
      <w:r w:rsidRPr="00851DA1">
        <w:rPr>
          <w:szCs w:val="18"/>
        </w:rPr>
        <w:t>4</w:t>
      </w:r>
      <w:r w:rsidRPr="00851DA1">
        <w:rPr>
          <w:rtl/>
        </w:rPr>
        <w:t xml:space="preserve">، الفقرة </w:t>
      </w:r>
      <w:r w:rsidRPr="00851DA1">
        <w:rPr>
          <w:szCs w:val="18"/>
          <w:rtl/>
        </w:rPr>
        <w:t>52</w:t>
      </w:r>
      <w:r w:rsidRPr="00851DA1">
        <w:rPr>
          <w:rtl/>
        </w:rPr>
        <w:t>؛ و</w:t>
      </w:r>
      <w:r w:rsidRPr="00851DA1">
        <w:t>CCPR/C/TJK/CO/</w:t>
      </w:r>
      <w:r w:rsidRPr="00851DA1">
        <w:rPr>
          <w:szCs w:val="18"/>
        </w:rPr>
        <w:t>3</w:t>
      </w:r>
      <w:r w:rsidRPr="00851DA1">
        <w:rPr>
          <w:rtl/>
        </w:rPr>
        <w:t xml:space="preserve">، الفقرة </w:t>
      </w:r>
      <w:r w:rsidRPr="00851DA1">
        <w:rPr>
          <w:szCs w:val="18"/>
          <w:rtl/>
        </w:rPr>
        <w:t>49</w:t>
      </w:r>
      <w:r w:rsidRPr="00851DA1">
        <w:rPr>
          <w:rtl/>
        </w:rPr>
        <w:t>.</w:t>
      </w:r>
    </w:p>
  </w:footnote>
  <w:footnote w:id="68">
    <w:p w14:paraId="34B2C039" w14:textId="0C1B760F"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 xml:space="preserve">Inter-American Commission on Human Rights, </w:t>
      </w:r>
      <w:r w:rsidRPr="00851DA1">
        <w:rPr>
          <w:rFonts w:cs="Times New Roman"/>
          <w:i/>
          <w:iCs/>
        </w:rPr>
        <w:t>Protest and Human Rights</w:t>
      </w:r>
      <w:r w:rsidRPr="00851DA1">
        <w:rPr>
          <w:rFonts w:cs="Times New Roman"/>
        </w:rPr>
        <w:t xml:space="preserve">, para. </w:t>
      </w:r>
      <w:r w:rsidRPr="00851DA1">
        <w:rPr>
          <w:rFonts w:cs="Times New Roman"/>
          <w:szCs w:val="18"/>
        </w:rPr>
        <w:t>72</w:t>
      </w:r>
      <w:r w:rsidRPr="00851DA1">
        <w:rPr>
          <w:rtl/>
        </w:rPr>
        <w:t>.</w:t>
      </w:r>
    </w:p>
  </w:footnote>
  <w:footnote w:id="69">
    <w:p w14:paraId="48850BF8" w14:textId="7A93B61E"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CCPR/C/KAZ/CO/</w:t>
      </w:r>
      <w:r w:rsidRPr="00851DA1">
        <w:rPr>
          <w:szCs w:val="18"/>
        </w:rPr>
        <w:t>1</w:t>
      </w:r>
      <w:r w:rsidRPr="00851DA1">
        <w:rPr>
          <w:rtl/>
        </w:rPr>
        <w:t xml:space="preserve">، الفقرة </w:t>
      </w:r>
      <w:r w:rsidRPr="00851DA1">
        <w:rPr>
          <w:szCs w:val="18"/>
          <w:rtl/>
        </w:rPr>
        <w:t>26</w:t>
      </w:r>
      <w:r w:rsidRPr="00851DA1">
        <w:rPr>
          <w:rtl/>
        </w:rPr>
        <w:t>.</w:t>
      </w:r>
    </w:p>
  </w:footnote>
  <w:footnote w:id="70">
    <w:p w14:paraId="33290AF4" w14:textId="1E8F60EA"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CCPR/C/DZA/CO/</w:t>
      </w:r>
      <w:r w:rsidRPr="00851DA1">
        <w:rPr>
          <w:szCs w:val="18"/>
        </w:rPr>
        <w:t>4</w:t>
      </w:r>
      <w:r w:rsidRPr="00851DA1">
        <w:rPr>
          <w:rtl/>
        </w:rPr>
        <w:t xml:space="preserve">، الفقرة </w:t>
      </w:r>
      <w:r w:rsidRPr="00851DA1">
        <w:rPr>
          <w:szCs w:val="18"/>
          <w:rtl/>
        </w:rPr>
        <w:t>45</w:t>
      </w:r>
      <w:r w:rsidRPr="00851DA1">
        <w:rPr>
          <w:rtl/>
        </w:rPr>
        <w:t>.</w:t>
      </w:r>
    </w:p>
  </w:footnote>
  <w:footnote w:id="71">
    <w:p w14:paraId="4895EEA8" w14:textId="101FDFE1"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تورشنياك</w:t>
      </w:r>
      <w:proofErr w:type="spellEnd"/>
      <w:r w:rsidRPr="00851DA1">
        <w:rPr>
          <w:i/>
          <w:iCs/>
          <w:rtl/>
        </w:rPr>
        <w:t xml:space="preserve"> وآخرون ضد بيلاروس</w:t>
      </w:r>
      <w:r w:rsidRPr="00851DA1">
        <w:rPr>
          <w:rtl/>
        </w:rPr>
        <w:t xml:space="preserve">، الفقرة </w:t>
      </w:r>
      <w:r w:rsidRPr="00851DA1">
        <w:rPr>
          <w:szCs w:val="18"/>
          <w:rtl/>
        </w:rPr>
        <w:t>7</w:t>
      </w:r>
      <w:r w:rsidRPr="00851DA1">
        <w:rPr>
          <w:rtl/>
        </w:rPr>
        <w:t>-</w:t>
      </w:r>
      <w:r w:rsidRPr="00851DA1">
        <w:rPr>
          <w:szCs w:val="18"/>
          <w:rtl/>
        </w:rPr>
        <w:t>5</w:t>
      </w:r>
      <w:r w:rsidRPr="00851DA1">
        <w:rPr>
          <w:rtl/>
        </w:rPr>
        <w:t>.</w:t>
      </w:r>
    </w:p>
  </w:footnote>
  <w:footnote w:id="72">
    <w:p w14:paraId="1C696AFB" w14:textId="77777777" w:rsidR="00ED7CF1" w:rsidRPr="00851DA1" w:rsidRDefault="00ED7CF1" w:rsidP="00ED7CF1">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سودالينكو</w:t>
      </w:r>
      <w:proofErr w:type="spellEnd"/>
      <w:r w:rsidRPr="00851DA1">
        <w:rPr>
          <w:i/>
          <w:iCs/>
          <w:rtl/>
        </w:rPr>
        <w:t xml:space="preserve"> ضد بيلاروس</w:t>
      </w:r>
      <w:r w:rsidRPr="00851DA1">
        <w:rPr>
          <w:rtl/>
        </w:rPr>
        <w:t xml:space="preserve"> (</w:t>
      </w:r>
      <w:r w:rsidRPr="00851DA1">
        <w:rPr>
          <w:rFonts w:cs="Times New Roman"/>
        </w:rPr>
        <w:t>CCPR/C/</w:t>
      </w:r>
      <w:r w:rsidRPr="00851DA1">
        <w:rPr>
          <w:rFonts w:cs="Times New Roman"/>
          <w:szCs w:val="18"/>
        </w:rPr>
        <w:t>113</w:t>
      </w:r>
      <w:r w:rsidRPr="00851DA1">
        <w:rPr>
          <w:rFonts w:cs="Times New Roman"/>
        </w:rPr>
        <w:t>/D/</w:t>
      </w:r>
      <w:r w:rsidRPr="00851DA1">
        <w:rPr>
          <w:rFonts w:cs="Times New Roman"/>
          <w:szCs w:val="18"/>
        </w:rPr>
        <w:t>1992</w:t>
      </w:r>
      <w:r w:rsidRPr="00851DA1">
        <w:rPr>
          <w:rFonts w:cs="Times New Roman"/>
        </w:rPr>
        <w:t>/</w:t>
      </w:r>
      <w:r w:rsidRPr="00851DA1">
        <w:rPr>
          <w:rFonts w:cs="Times New Roman"/>
          <w:szCs w:val="18"/>
        </w:rPr>
        <w:t>201</w:t>
      </w:r>
      <w:r w:rsidRPr="00851DA1">
        <w:rPr>
          <w:szCs w:val="18"/>
        </w:rPr>
        <w:t>0</w:t>
      </w:r>
      <w:r w:rsidRPr="00851DA1">
        <w:rPr>
          <w:rtl/>
        </w:rPr>
        <w:t xml:space="preserve">)، الفقرة </w:t>
      </w:r>
      <w:r w:rsidRPr="00851DA1">
        <w:rPr>
          <w:szCs w:val="18"/>
          <w:rtl/>
        </w:rPr>
        <w:t>8</w:t>
      </w:r>
      <w:r w:rsidRPr="00851DA1">
        <w:rPr>
          <w:rtl/>
        </w:rPr>
        <w:t>-</w:t>
      </w:r>
      <w:r w:rsidRPr="00851DA1">
        <w:rPr>
          <w:szCs w:val="18"/>
          <w:rtl/>
        </w:rPr>
        <w:t>5</w:t>
      </w:r>
      <w:r w:rsidRPr="00851DA1">
        <w:rPr>
          <w:rtl/>
        </w:rPr>
        <w:t>.</w:t>
      </w:r>
    </w:p>
  </w:footnote>
  <w:footnote w:id="73">
    <w:p w14:paraId="602787F6" w14:textId="28273243"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زوندل</w:t>
      </w:r>
      <w:proofErr w:type="spellEnd"/>
      <w:r w:rsidRPr="00851DA1">
        <w:rPr>
          <w:i/>
          <w:iCs/>
          <w:rtl/>
        </w:rPr>
        <w:t xml:space="preserve"> ضد كندا</w:t>
      </w:r>
      <w:r w:rsidRPr="00851DA1">
        <w:rPr>
          <w:rtl/>
        </w:rPr>
        <w:t xml:space="preserve"> (</w:t>
      </w:r>
      <w:r w:rsidRPr="00851DA1">
        <w:rPr>
          <w:rFonts w:cs="Times New Roman"/>
        </w:rPr>
        <w:t>CCPR/C/</w:t>
      </w:r>
      <w:r w:rsidRPr="00851DA1">
        <w:rPr>
          <w:rFonts w:cs="Times New Roman"/>
          <w:szCs w:val="18"/>
        </w:rPr>
        <w:t>78</w:t>
      </w:r>
      <w:r w:rsidRPr="00851DA1">
        <w:rPr>
          <w:rFonts w:cs="Times New Roman"/>
        </w:rPr>
        <w:t>/D/</w:t>
      </w:r>
      <w:r w:rsidRPr="00851DA1">
        <w:rPr>
          <w:rFonts w:cs="Times New Roman"/>
          <w:szCs w:val="18"/>
        </w:rPr>
        <w:t>953</w:t>
      </w:r>
      <w:r w:rsidRPr="00851DA1">
        <w:rPr>
          <w:rFonts w:cs="Times New Roman"/>
        </w:rPr>
        <w:t>/</w:t>
      </w:r>
      <w:r w:rsidRPr="00851DA1">
        <w:rPr>
          <w:rFonts w:cs="Times New Roman"/>
          <w:szCs w:val="18"/>
        </w:rPr>
        <w:t>200</w:t>
      </w:r>
      <w:r w:rsidRPr="00851DA1">
        <w:rPr>
          <w:szCs w:val="18"/>
        </w:rPr>
        <w:t>0</w:t>
      </w:r>
      <w:r w:rsidRPr="00851DA1">
        <w:rPr>
          <w:rtl/>
        </w:rPr>
        <w:t xml:space="preserve">)، الفقرة </w:t>
      </w:r>
      <w:r w:rsidRPr="00851DA1">
        <w:rPr>
          <w:szCs w:val="18"/>
        </w:rPr>
        <w:t>5</w:t>
      </w:r>
      <w:r w:rsidRPr="00851DA1">
        <w:t>-</w:t>
      </w:r>
      <w:r w:rsidRPr="00851DA1">
        <w:rPr>
          <w:szCs w:val="18"/>
        </w:rPr>
        <w:t>8</w:t>
      </w:r>
      <w:r w:rsidRPr="00851DA1">
        <w:rPr>
          <w:rtl/>
        </w:rPr>
        <w:t>.</w:t>
      </w:r>
    </w:p>
  </w:footnote>
  <w:footnote w:id="74">
    <w:p w14:paraId="0AD30CE9" w14:textId="77777777" w:rsidR="00ED7CF1" w:rsidRPr="00851DA1" w:rsidRDefault="00ED7CF1" w:rsidP="00ED7CF1">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خيمينيز</w:t>
      </w:r>
      <w:proofErr w:type="spellEnd"/>
      <w:r w:rsidRPr="00851DA1">
        <w:rPr>
          <w:i/>
          <w:iCs/>
          <w:rtl/>
        </w:rPr>
        <w:t xml:space="preserve"> ضد باراغواي</w:t>
      </w:r>
      <w:r w:rsidRPr="00851DA1">
        <w:rPr>
          <w:rtl/>
        </w:rPr>
        <w:t xml:space="preserve"> (</w:t>
      </w:r>
      <w:r w:rsidRPr="00851DA1">
        <w:rPr>
          <w:rFonts w:cs="Times New Roman"/>
        </w:rPr>
        <w:t>CCPR/C/</w:t>
      </w:r>
      <w:r w:rsidRPr="00851DA1">
        <w:rPr>
          <w:rFonts w:cs="Times New Roman"/>
          <w:szCs w:val="18"/>
        </w:rPr>
        <w:t>123</w:t>
      </w:r>
      <w:r w:rsidRPr="00851DA1">
        <w:rPr>
          <w:rFonts w:cs="Times New Roman"/>
        </w:rPr>
        <w:t>/D/</w:t>
      </w:r>
      <w:r w:rsidRPr="00851DA1">
        <w:rPr>
          <w:rFonts w:cs="Times New Roman"/>
          <w:szCs w:val="18"/>
        </w:rPr>
        <w:t>2372</w:t>
      </w:r>
      <w:r w:rsidRPr="00851DA1">
        <w:rPr>
          <w:rFonts w:cs="Times New Roman"/>
        </w:rPr>
        <w:t>/</w:t>
      </w:r>
      <w:r w:rsidRPr="00851DA1">
        <w:rPr>
          <w:rFonts w:cs="Times New Roman"/>
          <w:szCs w:val="18"/>
        </w:rPr>
        <w:t>201</w:t>
      </w:r>
      <w:r w:rsidRPr="00851DA1">
        <w:rPr>
          <w:szCs w:val="18"/>
        </w:rPr>
        <w:t>4</w:t>
      </w:r>
      <w:r w:rsidRPr="00851DA1">
        <w:rPr>
          <w:rtl/>
        </w:rPr>
        <w:t xml:space="preserve">)، الفقرة </w:t>
      </w:r>
      <w:r w:rsidRPr="00851DA1">
        <w:rPr>
          <w:szCs w:val="18"/>
          <w:rtl/>
        </w:rPr>
        <w:t>8</w:t>
      </w:r>
      <w:r w:rsidRPr="00851DA1">
        <w:rPr>
          <w:rtl/>
        </w:rPr>
        <w:t>-</w:t>
      </w:r>
      <w:r w:rsidRPr="00851DA1">
        <w:rPr>
          <w:szCs w:val="18"/>
          <w:rtl/>
        </w:rPr>
        <w:t>3</w:t>
      </w:r>
      <w:r w:rsidRPr="00851DA1">
        <w:rPr>
          <w:rtl/>
        </w:rPr>
        <w:t>؛ و</w:t>
      </w:r>
      <w:r w:rsidRPr="00851DA1">
        <w:rPr>
          <w:rFonts w:cs="Times New Roman"/>
        </w:rPr>
        <w:t xml:space="preserve">European Court of Human Rights, </w:t>
      </w:r>
      <w:proofErr w:type="spellStart"/>
      <w:r w:rsidRPr="00851DA1">
        <w:rPr>
          <w:rFonts w:cs="Times New Roman"/>
          <w:i/>
          <w:iCs/>
        </w:rPr>
        <w:t>Annenkov</w:t>
      </w:r>
      <w:proofErr w:type="spellEnd"/>
      <w:r w:rsidRPr="00851DA1">
        <w:rPr>
          <w:rFonts w:cs="Times New Roman"/>
          <w:i/>
          <w:iCs/>
        </w:rPr>
        <w:t xml:space="preserve"> and others v. Russia </w:t>
      </w:r>
      <w:r w:rsidRPr="00851DA1">
        <w:t>(</w:t>
      </w:r>
      <w:r w:rsidRPr="00851DA1">
        <w:rPr>
          <w:rFonts w:cs="Times New Roman"/>
        </w:rPr>
        <w:t xml:space="preserve">application No. </w:t>
      </w:r>
      <w:r w:rsidRPr="00851DA1">
        <w:rPr>
          <w:rFonts w:cs="Times New Roman"/>
          <w:szCs w:val="18"/>
        </w:rPr>
        <w:t>31475</w:t>
      </w:r>
      <w:r w:rsidRPr="00851DA1">
        <w:rPr>
          <w:rFonts w:cs="Times New Roman"/>
        </w:rPr>
        <w:t>/</w:t>
      </w:r>
      <w:proofErr w:type="gramStart"/>
      <w:r w:rsidRPr="00851DA1">
        <w:rPr>
          <w:rFonts w:cs="Times New Roman"/>
          <w:szCs w:val="18"/>
        </w:rPr>
        <w:t>10</w:t>
      </w:r>
      <w:r w:rsidRPr="00851DA1">
        <w:t>)</w:t>
      </w:r>
      <w:r w:rsidRPr="00851DA1">
        <w:rPr>
          <w:rFonts w:cs="Times New Roman"/>
        </w:rPr>
        <w:t>,</w:t>
      </w:r>
      <w:proofErr w:type="gramEnd"/>
      <w:r w:rsidRPr="00851DA1">
        <w:rPr>
          <w:rFonts w:cs="Times New Roman"/>
        </w:rPr>
        <w:t xml:space="preserve"> judgment of </w:t>
      </w:r>
      <w:r w:rsidRPr="00851DA1">
        <w:rPr>
          <w:rFonts w:cs="Times New Roman"/>
          <w:szCs w:val="18"/>
        </w:rPr>
        <w:t>25</w:t>
      </w:r>
      <w:r w:rsidRPr="00851DA1">
        <w:rPr>
          <w:rFonts w:cs="Times New Roman"/>
        </w:rPr>
        <w:t xml:space="preserve"> July </w:t>
      </w:r>
      <w:r w:rsidRPr="00851DA1">
        <w:rPr>
          <w:rFonts w:cs="Times New Roman"/>
          <w:szCs w:val="18"/>
        </w:rPr>
        <w:t>2017</w:t>
      </w:r>
      <w:r w:rsidRPr="00851DA1">
        <w:rPr>
          <w:rFonts w:cs="Times New Roman"/>
        </w:rPr>
        <w:t xml:space="preserve">, para. </w:t>
      </w:r>
      <w:r w:rsidRPr="00851DA1">
        <w:rPr>
          <w:rFonts w:cs="Times New Roman"/>
          <w:szCs w:val="18"/>
        </w:rPr>
        <w:t>12</w:t>
      </w:r>
      <w:r w:rsidRPr="00851DA1">
        <w:rPr>
          <w:szCs w:val="18"/>
        </w:rPr>
        <w:t>2</w:t>
      </w:r>
      <w:r w:rsidRPr="00851DA1">
        <w:rPr>
          <w:rtl/>
        </w:rPr>
        <w:t>.</w:t>
      </w:r>
    </w:p>
  </w:footnote>
  <w:footnote w:id="75">
    <w:p w14:paraId="48AB2741" w14:textId="3A622497"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 xml:space="preserve">European Court of Human Rights, </w:t>
      </w:r>
      <w:r w:rsidRPr="00851DA1">
        <w:rPr>
          <w:rFonts w:cs="Times New Roman"/>
          <w:i/>
          <w:iCs/>
        </w:rPr>
        <w:t>Appleby and others v. United Kingdom</w:t>
      </w:r>
      <w:r w:rsidRPr="00851DA1">
        <w:rPr>
          <w:rFonts w:cs="Times New Roman"/>
        </w:rPr>
        <w:t xml:space="preserve"> </w:t>
      </w:r>
      <w:r w:rsidRPr="00851DA1">
        <w:t>(</w:t>
      </w:r>
      <w:r w:rsidRPr="00851DA1">
        <w:rPr>
          <w:rFonts w:cs="Times New Roman"/>
        </w:rPr>
        <w:t xml:space="preserve">application No. </w:t>
      </w:r>
      <w:r w:rsidRPr="00851DA1">
        <w:rPr>
          <w:rFonts w:cs="Times New Roman"/>
          <w:szCs w:val="18"/>
        </w:rPr>
        <w:t>44306</w:t>
      </w:r>
      <w:r w:rsidRPr="00851DA1">
        <w:rPr>
          <w:rFonts w:cs="Times New Roman"/>
        </w:rPr>
        <w:t>/</w:t>
      </w:r>
      <w:r w:rsidRPr="00851DA1">
        <w:rPr>
          <w:rFonts w:cs="Times New Roman"/>
          <w:szCs w:val="18"/>
        </w:rPr>
        <w:t>98</w:t>
      </w:r>
      <w:r w:rsidRPr="00851DA1">
        <w:t>)</w:t>
      </w:r>
      <w:r w:rsidRPr="00851DA1">
        <w:rPr>
          <w:rFonts w:cs="Times New Roman"/>
        </w:rPr>
        <w:t xml:space="preserve">, judgment of </w:t>
      </w:r>
      <w:r w:rsidRPr="00851DA1">
        <w:rPr>
          <w:rFonts w:cs="Times New Roman"/>
          <w:szCs w:val="18"/>
        </w:rPr>
        <w:t>6</w:t>
      </w:r>
      <w:r w:rsidRPr="00851DA1">
        <w:rPr>
          <w:rFonts w:cs="Times New Roman"/>
        </w:rPr>
        <w:t xml:space="preserve"> May </w:t>
      </w:r>
      <w:r w:rsidRPr="00851DA1">
        <w:rPr>
          <w:rFonts w:cs="Times New Roman"/>
          <w:szCs w:val="18"/>
        </w:rPr>
        <w:t>2003</w:t>
      </w:r>
      <w:r w:rsidRPr="00851DA1">
        <w:rPr>
          <w:rFonts w:cs="Times New Roman"/>
        </w:rPr>
        <w:t xml:space="preserve">, para. </w:t>
      </w:r>
      <w:r w:rsidRPr="00851DA1">
        <w:rPr>
          <w:rFonts w:cs="Times New Roman"/>
          <w:szCs w:val="18"/>
        </w:rPr>
        <w:t>47</w:t>
      </w:r>
      <w:r w:rsidRPr="00851DA1">
        <w:rPr>
          <w:rFonts w:cs="Times New Roman"/>
          <w:rtl/>
        </w:rPr>
        <w:t>.</w:t>
      </w:r>
      <w:r w:rsidRPr="00851DA1">
        <w:rPr>
          <w:rtl/>
        </w:rPr>
        <w:t xml:space="preserve"> </w:t>
      </w:r>
    </w:p>
  </w:footnote>
  <w:footnote w:id="76">
    <w:p w14:paraId="690DD21C" w14:textId="62561982"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European Court of Human Rights</w:t>
      </w:r>
      <w:r w:rsidRPr="00851DA1">
        <w:rPr>
          <w:rFonts w:cs="Times New Roman"/>
          <w:i/>
          <w:iCs/>
        </w:rPr>
        <w:t xml:space="preserve">, </w:t>
      </w:r>
      <w:proofErr w:type="spellStart"/>
      <w:r w:rsidRPr="00851DA1">
        <w:rPr>
          <w:rFonts w:cs="Times New Roman"/>
          <w:i/>
          <w:iCs/>
        </w:rPr>
        <w:t>Frumkin</w:t>
      </w:r>
      <w:proofErr w:type="spellEnd"/>
      <w:r w:rsidRPr="00851DA1">
        <w:rPr>
          <w:rFonts w:cs="Times New Roman"/>
          <w:i/>
          <w:iCs/>
        </w:rPr>
        <w:t xml:space="preserve"> v. Russia</w:t>
      </w:r>
      <w:r w:rsidRPr="00851DA1">
        <w:rPr>
          <w:rFonts w:cs="Times New Roman"/>
        </w:rPr>
        <w:t xml:space="preserve">, para. </w:t>
      </w:r>
      <w:r w:rsidRPr="00851DA1">
        <w:rPr>
          <w:rFonts w:cs="Times New Roman"/>
          <w:szCs w:val="18"/>
        </w:rPr>
        <w:t>10</w:t>
      </w:r>
      <w:r w:rsidRPr="00851DA1">
        <w:rPr>
          <w:szCs w:val="18"/>
        </w:rPr>
        <w:t>7</w:t>
      </w:r>
      <w:r w:rsidRPr="00851DA1">
        <w:rPr>
          <w:rtl/>
        </w:rPr>
        <w:t>.</w:t>
      </w:r>
    </w:p>
  </w:footnote>
  <w:footnote w:id="77">
    <w:p w14:paraId="524272C8" w14:textId="311E8CF8"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CCPR/C/THA/CO/</w:t>
      </w:r>
      <w:r w:rsidRPr="00851DA1">
        <w:rPr>
          <w:szCs w:val="18"/>
        </w:rPr>
        <w:t>2</w:t>
      </w:r>
      <w:r w:rsidRPr="00851DA1">
        <w:rPr>
          <w:rtl/>
        </w:rPr>
        <w:t xml:space="preserve">، الفقرة </w:t>
      </w:r>
      <w:r w:rsidRPr="00851DA1">
        <w:rPr>
          <w:szCs w:val="18"/>
          <w:rtl/>
        </w:rPr>
        <w:t>39</w:t>
      </w:r>
      <w:r w:rsidRPr="00851DA1">
        <w:rPr>
          <w:rtl/>
        </w:rPr>
        <w:t>.</w:t>
      </w:r>
    </w:p>
  </w:footnote>
  <w:footnote w:id="78">
    <w:p w14:paraId="5A3A5119" w14:textId="6DD5FFB0"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spacing w:val="-4"/>
        </w:rPr>
        <w:t xml:space="preserve">OSCE and Venice Commission, </w:t>
      </w:r>
      <w:r w:rsidRPr="00851DA1">
        <w:rPr>
          <w:rFonts w:cs="Times New Roman"/>
          <w:i/>
          <w:iCs/>
          <w:spacing w:val="-4"/>
        </w:rPr>
        <w:t>Guidelines on Peaceful Assembly</w:t>
      </w:r>
      <w:r w:rsidRPr="00851DA1">
        <w:rPr>
          <w:rFonts w:cs="Times New Roman"/>
          <w:spacing w:val="-4"/>
        </w:rPr>
        <w:t xml:space="preserve">, para. </w:t>
      </w:r>
      <w:r w:rsidRPr="00851DA1">
        <w:rPr>
          <w:rFonts w:cs="Times New Roman"/>
          <w:spacing w:val="-4"/>
          <w:szCs w:val="18"/>
        </w:rPr>
        <w:t>153</w:t>
      </w:r>
      <w:r w:rsidRPr="00851DA1">
        <w:rPr>
          <w:rtl/>
        </w:rPr>
        <w:t>؛</w:t>
      </w:r>
      <w:r w:rsidR="008D7BF3" w:rsidRPr="00851DA1">
        <w:rPr>
          <w:rFonts w:hint="cs"/>
          <w:rtl/>
        </w:rPr>
        <w:t xml:space="preserve"> </w:t>
      </w:r>
      <w:r w:rsidRPr="00851DA1">
        <w:rPr>
          <w:spacing w:val="-4"/>
          <w:rtl/>
        </w:rPr>
        <w:t>و</w:t>
      </w:r>
      <w:r w:rsidRPr="00851DA1">
        <w:rPr>
          <w:rFonts w:cs="Times New Roman"/>
          <w:spacing w:val="-4"/>
        </w:rPr>
        <w:t xml:space="preserve">African Commission on Human and Peoples’ Rights, </w:t>
      </w:r>
      <w:r w:rsidRPr="00851DA1">
        <w:rPr>
          <w:rFonts w:cs="Times New Roman"/>
          <w:i/>
          <w:iCs/>
          <w:spacing w:val="-4"/>
        </w:rPr>
        <w:t>Guidelines on Freedom of Association and Assembly in Africa</w:t>
      </w:r>
      <w:r w:rsidRPr="00851DA1">
        <w:rPr>
          <w:rFonts w:cs="Times New Roman"/>
          <w:spacing w:val="-4"/>
        </w:rPr>
        <w:t xml:space="preserve">, para. </w:t>
      </w:r>
      <w:r w:rsidRPr="00851DA1">
        <w:rPr>
          <w:rFonts w:cs="Times New Roman"/>
          <w:spacing w:val="-4"/>
          <w:szCs w:val="18"/>
        </w:rPr>
        <w:t>81</w:t>
      </w:r>
      <w:r w:rsidRPr="00851DA1">
        <w:rPr>
          <w:rtl/>
        </w:rPr>
        <w:t>.</w:t>
      </w:r>
    </w:p>
  </w:footnote>
  <w:footnote w:id="79">
    <w:p w14:paraId="0A46223F" w14:textId="31618AE7"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A/HRC/</w:t>
      </w:r>
      <w:r w:rsidRPr="00851DA1">
        <w:rPr>
          <w:rFonts w:cs="Times New Roman"/>
          <w:szCs w:val="18"/>
        </w:rPr>
        <w:t>31</w:t>
      </w:r>
      <w:r w:rsidRPr="00851DA1">
        <w:rPr>
          <w:rFonts w:cs="Times New Roman"/>
        </w:rPr>
        <w:t>/</w:t>
      </w:r>
      <w:r w:rsidRPr="00851DA1">
        <w:rPr>
          <w:rFonts w:cs="Times New Roman"/>
          <w:szCs w:val="18"/>
        </w:rPr>
        <w:t>6</w:t>
      </w:r>
      <w:r w:rsidRPr="00851DA1">
        <w:rPr>
          <w:szCs w:val="18"/>
        </w:rPr>
        <w:t>6</w:t>
      </w:r>
      <w:r w:rsidRPr="00851DA1">
        <w:rPr>
          <w:rtl/>
        </w:rPr>
        <w:t xml:space="preserve">، الفقرة </w:t>
      </w:r>
      <w:r w:rsidRPr="00851DA1">
        <w:rPr>
          <w:szCs w:val="18"/>
          <w:rtl/>
        </w:rPr>
        <w:t>73</w:t>
      </w:r>
      <w:r w:rsidRPr="00851DA1">
        <w:rPr>
          <w:rtl/>
        </w:rPr>
        <w:t>.</w:t>
      </w:r>
    </w:p>
  </w:footnote>
  <w:footnote w:id="80">
    <w:p w14:paraId="3F9C8F85" w14:textId="4164C8DF"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CCPR/C/KOR/CO/</w:t>
      </w:r>
      <w:r w:rsidRPr="00851DA1">
        <w:rPr>
          <w:szCs w:val="18"/>
        </w:rPr>
        <w:t>4</w:t>
      </w:r>
      <w:r w:rsidRPr="00851DA1">
        <w:rPr>
          <w:rtl/>
        </w:rPr>
        <w:t xml:space="preserve">، الفقرتان </w:t>
      </w:r>
      <w:r w:rsidRPr="00851DA1">
        <w:rPr>
          <w:szCs w:val="18"/>
          <w:rtl/>
        </w:rPr>
        <w:t>42</w:t>
      </w:r>
      <w:r w:rsidRPr="00851DA1">
        <w:rPr>
          <w:rtl/>
        </w:rPr>
        <w:t xml:space="preserve"> </w:t>
      </w:r>
      <w:proofErr w:type="spellStart"/>
      <w:r w:rsidRPr="00851DA1">
        <w:rPr>
          <w:rtl/>
        </w:rPr>
        <w:t>و</w:t>
      </w:r>
      <w:r w:rsidRPr="00851DA1">
        <w:rPr>
          <w:szCs w:val="18"/>
          <w:rtl/>
        </w:rPr>
        <w:t>43</w:t>
      </w:r>
      <w:proofErr w:type="spellEnd"/>
      <w:r w:rsidRPr="00851DA1">
        <w:rPr>
          <w:rtl/>
        </w:rPr>
        <w:t>.</w:t>
      </w:r>
    </w:p>
  </w:footnote>
  <w:footnote w:id="81">
    <w:p w14:paraId="743AC9D7" w14:textId="4EB83191"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A/HRC/</w:t>
      </w:r>
      <w:r w:rsidRPr="00851DA1">
        <w:rPr>
          <w:rFonts w:cs="Times New Roman"/>
          <w:szCs w:val="18"/>
        </w:rPr>
        <w:t>44</w:t>
      </w:r>
      <w:r w:rsidRPr="00851DA1">
        <w:rPr>
          <w:rFonts w:cs="Times New Roman"/>
        </w:rPr>
        <w:t>/</w:t>
      </w:r>
      <w:r w:rsidRPr="00851DA1">
        <w:rPr>
          <w:rFonts w:cs="Times New Roman"/>
          <w:szCs w:val="18"/>
        </w:rPr>
        <w:t>2</w:t>
      </w:r>
      <w:r w:rsidRPr="00851DA1">
        <w:rPr>
          <w:szCs w:val="18"/>
        </w:rPr>
        <w:t>4</w:t>
      </w:r>
      <w:r w:rsidRPr="00851DA1">
        <w:rPr>
          <w:rtl/>
        </w:rPr>
        <w:t xml:space="preserve">، الفقرتان </w:t>
      </w:r>
      <w:r w:rsidRPr="00851DA1">
        <w:rPr>
          <w:szCs w:val="18"/>
          <w:rtl/>
        </w:rPr>
        <w:t>33</w:t>
      </w:r>
      <w:r w:rsidRPr="00851DA1">
        <w:rPr>
          <w:rtl/>
        </w:rPr>
        <w:t xml:space="preserve"> </w:t>
      </w:r>
      <w:proofErr w:type="spellStart"/>
      <w:r w:rsidRPr="00851DA1">
        <w:rPr>
          <w:rtl/>
        </w:rPr>
        <w:t>و</w:t>
      </w:r>
      <w:r w:rsidRPr="00851DA1">
        <w:rPr>
          <w:szCs w:val="18"/>
          <w:rtl/>
        </w:rPr>
        <w:t>34</w:t>
      </w:r>
      <w:proofErr w:type="spellEnd"/>
      <w:r w:rsidRPr="00851DA1">
        <w:rPr>
          <w:rtl/>
        </w:rPr>
        <w:t>.</w:t>
      </w:r>
    </w:p>
  </w:footnote>
  <w:footnote w:id="82">
    <w:p w14:paraId="0E5E25DC" w14:textId="755C5520"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 xml:space="preserve">OSCE and Venice Commission, </w:t>
      </w:r>
      <w:r w:rsidRPr="00851DA1">
        <w:rPr>
          <w:rFonts w:cs="Times New Roman"/>
          <w:i/>
          <w:iCs/>
        </w:rPr>
        <w:t>Guidelines on Freedom of Peaceful Assembly</w:t>
      </w:r>
      <w:r w:rsidRPr="00851DA1">
        <w:rPr>
          <w:rFonts w:cs="Times New Roman"/>
        </w:rPr>
        <w:t xml:space="preserve">, para. </w:t>
      </w:r>
      <w:r w:rsidRPr="00851DA1">
        <w:rPr>
          <w:rFonts w:cs="Times New Roman"/>
          <w:szCs w:val="18"/>
        </w:rPr>
        <w:t>11</w:t>
      </w:r>
      <w:r w:rsidRPr="00851DA1">
        <w:rPr>
          <w:szCs w:val="18"/>
        </w:rPr>
        <w:t>0</w:t>
      </w:r>
      <w:r w:rsidRPr="00851DA1">
        <w:rPr>
          <w:rtl/>
        </w:rPr>
        <w:t>.</w:t>
      </w:r>
    </w:p>
  </w:footnote>
  <w:footnote w:id="83">
    <w:p w14:paraId="4CDF1A00" w14:textId="50F967B2"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CCPR/C/CHE/CO/</w:t>
      </w:r>
      <w:r w:rsidRPr="00851DA1">
        <w:rPr>
          <w:szCs w:val="18"/>
        </w:rPr>
        <w:t>4</w:t>
      </w:r>
      <w:r w:rsidRPr="00851DA1">
        <w:rPr>
          <w:rtl/>
        </w:rPr>
        <w:t xml:space="preserve">، الفقرة </w:t>
      </w:r>
      <w:r w:rsidRPr="00851DA1">
        <w:rPr>
          <w:szCs w:val="18"/>
          <w:rtl/>
        </w:rPr>
        <w:t>48</w:t>
      </w:r>
      <w:r w:rsidRPr="00851DA1">
        <w:rPr>
          <w:rtl/>
        </w:rPr>
        <w:t>.</w:t>
      </w:r>
    </w:p>
  </w:footnote>
  <w:footnote w:id="84">
    <w:p w14:paraId="25F54ADE" w14:textId="66B0742A"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بولياكوف</w:t>
      </w:r>
      <w:proofErr w:type="spellEnd"/>
      <w:r w:rsidRPr="00851DA1">
        <w:rPr>
          <w:i/>
          <w:iCs/>
          <w:rtl/>
        </w:rPr>
        <w:t xml:space="preserve"> ضد بيلاروس</w:t>
      </w:r>
      <w:r w:rsidRPr="00851DA1">
        <w:rPr>
          <w:rtl/>
        </w:rPr>
        <w:t xml:space="preserve"> (</w:t>
      </w:r>
      <w:r w:rsidRPr="00851DA1">
        <w:rPr>
          <w:rFonts w:cs="Times New Roman"/>
        </w:rPr>
        <w:t>CCPR/C/</w:t>
      </w:r>
      <w:r w:rsidRPr="00851DA1">
        <w:rPr>
          <w:rFonts w:cs="Times New Roman"/>
          <w:szCs w:val="18"/>
        </w:rPr>
        <w:t>111</w:t>
      </w:r>
      <w:r w:rsidRPr="00851DA1">
        <w:rPr>
          <w:rFonts w:cs="Times New Roman"/>
        </w:rPr>
        <w:t>/D/</w:t>
      </w:r>
      <w:r w:rsidRPr="00851DA1">
        <w:rPr>
          <w:rFonts w:cs="Times New Roman"/>
          <w:szCs w:val="18"/>
        </w:rPr>
        <w:t>2030</w:t>
      </w:r>
      <w:r w:rsidRPr="00851DA1">
        <w:rPr>
          <w:rFonts w:cs="Times New Roman"/>
        </w:rPr>
        <w:t>/</w:t>
      </w:r>
      <w:r w:rsidRPr="00851DA1">
        <w:rPr>
          <w:rFonts w:cs="Times New Roman"/>
          <w:szCs w:val="18"/>
        </w:rPr>
        <w:t>201</w:t>
      </w:r>
      <w:r w:rsidRPr="00851DA1">
        <w:rPr>
          <w:szCs w:val="18"/>
        </w:rPr>
        <w:t>1</w:t>
      </w:r>
      <w:r w:rsidRPr="00851DA1">
        <w:rPr>
          <w:rtl/>
        </w:rPr>
        <w:t xml:space="preserve">)، الفقرتان </w:t>
      </w:r>
      <w:r w:rsidRPr="00851DA1">
        <w:rPr>
          <w:szCs w:val="18"/>
          <w:rtl/>
        </w:rPr>
        <w:t>8</w:t>
      </w:r>
      <w:r w:rsidRPr="00851DA1">
        <w:rPr>
          <w:rtl/>
        </w:rPr>
        <w:t>-</w:t>
      </w:r>
      <w:r w:rsidRPr="00851DA1">
        <w:rPr>
          <w:szCs w:val="18"/>
          <w:rtl/>
        </w:rPr>
        <w:t>2</w:t>
      </w:r>
      <w:r w:rsidRPr="00851DA1">
        <w:rPr>
          <w:rtl/>
        </w:rPr>
        <w:t xml:space="preserve"> </w:t>
      </w:r>
      <w:proofErr w:type="spellStart"/>
      <w:r w:rsidRPr="00851DA1">
        <w:rPr>
          <w:rtl/>
        </w:rPr>
        <w:t>و</w:t>
      </w:r>
      <w:r w:rsidRPr="00851DA1">
        <w:rPr>
          <w:szCs w:val="18"/>
          <w:rtl/>
        </w:rPr>
        <w:t>8</w:t>
      </w:r>
      <w:proofErr w:type="spellEnd"/>
      <w:r w:rsidRPr="00851DA1">
        <w:rPr>
          <w:rtl/>
        </w:rPr>
        <w:t>-</w:t>
      </w:r>
      <w:r w:rsidRPr="00851DA1">
        <w:rPr>
          <w:szCs w:val="18"/>
          <w:rtl/>
        </w:rPr>
        <w:t>3</w:t>
      </w:r>
      <w:r w:rsidRPr="00851DA1">
        <w:rPr>
          <w:rtl/>
        </w:rPr>
        <w:t>؛ و</w:t>
      </w:r>
      <w:r w:rsidRPr="00851DA1">
        <w:rPr>
          <w:rFonts w:cs="Times New Roman"/>
        </w:rPr>
        <w:t>CCPR/C/BLR/CO/</w:t>
      </w:r>
      <w:r w:rsidRPr="00851DA1">
        <w:rPr>
          <w:szCs w:val="18"/>
        </w:rPr>
        <w:t>5</w:t>
      </w:r>
      <w:r w:rsidRPr="00851DA1">
        <w:rPr>
          <w:rtl/>
        </w:rPr>
        <w:t xml:space="preserve">، الفقرة </w:t>
      </w:r>
      <w:r w:rsidRPr="00851DA1">
        <w:rPr>
          <w:szCs w:val="18"/>
          <w:rtl/>
        </w:rPr>
        <w:t>51</w:t>
      </w:r>
      <w:r w:rsidRPr="00851DA1">
        <w:rPr>
          <w:rtl/>
        </w:rPr>
        <w:t>(أ).</w:t>
      </w:r>
    </w:p>
  </w:footnote>
  <w:footnote w:id="85">
    <w:p w14:paraId="4E45EA75" w14:textId="7F4EF31A"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 xml:space="preserve">African Commission on Human and Peoples’ Rights, </w:t>
      </w:r>
      <w:r w:rsidRPr="00851DA1">
        <w:rPr>
          <w:rFonts w:cs="Times New Roman"/>
          <w:i/>
          <w:iCs/>
        </w:rPr>
        <w:t>Guidelines on Freedom of Association and Assembly in Africa</w:t>
      </w:r>
      <w:r w:rsidRPr="00851DA1">
        <w:rPr>
          <w:rFonts w:cs="Times New Roman"/>
        </w:rPr>
        <w:t xml:space="preserve">, para. </w:t>
      </w:r>
      <w:r w:rsidRPr="00851DA1">
        <w:rPr>
          <w:rFonts w:cs="Times New Roman"/>
          <w:szCs w:val="18"/>
        </w:rPr>
        <w:t>102</w:t>
      </w:r>
      <w:r w:rsidRPr="00851DA1">
        <w:rPr>
          <w:rFonts w:cs="Times New Roman"/>
        </w:rPr>
        <w:t xml:space="preserve"> </w:t>
      </w:r>
      <w:r w:rsidRPr="00851DA1">
        <w:t>(</w:t>
      </w:r>
      <w:r w:rsidRPr="00851DA1">
        <w:rPr>
          <w:rFonts w:cs="Times New Roman"/>
        </w:rPr>
        <w:t>b</w:t>
      </w:r>
      <w:r w:rsidR="00D45C86" w:rsidRPr="00851DA1">
        <w:rPr>
          <w:rFonts w:cs="Times New Roman"/>
        </w:rPr>
        <w:t>)</w:t>
      </w:r>
      <w:r w:rsidRPr="00851DA1">
        <w:rPr>
          <w:rtl/>
        </w:rPr>
        <w:t>.</w:t>
      </w:r>
    </w:p>
  </w:footnote>
  <w:footnote w:id="86">
    <w:p w14:paraId="6B40731A" w14:textId="6F6A5F26"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A/HRC/</w:t>
      </w:r>
      <w:r w:rsidRPr="00851DA1">
        <w:rPr>
          <w:rFonts w:cs="Times New Roman"/>
          <w:szCs w:val="18"/>
        </w:rPr>
        <w:t>31</w:t>
      </w:r>
      <w:r w:rsidRPr="00851DA1">
        <w:rPr>
          <w:rFonts w:cs="Times New Roman"/>
        </w:rPr>
        <w:t>/</w:t>
      </w:r>
      <w:r w:rsidRPr="00851DA1">
        <w:rPr>
          <w:rFonts w:cs="Times New Roman"/>
          <w:szCs w:val="18"/>
        </w:rPr>
        <w:t>6</w:t>
      </w:r>
      <w:r w:rsidRPr="00851DA1">
        <w:rPr>
          <w:szCs w:val="18"/>
        </w:rPr>
        <w:t>6</w:t>
      </w:r>
      <w:r w:rsidRPr="00851DA1">
        <w:rPr>
          <w:rtl/>
        </w:rPr>
        <w:t xml:space="preserve">، الفقرة </w:t>
      </w:r>
      <w:r w:rsidRPr="00851DA1">
        <w:rPr>
          <w:szCs w:val="18"/>
          <w:rtl/>
        </w:rPr>
        <w:t>26</w:t>
      </w:r>
      <w:r w:rsidRPr="00851DA1">
        <w:rPr>
          <w:rtl/>
        </w:rPr>
        <w:t>.</w:t>
      </w:r>
    </w:p>
  </w:footnote>
  <w:footnote w:id="87">
    <w:p w14:paraId="228C9C2A" w14:textId="1A3EE73C"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 xml:space="preserve">OSCE and Venice Commission, </w:t>
      </w:r>
      <w:r w:rsidRPr="00851DA1">
        <w:rPr>
          <w:rFonts w:cs="Times New Roman"/>
          <w:i/>
          <w:iCs/>
        </w:rPr>
        <w:t>Guidelines on Freedom of Peaceful Assembly</w:t>
      </w:r>
      <w:r w:rsidRPr="00851DA1">
        <w:rPr>
          <w:rFonts w:cs="Times New Roman"/>
        </w:rPr>
        <w:t xml:space="preserve">, para. </w:t>
      </w:r>
      <w:r w:rsidRPr="00851DA1">
        <w:rPr>
          <w:rFonts w:cs="Times New Roman"/>
          <w:szCs w:val="18"/>
        </w:rPr>
        <w:t>22</w:t>
      </w:r>
      <w:r w:rsidRPr="00851DA1">
        <w:rPr>
          <w:szCs w:val="18"/>
        </w:rPr>
        <w:t>4</w:t>
      </w:r>
      <w:r w:rsidRPr="00851DA1">
        <w:rPr>
          <w:rtl/>
        </w:rPr>
        <w:t>.</w:t>
      </w:r>
    </w:p>
  </w:footnote>
  <w:footnote w:id="88">
    <w:p w14:paraId="074FCA82" w14:textId="12B6725E"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CCPR/C/KHM/CO/</w:t>
      </w:r>
      <w:r w:rsidRPr="00851DA1">
        <w:rPr>
          <w:szCs w:val="18"/>
        </w:rPr>
        <w:t>2</w:t>
      </w:r>
      <w:r w:rsidRPr="00851DA1">
        <w:rPr>
          <w:rtl/>
        </w:rPr>
        <w:t xml:space="preserve">، الفقرة </w:t>
      </w:r>
      <w:r w:rsidRPr="00851DA1">
        <w:rPr>
          <w:szCs w:val="18"/>
          <w:rtl/>
        </w:rPr>
        <w:t>22</w:t>
      </w:r>
      <w:r w:rsidRPr="00851DA1">
        <w:rPr>
          <w:rtl/>
        </w:rPr>
        <w:t>؛ و</w:t>
      </w:r>
      <w:r w:rsidRPr="00851DA1">
        <w:t>CCPR/C/JOR/CO/</w:t>
      </w:r>
      <w:r w:rsidRPr="00851DA1">
        <w:rPr>
          <w:szCs w:val="18"/>
        </w:rPr>
        <w:t>5</w:t>
      </w:r>
      <w:r w:rsidRPr="00851DA1">
        <w:rPr>
          <w:rtl/>
        </w:rPr>
        <w:t xml:space="preserve">، الفقرة </w:t>
      </w:r>
      <w:r w:rsidRPr="00851DA1">
        <w:rPr>
          <w:szCs w:val="18"/>
          <w:rtl/>
        </w:rPr>
        <w:t>32</w:t>
      </w:r>
      <w:r w:rsidRPr="00851DA1">
        <w:rPr>
          <w:rtl/>
        </w:rPr>
        <w:t>.</w:t>
      </w:r>
    </w:p>
  </w:footnote>
  <w:footnote w:id="89">
    <w:p w14:paraId="1B188923" w14:textId="5FFF88B5"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CCPR/C/TKM/CO/</w:t>
      </w:r>
      <w:r w:rsidRPr="00851DA1">
        <w:rPr>
          <w:szCs w:val="18"/>
        </w:rPr>
        <w:t>2</w:t>
      </w:r>
      <w:r w:rsidRPr="00851DA1">
        <w:rPr>
          <w:rtl/>
        </w:rPr>
        <w:t xml:space="preserve">، الفقرة </w:t>
      </w:r>
      <w:r w:rsidRPr="00851DA1">
        <w:rPr>
          <w:szCs w:val="18"/>
          <w:rtl/>
        </w:rPr>
        <w:t>44</w:t>
      </w:r>
      <w:r w:rsidRPr="00851DA1">
        <w:rPr>
          <w:rtl/>
        </w:rPr>
        <w:t>.</w:t>
      </w:r>
    </w:p>
  </w:footnote>
  <w:footnote w:id="90">
    <w:p w14:paraId="1751C821" w14:textId="6A29AD8A"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CCPR/C/SWZ/CO/</w:t>
      </w:r>
      <w:r w:rsidRPr="00851DA1">
        <w:rPr>
          <w:szCs w:val="18"/>
        </w:rPr>
        <w:t>1</w:t>
      </w:r>
      <w:r w:rsidRPr="00851DA1">
        <w:rPr>
          <w:rtl/>
        </w:rPr>
        <w:t xml:space="preserve">، الفقرة </w:t>
      </w:r>
      <w:r w:rsidRPr="00851DA1">
        <w:rPr>
          <w:szCs w:val="18"/>
          <w:rtl/>
        </w:rPr>
        <w:t>36</w:t>
      </w:r>
      <w:r w:rsidRPr="00851DA1">
        <w:rPr>
          <w:rtl/>
        </w:rPr>
        <w:t>؛ و</w:t>
      </w:r>
      <w:r w:rsidRPr="00851DA1">
        <w:t>CCPR/C/BHR/CO/</w:t>
      </w:r>
      <w:r w:rsidRPr="00851DA1">
        <w:rPr>
          <w:szCs w:val="18"/>
        </w:rPr>
        <w:t>1</w:t>
      </w:r>
      <w:r w:rsidRPr="00851DA1">
        <w:rPr>
          <w:rtl/>
        </w:rPr>
        <w:t xml:space="preserve">، الفقرة </w:t>
      </w:r>
      <w:r w:rsidRPr="00851DA1">
        <w:rPr>
          <w:szCs w:val="18"/>
          <w:rtl/>
        </w:rPr>
        <w:t>29</w:t>
      </w:r>
      <w:r w:rsidRPr="00851DA1">
        <w:rPr>
          <w:rtl/>
        </w:rPr>
        <w:t xml:space="preserve">. انظر أيضاً </w:t>
      </w:r>
      <w:r w:rsidRPr="00851DA1">
        <w:rPr>
          <w:rFonts w:cs="Times New Roman"/>
        </w:rPr>
        <w:t>A/HRC/</w:t>
      </w:r>
      <w:r w:rsidRPr="00851DA1">
        <w:rPr>
          <w:rFonts w:cs="Times New Roman"/>
          <w:szCs w:val="18"/>
        </w:rPr>
        <w:t>40</w:t>
      </w:r>
      <w:r w:rsidRPr="00851DA1">
        <w:rPr>
          <w:rFonts w:cs="Times New Roman"/>
        </w:rPr>
        <w:t>/</w:t>
      </w:r>
      <w:r w:rsidRPr="00851DA1">
        <w:rPr>
          <w:rFonts w:cs="Times New Roman"/>
          <w:szCs w:val="18"/>
        </w:rPr>
        <w:t>5</w:t>
      </w:r>
      <w:r w:rsidRPr="00851DA1">
        <w:rPr>
          <w:szCs w:val="18"/>
        </w:rPr>
        <w:t>2</w:t>
      </w:r>
      <w:r w:rsidRPr="00851DA1">
        <w:rPr>
          <w:rtl/>
        </w:rPr>
        <w:t>.</w:t>
      </w:r>
    </w:p>
  </w:footnote>
  <w:footnote w:id="91">
    <w:p w14:paraId="3777473F" w14:textId="2593A2D5"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CCPR/C/POL/CO/</w:t>
      </w:r>
      <w:r w:rsidRPr="00851DA1">
        <w:rPr>
          <w:szCs w:val="18"/>
        </w:rPr>
        <w:t>6</w:t>
      </w:r>
      <w:r w:rsidRPr="00851DA1">
        <w:rPr>
          <w:rtl/>
        </w:rPr>
        <w:t xml:space="preserve">، الفقرة </w:t>
      </w:r>
      <w:r w:rsidRPr="00851DA1">
        <w:rPr>
          <w:szCs w:val="18"/>
          <w:rtl/>
        </w:rPr>
        <w:t>23</w:t>
      </w:r>
      <w:r w:rsidRPr="00851DA1">
        <w:rPr>
          <w:rtl/>
        </w:rPr>
        <w:t>.</w:t>
      </w:r>
    </w:p>
  </w:footnote>
  <w:footnote w:id="92">
    <w:p w14:paraId="75F50AA2" w14:textId="4BCCD6F5"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i/>
          <w:iCs/>
          <w:rtl/>
        </w:rPr>
        <w:t>إ. ف. ضد بيلاروس</w:t>
      </w:r>
      <w:r w:rsidRPr="00851DA1">
        <w:rPr>
          <w:rtl/>
        </w:rPr>
        <w:t xml:space="preserve"> (</w:t>
      </w:r>
      <w:r w:rsidRPr="00851DA1">
        <w:rPr>
          <w:rFonts w:cs="Times New Roman"/>
        </w:rPr>
        <w:t>CCPR/C/</w:t>
      </w:r>
      <w:r w:rsidRPr="00851DA1">
        <w:rPr>
          <w:rFonts w:cs="Times New Roman"/>
          <w:szCs w:val="18"/>
        </w:rPr>
        <w:t>112</w:t>
      </w:r>
      <w:r w:rsidRPr="00851DA1">
        <w:rPr>
          <w:rFonts w:cs="Times New Roman"/>
        </w:rPr>
        <w:t>/D/</w:t>
      </w:r>
      <w:r w:rsidRPr="00851DA1">
        <w:rPr>
          <w:rFonts w:cs="Times New Roman"/>
          <w:szCs w:val="18"/>
        </w:rPr>
        <w:t>1989</w:t>
      </w:r>
      <w:r w:rsidRPr="00851DA1">
        <w:rPr>
          <w:rFonts w:cs="Times New Roman"/>
        </w:rPr>
        <w:t>/</w:t>
      </w:r>
      <w:r w:rsidRPr="00851DA1">
        <w:rPr>
          <w:rFonts w:cs="Times New Roman"/>
          <w:szCs w:val="18"/>
        </w:rPr>
        <w:t>201</w:t>
      </w:r>
      <w:r w:rsidRPr="00851DA1">
        <w:rPr>
          <w:szCs w:val="18"/>
        </w:rPr>
        <w:t>0</w:t>
      </w:r>
      <w:r w:rsidRPr="00851DA1">
        <w:rPr>
          <w:rtl/>
        </w:rPr>
        <w:t xml:space="preserve">)، الفقرة </w:t>
      </w:r>
      <w:r w:rsidRPr="00851DA1">
        <w:rPr>
          <w:szCs w:val="18"/>
          <w:rtl/>
        </w:rPr>
        <w:t>6</w:t>
      </w:r>
      <w:r w:rsidRPr="00851DA1">
        <w:rPr>
          <w:rtl/>
        </w:rPr>
        <w:t>-</w:t>
      </w:r>
      <w:r w:rsidRPr="00851DA1">
        <w:rPr>
          <w:szCs w:val="18"/>
          <w:rtl/>
        </w:rPr>
        <w:t>6</w:t>
      </w:r>
      <w:r w:rsidRPr="00851DA1">
        <w:rPr>
          <w:rtl/>
        </w:rPr>
        <w:t>.</w:t>
      </w:r>
    </w:p>
  </w:footnote>
  <w:footnote w:id="93">
    <w:p w14:paraId="54A5E562" w14:textId="49CE7610" w:rsidR="0020465C" w:rsidRPr="00851DA1" w:rsidRDefault="0020465C" w:rsidP="00453ECF">
      <w:pPr>
        <w:pStyle w:val="FootnoteText1"/>
        <w:spacing w:line="280" w:lineRule="exact"/>
        <w:rPr>
          <w:spacing w:val="-4"/>
          <w:lang w:eastAsia="zh-TW" w:bidi="en-GB"/>
        </w:rPr>
      </w:pPr>
      <w:r w:rsidRPr="00851DA1">
        <w:rPr>
          <w:rStyle w:val="FootnoteReference"/>
          <w:spacing w:val="-4"/>
          <w:szCs w:val="26"/>
          <w:vertAlign w:val="baseline"/>
          <w:rtl/>
        </w:rPr>
        <w:t>(</w:t>
      </w:r>
      <w:r w:rsidRPr="00851DA1">
        <w:rPr>
          <w:rStyle w:val="FootnoteReference"/>
          <w:rFonts w:cs="Times New Roman"/>
          <w:b w:val="0"/>
          <w:spacing w:val="-4"/>
          <w:szCs w:val="26"/>
          <w:vertAlign w:val="baseline"/>
        </w:rPr>
        <w:footnoteRef/>
      </w:r>
      <w:r w:rsidRPr="00851DA1">
        <w:rPr>
          <w:rStyle w:val="FootnoteReference"/>
          <w:spacing w:val="-4"/>
          <w:szCs w:val="26"/>
          <w:vertAlign w:val="baseline"/>
          <w:rtl/>
        </w:rPr>
        <w:t>)</w:t>
      </w:r>
      <w:r w:rsidRPr="00851DA1">
        <w:rPr>
          <w:spacing w:val="-4"/>
          <w:rtl/>
        </w:rPr>
        <w:tab/>
      </w:r>
      <w:r w:rsidRPr="00851DA1">
        <w:rPr>
          <w:rFonts w:cs="Times New Roman"/>
          <w:spacing w:val="-6"/>
        </w:rPr>
        <w:t>CCPR/C/MAR/CO/</w:t>
      </w:r>
      <w:r w:rsidRPr="00851DA1">
        <w:rPr>
          <w:spacing w:val="-6"/>
          <w:szCs w:val="18"/>
        </w:rPr>
        <w:t>6</w:t>
      </w:r>
      <w:r w:rsidRPr="00851DA1">
        <w:rPr>
          <w:spacing w:val="-6"/>
          <w:rtl/>
        </w:rPr>
        <w:t xml:space="preserve">، الفقرة </w:t>
      </w:r>
      <w:r w:rsidRPr="00851DA1">
        <w:rPr>
          <w:spacing w:val="-6"/>
          <w:szCs w:val="18"/>
          <w:rtl/>
        </w:rPr>
        <w:t>45</w:t>
      </w:r>
      <w:r w:rsidRPr="00851DA1">
        <w:rPr>
          <w:spacing w:val="-6"/>
          <w:rtl/>
        </w:rPr>
        <w:t>؛ و</w:t>
      </w:r>
      <w:r w:rsidRPr="00851DA1">
        <w:rPr>
          <w:spacing w:val="-6"/>
        </w:rPr>
        <w:t>CCPR/C/GMB/CO/</w:t>
      </w:r>
      <w:r w:rsidRPr="00851DA1">
        <w:rPr>
          <w:spacing w:val="-6"/>
          <w:szCs w:val="18"/>
        </w:rPr>
        <w:t>2</w:t>
      </w:r>
      <w:r w:rsidRPr="00851DA1">
        <w:rPr>
          <w:spacing w:val="-6"/>
          <w:rtl/>
        </w:rPr>
        <w:t xml:space="preserve">، الفقرة </w:t>
      </w:r>
      <w:r w:rsidRPr="00851DA1">
        <w:rPr>
          <w:spacing w:val="-6"/>
          <w:szCs w:val="18"/>
          <w:rtl/>
        </w:rPr>
        <w:t>41</w:t>
      </w:r>
      <w:r w:rsidRPr="00851DA1">
        <w:rPr>
          <w:spacing w:val="-6"/>
          <w:rtl/>
        </w:rPr>
        <w:t>؛</w:t>
      </w:r>
      <w:r w:rsidRPr="00851DA1">
        <w:rPr>
          <w:spacing w:val="-4"/>
          <w:rtl/>
        </w:rPr>
        <w:t xml:space="preserve"> و</w:t>
      </w:r>
      <w:r w:rsidRPr="00851DA1">
        <w:rPr>
          <w:rFonts w:cs="Times New Roman"/>
          <w:spacing w:val="-4"/>
        </w:rPr>
        <w:t>African Commission on Human and</w:t>
      </w:r>
      <w:r w:rsidR="00D45C86" w:rsidRPr="00851DA1">
        <w:rPr>
          <w:rFonts w:cs="Times New Roman"/>
          <w:spacing w:val="-4"/>
        </w:rPr>
        <w:br/>
      </w:r>
      <w:r w:rsidRPr="00851DA1">
        <w:rPr>
          <w:rFonts w:cs="Times New Roman"/>
          <w:spacing w:val="-4"/>
        </w:rPr>
        <w:t xml:space="preserve">Peoples’ Rights, </w:t>
      </w:r>
      <w:r w:rsidRPr="00851DA1">
        <w:rPr>
          <w:rFonts w:cs="Times New Roman"/>
          <w:i/>
          <w:iCs/>
          <w:spacing w:val="-4"/>
        </w:rPr>
        <w:t>Guidelines on Freedom of Association and Assembly in Africa</w:t>
      </w:r>
      <w:r w:rsidRPr="00851DA1">
        <w:rPr>
          <w:rFonts w:cs="Times New Roman"/>
          <w:spacing w:val="-4"/>
        </w:rPr>
        <w:t xml:space="preserve">, para. </w:t>
      </w:r>
      <w:r w:rsidRPr="00851DA1">
        <w:rPr>
          <w:rFonts w:cs="Times New Roman"/>
          <w:spacing w:val="-4"/>
          <w:szCs w:val="18"/>
        </w:rPr>
        <w:t>7</w:t>
      </w:r>
      <w:r w:rsidRPr="00851DA1">
        <w:rPr>
          <w:spacing w:val="-4"/>
          <w:szCs w:val="18"/>
        </w:rPr>
        <w:t>1</w:t>
      </w:r>
      <w:r w:rsidRPr="00851DA1">
        <w:rPr>
          <w:spacing w:val="-4"/>
          <w:rtl/>
        </w:rPr>
        <w:t>.</w:t>
      </w:r>
    </w:p>
  </w:footnote>
  <w:footnote w:id="94">
    <w:p w14:paraId="7B5DB63E" w14:textId="5863A8AD"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كيفينما</w:t>
      </w:r>
      <w:proofErr w:type="spellEnd"/>
      <w:r w:rsidRPr="00851DA1">
        <w:rPr>
          <w:i/>
          <w:iCs/>
          <w:rtl/>
        </w:rPr>
        <w:t xml:space="preserve"> ضد فنلندا</w:t>
      </w:r>
      <w:r w:rsidRPr="00851DA1">
        <w:rPr>
          <w:rtl/>
        </w:rPr>
        <w:t xml:space="preserve">، الفقرة </w:t>
      </w:r>
      <w:r w:rsidRPr="00851DA1">
        <w:rPr>
          <w:szCs w:val="18"/>
          <w:rtl/>
        </w:rPr>
        <w:t>9</w:t>
      </w:r>
      <w:r w:rsidRPr="00851DA1">
        <w:rPr>
          <w:rtl/>
        </w:rPr>
        <w:t>-</w:t>
      </w:r>
      <w:r w:rsidRPr="00851DA1">
        <w:rPr>
          <w:szCs w:val="18"/>
          <w:rtl/>
        </w:rPr>
        <w:t>2</w:t>
      </w:r>
      <w:r w:rsidRPr="00851DA1">
        <w:rPr>
          <w:rtl/>
        </w:rPr>
        <w:t>. انظر أيضاً</w:t>
      </w:r>
      <w:r w:rsidRPr="00851DA1">
        <w:rPr>
          <w:rFonts w:cs="Times New Roman"/>
          <w:rtl/>
        </w:rPr>
        <w:t xml:space="preserve"> </w:t>
      </w:r>
      <w:r w:rsidRPr="00851DA1">
        <w:rPr>
          <w:rFonts w:cs="Times New Roman"/>
        </w:rPr>
        <w:t xml:space="preserve">African Commission on Human and Peoples’ Rights, Guidelines on Freedom of Association and Assembly in Africa, para. </w:t>
      </w:r>
      <w:r w:rsidRPr="00851DA1">
        <w:rPr>
          <w:rFonts w:cs="Times New Roman"/>
          <w:szCs w:val="18"/>
        </w:rPr>
        <w:t>7</w:t>
      </w:r>
      <w:r w:rsidRPr="00851DA1">
        <w:rPr>
          <w:szCs w:val="18"/>
        </w:rPr>
        <w:t>2</w:t>
      </w:r>
      <w:r w:rsidRPr="00851DA1">
        <w:rPr>
          <w:rtl/>
        </w:rPr>
        <w:t>.</w:t>
      </w:r>
    </w:p>
  </w:footnote>
  <w:footnote w:id="95">
    <w:p w14:paraId="1C265467" w14:textId="77777777" w:rsidR="00ED7CF1" w:rsidRPr="00851DA1" w:rsidRDefault="00ED7CF1" w:rsidP="00ED7CF1">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كيفينما</w:t>
      </w:r>
      <w:proofErr w:type="spellEnd"/>
      <w:r w:rsidRPr="00851DA1">
        <w:rPr>
          <w:i/>
          <w:iCs/>
          <w:rtl/>
        </w:rPr>
        <w:t xml:space="preserve"> ضد فنلندا</w:t>
      </w:r>
      <w:r w:rsidRPr="00851DA1">
        <w:rPr>
          <w:rtl/>
        </w:rPr>
        <w:t xml:space="preserve">، الفقرة </w:t>
      </w:r>
      <w:r w:rsidRPr="00851DA1">
        <w:rPr>
          <w:szCs w:val="18"/>
          <w:rtl/>
        </w:rPr>
        <w:t>9</w:t>
      </w:r>
      <w:r w:rsidRPr="00851DA1">
        <w:rPr>
          <w:rtl/>
        </w:rPr>
        <w:t>-</w:t>
      </w:r>
      <w:r w:rsidRPr="00851DA1">
        <w:rPr>
          <w:szCs w:val="18"/>
          <w:rtl/>
        </w:rPr>
        <w:t>2</w:t>
      </w:r>
      <w:r w:rsidRPr="00851DA1">
        <w:rPr>
          <w:rtl/>
        </w:rPr>
        <w:t xml:space="preserve">. انظر أيضاً </w:t>
      </w:r>
      <w:proofErr w:type="spellStart"/>
      <w:r w:rsidRPr="00851DA1">
        <w:rPr>
          <w:i/>
          <w:iCs/>
          <w:rtl/>
        </w:rPr>
        <w:t>سكيركو</w:t>
      </w:r>
      <w:proofErr w:type="spellEnd"/>
      <w:r w:rsidRPr="00851DA1">
        <w:rPr>
          <w:i/>
          <w:iCs/>
          <w:rtl/>
        </w:rPr>
        <w:t xml:space="preserve"> ضد بيلاروس</w:t>
      </w:r>
      <w:r w:rsidRPr="00851DA1">
        <w:rPr>
          <w:rtl/>
        </w:rPr>
        <w:t xml:space="preserve">، الفقرة </w:t>
      </w:r>
      <w:r w:rsidRPr="00851DA1">
        <w:rPr>
          <w:szCs w:val="18"/>
          <w:rtl/>
        </w:rPr>
        <w:t>9</w:t>
      </w:r>
      <w:r w:rsidRPr="00851DA1">
        <w:rPr>
          <w:rtl/>
        </w:rPr>
        <w:t>-</w:t>
      </w:r>
      <w:r w:rsidRPr="00851DA1">
        <w:rPr>
          <w:szCs w:val="18"/>
          <w:rtl/>
        </w:rPr>
        <w:t>4</w:t>
      </w:r>
      <w:r w:rsidRPr="00851DA1">
        <w:rPr>
          <w:rtl/>
        </w:rPr>
        <w:t>.</w:t>
      </w:r>
    </w:p>
  </w:footnote>
  <w:footnote w:id="96">
    <w:p w14:paraId="14F932DF" w14:textId="2441E78A"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بوبوفا</w:t>
      </w:r>
      <w:proofErr w:type="spellEnd"/>
      <w:r w:rsidRPr="00851DA1">
        <w:rPr>
          <w:i/>
          <w:iCs/>
          <w:rtl/>
        </w:rPr>
        <w:t xml:space="preserve"> ضد الاتحاد الروسي</w:t>
      </w:r>
      <w:r w:rsidRPr="00851DA1">
        <w:rPr>
          <w:rtl/>
        </w:rPr>
        <w:t xml:space="preserve"> (</w:t>
      </w:r>
      <w:r w:rsidRPr="00851DA1">
        <w:rPr>
          <w:rFonts w:cs="Times New Roman"/>
        </w:rPr>
        <w:t>CCPR/C/</w:t>
      </w:r>
      <w:r w:rsidRPr="00851DA1">
        <w:rPr>
          <w:rFonts w:cs="Times New Roman"/>
          <w:szCs w:val="18"/>
        </w:rPr>
        <w:t>122</w:t>
      </w:r>
      <w:r w:rsidRPr="00851DA1">
        <w:rPr>
          <w:rFonts w:cs="Times New Roman"/>
        </w:rPr>
        <w:t>/D/</w:t>
      </w:r>
      <w:r w:rsidRPr="00851DA1">
        <w:rPr>
          <w:rFonts w:cs="Times New Roman"/>
          <w:szCs w:val="18"/>
        </w:rPr>
        <w:t>2217</w:t>
      </w:r>
      <w:r w:rsidRPr="00851DA1">
        <w:rPr>
          <w:rFonts w:cs="Times New Roman"/>
        </w:rPr>
        <w:t>/</w:t>
      </w:r>
      <w:r w:rsidRPr="00851DA1">
        <w:rPr>
          <w:rFonts w:cs="Times New Roman"/>
          <w:szCs w:val="18"/>
        </w:rPr>
        <w:t>201</w:t>
      </w:r>
      <w:r w:rsidRPr="00851DA1">
        <w:rPr>
          <w:szCs w:val="18"/>
        </w:rPr>
        <w:t>2</w:t>
      </w:r>
      <w:r w:rsidRPr="00851DA1">
        <w:rPr>
          <w:rtl/>
        </w:rPr>
        <w:t xml:space="preserve">)، الفقرة </w:t>
      </w:r>
      <w:r w:rsidRPr="00851DA1">
        <w:rPr>
          <w:szCs w:val="18"/>
          <w:rtl/>
        </w:rPr>
        <w:t>7</w:t>
      </w:r>
      <w:r w:rsidRPr="00851DA1">
        <w:rPr>
          <w:rtl/>
        </w:rPr>
        <w:t>-</w:t>
      </w:r>
      <w:r w:rsidRPr="00851DA1">
        <w:rPr>
          <w:szCs w:val="18"/>
          <w:rtl/>
        </w:rPr>
        <w:t>5</w:t>
      </w:r>
      <w:r w:rsidRPr="00851DA1">
        <w:rPr>
          <w:rtl/>
        </w:rPr>
        <w:t>.</w:t>
      </w:r>
    </w:p>
  </w:footnote>
  <w:footnote w:id="97">
    <w:p w14:paraId="4DFA9C31" w14:textId="77777777" w:rsidR="00D45C86" w:rsidRPr="00851DA1" w:rsidRDefault="00D45C86" w:rsidP="00D45C86">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بولياكوف</w:t>
      </w:r>
      <w:proofErr w:type="spellEnd"/>
      <w:r w:rsidRPr="00851DA1">
        <w:rPr>
          <w:i/>
          <w:iCs/>
          <w:rtl/>
        </w:rPr>
        <w:t xml:space="preserve"> ضد بيلاروس</w:t>
      </w:r>
      <w:r w:rsidRPr="00851DA1">
        <w:rPr>
          <w:rtl/>
        </w:rPr>
        <w:t xml:space="preserve">، الفقرة </w:t>
      </w:r>
      <w:r w:rsidRPr="00851DA1">
        <w:rPr>
          <w:szCs w:val="18"/>
          <w:rtl/>
        </w:rPr>
        <w:t>8</w:t>
      </w:r>
      <w:r w:rsidRPr="00851DA1">
        <w:rPr>
          <w:rtl/>
        </w:rPr>
        <w:t>-</w:t>
      </w:r>
      <w:r w:rsidRPr="00851DA1">
        <w:rPr>
          <w:szCs w:val="18"/>
          <w:rtl/>
        </w:rPr>
        <w:t>3</w:t>
      </w:r>
      <w:r w:rsidRPr="00851DA1">
        <w:rPr>
          <w:rtl/>
        </w:rPr>
        <w:t>.</w:t>
      </w:r>
    </w:p>
  </w:footnote>
  <w:footnote w:id="98">
    <w:p w14:paraId="15DAB312" w14:textId="1D8C83A3"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انظر، مثلاً، </w:t>
      </w:r>
      <w:proofErr w:type="spellStart"/>
      <w:r w:rsidRPr="00851DA1">
        <w:rPr>
          <w:i/>
          <w:iCs/>
          <w:rtl/>
        </w:rPr>
        <w:t>بوبوفا</w:t>
      </w:r>
      <w:proofErr w:type="spellEnd"/>
      <w:r w:rsidRPr="00851DA1">
        <w:rPr>
          <w:i/>
          <w:iCs/>
          <w:rtl/>
        </w:rPr>
        <w:t xml:space="preserve"> ضد الاتحاد الروسي</w:t>
      </w:r>
      <w:r w:rsidRPr="00851DA1">
        <w:rPr>
          <w:rtl/>
        </w:rPr>
        <w:t xml:space="preserve">، الفقرتان </w:t>
      </w:r>
      <w:r w:rsidRPr="00851DA1">
        <w:rPr>
          <w:szCs w:val="18"/>
          <w:rtl/>
        </w:rPr>
        <w:t>7</w:t>
      </w:r>
      <w:r w:rsidRPr="00851DA1">
        <w:rPr>
          <w:rtl/>
        </w:rPr>
        <w:t>-</w:t>
      </w:r>
      <w:r w:rsidRPr="00851DA1">
        <w:rPr>
          <w:szCs w:val="18"/>
          <w:rtl/>
        </w:rPr>
        <w:t>4</w:t>
      </w:r>
      <w:r w:rsidRPr="00851DA1">
        <w:rPr>
          <w:rtl/>
        </w:rPr>
        <w:t xml:space="preserve"> </w:t>
      </w:r>
      <w:proofErr w:type="spellStart"/>
      <w:r w:rsidRPr="00851DA1">
        <w:rPr>
          <w:rtl/>
        </w:rPr>
        <w:t>و</w:t>
      </w:r>
      <w:r w:rsidRPr="00851DA1">
        <w:rPr>
          <w:szCs w:val="18"/>
          <w:rtl/>
        </w:rPr>
        <w:t>7</w:t>
      </w:r>
      <w:proofErr w:type="spellEnd"/>
      <w:r w:rsidRPr="00851DA1">
        <w:rPr>
          <w:rtl/>
        </w:rPr>
        <w:t>-</w:t>
      </w:r>
      <w:r w:rsidRPr="00851DA1">
        <w:rPr>
          <w:szCs w:val="18"/>
          <w:rtl/>
        </w:rPr>
        <w:t>5</w:t>
      </w:r>
      <w:r w:rsidRPr="00851DA1">
        <w:rPr>
          <w:rtl/>
        </w:rPr>
        <w:t xml:space="preserve">. انظر أيضاً </w:t>
      </w:r>
      <w:r w:rsidRPr="00851DA1">
        <w:rPr>
          <w:rFonts w:cs="Times New Roman"/>
        </w:rPr>
        <w:t>A/HRC/</w:t>
      </w:r>
      <w:r w:rsidRPr="00851DA1">
        <w:rPr>
          <w:rFonts w:cs="Times New Roman"/>
          <w:szCs w:val="18"/>
        </w:rPr>
        <w:t>31</w:t>
      </w:r>
      <w:r w:rsidRPr="00851DA1">
        <w:rPr>
          <w:rFonts w:cs="Times New Roman"/>
        </w:rPr>
        <w:t>/</w:t>
      </w:r>
      <w:r w:rsidRPr="00851DA1">
        <w:rPr>
          <w:rFonts w:cs="Times New Roman"/>
          <w:szCs w:val="18"/>
        </w:rPr>
        <w:t>6</w:t>
      </w:r>
      <w:r w:rsidRPr="00851DA1">
        <w:rPr>
          <w:szCs w:val="18"/>
        </w:rPr>
        <w:t>6</w:t>
      </w:r>
      <w:r w:rsidRPr="00851DA1">
        <w:rPr>
          <w:rtl/>
        </w:rPr>
        <w:t xml:space="preserve">، الفقرة </w:t>
      </w:r>
      <w:r w:rsidRPr="00851DA1">
        <w:rPr>
          <w:szCs w:val="18"/>
          <w:rtl/>
        </w:rPr>
        <w:t>23</w:t>
      </w:r>
      <w:r w:rsidRPr="00851DA1">
        <w:rPr>
          <w:rtl/>
        </w:rPr>
        <w:t xml:space="preserve">. </w:t>
      </w:r>
    </w:p>
  </w:footnote>
  <w:footnote w:id="99">
    <w:p w14:paraId="02148944" w14:textId="1E0B4C9F"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CCPR/CO/</w:t>
      </w:r>
      <w:r w:rsidRPr="00851DA1">
        <w:rPr>
          <w:rFonts w:cs="Times New Roman"/>
          <w:szCs w:val="18"/>
        </w:rPr>
        <w:t>83</w:t>
      </w:r>
      <w:r w:rsidRPr="00851DA1">
        <w:rPr>
          <w:rFonts w:cs="Times New Roman"/>
        </w:rPr>
        <w:t>/KE</w:t>
      </w:r>
      <w:r w:rsidRPr="00851DA1">
        <w:t>N</w:t>
      </w:r>
      <w:r w:rsidRPr="00851DA1">
        <w:rPr>
          <w:rtl/>
        </w:rPr>
        <w:t xml:space="preserve">، الفقرة </w:t>
      </w:r>
      <w:r w:rsidRPr="00851DA1">
        <w:rPr>
          <w:szCs w:val="18"/>
          <w:rtl/>
        </w:rPr>
        <w:t>23</w:t>
      </w:r>
      <w:r w:rsidRPr="00851DA1">
        <w:rPr>
          <w:rtl/>
        </w:rPr>
        <w:t>؛ و</w:t>
      </w:r>
      <w:r w:rsidRPr="00851DA1">
        <w:rPr>
          <w:rFonts w:cs="Times New Roman"/>
        </w:rPr>
        <w:t>CCPR/C/CHE/CO/</w:t>
      </w:r>
      <w:r w:rsidRPr="00851DA1">
        <w:rPr>
          <w:szCs w:val="18"/>
        </w:rPr>
        <w:t>4</w:t>
      </w:r>
      <w:r w:rsidR="00385035" w:rsidRPr="00851DA1">
        <w:rPr>
          <w:rFonts w:hint="cs"/>
          <w:rtl/>
        </w:rPr>
        <w:t xml:space="preserve">، الفقرة </w:t>
      </w:r>
      <w:r w:rsidR="00385035" w:rsidRPr="00851DA1">
        <w:rPr>
          <w:szCs w:val="18"/>
        </w:rPr>
        <w:t>48</w:t>
      </w:r>
      <w:r w:rsidRPr="00851DA1">
        <w:rPr>
          <w:rtl/>
        </w:rPr>
        <w:t>؛ و</w:t>
      </w:r>
      <w:r w:rsidRPr="00851DA1">
        <w:rPr>
          <w:rFonts w:cs="Times New Roman"/>
        </w:rPr>
        <w:t>CCPR/C/DZA/CO/</w:t>
      </w:r>
      <w:r w:rsidRPr="00851DA1">
        <w:rPr>
          <w:szCs w:val="18"/>
        </w:rPr>
        <w:t>4</w:t>
      </w:r>
      <w:r w:rsidRPr="00851DA1">
        <w:rPr>
          <w:rtl/>
        </w:rPr>
        <w:t xml:space="preserve">، الفقرة </w:t>
      </w:r>
      <w:r w:rsidRPr="00851DA1">
        <w:rPr>
          <w:szCs w:val="18"/>
          <w:rtl/>
        </w:rPr>
        <w:t>45</w:t>
      </w:r>
      <w:r w:rsidRPr="00851DA1">
        <w:rPr>
          <w:rtl/>
        </w:rPr>
        <w:t>.</w:t>
      </w:r>
    </w:p>
  </w:footnote>
  <w:footnote w:id="100">
    <w:p w14:paraId="68E2B35E" w14:textId="6BA2E639"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بوبوفا</w:t>
      </w:r>
      <w:proofErr w:type="spellEnd"/>
      <w:r w:rsidRPr="00851DA1">
        <w:rPr>
          <w:i/>
          <w:iCs/>
          <w:rtl/>
        </w:rPr>
        <w:t xml:space="preserve"> ضد الاتحاد الروسي</w:t>
      </w:r>
      <w:r w:rsidRPr="00851DA1">
        <w:rPr>
          <w:rtl/>
        </w:rPr>
        <w:t xml:space="preserve">، الفقرة </w:t>
      </w:r>
      <w:r w:rsidRPr="00851DA1">
        <w:rPr>
          <w:szCs w:val="18"/>
          <w:rtl/>
        </w:rPr>
        <w:t>5</w:t>
      </w:r>
      <w:r w:rsidRPr="00851DA1">
        <w:rPr>
          <w:rtl/>
        </w:rPr>
        <w:t>-</w:t>
      </w:r>
      <w:r w:rsidRPr="00851DA1">
        <w:rPr>
          <w:szCs w:val="18"/>
          <w:rtl/>
        </w:rPr>
        <w:t>7</w:t>
      </w:r>
      <w:r w:rsidRPr="00851DA1">
        <w:rPr>
          <w:rtl/>
        </w:rPr>
        <w:t>. انظر أيضاً</w:t>
      </w:r>
      <w:r w:rsidRPr="00851DA1">
        <w:rPr>
          <w:rFonts w:cs="Times New Roman"/>
        </w:rPr>
        <w:t>European Court of Human Rights,</w:t>
      </w:r>
      <w:r w:rsidRPr="00851DA1">
        <w:rPr>
          <w:rFonts w:cs="Times New Roman"/>
          <w:i/>
          <w:iCs/>
        </w:rPr>
        <w:t xml:space="preserve"> </w:t>
      </w:r>
      <w:proofErr w:type="spellStart"/>
      <w:r w:rsidRPr="00851DA1">
        <w:rPr>
          <w:rFonts w:cs="Times New Roman"/>
          <w:i/>
          <w:iCs/>
        </w:rPr>
        <w:t>Éva</w:t>
      </w:r>
      <w:proofErr w:type="spellEnd"/>
      <w:r w:rsidRPr="00851DA1">
        <w:rPr>
          <w:rFonts w:cs="Times New Roman"/>
          <w:i/>
          <w:iCs/>
        </w:rPr>
        <w:t xml:space="preserve"> </w:t>
      </w:r>
      <w:proofErr w:type="spellStart"/>
      <w:r w:rsidRPr="00851DA1">
        <w:rPr>
          <w:rFonts w:cs="Times New Roman"/>
          <w:i/>
          <w:iCs/>
        </w:rPr>
        <w:t>Molnár</w:t>
      </w:r>
      <w:proofErr w:type="spellEnd"/>
      <w:r w:rsidRPr="00851DA1">
        <w:rPr>
          <w:rFonts w:cs="Times New Roman"/>
          <w:i/>
          <w:iCs/>
        </w:rPr>
        <w:t xml:space="preserve"> v. Hungary</w:t>
      </w:r>
      <w:r w:rsidRPr="00851DA1">
        <w:rPr>
          <w:rFonts w:cs="Times New Roman"/>
        </w:rPr>
        <w:t xml:space="preserve">, para. </w:t>
      </w:r>
      <w:r w:rsidRPr="00851DA1">
        <w:rPr>
          <w:rFonts w:cs="Times New Roman"/>
          <w:szCs w:val="18"/>
        </w:rPr>
        <w:t>38</w:t>
      </w:r>
      <w:r w:rsidRPr="00851DA1">
        <w:rPr>
          <w:rFonts w:cs="Times New Roman"/>
          <w:rtl/>
        </w:rPr>
        <w:t>.</w:t>
      </w:r>
      <w:r w:rsidRPr="00851DA1">
        <w:rPr>
          <w:rtl/>
        </w:rPr>
        <w:t xml:space="preserve"> </w:t>
      </w:r>
    </w:p>
  </w:footnote>
  <w:footnote w:id="101">
    <w:p w14:paraId="5C0809CC" w14:textId="002BAE55"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CCPR/C/UZB/CO/</w:t>
      </w:r>
      <w:r w:rsidRPr="00851DA1">
        <w:rPr>
          <w:szCs w:val="18"/>
        </w:rPr>
        <w:t>5</w:t>
      </w:r>
      <w:r w:rsidRPr="00851DA1">
        <w:rPr>
          <w:rtl/>
        </w:rPr>
        <w:t xml:space="preserve">، الفقرتان </w:t>
      </w:r>
      <w:r w:rsidRPr="00851DA1">
        <w:rPr>
          <w:szCs w:val="18"/>
          <w:rtl/>
        </w:rPr>
        <w:t>46</w:t>
      </w:r>
      <w:r w:rsidRPr="00851DA1">
        <w:rPr>
          <w:rtl/>
        </w:rPr>
        <w:t xml:space="preserve"> </w:t>
      </w:r>
      <w:proofErr w:type="spellStart"/>
      <w:r w:rsidRPr="00851DA1">
        <w:rPr>
          <w:rtl/>
        </w:rPr>
        <w:t>و</w:t>
      </w:r>
      <w:r w:rsidRPr="00851DA1">
        <w:rPr>
          <w:szCs w:val="18"/>
          <w:rtl/>
        </w:rPr>
        <w:t>47</w:t>
      </w:r>
      <w:proofErr w:type="spellEnd"/>
      <w:r w:rsidRPr="00851DA1">
        <w:rPr>
          <w:rtl/>
        </w:rPr>
        <w:t>. و</w:t>
      </w:r>
      <w:r w:rsidRPr="00851DA1">
        <w:t>CCPR/C/JOR/CO/</w:t>
      </w:r>
      <w:r w:rsidRPr="00851DA1">
        <w:rPr>
          <w:szCs w:val="18"/>
        </w:rPr>
        <w:t>5</w:t>
      </w:r>
      <w:r w:rsidRPr="00851DA1">
        <w:rPr>
          <w:rtl/>
        </w:rPr>
        <w:t xml:space="preserve">، الفقرة </w:t>
      </w:r>
      <w:r w:rsidRPr="00851DA1">
        <w:rPr>
          <w:szCs w:val="18"/>
          <w:rtl/>
        </w:rPr>
        <w:t>32</w:t>
      </w:r>
      <w:r w:rsidRPr="00851DA1">
        <w:rPr>
          <w:rtl/>
        </w:rPr>
        <w:t>.</w:t>
      </w:r>
    </w:p>
  </w:footnote>
  <w:footnote w:id="102">
    <w:p w14:paraId="3B6CB020" w14:textId="6F6BCF33"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spacing w:val="-4"/>
        </w:rPr>
        <w:t>CCPR/C/AGO/CO/</w:t>
      </w:r>
      <w:r w:rsidRPr="00851DA1">
        <w:rPr>
          <w:spacing w:val="-4"/>
          <w:szCs w:val="18"/>
        </w:rPr>
        <w:t>1</w:t>
      </w:r>
      <w:r w:rsidRPr="00851DA1">
        <w:rPr>
          <w:spacing w:val="-4"/>
          <w:rtl/>
        </w:rPr>
        <w:t xml:space="preserve">، الفقرة </w:t>
      </w:r>
      <w:r w:rsidRPr="00851DA1">
        <w:rPr>
          <w:spacing w:val="-4"/>
          <w:szCs w:val="18"/>
          <w:rtl/>
        </w:rPr>
        <w:t>21</w:t>
      </w:r>
      <w:r w:rsidRPr="00851DA1">
        <w:rPr>
          <w:spacing w:val="-4"/>
          <w:rtl/>
        </w:rPr>
        <w:t xml:space="preserve">؛ </w:t>
      </w:r>
      <w:r w:rsidRPr="00851DA1">
        <w:rPr>
          <w:rFonts w:cs="Times New Roman"/>
          <w:spacing w:val="-4"/>
        </w:rPr>
        <w:t>CCPR/C/GEO/CO/</w:t>
      </w:r>
      <w:r w:rsidRPr="00851DA1">
        <w:rPr>
          <w:spacing w:val="-4"/>
          <w:szCs w:val="18"/>
        </w:rPr>
        <w:t>4</w:t>
      </w:r>
      <w:r w:rsidRPr="00851DA1">
        <w:rPr>
          <w:spacing w:val="-4"/>
          <w:rtl/>
        </w:rPr>
        <w:t xml:space="preserve">، الفقرة </w:t>
      </w:r>
      <w:r w:rsidRPr="00851DA1">
        <w:rPr>
          <w:spacing w:val="-4"/>
          <w:szCs w:val="18"/>
          <w:rtl/>
        </w:rPr>
        <w:t>12</w:t>
      </w:r>
      <w:r w:rsidRPr="00851DA1">
        <w:rPr>
          <w:spacing w:val="-4"/>
          <w:rtl/>
        </w:rPr>
        <w:t>؛ و</w:t>
      </w:r>
      <w:r w:rsidRPr="00851DA1">
        <w:rPr>
          <w:rFonts w:cs="Times New Roman"/>
          <w:spacing w:val="-4"/>
        </w:rPr>
        <w:t>CCPR/C/KOR/CO/</w:t>
      </w:r>
      <w:r w:rsidRPr="00851DA1">
        <w:rPr>
          <w:spacing w:val="-4"/>
          <w:szCs w:val="18"/>
        </w:rPr>
        <w:t>4</w:t>
      </w:r>
      <w:r w:rsidRPr="00851DA1">
        <w:rPr>
          <w:spacing w:val="-4"/>
          <w:rtl/>
        </w:rPr>
        <w:t xml:space="preserve">، الفقرة </w:t>
      </w:r>
      <w:r w:rsidRPr="00851DA1">
        <w:rPr>
          <w:spacing w:val="-4"/>
          <w:szCs w:val="18"/>
          <w:rtl/>
        </w:rPr>
        <w:t>52</w:t>
      </w:r>
      <w:r w:rsidRPr="00851DA1">
        <w:rPr>
          <w:spacing w:val="-4"/>
          <w:rtl/>
        </w:rPr>
        <w:t>.</w:t>
      </w:r>
    </w:p>
  </w:footnote>
  <w:footnote w:id="103">
    <w:p w14:paraId="53AD8D5F" w14:textId="074AC92B"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A/HRC/</w:t>
      </w:r>
      <w:r w:rsidRPr="00851DA1">
        <w:rPr>
          <w:rFonts w:cs="Times New Roman"/>
          <w:szCs w:val="18"/>
        </w:rPr>
        <w:t>31</w:t>
      </w:r>
      <w:r w:rsidRPr="00851DA1">
        <w:rPr>
          <w:rFonts w:cs="Times New Roman"/>
        </w:rPr>
        <w:t>/</w:t>
      </w:r>
      <w:r w:rsidRPr="00851DA1">
        <w:rPr>
          <w:rFonts w:cs="Times New Roman"/>
          <w:szCs w:val="18"/>
        </w:rPr>
        <w:t>6</w:t>
      </w:r>
      <w:r w:rsidRPr="00851DA1">
        <w:rPr>
          <w:szCs w:val="18"/>
        </w:rPr>
        <w:t>6</w:t>
      </w:r>
      <w:r w:rsidRPr="00851DA1">
        <w:rPr>
          <w:rtl/>
        </w:rPr>
        <w:t xml:space="preserve">، الفقرة </w:t>
      </w:r>
      <w:r w:rsidRPr="00851DA1">
        <w:rPr>
          <w:szCs w:val="18"/>
          <w:rtl/>
        </w:rPr>
        <w:t>41</w:t>
      </w:r>
      <w:r w:rsidRPr="00851DA1">
        <w:rPr>
          <w:rtl/>
        </w:rPr>
        <w:t>.</w:t>
      </w:r>
    </w:p>
  </w:footnote>
  <w:footnote w:id="104">
    <w:p w14:paraId="441555DF" w14:textId="3077690E"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المرجع نفسه، الفقرة </w:t>
      </w:r>
      <w:r w:rsidRPr="00851DA1">
        <w:rPr>
          <w:szCs w:val="18"/>
          <w:rtl/>
        </w:rPr>
        <w:t>38</w:t>
      </w:r>
      <w:r w:rsidRPr="00851DA1">
        <w:rPr>
          <w:rtl/>
        </w:rPr>
        <w:t>.</w:t>
      </w:r>
    </w:p>
  </w:footnote>
  <w:footnote w:id="105">
    <w:p w14:paraId="018C161F" w14:textId="346C154C"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قرار مجلس حقوق الإنسان </w:t>
      </w:r>
      <w:r w:rsidRPr="00851DA1">
        <w:rPr>
          <w:szCs w:val="18"/>
          <w:rtl/>
        </w:rPr>
        <w:t>38</w:t>
      </w:r>
      <w:r w:rsidRPr="00851DA1">
        <w:rPr>
          <w:sz w:val="10"/>
          <w:szCs w:val="18"/>
          <w:rtl/>
        </w:rPr>
        <w:t>/</w:t>
      </w:r>
      <w:r w:rsidRPr="00851DA1">
        <w:rPr>
          <w:szCs w:val="18"/>
          <w:rtl/>
        </w:rPr>
        <w:t>11</w:t>
      </w:r>
      <w:r w:rsidRPr="00851DA1">
        <w:rPr>
          <w:rtl/>
        </w:rPr>
        <w:t>؛ و</w:t>
      </w:r>
      <w:r w:rsidRPr="00851DA1">
        <w:t>A/HRC/</w:t>
      </w:r>
      <w:r w:rsidRPr="00851DA1">
        <w:rPr>
          <w:szCs w:val="18"/>
        </w:rPr>
        <w:t>26</w:t>
      </w:r>
      <w:r w:rsidRPr="00851DA1">
        <w:t>/</w:t>
      </w:r>
      <w:r w:rsidRPr="00851DA1">
        <w:rPr>
          <w:szCs w:val="18"/>
        </w:rPr>
        <w:t>36</w:t>
      </w:r>
      <w:r w:rsidRPr="00851DA1">
        <w:rPr>
          <w:rtl/>
        </w:rPr>
        <w:t xml:space="preserve">، الفقرة </w:t>
      </w:r>
      <w:r w:rsidRPr="00851DA1">
        <w:rPr>
          <w:szCs w:val="18"/>
          <w:rtl/>
        </w:rPr>
        <w:t>51</w:t>
      </w:r>
      <w:r w:rsidRPr="00851DA1">
        <w:rPr>
          <w:rtl/>
        </w:rPr>
        <w:t>.</w:t>
      </w:r>
    </w:p>
  </w:footnote>
  <w:footnote w:id="106">
    <w:p w14:paraId="76394906" w14:textId="29E7C401"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A/HRC/</w:t>
      </w:r>
      <w:r w:rsidRPr="00851DA1">
        <w:rPr>
          <w:rFonts w:cs="Times New Roman"/>
          <w:szCs w:val="18"/>
        </w:rPr>
        <w:t>31</w:t>
      </w:r>
      <w:r w:rsidRPr="00851DA1">
        <w:rPr>
          <w:rFonts w:cs="Times New Roman"/>
        </w:rPr>
        <w:t>/</w:t>
      </w:r>
      <w:r w:rsidRPr="00851DA1">
        <w:rPr>
          <w:rFonts w:cs="Times New Roman"/>
          <w:szCs w:val="18"/>
        </w:rPr>
        <w:t>6</w:t>
      </w:r>
      <w:r w:rsidRPr="00851DA1">
        <w:rPr>
          <w:szCs w:val="18"/>
        </w:rPr>
        <w:t>6</w:t>
      </w:r>
      <w:r w:rsidRPr="00851DA1">
        <w:rPr>
          <w:rtl/>
        </w:rPr>
        <w:t xml:space="preserve">، الفقرة </w:t>
      </w:r>
      <w:r w:rsidRPr="00851DA1">
        <w:rPr>
          <w:szCs w:val="18"/>
          <w:rtl/>
        </w:rPr>
        <w:t>37</w:t>
      </w:r>
      <w:r w:rsidRPr="00851DA1">
        <w:rPr>
          <w:rtl/>
        </w:rPr>
        <w:t>.</w:t>
      </w:r>
    </w:p>
  </w:footnote>
  <w:footnote w:id="107">
    <w:p w14:paraId="0EB35A01" w14:textId="5C93E572"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36</w:t>
      </w:r>
      <w:r w:rsidRPr="00851DA1">
        <w:rPr>
          <w:rtl/>
        </w:rPr>
        <w:t>(</w:t>
      </w:r>
      <w:r w:rsidRPr="00851DA1">
        <w:rPr>
          <w:szCs w:val="18"/>
          <w:rtl/>
        </w:rPr>
        <w:t>2018</w:t>
      </w:r>
      <w:r w:rsidRPr="00851DA1">
        <w:rPr>
          <w:rtl/>
        </w:rPr>
        <w:t xml:space="preserve">) بشأن الحق في الحياة، الفقرتان </w:t>
      </w:r>
      <w:r w:rsidRPr="00851DA1">
        <w:rPr>
          <w:szCs w:val="18"/>
          <w:rtl/>
        </w:rPr>
        <w:t>13</w:t>
      </w:r>
      <w:r w:rsidRPr="00851DA1">
        <w:rPr>
          <w:rtl/>
        </w:rPr>
        <w:t xml:space="preserve"> </w:t>
      </w:r>
      <w:proofErr w:type="spellStart"/>
      <w:r w:rsidRPr="00851DA1">
        <w:rPr>
          <w:rtl/>
        </w:rPr>
        <w:t>و</w:t>
      </w:r>
      <w:r w:rsidRPr="00851DA1">
        <w:rPr>
          <w:szCs w:val="18"/>
          <w:rtl/>
        </w:rPr>
        <w:t>14</w:t>
      </w:r>
      <w:proofErr w:type="spellEnd"/>
      <w:r w:rsidRPr="00851DA1">
        <w:rPr>
          <w:rtl/>
        </w:rPr>
        <w:t>.</w:t>
      </w:r>
    </w:p>
  </w:footnote>
  <w:footnote w:id="108">
    <w:p w14:paraId="119089E5" w14:textId="19245722"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منشورات الأمم المتحدة، رقم المبيع</w:t>
      </w:r>
      <w:r w:rsidRPr="00851DA1">
        <w:rPr>
          <w:rFonts w:cs="Times New Roman"/>
          <w:rtl/>
        </w:rPr>
        <w:t xml:space="preserve"> </w:t>
      </w:r>
      <w:r w:rsidRPr="00851DA1">
        <w:rPr>
          <w:rFonts w:cs="Times New Roman"/>
        </w:rPr>
        <w:t>E.</w:t>
      </w:r>
      <w:r w:rsidRPr="00851DA1">
        <w:rPr>
          <w:rFonts w:cs="Times New Roman"/>
          <w:szCs w:val="18"/>
        </w:rPr>
        <w:t>20</w:t>
      </w:r>
      <w:r w:rsidRPr="00851DA1">
        <w:rPr>
          <w:rFonts w:cs="Times New Roman"/>
        </w:rPr>
        <w:t>.XIV.</w:t>
      </w:r>
      <w:r w:rsidRPr="00851DA1">
        <w:rPr>
          <w:rFonts w:cs="Times New Roman"/>
          <w:szCs w:val="18"/>
        </w:rPr>
        <w:t>2</w:t>
      </w:r>
      <w:r w:rsidRPr="00851DA1">
        <w:rPr>
          <w:rtl/>
        </w:rPr>
        <w:t xml:space="preserve">. انظر أيضاً مدونة قواعد السلوك للموظفين المكلفين </w:t>
      </w:r>
      <w:r w:rsidRPr="00851DA1">
        <w:rPr>
          <w:rFonts w:hint="cs"/>
          <w:rtl/>
        </w:rPr>
        <w:t>بإ</w:t>
      </w:r>
      <w:r w:rsidRPr="00851DA1">
        <w:rPr>
          <w:rtl/>
        </w:rPr>
        <w:t>نفاذ</w:t>
      </w:r>
      <w:r w:rsidR="00385035" w:rsidRPr="00851DA1">
        <w:rPr>
          <w:rFonts w:hint="eastAsia"/>
          <w:rtl/>
        </w:rPr>
        <w:t> </w:t>
      </w:r>
      <w:r w:rsidRPr="00851DA1">
        <w:rPr>
          <w:rtl/>
        </w:rPr>
        <w:t>القوانين.</w:t>
      </w:r>
    </w:p>
  </w:footnote>
  <w:footnote w:id="109">
    <w:p w14:paraId="7106CC23" w14:textId="44FEFDFA"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مدونة قواعد السلوك للموظفين المكلفين ب</w:t>
      </w:r>
      <w:r w:rsidRPr="00851DA1">
        <w:rPr>
          <w:rFonts w:hint="cs"/>
          <w:rtl/>
        </w:rPr>
        <w:t>إ</w:t>
      </w:r>
      <w:r w:rsidRPr="00851DA1">
        <w:rPr>
          <w:rtl/>
        </w:rPr>
        <w:t xml:space="preserve">نفاذ القوانين، المادة </w:t>
      </w:r>
      <w:r w:rsidRPr="00851DA1">
        <w:rPr>
          <w:szCs w:val="18"/>
          <w:rtl/>
        </w:rPr>
        <w:t>3</w:t>
      </w:r>
      <w:r w:rsidRPr="00851DA1">
        <w:rPr>
          <w:rtl/>
        </w:rPr>
        <w:t>.</w:t>
      </w:r>
    </w:p>
  </w:footnote>
  <w:footnote w:id="110">
    <w:p w14:paraId="2CD25287" w14:textId="22E66A1B"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المرجع نفسه، شرح المادة </w:t>
      </w:r>
      <w:r w:rsidRPr="00851DA1">
        <w:rPr>
          <w:szCs w:val="18"/>
          <w:rtl/>
        </w:rPr>
        <w:t>3</w:t>
      </w:r>
      <w:r w:rsidRPr="00851DA1">
        <w:rPr>
          <w:rtl/>
        </w:rPr>
        <w:t>.</w:t>
      </w:r>
    </w:p>
  </w:footnote>
  <w:footnote w:id="111">
    <w:p w14:paraId="1BB4C99B" w14:textId="07788AC3"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CCPR/C/MAR/CO/</w:t>
      </w:r>
      <w:r w:rsidRPr="00851DA1">
        <w:rPr>
          <w:szCs w:val="18"/>
        </w:rPr>
        <w:t>6</w:t>
      </w:r>
      <w:r w:rsidRPr="00851DA1">
        <w:rPr>
          <w:rtl/>
        </w:rPr>
        <w:t xml:space="preserve">، الفقرتان </w:t>
      </w:r>
      <w:r w:rsidRPr="00851DA1">
        <w:rPr>
          <w:szCs w:val="18"/>
          <w:rtl/>
        </w:rPr>
        <w:t>45</w:t>
      </w:r>
      <w:r w:rsidRPr="00851DA1">
        <w:rPr>
          <w:rtl/>
        </w:rPr>
        <w:t xml:space="preserve"> </w:t>
      </w:r>
      <w:proofErr w:type="spellStart"/>
      <w:r w:rsidRPr="00851DA1">
        <w:rPr>
          <w:rtl/>
        </w:rPr>
        <w:t>و</w:t>
      </w:r>
      <w:r w:rsidRPr="00851DA1">
        <w:rPr>
          <w:szCs w:val="18"/>
          <w:rtl/>
        </w:rPr>
        <w:t>46</w:t>
      </w:r>
      <w:proofErr w:type="spellEnd"/>
      <w:r w:rsidRPr="00851DA1">
        <w:rPr>
          <w:rtl/>
        </w:rPr>
        <w:t>؛ و</w:t>
      </w:r>
      <w:r w:rsidRPr="00851DA1">
        <w:t>CCPR/C/BHR/CO/</w:t>
      </w:r>
      <w:r w:rsidRPr="00851DA1">
        <w:rPr>
          <w:szCs w:val="18"/>
        </w:rPr>
        <w:t>1</w:t>
      </w:r>
      <w:r w:rsidRPr="00851DA1">
        <w:rPr>
          <w:rtl/>
        </w:rPr>
        <w:t xml:space="preserve">، الفقرة </w:t>
      </w:r>
      <w:r w:rsidRPr="00851DA1">
        <w:rPr>
          <w:szCs w:val="18"/>
          <w:rtl/>
        </w:rPr>
        <w:t>55</w:t>
      </w:r>
      <w:r w:rsidRPr="00851DA1">
        <w:rPr>
          <w:rtl/>
        </w:rPr>
        <w:t>.</w:t>
      </w:r>
    </w:p>
  </w:footnote>
  <w:footnote w:id="112">
    <w:p w14:paraId="01A6FA82" w14:textId="0EFBCB07"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CCPR/C/KHM/CO/</w:t>
      </w:r>
      <w:r w:rsidRPr="00851DA1">
        <w:rPr>
          <w:szCs w:val="18"/>
        </w:rPr>
        <w:t>2</w:t>
      </w:r>
      <w:r w:rsidRPr="00851DA1">
        <w:rPr>
          <w:rtl/>
        </w:rPr>
        <w:t xml:space="preserve">، الفقرة </w:t>
      </w:r>
      <w:r w:rsidRPr="00851DA1">
        <w:rPr>
          <w:szCs w:val="18"/>
          <w:rtl/>
        </w:rPr>
        <w:t>12</w:t>
      </w:r>
      <w:r w:rsidR="00385035" w:rsidRPr="00851DA1">
        <w:rPr>
          <w:rFonts w:hint="cs"/>
          <w:rtl/>
        </w:rPr>
        <w:t>؛</w:t>
      </w:r>
      <w:r w:rsidRPr="00851DA1">
        <w:rPr>
          <w:rtl/>
        </w:rPr>
        <w:t xml:space="preserve"> </w:t>
      </w:r>
      <w:r w:rsidRPr="00851DA1">
        <w:rPr>
          <w:rFonts w:cs="Times New Roman"/>
        </w:rPr>
        <w:t>CCPR/C/GRC/CO/</w:t>
      </w:r>
      <w:r w:rsidRPr="00851DA1">
        <w:rPr>
          <w:szCs w:val="18"/>
        </w:rPr>
        <w:t>2</w:t>
      </w:r>
      <w:r w:rsidRPr="00851DA1">
        <w:rPr>
          <w:rtl/>
        </w:rPr>
        <w:t xml:space="preserve">، الفقرة </w:t>
      </w:r>
      <w:r w:rsidRPr="00851DA1">
        <w:rPr>
          <w:szCs w:val="18"/>
          <w:rtl/>
        </w:rPr>
        <w:t>42</w:t>
      </w:r>
      <w:r w:rsidRPr="00851DA1">
        <w:rPr>
          <w:rtl/>
        </w:rPr>
        <w:t>؛ و</w:t>
      </w:r>
      <w:r w:rsidRPr="00851DA1">
        <w:t>CCPR/C/BGR/CO/</w:t>
      </w:r>
      <w:r w:rsidRPr="00851DA1">
        <w:rPr>
          <w:szCs w:val="18"/>
        </w:rPr>
        <w:t>4</w:t>
      </w:r>
      <w:r w:rsidRPr="00851DA1">
        <w:rPr>
          <w:rtl/>
        </w:rPr>
        <w:t xml:space="preserve">، الفقرة </w:t>
      </w:r>
      <w:r w:rsidRPr="00851DA1">
        <w:rPr>
          <w:szCs w:val="18"/>
          <w:rtl/>
        </w:rPr>
        <w:t>38</w:t>
      </w:r>
      <w:r w:rsidRPr="00851DA1">
        <w:rPr>
          <w:rtl/>
        </w:rPr>
        <w:t>.</w:t>
      </w:r>
    </w:p>
  </w:footnote>
  <w:footnote w:id="113">
    <w:p w14:paraId="7DE4ED5E" w14:textId="24B24CCE"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CCPR/C/VEN/CO/</w:t>
      </w:r>
      <w:r w:rsidRPr="00851DA1">
        <w:rPr>
          <w:szCs w:val="18"/>
        </w:rPr>
        <w:t>4</w:t>
      </w:r>
      <w:r w:rsidRPr="00851DA1">
        <w:rPr>
          <w:rtl/>
        </w:rPr>
        <w:t xml:space="preserve">، الفقرة </w:t>
      </w:r>
      <w:r w:rsidRPr="00851DA1">
        <w:rPr>
          <w:szCs w:val="18"/>
          <w:rtl/>
        </w:rPr>
        <w:t>14</w:t>
      </w:r>
      <w:r w:rsidRPr="00851DA1">
        <w:rPr>
          <w:rtl/>
        </w:rPr>
        <w:t xml:space="preserve">؛ واللجنة الأفريقية لحقوق الإنسان والشعوب، </w:t>
      </w:r>
      <w:r w:rsidRPr="00851DA1">
        <w:rPr>
          <w:i/>
          <w:iCs/>
          <w:rtl/>
        </w:rPr>
        <w:t>المبادئ التوجيهية لحفظ الأمن والنظام في التجمعات في أفريقيا</w:t>
      </w:r>
      <w:r w:rsidRPr="00851DA1">
        <w:rPr>
          <w:rtl/>
        </w:rPr>
        <w:t xml:space="preserve">، الفقرة </w:t>
      </w:r>
      <w:r w:rsidRPr="00851DA1">
        <w:rPr>
          <w:szCs w:val="18"/>
          <w:rtl/>
        </w:rPr>
        <w:t>3</w:t>
      </w:r>
      <w:r w:rsidRPr="00851DA1">
        <w:rPr>
          <w:rtl/>
        </w:rPr>
        <w:t>-</w:t>
      </w:r>
      <w:r w:rsidRPr="00851DA1">
        <w:rPr>
          <w:szCs w:val="18"/>
          <w:rtl/>
        </w:rPr>
        <w:t>2</w:t>
      </w:r>
      <w:r w:rsidRPr="00851DA1">
        <w:rPr>
          <w:rtl/>
        </w:rPr>
        <w:t xml:space="preserve">. </w:t>
      </w:r>
    </w:p>
  </w:footnote>
  <w:footnote w:id="114">
    <w:p w14:paraId="52732C6E" w14:textId="1CDCC93F"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مدونة قواعد السلوك للموظفين المكلفين بإنفاذ القوانين، المادة </w:t>
      </w:r>
      <w:r w:rsidRPr="00851DA1">
        <w:rPr>
          <w:szCs w:val="18"/>
          <w:rtl/>
        </w:rPr>
        <w:t>1</w:t>
      </w:r>
      <w:r w:rsidRPr="00851DA1">
        <w:rPr>
          <w:rtl/>
        </w:rPr>
        <w:t>.</w:t>
      </w:r>
    </w:p>
  </w:footnote>
  <w:footnote w:id="115">
    <w:p w14:paraId="277C51F4" w14:textId="5F89C06F" w:rsidR="0020465C" w:rsidRPr="00851DA1" w:rsidRDefault="0020465C" w:rsidP="00453ECF">
      <w:pPr>
        <w:pStyle w:val="FootnoteText1"/>
        <w:spacing w:line="280" w:lineRule="exact"/>
        <w:rPr>
          <w:lang w:val="ar-SA" w:eastAsia="zh-TW" w:bidi="en-GB"/>
        </w:rPr>
      </w:pPr>
      <w:r w:rsidRPr="00851DA1">
        <w:rPr>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36</w:t>
      </w:r>
      <w:r w:rsidRPr="00851DA1">
        <w:rPr>
          <w:rtl/>
        </w:rPr>
        <w:t xml:space="preserve">، الفقرة </w:t>
      </w:r>
      <w:r w:rsidRPr="00851DA1">
        <w:rPr>
          <w:szCs w:val="18"/>
          <w:rtl/>
        </w:rPr>
        <w:t>14</w:t>
      </w:r>
      <w:r w:rsidRPr="00851DA1">
        <w:rPr>
          <w:rtl/>
        </w:rPr>
        <w:t xml:space="preserve">. انظر أيضاً </w:t>
      </w:r>
      <w:r w:rsidRPr="00851DA1">
        <w:rPr>
          <w:i/>
          <w:iCs/>
          <w:rtl/>
        </w:rPr>
        <w:t>التوجيهات المتعلقة بحقوق الإنسان الصادرة عن الأمم المتحدة بشأن استخدام الأسلحة الأقل فتكاً في سياق إنفاذ القانون</w:t>
      </w:r>
      <w:r w:rsidRPr="00851DA1">
        <w:rPr>
          <w:rtl/>
        </w:rPr>
        <w:t xml:space="preserve">، الفرع </w:t>
      </w:r>
      <w:r w:rsidRPr="00851DA1">
        <w:rPr>
          <w:szCs w:val="18"/>
          <w:rtl/>
        </w:rPr>
        <w:t>4</w:t>
      </w:r>
      <w:r w:rsidRPr="00851DA1">
        <w:rPr>
          <w:rtl/>
        </w:rPr>
        <w:t xml:space="preserve">؛ والمبادئ الأساسية بشأن استخدام القوة والأسلحة النارية من جانب الموظفين المكلفين بإنفاذ القوانين، المبدآن </w:t>
      </w:r>
      <w:r w:rsidRPr="00851DA1">
        <w:rPr>
          <w:szCs w:val="18"/>
          <w:rtl/>
        </w:rPr>
        <w:t>2</w:t>
      </w:r>
      <w:r w:rsidRPr="00851DA1">
        <w:rPr>
          <w:rtl/>
        </w:rPr>
        <w:t xml:space="preserve"> </w:t>
      </w:r>
      <w:proofErr w:type="spellStart"/>
      <w:r w:rsidRPr="00851DA1">
        <w:rPr>
          <w:rtl/>
        </w:rPr>
        <w:t>و</w:t>
      </w:r>
      <w:r w:rsidRPr="00851DA1">
        <w:rPr>
          <w:szCs w:val="18"/>
          <w:rtl/>
        </w:rPr>
        <w:t>3</w:t>
      </w:r>
      <w:proofErr w:type="spellEnd"/>
      <w:r w:rsidRPr="00851DA1">
        <w:rPr>
          <w:rtl/>
        </w:rPr>
        <w:t xml:space="preserve">. </w:t>
      </w:r>
    </w:p>
  </w:footnote>
  <w:footnote w:id="116">
    <w:p w14:paraId="6760B6E2" w14:textId="4D6ECE08"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CCPR/C/GBR/CO/</w:t>
      </w:r>
      <w:r w:rsidRPr="00851DA1">
        <w:rPr>
          <w:rFonts w:cs="Times New Roman"/>
          <w:szCs w:val="18"/>
        </w:rPr>
        <w:t>7</w:t>
      </w:r>
      <w:r w:rsidRPr="00851DA1">
        <w:rPr>
          <w:rtl/>
        </w:rPr>
        <w:t xml:space="preserve">، الفقرة </w:t>
      </w:r>
      <w:r w:rsidRPr="00851DA1">
        <w:rPr>
          <w:szCs w:val="18"/>
          <w:rtl/>
        </w:rPr>
        <w:t>11</w:t>
      </w:r>
      <w:r w:rsidRPr="00851DA1">
        <w:rPr>
          <w:rtl/>
        </w:rPr>
        <w:t>؛ و</w:t>
      </w:r>
      <w:r w:rsidRPr="00851DA1">
        <w:rPr>
          <w:rFonts w:cs="Times New Roman"/>
        </w:rPr>
        <w:t>A/HRC/</w:t>
      </w:r>
      <w:r w:rsidRPr="00851DA1">
        <w:rPr>
          <w:rFonts w:cs="Times New Roman"/>
          <w:szCs w:val="18"/>
        </w:rPr>
        <w:t>44</w:t>
      </w:r>
      <w:r w:rsidRPr="00851DA1">
        <w:rPr>
          <w:rFonts w:cs="Times New Roman"/>
        </w:rPr>
        <w:t>/</w:t>
      </w:r>
      <w:r w:rsidRPr="00851DA1">
        <w:rPr>
          <w:rFonts w:cs="Times New Roman"/>
          <w:szCs w:val="18"/>
        </w:rPr>
        <w:t>24</w:t>
      </w:r>
      <w:r w:rsidRPr="00851DA1">
        <w:rPr>
          <w:rtl/>
        </w:rPr>
        <w:t xml:space="preserve">، الفقرة </w:t>
      </w:r>
      <w:r w:rsidRPr="00851DA1">
        <w:rPr>
          <w:szCs w:val="18"/>
          <w:rtl/>
        </w:rPr>
        <w:t>32</w:t>
      </w:r>
      <w:r w:rsidRPr="00851DA1">
        <w:rPr>
          <w:rtl/>
        </w:rPr>
        <w:t>.</w:t>
      </w:r>
    </w:p>
  </w:footnote>
  <w:footnote w:id="117">
    <w:p w14:paraId="0454F39E" w14:textId="4F166298"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CCPR/C/MKD/CO/</w:t>
      </w:r>
      <w:r w:rsidRPr="00851DA1">
        <w:rPr>
          <w:szCs w:val="18"/>
        </w:rPr>
        <w:t>3</w:t>
      </w:r>
      <w:r w:rsidRPr="00851DA1">
        <w:rPr>
          <w:rtl/>
        </w:rPr>
        <w:t xml:space="preserve">، الفقرة </w:t>
      </w:r>
      <w:r w:rsidRPr="00851DA1">
        <w:rPr>
          <w:szCs w:val="18"/>
          <w:rtl/>
        </w:rPr>
        <w:t>19</w:t>
      </w:r>
      <w:r w:rsidRPr="00851DA1">
        <w:rPr>
          <w:rtl/>
        </w:rPr>
        <w:t>.</w:t>
      </w:r>
    </w:p>
  </w:footnote>
  <w:footnote w:id="118">
    <w:p w14:paraId="4A129D02" w14:textId="080A92DD"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35</w:t>
      </w:r>
      <w:r w:rsidRPr="00851DA1">
        <w:rPr>
          <w:rtl/>
        </w:rPr>
        <w:t>(</w:t>
      </w:r>
      <w:r w:rsidRPr="00851DA1">
        <w:rPr>
          <w:szCs w:val="18"/>
          <w:rtl/>
        </w:rPr>
        <w:t>2014</w:t>
      </w:r>
      <w:r w:rsidRPr="00851DA1">
        <w:rPr>
          <w:rtl/>
        </w:rPr>
        <w:t xml:space="preserve">) بشأن حق الفرد في الحرية وفى الأمان على شخصه، الفقرة </w:t>
      </w:r>
      <w:r w:rsidRPr="00851DA1">
        <w:rPr>
          <w:szCs w:val="18"/>
          <w:rtl/>
        </w:rPr>
        <w:t>15</w:t>
      </w:r>
      <w:r w:rsidRPr="00851DA1">
        <w:rPr>
          <w:rtl/>
        </w:rPr>
        <w:t>.</w:t>
      </w:r>
    </w:p>
  </w:footnote>
  <w:footnote w:id="119">
    <w:p w14:paraId="471E40CD" w14:textId="257D1BEF"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00E07768" w:rsidRPr="00851DA1">
        <w:rPr>
          <w:szCs w:val="18"/>
        </w:rPr>
        <w:t xml:space="preserve">European Court of Human Rights, </w:t>
      </w:r>
      <w:r w:rsidR="00E07768" w:rsidRPr="00851DA1">
        <w:rPr>
          <w:i/>
          <w:szCs w:val="18"/>
        </w:rPr>
        <w:t>S., V. and A.</w:t>
      </w:r>
      <w:r w:rsidR="00E07768" w:rsidRPr="00851DA1">
        <w:rPr>
          <w:szCs w:val="18"/>
        </w:rPr>
        <w:t xml:space="preserve"> </w:t>
      </w:r>
      <w:r w:rsidR="00E07768" w:rsidRPr="00851DA1">
        <w:rPr>
          <w:i/>
          <w:iCs/>
          <w:szCs w:val="18"/>
        </w:rPr>
        <w:t>v.</w:t>
      </w:r>
      <w:r w:rsidR="00E07768" w:rsidRPr="00851DA1">
        <w:rPr>
          <w:szCs w:val="18"/>
        </w:rPr>
        <w:t xml:space="preserve"> </w:t>
      </w:r>
      <w:r w:rsidR="00E07768" w:rsidRPr="00851DA1">
        <w:rPr>
          <w:i/>
          <w:szCs w:val="18"/>
        </w:rPr>
        <w:t xml:space="preserve">Denmark </w:t>
      </w:r>
      <w:r w:rsidR="00E07768" w:rsidRPr="00851DA1">
        <w:rPr>
          <w:iCs/>
          <w:szCs w:val="18"/>
        </w:rPr>
        <w:t>(application Nos. 35553/12, 36678/12 and 36711/12)</w:t>
      </w:r>
      <w:r w:rsidR="00E07768" w:rsidRPr="00851DA1">
        <w:rPr>
          <w:szCs w:val="18"/>
        </w:rPr>
        <w:t>, judgment of 22 October 2018 (Grand Chamber), paras. 77 and 127</w:t>
      </w:r>
      <w:r w:rsidRPr="00851DA1">
        <w:rPr>
          <w:rtl/>
        </w:rPr>
        <w:t>.</w:t>
      </w:r>
    </w:p>
  </w:footnote>
  <w:footnote w:id="120">
    <w:p w14:paraId="6EA8C19A" w14:textId="47EED077"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CCPR/C/CAN/CO/</w:t>
      </w:r>
      <w:r w:rsidRPr="00851DA1">
        <w:rPr>
          <w:szCs w:val="18"/>
        </w:rPr>
        <w:t>6</w:t>
      </w:r>
      <w:r w:rsidRPr="00851DA1">
        <w:rPr>
          <w:rtl/>
        </w:rPr>
        <w:t xml:space="preserve">، الفقرة </w:t>
      </w:r>
      <w:r w:rsidRPr="00851DA1">
        <w:rPr>
          <w:szCs w:val="18"/>
          <w:rtl/>
        </w:rPr>
        <w:t>15</w:t>
      </w:r>
      <w:r w:rsidRPr="00851DA1">
        <w:rPr>
          <w:rtl/>
        </w:rPr>
        <w:t>.</w:t>
      </w:r>
    </w:p>
  </w:footnote>
  <w:footnote w:id="121">
    <w:p w14:paraId="5B181593" w14:textId="7E545ACB"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CCPR/C/GBR/CO/</w:t>
      </w:r>
      <w:r w:rsidRPr="00851DA1">
        <w:rPr>
          <w:rFonts w:cs="Times New Roman"/>
          <w:szCs w:val="18"/>
        </w:rPr>
        <w:t>7</w:t>
      </w:r>
      <w:r w:rsidRPr="00851DA1">
        <w:rPr>
          <w:rtl/>
        </w:rPr>
        <w:t xml:space="preserve">، الفقرة </w:t>
      </w:r>
      <w:r w:rsidRPr="00851DA1">
        <w:rPr>
          <w:szCs w:val="18"/>
          <w:rtl/>
        </w:rPr>
        <w:t>11</w:t>
      </w:r>
      <w:r w:rsidRPr="00851DA1">
        <w:rPr>
          <w:rtl/>
        </w:rPr>
        <w:t>؛ و</w:t>
      </w:r>
      <w:r w:rsidRPr="00851DA1">
        <w:rPr>
          <w:rFonts w:cs="Times New Roman"/>
        </w:rPr>
        <w:t>CCPR/C/USA/CO/</w:t>
      </w:r>
      <w:r w:rsidRPr="00851DA1">
        <w:rPr>
          <w:rFonts w:cs="Times New Roman"/>
          <w:szCs w:val="18"/>
        </w:rPr>
        <w:t>4</w:t>
      </w:r>
      <w:r w:rsidRPr="00851DA1">
        <w:rPr>
          <w:rtl/>
        </w:rPr>
        <w:t xml:space="preserve">، الفقرة </w:t>
      </w:r>
      <w:r w:rsidRPr="00851DA1">
        <w:rPr>
          <w:szCs w:val="18"/>
          <w:rtl/>
        </w:rPr>
        <w:t>7</w:t>
      </w:r>
      <w:r w:rsidRPr="00851DA1">
        <w:rPr>
          <w:rtl/>
        </w:rPr>
        <w:t>.</w:t>
      </w:r>
    </w:p>
  </w:footnote>
  <w:footnote w:id="122">
    <w:p w14:paraId="46008025" w14:textId="06A89A7F"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A/HRC/</w:t>
      </w:r>
      <w:r w:rsidRPr="00851DA1">
        <w:rPr>
          <w:rFonts w:cs="Times New Roman"/>
          <w:szCs w:val="18"/>
        </w:rPr>
        <w:t>31</w:t>
      </w:r>
      <w:r w:rsidRPr="00851DA1">
        <w:rPr>
          <w:rFonts w:cs="Times New Roman"/>
        </w:rPr>
        <w:t>/</w:t>
      </w:r>
      <w:r w:rsidRPr="00851DA1">
        <w:rPr>
          <w:rFonts w:cs="Times New Roman"/>
          <w:szCs w:val="18"/>
        </w:rPr>
        <w:t>6</w:t>
      </w:r>
      <w:r w:rsidRPr="00851DA1">
        <w:rPr>
          <w:szCs w:val="18"/>
        </w:rPr>
        <w:t>6</w:t>
      </w:r>
      <w:r w:rsidRPr="00851DA1">
        <w:rPr>
          <w:rtl/>
        </w:rPr>
        <w:t xml:space="preserve">، الفقرة </w:t>
      </w:r>
      <w:r w:rsidRPr="00851DA1">
        <w:rPr>
          <w:szCs w:val="18"/>
          <w:rtl/>
        </w:rPr>
        <w:t>43</w:t>
      </w:r>
      <w:r w:rsidRPr="00851DA1">
        <w:rPr>
          <w:rtl/>
        </w:rPr>
        <w:t>.</w:t>
      </w:r>
    </w:p>
  </w:footnote>
  <w:footnote w:id="123">
    <w:p w14:paraId="1C40D9D2" w14:textId="7DBCBE88"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00E07768" w:rsidRPr="00851DA1">
        <w:rPr>
          <w:spacing w:val="-4"/>
          <w:szCs w:val="18"/>
        </w:rPr>
        <w:t xml:space="preserve">European Court of Human Rights, </w:t>
      </w:r>
      <w:r w:rsidR="00E07768" w:rsidRPr="00851DA1">
        <w:rPr>
          <w:i/>
          <w:spacing w:val="-4"/>
          <w:szCs w:val="18"/>
        </w:rPr>
        <w:t>Austin and others</w:t>
      </w:r>
      <w:r w:rsidR="00E07768" w:rsidRPr="00851DA1">
        <w:rPr>
          <w:spacing w:val="-4"/>
          <w:szCs w:val="18"/>
        </w:rPr>
        <w:t xml:space="preserve"> v. </w:t>
      </w:r>
      <w:r w:rsidR="00E07768" w:rsidRPr="00851DA1">
        <w:rPr>
          <w:i/>
          <w:spacing w:val="-4"/>
          <w:szCs w:val="18"/>
        </w:rPr>
        <w:t xml:space="preserve">United Kingdom </w:t>
      </w:r>
      <w:r w:rsidR="00E07768" w:rsidRPr="00851DA1">
        <w:rPr>
          <w:iCs/>
          <w:spacing w:val="-4"/>
          <w:szCs w:val="18"/>
        </w:rPr>
        <w:t>(application Nos. 39629/09,</w:t>
      </w:r>
      <w:r w:rsidR="00E07768" w:rsidRPr="00851DA1">
        <w:rPr>
          <w:iCs/>
          <w:spacing w:val="-4"/>
          <w:szCs w:val="18"/>
          <w:rtl/>
        </w:rPr>
        <w:br/>
      </w:r>
      <w:r w:rsidR="00E07768" w:rsidRPr="00851DA1">
        <w:rPr>
          <w:iCs/>
          <w:spacing w:val="-4"/>
          <w:szCs w:val="18"/>
        </w:rPr>
        <w:t>40713/09; and 41008/09)</w:t>
      </w:r>
      <w:r w:rsidR="00E07768" w:rsidRPr="00851DA1">
        <w:rPr>
          <w:spacing w:val="-4"/>
          <w:szCs w:val="18"/>
        </w:rPr>
        <w:t>, judgment of 15 March 2012 (Grand Chamber), para. 68</w:t>
      </w:r>
      <w:r w:rsidRPr="00851DA1">
        <w:rPr>
          <w:rtl/>
        </w:rPr>
        <w:t>.</w:t>
      </w:r>
    </w:p>
  </w:footnote>
  <w:footnote w:id="124">
    <w:p w14:paraId="7EF1009D" w14:textId="18F88B36"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A/HRC/</w:t>
      </w:r>
      <w:r w:rsidRPr="00851DA1">
        <w:rPr>
          <w:rFonts w:cs="Times New Roman"/>
          <w:szCs w:val="18"/>
        </w:rPr>
        <w:t>31</w:t>
      </w:r>
      <w:r w:rsidRPr="00851DA1">
        <w:rPr>
          <w:rFonts w:cs="Times New Roman"/>
        </w:rPr>
        <w:t>/</w:t>
      </w:r>
      <w:r w:rsidRPr="00851DA1">
        <w:rPr>
          <w:rFonts w:cs="Times New Roman"/>
          <w:szCs w:val="18"/>
        </w:rPr>
        <w:t>6</w:t>
      </w:r>
      <w:r w:rsidRPr="00851DA1">
        <w:rPr>
          <w:szCs w:val="18"/>
        </w:rPr>
        <w:t>6</w:t>
      </w:r>
      <w:r w:rsidRPr="00851DA1">
        <w:rPr>
          <w:rtl/>
        </w:rPr>
        <w:t xml:space="preserve">، الفقرة </w:t>
      </w:r>
      <w:r w:rsidRPr="00851DA1">
        <w:rPr>
          <w:szCs w:val="18"/>
          <w:rtl/>
        </w:rPr>
        <w:t>62</w:t>
      </w:r>
      <w:r w:rsidRPr="00851DA1">
        <w:rPr>
          <w:rtl/>
        </w:rPr>
        <w:t>.</w:t>
      </w:r>
    </w:p>
  </w:footnote>
  <w:footnote w:id="125">
    <w:p w14:paraId="7EB17121" w14:textId="57B21ECF"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spacing w:val="-4"/>
          <w:rtl/>
        </w:rPr>
        <w:t xml:space="preserve">المبادئ الأساسية بشأن استخدام القوة والأسلحة النارية من جانب الموظفين المكلفين بإنفاذ القوانين، المبدأ </w:t>
      </w:r>
      <w:r w:rsidRPr="00851DA1">
        <w:rPr>
          <w:spacing w:val="-4"/>
          <w:szCs w:val="18"/>
          <w:rtl/>
        </w:rPr>
        <w:t>13</w:t>
      </w:r>
      <w:r w:rsidRPr="00851DA1">
        <w:rPr>
          <w:spacing w:val="-4"/>
          <w:rtl/>
        </w:rPr>
        <w:t>؛</w:t>
      </w:r>
      <w:r w:rsidRPr="00851DA1">
        <w:rPr>
          <w:rtl/>
        </w:rPr>
        <w:t xml:space="preserve"> و</w:t>
      </w:r>
      <w:r w:rsidRPr="00851DA1">
        <w:t>A/HRC/</w:t>
      </w:r>
      <w:r w:rsidRPr="00851DA1">
        <w:rPr>
          <w:szCs w:val="18"/>
        </w:rPr>
        <w:t>26</w:t>
      </w:r>
      <w:r w:rsidRPr="00851DA1">
        <w:t>/</w:t>
      </w:r>
      <w:r w:rsidRPr="00851DA1">
        <w:rPr>
          <w:szCs w:val="18"/>
        </w:rPr>
        <w:t>36</w:t>
      </w:r>
      <w:r w:rsidRPr="00851DA1">
        <w:rPr>
          <w:rtl/>
        </w:rPr>
        <w:t xml:space="preserve">، الفقرة </w:t>
      </w:r>
      <w:r w:rsidRPr="00851DA1">
        <w:rPr>
          <w:szCs w:val="18"/>
          <w:rtl/>
        </w:rPr>
        <w:t>75</w:t>
      </w:r>
      <w:r w:rsidRPr="00851DA1">
        <w:rPr>
          <w:rtl/>
        </w:rPr>
        <w:t>.</w:t>
      </w:r>
    </w:p>
  </w:footnote>
  <w:footnote w:id="126">
    <w:p w14:paraId="784E06FB" w14:textId="3E2B535C"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i/>
          <w:iCs/>
          <w:rtl/>
        </w:rPr>
        <w:t>التوجيهات المتعلقة بحقوق الإنسان الصادرة عن الأمم المتحدة بشأن استخدام الأسلحة الأقل فتكاً في سياق إنفاذ القانون</w:t>
      </w:r>
      <w:r w:rsidRPr="00851DA1">
        <w:rPr>
          <w:rtl/>
        </w:rPr>
        <w:t xml:space="preserve">، الفقرة </w:t>
      </w:r>
      <w:r w:rsidRPr="00851DA1">
        <w:rPr>
          <w:szCs w:val="18"/>
          <w:rtl/>
        </w:rPr>
        <w:t>2</w:t>
      </w:r>
      <w:r w:rsidRPr="00851DA1">
        <w:rPr>
          <w:rtl/>
        </w:rPr>
        <w:t>-</w:t>
      </w:r>
      <w:r w:rsidRPr="00851DA1">
        <w:rPr>
          <w:szCs w:val="18"/>
          <w:rtl/>
        </w:rPr>
        <w:t>10</w:t>
      </w:r>
      <w:r w:rsidRPr="00851DA1">
        <w:rPr>
          <w:rtl/>
        </w:rPr>
        <w:t>.</w:t>
      </w:r>
    </w:p>
  </w:footnote>
  <w:footnote w:id="127">
    <w:p w14:paraId="646EBF19" w14:textId="21389E67"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S/</w:t>
      </w:r>
      <w:r w:rsidRPr="00851DA1">
        <w:rPr>
          <w:rFonts w:cs="Times New Roman"/>
          <w:szCs w:val="18"/>
        </w:rPr>
        <w:t>2009</w:t>
      </w:r>
      <w:r w:rsidRPr="00851DA1">
        <w:rPr>
          <w:rFonts w:cs="Times New Roman"/>
        </w:rPr>
        <w:t>/</w:t>
      </w:r>
      <w:r w:rsidRPr="00851DA1">
        <w:rPr>
          <w:rFonts w:cs="Times New Roman"/>
          <w:szCs w:val="18"/>
        </w:rPr>
        <w:t>69</w:t>
      </w:r>
      <w:r w:rsidRPr="00851DA1">
        <w:rPr>
          <w:szCs w:val="18"/>
        </w:rPr>
        <w:t>3</w:t>
      </w:r>
      <w:r w:rsidRPr="00851DA1">
        <w:rPr>
          <w:rtl/>
        </w:rPr>
        <w:t xml:space="preserve">، المرفق، الفقرة </w:t>
      </w:r>
      <w:r w:rsidRPr="00851DA1">
        <w:rPr>
          <w:szCs w:val="18"/>
          <w:rtl/>
        </w:rPr>
        <w:t>62</w:t>
      </w:r>
      <w:r w:rsidRPr="00851DA1">
        <w:rPr>
          <w:rtl/>
        </w:rPr>
        <w:t xml:space="preserve">؛ </w:t>
      </w:r>
      <w:r w:rsidRPr="00851DA1">
        <w:rPr>
          <w:i/>
          <w:iCs/>
          <w:rtl/>
        </w:rPr>
        <w:t>والتوجيهات المتعلقة بحقوق الإنسان الصادرة عن الأمم المتحدة بشأن استخدام الأسلحة الأقل فتكاً في سياق إنفاذ القانون</w:t>
      </w:r>
      <w:r w:rsidRPr="00851DA1">
        <w:rPr>
          <w:rtl/>
        </w:rPr>
        <w:t xml:space="preserve">، الفقرة </w:t>
      </w:r>
      <w:r w:rsidRPr="00851DA1">
        <w:rPr>
          <w:szCs w:val="18"/>
          <w:rtl/>
        </w:rPr>
        <w:t>7</w:t>
      </w:r>
      <w:r w:rsidRPr="00851DA1">
        <w:rPr>
          <w:rtl/>
        </w:rPr>
        <w:t>-</w:t>
      </w:r>
      <w:r w:rsidRPr="00851DA1">
        <w:rPr>
          <w:szCs w:val="18"/>
          <w:rtl/>
        </w:rPr>
        <w:t>3</w:t>
      </w:r>
      <w:r w:rsidRPr="00851DA1">
        <w:rPr>
          <w:rtl/>
        </w:rPr>
        <w:t>-</w:t>
      </w:r>
      <w:r w:rsidRPr="00851DA1">
        <w:rPr>
          <w:szCs w:val="18"/>
          <w:rtl/>
        </w:rPr>
        <w:t>7</w:t>
      </w:r>
      <w:r w:rsidRPr="00851DA1">
        <w:rPr>
          <w:rtl/>
        </w:rPr>
        <w:t>.</w:t>
      </w:r>
    </w:p>
  </w:footnote>
  <w:footnote w:id="128">
    <w:p w14:paraId="07A5FBED" w14:textId="6756964C"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اللجنة الأفريقية لحقوق الإنسان والشعوب، </w:t>
      </w:r>
      <w:r w:rsidRPr="00851DA1">
        <w:rPr>
          <w:i/>
          <w:iCs/>
          <w:rtl/>
        </w:rPr>
        <w:t>المبادئ التوجيهية لحفظ الأمن والنظام في التجمعات في أفريقيا</w:t>
      </w:r>
      <w:r w:rsidRPr="00851DA1">
        <w:rPr>
          <w:rtl/>
        </w:rPr>
        <w:t xml:space="preserve">، الفقرة </w:t>
      </w:r>
      <w:r w:rsidRPr="00851DA1">
        <w:rPr>
          <w:szCs w:val="18"/>
          <w:rtl/>
        </w:rPr>
        <w:t>21</w:t>
      </w:r>
      <w:r w:rsidRPr="00851DA1">
        <w:rPr>
          <w:rtl/>
        </w:rPr>
        <w:t>-</w:t>
      </w:r>
      <w:r w:rsidRPr="00851DA1">
        <w:rPr>
          <w:szCs w:val="18"/>
          <w:rtl/>
        </w:rPr>
        <w:t>2</w:t>
      </w:r>
      <w:r w:rsidRPr="00851DA1">
        <w:rPr>
          <w:rtl/>
        </w:rPr>
        <w:t>-</w:t>
      </w:r>
      <w:r w:rsidRPr="00851DA1">
        <w:rPr>
          <w:szCs w:val="18"/>
          <w:rtl/>
        </w:rPr>
        <w:t>4</w:t>
      </w:r>
      <w:r w:rsidRPr="00851DA1">
        <w:rPr>
          <w:rtl/>
        </w:rPr>
        <w:t>.</w:t>
      </w:r>
    </w:p>
  </w:footnote>
  <w:footnote w:id="129">
    <w:p w14:paraId="05BE5E69" w14:textId="0AECA051" w:rsidR="0020465C" w:rsidRPr="00851DA1" w:rsidRDefault="0020465C" w:rsidP="00453ECF">
      <w:pPr>
        <w:pStyle w:val="FootnoteText1"/>
        <w:spacing w:line="280" w:lineRule="exact"/>
        <w:rPr>
          <w:spacing w:val="-4"/>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spacing w:val="-4"/>
          <w:rtl/>
        </w:rPr>
        <w:t xml:space="preserve">المبادئ الأساسية بشأن استخدام القوة والأسلحة النارية من جانب الموظفين المكلفين بإنفاذ القوانين، المبدأ </w:t>
      </w:r>
      <w:r w:rsidRPr="00851DA1">
        <w:rPr>
          <w:spacing w:val="-4"/>
          <w:szCs w:val="18"/>
          <w:rtl/>
        </w:rPr>
        <w:t>14</w:t>
      </w:r>
      <w:r w:rsidRPr="00851DA1">
        <w:rPr>
          <w:spacing w:val="-4"/>
          <w:rtl/>
        </w:rPr>
        <w:t>.</w:t>
      </w:r>
    </w:p>
  </w:footnote>
  <w:footnote w:id="130">
    <w:p w14:paraId="7338952B" w14:textId="491C4B01"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36</w:t>
      </w:r>
      <w:r w:rsidRPr="00851DA1">
        <w:rPr>
          <w:rtl/>
        </w:rPr>
        <w:t xml:space="preserve">، الفقرة </w:t>
      </w:r>
      <w:r w:rsidRPr="00851DA1">
        <w:rPr>
          <w:szCs w:val="18"/>
          <w:rtl/>
        </w:rPr>
        <w:t>12</w:t>
      </w:r>
      <w:r w:rsidRPr="00851DA1">
        <w:rPr>
          <w:rtl/>
        </w:rPr>
        <w:t xml:space="preserve">؛ والمبادئ الأساسية بشأن استخدام القوة والأسلحة النارية من جانب الموظفين المكلفين بإنفاذ القوانين، المبدآن </w:t>
      </w:r>
      <w:r w:rsidRPr="00851DA1">
        <w:rPr>
          <w:szCs w:val="18"/>
          <w:rtl/>
        </w:rPr>
        <w:t>9</w:t>
      </w:r>
      <w:r w:rsidRPr="00851DA1">
        <w:rPr>
          <w:rtl/>
        </w:rPr>
        <w:t xml:space="preserve"> </w:t>
      </w:r>
      <w:proofErr w:type="spellStart"/>
      <w:r w:rsidRPr="00851DA1">
        <w:rPr>
          <w:rtl/>
        </w:rPr>
        <w:t>و</w:t>
      </w:r>
      <w:r w:rsidRPr="00851DA1">
        <w:rPr>
          <w:szCs w:val="18"/>
          <w:rtl/>
        </w:rPr>
        <w:t>14</w:t>
      </w:r>
      <w:proofErr w:type="spellEnd"/>
      <w:r w:rsidRPr="00851DA1">
        <w:rPr>
          <w:rtl/>
        </w:rPr>
        <w:t>.</w:t>
      </w:r>
    </w:p>
  </w:footnote>
  <w:footnote w:id="131">
    <w:p w14:paraId="5CBF8735" w14:textId="1B77CA2B"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i/>
          <w:iCs/>
          <w:rtl/>
        </w:rPr>
        <w:t>التوجيهات المتعلقة بحقوق الإنسان الصادرة عن الأمم المتحدة بشأن استخدام الأسلحة الأقل فتكاً في سياق إنفاذ القانون</w:t>
      </w:r>
      <w:r w:rsidRPr="00851DA1">
        <w:rPr>
          <w:rtl/>
        </w:rPr>
        <w:t xml:space="preserve">، الفقرة </w:t>
      </w:r>
      <w:r w:rsidRPr="00851DA1">
        <w:rPr>
          <w:szCs w:val="18"/>
          <w:rtl/>
        </w:rPr>
        <w:t>7</w:t>
      </w:r>
      <w:r w:rsidRPr="00851DA1">
        <w:rPr>
          <w:rtl/>
        </w:rPr>
        <w:t>-</w:t>
      </w:r>
      <w:r w:rsidRPr="00851DA1">
        <w:rPr>
          <w:szCs w:val="18"/>
          <w:rtl/>
        </w:rPr>
        <w:t>5</w:t>
      </w:r>
      <w:r w:rsidRPr="00851DA1">
        <w:rPr>
          <w:rtl/>
        </w:rPr>
        <w:t>-</w:t>
      </w:r>
      <w:r w:rsidRPr="00851DA1">
        <w:rPr>
          <w:szCs w:val="18"/>
          <w:rtl/>
        </w:rPr>
        <w:t>8</w:t>
      </w:r>
      <w:r w:rsidRPr="00851DA1">
        <w:rPr>
          <w:rtl/>
        </w:rPr>
        <w:t>.</w:t>
      </w:r>
    </w:p>
  </w:footnote>
  <w:footnote w:id="132">
    <w:p w14:paraId="3AB2EE5F" w14:textId="31E91AE6"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A/HRC/</w:t>
      </w:r>
      <w:r w:rsidRPr="00851DA1">
        <w:rPr>
          <w:rFonts w:cs="Times New Roman"/>
          <w:szCs w:val="18"/>
        </w:rPr>
        <w:t>31</w:t>
      </w:r>
      <w:r w:rsidRPr="00851DA1">
        <w:rPr>
          <w:rFonts w:cs="Times New Roman"/>
        </w:rPr>
        <w:t>/</w:t>
      </w:r>
      <w:r w:rsidRPr="00851DA1">
        <w:rPr>
          <w:rFonts w:cs="Times New Roman"/>
          <w:szCs w:val="18"/>
        </w:rPr>
        <w:t>66</w:t>
      </w:r>
      <w:r w:rsidRPr="00851DA1">
        <w:rPr>
          <w:rtl/>
        </w:rPr>
        <w:t xml:space="preserve">، الفقرتان </w:t>
      </w:r>
      <w:r w:rsidRPr="00851DA1">
        <w:rPr>
          <w:szCs w:val="18"/>
          <w:rtl/>
        </w:rPr>
        <w:t>60</w:t>
      </w:r>
      <w:r w:rsidRPr="00851DA1">
        <w:rPr>
          <w:rtl/>
        </w:rPr>
        <w:t xml:space="preserve"> </w:t>
      </w:r>
      <w:proofErr w:type="spellStart"/>
      <w:r w:rsidRPr="00851DA1">
        <w:rPr>
          <w:rtl/>
        </w:rPr>
        <w:t>و</w:t>
      </w:r>
      <w:r w:rsidRPr="00851DA1">
        <w:rPr>
          <w:szCs w:val="18"/>
          <w:rtl/>
        </w:rPr>
        <w:t>67</w:t>
      </w:r>
      <w:proofErr w:type="spellEnd"/>
      <w:r w:rsidRPr="00851DA1">
        <w:rPr>
          <w:rtl/>
        </w:rPr>
        <w:t>(ه). انظر أيضاً</w:t>
      </w:r>
      <w:r w:rsidR="00CE3EDF" w:rsidRPr="00851DA1">
        <w:t xml:space="preserve"> Office of the United Nations High Commissioner for Human Rights and United Nations Office on Drugs and Crime, </w:t>
      </w:r>
      <w:r w:rsidR="00CE3EDF" w:rsidRPr="00851DA1">
        <w:rPr>
          <w:i/>
        </w:rPr>
        <w:t>Resource book on the use of force and firearms in law enforcement</w:t>
      </w:r>
      <w:r w:rsidR="00CE3EDF" w:rsidRPr="00851DA1">
        <w:t xml:space="preserve"> (New York, United Nations, </w:t>
      </w:r>
      <w:proofErr w:type="gramStart"/>
      <w:r w:rsidR="00CE3EDF" w:rsidRPr="00851DA1">
        <w:t>2017),</w:t>
      </w:r>
      <w:proofErr w:type="gramEnd"/>
      <w:r w:rsidR="00CE3EDF" w:rsidRPr="00851DA1">
        <w:t xml:space="preserve"> p. 96</w:t>
      </w:r>
      <w:r w:rsidRPr="00851DA1">
        <w:rPr>
          <w:rtl/>
        </w:rPr>
        <w:t>.</w:t>
      </w:r>
    </w:p>
  </w:footnote>
  <w:footnote w:id="133">
    <w:p w14:paraId="7D6F7E7C" w14:textId="252A658A"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00CE3EDF" w:rsidRPr="00851DA1">
        <w:rPr>
          <w:szCs w:val="18"/>
        </w:rPr>
        <w:t xml:space="preserve">European Court of Human Rights, </w:t>
      </w:r>
      <w:proofErr w:type="spellStart"/>
      <w:r w:rsidR="00CE3EDF" w:rsidRPr="00851DA1">
        <w:rPr>
          <w:i/>
          <w:szCs w:val="18"/>
        </w:rPr>
        <w:t>Hentschel</w:t>
      </w:r>
      <w:proofErr w:type="spellEnd"/>
      <w:r w:rsidR="00CE3EDF" w:rsidRPr="00851DA1">
        <w:rPr>
          <w:i/>
          <w:szCs w:val="18"/>
        </w:rPr>
        <w:t xml:space="preserve"> and Stark</w:t>
      </w:r>
      <w:r w:rsidR="00CE3EDF" w:rsidRPr="00851DA1">
        <w:rPr>
          <w:szCs w:val="18"/>
        </w:rPr>
        <w:t xml:space="preserve"> v. </w:t>
      </w:r>
      <w:r w:rsidR="00CE3EDF" w:rsidRPr="00851DA1">
        <w:rPr>
          <w:i/>
          <w:szCs w:val="18"/>
        </w:rPr>
        <w:t>Germany</w:t>
      </w:r>
      <w:r w:rsidR="00CE3EDF" w:rsidRPr="00851DA1">
        <w:rPr>
          <w:szCs w:val="18"/>
        </w:rPr>
        <w:t xml:space="preserve"> (application No. 47274/15), judgment of 9 November 2017, para. 91</w:t>
      </w:r>
      <w:r w:rsidRPr="00851DA1">
        <w:rPr>
          <w:rtl/>
        </w:rPr>
        <w:t>؛ و</w:t>
      </w:r>
      <w:r w:rsidRPr="00851DA1">
        <w:t>CAT/C/DEU/CO/</w:t>
      </w:r>
      <w:r w:rsidRPr="00851DA1">
        <w:rPr>
          <w:szCs w:val="18"/>
        </w:rPr>
        <w:t>6</w:t>
      </w:r>
      <w:r w:rsidRPr="00851DA1">
        <w:rPr>
          <w:rtl/>
        </w:rPr>
        <w:t xml:space="preserve">، الفقرة </w:t>
      </w:r>
      <w:r w:rsidRPr="00851DA1">
        <w:rPr>
          <w:szCs w:val="18"/>
          <w:rtl/>
        </w:rPr>
        <w:t>40</w:t>
      </w:r>
      <w:r w:rsidRPr="00851DA1">
        <w:rPr>
          <w:rtl/>
        </w:rPr>
        <w:t>.</w:t>
      </w:r>
    </w:p>
  </w:footnote>
  <w:footnote w:id="134">
    <w:p w14:paraId="3954624B" w14:textId="1FA4CC29" w:rsidR="0020465C" w:rsidRPr="00851DA1" w:rsidRDefault="0020465C" w:rsidP="00453ECF">
      <w:pPr>
        <w:pStyle w:val="FootnoteText1"/>
        <w:spacing w:line="280" w:lineRule="exact"/>
        <w:rPr>
          <w:spacing w:val="-4"/>
          <w:lang w:eastAsia="zh-TW" w:bidi="en-GB"/>
        </w:rPr>
      </w:pPr>
      <w:r w:rsidRPr="00851DA1">
        <w:rPr>
          <w:rStyle w:val="FootnoteReference"/>
          <w:spacing w:val="-4"/>
          <w:szCs w:val="26"/>
          <w:vertAlign w:val="baseline"/>
          <w:rtl/>
        </w:rPr>
        <w:t>(</w:t>
      </w:r>
      <w:r w:rsidRPr="00851DA1">
        <w:rPr>
          <w:rStyle w:val="FootnoteReference"/>
          <w:rFonts w:cs="Times New Roman"/>
          <w:b w:val="0"/>
          <w:spacing w:val="-4"/>
          <w:szCs w:val="26"/>
          <w:vertAlign w:val="baseline"/>
        </w:rPr>
        <w:footnoteRef/>
      </w:r>
      <w:r w:rsidRPr="00851DA1">
        <w:rPr>
          <w:rStyle w:val="FootnoteReference"/>
          <w:spacing w:val="-4"/>
          <w:szCs w:val="26"/>
          <w:vertAlign w:val="baseline"/>
          <w:rtl/>
        </w:rPr>
        <w:t>)</w:t>
      </w:r>
      <w:r w:rsidRPr="00851DA1">
        <w:rPr>
          <w:spacing w:val="-4"/>
          <w:rtl/>
        </w:rPr>
        <w:tab/>
        <w:t>و</w:t>
      </w:r>
      <w:r w:rsidRPr="00851DA1">
        <w:rPr>
          <w:spacing w:val="-4"/>
        </w:rPr>
        <w:t>CCPR/C/COD/CO/</w:t>
      </w:r>
      <w:r w:rsidRPr="00851DA1">
        <w:rPr>
          <w:spacing w:val="-4"/>
          <w:szCs w:val="18"/>
        </w:rPr>
        <w:t>4</w:t>
      </w:r>
      <w:r w:rsidRPr="00851DA1">
        <w:rPr>
          <w:spacing w:val="-4"/>
          <w:rtl/>
        </w:rPr>
        <w:t xml:space="preserve">، الفقرتان </w:t>
      </w:r>
      <w:r w:rsidRPr="00851DA1">
        <w:rPr>
          <w:spacing w:val="-4"/>
          <w:szCs w:val="18"/>
          <w:rtl/>
        </w:rPr>
        <w:t>43</w:t>
      </w:r>
      <w:r w:rsidRPr="00851DA1">
        <w:rPr>
          <w:spacing w:val="-4"/>
          <w:rtl/>
        </w:rPr>
        <w:t xml:space="preserve"> </w:t>
      </w:r>
      <w:proofErr w:type="spellStart"/>
      <w:r w:rsidRPr="00851DA1">
        <w:rPr>
          <w:spacing w:val="-4"/>
          <w:rtl/>
        </w:rPr>
        <w:t>و</w:t>
      </w:r>
      <w:r w:rsidRPr="00851DA1">
        <w:rPr>
          <w:spacing w:val="-4"/>
          <w:szCs w:val="18"/>
          <w:rtl/>
        </w:rPr>
        <w:t>44</w:t>
      </w:r>
      <w:proofErr w:type="spellEnd"/>
      <w:r w:rsidRPr="00851DA1">
        <w:rPr>
          <w:spacing w:val="-4"/>
          <w:rtl/>
        </w:rPr>
        <w:t>؛ و</w:t>
      </w:r>
      <w:r w:rsidRPr="00851DA1">
        <w:rPr>
          <w:rFonts w:cs="Times New Roman"/>
          <w:spacing w:val="-4"/>
        </w:rPr>
        <w:t>CCPR/C/BHR/CO/</w:t>
      </w:r>
      <w:r w:rsidRPr="00851DA1">
        <w:rPr>
          <w:spacing w:val="-4"/>
          <w:szCs w:val="18"/>
        </w:rPr>
        <w:t>1</w:t>
      </w:r>
      <w:r w:rsidRPr="00851DA1">
        <w:rPr>
          <w:spacing w:val="-4"/>
          <w:rtl/>
        </w:rPr>
        <w:t xml:space="preserve">، الفقرة </w:t>
      </w:r>
      <w:r w:rsidRPr="00851DA1">
        <w:rPr>
          <w:spacing w:val="-4"/>
          <w:szCs w:val="18"/>
          <w:rtl/>
        </w:rPr>
        <w:t>36</w:t>
      </w:r>
      <w:r w:rsidRPr="00851DA1">
        <w:rPr>
          <w:spacing w:val="-4"/>
          <w:rtl/>
        </w:rPr>
        <w:t xml:space="preserve">. </w:t>
      </w:r>
      <w:r w:rsidR="00CE3EDF" w:rsidRPr="00851DA1">
        <w:rPr>
          <w:rFonts w:hint="cs"/>
          <w:spacing w:val="-4"/>
          <w:rtl/>
        </w:rPr>
        <w:t xml:space="preserve">انظر أيضاً </w:t>
      </w:r>
      <w:r w:rsidRPr="00851DA1">
        <w:rPr>
          <w:i/>
          <w:iCs/>
          <w:spacing w:val="-4"/>
          <w:rtl/>
        </w:rPr>
        <w:t>بروتوكول مينيسوتا بشأن التحقيق في حالات الوفاة التي يُحتمل أن تكون غير مشروعة</w:t>
      </w:r>
      <w:r w:rsidRPr="00851DA1">
        <w:rPr>
          <w:spacing w:val="-4"/>
          <w:rtl/>
        </w:rPr>
        <w:t xml:space="preserve"> (منشورات الأمم المتحدة، رقم المبيع</w:t>
      </w:r>
      <w:r w:rsidRPr="00851DA1">
        <w:rPr>
          <w:rFonts w:cs="Times New Roman"/>
          <w:spacing w:val="-4"/>
          <w:rtl/>
        </w:rPr>
        <w:t xml:space="preserve"> </w:t>
      </w:r>
      <w:r w:rsidRPr="00851DA1">
        <w:rPr>
          <w:rFonts w:cs="Times New Roman"/>
          <w:spacing w:val="-4"/>
        </w:rPr>
        <w:t>E.</w:t>
      </w:r>
      <w:r w:rsidRPr="00851DA1">
        <w:rPr>
          <w:rFonts w:cs="Times New Roman"/>
          <w:spacing w:val="-4"/>
          <w:szCs w:val="18"/>
        </w:rPr>
        <w:t>17</w:t>
      </w:r>
      <w:r w:rsidRPr="00851DA1">
        <w:rPr>
          <w:rFonts w:cs="Times New Roman"/>
          <w:spacing w:val="-4"/>
        </w:rPr>
        <w:t>.XIV.</w:t>
      </w:r>
      <w:r w:rsidRPr="00851DA1">
        <w:rPr>
          <w:spacing w:val="-4"/>
          <w:szCs w:val="18"/>
        </w:rPr>
        <w:t>3</w:t>
      </w:r>
      <w:r w:rsidRPr="00851DA1">
        <w:rPr>
          <w:spacing w:val="-4"/>
          <w:rtl/>
        </w:rPr>
        <w:t>).</w:t>
      </w:r>
    </w:p>
  </w:footnote>
  <w:footnote w:id="135">
    <w:p w14:paraId="754BABD6" w14:textId="4778D4F1"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قرار الجمعية العامة </w:t>
      </w:r>
      <w:r w:rsidRPr="00851DA1">
        <w:rPr>
          <w:szCs w:val="18"/>
        </w:rPr>
        <w:t>147</w:t>
      </w:r>
      <w:r w:rsidRPr="00851DA1">
        <w:t>/</w:t>
      </w:r>
      <w:r w:rsidRPr="00851DA1">
        <w:rPr>
          <w:szCs w:val="18"/>
        </w:rPr>
        <w:t>60</w:t>
      </w:r>
      <w:r w:rsidRPr="00851DA1">
        <w:rPr>
          <w:rtl/>
        </w:rPr>
        <w:t>، المرفق.</w:t>
      </w:r>
    </w:p>
  </w:footnote>
  <w:footnote w:id="136">
    <w:p w14:paraId="730C33B7" w14:textId="40704BCD"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i/>
          <w:iCs/>
          <w:rtl/>
        </w:rPr>
        <w:t>التوجيهات المتعلقة بحقوق الإنسان الصادرة عن الأمم المتحدة بشأن استخدام الأسلحة الأقل فتكاً في سياق إنفاذ القانون</w:t>
      </w:r>
      <w:r w:rsidRPr="00851DA1">
        <w:rPr>
          <w:rtl/>
        </w:rPr>
        <w:t xml:space="preserve">، الفقرات من </w:t>
      </w:r>
      <w:r w:rsidRPr="00851DA1">
        <w:rPr>
          <w:szCs w:val="18"/>
          <w:rtl/>
        </w:rPr>
        <w:t>3</w:t>
      </w:r>
      <w:r w:rsidRPr="00851DA1">
        <w:rPr>
          <w:rtl/>
        </w:rPr>
        <w:t>-</w:t>
      </w:r>
      <w:r w:rsidRPr="00851DA1">
        <w:rPr>
          <w:szCs w:val="18"/>
          <w:rtl/>
        </w:rPr>
        <w:t>3</w:t>
      </w:r>
      <w:r w:rsidRPr="00851DA1">
        <w:rPr>
          <w:rtl/>
        </w:rPr>
        <w:t xml:space="preserve"> إلى </w:t>
      </w:r>
      <w:r w:rsidRPr="00851DA1">
        <w:rPr>
          <w:szCs w:val="18"/>
          <w:rtl/>
        </w:rPr>
        <w:t>3</w:t>
      </w:r>
      <w:r w:rsidRPr="00851DA1">
        <w:rPr>
          <w:rtl/>
        </w:rPr>
        <w:t>-</w:t>
      </w:r>
      <w:r w:rsidRPr="00851DA1">
        <w:rPr>
          <w:szCs w:val="18"/>
          <w:rtl/>
        </w:rPr>
        <w:t>5</w:t>
      </w:r>
      <w:r w:rsidRPr="00851DA1">
        <w:rPr>
          <w:rtl/>
        </w:rPr>
        <w:t>.</w:t>
      </w:r>
    </w:p>
  </w:footnote>
  <w:footnote w:id="137">
    <w:p w14:paraId="3628E0CD" w14:textId="646AFAFC"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36</w:t>
      </w:r>
      <w:r w:rsidRPr="00851DA1">
        <w:rPr>
          <w:rtl/>
        </w:rPr>
        <w:t xml:space="preserve">، الفقرة </w:t>
      </w:r>
      <w:r w:rsidRPr="00851DA1">
        <w:rPr>
          <w:szCs w:val="18"/>
          <w:rtl/>
        </w:rPr>
        <w:t>15</w:t>
      </w:r>
      <w:r w:rsidRPr="00851DA1">
        <w:rPr>
          <w:rtl/>
        </w:rPr>
        <w:t>.</w:t>
      </w:r>
    </w:p>
  </w:footnote>
  <w:footnote w:id="138">
    <w:p w14:paraId="5944F2E9" w14:textId="766F36D6"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i/>
          <w:iCs/>
          <w:rtl/>
        </w:rPr>
        <w:t>مدونة السلوك الدولية للشركات الأمنية الخاصة</w:t>
      </w:r>
      <w:r w:rsidRPr="00851DA1">
        <w:rPr>
          <w:rtl/>
        </w:rPr>
        <w:t xml:space="preserve"> (</w:t>
      </w:r>
      <w:r w:rsidRPr="00851DA1">
        <w:rPr>
          <w:szCs w:val="18"/>
          <w:rtl/>
        </w:rPr>
        <w:t>2010</w:t>
      </w:r>
      <w:r w:rsidRPr="00851DA1">
        <w:rPr>
          <w:rtl/>
        </w:rPr>
        <w:t>).</w:t>
      </w:r>
    </w:p>
  </w:footnote>
  <w:footnote w:id="139">
    <w:p w14:paraId="4527B7B3" w14:textId="0A998772"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i/>
          <w:iCs/>
          <w:rtl/>
        </w:rPr>
        <w:t>التوجيهات المتعلقة بحقوق الإنسان الصادرة عن الأمم المتحدة بشأن استخدام الأسلحة الأقل فتكاً في سياق إنفاذ القانون</w:t>
      </w:r>
      <w:r w:rsidRPr="00851DA1">
        <w:rPr>
          <w:rtl/>
        </w:rPr>
        <w:t xml:space="preserve">، الفقرة </w:t>
      </w:r>
      <w:r w:rsidRPr="00851DA1">
        <w:rPr>
          <w:szCs w:val="18"/>
          <w:rtl/>
        </w:rPr>
        <w:t>3</w:t>
      </w:r>
      <w:r w:rsidRPr="00851DA1">
        <w:rPr>
          <w:rtl/>
        </w:rPr>
        <w:t>-</w:t>
      </w:r>
      <w:r w:rsidRPr="00851DA1">
        <w:rPr>
          <w:szCs w:val="18"/>
          <w:rtl/>
        </w:rPr>
        <w:t>2</w:t>
      </w:r>
      <w:r w:rsidRPr="00851DA1">
        <w:rPr>
          <w:rtl/>
        </w:rPr>
        <w:t>.</w:t>
      </w:r>
    </w:p>
  </w:footnote>
  <w:footnote w:id="140">
    <w:p w14:paraId="1FBF2CD0" w14:textId="436294F6"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CCPR/C/CHN-HKG/CO/</w:t>
      </w:r>
      <w:r w:rsidRPr="00851DA1">
        <w:rPr>
          <w:szCs w:val="18"/>
        </w:rPr>
        <w:t>3</w:t>
      </w:r>
      <w:r w:rsidRPr="00851DA1">
        <w:rPr>
          <w:rtl/>
        </w:rPr>
        <w:t xml:space="preserve">، الفقرة </w:t>
      </w:r>
      <w:r w:rsidRPr="00851DA1">
        <w:rPr>
          <w:szCs w:val="18"/>
          <w:rtl/>
        </w:rPr>
        <w:t>10</w:t>
      </w:r>
      <w:r w:rsidRPr="00851DA1">
        <w:rPr>
          <w:rtl/>
        </w:rPr>
        <w:t>؛ و</w:t>
      </w:r>
      <w:r w:rsidRPr="00851DA1">
        <w:t>CCPR/C/CHN-MAC/CO/</w:t>
      </w:r>
      <w:r w:rsidRPr="00851DA1">
        <w:rPr>
          <w:szCs w:val="18"/>
        </w:rPr>
        <w:t>1</w:t>
      </w:r>
      <w:r w:rsidRPr="00851DA1">
        <w:rPr>
          <w:rtl/>
        </w:rPr>
        <w:t xml:space="preserve">، الفقرة </w:t>
      </w:r>
      <w:r w:rsidRPr="00851DA1">
        <w:rPr>
          <w:szCs w:val="18"/>
          <w:rtl/>
        </w:rPr>
        <w:t>16</w:t>
      </w:r>
      <w:r w:rsidRPr="00851DA1">
        <w:rPr>
          <w:rtl/>
        </w:rPr>
        <w:t>.</w:t>
      </w:r>
    </w:p>
  </w:footnote>
  <w:footnote w:id="141">
    <w:p w14:paraId="0426F8CA" w14:textId="760A33AD"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r w:rsidRPr="00851DA1">
        <w:rPr>
          <w:rFonts w:cs="Times New Roman"/>
        </w:rPr>
        <w:t>A/HRC/</w:t>
      </w:r>
      <w:r w:rsidRPr="00851DA1">
        <w:rPr>
          <w:rFonts w:cs="Times New Roman"/>
          <w:szCs w:val="18"/>
        </w:rPr>
        <w:t>31</w:t>
      </w:r>
      <w:r w:rsidRPr="00851DA1">
        <w:rPr>
          <w:rFonts w:cs="Times New Roman"/>
        </w:rPr>
        <w:t>/</w:t>
      </w:r>
      <w:r w:rsidRPr="00851DA1">
        <w:rPr>
          <w:rFonts w:cs="Times New Roman"/>
          <w:szCs w:val="18"/>
        </w:rPr>
        <w:t>66</w:t>
      </w:r>
      <w:r w:rsidRPr="00851DA1">
        <w:rPr>
          <w:rtl/>
        </w:rPr>
        <w:t xml:space="preserve">، الفقرة </w:t>
      </w:r>
      <w:r w:rsidRPr="00851DA1">
        <w:rPr>
          <w:szCs w:val="18"/>
          <w:rtl/>
        </w:rPr>
        <w:t>71</w:t>
      </w:r>
      <w:r w:rsidRPr="00851DA1">
        <w:rPr>
          <w:rtl/>
        </w:rPr>
        <w:t>.</w:t>
      </w:r>
    </w:p>
  </w:footnote>
  <w:footnote w:id="142">
    <w:p w14:paraId="66230CF6" w14:textId="4891C5FD"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المرجع نفسه، الفقرة </w:t>
      </w:r>
      <w:r w:rsidRPr="00851DA1">
        <w:rPr>
          <w:szCs w:val="18"/>
          <w:rtl/>
        </w:rPr>
        <w:t>67</w:t>
      </w:r>
      <w:r w:rsidRPr="00851DA1">
        <w:rPr>
          <w:rtl/>
        </w:rPr>
        <w:t>(و).</w:t>
      </w:r>
    </w:p>
  </w:footnote>
  <w:footnote w:id="143">
    <w:p w14:paraId="69B52051" w14:textId="3C723617"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29</w:t>
      </w:r>
      <w:r w:rsidRPr="00851DA1">
        <w:rPr>
          <w:rtl/>
        </w:rPr>
        <w:t>(</w:t>
      </w:r>
      <w:r w:rsidRPr="00851DA1">
        <w:rPr>
          <w:szCs w:val="18"/>
          <w:rtl/>
        </w:rPr>
        <w:t>2001</w:t>
      </w:r>
      <w:r w:rsidRPr="00851DA1">
        <w:rPr>
          <w:rtl/>
        </w:rPr>
        <w:t xml:space="preserve">) بشأن عدم التقيد بأحكام العهد أثناء حالات الطوارئ، الفقرة </w:t>
      </w:r>
      <w:r w:rsidRPr="00851DA1">
        <w:rPr>
          <w:szCs w:val="18"/>
          <w:rtl/>
        </w:rPr>
        <w:t>5</w:t>
      </w:r>
      <w:r w:rsidRPr="00851DA1">
        <w:rPr>
          <w:rtl/>
        </w:rPr>
        <w:t>. انظر أيضاً،</w:t>
      </w:r>
      <w:r w:rsidRPr="00851DA1">
        <w:rPr>
          <w:rFonts w:cs="Times New Roman"/>
          <w:rtl/>
        </w:rPr>
        <w:t xml:space="preserve"> </w:t>
      </w:r>
      <w:r w:rsidRPr="00851DA1">
        <w:rPr>
          <w:rFonts w:cs="Times New Roman"/>
        </w:rPr>
        <w:t>CCPR/C/</w:t>
      </w:r>
      <w:r w:rsidRPr="00851DA1">
        <w:rPr>
          <w:rFonts w:cs="Times New Roman"/>
          <w:szCs w:val="18"/>
        </w:rPr>
        <w:t>128</w:t>
      </w:r>
      <w:r w:rsidRPr="00851DA1">
        <w:rPr>
          <w:rFonts w:cs="Times New Roman"/>
        </w:rPr>
        <w:t>/</w:t>
      </w:r>
      <w:r w:rsidRPr="00851DA1">
        <w:rPr>
          <w:szCs w:val="18"/>
        </w:rPr>
        <w:t>2</w:t>
      </w:r>
      <w:r w:rsidRPr="00851DA1">
        <w:rPr>
          <w:rtl/>
        </w:rPr>
        <w:t xml:space="preserve">، الفقرة </w:t>
      </w:r>
      <w:r w:rsidRPr="00851DA1">
        <w:rPr>
          <w:szCs w:val="18"/>
          <w:rtl/>
        </w:rPr>
        <w:t>2</w:t>
      </w:r>
      <w:r w:rsidRPr="00851DA1">
        <w:rPr>
          <w:rtl/>
        </w:rPr>
        <w:t>(ج).</w:t>
      </w:r>
    </w:p>
  </w:footnote>
  <w:footnote w:id="144">
    <w:p w14:paraId="64A5B34B" w14:textId="6B626263"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29</w:t>
      </w:r>
      <w:r w:rsidRPr="00851DA1">
        <w:rPr>
          <w:rtl/>
        </w:rPr>
        <w:t xml:space="preserve">، الفقرات من </w:t>
      </w:r>
      <w:r w:rsidRPr="00851DA1">
        <w:rPr>
          <w:szCs w:val="18"/>
          <w:rtl/>
        </w:rPr>
        <w:t>5</w:t>
      </w:r>
      <w:r w:rsidRPr="00851DA1">
        <w:rPr>
          <w:rtl/>
        </w:rPr>
        <w:t xml:space="preserve"> إلى </w:t>
      </w:r>
      <w:r w:rsidRPr="00851DA1">
        <w:rPr>
          <w:szCs w:val="18"/>
          <w:rtl/>
        </w:rPr>
        <w:t>9</w:t>
      </w:r>
      <w:r w:rsidRPr="00851DA1">
        <w:rPr>
          <w:rtl/>
        </w:rPr>
        <w:t>.</w:t>
      </w:r>
    </w:p>
  </w:footnote>
  <w:footnote w:id="145">
    <w:p w14:paraId="43DC255A" w14:textId="250BC4B3"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36</w:t>
      </w:r>
      <w:r w:rsidRPr="00851DA1">
        <w:rPr>
          <w:rtl/>
        </w:rPr>
        <w:t xml:space="preserve">، الفقرة </w:t>
      </w:r>
      <w:r w:rsidRPr="00851DA1">
        <w:rPr>
          <w:szCs w:val="18"/>
          <w:rtl/>
        </w:rPr>
        <w:t>64</w:t>
      </w:r>
      <w:r w:rsidRPr="00851DA1">
        <w:rPr>
          <w:rtl/>
        </w:rPr>
        <w:t>.</w:t>
      </w:r>
    </w:p>
  </w:footnote>
  <w:footnote w:id="146">
    <w:p w14:paraId="6F91D71E" w14:textId="713FE264" w:rsidR="0020465C" w:rsidRPr="00851DA1" w:rsidRDefault="0020465C" w:rsidP="00453ECF">
      <w:pPr>
        <w:pStyle w:val="FootnoteText1"/>
        <w:spacing w:line="280" w:lineRule="exact"/>
        <w:rPr>
          <w:spacing w:val="-4"/>
          <w:lang w:eastAsia="zh-TW" w:bidi="en-GB"/>
        </w:rPr>
      </w:pPr>
      <w:r w:rsidRPr="00851DA1">
        <w:rPr>
          <w:rStyle w:val="FootnoteReference"/>
          <w:spacing w:val="-4"/>
          <w:szCs w:val="26"/>
          <w:vertAlign w:val="baseline"/>
          <w:rtl/>
        </w:rPr>
        <w:t>(</w:t>
      </w:r>
      <w:r w:rsidRPr="00851DA1">
        <w:rPr>
          <w:rStyle w:val="FootnoteReference"/>
          <w:rFonts w:cs="Times New Roman"/>
          <w:b w:val="0"/>
          <w:spacing w:val="-4"/>
          <w:szCs w:val="26"/>
          <w:vertAlign w:val="baseline"/>
        </w:rPr>
        <w:footnoteRef/>
      </w:r>
      <w:r w:rsidRPr="00851DA1">
        <w:rPr>
          <w:rStyle w:val="FootnoteReference"/>
          <w:spacing w:val="-4"/>
          <w:szCs w:val="26"/>
          <w:vertAlign w:val="baseline"/>
          <w:rtl/>
        </w:rPr>
        <w:t>)</w:t>
      </w:r>
      <w:r w:rsidRPr="00851DA1">
        <w:rPr>
          <w:spacing w:val="-4"/>
          <w:rtl/>
        </w:rPr>
        <w:tab/>
      </w:r>
      <w:r w:rsidRPr="00851DA1">
        <w:rPr>
          <w:rFonts w:cs="Times New Roman"/>
          <w:spacing w:val="-4"/>
        </w:rPr>
        <w:t>CCPR/C/ISR/</w:t>
      </w:r>
      <w:r w:rsidRPr="00851DA1">
        <w:rPr>
          <w:rFonts w:cs="Times New Roman"/>
          <w:spacing w:val="2"/>
        </w:rPr>
        <w:t>CO/</w:t>
      </w:r>
      <w:r w:rsidRPr="00851DA1">
        <w:rPr>
          <w:spacing w:val="2"/>
          <w:szCs w:val="18"/>
        </w:rPr>
        <w:t>3</w:t>
      </w:r>
      <w:r w:rsidRPr="00851DA1">
        <w:rPr>
          <w:spacing w:val="2"/>
          <w:rtl/>
        </w:rPr>
        <w:t xml:space="preserve">، الفقرة </w:t>
      </w:r>
      <w:r w:rsidRPr="00851DA1">
        <w:rPr>
          <w:spacing w:val="2"/>
          <w:szCs w:val="18"/>
          <w:rtl/>
        </w:rPr>
        <w:t>9</w:t>
      </w:r>
      <w:r w:rsidRPr="00851DA1">
        <w:rPr>
          <w:spacing w:val="2"/>
          <w:rtl/>
        </w:rPr>
        <w:t>؛ و</w:t>
      </w:r>
      <w:r w:rsidRPr="00851DA1">
        <w:rPr>
          <w:spacing w:val="2"/>
        </w:rPr>
        <w:t>CCPR/C/UZB/CO/</w:t>
      </w:r>
      <w:r w:rsidRPr="00851DA1">
        <w:rPr>
          <w:spacing w:val="2"/>
          <w:szCs w:val="18"/>
        </w:rPr>
        <w:t>3</w:t>
      </w:r>
      <w:r w:rsidRPr="00851DA1">
        <w:rPr>
          <w:spacing w:val="2"/>
          <w:rtl/>
        </w:rPr>
        <w:t xml:space="preserve">، الفقرة </w:t>
      </w:r>
      <w:r w:rsidRPr="00851DA1">
        <w:rPr>
          <w:spacing w:val="2"/>
          <w:szCs w:val="18"/>
          <w:rtl/>
        </w:rPr>
        <w:t>8</w:t>
      </w:r>
      <w:r w:rsidRPr="00851DA1">
        <w:rPr>
          <w:spacing w:val="2"/>
          <w:rtl/>
        </w:rPr>
        <w:t xml:space="preserve">؛ </w:t>
      </w:r>
      <w:proofErr w:type="spellStart"/>
      <w:r w:rsidRPr="00851DA1">
        <w:rPr>
          <w:i/>
          <w:iCs/>
          <w:spacing w:val="2"/>
          <w:rtl/>
        </w:rPr>
        <w:t>وأولميدو</w:t>
      </w:r>
      <w:proofErr w:type="spellEnd"/>
      <w:r w:rsidRPr="00851DA1">
        <w:rPr>
          <w:i/>
          <w:iCs/>
          <w:spacing w:val="2"/>
          <w:rtl/>
        </w:rPr>
        <w:t xml:space="preserve"> ضد باراغواي</w:t>
      </w:r>
      <w:r w:rsidRPr="00851DA1">
        <w:rPr>
          <w:spacing w:val="-4"/>
          <w:rtl/>
        </w:rPr>
        <w:t xml:space="preserve"> (</w:t>
      </w:r>
      <w:r w:rsidRPr="00851DA1">
        <w:rPr>
          <w:rFonts w:cs="Times New Roman"/>
          <w:spacing w:val="-4"/>
        </w:rPr>
        <w:t>CCPR/C/</w:t>
      </w:r>
      <w:r w:rsidRPr="00851DA1">
        <w:rPr>
          <w:rFonts w:cs="Times New Roman"/>
          <w:spacing w:val="-4"/>
          <w:szCs w:val="18"/>
        </w:rPr>
        <w:t>104</w:t>
      </w:r>
      <w:r w:rsidRPr="00851DA1">
        <w:rPr>
          <w:rFonts w:cs="Times New Roman"/>
          <w:spacing w:val="-4"/>
        </w:rPr>
        <w:t>/D/</w:t>
      </w:r>
      <w:r w:rsidRPr="00851DA1">
        <w:rPr>
          <w:rFonts w:cs="Times New Roman"/>
          <w:spacing w:val="-4"/>
          <w:szCs w:val="18"/>
        </w:rPr>
        <w:t>1828</w:t>
      </w:r>
      <w:r w:rsidRPr="00851DA1">
        <w:rPr>
          <w:rFonts w:cs="Times New Roman"/>
          <w:spacing w:val="-4"/>
        </w:rPr>
        <w:t>/</w:t>
      </w:r>
      <w:proofErr w:type="gramStart"/>
      <w:r w:rsidRPr="00851DA1">
        <w:rPr>
          <w:rFonts w:cs="Times New Roman"/>
          <w:spacing w:val="-4"/>
          <w:szCs w:val="18"/>
        </w:rPr>
        <w:t>200</w:t>
      </w:r>
      <w:r w:rsidRPr="00851DA1">
        <w:rPr>
          <w:spacing w:val="-4"/>
          <w:szCs w:val="18"/>
        </w:rPr>
        <w:t>8</w:t>
      </w:r>
      <w:r w:rsidRPr="00851DA1">
        <w:rPr>
          <w:spacing w:val="-4"/>
          <w:rtl/>
        </w:rPr>
        <w:t>)،</w:t>
      </w:r>
      <w:proofErr w:type="gramEnd"/>
      <w:r w:rsidRPr="00851DA1">
        <w:rPr>
          <w:spacing w:val="-4"/>
          <w:rtl/>
        </w:rPr>
        <w:t xml:space="preserve"> الفقرة </w:t>
      </w:r>
      <w:r w:rsidRPr="00851DA1">
        <w:rPr>
          <w:spacing w:val="-4"/>
          <w:szCs w:val="18"/>
          <w:rtl/>
        </w:rPr>
        <w:t>7</w:t>
      </w:r>
      <w:r w:rsidRPr="00851DA1">
        <w:rPr>
          <w:spacing w:val="-4"/>
          <w:rtl/>
        </w:rPr>
        <w:t>-</w:t>
      </w:r>
      <w:r w:rsidRPr="00851DA1">
        <w:rPr>
          <w:spacing w:val="-4"/>
          <w:szCs w:val="18"/>
          <w:rtl/>
        </w:rPr>
        <w:t>5</w:t>
      </w:r>
      <w:r w:rsidRPr="00851DA1">
        <w:rPr>
          <w:spacing w:val="-4"/>
          <w:rtl/>
        </w:rPr>
        <w:t xml:space="preserve">؛ </w:t>
      </w:r>
      <w:proofErr w:type="spellStart"/>
      <w:r w:rsidRPr="00851DA1">
        <w:rPr>
          <w:i/>
          <w:iCs/>
          <w:spacing w:val="-4"/>
          <w:rtl/>
        </w:rPr>
        <w:t>وبينيتيث</w:t>
      </w:r>
      <w:proofErr w:type="spellEnd"/>
      <w:r w:rsidRPr="00851DA1">
        <w:rPr>
          <w:i/>
          <w:iCs/>
          <w:spacing w:val="-4"/>
          <w:rtl/>
        </w:rPr>
        <w:t xml:space="preserve"> </w:t>
      </w:r>
      <w:proofErr w:type="spellStart"/>
      <w:r w:rsidRPr="00851DA1">
        <w:rPr>
          <w:i/>
          <w:iCs/>
          <w:spacing w:val="-4"/>
          <w:rtl/>
        </w:rPr>
        <w:t>غامارّا</w:t>
      </w:r>
      <w:proofErr w:type="spellEnd"/>
      <w:r w:rsidRPr="00851DA1">
        <w:rPr>
          <w:i/>
          <w:iCs/>
          <w:spacing w:val="-4"/>
          <w:rtl/>
        </w:rPr>
        <w:t xml:space="preserve"> ضد باراغواي</w:t>
      </w:r>
      <w:r w:rsidRPr="00851DA1">
        <w:rPr>
          <w:spacing w:val="-4"/>
          <w:rtl/>
        </w:rPr>
        <w:t xml:space="preserve"> (</w:t>
      </w:r>
      <w:r w:rsidRPr="00851DA1">
        <w:rPr>
          <w:rFonts w:cs="Times New Roman"/>
          <w:spacing w:val="-4"/>
        </w:rPr>
        <w:t>CCPR/C/</w:t>
      </w:r>
      <w:r w:rsidRPr="00851DA1">
        <w:rPr>
          <w:rFonts w:cs="Times New Roman"/>
          <w:spacing w:val="-4"/>
          <w:szCs w:val="18"/>
        </w:rPr>
        <w:t>104</w:t>
      </w:r>
      <w:r w:rsidRPr="00851DA1">
        <w:rPr>
          <w:rFonts w:cs="Times New Roman"/>
          <w:spacing w:val="-4"/>
        </w:rPr>
        <w:t>/D/</w:t>
      </w:r>
      <w:r w:rsidRPr="00851DA1">
        <w:rPr>
          <w:rFonts w:cs="Times New Roman"/>
          <w:spacing w:val="-4"/>
          <w:szCs w:val="18"/>
        </w:rPr>
        <w:t>1829</w:t>
      </w:r>
      <w:r w:rsidRPr="00851DA1">
        <w:rPr>
          <w:rFonts w:cs="Times New Roman"/>
          <w:spacing w:val="-4"/>
        </w:rPr>
        <w:t>/</w:t>
      </w:r>
      <w:r w:rsidRPr="00851DA1">
        <w:rPr>
          <w:rFonts w:cs="Times New Roman"/>
          <w:spacing w:val="-4"/>
          <w:szCs w:val="18"/>
        </w:rPr>
        <w:t>200</w:t>
      </w:r>
      <w:r w:rsidRPr="00851DA1">
        <w:rPr>
          <w:spacing w:val="-4"/>
          <w:szCs w:val="18"/>
        </w:rPr>
        <w:t>8</w:t>
      </w:r>
      <w:r w:rsidRPr="00851DA1">
        <w:rPr>
          <w:spacing w:val="-4"/>
          <w:rtl/>
        </w:rPr>
        <w:t xml:space="preserve">)، الفقرة </w:t>
      </w:r>
      <w:r w:rsidRPr="00851DA1">
        <w:rPr>
          <w:spacing w:val="-4"/>
          <w:szCs w:val="18"/>
          <w:rtl/>
        </w:rPr>
        <w:t>7</w:t>
      </w:r>
      <w:r w:rsidRPr="00851DA1">
        <w:rPr>
          <w:spacing w:val="-4"/>
          <w:rtl/>
        </w:rPr>
        <w:t>-</w:t>
      </w:r>
      <w:r w:rsidRPr="00851DA1">
        <w:rPr>
          <w:spacing w:val="-4"/>
          <w:szCs w:val="18"/>
          <w:rtl/>
        </w:rPr>
        <w:t>4</w:t>
      </w:r>
      <w:r w:rsidRPr="00851DA1">
        <w:rPr>
          <w:spacing w:val="-4"/>
          <w:rtl/>
        </w:rPr>
        <w:t>.</w:t>
      </w:r>
    </w:p>
  </w:footnote>
  <w:footnote w:id="147">
    <w:p w14:paraId="48F6898B" w14:textId="4AAB5FB6"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نظام روما الأساسي للمحكمة الجنائية الدولية، المادة </w:t>
      </w:r>
      <w:r w:rsidRPr="00851DA1">
        <w:rPr>
          <w:szCs w:val="18"/>
          <w:rtl/>
        </w:rPr>
        <w:t>7</w:t>
      </w:r>
      <w:r w:rsidRPr="00851DA1">
        <w:rPr>
          <w:rtl/>
        </w:rPr>
        <w:t>.</w:t>
      </w:r>
    </w:p>
  </w:footnote>
  <w:footnote w:id="148">
    <w:p w14:paraId="350765D9" w14:textId="73268D26"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إفريسوف</w:t>
      </w:r>
      <w:proofErr w:type="spellEnd"/>
      <w:r w:rsidRPr="00851DA1">
        <w:rPr>
          <w:i/>
          <w:iCs/>
          <w:rtl/>
        </w:rPr>
        <w:t xml:space="preserve"> وآخرون ضد بيلاروس</w:t>
      </w:r>
      <w:r w:rsidRPr="00851DA1">
        <w:rPr>
          <w:rtl/>
        </w:rPr>
        <w:t xml:space="preserve">، الفقرتان </w:t>
      </w:r>
      <w:r w:rsidRPr="00851DA1">
        <w:rPr>
          <w:szCs w:val="18"/>
          <w:rtl/>
        </w:rPr>
        <w:t>3</w:t>
      </w:r>
      <w:r w:rsidRPr="00851DA1">
        <w:rPr>
          <w:rtl/>
        </w:rPr>
        <w:t>-</w:t>
      </w:r>
      <w:r w:rsidRPr="00851DA1">
        <w:rPr>
          <w:szCs w:val="18"/>
          <w:rtl/>
        </w:rPr>
        <w:t>3</w:t>
      </w:r>
      <w:r w:rsidRPr="00851DA1">
        <w:rPr>
          <w:rtl/>
        </w:rPr>
        <w:t xml:space="preserve"> </w:t>
      </w:r>
      <w:proofErr w:type="spellStart"/>
      <w:r w:rsidRPr="00851DA1">
        <w:rPr>
          <w:rtl/>
        </w:rPr>
        <w:t>و</w:t>
      </w:r>
      <w:r w:rsidRPr="00851DA1">
        <w:rPr>
          <w:szCs w:val="18"/>
          <w:rtl/>
        </w:rPr>
        <w:t>8</w:t>
      </w:r>
      <w:proofErr w:type="spellEnd"/>
      <w:r w:rsidRPr="00851DA1">
        <w:rPr>
          <w:rtl/>
        </w:rPr>
        <w:t>-</w:t>
      </w:r>
      <w:r w:rsidRPr="00851DA1">
        <w:rPr>
          <w:szCs w:val="18"/>
          <w:rtl/>
        </w:rPr>
        <w:t>9</w:t>
      </w:r>
      <w:r w:rsidRPr="00851DA1">
        <w:rPr>
          <w:rtl/>
        </w:rPr>
        <w:t>.</w:t>
      </w:r>
    </w:p>
  </w:footnote>
  <w:footnote w:id="149">
    <w:p w14:paraId="77DB1331" w14:textId="47D871F6" w:rsidR="0020465C" w:rsidRPr="00851DA1" w:rsidRDefault="0020465C" w:rsidP="00453ECF">
      <w:pPr>
        <w:pStyle w:val="FootnoteText1"/>
        <w:spacing w:line="280" w:lineRule="exact"/>
        <w:rPr>
          <w:lang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t xml:space="preserve">التعليق العام رقم </w:t>
      </w:r>
      <w:r w:rsidRPr="00851DA1">
        <w:rPr>
          <w:szCs w:val="18"/>
          <w:rtl/>
        </w:rPr>
        <w:t>22</w:t>
      </w:r>
      <w:r w:rsidRPr="00851DA1">
        <w:rPr>
          <w:rtl/>
        </w:rPr>
        <w:t xml:space="preserve">، الفقرة </w:t>
      </w:r>
      <w:r w:rsidRPr="00851DA1">
        <w:rPr>
          <w:szCs w:val="18"/>
          <w:rtl/>
        </w:rPr>
        <w:t>8</w:t>
      </w:r>
      <w:r w:rsidRPr="00851DA1">
        <w:rPr>
          <w:rtl/>
        </w:rPr>
        <w:t>.</w:t>
      </w:r>
    </w:p>
  </w:footnote>
  <w:footnote w:id="150">
    <w:p w14:paraId="2A7C2514" w14:textId="61109266" w:rsidR="0020465C" w:rsidRPr="00851DA1" w:rsidRDefault="0020465C" w:rsidP="00453ECF">
      <w:pPr>
        <w:pStyle w:val="FootnoteText1"/>
        <w:spacing w:line="280" w:lineRule="exact"/>
        <w:rPr>
          <w:lang w:val="ar-SA" w:eastAsia="zh-TW" w:bidi="en-GB"/>
        </w:rPr>
      </w:pPr>
      <w:r w:rsidRPr="00851DA1">
        <w:rPr>
          <w:rStyle w:val="FootnoteReference"/>
          <w:szCs w:val="26"/>
          <w:vertAlign w:val="baseline"/>
          <w:rtl/>
        </w:rPr>
        <w:t>(</w:t>
      </w:r>
      <w:r w:rsidRPr="00851DA1">
        <w:rPr>
          <w:rStyle w:val="FootnoteReference"/>
          <w:rFonts w:cs="Times New Roman"/>
          <w:b w:val="0"/>
          <w:szCs w:val="26"/>
          <w:vertAlign w:val="baseline"/>
        </w:rPr>
        <w:footnoteRef/>
      </w:r>
      <w:r w:rsidRPr="00851DA1">
        <w:rPr>
          <w:rStyle w:val="FootnoteReference"/>
          <w:szCs w:val="26"/>
          <w:vertAlign w:val="baseline"/>
          <w:rtl/>
        </w:rPr>
        <w:t>)</w:t>
      </w:r>
      <w:r w:rsidRPr="00851DA1">
        <w:rPr>
          <w:rtl/>
        </w:rPr>
        <w:tab/>
      </w:r>
      <w:proofErr w:type="spellStart"/>
      <w:r w:rsidRPr="00851DA1">
        <w:rPr>
          <w:i/>
          <w:iCs/>
          <w:rtl/>
        </w:rPr>
        <w:t>سودالينكو</w:t>
      </w:r>
      <w:proofErr w:type="spellEnd"/>
      <w:r w:rsidRPr="00851DA1">
        <w:rPr>
          <w:i/>
          <w:iCs/>
          <w:rtl/>
        </w:rPr>
        <w:t xml:space="preserve"> ضد بيلاروس</w:t>
      </w:r>
      <w:r w:rsidRPr="00851DA1">
        <w:rPr>
          <w:rtl/>
        </w:rPr>
        <w:t xml:space="preserve">، الفقرة </w:t>
      </w:r>
      <w:r w:rsidRPr="00851DA1">
        <w:rPr>
          <w:szCs w:val="18"/>
          <w:rtl/>
        </w:rPr>
        <w:t>8</w:t>
      </w:r>
      <w:r w:rsidRPr="00851DA1">
        <w:rPr>
          <w:rtl/>
        </w:rPr>
        <w:t>-</w:t>
      </w:r>
      <w:r w:rsidRPr="00851DA1">
        <w:rPr>
          <w:szCs w:val="18"/>
          <w:rtl/>
        </w:rPr>
        <w:t>6</w:t>
      </w:r>
      <w:r w:rsidRPr="00851DA1">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D798" w14:textId="77777777" w:rsidR="0020465C" w:rsidRPr="003D7631" w:rsidRDefault="0020465C" w:rsidP="003D7631">
    <w:pPr>
      <w:pStyle w:val="Header"/>
      <w:jc w:val="right"/>
    </w:pPr>
    <w:r w:rsidRPr="003D7631">
      <w:t>CCPR/C/GC/</w:t>
    </w:r>
    <w:r w:rsidRPr="00931AC2">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8587" w14:textId="77777777" w:rsidR="0020465C" w:rsidRPr="003D7631" w:rsidRDefault="0020465C" w:rsidP="003D7631">
    <w:pPr>
      <w:pStyle w:val="Header"/>
      <w:jc w:val="left"/>
    </w:pPr>
    <w:r w:rsidRPr="003D7631">
      <w:t>CCPR/C/GC/</w:t>
    </w:r>
    <w:r w:rsidRPr="00931AC2">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2D7822"/>
    <w:rsid w:val="000076D5"/>
    <w:rsid w:val="00043663"/>
    <w:rsid w:val="000437B8"/>
    <w:rsid w:val="000505CF"/>
    <w:rsid w:val="00057CFF"/>
    <w:rsid w:val="000947D1"/>
    <w:rsid w:val="000B128E"/>
    <w:rsid w:val="000D701C"/>
    <w:rsid w:val="000E2A71"/>
    <w:rsid w:val="00123C38"/>
    <w:rsid w:val="0014463E"/>
    <w:rsid w:val="00153B5D"/>
    <w:rsid w:val="00160263"/>
    <w:rsid w:val="00181F96"/>
    <w:rsid w:val="001A1371"/>
    <w:rsid w:val="001B346A"/>
    <w:rsid w:val="001E1CAD"/>
    <w:rsid w:val="001E290D"/>
    <w:rsid w:val="0020465C"/>
    <w:rsid w:val="00213ADC"/>
    <w:rsid w:val="002144FA"/>
    <w:rsid w:val="0023469A"/>
    <w:rsid w:val="00241965"/>
    <w:rsid w:val="00243C8A"/>
    <w:rsid w:val="00267A0E"/>
    <w:rsid w:val="00275BA1"/>
    <w:rsid w:val="00280DC9"/>
    <w:rsid w:val="002901D9"/>
    <w:rsid w:val="002976C2"/>
    <w:rsid w:val="002D7822"/>
    <w:rsid w:val="003260FF"/>
    <w:rsid w:val="00343D95"/>
    <w:rsid w:val="00363A18"/>
    <w:rsid w:val="00374341"/>
    <w:rsid w:val="00385035"/>
    <w:rsid w:val="00385885"/>
    <w:rsid w:val="003B703F"/>
    <w:rsid w:val="003D1062"/>
    <w:rsid w:val="003D7631"/>
    <w:rsid w:val="00420D7B"/>
    <w:rsid w:val="00450B21"/>
    <w:rsid w:val="00453B63"/>
    <w:rsid w:val="00453ECF"/>
    <w:rsid w:val="00455780"/>
    <w:rsid w:val="0049341B"/>
    <w:rsid w:val="004B0A1C"/>
    <w:rsid w:val="004D298E"/>
    <w:rsid w:val="00517BC9"/>
    <w:rsid w:val="0054472E"/>
    <w:rsid w:val="0055609A"/>
    <w:rsid w:val="005662A9"/>
    <w:rsid w:val="005827D4"/>
    <w:rsid w:val="0059622A"/>
    <w:rsid w:val="005B51C4"/>
    <w:rsid w:val="005C5878"/>
    <w:rsid w:val="005C7CEA"/>
    <w:rsid w:val="005D3C0B"/>
    <w:rsid w:val="005E5217"/>
    <w:rsid w:val="005F0FA4"/>
    <w:rsid w:val="005F30EE"/>
    <w:rsid w:val="0060473A"/>
    <w:rsid w:val="006274F1"/>
    <w:rsid w:val="00656392"/>
    <w:rsid w:val="0068781D"/>
    <w:rsid w:val="006959B0"/>
    <w:rsid w:val="00697C5F"/>
    <w:rsid w:val="006A4B73"/>
    <w:rsid w:val="006B3E27"/>
    <w:rsid w:val="006B6507"/>
    <w:rsid w:val="006C104C"/>
    <w:rsid w:val="006C4AAD"/>
    <w:rsid w:val="00733704"/>
    <w:rsid w:val="0078071A"/>
    <w:rsid w:val="00787E1E"/>
    <w:rsid w:val="00851DA1"/>
    <w:rsid w:val="00852A9A"/>
    <w:rsid w:val="008D7BF3"/>
    <w:rsid w:val="008F49E1"/>
    <w:rsid w:val="0090370F"/>
    <w:rsid w:val="00910346"/>
    <w:rsid w:val="0091159A"/>
    <w:rsid w:val="009269D2"/>
    <w:rsid w:val="00931AC2"/>
    <w:rsid w:val="00942135"/>
    <w:rsid w:val="00945FFB"/>
    <w:rsid w:val="009521B0"/>
    <w:rsid w:val="00982139"/>
    <w:rsid w:val="009867A8"/>
    <w:rsid w:val="009A7E9F"/>
    <w:rsid w:val="009E5018"/>
    <w:rsid w:val="00A03700"/>
    <w:rsid w:val="00A11D21"/>
    <w:rsid w:val="00A12B37"/>
    <w:rsid w:val="00A83A08"/>
    <w:rsid w:val="00AB6758"/>
    <w:rsid w:val="00B13763"/>
    <w:rsid w:val="00B477A4"/>
    <w:rsid w:val="00B54045"/>
    <w:rsid w:val="00B828C2"/>
    <w:rsid w:val="00C04E6F"/>
    <w:rsid w:val="00C438D7"/>
    <w:rsid w:val="00C81B50"/>
    <w:rsid w:val="00CB6622"/>
    <w:rsid w:val="00CC4DBD"/>
    <w:rsid w:val="00CD1801"/>
    <w:rsid w:val="00CE3EDF"/>
    <w:rsid w:val="00CF65C6"/>
    <w:rsid w:val="00D10EF1"/>
    <w:rsid w:val="00D42810"/>
    <w:rsid w:val="00D45C86"/>
    <w:rsid w:val="00D914A7"/>
    <w:rsid w:val="00DD13C3"/>
    <w:rsid w:val="00DD596E"/>
    <w:rsid w:val="00DD621E"/>
    <w:rsid w:val="00DE50B1"/>
    <w:rsid w:val="00DF0575"/>
    <w:rsid w:val="00E07768"/>
    <w:rsid w:val="00E12A0F"/>
    <w:rsid w:val="00E13836"/>
    <w:rsid w:val="00E70E04"/>
    <w:rsid w:val="00EC05A7"/>
    <w:rsid w:val="00EC4B6B"/>
    <w:rsid w:val="00ED7372"/>
    <w:rsid w:val="00ED7442"/>
    <w:rsid w:val="00ED7CF1"/>
    <w:rsid w:val="00EF1EE5"/>
    <w:rsid w:val="00EF5C43"/>
    <w:rsid w:val="00F763B4"/>
    <w:rsid w:val="00F84062"/>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AE07C5"/>
  <w15:docId w15:val="{466154BC-F2EF-4E96-940B-8EA442C3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link w:val="FootnoteText"/>
    <w:uiPriority w:val="99"/>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B828C2"/>
    <w:pPr>
      <w:keepNext/>
      <w:keepLines/>
      <w:tabs>
        <w:tab w:val="right" w:pos="851"/>
      </w:tabs>
      <w:suppressAutoHyphens/>
      <w:bidi w:val="0"/>
      <w:spacing w:before="360" w:after="240" w:line="300" w:lineRule="exact"/>
      <w:ind w:left="1134" w:right="1134" w:hanging="1134"/>
      <w:jc w:val="left"/>
    </w:pPr>
    <w:rPr>
      <w:rFonts w:eastAsia="DengXian" w:hAnsi="Calibri" w:hint="cs"/>
      <w:b/>
      <w:sz w:val="28"/>
      <w:lang w:val="en-GB"/>
    </w:rPr>
  </w:style>
  <w:style w:type="paragraph" w:customStyle="1" w:styleId="H1G">
    <w:name w:val="_ H_1_G"/>
    <w:basedOn w:val="Normal"/>
    <w:next w:val="Normal"/>
    <w:rsid w:val="00B828C2"/>
    <w:pPr>
      <w:keepNext/>
      <w:keepLines/>
      <w:tabs>
        <w:tab w:val="right" w:pos="851"/>
      </w:tabs>
      <w:suppressAutoHyphens/>
      <w:bidi w:val="0"/>
      <w:spacing w:before="360" w:after="240" w:line="270" w:lineRule="exact"/>
      <w:ind w:left="1134" w:right="1134" w:hanging="1134"/>
      <w:jc w:val="left"/>
    </w:pPr>
    <w:rPr>
      <w:rFonts w:eastAsia="DengXian" w:hAnsi="Calibri" w:hint="cs"/>
      <w:b/>
      <w:sz w:val="24"/>
      <w:lang w:val="en-GB"/>
    </w:rPr>
  </w:style>
  <w:style w:type="paragraph" w:customStyle="1" w:styleId="SingleTxtG">
    <w:name w:val="_ Single Txt_G"/>
    <w:basedOn w:val="Normal"/>
    <w:link w:val="SingleTxtGChar"/>
    <w:rsid w:val="00B828C2"/>
    <w:pPr>
      <w:suppressAutoHyphens/>
      <w:bidi w:val="0"/>
      <w:spacing w:after="120"/>
      <w:ind w:left="1134" w:right="1134"/>
      <w:jc w:val="both"/>
    </w:pPr>
    <w:rPr>
      <w:rFonts w:eastAsia="SimSun" w:hAnsi="Calibri"/>
      <w:lang w:val="en-GB" w:eastAsia="zh-CN"/>
    </w:rPr>
  </w:style>
  <w:style w:type="character" w:customStyle="1" w:styleId="SingleTxtGChar">
    <w:name w:val="_ Single Txt_G Char"/>
    <w:link w:val="SingleTxtG"/>
    <w:rsid w:val="00B828C2"/>
    <w:rPr>
      <w:rFonts w:ascii="Times New Roman" w:eastAsia="SimSun" w:cs="Traditional Arabic"/>
      <w:szCs w:val="30"/>
      <w:lang w:val="en-GB" w:eastAsia="zh-CN"/>
    </w:rPr>
  </w:style>
  <w:style w:type="paragraph" w:styleId="CommentText">
    <w:name w:val="annotation text"/>
    <w:basedOn w:val="Normal"/>
    <w:link w:val="CommentTextChar"/>
    <w:uiPriority w:val="99"/>
    <w:semiHidden/>
    <w:unhideWhenUsed/>
    <w:rsid w:val="00B828C2"/>
    <w:pPr>
      <w:suppressAutoHyphens/>
      <w:bidi w:val="0"/>
      <w:spacing w:line="240" w:lineRule="auto"/>
      <w:jc w:val="left"/>
    </w:pPr>
    <w:rPr>
      <w:rFonts w:eastAsia="DengXian" w:hAnsi="Calibri" w:hint="cs"/>
      <w:szCs w:val="20"/>
      <w:lang w:val="en-GB"/>
    </w:rPr>
  </w:style>
  <w:style w:type="character" w:customStyle="1" w:styleId="CommentTextChar">
    <w:name w:val="Comment Text Char"/>
    <w:basedOn w:val="DefaultParagraphFont"/>
    <w:link w:val="CommentText"/>
    <w:uiPriority w:val="99"/>
    <w:semiHidden/>
    <w:rsid w:val="00B828C2"/>
    <w:rPr>
      <w:rFonts w:ascii="Times New Roman" w:eastAsia="DengXian" w:cs="Traditional Arabic"/>
      <w:lang w:val="en-GB" w:eastAsia="en-US"/>
    </w:rPr>
  </w:style>
  <w:style w:type="character" w:styleId="CommentReference">
    <w:name w:val="annotation reference"/>
    <w:uiPriority w:val="99"/>
    <w:semiHidden/>
    <w:unhideWhenUsed/>
    <w:rsid w:val="00B828C2"/>
    <w:rPr>
      <w:sz w:val="16"/>
      <w:szCs w:val="16"/>
    </w:rPr>
  </w:style>
  <w:style w:type="paragraph" w:styleId="CommentSubject">
    <w:name w:val="annotation subject"/>
    <w:basedOn w:val="CommentText"/>
    <w:next w:val="CommentText"/>
    <w:link w:val="CommentSubjectChar"/>
    <w:uiPriority w:val="99"/>
    <w:semiHidden/>
    <w:unhideWhenUsed/>
    <w:rsid w:val="00B828C2"/>
    <w:rPr>
      <w:b/>
      <w:bCs/>
    </w:rPr>
  </w:style>
  <w:style w:type="character" w:customStyle="1" w:styleId="CommentSubjectChar">
    <w:name w:val="Comment Subject Char"/>
    <w:basedOn w:val="CommentTextChar"/>
    <w:link w:val="CommentSubject"/>
    <w:uiPriority w:val="99"/>
    <w:semiHidden/>
    <w:rsid w:val="00B828C2"/>
    <w:rPr>
      <w:rFonts w:ascii="Times New Roman" w:eastAsia="DengXian" w:cs="Traditional Arabic"/>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1429-19E4-4EA6-B219-863B5AB5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14</TotalTime>
  <Pages>22</Pages>
  <Words>8164</Words>
  <Characters>39678</Characters>
  <Application>Microsoft Office Word</Application>
  <DocSecurity>0</DocSecurity>
  <Lines>592</Lines>
  <Paragraphs>142</Paragraphs>
  <ScaleCrop>false</ScaleCrop>
  <HeadingPairs>
    <vt:vector size="2" baseType="variant">
      <vt:variant>
        <vt:lpstr>Title</vt:lpstr>
      </vt:variant>
      <vt:variant>
        <vt:i4>1</vt:i4>
      </vt:variant>
    </vt:vector>
  </HeadingPairs>
  <TitlesOfParts>
    <vt:vector size="1" baseType="lpstr">
      <vt:lpstr>CCPR/C/GC/37</vt:lpstr>
    </vt:vector>
  </TitlesOfParts>
  <Company>DCM</Company>
  <LinksUpToDate>false</LinksUpToDate>
  <CharactersWithSpaces>47700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CCPR/C/GC/37</dc:title>
  <dc:subject>GE.2012048</dc:subject>
  <dc:creator>mbu, ase</dc:creator>
  <cp:keywords>ODS No.2023213</cp:keywords>
  <dc:description>Distribution:_x000d_
Original: English_x000d_
Date: 2020</dc:description>
  <cp:lastModifiedBy>Ibrahim Balan</cp:lastModifiedBy>
  <cp:revision>4</cp:revision>
  <dcterms:created xsi:type="dcterms:W3CDTF">2020-10-14T07:54:00Z</dcterms:created>
  <dcterms:modified xsi:type="dcterms:W3CDTF">2020-10-14T12:28:00Z</dcterms:modified>
  <cp:category>Finale</cp:category>
</cp:coreProperties>
</file>