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F66856" w:rsidP="00F66856">
            <w:pPr>
              <w:jc w:val="right"/>
            </w:pPr>
            <w:r w:rsidRPr="00F66856">
              <w:rPr>
                <w:sz w:val="40"/>
              </w:rPr>
              <w:t>CERD</w:t>
            </w:r>
            <w:r>
              <w:t>/C/KAZ/CO/6-7</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E54D1E">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F66856" w:rsidRDefault="00F66856" w:rsidP="00593658">
            <w:pPr>
              <w:spacing w:before="240"/>
            </w:pPr>
            <w:proofErr w:type="spellStart"/>
            <w:r>
              <w:t>Distr</w:t>
            </w:r>
            <w:proofErr w:type="spellEnd"/>
            <w:r>
              <w:t>. générale</w:t>
            </w:r>
          </w:p>
          <w:p w:rsidR="00F66856" w:rsidRDefault="00F66856" w:rsidP="00F66856">
            <w:pPr>
              <w:spacing w:line="240" w:lineRule="exact"/>
            </w:pPr>
            <w:r>
              <w:t xml:space="preserve">14 mars 2014 </w:t>
            </w:r>
          </w:p>
          <w:p w:rsidR="00F66856" w:rsidRDefault="00F66856" w:rsidP="00F66856">
            <w:pPr>
              <w:spacing w:line="240" w:lineRule="exact"/>
            </w:pPr>
            <w:r>
              <w:t>Français</w:t>
            </w:r>
          </w:p>
          <w:p w:rsidR="002E0D40" w:rsidRPr="00DB58B5" w:rsidRDefault="00F66856" w:rsidP="00F66856">
            <w:pPr>
              <w:spacing w:line="240" w:lineRule="exact"/>
            </w:pPr>
            <w:r>
              <w:t>Original: anglais</w:t>
            </w:r>
          </w:p>
        </w:tc>
      </w:tr>
    </w:tbl>
    <w:p w:rsidR="00FF1DBD" w:rsidRDefault="0078670C" w:rsidP="00F66856">
      <w:pPr>
        <w:spacing w:before="120"/>
        <w:rPr>
          <w:b/>
          <w:sz w:val="24"/>
          <w:szCs w:val="24"/>
        </w:rPr>
      </w:pPr>
      <w:r w:rsidRPr="00C56102">
        <w:rPr>
          <w:b/>
          <w:sz w:val="24"/>
          <w:szCs w:val="24"/>
        </w:rPr>
        <w:t>Comité pour l</w:t>
      </w:r>
      <w:r w:rsidR="00E54D1E">
        <w:rPr>
          <w:b/>
          <w:sz w:val="24"/>
          <w:szCs w:val="24"/>
        </w:rPr>
        <w:t>’</w:t>
      </w:r>
      <w:r w:rsidRPr="00C56102">
        <w:rPr>
          <w:b/>
          <w:sz w:val="24"/>
          <w:szCs w:val="24"/>
        </w:rPr>
        <w:t>éliminati</w:t>
      </w:r>
      <w:r w:rsidR="00F66856">
        <w:rPr>
          <w:b/>
          <w:sz w:val="24"/>
          <w:szCs w:val="24"/>
        </w:rPr>
        <w:t>on de la discrimination raciale</w:t>
      </w:r>
    </w:p>
    <w:p w:rsidR="00F66856" w:rsidRPr="00560470" w:rsidRDefault="00F66856" w:rsidP="00F66856">
      <w:pPr>
        <w:pStyle w:val="HChG"/>
      </w:pPr>
      <w:r>
        <w:tab/>
      </w:r>
      <w:r>
        <w:tab/>
      </w:r>
      <w:r w:rsidRPr="00560470">
        <w:t>Observations</w:t>
      </w:r>
      <w:r>
        <w:t xml:space="preserve"> finales concernant les sixième</w:t>
      </w:r>
      <w:r>
        <w:br/>
      </w:r>
      <w:r w:rsidRPr="00560470">
        <w:t>et septième rapp</w:t>
      </w:r>
      <w:r>
        <w:t>orts périodiques du Kazakhstan,</w:t>
      </w:r>
      <w:r>
        <w:br/>
      </w:r>
      <w:r w:rsidRPr="00560470">
        <w:t>soumis en un seul document</w:t>
      </w:r>
      <w:r w:rsidR="00E54D1E" w:rsidRPr="00E54D1E">
        <w:rPr>
          <w:rStyle w:val="FootnoteReference"/>
          <w:b w:val="0"/>
          <w:sz w:val="20"/>
          <w:vertAlign w:val="baseline"/>
        </w:rPr>
        <w:footnoteReference w:customMarkFollows="1" w:id="2"/>
        <w:t>*</w:t>
      </w:r>
    </w:p>
    <w:p w:rsidR="00F66856" w:rsidRDefault="00F66856" w:rsidP="00F66856">
      <w:pPr>
        <w:pStyle w:val="ParNoG"/>
      </w:pPr>
      <w:r>
        <w:t>Le Comité a examiné les sixième et septième</w:t>
      </w:r>
      <w:r w:rsidRPr="00723358">
        <w:t xml:space="preserve"> rapport</w:t>
      </w:r>
      <w:r>
        <w:t>s périodiques du Kazakhstan (CERD/C/KAZ/6-7</w:t>
      </w:r>
      <w:r w:rsidRPr="00723358">
        <w:t>), soumis en un seul document, à</w:t>
      </w:r>
      <w:r>
        <w:t xml:space="preserve"> ses 2279</w:t>
      </w:r>
      <w:r w:rsidRPr="00723358">
        <w:rPr>
          <w:vertAlign w:val="superscript"/>
        </w:rPr>
        <w:t>e</w:t>
      </w:r>
      <w:r w:rsidRPr="00723358">
        <w:t xml:space="preserve"> </w:t>
      </w:r>
      <w:r>
        <w:t>et 2280</w:t>
      </w:r>
      <w:r w:rsidRPr="00723358">
        <w:rPr>
          <w:vertAlign w:val="superscript"/>
        </w:rPr>
        <w:t>e</w:t>
      </w:r>
      <w:r w:rsidR="001715BE">
        <w:t> </w:t>
      </w:r>
      <w:r>
        <w:t>sé</w:t>
      </w:r>
      <w:r w:rsidR="001715BE">
        <w:t>ances (CERD/C/</w:t>
      </w:r>
      <w:r w:rsidR="004306DD">
        <w:t xml:space="preserve"> </w:t>
      </w:r>
      <w:r w:rsidR="001715BE">
        <w:t>SR/2279 et 2280)</w:t>
      </w:r>
      <w:r w:rsidR="00FF7C48">
        <w:t xml:space="preserve"> les 12 et </w:t>
      </w:r>
      <w:r w:rsidR="00BC53DD">
        <w:t>13 </w:t>
      </w:r>
      <w:r w:rsidR="00FF7C48">
        <w:t>février 2014</w:t>
      </w:r>
      <w:r>
        <w:t xml:space="preserve">. </w:t>
      </w:r>
      <w:r w:rsidR="00F10E89">
        <w:t>À sa 2291</w:t>
      </w:r>
      <w:r w:rsidR="00F10E89" w:rsidRPr="00723358">
        <w:rPr>
          <w:vertAlign w:val="superscript"/>
        </w:rPr>
        <w:t>e</w:t>
      </w:r>
      <w:r w:rsidR="00F10E89">
        <w:t> séance (</w:t>
      </w:r>
      <w:r w:rsidR="00F10E89" w:rsidRPr="00394051">
        <w:t>CERD/C/SR/</w:t>
      </w:r>
      <w:r w:rsidR="00F10E89">
        <w:t>2291), le</w:t>
      </w:r>
      <w:r w:rsidR="004306DD">
        <w:t> </w:t>
      </w:r>
      <w:r w:rsidR="00F10E89">
        <w:t>20</w:t>
      </w:r>
      <w:r w:rsidR="004306DD">
        <w:t> </w:t>
      </w:r>
      <w:r w:rsidR="00F10E89">
        <w:t xml:space="preserve">février 2014, </w:t>
      </w:r>
      <w:r w:rsidR="00F10E89" w:rsidRPr="00394051">
        <w:t xml:space="preserve">il a adopté les observations finales ci-après. </w:t>
      </w:r>
    </w:p>
    <w:p w:rsidR="00F66856" w:rsidRPr="006D1AAF" w:rsidRDefault="00F66856" w:rsidP="00E54D1E">
      <w:pPr>
        <w:pStyle w:val="HChG"/>
        <w:tabs>
          <w:tab w:val="clear" w:pos="851"/>
        </w:tabs>
      </w:pPr>
      <w:r>
        <w:tab/>
        <w:t>I.</w:t>
      </w:r>
      <w:r>
        <w:tab/>
      </w:r>
      <w:r w:rsidRPr="006D1AAF">
        <w:t>Introduction</w:t>
      </w:r>
    </w:p>
    <w:p w:rsidR="00F66856" w:rsidRDefault="00F66856" w:rsidP="00F66856">
      <w:pPr>
        <w:pStyle w:val="ParNoG"/>
        <w:rPr>
          <w:szCs w:val="24"/>
        </w:rPr>
      </w:pPr>
      <w:r>
        <w:rPr>
          <w:szCs w:val="24"/>
        </w:rPr>
        <w:t xml:space="preserve">Le Comité accueille avec satisfaction </w:t>
      </w:r>
      <w:r w:rsidR="00FF7C48">
        <w:rPr>
          <w:szCs w:val="24"/>
        </w:rPr>
        <w:t>les</w:t>
      </w:r>
      <w:r>
        <w:rPr>
          <w:szCs w:val="24"/>
        </w:rPr>
        <w:t xml:space="preserve"> sixième et septième rapports de l</w:t>
      </w:r>
      <w:r w:rsidR="00E54D1E">
        <w:rPr>
          <w:szCs w:val="24"/>
        </w:rPr>
        <w:t>’</w:t>
      </w:r>
      <w:r>
        <w:rPr>
          <w:szCs w:val="24"/>
        </w:rPr>
        <w:t>État p</w:t>
      </w:r>
      <w:r w:rsidR="001715BE">
        <w:rPr>
          <w:szCs w:val="24"/>
        </w:rPr>
        <w:t>artie</w:t>
      </w:r>
      <w:r>
        <w:rPr>
          <w:szCs w:val="24"/>
        </w:rPr>
        <w:t>,</w:t>
      </w:r>
      <w:r w:rsidR="001715BE">
        <w:rPr>
          <w:szCs w:val="24"/>
        </w:rPr>
        <w:t xml:space="preserve"> </w:t>
      </w:r>
      <w:r>
        <w:rPr>
          <w:szCs w:val="24"/>
        </w:rPr>
        <w:t xml:space="preserve">qui ont été </w:t>
      </w:r>
      <w:r w:rsidR="00FF7C48">
        <w:rPr>
          <w:szCs w:val="24"/>
        </w:rPr>
        <w:t>élaborés conformément à ses directives</w:t>
      </w:r>
      <w:r>
        <w:rPr>
          <w:szCs w:val="24"/>
        </w:rPr>
        <w:t xml:space="preserve"> pour l</w:t>
      </w:r>
      <w:r w:rsidR="00E54D1E">
        <w:rPr>
          <w:szCs w:val="24"/>
        </w:rPr>
        <w:t>’</w:t>
      </w:r>
      <w:r>
        <w:rPr>
          <w:szCs w:val="24"/>
        </w:rPr>
        <w:t>établissement de</w:t>
      </w:r>
      <w:r w:rsidR="00FF7C48">
        <w:rPr>
          <w:szCs w:val="24"/>
        </w:rPr>
        <w:t>s</w:t>
      </w:r>
      <w:r>
        <w:rPr>
          <w:szCs w:val="24"/>
        </w:rPr>
        <w:t xml:space="preserve"> rapports et qui </w:t>
      </w:r>
      <w:r w:rsidR="00FF7C48">
        <w:rPr>
          <w:szCs w:val="24"/>
        </w:rPr>
        <w:t>tiennent compte des</w:t>
      </w:r>
      <w:r w:rsidR="00F10E89">
        <w:rPr>
          <w:szCs w:val="24"/>
        </w:rPr>
        <w:t xml:space="preserve"> </w:t>
      </w:r>
      <w:r>
        <w:rPr>
          <w:szCs w:val="24"/>
        </w:rPr>
        <w:t xml:space="preserve">précédentes observations finales. Il salue également la régularité </w:t>
      </w:r>
      <w:r w:rsidR="00FF7C48">
        <w:rPr>
          <w:szCs w:val="24"/>
        </w:rPr>
        <w:t>avec laquelle</w:t>
      </w:r>
      <w:r>
        <w:rPr>
          <w:szCs w:val="24"/>
        </w:rPr>
        <w:t xml:space="preserve"> l</w:t>
      </w:r>
      <w:r w:rsidR="00E54D1E">
        <w:rPr>
          <w:szCs w:val="24"/>
        </w:rPr>
        <w:t>’</w:t>
      </w:r>
      <w:r>
        <w:rPr>
          <w:szCs w:val="24"/>
        </w:rPr>
        <w:t xml:space="preserve">État partie </w:t>
      </w:r>
      <w:r w:rsidR="00FF7C48">
        <w:rPr>
          <w:szCs w:val="24"/>
        </w:rPr>
        <w:t>soumet</w:t>
      </w:r>
      <w:r>
        <w:rPr>
          <w:szCs w:val="24"/>
        </w:rPr>
        <w:t xml:space="preserve"> ses rapports périodiques.</w:t>
      </w:r>
    </w:p>
    <w:p w:rsidR="00F66856" w:rsidRDefault="00F66856" w:rsidP="00F66856">
      <w:pPr>
        <w:pStyle w:val="ParNoG"/>
        <w:rPr>
          <w:szCs w:val="24"/>
        </w:rPr>
      </w:pPr>
      <w:r>
        <w:rPr>
          <w:szCs w:val="24"/>
        </w:rPr>
        <w:t>Le Comité se félicite de l</w:t>
      </w:r>
      <w:r w:rsidR="00E54D1E">
        <w:rPr>
          <w:szCs w:val="24"/>
        </w:rPr>
        <w:t>’</w:t>
      </w:r>
      <w:r>
        <w:rPr>
          <w:szCs w:val="24"/>
        </w:rPr>
        <w:t>exposé oral et des réponses de la délégation de haut niveau de l</w:t>
      </w:r>
      <w:r w:rsidR="00E54D1E">
        <w:rPr>
          <w:szCs w:val="24"/>
        </w:rPr>
        <w:t>’</w:t>
      </w:r>
      <w:r>
        <w:rPr>
          <w:szCs w:val="24"/>
        </w:rPr>
        <w:t>État partie à ses questions et observations</w:t>
      </w:r>
      <w:r w:rsidR="00FF7C48">
        <w:rPr>
          <w:szCs w:val="24"/>
        </w:rPr>
        <w:t>,</w:t>
      </w:r>
      <w:r>
        <w:rPr>
          <w:szCs w:val="24"/>
        </w:rPr>
        <w:t xml:space="preserve"> et </w:t>
      </w:r>
      <w:r w:rsidR="00FF7C48">
        <w:rPr>
          <w:szCs w:val="24"/>
        </w:rPr>
        <w:t xml:space="preserve">de </w:t>
      </w:r>
      <w:r>
        <w:rPr>
          <w:szCs w:val="24"/>
        </w:rPr>
        <w:t>l</w:t>
      </w:r>
      <w:r w:rsidR="00E54D1E">
        <w:rPr>
          <w:szCs w:val="24"/>
        </w:rPr>
        <w:t>’</w:t>
      </w:r>
      <w:r>
        <w:rPr>
          <w:szCs w:val="24"/>
        </w:rPr>
        <w:t xml:space="preserve">occasion ainsi offerte de </w:t>
      </w:r>
      <w:r w:rsidR="00FF7C48">
        <w:rPr>
          <w:szCs w:val="24"/>
        </w:rPr>
        <w:t xml:space="preserve">nouer </w:t>
      </w:r>
      <w:r>
        <w:rPr>
          <w:szCs w:val="24"/>
        </w:rPr>
        <w:t>un dialogue constructif et continu.</w:t>
      </w:r>
    </w:p>
    <w:p w:rsidR="00F66856" w:rsidRDefault="00A13BE9" w:rsidP="00F10E89">
      <w:pPr>
        <w:pStyle w:val="HChG"/>
      </w:pPr>
      <w:r>
        <w:tab/>
        <w:t>II.</w:t>
      </w:r>
      <w:r>
        <w:tab/>
      </w:r>
      <w:r w:rsidR="00F66856" w:rsidRPr="00E91F13">
        <w:t>Aspects positifs</w:t>
      </w:r>
    </w:p>
    <w:p w:rsidR="00F66856" w:rsidRDefault="00F66856" w:rsidP="00F66856">
      <w:pPr>
        <w:pStyle w:val="ParNoG"/>
        <w:rPr>
          <w:szCs w:val="24"/>
        </w:rPr>
      </w:pPr>
      <w:r w:rsidRPr="00E91F13">
        <w:rPr>
          <w:szCs w:val="24"/>
        </w:rPr>
        <w:t>Le Comité se félicite d</w:t>
      </w:r>
      <w:r>
        <w:rPr>
          <w:szCs w:val="24"/>
        </w:rPr>
        <w:t>e</w:t>
      </w:r>
      <w:r w:rsidRPr="00E91F13">
        <w:rPr>
          <w:szCs w:val="24"/>
        </w:rPr>
        <w:t>s mesures législatives et ins</w:t>
      </w:r>
      <w:r>
        <w:rPr>
          <w:szCs w:val="24"/>
        </w:rPr>
        <w:t>t</w:t>
      </w:r>
      <w:r w:rsidRPr="00E91F13">
        <w:rPr>
          <w:szCs w:val="24"/>
        </w:rPr>
        <w:t>itutionnelles</w:t>
      </w:r>
      <w:r>
        <w:rPr>
          <w:szCs w:val="24"/>
        </w:rPr>
        <w:t xml:space="preserve"> prises par l</w:t>
      </w:r>
      <w:r w:rsidR="00E54D1E">
        <w:rPr>
          <w:szCs w:val="24"/>
        </w:rPr>
        <w:t>’</w:t>
      </w:r>
      <w:r>
        <w:rPr>
          <w:szCs w:val="24"/>
        </w:rPr>
        <w:t>État partie en vue de l</w:t>
      </w:r>
      <w:r w:rsidR="00E54D1E">
        <w:rPr>
          <w:szCs w:val="24"/>
        </w:rPr>
        <w:t>’</w:t>
      </w:r>
      <w:r>
        <w:rPr>
          <w:szCs w:val="24"/>
        </w:rPr>
        <w:t>élimination de la discrimination raciale:</w:t>
      </w:r>
    </w:p>
    <w:p w:rsidR="00F66856" w:rsidRDefault="00F66856" w:rsidP="001715BE">
      <w:pPr>
        <w:pStyle w:val="SingleTxtG"/>
        <w:ind w:firstLine="567"/>
      </w:pPr>
      <w:r>
        <w:t>a)</w:t>
      </w:r>
      <w:r>
        <w:tab/>
        <w:t xml:space="preserve">Des </w:t>
      </w:r>
      <w:r w:rsidR="00FF7C48">
        <w:t xml:space="preserve">modifications apportées </w:t>
      </w:r>
      <w:r>
        <w:t>au Code pénal (art.</w:t>
      </w:r>
      <w:r w:rsidR="00F10E89">
        <w:t> </w:t>
      </w:r>
      <w:r>
        <w:t>141, par.</w:t>
      </w:r>
      <w:r w:rsidR="00F10E89">
        <w:t> </w:t>
      </w:r>
      <w:r>
        <w:t xml:space="preserve">1) en 2011 </w:t>
      </w:r>
      <w:r w:rsidR="00E54D1E">
        <w:t xml:space="preserve">afin de </w:t>
      </w:r>
      <w:r w:rsidR="00FF7C48">
        <w:t>sanctionner plus lourdement</w:t>
      </w:r>
      <w:r>
        <w:t xml:space="preserve"> </w:t>
      </w:r>
      <w:r w:rsidR="00FF7C48">
        <w:t xml:space="preserve">les </w:t>
      </w:r>
      <w:r>
        <w:t>violations de l</w:t>
      </w:r>
      <w:r w:rsidR="00E54D1E">
        <w:t>’</w:t>
      </w:r>
      <w:r>
        <w:t>égalité des droits des citoyens et l</w:t>
      </w:r>
      <w:r w:rsidR="00E54D1E">
        <w:t>’</w:t>
      </w:r>
      <w:r>
        <w:t>usage de la torture;</w:t>
      </w:r>
    </w:p>
    <w:p w:rsidR="00F66856" w:rsidRDefault="00F66856" w:rsidP="001715BE">
      <w:pPr>
        <w:pStyle w:val="SingleTxtG"/>
        <w:ind w:firstLine="567"/>
        <w:rPr>
          <w:szCs w:val="24"/>
        </w:rPr>
      </w:pPr>
      <w:r>
        <w:rPr>
          <w:szCs w:val="24"/>
        </w:rPr>
        <w:t>b)</w:t>
      </w:r>
      <w:r>
        <w:rPr>
          <w:szCs w:val="24"/>
        </w:rPr>
        <w:tab/>
        <w:t xml:space="preserve"> L</w:t>
      </w:r>
      <w:r w:rsidR="00E54D1E">
        <w:rPr>
          <w:szCs w:val="24"/>
        </w:rPr>
        <w:t>’</w:t>
      </w:r>
      <w:r>
        <w:rPr>
          <w:szCs w:val="24"/>
        </w:rPr>
        <w:t xml:space="preserve">adoption en 2011 de la </w:t>
      </w:r>
      <w:r w:rsidRPr="001715BE">
        <w:rPr>
          <w:szCs w:val="24"/>
        </w:rPr>
        <w:t>loi sur les migrations</w:t>
      </w:r>
      <w:r>
        <w:rPr>
          <w:szCs w:val="24"/>
        </w:rPr>
        <w:t xml:space="preserve">, qui </w:t>
      </w:r>
      <w:r w:rsidR="00FF7C48">
        <w:rPr>
          <w:szCs w:val="24"/>
        </w:rPr>
        <w:t xml:space="preserve">vise </w:t>
      </w:r>
      <w:r>
        <w:rPr>
          <w:szCs w:val="24"/>
        </w:rPr>
        <w:t>à fournir une aide sociale aux migrants et à réduire l</w:t>
      </w:r>
      <w:r w:rsidR="00E54D1E">
        <w:rPr>
          <w:szCs w:val="24"/>
        </w:rPr>
        <w:t>’</w:t>
      </w:r>
      <w:r>
        <w:rPr>
          <w:szCs w:val="24"/>
        </w:rPr>
        <w:t>immigration illégale;</w:t>
      </w:r>
    </w:p>
    <w:p w:rsidR="00F66856" w:rsidRDefault="00F66856" w:rsidP="001715BE">
      <w:pPr>
        <w:pStyle w:val="SingleTxtG"/>
        <w:ind w:firstLine="567"/>
        <w:rPr>
          <w:szCs w:val="24"/>
        </w:rPr>
      </w:pPr>
      <w:r>
        <w:rPr>
          <w:szCs w:val="24"/>
        </w:rPr>
        <w:t>c)</w:t>
      </w:r>
      <w:r>
        <w:rPr>
          <w:szCs w:val="24"/>
        </w:rPr>
        <w:tab/>
        <w:t>L</w:t>
      </w:r>
      <w:r w:rsidR="00E54D1E">
        <w:rPr>
          <w:szCs w:val="24"/>
        </w:rPr>
        <w:t>’</w:t>
      </w:r>
      <w:r>
        <w:rPr>
          <w:szCs w:val="24"/>
        </w:rPr>
        <w:t>adoption de la loi nationale sur les réfugiés en 2009</w:t>
      </w:r>
      <w:r w:rsidR="00E54D1E">
        <w:rPr>
          <w:szCs w:val="24"/>
        </w:rPr>
        <w:t xml:space="preserve"> et de la décision </w:t>
      </w:r>
      <w:r w:rsidR="00E54D1E" w:rsidRPr="00E54D1E">
        <w:rPr>
          <w:rFonts w:eastAsia="MS Mincho"/>
          <w:szCs w:val="24"/>
        </w:rPr>
        <w:t>n</w:t>
      </w:r>
      <w:r w:rsidR="00E54D1E" w:rsidRPr="00E54D1E">
        <w:rPr>
          <w:rFonts w:eastAsia="MS Mincho"/>
          <w:szCs w:val="24"/>
          <w:vertAlign w:val="superscript"/>
        </w:rPr>
        <w:t>o</w:t>
      </w:r>
      <w:r w:rsidR="00E54D1E">
        <w:rPr>
          <w:szCs w:val="24"/>
        </w:rPr>
        <w:t xml:space="preserve"> 183 du 9 mars 2010 concernant notamment les règles </w:t>
      </w:r>
      <w:r w:rsidR="00C46D0B">
        <w:rPr>
          <w:szCs w:val="24"/>
        </w:rPr>
        <w:t>d</w:t>
      </w:r>
      <w:r w:rsidR="00E54D1E">
        <w:rPr>
          <w:szCs w:val="24"/>
        </w:rPr>
        <w:t>’</w:t>
      </w:r>
      <w:r w:rsidR="00C46D0B">
        <w:rPr>
          <w:szCs w:val="24"/>
        </w:rPr>
        <w:t>octroi, de</w:t>
      </w:r>
      <w:r w:rsidR="00F10E89">
        <w:rPr>
          <w:szCs w:val="24"/>
        </w:rPr>
        <w:t xml:space="preserve"> </w:t>
      </w:r>
      <w:r>
        <w:rPr>
          <w:szCs w:val="24"/>
        </w:rPr>
        <w:t xml:space="preserve">retrait et </w:t>
      </w:r>
      <w:r w:rsidR="00C46D0B">
        <w:rPr>
          <w:szCs w:val="24"/>
        </w:rPr>
        <w:t xml:space="preserve">de </w:t>
      </w:r>
      <w:r>
        <w:rPr>
          <w:szCs w:val="24"/>
        </w:rPr>
        <w:t>suspension du statut de réfugié;</w:t>
      </w:r>
    </w:p>
    <w:p w:rsidR="00F66856" w:rsidRDefault="001715BE" w:rsidP="001715BE">
      <w:pPr>
        <w:pStyle w:val="SingleTxtG"/>
        <w:ind w:firstLine="567"/>
        <w:rPr>
          <w:szCs w:val="24"/>
        </w:rPr>
      </w:pPr>
      <w:r>
        <w:rPr>
          <w:szCs w:val="24"/>
        </w:rPr>
        <w:t>d)</w:t>
      </w:r>
      <w:r>
        <w:rPr>
          <w:szCs w:val="24"/>
        </w:rPr>
        <w:tab/>
      </w:r>
      <w:r w:rsidR="00F66856">
        <w:rPr>
          <w:szCs w:val="24"/>
        </w:rPr>
        <w:t>La mise en œuvre de</w:t>
      </w:r>
      <w:r w:rsidR="00F10E89">
        <w:rPr>
          <w:szCs w:val="24"/>
        </w:rPr>
        <w:t xml:space="preserve"> </w:t>
      </w:r>
      <w:r w:rsidR="00F66856">
        <w:rPr>
          <w:szCs w:val="24"/>
        </w:rPr>
        <w:t xml:space="preserve">politiques visant à préserver les langues minoritaires, notamment par la création </w:t>
      </w:r>
      <w:r w:rsidR="00F66856" w:rsidRPr="001715BE">
        <w:t>d</w:t>
      </w:r>
      <w:r w:rsidR="00E54D1E">
        <w:t>’</w:t>
      </w:r>
      <w:r w:rsidR="00F66856" w:rsidRPr="001715BE">
        <w:t>écoles</w:t>
      </w:r>
      <w:r w:rsidR="00F66856">
        <w:rPr>
          <w:szCs w:val="24"/>
        </w:rPr>
        <w:t xml:space="preserve"> dispensant un enseignement dans ces langues et le financement d</w:t>
      </w:r>
      <w:r w:rsidR="00E54D1E">
        <w:rPr>
          <w:szCs w:val="24"/>
        </w:rPr>
        <w:t>’</w:t>
      </w:r>
      <w:r w:rsidR="00F66856">
        <w:rPr>
          <w:szCs w:val="24"/>
        </w:rPr>
        <w:t xml:space="preserve">associations ethnoculturelles </w:t>
      </w:r>
      <w:r w:rsidR="00C46D0B">
        <w:rPr>
          <w:szCs w:val="24"/>
        </w:rPr>
        <w:t xml:space="preserve">aux fins de </w:t>
      </w:r>
      <w:r w:rsidR="00F66856">
        <w:rPr>
          <w:szCs w:val="24"/>
        </w:rPr>
        <w:t>la préservation des cultures et traditions ethniques</w:t>
      </w:r>
      <w:r w:rsidR="00C46D0B">
        <w:rPr>
          <w:szCs w:val="24"/>
        </w:rPr>
        <w:t>,</w:t>
      </w:r>
      <w:r w:rsidR="00F66856">
        <w:rPr>
          <w:szCs w:val="24"/>
        </w:rPr>
        <w:t xml:space="preserve"> et des médias en langues minoritaires;</w:t>
      </w:r>
    </w:p>
    <w:p w:rsidR="00F66856" w:rsidRDefault="001715BE" w:rsidP="001715BE">
      <w:pPr>
        <w:pStyle w:val="SingleTxtG"/>
        <w:ind w:firstLine="567"/>
        <w:rPr>
          <w:szCs w:val="24"/>
        </w:rPr>
      </w:pPr>
      <w:r>
        <w:rPr>
          <w:szCs w:val="24"/>
        </w:rPr>
        <w:t>e)</w:t>
      </w:r>
      <w:r>
        <w:rPr>
          <w:szCs w:val="24"/>
        </w:rPr>
        <w:tab/>
      </w:r>
      <w:r w:rsidR="00F66856">
        <w:rPr>
          <w:szCs w:val="24"/>
        </w:rPr>
        <w:t>La mise en œuvre du programme</w:t>
      </w:r>
      <w:r w:rsidR="00F66856">
        <w:rPr>
          <w:i/>
          <w:szCs w:val="24"/>
        </w:rPr>
        <w:t xml:space="preserve"> </w:t>
      </w:r>
      <w:proofErr w:type="spellStart"/>
      <w:r w:rsidR="00F66856">
        <w:rPr>
          <w:i/>
          <w:szCs w:val="24"/>
        </w:rPr>
        <w:t>Nurly</w:t>
      </w:r>
      <w:proofErr w:type="spellEnd"/>
      <w:r w:rsidR="00F66856">
        <w:rPr>
          <w:i/>
          <w:szCs w:val="24"/>
        </w:rPr>
        <w:t xml:space="preserve"> </w:t>
      </w:r>
      <w:proofErr w:type="spellStart"/>
      <w:r w:rsidR="00F66856">
        <w:rPr>
          <w:i/>
          <w:szCs w:val="24"/>
        </w:rPr>
        <w:t>Kosh</w:t>
      </w:r>
      <w:proofErr w:type="spellEnd"/>
      <w:r w:rsidR="00F66856">
        <w:rPr>
          <w:szCs w:val="24"/>
        </w:rPr>
        <w:t xml:space="preserve"> </w:t>
      </w:r>
      <w:r w:rsidR="00C46D0B">
        <w:rPr>
          <w:szCs w:val="24"/>
        </w:rPr>
        <w:t xml:space="preserve">concernant </w:t>
      </w:r>
      <w:r w:rsidR="00F66856">
        <w:rPr>
          <w:szCs w:val="24"/>
        </w:rPr>
        <w:t xml:space="preserve">la réinstallation des </w:t>
      </w:r>
      <w:proofErr w:type="spellStart"/>
      <w:r w:rsidR="00C46D0B">
        <w:rPr>
          <w:szCs w:val="24"/>
        </w:rPr>
        <w:t>Kasakhs</w:t>
      </w:r>
      <w:proofErr w:type="spellEnd"/>
      <w:r w:rsidR="00C46D0B">
        <w:rPr>
          <w:szCs w:val="24"/>
        </w:rPr>
        <w:t xml:space="preserve"> </w:t>
      </w:r>
      <w:r w:rsidR="00F66856">
        <w:rPr>
          <w:szCs w:val="24"/>
        </w:rPr>
        <w:t>de souche (</w:t>
      </w:r>
      <w:proofErr w:type="spellStart"/>
      <w:r w:rsidR="00F66856" w:rsidRPr="00E54D1E">
        <w:rPr>
          <w:i/>
          <w:szCs w:val="24"/>
        </w:rPr>
        <w:t>Oralman</w:t>
      </w:r>
      <w:proofErr w:type="spellEnd"/>
      <w:r w:rsidR="00F66856">
        <w:rPr>
          <w:szCs w:val="24"/>
        </w:rPr>
        <w:t xml:space="preserve">) pour la période </w:t>
      </w:r>
      <w:r w:rsidR="00E54D1E">
        <w:rPr>
          <w:szCs w:val="24"/>
        </w:rPr>
        <w:t>2009-</w:t>
      </w:r>
      <w:r w:rsidR="00F66856">
        <w:rPr>
          <w:szCs w:val="24"/>
        </w:rPr>
        <w:t>2011</w:t>
      </w:r>
      <w:r w:rsidR="00E54D1E">
        <w:rPr>
          <w:szCs w:val="24"/>
        </w:rPr>
        <w:t>;</w:t>
      </w:r>
    </w:p>
    <w:p w:rsidR="00F66856" w:rsidRDefault="001715BE" w:rsidP="001715BE">
      <w:pPr>
        <w:pStyle w:val="SingleTxtG"/>
        <w:ind w:firstLine="567"/>
        <w:rPr>
          <w:szCs w:val="24"/>
        </w:rPr>
      </w:pPr>
      <w:r>
        <w:rPr>
          <w:szCs w:val="24"/>
        </w:rPr>
        <w:t>f)</w:t>
      </w:r>
      <w:r>
        <w:rPr>
          <w:szCs w:val="24"/>
        </w:rPr>
        <w:tab/>
      </w:r>
      <w:r w:rsidR="00F66856">
        <w:rPr>
          <w:szCs w:val="24"/>
        </w:rPr>
        <w:t>L</w:t>
      </w:r>
      <w:r w:rsidR="00E54D1E">
        <w:rPr>
          <w:szCs w:val="24"/>
        </w:rPr>
        <w:t>’</w:t>
      </w:r>
      <w:r w:rsidR="00F66856">
        <w:rPr>
          <w:szCs w:val="24"/>
        </w:rPr>
        <w:t>organisation par la Cour suprême de séminaires et de missions de formation à l</w:t>
      </w:r>
      <w:r w:rsidR="00E54D1E">
        <w:rPr>
          <w:szCs w:val="24"/>
        </w:rPr>
        <w:t>’</w:t>
      </w:r>
      <w:r w:rsidR="00F66856">
        <w:rPr>
          <w:szCs w:val="24"/>
        </w:rPr>
        <w:t>intention des juges au sujet des normes relatives aux droits de l</w:t>
      </w:r>
      <w:r w:rsidR="00E54D1E">
        <w:rPr>
          <w:szCs w:val="24"/>
        </w:rPr>
        <w:t>’</w:t>
      </w:r>
      <w:r w:rsidR="00F66856">
        <w:rPr>
          <w:szCs w:val="24"/>
        </w:rPr>
        <w:t>homme et des obligations internationales en matière de droits de l</w:t>
      </w:r>
      <w:r w:rsidR="00E54D1E">
        <w:rPr>
          <w:szCs w:val="24"/>
        </w:rPr>
        <w:t>’</w:t>
      </w:r>
      <w:r w:rsidR="00F66856">
        <w:rPr>
          <w:szCs w:val="24"/>
        </w:rPr>
        <w:t>homme, en 2010 et 2011</w:t>
      </w:r>
      <w:r w:rsidR="00E54D1E">
        <w:rPr>
          <w:szCs w:val="24"/>
        </w:rPr>
        <w:t>;</w:t>
      </w:r>
    </w:p>
    <w:p w:rsidR="00F66856" w:rsidRDefault="001715BE" w:rsidP="001715BE">
      <w:pPr>
        <w:pStyle w:val="SingleTxtG"/>
        <w:ind w:firstLine="567"/>
        <w:rPr>
          <w:szCs w:val="24"/>
        </w:rPr>
      </w:pPr>
      <w:r>
        <w:rPr>
          <w:szCs w:val="24"/>
        </w:rPr>
        <w:t>g)</w:t>
      </w:r>
      <w:r>
        <w:rPr>
          <w:szCs w:val="24"/>
        </w:rPr>
        <w:tab/>
      </w:r>
      <w:r w:rsidR="00F66856">
        <w:rPr>
          <w:szCs w:val="24"/>
        </w:rPr>
        <w:t>L</w:t>
      </w:r>
      <w:r w:rsidR="00E54D1E">
        <w:rPr>
          <w:szCs w:val="24"/>
        </w:rPr>
        <w:t>’</w:t>
      </w:r>
      <w:r w:rsidR="00F66856">
        <w:rPr>
          <w:szCs w:val="24"/>
        </w:rPr>
        <w:t>adoption du Plan d</w:t>
      </w:r>
      <w:r w:rsidR="00E54D1E">
        <w:rPr>
          <w:szCs w:val="24"/>
        </w:rPr>
        <w:t>’</w:t>
      </w:r>
      <w:r w:rsidR="00F66856">
        <w:rPr>
          <w:szCs w:val="24"/>
        </w:rPr>
        <w:t>action pour la mise en œuvre de la doctrine de l</w:t>
      </w:r>
      <w:r w:rsidR="00E54D1E">
        <w:rPr>
          <w:szCs w:val="24"/>
        </w:rPr>
        <w:t>’</w:t>
      </w:r>
      <w:r w:rsidR="00F66856">
        <w:rPr>
          <w:szCs w:val="24"/>
        </w:rPr>
        <w:t>unité nationale du Kazakhstan pour la période 2011-2014 et</w:t>
      </w:r>
      <w:r w:rsidR="00C46D0B">
        <w:rPr>
          <w:szCs w:val="24"/>
        </w:rPr>
        <w:t xml:space="preserve"> du</w:t>
      </w:r>
      <w:r w:rsidR="00F66856">
        <w:rPr>
          <w:szCs w:val="24"/>
        </w:rPr>
        <w:t xml:space="preserve"> plan national </w:t>
      </w:r>
      <w:r w:rsidR="00C46D0B">
        <w:rPr>
          <w:szCs w:val="24"/>
        </w:rPr>
        <w:t>d</w:t>
      </w:r>
      <w:r w:rsidR="00E54D1E">
        <w:rPr>
          <w:szCs w:val="24"/>
        </w:rPr>
        <w:t>’</w:t>
      </w:r>
      <w:r w:rsidR="00C46D0B">
        <w:rPr>
          <w:szCs w:val="24"/>
        </w:rPr>
        <w:t xml:space="preserve">action </w:t>
      </w:r>
      <w:r w:rsidR="00F66856">
        <w:rPr>
          <w:szCs w:val="24"/>
        </w:rPr>
        <w:t>en matière de droits de l</w:t>
      </w:r>
      <w:r w:rsidR="00E54D1E">
        <w:rPr>
          <w:szCs w:val="24"/>
        </w:rPr>
        <w:t>’</w:t>
      </w:r>
      <w:r w:rsidR="00F66856">
        <w:rPr>
          <w:szCs w:val="24"/>
        </w:rPr>
        <w:t>homme pour la période 2009-2012.</w:t>
      </w:r>
    </w:p>
    <w:p w:rsidR="00F66856" w:rsidRDefault="00F66856" w:rsidP="00F66856">
      <w:pPr>
        <w:pStyle w:val="ParNoG"/>
        <w:rPr>
          <w:szCs w:val="24"/>
        </w:rPr>
      </w:pPr>
      <w:r>
        <w:rPr>
          <w:szCs w:val="24"/>
        </w:rPr>
        <w:t xml:space="preserve">Le Comité </w:t>
      </w:r>
      <w:r w:rsidR="00C46D0B">
        <w:rPr>
          <w:szCs w:val="24"/>
        </w:rPr>
        <w:t>note avec satisfaction que</w:t>
      </w:r>
      <w:r>
        <w:rPr>
          <w:szCs w:val="24"/>
        </w:rPr>
        <w:t xml:space="preserve"> l</w:t>
      </w:r>
      <w:r w:rsidR="00E54D1E">
        <w:rPr>
          <w:szCs w:val="24"/>
        </w:rPr>
        <w:t>’</w:t>
      </w:r>
      <w:r>
        <w:rPr>
          <w:szCs w:val="24"/>
        </w:rPr>
        <w:t xml:space="preserve">État partie </w:t>
      </w:r>
      <w:r w:rsidR="00C46D0B">
        <w:rPr>
          <w:szCs w:val="24"/>
        </w:rPr>
        <w:t>a ratifié les</w:t>
      </w:r>
      <w:r>
        <w:rPr>
          <w:szCs w:val="24"/>
        </w:rPr>
        <w:t xml:space="preserve"> instruments internationaux ci-après</w:t>
      </w:r>
      <w:r w:rsidR="00C46D0B">
        <w:rPr>
          <w:szCs w:val="24"/>
        </w:rPr>
        <w:t xml:space="preserve"> ou y a adhéré</w:t>
      </w:r>
      <w:r>
        <w:rPr>
          <w:szCs w:val="24"/>
        </w:rPr>
        <w:t>:</w:t>
      </w:r>
    </w:p>
    <w:p w:rsidR="00F66856" w:rsidRPr="00A13BE9" w:rsidRDefault="00F66856" w:rsidP="001715BE">
      <w:pPr>
        <w:pStyle w:val="SingleTxtG"/>
        <w:ind w:firstLine="567"/>
        <w:rPr>
          <w:szCs w:val="24"/>
        </w:rPr>
      </w:pPr>
      <w:r w:rsidRPr="00A13BE9">
        <w:rPr>
          <w:szCs w:val="24"/>
        </w:rPr>
        <w:t>a)</w:t>
      </w:r>
      <w:r w:rsidRPr="00A13BE9">
        <w:rPr>
          <w:szCs w:val="24"/>
        </w:rPr>
        <w:tab/>
        <w:t>La Convention internationale pour la protection de toutes les personnes contre les disparitions forcées, le 27 février 2009;</w:t>
      </w:r>
    </w:p>
    <w:p w:rsidR="00F66856" w:rsidRPr="00A13BE9" w:rsidRDefault="00F66856" w:rsidP="001715BE">
      <w:pPr>
        <w:pStyle w:val="SingleTxtG"/>
        <w:ind w:firstLine="567"/>
        <w:rPr>
          <w:szCs w:val="24"/>
        </w:rPr>
      </w:pPr>
      <w:r w:rsidRPr="00A13BE9">
        <w:rPr>
          <w:szCs w:val="24"/>
        </w:rPr>
        <w:t>b)</w:t>
      </w:r>
      <w:r w:rsidRPr="00A13BE9">
        <w:rPr>
          <w:szCs w:val="24"/>
        </w:rPr>
        <w:tab/>
        <w:t xml:space="preserve">Le Protocole facultatif se rapportant au Pacte international relatif aux droits civils et politiques, le 30 juin </w:t>
      </w:r>
      <w:r w:rsidRPr="001715BE">
        <w:t>2009</w:t>
      </w:r>
      <w:r w:rsidRPr="00A13BE9">
        <w:rPr>
          <w:szCs w:val="24"/>
        </w:rPr>
        <w:t>;</w:t>
      </w:r>
    </w:p>
    <w:p w:rsidR="00F66856" w:rsidRDefault="00F66856" w:rsidP="001715BE">
      <w:pPr>
        <w:pStyle w:val="SingleTxtG"/>
        <w:ind w:firstLine="567"/>
        <w:rPr>
          <w:szCs w:val="24"/>
        </w:rPr>
      </w:pPr>
      <w:r w:rsidRPr="00A13BE9">
        <w:rPr>
          <w:szCs w:val="24"/>
        </w:rPr>
        <w:t>c)</w:t>
      </w:r>
      <w:r w:rsidRPr="00A13BE9">
        <w:rPr>
          <w:szCs w:val="24"/>
        </w:rPr>
        <w:tab/>
        <w:t>Le Protocole facultatif se rapportant</w:t>
      </w:r>
      <w:r w:rsidR="00E54D1E">
        <w:rPr>
          <w:szCs w:val="24"/>
        </w:rPr>
        <w:t xml:space="preserve"> à</w:t>
      </w:r>
      <w:r w:rsidRPr="00A13BE9">
        <w:rPr>
          <w:szCs w:val="24"/>
        </w:rPr>
        <w:t xml:space="preserve"> la Convention contre la torture et autres peines ou traitements cruels, inhumains ou dégradants, le 22 octobre 2008;</w:t>
      </w:r>
    </w:p>
    <w:p w:rsidR="00F66856" w:rsidRDefault="00F66856" w:rsidP="001715BE">
      <w:pPr>
        <w:pStyle w:val="SingleTxtG"/>
        <w:ind w:firstLine="567"/>
        <w:rPr>
          <w:szCs w:val="24"/>
        </w:rPr>
      </w:pPr>
      <w:r w:rsidRPr="00A13BE9">
        <w:rPr>
          <w:szCs w:val="24"/>
        </w:rPr>
        <w:t>d)</w:t>
      </w:r>
      <w:r w:rsidRPr="00A13BE9">
        <w:rPr>
          <w:szCs w:val="24"/>
        </w:rPr>
        <w:tab/>
        <w:t xml:space="preserve">Le Protocole </w:t>
      </w:r>
      <w:r w:rsidR="00C46D0B">
        <w:rPr>
          <w:szCs w:val="24"/>
        </w:rPr>
        <w:t xml:space="preserve">additionnel à la Convention des Nations Unies contre la criminalité transnationale organisée, </w:t>
      </w:r>
      <w:r w:rsidRPr="00A13BE9">
        <w:rPr>
          <w:szCs w:val="24"/>
        </w:rPr>
        <w:t>visant à prévenir, réprimer et punir la traite des personnes, en particulier des femmes et des enfants, le 31 juillet 2008.</w:t>
      </w:r>
    </w:p>
    <w:p w:rsidR="00F66856" w:rsidRDefault="001715BE" w:rsidP="001715BE">
      <w:pPr>
        <w:pStyle w:val="HChG"/>
      </w:pPr>
      <w:r>
        <w:tab/>
        <w:t>III.</w:t>
      </w:r>
      <w:r>
        <w:tab/>
      </w:r>
      <w:r w:rsidR="00F66856">
        <w:t>Préoccupations et recommandations</w:t>
      </w:r>
    </w:p>
    <w:p w:rsidR="00F66856" w:rsidRDefault="001715BE" w:rsidP="001715BE">
      <w:pPr>
        <w:pStyle w:val="H23G"/>
      </w:pPr>
      <w:r>
        <w:tab/>
      </w:r>
      <w:r>
        <w:tab/>
      </w:r>
      <w:r w:rsidR="00F66856">
        <w:t xml:space="preserve">Adoption et mise en œuvre de la législation </w:t>
      </w:r>
      <w:proofErr w:type="spellStart"/>
      <w:r w:rsidR="00F66856">
        <w:t>antidiscrimination</w:t>
      </w:r>
      <w:proofErr w:type="spellEnd"/>
      <w:r w:rsidR="00F66856">
        <w:t xml:space="preserve"> </w:t>
      </w:r>
    </w:p>
    <w:p w:rsidR="00F66856" w:rsidRDefault="00F66856" w:rsidP="00F66856">
      <w:pPr>
        <w:pStyle w:val="ParNoG"/>
        <w:rPr>
          <w:szCs w:val="24"/>
        </w:rPr>
      </w:pPr>
      <w:r>
        <w:rPr>
          <w:szCs w:val="24"/>
        </w:rPr>
        <w:t>Le Comité accueille avec satisfaction l</w:t>
      </w:r>
      <w:r w:rsidR="00E54D1E">
        <w:rPr>
          <w:szCs w:val="24"/>
        </w:rPr>
        <w:t>’</w:t>
      </w:r>
      <w:r>
        <w:rPr>
          <w:szCs w:val="24"/>
        </w:rPr>
        <w:t>adoption par l</w:t>
      </w:r>
      <w:r w:rsidR="00E54D1E">
        <w:rPr>
          <w:szCs w:val="24"/>
        </w:rPr>
        <w:t>’</w:t>
      </w:r>
      <w:r>
        <w:rPr>
          <w:szCs w:val="24"/>
        </w:rPr>
        <w:t xml:space="preserve">État partie de dispositions juridiques interdisant la discrimination raciale, qui figurent en </w:t>
      </w:r>
      <w:r w:rsidR="003C6DD5">
        <w:rPr>
          <w:szCs w:val="24"/>
        </w:rPr>
        <w:t xml:space="preserve">notamment </w:t>
      </w:r>
      <w:r>
        <w:rPr>
          <w:szCs w:val="24"/>
        </w:rPr>
        <w:t>dans la Constitution, le Code du travail, le Code des infractions administratives et le</w:t>
      </w:r>
      <w:r w:rsidR="003C6DD5">
        <w:rPr>
          <w:szCs w:val="24"/>
        </w:rPr>
        <w:t>s</w:t>
      </w:r>
      <w:r>
        <w:rPr>
          <w:szCs w:val="24"/>
        </w:rPr>
        <w:t xml:space="preserve"> Code</w:t>
      </w:r>
      <w:r w:rsidR="003C6DD5">
        <w:rPr>
          <w:szCs w:val="24"/>
        </w:rPr>
        <w:t>s</w:t>
      </w:r>
      <w:r>
        <w:rPr>
          <w:szCs w:val="24"/>
        </w:rPr>
        <w:t xml:space="preserve"> de procédure civile et </w:t>
      </w:r>
      <w:r w:rsidR="003C6DD5">
        <w:rPr>
          <w:szCs w:val="24"/>
        </w:rPr>
        <w:t>pénale</w:t>
      </w:r>
      <w:r>
        <w:rPr>
          <w:szCs w:val="24"/>
        </w:rPr>
        <w:t>,</w:t>
      </w:r>
      <w:r w:rsidR="00C46D0B">
        <w:rPr>
          <w:szCs w:val="24"/>
        </w:rPr>
        <w:t xml:space="preserve"> </w:t>
      </w:r>
      <w:r w:rsidR="003C6DD5">
        <w:rPr>
          <w:szCs w:val="24"/>
        </w:rPr>
        <w:t>mais il</w:t>
      </w:r>
      <w:r>
        <w:rPr>
          <w:szCs w:val="24"/>
        </w:rPr>
        <w:t xml:space="preserve"> se déclare à nouveau préoccupé par le fait que l</w:t>
      </w:r>
      <w:r w:rsidR="00E54D1E">
        <w:rPr>
          <w:szCs w:val="24"/>
        </w:rPr>
        <w:t>’</w:t>
      </w:r>
      <w:r>
        <w:rPr>
          <w:szCs w:val="24"/>
        </w:rPr>
        <w:t>État partie n</w:t>
      </w:r>
      <w:r w:rsidR="00E54D1E">
        <w:rPr>
          <w:szCs w:val="24"/>
        </w:rPr>
        <w:t>’</w:t>
      </w:r>
      <w:r>
        <w:rPr>
          <w:szCs w:val="24"/>
        </w:rPr>
        <w:t xml:space="preserve">a pas adopté de législation globale </w:t>
      </w:r>
      <w:r w:rsidR="003C6DD5">
        <w:rPr>
          <w:szCs w:val="24"/>
        </w:rPr>
        <w:t>pour</w:t>
      </w:r>
      <w:r>
        <w:rPr>
          <w:szCs w:val="24"/>
        </w:rPr>
        <w:t xml:space="preserve"> prévenir et combattre la discrimination dans tous les domaines </w:t>
      </w:r>
      <w:r w:rsidR="00E54D1E">
        <w:rPr>
          <w:szCs w:val="24"/>
        </w:rPr>
        <w:t>y compris</w:t>
      </w:r>
      <w:r>
        <w:rPr>
          <w:szCs w:val="24"/>
        </w:rPr>
        <w:t xml:space="preserve"> une définition de la discrimination </w:t>
      </w:r>
      <w:r w:rsidR="003C6DD5">
        <w:rPr>
          <w:szCs w:val="24"/>
        </w:rPr>
        <w:t xml:space="preserve">directe et indirecte </w:t>
      </w:r>
      <w:r>
        <w:rPr>
          <w:szCs w:val="24"/>
        </w:rPr>
        <w:t>fondée sur la race et l</w:t>
      </w:r>
      <w:r w:rsidR="00E54D1E">
        <w:rPr>
          <w:szCs w:val="24"/>
        </w:rPr>
        <w:t>’</w:t>
      </w:r>
      <w:r>
        <w:rPr>
          <w:szCs w:val="24"/>
        </w:rPr>
        <w:t xml:space="preserve">origine ethnique, </w:t>
      </w:r>
      <w:r w:rsidR="003C6DD5">
        <w:rPr>
          <w:szCs w:val="24"/>
        </w:rPr>
        <w:t>ce qui peut entraver l</w:t>
      </w:r>
      <w:r w:rsidR="00E54D1E">
        <w:rPr>
          <w:szCs w:val="24"/>
        </w:rPr>
        <w:t>’</w:t>
      </w:r>
      <w:r w:rsidR="003C6DD5">
        <w:rPr>
          <w:szCs w:val="24"/>
        </w:rPr>
        <w:t>accès des</w:t>
      </w:r>
      <w:r>
        <w:rPr>
          <w:szCs w:val="24"/>
        </w:rPr>
        <w:t xml:space="preserve"> victimes de discrimination raciale </w:t>
      </w:r>
      <w:r w:rsidR="003C6DD5">
        <w:rPr>
          <w:szCs w:val="24"/>
        </w:rPr>
        <w:t xml:space="preserve">à la justice </w:t>
      </w:r>
      <w:r>
        <w:rPr>
          <w:szCs w:val="24"/>
        </w:rPr>
        <w:t>(art.</w:t>
      </w:r>
      <w:r w:rsidR="003C6DD5">
        <w:rPr>
          <w:szCs w:val="24"/>
        </w:rPr>
        <w:t> </w:t>
      </w:r>
      <w:r>
        <w:rPr>
          <w:szCs w:val="24"/>
        </w:rPr>
        <w:t>1, par.</w:t>
      </w:r>
      <w:r w:rsidR="003C6DD5">
        <w:rPr>
          <w:szCs w:val="24"/>
        </w:rPr>
        <w:t> </w:t>
      </w:r>
      <w:r>
        <w:rPr>
          <w:szCs w:val="24"/>
        </w:rPr>
        <w:t>1</w:t>
      </w:r>
      <w:r w:rsidR="00E54D1E">
        <w:rPr>
          <w:szCs w:val="24"/>
        </w:rPr>
        <w:t xml:space="preserve">, </w:t>
      </w:r>
      <w:r>
        <w:rPr>
          <w:szCs w:val="24"/>
        </w:rPr>
        <w:t>2, par.</w:t>
      </w:r>
      <w:r w:rsidR="003C6DD5">
        <w:rPr>
          <w:szCs w:val="24"/>
        </w:rPr>
        <w:t> </w:t>
      </w:r>
      <w:r>
        <w:rPr>
          <w:szCs w:val="24"/>
        </w:rPr>
        <w:t>1 d) et 6).</w:t>
      </w:r>
    </w:p>
    <w:p w:rsidR="00F66856" w:rsidRDefault="00F10E89" w:rsidP="00F10E89">
      <w:pPr>
        <w:pStyle w:val="SingleTxtG"/>
        <w:rPr>
          <w:b/>
          <w:szCs w:val="24"/>
        </w:rPr>
      </w:pPr>
      <w:r w:rsidRPr="00A13BE9">
        <w:rPr>
          <w:rStyle w:val="SingleTxtGCar"/>
          <w:b/>
        </w:rPr>
        <w:t>Rappelant sa précédente recommandation (CERD/C/KAZ</w:t>
      </w:r>
      <w:r>
        <w:rPr>
          <w:rStyle w:val="SingleTxtGCar"/>
          <w:b/>
        </w:rPr>
        <w:t>/</w:t>
      </w:r>
      <w:r w:rsidRPr="00A13BE9">
        <w:rPr>
          <w:rStyle w:val="SingleTxtGCar"/>
          <w:b/>
        </w:rPr>
        <w:t>CO</w:t>
      </w:r>
      <w:r w:rsidR="00E54D1E">
        <w:rPr>
          <w:rStyle w:val="SingleTxtGCar"/>
          <w:b/>
        </w:rPr>
        <w:t>/</w:t>
      </w:r>
      <w:r w:rsidRPr="00A13BE9">
        <w:rPr>
          <w:rStyle w:val="SingleTxtGCar"/>
          <w:b/>
        </w:rPr>
        <w:t>4-5</w:t>
      </w:r>
      <w:r w:rsidR="00E54D1E">
        <w:rPr>
          <w:rStyle w:val="SingleTxtGCar"/>
          <w:b/>
        </w:rPr>
        <w:t>,</w:t>
      </w:r>
      <w:r w:rsidRPr="00A13BE9">
        <w:rPr>
          <w:rStyle w:val="SingleTxtGCar"/>
          <w:b/>
        </w:rPr>
        <w:t xml:space="preserve"> par</w:t>
      </w:r>
      <w:r>
        <w:rPr>
          <w:rStyle w:val="SingleTxtGCar"/>
          <w:b/>
        </w:rPr>
        <w:t>. </w:t>
      </w:r>
      <w:r w:rsidRPr="00A13BE9">
        <w:rPr>
          <w:rStyle w:val="SingleTxtGCar"/>
          <w:b/>
        </w:rPr>
        <w:t>10), le Comité encourage l</w:t>
      </w:r>
      <w:r w:rsidR="00E54D1E">
        <w:rPr>
          <w:rStyle w:val="SingleTxtGCar"/>
          <w:b/>
        </w:rPr>
        <w:t>’</w:t>
      </w:r>
      <w:r w:rsidRPr="00A13BE9">
        <w:rPr>
          <w:rStyle w:val="SingleTxtGCar"/>
          <w:b/>
        </w:rPr>
        <w:t xml:space="preserve">État partie à poursuivre </w:t>
      </w:r>
      <w:r>
        <w:rPr>
          <w:rStyle w:val="SingleTxtGCar"/>
          <w:b/>
        </w:rPr>
        <w:t>ses</w:t>
      </w:r>
      <w:r w:rsidRPr="00A13BE9">
        <w:rPr>
          <w:rStyle w:val="SingleTxtGCar"/>
          <w:b/>
        </w:rPr>
        <w:t xml:space="preserve"> efforts </w:t>
      </w:r>
      <w:r>
        <w:rPr>
          <w:rStyle w:val="SingleTxtGCar"/>
          <w:b/>
        </w:rPr>
        <w:t>pour adopter une vaste</w:t>
      </w:r>
      <w:r w:rsidRPr="00A13BE9">
        <w:rPr>
          <w:rStyle w:val="SingleTxtGCar"/>
          <w:b/>
        </w:rPr>
        <w:t xml:space="preserve"> loi </w:t>
      </w:r>
      <w:proofErr w:type="spellStart"/>
      <w:r w:rsidRPr="00A13BE9">
        <w:rPr>
          <w:rStyle w:val="SingleTxtGCar"/>
          <w:b/>
        </w:rPr>
        <w:t>antidiscrimination</w:t>
      </w:r>
      <w:proofErr w:type="spellEnd"/>
      <w:r w:rsidRPr="00A13BE9">
        <w:rPr>
          <w:rStyle w:val="SingleTxtGCar"/>
          <w:b/>
        </w:rPr>
        <w:t>, ainsi qu</w:t>
      </w:r>
      <w:r w:rsidR="00E54D1E">
        <w:rPr>
          <w:rStyle w:val="SingleTxtGCar"/>
          <w:b/>
        </w:rPr>
        <w:t>’</w:t>
      </w:r>
      <w:r w:rsidRPr="00A13BE9">
        <w:rPr>
          <w:rStyle w:val="SingleTxtGCar"/>
          <w:b/>
        </w:rPr>
        <w:t xml:space="preserve">une définition de la discrimination directe et indirecte, tel </w:t>
      </w:r>
      <w:r>
        <w:rPr>
          <w:rStyle w:val="SingleTxtGCar"/>
          <w:b/>
        </w:rPr>
        <w:t>qu</w:t>
      </w:r>
      <w:r w:rsidR="00E54D1E">
        <w:rPr>
          <w:rStyle w:val="SingleTxtGCar"/>
          <w:b/>
        </w:rPr>
        <w:t>’</w:t>
      </w:r>
      <w:r>
        <w:rPr>
          <w:rStyle w:val="SingleTxtGCar"/>
          <w:b/>
        </w:rPr>
        <w:t>indiqué au paragraphe 1 de</w:t>
      </w:r>
      <w:r w:rsidRPr="00A13BE9">
        <w:rPr>
          <w:rStyle w:val="SingleTxtGCar"/>
          <w:b/>
        </w:rPr>
        <w:t xml:space="preserve"> l</w:t>
      </w:r>
      <w:r w:rsidR="00E54D1E">
        <w:rPr>
          <w:rStyle w:val="SingleTxtGCar"/>
          <w:b/>
        </w:rPr>
        <w:t>’</w:t>
      </w:r>
      <w:r w:rsidRPr="00A13BE9">
        <w:rPr>
          <w:rStyle w:val="SingleTxtGCar"/>
          <w:b/>
        </w:rPr>
        <w:t>article premier</w:t>
      </w:r>
      <w:r w:rsidR="00E54D1E">
        <w:rPr>
          <w:rStyle w:val="SingleTxtGCar"/>
          <w:b/>
        </w:rPr>
        <w:t xml:space="preserve"> </w:t>
      </w:r>
      <w:r w:rsidRPr="00A13BE9">
        <w:rPr>
          <w:rStyle w:val="SingleTxtGCar"/>
          <w:b/>
        </w:rPr>
        <w:t xml:space="preserve">de la Convention, </w:t>
      </w:r>
      <w:r>
        <w:rPr>
          <w:rStyle w:val="SingleTxtGCar"/>
          <w:b/>
        </w:rPr>
        <w:t>a</w:t>
      </w:r>
      <w:r w:rsidRPr="00A13BE9">
        <w:rPr>
          <w:rStyle w:val="SingleTxtGCar"/>
          <w:b/>
        </w:rPr>
        <w:t xml:space="preserve">fin de garantir </w:t>
      </w:r>
      <w:r>
        <w:rPr>
          <w:rStyle w:val="SingleTxtGCar"/>
          <w:b/>
        </w:rPr>
        <w:t xml:space="preserve">un </w:t>
      </w:r>
      <w:r w:rsidRPr="00A13BE9">
        <w:rPr>
          <w:rStyle w:val="SingleTxtGCar"/>
          <w:b/>
        </w:rPr>
        <w:t xml:space="preserve">accès effectif à la justice et </w:t>
      </w:r>
      <w:r>
        <w:rPr>
          <w:rStyle w:val="SingleTxtGCar"/>
          <w:b/>
        </w:rPr>
        <w:t>d</w:t>
      </w:r>
      <w:r w:rsidRPr="00A13BE9">
        <w:rPr>
          <w:rStyle w:val="SingleTxtGCar"/>
          <w:b/>
        </w:rPr>
        <w:t>es moyens de recours appropriés aux victimes de</w:t>
      </w:r>
      <w:r>
        <w:rPr>
          <w:b/>
          <w:szCs w:val="24"/>
        </w:rPr>
        <w:t xml:space="preserve"> discrimination raciale. </w:t>
      </w:r>
      <w:r w:rsidR="00F66856">
        <w:rPr>
          <w:b/>
          <w:szCs w:val="24"/>
        </w:rPr>
        <w:t>Il prie l</w:t>
      </w:r>
      <w:r w:rsidR="00E54D1E">
        <w:rPr>
          <w:b/>
          <w:szCs w:val="24"/>
        </w:rPr>
        <w:t>’</w:t>
      </w:r>
      <w:r w:rsidR="00F66856">
        <w:rPr>
          <w:b/>
          <w:szCs w:val="24"/>
        </w:rPr>
        <w:t xml:space="preserve">État partie de diffuser des renseignements pertinents </w:t>
      </w:r>
      <w:r w:rsidR="003C6DD5">
        <w:rPr>
          <w:b/>
          <w:szCs w:val="24"/>
        </w:rPr>
        <w:t>à la population</w:t>
      </w:r>
      <w:r w:rsidR="00F66856">
        <w:rPr>
          <w:b/>
          <w:szCs w:val="24"/>
        </w:rPr>
        <w:t xml:space="preserve">, en particulier aux minorités, concernant </w:t>
      </w:r>
      <w:r w:rsidR="003C6DD5">
        <w:rPr>
          <w:b/>
          <w:szCs w:val="24"/>
        </w:rPr>
        <w:t>ce qui constitue la</w:t>
      </w:r>
      <w:r w:rsidR="00F66856">
        <w:rPr>
          <w:b/>
          <w:szCs w:val="24"/>
        </w:rPr>
        <w:t xml:space="preserve"> discrimination et les </w:t>
      </w:r>
      <w:r w:rsidR="003C6DD5">
        <w:rPr>
          <w:b/>
          <w:szCs w:val="24"/>
        </w:rPr>
        <w:t xml:space="preserve">voies de </w:t>
      </w:r>
      <w:r w:rsidR="00F66856">
        <w:rPr>
          <w:b/>
          <w:szCs w:val="24"/>
        </w:rPr>
        <w:t xml:space="preserve">recours juridiques </w:t>
      </w:r>
      <w:r w:rsidR="003C6DD5">
        <w:rPr>
          <w:b/>
          <w:szCs w:val="24"/>
        </w:rPr>
        <w:t xml:space="preserve">à la disposition des </w:t>
      </w:r>
      <w:r w:rsidR="00F66856">
        <w:rPr>
          <w:b/>
          <w:szCs w:val="24"/>
        </w:rPr>
        <w:t xml:space="preserve">victimes de </w:t>
      </w:r>
      <w:r w:rsidR="003C6DD5">
        <w:rPr>
          <w:b/>
          <w:szCs w:val="24"/>
        </w:rPr>
        <w:t xml:space="preserve">la </w:t>
      </w:r>
      <w:r w:rsidR="00F66856">
        <w:rPr>
          <w:b/>
          <w:szCs w:val="24"/>
        </w:rPr>
        <w:t>discrimination raciale.</w:t>
      </w:r>
    </w:p>
    <w:p w:rsidR="00F66856" w:rsidRDefault="001715BE" w:rsidP="001715BE">
      <w:pPr>
        <w:pStyle w:val="H23G"/>
      </w:pPr>
      <w:r>
        <w:tab/>
      </w:r>
      <w:r>
        <w:tab/>
      </w:r>
      <w:r w:rsidR="00F66856">
        <w:t>Statistiques pertinentes</w:t>
      </w:r>
    </w:p>
    <w:p w:rsidR="00F66856" w:rsidRDefault="00F66856" w:rsidP="00F66856">
      <w:pPr>
        <w:pStyle w:val="ParNoG"/>
        <w:rPr>
          <w:szCs w:val="24"/>
        </w:rPr>
      </w:pPr>
      <w:r w:rsidRPr="006804EB">
        <w:rPr>
          <w:szCs w:val="24"/>
        </w:rPr>
        <w:t xml:space="preserve">Le Comité </w:t>
      </w:r>
      <w:r w:rsidR="003C6DD5">
        <w:rPr>
          <w:szCs w:val="24"/>
        </w:rPr>
        <w:t>salue les</w:t>
      </w:r>
      <w:r w:rsidRPr="006804EB">
        <w:rPr>
          <w:szCs w:val="24"/>
        </w:rPr>
        <w:t xml:space="preserve"> efforts </w:t>
      </w:r>
      <w:r w:rsidR="003C6DD5">
        <w:rPr>
          <w:szCs w:val="24"/>
        </w:rPr>
        <w:t xml:space="preserve">que </w:t>
      </w:r>
      <w:r>
        <w:rPr>
          <w:szCs w:val="24"/>
        </w:rPr>
        <w:t>l</w:t>
      </w:r>
      <w:r w:rsidR="00E54D1E">
        <w:rPr>
          <w:szCs w:val="24"/>
        </w:rPr>
        <w:t>’</w:t>
      </w:r>
      <w:r>
        <w:rPr>
          <w:szCs w:val="24"/>
        </w:rPr>
        <w:t xml:space="preserve">État partie </w:t>
      </w:r>
      <w:r w:rsidR="003C6DD5">
        <w:rPr>
          <w:szCs w:val="24"/>
        </w:rPr>
        <w:t xml:space="preserve">a déployés </w:t>
      </w:r>
      <w:r w:rsidRPr="006804EB">
        <w:rPr>
          <w:szCs w:val="24"/>
        </w:rPr>
        <w:t xml:space="preserve">pour compiler des données statistiques, </w:t>
      </w:r>
      <w:r>
        <w:rPr>
          <w:szCs w:val="24"/>
        </w:rPr>
        <w:t>notamment sur</w:t>
      </w:r>
      <w:r w:rsidRPr="006804EB">
        <w:rPr>
          <w:szCs w:val="24"/>
        </w:rPr>
        <w:t xml:space="preserve"> le nombre et l</w:t>
      </w:r>
      <w:r>
        <w:rPr>
          <w:szCs w:val="24"/>
        </w:rPr>
        <w:t>a taille des</w:t>
      </w:r>
      <w:r w:rsidR="003C6DD5">
        <w:rPr>
          <w:szCs w:val="24"/>
        </w:rPr>
        <w:t xml:space="preserve"> différents</w:t>
      </w:r>
      <w:r>
        <w:rPr>
          <w:szCs w:val="24"/>
        </w:rPr>
        <w:t xml:space="preserve"> groupes ethniques </w:t>
      </w:r>
      <w:r w:rsidRPr="006804EB">
        <w:rPr>
          <w:szCs w:val="24"/>
        </w:rPr>
        <w:t>qui vive</w:t>
      </w:r>
      <w:r>
        <w:rPr>
          <w:szCs w:val="24"/>
        </w:rPr>
        <w:t>nt</w:t>
      </w:r>
      <w:r w:rsidRPr="006804EB">
        <w:rPr>
          <w:szCs w:val="24"/>
        </w:rPr>
        <w:t xml:space="preserve"> dans le pays</w:t>
      </w:r>
      <w:r w:rsidR="003C6DD5">
        <w:rPr>
          <w:szCs w:val="24"/>
        </w:rPr>
        <w:t>, mais</w:t>
      </w:r>
      <w:r w:rsidR="003C6DD5" w:rsidRPr="006804EB">
        <w:rPr>
          <w:szCs w:val="24"/>
        </w:rPr>
        <w:t xml:space="preserve"> </w:t>
      </w:r>
      <w:r>
        <w:rPr>
          <w:szCs w:val="24"/>
        </w:rPr>
        <w:t xml:space="preserve">il est </w:t>
      </w:r>
      <w:r w:rsidRPr="006804EB">
        <w:rPr>
          <w:szCs w:val="24"/>
        </w:rPr>
        <w:t xml:space="preserve">préoccupé par les </w:t>
      </w:r>
      <w:r w:rsidR="003C6DD5">
        <w:rPr>
          <w:szCs w:val="24"/>
        </w:rPr>
        <w:t xml:space="preserve">rares </w:t>
      </w:r>
      <w:r>
        <w:rPr>
          <w:szCs w:val="24"/>
        </w:rPr>
        <w:t>r</w:t>
      </w:r>
      <w:r w:rsidRPr="006804EB">
        <w:rPr>
          <w:szCs w:val="24"/>
        </w:rPr>
        <w:t xml:space="preserve">enseignements </w:t>
      </w:r>
      <w:r w:rsidR="003C6DD5">
        <w:rPr>
          <w:szCs w:val="24"/>
        </w:rPr>
        <w:t>fournis</w:t>
      </w:r>
      <w:r w:rsidR="003C6DD5" w:rsidRPr="006804EB">
        <w:rPr>
          <w:szCs w:val="24"/>
        </w:rPr>
        <w:t xml:space="preserve"> </w:t>
      </w:r>
      <w:r w:rsidRPr="006804EB">
        <w:rPr>
          <w:szCs w:val="24"/>
        </w:rPr>
        <w:t>et par l</w:t>
      </w:r>
      <w:r w:rsidR="00E54D1E">
        <w:rPr>
          <w:szCs w:val="24"/>
        </w:rPr>
        <w:t>’</w:t>
      </w:r>
      <w:r w:rsidRPr="006804EB">
        <w:rPr>
          <w:szCs w:val="24"/>
        </w:rPr>
        <w:t>absence de statistiques annuelles</w:t>
      </w:r>
      <w:r>
        <w:rPr>
          <w:szCs w:val="24"/>
        </w:rPr>
        <w:t xml:space="preserve"> </w:t>
      </w:r>
      <w:r w:rsidRPr="006804EB">
        <w:rPr>
          <w:szCs w:val="24"/>
        </w:rPr>
        <w:t xml:space="preserve">sur la situation sociale et économique de chacun des groupes ethniques </w:t>
      </w:r>
      <w:r w:rsidR="003C6DD5">
        <w:rPr>
          <w:szCs w:val="24"/>
        </w:rPr>
        <w:t>dans les domaines</w:t>
      </w:r>
      <w:r w:rsidRPr="006804EB">
        <w:rPr>
          <w:szCs w:val="24"/>
        </w:rPr>
        <w:t xml:space="preserve"> de l</w:t>
      </w:r>
      <w:r w:rsidR="00E54D1E">
        <w:rPr>
          <w:szCs w:val="24"/>
        </w:rPr>
        <w:t>’</w:t>
      </w:r>
      <w:r w:rsidRPr="006804EB">
        <w:rPr>
          <w:szCs w:val="24"/>
        </w:rPr>
        <w:t>éducation, de l</w:t>
      </w:r>
      <w:r w:rsidR="00E54D1E">
        <w:rPr>
          <w:szCs w:val="24"/>
        </w:rPr>
        <w:t>’</w:t>
      </w:r>
      <w:r w:rsidRPr="006804EB">
        <w:rPr>
          <w:szCs w:val="24"/>
        </w:rPr>
        <w:t xml:space="preserve">emploi, de la santé </w:t>
      </w:r>
      <w:r>
        <w:rPr>
          <w:szCs w:val="24"/>
        </w:rPr>
        <w:t xml:space="preserve">et </w:t>
      </w:r>
      <w:r w:rsidRPr="006804EB">
        <w:rPr>
          <w:szCs w:val="24"/>
        </w:rPr>
        <w:t xml:space="preserve">du logement. </w:t>
      </w:r>
      <w:r w:rsidR="00F10E89" w:rsidRPr="006804EB">
        <w:rPr>
          <w:szCs w:val="24"/>
        </w:rPr>
        <w:t>Il</w:t>
      </w:r>
      <w:r w:rsidR="00E54D1E">
        <w:rPr>
          <w:szCs w:val="24"/>
        </w:rPr>
        <w:t> </w:t>
      </w:r>
      <w:r w:rsidR="00F10E89">
        <w:rPr>
          <w:szCs w:val="24"/>
        </w:rPr>
        <w:t>s</w:t>
      </w:r>
      <w:r w:rsidR="00E54D1E">
        <w:rPr>
          <w:szCs w:val="24"/>
        </w:rPr>
        <w:t>’</w:t>
      </w:r>
      <w:r w:rsidR="00F10E89" w:rsidRPr="006804EB">
        <w:rPr>
          <w:szCs w:val="24"/>
        </w:rPr>
        <w:t>inqui</w:t>
      </w:r>
      <w:r w:rsidR="00F10E89">
        <w:rPr>
          <w:szCs w:val="24"/>
        </w:rPr>
        <w:t xml:space="preserve">ète également de </w:t>
      </w:r>
      <w:r w:rsidR="00F10E89" w:rsidRPr="006804EB">
        <w:rPr>
          <w:szCs w:val="24"/>
        </w:rPr>
        <w:t>l</w:t>
      </w:r>
      <w:r w:rsidR="00E54D1E">
        <w:rPr>
          <w:szCs w:val="24"/>
        </w:rPr>
        <w:t>’</w:t>
      </w:r>
      <w:r w:rsidR="00F10E89" w:rsidRPr="006804EB">
        <w:rPr>
          <w:szCs w:val="24"/>
        </w:rPr>
        <w:t xml:space="preserve">absence de données sur la composition ethnique de la population carcérale et la représentation des minorités ethniques dans </w:t>
      </w:r>
      <w:r w:rsidR="00F10E89">
        <w:rPr>
          <w:szCs w:val="24"/>
        </w:rPr>
        <w:t>la fonction</w:t>
      </w:r>
      <w:r w:rsidR="00F10E89" w:rsidRPr="006804EB">
        <w:rPr>
          <w:szCs w:val="24"/>
        </w:rPr>
        <w:t xml:space="preserve"> </w:t>
      </w:r>
      <w:r w:rsidR="00F10E89">
        <w:rPr>
          <w:szCs w:val="24"/>
        </w:rPr>
        <w:t>publique</w:t>
      </w:r>
      <w:r w:rsidR="00F10E89" w:rsidRPr="006804EB">
        <w:rPr>
          <w:szCs w:val="24"/>
        </w:rPr>
        <w:t xml:space="preserve"> (art.</w:t>
      </w:r>
      <w:r w:rsidR="00E54D1E">
        <w:rPr>
          <w:szCs w:val="24"/>
        </w:rPr>
        <w:t> </w:t>
      </w:r>
      <w:r w:rsidR="00F10E89" w:rsidRPr="006804EB">
        <w:rPr>
          <w:szCs w:val="24"/>
        </w:rPr>
        <w:t>2).</w:t>
      </w:r>
      <w:r w:rsidR="00F10E89">
        <w:rPr>
          <w:szCs w:val="24"/>
        </w:rPr>
        <w:t xml:space="preserve"> </w:t>
      </w:r>
    </w:p>
    <w:p w:rsidR="00F66856" w:rsidRDefault="003C6DD5" w:rsidP="00F10E89">
      <w:pPr>
        <w:pStyle w:val="SingleTxtG"/>
        <w:rPr>
          <w:b/>
          <w:szCs w:val="24"/>
        </w:rPr>
      </w:pPr>
      <w:r>
        <w:rPr>
          <w:b/>
          <w:szCs w:val="24"/>
        </w:rPr>
        <w:t>Appelant l</w:t>
      </w:r>
      <w:r w:rsidR="00E54D1E">
        <w:rPr>
          <w:b/>
          <w:szCs w:val="24"/>
        </w:rPr>
        <w:t>’</w:t>
      </w:r>
      <w:r>
        <w:rPr>
          <w:b/>
          <w:szCs w:val="24"/>
        </w:rPr>
        <w:t>attention sur les directives</w:t>
      </w:r>
      <w:r w:rsidRPr="00A13BE9">
        <w:rPr>
          <w:b/>
          <w:szCs w:val="24"/>
        </w:rPr>
        <w:t xml:space="preserve"> </w:t>
      </w:r>
      <w:r w:rsidR="00F66856" w:rsidRPr="00A13BE9">
        <w:rPr>
          <w:b/>
          <w:szCs w:val="24"/>
        </w:rPr>
        <w:t xml:space="preserve">révisées </w:t>
      </w:r>
      <w:r>
        <w:rPr>
          <w:b/>
          <w:szCs w:val="24"/>
        </w:rPr>
        <w:t>concernant l</w:t>
      </w:r>
      <w:r w:rsidR="00E54D1E">
        <w:rPr>
          <w:b/>
          <w:szCs w:val="24"/>
        </w:rPr>
        <w:t>’</w:t>
      </w:r>
      <w:r>
        <w:rPr>
          <w:b/>
          <w:szCs w:val="24"/>
        </w:rPr>
        <w:t xml:space="preserve">établissement de rapports </w:t>
      </w:r>
      <w:r w:rsidR="00F66856" w:rsidRPr="00A13BE9">
        <w:rPr>
          <w:b/>
          <w:szCs w:val="24"/>
        </w:rPr>
        <w:t>au titre de la Convention (CERD/C/2007/1, par</w:t>
      </w:r>
      <w:r w:rsidR="00E54D1E">
        <w:rPr>
          <w:b/>
          <w:szCs w:val="24"/>
        </w:rPr>
        <w:t>. </w:t>
      </w:r>
      <w:r w:rsidR="00F66856" w:rsidRPr="00A13BE9">
        <w:rPr>
          <w:b/>
          <w:szCs w:val="24"/>
        </w:rPr>
        <w:t xml:space="preserve">10-12) et rappelant sa </w:t>
      </w:r>
      <w:r>
        <w:rPr>
          <w:b/>
          <w:szCs w:val="24"/>
        </w:rPr>
        <w:t>R</w:t>
      </w:r>
      <w:r w:rsidRPr="00A13BE9">
        <w:rPr>
          <w:b/>
          <w:szCs w:val="24"/>
        </w:rPr>
        <w:t xml:space="preserve">ecommandation </w:t>
      </w:r>
      <w:r w:rsidR="00F66856" w:rsidRPr="00A13BE9">
        <w:rPr>
          <w:b/>
          <w:szCs w:val="24"/>
        </w:rPr>
        <w:t xml:space="preserve">générale </w:t>
      </w:r>
      <w:r w:rsidR="001715BE" w:rsidRPr="001715BE">
        <w:rPr>
          <w:rFonts w:eastAsia="MS Mincho"/>
          <w:b/>
          <w:szCs w:val="24"/>
        </w:rPr>
        <w:t>n</w:t>
      </w:r>
      <w:r w:rsidR="001715BE" w:rsidRPr="001715BE">
        <w:rPr>
          <w:rFonts w:eastAsia="MS Mincho"/>
          <w:b/>
          <w:szCs w:val="24"/>
          <w:vertAlign w:val="superscript"/>
        </w:rPr>
        <w:t>o</w:t>
      </w:r>
      <w:r w:rsidR="001715BE">
        <w:rPr>
          <w:b/>
          <w:szCs w:val="24"/>
        </w:rPr>
        <w:t> </w:t>
      </w:r>
      <w:r w:rsidR="00F66856" w:rsidRPr="00A13BE9">
        <w:rPr>
          <w:b/>
          <w:szCs w:val="24"/>
        </w:rPr>
        <w:t>24 (1999) sur les renseignements concernant des personnes qui font partie de races, de</w:t>
      </w:r>
      <w:r>
        <w:rPr>
          <w:b/>
          <w:szCs w:val="24"/>
        </w:rPr>
        <w:t xml:space="preserve"> </w:t>
      </w:r>
      <w:r w:rsidR="00F66856" w:rsidRPr="00A13BE9">
        <w:rPr>
          <w:b/>
          <w:szCs w:val="24"/>
        </w:rPr>
        <w:t>groupes nationaux ou ethniques différents ou de populations autochtones, le Comité recommande à l</w:t>
      </w:r>
      <w:r w:rsidR="00E54D1E">
        <w:rPr>
          <w:b/>
          <w:szCs w:val="24"/>
        </w:rPr>
        <w:t>’</w:t>
      </w:r>
      <w:r w:rsidR="00F66856" w:rsidRPr="00A13BE9">
        <w:rPr>
          <w:b/>
          <w:szCs w:val="24"/>
        </w:rPr>
        <w:t>État partie de recueillir et de publier des données statistiques fiables sur la situation sociale et économique des</w:t>
      </w:r>
      <w:r w:rsidR="00F66856">
        <w:rPr>
          <w:b/>
          <w:szCs w:val="24"/>
        </w:rPr>
        <w:t xml:space="preserve"> groupes ethniques, ventilé</w:t>
      </w:r>
      <w:r w:rsidR="00DD7728">
        <w:rPr>
          <w:b/>
          <w:szCs w:val="24"/>
        </w:rPr>
        <w:t>e</w:t>
      </w:r>
      <w:r w:rsidR="00F66856">
        <w:rPr>
          <w:b/>
          <w:szCs w:val="24"/>
        </w:rPr>
        <w:t>s par zone</w:t>
      </w:r>
      <w:r w:rsidR="00473673">
        <w:rPr>
          <w:b/>
          <w:szCs w:val="24"/>
        </w:rPr>
        <w:t>s</w:t>
      </w:r>
      <w:r w:rsidR="00F66856">
        <w:rPr>
          <w:b/>
          <w:szCs w:val="24"/>
        </w:rPr>
        <w:t xml:space="preserve"> où ces groupes minoritaires sont nombreux, </w:t>
      </w:r>
      <w:r w:rsidR="00DD7728">
        <w:rPr>
          <w:b/>
          <w:szCs w:val="24"/>
        </w:rPr>
        <w:t>en vue de constituer</w:t>
      </w:r>
      <w:r w:rsidR="00F66856">
        <w:rPr>
          <w:b/>
          <w:szCs w:val="24"/>
        </w:rPr>
        <w:t xml:space="preserve"> une base empirique </w:t>
      </w:r>
      <w:r w:rsidR="00DD7728">
        <w:rPr>
          <w:b/>
          <w:szCs w:val="24"/>
        </w:rPr>
        <w:t>appropriée pour l</w:t>
      </w:r>
      <w:r w:rsidR="00E54D1E">
        <w:rPr>
          <w:b/>
          <w:szCs w:val="24"/>
        </w:rPr>
        <w:t>’</w:t>
      </w:r>
      <w:r w:rsidR="00DD7728">
        <w:rPr>
          <w:b/>
          <w:szCs w:val="24"/>
        </w:rPr>
        <w:t xml:space="preserve">établissement de </w:t>
      </w:r>
      <w:r w:rsidR="00F66856">
        <w:rPr>
          <w:b/>
          <w:szCs w:val="24"/>
        </w:rPr>
        <w:t xml:space="preserve">politiques </w:t>
      </w:r>
      <w:r w:rsidR="00DD7728">
        <w:rPr>
          <w:b/>
          <w:szCs w:val="24"/>
        </w:rPr>
        <w:t>et d</w:t>
      </w:r>
      <w:r w:rsidR="00E54D1E">
        <w:rPr>
          <w:b/>
          <w:szCs w:val="24"/>
        </w:rPr>
        <w:t>’</w:t>
      </w:r>
      <w:r w:rsidR="00DD7728">
        <w:rPr>
          <w:b/>
          <w:szCs w:val="24"/>
        </w:rPr>
        <w:t xml:space="preserve">améliorer ainsi </w:t>
      </w:r>
      <w:r w:rsidR="00F66856">
        <w:rPr>
          <w:b/>
          <w:szCs w:val="24"/>
        </w:rPr>
        <w:t>l</w:t>
      </w:r>
      <w:r w:rsidR="00E54D1E">
        <w:rPr>
          <w:b/>
          <w:szCs w:val="24"/>
        </w:rPr>
        <w:t>’</w:t>
      </w:r>
      <w:r w:rsidR="00F66856">
        <w:rPr>
          <w:b/>
          <w:szCs w:val="24"/>
        </w:rPr>
        <w:t>exercice</w:t>
      </w:r>
      <w:r w:rsidR="00DD7728">
        <w:rPr>
          <w:b/>
          <w:szCs w:val="24"/>
        </w:rPr>
        <w:t>, dans des conditions d</w:t>
      </w:r>
      <w:r w:rsidR="00E54D1E">
        <w:rPr>
          <w:b/>
          <w:szCs w:val="24"/>
        </w:rPr>
        <w:t>’</w:t>
      </w:r>
      <w:r w:rsidR="00DD7728">
        <w:rPr>
          <w:b/>
          <w:szCs w:val="24"/>
        </w:rPr>
        <w:t>égalité,</w:t>
      </w:r>
      <w:r w:rsidR="00F66856">
        <w:rPr>
          <w:b/>
          <w:szCs w:val="24"/>
        </w:rPr>
        <w:t xml:space="preserve"> des droits consacrés par la Convention au Kazakhstan. Le Comité recommande également à l</w:t>
      </w:r>
      <w:r w:rsidR="00E54D1E">
        <w:rPr>
          <w:b/>
          <w:szCs w:val="24"/>
        </w:rPr>
        <w:t>’</w:t>
      </w:r>
      <w:r w:rsidR="00F66856">
        <w:rPr>
          <w:b/>
          <w:szCs w:val="24"/>
        </w:rPr>
        <w:t xml:space="preserve">État partie de recueillir des données sur la composition ethnique de la population carcérale et sur la représentation des groupes minoritaires dans la fonction </w:t>
      </w:r>
      <w:r w:rsidR="00DD7728">
        <w:rPr>
          <w:b/>
          <w:szCs w:val="24"/>
        </w:rPr>
        <w:t>publique</w:t>
      </w:r>
      <w:r w:rsidR="00F66856">
        <w:rPr>
          <w:b/>
          <w:szCs w:val="24"/>
        </w:rPr>
        <w:t xml:space="preserve">. </w:t>
      </w:r>
      <w:r w:rsidR="00DD7728">
        <w:rPr>
          <w:b/>
          <w:szCs w:val="24"/>
        </w:rPr>
        <w:t>En</w:t>
      </w:r>
      <w:r w:rsidR="00F66856">
        <w:rPr>
          <w:b/>
          <w:szCs w:val="24"/>
        </w:rPr>
        <w:t xml:space="preserve"> outre, il </w:t>
      </w:r>
      <w:r w:rsidR="00DD7728">
        <w:rPr>
          <w:b/>
          <w:szCs w:val="24"/>
        </w:rPr>
        <w:t>demande</w:t>
      </w:r>
      <w:r w:rsidR="00F66856">
        <w:rPr>
          <w:b/>
          <w:szCs w:val="24"/>
        </w:rPr>
        <w:t xml:space="preserve"> de lui fournir ces informations dans son prochain rapport périodique.</w:t>
      </w:r>
    </w:p>
    <w:p w:rsidR="00F66856" w:rsidRDefault="00A13BE9" w:rsidP="00A13BE9">
      <w:pPr>
        <w:pStyle w:val="H23G"/>
      </w:pPr>
      <w:r>
        <w:tab/>
      </w:r>
      <w:r>
        <w:tab/>
      </w:r>
      <w:r w:rsidR="00F66856">
        <w:t>Mesures spéciales</w:t>
      </w:r>
    </w:p>
    <w:p w:rsidR="00F66856" w:rsidRDefault="00F66856" w:rsidP="00F66856">
      <w:pPr>
        <w:pStyle w:val="ParNoG"/>
        <w:rPr>
          <w:szCs w:val="24"/>
        </w:rPr>
      </w:pPr>
      <w:r>
        <w:rPr>
          <w:szCs w:val="24"/>
        </w:rPr>
        <w:t>Tout en notant que l</w:t>
      </w:r>
      <w:r w:rsidR="00E54D1E">
        <w:rPr>
          <w:szCs w:val="24"/>
        </w:rPr>
        <w:t>’</w:t>
      </w:r>
      <w:r>
        <w:rPr>
          <w:szCs w:val="24"/>
        </w:rPr>
        <w:t xml:space="preserve">État partie a pris des mesures </w:t>
      </w:r>
      <w:r w:rsidR="00DD7728">
        <w:rPr>
          <w:szCs w:val="24"/>
        </w:rPr>
        <w:t>pour</w:t>
      </w:r>
      <w:r>
        <w:rPr>
          <w:szCs w:val="24"/>
        </w:rPr>
        <w:t xml:space="preserve"> faciliter, notamment, la représentation des </w:t>
      </w:r>
      <w:r w:rsidR="00DD7728">
        <w:rPr>
          <w:szCs w:val="24"/>
        </w:rPr>
        <w:t>minorités ethniques</w:t>
      </w:r>
      <w:r>
        <w:rPr>
          <w:szCs w:val="24"/>
        </w:rPr>
        <w:t xml:space="preserve"> à la Chambre basse du Parlement et l</w:t>
      </w:r>
      <w:r w:rsidR="00E54D1E">
        <w:rPr>
          <w:szCs w:val="24"/>
        </w:rPr>
        <w:t>’</w:t>
      </w:r>
      <w:r>
        <w:rPr>
          <w:szCs w:val="24"/>
        </w:rPr>
        <w:t>éducation dans les langues des minorités ethniques dans l</w:t>
      </w:r>
      <w:r w:rsidR="00E54D1E">
        <w:rPr>
          <w:szCs w:val="24"/>
        </w:rPr>
        <w:t>’</w:t>
      </w:r>
      <w:r>
        <w:rPr>
          <w:szCs w:val="24"/>
        </w:rPr>
        <w:t xml:space="preserve">enseignement public, le Comité </w:t>
      </w:r>
      <w:r w:rsidR="00DD7728">
        <w:rPr>
          <w:szCs w:val="24"/>
        </w:rPr>
        <w:t>constate avec préoccupation</w:t>
      </w:r>
      <w:r>
        <w:rPr>
          <w:szCs w:val="24"/>
        </w:rPr>
        <w:t xml:space="preserve"> que l</w:t>
      </w:r>
      <w:r w:rsidR="00E54D1E">
        <w:rPr>
          <w:szCs w:val="24"/>
        </w:rPr>
        <w:t>’</w:t>
      </w:r>
      <w:r>
        <w:rPr>
          <w:szCs w:val="24"/>
        </w:rPr>
        <w:t>État partie semble considérer que les mesures spéciales visent à introduire une «inégalité artificielle</w:t>
      </w:r>
      <w:r w:rsidR="00DD7728">
        <w:rPr>
          <w:szCs w:val="24"/>
        </w:rPr>
        <w:t>»</w:t>
      </w:r>
      <w:r>
        <w:rPr>
          <w:szCs w:val="24"/>
        </w:rPr>
        <w:t xml:space="preserve"> ou des droits distincts ou inégaux pour les différents groupes ethniques (art.</w:t>
      </w:r>
      <w:r w:rsidR="00DD7728">
        <w:rPr>
          <w:szCs w:val="24"/>
        </w:rPr>
        <w:t> </w:t>
      </w:r>
      <w:r>
        <w:rPr>
          <w:szCs w:val="24"/>
        </w:rPr>
        <w:t>1</w:t>
      </w:r>
      <w:r w:rsidR="00473673">
        <w:rPr>
          <w:szCs w:val="24"/>
        </w:rPr>
        <w:t>,</w:t>
      </w:r>
      <w:r>
        <w:rPr>
          <w:szCs w:val="24"/>
        </w:rPr>
        <w:t xml:space="preserve"> par.</w:t>
      </w:r>
      <w:r w:rsidR="00DD7728">
        <w:rPr>
          <w:szCs w:val="24"/>
        </w:rPr>
        <w:t> </w:t>
      </w:r>
      <w:r>
        <w:rPr>
          <w:szCs w:val="24"/>
        </w:rPr>
        <w:t>4</w:t>
      </w:r>
      <w:r w:rsidR="00473673">
        <w:rPr>
          <w:szCs w:val="24"/>
        </w:rPr>
        <w:t xml:space="preserve">, </w:t>
      </w:r>
      <w:r>
        <w:rPr>
          <w:szCs w:val="24"/>
        </w:rPr>
        <w:t>et art</w:t>
      </w:r>
      <w:r w:rsidR="00DD7728">
        <w:rPr>
          <w:szCs w:val="24"/>
        </w:rPr>
        <w:t>. </w:t>
      </w:r>
      <w:r>
        <w:rPr>
          <w:szCs w:val="24"/>
        </w:rPr>
        <w:t>2</w:t>
      </w:r>
      <w:r w:rsidR="00473673">
        <w:rPr>
          <w:szCs w:val="24"/>
        </w:rPr>
        <w:t>,</w:t>
      </w:r>
      <w:r>
        <w:rPr>
          <w:szCs w:val="24"/>
        </w:rPr>
        <w:t xml:space="preserve"> par</w:t>
      </w:r>
      <w:r w:rsidR="00DD7728">
        <w:rPr>
          <w:szCs w:val="24"/>
        </w:rPr>
        <w:t>. </w:t>
      </w:r>
      <w:r>
        <w:rPr>
          <w:szCs w:val="24"/>
        </w:rPr>
        <w:t>2).</w:t>
      </w:r>
    </w:p>
    <w:p w:rsidR="00F66856" w:rsidRDefault="00F66856" w:rsidP="00F10E89">
      <w:pPr>
        <w:pStyle w:val="SingleTxtG"/>
        <w:rPr>
          <w:b/>
          <w:szCs w:val="24"/>
        </w:rPr>
      </w:pPr>
      <w:r w:rsidRPr="00A13BE9">
        <w:rPr>
          <w:b/>
          <w:szCs w:val="24"/>
        </w:rPr>
        <w:t xml:space="preserve">Rappelant sa </w:t>
      </w:r>
      <w:r w:rsidR="00DD7728">
        <w:rPr>
          <w:b/>
          <w:szCs w:val="24"/>
        </w:rPr>
        <w:t>R</w:t>
      </w:r>
      <w:r w:rsidR="00DD7728" w:rsidRPr="00A13BE9">
        <w:rPr>
          <w:b/>
          <w:szCs w:val="24"/>
        </w:rPr>
        <w:t xml:space="preserve">ecommandation </w:t>
      </w:r>
      <w:r w:rsidRPr="00A13BE9">
        <w:rPr>
          <w:b/>
          <w:szCs w:val="24"/>
        </w:rPr>
        <w:t xml:space="preserve">générale </w:t>
      </w:r>
      <w:r w:rsidR="001715BE" w:rsidRPr="001715BE">
        <w:rPr>
          <w:rFonts w:eastAsia="MS Mincho"/>
          <w:b/>
          <w:szCs w:val="24"/>
        </w:rPr>
        <w:t>n</w:t>
      </w:r>
      <w:r w:rsidR="001715BE" w:rsidRPr="001715BE">
        <w:rPr>
          <w:rFonts w:eastAsia="MS Mincho"/>
          <w:b/>
          <w:szCs w:val="24"/>
          <w:vertAlign w:val="superscript"/>
        </w:rPr>
        <w:t>o</w:t>
      </w:r>
      <w:r w:rsidR="001715BE">
        <w:rPr>
          <w:b/>
          <w:szCs w:val="24"/>
        </w:rPr>
        <w:t> </w:t>
      </w:r>
      <w:r w:rsidRPr="00A13BE9">
        <w:rPr>
          <w:b/>
          <w:szCs w:val="24"/>
        </w:rPr>
        <w:t xml:space="preserve">32 </w:t>
      </w:r>
      <w:r w:rsidR="00473673">
        <w:rPr>
          <w:b/>
          <w:szCs w:val="24"/>
        </w:rPr>
        <w:t xml:space="preserve">(2009) </w:t>
      </w:r>
      <w:r w:rsidRPr="00A13BE9">
        <w:rPr>
          <w:b/>
          <w:szCs w:val="24"/>
        </w:rPr>
        <w:t>sur la signification et la portée des mesures spéciales dans la Convention, le Comité recommande à l</w:t>
      </w:r>
      <w:r w:rsidR="00E54D1E">
        <w:rPr>
          <w:b/>
          <w:szCs w:val="24"/>
        </w:rPr>
        <w:t>’</w:t>
      </w:r>
      <w:r w:rsidR="00A13BE9">
        <w:rPr>
          <w:b/>
          <w:szCs w:val="24"/>
        </w:rPr>
        <w:t>É</w:t>
      </w:r>
      <w:r w:rsidRPr="00A13BE9">
        <w:rPr>
          <w:b/>
          <w:szCs w:val="24"/>
        </w:rPr>
        <w:t xml:space="preserve">tat partie </w:t>
      </w:r>
      <w:r w:rsidR="00DD7728" w:rsidRPr="00A13BE9">
        <w:rPr>
          <w:b/>
          <w:szCs w:val="24"/>
        </w:rPr>
        <w:t>d</w:t>
      </w:r>
      <w:r w:rsidR="00DD7728">
        <w:rPr>
          <w:b/>
          <w:szCs w:val="24"/>
        </w:rPr>
        <w:t>e modifier</w:t>
      </w:r>
      <w:r w:rsidR="00DD7728" w:rsidRPr="00A13BE9">
        <w:rPr>
          <w:b/>
          <w:szCs w:val="24"/>
        </w:rPr>
        <w:t xml:space="preserve"> </w:t>
      </w:r>
      <w:r w:rsidRPr="00A13BE9">
        <w:rPr>
          <w:b/>
          <w:szCs w:val="24"/>
        </w:rPr>
        <w:t xml:space="preserve">sa législation </w:t>
      </w:r>
      <w:r w:rsidR="00F10E89">
        <w:rPr>
          <w:b/>
          <w:szCs w:val="24"/>
        </w:rPr>
        <w:t xml:space="preserve">pour </w:t>
      </w:r>
      <w:r w:rsidR="00DD7728">
        <w:rPr>
          <w:b/>
          <w:szCs w:val="24"/>
        </w:rPr>
        <w:t>prévoir la possibilité</w:t>
      </w:r>
      <w:r w:rsidRPr="00A13BE9">
        <w:rPr>
          <w:b/>
          <w:szCs w:val="24"/>
        </w:rPr>
        <w:t xml:space="preserve"> d</w:t>
      </w:r>
      <w:r w:rsidR="00E54D1E">
        <w:rPr>
          <w:b/>
          <w:szCs w:val="24"/>
        </w:rPr>
        <w:t>’</w:t>
      </w:r>
      <w:r w:rsidRPr="00A13BE9">
        <w:rPr>
          <w:b/>
          <w:szCs w:val="24"/>
        </w:rPr>
        <w:t xml:space="preserve">adopter des mesures </w:t>
      </w:r>
      <w:r w:rsidR="00DD7728">
        <w:rPr>
          <w:b/>
          <w:szCs w:val="24"/>
        </w:rPr>
        <w:t xml:space="preserve">spéciales </w:t>
      </w:r>
      <w:r w:rsidRPr="00A13BE9">
        <w:rPr>
          <w:b/>
          <w:szCs w:val="24"/>
        </w:rPr>
        <w:t>visant à promouvoir l</w:t>
      </w:r>
      <w:r w:rsidR="00E54D1E">
        <w:rPr>
          <w:b/>
          <w:szCs w:val="24"/>
        </w:rPr>
        <w:t>’</w:t>
      </w:r>
      <w:r w:rsidRPr="00A13BE9">
        <w:rPr>
          <w:b/>
          <w:szCs w:val="24"/>
        </w:rPr>
        <w:t>égalité des chances et</w:t>
      </w:r>
      <w:r w:rsidR="00DD7728">
        <w:rPr>
          <w:b/>
          <w:szCs w:val="24"/>
        </w:rPr>
        <w:t xml:space="preserve"> d</w:t>
      </w:r>
      <w:r w:rsidRPr="00A13BE9">
        <w:rPr>
          <w:b/>
          <w:szCs w:val="24"/>
        </w:rPr>
        <w:t xml:space="preserve"> améliorer les stratégies de lutte contre l</w:t>
      </w:r>
      <w:r w:rsidR="00E54D1E">
        <w:rPr>
          <w:b/>
          <w:szCs w:val="24"/>
        </w:rPr>
        <w:t>’</w:t>
      </w:r>
      <w:r w:rsidRPr="00A13BE9">
        <w:rPr>
          <w:b/>
          <w:szCs w:val="24"/>
        </w:rPr>
        <w:t>inégalité et la</w:t>
      </w:r>
      <w:r>
        <w:rPr>
          <w:b/>
          <w:szCs w:val="24"/>
        </w:rPr>
        <w:t xml:space="preserve"> discrimination, conformément </w:t>
      </w:r>
      <w:r w:rsidR="00DD7728">
        <w:rPr>
          <w:b/>
          <w:szCs w:val="24"/>
        </w:rPr>
        <w:t xml:space="preserve">au paragraphe 4 de </w:t>
      </w:r>
      <w:r>
        <w:rPr>
          <w:b/>
          <w:szCs w:val="24"/>
        </w:rPr>
        <w:t>l</w:t>
      </w:r>
      <w:r w:rsidR="00E54D1E">
        <w:rPr>
          <w:b/>
          <w:szCs w:val="24"/>
        </w:rPr>
        <w:t>’</w:t>
      </w:r>
      <w:r>
        <w:rPr>
          <w:b/>
          <w:szCs w:val="24"/>
        </w:rPr>
        <w:t xml:space="preserve">article premier, et </w:t>
      </w:r>
      <w:r w:rsidR="00DD7728">
        <w:rPr>
          <w:b/>
          <w:szCs w:val="24"/>
        </w:rPr>
        <w:t>au paragraphe 2 de l</w:t>
      </w:r>
      <w:r w:rsidR="00E54D1E">
        <w:rPr>
          <w:b/>
          <w:szCs w:val="24"/>
        </w:rPr>
        <w:t>’</w:t>
      </w:r>
      <w:r w:rsidR="00DD7728">
        <w:rPr>
          <w:b/>
          <w:szCs w:val="24"/>
        </w:rPr>
        <w:t>article 2</w:t>
      </w:r>
      <w:r>
        <w:rPr>
          <w:b/>
          <w:szCs w:val="24"/>
        </w:rPr>
        <w:t xml:space="preserve"> de la Convention. </w:t>
      </w:r>
    </w:p>
    <w:p w:rsidR="00F66856" w:rsidRDefault="001715BE" w:rsidP="001715BE">
      <w:pPr>
        <w:pStyle w:val="H23G"/>
      </w:pPr>
      <w:r>
        <w:tab/>
      </w:r>
      <w:r>
        <w:tab/>
      </w:r>
      <w:r w:rsidR="00F66856">
        <w:t xml:space="preserve">Représentation des minorités dans la vie politique et </w:t>
      </w:r>
      <w:r w:rsidR="00DD7728">
        <w:t>la fonction publique</w:t>
      </w:r>
      <w:r w:rsidR="00F66856">
        <w:t xml:space="preserve"> </w:t>
      </w:r>
    </w:p>
    <w:p w:rsidR="00F66856" w:rsidRPr="00CA48A5" w:rsidRDefault="00F66856" w:rsidP="00F66856">
      <w:pPr>
        <w:pStyle w:val="ParNoG"/>
        <w:rPr>
          <w:szCs w:val="24"/>
        </w:rPr>
      </w:pPr>
      <w:r w:rsidRPr="00CA48A5">
        <w:rPr>
          <w:szCs w:val="24"/>
        </w:rPr>
        <w:t xml:space="preserve">Le Comité est préoccupé par la </w:t>
      </w:r>
      <w:proofErr w:type="spellStart"/>
      <w:r w:rsidRPr="00CA48A5">
        <w:rPr>
          <w:szCs w:val="24"/>
        </w:rPr>
        <w:t>sous-représentation</w:t>
      </w:r>
      <w:proofErr w:type="spellEnd"/>
      <w:r w:rsidRPr="00CA48A5">
        <w:rPr>
          <w:szCs w:val="24"/>
        </w:rPr>
        <w:t xml:space="preserve"> des minorités, en particulie</w:t>
      </w:r>
      <w:r>
        <w:rPr>
          <w:szCs w:val="24"/>
        </w:rPr>
        <w:t>r des groupes ethniques non</w:t>
      </w:r>
      <w:r w:rsidR="00F10E89">
        <w:rPr>
          <w:szCs w:val="24"/>
        </w:rPr>
        <w:t xml:space="preserve"> </w:t>
      </w:r>
      <w:r w:rsidR="00473673">
        <w:rPr>
          <w:szCs w:val="24"/>
        </w:rPr>
        <w:t>kazakhs</w:t>
      </w:r>
      <w:r w:rsidRPr="00CA48A5">
        <w:rPr>
          <w:szCs w:val="24"/>
        </w:rPr>
        <w:t>, dans la vie politique et la prise de décision</w:t>
      </w:r>
      <w:r w:rsidR="00DD7728">
        <w:rPr>
          <w:szCs w:val="24"/>
        </w:rPr>
        <w:t>s</w:t>
      </w:r>
      <w:r w:rsidRPr="00CA48A5">
        <w:rPr>
          <w:szCs w:val="24"/>
        </w:rPr>
        <w:t xml:space="preserve"> au niveau </w:t>
      </w:r>
      <w:r w:rsidR="00DD7728">
        <w:rPr>
          <w:szCs w:val="24"/>
        </w:rPr>
        <w:t xml:space="preserve">des municipalités </w:t>
      </w:r>
      <w:r w:rsidRPr="00CA48A5">
        <w:rPr>
          <w:szCs w:val="24"/>
        </w:rPr>
        <w:t>des district</w:t>
      </w:r>
      <w:r>
        <w:rPr>
          <w:szCs w:val="24"/>
        </w:rPr>
        <w:t xml:space="preserve">s, </w:t>
      </w:r>
      <w:r w:rsidR="00DD7728">
        <w:rPr>
          <w:szCs w:val="24"/>
        </w:rPr>
        <w:t xml:space="preserve">des régions </w:t>
      </w:r>
      <w:r>
        <w:rPr>
          <w:szCs w:val="24"/>
        </w:rPr>
        <w:t xml:space="preserve">et </w:t>
      </w:r>
      <w:r w:rsidR="00DD7728">
        <w:rPr>
          <w:szCs w:val="24"/>
        </w:rPr>
        <w:t>de l</w:t>
      </w:r>
      <w:r w:rsidR="00E54D1E">
        <w:rPr>
          <w:szCs w:val="24"/>
        </w:rPr>
        <w:t>’</w:t>
      </w:r>
      <w:r w:rsidR="00DD7728">
        <w:rPr>
          <w:szCs w:val="24"/>
        </w:rPr>
        <w:t>État</w:t>
      </w:r>
      <w:r>
        <w:rPr>
          <w:szCs w:val="24"/>
        </w:rPr>
        <w:t xml:space="preserve">, </w:t>
      </w:r>
      <w:r w:rsidR="00DD7728">
        <w:rPr>
          <w:szCs w:val="24"/>
        </w:rPr>
        <w:t>d</w:t>
      </w:r>
      <w:r w:rsidR="00E54D1E">
        <w:rPr>
          <w:szCs w:val="24"/>
        </w:rPr>
        <w:t>’</w:t>
      </w:r>
      <w:r w:rsidR="00DD7728">
        <w:rPr>
          <w:szCs w:val="24"/>
        </w:rPr>
        <w:t>après les</w:t>
      </w:r>
      <w:r>
        <w:rPr>
          <w:szCs w:val="24"/>
        </w:rPr>
        <w:t xml:space="preserve"> données relatives aux</w:t>
      </w:r>
      <w:r w:rsidRPr="00CA48A5">
        <w:rPr>
          <w:szCs w:val="24"/>
        </w:rPr>
        <w:t xml:space="preserve"> élections de 2012 et </w:t>
      </w:r>
      <w:r w:rsidR="00DD7728">
        <w:rPr>
          <w:szCs w:val="24"/>
        </w:rPr>
        <w:t xml:space="preserve">le </w:t>
      </w:r>
      <w:r w:rsidRPr="00CA48A5">
        <w:rPr>
          <w:szCs w:val="24"/>
        </w:rPr>
        <w:t xml:space="preserve">dernier recensement. </w:t>
      </w:r>
      <w:r>
        <w:rPr>
          <w:szCs w:val="24"/>
        </w:rPr>
        <w:t xml:space="preserve">Prenant acte </w:t>
      </w:r>
      <w:r w:rsidRPr="00CA48A5">
        <w:rPr>
          <w:szCs w:val="24"/>
        </w:rPr>
        <w:t xml:space="preserve">des réformes électorales de 2007 et de </w:t>
      </w:r>
      <w:r>
        <w:rPr>
          <w:szCs w:val="24"/>
        </w:rPr>
        <w:t>la représentation des minorités</w:t>
      </w:r>
      <w:r w:rsidRPr="00CA48A5">
        <w:rPr>
          <w:szCs w:val="24"/>
        </w:rPr>
        <w:t xml:space="preserve"> à</w:t>
      </w:r>
      <w:r>
        <w:rPr>
          <w:szCs w:val="24"/>
        </w:rPr>
        <w:t xml:space="preserve"> l</w:t>
      </w:r>
      <w:r w:rsidR="00E54D1E">
        <w:rPr>
          <w:szCs w:val="24"/>
        </w:rPr>
        <w:t>’</w:t>
      </w:r>
      <w:r>
        <w:rPr>
          <w:szCs w:val="24"/>
        </w:rPr>
        <w:t xml:space="preserve">Assemblée du peuple </w:t>
      </w:r>
      <w:r w:rsidR="00473673">
        <w:rPr>
          <w:szCs w:val="24"/>
        </w:rPr>
        <w:t xml:space="preserve">kazakh </w:t>
      </w:r>
      <w:r>
        <w:rPr>
          <w:szCs w:val="24"/>
        </w:rPr>
        <w:t>(Assemblée du peuple), le C</w:t>
      </w:r>
      <w:r w:rsidRPr="00CA48A5">
        <w:rPr>
          <w:szCs w:val="24"/>
        </w:rPr>
        <w:t xml:space="preserve">omité </w:t>
      </w:r>
      <w:r>
        <w:rPr>
          <w:szCs w:val="24"/>
        </w:rPr>
        <w:t xml:space="preserve">est </w:t>
      </w:r>
      <w:r w:rsidRPr="00CA48A5">
        <w:rPr>
          <w:szCs w:val="24"/>
        </w:rPr>
        <w:t>préoccupé par la participation toujours limitée des minorités, en pa</w:t>
      </w:r>
      <w:r>
        <w:rPr>
          <w:szCs w:val="24"/>
        </w:rPr>
        <w:t>rticulier dans les deux Chambres du Parlement</w:t>
      </w:r>
      <w:r w:rsidR="00DD7728">
        <w:rPr>
          <w:szCs w:val="24"/>
        </w:rPr>
        <w:t xml:space="preserve">, </w:t>
      </w:r>
      <w:r>
        <w:rPr>
          <w:szCs w:val="24"/>
        </w:rPr>
        <w:t xml:space="preserve">le </w:t>
      </w:r>
      <w:proofErr w:type="spellStart"/>
      <w:r w:rsidRPr="001D4DB7">
        <w:rPr>
          <w:i/>
          <w:szCs w:val="24"/>
        </w:rPr>
        <w:t>Majilis</w:t>
      </w:r>
      <w:proofErr w:type="spellEnd"/>
      <w:r>
        <w:rPr>
          <w:szCs w:val="24"/>
        </w:rPr>
        <w:t xml:space="preserve"> et le Sénat. Il</w:t>
      </w:r>
      <w:r w:rsidRPr="00CA48A5">
        <w:rPr>
          <w:szCs w:val="24"/>
        </w:rPr>
        <w:t xml:space="preserve"> est également préoccupé par le fait que la représentation </w:t>
      </w:r>
      <w:r>
        <w:rPr>
          <w:szCs w:val="24"/>
        </w:rPr>
        <w:t xml:space="preserve">des minorités ethniques par neuf </w:t>
      </w:r>
      <w:r w:rsidRPr="00CA48A5">
        <w:rPr>
          <w:szCs w:val="24"/>
        </w:rPr>
        <w:t xml:space="preserve">députés élus </w:t>
      </w:r>
      <w:r>
        <w:rPr>
          <w:szCs w:val="24"/>
        </w:rPr>
        <w:t xml:space="preserve">au </w:t>
      </w:r>
      <w:proofErr w:type="spellStart"/>
      <w:r w:rsidRPr="00473673">
        <w:rPr>
          <w:i/>
          <w:szCs w:val="24"/>
        </w:rPr>
        <w:t>Majilis</w:t>
      </w:r>
      <w:proofErr w:type="spellEnd"/>
      <w:r>
        <w:rPr>
          <w:szCs w:val="24"/>
        </w:rPr>
        <w:t xml:space="preserve"> par l</w:t>
      </w:r>
      <w:r w:rsidR="00E54D1E">
        <w:rPr>
          <w:szCs w:val="24"/>
        </w:rPr>
        <w:t>’</w:t>
      </w:r>
      <w:r>
        <w:rPr>
          <w:szCs w:val="24"/>
        </w:rPr>
        <w:t>As</w:t>
      </w:r>
      <w:r w:rsidRPr="00CA48A5">
        <w:rPr>
          <w:szCs w:val="24"/>
        </w:rPr>
        <w:t>semblée du peuple n</w:t>
      </w:r>
      <w:r w:rsidR="00E54D1E">
        <w:rPr>
          <w:szCs w:val="24"/>
        </w:rPr>
        <w:t>’</w:t>
      </w:r>
      <w:r w:rsidRPr="00CA48A5">
        <w:rPr>
          <w:szCs w:val="24"/>
        </w:rPr>
        <w:t xml:space="preserve">est pas pleinement proportionnelle à </w:t>
      </w:r>
      <w:r w:rsidR="00DD7728">
        <w:rPr>
          <w:szCs w:val="24"/>
        </w:rPr>
        <w:t>l</w:t>
      </w:r>
      <w:r w:rsidR="00E54D1E">
        <w:rPr>
          <w:szCs w:val="24"/>
        </w:rPr>
        <w:t>’</w:t>
      </w:r>
      <w:r w:rsidR="00DD7728">
        <w:rPr>
          <w:szCs w:val="24"/>
        </w:rPr>
        <w:t>importance</w:t>
      </w:r>
      <w:r>
        <w:rPr>
          <w:szCs w:val="24"/>
        </w:rPr>
        <w:t xml:space="preserve"> des minorités ethniques. Le Co</w:t>
      </w:r>
      <w:r w:rsidRPr="00CA48A5">
        <w:rPr>
          <w:szCs w:val="24"/>
        </w:rPr>
        <w:t>mité est aussi préoccupé par les informations selon lesqu</w:t>
      </w:r>
      <w:r>
        <w:rPr>
          <w:szCs w:val="24"/>
        </w:rPr>
        <w:t>elles les groupes ethniques non</w:t>
      </w:r>
      <w:r w:rsidR="00F10E89">
        <w:rPr>
          <w:szCs w:val="24"/>
        </w:rPr>
        <w:t xml:space="preserve"> </w:t>
      </w:r>
      <w:r w:rsidR="00473673">
        <w:rPr>
          <w:szCs w:val="24"/>
        </w:rPr>
        <w:t>kaz</w:t>
      </w:r>
      <w:r w:rsidR="00473673" w:rsidRPr="00CA48A5">
        <w:rPr>
          <w:szCs w:val="24"/>
        </w:rPr>
        <w:t xml:space="preserve">akhs </w:t>
      </w:r>
      <w:r w:rsidRPr="00CA48A5">
        <w:rPr>
          <w:szCs w:val="24"/>
        </w:rPr>
        <w:t xml:space="preserve">sont particulièrement </w:t>
      </w:r>
      <w:r w:rsidR="00DD7728">
        <w:rPr>
          <w:szCs w:val="24"/>
        </w:rPr>
        <w:t>sous-</w:t>
      </w:r>
      <w:r w:rsidR="00DD7728" w:rsidRPr="00CA48A5">
        <w:rPr>
          <w:szCs w:val="24"/>
        </w:rPr>
        <w:t xml:space="preserve">représentés </w:t>
      </w:r>
      <w:r w:rsidRPr="00CA48A5">
        <w:rPr>
          <w:szCs w:val="24"/>
        </w:rPr>
        <w:t xml:space="preserve">dans </w:t>
      </w:r>
      <w:r>
        <w:rPr>
          <w:szCs w:val="24"/>
        </w:rPr>
        <w:t>la fonction</w:t>
      </w:r>
      <w:r w:rsidRPr="00CA48A5">
        <w:rPr>
          <w:szCs w:val="24"/>
        </w:rPr>
        <w:t xml:space="preserve"> </w:t>
      </w:r>
      <w:r w:rsidR="00DD7728">
        <w:rPr>
          <w:szCs w:val="24"/>
        </w:rPr>
        <w:t xml:space="preserve">publique </w:t>
      </w:r>
      <w:r w:rsidRPr="00CA48A5">
        <w:rPr>
          <w:szCs w:val="24"/>
        </w:rPr>
        <w:t>(art.</w:t>
      </w:r>
      <w:r w:rsidR="001715BE">
        <w:rPr>
          <w:szCs w:val="24"/>
        </w:rPr>
        <w:t> </w:t>
      </w:r>
      <w:r w:rsidRPr="00CA48A5">
        <w:rPr>
          <w:szCs w:val="24"/>
        </w:rPr>
        <w:t>1, par.</w:t>
      </w:r>
      <w:r w:rsidR="001715BE">
        <w:rPr>
          <w:szCs w:val="24"/>
        </w:rPr>
        <w:t> </w:t>
      </w:r>
      <w:r w:rsidRPr="00CA48A5">
        <w:rPr>
          <w:szCs w:val="24"/>
        </w:rPr>
        <w:t>4</w:t>
      </w:r>
      <w:r w:rsidR="00473673">
        <w:rPr>
          <w:szCs w:val="24"/>
        </w:rPr>
        <w:t xml:space="preserve">, </w:t>
      </w:r>
      <w:r w:rsidRPr="00CA48A5">
        <w:rPr>
          <w:szCs w:val="24"/>
        </w:rPr>
        <w:t>2, par.</w:t>
      </w:r>
      <w:r w:rsidR="001715BE">
        <w:rPr>
          <w:szCs w:val="24"/>
        </w:rPr>
        <w:t> </w:t>
      </w:r>
      <w:r w:rsidRPr="00CA48A5">
        <w:rPr>
          <w:szCs w:val="24"/>
        </w:rPr>
        <w:t>2</w:t>
      </w:r>
      <w:r w:rsidR="004306DD">
        <w:rPr>
          <w:szCs w:val="24"/>
        </w:rPr>
        <w:t>,</w:t>
      </w:r>
      <w:r w:rsidR="00473673">
        <w:rPr>
          <w:szCs w:val="24"/>
        </w:rPr>
        <w:t xml:space="preserve"> </w:t>
      </w:r>
      <w:r w:rsidRPr="00CA48A5">
        <w:rPr>
          <w:szCs w:val="24"/>
        </w:rPr>
        <w:t>et 5 c) et e) i)).</w:t>
      </w:r>
    </w:p>
    <w:p w:rsidR="00F66856" w:rsidRDefault="00F66856" w:rsidP="00F10E89">
      <w:pPr>
        <w:pStyle w:val="SingleTxtG"/>
        <w:rPr>
          <w:b/>
          <w:szCs w:val="24"/>
        </w:rPr>
      </w:pPr>
      <w:r>
        <w:rPr>
          <w:b/>
          <w:szCs w:val="24"/>
        </w:rPr>
        <w:t>Rappelant ses recommandations antérieure</w:t>
      </w:r>
      <w:r w:rsidR="001715BE">
        <w:rPr>
          <w:b/>
          <w:szCs w:val="24"/>
        </w:rPr>
        <w:t>s (CERD/C/KAZ/CO/4-5, par. 11 et </w:t>
      </w:r>
      <w:r>
        <w:rPr>
          <w:b/>
          <w:szCs w:val="24"/>
        </w:rPr>
        <w:t>12), le Comité encourage l</w:t>
      </w:r>
      <w:r w:rsidR="00E54D1E">
        <w:rPr>
          <w:b/>
          <w:szCs w:val="24"/>
        </w:rPr>
        <w:t>’</w:t>
      </w:r>
      <w:r>
        <w:rPr>
          <w:b/>
          <w:szCs w:val="24"/>
        </w:rPr>
        <w:t>État partie à:</w:t>
      </w:r>
    </w:p>
    <w:p w:rsidR="00F66856" w:rsidRDefault="001715BE" w:rsidP="001715BE">
      <w:pPr>
        <w:pStyle w:val="SingleTxtG"/>
        <w:ind w:firstLine="567"/>
        <w:rPr>
          <w:b/>
          <w:szCs w:val="24"/>
        </w:rPr>
      </w:pPr>
      <w:r>
        <w:rPr>
          <w:b/>
          <w:szCs w:val="24"/>
        </w:rPr>
        <w:t>a)</w:t>
      </w:r>
      <w:r>
        <w:rPr>
          <w:b/>
          <w:szCs w:val="24"/>
        </w:rPr>
        <w:tab/>
      </w:r>
      <w:r w:rsidR="00F66856">
        <w:rPr>
          <w:b/>
          <w:szCs w:val="24"/>
        </w:rPr>
        <w:t xml:space="preserve">Garantir la représentation juste et adéquate des groupes minoritaires </w:t>
      </w:r>
      <w:r w:rsidR="00DD7728">
        <w:rPr>
          <w:b/>
          <w:szCs w:val="24"/>
        </w:rPr>
        <w:t xml:space="preserve">dans </w:t>
      </w:r>
      <w:r w:rsidR="00F66856">
        <w:rPr>
          <w:b/>
          <w:szCs w:val="24"/>
        </w:rPr>
        <w:t xml:space="preserve">la vie politique et </w:t>
      </w:r>
      <w:r w:rsidR="00DD7728">
        <w:rPr>
          <w:b/>
          <w:szCs w:val="24"/>
        </w:rPr>
        <w:t xml:space="preserve">les </w:t>
      </w:r>
      <w:r w:rsidR="00F66856">
        <w:rPr>
          <w:b/>
          <w:szCs w:val="24"/>
        </w:rPr>
        <w:t>organes décisionnels à tous les niveaux, notamment en adoptant des mesures spéciales;</w:t>
      </w:r>
    </w:p>
    <w:p w:rsidR="00F66856" w:rsidRDefault="001715BE" w:rsidP="001715BE">
      <w:pPr>
        <w:pStyle w:val="SingleTxtG"/>
        <w:ind w:firstLine="567"/>
        <w:rPr>
          <w:b/>
          <w:szCs w:val="24"/>
        </w:rPr>
      </w:pPr>
      <w:r>
        <w:rPr>
          <w:b/>
          <w:szCs w:val="24"/>
        </w:rPr>
        <w:t>b)</w:t>
      </w:r>
      <w:r>
        <w:rPr>
          <w:b/>
          <w:szCs w:val="24"/>
        </w:rPr>
        <w:tab/>
        <w:t>É</w:t>
      </w:r>
      <w:r w:rsidR="00F66856">
        <w:rPr>
          <w:b/>
          <w:szCs w:val="24"/>
        </w:rPr>
        <w:t>tablir tout particulièrement des mécanismes pour l</w:t>
      </w:r>
      <w:r w:rsidR="00E54D1E">
        <w:rPr>
          <w:b/>
          <w:szCs w:val="24"/>
        </w:rPr>
        <w:t>’</w:t>
      </w:r>
      <w:r w:rsidR="00F66856">
        <w:rPr>
          <w:b/>
          <w:szCs w:val="24"/>
        </w:rPr>
        <w:t>élection des membres de l</w:t>
      </w:r>
      <w:r w:rsidR="00E54D1E">
        <w:rPr>
          <w:b/>
          <w:szCs w:val="24"/>
        </w:rPr>
        <w:t>’</w:t>
      </w:r>
      <w:r w:rsidR="00F66856">
        <w:rPr>
          <w:b/>
          <w:szCs w:val="24"/>
        </w:rPr>
        <w:t xml:space="preserve">Assemblée du peuple et des députés nommés au </w:t>
      </w:r>
      <w:proofErr w:type="spellStart"/>
      <w:r w:rsidR="00F66856" w:rsidRPr="005B7447">
        <w:rPr>
          <w:b/>
          <w:i/>
          <w:szCs w:val="24"/>
        </w:rPr>
        <w:t>Majilis</w:t>
      </w:r>
      <w:proofErr w:type="spellEnd"/>
      <w:r w:rsidR="00F66856">
        <w:rPr>
          <w:b/>
          <w:szCs w:val="24"/>
        </w:rPr>
        <w:t xml:space="preserve"> par l</w:t>
      </w:r>
      <w:r w:rsidR="00E54D1E">
        <w:rPr>
          <w:b/>
          <w:szCs w:val="24"/>
        </w:rPr>
        <w:t>’</w:t>
      </w:r>
      <w:r w:rsidR="00F66856">
        <w:rPr>
          <w:b/>
          <w:szCs w:val="24"/>
        </w:rPr>
        <w:t xml:space="preserve">Assemblée du peuple afin de permettre la représentation équitable des communautés minoritaires et la tenue de consultations en bonne et due forme avec elles sur des questions qui </w:t>
      </w:r>
      <w:r w:rsidR="00DD7728">
        <w:rPr>
          <w:b/>
          <w:szCs w:val="24"/>
        </w:rPr>
        <w:t xml:space="preserve">concernent </w:t>
      </w:r>
      <w:r w:rsidR="00F66856">
        <w:rPr>
          <w:b/>
          <w:szCs w:val="24"/>
        </w:rPr>
        <w:t xml:space="preserve">leurs droits; </w:t>
      </w:r>
    </w:p>
    <w:p w:rsidR="00F66856" w:rsidRDefault="00F66856" w:rsidP="001715BE">
      <w:pPr>
        <w:pStyle w:val="SingleTxtG"/>
        <w:ind w:firstLine="567"/>
        <w:rPr>
          <w:b/>
          <w:szCs w:val="24"/>
        </w:rPr>
      </w:pPr>
      <w:r>
        <w:rPr>
          <w:b/>
          <w:szCs w:val="24"/>
        </w:rPr>
        <w:t>c)</w:t>
      </w:r>
      <w:r>
        <w:rPr>
          <w:b/>
          <w:szCs w:val="24"/>
        </w:rPr>
        <w:tab/>
        <w:t xml:space="preserve">Prendre des mesures efficaces pour faciliter et accroître la représentation des groupes ethniques non </w:t>
      </w:r>
      <w:r w:rsidR="005B7447">
        <w:rPr>
          <w:b/>
          <w:szCs w:val="24"/>
        </w:rPr>
        <w:t xml:space="preserve">kazakhs </w:t>
      </w:r>
      <w:r>
        <w:rPr>
          <w:b/>
          <w:szCs w:val="24"/>
        </w:rPr>
        <w:t>dans la fonction publique, notamment en r</w:t>
      </w:r>
      <w:r w:rsidR="001715BE">
        <w:rPr>
          <w:b/>
          <w:szCs w:val="24"/>
        </w:rPr>
        <w:t>ée</w:t>
      </w:r>
      <w:r>
        <w:rPr>
          <w:b/>
          <w:szCs w:val="24"/>
        </w:rPr>
        <w:t>xaminant les exigences professionnelles requises pour les emplois concernés et en limitant l</w:t>
      </w:r>
      <w:r w:rsidR="00E54D1E">
        <w:rPr>
          <w:b/>
          <w:szCs w:val="24"/>
        </w:rPr>
        <w:t>’</w:t>
      </w:r>
      <w:r>
        <w:rPr>
          <w:b/>
          <w:szCs w:val="24"/>
        </w:rPr>
        <w:t>obligation de maîtriser le kazakh aux seuls postes où cela est nécessaire;</w:t>
      </w:r>
    </w:p>
    <w:p w:rsidR="00F66856" w:rsidRDefault="001715BE" w:rsidP="001715BE">
      <w:pPr>
        <w:pStyle w:val="SingleTxtG"/>
        <w:ind w:firstLine="567"/>
        <w:rPr>
          <w:b/>
          <w:szCs w:val="24"/>
        </w:rPr>
      </w:pPr>
      <w:r>
        <w:rPr>
          <w:b/>
          <w:szCs w:val="24"/>
        </w:rPr>
        <w:t>d)</w:t>
      </w:r>
      <w:r>
        <w:rPr>
          <w:b/>
          <w:szCs w:val="24"/>
        </w:rPr>
        <w:tab/>
      </w:r>
      <w:r w:rsidR="00F66856">
        <w:rPr>
          <w:b/>
          <w:szCs w:val="24"/>
        </w:rPr>
        <w:t>Fournir dans son prochain rapport périodique</w:t>
      </w:r>
      <w:r w:rsidR="00DD7728">
        <w:rPr>
          <w:b/>
          <w:szCs w:val="24"/>
        </w:rPr>
        <w:t xml:space="preserve"> des données</w:t>
      </w:r>
      <w:r w:rsidR="00F66856">
        <w:rPr>
          <w:b/>
          <w:szCs w:val="24"/>
        </w:rPr>
        <w:t xml:space="preserve">, ventilées par groupe ethnique, sur la représentation de groupes minoritaires dans les organes politiques et </w:t>
      </w:r>
      <w:r w:rsidR="00DD7728">
        <w:rPr>
          <w:b/>
          <w:szCs w:val="24"/>
        </w:rPr>
        <w:t xml:space="preserve">les </w:t>
      </w:r>
      <w:r w:rsidR="00F66856">
        <w:rPr>
          <w:b/>
          <w:szCs w:val="24"/>
        </w:rPr>
        <w:t>postes décisionnels, ainsi que dans la fonction publique.</w:t>
      </w:r>
    </w:p>
    <w:p w:rsidR="00F66856" w:rsidRPr="00334F70" w:rsidRDefault="001715BE" w:rsidP="001715BE">
      <w:pPr>
        <w:pStyle w:val="H23G"/>
      </w:pPr>
      <w:r>
        <w:tab/>
      </w:r>
      <w:r>
        <w:tab/>
      </w:r>
      <w:r w:rsidR="00F66856" w:rsidRPr="00334F70">
        <w:t>Commissaire aux droits de l</w:t>
      </w:r>
      <w:r w:rsidR="00E54D1E">
        <w:t>’</w:t>
      </w:r>
      <w:r w:rsidR="00F66856" w:rsidRPr="00334F70">
        <w:t>homme</w:t>
      </w:r>
    </w:p>
    <w:p w:rsidR="00F66856" w:rsidRPr="00A13BE9" w:rsidRDefault="00F66856" w:rsidP="00F66856">
      <w:pPr>
        <w:pStyle w:val="ParNoG"/>
        <w:rPr>
          <w:szCs w:val="24"/>
        </w:rPr>
      </w:pPr>
      <w:r w:rsidRPr="00A13BE9">
        <w:rPr>
          <w:szCs w:val="24"/>
        </w:rPr>
        <w:t>Le Comité prend note du fonctionnement du Commissariat aux droits de l</w:t>
      </w:r>
      <w:r w:rsidR="00E54D1E">
        <w:rPr>
          <w:szCs w:val="24"/>
        </w:rPr>
        <w:t>’</w:t>
      </w:r>
      <w:r w:rsidRPr="00A13BE9">
        <w:rPr>
          <w:szCs w:val="24"/>
        </w:rPr>
        <w:t>homme et du Centre national des droits de l</w:t>
      </w:r>
      <w:r w:rsidR="00E54D1E">
        <w:rPr>
          <w:szCs w:val="24"/>
        </w:rPr>
        <w:t>’</w:t>
      </w:r>
      <w:r w:rsidRPr="00A13BE9">
        <w:rPr>
          <w:szCs w:val="24"/>
        </w:rPr>
        <w:t>homme, qui aide le Commissaire à s</w:t>
      </w:r>
      <w:r w:rsidR="00E54D1E">
        <w:rPr>
          <w:szCs w:val="24"/>
        </w:rPr>
        <w:t>’</w:t>
      </w:r>
      <w:r w:rsidRPr="00A13BE9">
        <w:rPr>
          <w:szCs w:val="24"/>
        </w:rPr>
        <w:t xml:space="preserve">acquitter de ses fonctions. </w:t>
      </w:r>
      <w:r w:rsidR="00F10E89" w:rsidRPr="00A13BE9">
        <w:rPr>
          <w:szCs w:val="24"/>
        </w:rPr>
        <w:t>Il est préoccupé par le fait que</w:t>
      </w:r>
      <w:r w:rsidR="005B7447">
        <w:rPr>
          <w:szCs w:val="24"/>
        </w:rPr>
        <w:t>:</w:t>
      </w:r>
      <w:r w:rsidR="00F10E89" w:rsidRPr="00A13BE9">
        <w:rPr>
          <w:szCs w:val="24"/>
        </w:rPr>
        <w:t xml:space="preserve"> a) le Commissaire ne dispose pas de ressources budgétaires et humaines suffisantes; b) le mandat du Commissaire </w:t>
      </w:r>
      <w:r w:rsidR="00F10E89">
        <w:rPr>
          <w:szCs w:val="24"/>
        </w:rPr>
        <w:t>ne comprend pas l</w:t>
      </w:r>
      <w:r w:rsidR="00E54D1E">
        <w:rPr>
          <w:szCs w:val="24"/>
        </w:rPr>
        <w:t>’</w:t>
      </w:r>
      <w:r w:rsidR="00F10E89">
        <w:rPr>
          <w:szCs w:val="24"/>
        </w:rPr>
        <w:t>examen</w:t>
      </w:r>
      <w:r w:rsidR="00F10E89" w:rsidRPr="00A13BE9">
        <w:rPr>
          <w:szCs w:val="24"/>
        </w:rPr>
        <w:t xml:space="preserve"> des plaintes déposées contre diverses instances de l</w:t>
      </w:r>
      <w:r w:rsidR="00E54D1E">
        <w:rPr>
          <w:szCs w:val="24"/>
        </w:rPr>
        <w:t>’</w:t>
      </w:r>
      <w:r w:rsidR="00F10E89">
        <w:rPr>
          <w:szCs w:val="24"/>
        </w:rPr>
        <w:t>É</w:t>
      </w:r>
      <w:r w:rsidR="00F10E89" w:rsidRPr="00A13BE9">
        <w:rPr>
          <w:szCs w:val="24"/>
        </w:rPr>
        <w:t>tat; et c) aucune information n</w:t>
      </w:r>
      <w:r w:rsidR="00E54D1E">
        <w:rPr>
          <w:szCs w:val="24"/>
        </w:rPr>
        <w:t>’</w:t>
      </w:r>
      <w:r w:rsidR="00F10E89" w:rsidRPr="00A13BE9">
        <w:rPr>
          <w:szCs w:val="24"/>
        </w:rPr>
        <w:t xml:space="preserve">a été publiée récemment </w:t>
      </w:r>
      <w:r w:rsidR="00F10E89">
        <w:rPr>
          <w:szCs w:val="24"/>
        </w:rPr>
        <w:t>sur l</w:t>
      </w:r>
      <w:r w:rsidR="00E54D1E">
        <w:rPr>
          <w:szCs w:val="24"/>
        </w:rPr>
        <w:t>’</w:t>
      </w:r>
      <w:r w:rsidR="00F10E89">
        <w:rPr>
          <w:szCs w:val="24"/>
        </w:rPr>
        <w:t>action menée par le</w:t>
      </w:r>
      <w:r w:rsidR="00F10E89" w:rsidRPr="00A13BE9">
        <w:rPr>
          <w:szCs w:val="24"/>
        </w:rPr>
        <w:t xml:space="preserve"> Commissaire </w:t>
      </w:r>
      <w:r w:rsidR="00F10E89">
        <w:rPr>
          <w:szCs w:val="24"/>
        </w:rPr>
        <w:t>contre</w:t>
      </w:r>
      <w:r w:rsidR="00F10E89" w:rsidRPr="00A13BE9">
        <w:rPr>
          <w:szCs w:val="24"/>
        </w:rPr>
        <w:t xml:space="preserve"> la discrimination raciale (art.</w:t>
      </w:r>
      <w:r w:rsidR="00F10E89">
        <w:rPr>
          <w:szCs w:val="24"/>
        </w:rPr>
        <w:t> </w:t>
      </w:r>
      <w:r w:rsidR="00F10E89" w:rsidRPr="00A13BE9">
        <w:rPr>
          <w:szCs w:val="24"/>
        </w:rPr>
        <w:t>2, par.</w:t>
      </w:r>
      <w:r w:rsidR="00F10E89">
        <w:rPr>
          <w:szCs w:val="24"/>
        </w:rPr>
        <w:t> </w:t>
      </w:r>
      <w:r w:rsidR="00F10E89" w:rsidRPr="00A13BE9">
        <w:rPr>
          <w:szCs w:val="24"/>
        </w:rPr>
        <w:t>2).</w:t>
      </w:r>
    </w:p>
    <w:p w:rsidR="00F66856" w:rsidRPr="00A13BE9" w:rsidRDefault="00F66856" w:rsidP="00F10E89">
      <w:pPr>
        <w:pStyle w:val="SingleTxtG"/>
        <w:rPr>
          <w:b/>
          <w:szCs w:val="24"/>
        </w:rPr>
      </w:pPr>
      <w:r w:rsidRPr="00A13BE9">
        <w:rPr>
          <w:b/>
          <w:szCs w:val="24"/>
        </w:rPr>
        <w:t xml:space="preserve">Rappelant sa </w:t>
      </w:r>
      <w:r w:rsidR="00DD7728">
        <w:rPr>
          <w:b/>
          <w:szCs w:val="24"/>
        </w:rPr>
        <w:t>R</w:t>
      </w:r>
      <w:r w:rsidR="00DD7728" w:rsidRPr="00A13BE9">
        <w:rPr>
          <w:b/>
          <w:szCs w:val="24"/>
        </w:rPr>
        <w:t xml:space="preserve">ecommandation </w:t>
      </w:r>
      <w:r w:rsidRPr="00A13BE9">
        <w:rPr>
          <w:b/>
          <w:szCs w:val="24"/>
        </w:rPr>
        <w:t>générale n</w:t>
      </w:r>
      <w:r w:rsidRPr="00A13BE9">
        <w:rPr>
          <w:b/>
          <w:szCs w:val="24"/>
          <w:vertAlign w:val="superscript"/>
        </w:rPr>
        <w:t>o</w:t>
      </w:r>
      <w:r w:rsidR="00A13BE9">
        <w:rPr>
          <w:b/>
          <w:szCs w:val="24"/>
        </w:rPr>
        <w:t> </w:t>
      </w:r>
      <w:r w:rsidRPr="00A13BE9">
        <w:rPr>
          <w:b/>
          <w:szCs w:val="24"/>
        </w:rPr>
        <w:t>17 (1993) sur l</w:t>
      </w:r>
      <w:r w:rsidR="00E54D1E">
        <w:rPr>
          <w:b/>
          <w:szCs w:val="24"/>
        </w:rPr>
        <w:t>’</w:t>
      </w:r>
      <w:r w:rsidRPr="00A13BE9">
        <w:rPr>
          <w:b/>
          <w:szCs w:val="24"/>
        </w:rPr>
        <w:t>établissement d</w:t>
      </w:r>
      <w:r w:rsidR="00E54D1E">
        <w:rPr>
          <w:b/>
          <w:szCs w:val="24"/>
        </w:rPr>
        <w:t>’</w:t>
      </w:r>
      <w:r w:rsidRPr="00A13BE9">
        <w:rPr>
          <w:b/>
          <w:szCs w:val="24"/>
        </w:rPr>
        <w:t>organismes nationaux pour faciliter l</w:t>
      </w:r>
      <w:r w:rsidR="00E54D1E">
        <w:rPr>
          <w:b/>
          <w:szCs w:val="24"/>
        </w:rPr>
        <w:t>’</w:t>
      </w:r>
      <w:r w:rsidRPr="00A13BE9">
        <w:rPr>
          <w:b/>
          <w:szCs w:val="24"/>
        </w:rPr>
        <w:t>application de la Convention, le Comité recommande à l</w:t>
      </w:r>
      <w:r w:rsidR="00E54D1E">
        <w:rPr>
          <w:b/>
          <w:szCs w:val="24"/>
        </w:rPr>
        <w:t>’</w:t>
      </w:r>
      <w:r w:rsidRPr="00A13BE9">
        <w:rPr>
          <w:b/>
          <w:szCs w:val="24"/>
        </w:rPr>
        <w:t>État partie:</w:t>
      </w:r>
    </w:p>
    <w:p w:rsidR="00F66856" w:rsidRPr="00334F70" w:rsidRDefault="00A13BE9" w:rsidP="00A13BE9">
      <w:pPr>
        <w:pStyle w:val="SingleTxtG"/>
        <w:ind w:firstLine="567"/>
        <w:rPr>
          <w:b/>
          <w:szCs w:val="24"/>
        </w:rPr>
      </w:pPr>
      <w:r>
        <w:rPr>
          <w:b/>
          <w:szCs w:val="24"/>
        </w:rPr>
        <w:t>a)</w:t>
      </w:r>
      <w:r>
        <w:rPr>
          <w:b/>
          <w:szCs w:val="24"/>
        </w:rPr>
        <w:tab/>
        <w:t>D</w:t>
      </w:r>
      <w:r w:rsidR="00F66856">
        <w:rPr>
          <w:b/>
          <w:szCs w:val="24"/>
        </w:rPr>
        <w:t xml:space="preserve">e procéder à </w:t>
      </w:r>
      <w:r w:rsidR="00F66856" w:rsidRPr="00334F70">
        <w:rPr>
          <w:b/>
          <w:szCs w:val="24"/>
        </w:rPr>
        <w:t xml:space="preserve">des changements législatifs et </w:t>
      </w:r>
      <w:r w:rsidR="00DD7728">
        <w:rPr>
          <w:b/>
          <w:szCs w:val="24"/>
        </w:rPr>
        <w:t xml:space="preserve">de </w:t>
      </w:r>
      <w:r w:rsidR="00F66856" w:rsidRPr="00334F70">
        <w:rPr>
          <w:b/>
          <w:szCs w:val="24"/>
        </w:rPr>
        <w:t xml:space="preserve">renforcer le mandat du Commissaire </w:t>
      </w:r>
      <w:r w:rsidR="00F66856">
        <w:rPr>
          <w:b/>
          <w:szCs w:val="24"/>
        </w:rPr>
        <w:t>af</w:t>
      </w:r>
      <w:r>
        <w:rPr>
          <w:b/>
          <w:szCs w:val="24"/>
        </w:rPr>
        <w:t>i</w:t>
      </w:r>
      <w:r w:rsidR="00F66856">
        <w:rPr>
          <w:b/>
          <w:szCs w:val="24"/>
        </w:rPr>
        <w:t xml:space="preserve">n de </w:t>
      </w:r>
      <w:r w:rsidR="00F66856" w:rsidRPr="00334F70">
        <w:rPr>
          <w:b/>
          <w:szCs w:val="24"/>
        </w:rPr>
        <w:t>promouvoir effectivement les droits de l</w:t>
      </w:r>
      <w:r w:rsidR="00E54D1E">
        <w:rPr>
          <w:b/>
          <w:szCs w:val="24"/>
        </w:rPr>
        <w:t>’</w:t>
      </w:r>
      <w:r w:rsidR="00F66856">
        <w:rPr>
          <w:b/>
          <w:szCs w:val="24"/>
        </w:rPr>
        <w:t xml:space="preserve">homme </w:t>
      </w:r>
      <w:r w:rsidR="00F66856" w:rsidRPr="00334F70">
        <w:rPr>
          <w:b/>
          <w:szCs w:val="24"/>
        </w:rPr>
        <w:t>e</w:t>
      </w:r>
      <w:r w:rsidR="00F66856">
        <w:rPr>
          <w:b/>
          <w:szCs w:val="24"/>
        </w:rPr>
        <w:t>t</w:t>
      </w:r>
      <w:r w:rsidR="00F66856" w:rsidRPr="00334F70">
        <w:rPr>
          <w:b/>
          <w:szCs w:val="24"/>
        </w:rPr>
        <w:t xml:space="preserve"> </w:t>
      </w:r>
      <w:r w:rsidR="00DD7728">
        <w:rPr>
          <w:b/>
          <w:szCs w:val="24"/>
        </w:rPr>
        <w:t xml:space="preserve">de </w:t>
      </w:r>
      <w:r w:rsidR="00F66856" w:rsidRPr="00334F70">
        <w:rPr>
          <w:b/>
          <w:szCs w:val="24"/>
        </w:rPr>
        <w:t>lutter contre toutes les formes de discrimination raciale</w:t>
      </w:r>
      <w:r w:rsidR="00F66856">
        <w:rPr>
          <w:b/>
          <w:szCs w:val="24"/>
        </w:rPr>
        <w:t>;</w:t>
      </w:r>
    </w:p>
    <w:p w:rsidR="00F66856" w:rsidRPr="00334F70" w:rsidRDefault="00F10E89" w:rsidP="00A13BE9">
      <w:pPr>
        <w:pStyle w:val="SingleTxtG"/>
        <w:ind w:firstLine="567"/>
        <w:rPr>
          <w:b/>
          <w:szCs w:val="24"/>
        </w:rPr>
      </w:pPr>
      <w:r>
        <w:rPr>
          <w:b/>
          <w:szCs w:val="24"/>
        </w:rPr>
        <w:t>b)</w:t>
      </w:r>
      <w:r>
        <w:rPr>
          <w:b/>
          <w:szCs w:val="24"/>
        </w:rPr>
        <w:tab/>
        <w:t>D</w:t>
      </w:r>
      <w:r w:rsidR="00E54D1E">
        <w:rPr>
          <w:b/>
          <w:szCs w:val="24"/>
        </w:rPr>
        <w:t>’</w:t>
      </w:r>
      <w:r>
        <w:rPr>
          <w:b/>
          <w:szCs w:val="24"/>
        </w:rPr>
        <w:t>allouer au C</w:t>
      </w:r>
      <w:r w:rsidRPr="00334F70">
        <w:rPr>
          <w:b/>
          <w:szCs w:val="24"/>
        </w:rPr>
        <w:t>ommissaire des ressources financières et humaines suffisantes, co</w:t>
      </w:r>
      <w:r>
        <w:rPr>
          <w:b/>
          <w:szCs w:val="24"/>
        </w:rPr>
        <w:t>nformément aux P</w:t>
      </w:r>
      <w:r w:rsidRPr="00334F70">
        <w:rPr>
          <w:b/>
          <w:szCs w:val="24"/>
        </w:rPr>
        <w:t xml:space="preserve">rincipes relatifs au statut des institutions nationales pour la promotion </w:t>
      </w:r>
      <w:r w:rsidR="005B7447">
        <w:rPr>
          <w:b/>
          <w:szCs w:val="24"/>
        </w:rPr>
        <w:t>et</w:t>
      </w:r>
      <w:r w:rsidR="005B7447" w:rsidRPr="00334F70">
        <w:rPr>
          <w:b/>
          <w:szCs w:val="24"/>
        </w:rPr>
        <w:t xml:space="preserve"> </w:t>
      </w:r>
      <w:r w:rsidRPr="00334F70">
        <w:rPr>
          <w:b/>
          <w:szCs w:val="24"/>
        </w:rPr>
        <w:t>la prot</w:t>
      </w:r>
      <w:r>
        <w:rPr>
          <w:b/>
          <w:szCs w:val="24"/>
        </w:rPr>
        <w:t>ection des droits de l</w:t>
      </w:r>
      <w:r w:rsidR="00E54D1E">
        <w:rPr>
          <w:b/>
          <w:szCs w:val="24"/>
        </w:rPr>
        <w:t>’</w:t>
      </w:r>
      <w:r>
        <w:rPr>
          <w:b/>
          <w:szCs w:val="24"/>
        </w:rPr>
        <w:t>homme (P</w:t>
      </w:r>
      <w:r w:rsidRPr="00334F70">
        <w:rPr>
          <w:b/>
          <w:szCs w:val="24"/>
        </w:rPr>
        <w:t xml:space="preserve">rincipes de Paris), </w:t>
      </w:r>
      <w:r>
        <w:rPr>
          <w:b/>
          <w:szCs w:val="24"/>
        </w:rPr>
        <w:t xml:space="preserve">qui figurent en </w:t>
      </w:r>
      <w:r w:rsidRPr="00334F70">
        <w:rPr>
          <w:b/>
          <w:szCs w:val="24"/>
        </w:rPr>
        <w:t>annex</w:t>
      </w:r>
      <w:r>
        <w:rPr>
          <w:b/>
          <w:szCs w:val="24"/>
        </w:rPr>
        <w:t>e</w:t>
      </w:r>
      <w:r w:rsidRPr="00334F70">
        <w:rPr>
          <w:b/>
          <w:szCs w:val="24"/>
        </w:rPr>
        <w:t xml:space="preserve"> à la résolution</w:t>
      </w:r>
      <w:r>
        <w:rPr>
          <w:b/>
          <w:szCs w:val="24"/>
        </w:rPr>
        <w:t xml:space="preserve"> </w:t>
      </w:r>
      <w:r w:rsidRPr="00334F70">
        <w:rPr>
          <w:b/>
          <w:szCs w:val="24"/>
        </w:rPr>
        <w:t>48/134 du 20 décembre 1993</w:t>
      </w:r>
      <w:r>
        <w:rPr>
          <w:b/>
          <w:szCs w:val="24"/>
        </w:rPr>
        <w:t>;</w:t>
      </w:r>
    </w:p>
    <w:p w:rsidR="00F66856" w:rsidRPr="00334F70" w:rsidRDefault="00A13BE9" w:rsidP="00A13BE9">
      <w:pPr>
        <w:pStyle w:val="SingleTxtG"/>
        <w:ind w:firstLine="567"/>
        <w:rPr>
          <w:b/>
          <w:szCs w:val="24"/>
        </w:rPr>
      </w:pPr>
      <w:r>
        <w:rPr>
          <w:b/>
          <w:szCs w:val="24"/>
        </w:rPr>
        <w:t>c)</w:t>
      </w:r>
      <w:r>
        <w:rPr>
          <w:b/>
          <w:szCs w:val="24"/>
        </w:rPr>
        <w:tab/>
        <w:t>D</w:t>
      </w:r>
      <w:r w:rsidR="00F66856">
        <w:rPr>
          <w:b/>
          <w:szCs w:val="24"/>
        </w:rPr>
        <w:t xml:space="preserve">e </w:t>
      </w:r>
      <w:r w:rsidR="00F66856" w:rsidRPr="00334F70">
        <w:rPr>
          <w:b/>
          <w:szCs w:val="24"/>
        </w:rPr>
        <w:t xml:space="preserve">prendre des mesures </w:t>
      </w:r>
      <w:r w:rsidR="00FA3E28">
        <w:rPr>
          <w:b/>
          <w:szCs w:val="24"/>
        </w:rPr>
        <w:t>pour</w:t>
      </w:r>
      <w:r w:rsidR="00F66856" w:rsidRPr="00334F70">
        <w:rPr>
          <w:b/>
          <w:szCs w:val="24"/>
        </w:rPr>
        <w:t xml:space="preserve"> que le</w:t>
      </w:r>
      <w:r w:rsidR="00F66856">
        <w:rPr>
          <w:b/>
          <w:szCs w:val="24"/>
        </w:rPr>
        <w:t xml:space="preserve"> C</w:t>
      </w:r>
      <w:r w:rsidR="00F66856" w:rsidRPr="00334F70">
        <w:rPr>
          <w:b/>
          <w:szCs w:val="24"/>
        </w:rPr>
        <w:t xml:space="preserve">ommissaire </w:t>
      </w:r>
      <w:r w:rsidR="00F66856">
        <w:rPr>
          <w:b/>
          <w:szCs w:val="24"/>
        </w:rPr>
        <w:t>jouisse</w:t>
      </w:r>
      <w:r w:rsidR="00F66856" w:rsidRPr="00334F70">
        <w:rPr>
          <w:b/>
          <w:szCs w:val="24"/>
        </w:rPr>
        <w:t xml:space="preserve"> de la confiance du public et </w:t>
      </w:r>
      <w:r w:rsidR="00FA3E28">
        <w:rPr>
          <w:b/>
          <w:szCs w:val="24"/>
        </w:rPr>
        <w:t>d</w:t>
      </w:r>
      <w:r w:rsidR="00E54D1E">
        <w:rPr>
          <w:b/>
          <w:szCs w:val="24"/>
        </w:rPr>
        <w:t>’</w:t>
      </w:r>
      <w:r w:rsidR="00FA3E28">
        <w:rPr>
          <w:b/>
          <w:szCs w:val="24"/>
        </w:rPr>
        <w:t>une</w:t>
      </w:r>
      <w:r w:rsidR="00F66856" w:rsidRPr="00334F70">
        <w:rPr>
          <w:b/>
          <w:szCs w:val="24"/>
        </w:rPr>
        <w:t xml:space="preserve"> indépendance</w:t>
      </w:r>
      <w:r w:rsidR="00FA3E28">
        <w:rPr>
          <w:b/>
          <w:szCs w:val="24"/>
        </w:rPr>
        <w:t xml:space="preserve"> totale</w:t>
      </w:r>
      <w:r w:rsidR="00F66856">
        <w:rPr>
          <w:b/>
          <w:szCs w:val="24"/>
        </w:rPr>
        <w:t>;</w:t>
      </w:r>
    </w:p>
    <w:p w:rsidR="00F66856" w:rsidRPr="00334F70" w:rsidRDefault="00F66856" w:rsidP="00A13BE9">
      <w:pPr>
        <w:pStyle w:val="SingleTxtG"/>
        <w:ind w:firstLine="567"/>
        <w:rPr>
          <w:b/>
          <w:szCs w:val="24"/>
        </w:rPr>
      </w:pPr>
      <w:r>
        <w:rPr>
          <w:b/>
          <w:szCs w:val="24"/>
        </w:rPr>
        <w:t>d)</w:t>
      </w:r>
      <w:r>
        <w:rPr>
          <w:b/>
          <w:szCs w:val="24"/>
        </w:rPr>
        <w:tab/>
      </w:r>
      <w:r w:rsidR="00FA3E28">
        <w:rPr>
          <w:b/>
          <w:szCs w:val="24"/>
        </w:rPr>
        <w:t xml:space="preserve">De mettre </w:t>
      </w:r>
      <w:r w:rsidRPr="00334F70">
        <w:rPr>
          <w:b/>
          <w:szCs w:val="24"/>
        </w:rPr>
        <w:t xml:space="preserve">régulièrement </w:t>
      </w:r>
      <w:r>
        <w:rPr>
          <w:b/>
          <w:szCs w:val="24"/>
        </w:rPr>
        <w:t>à la disposition du public</w:t>
      </w:r>
      <w:r w:rsidRPr="00334F70">
        <w:rPr>
          <w:b/>
          <w:szCs w:val="24"/>
        </w:rPr>
        <w:t xml:space="preserve"> </w:t>
      </w:r>
      <w:r w:rsidR="00FA3E28">
        <w:rPr>
          <w:b/>
          <w:szCs w:val="24"/>
        </w:rPr>
        <w:t xml:space="preserve">des </w:t>
      </w:r>
      <w:r>
        <w:rPr>
          <w:b/>
          <w:szCs w:val="24"/>
        </w:rPr>
        <w:t xml:space="preserve">rapports sur </w:t>
      </w:r>
      <w:r w:rsidR="00FA3E28">
        <w:rPr>
          <w:b/>
          <w:szCs w:val="24"/>
        </w:rPr>
        <w:t>l</w:t>
      </w:r>
      <w:r w:rsidR="00E54D1E">
        <w:rPr>
          <w:b/>
          <w:szCs w:val="24"/>
        </w:rPr>
        <w:t>’</w:t>
      </w:r>
      <w:r w:rsidR="00FA3E28">
        <w:rPr>
          <w:b/>
          <w:szCs w:val="24"/>
        </w:rPr>
        <w:t>action menée par le</w:t>
      </w:r>
      <w:r>
        <w:rPr>
          <w:b/>
          <w:szCs w:val="24"/>
        </w:rPr>
        <w:t xml:space="preserve"> Commissaire </w:t>
      </w:r>
      <w:r w:rsidR="00FA3E28">
        <w:rPr>
          <w:b/>
          <w:szCs w:val="24"/>
        </w:rPr>
        <w:t>contre</w:t>
      </w:r>
      <w:r w:rsidRPr="00334F70">
        <w:rPr>
          <w:b/>
          <w:szCs w:val="24"/>
        </w:rPr>
        <w:t xml:space="preserve"> la discrimination raciale</w:t>
      </w:r>
      <w:r>
        <w:rPr>
          <w:b/>
          <w:szCs w:val="24"/>
        </w:rPr>
        <w:t>.</w:t>
      </w:r>
    </w:p>
    <w:p w:rsidR="00F66856" w:rsidRDefault="00A13BE9" w:rsidP="00A13BE9">
      <w:pPr>
        <w:pStyle w:val="H23G"/>
      </w:pPr>
      <w:r>
        <w:tab/>
      </w:r>
      <w:r>
        <w:tab/>
      </w:r>
      <w:r w:rsidR="00F66856" w:rsidRPr="00334F70">
        <w:t>Discours</w:t>
      </w:r>
      <w:r w:rsidR="00F66856">
        <w:t xml:space="preserve"> de </w:t>
      </w:r>
      <w:r w:rsidR="00F66856" w:rsidRPr="00334F70">
        <w:t>haine</w:t>
      </w:r>
    </w:p>
    <w:p w:rsidR="00F66856" w:rsidRPr="00334F70" w:rsidRDefault="00F66856" w:rsidP="00F66856">
      <w:pPr>
        <w:pStyle w:val="ParNoG"/>
        <w:rPr>
          <w:b/>
          <w:szCs w:val="24"/>
        </w:rPr>
      </w:pPr>
      <w:r w:rsidRPr="00560CB3">
        <w:rPr>
          <w:szCs w:val="24"/>
        </w:rPr>
        <w:t xml:space="preserve">Tout en </w:t>
      </w:r>
      <w:r w:rsidR="00FA3E28">
        <w:rPr>
          <w:szCs w:val="24"/>
        </w:rPr>
        <w:t>prenant note des</w:t>
      </w:r>
      <w:r w:rsidRPr="00560CB3">
        <w:rPr>
          <w:szCs w:val="24"/>
        </w:rPr>
        <w:t xml:space="preserve"> informations </w:t>
      </w:r>
      <w:r w:rsidR="005B7447">
        <w:rPr>
          <w:szCs w:val="24"/>
        </w:rPr>
        <w:t>sur</w:t>
      </w:r>
      <w:r w:rsidR="005B7447" w:rsidRPr="00560CB3">
        <w:rPr>
          <w:szCs w:val="24"/>
        </w:rPr>
        <w:t xml:space="preserve"> </w:t>
      </w:r>
      <w:r w:rsidRPr="00560CB3">
        <w:rPr>
          <w:szCs w:val="24"/>
        </w:rPr>
        <w:t xml:space="preserve">la mise en œuvre de la législation </w:t>
      </w:r>
      <w:r>
        <w:rPr>
          <w:szCs w:val="24"/>
        </w:rPr>
        <w:t>concernant la</w:t>
      </w:r>
      <w:r w:rsidRPr="00560CB3">
        <w:rPr>
          <w:szCs w:val="24"/>
        </w:rPr>
        <w:t xml:space="preserve"> lutte contre l</w:t>
      </w:r>
      <w:r w:rsidR="00E54D1E">
        <w:rPr>
          <w:szCs w:val="24"/>
        </w:rPr>
        <w:t>’</w:t>
      </w:r>
      <w:r w:rsidRPr="00560CB3">
        <w:rPr>
          <w:szCs w:val="24"/>
        </w:rPr>
        <w:t xml:space="preserve">incitation à </w:t>
      </w:r>
      <w:r w:rsidR="00FA3E28">
        <w:rPr>
          <w:szCs w:val="24"/>
        </w:rPr>
        <w:t xml:space="preserve">la haine </w:t>
      </w:r>
      <w:r w:rsidRPr="00560CB3">
        <w:rPr>
          <w:szCs w:val="24"/>
        </w:rPr>
        <w:t xml:space="preserve">nationale, ethnique ou raciale dans plusieurs </w:t>
      </w:r>
      <w:r w:rsidR="00FA3E28">
        <w:rPr>
          <w:szCs w:val="24"/>
        </w:rPr>
        <w:t>affaires</w:t>
      </w:r>
      <w:r w:rsidRPr="00560CB3">
        <w:rPr>
          <w:szCs w:val="24"/>
        </w:rPr>
        <w:t>, le Comité se déclare préoccupé par l</w:t>
      </w:r>
      <w:r w:rsidR="00E54D1E">
        <w:rPr>
          <w:szCs w:val="24"/>
        </w:rPr>
        <w:t>’</w:t>
      </w:r>
      <w:r w:rsidRPr="00560CB3">
        <w:rPr>
          <w:szCs w:val="24"/>
        </w:rPr>
        <w:t>absence d</w:t>
      </w:r>
      <w:r w:rsidR="00E54D1E">
        <w:rPr>
          <w:szCs w:val="24"/>
        </w:rPr>
        <w:t>’</w:t>
      </w:r>
      <w:r>
        <w:rPr>
          <w:szCs w:val="24"/>
        </w:rPr>
        <w:t>informations</w:t>
      </w:r>
      <w:r w:rsidRPr="00560CB3">
        <w:rPr>
          <w:szCs w:val="24"/>
        </w:rPr>
        <w:t xml:space="preserve"> sur les mesures prises pour lutter contre les discours </w:t>
      </w:r>
      <w:r>
        <w:rPr>
          <w:szCs w:val="24"/>
        </w:rPr>
        <w:t>de haine</w:t>
      </w:r>
      <w:r w:rsidRPr="00560CB3">
        <w:rPr>
          <w:szCs w:val="24"/>
        </w:rPr>
        <w:t>, en particulier à l</w:t>
      </w:r>
      <w:r w:rsidR="00E54D1E">
        <w:rPr>
          <w:szCs w:val="24"/>
        </w:rPr>
        <w:t>’</w:t>
      </w:r>
      <w:r w:rsidRPr="00560CB3">
        <w:rPr>
          <w:szCs w:val="24"/>
        </w:rPr>
        <w:t>égard de non-</w:t>
      </w:r>
      <w:r w:rsidR="00FA3E28">
        <w:rPr>
          <w:szCs w:val="24"/>
        </w:rPr>
        <w:t>ressortissants</w:t>
      </w:r>
      <w:r w:rsidRPr="00560CB3">
        <w:rPr>
          <w:szCs w:val="24"/>
        </w:rPr>
        <w:t>, y</w:t>
      </w:r>
      <w:r w:rsidR="005B7447">
        <w:rPr>
          <w:szCs w:val="24"/>
        </w:rPr>
        <w:t> </w:t>
      </w:r>
      <w:r w:rsidRPr="00560CB3">
        <w:rPr>
          <w:szCs w:val="24"/>
        </w:rPr>
        <w:t>compris dans les médias et sur Internet (art.</w:t>
      </w:r>
      <w:r w:rsidR="00FA3E28">
        <w:rPr>
          <w:szCs w:val="24"/>
        </w:rPr>
        <w:t> </w:t>
      </w:r>
      <w:r w:rsidRPr="00560CB3">
        <w:rPr>
          <w:szCs w:val="24"/>
        </w:rPr>
        <w:t>2, par.</w:t>
      </w:r>
      <w:r w:rsidR="00FA3E28">
        <w:rPr>
          <w:szCs w:val="24"/>
        </w:rPr>
        <w:t> </w:t>
      </w:r>
      <w:r w:rsidR="004306DD" w:rsidRPr="00560CB3">
        <w:rPr>
          <w:szCs w:val="24"/>
        </w:rPr>
        <w:t>1</w:t>
      </w:r>
      <w:r w:rsidR="004306DD">
        <w:rPr>
          <w:szCs w:val="24"/>
        </w:rPr>
        <w:t> </w:t>
      </w:r>
      <w:r w:rsidRPr="00560CB3">
        <w:rPr>
          <w:szCs w:val="24"/>
        </w:rPr>
        <w:t>a) et d</w:t>
      </w:r>
      <w:r w:rsidR="005B7447" w:rsidRPr="00560CB3">
        <w:rPr>
          <w:szCs w:val="24"/>
        </w:rPr>
        <w:t>)</w:t>
      </w:r>
      <w:r w:rsidR="005B7447">
        <w:rPr>
          <w:szCs w:val="24"/>
        </w:rPr>
        <w:t xml:space="preserve">, </w:t>
      </w:r>
      <w:r w:rsidR="004306DD">
        <w:rPr>
          <w:szCs w:val="24"/>
        </w:rPr>
        <w:t>4 </w:t>
      </w:r>
      <w:r w:rsidR="00A13BE9">
        <w:rPr>
          <w:szCs w:val="24"/>
        </w:rPr>
        <w:t>a), b) et </w:t>
      </w:r>
      <w:r w:rsidRPr="00560CB3">
        <w:rPr>
          <w:szCs w:val="24"/>
        </w:rPr>
        <w:t>7).</w:t>
      </w:r>
    </w:p>
    <w:p w:rsidR="00F66856" w:rsidRDefault="00F66856" w:rsidP="00F10E89">
      <w:pPr>
        <w:pStyle w:val="SingleTxtG"/>
        <w:rPr>
          <w:b/>
          <w:szCs w:val="24"/>
        </w:rPr>
      </w:pPr>
      <w:r w:rsidRPr="00A13BE9">
        <w:rPr>
          <w:rStyle w:val="SingleTxtGCar"/>
          <w:b/>
        </w:rPr>
        <w:t xml:space="preserve">Rappelant sa </w:t>
      </w:r>
      <w:r w:rsidR="00FA3E28">
        <w:rPr>
          <w:rStyle w:val="SingleTxtGCar"/>
          <w:b/>
        </w:rPr>
        <w:t>R</w:t>
      </w:r>
      <w:r w:rsidR="00FA3E28" w:rsidRPr="00A13BE9">
        <w:rPr>
          <w:rStyle w:val="SingleTxtGCar"/>
          <w:b/>
        </w:rPr>
        <w:t xml:space="preserve">ecommandation </w:t>
      </w:r>
      <w:r w:rsidRPr="00A13BE9">
        <w:rPr>
          <w:rStyle w:val="SingleTxtGCar"/>
          <w:b/>
        </w:rPr>
        <w:t xml:space="preserve">générale </w:t>
      </w:r>
      <w:r w:rsidR="00A13BE9" w:rsidRPr="00A13BE9">
        <w:rPr>
          <w:rStyle w:val="SingleTxtGCar"/>
          <w:rFonts w:eastAsia="MS Mincho"/>
          <w:b/>
        </w:rPr>
        <w:t>n</w:t>
      </w:r>
      <w:r w:rsidR="00A13BE9" w:rsidRPr="00A13BE9">
        <w:rPr>
          <w:rStyle w:val="SingleTxtGCar"/>
          <w:rFonts w:eastAsia="MS Mincho"/>
          <w:b/>
          <w:vertAlign w:val="superscript"/>
        </w:rPr>
        <w:t>o</w:t>
      </w:r>
      <w:r w:rsidR="00A13BE9">
        <w:rPr>
          <w:rStyle w:val="SingleTxtGCar"/>
          <w:b/>
        </w:rPr>
        <w:t> </w:t>
      </w:r>
      <w:r w:rsidRPr="00A13BE9">
        <w:rPr>
          <w:rStyle w:val="SingleTxtGCar"/>
          <w:b/>
        </w:rPr>
        <w:t>30 (2004) sur la</w:t>
      </w:r>
      <w:r w:rsidR="001715BE">
        <w:rPr>
          <w:rStyle w:val="SingleTxtGCar"/>
          <w:b/>
        </w:rPr>
        <w:t xml:space="preserve"> discrimination contre les non-</w:t>
      </w:r>
      <w:r w:rsidR="005B7447">
        <w:rPr>
          <w:rStyle w:val="SingleTxtGCar"/>
          <w:b/>
        </w:rPr>
        <w:t>ressortissants</w:t>
      </w:r>
      <w:r w:rsidR="005B7447" w:rsidRPr="00A13BE9">
        <w:rPr>
          <w:rStyle w:val="SingleTxtGCar"/>
          <w:b/>
        </w:rPr>
        <w:t xml:space="preserve"> </w:t>
      </w:r>
      <w:r w:rsidRPr="00A13BE9">
        <w:rPr>
          <w:rStyle w:val="SingleTxtGCar"/>
          <w:b/>
        </w:rPr>
        <w:t xml:space="preserve">et la </w:t>
      </w:r>
      <w:r w:rsidR="00FA3E28">
        <w:rPr>
          <w:rStyle w:val="SingleTxtGCar"/>
          <w:b/>
        </w:rPr>
        <w:t>R</w:t>
      </w:r>
      <w:r w:rsidR="00FA3E28" w:rsidRPr="00A13BE9">
        <w:rPr>
          <w:rStyle w:val="SingleTxtGCar"/>
          <w:b/>
        </w:rPr>
        <w:t xml:space="preserve">ecommandation </w:t>
      </w:r>
      <w:r w:rsidRPr="00A13BE9">
        <w:rPr>
          <w:rStyle w:val="SingleTxtGCar"/>
          <w:b/>
        </w:rPr>
        <w:t xml:space="preserve">générale </w:t>
      </w:r>
      <w:r w:rsidR="001715BE" w:rsidRPr="001715BE">
        <w:rPr>
          <w:rStyle w:val="SingleTxtGCar"/>
          <w:rFonts w:eastAsia="MS Mincho"/>
          <w:b/>
        </w:rPr>
        <w:t>n</w:t>
      </w:r>
      <w:r w:rsidR="001715BE" w:rsidRPr="001715BE">
        <w:rPr>
          <w:rStyle w:val="SingleTxtGCar"/>
          <w:rFonts w:eastAsia="MS Mincho"/>
          <w:b/>
          <w:vertAlign w:val="superscript"/>
        </w:rPr>
        <w:t>o</w:t>
      </w:r>
      <w:r w:rsidR="001715BE">
        <w:rPr>
          <w:rStyle w:val="SingleTxtGCar"/>
          <w:b/>
        </w:rPr>
        <w:t> </w:t>
      </w:r>
      <w:r w:rsidRPr="00A13BE9">
        <w:rPr>
          <w:rStyle w:val="SingleTxtGCar"/>
          <w:b/>
        </w:rPr>
        <w:t>35 (2013) sur la lutte concernant le discours de haine raciale, le Comité recommande à l</w:t>
      </w:r>
      <w:r w:rsidR="00E54D1E">
        <w:rPr>
          <w:rStyle w:val="SingleTxtGCar"/>
          <w:b/>
        </w:rPr>
        <w:t>’</w:t>
      </w:r>
      <w:r w:rsidRPr="00A13BE9">
        <w:rPr>
          <w:rStyle w:val="SingleTxtGCar"/>
          <w:b/>
        </w:rPr>
        <w:t xml:space="preserve">État partie de mener effectivement des enquêtes et, le cas échéant, de poursuivre </w:t>
      </w:r>
      <w:r w:rsidR="00FA3E28" w:rsidRPr="00A13BE9">
        <w:rPr>
          <w:rStyle w:val="SingleTxtGCar"/>
          <w:b/>
        </w:rPr>
        <w:t xml:space="preserve">et de sanctionner </w:t>
      </w:r>
      <w:r w:rsidRPr="00A13BE9">
        <w:rPr>
          <w:rStyle w:val="SingleTxtGCar"/>
          <w:b/>
        </w:rPr>
        <w:t xml:space="preserve">les auteurs de </w:t>
      </w:r>
      <w:r w:rsidR="00FA3E28">
        <w:rPr>
          <w:rStyle w:val="SingleTxtGCar"/>
          <w:b/>
        </w:rPr>
        <w:t>propos haineux</w:t>
      </w:r>
      <w:r w:rsidRPr="00A13BE9">
        <w:rPr>
          <w:rStyle w:val="SingleTxtGCar"/>
          <w:b/>
        </w:rPr>
        <w:t xml:space="preserve"> et </w:t>
      </w:r>
      <w:r w:rsidR="00FA3E28">
        <w:rPr>
          <w:rStyle w:val="SingleTxtGCar"/>
          <w:b/>
        </w:rPr>
        <w:t xml:space="preserve">de </w:t>
      </w:r>
      <w:r w:rsidRPr="00A13BE9">
        <w:rPr>
          <w:rStyle w:val="SingleTxtGCar"/>
          <w:b/>
        </w:rPr>
        <w:t>prendre les mesures appropriées pour combattre le discours de haine dans les</w:t>
      </w:r>
      <w:r>
        <w:rPr>
          <w:b/>
          <w:szCs w:val="24"/>
        </w:rPr>
        <w:t xml:space="preserve"> médias et sur Internet</w:t>
      </w:r>
      <w:r w:rsidRPr="00334F70">
        <w:rPr>
          <w:b/>
          <w:szCs w:val="24"/>
        </w:rPr>
        <w:t xml:space="preserve">, </w:t>
      </w:r>
      <w:r w:rsidR="00FA3E28">
        <w:rPr>
          <w:b/>
          <w:szCs w:val="24"/>
        </w:rPr>
        <w:t>quel que soit le</w:t>
      </w:r>
      <w:r w:rsidRPr="00334F70">
        <w:rPr>
          <w:b/>
          <w:szCs w:val="24"/>
        </w:rPr>
        <w:t xml:space="preserve"> statut </w:t>
      </w:r>
      <w:r>
        <w:rPr>
          <w:b/>
          <w:szCs w:val="24"/>
        </w:rPr>
        <w:t>des responsables. Le C</w:t>
      </w:r>
      <w:r w:rsidRPr="00334F70">
        <w:rPr>
          <w:b/>
          <w:szCs w:val="24"/>
        </w:rPr>
        <w:t xml:space="preserve">omité recommande également </w:t>
      </w:r>
      <w:r>
        <w:rPr>
          <w:b/>
          <w:szCs w:val="24"/>
        </w:rPr>
        <w:t xml:space="preserve">à </w:t>
      </w:r>
      <w:r w:rsidRPr="00334F70">
        <w:rPr>
          <w:b/>
          <w:szCs w:val="24"/>
        </w:rPr>
        <w:t>l</w:t>
      </w:r>
      <w:r w:rsidR="00E54D1E">
        <w:rPr>
          <w:b/>
          <w:szCs w:val="24"/>
        </w:rPr>
        <w:t>’</w:t>
      </w:r>
      <w:r w:rsidRPr="00334F70">
        <w:rPr>
          <w:b/>
          <w:szCs w:val="24"/>
        </w:rPr>
        <w:t xml:space="preserve">État </w:t>
      </w:r>
      <w:r>
        <w:rPr>
          <w:b/>
          <w:szCs w:val="24"/>
        </w:rPr>
        <w:t xml:space="preserve">partie </w:t>
      </w:r>
      <w:r w:rsidRPr="00334F70">
        <w:rPr>
          <w:b/>
          <w:szCs w:val="24"/>
        </w:rPr>
        <w:t>de prendre d</w:t>
      </w:r>
      <w:r w:rsidR="00E54D1E">
        <w:rPr>
          <w:b/>
          <w:szCs w:val="24"/>
        </w:rPr>
        <w:t>’</w:t>
      </w:r>
      <w:r w:rsidRPr="00334F70">
        <w:rPr>
          <w:b/>
          <w:szCs w:val="24"/>
        </w:rPr>
        <w:t xml:space="preserve">autres mesures </w:t>
      </w:r>
      <w:r w:rsidR="00FA3E28">
        <w:rPr>
          <w:b/>
          <w:szCs w:val="24"/>
        </w:rPr>
        <w:t>pour</w:t>
      </w:r>
      <w:r w:rsidRPr="00334F70">
        <w:rPr>
          <w:b/>
          <w:szCs w:val="24"/>
        </w:rPr>
        <w:t xml:space="preserve"> promouvoir la tolérance</w:t>
      </w:r>
      <w:r w:rsidR="00FA3E28">
        <w:rPr>
          <w:b/>
          <w:szCs w:val="24"/>
        </w:rPr>
        <w:t xml:space="preserve">, </w:t>
      </w:r>
      <w:r>
        <w:rPr>
          <w:b/>
          <w:szCs w:val="24"/>
        </w:rPr>
        <w:t>le dialogue interculturel et</w:t>
      </w:r>
      <w:r w:rsidRPr="00334F70">
        <w:rPr>
          <w:b/>
          <w:szCs w:val="24"/>
        </w:rPr>
        <w:t xml:space="preserve"> le respect de la diversité, en mettant l</w:t>
      </w:r>
      <w:r w:rsidR="00E54D1E">
        <w:rPr>
          <w:b/>
          <w:szCs w:val="24"/>
        </w:rPr>
        <w:t>’</w:t>
      </w:r>
      <w:r w:rsidRPr="00334F70">
        <w:rPr>
          <w:b/>
          <w:szCs w:val="24"/>
        </w:rPr>
        <w:t xml:space="preserve">accent sur le rôle des journalistes et des </w:t>
      </w:r>
      <w:r w:rsidR="00FA3E28">
        <w:rPr>
          <w:b/>
          <w:szCs w:val="24"/>
        </w:rPr>
        <w:t>personnalités publiques</w:t>
      </w:r>
      <w:r w:rsidRPr="00334F70">
        <w:rPr>
          <w:b/>
          <w:szCs w:val="24"/>
        </w:rPr>
        <w:t xml:space="preserve"> à cet égard.</w:t>
      </w:r>
    </w:p>
    <w:p w:rsidR="00F66856" w:rsidRDefault="00A13BE9" w:rsidP="00A13BE9">
      <w:pPr>
        <w:pStyle w:val="H23G"/>
      </w:pPr>
      <w:r>
        <w:tab/>
      </w:r>
      <w:r>
        <w:tab/>
      </w:r>
      <w:r w:rsidR="00F66856">
        <w:t>Législation contre l</w:t>
      </w:r>
      <w:r w:rsidR="00E54D1E">
        <w:t>’</w:t>
      </w:r>
      <w:r w:rsidR="00F66856">
        <w:t>incitation à la violence et les organisations extrémistes</w:t>
      </w:r>
    </w:p>
    <w:p w:rsidR="00F66856" w:rsidRDefault="00F66856" w:rsidP="00F66856">
      <w:pPr>
        <w:pStyle w:val="ParNoG"/>
      </w:pPr>
      <w:r>
        <w:t>Le Comité note avec inquiétude que le Code pénal de l</w:t>
      </w:r>
      <w:r w:rsidR="00E54D1E">
        <w:t>’</w:t>
      </w:r>
      <w:r>
        <w:t>État partie (art. 164 et 337, par.</w:t>
      </w:r>
      <w:r w:rsidR="00A13BE9">
        <w:t> </w:t>
      </w:r>
      <w:r>
        <w:t>2) ne répond pas pleinement aux exigences de l</w:t>
      </w:r>
      <w:r w:rsidR="00E54D1E">
        <w:t>’</w:t>
      </w:r>
      <w:r>
        <w:t>article 4 a) et b) de la Convention.</w:t>
      </w:r>
    </w:p>
    <w:p w:rsidR="00F66856" w:rsidRPr="00A13BE9" w:rsidRDefault="00F66856" w:rsidP="00F10E89">
      <w:pPr>
        <w:pStyle w:val="SingleTxtG"/>
        <w:rPr>
          <w:b/>
        </w:rPr>
      </w:pPr>
      <w:r w:rsidRPr="00A13BE9">
        <w:rPr>
          <w:b/>
        </w:rPr>
        <w:t>Appelant l</w:t>
      </w:r>
      <w:r w:rsidR="00E54D1E">
        <w:rPr>
          <w:b/>
        </w:rPr>
        <w:t>’</w:t>
      </w:r>
      <w:r w:rsidRPr="00A13BE9">
        <w:rPr>
          <w:b/>
        </w:rPr>
        <w:t xml:space="preserve">attention sur sa Recommandation générale </w:t>
      </w:r>
      <w:r w:rsidR="00A13BE9" w:rsidRPr="00A13BE9">
        <w:rPr>
          <w:rFonts w:eastAsia="MS Mincho"/>
          <w:b/>
        </w:rPr>
        <w:t>n</w:t>
      </w:r>
      <w:r w:rsidR="00A13BE9" w:rsidRPr="00A13BE9">
        <w:rPr>
          <w:rFonts w:eastAsia="MS Mincho"/>
          <w:b/>
          <w:vertAlign w:val="superscript"/>
        </w:rPr>
        <w:t>o</w:t>
      </w:r>
      <w:r w:rsidR="00A13BE9">
        <w:rPr>
          <w:b/>
        </w:rPr>
        <w:t> </w:t>
      </w:r>
      <w:r w:rsidRPr="00A13BE9">
        <w:rPr>
          <w:b/>
        </w:rPr>
        <w:t>15 (1993) concernant l</w:t>
      </w:r>
      <w:r w:rsidR="00E54D1E">
        <w:rPr>
          <w:b/>
        </w:rPr>
        <w:t>’</w:t>
      </w:r>
      <w:r w:rsidRPr="00A13BE9">
        <w:rPr>
          <w:b/>
        </w:rPr>
        <w:t>article</w:t>
      </w:r>
      <w:r w:rsidR="00A13BE9">
        <w:rPr>
          <w:b/>
        </w:rPr>
        <w:t> </w:t>
      </w:r>
      <w:r w:rsidRPr="00A13BE9">
        <w:rPr>
          <w:b/>
        </w:rPr>
        <w:t>4 de la Convention e</w:t>
      </w:r>
      <w:r w:rsidR="00A13BE9">
        <w:rPr>
          <w:b/>
        </w:rPr>
        <w:t xml:space="preserve">t sa Recommandation générale </w:t>
      </w:r>
      <w:r w:rsidR="00A13BE9" w:rsidRPr="00A13BE9">
        <w:rPr>
          <w:rFonts w:eastAsia="MS Mincho"/>
          <w:b/>
        </w:rPr>
        <w:t>n</w:t>
      </w:r>
      <w:r w:rsidR="00A13BE9" w:rsidRPr="00A13BE9">
        <w:rPr>
          <w:rFonts w:eastAsia="MS Mincho"/>
          <w:b/>
          <w:vertAlign w:val="superscript"/>
        </w:rPr>
        <w:t>o</w:t>
      </w:r>
      <w:r w:rsidR="00A13BE9">
        <w:rPr>
          <w:b/>
        </w:rPr>
        <w:t> </w:t>
      </w:r>
      <w:r w:rsidRPr="00A13BE9">
        <w:rPr>
          <w:b/>
        </w:rPr>
        <w:t>35 (2013) sur la lutte contre les discours de haine raciale, le Comité recommande à l</w:t>
      </w:r>
      <w:r w:rsidR="00E54D1E">
        <w:rPr>
          <w:b/>
        </w:rPr>
        <w:t>’</w:t>
      </w:r>
      <w:r w:rsidRPr="00A13BE9">
        <w:rPr>
          <w:b/>
        </w:rPr>
        <w:t>État partie de réviser sa législation de façon à:</w:t>
      </w:r>
    </w:p>
    <w:p w:rsidR="00F66856" w:rsidRPr="00A13BE9" w:rsidRDefault="00A13BE9" w:rsidP="00A13BE9">
      <w:pPr>
        <w:pStyle w:val="SingleTxtG"/>
        <w:ind w:firstLine="567"/>
        <w:rPr>
          <w:b/>
        </w:rPr>
      </w:pPr>
      <w:r>
        <w:rPr>
          <w:b/>
        </w:rPr>
        <w:t>a)</w:t>
      </w:r>
      <w:r>
        <w:rPr>
          <w:b/>
        </w:rPr>
        <w:tab/>
      </w:r>
      <w:r w:rsidR="00F66856" w:rsidRPr="00A13BE9">
        <w:rPr>
          <w:b/>
        </w:rPr>
        <w:t>Interdire l</w:t>
      </w:r>
      <w:r w:rsidR="00E54D1E">
        <w:rPr>
          <w:b/>
        </w:rPr>
        <w:t>’</w:t>
      </w:r>
      <w:r w:rsidR="00F66856" w:rsidRPr="00A13BE9">
        <w:rPr>
          <w:b/>
        </w:rPr>
        <w:t>incitation à la violence contre tout groupe de personnes pour des motifs de race, de couleur ou d</w:t>
      </w:r>
      <w:r w:rsidR="00E54D1E">
        <w:rPr>
          <w:b/>
        </w:rPr>
        <w:t>’</w:t>
      </w:r>
      <w:r w:rsidR="00F66856" w:rsidRPr="00A13BE9">
        <w:rPr>
          <w:b/>
        </w:rPr>
        <w:t xml:space="preserve">origine ethnique; </w:t>
      </w:r>
    </w:p>
    <w:p w:rsidR="00F66856" w:rsidRPr="00A13BE9" w:rsidRDefault="00A13BE9" w:rsidP="00A13BE9">
      <w:pPr>
        <w:pStyle w:val="SingleTxtG"/>
        <w:ind w:firstLine="567"/>
        <w:rPr>
          <w:b/>
        </w:rPr>
      </w:pPr>
      <w:r>
        <w:rPr>
          <w:b/>
        </w:rPr>
        <w:t>b)</w:t>
      </w:r>
      <w:r>
        <w:rPr>
          <w:b/>
        </w:rPr>
        <w:tab/>
      </w:r>
      <w:r w:rsidR="00F66856" w:rsidRPr="00A13BE9">
        <w:rPr>
          <w:b/>
        </w:rPr>
        <w:t>Déclarer illégales et interdire toutes les formes d</w:t>
      </w:r>
      <w:r w:rsidR="00E54D1E">
        <w:rPr>
          <w:b/>
        </w:rPr>
        <w:t>’</w:t>
      </w:r>
      <w:r w:rsidR="00F66856" w:rsidRPr="00A13BE9">
        <w:rPr>
          <w:b/>
        </w:rPr>
        <w:t>organisation et toutes les activités de propagande qui incitent à la discrimination raciale et l</w:t>
      </w:r>
      <w:r w:rsidR="00E54D1E">
        <w:rPr>
          <w:b/>
        </w:rPr>
        <w:t>’</w:t>
      </w:r>
      <w:r w:rsidR="00F66856" w:rsidRPr="00A13BE9">
        <w:rPr>
          <w:b/>
        </w:rPr>
        <w:t xml:space="preserve">encouragent; </w:t>
      </w:r>
    </w:p>
    <w:p w:rsidR="00F66856" w:rsidRPr="00A13BE9" w:rsidRDefault="00A13BE9" w:rsidP="00A13BE9">
      <w:pPr>
        <w:pStyle w:val="SingleTxtG"/>
        <w:ind w:firstLine="567"/>
        <w:rPr>
          <w:b/>
        </w:rPr>
      </w:pPr>
      <w:r>
        <w:rPr>
          <w:b/>
        </w:rPr>
        <w:t>c)</w:t>
      </w:r>
      <w:r>
        <w:rPr>
          <w:b/>
        </w:rPr>
        <w:tab/>
      </w:r>
      <w:r w:rsidR="00F66856" w:rsidRPr="00A13BE9">
        <w:rPr>
          <w:b/>
        </w:rPr>
        <w:t>Interdire et réprimer la participation à ces organisations ou à ces activités, conformément à l</w:t>
      </w:r>
      <w:r w:rsidR="00E54D1E">
        <w:rPr>
          <w:b/>
        </w:rPr>
        <w:t>’</w:t>
      </w:r>
      <w:r w:rsidR="00F66856" w:rsidRPr="00A13BE9">
        <w:rPr>
          <w:b/>
        </w:rPr>
        <w:t xml:space="preserve">article </w:t>
      </w:r>
      <w:r w:rsidR="004306DD" w:rsidRPr="00A13BE9">
        <w:rPr>
          <w:b/>
        </w:rPr>
        <w:t>4</w:t>
      </w:r>
      <w:r w:rsidR="004306DD">
        <w:rPr>
          <w:b/>
        </w:rPr>
        <w:t> </w:t>
      </w:r>
      <w:r w:rsidR="00F66856" w:rsidRPr="00A13BE9">
        <w:rPr>
          <w:b/>
        </w:rPr>
        <w:t xml:space="preserve">a) et b) de la Convention. </w:t>
      </w:r>
    </w:p>
    <w:p w:rsidR="00F66856" w:rsidRDefault="00A13BE9" w:rsidP="00A13BE9">
      <w:pPr>
        <w:pStyle w:val="H23G"/>
      </w:pPr>
      <w:r>
        <w:tab/>
      </w:r>
      <w:r>
        <w:tab/>
      </w:r>
      <w:r w:rsidR="00F66856">
        <w:t>Législation pénale et liberté d</w:t>
      </w:r>
      <w:r w:rsidR="00E54D1E">
        <w:t>’</w:t>
      </w:r>
      <w:r w:rsidR="00F66856">
        <w:t>expression</w:t>
      </w:r>
    </w:p>
    <w:p w:rsidR="00F66856" w:rsidRDefault="00F66856" w:rsidP="00F66856">
      <w:pPr>
        <w:pStyle w:val="ParNoG"/>
      </w:pPr>
      <w:r>
        <w:t>Le Comité se déclare préoccupé par le caractère trop général des dispositions de l</w:t>
      </w:r>
      <w:r w:rsidR="00E54D1E">
        <w:t>’</w:t>
      </w:r>
      <w:r>
        <w:t>article</w:t>
      </w:r>
      <w:r w:rsidR="001715BE">
        <w:t> </w:t>
      </w:r>
      <w:r>
        <w:t>164 du Code pénal, notamment celles qui concernent l</w:t>
      </w:r>
      <w:r w:rsidR="00E54D1E">
        <w:t>’</w:t>
      </w:r>
      <w:r>
        <w:t>incitation à la haine ou à l</w:t>
      </w:r>
      <w:r w:rsidR="00E54D1E">
        <w:t>’</w:t>
      </w:r>
      <w:r>
        <w:t>hostilité nationale, ethnique ou raciale, et les insultes à l</w:t>
      </w:r>
      <w:r w:rsidR="00E54D1E">
        <w:t>’</w:t>
      </w:r>
      <w:r>
        <w:t>honneur et à la dignité nationale ou aux sentiments religieux des citoyens, qui pourrait entraîner une interférence injustifiée et disproportionnée avec la liberté d</w:t>
      </w:r>
      <w:r w:rsidR="00E54D1E">
        <w:t>’</w:t>
      </w:r>
      <w:r>
        <w:t xml:space="preserve">expression, notamment des membres des communautés minoritaires (art. 4 et 5 d) viii)). </w:t>
      </w:r>
    </w:p>
    <w:p w:rsidR="00F66856" w:rsidRPr="00A13BE9" w:rsidRDefault="00F66856" w:rsidP="00A13BE9">
      <w:pPr>
        <w:pStyle w:val="SingleTxtG"/>
        <w:rPr>
          <w:b/>
        </w:rPr>
      </w:pPr>
      <w:r w:rsidRPr="00A13BE9">
        <w:rPr>
          <w:b/>
        </w:rPr>
        <w:t xml:space="preserve">À la lumière de sa Recommandation générale </w:t>
      </w:r>
      <w:r w:rsidR="005B7447" w:rsidRPr="005B7447">
        <w:rPr>
          <w:rFonts w:eastAsia="MS Mincho"/>
          <w:b/>
        </w:rPr>
        <w:t>n</w:t>
      </w:r>
      <w:r w:rsidR="005B7447" w:rsidRPr="005B7447">
        <w:rPr>
          <w:rFonts w:eastAsia="MS Mincho"/>
          <w:b/>
          <w:vertAlign w:val="superscript"/>
        </w:rPr>
        <w:t>o</w:t>
      </w:r>
      <w:r w:rsidR="005B7447">
        <w:rPr>
          <w:b/>
        </w:rPr>
        <w:t> </w:t>
      </w:r>
      <w:r w:rsidRPr="00A13BE9">
        <w:rPr>
          <w:b/>
        </w:rPr>
        <w:t>15 (1993) concernant l</w:t>
      </w:r>
      <w:r w:rsidR="00E54D1E">
        <w:rPr>
          <w:b/>
        </w:rPr>
        <w:t>’</w:t>
      </w:r>
      <w:r w:rsidRPr="00A13BE9">
        <w:rPr>
          <w:b/>
        </w:rPr>
        <w:t>article</w:t>
      </w:r>
      <w:r w:rsidR="001715BE">
        <w:rPr>
          <w:b/>
        </w:rPr>
        <w:t> </w:t>
      </w:r>
      <w:r w:rsidRPr="00A13BE9">
        <w:rPr>
          <w:b/>
        </w:rPr>
        <w:t>4 de la Convention</w:t>
      </w:r>
      <w:r w:rsidR="00A13BE9">
        <w:rPr>
          <w:b/>
        </w:rPr>
        <w:t xml:space="preserve"> </w:t>
      </w:r>
      <w:r w:rsidRPr="00A13BE9">
        <w:rPr>
          <w:b/>
        </w:rPr>
        <w:t xml:space="preserve">et de sa Recommandation générale </w:t>
      </w:r>
      <w:r w:rsidR="00A13BE9" w:rsidRPr="00A13BE9">
        <w:rPr>
          <w:rFonts w:eastAsia="MS Mincho"/>
          <w:b/>
        </w:rPr>
        <w:t>n</w:t>
      </w:r>
      <w:r w:rsidR="00A13BE9" w:rsidRPr="00A13BE9">
        <w:rPr>
          <w:rFonts w:eastAsia="MS Mincho"/>
          <w:b/>
          <w:vertAlign w:val="superscript"/>
        </w:rPr>
        <w:t>o</w:t>
      </w:r>
      <w:r w:rsidR="00A13BE9" w:rsidRPr="00A13BE9">
        <w:rPr>
          <w:b/>
        </w:rPr>
        <w:t> </w:t>
      </w:r>
      <w:r w:rsidRPr="00A13BE9">
        <w:rPr>
          <w:b/>
        </w:rPr>
        <w:t>35 (2013) sur la lutte contre les discours de haine raciale, le Comité recommande à l</w:t>
      </w:r>
      <w:r w:rsidR="00E54D1E">
        <w:rPr>
          <w:b/>
        </w:rPr>
        <w:t>’</w:t>
      </w:r>
      <w:r w:rsidRPr="00A13BE9">
        <w:rPr>
          <w:b/>
        </w:rPr>
        <w:t>État partie de définir clairement les infractions pénales, en particulier celles qui relèvent de l</w:t>
      </w:r>
      <w:r w:rsidR="00E54D1E">
        <w:rPr>
          <w:b/>
        </w:rPr>
        <w:t>’</w:t>
      </w:r>
      <w:r w:rsidRPr="00A13BE9">
        <w:rPr>
          <w:b/>
        </w:rPr>
        <w:t>article 164 du Code pénal, de manière à garantir qu</w:t>
      </w:r>
      <w:r w:rsidR="00E54D1E">
        <w:rPr>
          <w:b/>
        </w:rPr>
        <w:t>’</w:t>
      </w:r>
      <w:r w:rsidRPr="00A13BE9">
        <w:rPr>
          <w:b/>
        </w:rPr>
        <w:t>il n</w:t>
      </w:r>
      <w:r w:rsidR="00E54D1E">
        <w:rPr>
          <w:b/>
        </w:rPr>
        <w:t>’</w:t>
      </w:r>
      <w:r w:rsidRPr="00A13BE9">
        <w:rPr>
          <w:b/>
        </w:rPr>
        <w:t>en découle pas une interférence injustifiée et disproportionnée avec la liberté d</w:t>
      </w:r>
      <w:r w:rsidR="00E54D1E">
        <w:rPr>
          <w:b/>
        </w:rPr>
        <w:t>’</w:t>
      </w:r>
      <w:r w:rsidRPr="00A13BE9">
        <w:rPr>
          <w:b/>
        </w:rPr>
        <w:t xml:space="preserve">expression, notamment des membres des communautés minoritaires. </w:t>
      </w:r>
    </w:p>
    <w:p w:rsidR="00F66856" w:rsidRDefault="00A13BE9" w:rsidP="00A13BE9">
      <w:pPr>
        <w:pStyle w:val="H23G"/>
      </w:pPr>
      <w:r>
        <w:tab/>
      </w:r>
      <w:r>
        <w:tab/>
      </w:r>
      <w:r w:rsidR="00F66856">
        <w:t>Droit du travail</w:t>
      </w:r>
    </w:p>
    <w:p w:rsidR="00F66856" w:rsidRDefault="00F66856" w:rsidP="00F66856">
      <w:pPr>
        <w:pStyle w:val="ParNoG"/>
      </w:pPr>
      <w:r>
        <w:t>Tout en notant que le paragraphe 2 de l</w:t>
      </w:r>
      <w:r w:rsidR="00E54D1E">
        <w:t>’</w:t>
      </w:r>
      <w:r>
        <w:t xml:space="preserve">article 7 du Code du travail de 2007 </w:t>
      </w:r>
      <w:r w:rsidR="00E224F3">
        <w:t xml:space="preserve">couvre </w:t>
      </w:r>
      <w:r>
        <w:t>les motifs de discrimination interdits énumérés au paragraphe</w:t>
      </w:r>
      <w:r w:rsidR="001715BE">
        <w:t> </w:t>
      </w:r>
      <w:r>
        <w:t>1 de l</w:t>
      </w:r>
      <w:r w:rsidR="00E54D1E">
        <w:t>’</w:t>
      </w:r>
      <w:r>
        <w:t>article premier de la Convention, le Comité constate avec inquiétude que la discrimination fondée sur la co</w:t>
      </w:r>
      <w:r w:rsidR="001715BE">
        <w:t>uleur n</w:t>
      </w:r>
      <w:r w:rsidR="00E54D1E">
        <w:t>’</w:t>
      </w:r>
      <w:r w:rsidR="001715BE">
        <w:t>est pas interdite (art. </w:t>
      </w:r>
      <w:r>
        <w:t>1, par.</w:t>
      </w:r>
      <w:r w:rsidR="001715BE">
        <w:t> </w:t>
      </w:r>
      <w:r>
        <w:t>1 et art.</w:t>
      </w:r>
      <w:r w:rsidR="001715BE">
        <w:t> </w:t>
      </w:r>
      <w:r>
        <w:t xml:space="preserve">5 e) i)). </w:t>
      </w:r>
    </w:p>
    <w:p w:rsidR="00F66856" w:rsidRPr="00A13BE9" w:rsidRDefault="00F66856" w:rsidP="00A13BE9">
      <w:pPr>
        <w:pStyle w:val="SingleTxtG"/>
        <w:rPr>
          <w:b/>
        </w:rPr>
      </w:pPr>
      <w:r w:rsidRPr="00A13BE9">
        <w:rPr>
          <w:b/>
        </w:rPr>
        <w:t>Le Comité recommande à l</w:t>
      </w:r>
      <w:r w:rsidR="00E54D1E">
        <w:rPr>
          <w:b/>
        </w:rPr>
        <w:t>’</w:t>
      </w:r>
      <w:r w:rsidRPr="00A13BE9">
        <w:rPr>
          <w:b/>
        </w:rPr>
        <w:t>État partie d</w:t>
      </w:r>
      <w:r w:rsidR="00E54D1E">
        <w:rPr>
          <w:b/>
        </w:rPr>
        <w:t>’</w:t>
      </w:r>
      <w:r w:rsidRPr="00A13BE9">
        <w:rPr>
          <w:b/>
        </w:rPr>
        <w:t>envisager de modifier le Code du travail de façon à interdire expressément la discrimination fondée sur la couleur, conformément au paragraphe</w:t>
      </w:r>
      <w:r w:rsidR="001715BE">
        <w:rPr>
          <w:b/>
        </w:rPr>
        <w:t> </w:t>
      </w:r>
      <w:r w:rsidRPr="00A13BE9">
        <w:rPr>
          <w:b/>
        </w:rPr>
        <w:t>1 de l</w:t>
      </w:r>
      <w:r w:rsidR="00E54D1E">
        <w:rPr>
          <w:b/>
        </w:rPr>
        <w:t>’</w:t>
      </w:r>
      <w:r w:rsidRPr="00A13BE9">
        <w:rPr>
          <w:b/>
        </w:rPr>
        <w:t xml:space="preserve">article premier de la Convention. </w:t>
      </w:r>
    </w:p>
    <w:p w:rsidR="00F66856" w:rsidRDefault="00A13BE9" w:rsidP="00A13BE9">
      <w:pPr>
        <w:pStyle w:val="H23G"/>
      </w:pPr>
      <w:r>
        <w:tab/>
      </w:r>
      <w:r>
        <w:tab/>
      </w:r>
      <w:r w:rsidR="00F66856">
        <w:t>Travailleurs migrants</w:t>
      </w:r>
    </w:p>
    <w:p w:rsidR="00F66856" w:rsidRDefault="00F66856" w:rsidP="00F66856">
      <w:pPr>
        <w:pStyle w:val="ParNoG"/>
      </w:pPr>
      <w:r>
        <w:t>Le Comité salue l</w:t>
      </w:r>
      <w:r w:rsidR="00E54D1E">
        <w:t>’</w:t>
      </w:r>
      <w:r>
        <w:t xml:space="preserve">adoption de la loi de 2011 </w:t>
      </w:r>
      <w:r w:rsidRPr="00C25F47">
        <w:t>sur les migrations,</w:t>
      </w:r>
      <w:r>
        <w:t xml:space="preserve"> mais constate avec préoccupation que le système d</w:t>
      </w:r>
      <w:r w:rsidR="00E54D1E">
        <w:t>’</w:t>
      </w:r>
      <w:r>
        <w:t xml:space="preserve">octroi de permis de travail et de quotas pour </w:t>
      </w:r>
      <w:r w:rsidR="00E224F3">
        <w:t>l</w:t>
      </w:r>
      <w:r w:rsidR="00E54D1E">
        <w:t>’</w:t>
      </w:r>
      <w:r w:rsidR="00E224F3">
        <w:t>e</w:t>
      </w:r>
      <w:r w:rsidR="005B7447">
        <w:t>mbauche</w:t>
      </w:r>
      <w:r w:rsidR="00E224F3">
        <w:t xml:space="preserve"> </w:t>
      </w:r>
      <w:r>
        <w:t>de la main-d</w:t>
      </w:r>
      <w:r w:rsidR="00E54D1E">
        <w:t>’</w:t>
      </w:r>
      <w:r>
        <w:t xml:space="preserve">œuvre étrangère, ainsi que la </w:t>
      </w:r>
      <w:r w:rsidRPr="00C25F47">
        <w:t xml:space="preserve">décision </w:t>
      </w:r>
      <w:r w:rsidR="001715BE">
        <w:rPr>
          <w:rFonts w:eastAsia="MS Mincho"/>
        </w:rPr>
        <w:t>n</w:t>
      </w:r>
      <w:r w:rsidR="001715BE">
        <w:rPr>
          <w:rFonts w:eastAsia="MS Mincho"/>
          <w:vertAlign w:val="superscript"/>
        </w:rPr>
        <w:t>o</w:t>
      </w:r>
      <w:r w:rsidR="001715BE">
        <w:t> </w:t>
      </w:r>
      <w:r>
        <w:t xml:space="preserve">45 du 13 janvier 2012, qui a introduit des restrictions fondées sur la nationalité pour les entrepreneurs individuels, sont trop </w:t>
      </w:r>
      <w:r w:rsidR="005B7447">
        <w:t xml:space="preserve">restrictifs </w:t>
      </w:r>
      <w:r>
        <w:t>et pourraient entraîner des discriminations, en violation de la Convention et du paragraphe</w:t>
      </w:r>
      <w:r w:rsidR="001715BE">
        <w:t> </w:t>
      </w:r>
      <w:r>
        <w:t>1 de l</w:t>
      </w:r>
      <w:r w:rsidR="00E54D1E">
        <w:t>’</w:t>
      </w:r>
      <w:r>
        <w:t>article</w:t>
      </w:r>
      <w:r w:rsidR="001715BE">
        <w:t> </w:t>
      </w:r>
      <w:r>
        <w:t xml:space="preserve">7 du Code du travail kazakh (art. 5 e) i)). </w:t>
      </w:r>
    </w:p>
    <w:p w:rsidR="00F66856" w:rsidRPr="00A13BE9" w:rsidRDefault="00F66856" w:rsidP="00F10E89">
      <w:pPr>
        <w:pStyle w:val="SingleTxtG"/>
        <w:rPr>
          <w:b/>
        </w:rPr>
      </w:pPr>
      <w:r w:rsidRPr="00A13BE9">
        <w:rPr>
          <w:b/>
        </w:rPr>
        <w:t>Le Comité recommande à l</w:t>
      </w:r>
      <w:r w:rsidR="00E54D1E">
        <w:rPr>
          <w:b/>
        </w:rPr>
        <w:t>’</w:t>
      </w:r>
      <w:r w:rsidRPr="00A13BE9">
        <w:rPr>
          <w:b/>
        </w:rPr>
        <w:t>État partie:</w:t>
      </w:r>
    </w:p>
    <w:p w:rsidR="00F66856" w:rsidRPr="00A13BE9" w:rsidRDefault="00A13BE9" w:rsidP="00A13BE9">
      <w:pPr>
        <w:pStyle w:val="SingleTxtG"/>
        <w:ind w:firstLine="567"/>
        <w:rPr>
          <w:b/>
        </w:rPr>
      </w:pPr>
      <w:r>
        <w:rPr>
          <w:b/>
        </w:rPr>
        <w:t>a)</w:t>
      </w:r>
      <w:r>
        <w:rPr>
          <w:b/>
        </w:rPr>
        <w:tab/>
      </w:r>
      <w:r w:rsidR="00F66856" w:rsidRPr="00A13BE9">
        <w:rPr>
          <w:b/>
        </w:rPr>
        <w:t>De prendre des mesures pour faciliter la régularisation des travailleurs étrangers et empêcher toute discrimination à leur égard en appliquant le système d</w:t>
      </w:r>
      <w:r w:rsidR="00E54D1E">
        <w:rPr>
          <w:b/>
        </w:rPr>
        <w:t>’</w:t>
      </w:r>
      <w:r w:rsidR="00F66856" w:rsidRPr="00A13BE9">
        <w:rPr>
          <w:b/>
        </w:rPr>
        <w:t xml:space="preserve">octroi des permis de travail et des quotas de manière flexible, tout en assurant une procédure </w:t>
      </w:r>
      <w:r w:rsidR="00E224F3">
        <w:rPr>
          <w:b/>
        </w:rPr>
        <w:t>d</w:t>
      </w:r>
      <w:r w:rsidR="00E54D1E">
        <w:rPr>
          <w:b/>
        </w:rPr>
        <w:t>’</w:t>
      </w:r>
      <w:r w:rsidR="00E224F3">
        <w:rPr>
          <w:b/>
        </w:rPr>
        <w:t>embauche</w:t>
      </w:r>
      <w:r w:rsidR="00F66856" w:rsidRPr="00A13BE9">
        <w:rPr>
          <w:b/>
        </w:rPr>
        <w:t xml:space="preserve"> équitable;</w:t>
      </w:r>
    </w:p>
    <w:p w:rsidR="00F66856" w:rsidRPr="00A13BE9" w:rsidRDefault="00A13BE9" w:rsidP="00A13BE9">
      <w:pPr>
        <w:pStyle w:val="SingleTxtG"/>
        <w:ind w:firstLine="567"/>
        <w:rPr>
          <w:b/>
        </w:rPr>
      </w:pPr>
      <w:r>
        <w:rPr>
          <w:b/>
        </w:rPr>
        <w:t>b)</w:t>
      </w:r>
      <w:r>
        <w:rPr>
          <w:b/>
        </w:rPr>
        <w:tab/>
      </w:r>
      <w:r w:rsidR="00F66856" w:rsidRPr="00A13BE9">
        <w:rPr>
          <w:b/>
        </w:rPr>
        <w:t>D</w:t>
      </w:r>
      <w:r w:rsidR="00E54D1E">
        <w:rPr>
          <w:b/>
        </w:rPr>
        <w:t>’</w:t>
      </w:r>
      <w:r w:rsidR="00F66856" w:rsidRPr="00A13BE9">
        <w:rPr>
          <w:b/>
        </w:rPr>
        <w:t>envisager de modifier la loi de 2011 sur les migrations et d</w:t>
      </w:r>
      <w:r w:rsidR="00E54D1E">
        <w:rPr>
          <w:b/>
        </w:rPr>
        <w:t>’</w:t>
      </w:r>
      <w:r w:rsidR="00F66856" w:rsidRPr="00A13BE9">
        <w:rPr>
          <w:b/>
        </w:rPr>
        <w:t xml:space="preserve">autres lois connexes </w:t>
      </w:r>
      <w:r w:rsidR="00E224F3">
        <w:rPr>
          <w:b/>
        </w:rPr>
        <w:t>afin</w:t>
      </w:r>
      <w:r w:rsidR="00F66856" w:rsidRPr="00A13BE9">
        <w:rPr>
          <w:b/>
        </w:rPr>
        <w:t xml:space="preserve"> que les conditions requises pour devenir entrepreneur individuel ne soient pas trop restrictives et n</w:t>
      </w:r>
      <w:r w:rsidR="00E54D1E">
        <w:rPr>
          <w:b/>
        </w:rPr>
        <w:t>’</w:t>
      </w:r>
      <w:r w:rsidR="00F66856" w:rsidRPr="00A13BE9">
        <w:rPr>
          <w:b/>
        </w:rPr>
        <w:t>entraînent pas de discrimination fondée sur les motifs énoncés au paragraphe 1 de l</w:t>
      </w:r>
      <w:r w:rsidR="00E54D1E">
        <w:rPr>
          <w:b/>
        </w:rPr>
        <w:t>’</w:t>
      </w:r>
      <w:r w:rsidR="00F66856" w:rsidRPr="00A13BE9">
        <w:rPr>
          <w:b/>
        </w:rPr>
        <w:t>article premier de la Convention ou sur les motifs interdits par la législation de l</w:t>
      </w:r>
      <w:r w:rsidR="00E54D1E">
        <w:rPr>
          <w:b/>
        </w:rPr>
        <w:t>’</w:t>
      </w:r>
      <w:r w:rsidR="00F66856" w:rsidRPr="00A13BE9">
        <w:rPr>
          <w:b/>
        </w:rPr>
        <w:t xml:space="preserve">État partie. </w:t>
      </w:r>
    </w:p>
    <w:p w:rsidR="00F66856" w:rsidRDefault="00F66856" w:rsidP="00F66856">
      <w:pPr>
        <w:pStyle w:val="ParNoG"/>
      </w:pPr>
      <w:r>
        <w:t>Le Comité est préoccupé par la situation irrégulière dans laquelle se trouvent de nombreux travailleurs migrants, qui ont un accès restreint aux services publics et dont les enfants se voient souvent refuser l</w:t>
      </w:r>
      <w:r w:rsidR="00E54D1E">
        <w:t>’</w:t>
      </w:r>
      <w:r>
        <w:t>accès à l</w:t>
      </w:r>
      <w:r w:rsidR="00E54D1E">
        <w:t>’</w:t>
      </w:r>
      <w:r>
        <w:t>éducation, ainsi qu</w:t>
      </w:r>
      <w:r w:rsidR="00E54D1E">
        <w:t>’</w:t>
      </w:r>
      <w:r>
        <w:t>aux soins médicaux, en</w:t>
      </w:r>
      <w:r w:rsidR="005B7447">
        <w:t> </w:t>
      </w:r>
      <w:r>
        <w:t xml:space="preserve">dehors des urgences. </w:t>
      </w:r>
      <w:r w:rsidR="00E224F3">
        <w:t>Il</w:t>
      </w:r>
      <w:r>
        <w:t xml:space="preserve"> constate également avec inquiétude qu</w:t>
      </w:r>
      <w:r w:rsidR="00E54D1E">
        <w:t>’</w:t>
      </w:r>
      <w:r>
        <w:t>il n</w:t>
      </w:r>
      <w:r w:rsidR="00E54D1E">
        <w:t>’</w:t>
      </w:r>
      <w:r>
        <w:t>existe pas de données ventilées sur les travailleurs migrants, qui sont souvent exposés à la violence, aux</w:t>
      </w:r>
      <w:r w:rsidR="00BC53DD">
        <w:t> </w:t>
      </w:r>
      <w:r>
        <w:t xml:space="preserve">extorsions et à la traite des êtres humains (art. </w:t>
      </w:r>
      <w:r w:rsidR="00BC53DD">
        <w:t> </w:t>
      </w:r>
      <w:r>
        <w:t xml:space="preserve">5 e) iv) et v)). </w:t>
      </w:r>
    </w:p>
    <w:p w:rsidR="00F66856" w:rsidRDefault="00F66856" w:rsidP="00A13BE9">
      <w:pPr>
        <w:pStyle w:val="SingleTxtG"/>
        <w:rPr>
          <w:b/>
        </w:rPr>
      </w:pPr>
      <w:r>
        <w:rPr>
          <w:b/>
        </w:rPr>
        <w:t>Le Comité recommande à l</w:t>
      </w:r>
      <w:r w:rsidR="00E54D1E">
        <w:rPr>
          <w:b/>
        </w:rPr>
        <w:t>’</w:t>
      </w:r>
      <w:r>
        <w:rPr>
          <w:b/>
        </w:rPr>
        <w:t>État partie:</w:t>
      </w:r>
    </w:p>
    <w:p w:rsidR="00F66856" w:rsidRDefault="00A13BE9" w:rsidP="00A13BE9">
      <w:pPr>
        <w:pStyle w:val="SingleTxtG"/>
        <w:ind w:firstLine="567"/>
        <w:rPr>
          <w:b/>
        </w:rPr>
      </w:pPr>
      <w:r>
        <w:rPr>
          <w:b/>
        </w:rPr>
        <w:t>a)</w:t>
      </w:r>
      <w:r>
        <w:rPr>
          <w:b/>
        </w:rPr>
        <w:tab/>
      </w:r>
      <w:r w:rsidR="00F66856">
        <w:rPr>
          <w:b/>
        </w:rPr>
        <w:t>De prendre des mesures spéciales pour faire en sorte que les travailleurs migrants et leur</w:t>
      </w:r>
      <w:r w:rsidR="005B7447">
        <w:rPr>
          <w:b/>
        </w:rPr>
        <w:t xml:space="preserve"> </w:t>
      </w:r>
      <w:r w:rsidR="00F66856">
        <w:rPr>
          <w:b/>
        </w:rPr>
        <w:t>famille aient accès, dans des conditions d</w:t>
      </w:r>
      <w:r w:rsidR="00E54D1E">
        <w:rPr>
          <w:b/>
        </w:rPr>
        <w:t>’</w:t>
      </w:r>
      <w:r w:rsidR="00F66856">
        <w:rPr>
          <w:b/>
        </w:rPr>
        <w:t>égalité, à l</w:t>
      </w:r>
      <w:r w:rsidR="00E54D1E">
        <w:rPr>
          <w:b/>
        </w:rPr>
        <w:t>’</w:t>
      </w:r>
      <w:r w:rsidR="00F66856">
        <w:rPr>
          <w:b/>
        </w:rPr>
        <w:t>éducation, aux soins de santé et à d</w:t>
      </w:r>
      <w:r w:rsidR="00E54D1E">
        <w:rPr>
          <w:b/>
        </w:rPr>
        <w:t>’</w:t>
      </w:r>
      <w:r w:rsidR="00F66856">
        <w:rPr>
          <w:b/>
        </w:rPr>
        <w:t xml:space="preserve">autres services publics essentiels, notamment la sécurité sociale; </w:t>
      </w:r>
    </w:p>
    <w:p w:rsidR="00F66856" w:rsidRDefault="00A13BE9" w:rsidP="00A13BE9">
      <w:pPr>
        <w:pStyle w:val="SingleTxtG"/>
        <w:ind w:firstLine="567"/>
        <w:rPr>
          <w:b/>
        </w:rPr>
      </w:pPr>
      <w:r>
        <w:rPr>
          <w:b/>
        </w:rPr>
        <w:t>b)</w:t>
      </w:r>
      <w:r>
        <w:rPr>
          <w:b/>
        </w:rPr>
        <w:tab/>
      </w:r>
      <w:r w:rsidR="00F66856">
        <w:rPr>
          <w:b/>
        </w:rPr>
        <w:t>De collecter des données ventilées sur toutes les catégories de travailleurs migrants et sur l</w:t>
      </w:r>
      <w:r w:rsidR="00E54D1E">
        <w:rPr>
          <w:b/>
        </w:rPr>
        <w:t>’</w:t>
      </w:r>
      <w:r w:rsidR="00F66856">
        <w:rPr>
          <w:b/>
        </w:rPr>
        <w:t>exercice de leurs droits;</w:t>
      </w:r>
    </w:p>
    <w:p w:rsidR="00F66856" w:rsidRDefault="00A13BE9" w:rsidP="00A13BE9">
      <w:pPr>
        <w:pStyle w:val="SingleTxtG"/>
        <w:ind w:firstLine="567"/>
        <w:rPr>
          <w:b/>
        </w:rPr>
      </w:pPr>
      <w:r>
        <w:rPr>
          <w:b/>
        </w:rPr>
        <w:t>c)</w:t>
      </w:r>
      <w:r>
        <w:rPr>
          <w:b/>
        </w:rPr>
        <w:tab/>
      </w:r>
      <w:r w:rsidR="00F66856">
        <w:rPr>
          <w:b/>
        </w:rPr>
        <w:t>De renforcer les mesures visant à prévenir les cas de violence, d</w:t>
      </w:r>
      <w:r w:rsidR="00E54D1E">
        <w:rPr>
          <w:b/>
        </w:rPr>
        <w:t>’</w:t>
      </w:r>
      <w:r w:rsidR="00F66856">
        <w:rPr>
          <w:b/>
        </w:rPr>
        <w:t>extorsion et de traite touchant les travailleurs migrants, ainsi que de poursuivre et sanctionner les auteurs de tels actes;</w:t>
      </w:r>
    </w:p>
    <w:p w:rsidR="00F66856" w:rsidRDefault="00F10E89" w:rsidP="00A13BE9">
      <w:pPr>
        <w:pStyle w:val="SingleTxtG"/>
        <w:ind w:firstLine="567"/>
        <w:rPr>
          <w:b/>
        </w:rPr>
      </w:pPr>
      <w:r>
        <w:rPr>
          <w:b/>
        </w:rPr>
        <w:t>d)</w:t>
      </w:r>
      <w:r>
        <w:rPr>
          <w:b/>
        </w:rPr>
        <w:tab/>
        <w:t>D</w:t>
      </w:r>
      <w:r w:rsidR="00E54D1E">
        <w:rPr>
          <w:b/>
        </w:rPr>
        <w:t>’</w:t>
      </w:r>
      <w:r>
        <w:rPr>
          <w:b/>
        </w:rPr>
        <w:t>envisager d</w:t>
      </w:r>
      <w:r w:rsidR="00E54D1E">
        <w:rPr>
          <w:b/>
        </w:rPr>
        <w:t>’</w:t>
      </w:r>
      <w:r>
        <w:rPr>
          <w:b/>
        </w:rPr>
        <w:t xml:space="preserve">adhérer à la Convention </w:t>
      </w:r>
      <w:r w:rsidR="005B7447" w:rsidRPr="005B7447">
        <w:rPr>
          <w:rFonts w:eastAsia="MS Mincho"/>
          <w:b/>
        </w:rPr>
        <w:t>n</w:t>
      </w:r>
      <w:r w:rsidR="005B7447" w:rsidRPr="005B7447">
        <w:rPr>
          <w:rFonts w:eastAsia="MS Mincho"/>
          <w:b/>
          <w:vertAlign w:val="superscript"/>
        </w:rPr>
        <w:t>o</w:t>
      </w:r>
      <w:r w:rsidR="005B7447">
        <w:rPr>
          <w:b/>
        </w:rPr>
        <w:t> </w:t>
      </w:r>
      <w:r>
        <w:rPr>
          <w:b/>
        </w:rPr>
        <w:t>143 (1975) de l</w:t>
      </w:r>
      <w:r w:rsidR="00E54D1E">
        <w:rPr>
          <w:b/>
        </w:rPr>
        <w:t>’</w:t>
      </w:r>
      <w:r>
        <w:rPr>
          <w:b/>
        </w:rPr>
        <w:t xml:space="preserve">Organisation internationale du Travail </w:t>
      </w:r>
      <w:r w:rsidRPr="00C25F47">
        <w:rPr>
          <w:b/>
        </w:rPr>
        <w:t>sur les migrations dans des conditions abusives et sur la promotion de l</w:t>
      </w:r>
      <w:r w:rsidR="00E54D1E">
        <w:rPr>
          <w:b/>
        </w:rPr>
        <w:t>’</w:t>
      </w:r>
      <w:r w:rsidRPr="00C25F47">
        <w:rPr>
          <w:b/>
        </w:rPr>
        <w:t>égalité de chances et de traitement des travailleurs migrants</w:t>
      </w:r>
      <w:r>
        <w:rPr>
          <w:b/>
        </w:rPr>
        <w:t xml:space="preserve">. </w:t>
      </w:r>
    </w:p>
    <w:p w:rsidR="00F66856" w:rsidRDefault="00A13BE9" w:rsidP="00A13BE9">
      <w:pPr>
        <w:pStyle w:val="H23G"/>
      </w:pPr>
      <w:r>
        <w:tab/>
      </w:r>
      <w:r>
        <w:tab/>
      </w:r>
      <w:r w:rsidR="00F66856">
        <w:t>Éducation</w:t>
      </w:r>
    </w:p>
    <w:p w:rsidR="00F66856" w:rsidRDefault="00F66856" w:rsidP="00F66856">
      <w:pPr>
        <w:pStyle w:val="ParNoG"/>
      </w:pPr>
      <w:r>
        <w:t>Tout en constatant avec satisfaction que la qualité de l</w:t>
      </w:r>
      <w:r w:rsidR="00E54D1E">
        <w:t>’</w:t>
      </w:r>
      <w:r>
        <w:t>enseignement des langues minoritaires et dans les langues minoritaires s</w:t>
      </w:r>
      <w:r w:rsidR="00E54D1E">
        <w:t>’</w:t>
      </w:r>
      <w:r>
        <w:t>améliore et</w:t>
      </w:r>
      <w:r w:rsidRPr="00D146F5">
        <w:t xml:space="preserve"> que le nombre d</w:t>
      </w:r>
      <w:r w:rsidR="00E54D1E">
        <w:t>’</w:t>
      </w:r>
      <w:r w:rsidRPr="00D146F5">
        <w:t>écoles, de manuels et d</w:t>
      </w:r>
      <w:r w:rsidR="00E54D1E">
        <w:t>’</w:t>
      </w:r>
      <w:r w:rsidRPr="00D146F5">
        <w:t>enseignants qualifiés qui y concourent</w:t>
      </w:r>
      <w:r>
        <w:t xml:space="preserve"> sont nombreux, le Comité note avec préoccupation que le nombre d</w:t>
      </w:r>
      <w:r w:rsidR="00E54D1E">
        <w:t>’</w:t>
      </w:r>
      <w:r>
        <w:t>élèves appartenant à des minorités ethniques qui suivent un enseignement dans une langue minoritaire ou qui étudient une langue minoritaire demeure relativement bas, à tous les niveaux, par rapport au pourcentage de la population appartenant à des minorités, qui s</w:t>
      </w:r>
      <w:r w:rsidR="00E54D1E">
        <w:t>’</w:t>
      </w:r>
      <w:r>
        <w:t>élève à environ 35</w:t>
      </w:r>
      <w:r w:rsidR="005B7447">
        <w:t> </w:t>
      </w:r>
      <w:r>
        <w:t>%. Le Comité est particulièrement inquiet de ce que les minorités ne représentent que 7,8</w:t>
      </w:r>
      <w:r w:rsidR="005B7447">
        <w:t> </w:t>
      </w:r>
      <w:r>
        <w:t xml:space="preserve">% des étudiants dans </w:t>
      </w:r>
      <w:r w:rsidR="00E224F3">
        <w:t>le</w:t>
      </w:r>
      <w:r>
        <w:t xml:space="preserve"> supérieur (art.</w:t>
      </w:r>
      <w:r w:rsidR="00A13BE9">
        <w:t> </w:t>
      </w:r>
      <w:r>
        <w:t xml:space="preserve">5 e) v) et 7). </w:t>
      </w:r>
    </w:p>
    <w:p w:rsidR="00F66856" w:rsidRDefault="00F66856" w:rsidP="00F10E89">
      <w:pPr>
        <w:pStyle w:val="SingleTxtG"/>
        <w:keepNext/>
        <w:rPr>
          <w:b/>
        </w:rPr>
      </w:pPr>
      <w:r>
        <w:rPr>
          <w:b/>
        </w:rPr>
        <w:t>Le Comité recommande à l</w:t>
      </w:r>
      <w:r w:rsidR="00E54D1E">
        <w:rPr>
          <w:b/>
        </w:rPr>
        <w:t>’</w:t>
      </w:r>
      <w:r>
        <w:rPr>
          <w:b/>
        </w:rPr>
        <w:t>État partie</w:t>
      </w:r>
      <w:r w:rsidR="00F10E89">
        <w:rPr>
          <w:b/>
        </w:rPr>
        <w:t>:</w:t>
      </w:r>
    </w:p>
    <w:p w:rsidR="00F66856" w:rsidRDefault="00A13BE9" w:rsidP="00A13BE9">
      <w:pPr>
        <w:pStyle w:val="SingleTxtG"/>
        <w:ind w:firstLine="567"/>
      </w:pPr>
      <w:r>
        <w:rPr>
          <w:b/>
        </w:rPr>
        <w:t>a)</w:t>
      </w:r>
      <w:r>
        <w:rPr>
          <w:b/>
        </w:rPr>
        <w:tab/>
      </w:r>
      <w:r w:rsidR="00F66856">
        <w:rPr>
          <w:b/>
        </w:rPr>
        <w:t>De prendre des mesures supplémentaires pour améliorer l</w:t>
      </w:r>
      <w:r w:rsidR="00E54D1E">
        <w:rPr>
          <w:b/>
        </w:rPr>
        <w:t>’</w:t>
      </w:r>
      <w:r w:rsidR="00F66856">
        <w:rPr>
          <w:b/>
        </w:rPr>
        <w:t xml:space="preserve">accès des enfants issus de minorités ethniques à </w:t>
      </w:r>
      <w:r w:rsidR="00F66856" w:rsidRPr="009A2B25">
        <w:rPr>
          <w:b/>
        </w:rPr>
        <w:t xml:space="preserve">un enseignement </w:t>
      </w:r>
      <w:r w:rsidR="00F66856">
        <w:rPr>
          <w:b/>
        </w:rPr>
        <w:t xml:space="preserve">de leur langue maternelle et </w:t>
      </w:r>
      <w:r w:rsidR="00F66856" w:rsidRPr="009A2B25">
        <w:rPr>
          <w:b/>
        </w:rPr>
        <w:t xml:space="preserve">dans leur langue maternelle, notamment en créant des établissements scolaires, en </w:t>
      </w:r>
      <w:r w:rsidR="00F66856">
        <w:rPr>
          <w:b/>
        </w:rPr>
        <w:t>mettant à disposition</w:t>
      </w:r>
      <w:r w:rsidR="00F66856" w:rsidRPr="009A2B25">
        <w:rPr>
          <w:b/>
        </w:rPr>
        <w:t xml:space="preserve"> des manuels dans les langues minoritaires</w:t>
      </w:r>
      <w:r>
        <w:rPr>
          <w:b/>
        </w:rPr>
        <w:t xml:space="preserve"> </w:t>
      </w:r>
      <w:r w:rsidR="00F66856" w:rsidRPr="00A41326">
        <w:rPr>
          <w:b/>
        </w:rPr>
        <w:t xml:space="preserve">et en </w:t>
      </w:r>
      <w:r w:rsidR="00E224F3">
        <w:rPr>
          <w:b/>
        </w:rPr>
        <w:t xml:space="preserve">embauchant </w:t>
      </w:r>
      <w:r w:rsidR="00F66856" w:rsidRPr="00A41326">
        <w:rPr>
          <w:b/>
        </w:rPr>
        <w:t>du personnel qualifié;</w:t>
      </w:r>
      <w:r w:rsidR="00F66856">
        <w:t xml:space="preserve"> </w:t>
      </w:r>
    </w:p>
    <w:p w:rsidR="00F66856" w:rsidRDefault="00A13BE9" w:rsidP="00A13BE9">
      <w:pPr>
        <w:pStyle w:val="SingleTxtG"/>
        <w:ind w:firstLine="567"/>
        <w:rPr>
          <w:b/>
        </w:rPr>
      </w:pPr>
      <w:r>
        <w:rPr>
          <w:b/>
        </w:rPr>
        <w:t>b)</w:t>
      </w:r>
      <w:r>
        <w:rPr>
          <w:b/>
        </w:rPr>
        <w:tab/>
      </w:r>
      <w:r w:rsidR="00F66856">
        <w:rPr>
          <w:b/>
        </w:rPr>
        <w:t>D</w:t>
      </w:r>
      <w:r w:rsidR="00E54D1E">
        <w:rPr>
          <w:b/>
        </w:rPr>
        <w:t>’</w:t>
      </w:r>
      <w:r w:rsidR="00F66856">
        <w:rPr>
          <w:b/>
        </w:rPr>
        <w:t>adopter des mesures spéciales pour améliorer l</w:t>
      </w:r>
      <w:r w:rsidR="00E54D1E">
        <w:rPr>
          <w:b/>
        </w:rPr>
        <w:t>’</w:t>
      </w:r>
      <w:r w:rsidR="00F66856">
        <w:rPr>
          <w:b/>
        </w:rPr>
        <w:t>accès des étudiants de tous les groupes ethniques, sans discrimination, à l</w:t>
      </w:r>
      <w:r w:rsidR="00E54D1E">
        <w:rPr>
          <w:b/>
        </w:rPr>
        <w:t>’</w:t>
      </w:r>
      <w:r w:rsidR="00F66856">
        <w:rPr>
          <w:b/>
        </w:rPr>
        <w:t>enseignement supérieur.</w:t>
      </w:r>
    </w:p>
    <w:p w:rsidR="00F66856" w:rsidRDefault="00A13BE9" w:rsidP="00A13BE9">
      <w:pPr>
        <w:pStyle w:val="H23G"/>
      </w:pPr>
      <w:r>
        <w:tab/>
      </w:r>
      <w:r>
        <w:tab/>
      </w:r>
      <w:r w:rsidR="00F66856">
        <w:t>Réfugiés et demandeurs d</w:t>
      </w:r>
      <w:r w:rsidR="00E54D1E">
        <w:t>’</w:t>
      </w:r>
      <w:r w:rsidR="00F66856">
        <w:t>asile</w:t>
      </w:r>
    </w:p>
    <w:p w:rsidR="00F66856" w:rsidRDefault="00F66856" w:rsidP="00F66856">
      <w:pPr>
        <w:pStyle w:val="ParNoG"/>
      </w:pPr>
      <w:r>
        <w:t>Le Comité prend note de l</w:t>
      </w:r>
      <w:r w:rsidR="00E54D1E">
        <w:t>’</w:t>
      </w:r>
      <w:r>
        <w:t xml:space="preserve">adoption, en décembre 2009, de la </w:t>
      </w:r>
      <w:r w:rsidRPr="00C25F47">
        <w:t>loi sur les réfugiés,</w:t>
      </w:r>
      <w:r>
        <w:t xml:space="preserve"> qui consacre le principe de non-refoulement et qui rend la procédure d</w:t>
      </w:r>
      <w:r w:rsidR="00E54D1E">
        <w:t>’</w:t>
      </w:r>
      <w:r>
        <w:t>octroi du statut de réfugié plus transparente et plus accessible, mais il est préoccupé par l</w:t>
      </w:r>
      <w:r w:rsidR="00E54D1E">
        <w:t>’</w:t>
      </w:r>
      <w:r>
        <w:t>absence de mécanisme concret d</w:t>
      </w:r>
      <w:r w:rsidR="00E54D1E">
        <w:t>’</w:t>
      </w:r>
      <w:r>
        <w:t>orientation des réfugiés entre les services de la police des migrations et les services des gardes</w:t>
      </w:r>
      <w:r w:rsidR="00E224F3">
        <w:t xml:space="preserve"> </w:t>
      </w:r>
      <w:r>
        <w:t>frontière, qui pourrait entraîner la rétention prolongée de demandeurs d</w:t>
      </w:r>
      <w:r w:rsidR="00E54D1E">
        <w:t>’</w:t>
      </w:r>
      <w:r>
        <w:t>asile sans qu</w:t>
      </w:r>
      <w:r w:rsidR="00E54D1E">
        <w:t>’</w:t>
      </w:r>
      <w:r>
        <w:t>ils aient accès au territoire de l</w:t>
      </w:r>
      <w:r w:rsidR="00E54D1E">
        <w:t>’</w:t>
      </w:r>
      <w:r>
        <w:t>État partie et pourrait augmenter le risque pour ces personnes d</w:t>
      </w:r>
      <w:r w:rsidR="00E54D1E">
        <w:t>’</w:t>
      </w:r>
      <w:r>
        <w:t>être refoulées (art</w:t>
      </w:r>
      <w:r w:rsidR="00BC53DD">
        <w:t>. </w:t>
      </w:r>
      <w:r>
        <w:t xml:space="preserve">2 et 5). </w:t>
      </w:r>
    </w:p>
    <w:p w:rsidR="00F66856" w:rsidRDefault="00F66856" w:rsidP="00A13BE9">
      <w:pPr>
        <w:pStyle w:val="SingleTxtG"/>
        <w:rPr>
          <w:b/>
        </w:rPr>
      </w:pPr>
      <w:r w:rsidRPr="00A13BE9">
        <w:rPr>
          <w:rStyle w:val="SingleTxtGCar"/>
          <w:b/>
        </w:rPr>
        <w:t>Le Comité recommande à l</w:t>
      </w:r>
      <w:r w:rsidR="00E54D1E">
        <w:rPr>
          <w:rStyle w:val="SingleTxtGCar"/>
          <w:b/>
        </w:rPr>
        <w:t>’</w:t>
      </w:r>
      <w:r w:rsidRPr="00A13BE9">
        <w:rPr>
          <w:rStyle w:val="SingleTxtGCar"/>
          <w:b/>
        </w:rPr>
        <w:t>État partie de faire en sorte que des procédures d</w:t>
      </w:r>
      <w:r w:rsidR="00E54D1E">
        <w:rPr>
          <w:rStyle w:val="SingleTxtGCar"/>
          <w:b/>
        </w:rPr>
        <w:t>’</w:t>
      </w:r>
      <w:r w:rsidRPr="00A13BE9">
        <w:rPr>
          <w:rStyle w:val="SingleTxtGCar"/>
          <w:b/>
        </w:rPr>
        <w:t>asile uniformisées soient mises en œuvre et d</w:t>
      </w:r>
      <w:r w:rsidR="00E54D1E">
        <w:rPr>
          <w:rStyle w:val="SingleTxtGCar"/>
          <w:b/>
        </w:rPr>
        <w:t>’</w:t>
      </w:r>
      <w:r w:rsidRPr="00A13BE9">
        <w:rPr>
          <w:rStyle w:val="SingleTxtGCar"/>
          <w:b/>
        </w:rPr>
        <w:t>établir une procédure d</w:t>
      </w:r>
      <w:r w:rsidR="00E54D1E">
        <w:rPr>
          <w:rStyle w:val="SingleTxtGCar"/>
          <w:b/>
        </w:rPr>
        <w:t>’</w:t>
      </w:r>
      <w:r w:rsidRPr="00A13BE9">
        <w:rPr>
          <w:rStyle w:val="SingleTxtGCar"/>
          <w:b/>
        </w:rPr>
        <w:t>orientation à l</w:t>
      </w:r>
      <w:r w:rsidR="00E54D1E">
        <w:rPr>
          <w:rStyle w:val="SingleTxtGCar"/>
          <w:b/>
        </w:rPr>
        <w:t>’</w:t>
      </w:r>
      <w:r w:rsidRPr="00A13BE9">
        <w:rPr>
          <w:rStyle w:val="SingleTxtGCar"/>
          <w:b/>
        </w:rPr>
        <w:t>intention des services de la police des migrations et des services des gardes</w:t>
      </w:r>
      <w:r w:rsidR="00E224F3">
        <w:rPr>
          <w:rStyle w:val="SingleTxtGCar"/>
          <w:b/>
        </w:rPr>
        <w:t xml:space="preserve"> </w:t>
      </w:r>
      <w:r w:rsidR="00E224F3" w:rsidRPr="00A13BE9">
        <w:rPr>
          <w:rStyle w:val="SingleTxtGCar"/>
          <w:b/>
        </w:rPr>
        <w:t xml:space="preserve">frontière </w:t>
      </w:r>
      <w:r w:rsidRPr="00A13BE9">
        <w:rPr>
          <w:rStyle w:val="SingleTxtGCar"/>
          <w:b/>
        </w:rPr>
        <w:t>de tous les postes frontière, notamment les aéroports internationaux et les zones de transit, conformément aux règles et normes internationales, en particulier le principe de non-refoulement</w:t>
      </w:r>
      <w:r>
        <w:rPr>
          <w:b/>
        </w:rPr>
        <w:t xml:space="preserve">. </w:t>
      </w:r>
    </w:p>
    <w:p w:rsidR="00F66856" w:rsidRDefault="00A13BE9" w:rsidP="00A13BE9">
      <w:pPr>
        <w:pStyle w:val="H23G"/>
      </w:pPr>
      <w:r>
        <w:tab/>
      </w:r>
      <w:r>
        <w:tab/>
      </w:r>
      <w:r w:rsidR="00F66856">
        <w:t>Apatrides</w:t>
      </w:r>
    </w:p>
    <w:p w:rsidR="00F66856" w:rsidRDefault="00F66856" w:rsidP="00F66856">
      <w:pPr>
        <w:pStyle w:val="ParNoG"/>
      </w:pPr>
      <w:r>
        <w:t>Le Comité est préoccupé par l</w:t>
      </w:r>
      <w:r w:rsidR="00E54D1E">
        <w:t>’</w:t>
      </w:r>
      <w:r>
        <w:t>absence de données sur le nombre d</w:t>
      </w:r>
      <w:r w:rsidR="00E54D1E">
        <w:t>’</w:t>
      </w:r>
      <w:r>
        <w:t>apatrides et de personnes qui risquent de devenir apatrides parce qu</w:t>
      </w:r>
      <w:r w:rsidR="00E54D1E">
        <w:t>’</w:t>
      </w:r>
      <w:r>
        <w:t>elles n</w:t>
      </w:r>
      <w:r w:rsidR="00E54D1E">
        <w:t>’</w:t>
      </w:r>
      <w:r>
        <w:t>ont pas de papiers, ainsi que par l</w:t>
      </w:r>
      <w:r w:rsidR="00E54D1E">
        <w:t>’</w:t>
      </w:r>
      <w:r>
        <w:t>absence d</w:t>
      </w:r>
      <w:r w:rsidR="00E54D1E">
        <w:t>’</w:t>
      </w:r>
      <w:r>
        <w:t xml:space="preserve">informations sur la situation des apatrides (art. 2 et 5). </w:t>
      </w:r>
    </w:p>
    <w:p w:rsidR="00F66856" w:rsidRPr="00A13BE9" w:rsidRDefault="00F66856" w:rsidP="00F10E89">
      <w:pPr>
        <w:pStyle w:val="SingleTxtG"/>
        <w:keepNext/>
        <w:rPr>
          <w:b/>
        </w:rPr>
      </w:pPr>
      <w:r w:rsidRPr="00A13BE9">
        <w:rPr>
          <w:b/>
        </w:rPr>
        <w:t>Le Comité recommande à l</w:t>
      </w:r>
      <w:r w:rsidR="00E54D1E">
        <w:rPr>
          <w:b/>
        </w:rPr>
        <w:t>’</w:t>
      </w:r>
      <w:r w:rsidRPr="00A13BE9">
        <w:rPr>
          <w:b/>
        </w:rPr>
        <w:t>État partie:</w:t>
      </w:r>
    </w:p>
    <w:p w:rsidR="00F66856" w:rsidRPr="00A13BE9" w:rsidRDefault="00A13BE9" w:rsidP="00A13BE9">
      <w:pPr>
        <w:pStyle w:val="SingleTxtG"/>
        <w:ind w:firstLine="567"/>
        <w:rPr>
          <w:b/>
        </w:rPr>
      </w:pPr>
      <w:r>
        <w:rPr>
          <w:b/>
        </w:rPr>
        <w:t>a)</w:t>
      </w:r>
      <w:r>
        <w:rPr>
          <w:b/>
        </w:rPr>
        <w:tab/>
      </w:r>
      <w:r w:rsidR="00F66856" w:rsidRPr="00A13BE9">
        <w:rPr>
          <w:b/>
        </w:rPr>
        <w:t>De prendre des mesures pour remédier au problème de l</w:t>
      </w:r>
      <w:r w:rsidR="00E54D1E">
        <w:rPr>
          <w:b/>
        </w:rPr>
        <w:t>’</w:t>
      </w:r>
      <w:r w:rsidR="00F66856" w:rsidRPr="00A13BE9">
        <w:rPr>
          <w:b/>
        </w:rPr>
        <w:t>apatridie;</w:t>
      </w:r>
    </w:p>
    <w:p w:rsidR="00F66856" w:rsidRPr="00A13BE9" w:rsidRDefault="00A13BE9" w:rsidP="00A13BE9">
      <w:pPr>
        <w:pStyle w:val="SingleTxtG"/>
        <w:ind w:firstLine="567"/>
        <w:rPr>
          <w:b/>
        </w:rPr>
      </w:pPr>
      <w:r>
        <w:rPr>
          <w:b/>
        </w:rPr>
        <w:t>b)</w:t>
      </w:r>
      <w:r>
        <w:rPr>
          <w:b/>
        </w:rPr>
        <w:tab/>
      </w:r>
      <w:r w:rsidR="00F66856" w:rsidRPr="00A13BE9">
        <w:rPr>
          <w:b/>
        </w:rPr>
        <w:t>De fournir, dans son prochain rapport périodique, des données sur l</w:t>
      </w:r>
      <w:r w:rsidR="00E54D1E">
        <w:rPr>
          <w:b/>
        </w:rPr>
        <w:t>’</w:t>
      </w:r>
      <w:r w:rsidR="00F66856" w:rsidRPr="00A13BE9">
        <w:rPr>
          <w:b/>
        </w:rPr>
        <w:t>acquisition de la nationalité kazakhe et sur le nombre de personnes n</w:t>
      </w:r>
      <w:r w:rsidR="00E54D1E">
        <w:rPr>
          <w:b/>
        </w:rPr>
        <w:t>’</w:t>
      </w:r>
      <w:r w:rsidR="00F66856" w:rsidRPr="00A13BE9">
        <w:rPr>
          <w:b/>
        </w:rPr>
        <w:t>ayant pas de papiers d</w:t>
      </w:r>
      <w:r w:rsidR="00E54D1E">
        <w:rPr>
          <w:b/>
        </w:rPr>
        <w:t>’</w:t>
      </w:r>
      <w:r w:rsidR="00F66856" w:rsidRPr="00A13BE9">
        <w:rPr>
          <w:b/>
        </w:rPr>
        <w:t>identité valables, ainsi que d</w:t>
      </w:r>
      <w:r w:rsidR="00E54D1E">
        <w:rPr>
          <w:b/>
        </w:rPr>
        <w:t>’</w:t>
      </w:r>
      <w:r w:rsidR="00F66856" w:rsidRPr="00A13BE9">
        <w:rPr>
          <w:b/>
        </w:rPr>
        <w:t>indiquer le nombre exact d</w:t>
      </w:r>
      <w:r w:rsidR="00E54D1E">
        <w:rPr>
          <w:b/>
        </w:rPr>
        <w:t>’</w:t>
      </w:r>
      <w:r w:rsidR="00F66856" w:rsidRPr="00A13BE9">
        <w:rPr>
          <w:b/>
        </w:rPr>
        <w:t>apatrides et de personnes risquant de devenir apatrides, ventilé</w:t>
      </w:r>
      <w:r w:rsidR="00E224F3">
        <w:rPr>
          <w:b/>
        </w:rPr>
        <w:t>e</w:t>
      </w:r>
      <w:r w:rsidR="00F66856" w:rsidRPr="00A13BE9">
        <w:rPr>
          <w:b/>
        </w:rPr>
        <w:t>s par origine ethnique;</w:t>
      </w:r>
    </w:p>
    <w:p w:rsidR="00F66856" w:rsidRPr="00A13BE9" w:rsidRDefault="00F66856" w:rsidP="00A13BE9">
      <w:pPr>
        <w:pStyle w:val="SingleTxtG"/>
        <w:ind w:firstLine="567"/>
        <w:rPr>
          <w:b/>
        </w:rPr>
      </w:pPr>
      <w:r w:rsidRPr="00A13BE9">
        <w:rPr>
          <w:b/>
        </w:rPr>
        <w:t>c)</w:t>
      </w:r>
      <w:r w:rsidR="00A13BE9">
        <w:rPr>
          <w:b/>
        </w:rPr>
        <w:tab/>
      </w:r>
      <w:r w:rsidRPr="00A13BE9">
        <w:rPr>
          <w:b/>
        </w:rPr>
        <w:t>De prendre des mesures pour faire en sorte que les lois de l</w:t>
      </w:r>
      <w:r w:rsidR="00E54D1E">
        <w:rPr>
          <w:b/>
        </w:rPr>
        <w:t>’</w:t>
      </w:r>
      <w:r w:rsidRPr="00A13BE9">
        <w:rPr>
          <w:b/>
        </w:rPr>
        <w:t>État partie sur l</w:t>
      </w:r>
      <w:r w:rsidR="00E54D1E">
        <w:rPr>
          <w:b/>
        </w:rPr>
        <w:t>’</w:t>
      </w:r>
      <w:r w:rsidRPr="00A13BE9">
        <w:rPr>
          <w:b/>
        </w:rPr>
        <w:t>acquisition de la nationalité kazakhe n</w:t>
      </w:r>
      <w:r w:rsidR="00E54D1E">
        <w:rPr>
          <w:b/>
        </w:rPr>
        <w:t>’</w:t>
      </w:r>
      <w:r w:rsidRPr="00A13BE9">
        <w:rPr>
          <w:b/>
        </w:rPr>
        <w:t>entraînent pas une hausse du nombre d</w:t>
      </w:r>
      <w:r w:rsidR="00E54D1E">
        <w:rPr>
          <w:b/>
        </w:rPr>
        <w:t>’</w:t>
      </w:r>
      <w:r w:rsidRPr="00A13BE9">
        <w:rPr>
          <w:b/>
        </w:rPr>
        <w:t>apatrides;</w:t>
      </w:r>
    </w:p>
    <w:p w:rsidR="00F66856" w:rsidRPr="00A13BE9" w:rsidRDefault="00F10E89" w:rsidP="00A13BE9">
      <w:pPr>
        <w:pStyle w:val="SingleTxtG"/>
        <w:ind w:firstLine="567"/>
        <w:rPr>
          <w:b/>
        </w:rPr>
      </w:pPr>
      <w:r>
        <w:rPr>
          <w:b/>
        </w:rPr>
        <w:t>d)</w:t>
      </w:r>
      <w:r>
        <w:rPr>
          <w:b/>
        </w:rPr>
        <w:tab/>
      </w:r>
      <w:r w:rsidRPr="00A13BE9">
        <w:rPr>
          <w:b/>
        </w:rPr>
        <w:t>D</w:t>
      </w:r>
      <w:r w:rsidR="00E54D1E">
        <w:rPr>
          <w:b/>
        </w:rPr>
        <w:t>’</w:t>
      </w:r>
      <w:r w:rsidRPr="00A13BE9">
        <w:rPr>
          <w:b/>
        </w:rPr>
        <w:t>envisager d</w:t>
      </w:r>
      <w:r w:rsidR="00E54D1E">
        <w:rPr>
          <w:b/>
        </w:rPr>
        <w:t>’</w:t>
      </w:r>
      <w:r w:rsidRPr="00A13BE9">
        <w:rPr>
          <w:b/>
        </w:rPr>
        <w:t>adhérer, dans les meilleurs délais, à la Convention de 1961 sur la réduction des cas d</w:t>
      </w:r>
      <w:r w:rsidR="00E54D1E">
        <w:rPr>
          <w:b/>
        </w:rPr>
        <w:t>’</w:t>
      </w:r>
      <w:r w:rsidRPr="00A13BE9">
        <w:rPr>
          <w:b/>
        </w:rPr>
        <w:t>apatridie.</w:t>
      </w:r>
    </w:p>
    <w:p w:rsidR="00F66856" w:rsidRPr="00A13BE9" w:rsidRDefault="00A13BE9" w:rsidP="00A13BE9">
      <w:pPr>
        <w:pStyle w:val="H23G"/>
      </w:pPr>
      <w:r>
        <w:tab/>
      </w:r>
      <w:r w:rsidR="00BC53DD">
        <w:tab/>
      </w:r>
      <w:proofErr w:type="spellStart"/>
      <w:r w:rsidR="00F66856" w:rsidRPr="00A13BE9">
        <w:t>Roms</w:t>
      </w:r>
      <w:proofErr w:type="spellEnd"/>
    </w:p>
    <w:p w:rsidR="00A13BE9" w:rsidRPr="00A13BE9" w:rsidRDefault="00F66856" w:rsidP="00A13BE9">
      <w:pPr>
        <w:pStyle w:val="ParNoG"/>
        <w:rPr>
          <w:b/>
        </w:rPr>
      </w:pPr>
      <w:r>
        <w:t>Le Comité prend note des informations fournies par l</w:t>
      </w:r>
      <w:r w:rsidR="00E54D1E">
        <w:t>’</w:t>
      </w:r>
      <w:r>
        <w:t>État partie sur la situation des 4</w:t>
      </w:r>
      <w:r w:rsidR="00A13BE9">
        <w:t> </w:t>
      </w:r>
      <w:r>
        <w:t>065</w:t>
      </w:r>
      <w:r w:rsidR="00A13BE9">
        <w:t> </w:t>
      </w:r>
      <w:proofErr w:type="spellStart"/>
      <w:r>
        <w:t>Roms</w:t>
      </w:r>
      <w:proofErr w:type="spellEnd"/>
      <w:r>
        <w:t xml:space="preserve"> vivant au Kazakhstan, y compris de l</w:t>
      </w:r>
      <w:r w:rsidR="00E54D1E">
        <w:t>’</w:t>
      </w:r>
      <w:r>
        <w:t>affirmation selon laquelle aucune plainte pour discrimination raciale n</w:t>
      </w:r>
      <w:r w:rsidR="00E54D1E">
        <w:t>’</w:t>
      </w:r>
      <w:r>
        <w:t xml:space="preserve">a été déposée par des </w:t>
      </w:r>
      <w:proofErr w:type="spellStart"/>
      <w:r>
        <w:t>Roms</w:t>
      </w:r>
      <w:proofErr w:type="spellEnd"/>
      <w:r>
        <w:t>, mais il est préoccupé par l</w:t>
      </w:r>
      <w:r w:rsidR="00E54D1E">
        <w:t>’</w:t>
      </w:r>
      <w:r>
        <w:t>absence de renseignements détaillés sur l</w:t>
      </w:r>
      <w:r w:rsidR="00E54D1E">
        <w:t>’</w:t>
      </w:r>
      <w:r>
        <w:t>exercice de leurs droits au titre de la Convention, en particulier en ce qui concerne l</w:t>
      </w:r>
      <w:r w:rsidR="00E54D1E">
        <w:t>’</w:t>
      </w:r>
      <w:r>
        <w:t>accès à l</w:t>
      </w:r>
      <w:r w:rsidR="00E54D1E">
        <w:t>’</w:t>
      </w:r>
      <w:r>
        <w:t>emploi, à l</w:t>
      </w:r>
      <w:r w:rsidR="00E54D1E">
        <w:t>’</w:t>
      </w:r>
      <w:r>
        <w:t>éducation, aux soins de santé, au logement et aux services (art</w:t>
      </w:r>
      <w:r w:rsidR="00F10E89">
        <w:t>. </w:t>
      </w:r>
      <w:r>
        <w:t>2, par</w:t>
      </w:r>
      <w:r w:rsidR="00F10E89">
        <w:t>. </w:t>
      </w:r>
      <w:r>
        <w:t>1 c) et 2, art</w:t>
      </w:r>
      <w:r w:rsidR="00F10E89">
        <w:t>. </w:t>
      </w:r>
      <w:r>
        <w:t>3, et art</w:t>
      </w:r>
      <w:r w:rsidR="00F10E89">
        <w:t>. </w:t>
      </w:r>
      <w:r>
        <w:t>5 e) i),</w:t>
      </w:r>
      <w:r w:rsidR="00F10E89">
        <w:t> </w:t>
      </w:r>
      <w:r>
        <w:t>iii</w:t>
      </w:r>
      <w:r w:rsidR="00F10E89">
        <w:t>) </w:t>
      </w:r>
      <w:r>
        <w:t xml:space="preserve">iv) et v)). </w:t>
      </w:r>
    </w:p>
    <w:p w:rsidR="00F66856" w:rsidRPr="00A13BE9" w:rsidRDefault="00A13BE9" w:rsidP="00A13BE9">
      <w:pPr>
        <w:pStyle w:val="SingleTxtG"/>
        <w:rPr>
          <w:b/>
        </w:rPr>
      </w:pPr>
      <w:r w:rsidRPr="00A13BE9">
        <w:rPr>
          <w:b/>
        </w:rPr>
        <w:t>À</w:t>
      </w:r>
      <w:r w:rsidR="00F66856" w:rsidRPr="00A13BE9">
        <w:rPr>
          <w:b/>
        </w:rPr>
        <w:t xml:space="preserve"> la lumière de sa Recommandation générale </w:t>
      </w:r>
      <w:r w:rsidRPr="00A13BE9">
        <w:rPr>
          <w:rFonts w:eastAsia="MS Mincho"/>
          <w:b/>
        </w:rPr>
        <w:t>n</w:t>
      </w:r>
      <w:r w:rsidRPr="00A13BE9">
        <w:rPr>
          <w:rFonts w:eastAsia="MS Mincho"/>
          <w:b/>
          <w:vertAlign w:val="superscript"/>
        </w:rPr>
        <w:t>o</w:t>
      </w:r>
      <w:r>
        <w:rPr>
          <w:b/>
        </w:rPr>
        <w:t> </w:t>
      </w:r>
      <w:r w:rsidR="00F66856" w:rsidRPr="00A13BE9">
        <w:rPr>
          <w:b/>
        </w:rPr>
        <w:t>27 (2000) concernant la discrimination</w:t>
      </w:r>
      <w:r>
        <w:rPr>
          <w:b/>
        </w:rPr>
        <w:t xml:space="preserve"> </w:t>
      </w:r>
      <w:r w:rsidR="00F66856" w:rsidRPr="00A13BE9">
        <w:rPr>
          <w:b/>
        </w:rPr>
        <w:t>à l</w:t>
      </w:r>
      <w:r w:rsidR="00E54D1E">
        <w:rPr>
          <w:b/>
        </w:rPr>
        <w:t>’</w:t>
      </w:r>
      <w:r w:rsidR="00F66856" w:rsidRPr="00A13BE9">
        <w:rPr>
          <w:b/>
        </w:rPr>
        <w:t xml:space="preserve">égard des </w:t>
      </w:r>
      <w:proofErr w:type="spellStart"/>
      <w:r w:rsidR="00F66856" w:rsidRPr="00A13BE9">
        <w:rPr>
          <w:b/>
        </w:rPr>
        <w:t>Roms</w:t>
      </w:r>
      <w:proofErr w:type="spellEnd"/>
      <w:r w:rsidR="00F66856" w:rsidRPr="00A13BE9">
        <w:rPr>
          <w:b/>
        </w:rPr>
        <w:t>, le Comité recommande à l</w:t>
      </w:r>
      <w:r w:rsidR="00E54D1E">
        <w:rPr>
          <w:b/>
        </w:rPr>
        <w:t>’</w:t>
      </w:r>
      <w:r w:rsidR="00F66856" w:rsidRPr="00A13BE9">
        <w:rPr>
          <w:b/>
        </w:rPr>
        <w:t xml:space="preserve">État partie de prendre des mesures spéciales pour améliorer la situation socioéconomique précaire que connaîtraient les </w:t>
      </w:r>
      <w:proofErr w:type="spellStart"/>
      <w:r w:rsidR="00F66856" w:rsidRPr="00A13BE9">
        <w:rPr>
          <w:b/>
        </w:rPr>
        <w:t>Roms</w:t>
      </w:r>
      <w:proofErr w:type="spellEnd"/>
      <w:r w:rsidR="00F66856" w:rsidRPr="00A13BE9">
        <w:rPr>
          <w:b/>
        </w:rPr>
        <w:t>, en veillant à ce qu</w:t>
      </w:r>
      <w:r w:rsidR="00E54D1E">
        <w:rPr>
          <w:b/>
        </w:rPr>
        <w:t>’</w:t>
      </w:r>
      <w:r w:rsidR="00F66856" w:rsidRPr="00A13BE9">
        <w:rPr>
          <w:b/>
        </w:rPr>
        <w:t>il</w:t>
      </w:r>
      <w:r w:rsidR="00E224F3">
        <w:rPr>
          <w:b/>
        </w:rPr>
        <w:t>s</w:t>
      </w:r>
      <w:r w:rsidR="00F66856" w:rsidRPr="00A13BE9">
        <w:rPr>
          <w:b/>
        </w:rPr>
        <w:t xml:space="preserve"> puissent exercer leurs droits économiques, sociaux et culturels sans faire l</w:t>
      </w:r>
      <w:r w:rsidR="00E54D1E">
        <w:rPr>
          <w:b/>
        </w:rPr>
        <w:t>’</w:t>
      </w:r>
      <w:r w:rsidR="00F66856" w:rsidRPr="00A13BE9">
        <w:rPr>
          <w:b/>
        </w:rPr>
        <w:t xml:space="preserve">objet de préjugés </w:t>
      </w:r>
      <w:r w:rsidR="00E224F3">
        <w:rPr>
          <w:b/>
        </w:rPr>
        <w:t>ni</w:t>
      </w:r>
      <w:r w:rsidR="00E224F3" w:rsidRPr="00A13BE9">
        <w:rPr>
          <w:b/>
        </w:rPr>
        <w:t xml:space="preserve"> </w:t>
      </w:r>
      <w:r w:rsidR="00F66856" w:rsidRPr="00A13BE9">
        <w:rPr>
          <w:b/>
        </w:rPr>
        <w:t>de stéréotypes, et d</w:t>
      </w:r>
      <w:r w:rsidR="00E54D1E">
        <w:rPr>
          <w:b/>
        </w:rPr>
        <w:t>’</w:t>
      </w:r>
      <w:r w:rsidR="00F66856" w:rsidRPr="00A13BE9">
        <w:rPr>
          <w:b/>
        </w:rPr>
        <w:t xml:space="preserve">assurer aux </w:t>
      </w:r>
      <w:proofErr w:type="spellStart"/>
      <w:r w:rsidR="00F66856" w:rsidRPr="00A13BE9">
        <w:rPr>
          <w:b/>
        </w:rPr>
        <w:t>Roms</w:t>
      </w:r>
      <w:proofErr w:type="spellEnd"/>
      <w:r w:rsidR="00F66856" w:rsidRPr="00A13BE9">
        <w:rPr>
          <w:b/>
        </w:rPr>
        <w:t xml:space="preserve"> victimes de discrimination un accès </w:t>
      </w:r>
      <w:r w:rsidR="00E224F3">
        <w:rPr>
          <w:b/>
        </w:rPr>
        <w:t>utile à des</w:t>
      </w:r>
      <w:r w:rsidR="00F66856" w:rsidRPr="00A13BE9">
        <w:rPr>
          <w:b/>
        </w:rPr>
        <w:t xml:space="preserve"> voies de recours. Le Comité recommande également à l</w:t>
      </w:r>
      <w:r w:rsidR="00E54D1E">
        <w:rPr>
          <w:b/>
        </w:rPr>
        <w:t>’</w:t>
      </w:r>
      <w:r w:rsidR="00F66856" w:rsidRPr="00A13BE9">
        <w:rPr>
          <w:b/>
        </w:rPr>
        <w:t>État partie de faire figurer, dans son prochain rapport périodique, des informations à jour sur l</w:t>
      </w:r>
      <w:r w:rsidR="00E54D1E">
        <w:rPr>
          <w:b/>
        </w:rPr>
        <w:t>’</w:t>
      </w:r>
      <w:r w:rsidR="00F66856" w:rsidRPr="00A13BE9">
        <w:rPr>
          <w:b/>
        </w:rPr>
        <w:t xml:space="preserve">exercice par les </w:t>
      </w:r>
      <w:proofErr w:type="spellStart"/>
      <w:r w:rsidR="00F66856" w:rsidRPr="00A13BE9">
        <w:rPr>
          <w:b/>
        </w:rPr>
        <w:t>Roms</w:t>
      </w:r>
      <w:proofErr w:type="spellEnd"/>
      <w:r w:rsidR="00F66856" w:rsidRPr="00A13BE9">
        <w:rPr>
          <w:b/>
        </w:rPr>
        <w:t xml:space="preserve"> de leurs droits économiques, sociaux et culturels. </w:t>
      </w:r>
    </w:p>
    <w:p w:rsidR="00F66856" w:rsidRDefault="00A13BE9" w:rsidP="00A13BE9">
      <w:pPr>
        <w:pStyle w:val="H23G"/>
      </w:pPr>
      <w:r>
        <w:tab/>
      </w:r>
      <w:r>
        <w:tab/>
      </w:r>
      <w:r w:rsidR="00F66856">
        <w:t xml:space="preserve">Accès </w:t>
      </w:r>
      <w:r w:rsidR="00E224F3">
        <w:t xml:space="preserve">à des </w:t>
      </w:r>
      <w:r w:rsidR="00F66856">
        <w:t>voies de recours et applicabilité directe de la Convention</w:t>
      </w:r>
    </w:p>
    <w:p w:rsidR="00F66856" w:rsidRDefault="00F66856" w:rsidP="00F66856">
      <w:pPr>
        <w:pStyle w:val="ParNoG"/>
      </w:pPr>
      <w:r>
        <w:t>Le Comité prend note avec préoccupation du faible nombre de plaintes et de l</w:t>
      </w:r>
      <w:r w:rsidR="00E54D1E">
        <w:t>’</w:t>
      </w:r>
      <w:r>
        <w:t>absence de décision judiciaire concernant des affaires administratives, civiles ou pénales relatives à des actes de discrimination raciale, qui reflètent l</w:t>
      </w:r>
      <w:r w:rsidR="00E54D1E">
        <w:t>’</w:t>
      </w:r>
      <w:r>
        <w:t>insuffisance de voies de recours effectives pour les victimes de tels actes. Le Comité note que l</w:t>
      </w:r>
      <w:r w:rsidR="00E54D1E">
        <w:t>’</w:t>
      </w:r>
      <w:r>
        <w:t>État partie a réaffirmé l</w:t>
      </w:r>
      <w:r w:rsidR="00E54D1E">
        <w:t>’</w:t>
      </w:r>
      <w:r>
        <w:t>applicabilité directe de la Convention, mais il constate également avec préoccupation l</w:t>
      </w:r>
      <w:r w:rsidR="00E54D1E">
        <w:t>’</w:t>
      </w:r>
      <w:r>
        <w:t>absence d</w:t>
      </w:r>
      <w:r w:rsidR="00E54D1E">
        <w:t>’</w:t>
      </w:r>
      <w:r>
        <w:t>informations sur les cas dans lesquels les organes judiciaires et administratifs ont appliqué la Convention. En outre, le Comité note avec inquiétude le faible nombre de cas dans lesquels le Commissaire aux droits de l</w:t>
      </w:r>
      <w:r w:rsidR="00E54D1E">
        <w:t>’</w:t>
      </w:r>
      <w:r>
        <w:t>homme a établi que des actes de discrimination avaient été commis par rapport au nombre de plaintes pour discrimination raciale reçues, ainsi que l</w:t>
      </w:r>
      <w:r w:rsidR="00E54D1E">
        <w:t>’</w:t>
      </w:r>
      <w:r>
        <w:t xml:space="preserve">absence </w:t>
      </w:r>
      <w:r w:rsidRPr="00094669">
        <w:t xml:space="preserve">de mesures de soutien proposées aux victimes de discrimination raciale </w:t>
      </w:r>
      <w:r>
        <w:t>qui souhaiteraient engager des poursuites judiciaires</w:t>
      </w:r>
      <w:r w:rsidRPr="00094669">
        <w:t xml:space="preserve"> (</w:t>
      </w:r>
      <w:r>
        <w:t>art. 1, par</w:t>
      </w:r>
      <w:r w:rsidR="00E224F3">
        <w:t>. </w:t>
      </w:r>
      <w:r>
        <w:t>1</w:t>
      </w:r>
      <w:r w:rsidR="005B7447">
        <w:t xml:space="preserve">, </w:t>
      </w:r>
      <w:r>
        <w:t>art.</w:t>
      </w:r>
      <w:r w:rsidR="00F10E89">
        <w:t> </w:t>
      </w:r>
      <w:r>
        <w:t>2, par</w:t>
      </w:r>
      <w:r w:rsidR="00E224F3">
        <w:t>. </w:t>
      </w:r>
      <w:r>
        <w:t>1</w:t>
      </w:r>
      <w:r w:rsidR="005B7447">
        <w:t> </w:t>
      </w:r>
      <w:r>
        <w:t>d</w:t>
      </w:r>
      <w:r w:rsidR="005B7447">
        <w:t xml:space="preserve">), </w:t>
      </w:r>
      <w:r>
        <w:t>art.</w:t>
      </w:r>
      <w:r w:rsidR="005B7447">
        <w:t> </w:t>
      </w:r>
      <w:r>
        <w:t xml:space="preserve">4 et 6). </w:t>
      </w:r>
    </w:p>
    <w:p w:rsidR="00F66856" w:rsidRDefault="00F66856" w:rsidP="00BC53DD">
      <w:pPr>
        <w:pStyle w:val="SingleTxtG"/>
        <w:rPr>
          <w:b/>
        </w:rPr>
      </w:pPr>
      <w:r>
        <w:rPr>
          <w:b/>
        </w:rPr>
        <w:t xml:space="preserve">Rappelant sa Recommandation générale </w:t>
      </w:r>
      <w:r w:rsidR="00E224F3" w:rsidRPr="00E224F3">
        <w:rPr>
          <w:rFonts w:eastAsia="MS Mincho"/>
          <w:b/>
        </w:rPr>
        <w:t>n</w:t>
      </w:r>
      <w:r w:rsidR="00E224F3" w:rsidRPr="00E224F3">
        <w:rPr>
          <w:rFonts w:eastAsia="MS Mincho"/>
          <w:b/>
          <w:vertAlign w:val="superscript"/>
        </w:rPr>
        <w:t>o</w:t>
      </w:r>
      <w:r w:rsidR="00E224F3">
        <w:rPr>
          <w:b/>
        </w:rPr>
        <w:t> </w:t>
      </w:r>
      <w:r>
        <w:rPr>
          <w:b/>
        </w:rPr>
        <w:t xml:space="preserve">26 (2000) </w:t>
      </w:r>
      <w:r w:rsidRPr="00C25F47">
        <w:rPr>
          <w:b/>
        </w:rPr>
        <w:t xml:space="preserve">concernant </w:t>
      </w:r>
      <w:r w:rsidR="00E224F3" w:rsidRPr="00C25F47">
        <w:rPr>
          <w:b/>
        </w:rPr>
        <w:t>l</w:t>
      </w:r>
      <w:r w:rsidR="00E54D1E">
        <w:rPr>
          <w:b/>
        </w:rPr>
        <w:t>’</w:t>
      </w:r>
      <w:r w:rsidR="00E224F3" w:rsidRPr="00C25F47">
        <w:rPr>
          <w:b/>
        </w:rPr>
        <w:t>article</w:t>
      </w:r>
      <w:r w:rsidR="00E224F3">
        <w:rPr>
          <w:b/>
        </w:rPr>
        <w:t> </w:t>
      </w:r>
      <w:r w:rsidRPr="00C25F47">
        <w:rPr>
          <w:b/>
        </w:rPr>
        <w:t>6 de la Convention</w:t>
      </w:r>
      <w:r w:rsidRPr="00C25F47">
        <w:t xml:space="preserve"> </w:t>
      </w:r>
      <w:r>
        <w:rPr>
          <w:b/>
        </w:rPr>
        <w:t xml:space="preserve">et sa Recommandation générale </w:t>
      </w:r>
      <w:r w:rsidR="005B7447" w:rsidRPr="005B7447">
        <w:rPr>
          <w:rFonts w:eastAsia="MS Mincho"/>
          <w:b/>
        </w:rPr>
        <w:t>n</w:t>
      </w:r>
      <w:r w:rsidR="005B7447" w:rsidRPr="005B7447">
        <w:rPr>
          <w:rFonts w:eastAsia="MS Mincho"/>
          <w:b/>
          <w:vertAlign w:val="superscript"/>
        </w:rPr>
        <w:t>o</w:t>
      </w:r>
      <w:r w:rsidR="005B7447">
        <w:rPr>
          <w:b/>
        </w:rPr>
        <w:t> </w:t>
      </w:r>
      <w:r>
        <w:rPr>
          <w:b/>
        </w:rPr>
        <w:t xml:space="preserve">31 (2005) </w:t>
      </w:r>
      <w:r w:rsidRPr="00C25F47">
        <w:rPr>
          <w:b/>
        </w:rPr>
        <w:t>concernant la discrimination raciale dans l</w:t>
      </w:r>
      <w:r w:rsidR="00E54D1E">
        <w:rPr>
          <w:b/>
        </w:rPr>
        <w:t>’</w:t>
      </w:r>
      <w:r w:rsidRPr="00C25F47">
        <w:rPr>
          <w:b/>
        </w:rPr>
        <w:t>administration et le fonctionnement du système de justice pénale</w:t>
      </w:r>
      <w:r w:rsidRPr="00C25F47">
        <w:t>,</w:t>
      </w:r>
      <w:r>
        <w:rPr>
          <w:b/>
        </w:rPr>
        <w:t xml:space="preserve"> le Comité recommande à l</w:t>
      </w:r>
      <w:r w:rsidR="00E54D1E">
        <w:rPr>
          <w:b/>
        </w:rPr>
        <w:t>’</w:t>
      </w:r>
      <w:r>
        <w:rPr>
          <w:b/>
        </w:rPr>
        <w:t>État partie:</w:t>
      </w:r>
    </w:p>
    <w:p w:rsidR="00F66856" w:rsidRDefault="00F66856" w:rsidP="00F66856">
      <w:pPr>
        <w:pStyle w:val="SingleTxtG"/>
        <w:ind w:firstLine="567"/>
        <w:rPr>
          <w:b/>
        </w:rPr>
      </w:pPr>
      <w:r>
        <w:rPr>
          <w:b/>
        </w:rPr>
        <w:t>a)</w:t>
      </w:r>
      <w:r>
        <w:rPr>
          <w:b/>
        </w:rPr>
        <w:tab/>
        <w:t>D</w:t>
      </w:r>
      <w:r w:rsidR="00E54D1E">
        <w:rPr>
          <w:b/>
        </w:rPr>
        <w:t>’</w:t>
      </w:r>
      <w:r>
        <w:rPr>
          <w:b/>
        </w:rPr>
        <w:t>assurer, par l</w:t>
      </w:r>
      <w:r w:rsidR="00E54D1E">
        <w:rPr>
          <w:b/>
        </w:rPr>
        <w:t>’</w:t>
      </w:r>
      <w:r>
        <w:rPr>
          <w:b/>
        </w:rPr>
        <w:t xml:space="preserve">intermédiaire des juridictions nationales et autres institutions publiques compétentes, des voies de recours </w:t>
      </w:r>
      <w:r w:rsidR="00E224F3">
        <w:rPr>
          <w:b/>
        </w:rPr>
        <w:t>utiles</w:t>
      </w:r>
      <w:r>
        <w:rPr>
          <w:b/>
        </w:rPr>
        <w:t xml:space="preserve">, y compris une </w:t>
      </w:r>
      <w:r w:rsidRPr="00C25F47">
        <w:rPr>
          <w:b/>
        </w:rPr>
        <w:t>satisfaction ou réparation juste et adéquate</w:t>
      </w:r>
      <w:r w:rsidRPr="00C25F47">
        <w:t>,</w:t>
      </w:r>
      <w:r>
        <w:rPr>
          <w:b/>
        </w:rPr>
        <w:t xml:space="preserve"> pour tout acte de discrimination raciale en appliquant de manière appropriée la législation </w:t>
      </w:r>
      <w:proofErr w:type="spellStart"/>
      <w:r>
        <w:rPr>
          <w:b/>
        </w:rPr>
        <w:t>antidiscrimination</w:t>
      </w:r>
      <w:proofErr w:type="spellEnd"/>
      <w:r w:rsidR="005B7447">
        <w:rPr>
          <w:b/>
        </w:rPr>
        <w:t>;</w:t>
      </w:r>
    </w:p>
    <w:p w:rsidR="00F66856" w:rsidRDefault="00F66856" w:rsidP="00F66856">
      <w:pPr>
        <w:pStyle w:val="SingleTxtG"/>
        <w:ind w:firstLine="567"/>
        <w:rPr>
          <w:b/>
        </w:rPr>
      </w:pPr>
      <w:r>
        <w:rPr>
          <w:b/>
        </w:rPr>
        <w:t>b)</w:t>
      </w:r>
      <w:r>
        <w:rPr>
          <w:b/>
        </w:rPr>
        <w:tab/>
        <w:t>De fournir au Comité, dans son prochain rapport périodique, des données sur l</w:t>
      </w:r>
      <w:r w:rsidR="00E54D1E">
        <w:rPr>
          <w:b/>
        </w:rPr>
        <w:t>’</w:t>
      </w:r>
      <w:r>
        <w:rPr>
          <w:b/>
        </w:rPr>
        <w:t>application de la Convention par la voie de décisions judiciaires et administratives;</w:t>
      </w:r>
    </w:p>
    <w:p w:rsidR="00F66856" w:rsidRDefault="00F66856" w:rsidP="00F66856">
      <w:pPr>
        <w:pStyle w:val="SingleTxtG"/>
        <w:ind w:firstLine="567"/>
        <w:rPr>
          <w:b/>
        </w:rPr>
      </w:pPr>
      <w:r>
        <w:rPr>
          <w:b/>
        </w:rPr>
        <w:t>c)</w:t>
      </w:r>
      <w:r>
        <w:rPr>
          <w:b/>
        </w:rPr>
        <w:tab/>
      </w:r>
      <w:r w:rsidRPr="00455EEC">
        <w:rPr>
          <w:b/>
        </w:rPr>
        <w:t>D</w:t>
      </w:r>
      <w:r w:rsidR="00E54D1E">
        <w:rPr>
          <w:b/>
        </w:rPr>
        <w:t>’</w:t>
      </w:r>
      <w:r w:rsidRPr="00455EEC">
        <w:rPr>
          <w:b/>
        </w:rPr>
        <w:t xml:space="preserve">étudier </w:t>
      </w:r>
      <w:r>
        <w:rPr>
          <w:b/>
        </w:rPr>
        <w:t>les raisons expliquant le faible nombre de cas dans lesquels le Commissaire aux droits de l</w:t>
      </w:r>
      <w:r w:rsidR="00E54D1E">
        <w:rPr>
          <w:b/>
        </w:rPr>
        <w:t>’</w:t>
      </w:r>
      <w:r>
        <w:rPr>
          <w:b/>
        </w:rPr>
        <w:t>homme a établi que des actes de discrimination avaient été commis</w:t>
      </w:r>
      <w:r w:rsidR="00E224F3">
        <w:rPr>
          <w:b/>
        </w:rPr>
        <w:t>,</w:t>
      </w:r>
      <w:r>
        <w:rPr>
          <w:b/>
        </w:rPr>
        <w:t xml:space="preserve"> et de veiller à ce que ce dernier mène des enquêtes efficaces sur toutes les plaintes de discrimination raciale; </w:t>
      </w:r>
    </w:p>
    <w:p w:rsidR="00F66856" w:rsidRPr="00F66856" w:rsidRDefault="00F66856" w:rsidP="00F66856">
      <w:pPr>
        <w:pStyle w:val="SingleTxtG"/>
        <w:ind w:firstLine="567"/>
        <w:rPr>
          <w:b/>
        </w:rPr>
      </w:pPr>
      <w:r w:rsidRPr="00F66856">
        <w:rPr>
          <w:b/>
        </w:rPr>
        <w:t>d)</w:t>
      </w:r>
      <w:r w:rsidRPr="00F66856">
        <w:rPr>
          <w:b/>
        </w:rPr>
        <w:tab/>
        <w:t>De mettre en œuvre des mesures visant à renforcer le système d</w:t>
      </w:r>
      <w:r w:rsidR="00E54D1E">
        <w:rPr>
          <w:b/>
        </w:rPr>
        <w:t>’</w:t>
      </w:r>
      <w:r w:rsidRPr="00F66856">
        <w:rPr>
          <w:b/>
        </w:rPr>
        <w:t>aide juridictionnelle et de proposer une assistance aux individus et aux associations en vue d</w:t>
      </w:r>
      <w:r w:rsidR="00E54D1E">
        <w:rPr>
          <w:b/>
        </w:rPr>
        <w:t>’</w:t>
      </w:r>
      <w:r w:rsidRPr="00F66856">
        <w:rPr>
          <w:b/>
        </w:rPr>
        <w:t xml:space="preserve">encourager les poursuites en justice dans les affaires de discrimination; </w:t>
      </w:r>
    </w:p>
    <w:p w:rsidR="00F66856" w:rsidRPr="00F66856" w:rsidRDefault="00F10E89" w:rsidP="00F66856">
      <w:pPr>
        <w:pStyle w:val="SingleTxtG"/>
        <w:ind w:firstLine="567"/>
        <w:rPr>
          <w:b/>
        </w:rPr>
      </w:pPr>
      <w:r w:rsidRPr="00F66856">
        <w:rPr>
          <w:b/>
        </w:rPr>
        <w:t>e)</w:t>
      </w:r>
      <w:r w:rsidRPr="00F66856">
        <w:rPr>
          <w:b/>
        </w:rPr>
        <w:tab/>
      </w:r>
      <w:r>
        <w:rPr>
          <w:b/>
        </w:rPr>
        <w:t>De f</w:t>
      </w:r>
      <w:r w:rsidRPr="00F66856">
        <w:rPr>
          <w:b/>
        </w:rPr>
        <w:t>ormer les agents de l</w:t>
      </w:r>
      <w:r w:rsidR="00E54D1E">
        <w:rPr>
          <w:b/>
        </w:rPr>
        <w:t>’</w:t>
      </w:r>
      <w:r w:rsidRPr="00F66856">
        <w:rPr>
          <w:b/>
        </w:rPr>
        <w:t>État, notamment les agents de la force publique, les magistrats et les avocats, à la protection et aux garanties juridiques contre la discrimination raciale, en appelant l</w:t>
      </w:r>
      <w:r w:rsidR="00E54D1E">
        <w:rPr>
          <w:b/>
        </w:rPr>
        <w:t>’</w:t>
      </w:r>
      <w:r w:rsidRPr="00F66856">
        <w:rPr>
          <w:b/>
        </w:rPr>
        <w:t xml:space="preserve">attention sur la Recommandation générale du Comité </w:t>
      </w:r>
      <w:r w:rsidRPr="00E224F3">
        <w:rPr>
          <w:rFonts w:eastAsia="MS Mincho"/>
          <w:b/>
        </w:rPr>
        <w:t>n</w:t>
      </w:r>
      <w:r w:rsidRPr="00E224F3">
        <w:rPr>
          <w:rFonts w:eastAsia="MS Mincho"/>
          <w:b/>
          <w:vertAlign w:val="superscript"/>
        </w:rPr>
        <w:t>o</w:t>
      </w:r>
      <w:r>
        <w:rPr>
          <w:b/>
        </w:rPr>
        <w:t> </w:t>
      </w:r>
      <w:r w:rsidRPr="00F66856">
        <w:rPr>
          <w:b/>
        </w:rPr>
        <w:t>13 (1993) concernant la formation des responsables de l</w:t>
      </w:r>
      <w:r w:rsidR="00E54D1E">
        <w:rPr>
          <w:b/>
        </w:rPr>
        <w:t>’</w:t>
      </w:r>
      <w:r w:rsidRPr="00F66856">
        <w:rPr>
          <w:b/>
        </w:rPr>
        <w:t>application des lois à la protection des droits de l</w:t>
      </w:r>
      <w:r w:rsidR="00E54D1E">
        <w:rPr>
          <w:b/>
        </w:rPr>
        <w:t>’</w:t>
      </w:r>
      <w:r w:rsidRPr="00F66856">
        <w:rPr>
          <w:b/>
        </w:rPr>
        <w:t>homme.</w:t>
      </w:r>
    </w:p>
    <w:p w:rsidR="00F66856" w:rsidRDefault="00F66856" w:rsidP="00F10E89">
      <w:pPr>
        <w:pStyle w:val="HChG"/>
      </w:pPr>
      <w:r>
        <w:tab/>
        <w:t>IV.</w:t>
      </w:r>
      <w:r>
        <w:tab/>
        <w:t>Autres recommandations</w:t>
      </w:r>
    </w:p>
    <w:p w:rsidR="00F66856" w:rsidRPr="00C25F47" w:rsidRDefault="00F66856" w:rsidP="00F66856">
      <w:pPr>
        <w:pStyle w:val="H23G"/>
      </w:pPr>
      <w:r>
        <w:tab/>
      </w:r>
      <w:r>
        <w:tab/>
      </w:r>
      <w:r w:rsidRPr="00C25F47">
        <w:t>Ratification d</w:t>
      </w:r>
      <w:r w:rsidR="00E54D1E">
        <w:t>’</w:t>
      </w:r>
      <w:r w:rsidRPr="00C25F47">
        <w:t>autres instruments</w:t>
      </w:r>
    </w:p>
    <w:p w:rsidR="00F66856" w:rsidRDefault="00F66856" w:rsidP="00F66856">
      <w:pPr>
        <w:pStyle w:val="ParNoG"/>
      </w:pPr>
      <w:r w:rsidRPr="00C25F47">
        <w:rPr>
          <w:szCs w:val="24"/>
        </w:rPr>
        <w:t>Compte tenu du caractère indivisible de tous les droits de l</w:t>
      </w:r>
      <w:r w:rsidR="00E54D1E">
        <w:rPr>
          <w:szCs w:val="24"/>
        </w:rPr>
        <w:t>’</w:t>
      </w:r>
      <w:r w:rsidRPr="00C25F47">
        <w:rPr>
          <w:szCs w:val="24"/>
        </w:rPr>
        <w:t>homme, le Comité encourage l</w:t>
      </w:r>
      <w:r w:rsidR="00E54D1E">
        <w:rPr>
          <w:szCs w:val="24"/>
        </w:rPr>
        <w:t>’</w:t>
      </w:r>
      <w:r w:rsidRPr="00C25F47">
        <w:rPr>
          <w:szCs w:val="24"/>
        </w:rPr>
        <w:t>État partie à envisager de ratifier les instruments internationaux relatifs aux droits de l</w:t>
      </w:r>
      <w:r w:rsidR="00E54D1E">
        <w:rPr>
          <w:szCs w:val="24"/>
        </w:rPr>
        <w:t>’</w:t>
      </w:r>
      <w:r w:rsidRPr="00C25F47">
        <w:rPr>
          <w:szCs w:val="24"/>
        </w:rPr>
        <w:t>homme auxquels il n</w:t>
      </w:r>
      <w:r w:rsidR="00E54D1E">
        <w:rPr>
          <w:szCs w:val="24"/>
        </w:rPr>
        <w:t>’</w:t>
      </w:r>
      <w:r w:rsidRPr="00C25F47">
        <w:rPr>
          <w:szCs w:val="24"/>
        </w:rPr>
        <w:t>est pas encore partie, en particulier ceux dont les dispositions intéressent directement les communautés susceptibles de faire l</w:t>
      </w:r>
      <w:r w:rsidR="00E54D1E">
        <w:rPr>
          <w:szCs w:val="24"/>
        </w:rPr>
        <w:t>’</w:t>
      </w:r>
      <w:r w:rsidRPr="00C25F47">
        <w:rPr>
          <w:szCs w:val="24"/>
        </w:rPr>
        <w:t xml:space="preserve">objet de discrimination raciale, tels que la Convention internationale sur la protection des droits de tous les travailleurs migrants et des membres de leur famille </w:t>
      </w:r>
      <w:r>
        <w:rPr>
          <w:szCs w:val="24"/>
        </w:rPr>
        <w:t xml:space="preserve">et la </w:t>
      </w:r>
      <w:r w:rsidRPr="001B3BFA">
        <w:t xml:space="preserve">Convention de </w:t>
      </w:r>
      <w:r w:rsidRPr="00C25F47">
        <w:t>l</w:t>
      </w:r>
      <w:r w:rsidR="00E54D1E">
        <w:t>’</w:t>
      </w:r>
      <w:r w:rsidRPr="00C25F47">
        <w:t>Organisation des Nations Unies pour l</w:t>
      </w:r>
      <w:r w:rsidR="00E54D1E">
        <w:t>’</w:t>
      </w:r>
      <w:r w:rsidRPr="00C25F47">
        <w:t>éducation, la science et la culture concernant la lutte contre la discrimination dans le domaine de l</w:t>
      </w:r>
      <w:r w:rsidR="00E54D1E">
        <w:t>’</w:t>
      </w:r>
      <w:r w:rsidRPr="00C25F47">
        <w:t xml:space="preserve">enseignement </w:t>
      </w:r>
      <w:r>
        <w:t xml:space="preserve">de 1960. </w:t>
      </w:r>
    </w:p>
    <w:p w:rsidR="00F66856" w:rsidRPr="00C25F47" w:rsidRDefault="00F66856" w:rsidP="00F66856">
      <w:pPr>
        <w:pStyle w:val="H23G"/>
      </w:pPr>
      <w:r>
        <w:tab/>
      </w:r>
      <w:r>
        <w:tab/>
      </w:r>
      <w:r w:rsidRPr="00C25F47">
        <w:t>Suite donnée à la Déclaration et au Programme d</w:t>
      </w:r>
      <w:r w:rsidR="00E54D1E">
        <w:t>’</w:t>
      </w:r>
      <w:r w:rsidRPr="00C25F47">
        <w:t>action de Durban</w:t>
      </w:r>
    </w:p>
    <w:p w:rsidR="00F66856" w:rsidRDefault="00F66856" w:rsidP="00F66856">
      <w:pPr>
        <w:pStyle w:val="ParNoG"/>
        <w:rPr>
          <w:szCs w:val="24"/>
        </w:rPr>
      </w:pPr>
      <w:r w:rsidRPr="00C25F47">
        <w:rPr>
          <w:szCs w:val="24"/>
        </w:rPr>
        <w:t>À la lumière de sa Recommandation générale</w:t>
      </w:r>
      <w:r w:rsidR="005B7447">
        <w:rPr>
          <w:szCs w:val="24"/>
        </w:rPr>
        <w:t xml:space="preserve"> n</w:t>
      </w:r>
      <w:r w:rsidR="005B7447" w:rsidRPr="005B7447">
        <w:rPr>
          <w:szCs w:val="24"/>
          <w:vertAlign w:val="superscript"/>
        </w:rPr>
        <w:t>o</w:t>
      </w:r>
      <w:r w:rsidR="005B7447">
        <w:rPr>
          <w:szCs w:val="24"/>
        </w:rPr>
        <w:t> 33</w:t>
      </w:r>
      <w:r w:rsidRPr="00C25F47">
        <w:rPr>
          <w:szCs w:val="24"/>
        </w:rPr>
        <w:t xml:space="preserve"> (2009) sur le suivi de la Conférence d</w:t>
      </w:r>
      <w:r w:rsidR="00E54D1E">
        <w:rPr>
          <w:szCs w:val="24"/>
        </w:rPr>
        <w:t>’</w:t>
      </w:r>
      <w:r w:rsidRPr="00C25F47">
        <w:rPr>
          <w:szCs w:val="24"/>
        </w:rPr>
        <w:t>examen de Durban, le Comité recommande à l</w:t>
      </w:r>
      <w:r w:rsidR="00E54D1E">
        <w:rPr>
          <w:szCs w:val="24"/>
        </w:rPr>
        <w:t>’</w:t>
      </w:r>
      <w:r w:rsidRPr="00C25F47">
        <w:rPr>
          <w:szCs w:val="24"/>
        </w:rPr>
        <w:t>État partie de donner effet à la Déclaration et au Programme d</w:t>
      </w:r>
      <w:r w:rsidR="00E54D1E">
        <w:rPr>
          <w:szCs w:val="24"/>
        </w:rPr>
        <w:t>’</w:t>
      </w:r>
      <w:r w:rsidRPr="00C25F47">
        <w:rPr>
          <w:szCs w:val="24"/>
        </w:rPr>
        <w:t>action de Durban, adoptés en septembre 2001 par la Conférence mondiale contre le racisme, la discrimination raciale, la xénophobie et l</w:t>
      </w:r>
      <w:r w:rsidR="00E54D1E">
        <w:rPr>
          <w:szCs w:val="24"/>
        </w:rPr>
        <w:t>’</w:t>
      </w:r>
      <w:r w:rsidRPr="00C25F47">
        <w:rPr>
          <w:szCs w:val="24"/>
        </w:rPr>
        <w:t>intolérance qui y est associée, en tenant compte du Document final de la Conférence d</w:t>
      </w:r>
      <w:r w:rsidR="00E54D1E">
        <w:rPr>
          <w:szCs w:val="24"/>
        </w:rPr>
        <w:t>’</w:t>
      </w:r>
      <w:r w:rsidRPr="00C25F47">
        <w:rPr>
          <w:szCs w:val="24"/>
        </w:rPr>
        <w:t>examen de Durban, tenue à Genève en avril 2009, quand il applique la Convention. Il le prie de faire figurer dans son prochain rapport périodique des renseignements précis sur les plans d</w:t>
      </w:r>
      <w:r w:rsidR="00E54D1E">
        <w:rPr>
          <w:szCs w:val="24"/>
        </w:rPr>
        <w:t>’</w:t>
      </w:r>
      <w:r w:rsidRPr="00C25F47">
        <w:rPr>
          <w:szCs w:val="24"/>
        </w:rPr>
        <w:t>action qu</w:t>
      </w:r>
      <w:r w:rsidR="00E54D1E">
        <w:rPr>
          <w:szCs w:val="24"/>
        </w:rPr>
        <w:t>’</w:t>
      </w:r>
      <w:r w:rsidRPr="00C25F47">
        <w:rPr>
          <w:szCs w:val="24"/>
        </w:rPr>
        <w:t>il aura adoptés et les autres mesures qu</w:t>
      </w:r>
      <w:r w:rsidR="00E54D1E">
        <w:rPr>
          <w:szCs w:val="24"/>
        </w:rPr>
        <w:t>’</w:t>
      </w:r>
      <w:r w:rsidRPr="00C25F47">
        <w:rPr>
          <w:szCs w:val="24"/>
        </w:rPr>
        <w:t>il aura prises pour mettre en œuvre la Déclaration et le Programme d</w:t>
      </w:r>
      <w:r w:rsidR="00E54D1E">
        <w:rPr>
          <w:szCs w:val="24"/>
        </w:rPr>
        <w:t>’</w:t>
      </w:r>
      <w:r w:rsidRPr="00C25F47">
        <w:rPr>
          <w:szCs w:val="24"/>
        </w:rPr>
        <w:t xml:space="preserve">action de Durban au niveau national. </w:t>
      </w:r>
    </w:p>
    <w:p w:rsidR="00F66856" w:rsidRDefault="00F66856" w:rsidP="00F66856">
      <w:pPr>
        <w:pStyle w:val="H23G"/>
      </w:pPr>
      <w:r>
        <w:tab/>
      </w:r>
      <w:r>
        <w:tab/>
        <w:t>Consultations avec les organisations de la société civile</w:t>
      </w:r>
    </w:p>
    <w:p w:rsidR="00F66856" w:rsidRDefault="00F66856" w:rsidP="00F66856">
      <w:pPr>
        <w:pStyle w:val="ParNoG"/>
      </w:pPr>
      <w:r>
        <w:rPr>
          <w:szCs w:val="24"/>
        </w:rPr>
        <w:t>Le Comité recommande à l</w:t>
      </w:r>
      <w:r w:rsidR="00E54D1E">
        <w:rPr>
          <w:szCs w:val="24"/>
        </w:rPr>
        <w:t>’</w:t>
      </w:r>
      <w:r>
        <w:rPr>
          <w:szCs w:val="24"/>
        </w:rPr>
        <w:t xml:space="preserve">État partie </w:t>
      </w:r>
      <w:r w:rsidRPr="00C25F47">
        <w:t>d</w:t>
      </w:r>
      <w:r w:rsidR="00E54D1E">
        <w:t>’</w:t>
      </w:r>
      <w:r w:rsidRPr="00C25F47">
        <w:t>élargir son dialogue avec les organisations de la société civile œuvrant dans le domaine de la protection des droits de l</w:t>
      </w:r>
      <w:r w:rsidR="00E54D1E">
        <w:t>’</w:t>
      </w:r>
      <w:r w:rsidRPr="00C25F47">
        <w:t>homme, en</w:t>
      </w:r>
      <w:r w:rsidR="004306DD">
        <w:t> </w:t>
      </w:r>
      <w:r w:rsidRPr="00C25F47">
        <w:t>particulier avec celles qui luttent con</w:t>
      </w:r>
      <w:r>
        <w:t xml:space="preserve">tre la discrimination raciale, </w:t>
      </w:r>
      <w:r w:rsidRPr="00C25F47">
        <w:t>dans le cadre de l</w:t>
      </w:r>
      <w:r w:rsidR="00E54D1E">
        <w:t>’</w:t>
      </w:r>
      <w:r w:rsidRPr="00C25F47">
        <w:t xml:space="preserve">élaboration de son prochain rapport périodique </w:t>
      </w:r>
      <w:r>
        <w:t>et du suivi des présentes observations finales.</w:t>
      </w:r>
    </w:p>
    <w:p w:rsidR="00F66856" w:rsidRDefault="00F66856" w:rsidP="00F66856">
      <w:pPr>
        <w:pStyle w:val="H23G"/>
      </w:pPr>
      <w:r>
        <w:tab/>
      </w:r>
      <w:r>
        <w:tab/>
        <w:t>Amendement au paragraphe 6 de l</w:t>
      </w:r>
      <w:r w:rsidR="00E54D1E">
        <w:t>’</w:t>
      </w:r>
      <w:r>
        <w:t>article 8 de la Convention</w:t>
      </w:r>
    </w:p>
    <w:p w:rsidR="00F66856" w:rsidRDefault="00F66856" w:rsidP="00F66856">
      <w:pPr>
        <w:pStyle w:val="ParNoG"/>
      </w:pPr>
      <w:r>
        <w:t>Le Comité réitère la recommandation qu</w:t>
      </w:r>
      <w:r w:rsidR="00E54D1E">
        <w:t>’</w:t>
      </w:r>
      <w:r>
        <w:t>il a faite à l</w:t>
      </w:r>
      <w:r w:rsidR="00E54D1E">
        <w:t>’</w:t>
      </w:r>
      <w:r>
        <w:t xml:space="preserve">État partie dans ses précédentes observations finales </w:t>
      </w:r>
      <w:r w:rsidRPr="00C25F47">
        <w:t>de ratifier l</w:t>
      </w:r>
      <w:r w:rsidR="00E54D1E">
        <w:t>’</w:t>
      </w:r>
      <w:r w:rsidRPr="00C25F47">
        <w:t>amendement au paragraphe 6 de l</w:t>
      </w:r>
      <w:r w:rsidR="00E54D1E">
        <w:t>’</w:t>
      </w:r>
      <w:r w:rsidRPr="00C25F47">
        <w:t>article 8 de la Convention, adopté le 15 janvier 1992 à la quatorzième Réunion des États parties à la Convention et approuvé par l</w:t>
      </w:r>
      <w:r w:rsidR="00E54D1E">
        <w:t>’</w:t>
      </w:r>
      <w:r w:rsidRPr="00C25F47">
        <w:t>Assemblée générale dans sa résolution 47/111 du 16</w:t>
      </w:r>
      <w:r w:rsidR="004306DD">
        <w:t> </w:t>
      </w:r>
      <w:r w:rsidRPr="00C25F47">
        <w:t xml:space="preserve">décembre 1992. </w:t>
      </w:r>
      <w:r>
        <w:t xml:space="preserve">À cet égard, le Comité renvoie aux résolutions </w:t>
      </w:r>
      <w:r w:rsidRPr="00C25F47">
        <w:t>61/148, 63/243, 65/200 et 67/156 de l</w:t>
      </w:r>
      <w:r w:rsidR="00E54D1E">
        <w:t>’</w:t>
      </w:r>
      <w:r>
        <w:t xml:space="preserve">Assemblée générale, par lesquelles </w:t>
      </w:r>
      <w:r w:rsidRPr="00C25F47">
        <w:t>l</w:t>
      </w:r>
      <w:r w:rsidR="00E54D1E">
        <w:t>’</w:t>
      </w:r>
      <w:r w:rsidRPr="00C25F47">
        <w:t>Assemblée a demandé instamment aux États parties à la Convention d</w:t>
      </w:r>
      <w:r w:rsidR="00E54D1E">
        <w:t>’</w:t>
      </w:r>
      <w:r w:rsidRPr="00C25F47">
        <w:t>accélérer leurs procédures internes de ratification de l</w:t>
      </w:r>
      <w:r w:rsidR="00E54D1E">
        <w:t>’</w:t>
      </w:r>
      <w:r>
        <w:t xml:space="preserve">amendement à la Convention </w:t>
      </w:r>
      <w:r w:rsidRPr="00C25F47">
        <w:t>et d</w:t>
      </w:r>
      <w:r w:rsidR="00E54D1E">
        <w:t>’</w:t>
      </w:r>
      <w:r w:rsidRPr="00C25F47">
        <w:t>informer par écrit le Secrétaire général, dans les meilleurs délais, de leur</w:t>
      </w:r>
      <w:r>
        <w:t xml:space="preserve"> acceptation de cet amendement.</w:t>
      </w:r>
    </w:p>
    <w:p w:rsidR="00F66856" w:rsidRPr="00C25F47" w:rsidRDefault="00F66856" w:rsidP="00F66856">
      <w:pPr>
        <w:pStyle w:val="H23G"/>
      </w:pPr>
      <w:r>
        <w:tab/>
      </w:r>
      <w:r>
        <w:tab/>
      </w:r>
      <w:r w:rsidRPr="00C25F47">
        <w:t>Diffusion</w:t>
      </w:r>
    </w:p>
    <w:p w:rsidR="00F66856" w:rsidRDefault="00F66856" w:rsidP="00F66856">
      <w:pPr>
        <w:pStyle w:val="ParNoG"/>
        <w:rPr>
          <w:szCs w:val="24"/>
        </w:rPr>
      </w:pPr>
      <w:r w:rsidRPr="00C25F47">
        <w:rPr>
          <w:szCs w:val="24"/>
        </w:rPr>
        <w:t>Le Comité recommande à l</w:t>
      </w:r>
      <w:r w:rsidR="00E54D1E">
        <w:rPr>
          <w:szCs w:val="24"/>
        </w:rPr>
        <w:t>’</w:t>
      </w:r>
      <w:r w:rsidRPr="00C25F47">
        <w:rPr>
          <w:szCs w:val="24"/>
        </w:rPr>
        <w:t>État partie de faire en sorte que ses rapports périodiques soient rendus publics et soient accessibles au moment de leur soumission, et de diffuser de la même manière les observations finales du Comité qui s</w:t>
      </w:r>
      <w:r w:rsidR="00E54D1E">
        <w:rPr>
          <w:szCs w:val="24"/>
        </w:rPr>
        <w:t>’</w:t>
      </w:r>
      <w:r w:rsidRPr="00C25F47">
        <w:rPr>
          <w:szCs w:val="24"/>
        </w:rPr>
        <w:t>y rapportent dans les langues officielles et les autres langues couramment utilisées, selon qu</w:t>
      </w:r>
      <w:r w:rsidR="00E54D1E">
        <w:rPr>
          <w:szCs w:val="24"/>
        </w:rPr>
        <w:t>’</w:t>
      </w:r>
      <w:r w:rsidRPr="00C25F47">
        <w:rPr>
          <w:szCs w:val="24"/>
        </w:rPr>
        <w:t xml:space="preserve">il convient. </w:t>
      </w:r>
    </w:p>
    <w:p w:rsidR="00F66856" w:rsidRPr="00C25F47" w:rsidRDefault="00F66856" w:rsidP="00BC53DD">
      <w:pPr>
        <w:pStyle w:val="H23G"/>
      </w:pPr>
      <w:r>
        <w:tab/>
      </w:r>
      <w:r>
        <w:tab/>
      </w:r>
      <w:r w:rsidRPr="00C25F47">
        <w:t>Suite donnée aux observations finales</w:t>
      </w:r>
    </w:p>
    <w:p w:rsidR="00F66856" w:rsidRDefault="00F66856" w:rsidP="00BC53DD">
      <w:pPr>
        <w:pStyle w:val="ParNoG"/>
        <w:keepNext/>
        <w:keepLines/>
        <w:rPr>
          <w:szCs w:val="24"/>
        </w:rPr>
      </w:pPr>
      <w:r w:rsidRPr="00C25F47">
        <w:rPr>
          <w:szCs w:val="24"/>
        </w:rPr>
        <w:t>Conformément au paragraphe</w:t>
      </w:r>
      <w:r w:rsidR="00BC53DD">
        <w:rPr>
          <w:szCs w:val="24"/>
        </w:rPr>
        <w:t> </w:t>
      </w:r>
      <w:r w:rsidRPr="00C25F47">
        <w:rPr>
          <w:szCs w:val="24"/>
        </w:rPr>
        <w:t>1 de l</w:t>
      </w:r>
      <w:r w:rsidR="00E54D1E">
        <w:rPr>
          <w:szCs w:val="24"/>
        </w:rPr>
        <w:t>’</w:t>
      </w:r>
      <w:r w:rsidRPr="00C25F47">
        <w:rPr>
          <w:szCs w:val="24"/>
        </w:rPr>
        <w:t>article 9 de la Convention et à l</w:t>
      </w:r>
      <w:r w:rsidR="00E54D1E">
        <w:rPr>
          <w:szCs w:val="24"/>
        </w:rPr>
        <w:t>’</w:t>
      </w:r>
      <w:r w:rsidRPr="00C25F47">
        <w:rPr>
          <w:szCs w:val="24"/>
        </w:rPr>
        <w:t xml:space="preserve">article 65 de son </w:t>
      </w:r>
      <w:r w:rsidR="004306DD">
        <w:rPr>
          <w:szCs w:val="24"/>
        </w:rPr>
        <w:t>r</w:t>
      </w:r>
      <w:r w:rsidR="004306DD" w:rsidRPr="00C25F47">
        <w:rPr>
          <w:szCs w:val="24"/>
        </w:rPr>
        <w:t xml:space="preserve">èglement </w:t>
      </w:r>
      <w:r w:rsidRPr="00C25F47">
        <w:rPr>
          <w:szCs w:val="24"/>
        </w:rPr>
        <w:t>intérieur modifié, le Comité demande à l</w:t>
      </w:r>
      <w:r w:rsidR="00E54D1E">
        <w:rPr>
          <w:szCs w:val="24"/>
        </w:rPr>
        <w:t>’</w:t>
      </w:r>
      <w:r w:rsidRPr="00C25F47">
        <w:rPr>
          <w:szCs w:val="24"/>
        </w:rPr>
        <w:t>État partie de fournir, dans un délai d</w:t>
      </w:r>
      <w:r w:rsidR="00E54D1E">
        <w:rPr>
          <w:szCs w:val="24"/>
        </w:rPr>
        <w:t>’</w:t>
      </w:r>
      <w:r w:rsidRPr="00C25F47">
        <w:rPr>
          <w:szCs w:val="24"/>
        </w:rPr>
        <w:t>un an à compter de l</w:t>
      </w:r>
      <w:r w:rsidR="00E54D1E">
        <w:rPr>
          <w:szCs w:val="24"/>
        </w:rPr>
        <w:t>’</w:t>
      </w:r>
      <w:r w:rsidRPr="00C25F47">
        <w:rPr>
          <w:szCs w:val="24"/>
        </w:rPr>
        <w:t>adoption des présentes observations finales, des renseignements sur la suite qu</w:t>
      </w:r>
      <w:r w:rsidR="00E54D1E">
        <w:rPr>
          <w:szCs w:val="24"/>
        </w:rPr>
        <w:t>’</w:t>
      </w:r>
      <w:r w:rsidRPr="00C25F47">
        <w:rPr>
          <w:szCs w:val="24"/>
        </w:rPr>
        <w:t>il aura donnée aux recommandations</w:t>
      </w:r>
      <w:r>
        <w:rPr>
          <w:szCs w:val="24"/>
        </w:rPr>
        <w:t xml:space="preserve"> figurant dans les paragraphes </w:t>
      </w:r>
      <w:r w:rsidRPr="00C25F47">
        <w:rPr>
          <w:szCs w:val="24"/>
        </w:rPr>
        <w:t xml:space="preserve">8, 15 et 18 ci-dessus. </w:t>
      </w:r>
    </w:p>
    <w:p w:rsidR="00F66856" w:rsidRPr="00C25F47" w:rsidRDefault="00F66856" w:rsidP="00F66856">
      <w:pPr>
        <w:pStyle w:val="H23G"/>
      </w:pPr>
      <w:r>
        <w:tab/>
      </w:r>
      <w:r>
        <w:tab/>
      </w:r>
      <w:r w:rsidRPr="00C25F47">
        <w:t>Recommandations d</w:t>
      </w:r>
      <w:r w:rsidR="00E54D1E">
        <w:t>’</w:t>
      </w:r>
      <w:r w:rsidRPr="00C25F47">
        <w:t>importance particulière</w:t>
      </w:r>
    </w:p>
    <w:p w:rsidR="00F66856" w:rsidRDefault="00F66856" w:rsidP="00F66856">
      <w:pPr>
        <w:pStyle w:val="ParNoG"/>
        <w:rPr>
          <w:szCs w:val="24"/>
        </w:rPr>
      </w:pPr>
      <w:r w:rsidRPr="00C25F47">
        <w:rPr>
          <w:szCs w:val="24"/>
        </w:rPr>
        <w:t>Le Comité souhaite aussi appeler l</w:t>
      </w:r>
      <w:r w:rsidR="00E54D1E">
        <w:rPr>
          <w:szCs w:val="24"/>
        </w:rPr>
        <w:t>’</w:t>
      </w:r>
      <w:r w:rsidRPr="00C25F47">
        <w:rPr>
          <w:szCs w:val="24"/>
        </w:rPr>
        <w:t>attention de l</w:t>
      </w:r>
      <w:r w:rsidR="00E54D1E">
        <w:rPr>
          <w:szCs w:val="24"/>
        </w:rPr>
        <w:t>’</w:t>
      </w:r>
      <w:r w:rsidRPr="00C25F47">
        <w:rPr>
          <w:szCs w:val="24"/>
        </w:rPr>
        <w:t>État partie sur l</w:t>
      </w:r>
      <w:r w:rsidR="00E54D1E">
        <w:rPr>
          <w:szCs w:val="24"/>
        </w:rPr>
        <w:t>’</w:t>
      </w:r>
      <w:r w:rsidRPr="00C25F47">
        <w:rPr>
          <w:szCs w:val="24"/>
        </w:rPr>
        <w:t>importance particulière des recommandations</w:t>
      </w:r>
      <w:r>
        <w:rPr>
          <w:szCs w:val="24"/>
        </w:rPr>
        <w:t xml:space="preserve"> figurant dans les paragraphes </w:t>
      </w:r>
      <w:r w:rsidRPr="00C25F47">
        <w:rPr>
          <w:szCs w:val="24"/>
        </w:rPr>
        <w:t>12, 19 et 21 ci-dessus</w:t>
      </w:r>
      <w:r>
        <w:rPr>
          <w:szCs w:val="24"/>
        </w:rPr>
        <w:t>,</w:t>
      </w:r>
      <w:r w:rsidRPr="00C25F47">
        <w:rPr>
          <w:szCs w:val="24"/>
        </w:rPr>
        <w:t xml:space="preserve"> et demande à l</w:t>
      </w:r>
      <w:r w:rsidR="00E54D1E">
        <w:rPr>
          <w:szCs w:val="24"/>
        </w:rPr>
        <w:t>’</w:t>
      </w:r>
      <w:r w:rsidRPr="00C25F47">
        <w:rPr>
          <w:szCs w:val="24"/>
        </w:rPr>
        <w:t>État partie de faire figurer dans son prochain rapport périodique des renseignements détaillés sur les mesures concrètes qu</w:t>
      </w:r>
      <w:r w:rsidR="00E54D1E">
        <w:rPr>
          <w:szCs w:val="24"/>
        </w:rPr>
        <w:t>’</w:t>
      </w:r>
      <w:r w:rsidRPr="00C25F47">
        <w:rPr>
          <w:szCs w:val="24"/>
        </w:rPr>
        <w:t xml:space="preserve">il aura prises pour y donner suite. </w:t>
      </w:r>
    </w:p>
    <w:p w:rsidR="00F66856" w:rsidRPr="00C25F47" w:rsidRDefault="00F66856" w:rsidP="00F66856">
      <w:pPr>
        <w:pStyle w:val="H23G"/>
      </w:pPr>
      <w:r>
        <w:tab/>
      </w:r>
      <w:r>
        <w:tab/>
      </w:r>
      <w:r w:rsidRPr="00C25F47">
        <w:t>Élaboration du prochain rapport périodique</w:t>
      </w:r>
    </w:p>
    <w:p w:rsidR="00F66856" w:rsidRPr="006D294E" w:rsidRDefault="00F66856" w:rsidP="00F66856">
      <w:pPr>
        <w:pStyle w:val="ParNoG"/>
        <w:rPr>
          <w:szCs w:val="24"/>
        </w:rPr>
      </w:pPr>
      <w:r w:rsidRPr="00C25F47">
        <w:rPr>
          <w:szCs w:val="24"/>
        </w:rPr>
        <w:t>Le Comité recommande à l</w:t>
      </w:r>
      <w:r w:rsidR="00E54D1E">
        <w:rPr>
          <w:szCs w:val="24"/>
        </w:rPr>
        <w:t>’</w:t>
      </w:r>
      <w:r>
        <w:rPr>
          <w:szCs w:val="24"/>
        </w:rPr>
        <w:t>État partie de soumettre ses</w:t>
      </w:r>
      <w:r w:rsidRPr="00C25F47">
        <w:rPr>
          <w:szCs w:val="24"/>
        </w:rPr>
        <w:t xml:space="preserve"> huitième à dixième rapports périodiques en un seul document, d</w:t>
      </w:r>
      <w:r w:rsidR="00E54D1E">
        <w:rPr>
          <w:szCs w:val="24"/>
        </w:rPr>
        <w:t>’</w:t>
      </w:r>
      <w:r>
        <w:rPr>
          <w:szCs w:val="24"/>
        </w:rPr>
        <w:t xml:space="preserve">ici au </w:t>
      </w:r>
      <w:r w:rsidRPr="00C25F47">
        <w:rPr>
          <w:szCs w:val="24"/>
        </w:rPr>
        <w:t>25 septembre 2017</w:t>
      </w:r>
      <w:r>
        <w:rPr>
          <w:szCs w:val="24"/>
        </w:rPr>
        <w:t>,</w:t>
      </w:r>
      <w:r w:rsidRPr="00C25F47">
        <w:rPr>
          <w:szCs w:val="24"/>
        </w:rPr>
        <w:t xml:space="preserve"> en tenant compte des directives pour l</w:t>
      </w:r>
      <w:r w:rsidR="00E54D1E">
        <w:rPr>
          <w:szCs w:val="24"/>
        </w:rPr>
        <w:t>’</w:t>
      </w:r>
      <w:r w:rsidRPr="00C25F47">
        <w:rPr>
          <w:szCs w:val="24"/>
        </w:rPr>
        <w:t>établissement du document se rapportant spécifiquement à la Convention internationale sur l</w:t>
      </w:r>
      <w:r w:rsidR="00E54D1E">
        <w:rPr>
          <w:szCs w:val="24"/>
        </w:rPr>
        <w:t>’</w:t>
      </w:r>
      <w:r w:rsidRPr="00C25F47">
        <w:rPr>
          <w:szCs w:val="24"/>
        </w:rPr>
        <w:t>élimination de toutes les formes de discrimination raciale adoptées par le Comité à sa soixante et onzième session (CERD/C/2007/1) et en traitant de tous les points soulevés dans les présentes observations finales. Le Comité demande instamment à l</w:t>
      </w:r>
      <w:r w:rsidR="00E54D1E">
        <w:rPr>
          <w:szCs w:val="24"/>
        </w:rPr>
        <w:t>’</w:t>
      </w:r>
      <w:r w:rsidRPr="00C25F47">
        <w:rPr>
          <w:szCs w:val="24"/>
        </w:rPr>
        <w:t xml:space="preserve">État partie de respecter la limite de </w:t>
      </w:r>
      <w:r w:rsidR="00BC53DD" w:rsidRPr="00C25F47">
        <w:rPr>
          <w:szCs w:val="24"/>
        </w:rPr>
        <w:t>40</w:t>
      </w:r>
      <w:r w:rsidR="00BC53DD">
        <w:rPr>
          <w:szCs w:val="24"/>
        </w:rPr>
        <w:t> </w:t>
      </w:r>
      <w:r w:rsidRPr="00C25F47">
        <w:rPr>
          <w:szCs w:val="24"/>
        </w:rPr>
        <w:t>pages fixée pour les rapports propres au Comité et la limite de 60 à 80 pages fixée pour le document de base commun (voir HRI/GEN.2/Rev.6, chap</w:t>
      </w:r>
      <w:r w:rsidR="00BC53DD" w:rsidRPr="00C25F47">
        <w:rPr>
          <w:szCs w:val="24"/>
        </w:rPr>
        <w:t>.</w:t>
      </w:r>
      <w:r w:rsidR="00BC53DD">
        <w:rPr>
          <w:szCs w:val="24"/>
        </w:rPr>
        <w:t> </w:t>
      </w:r>
      <w:r w:rsidRPr="00C25F47">
        <w:rPr>
          <w:szCs w:val="24"/>
        </w:rPr>
        <w:t xml:space="preserve">I, par. 19). </w:t>
      </w:r>
    </w:p>
    <w:p w:rsidR="00F66856" w:rsidRDefault="00F66856" w:rsidP="00F66856">
      <w:pPr>
        <w:spacing w:before="240" w:line="960" w:lineRule="exact"/>
        <w:jc w:val="center"/>
        <w:rPr>
          <w:u w:val="single"/>
          <w:lang w:val="en-GB"/>
        </w:rPr>
      </w:pPr>
      <w:r w:rsidRPr="00190508">
        <w:rPr>
          <w:u w:val="single"/>
          <w:lang w:val="en-GB"/>
        </w:rPr>
        <w:tab/>
      </w:r>
      <w:r w:rsidRPr="00190508">
        <w:rPr>
          <w:u w:val="single"/>
          <w:lang w:val="en-GB"/>
        </w:rPr>
        <w:tab/>
      </w:r>
      <w:r w:rsidRPr="00190508">
        <w:rPr>
          <w:u w:val="single"/>
          <w:lang w:val="en-GB"/>
        </w:rPr>
        <w:tab/>
      </w:r>
    </w:p>
    <w:sectPr w:rsidR="00F66856" w:rsidSect="00F6685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5B" w:rsidRDefault="00F2145B"/>
  </w:endnote>
  <w:endnote w:type="continuationSeparator" w:id="0">
    <w:p w:rsidR="00F2145B" w:rsidRDefault="00F2145B"/>
  </w:endnote>
  <w:endnote w:type="continuationNotice" w:id="1">
    <w:p w:rsidR="00F2145B" w:rsidRPr="00201F68" w:rsidRDefault="00F2145B"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5B" w:rsidRPr="00F66856" w:rsidRDefault="00F2145B" w:rsidP="00F66856">
    <w:pPr>
      <w:pStyle w:val="Footer"/>
      <w:tabs>
        <w:tab w:val="right" w:pos="9638"/>
      </w:tabs>
    </w:pPr>
    <w:r w:rsidRPr="00F66856">
      <w:rPr>
        <w:b/>
        <w:sz w:val="18"/>
      </w:rPr>
      <w:fldChar w:fldCharType="begin"/>
    </w:r>
    <w:r w:rsidRPr="00F66856">
      <w:rPr>
        <w:b/>
        <w:sz w:val="18"/>
      </w:rPr>
      <w:instrText xml:space="preserve"> PAGE  \* MERGEFORMAT </w:instrText>
    </w:r>
    <w:r w:rsidRPr="00F66856">
      <w:rPr>
        <w:b/>
        <w:sz w:val="18"/>
      </w:rPr>
      <w:fldChar w:fldCharType="separate"/>
    </w:r>
    <w:r w:rsidR="00E32BFC">
      <w:rPr>
        <w:b/>
        <w:noProof/>
        <w:sz w:val="18"/>
      </w:rPr>
      <w:t>10</w:t>
    </w:r>
    <w:r w:rsidRPr="00F66856">
      <w:rPr>
        <w:b/>
        <w:sz w:val="18"/>
      </w:rPr>
      <w:fldChar w:fldCharType="end"/>
    </w:r>
    <w:r>
      <w:rPr>
        <w:b/>
        <w:sz w:val="18"/>
      </w:rPr>
      <w:tab/>
    </w:r>
    <w:r>
      <w:t>GE.14-41656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5B" w:rsidRPr="00F66856" w:rsidRDefault="00F2145B" w:rsidP="00F66856">
    <w:pPr>
      <w:pStyle w:val="Footer"/>
      <w:tabs>
        <w:tab w:val="right" w:pos="9638"/>
      </w:tabs>
      <w:rPr>
        <w:b/>
        <w:sz w:val="18"/>
      </w:rPr>
    </w:pPr>
    <w:r>
      <w:t>GE.14-41656</w:t>
    </w:r>
    <w:r>
      <w:tab/>
    </w:r>
    <w:r w:rsidRPr="00F66856">
      <w:rPr>
        <w:b/>
        <w:sz w:val="18"/>
      </w:rPr>
      <w:fldChar w:fldCharType="begin"/>
    </w:r>
    <w:r w:rsidRPr="00F66856">
      <w:rPr>
        <w:b/>
        <w:sz w:val="18"/>
      </w:rPr>
      <w:instrText xml:space="preserve"> PAGE  \* MERGEFORMAT </w:instrText>
    </w:r>
    <w:r w:rsidRPr="00F66856">
      <w:rPr>
        <w:b/>
        <w:sz w:val="18"/>
      </w:rPr>
      <w:fldChar w:fldCharType="separate"/>
    </w:r>
    <w:r>
      <w:rPr>
        <w:b/>
        <w:noProof/>
        <w:sz w:val="18"/>
      </w:rPr>
      <w:t>9</w:t>
    </w:r>
    <w:r w:rsidRPr="00F6685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5B" w:rsidRPr="00F66856" w:rsidRDefault="00F2145B" w:rsidP="00F66856">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14-41656  (F)    070414    080414</w:t>
    </w:r>
    <w:r>
      <w:rPr>
        <w:sz w:val="20"/>
      </w:rPr>
      <w:br/>
    </w:r>
    <w:r w:rsidRPr="00F66856">
      <w:rPr>
        <w:rFonts w:ascii="C39T30Lfz" w:hAnsi="C39T30Lfz"/>
        <w:sz w:val="56"/>
      </w:rPr>
      <w:t></w:t>
    </w:r>
    <w:r w:rsidRPr="00F66856">
      <w:rPr>
        <w:rFonts w:ascii="C39T30Lfz" w:hAnsi="C39T30Lfz"/>
        <w:sz w:val="56"/>
      </w:rPr>
      <w:t></w:t>
    </w:r>
    <w:r w:rsidRPr="00F66856">
      <w:rPr>
        <w:rFonts w:ascii="C39T30Lfz" w:hAnsi="C39T30Lfz"/>
        <w:sz w:val="56"/>
      </w:rPr>
      <w:t></w:t>
    </w:r>
    <w:r w:rsidRPr="00F66856">
      <w:rPr>
        <w:rFonts w:ascii="C39T30Lfz" w:hAnsi="C39T30Lfz"/>
        <w:sz w:val="56"/>
      </w:rPr>
      <w:t></w:t>
    </w:r>
    <w:r w:rsidRPr="00F66856">
      <w:rPr>
        <w:rFonts w:ascii="C39T30Lfz" w:hAnsi="C39T30Lfz"/>
        <w:sz w:val="56"/>
      </w:rPr>
      <w:t></w:t>
    </w:r>
    <w:r w:rsidRPr="00F66856">
      <w:rPr>
        <w:rFonts w:ascii="C39T30Lfz" w:hAnsi="C39T30Lfz"/>
        <w:sz w:val="56"/>
      </w:rPr>
      <w:t></w:t>
    </w:r>
    <w:r w:rsidRPr="00F66856">
      <w:rPr>
        <w:rFonts w:ascii="C39T30Lfz" w:hAnsi="C39T30Lfz"/>
        <w:sz w:val="56"/>
      </w:rPr>
      <w:t></w:t>
    </w:r>
    <w:r w:rsidRPr="00F66856">
      <w:rPr>
        <w:rFonts w:ascii="C39T30Lfz" w:hAnsi="C39T30Lfz"/>
        <w:sz w:val="56"/>
      </w:rPr>
      <w:t></w:t>
    </w:r>
    <w:r w:rsidRPr="00F66856">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6-7&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5B" w:rsidRPr="00D27D5E" w:rsidRDefault="00F2145B" w:rsidP="00D27D5E">
      <w:pPr>
        <w:tabs>
          <w:tab w:val="right" w:pos="2155"/>
        </w:tabs>
        <w:spacing w:after="80"/>
        <w:ind w:left="680"/>
        <w:rPr>
          <w:u w:val="single"/>
        </w:rPr>
      </w:pPr>
      <w:r>
        <w:rPr>
          <w:u w:val="single"/>
        </w:rPr>
        <w:tab/>
      </w:r>
    </w:p>
  </w:footnote>
  <w:footnote w:type="continuationSeparator" w:id="0">
    <w:p w:rsidR="00F2145B" w:rsidRPr="00AA7FE7" w:rsidRDefault="00F2145B" w:rsidP="00AA7FE7">
      <w:pPr>
        <w:tabs>
          <w:tab w:val="right" w:pos="2155"/>
        </w:tabs>
        <w:spacing w:after="80"/>
        <w:ind w:left="680"/>
        <w:rPr>
          <w:u w:val="single"/>
        </w:rPr>
      </w:pPr>
      <w:r w:rsidRPr="00AA7FE7">
        <w:rPr>
          <w:u w:val="single"/>
        </w:rPr>
        <w:tab/>
      </w:r>
    </w:p>
  </w:footnote>
  <w:footnote w:type="continuationNotice" w:id="1">
    <w:p w:rsidR="00F2145B" w:rsidRPr="00201F68" w:rsidRDefault="00F2145B" w:rsidP="00201F68">
      <w:pPr>
        <w:spacing w:line="240" w:lineRule="auto"/>
        <w:rPr>
          <w:sz w:val="2"/>
          <w:szCs w:val="2"/>
        </w:rPr>
      </w:pPr>
    </w:p>
  </w:footnote>
  <w:footnote w:id="2">
    <w:p w:rsidR="00F2145B" w:rsidRPr="00E54D1E" w:rsidRDefault="00F2145B">
      <w:pPr>
        <w:pStyle w:val="FootnoteText"/>
        <w:rPr>
          <w:szCs w:val="18"/>
        </w:rPr>
      </w:pPr>
      <w:r>
        <w:tab/>
      </w:r>
      <w:r w:rsidRPr="00E54D1E">
        <w:rPr>
          <w:rStyle w:val="FootnoteReference"/>
          <w:sz w:val="20"/>
          <w:vertAlign w:val="baseline"/>
        </w:rPr>
        <w:t>*</w:t>
      </w:r>
      <w:r>
        <w:rPr>
          <w:sz w:val="20"/>
        </w:rPr>
        <w:tab/>
      </w:r>
      <w:r w:rsidRPr="00E54D1E">
        <w:rPr>
          <w:szCs w:val="18"/>
        </w:rPr>
        <w:t>Adoptées par le Comité à sa quatre-vingt-quatrième session (3-21 février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5B" w:rsidRPr="00F66856" w:rsidRDefault="00F2145B">
    <w:pPr>
      <w:pStyle w:val="Header"/>
    </w:pPr>
    <w:r>
      <w:t>CERD/C/KAZ/CO/6-7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5B" w:rsidRPr="00F66856" w:rsidRDefault="00F2145B" w:rsidP="00F66856">
    <w:pPr>
      <w:pStyle w:val="Header"/>
      <w:jc w:val="right"/>
    </w:pPr>
    <w:r>
      <w:t>CERD/C/KAZ/CO/6-7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D8FA78"/>
    <w:lvl w:ilvl="0">
      <w:start w:val="1"/>
      <w:numFmt w:val="decimal"/>
      <w:lvlText w:val="%1."/>
      <w:lvlJc w:val="left"/>
      <w:pPr>
        <w:tabs>
          <w:tab w:val="num" w:pos="1492"/>
        </w:tabs>
        <w:ind w:left="1492" w:hanging="360"/>
      </w:pPr>
    </w:lvl>
  </w:abstractNum>
  <w:abstractNum w:abstractNumId="1">
    <w:nsid w:val="FFFFFF7D"/>
    <w:multiLevelType w:val="singleLevel"/>
    <w:tmpl w:val="3CF856B6"/>
    <w:lvl w:ilvl="0">
      <w:start w:val="1"/>
      <w:numFmt w:val="decimal"/>
      <w:lvlText w:val="%1."/>
      <w:lvlJc w:val="left"/>
      <w:pPr>
        <w:tabs>
          <w:tab w:val="num" w:pos="1209"/>
        </w:tabs>
        <w:ind w:left="1209" w:hanging="360"/>
      </w:pPr>
    </w:lvl>
  </w:abstractNum>
  <w:abstractNum w:abstractNumId="2">
    <w:nsid w:val="FFFFFF7E"/>
    <w:multiLevelType w:val="singleLevel"/>
    <w:tmpl w:val="B66CCEBA"/>
    <w:lvl w:ilvl="0">
      <w:start w:val="1"/>
      <w:numFmt w:val="decimal"/>
      <w:lvlText w:val="%1."/>
      <w:lvlJc w:val="left"/>
      <w:pPr>
        <w:tabs>
          <w:tab w:val="num" w:pos="926"/>
        </w:tabs>
        <w:ind w:left="926" w:hanging="360"/>
      </w:pPr>
    </w:lvl>
  </w:abstractNum>
  <w:abstractNum w:abstractNumId="3">
    <w:nsid w:val="FFFFFF7F"/>
    <w:multiLevelType w:val="singleLevel"/>
    <w:tmpl w:val="67F222CE"/>
    <w:lvl w:ilvl="0">
      <w:start w:val="1"/>
      <w:numFmt w:val="decimal"/>
      <w:lvlText w:val="%1."/>
      <w:lvlJc w:val="left"/>
      <w:pPr>
        <w:tabs>
          <w:tab w:val="num" w:pos="643"/>
        </w:tabs>
        <w:ind w:left="643" w:hanging="360"/>
      </w:pPr>
    </w:lvl>
  </w:abstractNum>
  <w:abstractNum w:abstractNumId="4">
    <w:nsid w:val="FFFFFF80"/>
    <w:multiLevelType w:val="singleLevel"/>
    <w:tmpl w:val="CF9C30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E865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7C38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DA5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189F94"/>
    <w:lvl w:ilvl="0">
      <w:start w:val="1"/>
      <w:numFmt w:val="decimal"/>
      <w:lvlText w:val="%1."/>
      <w:lvlJc w:val="left"/>
      <w:pPr>
        <w:tabs>
          <w:tab w:val="num" w:pos="360"/>
        </w:tabs>
        <w:ind w:left="360" w:hanging="360"/>
      </w:pPr>
    </w:lvl>
  </w:abstractNum>
  <w:abstractNum w:abstractNumId="9">
    <w:nsid w:val="FFFFFF89"/>
    <w:multiLevelType w:val="singleLevel"/>
    <w:tmpl w:val="7CA09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723F20AB"/>
    <w:multiLevelType w:val="hybridMultilevel"/>
    <w:tmpl w:val="6E3EB4CC"/>
    <w:lvl w:ilvl="0" w:tplc="9C1C88FA">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40D"/>
    <w:rsid w:val="00016AC5"/>
    <w:rsid w:val="00054609"/>
    <w:rsid w:val="000A6F55"/>
    <w:rsid w:val="000E7579"/>
    <w:rsid w:val="000F41F2"/>
    <w:rsid w:val="001231AD"/>
    <w:rsid w:val="001450E6"/>
    <w:rsid w:val="00150465"/>
    <w:rsid w:val="00160540"/>
    <w:rsid w:val="001715BE"/>
    <w:rsid w:val="00192EEB"/>
    <w:rsid w:val="00197832"/>
    <w:rsid w:val="001A20FB"/>
    <w:rsid w:val="001B3867"/>
    <w:rsid w:val="001D72C5"/>
    <w:rsid w:val="001D7F8A"/>
    <w:rsid w:val="001E3FEB"/>
    <w:rsid w:val="001E4A02"/>
    <w:rsid w:val="00201F68"/>
    <w:rsid w:val="00225A8C"/>
    <w:rsid w:val="002626D4"/>
    <w:rsid w:val="002659F1"/>
    <w:rsid w:val="00265CD7"/>
    <w:rsid w:val="00287E79"/>
    <w:rsid w:val="002928F9"/>
    <w:rsid w:val="002A5D07"/>
    <w:rsid w:val="002D3F03"/>
    <w:rsid w:val="002E0D40"/>
    <w:rsid w:val="002E5B0C"/>
    <w:rsid w:val="00300D06"/>
    <w:rsid w:val="003016B7"/>
    <w:rsid w:val="00321E6D"/>
    <w:rsid w:val="0033040D"/>
    <w:rsid w:val="003515AA"/>
    <w:rsid w:val="00363366"/>
    <w:rsid w:val="00374106"/>
    <w:rsid w:val="003976D5"/>
    <w:rsid w:val="003C6DD5"/>
    <w:rsid w:val="003D6C68"/>
    <w:rsid w:val="004159D0"/>
    <w:rsid w:val="004306DD"/>
    <w:rsid w:val="00472145"/>
    <w:rsid w:val="00473673"/>
    <w:rsid w:val="00540389"/>
    <w:rsid w:val="00543D5E"/>
    <w:rsid w:val="00571F41"/>
    <w:rsid w:val="00593658"/>
    <w:rsid w:val="005B7447"/>
    <w:rsid w:val="005E5D1F"/>
    <w:rsid w:val="006034FC"/>
    <w:rsid w:val="00611D43"/>
    <w:rsid w:val="00612D48"/>
    <w:rsid w:val="00616B45"/>
    <w:rsid w:val="00624520"/>
    <w:rsid w:val="00630D9B"/>
    <w:rsid w:val="00631953"/>
    <w:rsid w:val="00635B83"/>
    <w:rsid w:val="006439EC"/>
    <w:rsid w:val="0065167E"/>
    <w:rsid w:val="00657120"/>
    <w:rsid w:val="00693E16"/>
    <w:rsid w:val="006B4590"/>
    <w:rsid w:val="006C340C"/>
    <w:rsid w:val="006D7B0B"/>
    <w:rsid w:val="006E6AE5"/>
    <w:rsid w:val="006F39E4"/>
    <w:rsid w:val="0070347C"/>
    <w:rsid w:val="007176C1"/>
    <w:rsid w:val="007231EF"/>
    <w:rsid w:val="0078670C"/>
    <w:rsid w:val="007F55CB"/>
    <w:rsid w:val="00844750"/>
    <w:rsid w:val="008B44C4"/>
    <w:rsid w:val="008D2259"/>
    <w:rsid w:val="008E7FAE"/>
    <w:rsid w:val="00911BF7"/>
    <w:rsid w:val="00977EC8"/>
    <w:rsid w:val="009C17F5"/>
    <w:rsid w:val="009D3A8C"/>
    <w:rsid w:val="009D6F78"/>
    <w:rsid w:val="009D77AA"/>
    <w:rsid w:val="009E639A"/>
    <w:rsid w:val="009E7956"/>
    <w:rsid w:val="009F7E43"/>
    <w:rsid w:val="00A13BE9"/>
    <w:rsid w:val="00A2492E"/>
    <w:rsid w:val="00A82B6C"/>
    <w:rsid w:val="00AA7E78"/>
    <w:rsid w:val="00AA7FE7"/>
    <w:rsid w:val="00AB3173"/>
    <w:rsid w:val="00AC01AA"/>
    <w:rsid w:val="00AC67A1"/>
    <w:rsid w:val="00AC7977"/>
    <w:rsid w:val="00AE352C"/>
    <w:rsid w:val="00B32E2D"/>
    <w:rsid w:val="00B61990"/>
    <w:rsid w:val="00BC53DD"/>
    <w:rsid w:val="00BF0556"/>
    <w:rsid w:val="00C03431"/>
    <w:rsid w:val="00C03FEB"/>
    <w:rsid w:val="00C261F8"/>
    <w:rsid w:val="00C33100"/>
    <w:rsid w:val="00C46D0B"/>
    <w:rsid w:val="00CD1A71"/>
    <w:rsid w:val="00CD1FBB"/>
    <w:rsid w:val="00CF58AD"/>
    <w:rsid w:val="00D016B5"/>
    <w:rsid w:val="00D034F1"/>
    <w:rsid w:val="00D27D5E"/>
    <w:rsid w:val="00D37345"/>
    <w:rsid w:val="00D5789E"/>
    <w:rsid w:val="00D64C39"/>
    <w:rsid w:val="00DC156C"/>
    <w:rsid w:val="00DD7728"/>
    <w:rsid w:val="00DE6D90"/>
    <w:rsid w:val="00DF002F"/>
    <w:rsid w:val="00E0244D"/>
    <w:rsid w:val="00E1753A"/>
    <w:rsid w:val="00E224F3"/>
    <w:rsid w:val="00E23A16"/>
    <w:rsid w:val="00E32BFC"/>
    <w:rsid w:val="00E42D5E"/>
    <w:rsid w:val="00E54D1E"/>
    <w:rsid w:val="00E81E94"/>
    <w:rsid w:val="00E82607"/>
    <w:rsid w:val="00EC5A42"/>
    <w:rsid w:val="00F10E89"/>
    <w:rsid w:val="00F2145B"/>
    <w:rsid w:val="00F63BC6"/>
    <w:rsid w:val="00F6624B"/>
    <w:rsid w:val="00F66856"/>
    <w:rsid w:val="00FA3E28"/>
    <w:rsid w:val="00FA5A79"/>
    <w:rsid w:val="00FB0BFE"/>
    <w:rsid w:val="00FB4C51"/>
    <w:rsid w:val="00FF1DBD"/>
    <w:rsid w:val="00FF7C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paragraph" w:customStyle="1" w:styleId="ParNoG">
    <w:name w:val="_ParNo_G"/>
    <w:basedOn w:val="SingleTxtG"/>
    <w:rsid w:val="009D6F78"/>
    <w:pPr>
      <w:numPr>
        <w:numId w:val="3"/>
      </w:numPr>
    </w:pPr>
  </w:style>
  <w:style w:type="character" w:customStyle="1" w:styleId="SingleTxtGCar">
    <w:name w:val="_ Single Txt_G Car"/>
    <w:basedOn w:val="DefaultParagraphFont"/>
    <w:link w:val="SingleTxtG"/>
    <w:rsid w:val="00A13BE9"/>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10</Pages>
  <Words>4609</Words>
  <Characters>25355</Characters>
  <Application>Microsoft Office Outlook</Application>
  <DocSecurity>4</DocSecurity>
  <Lines>422</Lines>
  <Paragraphs>141</Paragraphs>
  <ScaleCrop>false</ScaleCrop>
  <HeadingPairs>
    <vt:vector size="2" baseType="variant">
      <vt:variant>
        <vt:lpstr>Titre</vt:lpstr>
      </vt:variant>
      <vt:variant>
        <vt:i4>1</vt:i4>
      </vt:variant>
    </vt:vector>
  </HeadingPairs>
  <TitlesOfParts>
    <vt:vector size="1" baseType="lpstr">
      <vt:lpstr>CERD/C/KAZ/CO/6-7</vt:lpstr>
    </vt:vector>
  </TitlesOfParts>
  <Company>CSD</Company>
  <LinksUpToDate>false</LinksUpToDate>
  <CharactersWithSpaces>29823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CERD/C/KAZ/CO/6-7</dc:title>
  <dc:subject>final</dc:subject>
  <dc:creator>BEAUNEE</dc:creator>
  <cp:keywords/>
  <dc:description/>
  <cp:lastModifiedBy>BEAUNEE</cp:lastModifiedBy>
  <cp:revision>2</cp:revision>
  <cp:lastPrinted>2014-04-08T08:21:00Z</cp:lastPrinted>
  <dcterms:created xsi:type="dcterms:W3CDTF">2014-04-08T08:25:00Z</dcterms:created>
  <dcterms:modified xsi:type="dcterms:W3CDTF">2014-04-08T08:25:00Z</dcterms:modified>
</cp:coreProperties>
</file>