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3260"/>
        <w:gridCol w:w="141"/>
        <w:gridCol w:w="2127"/>
        <w:gridCol w:w="2835"/>
      </w:tblGrid>
      <w:tr w:rsidR="0084613B" w:rsidTr="00D76358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4613B" w:rsidRPr="00B97172" w:rsidRDefault="0084613B" w:rsidP="00D76358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4613B" w:rsidRPr="00EA2819" w:rsidRDefault="0084613B" w:rsidP="00D76358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4613B" w:rsidRPr="00414448" w:rsidRDefault="0084613B" w:rsidP="00D76358">
            <w:pPr>
              <w:spacing w:after="80"/>
              <w:jc w:val="right"/>
              <w:rPr>
                <w:lang w:val="en-US"/>
              </w:rPr>
            </w:pPr>
            <w:r w:rsidRPr="000B4B07">
              <w:rPr>
                <w:sz w:val="40"/>
                <w:szCs w:val="40"/>
                <w:lang w:val="en-US"/>
              </w:rPr>
              <w:t>CCPR</w:t>
            </w:r>
            <w:r>
              <w:rPr>
                <w:lang w:val="en-US"/>
              </w:rPr>
              <w:t>/</w:t>
            </w:r>
            <w:fldSimple w:instr=" FILLIN  &quot;Введите часть символа после CCPR/&quot;  \* MERGEFORMAT ">
              <w:r w:rsidR="009407C6">
                <w:t>C/GTM/CO/3</w:t>
              </w:r>
            </w:fldSimple>
          </w:p>
        </w:tc>
      </w:tr>
      <w:tr w:rsidR="0084613B" w:rsidRPr="002C048B" w:rsidTr="00D7635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4613B" w:rsidRPr="0084613B" w:rsidRDefault="0084613B" w:rsidP="00D76358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84613B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br/>
              <w:t>о гражданских и политических 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0"/>
          </w:p>
          <w:p w:rsidR="0084613B" w:rsidRDefault="0084613B" w:rsidP="00D76358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дату документа" \* MERGEFORMAT </w:instrText>
            </w:r>
            <w:r w:rsidR="009407C6">
              <w:rPr>
                <w:lang w:val="en-US"/>
              </w:rPr>
              <w:fldChar w:fldCharType="separate"/>
            </w:r>
            <w:r w:rsidR="009407C6">
              <w:rPr>
                <w:lang w:val="en-US"/>
              </w:rPr>
              <w:t>19 April 2012</w:t>
            </w:r>
            <w:r>
              <w:rPr>
                <w:lang w:val="en-US"/>
              </w:rPr>
              <w:fldChar w:fldCharType="end"/>
            </w:r>
          </w:p>
          <w:p w:rsidR="0084613B" w:rsidRDefault="0084613B" w:rsidP="00D76358">
            <w:r>
              <w:rPr>
                <w:lang w:val="en-US"/>
              </w:rPr>
              <w:t>Russian</w:t>
            </w:r>
          </w:p>
          <w:p w:rsidR="0084613B" w:rsidRDefault="0084613B" w:rsidP="00D76358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2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1"/>
          </w:p>
          <w:p w:rsidR="0084613B" w:rsidRPr="002C048B" w:rsidRDefault="0084613B" w:rsidP="00D76358"/>
        </w:tc>
      </w:tr>
    </w:tbl>
    <w:p w:rsidR="009407C6" w:rsidRPr="00A666C0" w:rsidRDefault="009407C6" w:rsidP="009407C6">
      <w:pPr>
        <w:spacing w:before="120"/>
        <w:rPr>
          <w:b/>
          <w:sz w:val="24"/>
        </w:rPr>
      </w:pPr>
      <w:r w:rsidRPr="00A666C0">
        <w:rPr>
          <w:b/>
          <w:sz w:val="24"/>
        </w:rPr>
        <w:t>Комитет по правам человека</w:t>
      </w:r>
    </w:p>
    <w:p w:rsidR="009407C6" w:rsidRPr="009407C6" w:rsidRDefault="009407C6" w:rsidP="009407C6">
      <w:pPr>
        <w:rPr>
          <w:b/>
        </w:rPr>
      </w:pPr>
      <w:r w:rsidRPr="009407C6">
        <w:rPr>
          <w:b/>
        </w:rPr>
        <w:t>Сто четвертая сессия</w:t>
      </w:r>
    </w:p>
    <w:p w:rsidR="009407C6" w:rsidRPr="009407C6" w:rsidRDefault="009407C6" w:rsidP="009407C6">
      <w:r w:rsidRPr="009407C6">
        <w:t>Нью-Йорк, 12−30 марта 2012 года</w:t>
      </w:r>
    </w:p>
    <w:p w:rsidR="009407C6" w:rsidRPr="00A666C0" w:rsidRDefault="00450F9D" w:rsidP="00450F9D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="009407C6" w:rsidRPr="00A666C0">
        <w:t>Рассмотрение периодических докладов, представленных государствами-участниками в</w:t>
      </w:r>
      <w:r w:rsidR="009E371D">
        <w:t> </w:t>
      </w:r>
      <w:r w:rsidR="009407C6" w:rsidRPr="00A666C0">
        <w:t>соответствии со статьей 40 Пакта</w:t>
      </w:r>
    </w:p>
    <w:p w:rsidR="009407C6" w:rsidRPr="00A666C0" w:rsidRDefault="00450F9D" w:rsidP="00450F9D">
      <w:pPr>
        <w:pStyle w:val="H1GR"/>
      </w:pPr>
      <w:r w:rsidRPr="009E371D">
        <w:tab/>
      </w:r>
      <w:r w:rsidRPr="009E371D">
        <w:tab/>
      </w:r>
      <w:r w:rsidR="009407C6" w:rsidRPr="00A666C0">
        <w:t>Заключительные замечания Комитета по правам человека</w:t>
      </w:r>
    </w:p>
    <w:p w:rsidR="009407C6" w:rsidRPr="00A666C0" w:rsidRDefault="00450F9D" w:rsidP="00450F9D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="009407C6" w:rsidRPr="00A666C0">
        <w:t>Гватемала</w:t>
      </w:r>
    </w:p>
    <w:p w:rsidR="009407C6" w:rsidRDefault="009407C6" w:rsidP="00450F9D">
      <w:pPr>
        <w:pStyle w:val="SingleTxtGR"/>
      </w:pPr>
      <w:r>
        <w:t>1.</w:t>
      </w:r>
      <w:r>
        <w:tab/>
        <w:t>Комитет по правам человека рассмотрел третий периодический доклад Гватем</w:t>
      </w:r>
      <w:r>
        <w:t>а</w:t>
      </w:r>
      <w:r>
        <w:t xml:space="preserve">лы </w:t>
      </w:r>
      <w:r w:rsidRPr="00F75303">
        <w:t>(</w:t>
      </w:r>
      <w:r w:rsidRPr="00F75303">
        <w:rPr>
          <w:lang w:val="en-GB"/>
        </w:rPr>
        <w:t>CCPR</w:t>
      </w:r>
      <w:r w:rsidRPr="00F75303">
        <w:t>/</w:t>
      </w:r>
      <w:r w:rsidRPr="00F75303">
        <w:rPr>
          <w:lang w:val="en-GB"/>
        </w:rPr>
        <w:t>C</w:t>
      </w:r>
      <w:r w:rsidRPr="00F75303">
        <w:t>/</w:t>
      </w:r>
      <w:r w:rsidRPr="00F75303">
        <w:rPr>
          <w:lang w:val="en-GB"/>
        </w:rPr>
        <w:t>GTM</w:t>
      </w:r>
      <w:r w:rsidRPr="00F75303">
        <w:t xml:space="preserve">/3) </w:t>
      </w:r>
      <w:r>
        <w:t>на своих</w:t>
      </w:r>
      <w:r w:rsidRPr="00F75303">
        <w:t xml:space="preserve"> 2874</w:t>
      </w:r>
      <w:r>
        <w:t>-м</w:t>
      </w:r>
      <w:r w:rsidRPr="00F75303">
        <w:t xml:space="preserve"> </w:t>
      </w:r>
      <w:r>
        <w:t>и</w:t>
      </w:r>
      <w:r w:rsidRPr="00F75303">
        <w:t xml:space="preserve"> 2875</w:t>
      </w:r>
      <w:r>
        <w:t>-м</w:t>
      </w:r>
      <w:r w:rsidRPr="00F75303">
        <w:t xml:space="preserve"> </w:t>
      </w:r>
      <w:r>
        <w:t>заседаниях</w:t>
      </w:r>
      <w:r w:rsidRPr="00F75303">
        <w:t xml:space="preserve"> (</w:t>
      </w:r>
      <w:r w:rsidRPr="00F75303">
        <w:rPr>
          <w:lang w:val="en-GB"/>
        </w:rPr>
        <w:t>CCPR</w:t>
      </w:r>
      <w:r w:rsidRPr="00F75303">
        <w:t>/</w:t>
      </w:r>
      <w:r w:rsidRPr="00F75303">
        <w:rPr>
          <w:lang w:val="en-GB"/>
        </w:rPr>
        <w:t>C</w:t>
      </w:r>
      <w:r w:rsidRPr="00F75303">
        <w:t>/</w:t>
      </w:r>
      <w:r w:rsidRPr="00F75303">
        <w:rPr>
          <w:lang w:val="en-GB"/>
        </w:rPr>
        <w:t>SR</w:t>
      </w:r>
      <w:r w:rsidRPr="00F75303">
        <w:t xml:space="preserve">.2874 </w:t>
      </w:r>
      <w:r>
        <w:t>и</w:t>
      </w:r>
      <w:r w:rsidRPr="00F75303">
        <w:t xml:space="preserve"> 2875), </w:t>
      </w:r>
      <w:r>
        <w:t>с</w:t>
      </w:r>
      <w:r>
        <w:t>о</w:t>
      </w:r>
      <w:r>
        <w:t>стоявшихся 19 и 20 марта 2012 года. На своих</w:t>
      </w:r>
      <w:r w:rsidRPr="00F75303">
        <w:t xml:space="preserve"> </w:t>
      </w:r>
      <w:r w:rsidRPr="00AE74EC">
        <w:t>2887</w:t>
      </w:r>
      <w:r>
        <w:t>-м и</w:t>
      </w:r>
      <w:r w:rsidRPr="00AE74EC">
        <w:t xml:space="preserve"> 2888</w:t>
      </w:r>
      <w:r>
        <w:t>-м заседаниях</w:t>
      </w:r>
      <w:r w:rsidRPr="00AE74EC">
        <w:t xml:space="preserve"> (</w:t>
      </w:r>
      <w:r w:rsidRPr="00F75303">
        <w:rPr>
          <w:lang w:val="en-GB"/>
        </w:rPr>
        <w:t>CCPR</w:t>
      </w:r>
      <w:r w:rsidRPr="00AE74EC">
        <w:t>/</w:t>
      </w:r>
      <w:r w:rsidRPr="00F75303">
        <w:rPr>
          <w:lang w:val="en-GB"/>
        </w:rPr>
        <w:t>C</w:t>
      </w:r>
      <w:r w:rsidRPr="00AE74EC">
        <w:t>/</w:t>
      </w:r>
      <w:r w:rsidRPr="00F75303">
        <w:rPr>
          <w:lang w:val="en-GB"/>
        </w:rPr>
        <w:t>SR</w:t>
      </w:r>
      <w:r w:rsidRPr="00AE74EC">
        <w:t xml:space="preserve">.2887 </w:t>
      </w:r>
      <w:r>
        <w:t>и</w:t>
      </w:r>
      <w:r w:rsidRPr="00AE74EC">
        <w:t xml:space="preserve"> 2888),</w:t>
      </w:r>
      <w:r>
        <w:t xml:space="preserve"> состоявшихся 28 марта 2012 года, Комитет утвердил сл</w:t>
      </w:r>
      <w:r>
        <w:t>е</w:t>
      </w:r>
      <w:r>
        <w:t>дующие заключительные замечания.</w:t>
      </w:r>
    </w:p>
    <w:p w:rsidR="009407C6" w:rsidRPr="00450F9D" w:rsidRDefault="00450F9D" w:rsidP="00450F9D">
      <w:pPr>
        <w:pStyle w:val="H1GR"/>
      </w:pPr>
      <w:r>
        <w:rPr>
          <w:lang w:val="en-US"/>
        </w:rPr>
        <w:tab/>
      </w:r>
      <w:r w:rsidR="009407C6" w:rsidRPr="00450F9D">
        <w:t>А.</w:t>
      </w:r>
      <w:r w:rsidR="009407C6" w:rsidRPr="00450F9D">
        <w:tab/>
        <w:t>Введение</w:t>
      </w:r>
    </w:p>
    <w:p w:rsidR="009407C6" w:rsidRDefault="009407C6" w:rsidP="00450F9D">
      <w:pPr>
        <w:pStyle w:val="SingleTxtGR"/>
      </w:pPr>
      <w:r>
        <w:t>2.</w:t>
      </w:r>
      <w:r>
        <w:tab/>
        <w:t>Комитет с удовлетворением принимает к сведению третий периодический доклад Гватемалы и содержащуюся в нем информацию. Он выражает призн</w:t>
      </w:r>
      <w:r>
        <w:t>а</w:t>
      </w:r>
      <w:r>
        <w:t xml:space="preserve">тельность за возможность возобновить конструктивный диалог с делегацией государства-участника в отношении мер, принятых </w:t>
      </w:r>
      <w:r w:rsidR="00BF25C2">
        <w:t>им</w:t>
      </w:r>
      <w:r>
        <w:t xml:space="preserve"> в отчетный период по применению положений Пакта. Комитет выражает признательность государс</w:t>
      </w:r>
      <w:r>
        <w:t>т</w:t>
      </w:r>
      <w:r>
        <w:t>ву-участнику за представленные им письменные ответы (</w:t>
      </w:r>
      <w:r w:rsidRPr="00DC446A">
        <w:rPr>
          <w:lang w:val="en-GB"/>
        </w:rPr>
        <w:t>CCPR</w:t>
      </w:r>
      <w:r w:rsidRPr="00DC446A">
        <w:t>/</w:t>
      </w:r>
      <w:r w:rsidRPr="00DC446A">
        <w:rPr>
          <w:lang w:val="en-GB"/>
        </w:rPr>
        <w:t>C</w:t>
      </w:r>
      <w:r w:rsidRPr="00DC446A">
        <w:t>/</w:t>
      </w:r>
      <w:r w:rsidRPr="00DC446A">
        <w:rPr>
          <w:lang w:val="en-GB"/>
        </w:rPr>
        <w:t>GTM</w:t>
      </w:r>
      <w:r w:rsidRPr="00DC446A">
        <w:t>/</w:t>
      </w:r>
      <w:r w:rsidRPr="00DC446A">
        <w:rPr>
          <w:lang w:val="en-GB"/>
        </w:rPr>
        <w:t>Q</w:t>
      </w:r>
      <w:r w:rsidRPr="00DC446A">
        <w:t>/3/</w:t>
      </w:r>
      <w:r w:rsidR="00B861A4">
        <w:t xml:space="preserve"> </w:t>
      </w:r>
      <w:r w:rsidRPr="00DC446A">
        <w:rPr>
          <w:lang w:val="en-GB"/>
        </w:rPr>
        <w:t>Add</w:t>
      </w:r>
      <w:r w:rsidRPr="00DC446A">
        <w:t xml:space="preserve">.1) </w:t>
      </w:r>
      <w:r>
        <w:t>по перечню вопросов</w:t>
      </w:r>
      <w:r w:rsidRPr="00DC446A">
        <w:t xml:space="preserve"> (</w:t>
      </w:r>
      <w:r w:rsidRPr="00DC446A">
        <w:rPr>
          <w:lang w:val="en-GB"/>
        </w:rPr>
        <w:t>CCPR</w:t>
      </w:r>
      <w:r w:rsidRPr="00DC446A">
        <w:t>/</w:t>
      </w:r>
      <w:r w:rsidRPr="00DC446A">
        <w:rPr>
          <w:lang w:val="en-GB"/>
        </w:rPr>
        <w:t>C</w:t>
      </w:r>
      <w:r w:rsidRPr="00DC446A">
        <w:t>/</w:t>
      </w:r>
      <w:r w:rsidRPr="00DC446A">
        <w:rPr>
          <w:lang w:val="en-GB"/>
        </w:rPr>
        <w:t>GTM</w:t>
      </w:r>
      <w:r w:rsidRPr="00DC446A">
        <w:t>/</w:t>
      </w:r>
      <w:r w:rsidRPr="00DC446A">
        <w:rPr>
          <w:lang w:val="en-GB"/>
        </w:rPr>
        <w:t>Q</w:t>
      </w:r>
      <w:r>
        <w:t>/3), дополненные устными отв</w:t>
      </w:r>
      <w:r>
        <w:t>е</w:t>
      </w:r>
      <w:r>
        <w:t xml:space="preserve">тами делегации, а также </w:t>
      </w:r>
      <w:r w:rsidR="00B861A4">
        <w:t>новой</w:t>
      </w:r>
      <w:r>
        <w:t xml:space="preserve"> информацией, представленной в письменном виде.</w:t>
      </w:r>
    </w:p>
    <w:p w:rsidR="009407C6" w:rsidRPr="00450F9D" w:rsidRDefault="00B861A4" w:rsidP="00450F9D">
      <w:pPr>
        <w:pStyle w:val="H1GR"/>
      </w:pPr>
      <w:r>
        <w:tab/>
      </w:r>
      <w:r w:rsidR="009407C6" w:rsidRPr="00450F9D">
        <w:t>В.</w:t>
      </w:r>
      <w:r w:rsidR="009407C6" w:rsidRPr="00450F9D">
        <w:tab/>
        <w:t>Позитивные аспекты</w:t>
      </w:r>
    </w:p>
    <w:p w:rsidR="009407C6" w:rsidRDefault="009407C6" w:rsidP="00450F9D">
      <w:pPr>
        <w:pStyle w:val="SingleTxtGR"/>
      </w:pPr>
      <w:r>
        <w:t>3.</w:t>
      </w:r>
      <w:r>
        <w:tab/>
        <w:t>Комитет с удовлетворением отмечает ратификацию Римского статута в</w:t>
      </w:r>
      <w:r w:rsidR="009E371D">
        <w:t> </w:t>
      </w:r>
      <w:r>
        <w:t>январе 2012 года.</w:t>
      </w:r>
    </w:p>
    <w:p w:rsidR="009407C6" w:rsidRDefault="009407C6" w:rsidP="00450F9D">
      <w:pPr>
        <w:pStyle w:val="SingleTxtGR"/>
      </w:pPr>
      <w:r>
        <w:t>4.</w:t>
      </w:r>
      <w:r>
        <w:tab/>
        <w:t>Комитет также приветствует:</w:t>
      </w:r>
    </w:p>
    <w:p w:rsidR="009407C6" w:rsidRDefault="009407C6" w:rsidP="00450F9D">
      <w:pPr>
        <w:pStyle w:val="SingleTxtGR"/>
      </w:pPr>
      <w:r>
        <w:tab/>
        <w:t>а)</w:t>
      </w:r>
      <w:r>
        <w:tab/>
        <w:t xml:space="preserve">принятие </w:t>
      </w:r>
      <w:r w:rsidR="00B861A4">
        <w:t>з</w:t>
      </w:r>
      <w:r>
        <w:t>акона об уголовно</w:t>
      </w:r>
      <w:r w:rsidR="00B861A4">
        <w:t>-</w:t>
      </w:r>
      <w:r>
        <w:t>исполнительной системе и закона о</w:t>
      </w:r>
      <w:r w:rsidR="009E371D">
        <w:t> </w:t>
      </w:r>
      <w:r>
        <w:t>порядке ее осуществления;</w:t>
      </w:r>
    </w:p>
    <w:p w:rsidR="009407C6" w:rsidRDefault="009407C6" w:rsidP="00450F9D">
      <w:pPr>
        <w:pStyle w:val="SingleTxtGR"/>
      </w:pPr>
      <w:r>
        <w:tab/>
      </w:r>
      <w:r>
        <w:rPr>
          <w:lang w:val="en-US"/>
        </w:rPr>
        <w:t>b</w:t>
      </w:r>
      <w:r w:rsidRPr="00463109">
        <w:t>)</w:t>
      </w:r>
      <w:r>
        <w:tab/>
        <w:t xml:space="preserve">принятие </w:t>
      </w:r>
      <w:r w:rsidR="003443F9">
        <w:t>з</w:t>
      </w:r>
      <w:r>
        <w:t>акона против женоубийства и других форм насилия в о</w:t>
      </w:r>
      <w:r>
        <w:t>т</w:t>
      </w:r>
      <w:r>
        <w:t xml:space="preserve">ношении женщин, </w:t>
      </w:r>
      <w:r w:rsidR="003443F9">
        <w:t>д</w:t>
      </w:r>
      <w:r>
        <w:t xml:space="preserve">екрет № 22-2008; а также утверждение </w:t>
      </w:r>
      <w:r w:rsidR="003443F9">
        <w:t>з</w:t>
      </w:r>
      <w:r>
        <w:t>акона против се</w:t>
      </w:r>
      <w:r>
        <w:t>к</w:t>
      </w:r>
      <w:r>
        <w:t xml:space="preserve">суального насилия, эксплуатации и торговли людьми, </w:t>
      </w:r>
      <w:r w:rsidR="003443F9">
        <w:t>д</w:t>
      </w:r>
      <w:r>
        <w:t xml:space="preserve">екрет № 9-2009 </w:t>
      </w:r>
      <w:r w:rsidR="003443F9">
        <w:t>к</w:t>
      </w:r>
      <w:r>
        <w:t>онгре</w:t>
      </w:r>
      <w:r>
        <w:t>с</w:t>
      </w:r>
      <w:r>
        <w:t>са Республики Гватемала;</w:t>
      </w:r>
    </w:p>
    <w:p w:rsidR="009407C6" w:rsidRDefault="009407C6" w:rsidP="00450F9D">
      <w:pPr>
        <w:pStyle w:val="SingleTxtGR"/>
      </w:pPr>
      <w:r>
        <w:tab/>
        <w:t>с)</w:t>
      </w:r>
      <w:r>
        <w:tab/>
        <w:t xml:space="preserve">подписание </w:t>
      </w:r>
      <w:r w:rsidR="003443F9">
        <w:t>Соглашения</w:t>
      </w:r>
      <w:r>
        <w:t xml:space="preserve"> о двустороннем сотрудничестве между </w:t>
      </w:r>
      <w:r w:rsidR="003443F9">
        <w:t>г</w:t>
      </w:r>
      <w:r>
        <w:t>ватемальским государством и Международной комиссией против безнаказа</w:t>
      </w:r>
      <w:r>
        <w:t>н</w:t>
      </w:r>
      <w:r>
        <w:t>ности в Гватемале (МКПБГ), предусматривающего содействие и активизацию расследований нарушений прав человека и преступлений, совершенных орг</w:t>
      </w:r>
      <w:r>
        <w:t>а</w:t>
      </w:r>
      <w:r>
        <w:t>низова</w:t>
      </w:r>
      <w:r>
        <w:t>н</w:t>
      </w:r>
      <w:r>
        <w:t>ной преступностью.</w:t>
      </w:r>
    </w:p>
    <w:p w:rsidR="009407C6" w:rsidRPr="00462168" w:rsidRDefault="003443F9" w:rsidP="00450F9D">
      <w:pPr>
        <w:pStyle w:val="H1GR"/>
      </w:pPr>
      <w:r>
        <w:tab/>
      </w:r>
      <w:r w:rsidR="009407C6" w:rsidRPr="00462168">
        <w:t>С.</w:t>
      </w:r>
      <w:r w:rsidR="009407C6" w:rsidRPr="00462168">
        <w:tab/>
        <w:t>Основные проблемы, вызывающие озабоченность, и рекомендации</w:t>
      </w:r>
    </w:p>
    <w:p w:rsidR="009407C6" w:rsidRDefault="009407C6" w:rsidP="00450F9D">
      <w:pPr>
        <w:pStyle w:val="SingleTxtGR"/>
      </w:pPr>
      <w:r>
        <w:t>5.</w:t>
      </w:r>
      <w:r>
        <w:tab/>
        <w:t>Комитет озабочен очевидно низким уровнем информированности насел</w:t>
      </w:r>
      <w:r>
        <w:t>е</w:t>
      </w:r>
      <w:r>
        <w:t>ния</w:t>
      </w:r>
      <w:r w:rsidR="003443F9">
        <w:t>,</w:t>
      </w:r>
      <w:r>
        <w:t xml:space="preserve"> судебных работников и юристов о положениях Пакта, вследствие чего н</w:t>
      </w:r>
      <w:r>
        <w:t>е</w:t>
      </w:r>
      <w:r>
        <w:t>велико число судебных дел, в которых были сделаны ссылки на Пакт или в к</w:t>
      </w:r>
      <w:r>
        <w:t>о</w:t>
      </w:r>
      <w:r>
        <w:t>торых он применялся (статья 2).</w:t>
      </w:r>
    </w:p>
    <w:p w:rsidR="009407C6" w:rsidRDefault="009407C6" w:rsidP="00450F9D">
      <w:pPr>
        <w:pStyle w:val="SingleTxtGR"/>
        <w:rPr>
          <w:b/>
        </w:rPr>
      </w:pPr>
      <w:r>
        <w:rPr>
          <w:b/>
        </w:rPr>
        <w:t>Государство-участник должно гарантировать неукоснительное с</w:t>
      </w:r>
      <w:r>
        <w:rPr>
          <w:b/>
        </w:rPr>
        <w:t>о</w:t>
      </w:r>
      <w:r>
        <w:rPr>
          <w:b/>
        </w:rPr>
        <w:t>блюдение в законодательстве страны обязательств, налагаемых на него Пактом. С этой целью государство должно информировать судей и судебных работн</w:t>
      </w:r>
      <w:r>
        <w:rPr>
          <w:b/>
        </w:rPr>
        <w:t>и</w:t>
      </w:r>
      <w:r>
        <w:rPr>
          <w:b/>
        </w:rPr>
        <w:t xml:space="preserve">ков и население </w:t>
      </w:r>
      <w:r w:rsidR="00E60B13">
        <w:rPr>
          <w:b/>
        </w:rPr>
        <w:t xml:space="preserve">о </w:t>
      </w:r>
      <w:r>
        <w:rPr>
          <w:b/>
        </w:rPr>
        <w:t>прав</w:t>
      </w:r>
      <w:r w:rsidR="00E60B13">
        <w:rPr>
          <w:b/>
        </w:rPr>
        <w:t>ах</w:t>
      </w:r>
      <w:r>
        <w:rPr>
          <w:b/>
        </w:rPr>
        <w:t>, провозглашенных в Пакте, и их применимости во внутригосударственном праве. В сво</w:t>
      </w:r>
      <w:r w:rsidR="00E60B13">
        <w:rPr>
          <w:b/>
        </w:rPr>
        <w:t>й</w:t>
      </w:r>
      <w:r>
        <w:rPr>
          <w:b/>
        </w:rPr>
        <w:t xml:space="preserve"> следующ</w:t>
      </w:r>
      <w:r w:rsidR="00E60B13">
        <w:rPr>
          <w:b/>
        </w:rPr>
        <w:t>ий</w:t>
      </w:r>
      <w:r>
        <w:rPr>
          <w:b/>
        </w:rPr>
        <w:t xml:space="preserve"> периодическ</w:t>
      </w:r>
      <w:r w:rsidR="00E60B13">
        <w:rPr>
          <w:b/>
        </w:rPr>
        <w:t>ий</w:t>
      </w:r>
      <w:r>
        <w:rPr>
          <w:b/>
        </w:rPr>
        <w:t xml:space="preserve"> до</w:t>
      </w:r>
      <w:r>
        <w:rPr>
          <w:b/>
        </w:rPr>
        <w:t>к</w:t>
      </w:r>
      <w:r>
        <w:rPr>
          <w:b/>
        </w:rPr>
        <w:t>лад государству-участнику необходимо включить по</w:t>
      </w:r>
      <w:r>
        <w:rPr>
          <w:b/>
        </w:rPr>
        <w:t>д</w:t>
      </w:r>
      <w:r>
        <w:rPr>
          <w:b/>
        </w:rPr>
        <w:t>робную информацию о применении Пакта с</w:t>
      </w:r>
      <w:r>
        <w:rPr>
          <w:b/>
        </w:rPr>
        <w:t>у</w:t>
      </w:r>
      <w:r>
        <w:rPr>
          <w:b/>
        </w:rPr>
        <w:t>дами страны.</w:t>
      </w:r>
    </w:p>
    <w:p w:rsidR="009407C6" w:rsidRDefault="009407C6" w:rsidP="00450F9D">
      <w:pPr>
        <w:pStyle w:val="SingleTxtGR"/>
      </w:pPr>
      <w:r>
        <w:t>6.</w:t>
      </w:r>
      <w:r>
        <w:tab/>
        <w:t>Комитет приветствует успехи, достигнутые в ходе расследования, суде</w:t>
      </w:r>
      <w:r>
        <w:t>б</w:t>
      </w:r>
      <w:r>
        <w:t>ного разбирательства и наказания за геноцид и другие грубые нарушения прав человека, совершенные в ходе внутреннего вооруженного конфликта. Тем не менее Комитет озабочен высказываниями высокопоставленных представителей государственной власти в их личном качестве, которые ставят под сомнение и делегитимизируют эти усилия, а также по поводу отсутствия комплексной г</w:t>
      </w:r>
      <w:r>
        <w:t>о</w:t>
      </w:r>
      <w:r>
        <w:t>сударственной политики поддержки инициатив по расследованию и наказанию, осуществляемых в настоящее время. Комитет также выражает сожаление по поводу сохраняющихся недостатков в плане институционал</w:t>
      </w:r>
      <w:r>
        <w:t>ь</w:t>
      </w:r>
      <w:r>
        <w:t>ных возможностей судебных органов по</w:t>
      </w:r>
      <w:r w:rsidR="00E60B13">
        <w:t xml:space="preserve"> неукоснительному</w:t>
      </w:r>
      <w:r>
        <w:t xml:space="preserve"> выполнению своих функций надлеж</w:t>
      </w:r>
      <w:r>
        <w:t>а</w:t>
      </w:r>
      <w:r>
        <w:t>щим образом (статьи 2 и 14).</w:t>
      </w:r>
    </w:p>
    <w:p w:rsidR="009407C6" w:rsidRDefault="009407C6" w:rsidP="00450F9D">
      <w:pPr>
        <w:pStyle w:val="SingleTxtGR"/>
        <w:rPr>
          <w:b/>
        </w:rPr>
      </w:pPr>
      <w:r>
        <w:rPr>
          <w:b/>
        </w:rPr>
        <w:t>Государству-участнику необходимо занять четкую позицию поддер</w:t>
      </w:r>
      <w:r>
        <w:rPr>
          <w:b/>
        </w:rPr>
        <w:t>ж</w:t>
      </w:r>
      <w:r>
        <w:rPr>
          <w:b/>
        </w:rPr>
        <w:t xml:space="preserve">ки </w:t>
      </w:r>
      <w:r w:rsidR="00E60B13">
        <w:rPr>
          <w:b/>
        </w:rPr>
        <w:t>производства по</w:t>
      </w:r>
      <w:r>
        <w:rPr>
          <w:b/>
        </w:rPr>
        <w:t xml:space="preserve"> возбужденны</w:t>
      </w:r>
      <w:r w:rsidR="00E60B13">
        <w:rPr>
          <w:b/>
        </w:rPr>
        <w:t xml:space="preserve">м прокуратурой и судами </w:t>
      </w:r>
      <w:r>
        <w:rPr>
          <w:b/>
        </w:rPr>
        <w:t>дела</w:t>
      </w:r>
      <w:r w:rsidR="00E60B13">
        <w:rPr>
          <w:b/>
        </w:rPr>
        <w:t>м</w:t>
      </w:r>
      <w:r>
        <w:rPr>
          <w:b/>
        </w:rPr>
        <w:t xml:space="preserve"> о геноц</w:t>
      </w:r>
      <w:r>
        <w:rPr>
          <w:b/>
        </w:rPr>
        <w:t>и</w:t>
      </w:r>
      <w:r>
        <w:rPr>
          <w:b/>
        </w:rPr>
        <w:t>де и других грубых нарушениях прав человека, совершенных в ходе внутренн</w:t>
      </w:r>
      <w:r>
        <w:rPr>
          <w:b/>
        </w:rPr>
        <w:t>е</w:t>
      </w:r>
      <w:r>
        <w:rPr>
          <w:b/>
        </w:rPr>
        <w:t>го вооруженного конфликта. Государству-участнику также необходимо пр</w:t>
      </w:r>
      <w:r>
        <w:rPr>
          <w:b/>
        </w:rPr>
        <w:t>е</w:t>
      </w:r>
      <w:r>
        <w:rPr>
          <w:b/>
        </w:rPr>
        <w:t>доставить судебным и следственным органам все кадровые и материал</w:t>
      </w:r>
      <w:r>
        <w:rPr>
          <w:b/>
        </w:rPr>
        <w:t>ь</w:t>
      </w:r>
      <w:r>
        <w:rPr>
          <w:b/>
        </w:rPr>
        <w:t>ные ресурсы, необходимые для выполн</w:t>
      </w:r>
      <w:r w:rsidR="00E60B13">
        <w:rPr>
          <w:b/>
        </w:rPr>
        <w:t>ения ими</w:t>
      </w:r>
      <w:r w:rsidR="0047041D">
        <w:rPr>
          <w:b/>
        </w:rPr>
        <w:t xml:space="preserve"> своих</w:t>
      </w:r>
      <w:r>
        <w:rPr>
          <w:b/>
        </w:rPr>
        <w:t xml:space="preserve"> междунаро</w:t>
      </w:r>
      <w:r>
        <w:rPr>
          <w:b/>
        </w:rPr>
        <w:t>д</w:t>
      </w:r>
      <w:r>
        <w:rPr>
          <w:b/>
        </w:rPr>
        <w:t>ны</w:t>
      </w:r>
      <w:r w:rsidR="0047041D">
        <w:rPr>
          <w:b/>
        </w:rPr>
        <w:t>х</w:t>
      </w:r>
      <w:r>
        <w:rPr>
          <w:b/>
        </w:rPr>
        <w:t xml:space="preserve"> обязательств в области прав ч</w:t>
      </w:r>
      <w:r>
        <w:rPr>
          <w:b/>
        </w:rPr>
        <w:t>е</w:t>
      </w:r>
      <w:r>
        <w:rPr>
          <w:b/>
        </w:rPr>
        <w:t>ловека.</w:t>
      </w:r>
    </w:p>
    <w:p w:rsidR="009407C6" w:rsidRDefault="009407C6" w:rsidP="00450F9D">
      <w:pPr>
        <w:pStyle w:val="SingleTxtGR"/>
      </w:pPr>
      <w:r>
        <w:t>7.</w:t>
      </w:r>
      <w:r>
        <w:tab/>
        <w:t xml:space="preserve">Комитет обеспокоен тем, что меры по возмещению, принятые в рамках </w:t>
      </w:r>
      <w:r w:rsidR="00BF25C2">
        <w:t>Н</w:t>
      </w:r>
      <w:r>
        <w:t>ациональной программы компенсации,</w:t>
      </w:r>
      <w:r w:rsidR="0047041D">
        <w:t xml:space="preserve"> на практике</w:t>
      </w:r>
      <w:r>
        <w:t xml:space="preserve"> </w:t>
      </w:r>
      <w:r w:rsidR="0047041D">
        <w:t>большей частью пред</w:t>
      </w:r>
      <w:r w:rsidR="0047041D">
        <w:t>у</w:t>
      </w:r>
      <w:r w:rsidR="0047041D">
        <w:t xml:space="preserve">сматривали </w:t>
      </w:r>
      <w:r>
        <w:t>материальн</w:t>
      </w:r>
      <w:r w:rsidR="0047041D">
        <w:t xml:space="preserve">ое возмещение, </w:t>
      </w:r>
      <w:r>
        <w:t>в то время как психосоциально</w:t>
      </w:r>
      <w:r w:rsidR="0047041D">
        <w:t>му</w:t>
      </w:r>
      <w:r>
        <w:t xml:space="preserve"> с</w:t>
      </w:r>
      <w:r>
        <w:t>о</w:t>
      </w:r>
      <w:r>
        <w:t>провождени</w:t>
      </w:r>
      <w:r w:rsidR="0047041D">
        <w:t>ю и</w:t>
      </w:r>
      <w:r>
        <w:t xml:space="preserve"> восстанов</w:t>
      </w:r>
      <w:r w:rsidR="0047041D">
        <w:t>лению</w:t>
      </w:r>
      <w:r>
        <w:t xml:space="preserve"> достоинства и исторической памяти не </w:t>
      </w:r>
      <w:r w:rsidR="00B01848">
        <w:t>удел</w:t>
      </w:r>
      <w:r w:rsidR="00B01848">
        <w:t>я</w:t>
      </w:r>
      <w:r w:rsidR="00B01848">
        <w:t xml:space="preserve">лось </w:t>
      </w:r>
      <w:r>
        <w:t>достаточно</w:t>
      </w:r>
      <w:r w:rsidR="00B01848">
        <w:t>го</w:t>
      </w:r>
      <w:r>
        <w:t xml:space="preserve"> внимания (статья 2).</w:t>
      </w:r>
    </w:p>
    <w:p w:rsidR="009407C6" w:rsidRDefault="009407C6" w:rsidP="00450F9D">
      <w:pPr>
        <w:pStyle w:val="SingleTxtGR"/>
        <w:rPr>
          <w:b/>
        </w:rPr>
      </w:pPr>
      <w:r>
        <w:rPr>
          <w:b/>
        </w:rPr>
        <w:t>Государство-участник должно гарантировать систематическое удел</w:t>
      </w:r>
      <w:r>
        <w:rPr>
          <w:b/>
        </w:rPr>
        <w:t>е</w:t>
      </w:r>
      <w:r>
        <w:rPr>
          <w:b/>
        </w:rPr>
        <w:t>ние всестороннего внимания мерам возмещения</w:t>
      </w:r>
      <w:r w:rsidR="00B01848">
        <w:rPr>
          <w:b/>
        </w:rPr>
        <w:t>,</w:t>
      </w:r>
      <w:r>
        <w:rPr>
          <w:b/>
        </w:rPr>
        <w:t xml:space="preserve"> принимаемы</w:t>
      </w:r>
      <w:r w:rsidR="00B01848">
        <w:rPr>
          <w:b/>
        </w:rPr>
        <w:t>м</w:t>
      </w:r>
      <w:r>
        <w:rPr>
          <w:b/>
        </w:rPr>
        <w:t xml:space="preserve"> в рамках </w:t>
      </w:r>
      <w:r w:rsidR="00B01848">
        <w:rPr>
          <w:b/>
        </w:rPr>
        <w:t>Н</w:t>
      </w:r>
      <w:r>
        <w:rPr>
          <w:b/>
        </w:rPr>
        <w:t>а</w:t>
      </w:r>
      <w:r>
        <w:rPr>
          <w:b/>
        </w:rPr>
        <w:t>циональной программы компенсации</w:t>
      </w:r>
      <w:r w:rsidR="00B01848">
        <w:rPr>
          <w:b/>
        </w:rPr>
        <w:t>,</w:t>
      </w:r>
      <w:r>
        <w:rPr>
          <w:b/>
        </w:rPr>
        <w:t xml:space="preserve"> с учетом культурных и языковых факторов и при нацеленности на психосоциальное сопровождение и во</w:t>
      </w:r>
      <w:r>
        <w:rPr>
          <w:b/>
        </w:rPr>
        <w:t>с</w:t>
      </w:r>
      <w:r>
        <w:rPr>
          <w:b/>
        </w:rPr>
        <w:t>становление достоинства и исторической памяти. Для этого государс</w:t>
      </w:r>
      <w:r>
        <w:rPr>
          <w:b/>
        </w:rPr>
        <w:t>т</w:t>
      </w:r>
      <w:r>
        <w:rPr>
          <w:b/>
        </w:rPr>
        <w:t>ву-участнику необходимо создать механизмы координации и взаимодействия со специализированными структурами в этой области, а также предост</w:t>
      </w:r>
      <w:r>
        <w:rPr>
          <w:b/>
        </w:rPr>
        <w:t>а</w:t>
      </w:r>
      <w:r>
        <w:rPr>
          <w:b/>
        </w:rPr>
        <w:t>вить учреждениям, принимающим участие в осуществлении мер возмещ</w:t>
      </w:r>
      <w:r>
        <w:rPr>
          <w:b/>
        </w:rPr>
        <w:t>е</w:t>
      </w:r>
      <w:r>
        <w:rPr>
          <w:b/>
        </w:rPr>
        <w:t>ния, необходимых специалистов и ресурс</w:t>
      </w:r>
      <w:r w:rsidR="00BF25C2">
        <w:rPr>
          <w:b/>
        </w:rPr>
        <w:t>ы</w:t>
      </w:r>
      <w:r>
        <w:rPr>
          <w:b/>
        </w:rPr>
        <w:t xml:space="preserve"> для выполнения теми своих функций по всей стране.</w:t>
      </w:r>
    </w:p>
    <w:p w:rsidR="009407C6" w:rsidRDefault="009407C6" w:rsidP="00450F9D">
      <w:pPr>
        <w:pStyle w:val="SingleTxtGR"/>
      </w:pPr>
      <w:r>
        <w:t>8.</w:t>
      </w:r>
      <w:r>
        <w:tab/>
        <w:t xml:space="preserve">Комитет по-прежнему обеспокоен низким уровнем представленности женщин в конгрессе и на </w:t>
      </w:r>
      <w:r w:rsidR="00B01848">
        <w:t xml:space="preserve">ответственных </w:t>
      </w:r>
      <w:r>
        <w:t>должностях в государственном и час</w:t>
      </w:r>
      <w:r>
        <w:t>т</w:t>
      </w:r>
      <w:r>
        <w:t>ном секторе. Комитет вновь выражает обеспокоенность ситуацией особой уя</w:t>
      </w:r>
      <w:r>
        <w:t>з</w:t>
      </w:r>
      <w:r>
        <w:t>вимости и большими масштабами расовой, социальной и гендерной дискрим</w:t>
      </w:r>
      <w:r>
        <w:t>и</w:t>
      </w:r>
      <w:r>
        <w:t>нации</w:t>
      </w:r>
      <w:r w:rsidR="009E371D">
        <w:t xml:space="preserve"> женщин</w:t>
      </w:r>
      <w:r>
        <w:t>, принадлежащи</w:t>
      </w:r>
      <w:r w:rsidR="009E371D">
        <w:t>х</w:t>
      </w:r>
      <w:r>
        <w:t xml:space="preserve"> к коренным народам и имеющи</w:t>
      </w:r>
      <w:r w:rsidR="009E371D">
        <w:t>х</w:t>
      </w:r>
      <w:r>
        <w:t xml:space="preserve"> африканское происхождение, несмотря на оф</w:t>
      </w:r>
      <w:r>
        <w:t>и</w:t>
      </w:r>
      <w:r>
        <w:t>циальное признание их прав и наличие целого ряда учреждений и программ, нацеленных на улучшение их положения (ст</w:t>
      </w:r>
      <w:r>
        <w:t>а</w:t>
      </w:r>
      <w:r>
        <w:t>тьи</w:t>
      </w:r>
      <w:r w:rsidR="009E371D">
        <w:t> </w:t>
      </w:r>
      <w:r>
        <w:t>3, 25 и 26).</w:t>
      </w:r>
    </w:p>
    <w:p w:rsidR="00466F2C" w:rsidRPr="00D4123D" w:rsidRDefault="00466F2C" w:rsidP="001200A0">
      <w:pPr>
        <w:pStyle w:val="SingleTxtGR"/>
        <w:rPr>
          <w:b/>
        </w:rPr>
      </w:pPr>
      <w:r w:rsidRPr="00D4123D">
        <w:rPr>
          <w:b/>
        </w:rPr>
        <w:t>Государство-участник должно принять и применять законодательство о равенстве между мужчинами и женщинами, официально признав таким образом ос</w:t>
      </w:r>
      <w:r w:rsidRPr="00D4123D">
        <w:rPr>
          <w:b/>
        </w:rPr>
        <w:t>о</w:t>
      </w:r>
      <w:r w:rsidRPr="00D4123D">
        <w:rPr>
          <w:b/>
        </w:rPr>
        <w:t>бый характер дискриминации женщин и надлежащим образом изживая ее. Г</w:t>
      </w:r>
      <w:r w:rsidRPr="00D4123D">
        <w:rPr>
          <w:b/>
        </w:rPr>
        <w:t>о</w:t>
      </w:r>
      <w:r w:rsidRPr="00D4123D">
        <w:rPr>
          <w:b/>
        </w:rPr>
        <w:t>сударству-участнику необходимо продумать дополнительные меры по обеспечению реального гендерного равенства, включая адресное содействие женщинам из числа коренных народов и африканского прои</w:t>
      </w:r>
      <w:r w:rsidRPr="00D4123D">
        <w:rPr>
          <w:b/>
        </w:rPr>
        <w:t>с</w:t>
      </w:r>
      <w:r w:rsidRPr="00D4123D">
        <w:rPr>
          <w:b/>
        </w:rPr>
        <w:t>хождения, а также укреплять государственные программы и институты, цели которых связаны с поощрением прав женщин из числа коренных н</w:t>
      </w:r>
      <w:r w:rsidRPr="00D4123D">
        <w:rPr>
          <w:b/>
        </w:rPr>
        <w:t>а</w:t>
      </w:r>
      <w:r w:rsidRPr="00D4123D">
        <w:rPr>
          <w:b/>
        </w:rPr>
        <w:t>родов и африканского происхождения и с предупреждением их дискрим</w:t>
      </w:r>
      <w:r w:rsidRPr="00D4123D">
        <w:rPr>
          <w:b/>
        </w:rPr>
        <w:t>и</w:t>
      </w:r>
      <w:r w:rsidRPr="00D4123D">
        <w:rPr>
          <w:b/>
        </w:rPr>
        <w:t>нации.</w:t>
      </w:r>
    </w:p>
    <w:p w:rsidR="00466F2C" w:rsidRDefault="00466F2C" w:rsidP="001200A0">
      <w:pPr>
        <w:pStyle w:val="SingleTxtGR"/>
      </w:pPr>
      <w:r w:rsidRPr="00D4123D">
        <w:t>9.</w:t>
      </w:r>
      <w:r w:rsidRPr="00D4123D">
        <w:tab/>
        <w:t>Комитет по-прежнему озабочен условиям</w:t>
      </w:r>
      <w:r>
        <w:t>и</w:t>
      </w:r>
      <w:r w:rsidRPr="00D4123D">
        <w:t xml:space="preserve"> работы домашней прислуги, сельскохозяйственных работников и занятых на сборочных произво</w:t>
      </w:r>
      <w:r w:rsidRPr="00D4123D">
        <w:t>д</w:t>
      </w:r>
      <w:r w:rsidRPr="00D4123D">
        <w:t>ствах</w:t>
      </w:r>
      <w:r>
        <w:t>, а </w:t>
      </w:r>
      <w:r w:rsidRPr="00D4123D">
        <w:t>также нарушениями прав работников. В частности, Комитет озабочен ди</w:t>
      </w:r>
      <w:r w:rsidRPr="00D4123D">
        <w:t>с</w:t>
      </w:r>
      <w:r w:rsidRPr="00D4123D">
        <w:t>криминационной практикой предприятий по отношению к женщинам, когда, например, у них требуют пройти тест на бере</w:t>
      </w:r>
      <w:r>
        <w:t>менность при найме на работу, а</w:t>
      </w:r>
      <w:r w:rsidRPr="00C329B8">
        <w:t xml:space="preserve"> </w:t>
      </w:r>
      <w:r w:rsidRPr="00D4123D">
        <w:t>беременных женщин увольняют в нарушение их труд</w:t>
      </w:r>
      <w:r w:rsidRPr="00D4123D">
        <w:t>о</w:t>
      </w:r>
      <w:r w:rsidRPr="00D4123D">
        <w:t>вых прав (статьи</w:t>
      </w:r>
      <w:r>
        <w:t> 3 и </w:t>
      </w:r>
      <w:r w:rsidRPr="00D4123D">
        <w:t>26).</w:t>
      </w:r>
    </w:p>
    <w:p w:rsidR="00466F2C" w:rsidRPr="00D4123D" w:rsidRDefault="00466F2C" w:rsidP="001200A0">
      <w:pPr>
        <w:pStyle w:val="SingleTxtGR"/>
        <w:rPr>
          <w:b/>
        </w:rPr>
      </w:pPr>
      <w:r>
        <w:rPr>
          <w:b/>
        </w:rPr>
        <w:t>Государство-участник должно создать действенные механизмы контроля за соблюдением законодательства и подзаконных актов в сфере труда в отн</w:t>
      </w:r>
      <w:r>
        <w:rPr>
          <w:b/>
        </w:rPr>
        <w:t>о</w:t>
      </w:r>
      <w:r>
        <w:rPr>
          <w:b/>
        </w:rPr>
        <w:t>шении домашней прислуги, сельскохозяйственных работников и занятых на сборочных производствах.</w:t>
      </w:r>
    </w:p>
    <w:p w:rsidR="00466F2C" w:rsidRPr="00A13F1D" w:rsidRDefault="00466F2C" w:rsidP="001200A0">
      <w:pPr>
        <w:pStyle w:val="SingleTxtGR"/>
      </w:pPr>
      <w:r w:rsidRPr="00A13F1D">
        <w:t>10.</w:t>
      </w:r>
      <w:r w:rsidRPr="00A13F1D">
        <w:tab/>
        <w:t>Комитет озабочен фактическим отторжением, от которого по-прежнему страдают коренные народы и лица африканского происхождения во всех сф</w:t>
      </w:r>
      <w:r w:rsidRPr="00A13F1D">
        <w:t>е</w:t>
      </w:r>
      <w:r>
        <w:t>рах,</w:t>
      </w:r>
      <w:r w:rsidRPr="00A13F1D">
        <w:t xml:space="preserve"> включая землевладение, доступ к основным услугам, условия труда, до</w:t>
      </w:r>
      <w:r w:rsidRPr="00A13F1D">
        <w:t>с</w:t>
      </w:r>
      <w:r w:rsidRPr="00A13F1D">
        <w:t>туп к формальной экономике и правосудию, участие в работе органов принятия решений и государственных органов, а также в плане их представленности в основных средствах массовой информации и в политических дискуссиях. К</w:t>
      </w:r>
      <w:r w:rsidRPr="00A13F1D">
        <w:t>о</w:t>
      </w:r>
      <w:r w:rsidRPr="00A13F1D">
        <w:t>митет выражает сожаление по поводу отсутствия адекватной к</w:t>
      </w:r>
      <w:r>
        <w:t>вал</w:t>
      </w:r>
      <w:r w:rsidRPr="00A13F1D">
        <w:t>ификации а</w:t>
      </w:r>
      <w:r w:rsidRPr="00A13F1D">
        <w:t>к</w:t>
      </w:r>
      <w:r w:rsidRPr="00A13F1D">
        <w:t>тов дискриминации коренны</w:t>
      </w:r>
      <w:r>
        <w:t>х</w:t>
      </w:r>
      <w:r w:rsidRPr="00A13F1D">
        <w:t xml:space="preserve"> жител</w:t>
      </w:r>
      <w:r>
        <w:t>ей</w:t>
      </w:r>
      <w:r w:rsidRPr="00A13F1D">
        <w:t xml:space="preserve"> и жител</w:t>
      </w:r>
      <w:r>
        <w:t>ей</w:t>
      </w:r>
      <w:r w:rsidRPr="00A13F1D">
        <w:t xml:space="preserve"> африканского происхожд</w:t>
      </w:r>
      <w:r w:rsidRPr="00A13F1D">
        <w:t>е</w:t>
      </w:r>
      <w:r w:rsidRPr="00A13F1D">
        <w:t>ния, поскольку в качестве дискриминации квалифицируются только деяния, к</w:t>
      </w:r>
      <w:r w:rsidRPr="00A13F1D">
        <w:t>о</w:t>
      </w:r>
      <w:r w:rsidRPr="00A13F1D">
        <w:t xml:space="preserve">торые препятствуют </w:t>
      </w:r>
      <w:r>
        <w:t xml:space="preserve">или мешают </w:t>
      </w:r>
      <w:r w:rsidRPr="00A13F1D">
        <w:t>осуществлению законно признанного права (статьи 3, 26 и 27).</w:t>
      </w:r>
    </w:p>
    <w:p w:rsidR="00466F2C" w:rsidRPr="00A13F1D" w:rsidRDefault="00466F2C" w:rsidP="001200A0">
      <w:pPr>
        <w:pStyle w:val="SingleTxtGR"/>
        <w:rPr>
          <w:b/>
        </w:rPr>
      </w:pPr>
      <w:r w:rsidRPr="00A13F1D">
        <w:rPr>
          <w:b/>
        </w:rPr>
        <w:t xml:space="preserve">Государство-участник должно продолжить свои усилия по </w:t>
      </w:r>
      <w:r>
        <w:rPr>
          <w:b/>
        </w:rPr>
        <w:t>изживанию</w:t>
      </w:r>
      <w:r w:rsidRPr="00A13F1D">
        <w:rPr>
          <w:b/>
        </w:rPr>
        <w:t xml:space="preserve"> ст</w:t>
      </w:r>
      <w:r w:rsidRPr="00A13F1D">
        <w:rPr>
          <w:b/>
        </w:rPr>
        <w:t>е</w:t>
      </w:r>
      <w:r w:rsidRPr="00A13F1D">
        <w:rPr>
          <w:b/>
        </w:rPr>
        <w:t xml:space="preserve">реотипов и дискриминации коренных жителей и жителей африканского происхождения, в частности расширяя образовательные кампании, </w:t>
      </w:r>
      <w:r>
        <w:rPr>
          <w:b/>
        </w:rPr>
        <w:t>прив</w:t>
      </w:r>
      <w:r>
        <w:rPr>
          <w:b/>
        </w:rPr>
        <w:t>и</w:t>
      </w:r>
      <w:r>
        <w:rPr>
          <w:b/>
        </w:rPr>
        <w:t>вающие</w:t>
      </w:r>
      <w:r w:rsidRPr="00A13F1D">
        <w:rPr>
          <w:b/>
        </w:rPr>
        <w:t xml:space="preserve"> терпимость и уважение к многообразию. Государство-участник должно принять меры по укреплению равенства возможностей и доступа к услугам на основе соответствующих мер в целях устранения имеющихся проявлений неравенства. Наконец, государство-участник должно внести поправки в статью 202-бис </w:t>
      </w:r>
      <w:r>
        <w:rPr>
          <w:b/>
        </w:rPr>
        <w:t>У</w:t>
      </w:r>
      <w:r w:rsidRPr="00A13F1D">
        <w:rPr>
          <w:b/>
        </w:rPr>
        <w:t>головного кодекса, чтобы обеспечить рассл</w:t>
      </w:r>
      <w:r w:rsidRPr="00A13F1D">
        <w:rPr>
          <w:b/>
        </w:rPr>
        <w:t>е</w:t>
      </w:r>
      <w:r w:rsidRPr="00A13F1D">
        <w:rPr>
          <w:b/>
        </w:rPr>
        <w:t>дование деяний расовой дискриминации, привлечение к судебной ответс</w:t>
      </w:r>
      <w:r w:rsidRPr="00A13F1D">
        <w:rPr>
          <w:b/>
        </w:rPr>
        <w:t>т</w:t>
      </w:r>
      <w:r w:rsidRPr="00A13F1D">
        <w:rPr>
          <w:b/>
        </w:rPr>
        <w:t>венности и наказание виновных, надлежащую компенсацию поте</w:t>
      </w:r>
      <w:r w:rsidRPr="00A13F1D">
        <w:rPr>
          <w:b/>
        </w:rPr>
        <w:t>р</w:t>
      </w:r>
      <w:r w:rsidRPr="00A13F1D">
        <w:rPr>
          <w:b/>
        </w:rPr>
        <w:t>певшим, чтобы квалификация преступлений не была связана с элементами "во</w:t>
      </w:r>
      <w:r w:rsidRPr="00A13F1D">
        <w:rPr>
          <w:b/>
        </w:rPr>
        <w:t>с</w:t>
      </w:r>
      <w:r w:rsidRPr="00A13F1D">
        <w:rPr>
          <w:b/>
        </w:rPr>
        <w:t xml:space="preserve">препятствования" или "создания </w:t>
      </w:r>
      <w:r>
        <w:rPr>
          <w:b/>
        </w:rPr>
        <w:t>помех</w:t>
      </w:r>
      <w:r w:rsidRPr="00A13F1D">
        <w:rPr>
          <w:b/>
        </w:rPr>
        <w:t>" для осуществления одного или более прав.</w:t>
      </w:r>
    </w:p>
    <w:p w:rsidR="00466F2C" w:rsidRPr="00A13F1D" w:rsidRDefault="00466F2C" w:rsidP="001200A0">
      <w:pPr>
        <w:pStyle w:val="SingleTxtGR"/>
      </w:pPr>
      <w:r w:rsidRPr="00A13F1D">
        <w:t>11.</w:t>
      </w:r>
      <w:r w:rsidRPr="00A13F1D">
        <w:tab/>
        <w:t>Комитет озабочен дискриминацией и насилием, которым подвергаются лесбиянки, г</w:t>
      </w:r>
      <w:r>
        <w:t>омосексуалисты</w:t>
      </w:r>
      <w:r w:rsidRPr="00A13F1D">
        <w:t>, бисексуалы и интерсексуалы (ЛГБТИ), и отверг</w:t>
      </w:r>
      <w:r w:rsidRPr="00A13F1D">
        <w:t>а</w:t>
      </w:r>
      <w:r w:rsidRPr="00A13F1D">
        <w:t>ет любые нарушения прав человека, жертвами которых они становятся в силу их сексуальной ориентации или гендерной идентичности (статьи 3, 6, 7 и 26).</w:t>
      </w:r>
    </w:p>
    <w:p w:rsidR="00466F2C" w:rsidRPr="00D507E7" w:rsidRDefault="00466F2C" w:rsidP="001200A0">
      <w:pPr>
        <w:pStyle w:val="SingleTxtGR"/>
      </w:pPr>
      <w:r w:rsidRPr="00A13F1D">
        <w:rPr>
          <w:b/>
        </w:rPr>
        <w:t>Государство-участник должно прямо и официально заявить, что оно не п</w:t>
      </w:r>
      <w:r w:rsidRPr="00A13F1D">
        <w:rPr>
          <w:b/>
        </w:rPr>
        <w:t>о</w:t>
      </w:r>
      <w:r w:rsidRPr="00A13F1D">
        <w:rPr>
          <w:b/>
        </w:rPr>
        <w:t>терпит социальной стигматизации в какой бы то ни было форме гомосе</w:t>
      </w:r>
      <w:r w:rsidRPr="00A13F1D">
        <w:rPr>
          <w:b/>
        </w:rPr>
        <w:t>к</w:t>
      </w:r>
      <w:r w:rsidRPr="00A13F1D">
        <w:rPr>
          <w:b/>
        </w:rPr>
        <w:t>суалистов, бисексуалов и транссексуалов, равно как и преследования, ди</w:t>
      </w:r>
      <w:r w:rsidRPr="00A13F1D">
        <w:rPr>
          <w:b/>
        </w:rPr>
        <w:t>с</w:t>
      </w:r>
      <w:r w:rsidRPr="00A13F1D">
        <w:rPr>
          <w:b/>
        </w:rPr>
        <w:t>криминации или насилия в отношении лиц за их сексуальную ориентацию или гендерную идентичность. Государство-участник должно гарантировать расследование, привлечение к судебной ответственности и наказание за любой акт дискриминации или насилия по признаку сексуальной ориент</w:t>
      </w:r>
      <w:r w:rsidRPr="00A13F1D">
        <w:rPr>
          <w:b/>
        </w:rPr>
        <w:t>а</w:t>
      </w:r>
      <w:r w:rsidRPr="00A13F1D">
        <w:rPr>
          <w:b/>
        </w:rPr>
        <w:t>ции или гендерной идентичности потерпевшего.</w:t>
      </w:r>
    </w:p>
    <w:p w:rsidR="004B77FB" w:rsidRPr="005B43F8" w:rsidRDefault="004B77FB" w:rsidP="001200A0">
      <w:pPr>
        <w:pStyle w:val="SingleTxtGR"/>
      </w:pPr>
      <w:r w:rsidRPr="005B43F8">
        <w:t>12.</w:t>
      </w:r>
      <w:r w:rsidRPr="005B43F8">
        <w:tab/>
        <w:t>Комитет озабочен возрастанием насилия в государстве-участнике, св</w:t>
      </w:r>
      <w:r w:rsidRPr="005B43F8">
        <w:t>я</w:t>
      </w:r>
      <w:r w:rsidRPr="005B43F8">
        <w:t>занным главным образом с торговлей наркотиками, распространением огн</w:t>
      </w:r>
      <w:r w:rsidRPr="005B43F8">
        <w:t>е</w:t>
      </w:r>
      <w:r w:rsidRPr="005B43F8">
        <w:t>стрельного оружия и усилением социального неравенства. Комитет выражает сожаление по поводу принятия все новых репрессивных мер, которые влекут за собой рост стигматизации, а также ограничение осуществления гражданских прав. В этой связи Комитет озабочен тем, что государство-участник часто вв</w:t>
      </w:r>
      <w:r w:rsidRPr="005B43F8">
        <w:t>о</w:t>
      </w:r>
      <w:r w:rsidRPr="005B43F8">
        <w:t>дит чрезвычайное положение на основании закона об общественном порядке, в то время как такая мера должна считаться мерой чрезвычайного характера (ст</w:t>
      </w:r>
      <w:r w:rsidRPr="005B43F8">
        <w:t>а</w:t>
      </w:r>
      <w:r w:rsidRPr="005B43F8">
        <w:t>тьи 4 и 6).</w:t>
      </w:r>
    </w:p>
    <w:p w:rsidR="004B77FB" w:rsidRPr="005B43F8" w:rsidRDefault="004B77FB" w:rsidP="001200A0">
      <w:pPr>
        <w:pStyle w:val="SingleTxtGR"/>
        <w:rPr>
          <w:b/>
        </w:rPr>
      </w:pPr>
      <w:r w:rsidRPr="005B43F8">
        <w:rPr>
          <w:b/>
        </w:rPr>
        <w:t>Государство-участник должно принять всеобъемлющую стратегию, вкл</w:t>
      </w:r>
      <w:r w:rsidRPr="005B43F8">
        <w:rPr>
          <w:b/>
        </w:rPr>
        <w:t>ю</w:t>
      </w:r>
      <w:r w:rsidRPr="005B43F8">
        <w:rPr>
          <w:b/>
        </w:rPr>
        <w:t>чающую предотвращение</w:t>
      </w:r>
      <w:r>
        <w:rPr>
          <w:b/>
        </w:rPr>
        <w:t>,</w:t>
      </w:r>
      <w:r w:rsidRPr="005B43F8">
        <w:rPr>
          <w:b/>
        </w:rPr>
        <w:t xml:space="preserve"> пресечени</w:t>
      </w:r>
      <w:r>
        <w:rPr>
          <w:b/>
        </w:rPr>
        <w:t>е</w:t>
      </w:r>
      <w:r w:rsidRPr="005B43F8">
        <w:rPr>
          <w:b/>
        </w:rPr>
        <w:t xml:space="preserve"> и надлежащее наказание за акты н</w:t>
      </w:r>
      <w:r w:rsidRPr="005B43F8">
        <w:rPr>
          <w:b/>
        </w:rPr>
        <w:t>а</w:t>
      </w:r>
      <w:r w:rsidRPr="005B43F8">
        <w:rPr>
          <w:b/>
        </w:rPr>
        <w:t>силия, обеспечивая неукоснительное осуществление прав, установле</w:t>
      </w:r>
      <w:r w:rsidRPr="005B43F8">
        <w:rPr>
          <w:b/>
        </w:rPr>
        <w:t>н</w:t>
      </w:r>
      <w:r w:rsidRPr="005B43F8">
        <w:rPr>
          <w:b/>
        </w:rPr>
        <w:t>ных в Пакте, всеми лицами. С этой точки зрения государство-участник должно принимать профилактические меры, нацеливая свою политику в области безопасности на обеспечение прав человека потерпевших и правонаруш</w:t>
      </w:r>
      <w:r w:rsidRPr="005B43F8">
        <w:rPr>
          <w:b/>
        </w:rPr>
        <w:t>и</w:t>
      </w:r>
      <w:r w:rsidRPr="005B43F8">
        <w:rPr>
          <w:b/>
        </w:rPr>
        <w:t>телей, замешанных в преступных деяниях. Кроме того</w:t>
      </w:r>
      <w:r w:rsidR="001A2544">
        <w:rPr>
          <w:b/>
        </w:rPr>
        <w:t>,</w:t>
      </w:r>
      <w:r w:rsidRPr="005B43F8">
        <w:rPr>
          <w:b/>
        </w:rPr>
        <w:t xml:space="preserve"> государству-участнику необходимо внести по</w:t>
      </w:r>
      <w:r>
        <w:rPr>
          <w:b/>
        </w:rPr>
        <w:t>правки в з</w:t>
      </w:r>
      <w:r w:rsidRPr="005B43F8">
        <w:rPr>
          <w:b/>
        </w:rPr>
        <w:t>акон об общественном порядке 1965 года, строго ограничив основани</w:t>
      </w:r>
      <w:r>
        <w:rPr>
          <w:b/>
        </w:rPr>
        <w:t>я</w:t>
      </w:r>
      <w:r w:rsidRPr="005B43F8">
        <w:rPr>
          <w:b/>
        </w:rPr>
        <w:t xml:space="preserve"> введения чрезвычайного полож</w:t>
      </w:r>
      <w:r w:rsidRPr="005B43F8">
        <w:rPr>
          <w:b/>
        </w:rPr>
        <w:t>е</w:t>
      </w:r>
      <w:r w:rsidRPr="005B43F8">
        <w:rPr>
          <w:b/>
        </w:rPr>
        <w:t xml:space="preserve">ния, обеспечив </w:t>
      </w:r>
      <w:r>
        <w:rPr>
          <w:b/>
        </w:rPr>
        <w:t xml:space="preserve">неизменное выполнение </w:t>
      </w:r>
      <w:r w:rsidRPr="005B43F8">
        <w:rPr>
          <w:b/>
        </w:rPr>
        <w:t>всех условий, предусмотренных в статье 4 Пакта</w:t>
      </w:r>
      <w:r>
        <w:rPr>
          <w:b/>
        </w:rPr>
        <w:t>,</w:t>
      </w:r>
      <w:r w:rsidRPr="005B43F8">
        <w:rPr>
          <w:b/>
        </w:rPr>
        <w:t xml:space="preserve"> и уделяя первоочередное внимание мерам, оказывающим наибольшее воздействие в плане предупреждения насилия. </w:t>
      </w:r>
    </w:p>
    <w:p w:rsidR="004B77FB" w:rsidRPr="005B43F8" w:rsidRDefault="004B77FB" w:rsidP="001200A0">
      <w:pPr>
        <w:pStyle w:val="SingleTxtGR"/>
      </w:pPr>
      <w:r w:rsidRPr="005B43F8">
        <w:t>13.</w:t>
      </w:r>
      <w:r w:rsidRPr="005B43F8">
        <w:tab/>
        <w:t>Комитет с удовлетворением отмечает действи</w:t>
      </w:r>
      <w:r>
        <w:t>е</w:t>
      </w:r>
      <w:r w:rsidRPr="005B43F8">
        <w:t xml:space="preserve"> с 2000 года фактического моратория на смертную казнь, а также замену Верховн</w:t>
      </w:r>
      <w:r>
        <w:t>ым</w:t>
      </w:r>
      <w:r w:rsidRPr="005B43F8">
        <w:t xml:space="preserve"> суд</w:t>
      </w:r>
      <w:r>
        <w:t>ом</w:t>
      </w:r>
      <w:r w:rsidRPr="005B43F8">
        <w:t xml:space="preserve"> смертной ка</w:t>
      </w:r>
      <w:r w:rsidRPr="005B43F8">
        <w:t>з</w:t>
      </w:r>
      <w:r w:rsidRPr="005B43F8">
        <w:t>ни на другое наказание во всех таких случаях. Тем не менее Комитет выражает свою озабоченность по поводу проектов, представленных в последние два года, которые предусматривают возобновление</w:t>
      </w:r>
      <w:r>
        <w:t xml:space="preserve"> приведения в исполнение смертных</w:t>
      </w:r>
      <w:r w:rsidRPr="005B43F8">
        <w:t xml:space="preserve"> </w:t>
      </w:r>
      <w:r>
        <w:t>приговоров</w:t>
      </w:r>
      <w:r w:rsidRPr="005B43F8">
        <w:t>, равно как и ра</w:t>
      </w:r>
      <w:r w:rsidRPr="005B43F8">
        <w:t>с</w:t>
      </w:r>
      <w:r w:rsidRPr="005B43F8">
        <w:t>тущую поддержку такого рода проектов (статья 6).</w:t>
      </w:r>
    </w:p>
    <w:p w:rsidR="004B77FB" w:rsidRPr="00707923" w:rsidRDefault="004B77FB" w:rsidP="001200A0">
      <w:pPr>
        <w:pStyle w:val="SingleTxtGR"/>
        <w:rPr>
          <w:b/>
        </w:rPr>
      </w:pPr>
      <w:r w:rsidRPr="00707923">
        <w:rPr>
          <w:b/>
        </w:rPr>
        <w:t>Государство-участник должно рассмотреть вопрос об официальной отмене смертной казни и возможность присоединения ко второму Факультативн</w:t>
      </w:r>
      <w:r w:rsidRPr="00707923">
        <w:rPr>
          <w:b/>
        </w:rPr>
        <w:t>о</w:t>
      </w:r>
      <w:r w:rsidRPr="00707923">
        <w:rPr>
          <w:b/>
        </w:rPr>
        <w:t xml:space="preserve">му протоколу к Пакту. </w:t>
      </w:r>
    </w:p>
    <w:p w:rsidR="004B77FB" w:rsidRPr="005B43F8" w:rsidRDefault="004B77FB" w:rsidP="001200A0">
      <w:pPr>
        <w:pStyle w:val="SingleTxtGR"/>
      </w:pPr>
      <w:r w:rsidRPr="005B43F8">
        <w:t>14.</w:t>
      </w:r>
      <w:r w:rsidRPr="005B43F8">
        <w:tab/>
        <w:t xml:space="preserve">Комитет обеспокоен распространением оружия и выражает сожаление по поводу </w:t>
      </w:r>
      <w:r>
        <w:t xml:space="preserve">того, что </w:t>
      </w:r>
      <w:r w:rsidRPr="005B43F8">
        <w:t>ныне действующ</w:t>
      </w:r>
      <w:r>
        <w:t>е</w:t>
      </w:r>
      <w:r w:rsidRPr="005B43F8">
        <w:t>е законодательств</w:t>
      </w:r>
      <w:r>
        <w:t>о</w:t>
      </w:r>
      <w:r w:rsidRPr="005B43F8">
        <w:t xml:space="preserve"> об оружии и боеприп</w:t>
      </w:r>
      <w:r w:rsidRPr="005B43F8">
        <w:t>а</w:t>
      </w:r>
      <w:r w:rsidRPr="005B43F8">
        <w:t xml:space="preserve">сах и </w:t>
      </w:r>
      <w:r>
        <w:t xml:space="preserve">его </w:t>
      </w:r>
      <w:r w:rsidRPr="005B43F8">
        <w:t xml:space="preserve">толкование Конституционным судом сделало возможным более широкое владение оружием </w:t>
      </w:r>
      <w:r>
        <w:t>населением</w:t>
      </w:r>
      <w:r w:rsidRPr="005B43F8">
        <w:t xml:space="preserve"> и затруднило должный контроль за ношением оружия и боеприпасов. Крайне высокая статистика убийств, совершаемых в стране, связана с исполь</w:t>
      </w:r>
      <w:r>
        <w:t>зованием огнестрельного оружия</w:t>
      </w:r>
      <w:r w:rsidRPr="005B43F8">
        <w:t xml:space="preserve"> (ст</w:t>
      </w:r>
      <w:r w:rsidRPr="005B43F8">
        <w:t>а</w:t>
      </w:r>
      <w:r w:rsidRPr="005B43F8">
        <w:t>тья 6).</w:t>
      </w:r>
    </w:p>
    <w:p w:rsidR="004B77FB" w:rsidRPr="00707923" w:rsidRDefault="004B77FB" w:rsidP="001200A0">
      <w:pPr>
        <w:pStyle w:val="SingleTxtGR"/>
        <w:rPr>
          <w:b/>
        </w:rPr>
      </w:pPr>
      <w:r w:rsidRPr="00707923">
        <w:rPr>
          <w:b/>
        </w:rPr>
        <w:t>Государство-участник должно внести поправки в свое законодательство и безотлагательным образом принять меры, устанавливающие строгие огр</w:t>
      </w:r>
      <w:r w:rsidRPr="00707923">
        <w:rPr>
          <w:b/>
        </w:rPr>
        <w:t>а</w:t>
      </w:r>
      <w:r w:rsidRPr="00707923">
        <w:rPr>
          <w:b/>
        </w:rPr>
        <w:t>ничения на предоставление права на ношение оружия и боеприпасов гра</w:t>
      </w:r>
      <w:r w:rsidRPr="00707923">
        <w:rPr>
          <w:b/>
        </w:rPr>
        <w:t>ж</w:t>
      </w:r>
      <w:r w:rsidRPr="00707923">
        <w:rPr>
          <w:b/>
        </w:rPr>
        <w:t>данским л</w:t>
      </w:r>
      <w:r w:rsidRPr="00707923">
        <w:rPr>
          <w:b/>
        </w:rPr>
        <w:t>и</w:t>
      </w:r>
      <w:r>
        <w:rPr>
          <w:b/>
        </w:rPr>
        <w:t>цам</w:t>
      </w:r>
      <w:r w:rsidRPr="00707923">
        <w:rPr>
          <w:b/>
        </w:rPr>
        <w:t xml:space="preserve">. </w:t>
      </w:r>
    </w:p>
    <w:p w:rsidR="004B77FB" w:rsidRPr="005B43F8" w:rsidRDefault="004B77FB" w:rsidP="001200A0">
      <w:pPr>
        <w:pStyle w:val="SingleTxtGR"/>
      </w:pPr>
      <w:r w:rsidRPr="005B43F8">
        <w:t>15.</w:t>
      </w:r>
      <w:r w:rsidRPr="005B43F8">
        <w:tab/>
        <w:t xml:space="preserve">Комитет обеспокоен </w:t>
      </w:r>
      <w:r>
        <w:t>трудностями</w:t>
      </w:r>
      <w:r w:rsidRPr="005B43F8">
        <w:t xml:space="preserve"> как в плане кадровых, так и материал</w:t>
      </w:r>
      <w:r w:rsidRPr="005B43F8">
        <w:t>ь</w:t>
      </w:r>
      <w:r w:rsidRPr="005B43F8">
        <w:t xml:space="preserve">ных ресурсов, с которыми сталкивается Национальная гражданская полиция (НГП) </w:t>
      </w:r>
      <w:r>
        <w:t>пр</w:t>
      </w:r>
      <w:r w:rsidRPr="005B43F8">
        <w:t>и выполнени</w:t>
      </w:r>
      <w:r>
        <w:t>и</w:t>
      </w:r>
      <w:r w:rsidRPr="005B43F8">
        <w:t xml:space="preserve"> ею своих обязанностей. Кроме того, он обеспокоен тем, что процесс реформы НГП продвигается медленно, а выделенный для такой </w:t>
      </w:r>
      <w:r>
        <w:t>ре</w:t>
      </w:r>
      <w:r w:rsidRPr="005B43F8">
        <w:t>формы бюджет недостаточен. Кроме того, Комитет обеспокоен ростом пр</w:t>
      </w:r>
      <w:r w:rsidRPr="005B43F8">
        <w:t>и</w:t>
      </w:r>
      <w:r w:rsidRPr="005B43F8">
        <w:t xml:space="preserve">сутствия </w:t>
      </w:r>
      <w:r>
        <w:t xml:space="preserve">военных </w:t>
      </w:r>
      <w:r w:rsidRPr="005B43F8">
        <w:t xml:space="preserve">и числа совместных патрулей Национальной гражданской полиции и </w:t>
      </w:r>
      <w:r>
        <w:t>В</w:t>
      </w:r>
      <w:r w:rsidRPr="005B43F8">
        <w:t>ооруженных сил (ст</w:t>
      </w:r>
      <w:r w:rsidRPr="005B43F8">
        <w:t>а</w:t>
      </w:r>
      <w:r w:rsidRPr="005B43F8">
        <w:t>тьи 6, 7, 9 и 14).</w:t>
      </w:r>
    </w:p>
    <w:p w:rsidR="004B77FB" w:rsidRPr="00997CD6" w:rsidRDefault="004B77FB" w:rsidP="001200A0">
      <w:pPr>
        <w:pStyle w:val="SingleTxtGR"/>
        <w:rPr>
          <w:b/>
        </w:rPr>
      </w:pPr>
      <w:r w:rsidRPr="00997CD6">
        <w:rPr>
          <w:b/>
        </w:rPr>
        <w:t>Государство-участник должно уделять первоочередное внимание прин</w:t>
      </w:r>
      <w:r w:rsidRPr="00997CD6">
        <w:rPr>
          <w:b/>
        </w:rPr>
        <w:t>я</w:t>
      </w:r>
      <w:r w:rsidRPr="00997CD6">
        <w:rPr>
          <w:b/>
        </w:rPr>
        <w:t>тию, финансированию и проведению реформы НГП, обеспечив, чтобы та располагала необходимыми кадровыми и материальными ресурсами для действенного осуществления ею своих функций. В этой связи государство-участник должно создать работоспособные механизмы отбора</w:t>
      </w:r>
      <w:r>
        <w:rPr>
          <w:b/>
        </w:rPr>
        <w:t>,</w:t>
      </w:r>
      <w:r w:rsidRPr="00997CD6">
        <w:rPr>
          <w:b/>
        </w:rPr>
        <w:t xml:space="preserve"> обучения</w:t>
      </w:r>
      <w:r>
        <w:rPr>
          <w:b/>
        </w:rPr>
        <w:t>,</w:t>
      </w:r>
      <w:r w:rsidRPr="00997CD6">
        <w:rPr>
          <w:b/>
        </w:rPr>
        <w:t xml:space="preserve"> внутреннего контроля и обеспечения ответственности, равно как и во</w:t>
      </w:r>
      <w:r w:rsidRPr="00997CD6">
        <w:rPr>
          <w:b/>
        </w:rPr>
        <w:t>з</w:t>
      </w:r>
      <w:r w:rsidRPr="00997CD6">
        <w:rPr>
          <w:b/>
        </w:rPr>
        <w:t>можность профессионального роста и механизм</w:t>
      </w:r>
      <w:r>
        <w:rPr>
          <w:b/>
        </w:rPr>
        <w:t>ы</w:t>
      </w:r>
      <w:r w:rsidRPr="00997CD6">
        <w:rPr>
          <w:b/>
        </w:rPr>
        <w:t xml:space="preserve"> постоянного контроля, которые создавали бы стимулы для неукоснительного уважения прав ч</w:t>
      </w:r>
      <w:r w:rsidRPr="00997CD6">
        <w:rPr>
          <w:b/>
        </w:rPr>
        <w:t>е</w:t>
      </w:r>
      <w:r w:rsidRPr="00997CD6">
        <w:rPr>
          <w:b/>
        </w:rPr>
        <w:t>ловека. Государство-участник обязано обеспечить, чтобы любое вмеш</w:t>
      </w:r>
      <w:r w:rsidRPr="00997CD6">
        <w:rPr>
          <w:b/>
        </w:rPr>
        <w:t>а</w:t>
      </w:r>
      <w:r w:rsidRPr="00997CD6">
        <w:rPr>
          <w:b/>
        </w:rPr>
        <w:t>тельство вооруженных сил в действия Н</w:t>
      </w:r>
      <w:r>
        <w:rPr>
          <w:b/>
        </w:rPr>
        <w:t>ГП не было</w:t>
      </w:r>
      <w:r w:rsidRPr="00997CD6">
        <w:rPr>
          <w:b/>
        </w:rPr>
        <w:t xml:space="preserve"> связа</w:t>
      </w:r>
      <w:r>
        <w:rPr>
          <w:b/>
        </w:rPr>
        <w:t>но</w:t>
      </w:r>
      <w:r w:rsidRPr="00997CD6">
        <w:rPr>
          <w:b/>
        </w:rPr>
        <w:t xml:space="preserve"> с отвлечением бюджетных ресурсов полиции</w:t>
      </w:r>
      <w:r>
        <w:rPr>
          <w:b/>
        </w:rPr>
        <w:t>,</w:t>
      </w:r>
      <w:r w:rsidRPr="00997CD6">
        <w:rPr>
          <w:b/>
        </w:rPr>
        <w:t xml:space="preserve"> соответств</w:t>
      </w:r>
      <w:r>
        <w:rPr>
          <w:b/>
        </w:rPr>
        <w:t>овало четким</w:t>
      </w:r>
      <w:r w:rsidRPr="00997CD6">
        <w:rPr>
          <w:b/>
        </w:rPr>
        <w:t xml:space="preserve"> и заблаговреме</w:t>
      </w:r>
      <w:r w:rsidRPr="00997CD6">
        <w:rPr>
          <w:b/>
        </w:rPr>
        <w:t>н</w:t>
      </w:r>
      <w:r w:rsidRPr="00997CD6">
        <w:rPr>
          <w:b/>
        </w:rPr>
        <w:t xml:space="preserve">но разработанным протоколам и </w:t>
      </w:r>
      <w:r>
        <w:rPr>
          <w:b/>
        </w:rPr>
        <w:t xml:space="preserve">имело </w:t>
      </w:r>
      <w:r w:rsidRPr="00997CD6">
        <w:rPr>
          <w:b/>
        </w:rPr>
        <w:t>строго ограниченн</w:t>
      </w:r>
      <w:r>
        <w:rPr>
          <w:b/>
        </w:rPr>
        <w:t>ые</w:t>
      </w:r>
      <w:r w:rsidRPr="00997CD6">
        <w:rPr>
          <w:b/>
        </w:rPr>
        <w:t xml:space="preserve"> цел</w:t>
      </w:r>
      <w:r>
        <w:rPr>
          <w:b/>
        </w:rPr>
        <w:t>и</w:t>
      </w:r>
      <w:r w:rsidRPr="00997CD6">
        <w:rPr>
          <w:b/>
        </w:rPr>
        <w:t xml:space="preserve"> </w:t>
      </w:r>
      <w:r>
        <w:rPr>
          <w:b/>
        </w:rPr>
        <w:t xml:space="preserve">и </w:t>
      </w:r>
      <w:r w:rsidRPr="00997CD6">
        <w:rPr>
          <w:b/>
        </w:rPr>
        <w:t>продо</w:t>
      </w:r>
      <w:r w:rsidRPr="00997CD6">
        <w:rPr>
          <w:b/>
        </w:rPr>
        <w:t>л</w:t>
      </w:r>
      <w:r w:rsidRPr="00997CD6">
        <w:rPr>
          <w:b/>
        </w:rPr>
        <w:t>жительно</w:t>
      </w:r>
      <w:r>
        <w:rPr>
          <w:b/>
        </w:rPr>
        <w:t>сть</w:t>
      </w:r>
      <w:r w:rsidRPr="00997CD6">
        <w:rPr>
          <w:b/>
        </w:rPr>
        <w:t>. Кроме того, государство-участник должно принять меры по недопущению осуществления функций сил общественной безопасности л</w:t>
      </w:r>
      <w:r w:rsidRPr="00997CD6">
        <w:rPr>
          <w:b/>
        </w:rPr>
        <w:t>и</w:t>
      </w:r>
      <w:r w:rsidRPr="00997CD6">
        <w:rPr>
          <w:b/>
        </w:rPr>
        <w:t xml:space="preserve">цами, причастными к нарушениям прав человека. </w:t>
      </w:r>
    </w:p>
    <w:p w:rsidR="0074631B" w:rsidRPr="00BE641E" w:rsidRDefault="0074631B" w:rsidP="001200A0">
      <w:pPr>
        <w:pStyle w:val="SingleTxtGR"/>
      </w:pPr>
      <w:r w:rsidRPr="00BE641E">
        <w:t>16.</w:t>
      </w:r>
      <w:r w:rsidRPr="00BE641E">
        <w:tab/>
        <w:t>Комитет выражает сожаление по поводу растущих масштабов передачи функций по обеспечению безопасности граждан частным предприятиям, не с</w:t>
      </w:r>
      <w:r w:rsidRPr="00BE641E">
        <w:t>о</w:t>
      </w:r>
      <w:r w:rsidRPr="00BE641E">
        <w:t>провождающе</w:t>
      </w:r>
      <w:r>
        <w:t>й</w:t>
      </w:r>
      <w:r w:rsidRPr="00BE641E">
        <w:t>ся надлежащими мерами регистрации и контроля. Комитет о</w:t>
      </w:r>
      <w:r w:rsidRPr="00BE641E">
        <w:t>т</w:t>
      </w:r>
      <w:r w:rsidRPr="00BE641E">
        <w:t>мечает принятие закона о частных охранных предприятиях и создани</w:t>
      </w:r>
      <w:r>
        <w:t>е Г</w:t>
      </w:r>
      <w:r w:rsidRPr="00BE641E">
        <w:t>лавн</w:t>
      </w:r>
      <w:r w:rsidRPr="00BE641E">
        <w:t>о</w:t>
      </w:r>
      <w:r w:rsidRPr="00BE641E">
        <w:t>го управления частных охр</w:t>
      </w:r>
      <w:r w:rsidR="000C0F24">
        <w:t>анных предприятий. Тем не менее</w:t>
      </w:r>
      <w:r w:rsidRPr="00BE641E">
        <w:t xml:space="preserve"> Комитет выражает сожаление по поводу того, что закон содержит неточности</w:t>
      </w:r>
      <w:r>
        <w:t>, а что Г</w:t>
      </w:r>
      <w:r w:rsidRPr="00BE641E">
        <w:t>лавное управление до сих пор не имеет ресурсов и институциональной поддержки, н</w:t>
      </w:r>
      <w:r w:rsidRPr="00BE641E">
        <w:t>е</w:t>
      </w:r>
      <w:r w:rsidRPr="00BE641E">
        <w:t>обходимых для осуществления им своих функций (статьи 6, 7 и 9).</w:t>
      </w:r>
    </w:p>
    <w:p w:rsidR="0074631B" w:rsidRPr="00BE641E" w:rsidRDefault="0074631B" w:rsidP="001200A0">
      <w:pPr>
        <w:pStyle w:val="SingleTxtGR"/>
        <w:rPr>
          <w:b/>
        </w:rPr>
      </w:pPr>
      <w:r w:rsidRPr="00BE641E">
        <w:rPr>
          <w:b/>
        </w:rPr>
        <w:t xml:space="preserve">Государство-участник должно обеспечить регистрацию и контроль </w:t>
      </w:r>
      <w:r>
        <w:rPr>
          <w:b/>
        </w:rPr>
        <w:t>в отн</w:t>
      </w:r>
      <w:r>
        <w:rPr>
          <w:b/>
        </w:rPr>
        <w:t>о</w:t>
      </w:r>
      <w:r>
        <w:rPr>
          <w:b/>
        </w:rPr>
        <w:t>шении</w:t>
      </w:r>
      <w:r w:rsidRPr="00BE641E">
        <w:rPr>
          <w:b/>
        </w:rPr>
        <w:t xml:space="preserve"> частны</w:t>
      </w:r>
      <w:r>
        <w:rPr>
          <w:b/>
        </w:rPr>
        <w:t>х</w:t>
      </w:r>
      <w:r w:rsidRPr="00BE641E">
        <w:rPr>
          <w:b/>
        </w:rPr>
        <w:t xml:space="preserve"> охранны</w:t>
      </w:r>
      <w:r>
        <w:rPr>
          <w:b/>
        </w:rPr>
        <w:t>х</w:t>
      </w:r>
      <w:r w:rsidRPr="00BE641E">
        <w:rPr>
          <w:b/>
        </w:rPr>
        <w:t xml:space="preserve"> предприяти</w:t>
      </w:r>
      <w:r>
        <w:rPr>
          <w:b/>
        </w:rPr>
        <w:t>й</w:t>
      </w:r>
      <w:r w:rsidRPr="00BE641E">
        <w:rPr>
          <w:b/>
        </w:rPr>
        <w:t>, осуществляя законодател</w:t>
      </w:r>
      <w:r w:rsidRPr="00BE641E">
        <w:rPr>
          <w:b/>
        </w:rPr>
        <w:t>ь</w:t>
      </w:r>
      <w:r w:rsidRPr="00BE641E">
        <w:rPr>
          <w:b/>
        </w:rPr>
        <w:t>ный декрет № 52</w:t>
      </w:r>
      <w:r w:rsidRPr="00BE641E">
        <w:rPr>
          <w:b/>
        </w:rPr>
        <w:noBreakHyphen/>
        <w:t xml:space="preserve">2010, регламентирующий деятельность такого рода </w:t>
      </w:r>
      <w:r>
        <w:rPr>
          <w:b/>
        </w:rPr>
        <w:t>структур</w:t>
      </w:r>
      <w:r w:rsidRPr="00BE641E">
        <w:rPr>
          <w:b/>
        </w:rPr>
        <w:t>. В этой связи государство</w:t>
      </w:r>
      <w:r>
        <w:rPr>
          <w:b/>
        </w:rPr>
        <w:t>-</w:t>
      </w:r>
      <w:r w:rsidRPr="00BE641E">
        <w:rPr>
          <w:b/>
        </w:rPr>
        <w:t xml:space="preserve">участник должно выделить </w:t>
      </w:r>
      <w:r>
        <w:rPr>
          <w:b/>
        </w:rPr>
        <w:t>Г</w:t>
      </w:r>
      <w:r w:rsidRPr="00BE641E">
        <w:rPr>
          <w:b/>
        </w:rPr>
        <w:t>лавному управл</w:t>
      </w:r>
      <w:r w:rsidRPr="00BE641E">
        <w:rPr>
          <w:b/>
        </w:rPr>
        <w:t>е</w:t>
      </w:r>
      <w:r w:rsidRPr="00BE641E">
        <w:rPr>
          <w:b/>
        </w:rPr>
        <w:t>нию частных охранных предприятий ресурсы, необходимые для его фун</w:t>
      </w:r>
      <w:r w:rsidRPr="00BE641E">
        <w:rPr>
          <w:b/>
        </w:rPr>
        <w:t>к</w:t>
      </w:r>
      <w:r w:rsidRPr="00BE641E">
        <w:rPr>
          <w:b/>
        </w:rPr>
        <w:t>ционирования. Равным образом оно должно обеспечить контроль общества за частными охранными предприятиями и доступ к юстиции и действе</w:t>
      </w:r>
      <w:r w:rsidRPr="00BE641E">
        <w:rPr>
          <w:b/>
        </w:rPr>
        <w:t>н</w:t>
      </w:r>
      <w:r w:rsidRPr="00BE641E">
        <w:rPr>
          <w:b/>
        </w:rPr>
        <w:t xml:space="preserve">ным механизмам возмещения для </w:t>
      </w:r>
      <w:r>
        <w:rPr>
          <w:b/>
        </w:rPr>
        <w:t>потерпевших от действий</w:t>
      </w:r>
      <w:r w:rsidRPr="00BE641E">
        <w:rPr>
          <w:b/>
        </w:rPr>
        <w:t>, совершенных частными охранными предприятиями. Государство-участник должно пр</w:t>
      </w:r>
      <w:r w:rsidRPr="00BE641E">
        <w:rPr>
          <w:b/>
        </w:rPr>
        <w:t>и</w:t>
      </w:r>
      <w:r w:rsidRPr="00BE641E">
        <w:rPr>
          <w:b/>
        </w:rPr>
        <w:t>нять меры по предотвращению осуществления функций сил правопорядка л</w:t>
      </w:r>
      <w:r w:rsidRPr="00BE641E">
        <w:rPr>
          <w:b/>
        </w:rPr>
        <w:t>и</w:t>
      </w:r>
      <w:r w:rsidRPr="00BE641E">
        <w:rPr>
          <w:b/>
        </w:rPr>
        <w:t>цами, причастными к нарушениям прав человека.</w:t>
      </w:r>
    </w:p>
    <w:p w:rsidR="0074631B" w:rsidRPr="00BE641E" w:rsidRDefault="0074631B" w:rsidP="001200A0">
      <w:pPr>
        <w:pStyle w:val="SingleTxtGR"/>
      </w:pPr>
      <w:r w:rsidRPr="00BE641E">
        <w:t>17.</w:t>
      </w:r>
      <w:r w:rsidRPr="00BE641E">
        <w:tab/>
        <w:t>Комитет обеспокоен тем, что местные советы безопасности, первон</w:t>
      </w:r>
      <w:r w:rsidRPr="00BE641E">
        <w:t>а</w:t>
      </w:r>
      <w:r w:rsidRPr="00BE641E">
        <w:t>чально созданные для предупреждения преступности, осуществляют функции государства в вопросах территориального контроля и применения силы и что согласно информации, имеющейся у Комитета</w:t>
      </w:r>
      <w:r>
        <w:t>,</w:t>
      </w:r>
      <w:r w:rsidRPr="00BE641E">
        <w:t xml:space="preserve"> они совершают нарушения и злоупотребления (статьи 6, 7 и 9).</w:t>
      </w:r>
    </w:p>
    <w:p w:rsidR="0074631B" w:rsidRPr="00BE641E" w:rsidRDefault="0074631B" w:rsidP="001200A0">
      <w:pPr>
        <w:pStyle w:val="SingleTxtGR"/>
        <w:rPr>
          <w:b/>
        </w:rPr>
      </w:pPr>
      <w:r w:rsidRPr="00BE641E">
        <w:rPr>
          <w:b/>
        </w:rPr>
        <w:t xml:space="preserve">Государство-участник должно внести поправки в приказ </w:t>
      </w:r>
      <w:r>
        <w:rPr>
          <w:b/>
        </w:rPr>
        <w:t>Н</w:t>
      </w:r>
      <w:r w:rsidRPr="00BE641E">
        <w:rPr>
          <w:b/>
        </w:rPr>
        <w:t>ациональной гражданской полиции № 11-99, которым были созданы местные советы безопасности, и четко определить роль общин в профилактике преступн</w:t>
      </w:r>
      <w:r w:rsidRPr="00BE641E">
        <w:rPr>
          <w:b/>
        </w:rPr>
        <w:t>о</w:t>
      </w:r>
      <w:r w:rsidRPr="00BE641E">
        <w:rPr>
          <w:b/>
        </w:rPr>
        <w:t xml:space="preserve">сти, чтобы из </w:t>
      </w:r>
      <w:r>
        <w:rPr>
          <w:b/>
        </w:rPr>
        <w:t>их</w:t>
      </w:r>
      <w:r w:rsidRPr="00BE641E">
        <w:rPr>
          <w:b/>
        </w:rPr>
        <w:t xml:space="preserve"> компетенции были прямо исключены любые функции по обеспечению безопасности, принадлежащие государству.</w:t>
      </w:r>
    </w:p>
    <w:p w:rsidR="0074631B" w:rsidRPr="00BE641E" w:rsidRDefault="0074631B" w:rsidP="001200A0">
      <w:pPr>
        <w:pStyle w:val="SingleTxtGR"/>
      </w:pPr>
      <w:r w:rsidRPr="00BE641E">
        <w:t>18.</w:t>
      </w:r>
      <w:r w:rsidRPr="00BE641E">
        <w:tab/>
        <w:t xml:space="preserve">Комитет обеспокоен </w:t>
      </w:r>
      <w:r>
        <w:t>продолжающимися</w:t>
      </w:r>
      <w:r w:rsidRPr="00BE641E">
        <w:t xml:space="preserve"> линчеваниями как в сельских, так и в городских районах, а также отсутствием результатов инициатив, пре</w:t>
      </w:r>
      <w:r w:rsidRPr="00BE641E">
        <w:t>д</w:t>
      </w:r>
      <w:r w:rsidRPr="00BE641E">
        <w:t>принятых государством-участником по предупреждению такого рода деяний (ст</w:t>
      </w:r>
      <w:r w:rsidRPr="00BE641E">
        <w:t>а</w:t>
      </w:r>
      <w:r w:rsidRPr="00BE641E">
        <w:t>тьи 6, 7 и 14).</w:t>
      </w:r>
    </w:p>
    <w:p w:rsidR="0074631B" w:rsidRPr="00BE641E" w:rsidRDefault="0074631B" w:rsidP="001200A0">
      <w:pPr>
        <w:pStyle w:val="SingleTxtGR"/>
        <w:rPr>
          <w:b/>
        </w:rPr>
      </w:pPr>
      <w:r w:rsidRPr="00BE641E">
        <w:rPr>
          <w:b/>
        </w:rPr>
        <w:t>Государство-участник должно проводить информационно-просветитель</w:t>
      </w:r>
      <w:r>
        <w:rPr>
          <w:b/>
        </w:rPr>
        <w:t>-</w:t>
      </w:r>
      <w:r w:rsidRPr="00BE641E">
        <w:rPr>
          <w:b/>
        </w:rPr>
        <w:t>ские к</w:t>
      </w:r>
      <w:r>
        <w:rPr>
          <w:b/>
        </w:rPr>
        <w:t>а</w:t>
      </w:r>
      <w:r w:rsidRPr="00BE641E">
        <w:rPr>
          <w:b/>
        </w:rPr>
        <w:t xml:space="preserve">мпании в школах и в средствах массовой информации по вопросу </w:t>
      </w:r>
      <w:r>
        <w:rPr>
          <w:b/>
        </w:rPr>
        <w:t xml:space="preserve">о </w:t>
      </w:r>
      <w:r w:rsidRPr="00BE641E">
        <w:rPr>
          <w:b/>
        </w:rPr>
        <w:t>необходимости искоренения линчеваний вне зависимости от обстоятельств и мотивов, вызывающих их. Кроме того, необходимо продолжить меры в области профилактики расследований, привлечения к ответственности и наказания за линчевание.</w:t>
      </w:r>
    </w:p>
    <w:p w:rsidR="0074631B" w:rsidRPr="00BE641E" w:rsidRDefault="0074631B" w:rsidP="001200A0">
      <w:pPr>
        <w:pStyle w:val="SingleTxtGR"/>
      </w:pPr>
      <w:r w:rsidRPr="00BE641E">
        <w:t>19.</w:t>
      </w:r>
      <w:r w:rsidRPr="00BE641E">
        <w:tab/>
        <w:t>Комитет приветствует усилия государства-участника, которые преслед</w:t>
      </w:r>
      <w:r w:rsidRPr="00BE641E">
        <w:t>у</w:t>
      </w:r>
      <w:r w:rsidRPr="00BE641E">
        <w:t>ют цель привлечения внимания, профилактики и наказания за сексуально</w:t>
      </w:r>
      <w:r>
        <w:t>е</w:t>
      </w:r>
      <w:r w:rsidRPr="00BE641E">
        <w:t xml:space="preserve"> и гендерно</w:t>
      </w:r>
      <w:r>
        <w:t>е</w:t>
      </w:r>
      <w:r w:rsidRPr="00BE641E">
        <w:t xml:space="preserve"> насили</w:t>
      </w:r>
      <w:r>
        <w:t>е</w:t>
      </w:r>
      <w:r w:rsidRPr="00BE641E">
        <w:t xml:space="preserve">, в частности </w:t>
      </w:r>
      <w:r>
        <w:t xml:space="preserve">за </w:t>
      </w:r>
      <w:r w:rsidRPr="00BE641E">
        <w:t>женоубийства, насили</w:t>
      </w:r>
      <w:r>
        <w:t>е</w:t>
      </w:r>
      <w:r w:rsidRPr="00BE641E">
        <w:t xml:space="preserve"> в семье и торговл</w:t>
      </w:r>
      <w:r>
        <w:t>ю</w:t>
      </w:r>
      <w:r w:rsidRPr="00BE641E">
        <w:t xml:space="preserve"> людьми. Тем не менее Комитет обеспокоен по-прежнему </w:t>
      </w:r>
      <w:r>
        <w:t>большими масштаб</w:t>
      </w:r>
      <w:r>
        <w:t>а</w:t>
      </w:r>
      <w:r>
        <w:t>ми</w:t>
      </w:r>
      <w:r w:rsidRPr="00BE641E">
        <w:t xml:space="preserve"> насилия в отношении женщин. Комитет также обеспокоен частыми </w:t>
      </w:r>
      <w:r>
        <w:t>сбоями</w:t>
      </w:r>
      <w:r w:rsidRPr="00BE641E">
        <w:t xml:space="preserve"> в механизмах расследования, применяемых сотрудниками сил правопорядка и с</w:t>
      </w:r>
      <w:r w:rsidRPr="00BE641E">
        <w:t>у</w:t>
      </w:r>
      <w:r w:rsidRPr="00BE641E">
        <w:t>дебно-медицинскими экспертами, а также ограниченным числом центров ок</w:t>
      </w:r>
      <w:r w:rsidRPr="00BE641E">
        <w:t>а</w:t>
      </w:r>
      <w:r w:rsidRPr="00BE641E">
        <w:t>зания помощи, которые представляют собой единственный источник по</w:t>
      </w:r>
      <w:r w:rsidRPr="00BE641E">
        <w:t>д</w:t>
      </w:r>
      <w:r w:rsidRPr="00BE641E">
        <w:t>держки для женщин, переживших насилие (статьи 6, 7, 8, 14 и 26).</w:t>
      </w:r>
    </w:p>
    <w:p w:rsidR="0074631B" w:rsidRPr="00D507E7" w:rsidRDefault="0074631B" w:rsidP="001200A0">
      <w:pPr>
        <w:pStyle w:val="SingleTxtGR"/>
      </w:pPr>
      <w:r w:rsidRPr="00BE641E">
        <w:rPr>
          <w:b/>
        </w:rPr>
        <w:t>Государство-участник должно продолжить свои усилия по предупреждению сексуального и гендерного насилия и содействию обращению потерпевш</w:t>
      </w:r>
      <w:r w:rsidRPr="00BE641E">
        <w:rPr>
          <w:b/>
        </w:rPr>
        <w:t>и</w:t>
      </w:r>
      <w:r>
        <w:rPr>
          <w:b/>
        </w:rPr>
        <w:t>х</w:t>
      </w:r>
      <w:r w:rsidRPr="00BE641E">
        <w:rPr>
          <w:b/>
        </w:rPr>
        <w:t xml:space="preserve"> с заявлениями о таких преступлениях. Государство-участник должно обе</w:t>
      </w:r>
      <w:r w:rsidRPr="00BE641E">
        <w:rPr>
          <w:b/>
        </w:rPr>
        <w:t>с</w:t>
      </w:r>
      <w:r w:rsidRPr="00BE641E">
        <w:rPr>
          <w:b/>
        </w:rPr>
        <w:t>печить включение тем защиты женщин от насилия в учебные пр</w:t>
      </w:r>
      <w:r w:rsidRPr="00BE641E">
        <w:rPr>
          <w:b/>
        </w:rPr>
        <w:t>о</w:t>
      </w:r>
      <w:r w:rsidRPr="00BE641E">
        <w:rPr>
          <w:b/>
        </w:rPr>
        <w:t>граммы. Ему также необходимо укрепить и институционализировать обучение по гендерным вопросам, сдела</w:t>
      </w:r>
      <w:r>
        <w:rPr>
          <w:b/>
        </w:rPr>
        <w:t>в</w:t>
      </w:r>
      <w:r w:rsidRPr="00BE641E">
        <w:rPr>
          <w:b/>
        </w:rPr>
        <w:t xml:space="preserve"> его обязательным для всех судебных работн</w:t>
      </w:r>
      <w:r w:rsidRPr="00BE641E">
        <w:rPr>
          <w:b/>
        </w:rPr>
        <w:t>и</w:t>
      </w:r>
      <w:r w:rsidRPr="00BE641E">
        <w:rPr>
          <w:b/>
        </w:rPr>
        <w:t xml:space="preserve">ков, сотрудников сил правопорядка и медиков, чтобы </w:t>
      </w:r>
      <w:r>
        <w:rPr>
          <w:b/>
        </w:rPr>
        <w:t>те</w:t>
      </w:r>
      <w:r w:rsidRPr="00BE641E">
        <w:rPr>
          <w:b/>
        </w:rPr>
        <w:t xml:space="preserve"> были готовы де</w:t>
      </w:r>
      <w:r w:rsidRPr="00BE641E">
        <w:rPr>
          <w:b/>
        </w:rPr>
        <w:t>й</w:t>
      </w:r>
      <w:r w:rsidRPr="00BE641E">
        <w:rPr>
          <w:b/>
        </w:rPr>
        <w:t>ственным образом реагировать на любые формы насилия в о</w:t>
      </w:r>
      <w:r w:rsidRPr="00BE641E">
        <w:rPr>
          <w:b/>
        </w:rPr>
        <w:t>т</w:t>
      </w:r>
      <w:r w:rsidRPr="00BE641E">
        <w:rPr>
          <w:b/>
        </w:rPr>
        <w:t>ношении женщин. Необходимо уделять конкретное внимание сбору доказательств</w:t>
      </w:r>
      <w:r>
        <w:rPr>
          <w:b/>
        </w:rPr>
        <w:t>,</w:t>
      </w:r>
      <w:r w:rsidRPr="00BE641E">
        <w:rPr>
          <w:b/>
        </w:rPr>
        <w:t xml:space="preserve"> обращению с потерпевшими, координации между следственными органами и наказанию виновных и защите потерпевших. Кроме того</w:t>
      </w:r>
      <w:r>
        <w:rPr>
          <w:b/>
        </w:rPr>
        <w:t>,</w:t>
      </w:r>
      <w:r w:rsidRPr="00BE641E">
        <w:rPr>
          <w:b/>
        </w:rPr>
        <w:t xml:space="preserve"> гос</w:t>
      </w:r>
      <w:r w:rsidRPr="00BE641E">
        <w:rPr>
          <w:b/>
        </w:rPr>
        <w:t>у</w:t>
      </w:r>
      <w:r w:rsidRPr="00BE641E">
        <w:rPr>
          <w:b/>
        </w:rPr>
        <w:t>дарство-участник должно обеспечить всем жертва сексуального или гендерного н</w:t>
      </w:r>
      <w:r w:rsidRPr="00BE641E">
        <w:rPr>
          <w:b/>
        </w:rPr>
        <w:t>а</w:t>
      </w:r>
      <w:r w:rsidRPr="00BE641E">
        <w:rPr>
          <w:b/>
        </w:rPr>
        <w:t>силия доступ к центрам оказания помощи или к приютам.</w:t>
      </w:r>
    </w:p>
    <w:p w:rsidR="009A40B5" w:rsidRPr="003D7CB8" w:rsidRDefault="009A40B5" w:rsidP="001200A0">
      <w:pPr>
        <w:pStyle w:val="SingleTxtGR"/>
      </w:pPr>
      <w:r w:rsidRPr="003D7CB8">
        <w:t>20.</w:t>
      </w:r>
      <w:r w:rsidRPr="003D7CB8">
        <w:tab/>
        <w:t xml:space="preserve">Комитет выражает свою обеспокоенность уголовной ответственностью за аборты, производимые как следствие </w:t>
      </w:r>
      <w:r>
        <w:t xml:space="preserve">изнасилования </w:t>
      </w:r>
      <w:r w:rsidRPr="003D7CB8">
        <w:t>или инцеста, что вынужд</w:t>
      </w:r>
      <w:r w:rsidRPr="003D7CB8">
        <w:t>а</w:t>
      </w:r>
      <w:r w:rsidRPr="003D7CB8">
        <w:t>ет беременных женщин прибегать к подпольным абортам, ставящим под угрозу их жизнь и здоровье. Комитет также обеспокоен по-прежнему высокими пок</w:t>
      </w:r>
      <w:r w:rsidRPr="003D7CB8">
        <w:t>а</w:t>
      </w:r>
      <w:r w:rsidRPr="003D7CB8">
        <w:t>зателями подростковых беременностей и материнской смертности, несмотря на предпр</w:t>
      </w:r>
      <w:r w:rsidRPr="003D7CB8">
        <w:t>и</w:t>
      </w:r>
      <w:r w:rsidRPr="003D7CB8">
        <w:t>нимаемые государством-участником усилия по их предотвращению (статьи 3 и 6).</w:t>
      </w:r>
    </w:p>
    <w:p w:rsidR="009A40B5" w:rsidRPr="003D7CB8" w:rsidRDefault="009A40B5" w:rsidP="001200A0">
      <w:pPr>
        <w:pStyle w:val="SingleTxtGR"/>
        <w:rPr>
          <w:b/>
        </w:rPr>
      </w:pPr>
      <w:r w:rsidRPr="003D7CB8">
        <w:rPr>
          <w:b/>
        </w:rPr>
        <w:t xml:space="preserve">В свете статьи 3 Конституции государство-участник должно </w:t>
      </w:r>
      <w:r>
        <w:rPr>
          <w:b/>
        </w:rPr>
        <w:t>пред</w:t>
      </w:r>
      <w:r w:rsidRPr="003D7CB8">
        <w:rPr>
          <w:b/>
        </w:rPr>
        <w:t>усмотреть дополнительные исключения, разрешающие аборт, призванные избежать ситуаций, когда женщинам приходится прибегать к подпольному аборту, ставящему под угрозу их жизнь или здоровье, в таких случаях, когда бер</w:t>
      </w:r>
      <w:r w:rsidRPr="003D7CB8">
        <w:rPr>
          <w:b/>
        </w:rPr>
        <w:t>е</w:t>
      </w:r>
      <w:r w:rsidRPr="003D7CB8">
        <w:rPr>
          <w:b/>
        </w:rPr>
        <w:t>менность вызвана изнасилованием или инцестом. Государств</w:t>
      </w:r>
      <w:r>
        <w:rPr>
          <w:b/>
        </w:rPr>
        <w:t>о-участник</w:t>
      </w:r>
      <w:r w:rsidRPr="003D7CB8">
        <w:rPr>
          <w:b/>
        </w:rPr>
        <w:t xml:space="preserve"> обя</w:t>
      </w:r>
      <w:r>
        <w:rPr>
          <w:b/>
        </w:rPr>
        <w:t>зано</w:t>
      </w:r>
      <w:r w:rsidRPr="003D7CB8">
        <w:rPr>
          <w:b/>
        </w:rPr>
        <w:t xml:space="preserve"> обеспечить доступность услуг репродуктивного здоровья для всех женщин и подростков во всех </w:t>
      </w:r>
      <w:r>
        <w:rPr>
          <w:b/>
        </w:rPr>
        <w:t xml:space="preserve">районах </w:t>
      </w:r>
      <w:r w:rsidRPr="003D7CB8">
        <w:rPr>
          <w:b/>
        </w:rPr>
        <w:t>страны. Кроме того, государство-участник должно принять новые программы просвещения и информир</w:t>
      </w:r>
      <w:r w:rsidRPr="003D7CB8">
        <w:rPr>
          <w:b/>
        </w:rPr>
        <w:t>о</w:t>
      </w:r>
      <w:r w:rsidRPr="003D7CB8">
        <w:rPr>
          <w:b/>
        </w:rPr>
        <w:t xml:space="preserve">вания </w:t>
      </w:r>
      <w:r>
        <w:rPr>
          <w:b/>
        </w:rPr>
        <w:t>на</w:t>
      </w:r>
      <w:r w:rsidRPr="003D7CB8">
        <w:rPr>
          <w:b/>
        </w:rPr>
        <w:t xml:space="preserve"> формаль</w:t>
      </w:r>
      <w:r>
        <w:rPr>
          <w:b/>
        </w:rPr>
        <w:t>ном</w:t>
      </w:r>
      <w:r w:rsidRPr="003D7CB8">
        <w:rPr>
          <w:b/>
        </w:rPr>
        <w:t xml:space="preserve"> (у</w:t>
      </w:r>
      <w:r>
        <w:rPr>
          <w:b/>
        </w:rPr>
        <w:t>чебные заведения) и неформальном</w:t>
      </w:r>
      <w:r w:rsidRPr="003D7CB8">
        <w:rPr>
          <w:b/>
        </w:rPr>
        <w:t xml:space="preserve"> (средства ма</w:t>
      </w:r>
      <w:r w:rsidRPr="003D7CB8">
        <w:rPr>
          <w:b/>
        </w:rPr>
        <w:t>с</w:t>
      </w:r>
      <w:r w:rsidRPr="003D7CB8">
        <w:rPr>
          <w:b/>
        </w:rPr>
        <w:t xml:space="preserve">совой информации) </w:t>
      </w:r>
      <w:r>
        <w:rPr>
          <w:b/>
        </w:rPr>
        <w:t xml:space="preserve">уровне </w:t>
      </w:r>
      <w:r w:rsidRPr="003D7CB8">
        <w:rPr>
          <w:b/>
        </w:rPr>
        <w:t>по вопросам важности использования против</w:t>
      </w:r>
      <w:r w:rsidRPr="003D7CB8">
        <w:rPr>
          <w:b/>
        </w:rPr>
        <w:t>о</w:t>
      </w:r>
      <w:r w:rsidRPr="003D7CB8">
        <w:rPr>
          <w:b/>
        </w:rPr>
        <w:t>зачаточных средств и прав на репродуктивное здоровье.</w:t>
      </w:r>
    </w:p>
    <w:p w:rsidR="009A40B5" w:rsidRPr="003D7CB8" w:rsidRDefault="009A40B5" w:rsidP="001200A0">
      <w:pPr>
        <w:pStyle w:val="SingleTxtGR"/>
      </w:pPr>
      <w:r w:rsidRPr="003D7CB8">
        <w:t>21.</w:t>
      </w:r>
      <w:r w:rsidRPr="003D7CB8">
        <w:tab/>
        <w:t>Комитет обеспокоен тем, что, несмотря на годы, прошедшие после око</w:t>
      </w:r>
      <w:r w:rsidRPr="003D7CB8">
        <w:t>н</w:t>
      </w:r>
      <w:r w:rsidRPr="003D7CB8">
        <w:t>чания вооруженного конфликта, тысячи семей исчезнувших людей до сих пор не знают о судьбе своих близких. Комитет высказывает сожаление по поводу того, что до сих пор не создано национальной комиссии по розыску, как это б</w:t>
      </w:r>
      <w:r w:rsidRPr="003D7CB8">
        <w:t>ы</w:t>
      </w:r>
      <w:r w:rsidRPr="003D7CB8">
        <w:t xml:space="preserve">ло предусмотрено в проекте закона № 3590, </w:t>
      </w:r>
      <w:r>
        <w:t xml:space="preserve">и </w:t>
      </w:r>
      <w:r w:rsidRPr="003D7CB8">
        <w:t>до сих пор не имеется единого и централизованного сп</w:t>
      </w:r>
      <w:r w:rsidRPr="003D7CB8">
        <w:t>и</w:t>
      </w:r>
      <w:r w:rsidRPr="003D7CB8">
        <w:t>ска исчезнувших лиц. Тем не менее Комитет пр</w:t>
      </w:r>
      <w:r>
        <w:t>инимает к сведению обязательство, принято</w:t>
      </w:r>
      <w:r w:rsidRPr="003D7CB8">
        <w:t>е государством-участником в ходе обсужд</w:t>
      </w:r>
      <w:r w:rsidRPr="003D7CB8">
        <w:t>е</w:t>
      </w:r>
      <w:r w:rsidRPr="003D7CB8">
        <w:t>ния доклада</w:t>
      </w:r>
      <w:r>
        <w:t>,</w:t>
      </w:r>
      <w:r w:rsidRPr="003D7CB8">
        <w:t xml:space="preserve"> включить принятие указанного закона в программу законодател</w:t>
      </w:r>
      <w:r w:rsidRPr="003D7CB8">
        <w:t>ь</w:t>
      </w:r>
      <w:r w:rsidRPr="003D7CB8">
        <w:t>ной работы конгресса (статьи 6 и 14).</w:t>
      </w:r>
    </w:p>
    <w:p w:rsidR="009A40B5" w:rsidRPr="003D7CB8" w:rsidRDefault="009A40B5" w:rsidP="001200A0">
      <w:pPr>
        <w:pStyle w:val="SingleTxtGR"/>
        <w:rPr>
          <w:b/>
        </w:rPr>
      </w:pPr>
      <w:r>
        <w:rPr>
          <w:b/>
        </w:rPr>
        <w:t>Ч</w:t>
      </w:r>
      <w:r w:rsidRPr="003D7CB8">
        <w:rPr>
          <w:b/>
        </w:rPr>
        <w:t>тобы способствовать и содействовать механизмам правосудия, установл</w:t>
      </w:r>
      <w:r w:rsidRPr="003D7CB8">
        <w:rPr>
          <w:b/>
        </w:rPr>
        <w:t>е</w:t>
      </w:r>
      <w:r w:rsidRPr="003D7CB8">
        <w:rPr>
          <w:b/>
        </w:rPr>
        <w:t>ния истины и возмещения для жертв насильственных исчезновений, с</w:t>
      </w:r>
      <w:r w:rsidRPr="003D7CB8">
        <w:rPr>
          <w:b/>
        </w:rPr>
        <w:t>о</w:t>
      </w:r>
      <w:r w:rsidRPr="003D7CB8">
        <w:rPr>
          <w:b/>
        </w:rPr>
        <w:t>вершенных в период вооруженного конфликта, государству-участнику н</w:t>
      </w:r>
      <w:r w:rsidRPr="003D7CB8">
        <w:rPr>
          <w:b/>
        </w:rPr>
        <w:t>е</w:t>
      </w:r>
      <w:r w:rsidRPr="003D7CB8">
        <w:rPr>
          <w:b/>
        </w:rPr>
        <w:t>обходимо принять проект закона № 3590 о создании национальной коми</w:t>
      </w:r>
      <w:r w:rsidRPr="003D7CB8">
        <w:rPr>
          <w:b/>
        </w:rPr>
        <w:t>с</w:t>
      </w:r>
      <w:r w:rsidRPr="003D7CB8">
        <w:rPr>
          <w:b/>
        </w:rPr>
        <w:t>сии по розыску, обеспечить его необходимыми людскими и материальными ресурсами и создать единый централизованный список исчезнувших лиц.</w:t>
      </w:r>
    </w:p>
    <w:p w:rsidR="009A40B5" w:rsidRPr="003D7CB8" w:rsidRDefault="009A40B5" w:rsidP="001200A0">
      <w:pPr>
        <w:pStyle w:val="SingleTxtGR"/>
      </w:pPr>
      <w:r w:rsidRPr="003D7CB8">
        <w:t>22.</w:t>
      </w:r>
      <w:r w:rsidRPr="003D7CB8">
        <w:tab/>
        <w:t xml:space="preserve">Комитет обеспокоен крайне </w:t>
      </w:r>
      <w:r>
        <w:t xml:space="preserve">частыми случаями </w:t>
      </w:r>
      <w:r w:rsidRPr="003D7CB8">
        <w:t>насилия и посягательств в отношении правозащитников. Хотя он с удовлетворением отмечает продление деятель</w:t>
      </w:r>
      <w:r>
        <w:t>ности в январе 2012 года И</w:t>
      </w:r>
      <w:r w:rsidRPr="003D7CB8">
        <w:t>нститута анализа посягательств на правоз</w:t>
      </w:r>
      <w:r w:rsidRPr="003D7CB8">
        <w:t>а</w:t>
      </w:r>
      <w:r w:rsidRPr="003D7CB8">
        <w:t>щитников, Комитет высказывает сожаление по поводу того, что до сих пор то</w:t>
      </w:r>
      <w:r>
        <w:t>т</w:t>
      </w:r>
      <w:r w:rsidRPr="003D7CB8">
        <w:t xml:space="preserve"> не мог начать свою деятельность. Комитет также сожалеет по поводу отсутс</w:t>
      </w:r>
      <w:r w:rsidRPr="003D7CB8">
        <w:t>т</w:t>
      </w:r>
      <w:r w:rsidRPr="003D7CB8">
        <w:t>вия необходимых механизмов защиты, призванных оградить правозащитников, а также не</w:t>
      </w:r>
      <w:r>
        <w:t>давних</w:t>
      </w:r>
      <w:r w:rsidRPr="003D7CB8">
        <w:t xml:space="preserve"> кампани</w:t>
      </w:r>
      <w:r>
        <w:t>й</w:t>
      </w:r>
      <w:r w:rsidRPr="003D7CB8">
        <w:t xml:space="preserve"> д</w:t>
      </w:r>
      <w:r>
        <w:t xml:space="preserve">иагредитации выступлений </w:t>
      </w:r>
      <w:r w:rsidRPr="003D7CB8">
        <w:t>организаци</w:t>
      </w:r>
      <w:r>
        <w:t>й</w:t>
      </w:r>
      <w:r w:rsidRPr="003D7CB8">
        <w:t xml:space="preserve"> гражда</w:t>
      </w:r>
      <w:r w:rsidRPr="003D7CB8">
        <w:t>н</w:t>
      </w:r>
      <w:r w:rsidRPr="003D7CB8">
        <w:t>ского общества (статьи 6 и 7).</w:t>
      </w:r>
    </w:p>
    <w:p w:rsidR="009A40B5" w:rsidRDefault="009A40B5" w:rsidP="001200A0">
      <w:pPr>
        <w:pStyle w:val="SingleTxtGR"/>
        <w:rPr>
          <w:b/>
        </w:rPr>
      </w:pPr>
      <w:r w:rsidRPr="003D7CB8">
        <w:rPr>
          <w:b/>
        </w:rPr>
        <w:t>Государство-участник должно публично признать вклад правозащитников в дело правосудия и демократии. Кроме того, оно должно принять неме</w:t>
      </w:r>
      <w:r w:rsidRPr="003D7CB8">
        <w:rPr>
          <w:b/>
        </w:rPr>
        <w:t>д</w:t>
      </w:r>
      <w:r w:rsidRPr="003D7CB8">
        <w:rPr>
          <w:b/>
        </w:rPr>
        <w:t>ленные меры по обеспечению действенной з</w:t>
      </w:r>
      <w:r w:rsidRPr="003D7CB8">
        <w:rPr>
          <w:b/>
        </w:rPr>
        <w:t>а</w:t>
      </w:r>
      <w:r w:rsidRPr="003D7CB8">
        <w:rPr>
          <w:b/>
        </w:rPr>
        <w:t>щиты правозащитников, чья жизнь и безопасность подвергаются риску из-за их профессиональной де</w:t>
      </w:r>
      <w:r w:rsidRPr="003D7CB8">
        <w:rPr>
          <w:b/>
        </w:rPr>
        <w:t>я</w:t>
      </w:r>
      <w:r w:rsidRPr="003D7CB8">
        <w:rPr>
          <w:b/>
        </w:rPr>
        <w:t>тельности, а также немедленно оказать содействие проведению безотлаг</w:t>
      </w:r>
      <w:r w:rsidRPr="003D7CB8">
        <w:rPr>
          <w:b/>
        </w:rPr>
        <w:t>а</w:t>
      </w:r>
      <w:r w:rsidRPr="003D7CB8">
        <w:rPr>
          <w:b/>
        </w:rPr>
        <w:t>тельного</w:t>
      </w:r>
      <w:r>
        <w:rPr>
          <w:b/>
        </w:rPr>
        <w:t>,</w:t>
      </w:r>
      <w:r w:rsidRPr="003D7CB8">
        <w:rPr>
          <w:b/>
        </w:rPr>
        <w:t xml:space="preserve"> действенного и беспристрастного расследования по фактам у</w:t>
      </w:r>
      <w:r w:rsidRPr="003D7CB8">
        <w:rPr>
          <w:b/>
        </w:rPr>
        <w:t>г</w:t>
      </w:r>
      <w:r w:rsidRPr="003D7CB8">
        <w:rPr>
          <w:b/>
        </w:rPr>
        <w:t>роз, нападений и убийств правозащитников</w:t>
      </w:r>
      <w:r>
        <w:rPr>
          <w:b/>
        </w:rPr>
        <w:t xml:space="preserve"> и </w:t>
      </w:r>
      <w:r w:rsidRPr="003D7CB8">
        <w:rPr>
          <w:b/>
        </w:rPr>
        <w:t>привлечь к суду и наказать виновных. Государство-участник должно пре</w:t>
      </w:r>
      <w:r>
        <w:rPr>
          <w:b/>
        </w:rPr>
        <w:t>доставить И</w:t>
      </w:r>
      <w:r w:rsidRPr="003D7CB8">
        <w:rPr>
          <w:b/>
        </w:rPr>
        <w:t xml:space="preserve">нституту анализа посягательств на правозащитников людские </w:t>
      </w:r>
      <w:r>
        <w:rPr>
          <w:b/>
        </w:rPr>
        <w:t xml:space="preserve">и </w:t>
      </w:r>
      <w:r w:rsidRPr="003D7CB8">
        <w:rPr>
          <w:b/>
        </w:rPr>
        <w:t>материальные ресурсы, к</w:t>
      </w:r>
      <w:r w:rsidRPr="003D7CB8">
        <w:rPr>
          <w:b/>
        </w:rPr>
        <w:t>о</w:t>
      </w:r>
      <w:r w:rsidRPr="003D7CB8">
        <w:rPr>
          <w:b/>
        </w:rPr>
        <w:t>торые могут тому потребоваться для осуществления им своих функций</w:t>
      </w:r>
      <w:r>
        <w:rPr>
          <w:b/>
        </w:rPr>
        <w:t>,</w:t>
      </w:r>
      <w:r w:rsidRPr="003D7CB8">
        <w:rPr>
          <w:b/>
        </w:rPr>
        <w:t xml:space="preserve"> и обеспечить участие государственных органов на высоком уровне, обесп</w:t>
      </w:r>
      <w:r w:rsidRPr="003D7CB8">
        <w:rPr>
          <w:b/>
        </w:rPr>
        <w:t>е</w:t>
      </w:r>
      <w:r w:rsidRPr="003D7CB8">
        <w:rPr>
          <w:b/>
        </w:rPr>
        <w:t>чивающе</w:t>
      </w:r>
      <w:r>
        <w:rPr>
          <w:b/>
        </w:rPr>
        <w:t>м возможность принятия решений.</w:t>
      </w:r>
    </w:p>
    <w:p w:rsidR="009A40B5" w:rsidRDefault="009A40B5" w:rsidP="001200A0">
      <w:pPr>
        <w:pStyle w:val="SingleTxtGR"/>
      </w:pPr>
      <w:r>
        <w:t>23.</w:t>
      </w:r>
      <w:r>
        <w:tab/>
        <w:t>Комитет вновь выражает свою обеспокоенность тем, что государство-участник до сих пор не внесло изменений в квалификацию преступления пы</w:t>
      </w:r>
      <w:r>
        <w:t>т</w:t>
      </w:r>
      <w:r>
        <w:t>ки, данную в Уголовном кодексе, приведя его в соответствие с международн</w:t>
      </w:r>
      <w:r>
        <w:t>ы</w:t>
      </w:r>
      <w:r>
        <w:t>ми нормами. Кроме того, Комитет обеспокоен тем, что полиция и судебная власть не располагают надежными данными регистрации таких случаев (ст</w:t>
      </w:r>
      <w:r>
        <w:t>а</w:t>
      </w:r>
      <w:r>
        <w:t>тья 7).</w:t>
      </w:r>
    </w:p>
    <w:p w:rsidR="009A40B5" w:rsidRDefault="009A40B5" w:rsidP="001200A0">
      <w:pPr>
        <w:pStyle w:val="SingleTxtGR"/>
        <w:rPr>
          <w:b/>
        </w:rPr>
      </w:pPr>
      <w:r>
        <w:rPr>
          <w:b/>
        </w:rPr>
        <w:t>Государство-участник должно внести поправки в свое законодательство, в частности в статьи 201-бис и 425 Уголовного кодекса, чтобы привести кв</w:t>
      </w:r>
      <w:r>
        <w:rPr>
          <w:b/>
        </w:rPr>
        <w:t>а</w:t>
      </w:r>
      <w:r>
        <w:rPr>
          <w:b/>
        </w:rPr>
        <w:t>лификацию уголовного преступления пытки в соответствие с междунаро</w:t>
      </w:r>
      <w:r>
        <w:rPr>
          <w:b/>
        </w:rPr>
        <w:t>д</w:t>
      </w:r>
      <w:r>
        <w:rPr>
          <w:b/>
        </w:rPr>
        <w:t>ными нормами. Государство-участник должно обеспечить, чтобы все пре</w:t>
      </w:r>
      <w:r>
        <w:rPr>
          <w:b/>
        </w:rPr>
        <w:t>д</w:t>
      </w:r>
      <w:r>
        <w:rPr>
          <w:b/>
        </w:rPr>
        <w:t>полагаемые акты пыток или любого жестокого, бесчеловечного или ун</w:t>
      </w:r>
      <w:r>
        <w:rPr>
          <w:b/>
        </w:rPr>
        <w:t>и</w:t>
      </w:r>
      <w:r>
        <w:rPr>
          <w:b/>
        </w:rPr>
        <w:t>жающего достоинство обращения должным образом регистриров</w:t>
      </w:r>
      <w:r>
        <w:rPr>
          <w:b/>
        </w:rPr>
        <w:t>а</w:t>
      </w:r>
      <w:r>
        <w:rPr>
          <w:b/>
        </w:rPr>
        <w:t>лись, влекли за собой привлечение к суду и наказание, соразмерное их т</w:t>
      </w:r>
      <w:r>
        <w:rPr>
          <w:b/>
        </w:rPr>
        <w:t>я</w:t>
      </w:r>
      <w:r>
        <w:rPr>
          <w:b/>
        </w:rPr>
        <w:t>жести.</w:t>
      </w:r>
    </w:p>
    <w:p w:rsidR="009A40B5" w:rsidRDefault="009A40B5" w:rsidP="001200A0">
      <w:pPr>
        <w:pStyle w:val="SingleTxtGR"/>
      </w:pPr>
      <w:r>
        <w:t>24.</w:t>
      </w:r>
      <w:r>
        <w:tab/>
        <w:t>Комитет обеспокоен серьезной переполненностью и плохими условиями содержания в местах заключения, что признается государством-участником, а также высокой долей лиц, отбывающих лишение свободы. Кроме того, Комитет обеспокоен докладами, указывающими на то, что несовершеннолетние соде</w:t>
      </w:r>
      <w:r>
        <w:t>р</w:t>
      </w:r>
      <w:r>
        <w:t>жатся вместе со взрослыми и что заключенные-женщины часто становятся жертвами сексуального и гендерного насилия как в момент задержания, так и при переводе в другое учреждение или в период отбывания наказания (статьи 3 и 10).</w:t>
      </w:r>
    </w:p>
    <w:p w:rsidR="009A40B5" w:rsidRDefault="009A40B5" w:rsidP="001200A0">
      <w:pPr>
        <w:pStyle w:val="SingleTxtGR"/>
        <w:rPr>
          <w:b/>
        </w:rPr>
      </w:pPr>
      <w:r>
        <w:rPr>
          <w:b/>
        </w:rPr>
        <w:t>Государство-участник должно удвоить свои усилия по улучшению условий содержания заключенных в соответствии с минимальными правилами о</w:t>
      </w:r>
      <w:r>
        <w:rPr>
          <w:b/>
        </w:rPr>
        <w:t>б</w:t>
      </w:r>
      <w:r>
        <w:rPr>
          <w:b/>
        </w:rPr>
        <w:t>ращения с з</w:t>
      </w:r>
      <w:r>
        <w:rPr>
          <w:b/>
        </w:rPr>
        <w:t>а</w:t>
      </w:r>
      <w:r>
        <w:rPr>
          <w:b/>
        </w:rPr>
        <w:t>ключенными. Оно должно в первоочередном порядке заняться решением вопросов переполненности, а также раздельного содержания н</w:t>
      </w:r>
      <w:r>
        <w:rPr>
          <w:b/>
        </w:rPr>
        <w:t>е</w:t>
      </w:r>
      <w:r>
        <w:rPr>
          <w:b/>
        </w:rPr>
        <w:t>совершеннолетних, женщин и мужчин-заключенных. Кроме того, госуда</w:t>
      </w:r>
      <w:r>
        <w:rPr>
          <w:b/>
        </w:rPr>
        <w:t>р</w:t>
      </w:r>
      <w:r>
        <w:rPr>
          <w:b/>
        </w:rPr>
        <w:t>ство должно принять конкретные меры по защите прав заключенных-женщин, в особенности в период перевода из одного учреждения в др</w:t>
      </w:r>
      <w:r>
        <w:rPr>
          <w:b/>
        </w:rPr>
        <w:t>у</w:t>
      </w:r>
      <w:r>
        <w:rPr>
          <w:b/>
        </w:rPr>
        <w:t>гое.</w:t>
      </w:r>
    </w:p>
    <w:p w:rsidR="009A40B5" w:rsidRDefault="009A40B5" w:rsidP="001200A0">
      <w:pPr>
        <w:pStyle w:val="SingleTxtGR"/>
      </w:pPr>
      <w:r>
        <w:t>25.</w:t>
      </w:r>
      <w:r>
        <w:tab/>
        <w:t>Комитет обеспокоен тем, что до сих пор не проведено необходимой р</w:t>
      </w:r>
      <w:r>
        <w:t>е</w:t>
      </w:r>
      <w:r>
        <w:t>формы си</w:t>
      </w:r>
      <w:r>
        <w:t>с</w:t>
      </w:r>
      <w:r>
        <w:t>темы правосудия, благодаря которой заметные успехи, наметившиеся в расследовании и производстве по резонансным делам, были бы закреплены в постоянном и устойчивом институциональном механизме. Запугивание, угрозы и посягательства в отношении ряда потерпевших, свидетелей и работников о</w:t>
      </w:r>
      <w:r>
        <w:t>р</w:t>
      </w:r>
      <w:r>
        <w:t>ганов юстиции, участвовавших в процессах, связанных с делами о прошлых с</w:t>
      </w:r>
      <w:r>
        <w:t>о</w:t>
      </w:r>
      <w:r>
        <w:t>бытиях или об организованной преступности, по-прежнему препятствуют ос</w:t>
      </w:r>
      <w:r>
        <w:t>у</w:t>
      </w:r>
      <w:r>
        <w:t>ществления прав на истину и справедливость (статья 14).</w:t>
      </w:r>
    </w:p>
    <w:p w:rsidR="009A40B5" w:rsidRDefault="009A40B5" w:rsidP="001200A0">
      <w:pPr>
        <w:pStyle w:val="SingleTxtGR"/>
        <w:rPr>
          <w:b/>
        </w:rPr>
      </w:pPr>
      <w:r>
        <w:rPr>
          <w:b/>
        </w:rPr>
        <w:t>Государство-участник должно уделять первоочередное внимание обсужд</w:t>
      </w:r>
      <w:r>
        <w:rPr>
          <w:b/>
        </w:rPr>
        <w:t>е</w:t>
      </w:r>
      <w:r>
        <w:rPr>
          <w:b/>
        </w:rPr>
        <w:t>нию и принятию поправок к законодательству о статусе рабо</w:t>
      </w:r>
      <w:r>
        <w:rPr>
          <w:b/>
        </w:rPr>
        <w:t>т</w:t>
      </w:r>
      <w:r>
        <w:rPr>
          <w:b/>
        </w:rPr>
        <w:t>ников суда и прокуратуры для устранения любых структурных факторов, которые м</w:t>
      </w:r>
      <w:r>
        <w:rPr>
          <w:b/>
        </w:rPr>
        <w:t>о</w:t>
      </w:r>
      <w:r>
        <w:rPr>
          <w:b/>
        </w:rPr>
        <w:t>гут препятствовать независимости и беспристрастности суда. В этой связи государству-участнику необходимо и далее оказывать поддержку МКПБГ в ее усилиях по улучшению работы следствия по уголовным делам и суда и осуществлению законодательства об охране правопорядка.</w:t>
      </w:r>
    </w:p>
    <w:p w:rsidR="009A40B5" w:rsidRDefault="009A40B5" w:rsidP="001200A0">
      <w:pPr>
        <w:pStyle w:val="SingleTxtGR"/>
      </w:pPr>
      <w:r>
        <w:t>26.</w:t>
      </w:r>
      <w:r>
        <w:tab/>
        <w:t>Комитет обеспокоен существующими ограничениями в плане доступа к юстиции в силу недостаточности географического охвата системы правосудия, а также господством ее монокультурной концепции. Кроме того, Комитет в</w:t>
      </w:r>
      <w:r>
        <w:t>ы</w:t>
      </w:r>
      <w:r>
        <w:t>ражает сожаление по поводу отсутствия переводчиков, необходимых для удо</w:t>
      </w:r>
      <w:r>
        <w:t>в</w:t>
      </w:r>
      <w:r>
        <w:t>летворения потребностей коре</w:t>
      </w:r>
      <w:r>
        <w:t>н</w:t>
      </w:r>
      <w:r>
        <w:t>ных жителей (статьи 14 и 27).</w:t>
      </w:r>
    </w:p>
    <w:p w:rsidR="009A40B5" w:rsidRPr="00B62502" w:rsidRDefault="009A40B5" w:rsidP="001200A0">
      <w:pPr>
        <w:pStyle w:val="SingleTxtGR"/>
        <w:rPr>
          <w:b/>
        </w:rPr>
      </w:pPr>
      <w:r>
        <w:rPr>
          <w:b/>
        </w:rPr>
        <w:t>Государство-участник должно принять меры, необходимые для предоста</w:t>
      </w:r>
      <w:r>
        <w:rPr>
          <w:b/>
        </w:rPr>
        <w:t>в</w:t>
      </w:r>
      <w:r>
        <w:rPr>
          <w:b/>
        </w:rPr>
        <w:t>ления каждому доступа к правосудию на своем языке, приняв действенные меры по привлечению двуязычных должностных лиц, создав необходимое число должностей переводчиков и обеспечив необходимую подготовку сп</w:t>
      </w:r>
      <w:r>
        <w:rPr>
          <w:b/>
        </w:rPr>
        <w:t>е</w:t>
      </w:r>
      <w:r>
        <w:rPr>
          <w:b/>
        </w:rPr>
        <w:t>циалистов, выполняющих соответствующие функции, а также оценивая на постоянной основе качество работы во всех регионах страны. Кроме того, государство-участник должно реализовать программы специального об</w:t>
      </w:r>
      <w:r>
        <w:rPr>
          <w:b/>
        </w:rPr>
        <w:t>у</w:t>
      </w:r>
      <w:r>
        <w:rPr>
          <w:b/>
        </w:rPr>
        <w:t>чен</w:t>
      </w:r>
      <w:r w:rsidR="00465060">
        <w:rPr>
          <w:b/>
        </w:rPr>
        <w:t>ия работников судов, которым пор</w:t>
      </w:r>
      <w:r>
        <w:rPr>
          <w:b/>
        </w:rPr>
        <w:t>учено представлять судебные орг</w:t>
      </w:r>
      <w:r>
        <w:rPr>
          <w:b/>
        </w:rPr>
        <w:t>а</w:t>
      </w:r>
      <w:r>
        <w:rPr>
          <w:b/>
        </w:rPr>
        <w:t>ны в местах проживания коренных жителей.</w:t>
      </w:r>
    </w:p>
    <w:p w:rsidR="009A40B5" w:rsidRDefault="009A40B5" w:rsidP="001200A0">
      <w:pPr>
        <w:pStyle w:val="SingleTxtGR"/>
      </w:pPr>
      <w:r>
        <w:t>27.</w:t>
      </w:r>
      <w:r>
        <w:tab/>
        <w:t>Хотя он с удовлетворением отмечает меры, принятые государством-участником, такие как Программа развития коренных народов на период 2009−2012 годов и поправки к Конституции 2001 года, призванные обесп</w:t>
      </w:r>
      <w:r>
        <w:t>е</w:t>
      </w:r>
      <w:r>
        <w:t>чить права коренных жителей, Комитет высказывает сожаление по поводу того, что государство-участник не проводит реальных консультаций с коренными нар</w:t>
      </w:r>
      <w:r>
        <w:t>о</w:t>
      </w:r>
      <w:r>
        <w:t>дами в рамках процессов принятия решений, затрагивающих их права (ст</w:t>
      </w:r>
      <w:r>
        <w:t>а</w:t>
      </w:r>
      <w:r>
        <w:t>тьи 2, 25 и 27).</w:t>
      </w:r>
    </w:p>
    <w:p w:rsidR="009A40B5" w:rsidRDefault="009A40B5" w:rsidP="001200A0">
      <w:pPr>
        <w:pStyle w:val="SingleTxtGR"/>
        <w:rPr>
          <w:b/>
        </w:rPr>
      </w:pPr>
      <w:r>
        <w:rPr>
          <w:b/>
        </w:rPr>
        <w:t>Государство-участник должно выполнить свои международные обязател</w:t>
      </w:r>
      <w:r>
        <w:rPr>
          <w:b/>
        </w:rPr>
        <w:t>ь</w:t>
      </w:r>
      <w:r>
        <w:rPr>
          <w:b/>
        </w:rPr>
        <w:t>ства проводить предварительные предметные консульт</w:t>
      </w:r>
      <w:r>
        <w:rPr>
          <w:b/>
        </w:rPr>
        <w:t>а</w:t>
      </w:r>
      <w:r>
        <w:rPr>
          <w:b/>
        </w:rPr>
        <w:t>ции с коренными народами при принятии любых решений, связанных с проектами, затраг</w:t>
      </w:r>
      <w:r>
        <w:rPr>
          <w:b/>
        </w:rPr>
        <w:t>и</w:t>
      </w:r>
      <w:r>
        <w:rPr>
          <w:b/>
        </w:rPr>
        <w:t>вающими их права, в соответствии со статьей 27 Пакта. Государство-участник также должно признавать и должным образом учитывать реш</w:t>
      </w:r>
      <w:r>
        <w:rPr>
          <w:b/>
        </w:rPr>
        <w:t>е</w:t>
      </w:r>
      <w:r>
        <w:rPr>
          <w:b/>
        </w:rPr>
        <w:t>ния, принятые коренными народами, в связи с процессами консульт</w:t>
      </w:r>
      <w:r>
        <w:rPr>
          <w:b/>
        </w:rPr>
        <w:t>а</w:t>
      </w:r>
      <w:r>
        <w:rPr>
          <w:b/>
        </w:rPr>
        <w:t>ций.</w:t>
      </w:r>
    </w:p>
    <w:p w:rsidR="009A40B5" w:rsidRDefault="009A40B5" w:rsidP="001200A0">
      <w:pPr>
        <w:pStyle w:val="SingleTxtGR"/>
      </w:pPr>
      <w:r>
        <w:t>28.</w:t>
      </w:r>
      <w:r>
        <w:tab/>
        <w:t>Государству-участнику следует широко распространить информацию о Пакте, текст третьего периодического доклада, письменные ответы, которые оно представило в ответ на перечень вопросов, подготовленный Комитетом, и настоящие заключительные замечания с целью повышения уровня информир</w:t>
      </w:r>
      <w:r>
        <w:t>о</w:t>
      </w:r>
      <w:r>
        <w:t>ванности сотрудников судебных, законодательных и административных орг</w:t>
      </w:r>
      <w:r>
        <w:t>а</w:t>
      </w:r>
      <w:r>
        <w:t>нов, организаций гражданского общества и НПО, действующих в стране, а та</w:t>
      </w:r>
      <w:r>
        <w:t>к</w:t>
      </w:r>
      <w:r>
        <w:t>же населения в целом. Комитет также предлагает перевести этот доклад и з</w:t>
      </w:r>
      <w:r>
        <w:t>а</w:t>
      </w:r>
      <w:r>
        <w:t>ключительные замечания на официальные языки государства-участника. Кроме того, Комитет просит государство-участник при подготовке своего четвертого периодического доклада провести широкие консультации с представителями гражданского общества и НПО.</w:t>
      </w:r>
    </w:p>
    <w:p w:rsidR="009A40B5" w:rsidRDefault="009A40B5" w:rsidP="001200A0">
      <w:pPr>
        <w:pStyle w:val="SingleTxtGR"/>
      </w:pPr>
      <w:r>
        <w:t>29.</w:t>
      </w:r>
      <w:r>
        <w:tab/>
        <w:t>В соответствии с положениями пункта 5 правила 71 правил процедуры Комитета государству-участнику следует представить в течение одного года с</w:t>
      </w:r>
      <w:r>
        <w:t>о</w:t>
      </w:r>
      <w:r>
        <w:t>ответствующую информацию о выполнении им рекомендаций Комитета, с</w:t>
      </w:r>
      <w:r>
        <w:t>о</w:t>
      </w:r>
      <w:r>
        <w:t>держащихся в пунктах 7, 21 и 22 настоящих заключительных замечаний.</w:t>
      </w:r>
    </w:p>
    <w:p w:rsidR="009A40B5" w:rsidRDefault="009A40B5" w:rsidP="001200A0">
      <w:pPr>
        <w:pStyle w:val="SingleTxtGR"/>
      </w:pPr>
      <w:r>
        <w:t>30.</w:t>
      </w:r>
      <w:r>
        <w:tab/>
        <w:t>Комитет просит государство-участник включить в свой следующий п</w:t>
      </w:r>
      <w:r>
        <w:t>е</w:t>
      </w:r>
      <w:r>
        <w:t>риодический доклад, который должен быть представлен не позднее 30 марта 2016 года, ко</w:t>
      </w:r>
      <w:r>
        <w:t>н</w:t>
      </w:r>
      <w:r>
        <w:t xml:space="preserve">кретную обновленную информацию по всем его рекомендациям и по Пакту в целом. </w:t>
      </w:r>
    </w:p>
    <w:p w:rsidR="009A40B5" w:rsidRPr="009C01DE" w:rsidRDefault="009A40B5" w:rsidP="001200A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66F2C" w:rsidRPr="00493EFC" w:rsidRDefault="00466F2C" w:rsidP="00450F9D">
      <w:pPr>
        <w:pStyle w:val="SingleTxtGR"/>
      </w:pPr>
    </w:p>
    <w:sectPr w:rsidR="00466F2C" w:rsidRPr="00493EFC" w:rsidSect="0084613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0A0" w:rsidRDefault="001200A0">
      <w:r>
        <w:rPr>
          <w:lang w:val="en-US"/>
        </w:rPr>
        <w:tab/>
      </w:r>
      <w:r>
        <w:separator/>
      </w:r>
    </w:p>
  </w:endnote>
  <w:endnote w:type="continuationSeparator" w:id="0">
    <w:p w:rsidR="001200A0" w:rsidRDefault="00120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0A0" w:rsidRPr="005F0588" w:rsidRDefault="001200A0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lang w:val="en-US"/>
      </w:rPr>
      <w:tab/>
    </w:r>
    <w:r w:rsidRPr="00B861A4">
      <w:rPr>
        <w:lang w:val="en-US"/>
      </w:rPr>
      <w:t>GE.1</w:t>
    </w:r>
    <w:r w:rsidRPr="00B861A4">
      <w:rPr>
        <w:lang w:val="ru-RU"/>
      </w:rPr>
      <w:t>2</w:t>
    </w:r>
    <w:r w:rsidRPr="00B861A4">
      <w:rPr>
        <w:lang w:val="en-US"/>
      </w:rPr>
      <w:t>-</w:t>
    </w:r>
    <w:r w:rsidRPr="00B861A4">
      <w:rPr>
        <w:lang w:val="ru-RU"/>
      </w:rPr>
      <w:t>42100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0A0" w:rsidRPr="005F0588" w:rsidRDefault="001200A0">
    <w:pPr>
      <w:pStyle w:val="Footer"/>
      <w:rPr>
        <w:lang w:val="en-US"/>
      </w:rPr>
    </w:pPr>
    <w:r w:rsidRPr="00B861A4">
      <w:rPr>
        <w:lang w:val="en-US"/>
      </w:rPr>
      <w:t>GE.1</w:t>
    </w:r>
    <w:r w:rsidRPr="00B861A4">
      <w:rPr>
        <w:lang w:val="ru-RU"/>
      </w:rPr>
      <w:t>2</w:t>
    </w:r>
    <w:r w:rsidRPr="00B861A4">
      <w:rPr>
        <w:lang w:val="en-US"/>
      </w:rPr>
      <w:t>-</w:t>
    </w:r>
    <w:r w:rsidRPr="00B861A4">
      <w:rPr>
        <w:lang w:val="ru-RU"/>
      </w:rPr>
      <w:t>42100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0A0" w:rsidRPr="00B861A4" w:rsidRDefault="001200A0">
    <w:pPr>
      <w:pStyle w:val="Footer"/>
      <w:rPr>
        <w:sz w:val="20"/>
        <w:lang w:val="ru-RU"/>
      </w:rPr>
    </w:pPr>
    <w:r>
      <w:rPr>
        <w:sz w:val="20"/>
        <w:lang w:val="en-US"/>
      </w:rPr>
      <w:t>GE.1</w:t>
    </w:r>
    <w:r>
      <w:rPr>
        <w:sz w:val="20"/>
        <w:lang w:val="ru-RU"/>
      </w:rPr>
      <w:t>2</w:t>
    </w:r>
    <w:r>
      <w:rPr>
        <w:sz w:val="20"/>
        <w:lang w:val="en-US"/>
      </w:rPr>
      <w:t>-</w:t>
    </w:r>
    <w:r>
      <w:rPr>
        <w:sz w:val="20"/>
        <w:lang w:val="ru-RU"/>
      </w:rPr>
      <w:t>42100</w:t>
    </w:r>
    <w:r>
      <w:rPr>
        <w:sz w:val="20"/>
        <w:lang w:val="en-US"/>
      </w:rPr>
      <w:t xml:space="preserve">  (R)  </w:t>
    </w:r>
    <w:r>
      <w:rPr>
        <w:sz w:val="20"/>
        <w:lang w:val="ru-RU"/>
      </w:rPr>
      <w:t>180612   180612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0A0" w:rsidRPr="00F71F63" w:rsidRDefault="001200A0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1200A0" w:rsidRPr="00F71F63" w:rsidRDefault="001200A0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1200A0" w:rsidRPr="00635E86" w:rsidRDefault="001200A0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0A0" w:rsidRPr="005F0588" w:rsidRDefault="001200A0">
    <w:pPr>
      <w:pStyle w:val="Header"/>
      <w:rPr>
        <w:lang w:val="en-US"/>
      </w:rPr>
    </w:pPr>
    <w:r>
      <w:rPr>
        <w:lang w:val="en-US"/>
      </w:rPr>
      <w:t>CCPR/C/GTM/CO/3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0A0" w:rsidRPr="005F0588" w:rsidRDefault="001200A0">
    <w:pPr>
      <w:pStyle w:val="Header"/>
      <w:rPr>
        <w:lang w:val="en-US"/>
      </w:rPr>
    </w:pPr>
    <w:r>
      <w:rPr>
        <w:lang w:val="en-US"/>
      </w:rPr>
      <w:tab/>
      <w:t>CCPR/C/GTM/CO/3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07C6"/>
    <w:rsid w:val="000033D8"/>
    <w:rsid w:val="00005C1C"/>
    <w:rsid w:val="00016553"/>
    <w:rsid w:val="000233B3"/>
    <w:rsid w:val="00023E9E"/>
    <w:rsid w:val="00026B0C"/>
    <w:rsid w:val="00035501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0F24"/>
    <w:rsid w:val="000C3688"/>
    <w:rsid w:val="000D6863"/>
    <w:rsid w:val="000F410F"/>
    <w:rsid w:val="000F4974"/>
    <w:rsid w:val="00117AEE"/>
    <w:rsid w:val="001200A0"/>
    <w:rsid w:val="001463F7"/>
    <w:rsid w:val="0015769C"/>
    <w:rsid w:val="001755A4"/>
    <w:rsid w:val="00180752"/>
    <w:rsid w:val="00185076"/>
    <w:rsid w:val="0018543C"/>
    <w:rsid w:val="00190231"/>
    <w:rsid w:val="00192ABD"/>
    <w:rsid w:val="001A2544"/>
    <w:rsid w:val="001A75D5"/>
    <w:rsid w:val="001A7D40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443F9"/>
    <w:rsid w:val="00356BB2"/>
    <w:rsid w:val="00360477"/>
    <w:rsid w:val="00360F9E"/>
    <w:rsid w:val="00367FC9"/>
    <w:rsid w:val="003711A1"/>
    <w:rsid w:val="00372123"/>
    <w:rsid w:val="00386581"/>
    <w:rsid w:val="00387100"/>
    <w:rsid w:val="003908EE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0F9D"/>
    <w:rsid w:val="00457634"/>
    <w:rsid w:val="00465060"/>
    <w:rsid w:val="00466F2C"/>
    <w:rsid w:val="0047041D"/>
    <w:rsid w:val="00474F42"/>
    <w:rsid w:val="0048244D"/>
    <w:rsid w:val="004A0DE8"/>
    <w:rsid w:val="004A4CB7"/>
    <w:rsid w:val="004A57B5"/>
    <w:rsid w:val="004B19DA"/>
    <w:rsid w:val="004B77FB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204E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4631B"/>
    <w:rsid w:val="0075279B"/>
    <w:rsid w:val="00753748"/>
    <w:rsid w:val="00762446"/>
    <w:rsid w:val="00781ACB"/>
    <w:rsid w:val="007A79EB"/>
    <w:rsid w:val="007D2D8D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27B3D"/>
    <w:rsid w:val="00830402"/>
    <w:rsid w:val="008305D7"/>
    <w:rsid w:val="00834887"/>
    <w:rsid w:val="00842FED"/>
    <w:rsid w:val="008455CF"/>
    <w:rsid w:val="0084613B"/>
    <w:rsid w:val="00847689"/>
    <w:rsid w:val="00861C52"/>
    <w:rsid w:val="008727A1"/>
    <w:rsid w:val="00886B0F"/>
    <w:rsid w:val="00887A27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407C6"/>
    <w:rsid w:val="00955022"/>
    <w:rsid w:val="00957B4D"/>
    <w:rsid w:val="00964EEA"/>
    <w:rsid w:val="00980C86"/>
    <w:rsid w:val="009A40B5"/>
    <w:rsid w:val="009A7790"/>
    <w:rsid w:val="009B1D9B"/>
    <w:rsid w:val="009B4074"/>
    <w:rsid w:val="009C30BB"/>
    <w:rsid w:val="009C60BE"/>
    <w:rsid w:val="009E371D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1848"/>
    <w:rsid w:val="00B05F21"/>
    <w:rsid w:val="00B14EA9"/>
    <w:rsid w:val="00B30A3C"/>
    <w:rsid w:val="00B81305"/>
    <w:rsid w:val="00B861A4"/>
    <w:rsid w:val="00BB17DC"/>
    <w:rsid w:val="00BB1AF9"/>
    <w:rsid w:val="00BB4C4A"/>
    <w:rsid w:val="00BC7F12"/>
    <w:rsid w:val="00BD3CAE"/>
    <w:rsid w:val="00BD5F3C"/>
    <w:rsid w:val="00BF25C2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62BA8"/>
    <w:rsid w:val="00D76358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60B13"/>
    <w:rsid w:val="00E717F3"/>
    <w:rsid w:val="00E72C5E"/>
    <w:rsid w:val="00E73451"/>
    <w:rsid w:val="00E7489F"/>
    <w:rsid w:val="00E75147"/>
    <w:rsid w:val="00E8167D"/>
    <w:rsid w:val="00E907E9"/>
    <w:rsid w:val="00E9318F"/>
    <w:rsid w:val="00E96BE7"/>
    <w:rsid w:val="00EA2CD0"/>
    <w:rsid w:val="00EC0044"/>
    <w:rsid w:val="00EC6B9F"/>
    <w:rsid w:val="00EE516D"/>
    <w:rsid w:val="00EE5568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84613B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</Template>
  <TotalTime>1</TotalTime>
  <Pages>9</Pages>
  <Words>3279</Words>
  <Characters>23551</Characters>
  <Application>Microsoft Office Word</Application>
  <DocSecurity>4</DocSecurity>
  <Lines>436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1242100</vt:lpstr>
    </vt:vector>
  </TitlesOfParts>
  <Company>CSD</Company>
  <LinksUpToDate>false</LinksUpToDate>
  <CharactersWithSpaces>26748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1242100</dc:title>
  <dc:subject>СКУРИХИН</dc:subject>
  <dc:creator>Людмила Цепелева</dc:creator>
  <cp:keywords/>
  <dc:description/>
  <cp:lastModifiedBy>Ирина Сафонова</cp:lastModifiedBy>
  <cp:revision>2</cp:revision>
  <cp:lastPrinted>2012-06-18T09:22:00Z</cp:lastPrinted>
  <dcterms:created xsi:type="dcterms:W3CDTF">2012-06-18T12:26:00Z</dcterms:created>
  <dcterms:modified xsi:type="dcterms:W3CDTF">2012-06-18T12:26:00Z</dcterms:modified>
</cp:coreProperties>
</file>