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02.15pt;width:198pt;height:19.85pt;z-index:1;mso-position-horizontal-relative:page" filled="f" stroked="f">
            <v:textbox inset="0,0,0,0">
              <w:txbxContent>
                <w:p w:rsidR="00000000" w:rsidRDefault="00000000">
                  <w:r>
                    <w:rPr>
                      <w:lang w:val="en-US"/>
                    </w:rPr>
                    <w:t>GE.09-44564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</w:t>
                  </w:r>
                  <w:r>
                    <w:t>160909    290909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  <w:lang w:val="en-US"/>
              </w:rPr>
            </w:pPr>
            <w:r>
              <w:rPr>
                <w:rFonts w:ascii="Times New Roman" w:hAnsi="Times New Roman"/>
                <w:sz w:val="68"/>
              </w:rPr>
              <w:t>CR</w:t>
            </w:r>
            <w:r>
              <w:rPr>
                <w:rFonts w:ascii="Times New Roman" w:hAnsi="Times New Roman"/>
                <w:sz w:val="68"/>
                <w:lang w:val="en-US"/>
              </w:rPr>
              <w:t>PD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444033338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Конвенция о</w:t>
            </w:r>
            <w:r>
              <w:rPr>
                <w:b/>
                <w:sz w:val="40"/>
                <w:lang w:val="en-US"/>
              </w:rPr>
              <w:t xml:space="preserve"> </w:t>
            </w:r>
            <w:r>
              <w:rPr>
                <w:b/>
                <w:sz w:val="40"/>
              </w:rPr>
              <w:t>правах инвалидов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CCPR/C/NLD/CO/4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 August 2009</w:t>
            </w: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spacing w:line="240" w:lineRule="auto"/>
      </w:pPr>
      <w:r>
        <w:t>КОМИТЕТ ПО ПРАВАМ ЧЕЛОВЕКА</w:t>
      </w:r>
    </w:p>
    <w:p w:rsidR="00000000" w:rsidRDefault="00000000">
      <w:pPr>
        <w:spacing w:line="240" w:lineRule="auto"/>
      </w:pPr>
      <w:r>
        <w:t>Девяносто шестая сессия</w:t>
      </w:r>
    </w:p>
    <w:p w:rsidR="00000000" w:rsidRDefault="00000000">
      <w:r>
        <w:t>Женева, 13-31 июля 2009 года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</w:t>
      </w:r>
      <w:r>
        <w:rPr>
          <w:b/>
        </w:rPr>
        <w:br/>
        <w:t>УЧАСТНИКАМИ В СООТВЕТСТВИИ СО СТАТЬЕЙ 40 ПАКТА</w:t>
      </w: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pPr>
        <w:spacing w:line="240" w:lineRule="auto"/>
        <w:jc w:val="center"/>
        <w:rPr>
          <w:b/>
        </w:rPr>
      </w:pPr>
      <w:r>
        <w:rPr>
          <w:b/>
        </w:rPr>
        <w:t>Заключительные замечания Комитета по правам человека</w:t>
      </w: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</w:rPr>
      </w:pPr>
      <w:r>
        <w:rPr>
          <w:b/>
        </w:rPr>
        <w:t>НИДЕРЛАНДЫ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1.</w:t>
      </w:r>
      <w:r>
        <w:tab/>
        <w:t>Комитет по правам человека рассмотрел четвертый периодический доклад Нидерландов (</w:t>
      </w:r>
      <w:r>
        <w:rPr>
          <w:rFonts w:ascii="Times New" w:hAnsi="Times New"/>
          <w:lang w:val="en-US"/>
        </w:rPr>
        <w:t>CCPR</w:t>
      </w:r>
      <w:r>
        <w:rPr>
          <w:rFonts w:ascii="Times New" w:hAnsi="Times New"/>
        </w:rPr>
        <w:t>/</w:t>
      </w:r>
      <w:r>
        <w:rPr>
          <w:rFonts w:ascii="Times New" w:hAnsi="Times New"/>
          <w:lang w:val="en-US"/>
        </w:rPr>
        <w:t>C</w:t>
      </w:r>
      <w:r>
        <w:rPr>
          <w:rFonts w:ascii="Times New" w:hAnsi="Times New"/>
        </w:rPr>
        <w:t>/</w:t>
      </w:r>
      <w:r>
        <w:rPr>
          <w:rFonts w:ascii="Times New" w:hAnsi="Times New"/>
          <w:lang w:val="en-US"/>
        </w:rPr>
        <w:t>NET</w:t>
      </w:r>
      <w:r>
        <w:rPr>
          <w:rFonts w:ascii="Times New" w:hAnsi="Times New"/>
        </w:rPr>
        <w:t xml:space="preserve">/4, 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NET</w:t>
      </w:r>
      <w:r>
        <w:t>/4/</w:t>
      </w:r>
      <w:r>
        <w:rPr>
          <w:lang w:val="en-US"/>
        </w:rPr>
        <w:t>Add</w:t>
      </w:r>
      <w:r>
        <w:t>.1 и</w:t>
      </w:r>
      <w:r>
        <w:rPr>
          <w:rFonts w:ascii="Times New" w:hAnsi="Times New"/>
        </w:rPr>
        <w:t xml:space="preserve"> 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NET</w:t>
      </w:r>
      <w:r>
        <w:t>/4/</w:t>
      </w:r>
      <w:r>
        <w:rPr>
          <w:lang w:val="en-US"/>
        </w:rPr>
        <w:t>Add</w:t>
      </w:r>
      <w:r>
        <w:t>.2</w:t>
      </w:r>
      <w:r>
        <w:rPr>
          <w:rFonts w:ascii="Times New" w:hAnsi="Times New"/>
        </w:rPr>
        <w:t xml:space="preserve">) </w:t>
      </w:r>
      <w:r>
        <w:t>на своих</w:t>
      </w:r>
      <w:r>
        <w:rPr>
          <w:rFonts w:ascii="Times New" w:hAnsi="Times New"/>
        </w:rPr>
        <w:t xml:space="preserve"> 2630</w:t>
      </w:r>
      <w:r>
        <w:noBreakHyphen/>
        <w:t>м и</w:t>
      </w:r>
      <w:r>
        <w:rPr>
          <w:rFonts w:ascii="Times New" w:hAnsi="Times New"/>
        </w:rPr>
        <w:t xml:space="preserve"> 2631</w:t>
      </w:r>
      <w:r>
        <w:t xml:space="preserve">-м заседаниях 14 и 15 июля 2009 года и на своем </w:t>
      </w:r>
      <w:r>
        <w:rPr>
          <w:rFonts w:ascii="Times New" w:hAnsi="Times New"/>
        </w:rPr>
        <w:t>2650</w:t>
      </w:r>
      <w:r>
        <w:t>-м заседании 28 июля 2009 года принял следующие заключительные замечания.</w:t>
      </w:r>
    </w:p>
    <w:p w:rsidR="00000000" w:rsidRDefault="00000000"/>
    <w:p w:rsidR="00000000" w:rsidRDefault="00000000">
      <w:pPr>
        <w:spacing w:line="240" w:lineRule="auto"/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r>
        <w:t>2.</w:t>
      </w:r>
      <w:r>
        <w:tab/>
        <w:t>Комитет приветствует четвертый периодический доклад Нидерландов, содержащий подробную информацию о мерах, принятых государством-участником, и его планах по дальнейшему осуществлению Пакта.  Комитет высоко оценивает качество письменных ответов на заданные вопросы и выражает признательность делегации за ее устные ответы.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ЕВРОПЕЙСКАЯ ЧАСТЬ КОРОЛЕВСТВА</w:t>
      </w:r>
    </w:p>
    <w:p w:rsidR="00000000" w:rsidRDefault="00000000">
      <w:pPr>
        <w:jc w:val="center"/>
        <w:rPr>
          <w:b/>
        </w:rPr>
      </w:pPr>
    </w:p>
    <w:p w:rsidR="00000000" w:rsidRDefault="00000000">
      <w:pPr>
        <w:spacing w:line="240" w:lineRule="auto"/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r>
        <w:t>3.</w:t>
      </w:r>
      <w:r>
        <w:tab/>
        <w:t>Комитет отмечает неослабное внимание, уделяемое государством-участником вопросам защиты прав человека, и приветствует следующие законодательные и другие меры:</w:t>
      </w:r>
    </w:p>
    <w:p w:rsidR="00000000" w:rsidRDefault="00000000"/>
    <w:p w:rsidR="00000000" w:rsidRDefault="00000000">
      <w:r>
        <w:tab/>
        <w:t>а)</w:t>
      </w:r>
      <w:r>
        <w:tab/>
        <w:t>принятый в мае 2004 года Закон о равенстве в вопросах труда и занятости (возрастная дискриминация), который запрещает дискриминацию по признаку возраста в сфере занятости и профессиональной подготовки;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Закон о временном запрете на проживание в семье (2009 год), который позволяет временно лишать лиц, прибегающих к насилию в семье, права на совместное проживание в тех случаях, когда жертвы, включая детей, подвергаются серьезной опасности;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программу действий "Участвуют все" (2007 год), направленную на борьбу с этнической и расовой дискриминацией в вопросах трудоустройства;  и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принятый в декабре 2004 года Национальный план действий по борьбе с торговлей людьми, а также создание в 2008 году Целевой группы по проблеме торговли людьми, призванной обеспечивать координацию и поддержку усилий в этой области, в частности посредством поощрения обмена передовым опытом и оказания помощи местным и региональным органам.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Основные вопросы, вызывающие озабоченность, и рекомендации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4.</w:t>
      </w:r>
      <w:r>
        <w:tab/>
        <w:t>Комитет отмечает, что государство-участник не сняло своих оговорок, в том числе в отношении пунктов 1 и 2 статьи 10 Пакта.  Что касается оговорки в отношении пункта 2 а) статьи 10, то Комитет принимает к сведению заявление государства-участника о том, что раздельное содержание обвиняемых и осужденных уже обеспечивается на практике, и приветствует информацию о готовности государства-участника пересмотреть свою позицию по данному вопросу.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снять свои оговорки в отношении статьи 10 и рассмотреть возможность снятия других оговорок в отношении Пакта.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5.</w:t>
      </w:r>
      <w:r>
        <w:tab/>
        <w:t>Отмечая усилия государства-участника по обеспечению большего гендерного равенства в вопросах занятости, Комитет выражает озабоченность по поводу того, что доля женщин в общей численности рабочей силы по</w:t>
      </w:r>
      <w:r>
        <w:noBreakHyphen/>
        <w:t>прежнему значительно меньше доли мужчин, что женщины гораздо чаще работают в течение неполного рабочего дня и что сохраняется значительная разница в уровнях оплаты труда мужчин и женщин (статья 3).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активизировать усилия по обеспечению равного доступа женщин к рынку труда и равной оплаты за равный труд.  Особое внимание следует уделить созданию условий для того, чтобы женщины, имеющие маленьких детей, могли продолжать работать, и в частности расширению возможностей для устройства детей на полный или неполный день в детские учреждения и разработке надлежащих программ продленного дня.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6.</w:t>
      </w:r>
      <w:r>
        <w:tab/>
        <w:t>Комитет отмечает низкую представленность женщин на старших должностях в государственных органах, и в частности в сенате и кабинете министров.  Комитет отмечает также, что подобная картина наблюдается и в частном секторе, где женщины занимают заметно меньше старших должностей (статьи 3, 25 и 26).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pPr>
        <w:ind w:left="567"/>
        <w:rPr>
          <w:b/>
        </w:rPr>
      </w:pPr>
      <w:r>
        <w:rPr>
          <w:b/>
        </w:rPr>
        <w:t>С учетом различий в условиях в государственном и частном секторах государству-участнику следует активизировать свои усилия по увеличению представленности женщин на должностях всех уровней, предполагающих принятие политических решений, а также на руководящих должностях в частном секторе, в том числе проводить соответствующие информационно-просветительские кампании и поощрять более активный поиск подходящих кандидатов-женщин.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7.</w:t>
      </w:r>
      <w:r>
        <w:tab/>
        <w:t>Комитет по</w:t>
      </w:r>
      <w:r>
        <w:noBreakHyphen/>
        <w:t>прежнему обеспокоен масштабами распространения в государстве-участнике практики эвтаназии и оказания помощи в добровольном уходе из жизни.  Согласно Закону об эвтаназии и помощи в добровольном уходе из жизни, врач может, при наличии положительного заключения второго врача, прервать жизнь пациента без проведения судом независимой проверки с целью определить, не было ли это решение принято под давлением или в результате ошибки (статья 6).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pPr>
        <w:ind w:left="567"/>
        <w:rPr>
          <w:b/>
        </w:rPr>
      </w:pPr>
      <w:r>
        <w:rPr>
          <w:b/>
        </w:rPr>
        <w:t>Комитет повторяет свою предыдущую рекомендацию в этой связи и настоятельно призывает пересмотреть соответствующее законодательство с учетом признания в Пакте права на жизнь.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r>
        <w:t>8.</w:t>
      </w:r>
      <w:r>
        <w:tab/>
        <w:t>Комитет отмечает, что в настоящее время в государстве-участнике разрешены медицинские эксперименты с участием несовершеннолетних, когда это может принести прямую пользу ребенку или когда участие детей является необходимым для проведения научных исследований и соответствующие эксперименты не могут иметь для них сколько-нибудь серьезных последствий.  Тем не менее Комитет выражает озабоченность по поводу того, что законом не предусмотрены надлежащие гарантии в связи с медицинскими экспериментами с участием детей (статьи 7 и 24).</w:t>
      </w:r>
    </w:p>
    <w:p w:rsidR="00000000" w:rsidRDefault="00000000">
      <w:pPr>
        <w:spacing w:line="240" w:lineRule="auto"/>
        <w:rPr>
          <w:sz w:val="20"/>
        </w:rPr>
      </w:pPr>
    </w:p>
    <w:p w:rsidR="00000000" w:rsidRDefault="00000000">
      <w:pPr>
        <w:ind w:left="567"/>
        <w:rPr>
          <w:b/>
        </w:rPr>
      </w:pPr>
      <w:r>
        <w:rPr>
          <w:b/>
        </w:rPr>
        <w:t>Комитет повторяет свою рекомендацию относительно того, что государству-участнику следует принять меры к тому, чтобы несовершеннолетние не подвергались никаким медицинским экспериментам, которые не приносят им прямой пользы (нетерапевтические исследования), и чтобы общие гарантии в этой связи были полностью совместимыми с правами ребенка, в том числе в вопросах согласия.</w:t>
      </w:r>
    </w:p>
    <w:p w:rsidR="00000000" w:rsidRDefault="00000000">
      <w:r>
        <w:t>9.</w:t>
      </w:r>
      <w:r>
        <w:tab/>
        <w:t>Комитет отмечает, что в соответствии с "ускоренной процедурой" рассмотрения заявлений о предоставлении убежища такие заявления должны рассматриваться в течение 48 часов.  Комитет беспокоит то, что и нынешняя процедура, и предлагаемая регулярная 8</w:t>
      </w:r>
      <w:r>
        <w:noBreakHyphen/>
        <w:t>дневная процедура могут лишить просителей убежища возможности надлежащим образом обосновать свою просьбу и тем самым увеличить вероятность их высылки в страну, где они могут подвергнуться опасности (статья 7).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принять меры к тому, чтобы процедура рассмотрения заявлений о предоставлении убежища обеспечивала возможности для их полного и тщательного изучения, и в частности предусматривала время на представление необходимых доказательств.  При этом государство-участник должно во всех случаях обеспечивать соблюдение принципа невысылки.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10.</w:t>
      </w:r>
      <w:r>
        <w:tab/>
        <w:t>Комитет с озабоченностью отмечает, что согласно представленному в 2008 году законопроекту об административных мерах по обеспечению национальной безопасности Министерство внутренних дел и по делам Королевства может без санкции суда закрыть доступ в определенные районы или на определенные объекты для лиц, которые могут быть причастны к террористической деятельности или оказанию поддержки такой деятельности, а также может потребовать, чтобы эти лица периодически отмечались в полиции.  Нарушение запрета Министерства может повлечь за собой санкции в виде лишения свободы на срок до одного года (статьи 9 и 12).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пересмотреть данный законопроект с учетом высказанных Комитетом озабоченностей.  Поправки, которые могут быть приняты, должны обеспечивать, чтобы любые ограничения свобод, и в частности свободы передвижения, вводились лишь при наличии обоснованных подозрений в причастности соответствующих лиц к преступной деятельности и чтобы все такие меры соответствовали требованиям Пакта, в том числе положениям статьи 9 и пункта 1 статьи 12.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11.</w:t>
      </w:r>
      <w:r>
        <w:tab/>
        <w:t>Комитет отмечает, что в государстве-участнике лицо, подозреваемое в совершении уголовного преступления, не имеет права на присутствие адвоката в ходе допросов в полиции.  Оно может воспользоваться услугами адвоката лишь после выдачи прокурором санкции на арест после первоначального допроса.  Но даже после этого адвокат не может присутствовать на последующих допросах в полиции, и полиция может отклонить требование адвоката о прекращении допросов.  Комитет отмечает, что право на адвоката является важной мерой защиты от злоупотреблений (статьи 9 и 14).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Государство-участник должно обеспечить полную реализацию права на помощь со стороны адвоката в связи с допросами в полиции.  Оно должно принять меры к тому, чтобы лица, подозреваемые в совершении уголовных преступлений, сразу же после их ареста ставились в известность об их праве не свидетельствовать против самих себя.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12.</w:t>
      </w:r>
      <w:r>
        <w:tab/>
        <w:t xml:space="preserve">Комитет выражает озабоченность по поводу того, что сроки предварительного заключения в государстве-участнике могут достигать двух лет, и это в условиях ограниченности права на адвоката.  Комитет считает такую задержку в процессе придания подозреваемых суду недопустимой (статьи 9 и 14).  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Государство-участник должно принять меры к тому, чтобы судебные слушания по всем делам проводились в разумные сроки и чтобы предварительное заключение не противоречило предусмотренному статьей 14 праву на придание суду без необоснованной задержки.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13.</w:t>
      </w:r>
      <w:r>
        <w:tab/>
        <w:t>Комитет отмечает, что в соответствии с Законом о защите свидетелей личные данные некоторых свидетелей являются недоступными для адвокатов защиты по соображениям национальной безопасности.  Хотя защита может через судью задавать вопросы таким свидетелям, она в некоторых случаях не может присутствовать при их личном допросе.  Учитывая важность личности свидетелей и их поведения для оценки достоверности их показаний, данный закон серьезно ограничивает возможности обвиняемых в части опровержения выдвинутых обвинений (статья 14).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применять данный закон таким образом, чтобы обеспечить полную реализацию права обвиняемых на допрос свидетелей обвинения в соответствии со статьей 14 e) Пакта.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14.</w:t>
      </w:r>
      <w:r>
        <w:tab/>
        <w:t>Комитету известно, что государство-участник считает прослушивание телефонных разговоров важным инструментом в руках следствия.  Он полагает, что любое использование подслушивающих устройств должно быть сведено к минимуму (в целях сбора только относящейся к делу информации) и должно осуществляться под контролем судебных органов.  Комитет обеспокоен также заключением Управления по защите данных, согласно которому записи телефонных разговоров с участием лиц, обязанных соблюдать требования конфиденциальности, и прежде всего адвокатов, не защищены в той степени, которая могла бы обеспечить такую конфиденциальность (статья 17).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br w:type="page"/>
        <w:t>Государство-участник должно применять законодательные нормы, касающиеся прослушивания телефонных разговоров, таким образом, чтобы это не противоречило статье 17 Пакта, и должно исключить возможность прослушивания разговоров между сторонами, имеющими право на сохранение в тайне их содержания.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15.</w:t>
      </w:r>
      <w:r>
        <w:tab/>
        <w:t>Комитет выражает озабоченность по поводу того, что в рамках мер по борьбе с терроризмом руководители местных органов власти могут издавать распоряжения, в соответствии с которыми те или иные лица могут подвергаться каждодневным беспокоящим действиям.  Такие действия могут включать визиты и звонки к ним домой, контакты с их знакомыми и периодическое вступление в контакт с ними самими в общественных местах.  Учитывая, что такие распоряжения не требуют санкции суда или контроля с его стороны, Комитет с озабоченностью отмечает, что такая практика может оказаться несовместимой с правом на неприкосновенность личной жизни (статья 17).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внести изменения в свое законодательство в целях обеспечения того, чтобы принимаемые им контртеррористические меры не вступали в противоречие со статьей 17 Пакта, а также в целях создания эффективных механизмов, включая механизм судебного надзора, для недопущения злоупотреблений.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16.</w:t>
      </w:r>
      <w:r>
        <w:tab/>
        <w:t>Комитет принимает к сведению намерение государства-участника изъять из Уголовного кодекса статью о богохульстве и одновременно пересмотреть его положения, касающиеся дискриминации (статьи 19 и 20).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тщательно контролировать проведение любых законодательных реформ в данной области в целях обеспечения соблюдения статьи 19.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17.</w:t>
      </w:r>
      <w:r>
        <w:tab/>
        <w:t xml:space="preserve">Комитет выражает озабоченность по поводу сексуальных злоупотреблений в государстве-участнике в отношении детей.  Даже несмотря на принятие плана действий, направленного на обеспечение безопасности детей в семье, у Комитета остаются сомнения в том, что предпринимаемых усилий по защите детей недостаточно и что все случаи злоупотреблений становятся достоянием гласности (статьи 7 и 24). 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 xml:space="preserve">Государству-участнику следует активизировать свои усилия по борьбе со злоупотреблениями в отношении детей, и в частности принять меры к совершенствованию механизмов раннего выявления таких злоупотреблений, </w:t>
      </w:r>
    </w:p>
    <w:p w:rsidR="00000000" w:rsidRDefault="00000000">
      <w:pPr>
        <w:ind w:left="567"/>
        <w:rPr>
          <w:b/>
        </w:rPr>
      </w:pPr>
      <w:r>
        <w:rPr>
          <w:b/>
        </w:rPr>
        <w:br w:type="page"/>
        <w:t xml:space="preserve">поощрению практики донесения о предполагаемых и реально имевших место случаях злоупотреблений и вменению в обязанность органов власти принимать меры правового характера в отношении лиц, причастных к злоупотреблениям в отношении детей. 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18.</w:t>
      </w:r>
      <w:r>
        <w:tab/>
        <w:t>Комитет выражает озабоченность по поводу того, что предоставление жилья в некоторых районах с учетом параметров дохода (согласно Закону 2006 года о городских районах (специальные меры)) наряду с целенаправленным выделением жилья малоимущим в периферийных и центральных муниципальных образованиях может привести к нарушениям пункта 1 статьи 12 и статьи 26 Пакта (статьи 2, 12 (пункт 1), 17 и 26).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Государство-участник должно принять меры к тому, чтобы его нормативные положения, касающиеся доступа к жилью, не были дискриминационными по отношению к семьям с низким уровнем дохода и не противоречили праву выбирать место жительства.</w:t>
      </w:r>
    </w:p>
    <w:p w:rsidR="00000000" w:rsidRDefault="00000000">
      <w:pPr>
        <w:ind w:left="567"/>
        <w:rPr>
          <w:b/>
        </w:rPr>
      </w:pPr>
    </w:p>
    <w:p w:rsidR="00000000" w:rsidRDefault="00000000">
      <w:r>
        <w:t>19.</w:t>
      </w:r>
      <w:r>
        <w:tab/>
        <w:t>Комитет выражает озабоченность в связи с сообщениями о дискриминации в отношении этнических меньшинств, в том числе при приеме на работу и на рабочих местах (статья 26).</w:t>
      </w:r>
    </w:p>
    <w:p w:rsidR="00000000" w:rsidRDefault="00000000"/>
    <w:p w:rsidR="00000000" w:rsidRDefault="00000000">
      <w:pPr>
        <w:ind w:left="567"/>
        <w:rPr>
          <w:b/>
        </w:rPr>
      </w:pPr>
      <w:r>
        <w:rPr>
          <w:b/>
        </w:rPr>
        <w:t>Государству-участнику следует предпринять активные шаги к обеспечению того, чтобы этнические меньшинства имели равные возможности при приеме на работу и на рабочих местах, включая:</w:t>
      </w:r>
    </w:p>
    <w:p w:rsidR="00000000" w:rsidRDefault="00000000">
      <w:pPr>
        <w:ind w:left="567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проведение совместно с частным сектором соответствующих информационно-просветительских кампаний;</w:t>
      </w:r>
    </w:p>
    <w:p w:rsidR="00000000" w:rsidRDefault="00000000">
      <w:pPr>
        <w:ind w:left="1134" w:hanging="567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принятие мер к надлежащему информированию этнических общин о возможностях трудоустройства в государственном секторе;  и</w:t>
      </w:r>
    </w:p>
    <w:p w:rsidR="00000000" w:rsidRDefault="00000000">
      <w:pPr>
        <w:ind w:left="1134" w:hanging="567"/>
        <w:rPr>
          <w:b/>
        </w:rPr>
      </w:pPr>
    </w:p>
    <w:p w:rsidR="00000000" w:rsidRDefault="00000000">
      <w:pPr>
        <w:ind w:left="1134" w:hanging="567"/>
        <w:rPr>
          <w:b/>
        </w:rPr>
      </w:pP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проведение широких кампаний по поиску подходящих кандидатов из числа представителей этнических меньшинств.</w:t>
      </w:r>
    </w:p>
    <w:p w:rsidR="00000000" w:rsidRDefault="00000000">
      <w:pPr>
        <w:ind w:left="1134" w:hanging="567"/>
        <w:rPr>
          <w:b/>
        </w:rPr>
      </w:pPr>
    </w:p>
    <w:p w:rsidR="00000000" w:rsidRDefault="00000000">
      <w:pPr>
        <w:keepNext/>
        <w:jc w:val="center"/>
        <w:rPr>
          <w:b/>
        </w:rPr>
      </w:pPr>
      <w:r>
        <w:rPr>
          <w:b/>
        </w:rPr>
        <w:br w:type="page"/>
        <w:t>НИДЕРЛАНДСКИЕ АНТИЛЬСКИЕ ОСТРОВА</w:t>
      </w:r>
    </w:p>
    <w:p w:rsidR="00000000" w:rsidRDefault="00000000">
      <w:pPr>
        <w:keepNext/>
        <w:jc w:val="center"/>
        <w:rPr>
          <w:b/>
        </w:rPr>
      </w:pPr>
    </w:p>
    <w:p w:rsidR="00000000" w:rsidRDefault="00000000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20.</w:t>
      </w:r>
      <w:r>
        <w:tab/>
        <w:t xml:space="preserve">Комитет приветствует создание в 2006 году национальной справочно-консультативной системы для жертв торговли людьми, которая периодически обновляется в консультации с Международной организацией по миграции и Координационным центром по проблеме торговли людьми.  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Основные вопросы, вызывающие озабоченность, и рекомендации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21.</w:t>
      </w:r>
      <w:r>
        <w:tab/>
        <w:t>Комитет выражает удовлетворение в связи с внесением в законодательство государства-участника изменений, позволяющих в судебном порядке устанавливать отцовство в отношении детей, родившихся вне брака.  При этом, однако, он обеспокоен тем, что внебрачные дети по</w:t>
      </w:r>
      <w:r>
        <w:noBreakHyphen/>
        <w:t>прежнему являются объектом дискриминации в части прав на наследство (статьи 2 и 26).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скорректировать свое законодательство в целях исключения из него всех положений, дискриминирующих детей, родившихся вне брака, в вопросах наследства.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r>
        <w:t>22.</w:t>
      </w:r>
      <w:r>
        <w:tab/>
        <w:t xml:space="preserve">Комитет с озабоченностью отмечает, что, согласно законодательству Нидерландских Антильских островов, торговля людьми не квалифицируется в качестве самостоятельного состава преступления и наказывается по другим статьям Уголовного кодекса, включая статьи, касающиеся незаконного лишения свободы и преступлений сексуального характера.  Комитет считает важным наличие в Уголовном кодексе отдельной статьи о торговле людьми, поскольку это позволяет учесть специфические особенности этого вида преступлений и увеличивает вероятность привлечения к ответственности виновных в его совершении (статья 7).  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</w:rPr>
        <w:t>Государству-участнику следует предусмотреть в своем Уголовном кодексе отдельную статью, касающуюся торговли людьми.</w:t>
      </w:r>
    </w:p>
    <w:p w:rsidR="00000000" w:rsidRDefault="00000000">
      <w:pPr>
        <w:ind w:left="567" w:hanging="567"/>
      </w:pPr>
    </w:p>
    <w:p w:rsidR="00000000" w:rsidRDefault="00000000">
      <w:r>
        <w:t>23.</w:t>
      </w:r>
      <w:r>
        <w:tab/>
        <w:t>Комитет выражает озабоченность по поводу сообщений о том, что условия содержания в тюрьмах "Бон-Футуро" и "Бонэр-Реманд" по</w:t>
      </w:r>
      <w:r>
        <w:noBreakHyphen/>
        <w:t>прежнему остаются чрезвычайно суровыми (статьи 7 и 10).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в безотлагательном порядке принять меры к улучшению условий содержания заключенных в соответствии с требованиями пункта 1 статьи 10.</w:t>
      </w:r>
    </w:p>
    <w:p w:rsidR="00000000" w:rsidRDefault="00000000">
      <w:pPr>
        <w:spacing w:line="240" w:lineRule="auto"/>
        <w:ind w:left="567" w:hanging="567"/>
        <w:rPr>
          <w:b/>
        </w:rPr>
      </w:pPr>
    </w:p>
    <w:p w:rsidR="00000000" w:rsidRDefault="00000000">
      <w:r>
        <w:t>24.</w:t>
      </w:r>
      <w:r>
        <w:tab/>
        <w:t>Озабоченность Комитета вызывают и заслуживающие доверия сообщения о жестоком обращении с заключенными и их оскорблении сотрудниками полиции в тюрьмах "Бон-Футуро" и "Бонэр-Реманд", а также в тюрьме для незаконных мигрантов (статья 10).</w:t>
      </w:r>
    </w:p>
    <w:p w:rsidR="00000000" w:rsidRDefault="00000000">
      <w:pPr>
        <w:spacing w:line="240" w:lineRule="auto"/>
        <w:ind w:left="567" w:hanging="567"/>
      </w:pPr>
    </w:p>
    <w:p w:rsidR="00000000" w:rsidRDefault="00000000">
      <w:pPr>
        <w:ind w:left="567" w:hanging="567"/>
      </w:pPr>
      <w:r>
        <w:tab/>
      </w:r>
      <w:r>
        <w:rPr>
          <w:b/>
        </w:rPr>
        <w:t xml:space="preserve">Государству-участнику следует принять меры к недопущению жестокого обращения с задержанными и заключенными со стороны сотрудников полиции и представителей тюремной администрации и наказанию виновных в таком обращении, а также в безотлагательном порядке обеспечить надлежащую подготовку персонала тюрем по вопросам применения Стандартных минимальных правил обращения с заключенными 1955 года.  </w:t>
      </w:r>
    </w:p>
    <w:p w:rsidR="00000000" w:rsidRDefault="00000000">
      <w:pPr>
        <w:spacing w:line="240" w:lineRule="auto"/>
        <w:ind w:left="567" w:hanging="567"/>
      </w:pPr>
    </w:p>
    <w:p w:rsidR="00000000" w:rsidRDefault="00000000">
      <w:r>
        <w:t>25.</w:t>
      </w:r>
      <w:r>
        <w:tab/>
        <w:t>Комитет принимает к сведению предстоящее создание новых конституционных механизмов на территории Нидерландских Антильских островов.</w:t>
      </w:r>
    </w:p>
    <w:p w:rsidR="00000000" w:rsidRDefault="00000000">
      <w:pPr>
        <w:spacing w:line="240" w:lineRule="auto"/>
        <w:ind w:left="567" w:hanging="567"/>
      </w:pPr>
    </w:p>
    <w:p w:rsidR="00000000" w:rsidRDefault="00000000">
      <w:pPr>
        <w:ind w:left="567" w:hanging="567"/>
      </w:pPr>
      <w:r>
        <w:tab/>
      </w:r>
      <w:r>
        <w:rPr>
          <w:b/>
        </w:rPr>
        <w:t>Государству-участнику следует принять меры к тому, чтобы каждый из новых конституционных механизмов обеспечивал полную защиту прав, предусмотренных Пактом.</w:t>
      </w:r>
    </w:p>
    <w:p w:rsidR="00000000" w:rsidRDefault="00000000">
      <w:pPr>
        <w:spacing w:line="240" w:lineRule="auto"/>
        <w:ind w:left="567" w:hanging="567"/>
      </w:pPr>
    </w:p>
    <w:p w:rsidR="00000000" w:rsidRDefault="00000000">
      <w:pPr>
        <w:jc w:val="center"/>
        <w:rPr>
          <w:b/>
        </w:rPr>
      </w:pPr>
      <w:r>
        <w:rPr>
          <w:b/>
        </w:rPr>
        <w:t>АРУБА</w:t>
      </w:r>
    </w:p>
    <w:p w:rsidR="00000000" w:rsidRDefault="00000000">
      <w:pPr>
        <w:spacing w:line="240" w:lineRule="auto"/>
        <w:ind w:left="567" w:hanging="567"/>
      </w:pPr>
    </w:p>
    <w:p w:rsidR="00000000" w:rsidRDefault="00000000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000000" w:rsidRDefault="00000000">
      <w:pPr>
        <w:spacing w:line="240" w:lineRule="auto"/>
        <w:ind w:left="567" w:hanging="567"/>
      </w:pPr>
    </w:p>
    <w:p w:rsidR="00000000" w:rsidRDefault="00000000">
      <w:r>
        <w:t>26.</w:t>
      </w:r>
      <w:r>
        <w:tab/>
        <w:t xml:space="preserve">Комитет выражает удовлетворение по поводу принятия государством-участником в 2003 году Положения о преступлениях сексуального характера и сексуальных домогательствах, которое расширяет сферу законодательной защиты несовершеннолетних от сексуальных злоупотреблений.  Комитет приветствует также внесение изменений в правила, касающиеся обращения сотрудников полиции с задержанными, с целью учета стандартов, установленных Европейским комитетом по предупреждению пыток и бесчеловечных или унижающих достоинство видов обращения и наказания.  </w:t>
      </w:r>
    </w:p>
    <w:p w:rsidR="00000000" w:rsidRDefault="00000000">
      <w:pPr>
        <w:spacing w:line="240" w:lineRule="auto"/>
        <w:ind w:left="567" w:hanging="567"/>
      </w:pPr>
    </w:p>
    <w:p w:rsidR="00000000" w:rsidRDefault="00000000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Основные вопросы, вызывающие озабоченность, и рекомендации</w:t>
      </w:r>
    </w:p>
    <w:p w:rsidR="00000000" w:rsidRDefault="00000000">
      <w:pPr>
        <w:spacing w:line="240" w:lineRule="auto"/>
        <w:ind w:left="567" w:hanging="567"/>
      </w:pPr>
    </w:p>
    <w:p w:rsidR="00000000" w:rsidRDefault="00000000">
      <w:r>
        <w:t>27.</w:t>
      </w:r>
      <w:r>
        <w:tab/>
        <w:t>Комитет выражает озабоченность по поводу признаваемых самим государством-участником чрезмерно длительных сроков предварительного заключения, составляющих в среднем 116 дней и достигающих 146 дней, по истечении которых суд может продлить содержание под стражей еще на 30 дней (статьи 9 и 14).</w:t>
      </w:r>
    </w:p>
    <w:p w:rsidR="00000000" w:rsidRDefault="00000000">
      <w:pPr>
        <w:ind w:left="567" w:hanging="567"/>
      </w:pPr>
      <w:r>
        <w:tab/>
      </w:r>
      <w:r>
        <w:rPr>
          <w:b/>
        </w:rPr>
        <w:t>Государству-участнику следует принять меры к ограничению сроков предварительного заключения в соответствии с пунктом 3 с) статьи 14 Пакта и обеспечению полного соблюдения требований статьи 9.</w:t>
      </w:r>
    </w:p>
    <w:p w:rsidR="00000000" w:rsidRDefault="00000000">
      <w:pPr>
        <w:ind w:left="567" w:hanging="567"/>
      </w:pPr>
    </w:p>
    <w:p w:rsidR="00000000" w:rsidRDefault="00000000">
      <w:r>
        <w:t>28.</w:t>
      </w:r>
      <w:r>
        <w:tab/>
        <w:t xml:space="preserve">Комитет предлагает государству-участнику опубликовать его четвертый периодический доклад и настоящие заключительные замечания, сделав их доступными для широкой общественности, а также для судебных, законодательных и административных органов.  Копии этих документов должны быть разосланы университетам, публичным библиотекам, библиотеке парламента и другим соответствующим организациям и учреждениям во всех территориях, входящих в состав государства-участника.  Комитет предлагает также государству-участнику довести этот доклад и настоящие заключительные замечания до сведения организаций гражданского общества и неправительственных организаций, действующих в государстве-участнике.  </w:t>
      </w:r>
    </w:p>
    <w:p w:rsidR="00000000" w:rsidRDefault="00000000"/>
    <w:p w:rsidR="00000000" w:rsidRDefault="00000000">
      <w:r>
        <w:t>29.</w:t>
      </w:r>
      <w:r>
        <w:tab/>
        <w:t>В соответствии с пунктом 5 правила 71 правил процедуры Комитета государство-участник должно в годичный срок представить информацию о текущей ситуации и выполнении им рекомендаций Комитета, содержащихся в пунктах 7, 9 и 23 выше.</w:t>
      </w:r>
    </w:p>
    <w:p w:rsidR="00000000" w:rsidRDefault="00000000"/>
    <w:p w:rsidR="00000000" w:rsidRDefault="00000000">
      <w:r>
        <w:t>30.</w:t>
      </w:r>
      <w:r>
        <w:tab/>
        <w:t>Комитет просит государство-участник включить в его следующий периодический доклад, который должен быть представлен до 31 июля 2014 года, информацию о мерах по выполнению остальных рекомендаций Комитета, а также о соблюдении им Пакта в целом.  В этой связи Комитет просит также государство-участник представить единый консолидированный доклад, касающийся всех частей Нидерландов.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szCs w:val="24"/>
        <w:lang w:val="en-US"/>
      </w:rPr>
      <w:t>CCPR/C/NLD/CO/4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804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szCs w:val="24"/>
        <w:lang w:val="en-US"/>
      </w:rPr>
      <w:t>CCPR/C/NLD/CO/4</w:t>
    </w:r>
  </w:p>
  <w:p w:rsidR="00000000" w:rsidRDefault="00000000">
    <w:pPr>
      <w:pStyle w:val="Header"/>
      <w:tabs>
        <w:tab w:val="left" w:pos="6804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804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1</TotalTime>
  <Pages>1</Pages>
  <Words>2375</Words>
  <Characters>17559</Characters>
  <Application>Microsoft Office Word</Application>
  <DocSecurity>4</DocSecurity>
  <Lines>516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0944564.doc</vt:lpstr>
    </vt:vector>
  </TitlesOfParts>
  <Company> </Company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0944564.doc</dc:title>
  <dc:subject>Козловский</dc:subject>
  <dc:creator>Людмила ЦЕПЕЛЕВА</dc:creator>
  <cp:keywords/>
  <dc:description/>
  <cp:lastModifiedBy>Людмила ЦЕПЕЛЕВА</cp:lastModifiedBy>
  <cp:revision>3</cp:revision>
  <cp:lastPrinted>2009-09-29T13:42:00Z</cp:lastPrinted>
  <dcterms:created xsi:type="dcterms:W3CDTF">2009-09-29T13:41:00Z</dcterms:created>
  <dcterms:modified xsi:type="dcterms:W3CDTF">2009-09-29T13:42:00Z</dcterms:modified>
</cp:coreProperties>
</file>