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94709" w:rsidRPr="001363B5" w14:paraId="64EE37C7" w14:textId="77777777" w:rsidTr="008A3929">
        <w:trPr>
          <w:trHeight w:hRule="exact" w:val="851"/>
        </w:trPr>
        <w:tc>
          <w:tcPr>
            <w:tcW w:w="1280" w:type="dxa"/>
            <w:tcBorders>
              <w:bottom w:val="single" w:sz="4" w:space="0" w:color="auto"/>
            </w:tcBorders>
            <w:shd w:val="clear" w:color="auto" w:fill="auto"/>
          </w:tcPr>
          <w:p w14:paraId="005A87A5" w14:textId="4B8EB1E0" w:rsidR="00EF6B31" w:rsidRDefault="00EF6B31" w:rsidP="008A3929"/>
          <w:p w14:paraId="3C4AC34E" w14:textId="1B335484" w:rsidR="00EF6B31" w:rsidRDefault="00EF6B31" w:rsidP="00EF6B31"/>
          <w:p w14:paraId="1B3E02E1" w14:textId="77777777" w:rsidR="002D5AAC" w:rsidRPr="00EF6B31" w:rsidRDefault="002D5AAC" w:rsidP="00EF6B31">
            <w:pPr>
              <w:jc w:val="center"/>
            </w:pPr>
          </w:p>
        </w:tc>
        <w:tc>
          <w:tcPr>
            <w:tcW w:w="2273" w:type="dxa"/>
            <w:tcBorders>
              <w:bottom w:val="single" w:sz="4" w:space="0" w:color="auto"/>
            </w:tcBorders>
            <w:shd w:val="clear" w:color="auto" w:fill="auto"/>
            <w:vAlign w:val="bottom"/>
          </w:tcPr>
          <w:p w14:paraId="2C12684F" w14:textId="77777777" w:rsidR="002D5AAC" w:rsidRPr="00094709" w:rsidRDefault="00BD33EE" w:rsidP="008A3929">
            <w:pPr>
              <w:spacing w:after="80" w:line="300" w:lineRule="exact"/>
              <w:rPr>
                <w:sz w:val="28"/>
              </w:rPr>
            </w:pPr>
            <w:r w:rsidRPr="00094709">
              <w:rPr>
                <w:sz w:val="28"/>
              </w:rPr>
              <w:t>Naciones Unidas</w:t>
            </w:r>
          </w:p>
        </w:tc>
        <w:tc>
          <w:tcPr>
            <w:tcW w:w="6086" w:type="dxa"/>
            <w:gridSpan w:val="2"/>
            <w:tcBorders>
              <w:bottom w:val="single" w:sz="4" w:space="0" w:color="auto"/>
            </w:tcBorders>
            <w:shd w:val="clear" w:color="auto" w:fill="auto"/>
            <w:vAlign w:val="bottom"/>
          </w:tcPr>
          <w:p w14:paraId="59386E59" w14:textId="41C82C76" w:rsidR="002D5AAC" w:rsidRPr="00094709" w:rsidRDefault="00B22D4B" w:rsidP="00631B3A">
            <w:pPr>
              <w:jc w:val="right"/>
              <w:rPr>
                <w:lang w:val="en-GB"/>
              </w:rPr>
            </w:pPr>
            <w:proofErr w:type="spellStart"/>
            <w:r w:rsidRPr="00094709">
              <w:rPr>
                <w:sz w:val="40"/>
                <w:lang w:val="en-GB"/>
              </w:rPr>
              <w:t>CCPR</w:t>
            </w:r>
            <w:proofErr w:type="spellEnd"/>
            <w:r w:rsidRPr="00094709">
              <w:rPr>
                <w:lang w:val="en-GB"/>
              </w:rPr>
              <w:t>/C/</w:t>
            </w:r>
            <w:proofErr w:type="spellStart"/>
            <w:r w:rsidR="006A713C" w:rsidRPr="00094709">
              <w:rPr>
                <w:lang w:val="en-GB"/>
              </w:rPr>
              <w:t>SLV</w:t>
            </w:r>
            <w:proofErr w:type="spellEnd"/>
            <w:r w:rsidRPr="00094709">
              <w:rPr>
                <w:lang w:val="en-GB"/>
              </w:rPr>
              <w:t>/CO/</w:t>
            </w:r>
            <w:r w:rsidR="006A713C" w:rsidRPr="00094709">
              <w:rPr>
                <w:lang w:val="en-GB"/>
              </w:rPr>
              <w:t>7</w:t>
            </w:r>
          </w:p>
        </w:tc>
      </w:tr>
      <w:tr w:rsidR="00094709" w:rsidRPr="00094709" w14:paraId="5539AFF4" w14:textId="77777777" w:rsidTr="008A3929">
        <w:trPr>
          <w:trHeight w:hRule="exact" w:val="2835"/>
        </w:trPr>
        <w:tc>
          <w:tcPr>
            <w:tcW w:w="1280" w:type="dxa"/>
            <w:tcBorders>
              <w:top w:val="single" w:sz="4" w:space="0" w:color="auto"/>
              <w:bottom w:val="single" w:sz="12" w:space="0" w:color="auto"/>
            </w:tcBorders>
            <w:shd w:val="clear" w:color="auto" w:fill="auto"/>
          </w:tcPr>
          <w:p w14:paraId="21DEB944" w14:textId="77777777" w:rsidR="002D5AAC" w:rsidRPr="00094709" w:rsidRDefault="00796A8D" w:rsidP="008A3929">
            <w:pPr>
              <w:spacing w:before="120"/>
              <w:jc w:val="center"/>
            </w:pPr>
            <w:r w:rsidRPr="00094709">
              <w:rPr>
                <w:noProof/>
                <w:lang w:eastAsia="zh-CN"/>
              </w:rPr>
              <w:drawing>
                <wp:inline distT="0" distB="0" distL="0" distR="0" wp14:anchorId="038C635B" wp14:editId="3BCC3A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87635B9" w14:textId="77777777" w:rsidR="002D5AAC" w:rsidRPr="00094709" w:rsidRDefault="00963777" w:rsidP="008A3929">
            <w:pPr>
              <w:spacing w:before="120" w:line="360" w:lineRule="exact"/>
              <w:rPr>
                <w:b/>
                <w:sz w:val="34"/>
                <w:szCs w:val="34"/>
              </w:rPr>
            </w:pPr>
            <w:r w:rsidRPr="00094709">
              <w:rPr>
                <w:b/>
                <w:sz w:val="34"/>
                <w:szCs w:val="34"/>
              </w:rPr>
              <w:t>Pacto Internacional de Derechos</w:t>
            </w:r>
            <w:r w:rsidRPr="00094709">
              <w:rPr>
                <w:b/>
                <w:sz w:val="34"/>
                <w:szCs w:val="34"/>
              </w:rPr>
              <w:br/>
              <w:t>Civiles y Políticos</w:t>
            </w:r>
          </w:p>
        </w:tc>
        <w:tc>
          <w:tcPr>
            <w:tcW w:w="2819" w:type="dxa"/>
            <w:tcBorders>
              <w:top w:val="single" w:sz="4" w:space="0" w:color="auto"/>
              <w:bottom w:val="single" w:sz="12" w:space="0" w:color="auto"/>
            </w:tcBorders>
            <w:shd w:val="clear" w:color="auto" w:fill="auto"/>
          </w:tcPr>
          <w:p w14:paraId="69F7FA1B" w14:textId="375E81EF" w:rsidR="00B22D4B" w:rsidRPr="00094709" w:rsidRDefault="00B22D4B" w:rsidP="008A3929">
            <w:pPr>
              <w:spacing w:before="240"/>
            </w:pPr>
            <w:proofErr w:type="spellStart"/>
            <w:r w:rsidRPr="00094709">
              <w:t>Distr</w:t>
            </w:r>
            <w:proofErr w:type="spellEnd"/>
            <w:r w:rsidRPr="00094709">
              <w:t xml:space="preserve">. </w:t>
            </w:r>
            <w:r w:rsidR="00631B3A">
              <w:t>general</w:t>
            </w:r>
          </w:p>
          <w:p w14:paraId="6942E068" w14:textId="0DE0ED1A" w:rsidR="00B22D4B" w:rsidRPr="00094709" w:rsidRDefault="001737AF" w:rsidP="000C1EDF">
            <w:pPr>
              <w:spacing w:line="240" w:lineRule="exact"/>
            </w:pPr>
            <w:r>
              <w:t>9</w:t>
            </w:r>
            <w:r w:rsidR="00F07529" w:rsidRPr="00094709">
              <w:t xml:space="preserve"> de </w:t>
            </w:r>
            <w:r w:rsidR="0016023C">
              <w:t>mayo</w:t>
            </w:r>
            <w:r w:rsidR="00E565BA">
              <w:t xml:space="preserve"> </w:t>
            </w:r>
            <w:r w:rsidR="00425CA6" w:rsidRPr="00094709">
              <w:t>de</w:t>
            </w:r>
            <w:r w:rsidR="00F07529" w:rsidRPr="00094709">
              <w:t xml:space="preserve"> 201</w:t>
            </w:r>
            <w:r w:rsidR="00631B3A">
              <w:t>8</w:t>
            </w:r>
          </w:p>
          <w:p w14:paraId="45A7E6A0" w14:textId="77777777" w:rsidR="00B22D4B" w:rsidRPr="00094709" w:rsidRDefault="00B22D4B" w:rsidP="008A3929">
            <w:pPr>
              <w:spacing w:line="240" w:lineRule="exact"/>
            </w:pPr>
          </w:p>
          <w:p w14:paraId="2BF0F026" w14:textId="38D350E5" w:rsidR="00F07529" w:rsidRPr="00094709" w:rsidRDefault="00B22D4B" w:rsidP="006E6DC6">
            <w:pPr>
              <w:spacing w:line="240" w:lineRule="exact"/>
            </w:pPr>
            <w:r w:rsidRPr="00094709">
              <w:t xml:space="preserve">Original: </w:t>
            </w:r>
            <w:r w:rsidR="006E6DC6" w:rsidRPr="00094709">
              <w:t xml:space="preserve">español </w:t>
            </w:r>
          </w:p>
        </w:tc>
      </w:tr>
    </w:tbl>
    <w:p w14:paraId="21200ECA" w14:textId="77777777" w:rsidR="00B22D4B" w:rsidRPr="001D515A" w:rsidRDefault="00B22D4B">
      <w:pPr>
        <w:spacing w:before="120"/>
        <w:rPr>
          <w:b/>
          <w:bCs/>
          <w:sz w:val="24"/>
          <w:szCs w:val="24"/>
        </w:rPr>
      </w:pPr>
      <w:r w:rsidRPr="001D515A">
        <w:rPr>
          <w:b/>
          <w:bCs/>
          <w:sz w:val="24"/>
          <w:szCs w:val="24"/>
        </w:rPr>
        <w:t xml:space="preserve">Comité de Derechos Humanos </w:t>
      </w:r>
    </w:p>
    <w:p w14:paraId="5F033322" w14:textId="653CA324" w:rsidR="00C45012" w:rsidRPr="00094709" w:rsidRDefault="00B22D4B" w:rsidP="00073E37">
      <w:pPr>
        <w:pStyle w:val="HChG"/>
      </w:pPr>
      <w:r w:rsidRPr="00094709">
        <w:tab/>
      </w:r>
      <w:r w:rsidR="004A6C92">
        <w:tab/>
      </w:r>
      <w:r w:rsidRPr="00094709">
        <w:t xml:space="preserve">Observaciones finales sobre el </w:t>
      </w:r>
      <w:r w:rsidR="00A57FB3">
        <w:t>séptimo</w:t>
      </w:r>
      <w:r w:rsidRPr="00094709">
        <w:t xml:space="preserve"> informe periódico </w:t>
      </w:r>
      <w:r w:rsidR="004A6C92">
        <w:br/>
      </w:r>
      <w:r w:rsidRPr="00094709">
        <w:t xml:space="preserve">de </w:t>
      </w:r>
      <w:r w:rsidR="000A5CB8" w:rsidRPr="004D4350">
        <w:t>El Salvador</w:t>
      </w:r>
      <w:r w:rsidR="00631B3A" w:rsidRPr="008F4CE9">
        <w:rPr>
          <w:rStyle w:val="FootnoteReference"/>
          <w:b w:val="0"/>
          <w:sz w:val="20"/>
          <w:vertAlign w:val="baseline"/>
        </w:rPr>
        <w:footnoteReference w:customMarkFollows="1" w:id="1"/>
        <w:t>*</w:t>
      </w:r>
      <w:r w:rsidR="00260E12">
        <w:t xml:space="preserve"> </w:t>
      </w:r>
    </w:p>
    <w:p w14:paraId="1FC006AE" w14:textId="3A87F9DB" w:rsidR="004A772E" w:rsidRPr="002D7D04" w:rsidRDefault="004A772E">
      <w:pPr>
        <w:pStyle w:val="SingleTxtG"/>
      </w:pPr>
      <w:r w:rsidRPr="002D7D04">
        <w:tab/>
      </w:r>
      <w:r w:rsidRPr="00094709">
        <w:t>1.</w:t>
      </w:r>
      <w:r w:rsidRPr="00094709">
        <w:tab/>
        <w:t>El Comité examinó el séptimo informe periódico de El Salvador (</w:t>
      </w:r>
      <w:proofErr w:type="spellStart"/>
      <w:r w:rsidRPr="00094709">
        <w:t>CCPR</w:t>
      </w:r>
      <w:proofErr w:type="spellEnd"/>
      <w:r w:rsidRPr="00094709">
        <w:t>/C/</w:t>
      </w:r>
      <w:proofErr w:type="spellStart"/>
      <w:r w:rsidRPr="00094709">
        <w:t>SLV</w:t>
      </w:r>
      <w:proofErr w:type="spellEnd"/>
      <w:r w:rsidRPr="00094709">
        <w:t>/7) en sus sesiones 3456.ª y 3457.ª (</w:t>
      </w:r>
      <w:proofErr w:type="spellStart"/>
      <w:r w:rsidRPr="00094709">
        <w:t>CCPR</w:t>
      </w:r>
      <w:proofErr w:type="spellEnd"/>
      <w:r w:rsidRPr="00094709">
        <w:t>/C/</w:t>
      </w:r>
      <w:proofErr w:type="spellStart"/>
      <w:r w:rsidRPr="00094709">
        <w:t>SR.3456</w:t>
      </w:r>
      <w:proofErr w:type="spellEnd"/>
      <w:r w:rsidRPr="00094709">
        <w:t xml:space="preserve"> y 3457), celebradas los días 13 y 14 de marzo de 2018. </w:t>
      </w:r>
      <w:r w:rsidR="003D4E6D" w:rsidRPr="003D4E6D">
        <w:t xml:space="preserve">En sus </w:t>
      </w:r>
      <w:r w:rsidR="00F67FD5">
        <w:t xml:space="preserve">sesiones </w:t>
      </w:r>
      <w:r w:rsidR="003D4E6D" w:rsidRPr="003D4E6D">
        <w:t>3478ª y 3479ª (</w:t>
      </w:r>
      <w:proofErr w:type="spellStart"/>
      <w:r w:rsidR="003D4E6D" w:rsidRPr="003D4E6D">
        <w:t>CCPR</w:t>
      </w:r>
      <w:proofErr w:type="spellEnd"/>
      <w:r w:rsidR="003D4E6D" w:rsidRPr="003D4E6D">
        <w:t>/C/</w:t>
      </w:r>
      <w:proofErr w:type="spellStart"/>
      <w:r w:rsidR="003D4E6D" w:rsidRPr="003D4E6D">
        <w:t>SR.347</w:t>
      </w:r>
      <w:r w:rsidR="00F67FD5">
        <w:t>8</w:t>
      </w:r>
      <w:proofErr w:type="spellEnd"/>
      <w:r w:rsidR="00F67FD5">
        <w:t xml:space="preserve"> y 347</w:t>
      </w:r>
      <w:r w:rsidR="003D4E6D" w:rsidRPr="003D4E6D">
        <w:t xml:space="preserve">9), celebradas </w:t>
      </w:r>
      <w:r w:rsidR="00F67FD5">
        <w:t xml:space="preserve">los días </w:t>
      </w:r>
      <w:r w:rsidR="003D4E6D" w:rsidRPr="003D4E6D">
        <w:t>28 y 29 de marzo de 2018, el Comité aprobó las presentes observaciones finales.</w:t>
      </w:r>
    </w:p>
    <w:p w14:paraId="24CCFD3B" w14:textId="7C200CA0" w:rsidR="004A772E" w:rsidRPr="002D7D04" w:rsidRDefault="004A772E" w:rsidP="001D515A">
      <w:pPr>
        <w:pStyle w:val="H1G"/>
      </w:pPr>
      <w:r w:rsidRPr="002D7D04">
        <w:tab/>
        <w:t>A.</w:t>
      </w:r>
      <w:r w:rsidRPr="002D7D04">
        <w:tab/>
        <w:t>Introducción</w:t>
      </w:r>
    </w:p>
    <w:p w14:paraId="07C4B202" w14:textId="7F821DB9" w:rsidR="00D93A84" w:rsidRPr="002D7D04" w:rsidRDefault="004A772E" w:rsidP="001D515A">
      <w:pPr>
        <w:pStyle w:val="SingleTxtG"/>
      </w:pPr>
      <w:r w:rsidRPr="002D7D04">
        <w:t>2.</w:t>
      </w:r>
      <w:r w:rsidRPr="002D7D04">
        <w:tab/>
      </w:r>
      <w:r w:rsidR="00D93A84" w:rsidRPr="002D7D04">
        <w:rPr>
          <w:lang w:val="es-ES_tradnl"/>
        </w:rPr>
        <w:t>El Comité agradece al Estado parte que haya aceptado el procedimiento simplificado de presentación de informes y haya presentado su séptimo informe periódico en respuesta a la lista de cuestiones previa a la presentación de informes preparada en el marco de ese procedimiento (</w:t>
      </w:r>
      <w:proofErr w:type="spellStart"/>
      <w:r w:rsidR="00D93A84" w:rsidRPr="002D7D04">
        <w:rPr>
          <w:bCs/>
        </w:rPr>
        <w:t>CCPR</w:t>
      </w:r>
      <w:proofErr w:type="spellEnd"/>
      <w:r w:rsidR="00D93A84" w:rsidRPr="002D7D04">
        <w:rPr>
          <w:bCs/>
        </w:rPr>
        <w:t>/C/</w:t>
      </w:r>
      <w:proofErr w:type="spellStart"/>
      <w:r w:rsidR="00D93A84" w:rsidRPr="002D7D04">
        <w:rPr>
          <w:bCs/>
        </w:rPr>
        <w:t>SLV</w:t>
      </w:r>
      <w:proofErr w:type="spellEnd"/>
      <w:r w:rsidR="00D93A84" w:rsidRPr="002D7D04">
        <w:rPr>
          <w:bCs/>
        </w:rPr>
        <w:t>/</w:t>
      </w:r>
      <w:proofErr w:type="spellStart"/>
      <w:r w:rsidR="00D93A84" w:rsidRPr="002D7D04">
        <w:rPr>
          <w:bCs/>
        </w:rPr>
        <w:t>QPR</w:t>
      </w:r>
      <w:proofErr w:type="spellEnd"/>
      <w:r w:rsidR="00D93A84" w:rsidRPr="002D7D04">
        <w:rPr>
          <w:bCs/>
        </w:rPr>
        <w:t>/7</w:t>
      </w:r>
      <w:r w:rsidR="00D93A84" w:rsidRPr="002D7D04">
        <w:rPr>
          <w:lang w:val="es-ES_tradnl"/>
        </w:rPr>
        <w:t>). Expresa su reconocimiento por la oportunidad de reanudar su diálogo constructivo con la delegación del Estado parte sobre las medidas adoptadas durante el período examinado para aplicar las disposiciones del Pacto. El Comité agradece al Estado parte las respuestas presentadas oralmente por la delegación</w:t>
      </w:r>
      <w:r w:rsidR="00CD3887">
        <w:rPr>
          <w:lang w:val="es-ES_tradnl"/>
        </w:rPr>
        <w:t xml:space="preserve"> </w:t>
      </w:r>
      <w:r w:rsidR="00CD3887" w:rsidRPr="00CD3887">
        <w:t>y la información adicional presentada por escrito</w:t>
      </w:r>
      <w:r w:rsidR="00D93A84" w:rsidRPr="002D7D04">
        <w:rPr>
          <w:lang w:val="es-ES_tradnl"/>
        </w:rPr>
        <w:t>.</w:t>
      </w:r>
    </w:p>
    <w:p w14:paraId="2611C299" w14:textId="551CCFEB" w:rsidR="004A772E" w:rsidRPr="002D7D04" w:rsidRDefault="004A772E" w:rsidP="001D515A">
      <w:pPr>
        <w:pStyle w:val="H1G"/>
      </w:pPr>
      <w:r w:rsidRPr="002D7D04">
        <w:tab/>
        <w:t>B.</w:t>
      </w:r>
      <w:r w:rsidRPr="002D7D04">
        <w:tab/>
        <w:t>Aspectos positivos</w:t>
      </w:r>
    </w:p>
    <w:p w14:paraId="12633A28" w14:textId="69F7B5A2" w:rsidR="004A772E" w:rsidRPr="002D7D04" w:rsidRDefault="004A772E" w:rsidP="004A6C92">
      <w:pPr>
        <w:pStyle w:val="SingleTxtG"/>
      </w:pPr>
      <w:r w:rsidRPr="002D7D04">
        <w:t>3.</w:t>
      </w:r>
      <w:r w:rsidRPr="002D7D04">
        <w:tab/>
        <w:t xml:space="preserve">El Comité </w:t>
      </w:r>
      <w:r w:rsidR="00A474A7" w:rsidRPr="002D7D04">
        <w:t xml:space="preserve">acoge </w:t>
      </w:r>
      <w:r w:rsidRPr="002D7D04">
        <w:t>las medidas legislativas e institucionales adoptadas por el Estado parte durante el período en estudio en materia de derechos civiles y políticos, incluyendo:</w:t>
      </w:r>
    </w:p>
    <w:p w14:paraId="4A09E0C9" w14:textId="5E99DB42" w:rsidR="004A772E" w:rsidRPr="002D7D04" w:rsidRDefault="00566437" w:rsidP="00073E37">
      <w:pPr>
        <w:pStyle w:val="SingleTxtG"/>
        <w:rPr>
          <w:lang w:val="es-ES_tradnl" w:eastAsia="en-US"/>
        </w:rPr>
      </w:pPr>
      <w:r>
        <w:rPr>
          <w:lang w:val="es-ES_tradnl" w:eastAsia="en-US"/>
        </w:rPr>
        <w:tab/>
      </w:r>
      <w:r w:rsidR="00807D9A">
        <w:rPr>
          <w:lang w:val="es-ES_tradnl" w:eastAsia="en-US"/>
        </w:rPr>
        <w:t>a</w:t>
      </w:r>
      <w:r w:rsidR="00A4290F">
        <w:rPr>
          <w:lang w:val="es-ES_tradnl" w:eastAsia="en-US"/>
        </w:rPr>
        <w:t>)</w:t>
      </w:r>
      <w:r w:rsidR="00A4290F">
        <w:rPr>
          <w:lang w:val="es-ES_tradnl" w:eastAsia="en-US"/>
        </w:rPr>
        <w:tab/>
      </w:r>
      <w:r w:rsidR="004A772E" w:rsidRPr="002D7D04">
        <w:rPr>
          <w:lang w:val="es-ES_tradnl" w:eastAsia="en-US"/>
        </w:rPr>
        <w:t xml:space="preserve">La sentencia </w:t>
      </w:r>
      <w:r w:rsidR="001737AF">
        <w:rPr>
          <w:lang w:val="es-ES_tradnl" w:eastAsia="en-US"/>
        </w:rPr>
        <w:t xml:space="preserve">núm. </w:t>
      </w:r>
      <w:r w:rsidR="004A772E" w:rsidRPr="002D7D04">
        <w:rPr>
          <w:lang w:val="es-ES_tradnl" w:eastAsia="en-US"/>
        </w:rPr>
        <w:t>44-2013/145-2013 de 13 de julio de 2016 de la Sala de lo Constitucional declarando inconstitucional la Ley de Amnistía General para la Consolidación de la Paz;</w:t>
      </w:r>
    </w:p>
    <w:p w14:paraId="14CC1177" w14:textId="4BCED9DC" w:rsidR="004A772E" w:rsidRPr="002D7D04" w:rsidRDefault="00566437" w:rsidP="00073E37">
      <w:pPr>
        <w:pStyle w:val="SingleTxtG"/>
        <w:rPr>
          <w:lang w:val="es-ES_tradnl" w:eastAsia="en-US"/>
        </w:rPr>
      </w:pPr>
      <w:r>
        <w:rPr>
          <w:lang w:val="es-ES_tradnl" w:eastAsia="en-US"/>
        </w:rPr>
        <w:tab/>
      </w:r>
      <w:r w:rsidR="00782ADC">
        <w:rPr>
          <w:lang w:val="es-ES_tradnl" w:eastAsia="en-US"/>
        </w:rPr>
        <w:t>b</w:t>
      </w:r>
      <w:r w:rsidR="00F34D2C" w:rsidRPr="002D7D04">
        <w:rPr>
          <w:lang w:val="es-ES_tradnl" w:eastAsia="en-US"/>
        </w:rPr>
        <w:t>)</w:t>
      </w:r>
      <w:r w:rsidR="0005523B" w:rsidRPr="002D7D04">
        <w:rPr>
          <w:lang w:val="es-ES_tradnl" w:eastAsia="en-US"/>
        </w:rPr>
        <w:tab/>
      </w:r>
      <w:r w:rsidR="00F34D2C" w:rsidRPr="002D7D04">
        <w:rPr>
          <w:lang w:val="es-ES_tradnl" w:eastAsia="en-US"/>
        </w:rPr>
        <w:t>L</w:t>
      </w:r>
      <w:r w:rsidR="004A772E" w:rsidRPr="002D7D04">
        <w:rPr>
          <w:lang w:val="es-ES_tradnl" w:eastAsia="en-US"/>
        </w:rPr>
        <w:t>a adopción del Plan El Salvador Seguro</w:t>
      </w:r>
      <w:r w:rsidR="005230A3" w:rsidRPr="002D7D04">
        <w:rPr>
          <w:lang w:val="es-ES_tradnl" w:eastAsia="en-US"/>
        </w:rPr>
        <w:t xml:space="preserve"> en 2015</w:t>
      </w:r>
      <w:r w:rsidR="004A772E" w:rsidRPr="002D7D04">
        <w:rPr>
          <w:lang w:val="es-ES_tradnl" w:eastAsia="en-US"/>
        </w:rPr>
        <w:t xml:space="preserve">, </w:t>
      </w:r>
      <w:r w:rsidR="005230A3" w:rsidRPr="002D7D04">
        <w:rPr>
          <w:lang w:val="es-ES_tradnl" w:eastAsia="en-US"/>
        </w:rPr>
        <w:t xml:space="preserve">el cual incluye ejes en prevención de la violencia, rehabilitación, y atención y protección de </w:t>
      </w:r>
      <w:r w:rsidR="006D6097" w:rsidRPr="002D7D04">
        <w:rPr>
          <w:lang w:val="es-ES_tradnl" w:eastAsia="en-US"/>
        </w:rPr>
        <w:t>víctimas</w:t>
      </w:r>
      <w:r w:rsidR="00EE68E8" w:rsidRPr="002D7D04">
        <w:rPr>
          <w:lang w:val="es-ES_tradnl" w:eastAsia="en-US"/>
        </w:rPr>
        <w:t>;</w:t>
      </w:r>
    </w:p>
    <w:p w14:paraId="6D4A478B" w14:textId="7C16E7B1" w:rsidR="000E30B7" w:rsidRPr="00094709" w:rsidRDefault="004A6C92" w:rsidP="00073E37">
      <w:pPr>
        <w:pStyle w:val="SingleTxtG"/>
        <w:rPr>
          <w:lang w:val="es-ES_tradnl" w:eastAsia="en-US"/>
        </w:rPr>
      </w:pPr>
      <w:r>
        <w:rPr>
          <w:lang w:val="es-ES_tradnl" w:eastAsia="en-US"/>
        </w:rPr>
        <w:tab/>
      </w:r>
      <w:r w:rsidR="00782ADC">
        <w:rPr>
          <w:lang w:val="es-ES_tradnl" w:eastAsia="en-US"/>
        </w:rPr>
        <w:t>c</w:t>
      </w:r>
      <w:r w:rsidR="000E30B7" w:rsidRPr="002D7D04">
        <w:rPr>
          <w:lang w:val="es-ES_tradnl" w:eastAsia="en-US"/>
        </w:rPr>
        <w:t>)</w:t>
      </w:r>
      <w:r w:rsidR="0005523B" w:rsidRPr="002D7D04">
        <w:rPr>
          <w:lang w:val="es-ES_tradnl" w:eastAsia="en-US"/>
        </w:rPr>
        <w:tab/>
        <w:t>L</w:t>
      </w:r>
      <w:r w:rsidR="000E30B7" w:rsidRPr="002D7D04">
        <w:rPr>
          <w:lang w:val="es-ES_tradnl" w:eastAsia="en-US"/>
        </w:rPr>
        <w:t>a creación en 2013 del Programa de Reparación a V</w:t>
      </w:r>
      <w:r w:rsidR="00E565BA">
        <w:rPr>
          <w:lang w:val="es-ES_tradnl" w:eastAsia="en-US"/>
        </w:rPr>
        <w:t>í</w:t>
      </w:r>
      <w:r w:rsidR="000E30B7" w:rsidRPr="002D7D04">
        <w:rPr>
          <w:lang w:val="es-ES_tradnl" w:eastAsia="en-US"/>
        </w:rPr>
        <w:t>ctimas de Graves Violaciones a Derechos Humanos ocurridas en el contexto del Conflicto Armado</w:t>
      </w:r>
      <w:r w:rsidR="001E6347" w:rsidRPr="002D7D04">
        <w:rPr>
          <w:rFonts w:eastAsia="Calibri"/>
          <w:shd w:val="clear" w:color="auto" w:fill="FFFFFF"/>
          <w:lang w:val="es-PA" w:eastAsia="en-US"/>
        </w:rPr>
        <w:t xml:space="preserve"> y de la Comisión Nacional de Búsqueda de Personas Adultas Desaparecidas en el contexto del Conflicto Armado </w:t>
      </w:r>
      <w:r w:rsidR="001E6347" w:rsidRPr="00094709">
        <w:rPr>
          <w:rFonts w:eastAsia="Calibri"/>
          <w:lang w:val="es-PA" w:eastAsia="en-US"/>
        </w:rPr>
        <w:t>en 2017</w:t>
      </w:r>
      <w:r w:rsidR="001E6347" w:rsidRPr="00094709">
        <w:rPr>
          <w:lang w:val="es-ES_tradnl" w:eastAsia="en-US"/>
        </w:rPr>
        <w:t>;</w:t>
      </w:r>
    </w:p>
    <w:p w14:paraId="6FDD2173" w14:textId="01C6F2D9" w:rsidR="00B43615" w:rsidRPr="002D7D04" w:rsidRDefault="004A6C92" w:rsidP="00073E37">
      <w:pPr>
        <w:pStyle w:val="SingleTxtG"/>
        <w:rPr>
          <w:bCs/>
          <w:lang w:eastAsia="fr-FR"/>
        </w:rPr>
      </w:pPr>
      <w:r>
        <w:rPr>
          <w:lang w:val="es-ES_tradnl" w:eastAsia="en-US"/>
        </w:rPr>
        <w:tab/>
      </w:r>
      <w:r w:rsidR="00782ADC">
        <w:rPr>
          <w:lang w:val="es-ES_tradnl" w:eastAsia="en-US"/>
        </w:rPr>
        <w:t>d</w:t>
      </w:r>
      <w:r w:rsidR="00B43615" w:rsidRPr="002D7D04">
        <w:rPr>
          <w:lang w:eastAsia="en-US"/>
        </w:rPr>
        <w:t>)</w:t>
      </w:r>
      <w:r w:rsidR="0005523B" w:rsidRPr="002D7D04">
        <w:rPr>
          <w:lang w:eastAsia="en-US"/>
        </w:rPr>
        <w:tab/>
        <w:t>L</w:t>
      </w:r>
      <w:r w:rsidR="00207F69" w:rsidRPr="002D7D04">
        <w:rPr>
          <w:lang w:eastAsia="en-US"/>
        </w:rPr>
        <w:t xml:space="preserve">a modificación del </w:t>
      </w:r>
      <w:r w:rsidR="00B43615" w:rsidRPr="002D7D04">
        <w:rPr>
          <w:lang w:eastAsia="en-US"/>
        </w:rPr>
        <w:t>artículo</w:t>
      </w:r>
      <w:r w:rsidR="00207F69" w:rsidRPr="002D7D04">
        <w:rPr>
          <w:lang w:eastAsia="en-US"/>
        </w:rPr>
        <w:t xml:space="preserve"> 63 de la Constitución</w:t>
      </w:r>
      <w:r w:rsidR="00B43615" w:rsidRPr="002D7D04">
        <w:rPr>
          <w:lang w:eastAsia="en-US"/>
        </w:rPr>
        <w:t xml:space="preserve"> en 2014</w:t>
      </w:r>
      <w:r w:rsidR="00207F69" w:rsidRPr="002D7D04">
        <w:rPr>
          <w:lang w:eastAsia="en-US"/>
        </w:rPr>
        <w:t xml:space="preserve">, a </w:t>
      </w:r>
      <w:r w:rsidR="00B43615" w:rsidRPr="002D7D04">
        <w:rPr>
          <w:lang w:eastAsia="en-US"/>
        </w:rPr>
        <w:t>través</w:t>
      </w:r>
      <w:r w:rsidR="00207F69" w:rsidRPr="002D7D04">
        <w:rPr>
          <w:lang w:eastAsia="en-US"/>
        </w:rPr>
        <w:t xml:space="preserve"> de</w:t>
      </w:r>
      <w:r w:rsidR="00B43615" w:rsidRPr="002D7D04">
        <w:rPr>
          <w:lang w:eastAsia="en-US"/>
        </w:rPr>
        <w:t xml:space="preserve"> la</w:t>
      </w:r>
      <w:r w:rsidR="00207F69" w:rsidRPr="002D7D04">
        <w:rPr>
          <w:lang w:eastAsia="en-US"/>
        </w:rPr>
        <w:t xml:space="preserve"> cual se reconoce a los pueblos </w:t>
      </w:r>
      <w:r w:rsidR="00B43615" w:rsidRPr="002D7D04">
        <w:rPr>
          <w:lang w:eastAsia="en-US"/>
        </w:rPr>
        <w:t xml:space="preserve">indígenas, y la </w:t>
      </w:r>
      <w:r w:rsidR="00E81286" w:rsidRPr="002D7D04">
        <w:rPr>
          <w:bCs/>
          <w:lang w:eastAsia="fr-FR"/>
        </w:rPr>
        <w:t xml:space="preserve">elaboración </w:t>
      </w:r>
      <w:r w:rsidR="00B43615" w:rsidRPr="002D7D04">
        <w:rPr>
          <w:bCs/>
          <w:lang w:eastAsia="fr-FR"/>
        </w:rPr>
        <w:t>del Plan Nacional de Pueblos Indígenas de El Salvador en 2017</w:t>
      </w:r>
      <w:r w:rsidR="00350C3F" w:rsidRPr="002D7D04">
        <w:rPr>
          <w:bCs/>
          <w:lang w:eastAsia="fr-FR"/>
        </w:rPr>
        <w:t>;</w:t>
      </w:r>
    </w:p>
    <w:p w14:paraId="24E84414" w14:textId="6B90CCE5" w:rsidR="004A772E" w:rsidRPr="002D7D04" w:rsidRDefault="004A6C92" w:rsidP="00073E37">
      <w:pPr>
        <w:pStyle w:val="SingleTxtG"/>
        <w:rPr>
          <w:lang w:val="es-ES_tradnl" w:eastAsia="en-US"/>
        </w:rPr>
      </w:pPr>
      <w:r>
        <w:rPr>
          <w:lang w:eastAsia="en-US"/>
        </w:rPr>
        <w:lastRenderedPageBreak/>
        <w:tab/>
        <w:t>e</w:t>
      </w:r>
      <w:r w:rsidR="00BF6117" w:rsidRPr="002D7D04">
        <w:rPr>
          <w:lang w:val="es-ES_tradnl" w:eastAsia="en-US"/>
        </w:rPr>
        <w:t>)</w:t>
      </w:r>
      <w:r w:rsidR="0005523B" w:rsidRPr="002D7D04">
        <w:rPr>
          <w:lang w:val="es-ES_tradnl" w:eastAsia="en-US"/>
        </w:rPr>
        <w:tab/>
        <w:t>L</w:t>
      </w:r>
      <w:r w:rsidR="004A772E" w:rsidRPr="002D7D04">
        <w:rPr>
          <w:lang w:val="es-ES_tradnl" w:eastAsia="en-US"/>
        </w:rPr>
        <w:t xml:space="preserve">a </w:t>
      </w:r>
      <w:r w:rsidR="004A772E" w:rsidRPr="002D7D04">
        <w:rPr>
          <w:lang w:eastAsia="en-US"/>
        </w:rPr>
        <w:t>r</w:t>
      </w:r>
      <w:proofErr w:type="spellStart"/>
      <w:r w:rsidR="004A772E" w:rsidRPr="002D7D04">
        <w:rPr>
          <w:lang w:val="es-ES_tradnl" w:eastAsia="en-US"/>
        </w:rPr>
        <w:t>eforma</w:t>
      </w:r>
      <w:proofErr w:type="spellEnd"/>
      <w:r w:rsidR="004116AB" w:rsidRPr="002D7D04">
        <w:rPr>
          <w:lang w:val="es-ES_tradnl" w:eastAsia="en-US"/>
        </w:rPr>
        <w:t xml:space="preserve"> en 2015 de</w:t>
      </w:r>
      <w:r w:rsidR="004A772E" w:rsidRPr="002D7D04">
        <w:rPr>
          <w:lang w:val="es-ES_tradnl" w:eastAsia="en-US"/>
        </w:rPr>
        <w:t xml:space="preserve"> los artículos 129 y 155 del Código Penal para incorporar el delito de odio por </w:t>
      </w:r>
      <w:r w:rsidR="004A772E" w:rsidRPr="002D7D04">
        <w:rPr>
          <w:lang w:eastAsia="en-US"/>
        </w:rPr>
        <w:t>orientación sexual, identidad y expresión de género</w:t>
      </w:r>
      <w:r w:rsidR="00EE68E8" w:rsidRPr="002D7D04">
        <w:rPr>
          <w:lang w:eastAsia="en-US"/>
        </w:rPr>
        <w:t>;</w:t>
      </w:r>
    </w:p>
    <w:p w14:paraId="2EE9544A" w14:textId="1615126D" w:rsidR="004A772E" w:rsidRPr="002D7D04" w:rsidRDefault="004A6C92" w:rsidP="00073E37">
      <w:pPr>
        <w:pStyle w:val="SingleTxtG"/>
        <w:rPr>
          <w:lang w:val="es-ES_tradnl" w:eastAsia="en-US"/>
        </w:rPr>
      </w:pPr>
      <w:r>
        <w:rPr>
          <w:lang w:val="es-ES_tradnl" w:eastAsia="en-US"/>
        </w:rPr>
        <w:tab/>
      </w:r>
      <w:r w:rsidR="00782ADC">
        <w:rPr>
          <w:lang w:val="es-ES_tradnl" w:eastAsia="en-US"/>
        </w:rPr>
        <w:t>f</w:t>
      </w:r>
      <w:r w:rsidR="00BF6117" w:rsidRPr="002D7D04">
        <w:rPr>
          <w:lang w:val="es-ES_tradnl" w:eastAsia="en-US"/>
        </w:rPr>
        <w:t>)</w:t>
      </w:r>
      <w:r w:rsidR="0005523B" w:rsidRPr="002D7D04">
        <w:rPr>
          <w:lang w:val="es-ES_tradnl" w:eastAsia="en-US"/>
        </w:rPr>
        <w:tab/>
        <w:t>L</w:t>
      </w:r>
      <w:r w:rsidR="00BF6117" w:rsidRPr="002D7D04">
        <w:rPr>
          <w:lang w:val="es-ES_tradnl" w:eastAsia="en-US"/>
        </w:rPr>
        <w:t xml:space="preserve">a </w:t>
      </w:r>
      <w:r w:rsidR="00997C73" w:rsidRPr="002D7D04">
        <w:rPr>
          <w:lang w:val="es-ES_tradnl" w:eastAsia="en-US"/>
        </w:rPr>
        <w:t xml:space="preserve">creación del </w:t>
      </w:r>
      <w:r w:rsidR="00997C73" w:rsidRPr="002D7D04">
        <w:rPr>
          <w:lang w:eastAsia="en-US"/>
        </w:rPr>
        <w:t xml:space="preserve">Consejo Nacional de la Niñez y de la Adolescencia </w:t>
      </w:r>
      <w:r w:rsidR="00997C73" w:rsidRPr="002D7D04">
        <w:rPr>
          <w:lang w:val="es-ES_tradnl" w:eastAsia="en-US"/>
        </w:rPr>
        <w:t>en 2012</w:t>
      </w:r>
      <w:r w:rsidR="00EE68E8" w:rsidRPr="002D7D04">
        <w:rPr>
          <w:lang w:val="es-ES_tradnl" w:eastAsia="en-US"/>
        </w:rPr>
        <w:t>;</w:t>
      </w:r>
    </w:p>
    <w:p w14:paraId="33303445" w14:textId="135D6AE6" w:rsidR="004A772E" w:rsidRPr="002D7D04" w:rsidRDefault="00566437" w:rsidP="00073E37">
      <w:pPr>
        <w:pStyle w:val="SingleTxtG"/>
        <w:rPr>
          <w:lang w:val="es-ES_tradnl" w:eastAsia="en-US"/>
        </w:rPr>
      </w:pPr>
      <w:r>
        <w:rPr>
          <w:lang w:val="es-ES_tradnl" w:eastAsia="en-US"/>
        </w:rPr>
        <w:tab/>
      </w:r>
      <w:r w:rsidR="00782ADC">
        <w:rPr>
          <w:lang w:val="es-ES_tradnl" w:eastAsia="en-US"/>
        </w:rPr>
        <w:t>g</w:t>
      </w:r>
      <w:r w:rsidR="004A772E" w:rsidRPr="002D7D04">
        <w:rPr>
          <w:lang w:val="es-ES_tradnl" w:eastAsia="en-US"/>
        </w:rPr>
        <w:t>)</w:t>
      </w:r>
      <w:r w:rsidR="004A772E" w:rsidRPr="002D7D04">
        <w:rPr>
          <w:lang w:val="es-ES_tradnl" w:eastAsia="en-US"/>
        </w:rPr>
        <w:tab/>
        <w:t xml:space="preserve">La </w:t>
      </w:r>
      <w:r w:rsidR="004A772E" w:rsidRPr="002D7D04">
        <w:rPr>
          <w:lang w:eastAsia="en-US"/>
        </w:rPr>
        <w:t>Política Nacional contra la Trata de Personas en El Salvador, de 2012</w:t>
      </w:r>
      <w:r w:rsidR="00EE68E8" w:rsidRPr="002D7D04">
        <w:rPr>
          <w:lang w:eastAsia="en-US"/>
        </w:rPr>
        <w:t>,</w:t>
      </w:r>
      <w:r w:rsidR="004A772E" w:rsidRPr="002D7D04">
        <w:rPr>
          <w:lang w:eastAsia="en-US"/>
        </w:rPr>
        <w:t xml:space="preserve"> y la </w:t>
      </w:r>
      <w:r w:rsidR="004A772E" w:rsidRPr="002D7D04">
        <w:rPr>
          <w:lang w:val="es-ES_tradnl" w:eastAsia="en-US"/>
        </w:rPr>
        <w:t>Ley Especial contra la Trata de Personas en 2014;</w:t>
      </w:r>
    </w:p>
    <w:p w14:paraId="6C9C6E27" w14:textId="70C87C0C" w:rsidR="005F7424" w:rsidRPr="00B93C0C" w:rsidRDefault="00566437" w:rsidP="00073E37">
      <w:pPr>
        <w:pStyle w:val="SingleTxtG"/>
        <w:rPr>
          <w:rFonts w:cs="Calibri"/>
        </w:rPr>
      </w:pPr>
      <w:r>
        <w:rPr>
          <w:lang w:val="es-ES_tradnl" w:eastAsia="en-US"/>
        </w:rPr>
        <w:tab/>
      </w:r>
      <w:r w:rsidR="00782ADC">
        <w:rPr>
          <w:lang w:val="es-ES_tradnl" w:eastAsia="en-US"/>
        </w:rPr>
        <w:t>h</w:t>
      </w:r>
      <w:r w:rsidR="004A772E" w:rsidRPr="002D7D04">
        <w:rPr>
          <w:lang w:val="es-ES_tradnl" w:eastAsia="en-US"/>
        </w:rPr>
        <w:t>)</w:t>
      </w:r>
      <w:r w:rsidR="004A772E" w:rsidRPr="002D7D04">
        <w:rPr>
          <w:lang w:val="es-ES_tradnl" w:eastAsia="en-US"/>
        </w:rPr>
        <w:tab/>
      </w:r>
      <w:r w:rsidR="004A772E" w:rsidRPr="00B93C0C">
        <w:rPr>
          <w:lang w:val="es-ES_tradnl" w:eastAsia="en-US"/>
        </w:rPr>
        <w:t xml:space="preserve">La Ley </w:t>
      </w:r>
      <w:r w:rsidR="004A772E" w:rsidRPr="00B93C0C">
        <w:rPr>
          <w:lang w:eastAsia="en-US"/>
        </w:rPr>
        <w:t>Especial Integral para una Vida Libre de Violencia para las Mujeres</w:t>
      </w:r>
      <w:r w:rsidR="00E5690F" w:rsidRPr="00B93C0C">
        <w:rPr>
          <w:lang w:eastAsia="en-US"/>
        </w:rPr>
        <w:t xml:space="preserve">, que en sus artículos 45 y 46 </w:t>
      </w:r>
      <w:r w:rsidR="00E5690F" w:rsidRPr="00B93C0C">
        <w:rPr>
          <w:rFonts w:cs="Calibri"/>
        </w:rPr>
        <w:t>incluye la definición de feminicidio</w:t>
      </w:r>
      <w:r w:rsidR="005F7424" w:rsidRPr="00B93C0C">
        <w:rPr>
          <w:rFonts w:cs="Calibri"/>
        </w:rPr>
        <w:t xml:space="preserve"> y la creación en marzo de</w:t>
      </w:r>
      <w:r w:rsidR="001737AF">
        <w:rPr>
          <w:rFonts w:cs="Calibri"/>
        </w:rPr>
        <w:t> </w:t>
      </w:r>
      <w:r w:rsidR="005F7424" w:rsidRPr="00B93C0C">
        <w:rPr>
          <w:rFonts w:cs="Calibri"/>
        </w:rPr>
        <w:t>2016 de la jurisdicción y los Tribunales Especializados para una Vida Libre de Violencia y Discriminación contra las Mujeres;</w:t>
      </w:r>
    </w:p>
    <w:p w14:paraId="28458F33" w14:textId="650E464A" w:rsidR="00323CB9" w:rsidRDefault="004A6C92" w:rsidP="00073E37">
      <w:pPr>
        <w:pStyle w:val="SingleTxtG"/>
        <w:rPr>
          <w:lang w:eastAsia="en-US"/>
        </w:rPr>
      </w:pPr>
      <w:r>
        <w:rPr>
          <w:lang w:eastAsia="en-US"/>
        </w:rPr>
        <w:tab/>
      </w:r>
      <w:r w:rsidR="00782ADC">
        <w:rPr>
          <w:lang w:eastAsia="en-US"/>
        </w:rPr>
        <w:t>i</w:t>
      </w:r>
      <w:r w:rsidR="00323CB9" w:rsidRPr="002D7D04">
        <w:rPr>
          <w:lang w:eastAsia="en-US"/>
        </w:rPr>
        <w:t>)</w:t>
      </w:r>
      <w:r w:rsidR="0005523B" w:rsidRPr="002D7D04">
        <w:rPr>
          <w:lang w:eastAsia="en-US"/>
        </w:rPr>
        <w:tab/>
        <w:t>E</w:t>
      </w:r>
      <w:r w:rsidR="00323CB9" w:rsidRPr="002D7D04">
        <w:rPr>
          <w:lang w:eastAsia="en-US"/>
        </w:rPr>
        <w:t xml:space="preserve">l </w:t>
      </w:r>
      <w:r w:rsidR="001737AF">
        <w:rPr>
          <w:lang w:eastAsia="en-US"/>
        </w:rPr>
        <w:t>D</w:t>
      </w:r>
      <w:r w:rsidR="00323CB9" w:rsidRPr="002D7D04">
        <w:rPr>
          <w:lang w:eastAsia="en-US"/>
        </w:rPr>
        <w:t>ecreto n</w:t>
      </w:r>
      <w:r w:rsidR="00A413DB">
        <w:rPr>
          <w:lang w:eastAsia="en-US"/>
        </w:rPr>
        <w:t xml:space="preserve">úm. </w:t>
      </w:r>
      <w:r w:rsidR="00323CB9" w:rsidRPr="002D7D04">
        <w:rPr>
          <w:lang w:eastAsia="en-US"/>
        </w:rPr>
        <w:t xml:space="preserve">754 de agosto de 2017, a través del cual se introduce la prohibición </w:t>
      </w:r>
      <w:r w:rsidR="00D02425" w:rsidRPr="002D7D04">
        <w:rPr>
          <w:lang w:eastAsia="en-US"/>
        </w:rPr>
        <w:t xml:space="preserve">del </w:t>
      </w:r>
      <w:r w:rsidR="00323CB9" w:rsidRPr="002D7D04">
        <w:rPr>
          <w:lang w:eastAsia="en-US"/>
        </w:rPr>
        <w:t>matrimonio de los menores de 18 años</w:t>
      </w:r>
      <w:r w:rsidR="00D02425" w:rsidRPr="002D7D04">
        <w:rPr>
          <w:lang w:eastAsia="en-US"/>
        </w:rPr>
        <w:t xml:space="preserve"> en todos los casos</w:t>
      </w:r>
      <w:r w:rsidR="00323CB9" w:rsidRPr="002D7D04">
        <w:rPr>
          <w:lang w:eastAsia="en-US"/>
        </w:rPr>
        <w:t>.</w:t>
      </w:r>
    </w:p>
    <w:p w14:paraId="58D21131" w14:textId="07D87D4E" w:rsidR="00782ADC" w:rsidRPr="00782ADC" w:rsidRDefault="00782ADC" w:rsidP="001D515A">
      <w:pPr>
        <w:pStyle w:val="SingleTxtG"/>
        <w:rPr>
          <w:lang w:eastAsia="en-US"/>
        </w:rPr>
      </w:pPr>
      <w:r w:rsidRPr="00782ADC">
        <w:rPr>
          <w:lang w:eastAsia="en-US"/>
        </w:rPr>
        <w:t>4.</w:t>
      </w:r>
      <w:r w:rsidR="00C232A8">
        <w:rPr>
          <w:lang w:eastAsia="en-US"/>
        </w:rPr>
        <w:tab/>
      </w:r>
      <w:r w:rsidRPr="00782ADC">
        <w:rPr>
          <w:lang w:eastAsia="en-US"/>
        </w:rPr>
        <w:t>El Comité observa con satisfacción que el Estado parte ha ratificado los instrumentos internacionales indicados a continuación o se ha adherido a ellos:</w:t>
      </w:r>
    </w:p>
    <w:p w14:paraId="0DEA6C5B" w14:textId="22662132" w:rsidR="00782ADC" w:rsidRPr="00782ADC" w:rsidRDefault="004A6C92" w:rsidP="00073E37">
      <w:pPr>
        <w:pStyle w:val="SingleTxtG"/>
        <w:rPr>
          <w:lang w:eastAsia="en-US"/>
        </w:rPr>
      </w:pPr>
      <w:r>
        <w:rPr>
          <w:lang w:eastAsia="en-US"/>
        </w:rPr>
        <w:tab/>
      </w:r>
      <w:r w:rsidR="00782ADC" w:rsidRPr="00782ADC">
        <w:rPr>
          <w:lang w:eastAsia="en-US"/>
        </w:rPr>
        <w:t>a)</w:t>
      </w:r>
      <w:r w:rsidR="00782ADC" w:rsidRPr="00782ADC">
        <w:rPr>
          <w:lang w:eastAsia="en-US"/>
        </w:rPr>
        <w:tab/>
        <w:t xml:space="preserve">El </w:t>
      </w:r>
      <w:r w:rsidR="00782ADC" w:rsidRPr="00782ADC">
        <w:rPr>
          <w:lang w:val="es-ES_tradnl" w:eastAsia="en-US"/>
        </w:rPr>
        <w:t xml:space="preserve">Protocolo Facultativo del </w:t>
      </w:r>
      <w:r w:rsidR="00782ADC" w:rsidRPr="00782ADC">
        <w:rPr>
          <w:lang w:eastAsia="en-US"/>
        </w:rPr>
        <w:t>Pacto Internacional de Derechos Económicos, Sociales y Culturales, en 2011;</w:t>
      </w:r>
    </w:p>
    <w:p w14:paraId="754B9395" w14:textId="54CB95C8" w:rsidR="00782ADC" w:rsidRPr="00782ADC" w:rsidRDefault="004A6C92" w:rsidP="00073E37">
      <w:pPr>
        <w:pStyle w:val="SingleTxtG"/>
        <w:rPr>
          <w:lang w:eastAsia="en-US"/>
        </w:rPr>
      </w:pPr>
      <w:r>
        <w:rPr>
          <w:lang w:eastAsia="en-US"/>
        </w:rPr>
        <w:tab/>
      </w:r>
      <w:r w:rsidR="00782ADC" w:rsidRPr="00782ADC">
        <w:rPr>
          <w:lang w:eastAsia="en-US"/>
        </w:rPr>
        <w:t>b)</w:t>
      </w:r>
      <w:r w:rsidR="00782ADC" w:rsidRPr="00782ADC">
        <w:rPr>
          <w:lang w:eastAsia="en-US"/>
        </w:rPr>
        <w:tab/>
        <w:t>El Segundo Protocolo Facultativo del Pacto Internacional de Derechos Civiles y Políticos, destinado a abolir la pena de muerte, en 2014.</w:t>
      </w:r>
    </w:p>
    <w:p w14:paraId="06F11C8E" w14:textId="77777777" w:rsidR="004A772E" w:rsidRPr="002D7D04" w:rsidRDefault="004A772E" w:rsidP="001D515A">
      <w:pPr>
        <w:pStyle w:val="H1G"/>
      </w:pPr>
      <w:r w:rsidRPr="002D7D04">
        <w:tab/>
        <w:t>C.</w:t>
      </w:r>
      <w:r w:rsidRPr="002D7D04">
        <w:tab/>
        <w:t>Principales motivos de preocupación y recomendaciones</w:t>
      </w:r>
    </w:p>
    <w:p w14:paraId="6AE12D81" w14:textId="5969F558" w:rsidR="004A772E" w:rsidRPr="002D7D04" w:rsidRDefault="004A772E" w:rsidP="001D515A">
      <w:pPr>
        <w:pStyle w:val="H23G"/>
      </w:pPr>
      <w:r w:rsidRPr="002D7D04">
        <w:tab/>
      </w:r>
      <w:r w:rsidRPr="002D7D04">
        <w:tab/>
        <w:t>Implementación del Pacto y de su Protocolo Facultativo</w:t>
      </w:r>
    </w:p>
    <w:p w14:paraId="5B9B975C" w14:textId="174BC47F" w:rsidR="004A772E" w:rsidRDefault="00F94EB2" w:rsidP="001D515A">
      <w:pPr>
        <w:pStyle w:val="SingleTxtG"/>
      </w:pPr>
      <w:r>
        <w:t>5</w:t>
      </w:r>
      <w:r w:rsidR="008D0D39" w:rsidRPr="002D7D04">
        <w:t>.</w:t>
      </w:r>
      <w:r w:rsidR="00807181" w:rsidRPr="002D7D04">
        <w:tab/>
      </w:r>
      <w:r w:rsidR="004A772E" w:rsidRPr="002D7D04">
        <w:t>El Comité</w:t>
      </w:r>
      <w:r w:rsidR="004C7E79">
        <w:t xml:space="preserve"> toma nota</w:t>
      </w:r>
      <w:r w:rsidR="004A772E" w:rsidRPr="002D7D04">
        <w:t xml:space="preserve"> </w:t>
      </w:r>
      <w:r w:rsidR="004C7E79">
        <w:t xml:space="preserve">del hecho que los tribunales han invocado el Pacto al revisar la legislación interna, incluyendo la Corte Suprema de Justicia. Sin embargo, le preocupan los informes relativos a </w:t>
      </w:r>
      <w:r w:rsidR="004C7E79" w:rsidRPr="004C7E79">
        <w:t xml:space="preserve">la </w:t>
      </w:r>
      <w:r w:rsidR="004C7E79" w:rsidRPr="00566398">
        <w:t xml:space="preserve">falta de </w:t>
      </w:r>
      <w:r w:rsidR="004C7E79" w:rsidRPr="00986960">
        <w:t xml:space="preserve">consistencia en la </w:t>
      </w:r>
      <w:r w:rsidR="00782ADC">
        <w:t xml:space="preserve">invocación </w:t>
      </w:r>
      <w:r w:rsidR="004C7E79" w:rsidRPr="004C7E79">
        <w:t>del Pacto en los tribunales nacionales</w:t>
      </w:r>
      <w:r w:rsidR="004C7E79">
        <w:t xml:space="preserve">. También está preocupado por la información relativa a que la sociedad civil no fue ampliamente consultada en la preparación del informe del Estado parte, así como por la implementación </w:t>
      </w:r>
      <w:r w:rsidR="004C7E79" w:rsidRPr="004C7E79">
        <w:t>desigual</w:t>
      </w:r>
      <w:r w:rsidR="004C7E79">
        <w:t xml:space="preserve"> de las </w:t>
      </w:r>
      <w:r w:rsidR="0050404D">
        <w:t xml:space="preserve">recomendaciones de seguimiento en el último ciclo de presentación de informes. Asimismo, le preocupa </w:t>
      </w:r>
      <w:r w:rsidR="004A772E" w:rsidRPr="002D7D04">
        <w:t>que</w:t>
      </w:r>
      <w:r w:rsidR="00F9005B" w:rsidRPr="002D7D04">
        <w:t xml:space="preserve"> no se haya recibido ninguna</w:t>
      </w:r>
      <w:r w:rsidR="004A772E" w:rsidRPr="002D7D04">
        <w:t xml:space="preserve"> comunicación</w:t>
      </w:r>
      <w:r w:rsidR="00F9005B" w:rsidRPr="002D7D04">
        <w:t xml:space="preserve"> </w:t>
      </w:r>
      <w:r w:rsidR="00566398">
        <w:t xml:space="preserve">relativa </w:t>
      </w:r>
      <w:r w:rsidR="00566398" w:rsidRPr="00566398">
        <w:t xml:space="preserve">al Estado parte </w:t>
      </w:r>
      <w:r w:rsidR="00F9005B" w:rsidRPr="002D7D04">
        <w:t xml:space="preserve">bajo </w:t>
      </w:r>
      <w:r w:rsidR="00566398">
        <w:t xml:space="preserve">el </w:t>
      </w:r>
      <w:r w:rsidR="00F9005B" w:rsidRPr="002D7D04">
        <w:t xml:space="preserve">Protocolo </w:t>
      </w:r>
      <w:r w:rsidR="008B14CA" w:rsidRPr="002D7D04">
        <w:t xml:space="preserve">Facultativo </w:t>
      </w:r>
      <w:r w:rsidR="00566398">
        <w:t>del Pacto</w:t>
      </w:r>
      <w:r w:rsidR="0069248D" w:rsidRPr="0069248D">
        <w:t xml:space="preserve"> </w:t>
      </w:r>
      <w:r w:rsidR="008B14CA" w:rsidRPr="002D7D04">
        <w:t>(</w:t>
      </w:r>
      <w:r w:rsidR="004A772E" w:rsidRPr="002D7D04">
        <w:t>arts. 1 y 2).</w:t>
      </w:r>
    </w:p>
    <w:p w14:paraId="7B0A9B08" w14:textId="50BE0797" w:rsidR="004A772E" w:rsidRPr="001D515A" w:rsidRDefault="00F94EB2" w:rsidP="001D515A">
      <w:pPr>
        <w:pStyle w:val="SingleTxtG"/>
        <w:rPr>
          <w:b/>
          <w:bCs/>
        </w:rPr>
      </w:pPr>
      <w:r>
        <w:t>6</w:t>
      </w:r>
      <w:r w:rsidR="008D0D39" w:rsidRPr="002D7D04">
        <w:t>.</w:t>
      </w:r>
      <w:r w:rsidR="00807181" w:rsidRPr="002D7D04">
        <w:tab/>
      </w:r>
      <w:r w:rsidR="004A772E" w:rsidRPr="001D515A">
        <w:rPr>
          <w:b/>
          <w:bCs/>
        </w:rPr>
        <w:t>El Estado parte debe adoptar medidas para</w:t>
      </w:r>
      <w:r w:rsidR="00E61FAD" w:rsidRPr="001D515A">
        <w:rPr>
          <w:b/>
          <w:bCs/>
        </w:rPr>
        <w:t xml:space="preserve"> </w:t>
      </w:r>
      <w:r w:rsidR="004A772E" w:rsidRPr="001D515A">
        <w:rPr>
          <w:b/>
          <w:bCs/>
          <w:lang w:val="es-ES_tradnl"/>
        </w:rPr>
        <w:t>informar y educar al público</w:t>
      </w:r>
      <w:r w:rsidR="004A772E" w:rsidRPr="001D515A">
        <w:rPr>
          <w:b/>
          <w:bCs/>
        </w:rPr>
        <w:t xml:space="preserve"> </w:t>
      </w:r>
      <w:r w:rsidR="004A772E" w:rsidRPr="001D515A">
        <w:rPr>
          <w:b/>
          <w:bCs/>
          <w:lang w:val="es-ES_tradnl"/>
        </w:rPr>
        <w:t>sobre el Pacto y su Protocolo Facultativo</w:t>
      </w:r>
      <w:r w:rsidR="00635867" w:rsidRPr="001D515A">
        <w:rPr>
          <w:b/>
          <w:bCs/>
          <w:lang w:val="es-ES_tradnl"/>
        </w:rPr>
        <w:t xml:space="preserve">, incluyendo a través de campañas de concienciación </w:t>
      </w:r>
      <w:r w:rsidR="004671B9" w:rsidRPr="001D515A">
        <w:rPr>
          <w:b/>
          <w:bCs/>
          <w:lang w:val="es-ES_tradnl"/>
        </w:rPr>
        <w:t xml:space="preserve">y de </w:t>
      </w:r>
      <w:r w:rsidR="00E61FAD" w:rsidRPr="001D515A">
        <w:rPr>
          <w:b/>
          <w:bCs/>
          <w:lang w:val="es-ES_tradnl"/>
        </w:rPr>
        <w:t>capacitación de abogados, jueces y fiscales</w:t>
      </w:r>
      <w:r w:rsidR="004671B9" w:rsidRPr="001D515A">
        <w:rPr>
          <w:b/>
          <w:bCs/>
          <w:lang w:val="es-ES_tradnl"/>
        </w:rPr>
        <w:t>,</w:t>
      </w:r>
      <w:r w:rsidR="00986960" w:rsidRPr="001D515A">
        <w:rPr>
          <w:b/>
          <w:bCs/>
          <w:lang w:val="es-ES_tradnl"/>
        </w:rPr>
        <w:t xml:space="preserve"> así como di</w:t>
      </w:r>
      <w:r w:rsidR="00871108" w:rsidRPr="001D515A">
        <w:rPr>
          <w:b/>
          <w:bCs/>
          <w:lang w:val="es-ES_tradnl"/>
        </w:rPr>
        <w:t>fundir</w:t>
      </w:r>
      <w:r w:rsidR="003112FB" w:rsidRPr="001D515A">
        <w:rPr>
          <w:b/>
          <w:bCs/>
          <w:lang w:val="es-ES_tradnl"/>
        </w:rPr>
        <w:t xml:space="preserve">los </w:t>
      </w:r>
      <w:r w:rsidR="00986960" w:rsidRPr="001D515A">
        <w:rPr>
          <w:b/>
          <w:bCs/>
          <w:lang w:val="es-ES_tradnl"/>
        </w:rPr>
        <w:t>ampliamente</w:t>
      </w:r>
      <w:r w:rsidR="00635867" w:rsidRPr="001D515A">
        <w:rPr>
          <w:b/>
          <w:bCs/>
          <w:lang w:val="es-ES_tradnl"/>
        </w:rPr>
        <w:t>. Debe también</w:t>
      </w:r>
      <w:r w:rsidR="00D338E9" w:rsidRPr="001D515A">
        <w:rPr>
          <w:b/>
          <w:bCs/>
          <w:lang w:val="es-ES_tradnl"/>
        </w:rPr>
        <w:t xml:space="preserve"> asegurar la creación de un </w:t>
      </w:r>
      <w:r w:rsidR="00F74BF7" w:rsidRPr="001D515A">
        <w:rPr>
          <w:b/>
          <w:bCs/>
          <w:lang w:val="es-ES_tradnl"/>
        </w:rPr>
        <w:t>m</w:t>
      </w:r>
      <w:r w:rsidR="00D338E9" w:rsidRPr="001D515A">
        <w:rPr>
          <w:b/>
          <w:bCs/>
          <w:lang w:val="es-ES_tradnl"/>
        </w:rPr>
        <w:t xml:space="preserve">ecanismo </w:t>
      </w:r>
      <w:r w:rsidR="00F74BF7" w:rsidRPr="001D515A">
        <w:rPr>
          <w:b/>
          <w:bCs/>
          <w:lang w:val="es-ES_tradnl"/>
        </w:rPr>
        <w:t>n</w:t>
      </w:r>
      <w:proofErr w:type="spellStart"/>
      <w:r w:rsidR="004671B9" w:rsidRPr="001D515A">
        <w:rPr>
          <w:b/>
          <w:bCs/>
        </w:rPr>
        <w:t>acional</w:t>
      </w:r>
      <w:proofErr w:type="spellEnd"/>
      <w:r w:rsidR="004671B9" w:rsidRPr="001D515A">
        <w:rPr>
          <w:b/>
          <w:bCs/>
        </w:rPr>
        <w:t xml:space="preserve"> </w:t>
      </w:r>
      <w:r w:rsidR="0081524F" w:rsidRPr="001D515A">
        <w:rPr>
          <w:b/>
          <w:bCs/>
        </w:rPr>
        <w:t>de presentación de informes y seguimiento</w:t>
      </w:r>
      <w:r w:rsidR="00491A43" w:rsidRPr="001D515A">
        <w:rPr>
          <w:b/>
          <w:bCs/>
        </w:rPr>
        <w:t xml:space="preserve"> </w:t>
      </w:r>
      <w:r w:rsidR="004671B9" w:rsidRPr="001D515A">
        <w:rPr>
          <w:b/>
          <w:bCs/>
          <w:lang w:val="es-ES_tradnl"/>
        </w:rPr>
        <w:t xml:space="preserve">efectivo </w:t>
      </w:r>
      <w:r w:rsidR="00D338E9" w:rsidRPr="001D515A">
        <w:rPr>
          <w:b/>
          <w:bCs/>
          <w:lang w:val="es-ES_tradnl"/>
        </w:rPr>
        <w:t xml:space="preserve">para </w:t>
      </w:r>
      <w:r w:rsidR="00D338E9" w:rsidRPr="001D515A">
        <w:rPr>
          <w:b/>
          <w:bCs/>
          <w:lang w:val="es-SV"/>
        </w:rPr>
        <w:t>coordinar el proceso de preparación de informes</w:t>
      </w:r>
      <w:r w:rsidR="00491A43" w:rsidRPr="001D515A">
        <w:rPr>
          <w:b/>
          <w:bCs/>
          <w:lang w:val="es-SV"/>
        </w:rPr>
        <w:t>, seguimiento e</w:t>
      </w:r>
      <w:r w:rsidR="00D338E9" w:rsidRPr="001D515A">
        <w:rPr>
          <w:b/>
          <w:bCs/>
          <w:lang w:val="es-SV"/>
        </w:rPr>
        <w:t xml:space="preserve"> implementación de las observaciones finales del Comité, el cual asegure </w:t>
      </w:r>
      <w:r w:rsidR="004A772E" w:rsidRPr="001D515A">
        <w:rPr>
          <w:b/>
          <w:bCs/>
        </w:rPr>
        <w:t xml:space="preserve">una consulta amplia y abierta con la sociedad </w:t>
      </w:r>
      <w:r w:rsidR="00992843" w:rsidRPr="001D515A">
        <w:rPr>
          <w:b/>
          <w:bCs/>
        </w:rPr>
        <w:t>civil, incluyendo</w:t>
      </w:r>
      <w:r w:rsidR="004A772E" w:rsidRPr="001D515A">
        <w:rPr>
          <w:b/>
          <w:bCs/>
        </w:rPr>
        <w:t xml:space="preserve"> con </w:t>
      </w:r>
      <w:r w:rsidR="004A772E" w:rsidRPr="001D515A">
        <w:rPr>
          <w:b/>
          <w:bCs/>
          <w:lang w:val="es-ES_tradnl"/>
        </w:rPr>
        <w:t xml:space="preserve">representantes de grupos </w:t>
      </w:r>
      <w:r w:rsidR="00491A43" w:rsidRPr="001D515A">
        <w:rPr>
          <w:b/>
          <w:bCs/>
          <w:lang w:val="es-ES_tradnl"/>
        </w:rPr>
        <w:t xml:space="preserve">indígenas </w:t>
      </w:r>
      <w:r w:rsidR="004A772E" w:rsidRPr="001D515A">
        <w:rPr>
          <w:b/>
          <w:bCs/>
          <w:lang w:val="es-ES_tradnl"/>
        </w:rPr>
        <w:t>y minoritarios</w:t>
      </w:r>
      <w:r w:rsidR="00491A43" w:rsidRPr="001D515A">
        <w:rPr>
          <w:b/>
          <w:bCs/>
          <w:lang w:val="es-ES_tradnl"/>
        </w:rPr>
        <w:t xml:space="preserve"> durante el proceso</w:t>
      </w:r>
      <w:r w:rsidR="004A772E" w:rsidRPr="001D515A">
        <w:rPr>
          <w:b/>
          <w:bCs/>
          <w:lang w:val="es-SV"/>
        </w:rPr>
        <w:t>.</w:t>
      </w:r>
      <w:r w:rsidR="004671B9" w:rsidRPr="001D515A">
        <w:rPr>
          <w:b/>
          <w:bCs/>
          <w:lang w:val="es-SV"/>
        </w:rPr>
        <w:t xml:space="preserve"> </w:t>
      </w:r>
    </w:p>
    <w:p w14:paraId="60EA7059" w14:textId="74EF106C" w:rsidR="004A772E" w:rsidRPr="002D7D04" w:rsidRDefault="004A772E" w:rsidP="00073E37">
      <w:pPr>
        <w:pStyle w:val="H23G"/>
      </w:pPr>
      <w:r w:rsidRPr="004E32B1">
        <w:tab/>
      </w:r>
      <w:r w:rsidR="004A6C92">
        <w:tab/>
      </w:r>
      <w:r w:rsidRPr="002D7D04">
        <w:t>Institución nacional de derechos humanos</w:t>
      </w:r>
    </w:p>
    <w:p w14:paraId="13902445" w14:textId="1349698D" w:rsidR="004A772E" w:rsidRPr="002D7D04" w:rsidRDefault="00F94EB2" w:rsidP="001D515A">
      <w:pPr>
        <w:pStyle w:val="SingleTxtG"/>
      </w:pPr>
      <w:r>
        <w:t>7</w:t>
      </w:r>
      <w:r w:rsidR="008D0D39" w:rsidRPr="002D7D04">
        <w:t>.</w:t>
      </w:r>
      <w:r w:rsidR="00807181" w:rsidRPr="002D7D04">
        <w:tab/>
      </w:r>
      <w:r w:rsidR="00BB35F4" w:rsidRPr="002D7D04">
        <w:t>P</w:t>
      </w:r>
      <w:r w:rsidR="004A772E" w:rsidRPr="002D7D04">
        <w:t xml:space="preserve">reocupa al Comité </w:t>
      </w:r>
      <w:r w:rsidR="004A772E" w:rsidRPr="002D7D04">
        <w:rPr>
          <w:lang w:val="es-ES_tradnl"/>
        </w:rPr>
        <w:t xml:space="preserve">que los recursos humanos y financieros asignados a la Procuraduría para la Defensa de los Derechos Humanos no sean suficientes para llevar a cabo su mandato de manera efectiva y de conformidad con los </w:t>
      </w:r>
      <w:r w:rsidR="00A413DB">
        <w:rPr>
          <w:lang w:val="es-ES_tradnl"/>
        </w:rPr>
        <w:t>p</w:t>
      </w:r>
      <w:r w:rsidR="004A772E" w:rsidRPr="002D7D04">
        <w:rPr>
          <w:lang w:val="es-ES_tradnl"/>
        </w:rPr>
        <w:t xml:space="preserve">rincipios relativos al estatuto de las instituciones nacionales (Principios de París). </w:t>
      </w:r>
      <w:r w:rsidR="00BB35F4" w:rsidRPr="002D7D04">
        <w:rPr>
          <w:lang w:val="es-ES_tradnl"/>
        </w:rPr>
        <w:t>También le preocupa</w:t>
      </w:r>
      <w:r w:rsidR="004A772E" w:rsidRPr="002D7D04">
        <w:rPr>
          <w:lang w:val="es-ES_tradnl"/>
        </w:rPr>
        <w:t xml:space="preserve"> la información recibida sobre injerencias</w:t>
      </w:r>
      <w:r w:rsidR="00BB35F4" w:rsidRPr="002D7D04">
        <w:rPr>
          <w:lang w:val="es-ES_tradnl"/>
        </w:rPr>
        <w:t xml:space="preserve"> y</w:t>
      </w:r>
      <w:r w:rsidR="009654D5" w:rsidRPr="002D7D04">
        <w:rPr>
          <w:lang w:val="es-ES_tradnl"/>
        </w:rPr>
        <w:t xml:space="preserve"> </w:t>
      </w:r>
      <w:r w:rsidR="004A772E" w:rsidRPr="002D7D04">
        <w:rPr>
          <w:lang w:val="es-ES_tradnl"/>
        </w:rPr>
        <w:t>ataques</w:t>
      </w:r>
      <w:r w:rsidR="00BB35F4" w:rsidRPr="002D7D04">
        <w:rPr>
          <w:lang w:val="es-ES_tradnl"/>
        </w:rPr>
        <w:t xml:space="preserve"> </w:t>
      </w:r>
      <w:r w:rsidR="00105A7A" w:rsidRPr="002D7D04">
        <w:rPr>
          <w:lang w:val="es-ES_tradnl"/>
        </w:rPr>
        <w:t xml:space="preserve">contra esta institución, </w:t>
      </w:r>
      <w:r w:rsidR="004A772E" w:rsidRPr="002D7D04">
        <w:rPr>
          <w:lang w:val="es-ES_tradnl"/>
        </w:rPr>
        <w:t>así como el</w:t>
      </w:r>
      <w:r w:rsidR="004A772E" w:rsidRPr="002D7D04">
        <w:t xml:space="preserve"> bajo porcentaje de implementación </w:t>
      </w:r>
      <w:r w:rsidR="00354F35" w:rsidRPr="002D7D04">
        <w:t xml:space="preserve">de </w:t>
      </w:r>
      <w:r w:rsidR="00105A7A" w:rsidRPr="002D7D04">
        <w:t>sus</w:t>
      </w:r>
      <w:r w:rsidR="004A772E" w:rsidRPr="002D7D04">
        <w:t xml:space="preserve"> resoluciones</w:t>
      </w:r>
      <w:r w:rsidR="00715FBF" w:rsidRPr="002D7D04">
        <w:t xml:space="preserve"> (art. 2).</w:t>
      </w:r>
    </w:p>
    <w:p w14:paraId="7E3B7614" w14:textId="25360253" w:rsidR="004A772E" w:rsidRPr="002D7D04" w:rsidRDefault="00F94EB2" w:rsidP="004A6C92">
      <w:pPr>
        <w:pStyle w:val="SingleTxtG"/>
        <w:rPr>
          <w:lang w:val="es-ES_tradnl"/>
        </w:rPr>
      </w:pPr>
      <w:r>
        <w:t>8</w:t>
      </w:r>
      <w:r w:rsidR="00070D50" w:rsidRPr="002D7D04">
        <w:t>.</w:t>
      </w:r>
      <w:r w:rsidR="00807181" w:rsidRPr="002D7D04">
        <w:tab/>
      </w:r>
      <w:r w:rsidR="004A772E" w:rsidRPr="001D515A">
        <w:rPr>
          <w:b/>
          <w:bCs/>
        </w:rPr>
        <w:t xml:space="preserve">El Estado </w:t>
      </w:r>
      <w:r w:rsidR="00FC5E2E" w:rsidRPr="001D515A">
        <w:rPr>
          <w:b/>
          <w:bCs/>
        </w:rPr>
        <w:t xml:space="preserve">parte </w:t>
      </w:r>
      <w:r w:rsidR="004A772E" w:rsidRPr="001D515A">
        <w:rPr>
          <w:b/>
          <w:bCs/>
        </w:rPr>
        <w:t xml:space="preserve">debe adoptar las medidas necesarias para garantizar </w:t>
      </w:r>
      <w:r w:rsidR="005B238F" w:rsidRPr="001D515A">
        <w:rPr>
          <w:b/>
          <w:bCs/>
        </w:rPr>
        <w:t xml:space="preserve">la implementación de las resoluciones de </w:t>
      </w:r>
      <w:r w:rsidR="004A772E" w:rsidRPr="001D515A">
        <w:rPr>
          <w:b/>
          <w:bCs/>
        </w:rPr>
        <w:t>la</w:t>
      </w:r>
      <w:r w:rsidR="004A772E" w:rsidRPr="001D515A">
        <w:rPr>
          <w:b/>
          <w:bCs/>
          <w:lang w:val="es-ES_tradnl"/>
        </w:rPr>
        <w:t xml:space="preserve"> Procuraduría para la Defensa de los Derechos Humanos </w:t>
      </w:r>
      <w:r w:rsidR="005B238F" w:rsidRPr="001D515A">
        <w:rPr>
          <w:b/>
          <w:bCs/>
          <w:lang w:val="es-ES_tradnl"/>
        </w:rPr>
        <w:t xml:space="preserve">por todas las instituciones del Estado y asegurar que </w:t>
      </w:r>
      <w:r w:rsidR="004A772E" w:rsidRPr="001D515A">
        <w:rPr>
          <w:b/>
          <w:bCs/>
          <w:lang w:val="es-ES_tradnl"/>
        </w:rPr>
        <w:t xml:space="preserve">disponga de recursos humanos y financieros suficientes para que </w:t>
      </w:r>
      <w:r w:rsidR="004A772E" w:rsidRPr="001D515A">
        <w:rPr>
          <w:b/>
          <w:bCs/>
        </w:rPr>
        <w:t>pueda cumplir su mandato con eficacia e independencia y en plena conformidad con los Principios de París. Debe además protegerla de toda injerencia o presión externa indebida y asegurar que el mandato conferido a esta institución es respetado por todas las instituciones</w:t>
      </w:r>
      <w:r w:rsidR="000C69D6" w:rsidRPr="001D515A">
        <w:rPr>
          <w:b/>
          <w:bCs/>
        </w:rPr>
        <w:t xml:space="preserve"> gubernamentales</w:t>
      </w:r>
      <w:r w:rsidR="00715FBF" w:rsidRPr="001D515A">
        <w:rPr>
          <w:b/>
          <w:bCs/>
        </w:rPr>
        <w:t>.</w:t>
      </w:r>
      <w:r w:rsidR="004A772E" w:rsidRPr="002D7D04">
        <w:t xml:space="preserve"> </w:t>
      </w:r>
    </w:p>
    <w:p w14:paraId="4C6239DF" w14:textId="5EEFB926" w:rsidR="004A772E" w:rsidRPr="002D7D04" w:rsidRDefault="004A772E" w:rsidP="00073E37">
      <w:pPr>
        <w:pStyle w:val="H23G"/>
      </w:pPr>
      <w:r w:rsidRPr="002D7D04">
        <w:tab/>
      </w:r>
      <w:r w:rsidR="004A6C92">
        <w:tab/>
      </w:r>
      <w:r w:rsidRPr="002D7D04">
        <w:t xml:space="preserve">No discriminación </w:t>
      </w:r>
    </w:p>
    <w:p w14:paraId="4535614A" w14:textId="2403F528" w:rsidR="004A772E" w:rsidRPr="00CD66C3" w:rsidRDefault="00F94EB2" w:rsidP="001D515A">
      <w:pPr>
        <w:pStyle w:val="SingleTxtG"/>
      </w:pPr>
      <w:r>
        <w:t>9</w:t>
      </w:r>
      <w:r w:rsidR="00C20F3C" w:rsidRPr="002D7D04">
        <w:t>.</w:t>
      </w:r>
      <w:r w:rsidR="00807181" w:rsidRPr="002D7D04">
        <w:tab/>
      </w:r>
      <w:r w:rsidR="004A772E" w:rsidRPr="002D7D04">
        <w:t xml:space="preserve">El Comité </w:t>
      </w:r>
      <w:r w:rsidR="00BA4E9B" w:rsidRPr="002D7D04">
        <w:t xml:space="preserve">está </w:t>
      </w:r>
      <w:r w:rsidR="004A772E" w:rsidRPr="002D7D04">
        <w:t xml:space="preserve">preocupado </w:t>
      </w:r>
      <w:r w:rsidR="00BA4E9B" w:rsidRPr="002D7D04">
        <w:t xml:space="preserve">por la ausencia de un marco </w:t>
      </w:r>
      <w:r w:rsidR="002D779B">
        <w:t xml:space="preserve">jurídico </w:t>
      </w:r>
      <w:r w:rsidR="00BA4E9B" w:rsidRPr="002D7D04">
        <w:t>exhaustivo contra la discriminación</w:t>
      </w:r>
      <w:r w:rsidR="00AE11FC" w:rsidRPr="002D7D04">
        <w:t xml:space="preserve">, así como </w:t>
      </w:r>
      <w:r w:rsidR="004A772E" w:rsidRPr="002D7D04">
        <w:t xml:space="preserve">por la </w:t>
      </w:r>
      <w:r w:rsidR="00C07494" w:rsidRPr="002D7D04">
        <w:t xml:space="preserve">persistencia de la </w:t>
      </w:r>
      <w:r w:rsidR="004A772E" w:rsidRPr="002D7D04">
        <w:t xml:space="preserve">discriminación </w:t>
      </w:r>
      <w:r w:rsidR="00C07494" w:rsidRPr="002D7D04">
        <w:t>contra</w:t>
      </w:r>
      <w:r w:rsidR="004A772E" w:rsidRPr="002D7D04">
        <w:rPr>
          <w:lang w:val="es-ES_tradnl"/>
        </w:rPr>
        <w:t xml:space="preserve"> personas afrodescendientes,</w:t>
      </w:r>
      <w:r w:rsidR="004A772E" w:rsidRPr="002D7D04">
        <w:t xml:space="preserve"> indígenas, migrantes</w:t>
      </w:r>
      <w:r w:rsidR="004A772E" w:rsidRPr="002D7D04">
        <w:rPr>
          <w:lang w:val="es-ES_tradnl"/>
        </w:rPr>
        <w:t xml:space="preserve">, </w:t>
      </w:r>
      <w:r w:rsidR="00F16489" w:rsidRPr="002D7D04">
        <w:rPr>
          <w:lang w:val="es-ES_tradnl"/>
        </w:rPr>
        <w:t xml:space="preserve">personas </w:t>
      </w:r>
      <w:r w:rsidR="004A772E" w:rsidRPr="002D7D04">
        <w:t>con discapacidad,</w:t>
      </w:r>
      <w:r w:rsidR="009F58F9" w:rsidRPr="002D7D04">
        <w:t xml:space="preserve"> mujeres que ejercen la prostitución, </w:t>
      </w:r>
      <w:r w:rsidR="004A772E" w:rsidRPr="002D7D04">
        <w:t xml:space="preserve">personas lesbianas, gais, bisexuales, </w:t>
      </w:r>
      <w:proofErr w:type="spellStart"/>
      <w:r w:rsidR="004A772E" w:rsidRPr="002D7D04">
        <w:t>transgénero</w:t>
      </w:r>
      <w:proofErr w:type="spellEnd"/>
      <w:r w:rsidR="004A772E" w:rsidRPr="002D7D04">
        <w:t xml:space="preserve"> e intersexuales y</w:t>
      </w:r>
      <w:r w:rsidR="004A772E" w:rsidRPr="002D7D04">
        <w:rPr>
          <w:lang w:val="es-ES_tradnl"/>
        </w:rPr>
        <w:t xml:space="preserve"> </w:t>
      </w:r>
      <w:r w:rsidR="004A772E" w:rsidRPr="002D7D04">
        <w:t xml:space="preserve">las personas infectadas por el VIH, </w:t>
      </w:r>
      <w:r w:rsidR="004A772E" w:rsidRPr="002D7D04">
        <w:rPr>
          <w:lang w:val="es-ES_tradnl"/>
        </w:rPr>
        <w:t xml:space="preserve">especialmente </w:t>
      </w:r>
      <w:r w:rsidR="00F87F20">
        <w:rPr>
          <w:lang w:val="es-ES_tradnl"/>
        </w:rPr>
        <w:t xml:space="preserve">en las áreas de </w:t>
      </w:r>
      <w:r w:rsidR="004A772E" w:rsidRPr="002D7D04">
        <w:rPr>
          <w:lang w:val="es-ES_tradnl"/>
        </w:rPr>
        <w:t xml:space="preserve">educación, salud, vivienda y empleo. </w:t>
      </w:r>
      <w:r w:rsidR="00AE11FC" w:rsidRPr="002D7D04">
        <w:rPr>
          <w:lang w:val="es-ES_tradnl"/>
        </w:rPr>
        <w:t xml:space="preserve">El Comité </w:t>
      </w:r>
      <w:r w:rsidR="00AE11FC" w:rsidRPr="002D7D04">
        <w:t xml:space="preserve">está alarmado por </w:t>
      </w:r>
      <w:r w:rsidR="00AE11FC" w:rsidRPr="002D7D04">
        <w:rPr>
          <w:lang w:val="es-ES_tradnl"/>
        </w:rPr>
        <w:t xml:space="preserve">el </w:t>
      </w:r>
      <w:r w:rsidR="00E36820" w:rsidRPr="002D7D04">
        <w:rPr>
          <w:lang w:val="es-ES_tradnl"/>
        </w:rPr>
        <w:t xml:space="preserve">elevado </w:t>
      </w:r>
      <w:r w:rsidR="00AE11FC" w:rsidRPr="002D7D04">
        <w:rPr>
          <w:lang w:val="es-ES_tradnl"/>
        </w:rPr>
        <w:t xml:space="preserve">número </w:t>
      </w:r>
      <w:r w:rsidR="00E36820" w:rsidRPr="002D7D04">
        <w:rPr>
          <w:lang w:val="es-ES_tradnl"/>
        </w:rPr>
        <w:t xml:space="preserve">de </w:t>
      </w:r>
      <w:r w:rsidR="00AE11FC" w:rsidRPr="002D7D04">
        <w:rPr>
          <w:lang w:val="es-ES_tradnl"/>
        </w:rPr>
        <w:t xml:space="preserve">casos de </w:t>
      </w:r>
      <w:r w:rsidR="00AE11FC" w:rsidRPr="002D7D04">
        <w:t>amenazas, agresiones y asesinatos, inclu</w:t>
      </w:r>
      <w:r w:rsidR="000B2D9E" w:rsidRPr="002D7D04">
        <w:t>yendo</w:t>
      </w:r>
      <w:r w:rsidR="00AE11FC" w:rsidRPr="002D7D04">
        <w:t xml:space="preserve"> por agentes estatales, contra las personas </w:t>
      </w:r>
      <w:r w:rsidR="00A413DB" w:rsidRPr="002D7D04">
        <w:t xml:space="preserve">lesbianas, gais, bisexuales, </w:t>
      </w:r>
      <w:proofErr w:type="spellStart"/>
      <w:r w:rsidR="00A413DB" w:rsidRPr="002D7D04">
        <w:t>transgénero</w:t>
      </w:r>
      <w:proofErr w:type="spellEnd"/>
      <w:r w:rsidR="00A413DB" w:rsidRPr="002D7D04">
        <w:t xml:space="preserve"> e intersexuales</w:t>
      </w:r>
      <w:r w:rsidR="00AE11FC" w:rsidRPr="002D7D04">
        <w:t xml:space="preserve">, y en particular, las personas </w:t>
      </w:r>
      <w:proofErr w:type="spellStart"/>
      <w:r w:rsidR="00AE11FC" w:rsidRPr="002D7D04">
        <w:t>transgénero</w:t>
      </w:r>
      <w:proofErr w:type="spellEnd"/>
      <w:r w:rsidR="00AE11FC" w:rsidRPr="002D7D04">
        <w:t xml:space="preserve">, así como por el </w:t>
      </w:r>
      <w:r w:rsidR="000B2D9E" w:rsidRPr="002D7D04">
        <w:t>elevado</w:t>
      </w:r>
      <w:r w:rsidR="00AE11FC" w:rsidRPr="002D7D04">
        <w:t xml:space="preserve"> índice de impunidad de estos crímenes. </w:t>
      </w:r>
      <w:r w:rsidR="004A772E" w:rsidRPr="002D7D04">
        <w:rPr>
          <w:lang w:val="es-ES_tradnl"/>
        </w:rPr>
        <w:t xml:space="preserve">El Comité </w:t>
      </w:r>
      <w:r w:rsidR="00AE11FC" w:rsidRPr="002D7D04">
        <w:rPr>
          <w:lang w:val="es-ES_tradnl"/>
        </w:rPr>
        <w:t>observa</w:t>
      </w:r>
      <w:r w:rsidR="004B222C" w:rsidRPr="002D7D04">
        <w:rPr>
          <w:lang w:val="es-ES_tradnl"/>
        </w:rPr>
        <w:t xml:space="preserve"> que</w:t>
      </w:r>
      <w:r w:rsidR="00AE11FC" w:rsidRPr="002D7D04">
        <w:rPr>
          <w:lang w:val="es-ES_tradnl"/>
        </w:rPr>
        <w:t xml:space="preserve">, a pesar de la incorporación del delito de odio por </w:t>
      </w:r>
      <w:r w:rsidR="00AE11FC" w:rsidRPr="002D7D04">
        <w:t>orientación sexual, identidad y expresión de género</w:t>
      </w:r>
      <w:r w:rsidR="004A772E" w:rsidRPr="002D7D04">
        <w:rPr>
          <w:lang w:val="es-ES_tradnl"/>
        </w:rPr>
        <w:t xml:space="preserve"> </w:t>
      </w:r>
      <w:r w:rsidR="00040443" w:rsidRPr="002D7D04">
        <w:rPr>
          <w:lang w:val="es-ES_tradnl"/>
        </w:rPr>
        <w:t xml:space="preserve">en la legislación interna, </w:t>
      </w:r>
      <w:r w:rsidR="004A772E" w:rsidRPr="002D7D04">
        <w:t>no ha habido casos a los que se haya aplicado esta disposición (arts. 2, 3,</w:t>
      </w:r>
      <w:r w:rsidR="004B222C" w:rsidRPr="002D7D04">
        <w:t xml:space="preserve"> 6, 7</w:t>
      </w:r>
      <w:r w:rsidR="00CD66C3">
        <w:t xml:space="preserve">, </w:t>
      </w:r>
      <w:r w:rsidR="00E2023C" w:rsidRPr="00107C37">
        <w:t>17,</w:t>
      </w:r>
      <w:r w:rsidR="00E2023C">
        <w:t xml:space="preserve"> </w:t>
      </w:r>
      <w:r w:rsidR="005E147F">
        <w:t xml:space="preserve">25, </w:t>
      </w:r>
      <w:r w:rsidR="004A772E" w:rsidRPr="00CD66C3">
        <w:t>2</w:t>
      </w:r>
      <w:r w:rsidR="004B222C" w:rsidRPr="00CD66C3">
        <w:t>6</w:t>
      </w:r>
      <w:r w:rsidR="00CD66C3">
        <w:t xml:space="preserve"> y 27</w:t>
      </w:r>
      <w:r w:rsidR="004A772E" w:rsidRPr="00CD66C3">
        <w:t>).</w:t>
      </w:r>
    </w:p>
    <w:p w14:paraId="08EB34FE" w14:textId="46E0D28D" w:rsidR="00D95C10" w:rsidRPr="001D515A" w:rsidRDefault="00F94EB2" w:rsidP="001D515A">
      <w:pPr>
        <w:pStyle w:val="SingleTxtG"/>
        <w:rPr>
          <w:b/>
        </w:rPr>
      </w:pPr>
      <w:r>
        <w:rPr>
          <w:bCs/>
        </w:rPr>
        <w:t>10</w:t>
      </w:r>
      <w:r w:rsidR="004D0CCB" w:rsidRPr="002D7D04">
        <w:rPr>
          <w:bCs/>
        </w:rPr>
        <w:t>.</w:t>
      </w:r>
      <w:r w:rsidR="00807181" w:rsidRPr="002D7D04">
        <w:rPr>
          <w:bCs/>
        </w:rPr>
        <w:tab/>
      </w:r>
      <w:r w:rsidR="00890DF4" w:rsidRPr="001D515A">
        <w:rPr>
          <w:b/>
        </w:rPr>
        <w:t>El Estado parte debe</w:t>
      </w:r>
      <w:r w:rsidR="00D95C10" w:rsidRPr="001D515A">
        <w:rPr>
          <w:b/>
        </w:rPr>
        <w:t>:</w:t>
      </w:r>
    </w:p>
    <w:p w14:paraId="74C97D03" w14:textId="0E8EE940" w:rsidR="00D95C10" w:rsidRPr="001D515A" w:rsidRDefault="004A6C92" w:rsidP="001D515A">
      <w:pPr>
        <w:pStyle w:val="SingleTxtG"/>
        <w:rPr>
          <w:b/>
        </w:rPr>
      </w:pPr>
      <w:r>
        <w:rPr>
          <w:b/>
        </w:rPr>
        <w:tab/>
      </w:r>
      <w:r w:rsidR="00D95C10" w:rsidRPr="001D515A">
        <w:rPr>
          <w:b/>
        </w:rPr>
        <w:t>a)</w:t>
      </w:r>
      <w:r w:rsidR="0006431A" w:rsidRPr="001D515A">
        <w:rPr>
          <w:b/>
        </w:rPr>
        <w:tab/>
      </w:r>
      <w:r w:rsidR="00D95C10" w:rsidRPr="001D515A">
        <w:rPr>
          <w:b/>
        </w:rPr>
        <w:t>A</w:t>
      </w:r>
      <w:r w:rsidR="00890DF4" w:rsidRPr="001D515A">
        <w:rPr>
          <w:b/>
        </w:rPr>
        <w:t xml:space="preserve">doptar una legislación exhaustiva que </w:t>
      </w:r>
      <w:r w:rsidR="00C84C66" w:rsidRPr="001D515A">
        <w:rPr>
          <w:b/>
        </w:rPr>
        <w:t>prohíba</w:t>
      </w:r>
      <w:r w:rsidR="00890DF4" w:rsidRPr="001D515A">
        <w:rPr>
          <w:b/>
        </w:rPr>
        <w:t xml:space="preserve"> la </w:t>
      </w:r>
      <w:r w:rsidR="00C84C66" w:rsidRPr="001D515A">
        <w:rPr>
          <w:b/>
        </w:rPr>
        <w:t>discriminación</w:t>
      </w:r>
      <w:r w:rsidR="00890DF4" w:rsidRPr="001D515A">
        <w:rPr>
          <w:b/>
        </w:rPr>
        <w:t xml:space="preserve"> en todos los ámbitos, incluyendo la discriminación directa e indirecta,</w:t>
      </w:r>
      <w:r w:rsidR="00C707A9" w:rsidRPr="001D515A">
        <w:rPr>
          <w:b/>
        </w:rPr>
        <w:t xml:space="preserve"> tanto en el s</w:t>
      </w:r>
      <w:r w:rsidR="00C84C66" w:rsidRPr="001D515A">
        <w:rPr>
          <w:b/>
        </w:rPr>
        <w:t xml:space="preserve">ector público </w:t>
      </w:r>
      <w:r w:rsidR="00C707A9" w:rsidRPr="001D515A">
        <w:rPr>
          <w:b/>
        </w:rPr>
        <w:t xml:space="preserve">como en el </w:t>
      </w:r>
      <w:r w:rsidR="00C84C66" w:rsidRPr="001D515A">
        <w:rPr>
          <w:b/>
        </w:rPr>
        <w:t>privado</w:t>
      </w:r>
      <w:r w:rsidR="00EF11B3" w:rsidRPr="001D515A">
        <w:rPr>
          <w:b/>
        </w:rPr>
        <w:t>;</w:t>
      </w:r>
      <w:r w:rsidR="00890DF4" w:rsidRPr="001D515A">
        <w:rPr>
          <w:b/>
        </w:rPr>
        <w:t xml:space="preserve"> </w:t>
      </w:r>
    </w:p>
    <w:p w14:paraId="5F09FC24" w14:textId="0DAE211D" w:rsidR="00D95C10" w:rsidRPr="001D515A" w:rsidRDefault="004A6C92" w:rsidP="00073E37">
      <w:pPr>
        <w:pStyle w:val="SingleTxtG"/>
        <w:rPr>
          <w:b/>
        </w:rPr>
      </w:pPr>
      <w:r>
        <w:rPr>
          <w:b/>
        </w:rPr>
        <w:tab/>
      </w:r>
      <w:r w:rsidR="00D95C10" w:rsidRPr="001D515A">
        <w:rPr>
          <w:b/>
        </w:rPr>
        <w:t>b)</w:t>
      </w:r>
      <w:r w:rsidR="0006431A" w:rsidRPr="001D515A">
        <w:rPr>
          <w:b/>
        </w:rPr>
        <w:tab/>
      </w:r>
      <w:r w:rsidR="00D95C10" w:rsidRPr="001D515A">
        <w:rPr>
          <w:b/>
        </w:rPr>
        <w:t>A</w:t>
      </w:r>
      <w:r w:rsidR="004D0CCB" w:rsidRPr="001D515A">
        <w:rPr>
          <w:b/>
        </w:rPr>
        <w:t>doptar las medidas necesarias para garantizar la plena protección contra la discriminación</w:t>
      </w:r>
      <w:r w:rsidR="005E147F" w:rsidRPr="001D515A">
        <w:rPr>
          <w:b/>
        </w:rPr>
        <w:t xml:space="preserve">, </w:t>
      </w:r>
      <w:r w:rsidR="00E13C7D" w:rsidRPr="001D515A">
        <w:rPr>
          <w:b/>
        </w:rPr>
        <w:t>tanto en la ley como en la práctica</w:t>
      </w:r>
      <w:r w:rsidR="005E147F" w:rsidRPr="001D515A">
        <w:rPr>
          <w:b/>
        </w:rPr>
        <w:t>,</w:t>
      </w:r>
      <w:r w:rsidR="004D0CCB" w:rsidRPr="001D515A">
        <w:rPr>
          <w:b/>
        </w:rPr>
        <w:t xml:space="preserve"> </w:t>
      </w:r>
      <w:r w:rsidR="004A772E" w:rsidRPr="001D515A">
        <w:rPr>
          <w:b/>
        </w:rPr>
        <w:t xml:space="preserve">contra </w:t>
      </w:r>
      <w:r w:rsidR="004A772E" w:rsidRPr="001D515A">
        <w:rPr>
          <w:b/>
          <w:lang w:val="es-ES_tradnl"/>
        </w:rPr>
        <w:t>personas afrodescendientes,</w:t>
      </w:r>
      <w:r w:rsidR="004A772E" w:rsidRPr="001D515A">
        <w:rPr>
          <w:b/>
        </w:rPr>
        <w:t xml:space="preserve"> comunidades indígenas, migrantes</w:t>
      </w:r>
      <w:r w:rsidR="004A772E" w:rsidRPr="001D515A">
        <w:rPr>
          <w:b/>
          <w:lang w:val="es-ES_tradnl"/>
        </w:rPr>
        <w:t xml:space="preserve">, </w:t>
      </w:r>
      <w:r w:rsidR="004A772E" w:rsidRPr="001D515A">
        <w:rPr>
          <w:b/>
        </w:rPr>
        <w:t xml:space="preserve">personas con discapacidad, personas lesbianas, gais, bisexuales, </w:t>
      </w:r>
      <w:proofErr w:type="spellStart"/>
      <w:r w:rsidR="004A772E" w:rsidRPr="001D515A">
        <w:rPr>
          <w:b/>
        </w:rPr>
        <w:t>transgénero</w:t>
      </w:r>
      <w:proofErr w:type="spellEnd"/>
      <w:r w:rsidR="004A772E" w:rsidRPr="001D515A">
        <w:rPr>
          <w:b/>
        </w:rPr>
        <w:t xml:space="preserve"> e intersexuales</w:t>
      </w:r>
      <w:r w:rsidR="00F328EA" w:rsidRPr="001D515A">
        <w:rPr>
          <w:b/>
        </w:rPr>
        <w:t>,</w:t>
      </w:r>
      <w:r w:rsidR="004A772E" w:rsidRPr="001D515A">
        <w:rPr>
          <w:b/>
        </w:rPr>
        <w:t xml:space="preserve"> y</w:t>
      </w:r>
      <w:r w:rsidR="004A772E" w:rsidRPr="001D515A">
        <w:rPr>
          <w:b/>
          <w:lang w:val="es-ES_tradnl"/>
        </w:rPr>
        <w:t xml:space="preserve"> </w:t>
      </w:r>
      <w:r w:rsidR="004A772E" w:rsidRPr="001D515A">
        <w:rPr>
          <w:b/>
        </w:rPr>
        <w:t>personas infectadas por el VIH, incluyendo a través del aumento de los programas de formación para agentes del orden y de seguridad y de más campañas de sensibilización que promuevan la tolerancia y el respeto de la diversidad</w:t>
      </w:r>
      <w:r w:rsidR="005E147F" w:rsidRPr="001D515A">
        <w:rPr>
          <w:b/>
        </w:rPr>
        <w:t xml:space="preserve">. </w:t>
      </w:r>
      <w:r w:rsidR="00A603A2" w:rsidRPr="001D515A">
        <w:rPr>
          <w:b/>
        </w:rPr>
        <w:t>Debe también tomar medidas para asegurar la participación plena en la vida política de los miembros de grupos minoritarios, incluyendo personas afrodescendientes y comunidades indígenas;</w:t>
      </w:r>
      <w:r w:rsidR="00A27516" w:rsidRPr="001D515A">
        <w:rPr>
          <w:b/>
        </w:rPr>
        <w:t xml:space="preserve"> </w:t>
      </w:r>
    </w:p>
    <w:p w14:paraId="6C6F3692" w14:textId="03DDCE9D" w:rsidR="00D95C10" w:rsidRPr="001D515A" w:rsidRDefault="004A6C92" w:rsidP="001D515A">
      <w:pPr>
        <w:pStyle w:val="SingleTxtG"/>
        <w:rPr>
          <w:b/>
        </w:rPr>
      </w:pPr>
      <w:r>
        <w:rPr>
          <w:b/>
        </w:rPr>
        <w:tab/>
      </w:r>
      <w:r w:rsidR="00D95C10" w:rsidRPr="001D515A">
        <w:rPr>
          <w:b/>
        </w:rPr>
        <w:t>c)</w:t>
      </w:r>
      <w:r w:rsidR="0006431A" w:rsidRPr="001D515A">
        <w:rPr>
          <w:b/>
        </w:rPr>
        <w:tab/>
      </w:r>
      <w:r w:rsidR="00D95C10" w:rsidRPr="001D515A">
        <w:rPr>
          <w:b/>
        </w:rPr>
        <w:t>A</w:t>
      </w:r>
      <w:r w:rsidR="004A772E" w:rsidRPr="001D515A">
        <w:rPr>
          <w:b/>
        </w:rPr>
        <w:t xml:space="preserve">doptar e implementar políticas efectivas para la protección de las personas </w:t>
      </w:r>
      <w:r w:rsidR="00A413DB" w:rsidRPr="001D515A">
        <w:rPr>
          <w:b/>
        </w:rPr>
        <w:t xml:space="preserve">lesbianas, gais, bisexuales, </w:t>
      </w:r>
      <w:proofErr w:type="spellStart"/>
      <w:r w:rsidR="00A413DB" w:rsidRPr="001D515A">
        <w:rPr>
          <w:b/>
        </w:rPr>
        <w:t>transgénero</w:t>
      </w:r>
      <w:proofErr w:type="spellEnd"/>
      <w:r w:rsidR="00A413DB" w:rsidRPr="001D515A">
        <w:rPr>
          <w:b/>
        </w:rPr>
        <w:t xml:space="preserve"> e intersexuales</w:t>
      </w:r>
      <w:r w:rsidR="004A772E" w:rsidRPr="001D515A">
        <w:rPr>
          <w:b/>
        </w:rPr>
        <w:t>, incluyendo a través de la creación de una unidad especializada para la investigación de delitos de odio contra estas personas</w:t>
      </w:r>
      <w:r w:rsidR="005E147F" w:rsidRPr="001D515A">
        <w:rPr>
          <w:b/>
        </w:rPr>
        <w:t xml:space="preserve">, </w:t>
      </w:r>
      <w:r w:rsidR="003D3E5B" w:rsidRPr="001D515A">
        <w:rPr>
          <w:b/>
        </w:rPr>
        <w:t>así como</w:t>
      </w:r>
      <w:r w:rsidR="005E147F" w:rsidRPr="001D515A">
        <w:rPr>
          <w:b/>
        </w:rPr>
        <w:t xml:space="preserve"> garantizar el pleno reconocimiento de la identidad legal de las personas </w:t>
      </w:r>
      <w:proofErr w:type="spellStart"/>
      <w:r w:rsidR="005E147F" w:rsidRPr="001D515A">
        <w:rPr>
          <w:b/>
        </w:rPr>
        <w:t>transgénero</w:t>
      </w:r>
      <w:proofErr w:type="spellEnd"/>
      <w:r w:rsidR="00EF11B3" w:rsidRPr="001D515A">
        <w:rPr>
          <w:b/>
        </w:rPr>
        <w:t>;</w:t>
      </w:r>
      <w:r w:rsidR="004A772E" w:rsidRPr="001D515A">
        <w:rPr>
          <w:b/>
        </w:rPr>
        <w:t xml:space="preserve"> </w:t>
      </w:r>
    </w:p>
    <w:p w14:paraId="5FA0B6D6" w14:textId="48FA92ED" w:rsidR="004A772E" w:rsidRPr="001D515A" w:rsidRDefault="004A6C92" w:rsidP="00073E37">
      <w:pPr>
        <w:pStyle w:val="SingleTxtG"/>
        <w:rPr>
          <w:b/>
        </w:rPr>
      </w:pPr>
      <w:r>
        <w:rPr>
          <w:b/>
        </w:rPr>
        <w:tab/>
      </w:r>
      <w:r w:rsidR="00D95C10" w:rsidRPr="001D515A">
        <w:rPr>
          <w:b/>
        </w:rPr>
        <w:t>d)</w:t>
      </w:r>
      <w:r w:rsidR="0006431A" w:rsidRPr="001D515A">
        <w:rPr>
          <w:b/>
        </w:rPr>
        <w:tab/>
      </w:r>
      <w:r w:rsidR="00D95C10" w:rsidRPr="001D515A">
        <w:rPr>
          <w:b/>
        </w:rPr>
        <w:t>A</w:t>
      </w:r>
      <w:r w:rsidR="004A772E" w:rsidRPr="001D515A">
        <w:rPr>
          <w:b/>
        </w:rPr>
        <w:t xml:space="preserve">segurar que los casos de discriminación y violencia cometidos por particulares o agentes del Estado sean sistemáticamente investigados, que los responsables sean sancionados con penas adecuadas, y que las víctimas </w:t>
      </w:r>
      <w:r w:rsidR="00031522" w:rsidRPr="001D515A">
        <w:rPr>
          <w:b/>
        </w:rPr>
        <w:t xml:space="preserve">obtengan </w:t>
      </w:r>
      <w:r w:rsidR="004A772E" w:rsidRPr="001D515A">
        <w:rPr>
          <w:b/>
        </w:rPr>
        <w:t>una reparación integral.</w:t>
      </w:r>
    </w:p>
    <w:p w14:paraId="33931E43" w14:textId="13BEC127" w:rsidR="004A772E" w:rsidRPr="002D7D04" w:rsidRDefault="004A772E" w:rsidP="001D515A">
      <w:pPr>
        <w:pStyle w:val="H23G"/>
      </w:pPr>
      <w:r w:rsidRPr="002D7D04">
        <w:tab/>
      </w:r>
      <w:r w:rsidRPr="002D7D04">
        <w:tab/>
        <w:t>Igualdad de derechos entre hombres y mujeres</w:t>
      </w:r>
    </w:p>
    <w:p w14:paraId="31FC85D9" w14:textId="3C5F2D78" w:rsidR="004A772E" w:rsidRPr="002D7D04" w:rsidRDefault="00A27516" w:rsidP="001D515A">
      <w:pPr>
        <w:pStyle w:val="SingleTxtG"/>
      </w:pPr>
      <w:r w:rsidRPr="002D7D04">
        <w:t>1</w:t>
      </w:r>
      <w:r w:rsidR="00F94EB2">
        <w:t>1</w:t>
      </w:r>
      <w:r w:rsidRPr="002D7D04">
        <w:t>.</w:t>
      </w:r>
      <w:r w:rsidR="00807181" w:rsidRPr="002D7D04">
        <w:tab/>
      </w:r>
      <w:r w:rsidR="00E0467A" w:rsidRPr="002D7D04">
        <w:t>E</w:t>
      </w:r>
      <w:r w:rsidR="004A772E" w:rsidRPr="002D7D04">
        <w:t xml:space="preserve">l Comité está preocupado por </w:t>
      </w:r>
      <w:r w:rsidR="00E0467A" w:rsidRPr="002D7D04">
        <w:t xml:space="preserve">el </w:t>
      </w:r>
      <w:r w:rsidR="004A772E" w:rsidRPr="002D7D04">
        <w:t>continuo aumento</w:t>
      </w:r>
      <w:r w:rsidR="00E0467A" w:rsidRPr="002D7D04">
        <w:t xml:space="preserve"> </w:t>
      </w:r>
      <w:r w:rsidR="00634D6E">
        <w:t xml:space="preserve">de </w:t>
      </w:r>
      <w:r w:rsidR="00E0467A" w:rsidRPr="002D7D04">
        <w:t>la brecha salarial entre hombres y mujeres</w:t>
      </w:r>
      <w:r w:rsidR="004A772E" w:rsidRPr="002D7D04">
        <w:t xml:space="preserve"> desde 2010, así como por la limitada participación de las mujeres en la vida política y pública y su </w:t>
      </w:r>
      <w:proofErr w:type="spellStart"/>
      <w:r w:rsidR="004A772E" w:rsidRPr="002D7D04">
        <w:t>subrepresentación</w:t>
      </w:r>
      <w:proofErr w:type="spellEnd"/>
      <w:r w:rsidR="004A772E" w:rsidRPr="002D7D04">
        <w:t xml:space="preserve"> en los puestos de toma de decisión</w:t>
      </w:r>
      <w:r w:rsidR="004A772E" w:rsidRPr="002D7D04">
        <w:rPr>
          <w:lang w:val="es-ES_tradnl"/>
        </w:rPr>
        <w:t xml:space="preserve">, </w:t>
      </w:r>
      <w:r w:rsidR="004A772E" w:rsidRPr="002D7D04">
        <w:t>en cargos públicos y de elección popular</w:t>
      </w:r>
      <w:r w:rsidR="004A772E" w:rsidRPr="002D7D04">
        <w:rPr>
          <w:lang w:val="es-ES_tradnl"/>
        </w:rPr>
        <w:t xml:space="preserve">, incluyendo en los órganos legislativos, el Gobierno, la administración pública y los partidos políticos </w:t>
      </w:r>
      <w:r w:rsidR="004A772E" w:rsidRPr="002D7D04">
        <w:t>(arts.</w:t>
      </w:r>
      <w:r w:rsidR="001737AF">
        <w:t xml:space="preserve"> </w:t>
      </w:r>
      <w:r w:rsidR="004A772E" w:rsidRPr="002D7D04">
        <w:t xml:space="preserve">2, 3, 25 y 26). </w:t>
      </w:r>
    </w:p>
    <w:p w14:paraId="71F3A749" w14:textId="2A602478" w:rsidR="004A772E" w:rsidRPr="001D515A" w:rsidRDefault="00A27516" w:rsidP="001D515A">
      <w:pPr>
        <w:pStyle w:val="SingleTxtG"/>
        <w:rPr>
          <w:b/>
          <w:bCs/>
        </w:rPr>
      </w:pPr>
      <w:r w:rsidRPr="002D7D04">
        <w:t>1</w:t>
      </w:r>
      <w:r w:rsidR="00F94EB2">
        <w:t>2</w:t>
      </w:r>
      <w:r w:rsidRPr="002D7D04">
        <w:t>.</w:t>
      </w:r>
      <w:r w:rsidR="00807181" w:rsidRPr="002D7D04">
        <w:tab/>
      </w:r>
      <w:r w:rsidR="004A772E" w:rsidRPr="001D515A">
        <w:rPr>
          <w:b/>
          <w:bCs/>
        </w:rPr>
        <w:t xml:space="preserve">El Estado parte debe intensificar sus esfuerzos para combatir la brecha salarial entre hombres y mujeres, </w:t>
      </w:r>
      <w:r w:rsidR="00C778B0" w:rsidRPr="001D515A">
        <w:rPr>
          <w:b/>
          <w:bCs/>
        </w:rPr>
        <w:t xml:space="preserve">y </w:t>
      </w:r>
      <w:r w:rsidR="004A772E" w:rsidRPr="001D515A">
        <w:rPr>
          <w:b/>
          <w:bCs/>
        </w:rPr>
        <w:t xml:space="preserve">para aumentar la participación de las mujeres en la vida política y pública, así como su representación en el sector público y privado, </w:t>
      </w:r>
      <w:r w:rsidR="004A772E" w:rsidRPr="001D515A">
        <w:rPr>
          <w:b/>
          <w:bCs/>
          <w:lang w:val="es-ES_tradnl"/>
        </w:rPr>
        <w:t xml:space="preserve">especialmente en los cargos directivos y de alto nivel, </w:t>
      </w:r>
      <w:r w:rsidR="004A772E" w:rsidRPr="001D515A">
        <w:rPr>
          <w:b/>
          <w:bCs/>
        </w:rPr>
        <w:t xml:space="preserve">incluyendo la adopción, de ser necesarias, de medidas especiales de carácter temporal para dar pleno efecto a las disposiciones del Pacto. </w:t>
      </w:r>
    </w:p>
    <w:p w14:paraId="428F52B8" w14:textId="33D75671" w:rsidR="004A772E" w:rsidRPr="002D7D04" w:rsidRDefault="004A6C92" w:rsidP="001D515A">
      <w:pPr>
        <w:pStyle w:val="H23G"/>
      </w:pPr>
      <w:r>
        <w:tab/>
      </w:r>
      <w:r>
        <w:tab/>
      </w:r>
      <w:r w:rsidR="004A772E" w:rsidRPr="002D7D04">
        <w:t>Violencia contra la mujer</w:t>
      </w:r>
    </w:p>
    <w:p w14:paraId="23EB6F97" w14:textId="4563DB32" w:rsidR="004A772E" w:rsidRPr="00D401AA" w:rsidRDefault="00A537F4" w:rsidP="001D515A">
      <w:pPr>
        <w:pStyle w:val="SingleTxtG"/>
        <w:rPr>
          <w:bCs/>
          <w:lang w:val="es-SV"/>
        </w:rPr>
      </w:pPr>
      <w:r w:rsidRPr="002D7D04">
        <w:rPr>
          <w:bCs/>
        </w:rPr>
        <w:t>1</w:t>
      </w:r>
      <w:r w:rsidR="00F94EB2">
        <w:rPr>
          <w:bCs/>
        </w:rPr>
        <w:t>3</w:t>
      </w:r>
      <w:r w:rsidRPr="002D7D04">
        <w:rPr>
          <w:bCs/>
        </w:rPr>
        <w:t>.</w:t>
      </w:r>
      <w:r w:rsidR="00807181" w:rsidRPr="002D7D04">
        <w:rPr>
          <w:bCs/>
        </w:rPr>
        <w:tab/>
      </w:r>
      <w:r w:rsidR="004A772E" w:rsidRPr="002D7D04">
        <w:rPr>
          <w:bCs/>
        </w:rPr>
        <w:t xml:space="preserve">El Comité reconoce los esfuerzos del Estado parte para combatir la violencia contra la mujer. Sin </w:t>
      </w:r>
      <w:r w:rsidR="009E5F79" w:rsidRPr="002D7D04">
        <w:rPr>
          <w:bCs/>
        </w:rPr>
        <w:t>embargo, sigue</w:t>
      </w:r>
      <w:r w:rsidR="004A772E" w:rsidRPr="002D7D04">
        <w:rPr>
          <w:bCs/>
        </w:rPr>
        <w:t xml:space="preserve"> preocupado por las elevadas tasas de violencia doméstica y sexual contra mujeres, niñas y adolescentes, incluida la explotación sexual por maras y pandillas, así como </w:t>
      </w:r>
      <w:r w:rsidR="00135A77" w:rsidRPr="002D7D04">
        <w:rPr>
          <w:bCs/>
        </w:rPr>
        <w:t xml:space="preserve">por </w:t>
      </w:r>
      <w:r w:rsidR="004A772E" w:rsidRPr="002D7D04">
        <w:rPr>
          <w:bCs/>
        </w:rPr>
        <w:t>el alarmante número de feminicidios</w:t>
      </w:r>
      <w:r w:rsidR="00496E18" w:rsidRPr="002D7D04">
        <w:rPr>
          <w:bCs/>
        </w:rPr>
        <w:t xml:space="preserve"> anuales</w:t>
      </w:r>
      <w:r w:rsidR="00365646">
        <w:rPr>
          <w:bCs/>
        </w:rPr>
        <w:t xml:space="preserve"> y por el hecho que </w:t>
      </w:r>
      <w:r w:rsidR="00365646" w:rsidRPr="00365646">
        <w:rPr>
          <w:rFonts w:cstheme="minorHAnsi"/>
        </w:rPr>
        <w:t xml:space="preserve">los incidentes de violación </w:t>
      </w:r>
      <w:r w:rsidR="00365646">
        <w:rPr>
          <w:rFonts w:cstheme="minorHAnsi"/>
        </w:rPr>
        <w:t xml:space="preserve">no suelen </w:t>
      </w:r>
      <w:r w:rsidR="00365646" w:rsidRPr="00365646">
        <w:rPr>
          <w:rFonts w:cstheme="minorHAnsi"/>
        </w:rPr>
        <w:t>ser denunciados</w:t>
      </w:r>
      <w:r w:rsidR="004A772E" w:rsidRPr="00365646">
        <w:rPr>
          <w:bCs/>
        </w:rPr>
        <w:t xml:space="preserve">. </w:t>
      </w:r>
      <w:r w:rsidR="004A772E" w:rsidRPr="00365646">
        <w:rPr>
          <w:bCs/>
          <w:lang w:val="es-ES_tradnl"/>
        </w:rPr>
        <w:t>Preocupa al Comité</w:t>
      </w:r>
      <w:r w:rsidR="004A772E" w:rsidRPr="00365646">
        <w:rPr>
          <w:bCs/>
          <w:lang w:val="es-SV"/>
        </w:rPr>
        <w:t xml:space="preserve"> </w:t>
      </w:r>
      <w:r w:rsidR="004A772E" w:rsidRPr="00365646">
        <w:rPr>
          <w:bCs/>
        </w:rPr>
        <w:t>el reducido número de procesamientos y condenas por</w:t>
      </w:r>
      <w:r w:rsidR="004A772E" w:rsidRPr="002D7D04">
        <w:rPr>
          <w:bCs/>
        </w:rPr>
        <w:t xml:space="preserve"> casos de feminicidio, creando impunidad sistemática para los autores y obstáculos para </w:t>
      </w:r>
      <w:r w:rsidR="00977D8F" w:rsidRPr="002D7D04">
        <w:rPr>
          <w:bCs/>
        </w:rPr>
        <w:t xml:space="preserve">la </w:t>
      </w:r>
      <w:r w:rsidR="004A772E" w:rsidRPr="002D7D04">
        <w:rPr>
          <w:bCs/>
        </w:rPr>
        <w:t xml:space="preserve">reparación de las víctimas. </w:t>
      </w:r>
      <w:r w:rsidR="00AF400D" w:rsidRPr="00AF400D">
        <w:rPr>
          <w:bCs/>
        </w:rPr>
        <w:t xml:space="preserve">El Comité </w:t>
      </w:r>
      <w:r w:rsidR="00AF400D" w:rsidRPr="00AF400D">
        <w:rPr>
          <w:bCs/>
          <w:lang w:val="es-ES_tradnl"/>
        </w:rPr>
        <w:t xml:space="preserve">lamenta no haber recibido </w:t>
      </w:r>
      <w:r w:rsidR="00AF400D" w:rsidRPr="00AF400D">
        <w:rPr>
          <w:bCs/>
        </w:rPr>
        <w:t xml:space="preserve">información estadística sobre </w:t>
      </w:r>
      <w:r w:rsidR="00AF400D" w:rsidRPr="00AF400D">
        <w:rPr>
          <w:bCs/>
          <w:lang w:val="es-ES_tradnl"/>
        </w:rPr>
        <w:t xml:space="preserve">las denuncias recibidas en relación a las diversas formas de violencia contra la mujer, las investigaciones llevadas a cabo y sus resultados, las </w:t>
      </w:r>
      <w:r w:rsidR="00AF400D" w:rsidRPr="00E17C53">
        <w:rPr>
          <w:bCs/>
          <w:lang w:val="es-ES_tradnl"/>
        </w:rPr>
        <w:t xml:space="preserve">condenas impuestas y las medidas de reparación otorgadas a las víctimas. </w:t>
      </w:r>
      <w:r w:rsidR="006820CA" w:rsidRPr="00E17C53">
        <w:rPr>
          <w:bCs/>
        </w:rPr>
        <w:t xml:space="preserve">Preocupa </w:t>
      </w:r>
      <w:r w:rsidR="00580C93" w:rsidRPr="00E17C53">
        <w:rPr>
          <w:bCs/>
        </w:rPr>
        <w:t xml:space="preserve">además </w:t>
      </w:r>
      <w:r w:rsidR="006820CA" w:rsidRPr="00E17C53">
        <w:rPr>
          <w:bCs/>
        </w:rPr>
        <w:t xml:space="preserve">al </w:t>
      </w:r>
      <w:r w:rsidR="004A772E" w:rsidRPr="00E17C53">
        <w:rPr>
          <w:bCs/>
        </w:rPr>
        <w:t xml:space="preserve">Comité </w:t>
      </w:r>
      <w:r w:rsidR="004A772E" w:rsidRPr="00E17C53">
        <w:rPr>
          <w:bCs/>
          <w:lang w:val="es-SV"/>
        </w:rPr>
        <w:t xml:space="preserve">la accesibilidad de </w:t>
      </w:r>
      <w:r w:rsidR="006820CA" w:rsidRPr="00E17C53">
        <w:rPr>
          <w:bCs/>
        </w:rPr>
        <w:t xml:space="preserve">los Tribunales Especializados para una Vida Libre de Violencia y Discriminación para las Mujeres, </w:t>
      </w:r>
      <w:r w:rsidR="004A772E" w:rsidRPr="00E17C53">
        <w:rPr>
          <w:bCs/>
          <w:lang w:val="es-SV"/>
        </w:rPr>
        <w:t xml:space="preserve">en particular para las mujeres que viven en zonas </w:t>
      </w:r>
      <w:r w:rsidR="00997012" w:rsidRPr="00E17C53">
        <w:rPr>
          <w:bCs/>
          <w:lang w:val="es-SV"/>
        </w:rPr>
        <w:t>rurales</w:t>
      </w:r>
      <w:r w:rsidR="00B464A4" w:rsidRPr="00E17C53">
        <w:rPr>
          <w:bCs/>
          <w:lang w:val="es-SV"/>
        </w:rPr>
        <w:t>, así como su capacidad de investigación</w:t>
      </w:r>
      <w:r w:rsidR="004A772E" w:rsidRPr="00E17C53">
        <w:rPr>
          <w:bCs/>
        </w:rPr>
        <w:t>. Asimismo, está preocupado por la insuficiencia de los mecanismos de protección, apoyo, recuperación y reinserción social para las mujeres</w:t>
      </w:r>
      <w:r w:rsidR="009859BF">
        <w:rPr>
          <w:bCs/>
        </w:rPr>
        <w:t xml:space="preserve"> y </w:t>
      </w:r>
      <w:r w:rsidR="004A772E" w:rsidRPr="00E17C53">
        <w:rPr>
          <w:bCs/>
        </w:rPr>
        <w:t>niñas víctimas de la violencia de género. También preocupa al Comité la</w:t>
      </w:r>
      <w:r w:rsidR="004A772E" w:rsidRPr="002D7D04">
        <w:rPr>
          <w:bCs/>
        </w:rPr>
        <w:t xml:space="preserve"> persistencia de estereotipos patriarcales y prejuicios sobre el rol de la mujer en la familia y en la sociedad, así como la persistencia de </w:t>
      </w:r>
      <w:r w:rsidR="004A772E" w:rsidRPr="002D7D04">
        <w:rPr>
          <w:bCs/>
          <w:lang w:val="es-ES_tradnl"/>
        </w:rPr>
        <w:t xml:space="preserve">la posibilidad de conciliación en el ámbito de la violencia familiar </w:t>
      </w:r>
      <w:r w:rsidR="004A772E" w:rsidRPr="002D7D04">
        <w:rPr>
          <w:bCs/>
        </w:rPr>
        <w:t>(arts. 2, 3, 6, 7, 14</w:t>
      </w:r>
      <w:r w:rsidR="00D401AA">
        <w:rPr>
          <w:bCs/>
        </w:rPr>
        <w:t>, 24</w:t>
      </w:r>
      <w:r w:rsidR="004A772E" w:rsidRPr="00D401AA">
        <w:rPr>
          <w:bCs/>
        </w:rPr>
        <w:t xml:space="preserve"> y 26).</w:t>
      </w:r>
    </w:p>
    <w:p w14:paraId="4A94E624" w14:textId="22DCF192" w:rsidR="00E83A73" w:rsidRPr="001D515A" w:rsidRDefault="00846AD4" w:rsidP="001D515A">
      <w:pPr>
        <w:pStyle w:val="SingleTxtG"/>
        <w:rPr>
          <w:b/>
        </w:rPr>
      </w:pPr>
      <w:r w:rsidRPr="002D7D04">
        <w:rPr>
          <w:bCs/>
        </w:rPr>
        <w:t>1</w:t>
      </w:r>
      <w:r w:rsidR="00F94EB2">
        <w:rPr>
          <w:bCs/>
        </w:rPr>
        <w:t>4</w:t>
      </w:r>
      <w:r w:rsidRPr="002D7D04">
        <w:rPr>
          <w:bCs/>
        </w:rPr>
        <w:t>.</w:t>
      </w:r>
      <w:r w:rsidR="00807181" w:rsidRPr="002D7D04">
        <w:rPr>
          <w:bCs/>
        </w:rPr>
        <w:tab/>
      </w:r>
      <w:r w:rsidR="004A772E" w:rsidRPr="001D515A">
        <w:rPr>
          <w:b/>
        </w:rPr>
        <w:t>El Estado parte debe</w:t>
      </w:r>
      <w:r w:rsidR="00E83A73" w:rsidRPr="001D515A">
        <w:rPr>
          <w:b/>
        </w:rPr>
        <w:t>:</w:t>
      </w:r>
    </w:p>
    <w:p w14:paraId="2A2EF5AB" w14:textId="381B4EEA" w:rsidR="00E83A73" w:rsidRPr="001D515A" w:rsidRDefault="004A6C92" w:rsidP="00073E37">
      <w:pPr>
        <w:pStyle w:val="SingleTxtG"/>
        <w:rPr>
          <w:b/>
        </w:rPr>
      </w:pPr>
      <w:r w:rsidRPr="001D515A">
        <w:rPr>
          <w:b/>
        </w:rPr>
        <w:tab/>
      </w:r>
      <w:r w:rsidR="00E83A73" w:rsidRPr="001D515A">
        <w:rPr>
          <w:b/>
        </w:rPr>
        <w:t>a)</w:t>
      </w:r>
      <w:r w:rsidR="0006431A" w:rsidRPr="001D515A">
        <w:rPr>
          <w:b/>
        </w:rPr>
        <w:tab/>
      </w:r>
      <w:r w:rsidR="00E83A73" w:rsidRPr="001D515A">
        <w:rPr>
          <w:b/>
        </w:rPr>
        <w:t>I</w:t>
      </w:r>
      <w:r w:rsidR="005E1399" w:rsidRPr="001D515A">
        <w:rPr>
          <w:b/>
        </w:rPr>
        <w:t xml:space="preserve">ntensificar sus esfuerzos </w:t>
      </w:r>
      <w:r w:rsidR="004A772E" w:rsidRPr="001D515A">
        <w:rPr>
          <w:b/>
        </w:rPr>
        <w:t>para prevenir, combatir y sancionar todos los actos de violencia contra la mujer, incluidos los cometidos por miembros de maras y pandillas</w:t>
      </w:r>
      <w:r w:rsidR="005E1399" w:rsidRPr="001D515A">
        <w:rPr>
          <w:b/>
        </w:rPr>
        <w:t>, y asegurar que las instituciones y programas destinados a este fin dispongan de recursos humanos, financieros y técnicos adecuados</w:t>
      </w:r>
      <w:r w:rsidR="0060278C" w:rsidRPr="001D515A">
        <w:rPr>
          <w:b/>
        </w:rPr>
        <w:t>;</w:t>
      </w:r>
      <w:r w:rsidR="005E1399" w:rsidRPr="001D515A">
        <w:rPr>
          <w:b/>
        </w:rPr>
        <w:t xml:space="preserve"> </w:t>
      </w:r>
    </w:p>
    <w:p w14:paraId="7359F9EB" w14:textId="2DA30807" w:rsidR="00E83A73" w:rsidRPr="001D515A" w:rsidRDefault="004A6C92" w:rsidP="00073E37">
      <w:pPr>
        <w:pStyle w:val="SingleTxtG"/>
        <w:rPr>
          <w:b/>
        </w:rPr>
      </w:pPr>
      <w:r w:rsidRPr="001D515A">
        <w:rPr>
          <w:b/>
        </w:rPr>
        <w:tab/>
      </w:r>
      <w:r w:rsidR="00E83A73" w:rsidRPr="001D515A">
        <w:rPr>
          <w:b/>
        </w:rPr>
        <w:t>b)</w:t>
      </w:r>
      <w:r w:rsidR="0006431A" w:rsidRPr="001D515A">
        <w:rPr>
          <w:b/>
        </w:rPr>
        <w:tab/>
      </w:r>
      <w:r w:rsidR="00E83A73" w:rsidRPr="001D515A">
        <w:rPr>
          <w:b/>
        </w:rPr>
        <w:t>A</w:t>
      </w:r>
      <w:r w:rsidR="004A772E" w:rsidRPr="001D515A">
        <w:rPr>
          <w:b/>
        </w:rPr>
        <w:t xml:space="preserve">segurar que todos estos </w:t>
      </w:r>
      <w:r w:rsidR="005E1399" w:rsidRPr="001D515A">
        <w:rPr>
          <w:b/>
        </w:rPr>
        <w:t xml:space="preserve">crímenes </w:t>
      </w:r>
      <w:r w:rsidR="004A772E" w:rsidRPr="001D515A">
        <w:rPr>
          <w:b/>
        </w:rPr>
        <w:t>sean investigados de manera pronta, exhaustiva e imparcial, que los autores sean procesados y sancionados, y que las víctimas obtengan una reparación integral</w:t>
      </w:r>
      <w:r w:rsidR="0060278C" w:rsidRPr="001D515A">
        <w:rPr>
          <w:b/>
        </w:rPr>
        <w:t>;</w:t>
      </w:r>
      <w:r w:rsidR="004A772E" w:rsidRPr="001D515A">
        <w:rPr>
          <w:b/>
        </w:rPr>
        <w:t xml:space="preserve"> </w:t>
      </w:r>
    </w:p>
    <w:p w14:paraId="388AB01D" w14:textId="1E455182" w:rsidR="00E83A73" w:rsidRPr="001D515A" w:rsidRDefault="004A6C92" w:rsidP="00073E37">
      <w:pPr>
        <w:pStyle w:val="SingleTxtG"/>
        <w:rPr>
          <w:b/>
        </w:rPr>
      </w:pPr>
      <w:r w:rsidRPr="001D515A">
        <w:rPr>
          <w:b/>
        </w:rPr>
        <w:tab/>
      </w:r>
      <w:r w:rsidR="00E83A73" w:rsidRPr="001D515A">
        <w:rPr>
          <w:b/>
        </w:rPr>
        <w:t>c)</w:t>
      </w:r>
      <w:r w:rsidR="0006431A" w:rsidRPr="001D515A">
        <w:rPr>
          <w:b/>
        </w:rPr>
        <w:tab/>
      </w:r>
      <w:r w:rsidR="00E83A73" w:rsidRPr="001D515A">
        <w:rPr>
          <w:b/>
        </w:rPr>
        <w:t>I</w:t>
      </w:r>
      <w:r w:rsidR="004A772E" w:rsidRPr="001D515A">
        <w:rPr>
          <w:b/>
        </w:rPr>
        <w:t xml:space="preserve">ntensificar sus esfuerzos para garantizar </w:t>
      </w:r>
      <w:r w:rsidR="005E1399" w:rsidRPr="001D515A">
        <w:rPr>
          <w:b/>
        </w:rPr>
        <w:t>que todas las víctimas tengan acceso a asistencia y protección, así como hacer efectivo el derecho de las mujeres víctimas de violencia al acceso a la justicia, incluyendo en zonas rurales</w:t>
      </w:r>
      <w:r w:rsidR="0060278C" w:rsidRPr="001D515A">
        <w:rPr>
          <w:b/>
        </w:rPr>
        <w:t>;</w:t>
      </w:r>
      <w:r w:rsidR="005E1399" w:rsidRPr="001D515A">
        <w:rPr>
          <w:b/>
        </w:rPr>
        <w:t xml:space="preserve"> </w:t>
      </w:r>
    </w:p>
    <w:p w14:paraId="1DF95EF1" w14:textId="52ED7F27" w:rsidR="009074D2" w:rsidRPr="001D515A" w:rsidRDefault="004A6C92" w:rsidP="00073E37">
      <w:pPr>
        <w:pStyle w:val="SingleTxtG"/>
        <w:rPr>
          <w:b/>
        </w:rPr>
      </w:pPr>
      <w:r w:rsidRPr="001D515A">
        <w:rPr>
          <w:b/>
        </w:rPr>
        <w:tab/>
      </w:r>
      <w:r w:rsidR="00E83A73" w:rsidRPr="001D515A">
        <w:rPr>
          <w:b/>
        </w:rPr>
        <w:t>d)</w:t>
      </w:r>
      <w:r w:rsidR="0006431A" w:rsidRPr="001D515A">
        <w:rPr>
          <w:b/>
        </w:rPr>
        <w:tab/>
      </w:r>
      <w:r w:rsidR="00E83A73" w:rsidRPr="001D515A">
        <w:rPr>
          <w:b/>
        </w:rPr>
        <w:t>G</w:t>
      </w:r>
      <w:r w:rsidR="005E1399" w:rsidRPr="001D515A">
        <w:rPr>
          <w:b/>
        </w:rPr>
        <w:t>arantizar la implementación de programas de formación para el personal de las instituciones judiciales, de la policía y de medicina forense</w:t>
      </w:r>
      <w:r w:rsidR="00370D42" w:rsidRPr="001D515A">
        <w:rPr>
          <w:b/>
        </w:rPr>
        <w:t xml:space="preserve">, incluyendo programas destinados a </w:t>
      </w:r>
      <w:r w:rsidR="009074D2" w:rsidRPr="001D515A">
        <w:rPr>
          <w:b/>
        </w:rPr>
        <w:t>eliminar los estereotipos de género</w:t>
      </w:r>
      <w:r w:rsidR="00370D42" w:rsidRPr="001D515A">
        <w:rPr>
          <w:b/>
        </w:rPr>
        <w:t>.</w:t>
      </w:r>
      <w:r w:rsidR="009074D2" w:rsidRPr="001D515A">
        <w:rPr>
          <w:b/>
        </w:rPr>
        <w:t xml:space="preserve"> </w:t>
      </w:r>
    </w:p>
    <w:p w14:paraId="15C03294" w14:textId="1D60D6EA" w:rsidR="004A772E" w:rsidRPr="002D7D04" w:rsidRDefault="004A772E" w:rsidP="001D515A">
      <w:pPr>
        <w:pStyle w:val="H23G"/>
      </w:pPr>
      <w:r w:rsidRPr="002D7D04">
        <w:tab/>
      </w:r>
      <w:r w:rsidR="004A6C92">
        <w:tab/>
      </w:r>
      <w:r w:rsidRPr="002D7D04">
        <w:t>Interrupción voluntaria del embarazo y derechos reproductivos</w:t>
      </w:r>
    </w:p>
    <w:p w14:paraId="60153362" w14:textId="7595CB28" w:rsidR="004A772E" w:rsidRPr="005D2A9B" w:rsidRDefault="00846AD4" w:rsidP="001D515A">
      <w:pPr>
        <w:pStyle w:val="SingleTxtG"/>
        <w:rPr>
          <w:bCs/>
        </w:rPr>
      </w:pPr>
      <w:r w:rsidRPr="002D7D04">
        <w:rPr>
          <w:bCs/>
        </w:rPr>
        <w:t>1</w:t>
      </w:r>
      <w:r w:rsidR="00F94EB2">
        <w:rPr>
          <w:bCs/>
        </w:rPr>
        <w:t>5</w:t>
      </w:r>
      <w:r w:rsidRPr="002D7D04">
        <w:rPr>
          <w:bCs/>
        </w:rPr>
        <w:t>.</w:t>
      </w:r>
      <w:r w:rsidR="00807181" w:rsidRPr="002D7D04">
        <w:rPr>
          <w:bCs/>
        </w:rPr>
        <w:tab/>
      </w:r>
      <w:r w:rsidR="004843DF" w:rsidRPr="002D7D04">
        <w:rPr>
          <w:bCs/>
        </w:rPr>
        <w:t>Si bien el Comité toma nota de la existencia de propuesta</w:t>
      </w:r>
      <w:r w:rsidR="000C02CD" w:rsidRPr="002D7D04">
        <w:rPr>
          <w:bCs/>
        </w:rPr>
        <w:t>s</w:t>
      </w:r>
      <w:r w:rsidR="004843DF" w:rsidRPr="002D7D04">
        <w:rPr>
          <w:bCs/>
        </w:rPr>
        <w:t xml:space="preserve"> legislativa</w:t>
      </w:r>
      <w:r w:rsidR="000C02CD" w:rsidRPr="002D7D04">
        <w:rPr>
          <w:bCs/>
        </w:rPr>
        <w:t>s</w:t>
      </w:r>
      <w:r w:rsidR="004843DF" w:rsidRPr="002D7D04">
        <w:rPr>
          <w:bCs/>
        </w:rPr>
        <w:t xml:space="preserve"> para modificar la legislación vigente y permitir el aborto bajo ciertas circunstancias</w:t>
      </w:r>
      <w:r w:rsidR="003A430E">
        <w:rPr>
          <w:bCs/>
        </w:rPr>
        <w:t xml:space="preserve"> limitadas</w:t>
      </w:r>
      <w:r w:rsidR="004843DF" w:rsidRPr="002D7D04">
        <w:rPr>
          <w:bCs/>
        </w:rPr>
        <w:t xml:space="preserve">, </w:t>
      </w:r>
      <w:r w:rsidR="00F12B5B" w:rsidRPr="002D7D04">
        <w:rPr>
          <w:bCs/>
        </w:rPr>
        <w:t xml:space="preserve">le preocupa </w:t>
      </w:r>
      <w:r w:rsidR="004A772E" w:rsidRPr="002D7D04">
        <w:rPr>
          <w:bCs/>
        </w:rPr>
        <w:t xml:space="preserve">la criminalización </w:t>
      </w:r>
      <w:r w:rsidR="00262097" w:rsidRPr="002D7D04">
        <w:rPr>
          <w:bCs/>
        </w:rPr>
        <w:t xml:space="preserve">total </w:t>
      </w:r>
      <w:r w:rsidR="004A772E" w:rsidRPr="002D7D04">
        <w:rPr>
          <w:bCs/>
        </w:rPr>
        <w:t>de</w:t>
      </w:r>
      <w:r w:rsidR="00261107" w:rsidRPr="002D7D04">
        <w:rPr>
          <w:bCs/>
        </w:rPr>
        <w:t xml:space="preserve"> la interrupción voluntaria del embarazo </w:t>
      </w:r>
      <w:r w:rsidR="00262097" w:rsidRPr="002D7D04">
        <w:rPr>
          <w:bCs/>
        </w:rPr>
        <w:t>en el Estado parte</w:t>
      </w:r>
      <w:r w:rsidR="004A772E" w:rsidRPr="002D7D04">
        <w:rPr>
          <w:bCs/>
        </w:rPr>
        <w:t xml:space="preserve">, </w:t>
      </w:r>
      <w:r w:rsidR="004A772E" w:rsidRPr="002D7D04">
        <w:rPr>
          <w:bCs/>
          <w:lang w:val="es-ES_tradnl"/>
        </w:rPr>
        <w:t xml:space="preserve">lo que </w:t>
      </w:r>
      <w:r w:rsidR="004A772E" w:rsidRPr="002D7D04">
        <w:rPr>
          <w:bCs/>
        </w:rPr>
        <w:t>obliga a las mujeres y niñas a recurrir a abortos inseguros que ponen en grave peligro su vida y su salud</w:t>
      </w:r>
      <w:r w:rsidR="004A772E" w:rsidRPr="002D7D04">
        <w:rPr>
          <w:bCs/>
          <w:lang w:val="es-ES_tradnl"/>
        </w:rPr>
        <w:t xml:space="preserve">. </w:t>
      </w:r>
      <w:r w:rsidR="009903E5" w:rsidRPr="002D7D04">
        <w:rPr>
          <w:bCs/>
          <w:lang w:val="es-ES_tradnl"/>
        </w:rPr>
        <w:t>También le preocupa</w:t>
      </w:r>
      <w:r w:rsidR="00A76858" w:rsidRPr="002D7D04">
        <w:rPr>
          <w:bCs/>
          <w:lang w:val="es-ES_tradnl"/>
        </w:rPr>
        <w:t xml:space="preserve">n </w:t>
      </w:r>
      <w:r w:rsidR="00A76858" w:rsidRPr="002D7D04">
        <w:rPr>
          <w:bCs/>
        </w:rPr>
        <w:t xml:space="preserve">las desproporcionadas condenas de hasta 40 años de prisión que se imponen, bajo acusación del delito de homicidio agravado, no solo a las mujeres que tratan de abortar, sino también a mujeres que han sufrido un aborto espontáneo. </w:t>
      </w:r>
      <w:r w:rsidR="00E34AAE" w:rsidRPr="002D7D04">
        <w:rPr>
          <w:bCs/>
        </w:rPr>
        <w:t>El</w:t>
      </w:r>
      <w:r w:rsidR="00A76858" w:rsidRPr="002D7D04">
        <w:rPr>
          <w:bCs/>
        </w:rPr>
        <w:t xml:space="preserve"> Comité está preocupado por los informes relativos a la elevada tasa de suicidios entre las embarazadas</w:t>
      </w:r>
      <w:r w:rsidR="00E34AAE" w:rsidRPr="002D7D04">
        <w:rPr>
          <w:bCs/>
        </w:rPr>
        <w:t xml:space="preserve"> y </w:t>
      </w:r>
      <w:r w:rsidR="00A76858" w:rsidRPr="002D7D04">
        <w:rPr>
          <w:bCs/>
        </w:rPr>
        <w:t xml:space="preserve">por el </w:t>
      </w:r>
      <w:r w:rsidR="004C2216" w:rsidRPr="002D7D04">
        <w:rPr>
          <w:bCs/>
        </w:rPr>
        <w:t>hecho que</w:t>
      </w:r>
      <w:r w:rsidR="004A772E" w:rsidRPr="002D7D04">
        <w:rPr>
          <w:bCs/>
        </w:rPr>
        <w:t xml:space="preserve"> </w:t>
      </w:r>
      <w:r w:rsidR="004A772E" w:rsidRPr="002D7D04">
        <w:rPr>
          <w:bCs/>
          <w:lang w:val="es-ES_tradnl"/>
        </w:rPr>
        <w:t>mujeres que acuden a hospitales públicos sean denunciadas por el personal médico o administrativo por el delito de aborto</w:t>
      </w:r>
      <w:r w:rsidR="004A772E" w:rsidRPr="002D7D04">
        <w:rPr>
          <w:bCs/>
        </w:rPr>
        <w:t xml:space="preserve">. El Comité </w:t>
      </w:r>
      <w:r w:rsidR="00464DD2" w:rsidRPr="002D7D04">
        <w:rPr>
          <w:bCs/>
        </w:rPr>
        <w:t>reconoce</w:t>
      </w:r>
      <w:r w:rsidR="004A772E" w:rsidRPr="002D7D04">
        <w:rPr>
          <w:bCs/>
        </w:rPr>
        <w:t xml:space="preserve"> los esfuerzos realizados </w:t>
      </w:r>
      <w:r w:rsidR="004A772E" w:rsidRPr="002D7D04">
        <w:rPr>
          <w:rFonts w:eastAsiaTheme="minorHAnsi"/>
          <w:lang w:eastAsia="en-US"/>
        </w:rPr>
        <w:t>para</w:t>
      </w:r>
      <w:r w:rsidR="004A772E" w:rsidRPr="002D7D04">
        <w:rPr>
          <w:bCs/>
        </w:rPr>
        <w:t xml:space="preserve"> </w:t>
      </w:r>
      <w:r w:rsidR="004A772E" w:rsidRPr="002D7D04">
        <w:rPr>
          <w:rFonts w:eastAsiaTheme="minorHAnsi"/>
          <w:bCs/>
          <w:lang w:eastAsia="en-US"/>
        </w:rPr>
        <w:t>mejorar el acceso de las mujeres y las niñas a los servicios de salud sexual y reproductiva</w:t>
      </w:r>
      <w:r w:rsidR="004A772E" w:rsidRPr="002D7D04">
        <w:rPr>
          <w:bCs/>
        </w:rPr>
        <w:t xml:space="preserve">, así como la reducción de la mortalidad materna. Sin embargo, sigue preocupado por </w:t>
      </w:r>
      <w:r w:rsidR="008365CE">
        <w:rPr>
          <w:bCs/>
        </w:rPr>
        <w:t xml:space="preserve">los informes relativos a la persistencia de la mortalidad materna debido a abortos inseguros, así como por </w:t>
      </w:r>
      <w:r w:rsidR="004A772E" w:rsidRPr="002D7D04">
        <w:rPr>
          <w:bCs/>
        </w:rPr>
        <w:t xml:space="preserve">las elevadas tasas de embarazo infantil y adolescente, </w:t>
      </w:r>
      <w:r w:rsidR="008365CE">
        <w:rPr>
          <w:bCs/>
        </w:rPr>
        <w:t xml:space="preserve">y </w:t>
      </w:r>
      <w:r w:rsidR="004A772E" w:rsidRPr="002D7D04">
        <w:rPr>
          <w:bCs/>
        </w:rPr>
        <w:t xml:space="preserve">las informaciones sobre </w:t>
      </w:r>
      <w:r w:rsidR="004843DF" w:rsidRPr="002D7D04">
        <w:rPr>
          <w:bCs/>
        </w:rPr>
        <w:t>la</w:t>
      </w:r>
      <w:r w:rsidR="004A772E" w:rsidRPr="002D7D04">
        <w:rPr>
          <w:bCs/>
        </w:rPr>
        <w:t xml:space="preserve"> deficiente cobertura y calidad de servicios de salud reproductiva. Asimismo, expresa su preocupación por las informaciones sobre la práctica de esterilización forzada a personas con discapacidad</w:t>
      </w:r>
      <w:r w:rsidR="00971BFA" w:rsidRPr="002D7D04">
        <w:rPr>
          <w:bCs/>
        </w:rPr>
        <w:t xml:space="preserve"> (arts. 2, 3, 6, 7, 17</w:t>
      </w:r>
      <w:r w:rsidR="005D2A9B">
        <w:rPr>
          <w:bCs/>
        </w:rPr>
        <w:t>, 24</w:t>
      </w:r>
      <w:r w:rsidR="00971BFA" w:rsidRPr="005D2A9B">
        <w:rPr>
          <w:bCs/>
        </w:rPr>
        <w:t xml:space="preserve"> y 26).</w:t>
      </w:r>
    </w:p>
    <w:p w14:paraId="0961203A" w14:textId="112C30CE" w:rsidR="004A772E" w:rsidRPr="001D515A" w:rsidRDefault="00675CCF" w:rsidP="001D515A">
      <w:pPr>
        <w:pStyle w:val="SingleTxtG"/>
        <w:rPr>
          <w:b/>
        </w:rPr>
      </w:pPr>
      <w:r w:rsidRPr="002D7D04">
        <w:rPr>
          <w:bCs/>
        </w:rPr>
        <w:t>1</w:t>
      </w:r>
      <w:r w:rsidR="00F94EB2">
        <w:rPr>
          <w:bCs/>
        </w:rPr>
        <w:t>6</w:t>
      </w:r>
      <w:r w:rsidRPr="002D7D04">
        <w:rPr>
          <w:bCs/>
        </w:rPr>
        <w:t>.</w:t>
      </w:r>
      <w:r w:rsidR="007F4285" w:rsidRPr="002D7D04">
        <w:rPr>
          <w:bCs/>
        </w:rPr>
        <w:tab/>
      </w:r>
      <w:r w:rsidR="004A772E" w:rsidRPr="001D515A">
        <w:rPr>
          <w:b/>
        </w:rPr>
        <w:t xml:space="preserve">El Comité insta al Estado parte a que revise </w:t>
      </w:r>
      <w:r w:rsidR="009E10CF" w:rsidRPr="001D515A">
        <w:rPr>
          <w:b/>
        </w:rPr>
        <w:t xml:space="preserve">de manera urgente </w:t>
      </w:r>
      <w:r w:rsidR="004A772E" w:rsidRPr="001D515A">
        <w:rPr>
          <w:b/>
        </w:rPr>
        <w:t>su legislación con respecto</w:t>
      </w:r>
      <w:r w:rsidR="00464DD2" w:rsidRPr="001D515A">
        <w:rPr>
          <w:b/>
        </w:rPr>
        <w:t xml:space="preserve"> al aborto </w:t>
      </w:r>
      <w:r w:rsidR="004A772E" w:rsidRPr="001D515A">
        <w:rPr>
          <w:b/>
        </w:rPr>
        <w:t xml:space="preserve">para garantizar el acceso legal, seguro y efectivo a la interrupción voluntaria del embarazo cuando la vida o la salud de la mujer o niña embarazada estén en riesgo, y cuando llevar a término el embarazo podría ocasionar un daño o sufrimiento sustancial a la mujer o niña embarazada, especialmente en los casos en que el embarazo sea el resultado de una violación o incesto o cuando no sea viable. </w:t>
      </w:r>
      <w:r w:rsidR="00EB1655" w:rsidRPr="001D515A">
        <w:rPr>
          <w:b/>
        </w:rPr>
        <w:t>El</w:t>
      </w:r>
      <w:r w:rsidR="00E059C9" w:rsidRPr="001D515A">
        <w:rPr>
          <w:b/>
        </w:rPr>
        <w:t xml:space="preserve"> </w:t>
      </w:r>
      <w:r w:rsidR="00B73A30" w:rsidRPr="001D515A">
        <w:rPr>
          <w:b/>
        </w:rPr>
        <w:t>Comité reitera su recomendación</w:t>
      </w:r>
      <w:r w:rsidR="00A70E89" w:rsidRPr="001D515A">
        <w:rPr>
          <w:b/>
        </w:rPr>
        <w:t xml:space="preserve"> anterior</w:t>
      </w:r>
      <w:r w:rsidR="00B73A30" w:rsidRPr="001D515A">
        <w:rPr>
          <w:b/>
        </w:rPr>
        <w:t xml:space="preserve"> </w:t>
      </w:r>
      <w:r w:rsidR="009F462B" w:rsidRPr="001D515A">
        <w:rPr>
          <w:b/>
        </w:rPr>
        <w:t>e insta al</w:t>
      </w:r>
      <w:r w:rsidR="00B73A30" w:rsidRPr="001D515A">
        <w:rPr>
          <w:b/>
        </w:rPr>
        <w:t xml:space="preserve"> </w:t>
      </w:r>
      <w:r w:rsidR="00E059C9" w:rsidRPr="001D515A">
        <w:rPr>
          <w:b/>
        </w:rPr>
        <w:t xml:space="preserve">Estado parte </w:t>
      </w:r>
      <w:r w:rsidR="009F462B" w:rsidRPr="001D515A">
        <w:rPr>
          <w:b/>
        </w:rPr>
        <w:t xml:space="preserve">a </w:t>
      </w:r>
      <w:r w:rsidR="00E059C9" w:rsidRPr="001D515A">
        <w:rPr>
          <w:b/>
        </w:rPr>
        <w:t>suspender</w:t>
      </w:r>
      <w:r w:rsidR="009F462B" w:rsidRPr="001D515A">
        <w:rPr>
          <w:b/>
        </w:rPr>
        <w:t xml:space="preserve"> de forma </w:t>
      </w:r>
      <w:r w:rsidR="00C8352D" w:rsidRPr="001D515A">
        <w:rPr>
          <w:b/>
        </w:rPr>
        <w:t>inmediata</w:t>
      </w:r>
      <w:r w:rsidR="00E059C9" w:rsidRPr="001D515A">
        <w:rPr>
          <w:b/>
        </w:rPr>
        <w:t xml:space="preserve"> </w:t>
      </w:r>
      <w:r w:rsidR="004A772E" w:rsidRPr="001D515A">
        <w:rPr>
          <w:b/>
        </w:rPr>
        <w:t xml:space="preserve">la </w:t>
      </w:r>
      <w:r w:rsidRPr="001D515A">
        <w:rPr>
          <w:b/>
        </w:rPr>
        <w:t xml:space="preserve">criminalización </w:t>
      </w:r>
      <w:r w:rsidR="004A772E" w:rsidRPr="001D515A">
        <w:rPr>
          <w:b/>
        </w:rPr>
        <w:t>de las mujeres por el delito de aborto</w:t>
      </w:r>
      <w:r w:rsidR="00D53008" w:rsidRPr="001D515A">
        <w:rPr>
          <w:b/>
        </w:rPr>
        <w:t xml:space="preserve">. </w:t>
      </w:r>
      <w:r w:rsidR="004C2EEB" w:rsidRPr="001D515A">
        <w:rPr>
          <w:b/>
        </w:rPr>
        <w:t xml:space="preserve">El Estado parte debe también </w:t>
      </w:r>
      <w:r w:rsidR="004A772E" w:rsidRPr="001D515A">
        <w:rPr>
          <w:b/>
        </w:rPr>
        <w:t xml:space="preserve">revisar todos los casos de mujeres que han sido encarceladas por delitos relacionados con el aborto, con el objetivo de asegurar su puesta en libertad, </w:t>
      </w:r>
      <w:r w:rsidR="00E81720" w:rsidRPr="001D515A">
        <w:rPr>
          <w:b/>
        </w:rPr>
        <w:t xml:space="preserve">y garantizar a estas mujeres </w:t>
      </w:r>
      <w:r w:rsidR="004A772E" w:rsidRPr="001D515A">
        <w:rPr>
          <w:b/>
        </w:rPr>
        <w:t>el acceso a asistencia jurídica</w:t>
      </w:r>
      <w:r w:rsidR="00E81720" w:rsidRPr="001D515A">
        <w:rPr>
          <w:b/>
        </w:rPr>
        <w:t xml:space="preserve"> y </w:t>
      </w:r>
      <w:r w:rsidR="005B431B" w:rsidRPr="001D515A">
        <w:rPr>
          <w:b/>
        </w:rPr>
        <w:t xml:space="preserve">el cumplimiento </w:t>
      </w:r>
      <w:r w:rsidR="004A772E" w:rsidRPr="001D515A">
        <w:rPr>
          <w:b/>
        </w:rPr>
        <w:t xml:space="preserve">del debido proceso. </w:t>
      </w:r>
      <w:r w:rsidR="00225E84" w:rsidRPr="001D515A">
        <w:rPr>
          <w:b/>
        </w:rPr>
        <w:t xml:space="preserve">No debe aplicar </w:t>
      </w:r>
      <w:r w:rsidR="004A772E" w:rsidRPr="001D515A">
        <w:rPr>
          <w:b/>
        </w:rPr>
        <w:t xml:space="preserve">sanciones penales </w:t>
      </w:r>
      <w:r w:rsidR="00225E84" w:rsidRPr="001D515A">
        <w:rPr>
          <w:b/>
        </w:rPr>
        <w:t xml:space="preserve">a mujeres y niñas que se sometan a un aborto ni </w:t>
      </w:r>
      <w:r w:rsidR="004A772E" w:rsidRPr="001D515A">
        <w:rPr>
          <w:b/>
        </w:rPr>
        <w:t xml:space="preserve">a proveedores de servicios médicos que </w:t>
      </w:r>
      <w:r w:rsidR="00225E84" w:rsidRPr="001D515A">
        <w:rPr>
          <w:b/>
        </w:rPr>
        <w:t xml:space="preserve">las </w:t>
      </w:r>
      <w:r w:rsidR="004A772E" w:rsidRPr="001D515A">
        <w:rPr>
          <w:b/>
        </w:rPr>
        <w:t xml:space="preserve">asistan </w:t>
      </w:r>
      <w:r w:rsidR="00225E84" w:rsidRPr="001D515A">
        <w:rPr>
          <w:b/>
        </w:rPr>
        <w:t xml:space="preserve">en ello, ya que tales medidas obligan a las mujeres y niñas a recurrir a abortos inseguros, </w:t>
      </w:r>
      <w:r w:rsidR="004A772E" w:rsidRPr="001D515A">
        <w:rPr>
          <w:b/>
        </w:rPr>
        <w:t xml:space="preserve">y debe garantizar que se respeten el secreto profesional del personal médico y la confidencialidad de las pacientes. </w:t>
      </w:r>
      <w:r w:rsidR="002509B8" w:rsidRPr="001D515A">
        <w:rPr>
          <w:b/>
        </w:rPr>
        <w:t>D</w:t>
      </w:r>
      <w:r w:rsidR="004A772E" w:rsidRPr="001D515A">
        <w:rPr>
          <w:b/>
        </w:rPr>
        <w:t xml:space="preserve">ebe </w:t>
      </w:r>
      <w:r w:rsidR="002509B8" w:rsidRPr="001D515A">
        <w:rPr>
          <w:b/>
        </w:rPr>
        <w:t xml:space="preserve">también </w:t>
      </w:r>
      <w:r w:rsidR="004A772E" w:rsidRPr="001D515A">
        <w:rPr>
          <w:b/>
        </w:rPr>
        <w:t>garantizar el acceso pleno a servicios de salud sexual y reproductiva de calidad en todo el país</w:t>
      </w:r>
      <w:r w:rsidR="00EB1655" w:rsidRPr="001D515A">
        <w:rPr>
          <w:b/>
        </w:rPr>
        <w:t xml:space="preserve">, </w:t>
      </w:r>
      <w:r w:rsidR="00971BFA" w:rsidRPr="001D515A">
        <w:rPr>
          <w:b/>
        </w:rPr>
        <w:t>así como educar y sensibilizar a hombres, mujeres</w:t>
      </w:r>
      <w:r w:rsidR="00446BE4" w:rsidRPr="001D515A">
        <w:rPr>
          <w:b/>
        </w:rPr>
        <w:t xml:space="preserve"> y</w:t>
      </w:r>
      <w:r w:rsidR="00971BFA" w:rsidRPr="001D515A">
        <w:rPr>
          <w:b/>
        </w:rPr>
        <w:t xml:space="preserve"> adolescentes</w:t>
      </w:r>
      <w:r w:rsidR="009D2B7E" w:rsidRPr="001D515A">
        <w:rPr>
          <w:b/>
        </w:rPr>
        <w:t xml:space="preserve"> y a proveedores de servicios de salud</w:t>
      </w:r>
      <w:r w:rsidR="004A772E" w:rsidRPr="001D515A">
        <w:rPr>
          <w:b/>
        </w:rPr>
        <w:t>. Asimismo, debe asegurar que se sigan todos los procedimientos para obtener el consentimiento pleno e informado de las personas con discapacidad en la práctica de esterilización. Al respecto, el Estado parte debe impartir formación especial al personal de salud con el fin de dar a conocer mejor los efectos perjudiciales y los alcances de la esterilización forzada</w:t>
      </w:r>
      <w:r w:rsidR="00971BFA" w:rsidRPr="001D515A">
        <w:rPr>
          <w:b/>
        </w:rPr>
        <w:t>.</w:t>
      </w:r>
    </w:p>
    <w:p w14:paraId="080F8D35" w14:textId="1E0A61D1" w:rsidR="00561FE9" w:rsidRDefault="004A6C92" w:rsidP="001D515A">
      <w:pPr>
        <w:pStyle w:val="H23G"/>
        <w:rPr>
          <w:bCs/>
        </w:rPr>
      </w:pPr>
      <w:r>
        <w:tab/>
      </w:r>
      <w:r>
        <w:tab/>
      </w:r>
      <w:r w:rsidR="00561FE9" w:rsidRPr="002D7D04">
        <w:t>Derecho a la vida y la seguridad personal</w:t>
      </w:r>
      <w:r w:rsidR="00561FE9" w:rsidRPr="002D7D04" w:rsidDel="008E415F">
        <w:rPr>
          <w:bCs/>
        </w:rPr>
        <w:t xml:space="preserve"> </w:t>
      </w:r>
    </w:p>
    <w:p w14:paraId="1351B2C9" w14:textId="6758FC3E" w:rsidR="00B622FE" w:rsidRPr="004E32B1" w:rsidRDefault="008E4510" w:rsidP="001D515A">
      <w:pPr>
        <w:pStyle w:val="SingleTxtG"/>
        <w:rPr>
          <w:bCs/>
        </w:rPr>
      </w:pPr>
      <w:r w:rsidRPr="004E32B1">
        <w:rPr>
          <w:bCs/>
        </w:rPr>
        <w:t>1</w:t>
      </w:r>
      <w:r w:rsidR="00F94EB2">
        <w:rPr>
          <w:bCs/>
        </w:rPr>
        <w:t>7</w:t>
      </w:r>
      <w:r w:rsidR="00673474" w:rsidRPr="004E32B1">
        <w:rPr>
          <w:bCs/>
        </w:rPr>
        <w:t>.</w:t>
      </w:r>
      <w:r w:rsidR="00673474" w:rsidRPr="004E32B1">
        <w:rPr>
          <w:bCs/>
        </w:rPr>
        <w:tab/>
        <w:t>El Comité celebra la</w:t>
      </w:r>
      <w:r w:rsidR="00D15472" w:rsidRPr="004E32B1">
        <w:rPr>
          <w:bCs/>
        </w:rPr>
        <w:t xml:space="preserve">s recientes medidas para abordar las graves violaciones de derechos humanos del pasado </w:t>
      </w:r>
      <w:r w:rsidR="00673474" w:rsidRPr="004E32B1">
        <w:rPr>
          <w:bCs/>
          <w:lang w:val="es-ES_tradnl"/>
        </w:rPr>
        <w:t>y toma nota de la creación de una unidad especial para la investigación de violaciones durante el conflicto armado, de</w:t>
      </w:r>
      <w:r w:rsidR="00673474" w:rsidRPr="004E32B1">
        <w:rPr>
          <w:bCs/>
        </w:rPr>
        <w:t xml:space="preserve"> la creación de la </w:t>
      </w:r>
      <w:proofErr w:type="spellStart"/>
      <w:r w:rsidR="00673474" w:rsidRPr="004E32B1">
        <w:rPr>
          <w:bCs/>
          <w:lang w:val="de-CH"/>
        </w:rPr>
        <w:t>Comisión</w:t>
      </w:r>
      <w:proofErr w:type="spellEnd"/>
      <w:r w:rsidR="00673474" w:rsidRPr="004E32B1">
        <w:rPr>
          <w:bCs/>
          <w:lang w:val="de-CH"/>
        </w:rPr>
        <w:t xml:space="preserve"> </w:t>
      </w:r>
      <w:proofErr w:type="spellStart"/>
      <w:r w:rsidR="00673474" w:rsidRPr="004E32B1">
        <w:rPr>
          <w:bCs/>
          <w:lang w:val="de-CH"/>
        </w:rPr>
        <w:t>Nacional</w:t>
      </w:r>
      <w:proofErr w:type="spellEnd"/>
      <w:r w:rsidR="00673474" w:rsidRPr="004E32B1">
        <w:rPr>
          <w:bCs/>
          <w:lang w:val="de-CH"/>
        </w:rPr>
        <w:t xml:space="preserve"> de </w:t>
      </w:r>
      <w:proofErr w:type="spellStart"/>
      <w:r w:rsidR="00673474" w:rsidRPr="004E32B1">
        <w:rPr>
          <w:bCs/>
          <w:lang w:val="de-CH"/>
        </w:rPr>
        <w:t>Búsqueda</w:t>
      </w:r>
      <w:proofErr w:type="spellEnd"/>
      <w:r w:rsidR="00673474" w:rsidRPr="004E32B1">
        <w:rPr>
          <w:bCs/>
          <w:lang w:val="de-CH"/>
        </w:rPr>
        <w:t xml:space="preserve"> de </w:t>
      </w:r>
      <w:proofErr w:type="spellStart"/>
      <w:r w:rsidR="00673474" w:rsidRPr="004E32B1">
        <w:rPr>
          <w:bCs/>
          <w:lang w:val="de-CH"/>
        </w:rPr>
        <w:t>Personas</w:t>
      </w:r>
      <w:proofErr w:type="spellEnd"/>
      <w:r w:rsidR="00673474" w:rsidRPr="004E32B1">
        <w:rPr>
          <w:bCs/>
          <w:lang w:val="de-CH"/>
        </w:rPr>
        <w:t xml:space="preserve"> </w:t>
      </w:r>
      <w:proofErr w:type="spellStart"/>
      <w:r w:rsidR="00673474" w:rsidRPr="004E32B1">
        <w:rPr>
          <w:bCs/>
          <w:lang w:val="de-CH"/>
        </w:rPr>
        <w:t>Adultas</w:t>
      </w:r>
      <w:proofErr w:type="spellEnd"/>
      <w:r w:rsidR="00673474" w:rsidRPr="004E32B1">
        <w:rPr>
          <w:bCs/>
          <w:lang w:val="de-CH"/>
        </w:rPr>
        <w:t xml:space="preserve"> </w:t>
      </w:r>
      <w:proofErr w:type="spellStart"/>
      <w:r w:rsidR="00673474" w:rsidRPr="004E32B1">
        <w:rPr>
          <w:bCs/>
          <w:lang w:val="de-CH"/>
        </w:rPr>
        <w:t>Desaparecidas</w:t>
      </w:r>
      <w:proofErr w:type="spellEnd"/>
      <w:r w:rsidR="00673474" w:rsidRPr="004E32B1">
        <w:rPr>
          <w:bCs/>
          <w:lang w:val="de-CH"/>
        </w:rPr>
        <w:t xml:space="preserve"> en </w:t>
      </w:r>
      <w:proofErr w:type="spellStart"/>
      <w:r w:rsidR="00673474" w:rsidRPr="004E32B1">
        <w:rPr>
          <w:bCs/>
          <w:lang w:val="de-CH"/>
        </w:rPr>
        <w:t>el</w:t>
      </w:r>
      <w:proofErr w:type="spellEnd"/>
      <w:r w:rsidR="00673474" w:rsidRPr="004E32B1">
        <w:rPr>
          <w:bCs/>
          <w:lang w:val="de-CH"/>
        </w:rPr>
        <w:t xml:space="preserve"> </w:t>
      </w:r>
      <w:proofErr w:type="spellStart"/>
      <w:r w:rsidR="00673474" w:rsidRPr="004E32B1">
        <w:rPr>
          <w:bCs/>
          <w:lang w:val="de-CH"/>
        </w:rPr>
        <w:t>contexto</w:t>
      </w:r>
      <w:proofErr w:type="spellEnd"/>
      <w:r w:rsidR="00673474" w:rsidRPr="004E32B1">
        <w:rPr>
          <w:bCs/>
          <w:lang w:val="de-CH"/>
        </w:rPr>
        <w:t xml:space="preserve"> del </w:t>
      </w:r>
      <w:proofErr w:type="spellStart"/>
      <w:r w:rsidR="00673474" w:rsidRPr="004E32B1">
        <w:rPr>
          <w:bCs/>
          <w:lang w:val="de-CH"/>
        </w:rPr>
        <w:t>Conflicto</w:t>
      </w:r>
      <w:proofErr w:type="spellEnd"/>
      <w:r w:rsidR="00673474" w:rsidRPr="004E32B1">
        <w:rPr>
          <w:bCs/>
          <w:lang w:val="de-CH"/>
        </w:rPr>
        <w:t xml:space="preserve"> </w:t>
      </w:r>
      <w:proofErr w:type="spellStart"/>
      <w:r w:rsidR="00673474" w:rsidRPr="004E32B1">
        <w:rPr>
          <w:bCs/>
          <w:lang w:val="de-CH"/>
        </w:rPr>
        <w:t>Armado</w:t>
      </w:r>
      <w:proofErr w:type="spellEnd"/>
      <w:r w:rsidR="00673474" w:rsidRPr="004E32B1">
        <w:rPr>
          <w:bCs/>
          <w:lang w:val="de-CH"/>
        </w:rPr>
        <w:t xml:space="preserve"> en </w:t>
      </w:r>
      <w:proofErr w:type="spellStart"/>
      <w:r w:rsidR="00673474" w:rsidRPr="004E32B1">
        <w:rPr>
          <w:bCs/>
          <w:lang w:val="de-CH"/>
        </w:rPr>
        <w:t>agosto</w:t>
      </w:r>
      <w:proofErr w:type="spellEnd"/>
      <w:r w:rsidR="00673474" w:rsidRPr="004E32B1">
        <w:rPr>
          <w:bCs/>
          <w:lang w:val="de-CH"/>
        </w:rPr>
        <w:t xml:space="preserve"> de 2017, y de la </w:t>
      </w:r>
      <w:proofErr w:type="spellStart"/>
      <w:r w:rsidR="00673474" w:rsidRPr="004E32B1">
        <w:rPr>
          <w:bCs/>
          <w:lang w:val="de-CH"/>
        </w:rPr>
        <w:t>presentación</w:t>
      </w:r>
      <w:proofErr w:type="spellEnd"/>
      <w:r w:rsidR="00673474" w:rsidRPr="004E32B1">
        <w:rPr>
          <w:bCs/>
          <w:lang w:val="de-CH"/>
        </w:rPr>
        <w:t xml:space="preserve"> a la </w:t>
      </w:r>
      <w:proofErr w:type="spellStart"/>
      <w:r w:rsidR="00673474" w:rsidRPr="004E32B1">
        <w:rPr>
          <w:bCs/>
          <w:lang w:val="de-CH"/>
        </w:rPr>
        <w:t>Asamblea</w:t>
      </w:r>
      <w:proofErr w:type="spellEnd"/>
      <w:r w:rsidR="00673474" w:rsidRPr="004E32B1">
        <w:rPr>
          <w:bCs/>
          <w:lang w:val="de-CH"/>
        </w:rPr>
        <w:t xml:space="preserve"> </w:t>
      </w:r>
      <w:proofErr w:type="spellStart"/>
      <w:r w:rsidR="00673474" w:rsidRPr="004E32B1">
        <w:rPr>
          <w:bCs/>
          <w:lang w:val="de-CH"/>
        </w:rPr>
        <w:t>Legislativa</w:t>
      </w:r>
      <w:proofErr w:type="spellEnd"/>
      <w:r w:rsidR="00673474" w:rsidRPr="004E32B1">
        <w:rPr>
          <w:bCs/>
          <w:lang w:val="de-CH"/>
        </w:rPr>
        <w:t xml:space="preserve"> en </w:t>
      </w:r>
      <w:proofErr w:type="spellStart"/>
      <w:r w:rsidR="00673474" w:rsidRPr="004E32B1">
        <w:rPr>
          <w:bCs/>
          <w:lang w:val="de-CH"/>
        </w:rPr>
        <w:t>agosto</w:t>
      </w:r>
      <w:proofErr w:type="spellEnd"/>
      <w:r w:rsidR="00673474" w:rsidRPr="004E32B1">
        <w:rPr>
          <w:bCs/>
          <w:lang w:val="de-CH"/>
        </w:rPr>
        <w:t xml:space="preserve"> de 2017 de la </w:t>
      </w:r>
      <w:r w:rsidR="00673474" w:rsidRPr="004E32B1">
        <w:rPr>
          <w:bCs/>
        </w:rPr>
        <w:t>Ley de Reparación Integral para las Víctimas del Conflicto Armado</w:t>
      </w:r>
      <w:r w:rsidR="00673474" w:rsidRPr="004E32B1">
        <w:rPr>
          <w:bCs/>
          <w:lang w:val="es-ES_tradnl"/>
        </w:rPr>
        <w:t>. Sin embargo, le preocupa</w:t>
      </w:r>
      <w:r w:rsidR="001472D2" w:rsidRPr="004E32B1">
        <w:rPr>
          <w:bCs/>
          <w:lang w:val="es-ES_tradnl"/>
        </w:rPr>
        <w:t xml:space="preserve">n los limitados recursos humanos y financieros destinados a la unidad especial, </w:t>
      </w:r>
      <w:r w:rsidR="00673474" w:rsidRPr="004E32B1">
        <w:rPr>
          <w:bCs/>
          <w:lang w:val="es-ES_tradnl"/>
        </w:rPr>
        <w:t>el reducido número de casos que se han reabierto</w:t>
      </w:r>
      <w:r w:rsidR="001472D2" w:rsidRPr="004E32B1">
        <w:rPr>
          <w:bCs/>
          <w:lang w:val="es-ES_tradnl"/>
        </w:rPr>
        <w:t xml:space="preserve"> hasta la fecha</w:t>
      </w:r>
      <w:r w:rsidR="00673474" w:rsidRPr="004E32B1">
        <w:rPr>
          <w:bCs/>
          <w:lang w:val="es-ES_tradnl"/>
        </w:rPr>
        <w:t>, así como la falta de avances en las investigaciones</w:t>
      </w:r>
      <w:r w:rsidR="001472D2" w:rsidRPr="004E32B1">
        <w:rPr>
          <w:bCs/>
          <w:lang w:val="es-ES_tradnl"/>
        </w:rPr>
        <w:t xml:space="preserve"> y procesamientos</w:t>
      </w:r>
      <w:r w:rsidR="00673474" w:rsidRPr="004E32B1">
        <w:rPr>
          <w:bCs/>
        </w:rPr>
        <w:t>. Preocupan también al Comité los informes relativos a la resistencia de las Fuerzas Armadas a permitir el acceso a los archivos históricos con respecto a estas graves violaciones</w:t>
      </w:r>
      <w:r w:rsidR="00B622FE" w:rsidRPr="004E32B1">
        <w:rPr>
          <w:bCs/>
        </w:rPr>
        <w:t xml:space="preserve">, así como </w:t>
      </w:r>
      <w:r w:rsidR="00673474" w:rsidRPr="004E32B1">
        <w:rPr>
          <w:bCs/>
        </w:rPr>
        <w:t>las intimidaciones contra el Fiscal General por parte de las Fuerzas Armadas</w:t>
      </w:r>
      <w:r w:rsidR="00B622FE" w:rsidRPr="004E32B1">
        <w:rPr>
          <w:bCs/>
        </w:rPr>
        <w:t xml:space="preserve">, lo que resultó en </w:t>
      </w:r>
      <w:r w:rsidR="0005724C" w:rsidRPr="004E32B1">
        <w:rPr>
          <w:bCs/>
        </w:rPr>
        <w:t xml:space="preserve">la concesión </w:t>
      </w:r>
      <w:r w:rsidR="00B622FE" w:rsidRPr="004E32B1">
        <w:rPr>
          <w:bCs/>
        </w:rPr>
        <w:t>de medidas cautelares por la Comisión Interamericana de Derechos Humanos. Si bien el Comité acoge con satisfacción las medidas tomadas para la búsqueda de los desaparecidos durante el conflicto armado, incluyendo niños y niñas, está preocupado por los insuficientes recursos institucionales y financieros y la limitada capacidad forense de la Comisión</w:t>
      </w:r>
      <w:r w:rsidR="00C778B0">
        <w:rPr>
          <w:bCs/>
        </w:rPr>
        <w:t xml:space="preserve"> de Búsqueda</w:t>
      </w:r>
      <w:r w:rsidR="00B622FE" w:rsidRPr="004E32B1">
        <w:rPr>
          <w:bCs/>
        </w:rPr>
        <w:t>, así como por la lentitud en la localización de las personas desaparecidas y en otorgar a las v</w:t>
      </w:r>
      <w:r w:rsidR="00A413DB">
        <w:rPr>
          <w:bCs/>
        </w:rPr>
        <w:t>í</w:t>
      </w:r>
      <w:r w:rsidR="00B622FE" w:rsidRPr="004E32B1">
        <w:rPr>
          <w:bCs/>
        </w:rPr>
        <w:t>ctimas una reparación integral (arts. 2, 6, 7, 9 y 16).</w:t>
      </w:r>
    </w:p>
    <w:p w14:paraId="0AA87EFE" w14:textId="5BD1B335" w:rsidR="00370986" w:rsidRPr="001D515A" w:rsidRDefault="008E4510" w:rsidP="001D515A">
      <w:pPr>
        <w:pStyle w:val="SingleTxtG"/>
        <w:rPr>
          <w:b/>
        </w:rPr>
      </w:pPr>
      <w:r>
        <w:rPr>
          <w:bCs/>
        </w:rPr>
        <w:t>1</w:t>
      </w:r>
      <w:r w:rsidR="00F94EB2">
        <w:rPr>
          <w:bCs/>
        </w:rPr>
        <w:t>8</w:t>
      </w:r>
      <w:r w:rsidR="00673474" w:rsidRPr="00673474">
        <w:rPr>
          <w:bCs/>
        </w:rPr>
        <w:t>.</w:t>
      </w:r>
      <w:r w:rsidR="00673474" w:rsidRPr="00673474">
        <w:rPr>
          <w:bCs/>
        </w:rPr>
        <w:tab/>
      </w:r>
      <w:r w:rsidR="00673474" w:rsidRPr="001D515A">
        <w:rPr>
          <w:b/>
        </w:rPr>
        <w:t>El Estado parte debe</w:t>
      </w:r>
      <w:r w:rsidR="00370986" w:rsidRPr="001D515A">
        <w:rPr>
          <w:b/>
        </w:rPr>
        <w:t>:</w:t>
      </w:r>
    </w:p>
    <w:p w14:paraId="248E0D52" w14:textId="633B369F" w:rsidR="00370986" w:rsidRPr="001D515A" w:rsidRDefault="004A6C92" w:rsidP="00073E37">
      <w:pPr>
        <w:pStyle w:val="SingleTxtG"/>
        <w:rPr>
          <w:b/>
        </w:rPr>
      </w:pPr>
      <w:r w:rsidRPr="001D515A">
        <w:rPr>
          <w:b/>
        </w:rPr>
        <w:tab/>
        <w:t>a)</w:t>
      </w:r>
      <w:r w:rsidRPr="001D515A">
        <w:rPr>
          <w:b/>
        </w:rPr>
        <w:tab/>
      </w:r>
      <w:r w:rsidR="00370986" w:rsidRPr="001D515A">
        <w:rPr>
          <w:b/>
        </w:rPr>
        <w:t>A</w:t>
      </w:r>
      <w:r w:rsidR="00673474" w:rsidRPr="001D515A">
        <w:rPr>
          <w:b/>
        </w:rPr>
        <w:t xml:space="preserve">segurar que la </w:t>
      </w:r>
      <w:r w:rsidR="002B6DF1" w:rsidRPr="001D515A">
        <w:rPr>
          <w:b/>
        </w:rPr>
        <w:t>unidad especial</w:t>
      </w:r>
      <w:r w:rsidR="00673474" w:rsidRPr="001D515A">
        <w:rPr>
          <w:b/>
          <w:lang w:val="es-ES_tradnl"/>
        </w:rPr>
        <w:t xml:space="preserve"> </w:t>
      </w:r>
      <w:r w:rsidR="00673474" w:rsidRPr="001D515A">
        <w:rPr>
          <w:b/>
        </w:rPr>
        <w:t>disponga de los recursos humanos, financieros y técnicos necesarios para llevar a cabo las investigaciones de las graves violaciones de derechos humanos que ocurrieron durante el conflicto armado y garantizar el acceso a toda la información relacionada con estas violaciones, incluidos los archivos históricos de las Fuerzas Armadas</w:t>
      </w:r>
      <w:r w:rsidR="005D781A" w:rsidRPr="001D515A">
        <w:rPr>
          <w:b/>
        </w:rPr>
        <w:t>;</w:t>
      </w:r>
      <w:r w:rsidR="00673474" w:rsidRPr="001D515A">
        <w:rPr>
          <w:b/>
        </w:rPr>
        <w:t xml:space="preserve"> </w:t>
      </w:r>
    </w:p>
    <w:p w14:paraId="2CBAA735" w14:textId="25D02991" w:rsidR="00370986" w:rsidRPr="001D515A" w:rsidRDefault="004A6C92" w:rsidP="00073E37">
      <w:pPr>
        <w:pStyle w:val="SingleTxtG"/>
        <w:rPr>
          <w:b/>
        </w:rPr>
      </w:pPr>
      <w:r w:rsidRPr="001D515A">
        <w:rPr>
          <w:b/>
        </w:rPr>
        <w:tab/>
        <w:t>b)</w:t>
      </w:r>
      <w:r w:rsidRPr="001D515A">
        <w:rPr>
          <w:b/>
        </w:rPr>
        <w:tab/>
      </w:r>
      <w:r w:rsidR="00370986" w:rsidRPr="001D515A">
        <w:rPr>
          <w:b/>
        </w:rPr>
        <w:t>G</w:t>
      </w:r>
      <w:r w:rsidR="00673474" w:rsidRPr="001D515A">
        <w:rPr>
          <w:b/>
        </w:rPr>
        <w:t xml:space="preserve">arantizar la </w:t>
      </w:r>
      <w:r w:rsidR="0005724C" w:rsidRPr="001D515A">
        <w:rPr>
          <w:b/>
        </w:rPr>
        <w:t xml:space="preserve">total </w:t>
      </w:r>
      <w:r w:rsidR="00673474" w:rsidRPr="001D515A">
        <w:rPr>
          <w:b/>
        </w:rPr>
        <w:t>protección</w:t>
      </w:r>
      <w:r w:rsidR="0005724C" w:rsidRPr="001D515A">
        <w:rPr>
          <w:b/>
        </w:rPr>
        <w:t xml:space="preserve">, </w:t>
      </w:r>
      <w:r w:rsidR="00673474" w:rsidRPr="001D515A">
        <w:rPr>
          <w:b/>
        </w:rPr>
        <w:t xml:space="preserve">seguridad </w:t>
      </w:r>
      <w:r w:rsidR="0005724C" w:rsidRPr="001D515A">
        <w:rPr>
          <w:b/>
        </w:rPr>
        <w:t xml:space="preserve">personal e independencia </w:t>
      </w:r>
      <w:r w:rsidR="00673474" w:rsidRPr="001D515A">
        <w:rPr>
          <w:b/>
        </w:rPr>
        <w:t xml:space="preserve">del Fiscal General y su </w:t>
      </w:r>
      <w:r w:rsidR="00F328EA" w:rsidRPr="001D515A">
        <w:rPr>
          <w:b/>
        </w:rPr>
        <w:t>o</w:t>
      </w:r>
      <w:r w:rsidR="00673474" w:rsidRPr="001D515A">
        <w:rPr>
          <w:b/>
        </w:rPr>
        <w:t>ficina</w:t>
      </w:r>
      <w:r w:rsidR="0005724C" w:rsidRPr="001D515A">
        <w:rPr>
          <w:b/>
        </w:rPr>
        <w:t>, incluyendo la total implementación de las medidas cautelares concedidas por la Comisión Interamericana de Derechos Humanos</w:t>
      </w:r>
      <w:r w:rsidR="00185C1B" w:rsidRPr="001D515A">
        <w:rPr>
          <w:b/>
        </w:rPr>
        <w:t xml:space="preserve">, </w:t>
      </w:r>
      <w:r w:rsidR="00673474" w:rsidRPr="001D515A">
        <w:rPr>
          <w:b/>
        </w:rPr>
        <w:t>y tomar las medidas necesarias para prevenir actos de intimidación contra funcionarios públicos y miembros de la sociedad civil que están investigando estos casos</w:t>
      </w:r>
      <w:r w:rsidR="005D781A" w:rsidRPr="001D515A">
        <w:rPr>
          <w:b/>
        </w:rPr>
        <w:t>;</w:t>
      </w:r>
      <w:r w:rsidR="00673474" w:rsidRPr="001D515A">
        <w:rPr>
          <w:b/>
        </w:rPr>
        <w:t xml:space="preserve"> </w:t>
      </w:r>
    </w:p>
    <w:p w14:paraId="55510221" w14:textId="05758A6A" w:rsidR="00673474" w:rsidRPr="001D515A" w:rsidRDefault="004A6C92" w:rsidP="00073E37">
      <w:pPr>
        <w:pStyle w:val="SingleTxtG"/>
        <w:rPr>
          <w:b/>
        </w:rPr>
      </w:pPr>
      <w:r w:rsidRPr="001D515A">
        <w:rPr>
          <w:b/>
        </w:rPr>
        <w:tab/>
        <w:t>c)</w:t>
      </w:r>
      <w:r w:rsidRPr="001D515A">
        <w:rPr>
          <w:b/>
        </w:rPr>
        <w:tab/>
      </w:r>
      <w:r w:rsidR="00370986" w:rsidRPr="001D515A">
        <w:rPr>
          <w:b/>
        </w:rPr>
        <w:t>A</w:t>
      </w:r>
      <w:r w:rsidR="00C2400F" w:rsidRPr="001D515A">
        <w:rPr>
          <w:b/>
        </w:rPr>
        <w:t xml:space="preserve">celerar la búsqueda de </w:t>
      </w:r>
      <w:r w:rsidR="00673474" w:rsidRPr="001D515A">
        <w:rPr>
          <w:b/>
        </w:rPr>
        <w:t xml:space="preserve">las personas desaparecidas y asegurar </w:t>
      </w:r>
      <w:r w:rsidR="00C2400F" w:rsidRPr="001D515A">
        <w:rPr>
          <w:b/>
        </w:rPr>
        <w:t xml:space="preserve">que se proporcionen los recursos adecuados </w:t>
      </w:r>
      <w:proofErr w:type="spellStart"/>
      <w:r w:rsidR="00673474" w:rsidRPr="001D515A">
        <w:rPr>
          <w:b/>
          <w:lang w:val="de-CH"/>
        </w:rPr>
        <w:t>para</w:t>
      </w:r>
      <w:proofErr w:type="spellEnd"/>
      <w:r w:rsidR="00673474" w:rsidRPr="001D515A">
        <w:rPr>
          <w:b/>
          <w:lang w:val="de-CH"/>
        </w:rPr>
        <w:t xml:space="preserve"> </w:t>
      </w:r>
      <w:proofErr w:type="spellStart"/>
      <w:r w:rsidR="00673474" w:rsidRPr="001D515A">
        <w:rPr>
          <w:b/>
          <w:lang w:val="de-CH"/>
        </w:rPr>
        <w:t>este</w:t>
      </w:r>
      <w:proofErr w:type="spellEnd"/>
      <w:r w:rsidR="00673474" w:rsidRPr="001D515A">
        <w:rPr>
          <w:b/>
          <w:lang w:val="de-CH"/>
        </w:rPr>
        <w:t xml:space="preserve"> </w:t>
      </w:r>
      <w:proofErr w:type="spellStart"/>
      <w:r w:rsidR="00673474" w:rsidRPr="001D515A">
        <w:rPr>
          <w:b/>
          <w:lang w:val="de-CH"/>
        </w:rPr>
        <w:t>fin</w:t>
      </w:r>
      <w:proofErr w:type="spellEnd"/>
      <w:r w:rsidR="00673474" w:rsidRPr="001D515A">
        <w:rPr>
          <w:b/>
          <w:lang w:val="de-CH"/>
        </w:rPr>
        <w:t xml:space="preserve">, </w:t>
      </w:r>
      <w:proofErr w:type="spellStart"/>
      <w:r w:rsidR="00673474" w:rsidRPr="001D515A">
        <w:rPr>
          <w:b/>
          <w:lang w:val="de-CH"/>
        </w:rPr>
        <w:t>incluyendo</w:t>
      </w:r>
      <w:proofErr w:type="spellEnd"/>
      <w:r w:rsidR="00673474" w:rsidRPr="001D515A">
        <w:rPr>
          <w:b/>
          <w:lang w:val="de-CH"/>
        </w:rPr>
        <w:t xml:space="preserve"> </w:t>
      </w:r>
      <w:r w:rsidR="00673474" w:rsidRPr="001D515A">
        <w:rPr>
          <w:b/>
          <w:lang w:val="es-PA"/>
        </w:rPr>
        <w:t>la Comisión Nacional de Búsqueda de Personas Adultas Desaparecidas</w:t>
      </w:r>
      <w:r w:rsidR="001737AF">
        <w:rPr>
          <w:b/>
          <w:lang w:val="es-PA"/>
        </w:rPr>
        <w:t xml:space="preserve"> </w:t>
      </w:r>
      <w:r w:rsidR="00673474" w:rsidRPr="001D515A">
        <w:rPr>
          <w:b/>
          <w:lang w:val="es-PA"/>
        </w:rPr>
        <w:t>en el contexto del Conflicto Armado y la</w:t>
      </w:r>
      <w:r w:rsidR="00673474" w:rsidRPr="001D515A">
        <w:rPr>
          <w:b/>
        </w:rPr>
        <w:t xml:space="preserve"> Comisión Nacional de Búsqueda de Niñas y Niños Desaparecidos durante el Conflicto Armado Interno</w:t>
      </w:r>
      <w:r w:rsidR="008567B3" w:rsidRPr="001D515A">
        <w:rPr>
          <w:b/>
          <w:lang w:val="de-CH"/>
        </w:rPr>
        <w:t>.</w:t>
      </w:r>
      <w:r w:rsidR="00673474" w:rsidRPr="001D515A">
        <w:rPr>
          <w:b/>
          <w:lang w:val="de-CH"/>
        </w:rPr>
        <w:t xml:space="preserve"> </w:t>
      </w:r>
      <w:r w:rsidR="00673474" w:rsidRPr="001D515A">
        <w:rPr>
          <w:b/>
        </w:rPr>
        <w:t>El Comité a</w:t>
      </w:r>
      <w:r w:rsidR="00F328EA" w:rsidRPr="001D515A">
        <w:rPr>
          <w:b/>
        </w:rPr>
        <w:t xml:space="preserve">lienta </w:t>
      </w:r>
      <w:r w:rsidR="00673474" w:rsidRPr="001D515A">
        <w:rPr>
          <w:b/>
        </w:rPr>
        <w:t xml:space="preserve">al Estado parte a </w:t>
      </w:r>
      <w:r w:rsidR="00A32882" w:rsidRPr="001D515A">
        <w:rPr>
          <w:b/>
        </w:rPr>
        <w:t xml:space="preserve">que considere </w:t>
      </w:r>
      <w:r w:rsidR="00673474" w:rsidRPr="001D515A">
        <w:rPr>
          <w:b/>
        </w:rPr>
        <w:t xml:space="preserve">ratificar la Convención Internacional para la </w:t>
      </w:r>
      <w:r w:rsidR="00F328EA" w:rsidRPr="001D515A">
        <w:rPr>
          <w:b/>
        </w:rPr>
        <w:t>P</w:t>
      </w:r>
      <w:r w:rsidR="00673474" w:rsidRPr="001D515A">
        <w:rPr>
          <w:b/>
        </w:rPr>
        <w:t xml:space="preserve">rotección de </w:t>
      </w:r>
      <w:r w:rsidR="00F328EA" w:rsidRPr="001D515A">
        <w:rPr>
          <w:b/>
        </w:rPr>
        <w:t>T</w:t>
      </w:r>
      <w:r w:rsidR="00673474" w:rsidRPr="001D515A">
        <w:rPr>
          <w:b/>
        </w:rPr>
        <w:t xml:space="preserve">odas las </w:t>
      </w:r>
      <w:r w:rsidR="00F328EA" w:rsidRPr="001D515A">
        <w:rPr>
          <w:b/>
        </w:rPr>
        <w:t>P</w:t>
      </w:r>
      <w:r w:rsidR="00673474" w:rsidRPr="001D515A">
        <w:rPr>
          <w:b/>
        </w:rPr>
        <w:t xml:space="preserve">ersonas contra las </w:t>
      </w:r>
      <w:r w:rsidR="00F328EA" w:rsidRPr="001D515A">
        <w:rPr>
          <w:b/>
        </w:rPr>
        <w:t>D</w:t>
      </w:r>
      <w:r w:rsidR="00673474" w:rsidRPr="001D515A">
        <w:rPr>
          <w:b/>
        </w:rPr>
        <w:t xml:space="preserve">esapariciones </w:t>
      </w:r>
      <w:r w:rsidR="00F328EA" w:rsidRPr="001D515A">
        <w:rPr>
          <w:b/>
        </w:rPr>
        <w:t>F</w:t>
      </w:r>
      <w:r w:rsidR="00673474" w:rsidRPr="001D515A">
        <w:rPr>
          <w:b/>
        </w:rPr>
        <w:t>orzadas.</w:t>
      </w:r>
    </w:p>
    <w:p w14:paraId="4F0BB4EF" w14:textId="16D4EC8C" w:rsidR="00752D3A" w:rsidRPr="00E17C53" w:rsidRDefault="00735F92" w:rsidP="001D515A">
      <w:pPr>
        <w:pStyle w:val="SingleTxtG"/>
        <w:rPr>
          <w:bCs/>
        </w:rPr>
      </w:pPr>
      <w:r w:rsidRPr="002D7D04">
        <w:rPr>
          <w:bCs/>
        </w:rPr>
        <w:t>1</w:t>
      </w:r>
      <w:r w:rsidR="00F94EB2">
        <w:rPr>
          <w:bCs/>
        </w:rPr>
        <w:t>9</w:t>
      </w:r>
      <w:r w:rsidRPr="002D7D04">
        <w:rPr>
          <w:bCs/>
        </w:rPr>
        <w:t>.</w:t>
      </w:r>
      <w:r w:rsidR="007F4285" w:rsidRPr="002D7D04">
        <w:rPr>
          <w:bCs/>
        </w:rPr>
        <w:tab/>
      </w:r>
      <w:r w:rsidR="004A772E" w:rsidRPr="002D7D04">
        <w:rPr>
          <w:bCs/>
        </w:rPr>
        <w:t xml:space="preserve">El Comité </w:t>
      </w:r>
      <w:r w:rsidR="00684973" w:rsidRPr="002D7D04">
        <w:rPr>
          <w:bCs/>
        </w:rPr>
        <w:t xml:space="preserve">toma nota de la Política Nacional de Justicia, Seguridad Pública y Convivencia 2014-2019, así como del </w:t>
      </w:r>
      <w:r w:rsidR="001378A9" w:rsidRPr="002D7D04">
        <w:rPr>
          <w:bCs/>
        </w:rPr>
        <w:t>Plan El Salvador Seguro</w:t>
      </w:r>
      <w:r w:rsidR="00684973" w:rsidRPr="002D7D04">
        <w:rPr>
          <w:bCs/>
        </w:rPr>
        <w:t xml:space="preserve"> para combatir la violencia de las maras y pandillas. </w:t>
      </w:r>
      <w:r w:rsidR="00E945B7" w:rsidRPr="002D7D04">
        <w:rPr>
          <w:bCs/>
        </w:rPr>
        <w:t xml:space="preserve">Sin embargo, está preocupado por la </w:t>
      </w:r>
      <w:r w:rsidR="00AD1B2F">
        <w:rPr>
          <w:bCs/>
        </w:rPr>
        <w:t xml:space="preserve">extremadamente </w:t>
      </w:r>
      <w:r w:rsidR="00E945B7" w:rsidRPr="002D7D04">
        <w:rPr>
          <w:bCs/>
        </w:rPr>
        <w:t xml:space="preserve">elevada tasa de homicidios, a pesar de su </w:t>
      </w:r>
      <w:r w:rsidR="00525BFE">
        <w:rPr>
          <w:bCs/>
        </w:rPr>
        <w:t xml:space="preserve">reciente </w:t>
      </w:r>
      <w:r w:rsidR="00E945B7" w:rsidRPr="002D7D04">
        <w:rPr>
          <w:bCs/>
        </w:rPr>
        <w:t xml:space="preserve">reducción, </w:t>
      </w:r>
      <w:r w:rsidR="00AD1B2F">
        <w:rPr>
          <w:bCs/>
        </w:rPr>
        <w:t>y en particular</w:t>
      </w:r>
      <w:r w:rsidR="00E945B7" w:rsidRPr="002D7D04">
        <w:rPr>
          <w:bCs/>
        </w:rPr>
        <w:t xml:space="preserve"> por la violencia generalizada relacionada con maras y pandillas. También preocupa al Comité</w:t>
      </w:r>
      <w:r w:rsidR="00684973" w:rsidRPr="002D7D04">
        <w:rPr>
          <w:bCs/>
        </w:rPr>
        <w:t xml:space="preserve"> </w:t>
      </w:r>
      <w:r w:rsidR="005134CB">
        <w:rPr>
          <w:bCs/>
        </w:rPr>
        <w:t xml:space="preserve">la manera en que se aplica </w:t>
      </w:r>
      <w:r w:rsidR="00684973" w:rsidRPr="002D7D04">
        <w:rPr>
          <w:rFonts w:eastAsia="Calibri"/>
          <w:lang w:val="es-ES_tradnl" w:eastAsia="en-US"/>
        </w:rPr>
        <w:t xml:space="preserve">la </w:t>
      </w:r>
      <w:r w:rsidR="00684973" w:rsidRPr="002D7D04">
        <w:rPr>
          <w:rFonts w:eastAsia="Calibri"/>
          <w:lang w:eastAsia="en-US"/>
        </w:rPr>
        <w:t xml:space="preserve">Ley de Proscripción de Maras, Pandillas, Agrupaciones, Asociaciones y Organizaciones de Naturaleza </w:t>
      </w:r>
      <w:r w:rsidR="005134CB" w:rsidRPr="002D7D04">
        <w:rPr>
          <w:rFonts w:eastAsia="Calibri"/>
          <w:lang w:eastAsia="en-US"/>
        </w:rPr>
        <w:t>Criminal</w:t>
      </w:r>
      <w:r w:rsidR="005134CB">
        <w:rPr>
          <w:rFonts w:eastAsia="Calibri"/>
          <w:lang w:eastAsia="en-US"/>
        </w:rPr>
        <w:t xml:space="preserve">, resultando en </w:t>
      </w:r>
      <w:r w:rsidR="00684973" w:rsidRPr="002D7D04">
        <w:rPr>
          <w:rFonts w:eastAsia="Calibri"/>
          <w:lang w:eastAsia="en-US"/>
        </w:rPr>
        <w:t>la estigmatización de</w:t>
      </w:r>
      <w:r w:rsidR="00BC7240" w:rsidRPr="002D7D04">
        <w:rPr>
          <w:rFonts w:eastAsia="Calibri"/>
          <w:lang w:eastAsia="en-US"/>
        </w:rPr>
        <w:t xml:space="preserve"> adolescentes que viven</w:t>
      </w:r>
      <w:r w:rsidR="001627F6" w:rsidRPr="002D7D04">
        <w:rPr>
          <w:rFonts w:eastAsia="Calibri"/>
          <w:lang w:eastAsia="en-US"/>
        </w:rPr>
        <w:t xml:space="preserve"> en comunidades marginalizadas, así </w:t>
      </w:r>
      <w:r w:rsidR="001627F6" w:rsidRPr="00E17C53">
        <w:rPr>
          <w:rFonts w:eastAsia="Calibri"/>
          <w:lang w:eastAsia="en-US"/>
        </w:rPr>
        <w:t>como su conformidad con el Pacto</w:t>
      </w:r>
      <w:r w:rsidR="001627F6" w:rsidRPr="00E17C53">
        <w:rPr>
          <w:bCs/>
        </w:rPr>
        <w:t xml:space="preserve"> </w:t>
      </w:r>
      <w:r w:rsidR="001627F6" w:rsidRPr="00E17C53">
        <w:rPr>
          <w:rFonts w:eastAsia="Calibri"/>
          <w:lang w:eastAsia="en-US"/>
        </w:rPr>
        <w:t xml:space="preserve">y las garantías del debido </w:t>
      </w:r>
      <w:r w:rsidR="000459B1" w:rsidRPr="00E17C53">
        <w:rPr>
          <w:rFonts w:eastAsia="Calibri"/>
          <w:lang w:eastAsia="en-US"/>
        </w:rPr>
        <w:t>proceso</w:t>
      </w:r>
      <w:r w:rsidR="000459B1" w:rsidRPr="00E17C53">
        <w:rPr>
          <w:bCs/>
        </w:rPr>
        <w:t xml:space="preserve"> (</w:t>
      </w:r>
      <w:r w:rsidR="00752D3A" w:rsidRPr="00E17C53">
        <w:rPr>
          <w:bCs/>
        </w:rPr>
        <w:t>arts. 2, 6, 7, 9</w:t>
      </w:r>
      <w:r w:rsidR="00451DE7" w:rsidRPr="00E17C53">
        <w:rPr>
          <w:bCs/>
        </w:rPr>
        <w:t>,</w:t>
      </w:r>
      <w:r w:rsidR="00752D3A" w:rsidRPr="00E17C53">
        <w:rPr>
          <w:bCs/>
        </w:rPr>
        <w:t xml:space="preserve"> 1</w:t>
      </w:r>
      <w:r w:rsidR="00AF1B4D">
        <w:rPr>
          <w:bCs/>
        </w:rPr>
        <w:t>4</w:t>
      </w:r>
      <w:r w:rsidR="0001230B" w:rsidRPr="00E17C53">
        <w:rPr>
          <w:bCs/>
        </w:rPr>
        <w:t xml:space="preserve"> </w:t>
      </w:r>
      <w:r w:rsidR="00451DE7" w:rsidRPr="00E17C53">
        <w:rPr>
          <w:bCs/>
        </w:rPr>
        <w:t>y 24</w:t>
      </w:r>
      <w:r w:rsidR="00752D3A" w:rsidRPr="00E17C53">
        <w:rPr>
          <w:bCs/>
        </w:rPr>
        <w:t xml:space="preserve">). </w:t>
      </w:r>
    </w:p>
    <w:p w14:paraId="617B940F" w14:textId="018366BE" w:rsidR="004A772E" w:rsidRPr="001D515A" w:rsidRDefault="00F94EB2" w:rsidP="001D515A">
      <w:pPr>
        <w:pStyle w:val="SingleTxtG"/>
        <w:rPr>
          <w:b/>
        </w:rPr>
      </w:pPr>
      <w:r>
        <w:rPr>
          <w:bCs/>
        </w:rPr>
        <w:t>20</w:t>
      </w:r>
      <w:r w:rsidR="002A0A14" w:rsidRPr="00E17C53">
        <w:rPr>
          <w:bCs/>
        </w:rPr>
        <w:t>.</w:t>
      </w:r>
      <w:r w:rsidR="007F4285" w:rsidRPr="00E17C53">
        <w:rPr>
          <w:bCs/>
        </w:rPr>
        <w:tab/>
      </w:r>
      <w:r w:rsidR="004A772E" w:rsidRPr="001D515A">
        <w:rPr>
          <w:b/>
        </w:rPr>
        <w:t>El Estado parte debe intensificar sus esfuerzos para combatir los altos índices de violencia y asegurar la protección de las víctimas</w:t>
      </w:r>
      <w:r w:rsidR="00EC767D" w:rsidRPr="001D515A">
        <w:rPr>
          <w:b/>
        </w:rPr>
        <w:t>.</w:t>
      </w:r>
      <w:r w:rsidR="00AC0469" w:rsidRPr="001D515A">
        <w:rPr>
          <w:b/>
        </w:rPr>
        <w:t xml:space="preserve"> D</w:t>
      </w:r>
      <w:r w:rsidR="00EC767D" w:rsidRPr="001D515A">
        <w:rPr>
          <w:b/>
        </w:rPr>
        <w:t xml:space="preserve">ebe </w:t>
      </w:r>
      <w:r w:rsidR="00091F72" w:rsidRPr="001D515A">
        <w:rPr>
          <w:b/>
        </w:rPr>
        <w:t xml:space="preserve">garantizar que el Plan El Salvador Seguro, </w:t>
      </w:r>
      <w:r w:rsidR="007D58AF" w:rsidRPr="001D515A">
        <w:rPr>
          <w:b/>
        </w:rPr>
        <w:t xml:space="preserve">y </w:t>
      </w:r>
      <w:r w:rsidR="004B7438" w:rsidRPr="001D515A">
        <w:rPr>
          <w:b/>
        </w:rPr>
        <w:t>en particular</w:t>
      </w:r>
      <w:r w:rsidR="007D58AF" w:rsidRPr="001D515A">
        <w:rPr>
          <w:b/>
        </w:rPr>
        <w:t xml:space="preserve"> sus </w:t>
      </w:r>
      <w:r w:rsidR="004B7438" w:rsidRPr="001D515A">
        <w:rPr>
          <w:b/>
        </w:rPr>
        <w:t xml:space="preserve">medidas </w:t>
      </w:r>
      <w:r w:rsidR="007D58AF" w:rsidRPr="001D515A">
        <w:rPr>
          <w:b/>
        </w:rPr>
        <w:t xml:space="preserve">de prevención y rehabilitación, incluyendo programas de educación y protección para niños y jóvenes que </w:t>
      </w:r>
      <w:r w:rsidR="005C2CDF" w:rsidRPr="001D515A">
        <w:rPr>
          <w:b/>
        </w:rPr>
        <w:t xml:space="preserve">rechacen </w:t>
      </w:r>
      <w:r w:rsidR="007D58AF" w:rsidRPr="001D515A">
        <w:rPr>
          <w:b/>
        </w:rPr>
        <w:t>integrarse en maras o pandillas</w:t>
      </w:r>
      <w:r w:rsidR="005C2CDF" w:rsidRPr="001D515A">
        <w:rPr>
          <w:b/>
        </w:rPr>
        <w:t>,</w:t>
      </w:r>
      <w:r w:rsidR="007D58AF" w:rsidRPr="001D515A">
        <w:rPr>
          <w:b/>
        </w:rPr>
        <w:t xml:space="preserve"> sean implementados en su totalidad</w:t>
      </w:r>
      <w:r w:rsidR="00091F72" w:rsidRPr="001D515A">
        <w:rPr>
          <w:b/>
        </w:rPr>
        <w:t xml:space="preserve">, manteniendo un enfoque integral </w:t>
      </w:r>
      <w:r w:rsidR="00794366" w:rsidRPr="001D515A">
        <w:rPr>
          <w:b/>
        </w:rPr>
        <w:t>y de derechos humanos</w:t>
      </w:r>
      <w:r w:rsidR="00EC767D" w:rsidRPr="001D515A">
        <w:rPr>
          <w:b/>
        </w:rPr>
        <w:t>.</w:t>
      </w:r>
      <w:r w:rsidR="007D58AF" w:rsidRPr="001D515A">
        <w:rPr>
          <w:b/>
        </w:rPr>
        <w:t xml:space="preserve"> </w:t>
      </w:r>
      <w:r w:rsidR="00091F72" w:rsidRPr="001D515A">
        <w:rPr>
          <w:b/>
        </w:rPr>
        <w:t>Debe también asegurar la conformidad con el Pacto de las medidas adoptadas para combatir la violencia, asegurando que se respet</w:t>
      </w:r>
      <w:r w:rsidR="007D22C5" w:rsidRPr="001D515A">
        <w:rPr>
          <w:b/>
        </w:rPr>
        <w:t>e</w:t>
      </w:r>
      <w:r w:rsidR="00091F72" w:rsidRPr="001D515A">
        <w:rPr>
          <w:b/>
        </w:rPr>
        <w:t>n las garantías de debido proceso y evitando la estigmatización de jóvenes y adolescentes. Asimismo, debe</w:t>
      </w:r>
      <w:r w:rsidR="004A772E" w:rsidRPr="001D515A">
        <w:rPr>
          <w:b/>
        </w:rPr>
        <w:t xml:space="preserve"> garantizar que se investiguen todos los crímenes violentos y otros delitos graves de manera pronta, exhaustiva e imparcial y que los responsables sean enjuiciados y sancionados, y garantizar que las víctimas reciban </w:t>
      </w:r>
      <w:r w:rsidR="00356277" w:rsidRPr="001D515A">
        <w:rPr>
          <w:b/>
        </w:rPr>
        <w:t xml:space="preserve">una </w:t>
      </w:r>
      <w:r w:rsidR="004A772E" w:rsidRPr="001D515A">
        <w:rPr>
          <w:b/>
        </w:rPr>
        <w:t xml:space="preserve">reparación integral.  </w:t>
      </w:r>
    </w:p>
    <w:p w14:paraId="73333CE9" w14:textId="341FA694" w:rsidR="00351842" w:rsidRPr="002D7D04" w:rsidRDefault="004A6C92" w:rsidP="001D515A">
      <w:pPr>
        <w:pStyle w:val="H23G"/>
      </w:pPr>
      <w:r>
        <w:tab/>
      </w:r>
      <w:r>
        <w:tab/>
      </w:r>
      <w:r w:rsidR="004D4FBF" w:rsidRPr="002D7D04">
        <w:t>E</w:t>
      </w:r>
      <w:r w:rsidR="00351842" w:rsidRPr="002D7D04">
        <w:t>jecuciones extrajudiciales, desapariciones forzadas y tortura</w:t>
      </w:r>
    </w:p>
    <w:p w14:paraId="357E68BA" w14:textId="29093D20" w:rsidR="004D4FBF" w:rsidRPr="00E44617" w:rsidRDefault="008E4510" w:rsidP="001D515A">
      <w:pPr>
        <w:pStyle w:val="SingleTxtG"/>
        <w:rPr>
          <w:bCs/>
        </w:rPr>
      </w:pPr>
      <w:r>
        <w:rPr>
          <w:bCs/>
        </w:rPr>
        <w:t>2</w:t>
      </w:r>
      <w:r w:rsidR="00F94EB2">
        <w:rPr>
          <w:bCs/>
        </w:rPr>
        <w:t>1</w:t>
      </w:r>
      <w:r w:rsidR="002A0A14" w:rsidRPr="002D7D04">
        <w:rPr>
          <w:bCs/>
        </w:rPr>
        <w:t>.</w:t>
      </w:r>
      <w:r w:rsidR="007F4285" w:rsidRPr="002D7D04">
        <w:rPr>
          <w:bCs/>
        </w:rPr>
        <w:tab/>
      </w:r>
      <w:r w:rsidR="004D4FBF" w:rsidRPr="002D7D04">
        <w:rPr>
          <w:bCs/>
        </w:rPr>
        <w:t xml:space="preserve">El Comité está preocupado por el aumento </w:t>
      </w:r>
      <w:r w:rsidR="001E2AB9" w:rsidRPr="002D7D04">
        <w:rPr>
          <w:bCs/>
        </w:rPr>
        <w:t xml:space="preserve">del número de personas asesinadas por la Policía Nacional Civil y las Fuerzas Armadas y </w:t>
      </w:r>
      <w:r w:rsidR="00513295" w:rsidRPr="002D7D04">
        <w:rPr>
          <w:bCs/>
        </w:rPr>
        <w:t>por las</w:t>
      </w:r>
      <w:r w:rsidR="004D4FBF" w:rsidRPr="002D7D04">
        <w:rPr>
          <w:bCs/>
        </w:rPr>
        <w:t xml:space="preserve"> informaciones respecto a denuncias sobre detenciones arbitrarias, ejecuciones extrajudiciales y desapariciones forzadas, así como </w:t>
      </w:r>
      <w:r w:rsidR="00052270" w:rsidRPr="002D7D04">
        <w:rPr>
          <w:bCs/>
        </w:rPr>
        <w:t xml:space="preserve">por </w:t>
      </w:r>
      <w:r w:rsidR="004D4FBF" w:rsidRPr="002D7D04">
        <w:rPr>
          <w:bCs/>
        </w:rPr>
        <w:t>la existencia de “escuadrones de la muerte” que operan dentro de la Policía</w:t>
      </w:r>
      <w:r w:rsidR="00D24762" w:rsidRPr="002D7D04">
        <w:rPr>
          <w:bCs/>
        </w:rPr>
        <w:t xml:space="preserve"> y las Fuerzas Armadas</w:t>
      </w:r>
      <w:r w:rsidR="004D4FBF" w:rsidRPr="002D7D04">
        <w:rPr>
          <w:bCs/>
        </w:rPr>
        <w:t xml:space="preserve">. </w:t>
      </w:r>
      <w:r w:rsidR="00052270" w:rsidRPr="002D7D04">
        <w:rPr>
          <w:bCs/>
        </w:rPr>
        <w:t>T</w:t>
      </w:r>
      <w:r w:rsidR="004D4FBF" w:rsidRPr="002D7D04">
        <w:rPr>
          <w:bCs/>
        </w:rPr>
        <w:t>ambién le preocupa la impunida</w:t>
      </w:r>
      <w:r w:rsidR="00F2648E" w:rsidRPr="002D7D04">
        <w:rPr>
          <w:bCs/>
        </w:rPr>
        <w:t xml:space="preserve">d de dichos presuntos crímenes y las informaciones relativas al elevado porcentaje de estos casos que son desestimados </w:t>
      </w:r>
      <w:r w:rsidR="004D4FBF" w:rsidRPr="002D7D04">
        <w:rPr>
          <w:bCs/>
        </w:rPr>
        <w:t>(arts.</w:t>
      </w:r>
      <w:r w:rsidR="001737AF">
        <w:rPr>
          <w:bCs/>
        </w:rPr>
        <w:t xml:space="preserve"> </w:t>
      </w:r>
      <w:r w:rsidR="004D4FBF" w:rsidRPr="002D7D04">
        <w:rPr>
          <w:bCs/>
        </w:rPr>
        <w:t>2, 6</w:t>
      </w:r>
      <w:r w:rsidR="0027002E">
        <w:rPr>
          <w:bCs/>
        </w:rPr>
        <w:t>,</w:t>
      </w:r>
      <w:r w:rsidR="00E44617">
        <w:rPr>
          <w:bCs/>
        </w:rPr>
        <w:t xml:space="preserve"> </w:t>
      </w:r>
      <w:r w:rsidR="004D4FBF" w:rsidRPr="00E44617">
        <w:rPr>
          <w:bCs/>
        </w:rPr>
        <w:t>7</w:t>
      </w:r>
      <w:r w:rsidR="0027002E">
        <w:rPr>
          <w:bCs/>
        </w:rPr>
        <w:t>, 9 y 16</w:t>
      </w:r>
      <w:r w:rsidR="004D4FBF" w:rsidRPr="00E44617">
        <w:rPr>
          <w:bCs/>
        </w:rPr>
        <w:t xml:space="preserve">). </w:t>
      </w:r>
    </w:p>
    <w:p w14:paraId="53B04604" w14:textId="627AADA5" w:rsidR="004D4FBF" w:rsidRPr="001D515A" w:rsidRDefault="008E4510" w:rsidP="001D515A">
      <w:pPr>
        <w:pStyle w:val="SingleTxtG"/>
        <w:rPr>
          <w:b/>
        </w:rPr>
      </w:pPr>
      <w:r>
        <w:rPr>
          <w:bCs/>
        </w:rPr>
        <w:t>2</w:t>
      </w:r>
      <w:r w:rsidR="00F94EB2">
        <w:rPr>
          <w:bCs/>
        </w:rPr>
        <w:t>2</w:t>
      </w:r>
      <w:r w:rsidR="002A0A14" w:rsidRPr="002D7D04">
        <w:rPr>
          <w:bCs/>
        </w:rPr>
        <w:t>.</w:t>
      </w:r>
      <w:r w:rsidR="007F4285" w:rsidRPr="002D7D04">
        <w:rPr>
          <w:bCs/>
        </w:rPr>
        <w:tab/>
      </w:r>
      <w:r w:rsidR="004D4FBF" w:rsidRPr="001D515A">
        <w:rPr>
          <w:b/>
        </w:rPr>
        <w:t xml:space="preserve">El Estado parte </w:t>
      </w:r>
      <w:r w:rsidR="00EC10BD" w:rsidRPr="001D515A">
        <w:rPr>
          <w:b/>
        </w:rPr>
        <w:t>debe f</w:t>
      </w:r>
      <w:r w:rsidR="009E474C" w:rsidRPr="001D515A">
        <w:rPr>
          <w:b/>
        </w:rPr>
        <w:t xml:space="preserve">ortalecer </w:t>
      </w:r>
      <w:r w:rsidR="004803DB" w:rsidRPr="001D515A">
        <w:rPr>
          <w:b/>
        </w:rPr>
        <w:t xml:space="preserve">el rol de la </w:t>
      </w:r>
      <w:r w:rsidR="00EC10BD" w:rsidRPr="001D515A">
        <w:rPr>
          <w:b/>
        </w:rPr>
        <w:t xml:space="preserve">Policía Nacional </w:t>
      </w:r>
      <w:r w:rsidR="001E2AB9" w:rsidRPr="001D515A">
        <w:rPr>
          <w:b/>
        </w:rPr>
        <w:t xml:space="preserve">Civil </w:t>
      </w:r>
      <w:r w:rsidR="004803DB" w:rsidRPr="001D515A">
        <w:rPr>
          <w:b/>
        </w:rPr>
        <w:t xml:space="preserve">en sus funciones de mantenimiento del orden público y facilitar la asunción por parte </w:t>
      </w:r>
      <w:r w:rsidR="00686F13" w:rsidRPr="001D515A">
        <w:rPr>
          <w:b/>
        </w:rPr>
        <w:t>de e</w:t>
      </w:r>
      <w:r w:rsidR="004803DB" w:rsidRPr="001D515A">
        <w:rPr>
          <w:b/>
        </w:rPr>
        <w:t>sta de las funciones de mantenimiento del orden público que ejercen</w:t>
      </w:r>
      <w:r w:rsidR="00EC10BD" w:rsidRPr="001D515A">
        <w:rPr>
          <w:b/>
        </w:rPr>
        <w:t xml:space="preserve"> las Fuerzas Armadas</w:t>
      </w:r>
      <w:r w:rsidR="004803DB" w:rsidRPr="001D515A">
        <w:rPr>
          <w:b/>
        </w:rPr>
        <w:t>. Debe</w:t>
      </w:r>
      <w:r w:rsidR="00EC10BD" w:rsidRPr="001D515A">
        <w:rPr>
          <w:b/>
        </w:rPr>
        <w:t xml:space="preserve"> </w:t>
      </w:r>
      <w:r w:rsidR="004D4FBF" w:rsidRPr="001D515A">
        <w:rPr>
          <w:b/>
        </w:rPr>
        <w:t>asegurar que se investiguen todos los casos de presuntas ejecuciones extrajudiciales</w:t>
      </w:r>
      <w:r w:rsidR="00EC10BD" w:rsidRPr="001D515A">
        <w:rPr>
          <w:b/>
        </w:rPr>
        <w:t>, detenciones arbitrarias</w:t>
      </w:r>
      <w:r w:rsidR="004D4FBF" w:rsidRPr="001D515A">
        <w:rPr>
          <w:b/>
        </w:rPr>
        <w:t xml:space="preserve"> y desapariciones forzadas de manera pronta, exhaustiva e imparcial</w:t>
      </w:r>
      <w:r w:rsidR="00356277" w:rsidRPr="001D515A">
        <w:rPr>
          <w:b/>
        </w:rPr>
        <w:t xml:space="preserve">, </w:t>
      </w:r>
      <w:r w:rsidR="00E901C7" w:rsidRPr="001D515A">
        <w:rPr>
          <w:b/>
        </w:rPr>
        <w:t xml:space="preserve">que se busque a las personas desaparecidas, </w:t>
      </w:r>
      <w:r w:rsidR="00356277" w:rsidRPr="001D515A">
        <w:rPr>
          <w:b/>
        </w:rPr>
        <w:t>que los responsables sean enjuiciados y sancionados, y que las víctimas reciban una reparación integral</w:t>
      </w:r>
      <w:r w:rsidR="00E901C7" w:rsidRPr="001D515A">
        <w:rPr>
          <w:b/>
        </w:rPr>
        <w:t>.</w:t>
      </w:r>
    </w:p>
    <w:p w14:paraId="3C0B3A66" w14:textId="1764810D" w:rsidR="004D4FBF" w:rsidRPr="002D7D04" w:rsidRDefault="00413039" w:rsidP="001D515A">
      <w:pPr>
        <w:pStyle w:val="SingleTxtG"/>
        <w:rPr>
          <w:bCs/>
        </w:rPr>
      </w:pPr>
      <w:r w:rsidRPr="002D7D04">
        <w:rPr>
          <w:bCs/>
        </w:rPr>
        <w:t>2</w:t>
      </w:r>
      <w:r w:rsidR="00F94EB2">
        <w:rPr>
          <w:bCs/>
        </w:rPr>
        <w:t>3</w:t>
      </w:r>
      <w:r w:rsidRPr="002D7D04">
        <w:rPr>
          <w:bCs/>
        </w:rPr>
        <w:t>.</w:t>
      </w:r>
      <w:r w:rsidR="007F4285" w:rsidRPr="002D7D04">
        <w:rPr>
          <w:bCs/>
        </w:rPr>
        <w:tab/>
      </w:r>
      <w:r w:rsidR="00EC10BD" w:rsidRPr="002D7D04">
        <w:rPr>
          <w:bCs/>
        </w:rPr>
        <w:t xml:space="preserve">El Comité está preocupado por las denuncias e informaciones de tortura, malos tratos y uso excesivo de la fuerza por parte de los cuerpos de policía, </w:t>
      </w:r>
      <w:r w:rsidR="002F1919">
        <w:rPr>
          <w:bCs/>
        </w:rPr>
        <w:t>F</w:t>
      </w:r>
      <w:r w:rsidR="00EC10BD" w:rsidRPr="002D7D04">
        <w:rPr>
          <w:bCs/>
        </w:rPr>
        <w:t xml:space="preserve">uerzas </w:t>
      </w:r>
      <w:r w:rsidR="002F1919">
        <w:rPr>
          <w:bCs/>
        </w:rPr>
        <w:t>A</w:t>
      </w:r>
      <w:r w:rsidR="00EC10BD" w:rsidRPr="002D7D04">
        <w:rPr>
          <w:bCs/>
        </w:rPr>
        <w:t>rmadas y otros funcionarios públicos (arts. 2, 7 y 10).</w:t>
      </w:r>
    </w:p>
    <w:p w14:paraId="1827D92C" w14:textId="6B10745F" w:rsidR="00890FAC" w:rsidRPr="001D515A" w:rsidRDefault="00413039" w:rsidP="001D515A">
      <w:pPr>
        <w:pStyle w:val="SingleTxtG"/>
        <w:rPr>
          <w:b/>
        </w:rPr>
      </w:pPr>
      <w:r w:rsidRPr="002D7D04">
        <w:rPr>
          <w:bCs/>
        </w:rPr>
        <w:t>2</w:t>
      </w:r>
      <w:r w:rsidR="00F94EB2">
        <w:rPr>
          <w:bCs/>
        </w:rPr>
        <w:t>4</w:t>
      </w:r>
      <w:r w:rsidRPr="002D7D04">
        <w:rPr>
          <w:bCs/>
        </w:rPr>
        <w:t>.</w:t>
      </w:r>
      <w:r w:rsidR="007F4285" w:rsidRPr="002D7D04">
        <w:rPr>
          <w:bCs/>
        </w:rPr>
        <w:tab/>
      </w:r>
      <w:r w:rsidR="00890FAC" w:rsidRPr="001D515A">
        <w:rPr>
          <w:b/>
        </w:rPr>
        <w:t>E</w:t>
      </w:r>
      <w:r w:rsidR="00351842" w:rsidRPr="001D515A">
        <w:rPr>
          <w:b/>
        </w:rPr>
        <w:t>l Estado parte</w:t>
      </w:r>
      <w:r w:rsidR="00890FAC" w:rsidRPr="001D515A">
        <w:rPr>
          <w:b/>
        </w:rPr>
        <w:t xml:space="preserve"> debe:</w:t>
      </w:r>
    </w:p>
    <w:p w14:paraId="6FDBBA14" w14:textId="6AC3F1C4" w:rsidR="00EC10BD" w:rsidRPr="001D515A" w:rsidRDefault="004A6C92" w:rsidP="00073E37">
      <w:pPr>
        <w:pStyle w:val="SingleTxtG"/>
        <w:rPr>
          <w:b/>
        </w:rPr>
      </w:pPr>
      <w:r>
        <w:rPr>
          <w:b/>
        </w:rPr>
        <w:tab/>
        <w:t>a)</w:t>
      </w:r>
      <w:r>
        <w:rPr>
          <w:b/>
        </w:rPr>
        <w:tab/>
      </w:r>
      <w:r w:rsidR="00B663AF" w:rsidRPr="001D515A">
        <w:rPr>
          <w:b/>
        </w:rPr>
        <w:t>A</w:t>
      </w:r>
      <w:r w:rsidR="00EC10BD" w:rsidRPr="001D515A">
        <w:rPr>
          <w:b/>
        </w:rPr>
        <w:t>segurar que se investiguen de manera rápida, imparcial y exhaustiva todas las alegaciones de tortura y otros tratos crueles, inhumanos y degradantes; que los autores sean enjuiciados y, de ser declarados culpables, sean castigados con penas adecuadas; y que las v</w:t>
      </w:r>
      <w:r w:rsidR="00A413DB" w:rsidRPr="001D515A">
        <w:rPr>
          <w:b/>
        </w:rPr>
        <w:t>í</w:t>
      </w:r>
      <w:r w:rsidR="00EC10BD" w:rsidRPr="001D515A">
        <w:rPr>
          <w:b/>
        </w:rPr>
        <w:t>ctimas reciban una reparación integral;</w:t>
      </w:r>
    </w:p>
    <w:p w14:paraId="5B7E77B1" w14:textId="1F1FABC7" w:rsidR="00EC10BD" w:rsidRPr="001D515A" w:rsidRDefault="004A6C92" w:rsidP="00073E37">
      <w:pPr>
        <w:pStyle w:val="SingleTxtG"/>
        <w:rPr>
          <w:b/>
        </w:rPr>
      </w:pPr>
      <w:r>
        <w:rPr>
          <w:b/>
        </w:rPr>
        <w:tab/>
        <w:t>b)</w:t>
      </w:r>
      <w:r>
        <w:rPr>
          <w:b/>
        </w:rPr>
        <w:tab/>
      </w:r>
      <w:r w:rsidR="00EC10BD" w:rsidRPr="001D515A">
        <w:rPr>
          <w:b/>
        </w:rPr>
        <w:t xml:space="preserve">Reforzar la capacidad de investigación e independencia de la Fiscalía General para la adecuada investigación y judicialización de los casos de tortura y otros tratos crueles, inhumanos y degradantes, de acuerdo con el Manual para la investigación y documentación eficaces de la tortura y otros tratos o penas crueles, inhumanos o degradantes (Protocolo de Estambul); </w:t>
      </w:r>
    </w:p>
    <w:p w14:paraId="5D2828AA" w14:textId="707CF64E" w:rsidR="00EC10BD" w:rsidRPr="001D515A" w:rsidRDefault="004A6C92" w:rsidP="00073E37">
      <w:pPr>
        <w:pStyle w:val="SingleTxtG"/>
        <w:rPr>
          <w:b/>
        </w:rPr>
      </w:pPr>
      <w:r>
        <w:rPr>
          <w:b/>
        </w:rPr>
        <w:tab/>
        <w:t>c)</w:t>
      </w:r>
      <w:r>
        <w:rPr>
          <w:b/>
        </w:rPr>
        <w:tab/>
      </w:r>
      <w:r w:rsidR="00EC10BD" w:rsidRPr="001D515A">
        <w:rPr>
          <w:b/>
        </w:rPr>
        <w:t xml:space="preserve">Garantizar que la legislación interna sobre </w:t>
      </w:r>
      <w:r w:rsidR="003A69B7" w:rsidRPr="001D515A">
        <w:rPr>
          <w:b/>
        </w:rPr>
        <w:t>e</w:t>
      </w:r>
      <w:r w:rsidR="00EC10BD" w:rsidRPr="001D515A">
        <w:rPr>
          <w:b/>
        </w:rPr>
        <w:t xml:space="preserve">l uso de la fuerza y su aplicación estén en completa concordancia con los estándares internacionales, incluyendo el Pacto y los Principios Básicos sobre el Empleo de la Fuerza y de Armas de Fuego por los Funcionarios Encargados de Hacer Cumplir la Ley; que todos los materiales de capacitación estén conformes con el Pacto y los Principios Básicos; </w:t>
      </w:r>
      <w:r w:rsidR="003A69B7" w:rsidRPr="001D515A">
        <w:rPr>
          <w:b/>
        </w:rPr>
        <w:t xml:space="preserve">y </w:t>
      </w:r>
      <w:r w:rsidR="00EC10BD" w:rsidRPr="001D515A">
        <w:rPr>
          <w:b/>
        </w:rPr>
        <w:t>que los agentes del orden y de seguridad reciban formación en estos estándares y los apliquen en la práctica</w:t>
      </w:r>
      <w:r w:rsidR="0030051C" w:rsidRPr="001D515A">
        <w:rPr>
          <w:b/>
        </w:rPr>
        <w:t>;</w:t>
      </w:r>
    </w:p>
    <w:p w14:paraId="52E8DEDB" w14:textId="3B8B750C" w:rsidR="00643F9A" w:rsidRPr="001D515A" w:rsidRDefault="004A6C92" w:rsidP="00073E37">
      <w:pPr>
        <w:pStyle w:val="SingleTxtG"/>
        <w:rPr>
          <w:b/>
        </w:rPr>
      </w:pPr>
      <w:r>
        <w:rPr>
          <w:b/>
        </w:rPr>
        <w:tab/>
        <w:t>d)</w:t>
      </w:r>
      <w:r>
        <w:rPr>
          <w:b/>
        </w:rPr>
        <w:tab/>
      </w:r>
      <w:r w:rsidR="00217F54" w:rsidRPr="001D515A">
        <w:rPr>
          <w:b/>
        </w:rPr>
        <w:t>Considerar la ratificación d</w:t>
      </w:r>
      <w:r w:rsidR="004A772E" w:rsidRPr="001D515A">
        <w:rPr>
          <w:b/>
        </w:rPr>
        <w:t>el Protocolo Facultativo de la Convención contra la Tortura</w:t>
      </w:r>
      <w:r w:rsidR="0030051C" w:rsidRPr="001D515A">
        <w:rPr>
          <w:b/>
          <w:sz w:val="29"/>
          <w:szCs w:val="29"/>
        </w:rPr>
        <w:t xml:space="preserve"> </w:t>
      </w:r>
      <w:r w:rsidR="0030051C" w:rsidRPr="001D515A">
        <w:rPr>
          <w:b/>
        </w:rPr>
        <w:t xml:space="preserve">y Otros Tratos o Penas Crueles, Inhumanos o </w:t>
      </w:r>
      <w:r w:rsidR="00416F6E" w:rsidRPr="001D515A">
        <w:rPr>
          <w:b/>
        </w:rPr>
        <w:t>Degradantes</w:t>
      </w:r>
      <w:r w:rsidR="0030051C" w:rsidRPr="001D515A">
        <w:rPr>
          <w:b/>
        </w:rPr>
        <w:t xml:space="preserve">. </w:t>
      </w:r>
    </w:p>
    <w:p w14:paraId="28ADC3B4" w14:textId="4B4784EB" w:rsidR="004A772E" w:rsidRPr="002D7D04" w:rsidRDefault="004A6C92" w:rsidP="001D515A">
      <w:pPr>
        <w:pStyle w:val="H23G"/>
      </w:pPr>
      <w:r w:rsidRPr="001D515A">
        <w:tab/>
      </w:r>
      <w:r w:rsidRPr="001D515A">
        <w:tab/>
      </w:r>
      <w:r w:rsidR="004A772E" w:rsidRPr="002D7D04">
        <w:t>Prohibición de la esclavitud, el trabajo forzoso y la trata de personas</w:t>
      </w:r>
    </w:p>
    <w:p w14:paraId="2BB50F16" w14:textId="05B79350" w:rsidR="004A772E" w:rsidRPr="002D7D04" w:rsidRDefault="006018A2" w:rsidP="001D515A">
      <w:pPr>
        <w:pStyle w:val="SingleTxtG"/>
        <w:rPr>
          <w:bCs/>
          <w:lang w:val="es-ES_tradnl"/>
        </w:rPr>
      </w:pPr>
      <w:r w:rsidRPr="002D7D04">
        <w:rPr>
          <w:bCs/>
        </w:rPr>
        <w:t>2</w:t>
      </w:r>
      <w:r w:rsidR="00F94EB2">
        <w:rPr>
          <w:bCs/>
        </w:rPr>
        <w:t>5</w:t>
      </w:r>
      <w:r w:rsidRPr="002D7D04">
        <w:rPr>
          <w:bCs/>
        </w:rPr>
        <w:t>.</w:t>
      </w:r>
      <w:r w:rsidR="007F4285" w:rsidRPr="002D7D04">
        <w:rPr>
          <w:bCs/>
        </w:rPr>
        <w:tab/>
      </w:r>
      <w:r w:rsidR="009D445E" w:rsidRPr="002D7D04">
        <w:rPr>
          <w:bCs/>
        </w:rPr>
        <w:t xml:space="preserve">Si bien el Comité </w:t>
      </w:r>
      <w:r w:rsidR="00015679" w:rsidRPr="002D7D04">
        <w:rPr>
          <w:bCs/>
        </w:rPr>
        <w:t xml:space="preserve">reconoce </w:t>
      </w:r>
      <w:r w:rsidR="004A772E" w:rsidRPr="002D7D04">
        <w:rPr>
          <w:bCs/>
        </w:rPr>
        <w:t xml:space="preserve">los esfuerzos realizados por el Estado parte </w:t>
      </w:r>
      <w:r w:rsidR="00015679" w:rsidRPr="002D7D04">
        <w:rPr>
          <w:bCs/>
        </w:rPr>
        <w:t xml:space="preserve">para </w:t>
      </w:r>
      <w:r w:rsidR="004A772E" w:rsidRPr="002D7D04">
        <w:rPr>
          <w:bCs/>
        </w:rPr>
        <w:t>a combatir la trata de personas</w:t>
      </w:r>
      <w:r w:rsidR="009D445E" w:rsidRPr="002D7D04">
        <w:rPr>
          <w:bCs/>
        </w:rPr>
        <w:t xml:space="preserve">, está </w:t>
      </w:r>
      <w:r w:rsidR="004A772E" w:rsidRPr="002D7D04">
        <w:rPr>
          <w:bCs/>
        </w:rPr>
        <w:t>preocupa</w:t>
      </w:r>
      <w:r w:rsidR="009D445E" w:rsidRPr="002D7D04">
        <w:rPr>
          <w:bCs/>
        </w:rPr>
        <w:t>do por</w:t>
      </w:r>
      <w:r w:rsidR="004A772E" w:rsidRPr="002D7D04">
        <w:rPr>
          <w:bCs/>
        </w:rPr>
        <w:t xml:space="preserve"> la persistencia de este fenómeno, afectando de manera particular a mujeres, niñas y niños,</w:t>
      </w:r>
      <w:r w:rsidR="002468D2" w:rsidRPr="002D7D04">
        <w:rPr>
          <w:bCs/>
        </w:rPr>
        <w:t xml:space="preserve"> y personas </w:t>
      </w:r>
      <w:r w:rsidR="00A413DB" w:rsidRPr="002D7D04">
        <w:t xml:space="preserve">lesbianas, gais, bisexuales, </w:t>
      </w:r>
      <w:proofErr w:type="spellStart"/>
      <w:r w:rsidR="00A413DB" w:rsidRPr="002D7D04">
        <w:t>transgénero</w:t>
      </w:r>
      <w:proofErr w:type="spellEnd"/>
      <w:r w:rsidR="00A413DB" w:rsidRPr="002D7D04">
        <w:t xml:space="preserve"> e intersexuales</w:t>
      </w:r>
      <w:r w:rsidR="00CF7B39" w:rsidRPr="002D7D04">
        <w:rPr>
          <w:bCs/>
        </w:rPr>
        <w:t xml:space="preserve">; </w:t>
      </w:r>
      <w:r w:rsidR="004A772E" w:rsidRPr="002D7D04">
        <w:rPr>
          <w:bCs/>
        </w:rPr>
        <w:t>la insuficiente protección y asistencia proporcionada a las víctimas</w:t>
      </w:r>
      <w:r w:rsidR="00CF7B39" w:rsidRPr="002D7D04">
        <w:rPr>
          <w:bCs/>
        </w:rPr>
        <w:t xml:space="preserve">; </w:t>
      </w:r>
      <w:r w:rsidR="00FA69F9" w:rsidRPr="002D7D04">
        <w:rPr>
          <w:bCs/>
        </w:rPr>
        <w:t>el escaso número de enjuiciamientos y condenas</w:t>
      </w:r>
      <w:r w:rsidR="00CF7B39" w:rsidRPr="002D7D04">
        <w:rPr>
          <w:bCs/>
        </w:rPr>
        <w:t xml:space="preserve">; </w:t>
      </w:r>
      <w:r w:rsidR="00FA69F9" w:rsidRPr="002D7D04">
        <w:rPr>
          <w:bCs/>
        </w:rPr>
        <w:t xml:space="preserve">y </w:t>
      </w:r>
      <w:r w:rsidR="00CF7B39" w:rsidRPr="002D7D04">
        <w:rPr>
          <w:bCs/>
        </w:rPr>
        <w:t>los</w:t>
      </w:r>
      <w:r w:rsidR="00FA69F9" w:rsidRPr="002D7D04">
        <w:rPr>
          <w:bCs/>
        </w:rPr>
        <w:t xml:space="preserve"> </w:t>
      </w:r>
      <w:r w:rsidR="004A772E" w:rsidRPr="002D7D04">
        <w:rPr>
          <w:bCs/>
        </w:rPr>
        <w:t>informes relativos a obstrucciones en las investigaciones</w:t>
      </w:r>
      <w:r w:rsidR="00FA69F9" w:rsidRPr="002D7D04">
        <w:rPr>
          <w:bCs/>
        </w:rPr>
        <w:t xml:space="preserve"> debido a la corrupción del sistema judicial.</w:t>
      </w:r>
      <w:r w:rsidR="004A772E" w:rsidRPr="002D7D04">
        <w:rPr>
          <w:bCs/>
        </w:rPr>
        <w:t xml:space="preserve"> Asimismo, </w:t>
      </w:r>
      <w:r w:rsidR="00231A63" w:rsidRPr="002D7D04">
        <w:rPr>
          <w:bCs/>
        </w:rPr>
        <w:t xml:space="preserve">preocupa al Comité </w:t>
      </w:r>
      <w:r w:rsidR="00231A63" w:rsidRPr="002D7D04">
        <w:rPr>
          <w:bCs/>
          <w:lang w:val="es-ES_tradnl"/>
        </w:rPr>
        <w:t>la prevalencia de las peores formas de trabajo infantil</w:t>
      </w:r>
      <w:r w:rsidR="00F63F43" w:rsidRPr="002D7D04">
        <w:rPr>
          <w:bCs/>
          <w:lang w:val="es-ES_tradnl"/>
        </w:rPr>
        <w:t xml:space="preserve"> y</w:t>
      </w:r>
      <w:r w:rsidR="00231A63" w:rsidRPr="002D7D04">
        <w:rPr>
          <w:bCs/>
          <w:lang w:val="es-ES_tradnl"/>
        </w:rPr>
        <w:t xml:space="preserve"> </w:t>
      </w:r>
      <w:r w:rsidR="00254A12" w:rsidRPr="002D7D04">
        <w:rPr>
          <w:bCs/>
          <w:lang w:val="es-ES_tradnl"/>
        </w:rPr>
        <w:t xml:space="preserve">los informes sobre la explotación laboral y trabajo </w:t>
      </w:r>
      <w:r w:rsidR="00231A63" w:rsidRPr="002D7D04">
        <w:rPr>
          <w:bCs/>
          <w:lang w:val="es-ES_tradnl"/>
        </w:rPr>
        <w:t xml:space="preserve">forzoso de las mujeres en la industria maquiladora, así como en </w:t>
      </w:r>
      <w:r w:rsidR="00254A12" w:rsidRPr="002D7D04">
        <w:rPr>
          <w:bCs/>
          <w:lang w:val="es-ES_tradnl"/>
        </w:rPr>
        <w:t>l</w:t>
      </w:r>
      <w:r w:rsidR="00686F13">
        <w:rPr>
          <w:bCs/>
          <w:lang w:val="es-ES_tradnl"/>
        </w:rPr>
        <w:t>os</w:t>
      </w:r>
      <w:r w:rsidR="00254A12" w:rsidRPr="002D7D04">
        <w:rPr>
          <w:bCs/>
          <w:lang w:val="es-ES_tradnl"/>
        </w:rPr>
        <w:t xml:space="preserve"> sector</w:t>
      </w:r>
      <w:r w:rsidR="00686F13">
        <w:rPr>
          <w:bCs/>
          <w:lang w:val="es-ES_tradnl"/>
        </w:rPr>
        <w:t>es</w:t>
      </w:r>
      <w:r w:rsidR="00254A12" w:rsidRPr="002D7D04">
        <w:rPr>
          <w:bCs/>
          <w:lang w:val="es-ES_tradnl"/>
        </w:rPr>
        <w:t xml:space="preserve"> pesquero, doméstico</w:t>
      </w:r>
      <w:r w:rsidR="00231A63" w:rsidRPr="002D7D04">
        <w:rPr>
          <w:bCs/>
          <w:lang w:val="es-ES_tradnl"/>
        </w:rPr>
        <w:t xml:space="preserve"> y</w:t>
      </w:r>
      <w:r w:rsidR="00DF082E" w:rsidRPr="002D7D04">
        <w:rPr>
          <w:bCs/>
          <w:lang w:val="es-ES_tradnl"/>
        </w:rPr>
        <w:t xml:space="preserve"> </w:t>
      </w:r>
      <w:r w:rsidR="00254A12" w:rsidRPr="002D7D04">
        <w:rPr>
          <w:bCs/>
          <w:lang w:val="es-ES_tradnl"/>
        </w:rPr>
        <w:t>agrícola</w:t>
      </w:r>
      <w:r w:rsidR="00231A63" w:rsidRPr="002D7D04">
        <w:rPr>
          <w:bCs/>
          <w:lang w:val="es-ES_tradnl"/>
        </w:rPr>
        <w:t>, en particular de</w:t>
      </w:r>
      <w:r w:rsidR="00231A63" w:rsidRPr="002D7D04">
        <w:rPr>
          <w:bCs/>
        </w:rPr>
        <w:t xml:space="preserve"> mujeres, </w:t>
      </w:r>
      <w:r w:rsidR="00231A63" w:rsidRPr="002D7D04">
        <w:rPr>
          <w:bCs/>
          <w:lang w:val="es-ES_tradnl"/>
        </w:rPr>
        <w:t xml:space="preserve">niños y niñas </w:t>
      </w:r>
      <w:r w:rsidR="004A772E" w:rsidRPr="002D7D04">
        <w:rPr>
          <w:bCs/>
          <w:lang w:val="es-ES_tradnl"/>
        </w:rPr>
        <w:t>(arts. 3, 7, 8</w:t>
      </w:r>
      <w:r w:rsidR="00A413DB">
        <w:rPr>
          <w:bCs/>
          <w:lang w:val="es-ES_tradnl"/>
        </w:rPr>
        <w:t xml:space="preserve"> y</w:t>
      </w:r>
      <w:r w:rsidR="004A772E" w:rsidRPr="002D7D04">
        <w:rPr>
          <w:bCs/>
          <w:lang w:val="es-ES_tradnl"/>
        </w:rPr>
        <w:t xml:space="preserve"> 24).</w:t>
      </w:r>
      <w:r w:rsidR="00B74BAA" w:rsidRPr="002D7D04">
        <w:rPr>
          <w:bCs/>
        </w:rPr>
        <w:t xml:space="preserve"> </w:t>
      </w:r>
    </w:p>
    <w:p w14:paraId="0603B035" w14:textId="6E9B1164" w:rsidR="004A772E" w:rsidRPr="001D515A" w:rsidRDefault="006018A2" w:rsidP="001D515A">
      <w:pPr>
        <w:pStyle w:val="SingleTxtG"/>
        <w:rPr>
          <w:b/>
        </w:rPr>
      </w:pPr>
      <w:r w:rsidRPr="002D7D04">
        <w:rPr>
          <w:bCs/>
        </w:rPr>
        <w:t>2</w:t>
      </w:r>
      <w:r w:rsidR="00F94EB2">
        <w:rPr>
          <w:bCs/>
        </w:rPr>
        <w:t>6</w:t>
      </w:r>
      <w:r w:rsidRPr="002D7D04">
        <w:rPr>
          <w:bCs/>
        </w:rPr>
        <w:t>.</w:t>
      </w:r>
      <w:r w:rsidR="007F4285" w:rsidRPr="002D7D04">
        <w:rPr>
          <w:bCs/>
        </w:rPr>
        <w:tab/>
      </w:r>
      <w:r w:rsidR="004A772E" w:rsidRPr="001D515A">
        <w:rPr>
          <w:b/>
        </w:rPr>
        <w:t xml:space="preserve">El Estado parte debe intensificar sus esfuerzos para prevenir, combatir y sancionar la trata de personas y </w:t>
      </w:r>
      <w:r w:rsidR="004A772E" w:rsidRPr="001D515A">
        <w:rPr>
          <w:b/>
          <w:lang w:val="es-ES_tradnl"/>
        </w:rPr>
        <w:t xml:space="preserve">asegurar que las medidas adoptadas por el Estado </w:t>
      </w:r>
      <w:r w:rsidR="004A772E" w:rsidRPr="001D515A">
        <w:rPr>
          <w:b/>
        </w:rPr>
        <w:t>sean implementadas eficazmente</w:t>
      </w:r>
      <w:r w:rsidR="004A772E" w:rsidRPr="001D515A">
        <w:rPr>
          <w:b/>
          <w:lang w:val="es-ES_tradnl"/>
        </w:rPr>
        <w:t>. Debe garantizar que los delitos de trata de personas sean investigados, los responsables procesados y sancionados, y que las v</w:t>
      </w:r>
      <w:r w:rsidR="00A413DB" w:rsidRPr="001D515A">
        <w:rPr>
          <w:b/>
          <w:lang w:val="es-ES_tradnl"/>
        </w:rPr>
        <w:t>í</w:t>
      </w:r>
      <w:r w:rsidR="004A772E" w:rsidRPr="001D515A">
        <w:rPr>
          <w:b/>
          <w:lang w:val="es-ES_tradnl"/>
        </w:rPr>
        <w:t xml:space="preserve">ctimas tengan acceso a </w:t>
      </w:r>
      <w:r w:rsidR="004A772E" w:rsidRPr="001D515A">
        <w:rPr>
          <w:b/>
        </w:rPr>
        <w:t>medidas de protección y asistencia adecuadas</w:t>
      </w:r>
      <w:r w:rsidR="00FA69F9" w:rsidRPr="001D515A">
        <w:rPr>
          <w:b/>
        </w:rPr>
        <w:t>.</w:t>
      </w:r>
      <w:r w:rsidR="004A772E" w:rsidRPr="001D515A">
        <w:rPr>
          <w:b/>
        </w:rPr>
        <w:t xml:space="preserve"> </w:t>
      </w:r>
      <w:r w:rsidR="00FA69F9" w:rsidRPr="001D515A">
        <w:rPr>
          <w:b/>
          <w:lang w:val="es-ES_tradnl"/>
        </w:rPr>
        <w:t>D</w:t>
      </w:r>
      <w:r w:rsidR="004A772E" w:rsidRPr="001D515A">
        <w:rPr>
          <w:b/>
          <w:lang w:val="es-ES_tradnl"/>
        </w:rPr>
        <w:t>ebe</w:t>
      </w:r>
      <w:r w:rsidR="004A772E" w:rsidRPr="001D515A">
        <w:rPr>
          <w:b/>
        </w:rPr>
        <w:t xml:space="preserve"> </w:t>
      </w:r>
      <w:r w:rsidR="00FA69F9" w:rsidRPr="001D515A">
        <w:rPr>
          <w:b/>
        </w:rPr>
        <w:t xml:space="preserve">también </w:t>
      </w:r>
      <w:r w:rsidR="004A772E" w:rsidRPr="001D515A">
        <w:rPr>
          <w:b/>
        </w:rPr>
        <w:t>intensificar sus esfuerzos para prevenir, combatir y sancionar el trabajo infantil</w:t>
      </w:r>
      <w:r w:rsidR="00550480" w:rsidRPr="001D515A">
        <w:rPr>
          <w:b/>
        </w:rPr>
        <w:t>, incluyendo en sus peores formas,</w:t>
      </w:r>
      <w:r w:rsidR="004A772E" w:rsidRPr="001D515A">
        <w:rPr>
          <w:b/>
        </w:rPr>
        <w:t xml:space="preserve"> y el trabajo forzoso, especialmente en la industria maquiladora y l</w:t>
      </w:r>
      <w:r w:rsidR="00FC600E" w:rsidRPr="001D515A">
        <w:rPr>
          <w:b/>
        </w:rPr>
        <w:t>os</w:t>
      </w:r>
      <w:r w:rsidR="004A772E" w:rsidRPr="001D515A">
        <w:rPr>
          <w:b/>
        </w:rPr>
        <w:t xml:space="preserve"> </w:t>
      </w:r>
      <w:r w:rsidR="00550480" w:rsidRPr="001D515A">
        <w:rPr>
          <w:b/>
          <w:lang w:val="es-ES_tradnl"/>
        </w:rPr>
        <w:t>sector</w:t>
      </w:r>
      <w:r w:rsidR="00FC600E" w:rsidRPr="001D515A">
        <w:rPr>
          <w:b/>
          <w:lang w:val="es-ES_tradnl"/>
        </w:rPr>
        <w:t>es</w:t>
      </w:r>
      <w:r w:rsidR="00550480" w:rsidRPr="001D515A">
        <w:rPr>
          <w:b/>
          <w:lang w:val="es-ES_tradnl"/>
        </w:rPr>
        <w:t xml:space="preserve"> pesquero, doméstico y agrícola</w:t>
      </w:r>
      <w:r w:rsidR="004A772E" w:rsidRPr="001D515A">
        <w:rPr>
          <w:b/>
        </w:rPr>
        <w:t>. Debe garantizar el establecimiento de protección jurídica y el cumplimento de la legislación laboral, incluyendo a través de una formación adecuada, inspecciones eficaces y la imposición de sanciones a los empleadores.</w:t>
      </w:r>
    </w:p>
    <w:p w14:paraId="0E1EC0B8" w14:textId="13EA44F4" w:rsidR="004A772E" w:rsidRPr="002D7D04" w:rsidRDefault="004A6C92" w:rsidP="00073E37">
      <w:pPr>
        <w:pStyle w:val="H23G"/>
      </w:pPr>
      <w:r>
        <w:tab/>
      </w:r>
      <w:r>
        <w:tab/>
      </w:r>
      <w:r w:rsidR="004A772E" w:rsidRPr="002D7D04">
        <w:t>Personas privadas de libertad y condiciones de detención</w:t>
      </w:r>
    </w:p>
    <w:p w14:paraId="5FC0387D" w14:textId="4DF72569" w:rsidR="004A772E" w:rsidRPr="002D7D04" w:rsidRDefault="006018A2" w:rsidP="001D515A">
      <w:pPr>
        <w:pStyle w:val="SingleTxtG"/>
      </w:pPr>
      <w:r w:rsidRPr="002D7D04">
        <w:rPr>
          <w:lang w:val="es-ES_tradnl"/>
        </w:rPr>
        <w:t>2</w:t>
      </w:r>
      <w:r w:rsidR="00F94EB2">
        <w:rPr>
          <w:lang w:val="es-ES_tradnl"/>
        </w:rPr>
        <w:t>7</w:t>
      </w:r>
      <w:r w:rsidRPr="002D7D04">
        <w:rPr>
          <w:lang w:val="es-ES_tradnl"/>
        </w:rPr>
        <w:t>.</w:t>
      </w:r>
      <w:r w:rsidR="007F4285" w:rsidRPr="002D7D04">
        <w:rPr>
          <w:lang w:val="es-ES_tradnl"/>
        </w:rPr>
        <w:tab/>
      </w:r>
      <w:r w:rsidR="004A772E" w:rsidRPr="002D7D04">
        <w:rPr>
          <w:lang w:val="es-ES_tradnl"/>
        </w:rPr>
        <w:t xml:space="preserve">El </w:t>
      </w:r>
      <w:r w:rsidR="004A772E" w:rsidRPr="002D7D04">
        <w:t>Comité</w:t>
      </w:r>
      <w:r w:rsidR="009E6932" w:rsidRPr="002D7D04">
        <w:t xml:space="preserve"> </w:t>
      </w:r>
      <w:r w:rsidR="00C04569" w:rsidRPr="002D7D04">
        <w:t xml:space="preserve">está </w:t>
      </w:r>
      <w:r w:rsidR="009E6932" w:rsidRPr="002D7D04">
        <w:t xml:space="preserve">preocupado </w:t>
      </w:r>
      <w:r w:rsidR="00C04569" w:rsidRPr="002D7D04">
        <w:t xml:space="preserve">por el hecho de que el límite máximo para </w:t>
      </w:r>
      <w:r w:rsidR="00007976">
        <w:t>el per</w:t>
      </w:r>
      <w:r w:rsidR="00FC600E">
        <w:t>í</w:t>
      </w:r>
      <w:r w:rsidR="00007976">
        <w:t>odo inicial de detención (</w:t>
      </w:r>
      <w:r w:rsidR="00C04569" w:rsidRPr="002D7D04">
        <w:t xml:space="preserve">detención </w:t>
      </w:r>
      <w:r w:rsidR="00E167AF">
        <w:t>administrativa</w:t>
      </w:r>
      <w:r w:rsidR="00007976">
        <w:t>)</w:t>
      </w:r>
      <w:r w:rsidR="00C04569" w:rsidRPr="002D7D04">
        <w:t xml:space="preserve"> sea de 72 horas</w:t>
      </w:r>
      <w:r w:rsidR="00383118" w:rsidRPr="002D7D04">
        <w:t xml:space="preserve"> y por </w:t>
      </w:r>
      <w:r w:rsidR="009E6932" w:rsidRPr="002D7D04">
        <w:t>los informes relativos a que este</w:t>
      </w:r>
      <w:r w:rsidR="00C04569" w:rsidRPr="002D7D04">
        <w:t xml:space="preserve"> límite</w:t>
      </w:r>
      <w:r w:rsidR="009E6932" w:rsidRPr="002D7D04">
        <w:t xml:space="preserve">, </w:t>
      </w:r>
      <w:r w:rsidR="004A772E" w:rsidRPr="002D7D04">
        <w:rPr>
          <w:lang w:val="es-ES_tradnl"/>
        </w:rPr>
        <w:t xml:space="preserve">en la práctica, </w:t>
      </w:r>
      <w:r w:rsidR="009E6932" w:rsidRPr="002D7D04">
        <w:rPr>
          <w:lang w:val="es-ES_tradnl"/>
        </w:rPr>
        <w:t>se pueda p</w:t>
      </w:r>
      <w:r w:rsidR="004A772E" w:rsidRPr="002D7D04">
        <w:rPr>
          <w:lang w:val="es-ES_tradnl"/>
        </w:rPr>
        <w:t xml:space="preserve">rolongar </w:t>
      </w:r>
      <w:r w:rsidR="009A7E87" w:rsidRPr="002D7D04">
        <w:rPr>
          <w:lang w:val="es-ES_tradnl"/>
        </w:rPr>
        <w:t xml:space="preserve">hasta seis </w:t>
      </w:r>
      <w:r w:rsidR="009E6932" w:rsidRPr="002D7D04">
        <w:rPr>
          <w:lang w:val="es-ES_tradnl"/>
        </w:rPr>
        <w:t>días</w:t>
      </w:r>
      <w:r w:rsidR="00C04569" w:rsidRPr="002D7D04">
        <w:rPr>
          <w:lang w:val="es-ES_tradnl"/>
        </w:rPr>
        <w:t xml:space="preserve">. </w:t>
      </w:r>
      <w:r w:rsidR="0094206C" w:rsidRPr="002D7D04">
        <w:rPr>
          <w:lang w:val="es-ES_tradnl"/>
        </w:rPr>
        <w:t>También</w:t>
      </w:r>
      <w:r w:rsidR="00C04569" w:rsidRPr="002D7D04">
        <w:rPr>
          <w:lang w:val="es-ES_tradnl"/>
        </w:rPr>
        <w:t xml:space="preserve"> le preocupan </w:t>
      </w:r>
      <w:r w:rsidR="004A772E" w:rsidRPr="002D7D04">
        <w:rPr>
          <w:lang w:val="es-ES_tradnl"/>
        </w:rPr>
        <w:t xml:space="preserve">los informes relativos al aumento de la detención </w:t>
      </w:r>
      <w:r w:rsidR="00E871D6">
        <w:rPr>
          <w:lang w:val="es-ES_tradnl"/>
        </w:rPr>
        <w:t>administrativa</w:t>
      </w:r>
      <w:r w:rsidR="00E871D6" w:rsidRPr="002D7D04">
        <w:rPr>
          <w:lang w:val="es-ES_tradnl"/>
        </w:rPr>
        <w:t xml:space="preserve"> </w:t>
      </w:r>
      <w:r w:rsidR="004A772E" w:rsidRPr="002D7D04">
        <w:rPr>
          <w:lang w:val="es-ES_tradnl"/>
        </w:rPr>
        <w:t xml:space="preserve">desde la implementación de la Ley </w:t>
      </w:r>
      <w:r w:rsidR="001737AF">
        <w:rPr>
          <w:lang w:val="es-ES_tradnl"/>
        </w:rPr>
        <w:t>E</w:t>
      </w:r>
      <w:r w:rsidR="004A772E" w:rsidRPr="002D7D04">
        <w:rPr>
          <w:lang w:val="es-ES_tradnl"/>
        </w:rPr>
        <w:t xml:space="preserve">special contra </w:t>
      </w:r>
      <w:r w:rsidR="001737AF">
        <w:rPr>
          <w:lang w:val="es-ES_tradnl"/>
        </w:rPr>
        <w:t>A</w:t>
      </w:r>
      <w:r w:rsidR="00281570" w:rsidRPr="002D7D04">
        <w:rPr>
          <w:lang w:val="es-ES_tradnl"/>
        </w:rPr>
        <w:t xml:space="preserve">ctos </w:t>
      </w:r>
      <w:r w:rsidR="004A772E" w:rsidRPr="002D7D04">
        <w:rPr>
          <w:lang w:val="es-ES_tradnl"/>
        </w:rPr>
        <w:t xml:space="preserve">de </w:t>
      </w:r>
      <w:r w:rsidR="001737AF">
        <w:rPr>
          <w:lang w:val="es-ES_tradnl"/>
        </w:rPr>
        <w:t>T</w:t>
      </w:r>
      <w:r w:rsidR="004A772E" w:rsidRPr="002D7D04">
        <w:rPr>
          <w:lang w:val="es-ES_tradnl"/>
        </w:rPr>
        <w:t xml:space="preserve">errorismo de 2006 </w:t>
      </w:r>
      <w:r w:rsidR="004A772E" w:rsidRPr="002D7D04">
        <w:t>(art. 9).</w:t>
      </w:r>
    </w:p>
    <w:p w14:paraId="0C83D566" w14:textId="1D62FF32" w:rsidR="0058451B" w:rsidRPr="001D515A" w:rsidRDefault="00F90D88" w:rsidP="001D515A">
      <w:pPr>
        <w:pStyle w:val="SingleTxtG"/>
        <w:rPr>
          <w:b/>
          <w:bCs/>
        </w:rPr>
      </w:pPr>
      <w:r w:rsidRPr="002D7D04">
        <w:t>2</w:t>
      </w:r>
      <w:r w:rsidR="00F94EB2">
        <w:t>8</w:t>
      </w:r>
      <w:r w:rsidRPr="002D7D04">
        <w:t>.</w:t>
      </w:r>
      <w:r w:rsidR="007F4285" w:rsidRPr="002D7D04">
        <w:tab/>
      </w:r>
      <w:r w:rsidR="004A772E" w:rsidRPr="001D515A">
        <w:rPr>
          <w:b/>
          <w:bCs/>
        </w:rPr>
        <w:t xml:space="preserve">El Estado parte debe revisar la legislación relativa </w:t>
      </w:r>
      <w:r w:rsidR="00007976" w:rsidRPr="001D515A">
        <w:rPr>
          <w:b/>
          <w:bCs/>
        </w:rPr>
        <w:t>el per</w:t>
      </w:r>
      <w:r w:rsidR="00441A3E" w:rsidRPr="001D515A">
        <w:rPr>
          <w:b/>
          <w:bCs/>
        </w:rPr>
        <w:t>í</w:t>
      </w:r>
      <w:r w:rsidR="00007976" w:rsidRPr="001D515A">
        <w:rPr>
          <w:b/>
          <w:bCs/>
        </w:rPr>
        <w:t>odo inicial de detención (</w:t>
      </w:r>
      <w:r w:rsidR="004A772E" w:rsidRPr="001D515A">
        <w:rPr>
          <w:b/>
          <w:bCs/>
        </w:rPr>
        <w:t xml:space="preserve">detención </w:t>
      </w:r>
      <w:r w:rsidR="000D7886" w:rsidRPr="001D515A">
        <w:rPr>
          <w:b/>
          <w:bCs/>
        </w:rPr>
        <w:t>administrativa</w:t>
      </w:r>
      <w:r w:rsidR="00007976" w:rsidRPr="001D515A">
        <w:rPr>
          <w:b/>
          <w:bCs/>
        </w:rPr>
        <w:t>)</w:t>
      </w:r>
      <w:r w:rsidR="004A772E" w:rsidRPr="001D515A">
        <w:rPr>
          <w:b/>
          <w:bCs/>
        </w:rPr>
        <w:t xml:space="preserve"> para hacerla compatible con las disposiciones del Pacto y asegurar que dicha detención no exceda las 48 horas,</w:t>
      </w:r>
      <w:r w:rsidR="0058451B" w:rsidRPr="001D515A">
        <w:rPr>
          <w:b/>
          <w:bCs/>
        </w:rPr>
        <w:t xml:space="preserve"> que siempre se consideren medidas alternativas a la detención, y que la duración total de la detención </w:t>
      </w:r>
      <w:r w:rsidR="00307D61" w:rsidRPr="001D515A">
        <w:rPr>
          <w:b/>
          <w:bCs/>
        </w:rPr>
        <w:t>provisional</w:t>
      </w:r>
      <w:r w:rsidR="0058451B" w:rsidRPr="001D515A">
        <w:rPr>
          <w:b/>
          <w:bCs/>
        </w:rPr>
        <w:t xml:space="preserve"> no sea excesiva.</w:t>
      </w:r>
    </w:p>
    <w:p w14:paraId="0366FFC9" w14:textId="79E4D0AA" w:rsidR="004A772E" w:rsidRPr="002D7D04" w:rsidRDefault="00F90D88" w:rsidP="001D515A">
      <w:pPr>
        <w:pStyle w:val="SingleTxtG"/>
      </w:pPr>
      <w:r w:rsidRPr="002D7D04">
        <w:t>2</w:t>
      </w:r>
      <w:r w:rsidR="00F94EB2">
        <w:t>9</w:t>
      </w:r>
      <w:r w:rsidRPr="002D7D04">
        <w:t>.</w:t>
      </w:r>
      <w:r w:rsidR="007F4285" w:rsidRPr="002D7D04">
        <w:tab/>
      </w:r>
      <w:r w:rsidR="00645AC9" w:rsidRPr="002D7D04">
        <w:t xml:space="preserve">Si bien el Comité toma nota de los esfuerzos llevados a cabo por el Estado parte para la mejora de los establecimientos penitenciarios y la construcción de nuevos centros, al Comité le preocupa la persistencia de altos niveles de hacinamiento en los </w:t>
      </w:r>
      <w:r w:rsidR="00B409BC" w:rsidRPr="002D7D04">
        <w:rPr>
          <w:bCs/>
        </w:rPr>
        <w:t xml:space="preserve">centros penitenciarios y en las bartolinas de la Policía Nacional Civil </w:t>
      </w:r>
      <w:r w:rsidR="00645AC9" w:rsidRPr="002D7D04">
        <w:rPr>
          <w:bCs/>
        </w:rPr>
        <w:t xml:space="preserve">y </w:t>
      </w:r>
      <w:r w:rsidR="009A0CE8" w:rsidRPr="002D7D04">
        <w:rPr>
          <w:bCs/>
        </w:rPr>
        <w:t xml:space="preserve">las condiciones de vida crueles e inhumanas </w:t>
      </w:r>
      <w:r w:rsidR="003B1BDA" w:rsidRPr="002D7D04">
        <w:rPr>
          <w:bCs/>
        </w:rPr>
        <w:t>en estas instalaciones</w:t>
      </w:r>
      <w:r w:rsidR="004F09B5" w:rsidRPr="002D7D04">
        <w:rPr>
          <w:bCs/>
        </w:rPr>
        <w:t xml:space="preserve">; el aumento de fallecidos en los centros de detención; el alto número de detenidos en </w:t>
      </w:r>
      <w:r w:rsidR="00BE772B">
        <w:rPr>
          <w:bCs/>
        </w:rPr>
        <w:t>detención provisional</w:t>
      </w:r>
      <w:r w:rsidR="004F09B5" w:rsidRPr="002D7D04">
        <w:rPr>
          <w:bCs/>
        </w:rPr>
        <w:t>, que representan más del 30% de la población reclusa</w:t>
      </w:r>
      <w:r w:rsidR="000235B1" w:rsidRPr="002D7D04">
        <w:rPr>
          <w:bCs/>
        </w:rPr>
        <w:t>;</w:t>
      </w:r>
      <w:r w:rsidR="00563769" w:rsidRPr="002D7D04">
        <w:rPr>
          <w:bCs/>
        </w:rPr>
        <w:t xml:space="preserve"> </w:t>
      </w:r>
      <w:r w:rsidR="004F09B5" w:rsidRPr="002D7D04">
        <w:rPr>
          <w:bCs/>
        </w:rPr>
        <w:t>la falta de separación entre los procesados y los condenados</w:t>
      </w:r>
      <w:r w:rsidR="000235B1" w:rsidRPr="002D7D04">
        <w:rPr>
          <w:bCs/>
        </w:rPr>
        <w:t xml:space="preserve">; y las informaciones relativas a los registros </w:t>
      </w:r>
      <w:r w:rsidR="000235B1" w:rsidRPr="002D7D04">
        <w:rPr>
          <w:bCs/>
          <w:lang w:val="es-ES_tradnl"/>
        </w:rPr>
        <w:t xml:space="preserve">intrusivos y humillantes a los cuales son sometidos los abogados en la entrada y salida de los centros de detención. </w:t>
      </w:r>
      <w:r w:rsidR="00B409BC" w:rsidRPr="002D7D04">
        <w:rPr>
          <w:bCs/>
        </w:rPr>
        <w:t>Asimismo, le preocupan</w:t>
      </w:r>
      <w:r w:rsidR="004A772E" w:rsidRPr="002D7D04">
        <w:t xml:space="preserve"> </w:t>
      </w:r>
      <w:r w:rsidR="00577BE6" w:rsidRPr="002D7D04">
        <w:t xml:space="preserve">los informes relativos a </w:t>
      </w:r>
      <w:r w:rsidR="004A772E" w:rsidRPr="002D7D04">
        <w:t xml:space="preserve">la aplicación de </w:t>
      </w:r>
      <w:r w:rsidR="00B00EE7">
        <w:t>m</w:t>
      </w:r>
      <w:r w:rsidR="004A772E" w:rsidRPr="002D7D04">
        <w:t xml:space="preserve">edidas </w:t>
      </w:r>
      <w:r w:rsidR="00B00EE7">
        <w:t>e</w:t>
      </w:r>
      <w:r w:rsidR="004A772E" w:rsidRPr="002D7D04">
        <w:t xml:space="preserve">xtraordinarias de </w:t>
      </w:r>
      <w:r w:rsidR="00B00EE7">
        <w:t>s</w:t>
      </w:r>
      <w:r w:rsidR="004A772E" w:rsidRPr="002D7D04">
        <w:t>eguridad en seis centros penitenciarios</w:t>
      </w:r>
      <w:r w:rsidR="00577BE6" w:rsidRPr="002D7D04">
        <w:t xml:space="preserve">, las </w:t>
      </w:r>
      <w:r w:rsidR="00C45012" w:rsidRPr="002D7D04">
        <w:t>cuales incluyen</w:t>
      </w:r>
      <w:r w:rsidR="00577BE6" w:rsidRPr="002D7D04">
        <w:t xml:space="preserve"> </w:t>
      </w:r>
      <w:r w:rsidR="004A772E" w:rsidRPr="002D7D04">
        <w:t>un encierro de 24 horas en las celdas, la suspensión de las visitas familiares</w:t>
      </w:r>
      <w:r w:rsidR="00FA5DF7" w:rsidRPr="002D7D04">
        <w:t xml:space="preserve"> y </w:t>
      </w:r>
      <w:r w:rsidR="004A772E" w:rsidRPr="002D7D04">
        <w:t>restricciones de las visitas a los abogados</w:t>
      </w:r>
      <w:r w:rsidR="00B409BC" w:rsidRPr="002D7D04">
        <w:rPr>
          <w:bCs/>
        </w:rPr>
        <w:t>.</w:t>
      </w:r>
      <w:r w:rsidR="00361254" w:rsidRPr="002D7D04">
        <w:rPr>
          <w:bCs/>
        </w:rPr>
        <w:t xml:space="preserve"> El Comité lamenta no haber recibido información suficiente sobre </w:t>
      </w:r>
      <w:r w:rsidR="00361254" w:rsidRPr="002D7D04">
        <w:t xml:space="preserve">la situación de las personas con discapacidad psicosocial o intelectual recluidas en centros psiquiátricos y otras instituciones y sobre los recursos legales </w:t>
      </w:r>
      <w:r w:rsidR="001F75DD" w:rsidRPr="002D7D04">
        <w:t>contra la hospitalización involuntaria</w:t>
      </w:r>
      <w:r w:rsidR="00B409BC" w:rsidRPr="002D7D04">
        <w:rPr>
          <w:bCs/>
        </w:rPr>
        <w:t xml:space="preserve"> </w:t>
      </w:r>
      <w:r w:rsidR="004A772E" w:rsidRPr="002D7D04">
        <w:rPr>
          <w:bCs/>
        </w:rPr>
        <w:t>(arts. 6, 7, 9 y 10).</w:t>
      </w:r>
      <w:r w:rsidR="004F09B5" w:rsidRPr="002D7D04">
        <w:rPr>
          <w:bCs/>
        </w:rPr>
        <w:t xml:space="preserve">  </w:t>
      </w:r>
    </w:p>
    <w:p w14:paraId="7D435F43" w14:textId="5A26101A" w:rsidR="00FF4838" w:rsidRPr="001D515A" w:rsidRDefault="00F94EB2" w:rsidP="004A6C92">
      <w:pPr>
        <w:pStyle w:val="SingleTxtG"/>
        <w:rPr>
          <w:b/>
        </w:rPr>
      </w:pPr>
      <w:r>
        <w:rPr>
          <w:bCs/>
        </w:rPr>
        <w:t>30</w:t>
      </w:r>
      <w:r w:rsidR="00F90D88" w:rsidRPr="002D7D04">
        <w:rPr>
          <w:bCs/>
        </w:rPr>
        <w:t>.</w:t>
      </w:r>
      <w:r w:rsidR="007F4285" w:rsidRPr="002D7D04">
        <w:rPr>
          <w:bCs/>
        </w:rPr>
        <w:tab/>
      </w:r>
      <w:r w:rsidR="004A772E" w:rsidRPr="001D515A">
        <w:rPr>
          <w:b/>
        </w:rPr>
        <w:t>El Estado parte debe</w:t>
      </w:r>
      <w:r w:rsidR="00FF4838" w:rsidRPr="001D515A">
        <w:rPr>
          <w:b/>
        </w:rPr>
        <w:t>:</w:t>
      </w:r>
    </w:p>
    <w:p w14:paraId="0FF5A0AE" w14:textId="11D8618B" w:rsidR="00FF4838" w:rsidRPr="001D515A" w:rsidRDefault="004A6C92" w:rsidP="00073E37">
      <w:pPr>
        <w:pStyle w:val="SingleTxtG"/>
        <w:rPr>
          <w:b/>
        </w:rPr>
      </w:pPr>
      <w:r w:rsidRPr="001D515A">
        <w:rPr>
          <w:b/>
        </w:rPr>
        <w:tab/>
      </w:r>
      <w:r w:rsidR="00FF4838" w:rsidRPr="001D515A">
        <w:rPr>
          <w:b/>
        </w:rPr>
        <w:t>a)</w:t>
      </w:r>
      <w:r w:rsidR="000D51E7" w:rsidRPr="001D515A">
        <w:rPr>
          <w:b/>
        </w:rPr>
        <w:tab/>
      </w:r>
      <w:r w:rsidR="00FF4838" w:rsidRPr="001D515A">
        <w:rPr>
          <w:b/>
        </w:rPr>
        <w:t>R</w:t>
      </w:r>
      <w:r w:rsidR="004A772E" w:rsidRPr="001D515A">
        <w:rPr>
          <w:b/>
        </w:rPr>
        <w:t>edoblar sus esfuerzos para mejorar las condiciones de reclusión y reducir el hacinamiento</w:t>
      </w:r>
      <w:r w:rsidR="000F1CE0" w:rsidRPr="001D515A">
        <w:rPr>
          <w:b/>
        </w:rPr>
        <w:t xml:space="preserve"> de los centros de </w:t>
      </w:r>
      <w:r w:rsidR="001761D5" w:rsidRPr="001D515A">
        <w:rPr>
          <w:b/>
        </w:rPr>
        <w:t>detención, en</w:t>
      </w:r>
      <w:r w:rsidR="00BB39B9" w:rsidRPr="001D515A">
        <w:rPr>
          <w:b/>
        </w:rPr>
        <w:t xml:space="preserve"> particular mediante la promoción de alternativas a la privación de libertad, y asegurar que la </w:t>
      </w:r>
      <w:r w:rsidR="00063937" w:rsidRPr="001D515A">
        <w:rPr>
          <w:b/>
        </w:rPr>
        <w:t>detención provisional</w:t>
      </w:r>
      <w:r w:rsidR="00BB39B9" w:rsidRPr="001D515A">
        <w:rPr>
          <w:b/>
        </w:rPr>
        <w:t xml:space="preserve"> sea excepcional, razonable, necesaria en toda circunstancia y lo más breve posible, </w:t>
      </w:r>
      <w:r w:rsidR="00A9717E" w:rsidRPr="001D515A">
        <w:rPr>
          <w:b/>
        </w:rPr>
        <w:t>incluido</w:t>
      </w:r>
      <w:r w:rsidR="00FB1867" w:rsidRPr="001D515A">
        <w:rPr>
          <w:b/>
        </w:rPr>
        <w:t xml:space="preserve"> para adolescentes en conflicto con la ley</w:t>
      </w:r>
      <w:r w:rsidR="000D51E7" w:rsidRPr="001D515A">
        <w:rPr>
          <w:b/>
        </w:rPr>
        <w:t>;</w:t>
      </w:r>
      <w:r w:rsidR="004A772E" w:rsidRPr="001D515A">
        <w:rPr>
          <w:b/>
        </w:rPr>
        <w:t xml:space="preserve"> </w:t>
      </w:r>
    </w:p>
    <w:p w14:paraId="7751D4D7" w14:textId="79D2552B" w:rsidR="00FF4838" w:rsidRPr="001D515A" w:rsidRDefault="004A6C92" w:rsidP="00073E37">
      <w:pPr>
        <w:pStyle w:val="SingleTxtG"/>
        <w:rPr>
          <w:b/>
        </w:rPr>
      </w:pPr>
      <w:r w:rsidRPr="001D515A">
        <w:rPr>
          <w:b/>
        </w:rPr>
        <w:tab/>
      </w:r>
      <w:r w:rsidR="00FF4838" w:rsidRPr="001D515A">
        <w:rPr>
          <w:b/>
        </w:rPr>
        <w:t>b)</w:t>
      </w:r>
      <w:r w:rsidR="000D51E7" w:rsidRPr="001D515A">
        <w:rPr>
          <w:b/>
        </w:rPr>
        <w:tab/>
      </w:r>
      <w:r w:rsidR="00FF4838" w:rsidRPr="001D515A">
        <w:rPr>
          <w:b/>
        </w:rPr>
        <w:t>R</w:t>
      </w:r>
      <w:r w:rsidR="00E01759" w:rsidRPr="001D515A">
        <w:rPr>
          <w:b/>
        </w:rPr>
        <w:t xml:space="preserve">evisar de manera exhaustiva </w:t>
      </w:r>
      <w:r w:rsidR="005045EE" w:rsidRPr="001D515A">
        <w:rPr>
          <w:b/>
        </w:rPr>
        <w:t xml:space="preserve">las </w:t>
      </w:r>
      <w:r w:rsidR="00E56A60" w:rsidRPr="001D515A">
        <w:rPr>
          <w:b/>
        </w:rPr>
        <w:t>m</w:t>
      </w:r>
      <w:r w:rsidR="005045EE" w:rsidRPr="001D515A">
        <w:rPr>
          <w:b/>
        </w:rPr>
        <w:t xml:space="preserve">edidas </w:t>
      </w:r>
      <w:r w:rsidR="00E56A60" w:rsidRPr="001D515A">
        <w:rPr>
          <w:b/>
        </w:rPr>
        <w:t>e</w:t>
      </w:r>
      <w:r w:rsidR="005045EE" w:rsidRPr="001D515A">
        <w:rPr>
          <w:b/>
        </w:rPr>
        <w:t xml:space="preserve">xtraordinarias de </w:t>
      </w:r>
      <w:r w:rsidR="00E56A60" w:rsidRPr="001D515A">
        <w:rPr>
          <w:b/>
        </w:rPr>
        <w:t>s</w:t>
      </w:r>
      <w:r w:rsidR="005045EE" w:rsidRPr="001D515A">
        <w:rPr>
          <w:b/>
        </w:rPr>
        <w:t xml:space="preserve">eguridad y </w:t>
      </w:r>
      <w:r w:rsidR="004A772E" w:rsidRPr="001D515A">
        <w:rPr>
          <w:b/>
        </w:rPr>
        <w:t>asegur</w:t>
      </w:r>
      <w:r w:rsidR="007604F4" w:rsidRPr="001D515A">
        <w:rPr>
          <w:b/>
        </w:rPr>
        <w:t>ar</w:t>
      </w:r>
      <w:r w:rsidR="004A772E" w:rsidRPr="001D515A">
        <w:rPr>
          <w:b/>
        </w:rPr>
        <w:t xml:space="preserve"> que las condiciones de reclusión en todas las prisiones del país se ajusten a las Reglas Mínimas de las Naciones Unidas para el Tratamiento de los Reclusos (</w:t>
      </w:r>
      <w:r w:rsidR="00B606A9" w:rsidRPr="001D515A">
        <w:rPr>
          <w:b/>
        </w:rPr>
        <w:t xml:space="preserve">Reglas Nelson </w:t>
      </w:r>
      <w:r w:rsidR="004A772E" w:rsidRPr="001D515A">
        <w:rPr>
          <w:b/>
        </w:rPr>
        <w:t>Mandela)</w:t>
      </w:r>
      <w:r w:rsidR="007604F4" w:rsidRPr="001D515A">
        <w:rPr>
          <w:b/>
        </w:rPr>
        <w:t xml:space="preserve">, así como </w:t>
      </w:r>
      <w:r w:rsidR="00361254" w:rsidRPr="001D515A">
        <w:rPr>
          <w:b/>
        </w:rPr>
        <w:t xml:space="preserve">garantizar </w:t>
      </w:r>
      <w:r w:rsidR="004A772E" w:rsidRPr="001D515A">
        <w:rPr>
          <w:b/>
          <w:lang w:val="es-ES_tradnl"/>
        </w:rPr>
        <w:t>que los abogados puedan ejercer sus funciones sin intimidación o injerencias indebidas</w:t>
      </w:r>
      <w:r w:rsidR="000D51E7" w:rsidRPr="001D515A">
        <w:rPr>
          <w:b/>
          <w:lang w:val="es-ES_tradnl"/>
        </w:rPr>
        <w:t>;</w:t>
      </w:r>
      <w:r w:rsidR="007604F4" w:rsidRPr="001D515A">
        <w:rPr>
          <w:b/>
        </w:rPr>
        <w:t xml:space="preserve"> </w:t>
      </w:r>
    </w:p>
    <w:p w14:paraId="69743D4B" w14:textId="1801F667" w:rsidR="001806F9" w:rsidRPr="001D515A" w:rsidRDefault="00073E37" w:rsidP="00073E37">
      <w:pPr>
        <w:pStyle w:val="SingleTxtG"/>
        <w:rPr>
          <w:b/>
        </w:rPr>
      </w:pPr>
      <w:r>
        <w:rPr>
          <w:b/>
        </w:rPr>
        <w:tab/>
        <w:t>c</w:t>
      </w:r>
      <w:r w:rsidR="00FF4838" w:rsidRPr="001D515A">
        <w:rPr>
          <w:b/>
        </w:rPr>
        <w:t>)</w:t>
      </w:r>
      <w:r w:rsidR="000D51E7" w:rsidRPr="001D515A">
        <w:rPr>
          <w:b/>
        </w:rPr>
        <w:tab/>
      </w:r>
      <w:r w:rsidR="00FF4838" w:rsidRPr="001D515A">
        <w:rPr>
          <w:b/>
        </w:rPr>
        <w:t>I</w:t>
      </w:r>
      <w:r w:rsidR="007604F4" w:rsidRPr="001D515A">
        <w:rPr>
          <w:b/>
        </w:rPr>
        <w:t>nvestigar de manera pronta y exhaustiva todas las muertes de personas en detención</w:t>
      </w:r>
      <w:r w:rsidR="0040162E" w:rsidRPr="001D515A">
        <w:rPr>
          <w:b/>
        </w:rPr>
        <w:t xml:space="preserve"> que puedan ser ilegales</w:t>
      </w:r>
      <w:r w:rsidR="007604F4" w:rsidRPr="001D515A">
        <w:rPr>
          <w:b/>
        </w:rPr>
        <w:t>, enjuiciar y si procede castigar a los responsables de las mismas, y otorgar reparación integral a los familiares de las víctimas</w:t>
      </w:r>
      <w:r w:rsidR="000D51E7" w:rsidRPr="001D515A">
        <w:rPr>
          <w:b/>
        </w:rPr>
        <w:t>;</w:t>
      </w:r>
      <w:r w:rsidR="007604F4" w:rsidRPr="001D515A">
        <w:rPr>
          <w:b/>
        </w:rPr>
        <w:t xml:space="preserve"> </w:t>
      </w:r>
    </w:p>
    <w:p w14:paraId="76183F14" w14:textId="2A50590B" w:rsidR="001806F9" w:rsidRPr="001D515A" w:rsidRDefault="004A6C92" w:rsidP="00073E37">
      <w:pPr>
        <w:pStyle w:val="SingleTxtG"/>
        <w:rPr>
          <w:b/>
          <w:lang w:val="es-ES_tradnl"/>
        </w:rPr>
      </w:pPr>
      <w:r w:rsidRPr="001D515A">
        <w:rPr>
          <w:b/>
        </w:rPr>
        <w:tab/>
      </w:r>
      <w:r w:rsidR="001806F9" w:rsidRPr="001D515A">
        <w:rPr>
          <w:b/>
        </w:rPr>
        <w:t>d)</w:t>
      </w:r>
      <w:r w:rsidR="000D51E7" w:rsidRPr="001D515A">
        <w:rPr>
          <w:b/>
        </w:rPr>
        <w:tab/>
      </w:r>
      <w:r w:rsidR="001806F9" w:rsidRPr="001D515A">
        <w:rPr>
          <w:b/>
          <w:lang w:val="es-ES_tradnl"/>
        </w:rPr>
        <w:t>V</w:t>
      </w:r>
      <w:r w:rsidR="001F71EB" w:rsidRPr="001D515A">
        <w:rPr>
          <w:b/>
          <w:lang w:val="es-ES_tradnl"/>
        </w:rPr>
        <w:t>elar por que el internamiento psiquiátrico sea estrictamente necesario y proporcional, tenga el propósito de impedir que el interesado se haga daño o cause lesiones a otras personas, y se aplique únicamente como medida de último recurso y durante un tiempo apropiado lo más breve posible</w:t>
      </w:r>
      <w:r w:rsidR="000D51E7" w:rsidRPr="001D515A">
        <w:rPr>
          <w:b/>
          <w:lang w:val="es-ES_tradnl"/>
        </w:rPr>
        <w:t>;</w:t>
      </w:r>
      <w:r w:rsidR="001F71EB" w:rsidRPr="001D515A">
        <w:rPr>
          <w:b/>
          <w:lang w:val="es-ES_tradnl"/>
        </w:rPr>
        <w:t xml:space="preserve"> </w:t>
      </w:r>
    </w:p>
    <w:p w14:paraId="32FCB924" w14:textId="3A249581" w:rsidR="001F71EB" w:rsidRPr="001D515A" w:rsidRDefault="004A6C92" w:rsidP="00073E37">
      <w:pPr>
        <w:pStyle w:val="SingleTxtG"/>
        <w:rPr>
          <w:b/>
        </w:rPr>
      </w:pPr>
      <w:r w:rsidRPr="001D515A">
        <w:rPr>
          <w:b/>
          <w:lang w:val="es-ES_tradnl"/>
        </w:rPr>
        <w:tab/>
      </w:r>
      <w:r w:rsidR="001806F9" w:rsidRPr="001D515A">
        <w:rPr>
          <w:b/>
          <w:lang w:val="es-ES_tradnl"/>
        </w:rPr>
        <w:t>e)</w:t>
      </w:r>
      <w:r w:rsidR="000D51E7" w:rsidRPr="001D515A">
        <w:rPr>
          <w:b/>
          <w:lang w:val="es-ES_tradnl"/>
        </w:rPr>
        <w:tab/>
      </w:r>
      <w:r w:rsidR="001806F9" w:rsidRPr="001D515A">
        <w:rPr>
          <w:b/>
          <w:lang w:val="es-ES_tradnl"/>
        </w:rPr>
        <w:t>A</w:t>
      </w:r>
      <w:r w:rsidR="001F71EB" w:rsidRPr="001D515A">
        <w:rPr>
          <w:b/>
          <w:lang w:val="es-ES_tradnl"/>
        </w:rPr>
        <w:t xml:space="preserve">segurar que los procedimientos de hospitalización involuntaria respeten la opinión de la persona interesada y que los representantes representen y defiendan genuinamente la voluntad y los intereses de esa persona. </w:t>
      </w:r>
      <w:r w:rsidR="00B53477" w:rsidRPr="001D515A">
        <w:rPr>
          <w:b/>
          <w:lang w:val="es-ES_tradnl"/>
        </w:rPr>
        <w:t>Al respecto, d</w:t>
      </w:r>
      <w:r w:rsidR="00075B30" w:rsidRPr="001D515A">
        <w:rPr>
          <w:b/>
          <w:lang w:val="es-ES_tradnl"/>
        </w:rPr>
        <w:t>ebe también</w:t>
      </w:r>
      <w:r w:rsidR="001F71EB" w:rsidRPr="001D515A">
        <w:rPr>
          <w:b/>
          <w:lang w:val="es-ES_tradnl"/>
        </w:rPr>
        <w:t xml:space="preserve"> garantizar que el internamiento se realice con las debidas garantías procesales y sustantivas establecidas por la ley.</w:t>
      </w:r>
    </w:p>
    <w:p w14:paraId="2D8E7A51" w14:textId="24B8CACE" w:rsidR="004A772E" w:rsidRPr="002D7D04" w:rsidRDefault="004A772E" w:rsidP="001D515A">
      <w:pPr>
        <w:pStyle w:val="H23G"/>
      </w:pPr>
      <w:r w:rsidRPr="002D7D04">
        <w:tab/>
      </w:r>
      <w:r w:rsidRPr="002D7D04">
        <w:tab/>
        <w:t>Migrantes</w:t>
      </w:r>
      <w:r w:rsidR="003F70D9" w:rsidRPr="002D7D04">
        <w:t xml:space="preserve">, </w:t>
      </w:r>
      <w:r w:rsidR="008D26ED" w:rsidRPr="002D7D04">
        <w:t xml:space="preserve">solicitantes de asilo </w:t>
      </w:r>
      <w:r w:rsidR="003F70D9" w:rsidRPr="002D7D04">
        <w:t xml:space="preserve">y personas desplazadas internas </w:t>
      </w:r>
    </w:p>
    <w:p w14:paraId="10CBEA1A" w14:textId="3390FA43" w:rsidR="00071EDC" w:rsidRPr="00A27F37" w:rsidRDefault="00F90D88" w:rsidP="001D515A">
      <w:pPr>
        <w:pStyle w:val="SingleTxtG"/>
      </w:pPr>
      <w:r w:rsidRPr="002D7D04">
        <w:t>3</w:t>
      </w:r>
      <w:r w:rsidR="00F94EB2">
        <w:t>1</w:t>
      </w:r>
      <w:r w:rsidRPr="002D7D04">
        <w:t>.</w:t>
      </w:r>
      <w:r w:rsidR="007F4285" w:rsidRPr="002D7D04">
        <w:tab/>
      </w:r>
      <w:r w:rsidR="00845EC1" w:rsidRPr="002D7D04">
        <w:t>El Comité toma nota de la existencia de un proyecto de Ley de Migración y Extranjería</w:t>
      </w:r>
      <w:r w:rsidR="00E67B73" w:rsidRPr="002D7D04">
        <w:t xml:space="preserve">, el cual </w:t>
      </w:r>
      <w:r w:rsidR="00303048" w:rsidRPr="002D7D04">
        <w:t>prevé</w:t>
      </w:r>
      <w:r w:rsidR="00E67B73" w:rsidRPr="002D7D04">
        <w:t xml:space="preserve"> </w:t>
      </w:r>
      <w:r w:rsidR="00303048" w:rsidRPr="002D7D04">
        <w:t>límites</w:t>
      </w:r>
      <w:r w:rsidR="00E67B73" w:rsidRPr="002D7D04">
        <w:t xml:space="preserve"> de detención</w:t>
      </w:r>
      <w:r w:rsidR="00303048" w:rsidRPr="002D7D04">
        <w:t xml:space="preserve"> en el Centro de Atención Integral a los Migrantes</w:t>
      </w:r>
      <w:r w:rsidR="005B4B52">
        <w:t>, así como de la reforma en curso de la</w:t>
      </w:r>
      <w:r w:rsidR="005B4B52" w:rsidRPr="00857947">
        <w:rPr>
          <w:bCs/>
          <w:iCs/>
        </w:rPr>
        <w:t xml:space="preserve"> </w:t>
      </w:r>
      <w:r w:rsidR="005B4B52" w:rsidRPr="00A27F37">
        <w:rPr>
          <w:bCs/>
          <w:iCs/>
          <w:lang w:val="es-SV"/>
        </w:rPr>
        <w:t xml:space="preserve">Ley </w:t>
      </w:r>
      <w:r w:rsidR="002C479B">
        <w:rPr>
          <w:bCs/>
          <w:iCs/>
          <w:lang w:val="es-SV"/>
        </w:rPr>
        <w:t>p</w:t>
      </w:r>
      <w:r w:rsidR="005B4B52" w:rsidRPr="00A27F37">
        <w:rPr>
          <w:bCs/>
          <w:iCs/>
          <w:lang w:val="es-SV"/>
        </w:rPr>
        <w:t xml:space="preserve">ara </w:t>
      </w:r>
      <w:r w:rsidR="002C479B">
        <w:rPr>
          <w:bCs/>
          <w:iCs/>
          <w:lang w:val="es-SV"/>
        </w:rPr>
        <w:t>l</w:t>
      </w:r>
      <w:r w:rsidR="005B4B52" w:rsidRPr="00A27F37">
        <w:rPr>
          <w:bCs/>
          <w:iCs/>
          <w:lang w:val="es-SV"/>
        </w:rPr>
        <w:t xml:space="preserve">a Determinación de la Condición </w:t>
      </w:r>
      <w:r w:rsidR="002C479B">
        <w:rPr>
          <w:bCs/>
          <w:iCs/>
          <w:lang w:val="es-SV"/>
        </w:rPr>
        <w:t>d</w:t>
      </w:r>
      <w:r w:rsidR="005B4B52" w:rsidRPr="00A27F37">
        <w:rPr>
          <w:bCs/>
          <w:iCs/>
          <w:lang w:val="es-SV"/>
        </w:rPr>
        <w:t>e Personas Refugiadas</w:t>
      </w:r>
      <w:r w:rsidR="005B4B52" w:rsidRPr="005B4B52">
        <w:t>.</w:t>
      </w:r>
      <w:r w:rsidR="00845EC1" w:rsidRPr="00A42A6A">
        <w:t xml:space="preserve"> </w:t>
      </w:r>
      <w:r w:rsidR="00845EC1" w:rsidRPr="002D7D04">
        <w:t xml:space="preserve">Sin embargo, </w:t>
      </w:r>
      <w:r w:rsidR="00A42A6A">
        <w:t xml:space="preserve">le preocupa que el marco </w:t>
      </w:r>
      <w:r w:rsidR="00DC42A0">
        <w:t xml:space="preserve">jurídico </w:t>
      </w:r>
      <w:r w:rsidR="00A42A6A">
        <w:t xml:space="preserve">actual de protección de refugiados y solicitantes de asilo no esté en concordancia con los estándares internacionales. </w:t>
      </w:r>
      <w:r w:rsidR="00B73B54">
        <w:t>También</w:t>
      </w:r>
      <w:r w:rsidR="00A42A6A">
        <w:t xml:space="preserve"> le preocupan </w:t>
      </w:r>
      <w:r w:rsidR="004A772E" w:rsidRPr="002D7D04">
        <w:t xml:space="preserve">las informaciones relativas </w:t>
      </w:r>
      <w:r w:rsidR="004F5C71" w:rsidRPr="002D7D04">
        <w:t xml:space="preserve">a la </w:t>
      </w:r>
      <w:r w:rsidR="004A772E" w:rsidRPr="002D7D04">
        <w:t>detención de solicitantes de asilo</w:t>
      </w:r>
      <w:r w:rsidR="00863D17" w:rsidRPr="002D7D04">
        <w:t xml:space="preserve"> en este centro</w:t>
      </w:r>
      <w:r w:rsidR="004A772E" w:rsidRPr="002D7D04">
        <w:t xml:space="preserve">, incluyendo familias con niños de corta edad, </w:t>
      </w:r>
      <w:r w:rsidR="004F5C71" w:rsidRPr="002D7D04">
        <w:t xml:space="preserve">y a </w:t>
      </w:r>
      <w:r w:rsidR="00A33D84" w:rsidRPr="002D7D04">
        <w:t xml:space="preserve">la </w:t>
      </w:r>
      <w:r w:rsidR="004F5C71" w:rsidRPr="002D7D04">
        <w:t xml:space="preserve">falta de </w:t>
      </w:r>
      <w:r w:rsidR="004A772E" w:rsidRPr="002D7D04">
        <w:t xml:space="preserve">condiciones adecuadas </w:t>
      </w:r>
      <w:r w:rsidR="00752FBA" w:rsidRPr="002D7D04">
        <w:t>del centro</w:t>
      </w:r>
      <w:r w:rsidR="00BC2C9F" w:rsidRPr="002D7D04">
        <w:t xml:space="preserve"> para este fin</w:t>
      </w:r>
      <w:r w:rsidR="004F5C71" w:rsidRPr="002D7D04">
        <w:t>.</w:t>
      </w:r>
      <w:r w:rsidR="004A772E" w:rsidRPr="002D7D04">
        <w:t xml:space="preserve"> </w:t>
      </w:r>
      <w:r w:rsidR="00DC42A0">
        <w:t xml:space="preserve">Asimismo, </w:t>
      </w:r>
      <w:r w:rsidR="00BC2C9F" w:rsidRPr="002D7D04">
        <w:t>preocupan a</w:t>
      </w:r>
      <w:r w:rsidR="00E3728C" w:rsidRPr="002D7D04">
        <w:t xml:space="preserve">l Comité </w:t>
      </w:r>
      <w:r w:rsidR="004A772E" w:rsidRPr="002D7D04">
        <w:rPr>
          <w:bCs/>
        </w:rPr>
        <w:t>las informaciones sobre la falta de protección y asistencia adecuada</w:t>
      </w:r>
      <w:r w:rsidR="0006190D" w:rsidRPr="002D7D04">
        <w:rPr>
          <w:bCs/>
        </w:rPr>
        <w:t>s</w:t>
      </w:r>
      <w:r w:rsidR="004A772E" w:rsidRPr="002D7D04">
        <w:rPr>
          <w:bCs/>
        </w:rPr>
        <w:t xml:space="preserve"> para las personas deportadas al Estado parte, </w:t>
      </w:r>
      <w:r w:rsidR="003777A8" w:rsidRPr="002D7D04">
        <w:rPr>
          <w:bCs/>
        </w:rPr>
        <w:t>en particular</w:t>
      </w:r>
      <w:r w:rsidR="004A772E" w:rsidRPr="002D7D04">
        <w:rPr>
          <w:bCs/>
        </w:rPr>
        <w:t xml:space="preserve"> </w:t>
      </w:r>
      <w:r w:rsidR="004A772E" w:rsidRPr="002D7D04">
        <w:rPr>
          <w:bCs/>
          <w:iCs/>
        </w:rPr>
        <w:t>niños y niñas migrantes no acompañados</w:t>
      </w:r>
      <w:r w:rsidR="000650A5" w:rsidRPr="002D7D04">
        <w:rPr>
          <w:bCs/>
          <w:iCs/>
        </w:rPr>
        <w:t xml:space="preserve">, así como para los niños </w:t>
      </w:r>
      <w:r w:rsidR="009734E9" w:rsidRPr="002D7D04">
        <w:rPr>
          <w:bCs/>
          <w:iCs/>
        </w:rPr>
        <w:t xml:space="preserve">y niñas </w:t>
      </w:r>
      <w:r w:rsidR="000650A5" w:rsidRPr="002D7D04">
        <w:rPr>
          <w:bCs/>
          <w:iCs/>
        </w:rPr>
        <w:t>migrantes no acompañados que viajan</w:t>
      </w:r>
      <w:r w:rsidR="00FF73D4">
        <w:rPr>
          <w:bCs/>
          <w:iCs/>
        </w:rPr>
        <w:t xml:space="preserve"> a través de El Salvador</w:t>
      </w:r>
      <w:r w:rsidR="000650A5" w:rsidRPr="002D7D04">
        <w:rPr>
          <w:bCs/>
          <w:iCs/>
        </w:rPr>
        <w:t xml:space="preserve"> hacia los Estados Unidos de América </w:t>
      </w:r>
      <w:r w:rsidR="004A772E" w:rsidRPr="002D7D04">
        <w:t xml:space="preserve">(arts. </w:t>
      </w:r>
      <w:r w:rsidR="004A772E" w:rsidRPr="002D7D04">
        <w:rPr>
          <w:bCs/>
          <w:iCs/>
        </w:rPr>
        <w:t xml:space="preserve">7, 9, 10, 12, 13, </w:t>
      </w:r>
      <w:r w:rsidR="00B0240F" w:rsidRPr="002D7D04">
        <w:rPr>
          <w:bCs/>
          <w:iCs/>
        </w:rPr>
        <w:t xml:space="preserve">14, </w:t>
      </w:r>
      <w:r w:rsidR="004A772E" w:rsidRPr="002D7D04">
        <w:rPr>
          <w:bCs/>
          <w:iCs/>
        </w:rPr>
        <w:t>24 y 26).</w:t>
      </w:r>
      <w:r w:rsidR="00B0240F" w:rsidRPr="002D7D04">
        <w:rPr>
          <w:bCs/>
          <w:iCs/>
        </w:rPr>
        <w:t xml:space="preserve"> </w:t>
      </w:r>
    </w:p>
    <w:p w14:paraId="7F9E8B59" w14:textId="5BDDBB33" w:rsidR="00C308C5" w:rsidRPr="001D515A" w:rsidRDefault="00D052B3" w:rsidP="001D515A">
      <w:pPr>
        <w:pStyle w:val="SingleTxtG"/>
        <w:rPr>
          <w:b/>
          <w:iCs/>
        </w:rPr>
      </w:pPr>
      <w:r w:rsidRPr="002D7D04">
        <w:rPr>
          <w:bCs/>
          <w:iCs/>
        </w:rPr>
        <w:t>3</w:t>
      </w:r>
      <w:r w:rsidR="00F94EB2">
        <w:rPr>
          <w:bCs/>
          <w:iCs/>
        </w:rPr>
        <w:t>2</w:t>
      </w:r>
      <w:r w:rsidRPr="002D7D04">
        <w:rPr>
          <w:bCs/>
          <w:iCs/>
        </w:rPr>
        <w:t>.</w:t>
      </w:r>
      <w:r w:rsidR="007F4285" w:rsidRPr="002D7D04">
        <w:rPr>
          <w:bCs/>
          <w:iCs/>
        </w:rPr>
        <w:tab/>
      </w:r>
      <w:r w:rsidR="00857947" w:rsidRPr="001D515A">
        <w:rPr>
          <w:b/>
          <w:iCs/>
        </w:rPr>
        <w:t>El Estado parte debe</w:t>
      </w:r>
      <w:r w:rsidR="00C308C5" w:rsidRPr="001D515A">
        <w:rPr>
          <w:b/>
          <w:iCs/>
        </w:rPr>
        <w:t>:</w:t>
      </w:r>
    </w:p>
    <w:p w14:paraId="4B766DA9" w14:textId="1385725A" w:rsidR="00C308C5" w:rsidRPr="001D515A" w:rsidRDefault="004A6C92" w:rsidP="00073E37">
      <w:pPr>
        <w:pStyle w:val="SingleTxtG"/>
        <w:rPr>
          <w:b/>
          <w:iCs/>
        </w:rPr>
      </w:pPr>
      <w:r w:rsidRPr="001D515A">
        <w:rPr>
          <w:b/>
          <w:iCs/>
        </w:rPr>
        <w:tab/>
      </w:r>
      <w:r w:rsidR="00C308C5" w:rsidRPr="001D515A">
        <w:rPr>
          <w:b/>
          <w:iCs/>
        </w:rPr>
        <w:t>a)</w:t>
      </w:r>
      <w:r w:rsidR="00255D95" w:rsidRPr="001D515A">
        <w:rPr>
          <w:b/>
          <w:iCs/>
        </w:rPr>
        <w:tab/>
      </w:r>
      <w:r w:rsidR="00C308C5" w:rsidRPr="001D515A">
        <w:rPr>
          <w:b/>
          <w:iCs/>
        </w:rPr>
        <w:t>A</w:t>
      </w:r>
      <w:r w:rsidR="00857947" w:rsidRPr="001D515A">
        <w:rPr>
          <w:b/>
          <w:iCs/>
        </w:rPr>
        <w:t xml:space="preserve">segurar que la legislación nacional con respecto a inmigración, incluyendo la </w:t>
      </w:r>
      <w:r w:rsidR="00857947" w:rsidRPr="001D515A">
        <w:rPr>
          <w:b/>
          <w:iCs/>
          <w:lang w:val="es-SV"/>
        </w:rPr>
        <w:t xml:space="preserve">Ley </w:t>
      </w:r>
      <w:r w:rsidR="00DC42A0" w:rsidRPr="001D515A">
        <w:rPr>
          <w:b/>
          <w:iCs/>
          <w:lang w:val="es-SV"/>
        </w:rPr>
        <w:t>p</w:t>
      </w:r>
      <w:r w:rsidR="00857947" w:rsidRPr="001D515A">
        <w:rPr>
          <w:b/>
          <w:iCs/>
          <w:lang w:val="es-SV"/>
        </w:rPr>
        <w:t xml:space="preserve">ara </w:t>
      </w:r>
      <w:r w:rsidR="00DC42A0" w:rsidRPr="001D515A">
        <w:rPr>
          <w:b/>
          <w:iCs/>
          <w:lang w:val="es-SV"/>
        </w:rPr>
        <w:t>l</w:t>
      </w:r>
      <w:r w:rsidR="00857947" w:rsidRPr="001D515A">
        <w:rPr>
          <w:b/>
          <w:iCs/>
          <w:lang w:val="es-SV"/>
        </w:rPr>
        <w:t xml:space="preserve">a Determinación de la Condición </w:t>
      </w:r>
      <w:r w:rsidR="00DC42A0" w:rsidRPr="001D515A">
        <w:rPr>
          <w:b/>
          <w:iCs/>
          <w:lang w:val="es-SV"/>
        </w:rPr>
        <w:t>d</w:t>
      </w:r>
      <w:r w:rsidR="00857947" w:rsidRPr="001D515A">
        <w:rPr>
          <w:b/>
          <w:iCs/>
          <w:lang w:val="es-SV"/>
        </w:rPr>
        <w:t xml:space="preserve">e Personas Refugiadas y la </w:t>
      </w:r>
      <w:r w:rsidR="00857947" w:rsidRPr="001D515A">
        <w:rPr>
          <w:b/>
        </w:rPr>
        <w:t xml:space="preserve">Ley de Migración y Extranjería, estén en concordancia con el Pacto y otros estándares </w:t>
      </w:r>
      <w:r w:rsidR="00111EC5" w:rsidRPr="001D515A">
        <w:rPr>
          <w:b/>
        </w:rPr>
        <w:t>internacionales</w:t>
      </w:r>
      <w:r w:rsidR="00FE2D97" w:rsidRPr="001D515A">
        <w:rPr>
          <w:b/>
        </w:rPr>
        <w:t>;</w:t>
      </w:r>
      <w:r w:rsidR="00111EC5" w:rsidRPr="001D515A">
        <w:rPr>
          <w:b/>
          <w:iCs/>
        </w:rPr>
        <w:t xml:space="preserve"> </w:t>
      </w:r>
    </w:p>
    <w:p w14:paraId="00BB982D" w14:textId="6B8C72D3" w:rsidR="00C308C5" w:rsidRPr="001D515A" w:rsidRDefault="004A6C92" w:rsidP="00073E37">
      <w:pPr>
        <w:pStyle w:val="SingleTxtG"/>
        <w:rPr>
          <w:b/>
        </w:rPr>
      </w:pPr>
      <w:r w:rsidRPr="001D515A">
        <w:rPr>
          <w:b/>
          <w:iCs/>
        </w:rPr>
        <w:tab/>
      </w:r>
      <w:r w:rsidR="00C308C5" w:rsidRPr="001D515A">
        <w:rPr>
          <w:b/>
          <w:iCs/>
        </w:rPr>
        <w:t>b)</w:t>
      </w:r>
      <w:r w:rsidR="00255D95" w:rsidRPr="001D515A">
        <w:rPr>
          <w:b/>
          <w:iCs/>
        </w:rPr>
        <w:tab/>
      </w:r>
      <w:r w:rsidR="00C308C5" w:rsidRPr="001D515A">
        <w:rPr>
          <w:b/>
          <w:iCs/>
        </w:rPr>
        <w:t>E</w:t>
      </w:r>
      <w:r w:rsidR="00925169" w:rsidRPr="001D515A">
        <w:rPr>
          <w:b/>
          <w:iCs/>
        </w:rPr>
        <w:t>vitar la detención administrativa de solicitantes de asilo, en particular de niños y niñas, y proporcionar alternativas a la detención para los solicitantes de asilo adultos, asegurando que la detención se utilice solo como último recurso y por un per</w:t>
      </w:r>
      <w:r w:rsidR="00441A3E" w:rsidRPr="001D515A">
        <w:rPr>
          <w:b/>
          <w:iCs/>
        </w:rPr>
        <w:t>í</w:t>
      </w:r>
      <w:r w:rsidR="00925169" w:rsidRPr="001D515A">
        <w:rPr>
          <w:b/>
          <w:iCs/>
        </w:rPr>
        <w:t>odo de tiempo lo más corto posible</w:t>
      </w:r>
      <w:r w:rsidR="00FE2D97" w:rsidRPr="001D515A">
        <w:rPr>
          <w:b/>
          <w:iCs/>
        </w:rPr>
        <w:t>;</w:t>
      </w:r>
      <w:r w:rsidR="00925169" w:rsidRPr="001D515A">
        <w:rPr>
          <w:b/>
        </w:rPr>
        <w:t xml:space="preserve"> </w:t>
      </w:r>
    </w:p>
    <w:p w14:paraId="7FB2242B" w14:textId="673B7D5B" w:rsidR="00C308C5" w:rsidRPr="001D515A" w:rsidRDefault="004A6C92" w:rsidP="00073E37">
      <w:pPr>
        <w:pStyle w:val="SingleTxtG"/>
        <w:rPr>
          <w:b/>
        </w:rPr>
      </w:pPr>
      <w:r w:rsidRPr="001D515A">
        <w:rPr>
          <w:b/>
        </w:rPr>
        <w:tab/>
        <w:t>c)</w:t>
      </w:r>
      <w:r w:rsidRPr="001D515A">
        <w:rPr>
          <w:b/>
        </w:rPr>
        <w:tab/>
      </w:r>
      <w:r w:rsidR="00EB1DFE" w:rsidRPr="001D515A">
        <w:rPr>
          <w:b/>
        </w:rPr>
        <w:t>G</w:t>
      </w:r>
      <w:r w:rsidR="00AD2150" w:rsidRPr="001D515A">
        <w:rPr>
          <w:b/>
        </w:rPr>
        <w:t>arantizar</w:t>
      </w:r>
      <w:r w:rsidR="00255D95" w:rsidRPr="001D515A">
        <w:rPr>
          <w:b/>
        </w:rPr>
        <w:t xml:space="preserve"> </w:t>
      </w:r>
      <w:r w:rsidR="00AD2150" w:rsidRPr="001D515A">
        <w:rPr>
          <w:b/>
        </w:rPr>
        <w:t xml:space="preserve">protección y asistencia </w:t>
      </w:r>
      <w:r w:rsidR="00EB1DFE" w:rsidRPr="001D515A">
        <w:rPr>
          <w:b/>
        </w:rPr>
        <w:t xml:space="preserve">a los solicitantes de asilo </w:t>
      </w:r>
      <w:r w:rsidR="00925169" w:rsidRPr="001D515A">
        <w:rPr>
          <w:b/>
        </w:rPr>
        <w:t xml:space="preserve">en condiciones adecuadas, así como el </w:t>
      </w:r>
      <w:r w:rsidR="00AD2150" w:rsidRPr="001D515A">
        <w:rPr>
          <w:b/>
        </w:rPr>
        <w:t>acceso a los servicios básicos</w:t>
      </w:r>
      <w:r w:rsidR="00925169" w:rsidRPr="001D515A">
        <w:rPr>
          <w:b/>
        </w:rPr>
        <w:t xml:space="preserve"> y al sistema </w:t>
      </w:r>
      <w:r w:rsidR="00B315DF" w:rsidRPr="001D515A">
        <w:rPr>
          <w:b/>
        </w:rPr>
        <w:t>nacional de asilo</w:t>
      </w:r>
      <w:r w:rsidR="00FE2D97" w:rsidRPr="001D515A">
        <w:rPr>
          <w:b/>
        </w:rPr>
        <w:t>;</w:t>
      </w:r>
      <w:r w:rsidR="00AD2150" w:rsidRPr="001D515A">
        <w:rPr>
          <w:b/>
        </w:rPr>
        <w:t xml:space="preserve"> </w:t>
      </w:r>
    </w:p>
    <w:p w14:paraId="63F65419" w14:textId="617D6DA5" w:rsidR="00681E1C" w:rsidRPr="001D515A" w:rsidRDefault="004A6C92" w:rsidP="00073E37">
      <w:pPr>
        <w:pStyle w:val="SingleTxtG"/>
        <w:rPr>
          <w:b/>
        </w:rPr>
      </w:pPr>
      <w:r w:rsidRPr="001D515A">
        <w:rPr>
          <w:b/>
        </w:rPr>
        <w:tab/>
        <w:t>d)</w:t>
      </w:r>
      <w:r w:rsidRPr="001D515A">
        <w:rPr>
          <w:b/>
        </w:rPr>
        <w:tab/>
      </w:r>
      <w:r w:rsidR="00255D95" w:rsidRPr="001D515A">
        <w:rPr>
          <w:b/>
        </w:rPr>
        <w:t>A</w:t>
      </w:r>
      <w:r w:rsidR="004A772E" w:rsidRPr="001D515A">
        <w:rPr>
          <w:b/>
        </w:rPr>
        <w:t xml:space="preserve">segurar que las personas deportadas al Estado parte </w:t>
      </w:r>
      <w:r w:rsidR="00F81BEF" w:rsidRPr="001D515A">
        <w:rPr>
          <w:b/>
        </w:rPr>
        <w:t>y</w:t>
      </w:r>
      <w:r w:rsidR="00783B2E" w:rsidRPr="001D515A">
        <w:rPr>
          <w:b/>
        </w:rPr>
        <w:t xml:space="preserve"> </w:t>
      </w:r>
      <w:r w:rsidR="0075213A" w:rsidRPr="001D515A">
        <w:rPr>
          <w:b/>
        </w:rPr>
        <w:t xml:space="preserve">los </w:t>
      </w:r>
      <w:r w:rsidR="00783B2E" w:rsidRPr="001D515A">
        <w:rPr>
          <w:b/>
          <w:iCs/>
        </w:rPr>
        <w:t>niños migra</w:t>
      </w:r>
      <w:r w:rsidR="00073E37">
        <w:rPr>
          <w:b/>
          <w:iCs/>
        </w:rPr>
        <w:t>n</w:t>
      </w:r>
      <w:r w:rsidR="00783B2E" w:rsidRPr="001D515A">
        <w:rPr>
          <w:b/>
          <w:iCs/>
        </w:rPr>
        <w:t xml:space="preserve">tes no acompañados que viajan </w:t>
      </w:r>
      <w:r w:rsidR="00FF73D4" w:rsidRPr="001D515A">
        <w:rPr>
          <w:b/>
          <w:iCs/>
        </w:rPr>
        <w:t xml:space="preserve">a través de El Salvador </w:t>
      </w:r>
      <w:r w:rsidR="00783B2E" w:rsidRPr="001D515A">
        <w:rPr>
          <w:b/>
          <w:iCs/>
        </w:rPr>
        <w:t xml:space="preserve">hacia los Estados Unidos </w:t>
      </w:r>
      <w:r w:rsidR="004A772E" w:rsidRPr="001D515A">
        <w:rPr>
          <w:b/>
        </w:rPr>
        <w:t>reciban una asistencia y protección adecuadas</w:t>
      </w:r>
      <w:r w:rsidR="00FE2D97" w:rsidRPr="001D515A">
        <w:rPr>
          <w:b/>
        </w:rPr>
        <w:t>;</w:t>
      </w:r>
      <w:r w:rsidR="00783B2E" w:rsidRPr="001D515A">
        <w:rPr>
          <w:b/>
        </w:rPr>
        <w:t xml:space="preserve"> </w:t>
      </w:r>
    </w:p>
    <w:p w14:paraId="31FAF67A" w14:textId="3B2C5D97" w:rsidR="004A772E" w:rsidRPr="001D515A" w:rsidRDefault="004A6C92" w:rsidP="00073E37">
      <w:pPr>
        <w:pStyle w:val="SingleTxtG"/>
        <w:rPr>
          <w:b/>
        </w:rPr>
      </w:pPr>
      <w:r w:rsidRPr="001D515A">
        <w:rPr>
          <w:b/>
        </w:rPr>
        <w:tab/>
        <w:t>e)</w:t>
      </w:r>
      <w:r w:rsidRPr="001D515A">
        <w:rPr>
          <w:b/>
        </w:rPr>
        <w:tab/>
      </w:r>
      <w:r w:rsidR="00681E1C" w:rsidRPr="001D515A">
        <w:rPr>
          <w:b/>
        </w:rPr>
        <w:t>A</w:t>
      </w:r>
      <w:r w:rsidR="004A772E" w:rsidRPr="001D515A">
        <w:rPr>
          <w:b/>
        </w:rPr>
        <w:t>segurar la implementación de programas de formación en el Pacto, estándares internaciones de asilo y refugio y derechos humanos para el personal de las instituciones migratorias y de las fronteras</w:t>
      </w:r>
      <w:r w:rsidR="00F81BEF" w:rsidRPr="001D515A">
        <w:rPr>
          <w:b/>
        </w:rPr>
        <w:t>.</w:t>
      </w:r>
    </w:p>
    <w:p w14:paraId="16CB0119" w14:textId="04B8B816" w:rsidR="004A772E" w:rsidRPr="002A1F3F" w:rsidRDefault="00D052B3" w:rsidP="001D515A">
      <w:pPr>
        <w:pStyle w:val="SingleTxtG"/>
        <w:rPr>
          <w:bCs/>
        </w:rPr>
      </w:pPr>
      <w:r w:rsidRPr="002D7D04">
        <w:rPr>
          <w:bCs/>
        </w:rPr>
        <w:t>3</w:t>
      </w:r>
      <w:r w:rsidR="00F94EB2">
        <w:rPr>
          <w:bCs/>
        </w:rPr>
        <w:t>3</w:t>
      </w:r>
      <w:r w:rsidRPr="002D7D04">
        <w:rPr>
          <w:bCs/>
        </w:rPr>
        <w:t>.</w:t>
      </w:r>
      <w:r w:rsidR="007F4285" w:rsidRPr="002D7D04">
        <w:rPr>
          <w:bCs/>
        </w:rPr>
        <w:tab/>
      </w:r>
      <w:r w:rsidR="004A772E" w:rsidRPr="002D7D04">
        <w:rPr>
          <w:bCs/>
        </w:rPr>
        <w:t xml:space="preserve">El Comité está preocupado por informes sobre el alto número de desplazados internos debido a la situación de violencia en el Estado parte, en particular mujeres, niños y niñas, adolescentes y personas </w:t>
      </w:r>
      <w:r w:rsidR="00A413DB" w:rsidRPr="002D7D04">
        <w:t xml:space="preserve">lesbianas, gais, bisexuales, </w:t>
      </w:r>
      <w:proofErr w:type="spellStart"/>
      <w:r w:rsidR="00A413DB" w:rsidRPr="002D7D04">
        <w:t>transgénero</w:t>
      </w:r>
      <w:proofErr w:type="spellEnd"/>
      <w:r w:rsidR="00A413DB" w:rsidRPr="002D7D04">
        <w:t xml:space="preserve"> e intersexuales</w:t>
      </w:r>
      <w:r w:rsidR="001031B0" w:rsidRPr="002D7D04">
        <w:rPr>
          <w:bCs/>
        </w:rPr>
        <w:t>, así como por</w:t>
      </w:r>
      <w:r w:rsidR="004A772E" w:rsidRPr="002D7D04">
        <w:rPr>
          <w:bCs/>
        </w:rPr>
        <w:t xml:space="preserve"> la inexistencia de estadísticas oficiales y </w:t>
      </w:r>
      <w:r w:rsidR="008A7854" w:rsidRPr="002D7D04">
        <w:rPr>
          <w:bCs/>
        </w:rPr>
        <w:t xml:space="preserve">la falta de </w:t>
      </w:r>
      <w:r w:rsidR="004A772E" w:rsidRPr="002D7D04">
        <w:rPr>
          <w:bCs/>
        </w:rPr>
        <w:t xml:space="preserve">asistencia y protección </w:t>
      </w:r>
      <w:r w:rsidR="008A7854" w:rsidRPr="002D7D04">
        <w:rPr>
          <w:bCs/>
        </w:rPr>
        <w:t xml:space="preserve">para esta </w:t>
      </w:r>
      <w:r w:rsidR="004A772E" w:rsidRPr="002D7D04">
        <w:rPr>
          <w:bCs/>
        </w:rPr>
        <w:t>población (arts. 2, 12</w:t>
      </w:r>
      <w:r w:rsidR="002A1F3F">
        <w:rPr>
          <w:bCs/>
        </w:rPr>
        <w:t>, 24</w:t>
      </w:r>
      <w:r w:rsidR="004A772E" w:rsidRPr="002A1F3F">
        <w:rPr>
          <w:bCs/>
        </w:rPr>
        <w:t xml:space="preserve"> y 26).</w:t>
      </w:r>
    </w:p>
    <w:p w14:paraId="05FA7531" w14:textId="3D7AE9FA" w:rsidR="004A772E" w:rsidRPr="001D515A" w:rsidRDefault="00D052B3" w:rsidP="001D515A">
      <w:pPr>
        <w:pStyle w:val="SingleTxtG"/>
        <w:rPr>
          <w:b/>
        </w:rPr>
      </w:pPr>
      <w:r w:rsidRPr="002D7D04">
        <w:rPr>
          <w:bCs/>
        </w:rPr>
        <w:t>3</w:t>
      </w:r>
      <w:r w:rsidR="00F94EB2">
        <w:rPr>
          <w:bCs/>
        </w:rPr>
        <w:t>4</w:t>
      </w:r>
      <w:r w:rsidRPr="002D7D04">
        <w:rPr>
          <w:bCs/>
        </w:rPr>
        <w:t>.</w:t>
      </w:r>
      <w:r w:rsidR="007F4285" w:rsidRPr="002D7D04">
        <w:rPr>
          <w:bCs/>
        </w:rPr>
        <w:tab/>
      </w:r>
      <w:r w:rsidR="004A772E" w:rsidRPr="001D515A">
        <w:rPr>
          <w:b/>
        </w:rPr>
        <w:t>El Estado parte debe intensificar sus esfuerzos para prevenir los desplazamientos internos</w:t>
      </w:r>
      <w:r w:rsidR="00071EDC" w:rsidRPr="001D515A">
        <w:rPr>
          <w:b/>
        </w:rPr>
        <w:t xml:space="preserve">. </w:t>
      </w:r>
      <w:r w:rsidR="00B315DF" w:rsidRPr="001D515A">
        <w:rPr>
          <w:b/>
        </w:rPr>
        <w:t>Debe también</w:t>
      </w:r>
      <w:r w:rsidRPr="001D515A">
        <w:rPr>
          <w:b/>
        </w:rPr>
        <w:t xml:space="preserve"> crea</w:t>
      </w:r>
      <w:r w:rsidR="00B315DF" w:rsidRPr="001D515A">
        <w:rPr>
          <w:b/>
        </w:rPr>
        <w:t>r</w:t>
      </w:r>
      <w:r w:rsidRPr="001D515A">
        <w:rPr>
          <w:b/>
        </w:rPr>
        <w:t xml:space="preserve"> </w:t>
      </w:r>
      <w:r w:rsidR="007E3AFC" w:rsidRPr="001D515A">
        <w:rPr>
          <w:b/>
        </w:rPr>
        <w:t xml:space="preserve">un registro nacional </w:t>
      </w:r>
      <w:r w:rsidRPr="001D515A">
        <w:rPr>
          <w:b/>
        </w:rPr>
        <w:t xml:space="preserve">de </w:t>
      </w:r>
      <w:r w:rsidR="007E3AFC" w:rsidRPr="001D515A">
        <w:rPr>
          <w:b/>
        </w:rPr>
        <w:t xml:space="preserve">personas desplazadas internas y </w:t>
      </w:r>
      <w:r w:rsidRPr="001D515A">
        <w:rPr>
          <w:b/>
        </w:rPr>
        <w:t xml:space="preserve">del </w:t>
      </w:r>
      <w:r w:rsidR="007E3AFC" w:rsidRPr="001D515A">
        <w:rPr>
          <w:b/>
        </w:rPr>
        <w:t>establec</w:t>
      </w:r>
      <w:r w:rsidRPr="001D515A">
        <w:rPr>
          <w:b/>
        </w:rPr>
        <w:t>imiento de</w:t>
      </w:r>
      <w:r w:rsidR="007E3AFC" w:rsidRPr="001D515A">
        <w:rPr>
          <w:b/>
        </w:rPr>
        <w:t xml:space="preserve"> un</w:t>
      </w:r>
      <w:r w:rsidR="007E3AFC" w:rsidRPr="001D515A" w:rsidDel="007E3AFC">
        <w:rPr>
          <w:b/>
        </w:rPr>
        <w:t xml:space="preserve"> marco </w:t>
      </w:r>
      <w:r w:rsidR="00724623" w:rsidRPr="001D515A">
        <w:rPr>
          <w:b/>
        </w:rPr>
        <w:t>jurídico</w:t>
      </w:r>
      <w:r w:rsidR="007E3AFC" w:rsidRPr="001D515A" w:rsidDel="007E3AFC">
        <w:rPr>
          <w:b/>
        </w:rPr>
        <w:t>, programas y políticas destinados a</w:t>
      </w:r>
      <w:r w:rsidR="007E3AFC" w:rsidRPr="001D515A">
        <w:rPr>
          <w:b/>
        </w:rPr>
        <w:t xml:space="preserve"> garantizar</w:t>
      </w:r>
      <w:r w:rsidR="007E3AFC" w:rsidRPr="001D515A" w:rsidDel="007E3AFC">
        <w:rPr>
          <w:b/>
        </w:rPr>
        <w:t xml:space="preserve"> la asistencia y protección </w:t>
      </w:r>
      <w:r w:rsidR="007E3AFC" w:rsidRPr="001D515A">
        <w:rPr>
          <w:b/>
        </w:rPr>
        <w:t xml:space="preserve">de estas personas, en particular mujeres, niños y niñas, adolescentes y personas </w:t>
      </w:r>
      <w:r w:rsidR="00A413DB" w:rsidRPr="001D515A">
        <w:rPr>
          <w:b/>
        </w:rPr>
        <w:t xml:space="preserve">lesbianas, gais, bisexuales, </w:t>
      </w:r>
      <w:proofErr w:type="spellStart"/>
      <w:r w:rsidR="00A413DB" w:rsidRPr="001D515A">
        <w:rPr>
          <w:b/>
        </w:rPr>
        <w:t>transgénero</w:t>
      </w:r>
      <w:proofErr w:type="spellEnd"/>
      <w:r w:rsidR="00A413DB" w:rsidRPr="001D515A">
        <w:rPr>
          <w:b/>
        </w:rPr>
        <w:t xml:space="preserve"> e intersexuales</w:t>
      </w:r>
      <w:r w:rsidR="007E3AFC" w:rsidRPr="001D515A">
        <w:rPr>
          <w:b/>
        </w:rPr>
        <w:t>.</w:t>
      </w:r>
    </w:p>
    <w:p w14:paraId="138FBC20" w14:textId="237DE1A5" w:rsidR="004A772E" w:rsidRPr="002D7D04" w:rsidRDefault="004A772E" w:rsidP="00073E37">
      <w:pPr>
        <w:pStyle w:val="H23G"/>
      </w:pPr>
      <w:r w:rsidRPr="002D7D04">
        <w:tab/>
      </w:r>
      <w:r w:rsidRPr="002D7D04">
        <w:tab/>
        <w:t>Independencia del Poder Judicial</w:t>
      </w:r>
    </w:p>
    <w:p w14:paraId="7DA8C4B2" w14:textId="2F6EE853" w:rsidR="00D66EB8" w:rsidRPr="002D7D04" w:rsidRDefault="007A2230" w:rsidP="001D515A">
      <w:pPr>
        <w:pStyle w:val="SingleTxtG"/>
      </w:pPr>
      <w:r w:rsidRPr="002D7D04">
        <w:t>3</w:t>
      </w:r>
      <w:r w:rsidR="00F94EB2">
        <w:t>5</w:t>
      </w:r>
      <w:r w:rsidRPr="002D7D04">
        <w:t>.</w:t>
      </w:r>
      <w:r w:rsidR="007F4285" w:rsidRPr="002D7D04">
        <w:tab/>
      </w:r>
      <w:r w:rsidR="001031B0" w:rsidRPr="002D7D04">
        <w:rPr>
          <w:lang w:val="es-SV"/>
        </w:rPr>
        <w:t xml:space="preserve">Preocupa al Comité </w:t>
      </w:r>
      <w:r w:rsidR="004A772E" w:rsidRPr="002D7D04">
        <w:t xml:space="preserve">que el proceso de selección y nombramiento de jueces y magistrados promovido por el Consejo Nacional de la Judicatura pueda no garantizar suficientemente la independencia </w:t>
      </w:r>
      <w:r w:rsidR="004A772E" w:rsidRPr="002D7D04">
        <w:rPr>
          <w:lang w:val="es-ES_tradnl"/>
        </w:rPr>
        <w:t>y competencia de la judicatura</w:t>
      </w:r>
      <w:r w:rsidR="002B7247" w:rsidRPr="002D7D04">
        <w:rPr>
          <w:lang w:val="es-ES_tradnl"/>
        </w:rPr>
        <w:t>, así como la transparencia y el</w:t>
      </w:r>
      <w:r w:rsidR="002B7247" w:rsidRPr="002D7D04">
        <w:t xml:space="preserve"> escrutinio público.</w:t>
      </w:r>
      <w:r w:rsidR="001E2C7F" w:rsidRPr="002D7D04">
        <w:rPr>
          <w:lang w:val="es-ES_tradnl"/>
        </w:rPr>
        <w:t xml:space="preserve"> También </w:t>
      </w:r>
      <w:r w:rsidR="002E0965" w:rsidRPr="002D7D04">
        <w:rPr>
          <w:lang w:val="es-ES_tradnl"/>
        </w:rPr>
        <w:t xml:space="preserve">le </w:t>
      </w:r>
      <w:r w:rsidR="001E2C7F" w:rsidRPr="002D7D04">
        <w:rPr>
          <w:lang w:val="es-ES_tradnl"/>
        </w:rPr>
        <w:t xml:space="preserve">preocupa que </w:t>
      </w:r>
      <w:r w:rsidR="001E2C7F" w:rsidRPr="002D7D04">
        <w:t xml:space="preserve">el régimen de medidas disciplinarias </w:t>
      </w:r>
      <w:r w:rsidR="0067202A" w:rsidRPr="002D7D04">
        <w:t xml:space="preserve">para </w:t>
      </w:r>
      <w:r w:rsidR="001E2C7F" w:rsidRPr="002D7D04">
        <w:t xml:space="preserve">jueces y magistrados no se ajuste plenamente </w:t>
      </w:r>
      <w:r w:rsidR="0067202A" w:rsidRPr="002D7D04">
        <w:t>al</w:t>
      </w:r>
      <w:r w:rsidR="001E2C7F" w:rsidRPr="002D7D04">
        <w:t xml:space="preserve"> Pacto </w:t>
      </w:r>
      <w:r w:rsidR="00D66EB8" w:rsidRPr="002D7D04">
        <w:t xml:space="preserve">y a </w:t>
      </w:r>
      <w:r w:rsidR="001E2C7F" w:rsidRPr="002D7D04">
        <w:t>los Principios básicos relativos a la independencia de la judicatura</w:t>
      </w:r>
      <w:r w:rsidR="00D66EB8" w:rsidRPr="002D7D04">
        <w:t xml:space="preserve"> (</w:t>
      </w:r>
      <w:r w:rsidR="00D66EB8" w:rsidRPr="002D7D04">
        <w:rPr>
          <w:lang w:val="es-ES_tradnl"/>
        </w:rPr>
        <w:t xml:space="preserve">arts. </w:t>
      </w:r>
      <w:r w:rsidR="00D66EB8" w:rsidRPr="002D7D04">
        <w:t>14</w:t>
      </w:r>
      <w:r w:rsidR="00A413DB">
        <w:t xml:space="preserve"> y</w:t>
      </w:r>
      <w:r w:rsidR="00D66EB8" w:rsidRPr="002D7D04">
        <w:t xml:space="preserve"> 26). </w:t>
      </w:r>
    </w:p>
    <w:p w14:paraId="6B2A7E1C" w14:textId="4CD37D16" w:rsidR="004A772E" w:rsidRPr="001D515A" w:rsidRDefault="007A2230" w:rsidP="001D515A">
      <w:pPr>
        <w:pStyle w:val="SingleTxtG"/>
        <w:rPr>
          <w:b/>
          <w:bCs/>
          <w:lang w:val="es-ES_tradnl"/>
        </w:rPr>
      </w:pPr>
      <w:r w:rsidRPr="002D7D04">
        <w:rPr>
          <w:lang w:val="es-ES_tradnl"/>
        </w:rPr>
        <w:t>3</w:t>
      </w:r>
      <w:r w:rsidR="00F94EB2">
        <w:rPr>
          <w:lang w:val="es-ES_tradnl"/>
        </w:rPr>
        <w:t>6</w:t>
      </w:r>
      <w:r w:rsidRPr="002D7D04">
        <w:rPr>
          <w:lang w:val="es-ES_tradnl"/>
        </w:rPr>
        <w:t>.</w:t>
      </w:r>
      <w:r w:rsidR="007F4285" w:rsidRPr="002D7D04">
        <w:rPr>
          <w:lang w:val="es-ES_tradnl"/>
        </w:rPr>
        <w:tab/>
      </w:r>
      <w:r w:rsidR="004A772E" w:rsidRPr="001D515A">
        <w:rPr>
          <w:b/>
          <w:bCs/>
          <w:lang w:val="es-ES_tradnl"/>
        </w:rPr>
        <w:t xml:space="preserve">El Estado parte debe </w:t>
      </w:r>
      <w:r w:rsidR="004A772E" w:rsidRPr="001D515A">
        <w:rPr>
          <w:b/>
          <w:bCs/>
        </w:rPr>
        <w:t>garantizar que el</w:t>
      </w:r>
      <w:r w:rsidR="004A772E" w:rsidRPr="001D515A">
        <w:rPr>
          <w:b/>
          <w:bCs/>
          <w:lang w:val="es-ES_tradnl"/>
        </w:rPr>
        <w:t xml:space="preserve"> proceso de selección y nombramiento </w:t>
      </w:r>
      <w:r w:rsidR="00AE4B07" w:rsidRPr="001D515A">
        <w:rPr>
          <w:b/>
          <w:bCs/>
          <w:lang w:val="es-ES_tradnl"/>
        </w:rPr>
        <w:t xml:space="preserve">de jueces y magistrados </w:t>
      </w:r>
      <w:r w:rsidR="00D66EB8" w:rsidRPr="001D515A">
        <w:rPr>
          <w:b/>
          <w:bCs/>
          <w:lang w:val="es-ES_tradnl"/>
        </w:rPr>
        <w:t xml:space="preserve">esté establecido por la ley y </w:t>
      </w:r>
      <w:r w:rsidR="004A772E" w:rsidRPr="001D515A">
        <w:rPr>
          <w:b/>
          <w:bCs/>
          <w:lang w:val="es-ES_tradnl"/>
        </w:rPr>
        <w:t xml:space="preserve">asegure </w:t>
      </w:r>
      <w:r w:rsidR="00CD4F50" w:rsidRPr="001D515A">
        <w:rPr>
          <w:b/>
          <w:bCs/>
          <w:lang w:val="es-ES_tradnl"/>
        </w:rPr>
        <w:t xml:space="preserve">su </w:t>
      </w:r>
      <w:r w:rsidR="004A772E" w:rsidRPr="001D515A">
        <w:rPr>
          <w:b/>
          <w:bCs/>
          <w:lang w:val="es-ES_tradnl"/>
        </w:rPr>
        <w:t xml:space="preserve">independencia, capacidad e integridad, así como la </w:t>
      </w:r>
      <w:proofErr w:type="spellStart"/>
      <w:r w:rsidR="004A772E" w:rsidRPr="001D515A">
        <w:rPr>
          <w:b/>
          <w:bCs/>
          <w:lang w:val="es-ES_tradnl"/>
        </w:rPr>
        <w:t>tra</w:t>
      </w:r>
      <w:r w:rsidR="004A772E" w:rsidRPr="001D515A">
        <w:rPr>
          <w:b/>
          <w:bCs/>
        </w:rPr>
        <w:t>nsparencia</w:t>
      </w:r>
      <w:proofErr w:type="spellEnd"/>
      <w:r w:rsidR="004A772E" w:rsidRPr="001D515A">
        <w:rPr>
          <w:b/>
          <w:bCs/>
        </w:rPr>
        <w:t xml:space="preserve"> y el escrutinio público.</w:t>
      </w:r>
      <w:r w:rsidR="004A772E" w:rsidRPr="001D515A">
        <w:rPr>
          <w:rFonts w:eastAsiaTheme="minorHAnsi"/>
          <w:b/>
          <w:bCs/>
          <w:lang w:eastAsia="en-US"/>
        </w:rPr>
        <w:t xml:space="preserve"> Debe </w:t>
      </w:r>
      <w:r w:rsidR="004A772E" w:rsidRPr="001D515A">
        <w:rPr>
          <w:b/>
          <w:bCs/>
        </w:rPr>
        <w:t>también</w:t>
      </w:r>
      <w:r w:rsidR="00D66EB8" w:rsidRPr="001D515A">
        <w:rPr>
          <w:b/>
          <w:bCs/>
          <w:lang w:val="es-ES_tradnl"/>
        </w:rPr>
        <w:t xml:space="preserve"> asegurar que el</w:t>
      </w:r>
      <w:r w:rsidR="004A772E" w:rsidRPr="001D515A">
        <w:rPr>
          <w:b/>
          <w:bCs/>
          <w:lang w:val="es-ES_tradnl"/>
        </w:rPr>
        <w:t xml:space="preserve"> </w:t>
      </w:r>
      <w:r w:rsidR="00D66EB8" w:rsidRPr="001D515A">
        <w:rPr>
          <w:b/>
          <w:bCs/>
        </w:rPr>
        <w:t xml:space="preserve">régimen de medidas disciplinarias </w:t>
      </w:r>
      <w:r w:rsidR="00CD4F50" w:rsidRPr="001D515A">
        <w:rPr>
          <w:b/>
          <w:bCs/>
        </w:rPr>
        <w:t>para</w:t>
      </w:r>
      <w:r w:rsidR="00D66EB8" w:rsidRPr="001D515A">
        <w:rPr>
          <w:b/>
          <w:bCs/>
        </w:rPr>
        <w:t xml:space="preserve"> </w:t>
      </w:r>
      <w:r w:rsidR="00CD4F50" w:rsidRPr="001D515A">
        <w:rPr>
          <w:b/>
          <w:bCs/>
        </w:rPr>
        <w:t xml:space="preserve">jueces y magistrados </w:t>
      </w:r>
      <w:r w:rsidR="00D66EB8" w:rsidRPr="001D515A">
        <w:rPr>
          <w:b/>
          <w:bCs/>
        </w:rPr>
        <w:t>se ajuste plenamente al Pacto y a los Principios básicos relativos a la independencia de la judicatura.</w:t>
      </w:r>
      <w:r w:rsidR="00CD4F50" w:rsidRPr="001D515A">
        <w:rPr>
          <w:b/>
          <w:bCs/>
        </w:rPr>
        <w:t xml:space="preserve"> </w:t>
      </w:r>
    </w:p>
    <w:p w14:paraId="764FC248" w14:textId="3A9C929F" w:rsidR="004A772E" w:rsidRPr="002D7D04" w:rsidRDefault="004A772E" w:rsidP="001D515A">
      <w:pPr>
        <w:pStyle w:val="H23G"/>
      </w:pPr>
      <w:r w:rsidRPr="002D7D04">
        <w:tab/>
      </w:r>
      <w:r w:rsidR="004A6C92">
        <w:tab/>
      </w:r>
      <w:r w:rsidRPr="002D7D04">
        <w:t xml:space="preserve">Libertad de expresión, asociación y violencia contra </w:t>
      </w:r>
      <w:r w:rsidR="00FF7D9D" w:rsidRPr="002D7D04">
        <w:t xml:space="preserve">personas </w:t>
      </w:r>
      <w:r w:rsidRPr="002D7D04">
        <w:t>defensor</w:t>
      </w:r>
      <w:r w:rsidR="00FF7D9D" w:rsidRPr="002D7D04">
        <w:t>a</w:t>
      </w:r>
      <w:r w:rsidRPr="002D7D04">
        <w:t xml:space="preserve">s de </w:t>
      </w:r>
      <w:r w:rsidR="004A6C92">
        <w:br/>
      </w:r>
      <w:r w:rsidRPr="002D7D04">
        <w:t xml:space="preserve">derechos humanos y periodistas </w:t>
      </w:r>
    </w:p>
    <w:p w14:paraId="0B146C4A" w14:textId="68729306" w:rsidR="000E3694" w:rsidRPr="002D7D04" w:rsidRDefault="00D464D3" w:rsidP="001D515A">
      <w:pPr>
        <w:pStyle w:val="SingleTxtG"/>
        <w:rPr>
          <w:lang w:val="es-ES_tradnl"/>
        </w:rPr>
      </w:pPr>
      <w:r w:rsidRPr="002D7D04">
        <w:t>3</w:t>
      </w:r>
      <w:r w:rsidR="00F94EB2">
        <w:t>7</w:t>
      </w:r>
      <w:r w:rsidRPr="002D7D04">
        <w:t>.</w:t>
      </w:r>
      <w:r w:rsidR="007F4285" w:rsidRPr="002D7D04">
        <w:tab/>
      </w:r>
      <w:r w:rsidR="004A772E" w:rsidRPr="002D7D04">
        <w:t>El Comité está preocupado por los actos de violencia e intimidación contra l</w:t>
      </w:r>
      <w:r w:rsidR="00FF7D9D" w:rsidRPr="002D7D04">
        <w:t>as personas</w:t>
      </w:r>
      <w:r w:rsidR="004A772E" w:rsidRPr="002D7D04">
        <w:t xml:space="preserve"> defensor</w:t>
      </w:r>
      <w:r w:rsidR="00FF7D9D" w:rsidRPr="002D7D04">
        <w:t>a</w:t>
      </w:r>
      <w:r w:rsidR="004A772E" w:rsidRPr="002D7D04">
        <w:t xml:space="preserve">s de derechos humanos y periodistas, así como por la falta de medidas </w:t>
      </w:r>
      <w:r w:rsidR="000F571C" w:rsidRPr="002D7D04">
        <w:t xml:space="preserve">para su </w:t>
      </w:r>
      <w:r w:rsidR="004A772E" w:rsidRPr="002D7D04">
        <w:t xml:space="preserve">protección, en particular </w:t>
      </w:r>
      <w:r w:rsidR="000F571C" w:rsidRPr="002D7D04">
        <w:t>contra</w:t>
      </w:r>
      <w:r w:rsidR="004A772E" w:rsidRPr="002D7D04">
        <w:t xml:space="preserve"> aquell</w:t>
      </w:r>
      <w:r w:rsidR="000F571C" w:rsidRPr="002D7D04">
        <w:t>a</w:t>
      </w:r>
      <w:r w:rsidR="004A772E" w:rsidRPr="002D7D04">
        <w:t xml:space="preserve">s que trabajan por la defensa de los derechos de la mujer, </w:t>
      </w:r>
      <w:r w:rsidR="001031B0" w:rsidRPr="002D7D04">
        <w:t xml:space="preserve">de personas </w:t>
      </w:r>
      <w:r w:rsidR="00A413DB" w:rsidRPr="002D7D04">
        <w:t xml:space="preserve">lesbianas, gais, bisexuales, </w:t>
      </w:r>
      <w:proofErr w:type="spellStart"/>
      <w:r w:rsidR="00A413DB" w:rsidRPr="002D7D04">
        <w:t>transgénero</w:t>
      </w:r>
      <w:proofErr w:type="spellEnd"/>
      <w:r w:rsidR="00A413DB" w:rsidRPr="002D7D04">
        <w:t xml:space="preserve"> e intersexuales</w:t>
      </w:r>
      <w:r w:rsidR="001031B0" w:rsidRPr="002D7D04">
        <w:t xml:space="preserve">, de los pueblos indígenas, </w:t>
      </w:r>
      <w:r w:rsidR="004A772E" w:rsidRPr="002D7D04">
        <w:t xml:space="preserve">derechos reproductivos y sexuales, y aquellos que documentan ejecuciones extrajudiciales o investigan crímenes del pasado. También está preocupado por </w:t>
      </w:r>
      <w:r w:rsidR="008D1283" w:rsidRPr="002D7D04">
        <w:t xml:space="preserve">la aplicación </w:t>
      </w:r>
      <w:r w:rsidR="004A772E" w:rsidRPr="002D7D04">
        <w:t>de</w:t>
      </w:r>
      <w:r w:rsidR="001D69EB" w:rsidRPr="002D7D04">
        <w:t xml:space="preserve"> los</w:t>
      </w:r>
      <w:r w:rsidR="00741179" w:rsidRPr="002D7D04">
        <w:t xml:space="preserve"> </w:t>
      </w:r>
      <w:r w:rsidR="004A772E" w:rsidRPr="002D7D04">
        <w:t>artículo</w:t>
      </w:r>
      <w:r w:rsidR="001D69EB" w:rsidRPr="002D7D04">
        <w:t>s</w:t>
      </w:r>
      <w:r w:rsidR="00741179" w:rsidRPr="002D7D04">
        <w:rPr>
          <w:lang w:val="es-ES_tradnl"/>
        </w:rPr>
        <w:t xml:space="preserve"> </w:t>
      </w:r>
      <w:r w:rsidR="001D69EB" w:rsidRPr="002D7D04">
        <w:rPr>
          <w:lang w:val="es-ES_tradnl"/>
        </w:rPr>
        <w:t xml:space="preserve">345 y </w:t>
      </w:r>
      <w:r w:rsidR="004A772E" w:rsidRPr="002D7D04">
        <w:rPr>
          <w:lang w:val="es-ES_tradnl"/>
        </w:rPr>
        <w:t>348</w:t>
      </w:r>
      <w:r w:rsidR="001D69EB" w:rsidRPr="002D7D04">
        <w:rPr>
          <w:lang w:val="es-ES_tradnl"/>
        </w:rPr>
        <w:t xml:space="preserve"> </w:t>
      </w:r>
      <w:r w:rsidR="004A772E" w:rsidRPr="002D7D04">
        <w:rPr>
          <w:lang w:val="es-ES_tradnl"/>
        </w:rPr>
        <w:t xml:space="preserve">del Código Penal con respecto a las “agrupaciones, asociaciones y organizaciones ilícitas” y </w:t>
      </w:r>
      <w:r w:rsidR="00741179" w:rsidRPr="002D7D04">
        <w:rPr>
          <w:lang w:val="es-ES_tradnl"/>
        </w:rPr>
        <w:t>a</w:t>
      </w:r>
      <w:r w:rsidR="004A772E" w:rsidRPr="002D7D04">
        <w:rPr>
          <w:lang w:val="es-ES_tradnl"/>
        </w:rPr>
        <w:t>l delito de “des</w:t>
      </w:r>
      <w:r w:rsidR="005F4EB1">
        <w:rPr>
          <w:lang w:val="es-ES_tradnl"/>
        </w:rPr>
        <w:t>ó</w:t>
      </w:r>
      <w:r w:rsidR="004A772E" w:rsidRPr="002D7D04">
        <w:rPr>
          <w:lang w:val="es-ES_tradnl"/>
        </w:rPr>
        <w:t>rdenes públicos”</w:t>
      </w:r>
      <w:r w:rsidR="001D69EB" w:rsidRPr="002D7D04">
        <w:rPr>
          <w:lang w:val="es-ES_tradnl"/>
        </w:rPr>
        <w:t xml:space="preserve"> respectivamente, </w:t>
      </w:r>
      <w:r w:rsidR="000B3C5D" w:rsidRPr="002D7D04">
        <w:rPr>
          <w:lang w:val="es-ES_tradnl"/>
        </w:rPr>
        <w:t xml:space="preserve">y </w:t>
      </w:r>
      <w:r w:rsidR="00D42511" w:rsidRPr="002D7D04">
        <w:rPr>
          <w:lang w:val="es-ES_tradnl"/>
        </w:rPr>
        <w:t>del artículo 33</w:t>
      </w:r>
      <w:r w:rsidR="0075218A">
        <w:rPr>
          <w:lang w:val="es-ES_tradnl"/>
        </w:rPr>
        <w:t>1</w:t>
      </w:r>
      <w:r w:rsidR="00D42511" w:rsidRPr="002D7D04">
        <w:rPr>
          <w:lang w:val="es-ES_tradnl"/>
        </w:rPr>
        <w:t xml:space="preserve"> del Código Procesal Penal, el cual prohíbe la aplicación de </w:t>
      </w:r>
      <w:r w:rsidR="00D42511" w:rsidRPr="002D7D04">
        <w:rPr>
          <w:bCs/>
        </w:rPr>
        <w:t xml:space="preserve">medidas alternativas a la detención provisional para </w:t>
      </w:r>
      <w:r w:rsidR="00D42511" w:rsidRPr="002D7D04">
        <w:rPr>
          <w:bCs/>
          <w:lang w:val="es-ES_tradnl"/>
        </w:rPr>
        <w:t>el delito de “des</w:t>
      </w:r>
      <w:r w:rsidR="005F4EB1">
        <w:rPr>
          <w:bCs/>
          <w:lang w:val="es-ES_tradnl"/>
        </w:rPr>
        <w:t>ó</w:t>
      </w:r>
      <w:r w:rsidR="00D42511" w:rsidRPr="002D7D04">
        <w:rPr>
          <w:bCs/>
          <w:lang w:val="es-ES_tradnl"/>
        </w:rPr>
        <w:t>rdenes públicos”</w:t>
      </w:r>
      <w:r w:rsidR="00D42511" w:rsidRPr="002D7D04">
        <w:rPr>
          <w:lang w:val="es-ES_tradnl"/>
        </w:rPr>
        <w:t xml:space="preserve">, </w:t>
      </w:r>
      <w:r w:rsidR="004A772E" w:rsidRPr="002D7D04">
        <w:rPr>
          <w:lang w:val="es-ES_tradnl"/>
        </w:rPr>
        <w:t xml:space="preserve">ya que pueden </w:t>
      </w:r>
      <w:r w:rsidR="008D1283" w:rsidRPr="002D7D04">
        <w:rPr>
          <w:lang w:val="es-ES_tradnl"/>
        </w:rPr>
        <w:t xml:space="preserve">dar lugar </w:t>
      </w:r>
      <w:r w:rsidR="004A772E" w:rsidRPr="002D7D04">
        <w:rPr>
          <w:lang w:val="es-ES_tradnl"/>
        </w:rPr>
        <w:t xml:space="preserve">a restricciones </w:t>
      </w:r>
      <w:r w:rsidR="00D42511" w:rsidRPr="002D7D04">
        <w:rPr>
          <w:lang w:val="es-ES_tradnl"/>
        </w:rPr>
        <w:t>del</w:t>
      </w:r>
      <w:r w:rsidR="004A772E" w:rsidRPr="002D7D04">
        <w:t xml:space="preserve"> derecho a reunión y libre asociación</w:t>
      </w:r>
      <w:r w:rsidR="004A772E" w:rsidRPr="002D7D04">
        <w:rPr>
          <w:lang w:val="es-ES_tradnl"/>
        </w:rPr>
        <w:t xml:space="preserve"> (arts.</w:t>
      </w:r>
      <w:r w:rsidR="004A772E" w:rsidRPr="002D7D04">
        <w:t xml:space="preserve"> 6, 7, 9, 19,</w:t>
      </w:r>
      <w:r w:rsidR="004A772E" w:rsidRPr="002D7D04">
        <w:rPr>
          <w:lang w:val="es-ES_tradnl"/>
        </w:rPr>
        <w:t xml:space="preserve"> 21 y 22).</w:t>
      </w:r>
      <w:r w:rsidR="004A772E" w:rsidRPr="002D7D04">
        <w:rPr>
          <w:rFonts w:eastAsiaTheme="minorHAnsi"/>
          <w:lang w:val="es-ES_tradnl" w:eastAsia="en-US"/>
        </w:rPr>
        <w:t xml:space="preserve"> </w:t>
      </w:r>
    </w:p>
    <w:p w14:paraId="7ED0D7F6" w14:textId="0E7F4BD0" w:rsidR="004A772E" w:rsidRPr="001D515A" w:rsidRDefault="00D464D3" w:rsidP="001D515A">
      <w:pPr>
        <w:pStyle w:val="SingleTxtG"/>
        <w:rPr>
          <w:b/>
          <w:bCs/>
        </w:rPr>
      </w:pPr>
      <w:r w:rsidRPr="002D7D04">
        <w:t>3</w:t>
      </w:r>
      <w:r w:rsidR="00F94EB2">
        <w:t>8</w:t>
      </w:r>
      <w:r w:rsidRPr="002D7D04">
        <w:t>.</w:t>
      </w:r>
      <w:r w:rsidR="007F4285" w:rsidRPr="002D7D04">
        <w:tab/>
      </w:r>
      <w:r w:rsidR="004A772E" w:rsidRPr="001D515A">
        <w:rPr>
          <w:b/>
          <w:bCs/>
        </w:rPr>
        <w:t xml:space="preserve">El Estado parte debe garantizar </w:t>
      </w:r>
      <w:r w:rsidR="008F7256" w:rsidRPr="001D515A">
        <w:rPr>
          <w:b/>
          <w:bCs/>
        </w:rPr>
        <w:t xml:space="preserve">asistencia y </w:t>
      </w:r>
      <w:r w:rsidR="004A772E" w:rsidRPr="001D515A">
        <w:rPr>
          <w:b/>
          <w:bCs/>
        </w:rPr>
        <w:t>protección efectiva</w:t>
      </w:r>
      <w:r w:rsidR="008F7256" w:rsidRPr="001D515A">
        <w:rPr>
          <w:b/>
          <w:bCs/>
        </w:rPr>
        <w:t>s</w:t>
      </w:r>
      <w:r w:rsidR="004A772E" w:rsidRPr="001D515A">
        <w:rPr>
          <w:b/>
          <w:bCs/>
        </w:rPr>
        <w:t xml:space="preserve"> a </w:t>
      </w:r>
      <w:r w:rsidR="008F7256" w:rsidRPr="001D515A">
        <w:rPr>
          <w:b/>
          <w:bCs/>
        </w:rPr>
        <w:t xml:space="preserve">personas </w:t>
      </w:r>
      <w:r w:rsidR="004A772E" w:rsidRPr="001D515A">
        <w:rPr>
          <w:b/>
          <w:bCs/>
        </w:rPr>
        <w:t>defensor</w:t>
      </w:r>
      <w:r w:rsidR="008F7256" w:rsidRPr="001D515A">
        <w:rPr>
          <w:b/>
          <w:bCs/>
        </w:rPr>
        <w:t>a</w:t>
      </w:r>
      <w:r w:rsidR="004A772E" w:rsidRPr="001D515A">
        <w:rPr>
          <w:b/>
          <w:bCs/>
        </w:rPr>
        <w:t>s de derechos humanos y periodistas que sean víctima</w:t>
      </w:r>
      <w:r w:rsidR="005F4EB1" w:rsidRPr="001D515A">
        <w:rPr>
          <w:b/>
          <w:bCs/>
        </w:rPr>
        <w:t>s</w:t>
      </w:r>
      <w:r w:rsidR="004A772E" w:rsidRPr="001D515A">
        <w:rPr>
          <w:b/>
          <w:bCs/>
        </w:rPr>
        <w:t xml:space="preserve"> de actos de amenazas, violencia e intimidación, y garantizar que puedan llevar a cabo su trabajo en condiciones adecuadas, incluyendo a través</w:t>
      </w:r>
      <w:r w:rsidR="00445CC5" w:rsidRPr="001D515A">
        <w:rPr>
          <w:b/>
          <w:bCs/>
        </w:rPr>
        <w:t xml:space="preserve"> </w:t>
      </w:r>
      <w:r w:rsidR="00D34C3D" w:rsidRPr="001D515A">
        <w:rPr>
          <w:b/>
          <w:bCs/>
        </w:rPr>
        <w:t xml:space="preserve">del reconocimiento del derecho a defender los derechos humanos por parte de personas, organizaciones y colectivos, </w:t>
      </w:r>
      <w:r w:rsidR="00445CC5" w:rsidRPr="001D515A">
        <w:rPr>
          <w:b/>
          <w:bCs/>
        </w:rPr>
        <w:t>de la adopción de medidas legislativas especiales para su protección</w:t>
      </w:r>
      <w:r w:rsidR="00A52D1C" w:rsidRPr="001D515A">
        <w:rPr>
          <w:b/>
          <w:bCs/>
        </w:rPr>
        <w:t>,</w:t>
      </w:r>
      <w:r w:rsidR="00445CC5" w:rsidRPr="001D515A">
        <w:rPr>
          <w:b/>
          <w:bCs/>
        </w:rPr>
        <w:t xml:space="preserve"> y de </w:t>
      </w:r>
      <w:r w:rsidR="004A772E" w:rsidRPr="001D515A">
        <w:rPr>
          <w:b/>
          <w:bCs/>
        </w:rPr>
        <w:t xml:space="preserve">la implementación efectiva de medidas cautelares. También debe asegurar que estos actos se investiguen de manera pronta, exhaustiva, independiente e imparcial, que los autores sean procesados y castigados con penas apropiadas, y que las víctimas obtengan una reparación integral. Asimismo, debe tomar medidas para proteger </w:t>
      </w:r>
      <w:r w:rsidR="008F086A" w:rsidRPr="001D515A">
        <w:rPr>
          <w:b/>
          <w:bCs/>
        </w:rPr>
        <w:t xml:space="preserve">y garantizar </w:t>
      </w:r>
      <w:r w:rsidR="004A772E" w:rsidRPr="001D515A">
        <w:rPr>
          <w:b/>
          <w:bCs/>
        </w:rPr>
        <w:t>de manera efectiva el derecho de reunión pacífica y libre asociación</w:t>
      </w:r>
      <w:r w:rsidR="00F9423C" w:rsidRPr="001D515A">
        <w:rPr>
          <w:b/>
          <w:bCs/>
        </w:rPr>
        <w:t>, incluyendo a través de la revisión de su legislación penal</w:t>
      </w:r>
      <w:r w:rsidR="00821DAE" w:rsidRPr="001D515A">
        <w:rPr>
          <w:b/>
          <w:bCs/>
        </w:rPr>
        <w:t>.</w:t>
      </w:r>
      <w:r w:rsidR="00445CC5" w:rsidRPr="001D515A">
        <w:rPr>
          <w:b/>
          <w:bCs/>
        </w:rPr>
        <w:t xml:space="preserve"> </w:t>
      </w:r>
    </w:p>
    <w:p w14:paraId="2CF9E47D" w14:textId="3558356B" w:rsidR="004A772E" w:rsidRPr="002D7D04" w:rsidRDefault="004A772E" w:rsidP="001D515A">
      <w:pPr>
        <w:pStyle w:val="H23G"/>
      </w:pPr>
      <w:r w:rsidRPr="002D7D04">
        <w:tab/>
      </w:r>
      <w:r w:rsidRPr="002D7D04">
        <w:tab/>
        <w:t xml:space="preserve">Derechos del niño y certificados de nacimiento  </w:t>
      </w:r>
    </w:p>
    <w:p w14:paraId="11A6F2D8" w14:textId="448C1CFD" w:rsidR="00B64379" w:rsidRPr="002A1F3F" w:rsidRDefault="00D464D3" w:rsidP="001D515A">
      <w:pPr>
        <w:pStyle w:val="SingleTxtG"/>
      </w:pPr>
      <w:r w:rsidRPr="002D7D04">
        <w:t>3</w:t>
      </w:r>
      <w:r w:rsidR="00F94EB2">
        <w:t>9</w:t>
      </w:r>
      <w:r w:rsidRPr="002D7D04">
        <w:t>.</w:t>
      </w:r>
      <w:r w:rsidR="007F4285" w:rsidRPr="002D7D04">
        <w:tab/>
      </w:r>
      <w:r w:rsidR="004A772E" w:rsidRPr="002D7D04">
        <w:t xml:space="preserve">El Comité </w:t>
      </w:r>
      <w:r w:rsidR="00997C73" w:rsidRPr="002D7D04">
        <w:t>toma nota de</w:t>
      </w:r>
      <w:r w:rsidR="00432BA1" w:rsidRPr="002D7D04">
        <w:t xml:space="preserve"> la prohibición del castigo corporal en la </w:t>
      </w:r>
      <w:r w:rsidR="004A772E" w:rsidRPr="002D7D04">
        <w:t>Ley de Protección Integral de la Niñez y Adolescencia,</w:t>
      </w:r>
      <w:r w:rsidR="00432BA1" w:rsidRPr="002D7D04">
        <w:t xml:space="preserve"> pero </w:t>
      </w:r>
      <w:r w:rsidR="004A772E" w:rsidRPr="002D7D04">
        <w:t xml:space="preserve">observa </w:t>
      </w:r>
      <w:r w:rsidR="00432BA1" w:rsidRPr="002D7D04">
        <w:t xml:space="preserve">con preocupación </w:t>
      </w:r>
      <w:r w:rsidR="004A772E" w:rsidRPr="002D7D04">
        <w:t xml:space="preserve">que su artículo 38 permite </w:t>
      </w:r>
      <w:r w:rsidR="001823AE" w:rsidRPr="002D7D04">
        <w:t>la</w:t>
      </w:r>
      <w:r w:rsidR="00432BA1" w:rsidRPr="002D7D04">
        <w:t xml:space="preserve"> </w:t>
      </w:r>
      <w:r w:rsidR="004A772E" w:rsidRPr="002D7D04">
        <w:t xml:space="preserve">“corrección moderada”. El Comité acoge con satisfacción la </w:t>
      </w:r>
      <w:r w:rsidR="00997C73" w:rsidRPr="002D7D04">
        <w:t xml:space="preserve">prohibición del </w:t>
      </w:r>
      <w:r w:rsidR="004A772E" w:rsidRPr="002D7D04">
        <w:t>matrimonio de los menores de 18 años</w:t>
      </w:r>
      <w:r w:rsidR="009E000E" w:rsidRPr="002D7D04">
        <w:t xml:space="preserve"> en todos los casos</w:t>
      </w:r>
      <w:r w:rsidR="004A772E" w:rsidRPr="002D7D04">
        <w:t xml:space="preserve">. </w:t>
      </w:r>
      <w:r w:rsidR="00432BA1" w:rsidRPr="002D7D04">
        <w:t>Sin embargo, continúa preocupado por la falta de estándares legales que regulen la edad mínima de consentimiento de las relaciones sexuales</w:t>
      </w:r>
      <w:r w:rsidR="00C5603D" w:rsidRPr="002D7D04">
        <w:t>.</w:t>
      </w:r>
      <w:r w:rsidR="00177EA7" w:rsidRPr="002D7D04">
        <w:t xml:space="preserve"> </w:t>
      </w:r>
      <w:r w:rsidR="00AF316B" w:rsidRPr="002D7D04">
        <w:t xml:space="preserve">También le preocupan </w:t>
      </w:r>
      <w:r w:rsidR="004A772E" w:rsidRPr="002D7D04">
        <w:t xml:space="preserve">los obstáculos para </w:t>
      </w:r>
      <w:r w:rsidR="00AF316B" w:rsidRPr="002D7D04">
        <w:t>la inscripción de</w:t>
      </w:r>
      <w:r w:rsidR="004A772E" w:rsidRPr="002D7D04">
        <w:t xml:space="preserve"> nacimientos, en particular para las familias que viven en la pobreza, incluyendo las tasas de inscripción</w:t>
      </w:r>
      <w:r w:rsidR="00E71F35" w:rsidRPr="002D7D04">
        <w:t xml:space="preserve">, </w:t>
      </w:r>
      <w:r w:rsidR="00EE66FC" w:rsidRPr="002D7D04">
        <w:t>la aplicación de multas</w:t>
      </w:r>
      <w:r w:rsidR="00E71F35" w:rsidRPr="002D7D04">
        <w:t xml:space="preserve">, y </w:t>
      </w:r>
      <w:r w:rsidR="004A772E" w:rsidRPr="002D7D04">
        <w:t>el requerimiento de obtener</w:t>
      </w:r>
      <w:r w:rsidR="004A772E" w:rsidRPr="002D7D04">
        <w:rPr>
          <w:lang w:val="es-ES_tradnl"/>
        </w:rPr>
        <w:t xml:space="preserve"> la constancia de verificación del parto para madres que han dado a luz fuera de un centro hospitalario </w:t>
      </w:r>
      <w:r w:rsidR="00B64379" w:rsidRPr="002D7D04">
        <w:t>(arts. 16, 23</w:t>
      </w:r>
      <w:r w:rsidR="002A1F3F">
        <w:t xml:space="preserve"> y</w:t>
      </w:r>
      <w:r w:rsidR="00B64379" w:rsidRPr="002A1F3F">
        <w:t xml:space="preserve"> 24).</w:t>
      </w:r>
    </w:p>
    <w:p w14:paraId="4B49FD44" w14:textId="4E40F91D" w:rsidR="00587BB3" w:rsidRPr="001D515A" w:rsidRDefault="00F94EB2" w:rsidP="001D515A">
      <w:pPr>
        <w:pStyle w:val="SingleTxtG"/>
        <w:rPr>
          <w:b/>
          <w:bCs/>
        </w:rPr>
      </w:pPr>
      <w:r>
        <w:t>40</w:t>
      </w:r>
      <w:r w:rsidR="00D464D3" w:rsidRPr="002D7D04">
        <w:t>.</w:t>
      </w:r>
      <w:r w:rsidR="007F4285" w:rsidRPr="002D7D04">
        <w:tab/>
      </w:r>
      <w:r w:rsidR="00B343AD" w:rsidRPr="001D515A">
        <w:rPr>
          <w:b/>
          <w:bCs/>
        </w:rPr>
        <w:t xml:space="preserve">El Estado parte debe adoptar medidas prácticas, incluyendo medidas legislativas, cuando proceda, para poner fin al castigo corporal en todos los contextos. </w:t>
      </w:r>
      <w:r w:rsidR="006C5230" w:rsidRPr="001D515A">
        <w:rPr>
          <w:b/>
          <w:bCs/>
        </w:rPr>
        <w:t xml:space="preserve">Debe también establecer estándares legales conformes con el Pacto que regulen la edad mínima de consentimiento de las relaciones </w:t>
      </w:r>
      <w:r w:rsidR="00FE4DC9" w:rsidRPr="001D515A">
        <w:rPr>
          <w:b/>
          <w:bCs/>
        </w:rPr>
        <w:t>sexuales.</w:t>
      </w:r>
      <w:r w:rsidR="006C5230" w:rsidRPr="001D515A">
        <w:rPr>
          <w:b/>
          <w:bCs/>
        </w:rPr>
        <w:t xml:space="preserve"> </w:t>
      </w:r>
      <w:r w:rsidR="00B343AD" w:rsidRPr="001D515A">
        <w:rPr>
          <w:b/>
          <w:bCs/>
        </w:rPr>
        <w:t xml:space="preserve">Asimismo, debe </w:t>
      </w:r>
      <w:r w:rsidR="00177EA7" w:rsidRPr="001D515A">
        <w:rPr>
          <w:b/>
          <w:bCs/>
        </w:rPr>
        <w:t xml:space="preserve">redoblar sus esfuerzos para </w:t>
      </w:r>
      <w:r w:rsidR="00681174" w:rsidRPr="001D515A">
        <w:rPr>
          <w:b/>
          <w:bCs/>
        </w:rPr>
        <w:t xml:space="preserve">garantizar que todos los niños y niñas nacidos en el territorio del Estado parte </w:t>
      </w:r>
      <w:r w:rsidR="00040C06" w:rsidRPr="001D515A">
        <w:rPr>
          <w:b/>
          <w:bCs/>
        </w:rPr>
        <w:t xml:space="preserve">sean </w:t>
      </w:r>
      <w:r w:rsidR="00681174" w:rsidRPr="001D515A">
        <w:rPr>
          <w:b/>
          <w:bCs/>
        </w:rPr>
        <w:t xml:space="preserve">registrados </w:t>
      </w:r>
      <w:r w:rsidR="00EE66FC" w:rsidRPr="001D515A">
        <w:rPr>
          <w:b/>
          <w:bCs/>
        </w:rPr>
        <w:t>de forma sistemática</w:t>
      </w:r>
      <w:r w:rsidR="00681174" w:rsidRPr="001D515A">
        <w:rPr>
          <w:b/>
          <w:bCs/>
        </w:rPr>
        <w:t xml:space="preserve">, </w:t>
      </w:r>
      <w:r w:rsidR="00AF316B" w:rsidRPr="001D515A">
        <w:rPr>
          <w:b/>
          <w:bCs/>
        </w:rPr>
        <w:t xml:space="preserve">incluyendo a través de la </w:t>
      </w:r>
      <w:r w:rsidR="00AF316B" w:rsidRPr="001D515A">
        <w:rPr>
          <w:b/>
          <w:bCs/>
          <w:lang w:val="es-ES_tradnl"/>
        </w:rPr>
        <w:t xml:space="preserve">eliminación de </w:t>
      </w:r>
      <w:r w:rsidR="00F011A7" w:rsidRPr="001D515A">
        <w:rPr>
          <w:b/>
          <w:bCs/>
          <w:lang w:val="es-ES_tradnl"/>
        </w:rPr>
        <w:t>los obstáculos para su obtención</w:t>
      </w:r>
      <w:r w:rsidR="00AF316B" w:rsidRPr="001D515A">
        <w:rPr>
          <w:b/>
          <w:bCs/>
          <w:lang w:val="es-ES_tradnl"/>
        </w:rPr>
        <w:t xml:space="preserve"> y</w:t>
      </w:r>
      <w:r w:rsidR="00EE66FC" w:rsidRPr="001D515A">
        <w:rPr>
          <w:b/>
          <w:bCs/>
          <w:lang w:val="es-ES_tradnl"/>
        </w:rPr>
        <w:t xml:space="preserve"> la simplificación del proceso </w:t>
      </w:r>
      <w:r w:rsidR="00AF316B" w:rsidRPr="001D515A">
        <w:rPr>
          <w:b/>
          <w:bCs/>
          <w:lang w:val="es-ES_tradnl"/>
        </w:rPr>
        <w:t>de inscripción.</w:t>
      </w:r>
    </w:p>
    <w:p w14:paraId="059F80E4" w14:textId="46884555" w:rsidR="0033617A" w:rsidRPr="002D7D04" w:rsidRDefault="00DC36CD" w:rsidP="001D515A">
      <w:pPr>
        <w:pStyle w:val="H23G"/>
        <w:rPr>
          <w:i/>
        </w:rPr>
      </w:pPr>
      <w:r>
        <w:tab/>
      </w:r>
      <w:r>
        <w:tab/>
      </w:r>
      <w:r w:rsidR="0033617A" w:rsidRPr="002D7D04">
        <w:t xml:space="preserve">Pueblos indígenas </w:t>
      </w:r>
    </w:p>
    <w:p w14:paraId="3EC0CAFC" w14:textId="2DA1BA42" w:rsidR="00D464D3" w:rsidRPr="002D7D04" w:rsidRDefault="00D464D3" w:rsidP="001D515A">
      <w:pPr>
        <w:pStyle w:val="SingleTxtG"/>
        <w:rPr>
          <w:bCs/>
        </w:rPr>
      </w:pPr>
      <w:r w:rsidRPr="002D7D04">
        <w:rPr>
          <w:bCs/>
        </w:rPr>
        <w:t>4</w:t>
      </w:r>
      <w:r w:rsidR="00F94EB2">
        <w:rPr>
          <w:bCs/>
        </w:rPr>
        <w:t>1</w:t>
      </w:r>
      <w:r w:rsidRPr="002D7D04">
        <w:rPr>
          <w:bCs/>
        </w:rPr>
        <w:t>.</w:t>
      </w:r>
      <w:r w:rsidR="007F4285" w:rsidRPr="002D7D04">
        <w:rPr>
          <w:bCs/>
        </w:rPr>
        <w:tab/>
      </w:r>
      <w:r w:rsidR="0033617A" w:rsidRPr="002D7D04">
        <w:rPr>
          <w:bCs/>
        </w:rPr>
        <w:t xml:space="preserve">El </w:t>
      </w:r>
      <w:r w:rsidR="00423374" w:rsidRPr="002D7D04">
        <w:rPr>
          <w:bCs/>
        </w:rPr>
        <w:t>Comité</w:t>
      </w:r>
      <w:r w:rsidR="0033617A" w:rsidRPr="002D7D04">
        <w:rPr>
          <w:bCs/>
        </w:rPr>
        <w:t xml:space="preserve"> </w:t>
      </w:r>
      <w:r w:rsidR="005F4EB1">
        <w:rPr>
          <w:bCs/>
        </w:rPr>
        <w:t xml:space="preserve">está </w:t>
      </w:r>
      <w:r w:rsidR="00423374" w:rsidRPr="002D7D04">
        <w:rPr>
          <w:bCs/>
        </w:rPr>
        <w:t>preocupa</w:t>
      </w:r>
      <w:r w:rsidR="007440B2" w:rsidRPr="002D7D04">
        <w:rPr>
          <w:bCs/>
        </w:rPr>
        <w:t>do por</w:t>
      </w:r>
      <w:r w:rsidR="00423374" w:rsidRPr="002D7D04">
        <w:rPr>
          <w:bCs/>
        </w:rPr>
        <w:t xml:space="preserve"> </w:t>
      </w:r>
      <w:r w:rsidR="001824C2" w:rsidRPr="002D7D04">
        <w:rPr>
          <w:bCs/>
        </w:rPr>
        <w:t>la inexistencia de datos estadísticos oficiales</w:t>
      </w:r>
      <w:r w:rsidR="00BA0133">
        <w:rPr>
          <w:bCs/>
        </w:rPr>
        <w:t xml:space="preserve"> fiables</w:t>
      </w:r>
      <w:r w:rsidR="001824C2" w:rsidRPr="002D7D04">
        <w:rPr>
          <w:bCs/>
        </w:rPr>
        <w:t xml:space="preserve"> sobre la </w:t>
      </w:r>
      <w:r w:rsidR="00BA6BEE" w:rsidRPr="002D7D04">
        <w:rPr>
          <w:bCs/>
        </w:rPr>
        <w:t xml:space="preserve">población indígena en el Estado parte, así como la de </w:t>
      </w:r>
      <w:r w:rsidR="00423374" w:rsidRPr="002D7D04">
        <w:rPr>
          <w:bCs/>
        </w:rPr>
        <w:t xml:space="preserve">un mecanismo nacional de consulta para facilitar </w:t>
      </w:r>
      <w:r w:rsidR="00C02FC4" w:rsidRPr="002D7D04">
        <w:rPr>
          <w:bCs/>
        </w:rPr>
        <w:t xml:space="preserve">su </w:t>
      </w:r>
      <w:r w:rsidR="00423374" w:rsidRPr="002D7D04">
        <w:rPr>
          <w:bCs/>
        </w:rPr>
        <w:t xml:space="preserve">participación en los procesos de toma de decisiones. </w:t>
      </w:r>
      <w:r w:rsidR="007440B2" w:rsidRPr="002D7D04">
        <w:rPr>
          <w:bCs/>
        </w:rPr>
        <w:t>Le p</w:t>
      </w:r>
      <w:r w:rsidR="00C25EBF" w:rsidRPr="002D7D04">
        <w:rPr>
          <w:bCs/>
        </w:rPr>
        <w:t xml:space="preserve">reocupa </w:t>
      </w:r>
      <w:r w:rsidR="00C02FC4" w:rsidRPr="002D7D04">
        <w:rPr>
          <w:bCs/>
        </w:rPr>
        <w:t xml:space="preserve">también </w:t>
      </w:r>
      <w:r w:rsidR="00C25EBF" w:rsidRPr="002D7D04">
        <w:rPr>
          <w:bCs/>
        </w:rPr>
        <w:t>que la legislación vigente no reconozca el derecho de los pueblos indígenas como tales a obtener títulos de propiedad sobre tierras</w:t>
      </w:r>
      <w:r w:rsidR="00064F0C" w:rsidRPr="002D7D04">
        <w:rPr>
          <w:bCs/>
        </w:rPr>
        <w:t xml:space="preserve">, </w:t>
      </w:r>
      <w:r w:rsidR="006515DA" w:rsidRPr="002D7D04">
        <w:rPr>
          <w:bCs/>
        </w:rPr>
        <w:t>así</w:t>
      </w:r>
      <w:r w:rsidR="00064F0C" w:rsidRPr="002D7D04">
        <w:rPr>
          <w:bCs/>
        </w:rPr>
        <w:t xml:space="preserve"> como la inexistencia de una legislación específica para otorgar títulos de propiedad a estos pueblos</w:t>
      </w:r>
      <w:r w:rsidR="006515DA" w:rsidRPr="002D7D04">
        <w:rPr>
          <w:bCs/>
        </w:rPr>
        <w:t xml:space="preserve"> </w:t>
      </w:r>
      <w:r w:rsidRPr="002D7D04">
        <w:rPr>
          <w:bCs/>
        </w:rPr>
        <w:t xml:space="preserve">(arts. </w:t>
      </w:r>
      <w:r w:rsidRPr="002D7D04">
        <w:rPr>
          <w:bCs/>
          <w:lang w:val="es-ES_tradnl"/>
        </w:rPr>
        <w:t xml:space="preserve">2, </w:t>
      </w:r>
      <w:r w:rsidR="00663818">
        <w:rPr>
          <w:bCs/>
          <w:lang w:val="es-ES_tradnl"/>
        </w:rPr>
        <w:t xml:space="preserve">25, </w:t>
      </w:r>
      <w:r w:rsidRPr="002D7D04">
        <w:rPr>
          <w:bCs/>
          <w:lang w:val="es-ES_tradnl"/>
        </w:rPr>
        <w:t>26 y 27</w:t>
      </w:r>
      <w:r w:rsidRPr="002D7D04">
        <w:rPr>
          <w:bCs/>
        </w:rPr>
        <w:t>)</w:t>
      </w:r>
      <w:r w:rsidR="001737AF">
        <w:rPr>
          <w:bCs/>
        </w:rPr>
        <w:t>.</w:t>
      </w:r>
    </w:p>
    <w:p w14:paraId="5F2EF13C" w14:textId="30733EF5" w:rsidR="00477448" w:rsidRPr="001D515A" w:rsidRDefault="00D464D3" w:rsidP="001D515A">
      <w:pPr>
        <w:pStyle w:val="SingleTxtG"/>
        <w:rPr>
          <w:b/>
        </w:rPr>
      </w:pPr>
      <w:r w:rsidRPr="002D7D04">
        <w:rPr>
          <w:bCs/>
        </w:rPr>
        <w:t>4</w:t>
      </w:r>
      <w:r w:rsidR="00F94EB2">
        <w:rPr>
          <w:bCs/>
        </w:rPr>
        <w:t>2</w:t>
      </w:r>
      <w:r w:rsidRPr="002D7D04">
        <w:rPr>
          <w:bCs/>
        </w:rPr>
        <w:t>.</w:t>
      </w:r>
      <w:r w:rsidR="007F4285" w:rsidRPr="002D7D04">
        <w:rPr>
          <w:bCs/>
        </w:rPr>
        <w:tab/>
      </w:r>
      <w:r w:rsidR="00477448" w:rsidRPr="001D515A">
        <w:rPr>
          <w:b/>
        </w:rPr>
        <w:t xml:space="preserve">El </w:t>
      </w:r>
      <w:r w:rsidR="0098396D" w:rsidRPr="001D515A">
        <w:rPr>
          <w:b/>
        </w:rPr>
        <w:t xml:space="preserve">Estado parte </w:t>
      </w:r>
      <w:r w:rsidR="00477448" w:rsidRPr="001D515A">
        <w:rPr>
          <w:b/>
        </w:rPr>
        <w:t xml:space="preserve">debe </w:t>
      </w:r>
      <w:r w:rsidR="0013480C" w:rsidRPr="001D515A">
        <w:rPr>
          <w:b/>
        </w:rPr>
        <w:t>redoblar</w:t>
      </w:r>
      <w:r w:rsidR="00663818" w:rsidRPr="001D515A">
        <w:rPr>
          <w:b/>
        </w:rPr>
        <w:t xml:space="preserve"> </w:t>
      </w:r>
      <w:r w:rsidR="00477448" w:rsidRPr="001D515A">
        <w:rPr>
          <w:b/>
        </w:rPr>
        <w:t xml:space="preserve">sus esfuerzos </w:t>
      </w:r>
      <w:r w:rsidR="00EA3C11" w:rsidRPr="001D515A">
        <w:rPr>
          <w:b/>
        </w:rPr>
        <w:t>para garantizar la promoción y protección de los derechos de los pueblos indígenas, incluido a través de</w:t>
      </w:r>
      <w:r w:rsidR="00BA0133" w:rsidRPr="001D515A">
        <w:rPr>
          <w:b/>
        </w:rPr>
        <w:t xml:space="preserve">l mantenimiento de datos estadísticos oficiales fiables </w:t>
      </w:r>
      <w:r w:rsidR="00EA3C11" w:rsidRPr="001D515A">
        <w:rPr>
          <w:b/>
        </w:rPr>
        <w:t>sobre la población indígena, así como de la c</w:t>
      </w:r>
      <w:r w:rsidR="005E2051" w:rsidRPr="001D515A">
        <w:rPr>
          <w:b/>
        </w:rPr>
        <w:t>r</w:t>
      </w:r>
      <w:r w:rsidR="00EA3C11" w:rsidRPr="001D515A">
        <w:rPr>
          <w:b/>
        </w:rPr>
        <w:t>eación de un mecanismo nacional de consulta que garantice el consentimiento libre, previo e informado de la población indígena. Debe asegurar la implementación de las</w:t>
      </w:r>
      <w:r w:rsidR="004E4FB2" w:rsidRPr="001D515A">
        <w:rPr>
          <w:b/>
        </w:rPr>
        <w:t xml:space="preserve"> </w:t>
      </w:r>
      <w:r w:rsidR="00477448" w:rsidRPr="001D515A">
        <w:rPr>
          <w:b/>
        </w:rPr>
        <w:t xml:space="preserve">políticas y programas </w:t>
      </w:r>
      <w:r w:rsidR="00EA3C11" w:rsidRPr="001D515A">
        <w:rPr>
          <w:b/>
        </w:rPr>
        <w:t xml:space="preserve">existentes y garantizar </w:t>
      </w:r>
      <w:r w:rsidR="00350C3F" w:rsidRPr="001D515A">
        <w:rPr>
          <w:b/>
        </w:rPr>
        <w:t xml:space="preserve">que </w:t>
      </w:r>
      <w:r w:rsidR="005E2051" w:rsidRPr="001D515A">
        <w:rPr>
          <w:b/>
        </w:rPr>
        <w:t>e</w:t>
      </w:r>
      <w:r w:rsidR="0098396D" w:rsidRPr="001D515A">
        <w:rPr>
          <w:b/>
        </w:rPr>
        <w:t>stos</w:t>
      </w:r>
      <w:r w:rsidR="00702072" w:rsidRPr="001D515A">
        <w:rPr>
          <w:b/>
        </w:rPr>
        <w:t xml:space="preserve"> dispongan</w:t>
      </w:r>
      <w:r w:rsidR="00350C3F" w:rsidRPr="001D515A">
        <w:rPr>
          <w:b/>
        </w:rPr>
        <w:t xml:space="preserve"> de recursos adecuados.</w:t>
      </w:r>
      <w:r w:rsidR="004E4FB2" w:rsidRPr="001D515A">
        <w:rPr>
          <w:b/>
        </w:rPr>
        <w:t xml:space="preserve"> </w:t>
      </w:r>
      <w:r w:rsidR="00EA2B0A" w:rsidRPr="001D515A">
        <w:rPr>
          <w:b/>
        </w:rPr>
        <w:t xml:space="preserve">Debe también asegurar el derecho de los pueblos indígenas a obtener títulos </w:t>
      </w:r>
      <w:r w:rsidR="00EA3C11" w:rsidRPr="001D515A">
        <w:rPr>
          <w:b/>
        </w:rPr>
        <w:t xml:space="preserve">colectivos </w:t>
      </w:r>
      <w:r w:rsidR="00EA2B0A" w:rsidRPr="001D515A">
        <w:rPr>
          <w:b/>
        </w:rPr>
        <w:t>de propiedad sobre tierras</w:t>
      </w:r>
      <w:r w:rsidR="00BA6BEE" w:rsidRPr="001D515A">
        <w:rPr>
          <w:b/>
        </w:rPr>
        <w:t xml:space="preserve">, así como la adopción de una legislación específica para otorgar títulos de propiedad a estos pueblos. </w:t>
      </w:r>
      <w:r w:rsidR="004E4FB2" w:rsidRPr="001D515A">
        <w:rPr>
          <w:b/>
        </w:rPr>
        <w:t xml:space="preserve">El Comité alienta al </w:t>
      </w:r>
      <w:r w:rsidR="003A69B7" w:rsidRPr="001D515A">
        <w:rPr>
          <w:b/>
        </w:rPr>
        <w:t>E</w:t>
      </w:r>
      <w:r w:rsidR="004E4FB2" w:rsidRPr="001D515A">
        <w:rPr>
          <w:b/>
        </w:rPr>
        <w:t xml:space="preserve">stado parte a que ratifique el Convenio sobre </w:t>
      </w:r>
      <w:r w:rsidR="001737AF">
        <w:rPr>
          <w:b/>
        </w:rPr>
        <w:t>P</w:t>
      </w:r>
      <w:r w:rsidR="004E4FB2" w:rsidRPr="001D515A">
        <w:rPr>
          <w:b/>
        </w:rPr>
        <w:t xml:space="preserve">ueblos </w:t>
      </w:r>
      <w:r w:rsidR="001737AF">
        <w:rPr>
          <w:b/>
        </w:rPr>
        <w:t>I</w:t>
      </w:r>
      <w:r w:rsidR="004E4FB2" w:rsidRPr="001D515A">
        <w:rPr>
          <w:b/>
        </w:rPr>
        <w:t xml:space="preserve">ndígenas y </w:t>
      </w:r>
      <w:r w:rsidR="001737AF">
        <w:rPr>
          <w:b/>
        </w:rPr>
        <w:t>T</w:t>
      </w:r>
      <w:r w:rsidR="004E4FB2" w:rsidRPr="001D515A">
        <w:rPr>
          <w:b/>
        </w:rPr>
        <w:t>ribales</w:t>
      </w:r>
      <w:r w:rsidR="00504120" w:rsidRPr="001D515A">
        <w:rPr>
          <w:b/>
        </w:rPr>
        <w:t>, 1989 (núm. 169), de la Organización Internacional del Trabajo (OIT)</w:t>
      </w:r>
      <w:r w:rsidR="004E4FB2" w:rsidRPr="001D515A">
        <w:rPr>
          <w:b/>
        </w:rPr>
        <w:t xml:space="preserve">. </w:t>
      </w:r>
    </w:p>
    <w:p w14:paraId="33F99A01" w14:textId="77777777" w:rsidR="002F3CB0" w:rsidRPr="002D7D04" w:rsidRDefault="00796A8D" w:rsidP="001D515A">
      <w:pPr>
        <w:pStyle w:val="H1G"/>
      </w:pPr>
      <w:r w:rsidRPr="002D7D04">
        <w:tab/>
      </w:r>
      <w:r w:rsidR="002F3CB0" w:rsidRPr="002D7D04">
        <w:t>D.</w:t>
      </w:r>
      <w:r w:rsidR="002F3CB0" w:rsidRPr="002D7D04">
        <w:tab/>
        <w:t>Difusión y seguimiento</w:t>
      </w:r>
    </w:p>
    <w:p w14:paraId="0995D535" w14:textId="504313B2" w:rsidR="002F3CB0" w:rsidRDefault="00376AF0" w:rsidP="001D515A">
      <w:pPr>
        <w:pStyle w:val="SingleTxtG"/>
      </w:pPr>
      <w:r w:rsidRPr="002D7D04">
        <w:t>4</w:t>
      </w:r>
      <w:r w:rsidR="00F94EB2">
        <w:t>3</w:t>
      </w:r>
      <w:r w:rsidR="00284425" w:rsidRPr="002D7D04">
        <w:t>.</w:t>
      </w:r>
      <w:r w:rsidR="00796A8D" w:rsidRPr="002D7D04">
        <w:tab/>
      </w:r>
      <w:r w:rsidR="002F3CB0" w:rsidRPr="002D7D04">
        <w:t xml:space="preserve">El Estado parte debe difundir ampliamente el Pacto y sus dos Protocolos Facultativos, su </w:t>
      </w:r>
      <w:r w:rsidR="00063D2F">
        <w:t xml:space="preserve">séptimo </w:t>
      </w:r>
      <w:r w:rsidR="002F3CB0" w:rsidRPr="002D7D04">
        <w:t>informe periódico</w:t>
      </w:r>
      <w:r w:rsidR="001E0B0E">
        <w:t xml:space="preserve"> </w:t>
      </w:r>
      <w:r w:rsidR="002F3CB0" w:rsidRPr="002D7D04">
        <w:t xml:space="preserve">y las presentes observaciones finales a fin de dar a conocer los derechos consagrados en el Pacto a las autoridades judiciales, legislativas y administrativas, a la sociedad civil y a las organizaciones no gubernamentales que actúan en el país, así como a la población en general, incluyendo los miembros de comunidades minoritarias y pueblos indígenas. </w:t>
      </w:r>
      <w:r w:rsidR="00635867">
        <w:t xml:space="preserve"> </w:t>
      </w:r>
    </w:p>
    <w:p w14:paraId="7BF49E8D" w14:textId="38577393" w:rsidR="00091C2A" w:rsidRPr="002D7D04" w:rsidRDefault="00376AF0" w:rsidP="001D515A">
      <w:pPr>
        <w:pStyle w:val="SingleTxtG"/>
      </w:pPr>
      <w:r w:rsidRPr="002D7D04">
        <w:t>4</w:t>
      </w:r>
      <w:r w:rsidR="00F94EB2">
        <w:t>4</w:t>
      </w:r>
      <w:r w:rsidR="00284425" w:rsidRPr="002D7D04">
        <w:t>.</w:t>
      </w:r>
      <w:r w:rsidR="00796A8D" w:rsidRPr="002D7D04">
        <w:tab/>
      </w:r>
      <w:r w:rsidR="002F3CB0" w:rsidRPr="002D7D04">
        <w:t>De conformidad con el artículo</w:t>
      </w:r>
      <w:r w:rsidR="00E36281">
        <w:t xml:space="preserve"> </w:t>
      </w:r>
      <w:r w:rsidR="002F3CB0" w:rsidRPr="002D7D04">
        <w:t>71, párrafo</w:t>
      </w:r>
      <w:r w:rsidR="00E36281">
        <w:t xml:space="preserve"> </w:t>
      </w:r>
      <w:r w:rsidR="002F3CB0" w:rsidRPr="002D7D04">
        <w:t xml:space="preserve">5, del reglamento del Comité, se solicita al Estado parte que facilite, </w:t>
      </w:r>
      <w:r w:rsidR="008C0174" w:rsidRPr="008C0174">
        <w:t xml:space="preserve">dentro del plazo de </w:t>
      </w:r>
      <w:r w:rsidR="008C0174">
        <w:t xml:space="preserve">dos </w:t>
      </w:r>
      <w:r w:rsidR="008C0174" w:rsidRPr="008C0174">
        <w:t>año</w:t>
      </w:r>
      <w:r w:rsidR="008C0174">
        <w:t>s</w:t>
      </w:r>
      <w:r w:rsidR="008C0174" w:rsidRPr="008C0174">
        <w:t xml:space="preserve"> desde la aprobación de las presentes observaciones finales, es decir </w:t>
      </w:r>
      <w:r w:rsidR="00B9462C" w:rsidRPr="00987561">
        <w:t xml:space="preserve">el </w:t>
      </w:r>
      <w:r w:rsidR="003A22FB" w:rsidRPr="00987561">
        <w:t xml:space="preserve">6 de abril </w:t>
      </w:r>
      <w:r w:rsidR="00B9462C" w:rsidRPr="00987561">
        <w:t>de 20</w:t>
      </w:r>
      <w:r w:rsidR="00FA2C90" w:rsidRPr="00987561">
        <w:t>20</w:t>
      </w:r>
      <w:r w:rsidR="002F3CB0" w:rsidRPr="00A76C08">
        <w:t xml:space="preserve">, información sobre la aplicación de las recomendaciones formuladas por el Comité en los </w:t>
      </w:r>
      <w:r w:rsidR="002741BA" w:rsidRPr="00987561">
        <w:t>párrafos</w:t>
      </w:r>
      <w:r w:rsidR="00E36281">
        <w:t xml:space="preserve"> </w:t>
      </w:r>
      <w:r w:rsidR="00136A88">
        <w:t>1</w:t>
      </w:r>
      <w:r w:rsidR="001705DB">
        <w:t>6</w:t>
      </w:r>
      <w:r w:rsidR="009D7AE4" w:rsidRPr="00987561">
        <w:t xml:space="preserve"> (</w:t>
      </w:r>
      <w:r w:rsidR="00136A88">
        <w:t>interrupción voluntaria del embarazo</w:t>
      </w:r>
      <w:r w:rsidR="009D7AE4" w:rsidRPr="00987561">
        <w:t>)</w:t>
      </w:r>
      <w:r w:rsidR="009C0F30" w:rsidRPr="00987561">
        <w:t xml:space="preserve">, </w:t>
      </w:r>
      <w:r w:rsidR="00136A88">
        <w:t>1</w:t>
      </w:r>
      <w:r w:rsidR="001705DB">
        <w:t>8</w:t>
      </w:r>
      <w:r w:rsidR="009C0F30" w:rsidRPr="00987561">
        <w:t xml:space="preserve"> </w:t>
      </w:r>
      <w:r w:rsidR="00091C2A" w:rsidRPr="00987561">
        <w:t>(</w:t>
      </w:r>
      <w:r w:rsidR="00136A88">
        <w:t xml:space="preserve">graves violaciones de derechos humanos </w:t>
      </w:r>
      <w:r w:rsidR="00136A88" w:rsidRPr="001C5FA8">
        <w:t>durante el conflicto armado</w:t>
      </w:r>
      <w:r w:rsidR="00136A88">
        <w:t>)</w:t>
      </w:r>
      <w:r w:rsidR="00091C2A" w:rsidRPr="00987561">
        <w:t xml:space="preserve"> </w:t>
      </w:r>
      <w:r w:rsidR="009C0F30" w:rsidRPr="00987561">
        <w:t>y</w:t>
      </w:r>
      <w:r w:rsidR="00E36281">
        <w:t> </w:t>
      </w:r>
      <w:r w:rsidR="00136A88">
        <w:t>2</w:t>
      </w:r>
      <w:r w:rsidR="001705DB">
        <w:t>2</w:t>
      </w:r>
      <w:r w:rsidR="00E36281">
        <w:t> </w:t>
      </w:r>
      <w:r w:rsidR="00091C2A" w:rsidRPr="00136A88">
        <w:t>(</w:t>
      </w:r>
      <w:r w:rsidR="00136A88" w:rsidRPr="00136A88">
        <w:rPr>
          <w:bCs/>
        </w:rPr>
        <w:t>e</w:t>
      </w:r>
      <w:r w:rsidR="00136A88" w:rsidRPr="001C5FA8">
        <w:rPr>
          <w:bCs/>
        </w:rPr>
        <w:t>jecuciones extrajudiciales</w:t>
      </w:r>
      <w:r w:rsidR="00136A88">
        <w:rPr>
          <w:bCs/>
        </w:rPr>
        <w:t xml:space="preserve"> y</w:t>
      </w:r>
      <w:r w:rsidR="00136A88" w:rsidRPr="001C5FA8">
        <w:rPr>
          <w:bCs/>
        </w:rPr>
        <w:t xml:space="preserve"> desapariciones forzadas</w:t>
      </w:r>
      <w:r w:rsidR="00091C2A" w:rsidRPr="00136A88">
        <w:t>)</w:t>
      </w:r>
      <w:r w:rsidR="002F3CB0" w:rsidRPr="00136A88">
        <w:t>.</w:t>
      </w:r>
      <w:r w:rsidR="008C0174" w:rsidRPr="008C0174">
        <w:t xml:space="preserve"> </w:t>
      </w:r>
    </w:p>
    <w:p w14:paraId="1DA51523" w14:textId="0DF99510" w:rsidR="00931444" w:rsidRDefault="00376AF0" w:rsidP="00073E37">
      <w:pPr>
        <w:pStyle w:val="SingleTxtG"/>
        <w:keepNext/>
      </w:pPr>
      <w:r w:rsidRPr="002D7D04">
        <w:t>4</w:t>
      </w:r>
      <w:r w:rsidR="00F94EB2">
        <w:t>5</w:t>
      </w:r>
      <w:r w:rsidR="00284425" w:rsidRPr="002D7D04">
        <w:t>.</w:t>
      </w:r>
      <w:r w:rsidR="00796A8D" w:rsidRPr="002D7D04">
        <w:tab/>
      </w:r>
      <w:r w:rsidR="002F3CB0" w:rsidRPr="002D7D04">
        <w:t xml:space="preserve">El Comité pide al Estado parte que presente su próximo informe periódico a más tardar el </w:t>
      </w:r>
      <w:r w:rsidR="008C0174">
        <w:t>6</w:t>
      </w:r>
      <w:r w:rsidR="002F3CB0" w:rsidRPr="002D7D04">
        <w:t xml:space="preserve"> de </w:t>
      </w:r>
      <w:r w:rsidR="00E261EA" w:rsidRPr="002D7D04">
        <w:t xml:space="preserve">noviembre de </w:t>
      </w:r>
      <w:r w:rsidR="00C343D3" w:rsidRPr="002D7D04">
        <w:t>202</w:t>
      </w:r>
      <w:r w:rsidR="007B1B16">
        <w:t>3</w:t>
      </w:r>
      <w:r w:rsidR="002F3CB0" w:rsidRPr="002D7D04">
        <w:t xml:space="preserve">. </w:t>
      </w:r>
      <w:r w:rsidR="0071603D" w:rsidRPr="0071603D">
        <w:t xml:space="preserve">Habida cuenta de que el Estado parte ha aceptado el procedimiento simplificado de presentación de informes, el Comité le transmitirá, llegado el momento, una lista de cuestiones previa a la presentación del informe. Las respuestas del Estado parte a esa lista </w:t>
      </w:r>
      <w:r w:rsidR="00931444">
        <w:t xml:space="preserve">de cuestiones </w:t>
      </w:r>
      <w:r w:rsidR="0071603D" w:rsidRPr="0071603D">
        <w:t xml:space="preserve">constituirán su octavo informe periódico. De conformidad con la resolución 68/268 de la Asamblea General, </w:t>
      </w:r>
      <w:r w:rsidR="00931444" w:rsidRPr="00931444">
        <w:t>el informe ha de tener una extensión máxima de 21.200 palabras.</w:t>
      </w:r>
    </w:p>
    <w:p w14:paraId="4693B7E8" w14:textId="5F491B91" w:rsidR="00DC36CD" w:rsidRPr="001D515A" w:rsidRDefault="00DC36CD" w:rsidP="001D515A">
      <w:pPr>
        <w:pStyle w:val="SingleTxtG"/>
        <w:suppressAutoHyphens/>
        <w:spacing w:before="240" w:after="0"/>
        <w:jc w:val="center"/>
        <w:rPr>
          <w:u w:val="single"/>
        </w:rPr>
      </w:pPr>
      <w:r>
        <w:rPr>
          <w:u w:val="single"/>
        </w:rPr>
        <w:tab/>
      </w:r>
      <w:r>
        <w:rPr>
          <w:u w:val="single"/>
        </w:rPr>
        <w:tab/>
      </w:r>
      <w:r>
        <w:rPr>
          <w:u w:val="single"/>
        </w:rPr>
        <w:tab/>
      </w:r>
      <w:r>
        <w:rPr>
          <w:u w:val="single"/>
        </w:rPr>
        <w:tab/>
      </w:r>
    </w:p>
    <w:p w14:paraId="5B2D7804" w14:textId="15B92B37" w:rsidR="00DC36CD" w:rsidRPr="002D7D04" w:rsidRDefault="00DC36CD" w:rsidP="001D515A">
      <w:pPr>
        <w:pStyle w:val="SingleTxtG"/>
        <w:suppressAutoHyphens/>
        <w:spacing w:before="240" w:after="0"/>
        <w:jc w:val="center"/>
      </w:pPr>
      <w:r>
        <w:tab/>
      </w:r>
      <w:bookmarkStart w:id="0" w:name="_GoBack"/>
      <w:bookmarkEnd w:id="0"/>
    </w:p>
    <w:sectPr w:rsidR="00DC36CD" w:rsidRPr="002D7D04" w:rsidSect="001D515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2E94D" w16cid:durableId="1E5A257F"/>
  <w16cid:commentId w16cid:paraId="3198FA28" w16cid:durableId="1E5A223C"/>
  <w16cid:commentId w16cid:paraId="38E6133C" w16cid:durableId="1E5A223D"/>
  <w16cid:commentId w16cid:paraId="2C4E186B" w16cid:durableId="1E5A223E"/>
  <w16cid:commentId w16cid:paraId="082D9696" w16cid:durableId="1E5A223F"/>
  <w16cid:commentId w16cid:paraId="5C0C2D84" w16cid:durableId="1E5A2240"/>
  <w16cid:commentId w16cid:paraId="6E888721" w16cid:durableId="1E5A27E7"/>
  <w16cid:commentId w16cid:paraId="461E461A" w16cid:durableId="1E5A2241"/>
  <w16cid:commentId w16cid:paraId="5FCD2EC7" w16cid:durableId="1E5A2242"/>
  <w16cid:commentId w16cid:paraId="228F13EF" w16cid:durableId="1E5A23BF"/>
  <w16cid:commentId w16cid:paraId="0C5F41E9" w16cid:durableId="1E5A2717"/>
  <w16cid:commentId w16cid:paraId="1C535A44" w16cid:durableId="1E5A2243"/>
  <w16cid:commentId w16cid:paraId="362B10CA" w16cid:durableId="1E5A458E"/>
  <w16cid:commentId w16cid:paraId="7A884E78" w16cid:durableId="1E5A458F"/>
  <w16cid:commentId w16cid:paraId="60F6015F" w16cid:durableId="1E5A2244"/>
  <w16cid:commentId w16cid:paraId="77882344" w16cid:durableId="1E5A4590"/>
  <w16cid:commentId w16cid:paraId="7ABDAE52" w16cid:durableId="1E5A2245"/>
  <w16cid:commentId w16cid:paraId="7A3DA764" w16cid:durableId="1E5A2246"/>
  <w16cid:commentId w16cid:paraId="41EB59C0" w16cid:durableId="1E5A4591"/>
  <w16cid:commentId w16cid:paraId="25E18867" w16cid:durableId="1E5A2247"/>
  <w16cid:commentId w16cid:paraId="7F2F03B2" w16cid:durableId="1E5A2248"/>
  <w16cid:commentId w16cid:paraId="798883FB" w16cid:durableId="1E5A2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5854" w14:textId="77777777" w:rsidR="004129D2" w:rsidRDefault="004129D2">
      <w:r>
        <w:separator/>
      </w:r>
    </w:p>
  </w:endnote>
  <w:endnote w:type="continuationSeparator" w:id="0">
    <w:p w14:paraId="3B9E0AF5" w14:textId="77777777" w:rsidR="004129D2" w:rsidRDefault="0041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B05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BE25" w14:textId="19B8914B" w:rsidR="00071EDC" w:rsidRPr="00B22D4B" w:rsidRDefault="00071EDC" w:rsidP="00B22D4B">
    <w:pPr>
      <w:pStyle w:val="Footer"/>
      <w:tabs>
        <w:tab w:val="right" w:pos="9638"/>
      </w:tabs>
    </w:pPr>
    <w:r w:rsidRPr="00B22D4B">
      <w:rPr>
        <w:b/>
        <w:sz w:val="18"/>
      </w:rPr>
      <w:fldChar w:fldCharType="begin"/>
    </w:r>
    <w:r w:rsidRPr="00B22D4B">
      <w:rPr>
        <w:b/>
        <w:sz w:val="18"/>
      </w:rPr>
      <w:instrText xml:space="preserve"> PAGE  \* MERGEFORMAT </w:instrText>
    </w:r>
    <w:r w:rsidRPr="00B22D4B">
      <w:rPr>
        <w:b/>
        <w:sz w:val="18"/>
      </w:rPr>
      <w:fldChar w:fldCharType="separate"/>
    </w:r>
    <w:r w:rsidR="000F23C6">
      <w:rPr>
        <w:b/>
        <w:noProof/>
        <w:sz w:val="18"/>
      </w:rPr>
      <w:t>10</w:t>
    </w:r>
    <w:r w:rsidRPr="00B22D4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0ADE" w14:textId="31B787DF" w:rsidR="00071EDC" w:rsidRPr="00B22D4B" w:rsidRDefault="00071EDC" w:rsidP="00B22D4B">
    <w:pPr>
      <w:pStyle w:val="Footer"/>
      <w:tabs>
        <w:tab w:val="right" w:pos="9638"/>
      </w:tabs>
      <w:rPr>
        <w:b/>
        <w:sz w:val="18"/>
      </w:rPr>
    </w:pPr>
    <w:r>
      <w:tab/>
    </w:r>
    <w:r w:rsidRPr="00B22D4B">
      <w:rPr>
        <w:b/>
        <w:sz w:val="18"/>
      </w:rPr>
      <w:fldChar w:fldCharType="begin"/>
    </w:r>
    <w:r w:rsidRPr="00B22D4B">
      <w:rPr>
        <w:b/>
        <w:sz w:val="18"/>
      </w:rPr>
      <w:instrText xml:space="preserve"> PAGE  \* MERGEFORMAT </w:instrText>
    </w:r>
    <w:r w:rsidRPr="00B22D4B">
      <w:rPr>
        <w:b/>
        <w:sz w:val="18"/>
      </w:rPr>
      <w:fldChar w:fldCharType="separate"/>
    </w:r>
    <w:r w:rsidR="000F23C6">
      <w:rPr>
        <w:b/>
        <w:noProof/>
        <w:sz w:val="18"/>
      </w:rPr>
      <w:t>9</w:t>
    </w:r>
    <w:r w:rsidRPr="00B22D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BADD" w14:textId="1DB94423" w:rsidR="00071EDC" w:rsidRPr="00EF6B31" w:rsidRDefault="00EF6B31" w:rsidP="00EF6B31">
    <w:pPr>
      <w:pStyle w:val="Footer"/>
      <w:spacing w:before="120" w:line="240" w:lineRule="auto"/>
      <w:rPr>
        <w:sz w:val="20"/>
      </w:rPr>
    </w:pPr>
    <w:proofErr w:type="spellStart"/>
    <w:r>
      <w:rPr>
        <w:sz w:val="20"/>
      </w:rPr>
      <w:t>GE.18</w:t>
    </w:r>
    <w:proofErr w:type="spellEnd"/>
    <w:r>
      <w:rPr>
        <w:sz w:val="20"/>
      </w:rPr>
      <w:t>-</w:t>
    </w:r>
    <w:proofErr w:type="gramStart"/>
    <w:r>
      <w:rPr>
        <w:sz w:val="20"/>
      </w:rPr>
      <w:t>07459  (</w:t>
    </w:r>
    <w:proofErr w:type="gramEnd"/>
    <w:r>
      <w:rPr>
        <w:sz w:val="20"/>
      </w:rPr>
      <w:t>S)</w:t>
    </w:r>
    <w:r>
      <w:rPr>
        <w:sz w:val="20"/>
      </w:rPr>
      <w:br/>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sz w:val="56"/>
      </w:rPr>
      <w:t></w:t>
    </w:r>
    <w:r w:rsidRPr="00EF6B31">
      <w:rPr>
        <w:rFonts w:ascii="C39T30Lfz" w:hAnsi="C39T30Lfz"/>
        <w:noProof/>
        <w:sz w:val="56"/>
        <w:lang w:eastAsia="zh-CN"/>
      </w:rPr>
      <w:drawing>
        <wp:anchor distT="0" distB="0" distL="114300" distR="114300" simplePos="0" relativeHeight="251660288" behindDoc="0" locked="1" layoutInCell="1" allowOverlap="1" wp14:anchorId="6777BB9E" wp14:editId="7765927B">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115EF26A" wp14:editId="328A6899">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CPR/C/SLV/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LV/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FC536" w14:textId="77777777" w:rsidR="004129D2" w:rsidRPr="001075E9" w:rsidRDefault="004129D2" w:rsidP="001075E9">
      <w:pPr>
        <w:tabs>
          <w:tab w:val="right" w:pos="2155"/>
        </w:tabs>
        <w:spacing w:after="80" w:line="240" w:lineRule="auto"/>
        <w:ind w:left="680"/>
        <w:rPr>
          <w:u w:val="single"/>
        </w:rPr>
      </w:pPr>
      <w:r>
        <w:rPr>
          <w:u w:val="single"/>
        </w:rPr>
        <w:tab/>
      </w:r>
    </w:p>
  </w:footnote>
  <w:footnote w:type="continuationSeparator" w:id="0">
    <w:p w14:paraId="0B1EF79D" w14:textId="77777777" w:rsidR="004129D2" w:rsidRDefault="004129D2" w:rsidP="00AE0E02">
      <w:pPr>
        <w:tabs>
          <w:tab w:val="right" w:pos="2155"/>
        </w:tabs>
        <w:spacing w:after="80" w:line="240" w:lineRule="auto"/>
        <w:ind w:left="680"/>
        <w:rPr>
          <w:u w:val="single"/>
        </w:rPr>
      </w:pPr>
      <w:r>
        <w:rPr>
          <w:u w:val="single"/>
        </w:rPr>
        <w:tab/>
      </w:r>
    </w:p>
  </w:footnote>
  <w:footnote w:id="1">
    <w:p w14:paraId="051C7237" w14:textId="2BA7C268" w:rsidR="00631B3A" w:rsidRPr="001D515A" w:rsidRDefault="00631B3A" w:rsidP="001D515A">
      <w:pPr>
        <w:pStyle w:val="FootnoteText"/>
      </w:pPr>
      <w:r>
        <w:rPr>
          <w:rStyle w:val="FootnoteReference"/>
        </w:rPr>
        <w:tab/>
      </w:r>
      <w:r w:rsidRPr="002B6C76">
        <w:rPr>
          <w:rStyle w:val="FootnoteReference"/>
          <w:sz w:val="20"/>
          <w:vertAlign w:val="baseline"/>
        </w:rPr>
        <w:t>*</w:t>
      </w:r>
      <w:r>
        <w:rPr>
          <w:rStyle w:val="FootnoteReference"/>
          <w:sz w:val="20"/>
          <w:vertAlign w:val="baseline"/>
        </w:rPr>
        <w:tab/>
      </w:r>
      <w:r>
        <w:t>Aprobadas por el Comité en su 122</w:t>
      </w:r>
      <w:r w:rsidR="00F67FD5">
        <w:t>º</w:t>
      </w:r>
      <w:r>
        <w:t xml:space="preserve"> período de sesiones (12 de marzo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4BFF" w14:textId="7BBB8A3C" w:rsidR="00071EDC" w:rsidRPr="008C3AAF" w:rsidRDefault="00071EDC" w:rsidP="008C3AAF">
    <w:pPr>
      <w:pStyle w:val="Header"/>
      <w:rPr>
        <w:lang w:val="en-GB"/>
      </w:rPr>
    </w:pPr>
    <w:proofErr w:type="spellStart"/>
    <w:r w:rsidRPr="008C3AAF">
      <w:rPr>
        <w:lang w:val="en-GB"/>
      </w:rPr>
      <w:t>CCPR</w:t>
    </w:r>
    <w:proofErr w:type="spellEnd"/>
    <w:r w:rsidRPr="008C3AAF">
      <w:rPr>
        <w:lang w:val="en-GB"/>
      </w:rPr>
      <w:t>/C/</w:t>
    </w:r>
    <w:proofErr w:type="spellStart"/>
    <w:r w:rsidRPr="008C3AAF">
      <w:rPr>
        <w:lang w:val="en-GB"/>
      </w:rPr>
      <w:t>SLV</w:t>
    </w:r>
    <w:proofErr w:type="spellEnd"/>
    <w:r w:rsidRPr="008C3AAF">
      <w:rPr>
        <w:lang w:val="en-GB"/>
      </w:rPr>
      <w:t>/CO/7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06EE" w14:textId="64B314E8" w:rsidR="00071EDC" w:rsidRPr="001412B3" w:rsidRDefault="00071EDC" w:rsidP="001D515A">
    <w:pPr>
      <w:pStyle w:val="Header"/>
      <w:jc w:val="right"/>
      <w:rPr>
        <w:lang w:val="en-GB"/>
      </w:rPr>
    </w:pPr>
    <w:proofErr w:type="spellStart"/>
    <w:r w:rsidRPr="001412B3">
      <w:rPr>
        <w:lang w:val="en-GB"/>
      </w:rPr>
      <w:t>CCPR</w:t>
    </w:r>
    <w:proofErr w:type="spellEnd"/>
    <w:r w:rsidRPr="001412B3">
      <w:rPr>
        <w:lang w:val="en-GB"/>
      </w:rPr>
      <w:t>/C/</w:t>
    </w:r>
    <w:proofErr w:type="spellStart"/>
    <w:r w:rsidRPr="001412B3">
      <w:rPr>
        <w:lang w:val="en-GB"/>
      </w:rPr>
      <w:t>SLV</w:t>
    </w:r>
    <w:proofErr w:type="spellEnd"/>
    <w:r w:rsidRPr="001412B3">
      <w:rPr>
        <w:lang w:val="en-GB"/>
      </w:rPr>
      <w:t>/CO/7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C1257"/>
    <w:multiLevelType w:val="hybridMultilevel"/>
    <w:tmpl w:val="66CC3324"/>
    <w:lvl w:ilvl="0" w:tplc="BCAA665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207732D"/>
    <w:multiLevelType w:val="hybridMultilevel"/>
    <w:tmpl w:val="9FD8C132"/>
    <w:lvl w:ilvl="0" w:tplc="F9B416F8">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2" w15:restartNumberingAfterBreak="0">
    <w:nsid w:val="062202A5"/>
    <w:multiLevelType w:val="hybridMultilevel"/>
    <w:tmpl w:val="B20E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F4EF4"/>
    <w:multiLevelType w:val="hybridMultilevel"/>
    <w:tmpl w:val="2BF6F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E96322"/>
    <w:multiLevelType w:val="hybridMultilevel"/>
    <w:tmpl w:val="A4107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100EF"/>
    <w:multiLevelType w:val="hybridMultilevel"/>
    <w:tmpl w:val="4378A9D2"/>
    <w:lvl w:ilvl="0" w:tplc="8292AA88">
      <w:start w:val="1"/>
      <w:numFmt w:val="decimal"/>
      <w:lvlText w:val="%1."/>
      <w:lvlJc w:val="left"/>
      <w:pPr>
        <w:ind w:left="2062" w:hanging="360"/>
      </w:pPr>
      <w:rPr>
        <w:rFonts w:ascii="Times New Roman" w:hAnsi="Times New Roman" w:cs="Times New Roman" w:hint="default"/>
        <w:b w:val="0"/>
        <w:sz w:val="20"/>
        <w:szCs w:val="20"/>
      </w:rPr>
    </w:lvl>
    <w:lvl w:ilvl="1" w:tplc="8994745A">
      <w:start w:val="1"/>
      <w:numFmt w:val="lowerLetter"/>
      <w:lvlText w:val="%2)"/>
      <w:lvlJc w:val="left"/>
      <w:pPr>
        <w:ind w:left="2904" w:hanging="765"/>
      </w:pPr>
      <w:rPr>
        <w:rFonts w:hint="default"/>
      </w:r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6" w15:restartNumberingAfterBreak="0">
    <w:nsid w:val="162822F6"/>
    <w:multiLevelType w:val="hybridMultilevel"/>
    <w:tmpl w:val="389AC99A"/>
    <w:lvl w:ilvl="0" w:tplc="F06CF03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1BD97BE3"/>
    <w:multiLevelType w:val="hybridMultilevel"/>
    <w:tmpl w:val="14181DD0"/>
    <w:lvl w:ilvl="0" w:tplc="A10CCD1C">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15:restartNumberingAfterBreak="0">
    <w:nsid w:val="1D5153BE"/>
    <w:multiLevelType w:val="hybridMultilevel"/>
    <w:tmpl w:val="20885664"/>
    <w:lvl w:ilvl="0" w:tplc="0409000F">
      <w:start w:val="1"/>
      <w:numFmt w:val="decimal"/>
      <w:lvlText w:val="%1."/>
      <w:lvlJc w:val="left"/>
      <w:pPr>
        <w:ind w:left="4472" w:hanging="360"/>
      </w:pPr>
    </w:lvl>
    <w:lvl w:ilvl="1" w:tplc="04090001">
      <w:start w:val="1"/>
      <w:numFmt w:val="bullet"/>
      <w:lvlText w:val=""/>
      <w:lvlJc w:val="left"/>
      <w:pPr>
        <w:ind w:left="5192" w:hanging="360"/>
      </w:pPr>
      <w:rPr>
        <w:rFonts w:ascii="Symbol" w:hAnsi="Symbol"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9" w15:restartNumberingAfterBreak="0">
    <w:nsid w:val="1EE45769"/>
    <w:multiLevelType w:val="hybridMultilevel"/>
    <w:tmpl w:val="AB8800A4"/>
    <w:lvl w:ilvl="0" w:tplc="0896A9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49704B"/>
    <w:multiLevelType w:val="hybridMultilevel"/>
    <w:tmpl w:val="39D02A5C"/>
    <w:lvl w:ilvl="0" w:tplc="92E603DA">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7C277BF"/>
    <w:multiLevelType w:val="hybridMultilevel"/>
    <w:tmpl w:val="FD4CF260"/>
    <w:lvl w:ilvl="0" w:tplc="82464F8C">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2CD46A1A"/>
    <w:multiLevelType w:val="hybridMultilevel"/>
    <w:tmpl w:val="3C70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33D2A"/>
    <w:multiLevelType w:val="hybridMultilevel"/>
    <w:tmpl w:val="7A06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D7E02"/>
    <w:multiLevelType w:val="hybridMultilevel"/>
    <w:tmpl w:val="0C929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E515E"/>
    <w:multiLevelType w:val="hybridMultilevel"/>
    <w:tmpl w:val="0EC87208"/>
    <w:lvl w:ilvl="0" w:tplc="AEC422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530DE5"/>
    <w:multiLevelType w:val="hybridMultilevel"/>
    <w:tmpl w:val="E5D48D3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DF5450"/>
    <w:multiLevelType w:val="hybridMultilevel"/>
    <w:tmpl w:val="CA5243FC"/>
    <w:lvl w:ilvl="0" w:tplc="08090017">
      <w:start w:val="1"/>
      <w:numFmt w:val="lowerLetter"/>
      <w:lvlText w:val="%1)"/>
      <w:lvlJc w:val="left"/>
      <w:pPr>
        <w:ind w:left="8298" w:hanging="360"/>
      </w:pPr>
      <w:rPr>
        <w:rFonts w:hint="default"/>
      </w:rPr>
    </w:lvl>
    <w:lvl w:ilvl="1" w:tplc="08090019" w:tentative="1">
      <w:start w:val="1"/>
      <w:numFmt w:val="lowerLetter"/>
      <w:lvlText w:val="%2."/>
      <w:lvlJc w:val="left"/>
      <w:pPr>
        <w:ind w:left="9018" w:hanging="360"/>
      </w:pPr>
    </w:lvl>
    <w:lvl w:ilvl="2" w:tplc="0809001B" w:tentative="1">
      <w:start w:val="1"/>
      <w:numFmt w:val="lowerRoman"/>
      <w:lvlText w:val="%3."/>
      <w:lvlJc w:val="right"/>
      <w:pPr>
        <w:ind w:left="9738" w:hanging="180"/>
      </w:pPr>
    </w:lvl>
    <w:lvl w:ilvl="3" w:tplc="0809000F" w:tentative="1">
      <w:start w:val="1"/>
      <w:numFmt w:val="decimal"/>
      <w:lvlText w:val="%4."/>
      <w:lvlJc w:val="left"/>
      <w:pPr>
        <w:ind w:left="10458" w:hanging="360"/>
      </w:pPr>
    </w:lvl>
    <w:lvl w:ilvl="4" w:tplc="08090019" w:tentative="1">
      <w:start w:val="1"/>
      <w:numFmt w:val="lowerLetter"/>
      <w:lvlText w:val="%5."/>
      <w:lvlJc w:val="left"/>
      <w:pPr>
        <w:ind w:left="11178" w:hanging="360"/>
      </w:pPr>
    </w:lvl>
    <w:lvl w:ilvl="5" w:tplc="0809001B" w:tentative="1">
      <w:start w:val="1"/>
      <w:numFmt w:val="lowerRoman"/>
      <w:lvlText w:val="%6."/>
      <w:lvlJc w:val="right"/>
      <w:pPr>
        <w:ind w:left="11898" w:hanging="180"/>
      </w:pPr>
    </w:lvl>
    <w:lvl w:ilvl="6" w:tplc="0809000F" w:tentative="1">
      <w:start w:val="1"/>
      <w:numFmt w:val="decimal"/>
      <w:lvlText w:val="%7."/>
      <w:lvlJc w:val="left"/>
      <w:pPr>
        <w:ind w:left="12618" w:hanging="360"/>
      </w:pPr>
    </w:lvl>
    <w:lvl w:ilvl="7" w:tplc="08090019" w:tentative="1">
      <w:start w:val="1"/>
      <w:numFmt w:val="lowerLetter"/>
      <w:lvlText w:val="%8."/>
      <w:lvlJc w:val="left"/>
      <w:pPr>
        <w:ind w:left="13338" w:hanging="360"/>
      </w:pPr>
    </w:lvl>
    <w:lvl w:ilvl="8" w:tplc="0809001B" w:tentative="1">
      <w:start w:val="1"/>
      <w:numFmt w:val="lowerRoman"/>
      <w:lvlText w:val="%9."/>
      <w:lvlJc w:val="right"/>
      <w:pPr>
        <w:ind w:left="14058" w:hanging="180"/>
      </w:pPr>
    </w:lvl>
  </w:abstractNum>
  <w:abstractNum w:abstractNumId="29" w15:restartNumberingAfterBreak="0">
    <w:nsid w:val="539E0D05"/>
    <w:multiLevelType w:val="hybridMultilevel"/>
    <w:tmpl w:val="FD16F8D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8026B"/>
    <w:multiLevelType w:val="hybridMultilevel"/>
    <w:tmpl w:val="9C0271F6"/>
    <w:lvl w:ilvl="0" w:tplc="9864AE12">
      <w:start w:val="1"/>
      <w:numFmt w:val="decimal"/>
      <w:lvlText w:val="%1."/>
      <w:lvlJc w:val="left"/>
      <w:pPr>
        <w:ind w:left="1698" w:hanging="70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551256B3"/>
    <w:multiLevelType w:val="hybridMultilevel"/>
    <w:tmpl w:val="66CC3324"/>
    <w:lvl w:ilvl="0" w:tplc="BCAA665C">
      <w:start w:val="1"/>
      <w:numFmt w:val="lowerLetter"/>
      <w:lvlText w:val="%1)"/>
      <w:lvlJc w:val="left"/>
      <w:pPr>
        <w:ind w:left="1353"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55BE33DD"/>
    <w:multiLevelType w:val="hybridMultilevel"/>
    <w:tmpl w:val="816ECBEC"/>
    <w:lvl w:ilvl="0" w:tplc="AADE7ADA">
      <w:start w:val="7"/>
      <w:numFmt w:val="bullet"/>
      <w:lvlText w:val="-"/>
      <w:lvlJc w:val="left"/>
      <w:pPr>
        <w:ind w:left="107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618BB"/>
    <w:multiLevelType w:val="singleLevel"/>
    <w:tmpl w:val="5F7A4F58"/>
    <w:lvl w:ilvl="0">
      <w:start w:val="1"/>
      <w:numFmt w:val="decimal"/>
      <w:lvlRestart w:val="0"/>
      <w:lvlText w:val="%1."/>
      <w:lvlJc w:val="left"/>
      <w:pPr>
        <w:tabs>
          <w:tab w:val="num" w:pos="475"/>
        </w:tabs>
        <w:ind w:left="0" w:firstLine="0"/>
      </w:pPr>
      <w:rPr>
        <w:spacing w:val="0"/>
        <w:w w:val="100"/>
      </w:rPr>
    </w:lvl>
  </w:abstractNum>
  <w:abstractNum w:abstractNumId="3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06F5589"/>
    <w:multiLevelType w:val="hybridMultilevel"/>
    <w:tmpl w:val="B386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53E3B"/>
    <w:multiLevelType w:val="hybridMultilevel"/>
    <w:tmpl w:val="BD2CBF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C6ED6"/>
    <w:multiLevelType w:val="hybridMultilevel"/>
    <w:tmpl w:val="2D6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42FDF"/>
    <w:multiLevelType w:val="hybridMultilevel"/>
    <w:tmpl w:val="D8523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D41D4A"/>
    <w:multiLevelType w:val="hybridMultilevel"/>
    <w:tmpl w:val="0CF437CA"/>
    <w:lvl w:ilvl="0" w:tplc="DC8A4D9E">
      <w:start w:val="1"/>
      <w:numFmt w:val="upperLetter"/>
      <w:lvlText w:val="%1."/>
      <w:lvlJc w:val="left"/>
      <w:pPr>
        <w:ind w:left="1698" w:hanging="70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A37009"/>
    <w:multiLevelType w:val="hybridMultilevel"/>
    <w:tmpl w:val="7F8ED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6758A"/>
    <w:multiLevelType w:val="hybridMultilevel"/>
    <w:tmpl w:val="1516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64C5F"/>
    <w:multiLevelType w:val="hybridMultilevel"/>
    <w:tmpl w:val="B20E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num>
  <w:num w:numId="2">
    <w:abstractNumId w:val="24"/>
  </w:num>
  <w:num w:numId="3">
    <w:abstractNumId w:val="45"/>
  </w:num>
  <w:num w:numId="4">
    <w:abstractNumId w:val="41"/>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16"/>
  </w:num>
  <w:num w:numId="18">
    <w:abstractNumId w:val="30"/>
  </w:num>
  <w:num w:numId="19">
    <w:abstractNumId w:val="40"/>
  </w:num>
  <w:num w:numId="20">
    <w:abstractNumId w:val="32"/>
  </w:num>
  <w:num w:numId="21">
    <w:abstractNumId w:val="10"/>
  </w:num>
  <w:num w:numId="22">
    <w:abstractNumId w:val="14"/>
  </w:num>
  <w:num w:numId="23">
    <w:abstractNumId w:val="13"/>
  </w:num>
  <w:num w:numId="24">
    <w:abstractNumId w:val="36"/>
  </w:num>
  <w:num w:numId="25">
    <w:abstractNumId w:val="33"/>
  </w:num>
  <w:num w:numId="26">
    <w:abstractNumId w:val="17"/>
  </w:num>
  <w:num w:numId="27">
    <w:abstractNumId w:val="20"/>
  </w:num>
  <w:num w:numId="28">
    <w:abstractNumId w:val="44"/>
  </w:num>
  <w:num w:numId="29">
    <w:abstractNumId w:val="12"/>
  </w:num>
  <w:num w:numId="30">
    <w:abstractNumId w:val="21"/>
  </w:num>
  <w:num w:numId="31">
    <w:abstractNumId w:val="18"/>
  </w:num>
  <w:num w:numId="32">
    <w:abstractNumId w:val="26"/>
  </w:num>
  <w:num w:numId="33">
    <w:abstractNumId w:val="23"/>
  </w:num>
  <w:num w:numId="34">
    <w:abstractNumId w:val="19"/>
  </w:num>
  <w:num w:numId="35">
    <w:abstractNumId w:val="42"/>
  </w:num>
  <w:num w:numId="36">
    <w:abstractNumId w:val="29"/>
  </w:num>
  <w:num w:numId="37">
    <w:abstractNumId w:val="39"/>
  </w:num>
  <w:num w:numId="38">
    <w:abstractNumId w:val="15"/>
  </w:num>
  <w:num w:numId="39">
    <w:abstractNumId w:val="22"/>
  </w:num>
  <w:num w:numId="40">
    <w:abstractNumId w:val="25"/>
  </w:num>
  <w:num w:numId="41">
    <w:abstractNumId w:val="37"/>
  </w:num>
  <w:num w:numId="42">
    <w:abstractNumId w:val="35"/>
  </w:num>
  <w:num w:numId="43">
    <w:abstractNumId w:val="43"/>
  </w:num>
  <w:num w:numId="44">
    <w:abstractNumId w:val="28"/>
  </w:num>
  <w:num w:numId="45">
    <w:abstractNumId w:val="27"/>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E"/>
    <w:rsid w:val="00000051"/>
    <w:rsid w:val="00000057"/>
    <w:rsid w:val="00000E1F"/>
    <w:rsid w:val="0000385E"/>
    <w:rsid w:val="00006BB9"/>
    <w:rsid w:val="00007976"/>
    <w:rsid w:val="00010478"/>
    <w:rsid w:val="0001230B"/>
    <w:rsid w:val="0001237C"/>
    <w:rsid w:val="00014699"/>
    <w:rsid w:val="000154A3"/>
    <w:rsid w:val="00015679"/>
    <w:rsid w:val="0001596D"/>
    <w:rsid w:val="00016AE4"/>
    <w:rsid w:val="00021828"/>
    <w:rsid w:val="0002205E"/>
    <w:rsid w:val="000228A6"/>
    <w:rsid w:val="000235B1"/>
    <w:rsid w:val="0002408A"/>
    <w:rsid w:val="00024C84"/>
    <w:rsid w:val="000253F4"/>
    <w:rsid w:val="0002576A"/>
    <w:rsid w:val="000257CC"/>
    <w:rsid w:val="0002696A"/>
    <w:rsid w:val="00026A2C"/>
    <w:rsid w:val="00031522"/>
    <w:rsid w:val="00035929"/>
    <w:rsid w:val="00040443"/>
    <w:rsid w:val="000406A4"/>
    <w:rsid w:val="00040C06"/>
    <w:rsid w:val="00040C5A"/>
    <w:rsid w:val="00040FAE"/>
    <w:rsid w:val="000419BE"/>
    <w:rsid w:val="00041F69"/>
    <w:rsid w:val="00042426"/>
    <w:rsid w:val="00044C56"/>
    <w:rsid w:val="000459B1"/>
    <w:rsid w:val="000477C7"/>
    <w:rsid w:val="000479F6"/>
    <w:rsid w:val="0005100A"/>
    <w:rsid w:val="00052270"/>
    <w:rsid w:val="0005274F"/>
    <w:rsid w:val="00053BA2"/>
    <w:rsid w:val="0005523B"/>
    <w:rsid w:val="000554A6"/>
    <w:rsid w:val="0005724C"/>
    <w:rsid w:val="0005799F"/>
    <w:rsid w:val="00060CD5"/>
    <w:rsid w:val="0006155F"/>
    <w:rsid w:val="0006190D"/>
    <w:rsid w:val="00061DCD"/>
    <w:rsid w:val="0006211B"/>
    <w:rsid w:val="00062DC4"/>
    <w:rsid w:val="00062FFA"/>
    <w:rsid w:val="000632D9"/>
    <w:rsid w:val="00063937"/>
    <w:rsid w:val="00063B99"/>
    <w:rsid w:val="00063BD1"/>
    <w:rsid w:val="00063D2F"/>
    <w:rsid w:val="000641F2"/>
    <w:rsid w:val="0006431A"/>
    <w:rsid w:val="00064574"/>
    <w:rsid w:val="00064C3E"/>
    <w:rsid w:val="00064F0C"/>
    <w:rsid w:val="000650A5"/>
    <w:rsid w:val="00066489"/>
    <w:rsid w:val="00070766"/>
    <w:rsid w:val="00070D50"/>
    <w:rsid w:val="00071EDC"/>
    <w:rsid w:val="00072423"/>
    <w:rsid w:val="0007307B"/>
    <w:rsid w:val="000733FB"/>
    <w:rsid w:val="00073E37"/>
    <w:rsid w:val="000741FC"/>
    <w:rsid w:val="00075B30"/>
    <w:rsid w:val="00076342"/>
    <w:rsid w:val="0008003F"/>
    <w:rsid w:val="00080587"/>
    <w:rsid w:val="00080C46"/>
    <w:rsid w:val="00081579"/>
    <w:rsid w:val="000825B2"/>
    <w:rsid w:val="00086A5F"/>
    <w:rsid w:val="00086BDA"/>
    <w:rsid w:val="000902EE"/>
    <w:rsid w:val="00091C2A"/>
    <w:rsid w:val="00091D66"/>
    <w:rsid w:val="00091F72"/>
    <w:rsid w:val="00092A15"/>
    <w:rsid w:val="00092AD2"/>
    <w:rsid w:val="00094583"/>
    <w:rsid w:val="00094709"/>
    <w:rsid w:val="000A051F"/>
    <w:rsid w:val="000A1E8C"/>
    <w:rsid w:val="000A36A2"/>
    <w:rsid w:val="000A4E6A"/>
    <w:rsid w:val="000A5CB8"/>
    <w:rsid w:val="000A5D66"/>
    <w:rsid w:val="000A654C"/>
    <w:rsid w:val="000A67E7"/>
    <w:rsid w:val="000A699A"/>
    <w:rsid w:val="000A6AA3"/>
    <w:rsid w:val="000B093A"/>
    <w:rsid w:val="000B0B32"/>
    <w:rsid w:val="000B2D9E"/>
    <w:rsid w:val="000B3C5D"/>
    <w:rsid w:val="000B487B"/>
    <w:rsid w:val="000B504C"/>
    <w:rsid w:val="000B57E7"/>
    <w:rsid w:val="000B7367"/>
    <w:rsid w:val="000B774F"/>
    <w:rsid w:val="000C02CD"/>
    <w:rsid w:val="000C0491"/>
    <w:rsid w:val="000C0D9E"/>
    <w:rsid w:val="000C1EDF"/>
    <w:rsid w:val="000C25AF"/>
    <w:rsid w:val="000C2722"/>
    <w:rsid w:val="000C4C1D"/>
    <w:rsid w:val="000C4DE2"/>
    <w:rsid w:val="000C5960"/>
    <w:rsid w:val="000C69D6"/>
    <w:rsid w:val="000C6BE3"/>
    <w:rsid w:val="000C6F17"/>
    <w:rsid w:val="000D044E"/>
    <w:rsid w:val="000D18B1"/>
    <w:rsid w:val="000D2C84"/>
    <w:rsid w:val="000D329F"/>
    <w:rsid w:val="000D51E7"/>
    <w:rsid w:val="000D5B3B"/>
    <w:rsid w:val="000D6017"/>
    <w:rsid w:val="000D607B"/>
    <w:rsid w:val="000D646F"/>
    <w:rsid w:val="000D67C7"/>
    <w:rsid w:val="000D7886"/>
    <w:rsid w:val="000D7BDD"/>
    <w:rsid w:val="000E1CDF"/>
    <w:rsid w:val="000E30B7"/>
    <w:rsid w:val="000E3694"/>
    <w:rsid w:val="000E5C42"/>
    <w:rsid w:val="000E5E06"/>
    <w:rsid w:val="000E6ED8"/>
    <w:rsid w:val="000E70A0"/>
    <w:rsid w:val="000E7136"/>
    <w:rsid w:val="000F09DF"/>
    <w:rsid w:val="000F1908"/>
    <w:rsid w:val="000F1CE0"/>
    <w:rsid w:val="000F23C6"/>
    <w:rsid w:val="000F24C0"/>
    <w:rsid w:val="000F24C7"/>
    <w:rsid w:val="000F2A6C"/>
    <w:rsid w:val="000F407F"/>
    <w:rsid w:val="000F44FE"/>
    <w:rsid w:val="000F5461"/>
    <w:rsid w:val="000F571C"/>
    <w:rsid w:val="000F5B50"/>
    <w:rsid w:val="000F5C2B"/>
    <w:rsid w:val="000F61B2"/>
    <w:rsid w:val="001018F2"/>
    <w:rsid w:val="00101FDD"/>
    <w:rsid w:val="001031B0"/>
    <w:rsid w:val="001031D7"/>
    <w:rsid w:val="00105908"/>
    <w:rsid w:val="00105A7A"/>
    <w:rsid w:val="00105DB7"/>
    <w:rsid w:val="001075E9"/>
    <w:rsid w:val="00107C37"/>
    <w:rsid w:val="00107DDC"/>
    <w:rsid w:val="00110AB1"/>
    <w:rsid w:val="00111C81"/>
    <w:rsid w:val="00111EC5"/>
    <w:rsid w:val="001133BE"/>
    <w:rsid w:val="001145E5"/>
    <w:rsid w:val="00116D5B"/>
    <w:rsid w:val="00122806"/>
    <w:rsid w:val="00122856"/>
    <w:rsid w:val="00124ABA"/>
    <w:rsid w:val="00124D59"/>
    <w:rsid w:val="001250AE"/>
    <w:rsid w:val="00127038"/>
    <w:rsid w:val="00127208"/>
    <w:rsid w:val="00127A7A"/>
    <w:rsid w:val="001308D8"/>
    <w:rsid w:val="00133165"/>
    <w:rsid w:val="00133F46"/>
    <w:rsid w:val="0013480C"/>
    <w:rsid w:val="00135A77"/>
    <w:rsid w:val="00135F7C"/>
    <w:rsid w:val="001363B5"/>
    <w:rsid w:val="00136A88"/>
    <w:rsid w:val="001378A9"/>
    <w:rsid w:val="00137D46"/>
    <w:rsid w:val="00137E51"/>
    <w:rsid w:val="001412B3"/>
    <w:rsid w:val="00143294"/>
    <w:rsid w:val="00143F18"/>
    <w:rsid w:val="00145F15"/>
    <w:rsid w:val="001472D2"/>
    <w:rsid w:val="00147367"/>
    <w:rsid w:val="00147D1C"/>
    <w:rsid w:val="0015021E"/>
    <w:rsid w:val="00150A7A"/>
    <w:rsid w:val="001517B5"/>
    <w:rsid w:val="00152A0A"/>
    <w:rsid w:val="00154DAB"/>
    <w:rsid w:val="0016023C"/>
    <w:rsid w:val="00160DE3"/>
    <w:rsid w:val="00160FF7"/>
    <w:rsid w:val="00161FB9"/>
    <w:rsid w:val="001627F6"/>
    <w:rsid w:val="001634A9"/>
    <w:rsid w:val="001646CB"/>
    <w:rsid w:val="001659C2"/>
    <w:rsid w:val="001660B3"/>
    <w:rsid w:val="001705DB"/>
    <w:rsid w:val="001713AF"/>
    <w:rsid w:val="00172385"/>
    <w:rsid w:val="00172667"/>
    <w:rsid w:val="00172D34"/>
    <w:rsid w:val="001737AF"/>
    <w:rsid w:val="00174A90"/>
    <w:rsid w:val="001761D5"/>
    <w:rsid w:val="00176B17"/>
    <w:rsid w:val="001770AF"/>
    <w:rsid w:val="00177EA7"/>
    <w:rsid w:val="00180183"/>
    <w:rsid w:val="001806F9"/>
    <w:rsid w:val="001823AE"/>
    <w:rsid w:val="001824C2"/>
    <w:rsid w:val="00183725"/>
    <w:rsid w:val="00183C0D"/>
    <w:rsid w:val="00183E56"/>
    <w:rsid w:val="00185C1B"/>
    <w:rsid w:val="00186ABF"/>
    <w:rsid w:val="00186AD4"/>
    <w:rsid w:val="0019087E"/>
    <w:rsid w:val="00193662"/>
    <w:rsid w:val="00194EE8"/>
    <w:rsid w:val="00195969"/>
    <w:rsid w:val="00196389"/>
    <w:rsid w:val="00197C6E"/>
    <w:rsid w:val="001A17D0"/>
    <w:rsid w:val="001A1F00"/>
    <w:rsid w:val="001A204C"/>
    <w:rsid w:val="001A392F"/>
    <w:rsid w:val="001A55BF"/>
    <w:rsid w:val="001A5D67"/>
    <w:rsid w:val="001A604F"/>
    <w:rsid w:val="001A6C1E"/>
    <w:rsid w:val="001A6D52"/>
    <w:rsid w:val="001A7B31"/>
    <w:rsid w:val="001B0402"/>
    <w:rsid w:val="001B469B"/>
    <w:rsid w:val="001B523F"/>
    <w:rsid w:val="001B7F9E"/>
    <w:rsid w:val="001C133A"/>
    <w:rsid w:val="001C30A6"/>
    <w:rsid w:val="001C3A11"/>
    <w:rsid w:val="001C3AC8"/>
    <w:rsid w:val="001C3DEB"/>
    <w:rsid w:val="001C43F3"/>
    <w:rsid w:val="001C4573"/>
    <w:rsid w:val="001C4642"/>
    <w:rsid w:val="001C5316"/>
    <w:rsid w:val="001C5883"/>
    <w:rsid w:val="001C5E3A"/>
    <w:rsid w:val="001C5FA8"/>
    <w:rsid w:val="001C7A89"/>
    <w:rsid w:val="001D103B"/>
    <w:rsid w:val="001D2E93"/>
    <w:rsid w:val="001D33B3"/>
    <w:rsid w:val="001D515A"/>
    <w:rsid w:val="001D5320"/>
    <w:rsid w:val="001D575C"/>
    <w:rsid w:val="001D69EB"/>
    <w:rsid w:val="001D6B07"/>
    <w:rsid w:val="001D6D61"/>
    <w:rsid w:val="001D7442"/>
    <w:rsid w:val="001E00CA"/>
    <w:rsid w:val="001E09DF"/>
    <w:rsid w:val="001E0B0E"/>
    <w:rsid w:val="001E0D31"/>
    <w:rsid w:val="001E183D"/>
    <w:rsid w:val="001E2A5D"/>
    <w:rsid w:val="001E2AB9"/>
    <w:rsid w:val="001E2C7F"/>
    <w:rsid w:val="001E3F23"/>
    <w:rsid w:val="001E4B4C"/>
    <w:rsid w:val="001E5381"/>
    <w:rsid w:val="001E6347"/>
    <w:rsid w:val="001E7280"/>
    <w:rsid w:val="001E79B2"/>
    <w:rsid w:val="001F056B"/>
    <w:rsid w:val="001F4362"/>
    <w:rsid w:val="001F4E67"/>
    <w:rsid w:val="001F53DB"/>
    <w:rsid w:val="001F62DD"/>
    <w:rsid w:val="001F6694"/>
    <w:rsid w:val="001F71EB"/>
    <w:rsid w:val="001F75DD"/>
    <w:rsid w:val="0020114C"/>
    <w:rsid w:val="00202856"/>
    <w:rsid w:val="0020627E"/>
    <w:rsid w:val="00207F69"/>
    <w:rsid w:val="0021034D"/>
    <w:rsid w:val="002141CB"/>
    <w:rsid w:val="002143EB"/>
    <w:rsid w:val="002160D8"/>
    <w:rsid w:val="00216570"/>
    <w:rsid w:val="00217F54"/>
    <w:rsid w:val="002210D2"/>
    <w:rsid w:val="00223610"/>
    <w:rsid w:val="0022380B"/>
    <w:rsid w:val="00223917"/>
    <w:rsid w:val="00223F00"/>
    <w:rsid w:val="00225313"/>
    <w:rsid w:val="00225E84"/>
    <w:rsid w:val="0022675A"/>
    <w:rsid w:val="0022765D"/>
    <w:rsid w:val="00227AD1"/>
    <w:rsid w:val="00227B7A"/>
    <w:rsid w:val="00230016"/>
    <w:rsid w:val="00230026"/>
    <w:rsid w:val="00231A63"/>
    <w:rsid w:val="00231FDD"/>
    <w:rsid w:val="00232AED"/>
    <w:rsid w:val="002336BD"/>
    <w:rsid w:val="002342BE"/>
    <w:rsid w:val="002349ED"/>
    <w:rsid w:val="00234A66"/>
    <w:rsid w:val="00235264"/>
    <w:rsid w:val="00236822"/>
    <w:rsid w:val="00237289"/>
    <w:rsid w:val="00237500"/>
    <w:rsid w:val="00237E04"/>
    <w:rsid w:val="002416A2"/>
    <w:rsid w:val="002437FF"/>
    <w:rsid w:val="00243A2C"/>
    <w:rsid w:val="002468D2"/>
    <w:rsid w:val="00247181"/>
    <w:rsid w:val="00250937"/>
    <w:rsid w:val="002509B8"/>
    <w:rsid w:val="002509D4"/>
    <w:rsid w:val="00250A38"/>
    <w:rsid w:val="00250D57"/>
    <w:rsid w:val="0025153D"/>
    <w:rsid w:val="00252572"/>
    <w:rsid w:val="00254A12"/>
    <w:rsid w:val="00255D95"/>
    <w:rsid w:val="00257153"/>
    <w:rsid w:val="002609BC"/>
    <w:rsid w:val="00260D4E"/>
    <w:rsid w:val="00260E12"/>
    <w:rsid w:val="00261107"/>
    <w:rsid w:val="002612BF"/>
    <w:rsid w:val="00261809"/>
    <w:rsid w:val="00261C0A"/>
    <w:rsid w:val="00262097"/>
    <w:rsid w:val="00262BA9"/>
    <w:rsid w:val="0026302B"/>
    <w:rsid w:val="0026397D"/>
    <w:rsid w:val="00263D6D"/>
    <w:rsid w:val="0026456E"/>
    <w:rsid w:val="00264E5E"/>
    <w:rsid w:val="00266AB5"/>
    <w:rsid w:val="00266C22"/>
    <w:rsid w:val="00266C93"/>
    <w:rsid w:val="00267EE2"/>
    <w:rsid w:val="0027002E"/>
    <w:rsid w:val="002700FD"/>
    <w:rsid w:val="00271B50"/>
    <w:rsid w:val="00272004"/>
    <w:rsid w:val="002735E6"/>
    <w:rsid w:val="002741BA"/>
    <w:rsid w:val="00274E87"/>
    <w:rsid w:val="00277E70"/>
    <w:rsid w:val="00281570"/>
    <w:rsid w:val="00282675"/>
    <w:rsid w:val="00282BE1"/>
    <w:rsid w:val="00282C06"/>
    <w:rsid w:val="00282C8B"/>
    <w:rsid w:val="002839CB"/>
    <w:rsid w:val="00283F34"/>
    <w:rsid w:val="00284425"/>
    <w:rsid w:val="00284692"/>
    <w:rsid w:val="002862BD"/>
    <w:rsid w:val="00291427"/>
    <w:rsid w:val="00292702"/>
    <w:rsid w:val="00292D56"/>
    <w:rsid w:val="00293CF5"/>
    <w:rsid w:val="00294FBE"/>
    <w:rsid w:val="002953A3"/>
    <w:rsid w:val="00295886"/>
    <w:rsid w:val="00295B53"/>
    <w:rsid w:val="002A061F"/>
    <w:rsid w:val="002A0A14"/>
    <w:rsid w:val="002A0A78"/>
    <w:rsid w:val="002A10E7"/>
    <w:rsid w:val="002A1F3F"/>
    <w:rsid w:val="002A29D7"/>
    <w:rsid w:val="002A2EFC"/>
    <w:rsid w:val="002A4891"/>
    <w:rsid w:val="002A696F"/>
    <w:rsid w:val="002A6FA7"/>
    <w:rsid w:val="002A798B"/>
    <w:rsid w:val="002A7B8A"/>
    <w:rsid w:val="002B00C0"/>
    <w:rsid w:val="002B04E8"/>
    <w:rsid w:val="002B2A66"/>
    <w:rsid w:val="002B3105"/>
    <w:rsid w:val="002B4311"/>
    <w:rsid w:val="002B4436"/>
    <w:rsid w:val="002B468A"/>
    <w:rsid w:val="002B46A9"/>
    <w:rsid w:val="002B5705"/>
    <w:rsid w:val="002B6BFD"/>
    <w:rsid w:val="002B6DF1"/>
    <w:rsid w:val="002B7247"/>
    <w:rsid w:val="002B748E"/>
    <w:rsid w:val="002C03C8"/>
    <w:rsid w:val="002C0E18"/>
    <w:rsid w:val="002C1228"/>
    <w:rsid w:val="002C1873"/>
    <w:rsid w:val="002C1AF1"/>
    <w:rsid w:val="002C2132"/>
    <w:rsid w:val="002C33BB"/>
    <w:rsid w:val="002C39D8"/>
    <w:rsid w:val="002C479B"/>
    <w:rsid w:val="002C4843"/>
    <w:rsid w:val="002C6572"/>
    <w:rsid w:val="002C77BE"/>
    <w:rsid w:val="002D2332"/>
    <w:rsid w:val="002D3B9A"/>
    <w:rsid w:val="002D43A5"/>
    <w:rsid w:val="002D469E"/>
    <w:rsid w:val="002D5AAC"/>
    <w:rsid w:val="002D64AA"/>
    <w:rsid w:val="002D779B"/>
    <w:rsid w:val="002D7C8D"/>
    <w:rsid w:val="002D7D04"/>
    <w:rsid w:val="002E092A"/>
    <w:rsid w:val="002E0965"/>
    <w:rsid w:val="002E16F2"/>
    <w:rsid w:val="002E3A16"/>
    <w:rsid w:val="002E443D"/>
    <w:rsid w:val="002E534F"/>
    <w:rsid w:val="002E661F"/>
    <w:rsid w:val="002F13FE"/>
    <w:rsid w:val="002F153F"/>
    <w:rsid w:val="002F1919"/>
    <w:rsid w:val="002F3A1F"/>
    <w:rsid w:val="002F3CB0"/>
    <w:rsid w:val="002F3EB8"/>
    <w:rsid w:val="002F3F79"/>
    <w:rsid w:val="002F4176"/>
    <w:rsid w:val="002F4C2F"/>
    <w:rsid w:val="002F582B"/>
    <w:rsid w:val="002F5F11"/>
    <w:rsid w:val="002F6295"/>
    <w:rsid w:val="002F7420"/>
    <w:rsid w:val="0030051C"/>
    <w:rsid w:val="00300ADB"/>
    <w:rsid w:val="00301299"/>
    <w:rsid w:val="00303048"/>
    <w:rsid w:val="00303F8D"/>
    <w:rsid w:val="00304162"/>
    <w:rsid w:val="003044A0"/>
    <w:rsid w:val="003055F2"/>
    <w:rsid w:val="003078F9"/>
    <w:rsid w:val="00307D61"/>
    <w:rsid w:val="003101F3"/>
    <w:rsid w:val="00310206"/>
    <w:rsid w:val="003112FB"/>
    <w:rsid w:val="00311717"/>
    <w:rsid w:val="00311F7F"/>
    <w:rsid w:val="003130EA"/>
    <w:rsid w:val="003137CF"/>
    <w:rsid w:val="00313D4F"/>
    <w:rsid w:val="00316BDD"/>
    <w:rsid w:val="003179F0"/>
    <w:rsid w:val="003202C6"/>
    <w:rsid w:val="003209F0"/>
    <w:rsid w:val="003209FE"/>
    <w:rsid w:val="003215E6"/>
    <w:rsid w:val="00322004"/>
    <w:rsid w:val="00322FCF"/>
    <w:rsid w:val="003238F3"/>
    <w:rsid w:val="00323917"/>
    <w:rsid w:val="003239DF"/>
    <w:rsid w:val="00323CB9"/>
    <w:rsid w:val="00323E52"/>
    <w:rsid w:val="00324C94"/>
    <w:rsid w:val="00325626"/>
    <w:rsid w:val="0032640B"/>
    <w:rsid w:val="003275B3"/>
    <w:rsid w:val="00331906"/>
    <w:rsid w:val="00332A40"/>
    <w:rsid w:val="00332F2F"/>
    <w:rsid w:val="00333539"/>
    <w:rsid w:val="00334E82"/>
    <w:rsid w:val="0033617A"/>
    <w:rsid w:val="003376B8"/>
    <w:rsid w:val="00337D7F"/>
    <w:rsid w:val="003402C2"/>
    <w:rsid w:val="003419E6"/>
    <w:rsid w:val="00341CF3"/>
    <w:rsid w:val="0034212A"/>
    <w:rsid w:val="00342FF4"/>
    <w:rsid w:val="003431C8"/>
    <w:rsid w:val="00343A18"/>
    <w:rsid w:val="00344DF4"/>
    <w:rsid w:val="00345138"/>
    <w:rsid w:val="00346B67"/>
    <w:rsid w:val="00347109"/>
    <w:rsid w:val="003479C1"/>
    <w:rsid w:val="003500B5"/>
    <w:rsid w:val="00350312"/>
    <w:rsid w:val="00350669"/>
    <w:rsid w:val="00350C3F"/>
    <w:rsid w:val="0035108B"/>
    <w:rsid w:val="00351842"/>
    <w:rsid w:val="00351F31"/>
    <w:rsid w:val="00352578"/>
    <w:rsid w:val="00352B36"/>
    <w:rsid w:val="00352F9A"/>
    <w:rsid w:val="0035391A"/>
    <w:rsid w:val="00354F35"/>
    <w:rsid w:val="00356277"/>
    <w:rsid w:val="00356F78"/>
    <w:rsid w:val="00361254"/>
    <w:rsid w:val="00361EC9"/>
    <w:rsid w:val="0036362A"/>
    <w:rsid w:val="0036405F"/>
    <w:rsid w:val="003649C6"/>
    <w:rsid w:val="00365646"/>
    <w:rsid w:val="00366274"/>
    <w:rsid w:val="00370986"/>
    <w:rsid w:val="00370D42"/>
    <w:rsid w:val="00372AC4"/>
    <w:rsid w:val="003749BC"/>
    <w:rsid w:val="00376630"/>
    <w:rsid w:val="00376AF0"/>
    <w:rsid w:val="0037743E"/>
    <w:rsid w:val="003774C9"/>
    <w:rsid w:val="003777A8"/>
    <w:rsid w:val="00381C24"/>
    <w:rsid w:val="00383118"/>
    <w:rsid w:val="00383218"/>
    <w:rsid w:val="0038387F"/>
    <w:rsid w:val="00383E81"/>
    <w:rsid w:val="00383EFB"/>
    <w:rsid w:val="00383F7E"/>
    <w:rsid w:val="00384B77"/>
    <w:rsid w:val="003855E3"/>
    <w:rsid w:val="003860AD"/>
    <w:rsid w:val="003918EA"/>
    <w:rsid w:val="003958D0"/>
    <w:rsid w:val="00395F66"/>
    <w:rsid w:val="00396598"/>
    <w:rsid w:val="003A0118"/>
    <w:rsid w:val="003A0F2A"/>
    <w:rsid w:val="003A15FB"/>
    <w:rsid w:val="003A1A27"/>
    <w:rsid w:val="003A1F85"/>
    <w:rsid w:val="003A22FB"/>
    <w:rsid w:val="003A2C91"/>
    <w:rsid w:val="003A2EC0"/>
    <w:rsid w:val="003A3482"/>
    <w:rsid w:val="003A430E"/>
    <w:rsid w:val="003A6315"/>
    <w:rsid w:val="003A69B7"/>
    <w:rsid w:val="003B0046"/>
    <w:rsid w:val="003B0B7C"/>
    <w:rsid w:val="003B13A3"/>
    <w:rsid w:val="003B1BDA"/>
    <w:rsid w:val="003B2A41"/>
    <w:rsid w:val="003B354D"/>
    <w:rsid w:val="003B37B5"/>
    <w:rsid w:val="003B524E"/>
    <w:rsid w:val="003B525E"/>
    <w:rsid w:val="003B704D"/>
    <w:rsid w:val="003C07B6"/>
    <w:rsid w:val="003C0C82"/>
    <w:rsid w:val="003C1524"/>
    <w:rsid w:val="003C3092"/>
    <w:rsid w:val="003C37B7"/>
    <w:rsid w:val="003C6193"/>
    <w:rsid w:val="003C68BE"/>
    <w:rsid w:val="003D3E5B"/>
    <w:rsid w:val="003D448B"/>
    <w:rsid w:val="003D4E6D"/>
    <w:rsid w:val="003D5278"/>
    <w:rsid w:val="003E0267"/>
    <w:rsid w:val="003E1580"/>
    <w:rsid w:val="003E1F6E"/>
    <w:rsid w:val="003E222D"/>
    <w:rsid w:val="003E3BB9"/>
    <w:rsid w:val="003E6E58"/>
    <w:rsid w:val="003E7363"/>
    <w:rsid w:val="003E7CCA"/>
    <w:rsid w:val="003F220A"/>
    <w:rsid w:val="003F52E0"/>
    <w:rsid w:val="003F6FB3"/>
    <w:rsid w:val="003F70D9"/>
    <w:rsid w:val="0040162E"/>
    <w:rsid w:val="00402602"/>
    <w:rsid w:val="0040277A"/>
    <w:rsid w:val="00403253"/>
    <w:rsid w:val="00403E2E"/>
    <w:rsid w:val="0040483A"/>
    <w:rsid w:val="0040738C"/>
    <w:rsid w:val="004074F2"/>
    <w:rsid w:val="004101AE"/>
    <w:rsid w:val="00410A7C"/>
    <w:rsid w:val="004116AB"/>
    <w:rsid w:val="00411B8C"/>
    <w:rsid w:val="004129D2"/>
    <w:rsid w:val="00412B4C"/>
    <w:rsid w:val="00413039"/>
    <w:rsid w:val="00414349"/>
    <w:rsid w:val="00414670"/>
    <w:rsid w:val="00414A54"/>
    <w:rsid w:val="00415157"/>
    <w:rsid w:val="00416F6E"/>
    <w:rsid w:val="004170E8"/>
    <w:rsid w:val="00417EAD"/>
    <w:rsid w:val="0042020C"/>
    <w:rsid w:val="00420CC1"/>
    <w:rsid w:val="00422807"/>
    <w:rsid w:val="00422C64"/>
    <w:rsid w:val="0042325F"/>
    <w:rsid w:val="00423374"/>
    <w:rsid w:val="00424072"/>
    <w:rsid w:val="00425452"/>
    <w:rsid w:val="004257F3"/>
    <w:rsid w:val="00425CA6"/>
    <w:rsid w:val="00426FAF"/>
    <w:rsid w:val="00426FB0"/>
    <w:rsid w:val="0043052B"/>
    <w:rsid w:val="00431EF5"/>
    <w:rsid w:val="00432BA1"/>
    <w:rsid w:val="00432BAB"/>
    <w:rsid w:val="00432D77"/>
    <w:rsid w:val="004339FD"/>
    <w:rsid w:val="00435ACC"/>
    <w:rsid w:val="0043691B"/>
    <w:rsid w:val="00437A4C"/>
    <w:rsid w:val="00437BDD"/>
    <w:rsid w:val="004404D6"/>
    <w:rsid w:val="00441A3E"/>
    <w:rsid w:val="00441C57"/>
    <w:rsid w:val="00442CE4"/>
    <w:rsid w:val="00443301"/>
    <w:rsid w:val="00444B1D"/>
    <w:rsid w:val="0044551C"/>
    <w:rsid w:val="00445CC5"/>
    <w:rsid w:val="00445F67"/>
    <w:rsid w:val="00446BE4"/>
    <w:rsid w:val="0044756B"/>
    <w:rsid w:val="00451DE7"/>
    <w:rsid w:val="004528FB"/>
    <w:rsid w:val="00453C75"/>
    <w:rsid w:val="00453F86"/>
    <w:rsid w:val="00454760"/>
    <w:rsid w:val="00454E07"/>
    <w:rsid w:val="0045568B"/>
    <w:rsid w:val="004557CE"/>
    <w:rsid w:val="0045593D"/>
    <w:rsid w:val="00456591"/>
    <w:rsid w:val="004578AE"/>
    <w:rsid w:val="00460286"/>
    <w:rsid w:val="0046124D"/>
    <w:rsid w:val="004620CD"/>
    <w:rsid w:val="0046247F"/>
    <w:rsid w:val="00463527"/>
    <w:rsid w:val="00464DD2"/>
    <w:rsid w:val="00466F6C"/>
    <w:rsid w:val="004671B9"/>
    <w:rsid w:val="00467A74"/>
    <w:rsid w:val="00471FE9"/>
    <w:rsid w:val="00475123"/>
    <w:rsid w:val="00475F81"/>
    <w:rsid w:val="0047734D"/>
    <w:rsid w:val="00477448"/>
    <w:rsid w:val="00477F9B"/>
    <w:rsid w:val="004803DB"/>
    <w:rsid w:val="004843DF"/>
    <w:rsid w:val="0048458A"/>
    <w:rsid w:val="00484D54"/>
    <w:rsid w:val="004875CF"/>
    <w:rsid w:val="00491A43"/>
    <w:rsid w:val="00493E7E"/>
    <w:rsid w:val="00494F47"/>
    <w:rsid w:val="00494FE7"/>
    <w:rsid w:val="00496E18"/>
    <w:rsid w:val="00497C4B"/>
    <w:rsid w:val="004A1BEE"/>
    <w:rsid w:val="004A296F"/>
    <w:rsid w:val="004A347F"/>
    <w:rsid w:val="004A3A03"/>
    <w:rsid w:val="004A46AC"/>
    <w:rsid w:val="004A47F2"/>
    <w:rsid w:val="004A5661"/>
    <w:rsid w:val="004A5E31"/>
    <w:rsid w:val="004A6C92"/>
    <w:rsid w:val="004A772E"/>
    <w:rsid w:val="004A7C33"/>
    <w:rsid w:val="004B06A4"/>
    <w:rsid w:val="004B0AE5"/>
    <w:rsid w:val="004B222C"/>
    <w:rsid w:val="004B2482"/>
    <w:rsid w:val="004B2E7E"/>
    <w:rsid w:val="004B3690"/>
    <w:rsid w:val="004B3AE0"/>
    <w:rsid w:val="004B3E91"/>
    <w:rsid w:val="004B4EF1"/>
    <w:rsid w:val="004B4FC7"/>
    <w:rsid w:val="004B5843"/>
    <w:rsid w:val="004B618E"/>
    <w:rsid w:val="004B7211"/>
    <w:rsid w:val="004B7438"/>
    <w:rsid w:val="004C074E"/>
    <w:rsid w:val="004C1AEF"/>
    <w:rsid w:val="004C1B1F"/>
    <w:rsid w:val="004C2216"/>
    <w:rsid w:val="004C2EEB"/>
    <w:rsid w:val="004C45BD"/>
    <w:rsid w:val="004C5575"/>
    <w:rsid w:val="004C55C3"/>
    <w:rsid w:val="004C65BA"/>
    <w:rsid w:val="004C7E79"/>
    <w:rsid w:val="004D0A90"/>
    <w:rsid w:val="004D0CCB"/>
    <w:rsid w:val="004D0EDD"/>
    <w:rsid w:val="004D10DB"/>
    <w:rsid w:val="004D116D"/>
    <w:rsid w:val="004D11F2"/>
    <w:rsid w:val="004D1C84"/>
    <w:rsid w:val="004D4350"/>
    <w:rsid w:val="004D452E"/>
    <w:rsid w:val="004D4F17"/>
    <w:rsid w:val="004D4FBF"/>
    <w:rsid w:val="004D550B"/>
    <w:rsid w:val="004D5D35"/>
    <w:rsid w:val="004D66AB"/>
    <w:rsid w:val="004D761B"/>
    <w:rsid w:val="004E07D5"/>
    <w:rsid w:val="004E2D39"/>
    <w:rsid w:val="004E32B1"/>
    <w:rsid w:val="004E420A"/>
    <w:rsid w:val="004E4B46"/>
    <w:rsid w:val="004E4FB2"/>
    <w:rsid w:val="004E54DB"/>
    <w:rsid w:val="004E55AA"/>
    <w:rsid w:val="004E5A15"/>
    <w:rsid w:val="004E5AB2"/>
    <w:rsid w:val="004E7097"/>
    <w:rsid w:val="004F09B5"/>
    <w:rsid w:val="004F2FD4"/>
    <w:rsid w:val="004F33A6"/>
    <w:rsid w:val="004F5173"/>
    <w:rsid w:val="004F5C71"/>
    <w:rsid w:val="004F6350"/>
    <w:rsid w:val="004F6689"/>
    <w:rsid w:val="004F6FD6"/>
    <w:rsid w:val="00500E02"/>
    <w:rsid w:val="0050108D"/>
    <w:rsid w:val="00501A56"/>
    <w:rsid w:val="00502F07"/>
    <w:rsid w:val="0050360D"/>
    <w:rsid w:val="0050404D"/>
    <w:rsid w:val="00504120"/>
    <w:rsid w:val="005045EE"/>
    <w:rsid w:val="00504FFE"/>
    <w:rsid w:val="0050685C"/>
    <w:rsid w:val="00506D89"/>
    <w:rsid w:val="00506FFD"/>
    <w:rsid w:val="00510105"/>
    <w:rsid w:val="00510A9A"/>
    <w:rsid w:val="00511296"/>
    <w:rsid w:val="00511D2B"/>
    <w:rsid w:val="00513295"/>
    <w:rsid w:val="005134CB"/>
    <w:rsid w:val="00513971"/>
    <w:rsid w:val="00514869"/>
    <w:rsid w:val="0051600B"/>
    <w:rsid w:val="0051663C"/>
    <w:rsid w:val="00520D43"/>
    <w:rsid w:val="00522830"/>
    <w:rsid w:val="00522E19"/>
    <w:rsid w:val="005230A3"/>
    <w:rsid w:val="00524EAB"/>
    <w:rsid w:val="00525191"/>
    <w:rsid w:val="00525BFE"/>
    <w:rsid w:val="00526558"/>
    <w:rsid w:val="0052669B"/>
    <w:rsid w:val="00527423"/>
    <w:rsid w:val="00527CBE"/>
    <w:rsid w:val="005304B4"/>
    <w:rsid w:val="00530815"/>
    <w:rsid w:val="00532526"/>
    <w:rsid w:val="0053340F"/>
    <w:rsid w:val="0053386B"/>
    <w:rsid w:val="00533D95"/>
    <w:rsid w:val="0053414F"/>
    <w:rsid w:val="00536699"/>
    <w:rsid w:val="005372AF"/>
    <w:rsid w:val="005373E0"/>
    <w:rsid w:val="005400E3"/>
    <w:rsid w:val="00541CF6"/>
    <w:rsid w:val="00543F0E"/>
    <w:rsid w:val="0054454D"/>
    <w:rsid w:val="00544C38"/>
    <w:rsid w:val="005478B3"/>
    <w:rsid w:val="00550462"/>
    <w:rsid w:val="00550480"/>
    <w:rsid w:val="00552178"/>
    <w:rsid w:val="00553B32"/>
    <w:rsid w:val="005549C7"/>
    <w:rsid w:val="00556B4C"/>
    <w:rsid w:val="00556CDE"/>
    <w:rsid w:val="00560F15"/>
    <w:rsid w:val="00561129"/>
    <w:rsid w:val="005616DF"/>
    <w:rsid w:val="00561FE9"/>
    <w:rsid w:val="00562B3E"/>
    <w:rsid w:val="00563691"/>
    <w:rsid w:val="00563769"/>
    <w:rsid w:val="00565B19"/>
    <w:rsid w:val="00566398"/>
    <w:rsid w:val="00566437"/>
    <w:rsid w:val="005671A1"/>
    <w:rsid w:val="00567789"/>
    <w:rsid w:val="00571FB6"/>
    <w:rsid w:val="00572232"/>
    <w:rsid w:val="005722E2"/>
    <w:rsid w:val="0057251E"/>
    <w:rsid w:val="00572A11"/>
    <w:rsid w:val="00572E19"/>
    <w:rsid w:val="005732E4"/>
    <w:rsid w:val="00574908"/>
    <w:rsid w:val="005750E9"/>
    <w:rsid w:val="00577BE6"/>
    <w:rsid w:val="00580182"/>
    <w:rsid w:val="0058083A"/>
    <w:rsid w:val="00580C93"/>
    <w:rsid w:val="00580E43"/>
    <w:rsid w:val="0058271A"/>
    <w:rsid w:val="005828F3"/>
    <w:rsid w:val="00583603"/>
    <w:rsid w:val="00583C90"/>
    <w:rsid w:val="0058451B"/>
    <w:rsid w:val="005849FE"/>
    <w:rsid w:val="00587B17"/>
    <w:rsid w:val="00587BB3"/>
    <w:rsid w:val="00590C5E"/>
    <w:rsid w:val="00593446"/>
    <w:rsid w:val="005959B6"/>
    <w:rsid w:val="0059666A"/>
    <w:rsid w:val="005A0C37"/>
    <w:rsid w:val="005A1028"/>
    <w:rsid w:val="005A3467"/>
    <w:rsid w:val="005A40AB"/>
    <w:rsid w:val="005A4828"/>
    <w:rsid w:val="005A5477"/>
    <w:rsid w:val="005A6445"/>
    <w:rsid w:val="005A7758"/>
    <w:rsid w:val="005B238F"/>
    <w:rsid w:val="005B428C"/>
    <w:rsid w:val="005B431B"/>
    <w:rsid w:val="005B4653"/>
    <w:rsid w:val="005B4B52"/>
    <w:rsid w:val="005B6CCE"/>
    <w:rsid w:val="005C04D0"/>
    <w:rsid w:val="005C0FCD"/>
    <w:rsid w:val="005C2CDF"/>
    <w:rsid w:val="005C2F3D"/>
    <w:rsid w:val="005C488B"/>
    <w:rsid w:val="005C6979"/>
    <w:rsid w:val="005C6B21"/>
    <w:rsid w:val="005C7378"/>
    <w:rsid w:val="005D0158"/>
    <w:rsid w:val="005D0C6A"/>
    <w:rsid w:val="005D0CFF"/>
    <w:rsid w:val="005D1720"/>
    <w:rsid w:val="005D1DE4"/>
    <w:rsid w:val="005D2A9B"/>
    <w:rsid w:val="005D5119"/>
    <w:rsid w:val="005D6933"/>
    <w:rsid w:val="005D6BC0"/>
    <w:rsid w:val="005D781A"/>
    <w:rsid w:val="005D7E97"/>
    <w:rsid w:val="005E0A61"/>
    <w:rsid w:val="005E1399"/>
    <w:rsid w:val="005E147F"/>
    <w:rsid w:val="005E2051"/>
    <w:rsid w:val="005E4834"/>
    <w:rsid w:val="005E6799"/>
    <w:rsid w:val="005E6A99"/>
    <w:rsid w:val="005F026D"/>
    <w:rsid w:val="005F051D"/>
    <w:rsid w:val="005F0B42"/>
    <w:rsid w:val="005F1692"/>
    <w:rsid w:val="005F1B16"/>
    <w:rsid w:val="005F25A3"/>
    <w:rsid w:val="005F4405"/>
    <w:rsid w:val="005F4C95"/>
    <w:rsid w:val="005F4EB1"/>
    <w:rsid w:val="005F5871"/>
    <w:rsid w:val="005F5936"/>
    <w:rsid w:val="005F7424"/>
    <w:rsid w:val="005F790C"/>
    <w:rsid w:val="00600449"/>
    <w:rsid w:val="0060180F"/>
    <w:rsid w:val="006018A2"/>
    <w:rsid w:val="0060203E"/>
    <w:rsid w:val="0060278C"/>
    <w:rsid w:val="006031C1"/>
    <w:rsid w:val="00603E54"/>
    <w:rsid w:val="00604858"/>
    <w:rsid w:val="00605C42"/>
    <w:rsid w:val="00605E0C"/>
    <w:rsid w:val="00606FC9"/>
    <w:rsid w:val="006070AC"/>
    <w:rsid w:val="00610787"/>
    <w:rsid w:val="00610ADB"/>
    <w:rsid w:val="00610DDE"/>
    <w:rsid w:val="006117C3"/>
    <w:rsid w:val="00611A81"/>
    <w:rsid w:val="006128F5"/>
    <w:rsid w:val="00612BEA"/>
    <w:rsid w:val="00614642"/>
    <w:rsid w:val="00615958"/>
    <w:rsid w:val="00617845"/>
    <w:rsid w:val="006215BD"/>
    <w:rsid w:val="0062200D"/>
    <w:rsid w:val="0062263D"/>
    <w:rsid w:val="00622971"/>
    <w:rsid w:val="00622C41"/>
    <w:rsid w:val="00624845"/>
    <w:rsid w:val="0062499F"/>
    <w:rsid w:val="00625287"/>
    <w:rsid w:val="0062545F"/>
    <w:rsid w:val="00626743"/>
    <w:rsid w:val="0062766C"/>
    <w:rsid w:val="00627A59"/>
    <w:rsid w:val="00627CB6"/>
    <w:rsid w:val="00627ECF"/>
    <w:rsid w:val="006304EE"/>
    <w:rsid w:val="00630873"/>
    <w:rsid w:val="006309F9"/>
    <w:rsid w:val="00631334"/>
    <w:rsid w:val="00631B3A"/>
    <w:rsid w:val="006342E9"/>
    <w:rsid w:val="0063459C"/>
    <w:rsid w:val="00634D6E"/>
    <w:rsid w:val="00635848"/>
    <w:rsid w:val="00635867"/>
    <w:rsid w:val="00635F2F"/>
    <w:rsid w:val="0063689A"/>
    <w:rsid w:val="00640EEB"/>
    <w:rsid w:val="00641783"/>
    <w:rsid w:val="00641A69"/>
    <w:rsid w:val="00641FC7"/>
    <w:rsid w:val="00642703"/>
    <w:rsid w:val="00643F9A"/>
    <w:rsid w:val="00645AC9"/>
    <w:rsid w:val="00645D62"/>
    <w:rsid w:val="00646A35"/>
    <w:rsid w:val="006506DC"/>
    <w:rsid w:val="006515DA"/>
    <w:rsid w:val="00654A50"/>
    <w:rsid w:val="006550E3"/>
    <w:rsid w:val="00655A21"/>
    <w:rsid w:val="0065723D"/>
    <w:rsid w:val="00657C9A"/>
    <w:rsid w:val="006616AB"/>
    <w:rsid w:val="00661D5A"/>
    <w:rsid w:val="006626A9"/>
    <w:rsid w:val="0066280B"/>
    <w:rsid w:val="00663380"/>
    <w:rsid w:val="0066345C"/>
    <w:rsid w:val="00663818"/>
    <w:rsid w:val="0066470F"/>
    <w:rsid w:val="00664E18"/>
    <w:rsid w:val="00664F87"/>
    <w:rsid w:val="00666453"/>
    <w:rsid w:val="00666ABC"/>
    <w:rsid w:val="00667827"/>
    <w:rsid w:val="006678B2"/>
    <w:rsid w:val="006709FD"/>
    <w:rsid w:val="00670AA3"/>
    <w:rsid w:val="00670C5B"/>
    <w:rsid w:val="0067202A"/>
    <w:rsid w:val="00673474"/>
    <w:rsid w:val="00674939"/>
    <w:rsid w:val="00675CCF"/>
    <w:rsid w:val="006766A4"/>
    <w:rsid w:val="0067681A"/>
    <w:rsid w:val="006808A9"/>
    <w:rsid w:val="00680A54"/>
    <w:rsid w:val="00681174"/>
    <w:rsid w:val="00681E1C"/>
    <w:rsid w:val="006820CA"/>
    <w:rsid w:val="00682523"/>
    <w:rsid w:val="0068366B"/>
    <w:rsid w:val="00684973"/>
    <w:rsid w:val="00684EDC"/>
    <w:rsid w:val="00684F2F"/>
    <w:rsid w:val="00685B7C"/>
    <w:rsid w:val="00686F13"/>
    <w:rsid w:val="00687B72"/>
    <w:rsid w:val="00690C5F"/>
    <w:rsid w:val="0069248D"/>
    <w:rsid w:val="00693F54"/>
    <w:rsid w:val="00694E5A"/>
    <w:rsid w:val="00697910"/>
    <w:rsid w:val="006A28A0"/>
    <w:rsid w:val="006A2F89"/>
    <w:rsid w:val="006A3B7C"/>
    <w:rsid w:val="006A43A9"/>
    <w:rsid w:val="006A43E4"/>
    <w:rsid w:val="006A6671"/>
    <w:rsid w:val="006A69CC"/>
    <w:rsid w:val="006A6CA8"/>
    <w:rsid w:val="006A713C"/>
    <w:rsid w:val="006A7950"/>
    <w:rsid w:val="006B2687"/>
    <w:rsid w:val="006B3D95"/>
    <w:rsid w:val="006B4880"/>
    <w:rsid w:val="006B5DA9"/>
    <w:rsid w:val="006B5FC6"/>
    <w:rsid w:val="006B6C4D"/>
    <w:rsid w:val="006B75A2"/>
    <w:rsid w:val="006C174F"/>
    <w:rsid w:val="006C2822"/>
    <w:rsid w:val="006C2E6A"/>
    <w:rsid w:val="006C3FA0"/>
    <w:rsid w:val="006C5230"/>
    <w:rsid w:val="006C596D"/>
    <w:rsid w:val="006C5D13"/>
    <w:rsid w:val="006C62F5"/>
    <w:rsid w:val="006C6936"/>
    <w:rsid w:val="006D3510"/>
    <w:rsid w:val="006D5711"/>
    <w:rsid w:val="006D5D38"/>
    <w:rsid w:val="006D607C"/>
    <w:rsid w:val="006D6097"/>
    <w:rsid w:val="006D7A05"/>
    <w:rsid w:val="006E0511"/>
    <w:rsid w:val="006E232C"/>
    <w:rsid w:val="006E2B53"/>
    <w:rsid w:val="006E46C5"/>
    <w:rsid w:val="006E480B"/>
    <w:rsid w:val="006E6DC6"/>
    <w:rsid w:val="006E7297"/>
    <w:rsid w:val="006E765B"/>
    <w:rsid w:val="006E765E"/>
    <w:rsid w:val="006F0F9B"/>
    <w:rsid w:val="006F1AC6"/>
    <w:rsid w:val="006F35EE"/>
    <w:rsid w:val="006F4AC9"/>
    <w:rsid w:val="006F4DF8"/>
    <w:rsid w:val="006F72BA"/>
    <w:rsid w:val="006F77DC"/>
    <w:rsid w:val="006F7CA3"/>
    <w:rsid w:val="00700B28"/>
    <w:rsid w:val="00702072"/>
    <w:rsid w:val="007021FF"/>
    <w:rsid w:val="00703FC7"/>
    <w:rsid w:val="0070422E"/>
    <w:rsid w:val="007045CA"/>
    <w:rsid w:val="00704AD9"/>
    <w:rsid w:val="007055C7"/>
    <w:rsid w:val="00705CD5"/>
    <w:rsid w:val="007066D2"/>
    <w:rsid w:val="007076CB"/>
    <w:rsid w:val="007105BB"/>
    <w:rsid w:val="00711EF2"/>
    <w:rsid w:val="007132EE"/>
    <w:rsid w:val="007153FF"/>
    <w:rsid w:val="00715FBF"/>
    <w:rsid w:val="0071603D"/>
    <w:rsid w:val="00716683"/>
    <w:rsid w:val="00716927"/>
    <w:rsid w:val="00717B4A"/>
    <w:rsid w:val="00717CA8"/>
    <w:rsid w:val="00720189"/>
    <w:rsid w:val="007209CF"/>
    <w:rsid w:val="0072104B"/>
    <w:rsid w:val="00721764"/>
    <w:rsid w:val="00722007"/>
    <w:rsid w:val="0072231F"/>
    <w:rsid w:val="00724623"/>
    <w:rsid w:val="007251FD"/>
    <w:rsid w:val="00727766"/>
    <w:rsid w:val="007317BD"/>
    <w:rsid w:val="00731C60"/>
    <w:rsid w:val="00732007"/>
    <w:rsid w:val="007321C6"/>
    <w:rsid w:val="0073222A"/>
    <w:rsid w:val="00732277"/>
    <w:rsid w:val="007335AF"/>
    <w:rsid w:val="00734414"/>
    <w:rsid w:val="0073491B"/>
    <w:rsid w:val="00734E3B"/>
    <w:rsid w:val="00734F0A"/>
    <w:rsid w:val="00735F92"/>
    <w:rsid w:val="007369D9"/>
    <w:rsid w:val="00737F9D"/>
    <w:rsid w:val="00740B9E"/>
    <w:rsid w:val="00741179"/>
    <w:rsid w:val="007411F3"/>
    <w:rsid w:val="007426BB"/>
    <w:rsid w:val="007440B2"/>
    <w:rsid w:val="0074431C"/>
    <w:rsid w:val="00744C1E"/>
    <w:rsid w:val="00746485"/>
    <w:rsid w:val="0074738E"/>
    <w:rsid w:val="00750DF5"/>
    <w:rsid w:val="007515B5"/>
    <w:rsid w:val="00751CBE"/>
    <w:rsid w:val="0075213A"/>
    <w:rsid w:val="0075218A"/>
    <w:rsid w:val="00752537"/>
    <w:rsid w:val="0075267A"/>
    <w:rsid w:val="00752AC2"/>
    <w:rsid w:val="00752D3A"/>
    <w:rsid w:val="00752FBA"/>
    <w:rsid w:val="00753512"/>
    <w:rsid w:val="00753E6B"/>
    <w:rsid w:val="0075458C"/>
    <w:rsid w:val="007554BB"/>
    <w:rsid w:val="00757121"/>
    <w:rsid w:val="0075796D"/>
    <w:rsid w:val="007602FD"/>
    <w:rsid w:val="007604F4"/>
    <w:rsid w:val="00762A8F"/>
    <w:rsid w:val="00762AE2"/>
    <w:rsid w:val="00762BFD"/>
    <w:rsid w:val="00764F00"/>
    <w:rsid w:val="0076711D"/>
    <w:rsid w:val="007671A9"/>
    <w:rsid w:val="007674BF"/>
    <w:rsid w:val="00770226"/>
    <w:rsid w:val="00770DFA"/>
    <w:rsid w:val="00771114"/>
    <w:rsid w:val="00772C9B"/>
    <w:rsid w:val="00774BC5"/>
    <w:rsid w:val="0077615B"/>
    <w:rsid w:val="00776381"/>
    <w:rsid w:val="00780D41"/>
    <w:rsid w:val="00780FBC"/>
    <w:rsid w:val="0078185E"/>
    <w:rsid w:val="00781F66"/>
    <w:rsid w:val="00782ADC"/>
    <w:rsid w:val="00783B2E"/>
    <w:rsid w:val="00784E53"/>
    <w:rsid w:val="0078755C"/>
    <w:rsid w:val="007903E8"/>
    <w:rsid w:val="00791300"/>
    <w:rsid w:val="00793E15"/>
    <w:rsid w:val="00794366"/>
    <w:rsid w:val="00794CE6"/>
    <w:rsid w:val="00795123"/>
    <w:rsid w:val="007967DF"/>
    <w:rsid w:val="00796A8D"/>
    <w:rsid w:val="00796D12"/>
    <w:rsid w:val="007A060B"/>
    <w:rsid w:val="007A0DB9"/>
    <w:rsid w:val="007A0E29"/>
    <w:rsid w:val="007A1C45"/>
    <w:rsid w:val="007A1FD9"/>
    <w:rsid w:val="007A2230"/>
    <w:rsid w:val="007A6988"/>
    <w:rsid w:val="007A7767"/>
    <w:rsid w:val="007B1B16"/>
    <w:rsid w:val="007B2CA5"/>
    <w:rsid w:val="007B2D5B"/>
    <w:rsid w:val="007B395A"/>
    <w:rsid w:val="007B3B6F"/>
    <w:rsid w:val="007B4065"/>
    <w:rsid w:val="007B7E80"/>
    <w:rsid w:val="007C124B"/>
    <w:rsid w:val="007C3998"/>
    <w:rsid w:val="007C4E5B"/>
    <w:rsid w:val="007C4FC4"/>
    <w:rsid w:val="007C776B"/>
    <w:rsid w:val="007D090F"/>
    <w:rsid w:val="007D15F5"/>
    <w:rsid w:val="007D1F56"/>
    <w:rsid w:val="007D20B1"/>
    <w:rsid w:val="007D2136"/>
    <w:rsid w:val="007D22C5"/>
    <w:rsid w:val="007D31A8"/>
    <w:rsid w:val="007D3B12"/>
    <w:rsid w:val="007D433B"/>
    <w:rsid w:val="007D442C"/>
    <w:rsid w:val="007D50FD"/>
    <w:rsid w:val="007D5818"/>
    <w:rsid w:val="007D58AF"/>
    <w:rsid w:val="007D66CA"/>
    <w:rsid w:val="007D7111"/>
    <w:rsid w:val="007D77EC"/>
    <w:rsid w:val="007E0F05"/>
    <w:rsid w:val="007E23A2"/>
    <w:rsid w:val="007E2A77"/>
    <w:rsid w:val="007E31A5"/>
    <w:rsid w:val="007E3AFC"/>
    <w:rsid w:val="007E4904"/>
    <w:rsid w:val="007F087F"/>
    <w:rsid w:val="007F25E8"/>
    <w:rsid w:val="007F377A"/>
    <w:rsid w:val="007F4285"/>
    <w:rsid w:val="007F4CF1"/>
    <w:rsid w:val="007F5A2A"/>
    <w:rsid w:val="007F60EE"/>
    <w:rsid w:val="007F619B"/>
    <w:rsid w:val="007F676A"/>
    <w:rsid w:val="008031E6"/>
    <w:rsid w:val="00803465"/>
    <w:rsid w:val="008038B6"/>
    <w:rsid w:val="0080617A"/>
    <w:rsid w:val="00807181"/>
    <w:rsid w:val="00807D9A"/>
    <w:rsid w:val="008147F4"/>
    <w:rsid w:val="0081524F"/>
    <w:rsid w:val="00815C37"/>
    <w:rsid w:val="00820D26"/>
    <w:rsid w:val="00821DAE"/>
    <w:rsid w:val="00821EEE"/>
    <w:rsid w:val="0082236A"/>
    <w:rsid w:val="00823930"/>
    <w:rsid w:val="00823FF7"/>
    <w:rsid w:val="0082512D"/>
    <w:rsid w:val="0082676E"/>
    <w:rsid w:val="00832DF1"/>
    <w:rsid w:val="00834B71"/>
    <w:rsid w:val="008357F9"/>
    <w:rsid w:val="008365CE"/>
    <w:rsid w:val="00836A32"/>
    <w:rsid w:val="00836CB3"/>
    <w:rsid w:val="00837061"/>
    <w:rsid w:val="00837CA0"/>
    <w:rsid w:val="008404E9"/>
    <w:rsid w:val="0084077C"/>
    <w:rsid w:val="00841F4F"/>
    <w:rsid w:val="00842BC8"/>
    <w:rsid w:val="00843D7C"/>
    <w:rsid w:val="008454AA"/>
    <w:rsid w:val="00845EC1"/>
    <w:rsid w:val="00846AD4"/>
    <w:rsid w:val="008504E5"/>
    <w:rsid w:val="008505EA"/>
    <w:rsid w:val="00852201"/>
    <w:rsid w:val="00852C2D"/>
    <w:rsid w:val="00853C15"/>
    <w:rsid w:val="008542BA"/>
    <w:rsid w:val="0085448F"/>
    <w:rsid w:val="00855BB9"/>
    <w:rsid w:val="008567B3"/>
    <w:rsid w:val="00856904"/>
    <w:rsid w:val="00856D93"/>
    <w:rsid w:val="00857947"/>
    <w:rsid w:val="00860943"/>
    <w:rsid w:val="00862C73"/>
    <w:rsid w:val="00862C85"/>
    <w:rsid w:val="00863D17"/>
    <w:rsid w:val="0086445C"/>
    <w:rsid w:val="00864F60"/>
    <w:rsid w:val="008656F8"/>
    <w:rsid w:val="00865A33"/>
    <w:rsid w:val="0086735C"/>
    <w:rsid w:val="00871108"/>
    <w:rsid w:val="008725B0"/>
    <w:rsid w:val="00872B5E"/>
    <w:rsid w:val="00874145"/>
    <w:rsid w:val="008772C2"/>
    <w:rsid w:val="00877713"/>
    <w:rsid w:val="008803EF"/>
    <w:rsid w:val="00880C5A"/>
    <w:rsid w:val="008812D2"/>
    <w:rsid w:val="00881A16"/>
    <w:rsid w:val="008828E8"/>
    <w:rsid w:val="00884B2C"/>
    <w:rsid w:val="0088649C"/>
    <w:rsid w:val="00887A0D"/>
    <w:rsid w:val="00890DF4"/>
    <w:rsid w:val="00890FAC"/>
    <w:rsid w:val="00893186"/>
    <w:rsid w:val="00894878"/>
    <w:rsid w:val="008957B9"/>
    <w:rsid w:val="00897452"/>
    <w:rsid w:val="008A08D7"/>
    <w:rsid w:val="008A0BC0"/>
    <w:rsid w:val="008A13F9"/>
    <w:rsid w:val="008A1458"/>
    <w:rsid w:val="008A174D"/>
    <w:rsid w:val="008A3929"/>
    <w:rsid w:val="008A50FB"/>
    <w:rsid w:val="008A536C"/>
    <w:rsid w:val="008A5F18"/>
    <w:rsid w:val="008A68D2"/>
    <w:rsid w:val="008A767B"/>
    <w:rsid w:val="008A7854"/>
    <w:rsid w:val="008B14CA"/>
    <w:rsid w:val="008B3059"/>
    <w:rsid w:val="008B59DF"/>
    <w:rsid w:val="008B69A9"/>
    <w:rsid w:val="008B7A49"/>
    <w:rsid w:val="008B7E1E"/>
    <w:rsid w:val="008C0174"/>
    <w:rsid w:val="008C06C2"/>
    <w:rsid w:val="008C075A"/>
    <w:rsid w:val="008C1DC4"/>
    <w:rsid w:val="008C1F9A"/>
    <w:rsid w:val="008C29DF"/>
    <w:rsid w:val="008C3AAF"/>
    <w:rsid w:val="008C3B73"/>
    <w:rsid w:val="008C4CE2"/>
    <w:rsid w:val="008C5D72"/>
    <w:rsid w:val="008C7513"/>
    <w:rsid w:val="008D0D39"/>
    <w:rsid w:val="008D1283"/>
    <w:rsid w:val="008D1551"/>
    <w:rsid w:val="008D15A8"/>
    <w:rsid w:val="008D24EA"/>
    <w:rsid w:val="008D26ED"/>
    <w:rsid w:val="008D2B89"/>
    <w:rsid w:val="008D55B9"/>
    <w:rsid w:val="008D5DB6"/>
    <w:rsid w:val="008D62A1"/>
    <w:rsid w:val="008D68EA"/>
    <w:rsid w:val="008D6E6C"/>
    <w:rsid w:val="008D7CE0"/>
    <w:rsid w:val="008E08AD"/>
    <w:rsid w:val="008E2401"/>
    <w:rsid w:val="008E26D5"/>
    <w:rsid w:val="008E37B9"/>
    <w:rsid w:val="008E3FC6"/>
    <w:rsid w:val="008E415F"/>
    <w:rsid w:val="008E4510"/>
    <w:rsid w:val="008E4FCF"/>
    <w:rsid w:val="008E7A52"/>
    <w:rsid w:val="008F067B"/>
    <w:rsid w:val="008F086A"/>
    <w:rsid w:val="008F2307"/>
    <w:rsid w:val="008F26FC"/>
    <w:rsid w:val="008F37DE"/>
    <w:rsid w:val="008F380C"/>
    <w:rsid w:val="008F3CA2"/>
    <w:rsid w:val="008F3DAB"/>
    <w:rsid w:val="008F3FB3"/>
    <w:rsid w:val="008F48FA"/>
    <w:rsid w:val="008F603F"/>
    <w:rsid w:val="008F6224"/>
    <w:rsid w:val="008F7256"/>
    <w:rsid w:val="00900736"/>
    <w:rsid w:val="009016B5"/>
    <w:rsid w:val="00901ADC"/>
    <w:rsid w:val="0090421F"/>
    <w:rsid w:val="009043D0"/>
    <w:rsid w:val="0090490C"/>
    <w:rsid w:val="009067A9"/>
    <w:rsid w:val="00906890"/>
    <w:rsid w:val="00907375"/>
    <w:rsid w:val="009074D2"/>
    <w:rsid w:val="00907BC6"/>
    <w:rsid w:val="009106F2"/>
    <w:rsid w:val="009131C2"/>
    <w:rsid w:val="009153EB"/>
    <w:rsid w:val="00915436"/>
    <w:rsid w:val="00915ABF"/>
    <w:rsid w:val="00916396"/>
    <w:rsid w:val="009165A8"/>
    <w:rsid w:val="009174A9"/>
    <w:rsid w:val="0092133C"/>
    <w:rsid w:val="00921E4C"/>
    <w:rsid w:val="00922710"/>
    <w:rsid w:val="00923996"/>
    <w:rsid w:val="00925169"/>
    <w:rsid w:val="009258C7"/>
    <w:rsid w:val="00926EDD"/>
    <w:rsid w:val="00926F6E"/>
    <w:rsid w:val="0092712B"/>
    <w:rsid w:val="00931311"/>
    <w:rsid w:val="00931444"/>
    <w:rsid w:val="009316C8"/>
    <w:rsid w:val="009317E5"/>
    <w:rsid w:val="009333D7"/>
    <w:rsid w:val="009346BF"/>
    <w:rsid w:val="0093473A"/>
    <w:rsid w:val="00934830"/>
    <w:rsid w:val="00934D52"/>
    <w:rsid w:val="00937CBD"/>
    <w:rsid w:val="00937DBD"/>
    <w:rsid w:val="00940DFB"/>
    <w:rsid w:val="00941E25"/>
    <w:rsid w:val="0094206C"/>
    <w:rsid w:val="00945D5D"/>
    <w:rsid w:val="00946840"/>
    <w:rsid w:val="009475A5"/>
    <w:rsid w:val="00950871"/>
    <w:rsid w:val="00951972"/>
    <w:rsid w:val="00951D55"/>
    <w:rsid w:val="009526F8"/>
    <w:rsid w:val="009535DF"/>
    <w:rsid w:val="00954F59"/>
    <w:rsid w:val="009552A7"/>
    <w:rsid w:val="00955F74"/>
    <w:rsid w:val="0095646E"/>
    <w:rsid w:val="00956C9A"/>
    <w:rsid w:val="00957567"/>
    <w:rsid w:val="00957578"/>
    <w:rsid w:val="00957641"/>
    <w:rsid w:val="009605FE"/>
    <w:rsid w:val="00960853"/>
    <w:rsid w:val="00960C85"/>
    <w:rsid w:val="00961552"/>
    <w:rsid w:val="00961D56"/>
    <w:rsid w:val="009635EF"/>
    <w:rsid w:val="009636BD"/>
    <w:rsid w:val="00963777"/>
    <w:rsid w:val="009638A2"/>
    <w:rsid w:val="00964A60"/>
    <w:rsid w:val="00964F69"/>
    <w:rsid w:val="0096545B"/>
    <w:rsid w:val="009654D5"/>
    <w:rsid w:val="00966B8E"/>
    <w:rsid w:val="009673DE"/>
    <w:rsid w:val="00967F5F"/>
    <w:rsid w:val="0097075B"/>
    <w:rsid w:val="00971BFA"/>
    <w:rsid w:val="009734E9"/>
    <w:rsid w:val="009750EB"/>
    <w:rsid w:val="00975E54"/>
    <w:rsid w:val="00976E35"/>
    <w:rsid w:val="00977D8F"/>
    <w:rsid w:val="00977F4D"/>
    <w:rsid w:val="00980924"/>
    <w:rsid w:val="009815D9"/>
    <w:rsid w:val="0098396D"/>
    <w:rsid w:val="0098425A"/>
    <w:rsid w:val="009842ED"/>
    <w:rsid w:val="009844FE"/>
    <w:rsid w:val="00984767"/>
    <w:rsid w:val="009847AF"/>
    <w:rsid w:val="009855F1"/>
    <w:rsid w:val="0098591E"/>
    <w:rsid w:val="009859BF"/>
    <w:rsid w:val="00985A9F"/>
    <w:rsid w:val="00986960"/>
    <w:rsid w:val="00987561"/>
    <w:rsid w:val="009879A2"/>
    <w:rsid w:val="009900AB"/>
    <w:rsid w:val="009903E5"/>
    <w:rsid w:val="00990FD1"/>
    <w:rsid w:val="00992843"/>
    <w:rsid w:val="00992BE3"/>
    <w:rsid w:val="00992D7E"/>
    <w:rsid w:val="009937CF"/>
    <w:rsid w:val="0099451C"/>
    <w:rsid w:val="009946B1"/>
    <w:rsid w:val="00996799"/>
    <w:rsid w:val="00997012"/>
    <w:rsid w:val="00997C1F"/>
    <w:rsid w:val="00997C73"/>
    <w:rsid w:val="009A062F"/>
    <w:rsid w:val="009A0CE8"/>
    <w:rsid w:val="009A0E17"/>
    <w:rsid w:val="009A1699"/>
    <w:rsid w:val="009A1821"/>
    <w:rsid w:val="009A2A63"/>
    <w:rsid w:val="009A3269"/>
    <w:rsid w:val="009A34EC"/>
    <w:rsid w:val="009A43F5"/>
    <w:rsid w:val="009A5206"/>
    <w:rsid w:val="009A5F75"/>
    <w:rsid w:val="009A7E87"/>
    <w:rsid w:val="009B0798"/>
    <w:rsid w:val="009B0CA8"/>
    <w:rsid w:val="009B1DC3"/>
    <w:rsid w:val="009B218B"/>
    <w:rsid w:val="009B3BC2"/>
    <w:rsid w:val="009B452A"/>
    <w:rsid w:val="009B4E5E"/>
    <w:rsid w:val="009B5217"/>
    <w:rsid w:val="009B60C4"/>
    <w:rsid w:val="009C0F30"/>
    <w:rsid w:val="009C299F"/>
    <w:rsid w:val="009C493C"/>
    <w:rsid w:val="009C4FE2"/>
    <w:rsid w:val="009C6747"/>
    <w:rsid w:val="009C6D12"/>
    <w:rsid w:val="009C6FC9"/>
    <w:rsid w:val="009C76AA"/>
    <w:rsid w:val="009D0105"/>
    <w:rsid w:val="009D050F"/>
    <w:rsid w:val="009D17EE"/>
    <w:rsid w:val="009D188D"/>
    <w:rsid w:val="009D1E0F"/>
    <w:rsid w:val="009D2B7E"/>
    <w:rsid w:val="009D445E"/>
    <w:rsid w:val="009D48CE"/>
    <w:rsid w:val="009D5D8E"/>
    <w:rsid w:val="009D64F7"/>
    <w:rsid w:val="009D654B"/>
    <w:rsid w:val="009D6D37"/>
    <w:rsid w:val="009D6F3C"/>
    <w:rsid w:val="009D7AE4"/>
    <w:rsid w:val="009E000E"/>
    <w:rsid w:val="009E0E83"/>
    <w:rsid w:val="009E10CF"/>
    <w:rsid w:val="009E12FE"/>
    <w:rsid w:val="009E3480"/>
    <w:rsid w:val="009E3E40"/>
    <w:rsid w:val="009E474C"/>
    <w:rsid w:val="009E4EC3"/>
    <w:rsid w:val="009E5F1E"/>
    <w:rsid w:val="009E5F79"/>
    <w:rsid w:val="009E68A9"/>
    <w:rsid w:val="009E6932"/>
    <w:rsid w:val="009E6A0D"/>
    <w:rsid w:val="009E6E29"/>
    <w:rsid w:val="009E6F4F"/>
    <w:rsid w:val="009E724E"/>
    <w:rsid w:val="009F1F27"/>
    <w:rsid w:val="009F375E"/>
    <w:rsid w:val="009F3DBB"/>
    <w:rsid w:val="009F4504"/>
    <w:rsid w:val="009F462B"/>
    <w:rsid w:val="009F58F9"/>
    <w:rsid w:val="009F706D"/>
    <w:rsid w:val="009F7ECD"/>
    <w:rsid w:val="00A002D9"/>
    <w:rsid w:val="00A01465"/>
    <w:rsid w:val="00A022B1"/>
    <w:rsid w:val="00A03B76"/>
    <w:rsid w:val="00A0569B"/>
    <w:rsid w:val="00A05B86"/>
    <w:rsid w:val="00A06203"/>
    <w:rsid w:val="00A06B3D"/>
    <w:rsid w:val="00A0736B"/>
    <w:rsid w:val="00A077E4"/>
    <w:rsid w:val="00A10668"/>
    <w:rsid w:val="00A109AC"/>
    <w:rsid w:val="00A11E51"/>
    <w:rsid w:val="00A12166"/>
    <w:rsid w:val="00A12740"/>
    <w:rsid w:val="00A12ABF"/>
    <w:rsid w:val="00A14898"/>
    <w:rsid w:val="00A14B62"/>
    <w:rsid w:val="00A159AC"/>
    <w:rsid w:val="00A15DCD"/>
    <w:rsid w:val="00A166E4"/>
    <w:rsid w:val="00A1715A"/>
    <w:rsid w:val="00A17235"/>
    <w:rsid w:val="00A175ED"/>
    <w:rsid w:val="00A17DFD"/>
    <w:rsid w:val="00A20DA1"/>
    <w:rsid w:val="00A256CC"/>
    <w:rsid w:val="00A260FE"/>
    <w:rsid w:val="00A2634E"/>
    <w:rsid w:val="00A26EC5"/>
    <w:rsid w:val="00A27516"/>
    <w:rsid w:val="00A27C0E"/>
    <w:rsid w:val="00A27F37"/>
    <w:rsid w:val="00A3073A"/>
    <w:rsid w:val="00A32882"/>
    <w:rsid w:val="00A33BC1"/>
    <w:rsid w:val="00A33D84"/>
    <w:rsid w:val="00A33DD8"/>
    <w:rsid w:val="00A359CA"/>
    <w:rsid w:val="00A413DB"/>
    <w:rsid w:val="00A415C2"/>
    <w:rsid w:val="00A4290F"/>
    <w:rsid w:val="00A42A6A"/>
    <w:rsid w:val="00A448BD"/>
    <w:rsid w:val="00A45C70"/>
    <w:rsid w:val="00A46223"/>
    <w:rsid w:val="00A474A7"/>
    <w:rsid w:val="00A47657"/>
    <w:rsid w:val="00A5081C"/>
    <w:rsid w:val="00A52D1C"/>
    <w:rsid w:val="00A537F4"/>
    <w:rsid w:val="00A55333"/>
    <w:rsid w:val="00A554F5"/>
    <w:rsid w:val="00A5576D"/>
    <w:rsid w:val="00A5679E"/>
    <w:rsid w:val="00A57FB3"/>
    <w:rsid w:val="00A603A2"/>
    <w:rsid w:val="00A6328C"/>
    <w:rsid w:val="00A63CD5"/>
    <w:rsid w:val="00A63D84"/>
    <w:rsid w:val="00A6425A"/>
    <w:rsid w:val="00A6460F"/>
    <w:rsid w:val="00A6574A"/>
    <w:rsid w:val="00A66814"/>
    <w:rsid w:val="00A674B9"/>
    <w:rsid w:val="00A67EF1"/>
    <w:rsid w:val="00A70E89"/>
    <w:rsid w:val="00A71B98"/>
    <w:rsid w:val="00A73989"/>
    <w:rsid w:val="00A742F6"/>
    <w:rsid w:val="00A75F61"/>
    <w:rsid w:val="00A7615C"/>
    <w:rsid w:val="00A76858"/>
    <w:rsid w:val="00A76C08"/>
    <w:rsid w:val="00A773E9"/>
    <w:rsid w:val="00A77B7D"/>
    <w:rsid w:val="00A77FFB"/>
    <w:rsid w:val="00A8111F"/>
    <w:rsid w:val="00A81E3F"/>
    <w:rsid w:val="00A84B3A"/>
    <w:rsid w:val="00A879EC"/>
    <w:rsid w:val="00A90275"/>
    <w:rsid w:val="00A91048"/>
    <w:rsid w:val="00A917B3"/>
    <w:rsid w:val="00A924A9"/>
    <w:rsid w:val="00A93956"/>
    <w:rsid w:val="00A93AAA"/>
    <w:rsid w:val="00A93C1F"/>
    <w:rsid w:val="00A96737"/>
    <w:rsid w:val="00A96FC7"/>
    <w:rsid w:val="00A9717E"/>
    <w:rsid w:val="00A97BC7"/>
    <w:rsid w:val="00A97D29"/>
    <w:rsid w:val="00AA10BD"/>
    <w:rsid w:val="00AA3C27"/>
    <w:rsid w:val="00AA3C8E"/>
    <w:rsid w:val="00AA7FA2"/>
    <w:rsid w:val="00AB0088"/>
    <w:rsid w:val="00AB1C1D"/>
    <w:rsid w:val="00AB26A6"/>
    <w:rsid w:val="00AB272E"/>
    <w:rsid w:val="00AB357D"/>
    <w:rsid w:val="00AB42F3"/>
    <w:rsid w:val="00AB4B51"/>
    <w:rsid w:val="00AB580B"/>
    <w:rsid w:val="00AB68E0"/>
    <w:rsid w:val="00AB6A21"/>
    <w:rsid w:val="00AC0469"/>
    <w:rsid w:val="00AC0FC0"/>
    <w:rsid w:val="00AC11A3"/>
    <w:rsid w:val="00AC272A"/>
    <w:rsid w:val="00AC2ADB"/>
    <w:rsid w:val="00AC3269"/>
    <w:rsid w:val="00AC370A"/>
    <w:rsid w:val="00AC4823"/>
    <w:rsid w:val="00AC4B7F"/>
    <w:rsid w:val="00AC53F8"/>
    <w:rsid w:val="00AC5486"/>
    <w:rsid w:val="00AC5F42"/>
    <w:rsid w:val="00AC7CA2"/>
    <w:rsid w:val="00AD0573"/>
    <w:rsid w:val="00AD1B2F"/>
    <w:rsid w:val="00AD1B4B"/>
    <w:rsid w:val="00AD2150"/>
    <w:rsid w:val="00AD346A"/>
    <w:rsid w:val="00AD3AB3"/>
    <w:rsid w:val="00AE01DC"/>
    <w:rsid w:val="00AE0739"/>
    <w:rsid w:val="00AE0E02"/>
    <w:rsid w:val="00AE11FC"/>
    <w:rsid w:val="00AE2533"/>
    <w:rsid w:val="00AE4B07"/>
    <w:rsid w:val="00AE4CC4"/>
    <w:rsid w:val="00AE7EF2"/>
    <w:rsid w:val="00AF1B4D"/>
    <w:rsid w:val="00AF2C7D"/>
    <w:rsid w:val="00AF316B"/>
    <w:rsid w:val="00AF3658"/>
    <w:rsid w:val="00AF390F"/>
    <w:rsid w:val="00AF400D"/>
    <w:rsid w:val="00AF453E"/>
    <w:rsid w:val="00AF4C83"/>
    <w:rsid w:val="00AF51FB"/>
    <w:rsid w:val="00AF69F8"/>
    <w:rsid w:val="00AF7AD9"/>
    <w:rsid w:val="00AF7F8D"/>
    <w:rsid w:val="00B00E74"/>
    <w:rsid w:val="00B00EE7"/>
    <w:rsid w:val="00B0240F"/>
    <w:rsid w:val="00B0350B"/>
    <w:rsid w:val="00B04744"/>
    <w:rsid w:val="00B054F4"/>
    <w:rsid w:val="00B05F76"/>
    <w:rsid w:val="00B05FCF"/>
    <w:rsid w:val="00B06F1B"/>
    <w:rsid w:val="00B070FB"/>
    <w:rsid w:val="00B10464"/>
    <w:rsid w:val="00B10CC7"/>
    <w:rsid w:val="00B12477"/>
    <w:rsid w:val="00B1299E"/>
    <w:rsid w:val="00B12EF2"/>
    <w:rsid w:val="00B13057"/>
    <w:rsid w:val="00B16503"/>
    <w:rsid w:val="00B16B88"/>
    <w:rsid w:val="00B17108"/>
    <w:rsid w:val="00B20DD5"/>
    <w:rsid w:val="00B2165A"/>
    <w:rsid w:val="00B22D4B"/>
    <w:rsid w:val="00B23055"/>
    <w:rsid w:val="00B24499"/>
    <w:rsid w:val="00B266E5"/>
    <w:rsid w:val="00B27341"/>
    <w:rsid w:val="00B315DF"/>
    <w:rsid w:val="00B32805"/>
    <w:rsid w:val="00B32A51"/>
    <w:rsid w:val="00B342B0"/>
    <w:rsid w:val="00B343AD"/>
    <w:rsid w:val="00B35EF3"/>
    <w:rsid w:val="00B35F50"/>
    <w:rsid w:val="00B36BC1"/>
    <w:rsid w:val="00B36C2B"/>
    <w:rsid w:val="00B40125"/>
    <w:rsid w:val="00B40312"/>
    <w:rsid w:val="00B409BC"/>
    <w:rsid w:val="00B418A4"/>
    <w:rsid w:val="00B41D68"/>
    <w:rsid w:val="00B43469"/>
    <w:rsid w:val="00B43615"/>
    <w:rsid w:val="00B43941"/>
    <w:rsid w:val="00B4589D"/>
    <w:rsid w:val="00B45A1B"/>
    <w:rsid w:val="00B464A4"/>
    <w:rsid w:val="00B5031D"/>
    <w:rsid w:val="00B509EA"/>
    <w:rsid w:val="00B511D3"/>
    <w:rsid w:val="00B521B4"/>
    <w:rsid w:val="00B53477"/>
    <w:rsid w:val="00B5384E"/>
    <w:rsid w:val="00B54439"/>
    <w:rsid w:val="00B55B76"/>
    <w:rsid w:val="00B56065"/>
    <w:rsid w:val="00B606A9"/>
    <w:rsid w:val="00B61B51"/>
    <w:rsid w:val="00B622FE"/>
    <w:rsid w:val="00B62458"/>
    <w:rsid w:val="00B62B4F"/>
    <w:rsid w:val="00B62E2C"/>
    <w:rsid w:val="00B64379"/>
    <w:rsid w:val="00B64D91"/>
    <w:rsid w:val="00B6631C"/>
    <w:rsid w:val="00B663AF"/>
    <w:rsid w:val="00B708D8"/>
    <w:rsid w:val="00B70AE6"/>
    <w:rsid w:val="00B7260E"/>
    <w:rsid w:val="00B72F2D"/>
    <w:rsid w:val="00B73A30"/>
    <w:rsid w:val="00B73B54"/>
    <w:rsid w:val="00B740B6"/>
    <w:rsid w:val="00B74BAA"/>
    <w:rsid w:val="00B77EAC"/>
    <w:rsid w:val="00B8389C"/>
    <w:rsid w:val="00B83CE7"/>
    <w:rsid w:val="00B86079"/>
    <w:rsid w:val="00B912EF"/>
    <w:rsid w:val="00B9151F"/>
    <w:rsid w:val="00B929CF"/>
    <w:rsid w:val="00B93C0C"/>
    <w:rsid w:val="00B9462C"/>
    <w:rsid w:val="00B95A2F"/>
    <w:rsid w:val="00B962A5"/>
    <w:rsid w:val="00B96E4A"/>
    <w:rsid w:val="00BA0133"/>
    <w:rsid w:val="00BA0A1A"/>
    <w:rsid w:val="00BA15FB"/>
    <w:rsid w:val="00BA2737"/>
    <w:rsid w:val="00BA3B0B"/>
    <w:rsid w:val="00BA3C4A"/>
    <w:rsid w:val="00BA3E85"/>
    <w:rsid w:val="00BA4E9B"/>
    <w:rsid w:val="00BA4F2D"/>
    <w:rsid w:val="00BA5ED7"/>
    <w:rsid w:val="00BA6AD6"/>
    <w:rsid w:val="00BA6BEE"/>
    <w:rsid w:val="00BB055D"/>
    <w:rsid w:val="00BB0C47"/>
    <w:rsid w:val="00BB1417"/>
    <w:rsid w:val="00BB35F4"/>
    <w:rsid w:val="00BB39B9"/>
    <w:rsid w:val="00BB4DFB"/>
    <w:rsid w:val="00BB6842"/>
    <w:rsid w:val="00BB71C0"/>
    <w:rsid w:val="00BB77C5"/>
    <w:rsid w:val="00BB7BD3"/>
    <w:rsid w:val="00BB7C80"/>
    <w:rsid w:val="00BC0314"/>
    <w:rsid w:val="00BC0522"/>
    <w:rsid w:val="00BC125D"/>
    <w:rsid w:val="00BC18C0"/>
    <w:rsid w:val="00BC2C9F"/>
    <w:rsid w:val="00BC35C1"/>
    <w:rsid w:val="00BC3ED4"/>
    <w:rsid w:val="00BC5650"/>
    <w:rsid w:val="00BC7240"/>
    <w:rsid w:val="00BC724C"/>
    <w:rsid w:val="00BD06F8"/>
    <w:rsid w:val="00BD204C"/>
    <w:rsid w:val="00BD33EE"/>
    <w:rsid w:val="00BD367E"/>
    <w:rsid w:val="00BD4063"/>
    <w:rsid w:val="00BD4C4D"/>
    <w:rsid w:val="00BD60A7"/>
    <w:rsid w:val="00BD7AA8"/>
    <w:rsid w:val="00BE0705"/>
    <w:rsid w:val="00BE0FDD"/>
    <w:rsid w:val="00BE1113"/>
    <w:rsid w:val="00BE1262"/>
    <w:rsid w:val="00BE15A9"/>
    <w:rsid w:val="00BE1A4D"/>
    <w:rsid w:val="00BE2338"/>
    <w:rsid w:val="00BE725A"/>
    <w:rsid w:val="00BE772B"/>
    <w:rsid w:val="00BE77FF"/>
    <w:rsid w:val="00BF11CF"/>
    <w:rsid w:val="00BF1F4C"/>
    <w:rsid w:val="00BF42B3"/>
    <w:rsid w:val="00BF6117"/>
    <w:rsid w:val="00BF7D20"/>
    <w:rsid w:val="00C00A4F"/>
    <w:rsid w:val="00C00E8D"/>
    <w:rsid w:val="00C0185E"/>
    <w:rsid w:val="00C02936"/>
    <w:rsid w:val="00C02FC4"/>
    <w:rsid w:val="00C03079"/>
    <w:rsid w:val="00C0314E"/>
    <w:rsid w:val="00C04569"/>
    <w:rsid w:val="00C04828"/>
    <w:rsid w:val="00C054BA"/>
    <w:rsid w:val="00C07494"/>
    <w:rsid w:val="00C07E1A"/>
    <w:rsid w:val="00C10657"/>
    <w:rsid w:val="00C108E2"/>
    <w:rsid w:val="00C10A95"/>
    <w:rsid w:val="00C10F24"/>
    <w:rsid w:val="00C11E33"/>
    <w:rsid w:val="00C133E9"/>
    <w:rsid w:val="00C15ED2"/>
    <w:rsid w:val="00C168C7"/>
    <w:rsid w:val="00C1772D"/>
    <w:rsid w:val="00C178C3"/>
    <w:rsid w:val="00C17B43"/>
    <w:rsid w:val="00C20F3C"/>
    <w:rsid w:val="00C22960"/>
    <w:rsid w:val="00C232A8"/>
    <w:rsid w:val="00C2358A"/>
    <w:rsid w:val="00C23BBB"/>
    <w:rsid w:val="00C2400F"/>
    <w:rsid w:val="00C25EBF"/>
    <w:rsid w:val="00C27606"/>
    <w:rsid w:val="00C27ECE"/>
    <w:rsid w:val="00C303AD"/>
    <w:rsid w:val="00C308C5"/>
    <w:rsid w:val="00C30A45"/>
    <w:rsid w:val="00C31E3C"/>
    <w:rsid w:val="00C33381"/>
    <w:rsid w:val="00C33BBF"/>
    <w:rsid w:val="00C3428F"/>
    <w:rsid w:val="00C343D3"/>
    <w:rsid w:val="00C349A1"/>
    <w:rsid w:val="00C352B8"/>
    <w:rsid w:val="00C353E7"/>
    <w:rsid w:val="00C35C18"/>
    <w:rsid w:val="00C4241F"/>
    <w:rsid w:val="00C435B3"/>
    <w:rsid w:val="00C45012"/>
    <w:rsid w:val="00C45999"/>
    <w:rsid w:val="00C45A88"/>
    <w:rsid w:val="00C47D3A"/>
    <w:rsid w:val="00C47E48"/>
    <w:rsid w:val="00C51A18"/>
    <w:rsid w:val="00C5352E"/>
    <w:rsid w:val="00C54A2B"/>
    <w:rsid w:val="00C55952"/>
    <w:rsid w:val="00C5603D"/>
    <w:rsid w:val="00C56FC7"/>
    <w:rsid w:val="00C60F0C"/>
    <w:rsid w:val="00C6106C"/>
    <w:rsid w:val="00C6279F"/>
    <w:rsid w:val="00C62854"/>
    <w:rsid w:val="00C65B12"/>
    <w:rsid w:val="00C65B1E"/>
    <w:rsid w:val="00C664CA"/>
    <w:rsid w:val="00C667CC"/>
    <w:rsid w:val="00C707A9"/>
    <w:rsid w:val="00C75227"/>
    <w:rsid w:val="00C76505"/>
    <w:rsid w:val="00C778B0"/>
    <w:rsid w:val="00C77D90"/>
    <w:rsid w:val="00C805C9"/>
    <w:rsid w:val="00C81686"/>
    <w:rsid w:val="00C82A3B"/>
    <w:rsid w:val="00C8352D"/>
    <w:rsid w:val="00C84A48"/>
    <w:rsid w:val="00C84B52"/>
    <w:rsid w:val="00C84C66"/>
    <w:rsid w:val="00C85256"/>
    <w:rsid w:val="00C86DE7"/>
    <w:rsid w:val="00C87AF8"/>
    <w:rsid w:val="00C9007F"/>
    <w:rsid w:val="00C9047F"/>
    <w:rsid w:val="00C9071E"/>
    <w:rsid w:val="00C920CF"/>
    <w:rsid w:val="00C93263"/>
    <w:rsid w:val="00C933F8"/>
    <w:rsid w:val="00C93C3E"/>
    <w:rsid w:val="00C94280"/>
    <w:rsid w:val="00C96F5D"/>
    <w:rsid w:val="00CA06D4"/>
    <w:rsid w:val="00CA1679"/>
    <w:rsid w:val="00CA40F6"/>
    <w:rsid w:val="00CA6D43"/>
    <w:rsid w:val="00CB06C9"/>
    <w:rsid w:val="00CB0E95"/>
    <w:rsid w:val="00CB1B0B"/>
    <w:rsid w:val="00CB1DF6"/>
    <w:rsid w:val="00CB21FB"/>
    <w:rsid w:val="00CB34C1"/>
    <w:rsid w:val="00CB3564"/>
    <w:rsid w:val="00CB4805"/>
    <w:rsid w:val="00CB5049"/>
    <w:rsid w:val="00CB6724"/>
    <w:rsid w:val="00CC01D5"/>
    <w:rsid w:val="00CC0F97"/>
    <w:rsid w:val="00CC1721"/>
    <w:rsid w:val="00CC270E"/>
    <w:rsid w:val="00CC5A63"/>
    <w:rsid w:val="00CC7311"/>
    <w:rsid w:val="00CD2778"/>
    <w:rsid w:val="00CD33A7"/>
    <w:rsid w:val="00CD3887"/>
    <w:rsid w:val="00CD4F50"/>
    <w:rsid w:val="00CD5FF5"/>
    <w:rsid w:val="00CD66C3"/>
    <w:rsid w:val="00CE131A"/>
    <w:rsid w:val="00CE3B42"/>
    <w:rsid w:val="00CE3EB9"/>
    <w:rsid w:val="00CE5427"/>
    <w:rsid w:val="00CF0489"/>
    <w:rsid w:val="00CF14CC"/>
    <w:rsid w:val="00CF2B4D"/>
    <w:rsid w:val="00CF3ACF"/>
    <w:rsid w:val="00CF4E28"/>
    <w:rsid w:val="00CF5BE3"/>
    <w:rsid w:val="00CF5D71"/>
    <w:rsid w:val="00CF6ED4"/>
    <w:rsid w:val="00CF6F0C"/>
    <w:rsid w:val="00CF724B"/>
    <w:rsid w:val="00CF7B39"/>
    <w:rsid w:val="00CF7F3E"/>
    <w:rsid w:val="00D00C63"/>
    <w:rsid w:val="00D012BF"/>
    <w:rsid w:val="00D02425"/>
    <w:rsid w:val="00D045BC"/>
    <w:rsid w:val="00D052B3"/>
    <w:rsid w:val="00D067F5"/>
    <w:rsid w:val="00D075B9"/>
    <w:rsid w:val="00D12391"/>
    <w:rsid w:val="00D137E5"/>
    <w:rsid w:val="00D14CC3"/>
    <w:rsid w:val="00D151BE"/>
    <w:rsid w:val="00D15472"/>
    <w:rsid w:val="00D16239"/>
    <w:rsid w:val="00D164EC"/>
    <w:rsid w:val="00D16583"/>
    <w:rsid w:val="00D20D08"/>
    <w:rsid w:val="00D24762"/>
    <w:rsid w:val="00D24E1D"/>
    <w:rsid w:val="00D254ED"/>
    <w:rsid w:val="00D26618"/>
    <w:rsid w:val="00D272F2"/>
    <w:rsid w:val="00D276C4"/>
    <w:rsid w:val="00D303BC"/>
    <w:rsid w:val="00D338E9"/>
    <w:rsid w:val="00D343C3"/>
    <w:rsid w:val="00D34C3D"/>
    <w:rsid w:val="00D35FE6"/>
    <w:rsid w:val="00D36702"/>
    <w:rsid w:val="00D36D4D"/>
    <w:rsid w:val="00D37A90"/>
    <w:rsid w:val="00D401AA"/>
    <w:rsid w:val="00D4200B"/>
    <w:rsid w:val="00D423F8"/>
    <w:rsid w:val="00D42511"/>
    <w:rsid w:val="00D4380F"/>
    <w:rsid w:val="00D464D3"/>
    <w:rsid w:val="00D5042C"/>
    <w:rsid w:val="00D518D6"/>
    <w:rsid w:val="00D52174"/>
    <w:rsid w:val="00D52AB1"/>
    <w:rsid w:val="00D53008"/>
    <w:rsid w:val="00D53770"/>
    <w:rsid w:val="00D55537"/>
    <w:rsid w:val="00D55E41"/>
    <w:rsid w:val="00D57A0F"/>
    <w:rsid w:val="00D57A7E"/>
    <w:rsid w:val="00D60B66"/>
    <w:rsid w:val="00D63AB8"/>
    <w:rsid w:val="00D645AB"/>
    <w:rsid w:val="00D66EB8"/>
    <w:rsid w:val="00D679A2"/>
    <w:rsid w:val="00D70D51"/>
    <w:rsid w:val="00D70DB1"/>
    <w:rsid w:val="00D71BF7"/>
    <w:rsid w:val="00D75EBF"/>
    <w:rsid w:val="00D76C34"/>
    <w:rsid w:val="00D809C0"/>
    <w:rsid w:val="00D80BBB"/>
    <w:rsid w:val="00D819B0"/>
    <w:rsid w:val="00D81B88"/>
    <w:rsid w:val="00D81EAB"/>
    <w:rsid w:val="00D82552"/>
    <w:rsid w:val="00D82A74"/>
    <w:rsid w:val="00D82E33"/>
    <w:rsid w:val="00D82EB6"/>
    <w:rsid w:val="00D83079"/>
    <w:rsid w:val="00D8497E"/>
    <w:rsid w:val="00D86FDE"/>
    <w:rsid w:val="00D90138"/>
    <w:rsid w:val="00D93233"/>
    <w:rsid w:val="00D93A84"/>
    <w:rsid w:val="00D9422A"/>
    <w:rsid w:val="00D95C10"/>
    <w:rsid w:val="00D96AFA"/>
    <w:rsid w:val="00DA0D4D"/>
    <w:rsid w:val="00DA3933"/>
    <w:rsid w:val="00DA5553"/>
    <w:rsid w:val="00DA5694"/>
    <w:rsid w:val="00DA6D39"/>
    <w:rsid w:val="00DA7244"/>
    <w:rsid w:val="00DB02C7"/>
    <w:rsid w:val="00DB1811"/>
    <w:rsid w:val="00DB2B5F"/>
    <w:rsid w:val="00DB32BB"/>
    <w:rsid w:val="00DB428B"/>
    <w:rsid w:val="00DB4F42"/>
    <w:rsid w:val="00DB6836"/>
    <w:rsid w:val="00DC084A"/>
    <w:rsid w:val="00DC09FE"/>
    <w:rsid w:val="00DC0D47"/>
    <w:rsid w:val="00DC1EC2"/>
    <w:rsid w:val="00DC2EA4"/>
    <w:rsid w:val="00DC36CD"/>
    <w:rsid w:val="00DC42A0"/>
    <w:rsid w:val="00DC528F"/>
    <w:rsid w:val="00DD030F"/>
    <w:rsid w:val="00DD0B23"/>
    <w:rsid w:val="00DD1910"/>
    <w:rsid w:val="00DD201E"/>
    <w:rsid w:val="00DD42DD"/>
    <w:rsid w:val="00DE0F78"/>
    <w:rsid w:val="00DE177E"/>
    <w:rsid w:val="00DE3106"/>
    <w:rsid w:val="00DE4046"/>
    <w:rsid w:val="00DE44AD"/>
    <w:rsid w:val="00DE4864"/>
    <w:rsid w:val="00DE4CF9"/>
    <w:rsid w:val="00DF0281"/>
    <w:rsid w:val="00DF082E"/>
    <w:rsid w:val="00DF0EDD"/>
    <w:rsid w:val="00DF141D"/>
    <w:rsid w:val="00DF1C4A"/>
    <w:rsid w:val="00DF335B"/>
    <w:rsid w:val="00DF4413"/>
    <w:rsid w:val="00DF4BD0"/>
    <w:rsid w:val="00DF4C36"/>
    <w:rsid w:val="00DF5730"/>
    <w:rsid w:val="00DF5E7C"/>
    <w:rsid w:val="00DF5E9D"/>
    <w:rsid w:val="00DF6D7A"/>
    <w:rsid w:val="00DF6F82"/>
    <w:rsid w:val="00DF768C"/>
    <w:rsid w:val="00DF7AB8"/>
    <w:rsid w:val="00E0008F"/>
    <w:rsid w:val="00E00C2C"/>
    <w:rsid w:val="00E010F0"/>
    <w:rsid w:val="00E012FB"/>
    <w:rsid w:val="00E0155E"/>
    <w:rsid w:val="00E01759"/>
    <w:rsid w:val="00E02834"/>
    <w:rsid w:val="00E03252"/>
    <w:rsid w:val="00E0467A"/>
    <w:rsid w:val="00E05441"/>
    <w:rsid w:val="00E059C9"/>
    <w:rsid w:val="00E07429"/>
    <w:rsid w:val="00E10AE4"/>
    <w:rsid w:val="00E110F1"/>
    <w:rsid w:val="00E133A5"/>
    <w:rsid w:val="00E13C7D"/>
    <w:rsid w:val="00E14D3D"/>
    <w:rsid w:val="00E15144"/>
    <w:rsid w:val="00E1538B"/>
    <w:rsid w:val="00E16574"/>
    <w:rsid w:val="00E167AF"/>
    <w:rsid w:val="00E17C53"/>
    <w:rsid w:val="00E200CC"/>
    <w:rsid w:val="00E2023C"/>
    <w:rsid w:val="00E20438"/>
    <w:rsid w:val="00E244FE"/>
    <w:rsid w:val="00E261EA"/>
    <w:rsid w:val="00E2645E"/>
    <w:rsid w:val="00E265DF"/>
    <w:rsid w:val="00E27225"/>
    <w:rsid w:val="00E2735F"/>
    <w:rsid w:val="00E309A2"/>
    <w:rsid w:val="00E3237D"/>
    <w:rsid w:val="00E33DCE"/>
    <w:rsid w:val="00E34AAE"/>
    <w:rsid w:val="00E36281"/>
    <w:rsid w:val="00E36820"/>
    <w:rsid w:val="00E3728C"/>
    <w:rsid w:val="00E416C8"/>
    <w:rsid w:val="00E43247"/>
    <w:rsid w:val="00E43AA2"/>
    <w:rsid w:val="00E43FA5"/>
    <w:rsid w:val="00E442FC"/>
    <w:rsid w:val="00E44617"/>
    <w:rsid w:val="00E46EE9"/>
    <w:rsid w:val="00E475A6"/>
    <w:rsid w:val="00E50692"/>
    <w:rsid w:val="00E50BE6"/>
    <w:rsid w:val="00E5314B"/>
    <w:rsid w:val="00E565BA"/>
    <w:rsid w:val="00E5690F"/>
    <w:rsid w:val="00E56A60"/>
    <w:rsid w:val="00E56BDA"/>
    <w:rsid w:val="00E56EFE"/>
    <w:rsid w:val="00E57101"/>
    <w:rsid w:val="00E571D5"/>
    <w:rsid w:val="00E60145"/>
    <w:rsid w:val="00E604FC"/>
    <w:rsid w:val="00E61FAD"/>
    <w:rsid w:val="00E631B7"/>
    <w:rsid w:val="00E672BB"/>
    <w:rsid w:val="00E67B73"/>
    <w:rsid w:val="00E70C7B"/>
    <w:rsid w:val="00E70E82"/>
    <w:rsid w:val="00E71AD6"/>
    <w:rsid w:val="00E71F35"/>
    <w:rsid w:val="00E7294D"/>
    <w:rsid w:val="00E73F76"/>
    <w:rsid w:val="00E7420B"/>
    <w:rsid w:val="00E76354"/>
    <w:rsid w:val="00E767A4"/>
    <w:rsid w:val="00E7750C"/>
    <w:rsid w:val="00E81286"/>
    <w:rsid w:val="00E81720"/>
    <w:rsid w:val="00E81B8A"/>
    <w:rsid w:val="00E8249B"/>
    <w:rsid w:val="00E83A73"/>
    <w:rsid w:val="00E84A31"/>
    <w:rsid w:val="00E8517D"/>
    <w:rsid w:val="00E851CA"/>
    <w:rsid w:val="00E86E8E"/>
    <w:rsid w:val="00E871D6"/>
    <w:rsid w:val="00E901C7"/>
    <w:rsid w:val="00E90B21"/>
    <w:rsid w:val="00E92AF7"/>
    <w:rsid w:val="00E93E8F"/>
    <w:rsid w:val="00E945B7"/>
    <w:rsid w:val="00E94DE8"/>
    <w:rsid w:val="00E95A0F"/>
    <w:rsid w:val="00E9685E"/>
    <w:rsid w:val="00E97D0D"/>
    <w:rsid w:val="00EA2B0A"/>
    <w:rsid w:val="00EA3C11"/>
    <w:rsid w:val="00EA3E86"/>
    <w:rsid w:val="00EA44A6"/>
    <w:rsid w:val="00EA5B9F"/>
    <w:rsid w:val="00EA7B6C"/>
    <w:rsid w:val="00EB09A0"/>
    <w:rsid w:val="00EB0AB7"/>
    <w:rsid w:val="00EB0F52"/>
    <w:rsid w:val="00EB1067"/>
    <w:rsid w:val="00EB1655"/>
    <w:rsid w:val="00EB1DFE"/>
    <w:rsid w:val="00EB27A0"/>
    <w:rsid w:val="00EB57E1"/>
    <w:rsid w:val="00EB6922"/>
    <w:rsid w:val="00EB69AE"/>
    <w:rsid w:val="00EB6CFD"/>
    <w:rsid w:val="00EB6E6B"/>
    <w:rsid w:val="00EB6EE8"/>
    <w:rsid w:val="00EB6FF4"/>
    <w:rsid w:val="00EC06B0"/>
    <w:rsid w:val="00EC07D8"/>
    <w:rsid w:val="00EC0DFC"/>
    <w:rsid w:val="00EC10BD"/>
    <w:rsid w:val="00EC14B4"/>
    <w:rsid w:val="00EC493B"/>
    <w:rsid w:val="00EC57C7"/>
    <w:rsid w:val="00EC62E5"/>
    <w:rsid w:val="00EC6B08"/>
    <w:rsid w:val="00EC767D"/>
    <w:rsid w:val="00ED2E4F"/>
    <w:rsid w:val="00ED3F83"/>
    <w:rsid w:val="00ED45E5"/>
    <w:rsid w:val="00ED4B12"/>
    <w:rsid w:val="00ED4FEE"/>
    <w:rsid w:val="00ED7D9B"/>
    <w:rsid w:val="00EE110F"/>
    <w:rsid w:val="00EE19F6"/>
    <w:rsid w:val="00EE34B2"/>
    <w:rsid w:val="00EE433F"/>
    <w:rsid w:val="00EE66FC"/>
    <w:rsid w:val="00EE68E8"/>
    <w:rsid w:val="00EF11B3"/>
    <w:rsid w:val="00EF1360"/>
    <w:rsid w:val="00EF179D"/>
    <w:rsid w:val="00EF2834"/>
    <w:rsid w:val="00EF28B6"/>
    <w:rsid w:val="00EF3220"/>
    <w:rsid w:val="00EF4147"/>
    <w:rsid w:val="00EF4603"/>
    <w:rsid w:val="00EF62A0"/>
    <w:rsid w:val="00EF66A3"/>
    <w:rsid w:val="00EF67D6"/>
    <w:rsid w:val="00EF683C"/>
    <w:rsid w:val="00EF6B31"/>
    <w:rsid w:val="00EF7595"/>
    <w:rsid w:val="00EF7DB2"/>
    <w:rsid w:val="00F002FB"/>
    <w:rsid w:val="00F00688"/>
    <w:rsid w:val="00F01161"/>
    <w:rsid w:val="00F011A7"/>
    <w:rsid w:val="00F02C2F"/>
    <w:rsid w:val="00F03730"/>
    <w:rsid w:val="00F061E1"/>
    <w:rsid w:val="00F06697"/>
    <w:rsid w:val="00F07529"/>
    <w:rsid w:val="00F077E0"/>
    <w:rsid w:val="00F07DB7"/>
    <w:rsid w:val="00F07E02"/>
    <w:rsid w:val="00F1001E"/>
    <w:rsid w:val="00F10FF6"/>
    <w:rsid w:val="00F1130A"/>
    <w:rsid w:val="00F11B31"/>
    <w:rsid w:val="00F12783"/>
    <w:rsid w:val="00F12B5B"/>
    <w:rsid w:val="00F13344"/>
    <w:rsid w:val="00F14D6A"/>
    <w:rsid w:val="00F16489"/>
    <w:rsid w:val="00F2260D"/>
    <w:rsid w:val="00F22EBC"/>
    <w:rsid w:val="00F2301A"/>
    <w:rsid w:val="00F240AE"/>
    <w:rsid w:val="00F241CF"/>
    <w:rsid w:val="00F24CB0"/>
    <w:rsid w:val="00F2648E"/>
    <w:rsid w:val="00F27F9D"/>
    <w:rsid w:val="00F30565"/>
    <w:rsid w:val="00F319F4"/>
    <w:rsid w:val="00F3272E"/>
    <w:rsid w:val="00F328EA"/>
    <w:rsid w:val="00F34528"/>
    <w:rsid w:val="00F346F6"/>
    <w:rsid w:val="00F34D2C"/>
    <w:rsid w:val="00F34D93"/>
    <w:rsid w:val="00F37430"/>
    <w:rsid w:val="00F40379"/>
    <w:rsid w:val="00F40509"/>
    <w:rsid w:val="00F40671"/>
    <w:rsid w:val="00F419F7"/>
    <w:rsid w:val="00F42851"/>
    <w:rsid w:val="00F4464D"/>
    <w:rsid w:val="00F44B33"/>
    <w:rsid w:val="00F45534"/>
    <w:rsid w:val="00F4587D"/>
    <w:rsid w:val="00F46D96"/>
    <w:rsid w:val="00F46DB2"/>
    <w:rsid w:val="00F4799F"/>
    <w:rsid w:val="00F47CC9"/>
    <w:rsid w:val="00F50DF5"/>
    <w:rsid w:val="00F51DE9"/>
    <w:rsid w:val="00F52254"/>
    <w:rsid w:val="00F533E2"/>
    <w:rsid w:val="00F55472"/>
    <w:rsid w:val="00F5553D"/>
    <w:rsid w:val="00F56118"/>
    <w:rsid w:val="00F56A93"/>
    <w:rsid w:val="00F56E3E"/>
    <w:rsid w:val="00F61610"/>
    <w:rsid w:val="00F61C5A"/>
    <w:rsid w:val="00F624E7"/>
    <w:rsid w:val="00F62677"/>
    <w:rsid w:val="00F63D4F"/>
    <w:rsid w:val="00F63F43"/>
    <w:rsid w:val="00F65317"/>
    <w:rsid w:val="00F66D9C"/>
    <w:rsid w:val="00F67FD5"/>
    <w:rsid w:val="00F71F12"/>
    <w:rsid w:val="00F74ADF"/>
    <w:rsid w:val="00F74BF7"/>
    <w:rsid w:val="00F7587C"/>
    <w:rsid w:val="00F76911"/>
    <w:rsid w:val="00F76CA9"/>
    <w:rsid w:val="00F76E13"/>
    <w:rsid w:val="00F80E93"/>
    <w:rsid w:val="00F81233"/>
    <w:rsid w:val="00F812E9"/>
    <w:rsid w:val="00F81BEF"/>
    <w:rsid w:val="00F81E99"/>
    <w:rsid w:val="00F81EDC"/>
    <w:rsid w:val="00F85C68"/>
    <w:rsid w:val="00F86CCE"/>
    <w:rsid w:val="00F87570"/>
    <w:rsid w:val="00F87F20"/>
    <w:rsid w:val="00F9005B"/>
    <w:rsid w:val="00F90D88"/>
    <w:rsid w:val="00F9135D"/>
    <w:rsid w:val="00F93367"/>
    <w:rsid w:val="00F934AF"/>
    <w:rsid w:val="00F94155"/>
    <w:rsid w:val="00F941C9"/>
    <w:rsid w:val="00F941E2"/>
    <w:rsid w:val="00F9423C"/>
    <w:rsid w:val="00F946EA"/>
    <w:rsid w:val="00F94EB2"/>
    <w:rsid w:val="00F952D6"/>
    <w:rsid w:val="00F97886"/>
    <w:rsid w:val="00FA086F"/>
    <w:rsid w:val="00FA08BF"/>
    <w:rsid w:val="00FA0D40"/>
    <w:rsid w:val="00FA295E"/>
    <w:rsid w:val="00FA29D8"/>
    <w:rsid w:val="00FA2C90"/>
    <w:rsid w:val="00FA349E"/>
    <w:rsid w:val="00FA4118"/>
    <w:rsid w:val="00FA4941"/>
    <w:rsid w:val="00FA4BA1"/>
    <w:rsid w:val="00FA4E70"/>
    <w:rsid w:val="00FA5D23"/>
    <w:rsid w:val="00FA5DF7"/>
    <w:rsid w:val="00FA69F7"/>
    <w:rsid w:val="00FA69F9"/>
    <w:rsid w:val="00FA6C47"/>
    <w:rsid w:val="00FA7F52"/>
    <w:rsid w:val="00FB050B"/>
    <w:rsid w:val="00FB05D1"/>
    <w:rsid w:val="00FB1867"/>
    <w:rsid w:val="00FB1DCB"/>
    <w:rsid w:val="00FB1FEE"/>
    <w:rsid w:val="00FB48D1"/>
    <w:rsid w:val="00FB4A5D"/>
    <w:rsid w:val="00FB6BB8"/>
    <w:rsid w:val="00FB71FD"/>
    <w:rsid w:val="00FB76F3"/>
    <w:rsid w:val="00FC02E6"/>
    <w:rsid w:val="00FC0772"/>
    <w:rsid w:val="00FC2EC4"/>
    <w:rsid w:val="00FC33CC"/>
    <w:rsid w:val="00FC3B5F"/>
    <w:rsid w:val="00FC48CC"/>
    <w:rsid w:val="00FC4E01"/>
    <w:rsid w:val="00FC5594"/>
    <w:rsid w:val="00FC5E2E"/>
    <w:rsid w:val="00FC600E"/>
    <w:rsid w:val="00FC616D"/>
    <w:rsid w:val="00FC6679"/>
    <w:rsid w:val="00FC7005"/>
    <w:rsid w:val="00FC7703"/>
    <w:rsid w:val="00FD014C"/>
    <w:rsid w:val="00FD01F6"/>
    <w:rsid w:val="00FD0C0C"/>
    <w:rsid w:val="00FD0F17"/>
    <w:rsid w:val="00FD24D9"/>
    <w:rsid w:val="00FD2EF7"/>
    <w:rsid w:val="00FD4AD6"/>
    <w:rsid w:val="00FD7F36"/>
    <w:rsid w:val="00FE101A"/>
    <w:rsid w:val="00FE13B8"/>
    <w:rsid w:val="00FE299D"/>
    <w:rsid w:val="00FE2D97"/>
    <w:rsid w:val="00FE38E1"/>
    <w:rsid w:val="00FE406E"/>
    <w:rsid w:val="00FE482C"/>
    <w:rsid w:val="00FE4DC9"/>
    <w:rsid w:val="00FE5D4F"/>
    <w:rsid w:val="00FE5D7E"/>
    <w:rsid w:val="00FF0915"/>
    <w:rsid w:val="00FF0EBC"/>
    <w:rsid w:val="00FF185D"/>
    <w:rsid w:val="00FF1E5D"/>
    <w:rsid w:val="00FF4838"/>
    <w:rsid w:val="00FF556B"/>
    <w:rsid w:val="00FF5CF3"/>
    <w:rsid w:val="00FF61B6"/>
    <w:rsid w:val="00FF71E9"/>
    <w:rsid w:val="00FF73D4"/>
    <w:rsid w:val="00FF7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12A1A"/>
  <w15:docId w15:val="{6C52CA2D-EEBF-4126-B4BB-921A780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0C2C"/>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Footnotes refss,Style 10,ftref,16 Point,Superscript 6 Point,Footnote number,Endnote Text1,Rimando nota a pièdi pagina1,Footnote symbol,Знак сноски 1,Texto de nota al pie,referencia nota al pie,BVI fnr,callout,f"/>
    <w:link w:val="f1"/>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B22D4B"/>
    <w:rPr>
      <w:lang w:val="es-ES" w:eastAsia="es-ES" w:bidi="ar-SA"/>
    </w:rPr>
  </w:style>
  <w:style w:type="paragraph" w:customStyle="1" w:styleId="ColorfulList-Accent11">
    <w:name w:val="Colorful List - Accent 11"/>
    <w:basedOn w:val="Normal"/>
    <w:uiPriority w:val="34"/>
    <w:qFormat/>
    <w:rsid w:val="00D71BF7"/>
    <w:pPr>
      <w:ind w:left="720"/>
    </w:p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styleId="CommentReference">
    <w:name w:val="annotation reference"/>
    <w:uiPriority w:val="99"/>
    <w:unhideWhenUsed/>
    <w:rsid w:val="002F3CB0"/>
    <w:rPr>
      <w:sz w:val="16"/>
      <w:szCs w:val="16"/>
    </w:rPr>
  </w:style>
  <w:style w:type="paragraph" w:styleId="CommentText">
    <w:name w:val="annotation text"/>
    <w:basedOn w:val="Normal"/>
    <w:link w:val="CommentTextChar"/>
    <w:uiPriority w:val="99"/>
    <w:unhideWhenUsed/>
    <w:rsid w:val="002F3CB0"/>
    <w:pPr>
      <w:spacing w:after="160" w:line="240" w:lineRule="auto"/>
    </w:pPr>
    <w:rPr>
      <w:rFonts w:ascii="Calibri" w:eastAsia="Calibri" w:hAnsi="Calibri"/>
      <w:lang w:val="en-GB" w:eastAsia="en-US"/>
    </w:rPr>
  </w:style>
  <w:style w:type="character" w:customStyle="1" w:styleId="CommentTextChar">
    <w:name w:val="Comment Text Char"/>
    <w:link w:val="CommentText"/>
    <w:uiPriority w:val="99"/>
    <w:rsid w:val="002F3CB0"/>
    <w:rPr>
      <w:rFonts w:ascii="Calibri" w:eastAsia="Calibri" w:hAnsi="Calibri"/>
      <w:lang w:eastAsia="en-US"/>
    </w:rPr>
  </w:style>
  <w:style w:type="paragraph" w:styleId="BalloonText">
    <w:name w:val="Balloon Text"/>
    <w:basedOn w:val="Normal"/>
    <w:link w:val="BalloonTextChar"/>
    <w:rsid w:val="002F3CB0"/>
    <w:pPr>
      <w:spacing w:line="240" w:lineRule="auto"/>
    </w:pPr>
    <w:rPr>
      <w:rFonts w:ascii="Segoe UI" w:hAnsi="Segoe UI" w:cs="Segoe UI"/>
      <w:sz w:val="18"/>
      <w:szCs w:val="18"/>
    </w:rPr>
  </w:style>
  <w:style w:type="character" w:customStyle="1" w:styleId="BalloonTextChar">
    <w:name w:val="Balloon Text Char"/>
    <w:link w:val="BalloonText"/>
    <w:rsid w:val="002F3CB0"/>
    <w:rPr>
      <w:rFonts w:ascii="Segoe UI" w:hAnsi="Segoe UI" w:cs="Segoe UI"/>
      <w:sz w:val="18"/>
      <w:szCs w:val="18"/>
      <w:lang w:val="es-ES" w:eastAsia="es-ES"/>
    </w:rPr>
  </w:style>
  <w:style w:type="paragraph" w:styleId="CommentSubject">
    <w:name w:val="annotation subject"/>
    <w:basedOn w:val="CommentText"/>
    <w:next w:val="CommentText"/>
    <w:link w:val="CommentSubjectChar"/>
    <w:rsid w:val="00F7587C"/>
    <w:pPr>
      <w:spacing w:after="0" w:line="240" w:lineRule="atLeast"/>
    </w:pPr>
    <w:rPr>
      <w:rFonts w:ascii="Times New Roman" w:eastAsia="Times New Roman" w:hAnsi="Times New Roman"/>
      <w:b/>
      <w:bCs/>
      <w:lang w:val="es-ES" w:eastAsia="es-ES"/>
    </w:rPr>
  </w:style>
  <w:style w:type="character" w:customStyle="1" w:styleId="CommentSubjectChar">
    <w:name w:val="Comment Subject Char"/>
    <w:link w:val="CommentSubject"/>
    <w:rsid w:val="00F7587C"/>
    <w:rPr>
      <w:rFonts w:ascii="Calibri" w:eastAsia="Calibri" w:hAnsi="Calibri"/>
      <w:b/>
      <w:bCs/>
      <w:lang w:eastAsia="en-US"/>
    </w:rPr>
  </w:style>
  <w:style w:type="paragraph" w:customStyle="1" w:styleId="ColorfulShading-Accent11">
    <w:name w:val="Colorful Shading - Accent 11"/>
    <w:hidden/>
    <w:uiPriority w:val="99"/>
    <w:semiHidden/>
    <w:rsid w:val="00000E1F"/>
    <w:rPr>
      <w:lang w:val="es-ES" w:eastAsia="es-ES"/>
    </w:rPr>
  </w:style>
  <w:style w:type="paragraph" w:styleId="Revision">
    <w:name w:val="Revision"/>
    <w:hidden/>
    <w:uiPriority w:val="71"/>
    <w:rsid w:val="00EF4147"/>
    <w:rPr>
      <w:lang w:val="es-ES" w:eastAsia="es-ES"/>
    </w:rPr>
  </w:style>
  <w:style w:type="paragraph" w:styleId="ListParagraph">
    <w:name w:val="List Paragraph"/>
    <w:basedOn w:val="Normal"/>
    <w:uiPriority w:val="34"/>
    <w:qFormat/>
    <w:rsid w:val="006A6671"/>
    <w:pPr>
      <w:ind w:left="720"/>
    </w:pPr>
  </w:style>
  <w:style w:type="paragraph" w:customStyle="1" w:styleId="f1">
    <w:name w:val="f1"/>
    <w:aliases w:val="Ref. de nota al pie.,Texto nota al pie,Ref. de nota al pi,Re"/>
    <w:basedOn w:val="Normal"/>
    <w:link w:val="FootnoteReference"/>
    <w:rsid w:val="00631B3A"/>
    <w:pPr>
      <w:spacing w:after="160" w:line="240" w:lineRule="exact"/>
    </w:pPr>
    <w:rPr>
      <w:sz w:val="18"/>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0602">
      <w:bodyDiv w:val="1"/>
      <w:marLeft w:val="0"/>
      <w:marRight w:val="0"/>
      <w:marTop w:val="0"/>
      <w:marBottom w:val="0"/>
      <w:divBdr>
        <w:top w:val="none" w:sz="0" w:space="0" w:color="auto"/>
        <w:left w:val="none" w:sz="0" w:space="0" w:color="auto"/>
        <w:bottom w:val="none" w:sz="0" w:space="0" w:color="auto"/>
        <w:right w:val="none" w:sz="0" w:space="0" w:color="auto"/>
      </w:divBdr>
      <w:divsChild>
        <w:div w:id="42339980">
          <w:marLeft w:val="0"/>
          <w:marRight w:val="0"/>
          <w:marTop w:val="0"/>
          <w:marBottom w:val="0"/>
          <w:divBdr>
            <w:top w:val="none" w:sz="0" w:space="0" w:color="auto"/>
            <w:left w:val="none" w:sz="0" w:space="0" w:color="auto"/>
            <w:bottom w:val="none" w:sz="0" w:space="0" w:color="auto"/>
            <w:right w:val="none" w:sz="0" w:space="0" w:color="auto"/>
          </w:divBdr>
          <w:divsChild>
            <w:div w:id="1898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8263">
      <w:bodyDiv w:val="1"/>
      <w:marLeft w:val="0"/>
      <w:marRight w:val="0"/>
      <w:marTop w:val="0"/>
      <w:marBottom w:val="0"/>
      <w:divBdr>
        <w:top w:val="none" w:sz="0" w:space="0" w:color="auto"/>
        <w:left w:val="none" w:sz="0" w:space="0" w:color="auto"/>
        <w:bottom w:val="none" w:sz="0" w:space="0" w:color="auto"/>
        <w:right w:val="none" w:sz="0" w:space="0" w:color="auto"/>
      </w:divBdr>
      <w:divsChild>
        <w:div w:id="1574729924">
          <w:marLeft w:val="0"/>
          <w:marRight w:val="0"/>
          <w:marTop w:val="0"/>
          <w:marBottom w:val="0"/>
          <w:divBdr>
            <w:top w:val="none" w:sz="0" w:space="0" w:color="auto"/>
            <w:left w:val="none" w:sz="0" w:space="0" w:color="auto"/>
            <w:bottom w:val="none" w:sz="0" w:space="0" w:color="auto"/>
            <w:right w:val="none" w:sz="0" w:space="0" w:color="auto"/>
          </w:divBdr>
          <w:divsChild>
            <w:div w:id="21031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141">
      <w:bodyDiv w:val="1"/>
      <w:marLeft w:val="0"/>
      <w:marRight w:val="0"/>
      <w:marTop w:val="0"/>
      <w:marBottom w:val="0"/>
      <w:divBdr>
        <w:top w:val="none" w:sz="0" w:space="0" w:color="auto"/>
        <w:left w:val="none" w:sz="0" w:space="0" w:color="auto"/>
        <w:bottom w:val="none" w:sz="0" w:space="0" w:color="auto"/>
        <w:right w:val="none" w:sz="0" w:space="0" w:color="auto"/>
      </w:divBdr>
      <w:divsChild>
        <w:div w:id="830951637">
          <w:marLeft w:val="0"/>
          <w:marRight w:val="0"/>
          <w:marTop w:val="0"/>
          <w:marBottom w:val="0"/>
          <w:divBdr>
            <w:top w:val="none" w:sz="0" w:space="0" w:color="auto"/>
            <w:left w:val="none" w:sz="0" w:space="0" w:color="auto"/>
            <w:bottom w:val="none" w:sz="0" w:space="0" w:color="auto"/>
            <w:right w:val="none" w:sz="0" w:space="0" w:color="auto"/>
          </w:divBdr>
          <w:divsChild>
            <w:div w:id="1945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970">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692337500">
      <w:bodyDiv w:val="1"/>
      <w:marLeft w:val="0"/>
      <w:marRight w:val="0"/>
      <w:marTop w:val="0"/>
      <w:marBottom w:val="0"/>
      <w:divBdr>
        <w:top w:val="none" w:sz="0" w:space="0" w:color="auto"/>
        <w:left w:val="none" w:sz="0" w:space="0" w:color="auto"/>
        <w:bottom w:val="none" w:sz="0" w:space="0" w:color="auto"/>
        <w:right w:val="none" w:sz="0" w:space="0" w:color="auto"/>
      </w:divBdr>
      <w:divsChild>
        <w:div w:id="1185745776">
          <w:marLeft w:val="0"/>
          <w:marRight w:val="0"/>
          <w:marTop w:val="0"/>
          <w:marBottom w:val="0"/>
          <w:divBdr>
            <w:top w:val="none" w:sz="0" w:space="0" w:color="auto"/>
            <w:left w:val="none" w:sz="0" w:space="0" w:color="auto"/>
            <w:bottom w:val="none" w:sz="0" w:space="0" w:color="auto"/>
            <w:right w:val="none" w:sz="0" w:space="0" w:color="auto"/>
          </w:divBdr>
          <w:divsChild>
            <w:div w:id="14342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D4E4-0FD7-48D9-8B75-3B0C0468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Template>
  <TotalTime>0</TotalTime>
  <Pages>11</Pages>
  <Words>6019</Words>
  <Characters>33110</Characters>
  <Application>Microsoft Office Word</Application>
  <DocSecurity>0</DocSecurity>
  <Lines>275</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CCPR/C/SLV/CO/7</vt:lpstr>
      <vt:lpstr>CCPR/C/DOM/CO/R.6</vt:lpstr>
      <vt:lpstr>CCPR/C/DOM/CO/R.6</vt:lpstr>
    </vt:vector>
  </TitlesOfParts>
  <Company>OHCHR</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CCPR/C/SLV/CO/7</dc:title>
  <dc:subject/>
  <dc:creator>Maria Luisa Zeballos Moreno</dc:creator>
  <cp:keywords/>
  <dc:description/>
  <cp:lastModifiedBy>Maria Luisa Zeballos Moreno</cp:lastModifiedBy>
  <cp:revision>3</cp:revision>
  <cp:lastPrinted>2018-05-09T13:35:00Z</cp:lastPrinted>
  <dcterms:created xsi:type="dcterms:W3CDTF">2018-05-09T13:35:00Z</dcterms:created>
  <dcterms:modified xsi:type="dcterms:W3CDTF">2018-05-09T13:35:00Z</dcterms:modified>
</cp:coreProperties>
</file>