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A157A2" w:rsidP="00A157A2">
            <w:pPr>
              <w:bidi w:val="0"/>
              <w:spacing w:after="20"/>
              <w:jc w:val="left"/>
              <w:rPr>
                <w:szCs w:val="20"/>
              </w:rPr>
            </w:pPr>
            <w:r w:rsidRPr="00A157A2">
              <w:rPr>
                <w:sz w:val="40"/>
                <w:szCs w:val="20"/>
              </w:rPr>
              <w:t>CRC</w:t>
            </w:r>
            <w:r>
              <w:rPr>
                <w:szCs w:val="20"/>
              </w:rPr>
              <w:t>/C/OPSC/MNG/CO/1</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A157A2" w:rsidRDefault="00A157A2" w:rsidP="00A157A2">
            <w:pPr>
              <w:bidi w:val="0"/>
              <w:spacing w:before="240"/>
              <w:jc w:val="left"/>
            </w:pPr>
            <w:r>
              <w:t>Distr.: General</w:t>
            </w:r>
          </w:p>
          <w:p w:rsidR="00A157A2" w:rsidRDefault="00A157A2" w:rsidP="00A157A2">
            <w:pPr>
              <w:bidi w:val="0"/>
              <w:jc w:val="left"/>
            </w:pPr>
            <w:r>
              <w:t>3 March 2010</w:t>
            </w:r>
          </w:p>
          <w:p w:rsidR="00A157A2" w:rsidRDefault="00A157A2" w:rsidP="00A157A2">
            <w:pPr>
              <w:bidi w:val="0"/>
              <w:jc w:val="left"/>
            </w:pPr>
            <w:r>
              <w:t>Arabic</w:t>
            </w:r>
          </w:p>
          <w:p w:rsidR="00257225" w:rsidRPr="008B4BC6" w:rsidRDefault="00A157A2" w:rsidP="00A157A2">
            <w:pPr>
              <w:bidi w:val="0"/>
              <w:jc w:val="left"/>
            </w:pPr>
            <w:r>
              <w:t>Original: English</w:t>
            </w:r>
          </w:p>
        </w:tc>
      </w:tr>
    </w:tbl>
    <w:p w:rsidR="001924B4" w:rsidRDefault="001924B4" w:rsidP="001924B4">
      <w:pPr>
        <w:spacing w:before="120" w:line="380" w:lineRule="exact"/>
        <w:rPr>
          <w:rFonts w:hint="cs"/>
          <w:b/>
          <w:bCs/>
          <w:sz w:val="26"/>
          <w:szCs w:val="36"/>
          <w:rtl/>
          <w:lang w:val="fr-CH"/>
        </w:rPr>
      </w:pPr>
      <w:r>
        <w:rPr>
          <w:rFonts w:hint="cs"/>
          <w:b/>
          <w:bCs/>
          <w:sz w:val="26"/>
          <w:szCs w:val="36"/>
          <w:rtl/>
          <w:lang w:val="fr-CH"/>
        </w:rPr>
        <w:t>لجنة حقوق الطفل</w:t>
      </w:r>
    </w:p>
    <w:p w:rsidR="001924B4" w:rsidRDefault="001924B4" w:rsidP="001924B4">
      <w:pPr>
        <w:spacing w:line="380" w:lineRule="exact"/>
        <w:rPr>
          <w:rFonts w:hint="cs"/>
          <w:b/>
          <w:bCs/>
          <w:rtl/>
          <w:lang w:val="fr-CH"/>
        </w:rPr>
      </w:pPr>
      <w:r>
        <w:rPr>
          <w:rFonts w:hint="cs"/>
          <w:b/>
          <w:bCs/>
          <w:rtl/>
          <w:lang w:val="fr-CH"/>
        </w:rPr>
        <w:t>الدورة الثالثة والخمسون</w:t>
      </w:r>
    </w:p>
    <w:p w:rsidR="001924B4" w:rsidRDefault="001924B4" w:rsidP="001924B4">
      <w:pPr>
        <w:spacing w:line="380" w:lineRule="exact"/>
        <w:rPr>
          <w:rFonts w:hint="cs"/>
          <w:rtl/>
          <w:lang w:val="fr-CH"/>
        </w:rPr>
      </w:pPr>
      <w:r>
        <w:rPr>
          <w:rFonts w:hint="cs"/>
          <w:rtl/>
          <w:lang w:val="fr-CH"/>
        </w:rPr>
        <w:t>11-29 كانون الثاني/يناير 2010</w:t>
      </w:r>
    </w:p>
    <w:p w:rsidR="001B001D" w:rsidRPr="00967D07" w:rsidRDefault="001B001D" w:rsidP="001B001D">
      <w:pPr>
        <w:pStyle w:val="HChGA"/>
        <w:rPr>
          <w:rFonts w:ascii="Arial" w:hAnsi="Arial" w:hint="cs"/>
          <w:color w:val="000000"/>
          <w:rtl/>
        </w:rPr>
      </w:pPr>
      <w:r>
        <w:rPr>
          <w:rFonts w:hint="cs"/>
          <w:rtl/>
        </w:rPr>
        <w:tab/>
      </w:r>
      <w:r>
        <w:rPr>
          <w:rFonts w:hint="cs"/>
          <w:rtl/>
        </w:rPr>
        <w:tab/>
      </w:r>
      <w:r w:rsidRPr="00967D07">
        <w:rPr>
          <w:rFonts w:hint="cs"/>
          <w:rtl/>
        </w:rPr>
        <w:t xml:space="preserve">النظر في التقارير المقدمة من الدول الأطراف بموجب المادة 12(1) من البروتوكول الاختياري لاتفاقية حقوق الطفل المتعلق ببيع </w:t>
      </w:r>
      <w:r>
        <w:rPr>
          <w:rFonts w:hint="cs"/>
          <w:rtl/>
        </w:rPr>
        <w:t>الأطفال وبغاء الأطفال واستغلال الأطفال</w:t>
      </w:r>
      <w:r w:rsidRPr="00967D07">
        <w:rPr>
          <w:rFonts w:hint="cs"/>
          <w:rtl/>
        </w:rPr>
        <w:t xml:space="preserve"> في المواد الإباحية</w:t>
      </w:r>
    </w:p>
    <w:p w:rsidR="001B001D" w:rsidRPr="00967D07" w:rsidRDefault="001B001D" w:rsidP="00C1062C">
      <w:pPr>
        <w:pStyle w:val="H1GA"/>
        <w:rPr>
          <w:rFonts w:hint="cs"/>
          <w:rtl/>
        </w:rPr>
      </w:pPr>
      <w:r>
        <w:rPr>
          <w:rFonts w:hint="cs"/>
          <w:rtl/>
        </w:rPr>
        <w:tab/>
      </w:r>
      <w:r>
        <w:rPr>
          <w:rFonts w:hint="cs"/>
          <w:rtl/>
        </w:rPr>
        <w:tab/>
      </w:r>
      <w:r w:rsidRPr="00967D07">
        <w:rPr>
          <w:rtl/>
        </w:rPr>
        <w:t>الملاحظات الختامية: منغوليا</w:t>
      </w:r>
    </w:p>
    <w:p w:rsidR="001924B4" w:rsidRDefault="001B001D" w:rsidP="00EB0F51">
      <w:pPr>
        <w:pStyle w:val="SingleTxtGA"/>
        <w:rPr>
          <w:rFonts w:hint="cs"/>
          <w:rtl/>
          <w:lang w:val="fr-CH"/>
        </w:rPr>
      </w:pPr>
      <w:r w:rsidRPr="00EB0F51">
        <w:rPr>
          <w:rtl/>
        </w:rPr>
        <w:t>1</w:t>
      </w:r>
      <w:r w:rsidR="00EB0F51" w:rsidRPr="00EB0F51">
        <w:rPr>
          <w:rFonts w:hint="cs"/>
          <w:rtl/>
        </w:rPr>
        <w:t>-</w:t>
      </w:r>
      <w:r w:rsidR="00EB0F51" w:rsidRPr="00EB0F51">
        <w:rPr>
          <w:rFonts w:hint="cs"/>
          <w:rtl/>
        </w:rPr>
        <w:tab/>
      </w:r>
      <w:r w:rsidRPr="00EB0F51">
        <w:rPr>
          <w:rtl/>
        </w:rPr>
        <w:t>نظرت اللجنة في التقرير الأولي لمنغوليا (</w:t>
      </w:r>
      <w:r w:rsidRPr="00EB0F51">
        <w:t>CRC/C/OPSC/MNG/1</w:t>
      </w:r>
      <w:r w:rsidRPr="00EB0F51">
        <w:rPr>
          <w:rtl/>
        </w:rPr>
        <w:t xml:space="preserve">) في </w:t>
      </w:r>
      <w:r w:rsidR="00F07AAD">
        <w:rPr>
          <w:rFonts w:hint="cs"/>
          <w:rtl/>
        </w:rPr>
        <w:t xml:space="preserve">               </w:t>
      </w:r>
      <w:r w:rsidRPr="00EB0F51">
        <w:rPr>
          <w:rtl/>
        </w:rPr>
        <w:t>جلست</w:t>
      </w:r>
      <w:r w:rsidRPr="00EB0F51">
        <w:rPr>
          <w:rFonts w:hint="cs"/>
          <w:rtl/>
        </w:rPr>
        <w:t>ي</w:t>
      </w:r>
      <w:r w:rsidRPr="00EB0F51">
        <w:rPr>
          <w:rtl/>
        </w:rPr>
        <w:t xml:space="preserve">ها 1458 و1460 (انظر </w:t>
      </w:r>
      <w:r w:rsidRPr="00EB0F51">
        <w:t>CRC/C/SR.1458</w:t>
      </w:r>
      <w:r w:rsidRPr="00EB0F51">
        <w:rPr>
          <w:rtl/>
        </w:rPr>
        <w:t xml:space="preserve"> و</w:t>
      </w:r>
      <w:r w:rsidRPr="00EB0F51">
        <w:t>CRC/C/SR.1460</w:t>
      </w:r>
      <w:r w:rsidRPr="00EB0F51">
        <w:rPr>
          <w:rtl/>
        </w:rPr>
        <w:t>)، المعقود</w:t>
      </w:r>
      <w:r w:rsidRPr="00EB0F51">
        <w:rPr>
          <w:rFonts w:hint="cs"/>
          <w:rtl/>
        </w:rPr>
        <w:t>تين</w:t>
      </w:r>
      <w:r w:rsidRPr="00EB0F51">
        <w:rPr>
          <w:rtl/>
        </w:rPr>
        <w:t xml:space="preserve"> في 12 و13 كانون الثاني</w:t>
      </w:r>
      <w:r w:rsidRPr="00EB0F51">
        <w:rPr>
          <w:rFonts w:hint="cs"/>
          <w:rtl/>
        </w:rPr>
        <w:t>/يناير</w:t>
      </w:r>
      <w:r w:rsidRPr="00EB0F51">
        <w:rPr>
          <w:rtl/>
        </w:rPr>
        <w:t xml:space="preserve"> 2010، واعتمدت في جلستها 1501</w:t>
      </w:r>
      <w:r w:rsidRPr="00EB0F51">
        <w:rPr>
          <w:rFonts w:hint="cs"/>
          <w:rtl/>
        </w:rPr>
        <w:t xml:space="preserve">، </w:t>
      </w:r>
      <w:r w:rsidRPr="00EB0F51">
        <w:rPr>
          <w:rtl/>
        </w:rPr>
        <w:t>المعقودة في 29 كانون الثاني</w:t>
      </w:r>
      <w:r w:rsidRPr="00EB0F51">
        <w:rPr>
          <w:rFonts w:hint="cs"/>
          <w:rtl/>
        </w:rPr>
        <w:t>/</w:t>
      </w:r>
      <w:r w:rsidRPr="00EB0F51">
        <w:rPr>
          <w:rtl/>
        </w:rPr>
        <w:t>يناير 2010، الملاحظات الختامية التالية.</w:t>
      </w:r>
    </w:p>
    <w:p w:rsidR="00606FAF" w:rsidRDefault="002B47D9" w:rsidP="002B47D9">
      <w:pPr>
        <w:pStyle w:val="HChGA"/>
        <w:rPr>
          <w:rtl/>
        </w:rPr>
      </w:pPr>
      <w:r>
        <w:rPr>
          <w:rFonts w:hint="cs"/>
          <w:rtl/>
        </w:rPr>
        <w:tab/>
      </w:r>
      <w:r>
        <w:rPr>
          <w:rFonts w:hint="cs"/>
          <w:rtl/>
        </w:rPr>
        <w:tab/>
      </w:r>
      <w:r w:rsidR="00606FAF">
        <w:rPr>
          <w:rtl/>
        </w:rPr>
        <w:t xml:space="preserve">مقدمة </w:t>
      </w:r>
    </w:p>
    <w:p w:rsidR="00606FAF" w:rsidRDefault="002B47D9" w:rsidP="00B5705A">
      <w:pPr>
        <w:pStyle w:val="SingleTxtGA"/>
        <w:rPr>
          <w:rtl/>
        </w:rPr>
      </w:pPr>
      <w:r>
        <w:rPr>
          <w:rFonts w:hint="cs"/>
          <w:rtl/>
        </w:rPr>
        <w:t>2-</w:t>
      </w:r>
      <w:r>
        <w:rPr>
          <w:rFonts w:hint="cs"/>
          <w:rtl/>
        </w:rPr>
        <w:tab/>
      </w:r>
      <w:r w:rsidR="00606FAF">
        <w:rPr>
          <w:rtl/>
        </w:rPr>
        <w:t xml:space="preserve">ترحِّب اللجنة بتقديم الدولة الطرف </w:t>
      </w:r>
      <w:r w:rsidR="008731B6">
        <w:rPr>
          <w:rFonts w:hint="cs"/>
          <w:rtl/>
        </w:rPr>
        <w:t>تقريرها</w:t>
      </w:r>
      <w:r w:rsidR="00606FAF">
        <w:rPr>
          <w:rtl/>
        </w:rPr>
        <w:t xml:space="preserve"> الأولي كما ترحِّب بالردود التي قُدِّمت إجابةً على قائمة المسائل (</w:t>
      </w:r>
      <w:r w:rsidR="00606FAF">
        <w:t>CRC/C/OPSC/MNG/Q/1</w:t>
      </w:r>
      <w:r w:rsidR="00606FAF">
        <w:rPr>
          <w:rtl/>
        </w:rPr>
        <w:t xml:space="preserve"> و</w:t>
      </w:r>
      <w:r w:rsidR="00606FAF">
        <w:t>Add.1</w:t>
      </w:r>
      <w:r w:rsidR="00606FAF">
        <w:rPr>
          <w:rtl/>
        </w:rPr>
        <w:t xml:space="preserve">). وتعرب اللجنة عن تقديرها </w:t>
      </w:r>
      <w:r w:rsidR="00D923A4">
        <w:rPr>
          <w:rFonts w:hint="cs"/>
          <w:rtl/>
        </w:rPr>
        <w:t xml:space="preserve">أيضاً </w:t>
      </w:r>
      <w:r w:rsidR="00606FAF">
        <w:rPr>
          <w:rtl/>
        </w:rPr>
        <w:t xml:space="preserve">للحوار الصريح والبنّاء الذي جرى مع الوفد. غير </w:t>
      </w:r>
      <w:r w:rsidR="00B5705A">
        <w:rPr>
          <w:rFonts w:hint="cs"/>
          <w:rtl/>
        </w:rPr>
        <w:t>أن اللجنة</w:t>
      </w:r>
      <w:r w:rsidR="00606FAF">
        <w:rPr>
          <w:rtl/>
        </w:rPr>
        <w:t xml:space="preserve"> تأسف لأن تقرير الدولة الطرف لم يتقيد بالمبادئ التوجيهية المنقحة لتقديم التقارير بموجب البروتوكول الاختياري ولأن الوفد لم يضم </w:t>
      </w:r>
      <w:proofErr w:type="spellStart"/>
      <w:r w:rsidR="00606FAF">
        <w:rPr>
          <w:rtl/>
        </w:rPr>
        <w:t>مسؤولين</w:t>
      </w:r>
      <w:proofErr w:type="spellEnd"/>
      <w:r w:rsidR="00606FAF">
        <w:rPr>
          <w:rtl/>
        </w:rPr>
        <w:t xml:space="preserve"> من وزارة العدل. </w:t>
      </w:r>
    </w:p>
    <w:p w:rsidR="00606FAF" w:rsidRDefault="00B5705A" w:rsidP="00B5705A">
      <w:pPr>
        <w:pStyle w:val="SingleTxtGA"/>
        <w:rPr>
          <w:rtl/>
        </w:rPr>
      </w:pPr>
      <w:r>
        <w:rPr>
          <w:rFonts w:hint="cs"/>
          <w:rtl/>
        </w:rPr>
        <w:t>3-</w:t>
      </w:r>
      <w:r>
        <w:rPr>
          <w:rFonts w:hint="cs"/>
          <w:rtl/>
        </w:rPr>
        <w:tab/>
      </w:r>
      <w:r>
        <w:rPr>
          <w:rtl/>
        </w:rPr>
        <w:t>وتذكّر اللجنة الدولة الطرف بأن</w:t>
      </w:r>
      <w:r w:rsidR="00606FAF">
        <w:rPr>
          <w:rtl/>
        </w:rPr>
        <w:t xml:space="preserve"> هذه الملاحظات الختامية </w:t>
      </w:r>
      <w:r>
        <w:rPr>
          <w:rtl/>
        </w:rPr>
        <w:t xml:space="preserve">ينبغي أن تُقرأ </w:t>
      </w:r>
      <w:r w:rsidR="00606FAF">
        <w:rPr>
          <w:rtl/>
        </w:rPr>
        <w:t>مقترنةً بالملاحظات الختامية (</w:t>
      </w:r>
      <w:r w:rsidR="00606FAF">
        <w:t>CRC/C/MNG/CO/3-4</w:t>
      </w:r>
      <w:r w:rsidR="00606FAF">
        <w:rPr>
          <w:rtl/>
        </w:rPr>
        <w:t>) التي اعتُمدت في 29 كانون الثاني/</w:t>
      </w:r>
      <w:r>
        <w:rPr>
          <w:rFonts w:hint="cs"/>
          <w:rtl/>
        </w:rPr>
        <w:t xml:space="preserve">               </w:t>
      </w:r>
      <w:r w:rsidR="00606FAF">
        <w:rPr>
          <w:rtl/>
        </w:rPr>
        <w:t>يناير 2010 بعد النظر في تقرير الدولة الطرف الموحد الذي يضم التقريرين الدوريين</w:t>
      </w:r>
      <w:r>
        <w:rPr>
          <w:rFonts w:hint="cs"/>
          <w:rtl/>
        </w:rPr>
        <w:t xml:space="preserve">         </w:t>
      </w:r>
      <w:r w:rsidR="00606FAF">
        <w:rPr>
          <w:rtl/>
        </w:rPr>
        <w:t xml:space="preserve"> الثالث والرابع.</w:t>
      </w:r>
    </w:p>
    <w:p w:rsidR="00606FAF" w:rsidRDefault="004C60AC" w:rsidP="004C60AC">
      <w:pPr>
        <w:pStyle w:val="HChGA"/>
        <w:rPr>
          <w:rtl/>
        </w:rPr>
      </w:pPr>
      <w:r>
        <w:rPr>
          <w:rFonts w:hint="cs"/>
          <w:rtl/>
        </w:rPr>
        <w:tab/>
      </w:r>
      <w:r w:rsidR="00606FAF">
        <w:rPr>
          <w:rtl/>
        </w:rPr>
        <w:t>أولاً</w:t>
      </w:r>
      <w:r w:rsidR="00185AB0">
        <w:rPr>
          <w:rFonts w:hint="cs"/>
          <w:rtl/>
        </w:rPr>
        <w:t xml:space="preserve"> </w:t>
      </w:r>
      <w:r>
        <w:rPr>
          <w:rFonts w:hint="cs"/>
          <w:rtl/>
        </w:rPr>
        <w:t>-</w:t>
      </w:r>
      <w:r>
        <w:rPr>
          <w:rFonts w:hint="cs"/>
          <w:rtl/>
        </w:rPr>
        <w:tab/>
      </w:r>
      <w:r w:rsidR="00606FAF">
        <w:rPr>
          <w:rtl/>
        </w:rPr>
        <w:t xml:space="preserve">ملاحظات عامة </w:t>
      </w:r>
    </w:p>
    <w:p w:rsidR="00606FAF" w:rsidRDefault="004C60AC" w:rsidP="004C60AC">
      <w:pPr>
        <w:pStyle w:val="H1GA"/>
        <w:rPr>
          <w:rtl/>
        </w:rPr>
      </w:pPr>
      <w:r>
        <w:rPr>
          <w:rFonts w:hint="cs"/>
          <w:rtl/>
        </w:rPr>
        <w:tab/>
      </w:r>
      <w:r>
        <w:rPr>
          <w:rFonts w:hint="cs"/>
          <w:rtl/>
        </w:rPr>
        <w:tab/>
      </w:r>
      <w:r w:rsidR="00606FAF">
        <w:rPr>
          <w:rtl/>
        </w:rPr>
        <w:t xml:space="preserve">الجوانب الإيجابية </w:t>
      </w:r>
    </w:p>
    <w:p w:rsidR="00606FAF" w:rsidRDefault="004C60AC" w:rsidP="00937B2D">
      <w:pPr>
        <w:pStyle w:val="SingleTxtGA"/>
        <w:rPr>
          <w:rtl/>
        </w:rPr>
      </w:pPr>
      <w:r>
        <w:rPr>
          <w:rFonts w:hint="cs"/>
          <w:rtl/>
        </w:rPr>
        <w:t>4-</w:t>
      </w:r>
      <w:r>
        <w:rPr>
          <w:rFonts w:hint="cs"/>
          <w:rtl/>
        </w:rPr>
        <w:tab/>
      </w:r>
      <w:r w:rsidR="00606FAF">
        <w:rPr>
          <w:rtl/>
        </w:rPr>
        <w:t>تلاحظ اللجنة مع التقدير أنه تمت، أثناء إعداد التقرير، استشارة أصحاب المصلحة ذوي الصلة، ومن</w:t>
      </w:r>
      <w:r w:rsidR="00937B2D">
        <w:rPr>
          <w:rFonts w:hint="cs"/>
          <w:rtl/>
        </w:rPr>
        <w:t>هم</w:t>
      </w:r>
      <w:r w:rsidR="00606FAF">
        <w:rPr>
          <w:rtl/>
        </w:rPr>
        <w:t xml:space="preserve"> منظمات المجتمع المدني والأطفال. </w:t>
      </w:r>
    </w:p>
    <w:p w:rsidR="00606FAF" w:rsidRDefault="00937B2D" w:rsidP="00CD5D05">
      <w:pPr>
        <w:pStyle w:val="SingleTxtGA"/>
        <w:rPr>
          <w:rtl/>
        </w:rPr>
      </w:pPr>
      <w:r>
        <w:rPr>
          <w:rFonts w:hint="cs"/>
          <w:rtl/>
        </w:rPr>
        <w:t>5-</w:t>
      </w:r>
      <w:r>
        <w:rPr>
          <w:rFonts w:hint="cs"/>
          <w:rtl/>
        </w:rPr>
        <w:tab/>
      </w:r>
      <w:r w:rsidR="00606FAF">
        <w:rPr>
          <w:rtl/>
        </w:rPr>
        <w:t>وتثني اللجنة أيضاً على الدولة الطرف لانضمامها</w:t>
      </w:r>
      <w:r w:rsidR="00B53700">
        <w:rPr>
          <w:rFonts w:hint="cs"/>
          <w:rtl/>
        </w:rPr>
        <w:t xml:space="preserve"> إلى الصكوك الت</w:t>
      </w:r>
      <w:r w:rsidR="00CD5D05">
        <w:rPr>
          <w:rFonts w:hint="cs"/>
          <w:rtl/>
        </w:rPr>
        <w:t>الية أو           تصديقها عليها</w:t>
      </w:r>
      <w:r w:rsidR="00606FAF">
        <w:rPr>
          <w:rtl/>
        </w:rPr>
        <w:t xml:space="preserve">: </w:t>
      </w:r>
    </w:p>
    <w:p w:rsidR="00606FAF" w:rsidRDefault="00606FAF" w:rsidP="00C1062C">
      <w:pPr>
        <w:pStyle w:val="SingleTxtGA"/>
        <w:rPr>
          <w:rtl/>
        </w:rPr>
      </w:pPr>
      <w:r>
        <w:rPr>
          <w:rtl/>
        </w:rPr>
        <w:tab/>
        <w:t>(أ)</w:t>
      </w:r>
      <w:r>
        <w:rPr>
          <w:rtl/>
        </w:rPr>
        <w:tab/>
        <w:t xml:space="preserve">البروتوكول الاختياري المتعلق بإشراك الأطفال </w:t>
      </w:r>
      <w:r w:rsidR="00C1062C">
        <w:rPr>
          <w:rtl/>
        </w:rPr>
        <w:t>في النزاعات المسلحة</w:t>
      </w:r>
      <w:r w:rsidR="00F455C5">
        <w:rPr>
          <w:rFonts w:hint="cs"/>
          <w:rtl/>
        </w:rPr>
        <w:t>،</w:t>
      </w:r>
      <w:r w:rsidR="00C1062C">
        <w:rPr>
          <w:rtl/>
        </w:rPr>
        <w:t xml:space="preserve"> في</w:t>
      </w:r>
      <w:r w:rsidR="00C1062C">
        <w:rPr>
          <w:rFonts w:hint="cs"/>
          <w:rtl/>
        </w:rPr>
        <w:t xml:space="preserve">         </w:t>
      </w:r>
      <w:r w:rsidR="00C1062C">
        <w:rPr>
          <w:rtl/>
        </w:rPr>
        <w:t xml:space="preserve"> عام 2006</w:t>
      </w:r>
      <w:r>
        <w:rPr>
          <w:rtl/>
        </w:rPr>
        <w:t xml:space="preserve">؛ </w:t>
      </w:r>
    </w:p>
    <w:p w:rsidR="00606FAF" w:rsidRDefault="00606FAF" w:rsidP="00C1062C">
      <w:pPr>
        <w:pStyle w:val="SingleTxtGA"/>
        <w:rPr>
          <w:rtl/>
        </w:rPr>
      </w:pPr>
      <w:r>
        <w:rPr>
          <w:rtl/>
        </w:rPr>
        <w:tab/>
        <w:t>(ب)</w:t>
      </w:r>
      <w:r>
        <w:rPr>
          <w:rtl/>
        </w:rPr>
        <w:tab/>
        <w:t>اتفا</w:t>
      </w:r>
      <w:r w:rsidR="00C1062C">
        <w:rPr>
          <w:rtl/>
        </w:rPr>
        <w:t>قية منظمة العمل الدولية رقم 182</w:t>
      </w:r>
      <w:r>
        <w:rPr>
          <w:rtl/>
        </w:rPr>
        <w:t>(1999) بشأن حظر أسوأ أشكال عمل الأطفال والإجراءات ا</w:t>
      </w:r>
      <w:r w:rsidR="00C1062C">
        <w:rPr>
          <w:rtl/>
        </w:rPr>
        <w:t>لفورية للقضاء عليها</w:t>
      </w:r>
      <w:r w:rsidR="00F455C5">
        <w:rPr>
          <w:rFonts w:hint="cs"/>
          <w:rtl/>
        </w:rPr>
        <w:t>،</w:t>
      </w:r>
      <w:r w:rsidR="00C1062C">
        <w:rPr>
          <w:rtl/>
        </w:rPr>
        <w:t xml:space="preserve"> في عام 2001</w:t>
      </w:r>
      <w:r>
        <w:rPr>
          <w:rtl/>
        </w:rPr>
        <w:t xml:space="preserve">؛ </w:t>
      </w:r>
    </w:p>
    <w:p w:rsidR="00606FAF" w:rsidRDefault="00606FAF" w:rsidP="00C1062C">
      <w:pPr>
        <w:pStyle w:val="SingleTxtGA"/>
        <w:rPr>
          <w:rtl/>
        </w:rPr>
      </w:pPr>
      <w:r>
        <w:rPr>
          <w:rtl/>
        </w:rPr>
        <w:tab/>
        <w:t>(ج)</w:t>
      </w:r>
      <w:r>
        <w:rPr>
          <w:rtl/>
        </w:rPr>
        <w:tab/>
        <w:t>بروتوكول منع الاتجار بالأشخاص، وبخاصة النساء والأطفال، وقمعه والمعاقبة عليه، المكمِّل لاتفاقية الأمم المتحدة لمكافحة الجريمة المنظمة عبر الوطنية</w:t>
      </w:r>
      <w:r w:rsidR="00267108">
        <w:rPr>
          <w:rFonts w:hint="cs"/>
          <w:rtl/>
        </w:rPr>
        <w:t>،</w:t>
      </w:r>
      <w:r>
        <w:rPr>
          <w:rtl/>
        </w:rPr>
        <w:t xml:space="preserve"> في </w:t>
      </w:r>
      <w:r w:rsidR="00C1062C">
        <w:rPr>
          <w:rFonts w:hint="cs"/>
          <w:rtl/>
        </w:rPr>
        <w:t xml:space="preserve">          </w:t>
      </w:r>
      <w:r>
        <w:rPr>
          <w:rtl/>
        </w:rPr>
        <w:t>عام 2008.</w:t>
      </w:r>
    </w:p>
    <w:p w:rsidR="00606FAF" w:rsidRDefault="00267108" w:rsidP="00267108">
      <w:pPr>
        <w:pStyle w:val="HChGA"/>
        <w:rPr>
          <w:rtl/>
        </w:rPr>
      </w:pPr>
      <w:r>
        <w:rPr>
          <w:rFonts w:hint="cs"/>
          <w:rtl/>
        </w:rPr>
        <w:tab/>
      </w:r>
      <w:r>
        <w:rPr>
          <w:rtl/>
        </w:rPr>
        <w:t>ثانياً</w:t>
      </w:r>
      <w:r>
        <w:rPr>
          <w:rFonts w:hint="cs"/>
          <w:rtl/>
        </w:rPr>
        <w:t xml:space="preserve"> -</w:t>
      </w:r>
      <w:r>
        <w:rPr>
          <w:rFonts w:hint="cs"/>
          <w:rtl/>
        </w:rPr>
        <w:tab/>
      </w:r>
      <w:r w:rsidR="00606FAF">
        <w:rPr>
          <w:rtl/>
        </w:rPr>
        <w:t xml:space="preserve">البيانات </w:t>
      </w:r>
    </w:p>
    <w:p w:rsidR="00606FAF" w:rsidRDefault="00267108" w:rsidP="00DF5ACD">
      <w:pPr>
        <w:pStyle w:val="H1GA"/>
        <w:rPr>
          <w:rtl/>
        </w:rPr>
      </w:pPr>
      <w:r>
        <w:rPr>
          <w:rFonts w:hint="cs"/>
          <w:rtl/>
        </w:rPr>
        <w:tab/>
      </w:r>
      <w:r>
        <w:rPr>
          <w:rFonts w:hint="cs"/>
          <w:rtl/>
        </w:rPr>
        <w:tab/>
      </w:r>
      <w:r w:rsidR="00606FAF">
        <w:rPr>
          <w:rtl/>
        </w:rPr>
        <w:t xml:space="preserve">جمع البيانات </w:t>
      </w:r>
    </w:p>
    <w:p w:rsidR="00606FAF" w:rsidRDefault="00267108" w:rsidP="00FC31E1">
      <w:pPr>
        <w:pStyle w:val="SingleTxtGA"/>
        <w:rPr>
          <w:rtl/>
        </w:rPr>
      </w:pPr>
      <w:r>
        <w:rPr>
          <w:rFonts w:hint="cs"/>
          <w:rtl/>
        </w:rPr>
        <w:t>6-</w:t>
      </w:r>
      <w:r>
        <w:rPr>
          <w:rFonts w:hint="cs"/>
          <w:rtl/>
        </w:rPr>
        <w:tab/>
      </w:r>
      <w:r w:rsidR="00606FAF">
        <w:rPr>
          <w:rtl/>
        </w:rPr>
        <w:t xml:space="preserve">تلاحظ اللجنة بقلق قلة البيانات الإحصائية والبحوث لمعرفة </w:t>
      </w:r>
      <w:r w:rsidR="00FC31E1">
        <w:rPr>
          <w:rFonts w:hint="cs"/>
          <w:rtl/>
        </w:rPr>
        <w:t>مدى</w:t>
      </w:r>
      <w:r w:rsidR="00606FAF">
        <w:rPr>
          <w:rtl/>
        </w:rPr>
        <w:t xml:space="preserve"> استشراء بيع الأطفال وبغاء الأطفال واستغلالهم في المواد الإباحية. </w:t>
      </w:r>
    </w:p>
    <w:p w:rsidR="00606FAF" w:rsidRDefault="00472176" w:rsidP="00472176">
      <w:pPr>
        <w:pStyle w:val="SingleTxtGA"/>
        <w:rPr>
          <w:rFonts w:hint="cs"/>
          <w:b/>
          <w:bCs/>
          <w:rtl/>
        </w:rPr>
      </w:pPr>
      <w:r>
        <w:rPr>
          <w:rFonts w:hint="cs"/>
          <w:rtl/>
        </w:rPr>
        <w:t>7-</w:t>
      </w:r>
      <w:r>
        <w:rPr>
          <w:rFonts w:hint="cs"/>
          <w:rtl/>
        </w:rPr>
        <w:tab/>
      </w:r>
      <w:r w:rsidR="00606FAF" w:rsidRPr="00472176">
        <w:rPr>
          <w:b/>
          <w:bCs/>
          <w:rtl/>
        </w:rPr>
        <w:t xml:space="preserve">توصي اللجنة بأن تكفل الدولة الطرف إجراء بحوث في المسائل التي يتناولها البروتوكول الاختياري، وتصنيف البيانات حسب العمر والجنس والخلفية الاجتماعية والاقتصادية والمنطقة الجغرافية </w:t>
      </w:r>
      <w:r w:rsidRPr="00472176">
        <w:rPr>
          <w:rFonts w:hint="cs"/>
          <w:b/>
          <w:bCs/>
          <w:rtl/>
        </w:rPr>
        <w:t>ومجموعات الأقليات</w:t>
      </w:r>
      <w:r w:rsidR="00606FAF" w:rsidRPr="00472176">
        <w:rPr>
          <w:b/>
          <w:bCs/>
          <w:rtl/>
        </w:rPr>
        <w:t xml:space="preserve">، وبأن يتم جمع البيانات وتحليلها على نحو منهجي لأنها توفر أدوات أساسية لقياس تنفيذ السياسات. وينبغي للدولة الطرف أن تلتمس المساعدة في هذا الصدد من وكالات الأمم المتحدة وبرامجها، بما في ذلك منظمة الأمم المتحدة للطفولة (اليونيسيف). </w:t>
      </w:r>
    </w:p>
    <w:p w:rsidR="000F56E7" w:rsidRPr="00472176" w:rsidRDefault="000F56E7" w:rsidP="00472176">
      <w:pPr>
        <w:pStyle w:val="SingleTxtGA"/>
        <w:rPr>
          <w:rFonts w:hint="cs"/>
          <w:b/>
          <w:bCs/>
          <w:rtl/>
        </w:rPr>
      </w:pPr>
    </w:p>
    <w:p w:rsidR="00606FAF" w:rsidRDefault="000F56E7" w:rsidP="000F56E7">
      <w:pPr>
        <w:pStyle w:val="HChGA"/>
        <w:rPr>
          <w:rtl/>
        </w:rPr>
      </w:pPr>
      <w:r>
        <w:rPr>
          <w:rFonts w:hint="cs"/>
          <w:rtl/>
        </w:rPr>
        <w:tab/>
      </w:r>
      <w:r w:rsidR="00606FAF">
        <w:rPr>
          <w:rtl/>
        </w:rPr>
        <w:t>ثالثاً</w:t>
      </w:r>
      <w:r>
        <w:rPr>
          <w:rFonts w:hint="cs"/>
          <w:rtl/>
        </w:rPr>
        <w:t xml:space="preserve"> -</w:t>
      </w:r>
      <w:r>
        <w:rPr>
          <w:rFonts w:hint="cs"/>
          <w:rtl/>
        </w:rPr>
        <w:tab/>
      </w:r>
      <w:r w:rsidR="00606FAF">
        <w:rPr>
          <w:rtl/>
        </w:rPr>
        <w:t xml:space="preserve">تدابير التنفيذ العامة </w:t>
      </w:r>
    </w:p>
    <w:p w:rsidR="00606FAF" w:rsidRDefault="000F56E7" w:rsidP="00BC74EC">
      <w:pPr>
        <w:pStyle w:val="H1GA"/>
        <w:rPr>
          <w:rtl/>
        </w:rPr>
      </w:pPr>
      <w:r>
        <w:rPr>
          <w:rFonts w:hint="cs"/>
          <w:rtl/>
        </w:rPr>
        <w:tab/>
      </w:r>
      <w:r>
        <w:rPr>
          <w:rFonts w:hint="cs"/>
          <w:rtl/>
        </w:rPr>
        <w:tab/>
      </w:r>
      <w:r w:rsidR="00606FAF">
        <w:rPr>
          <w:rtl/>
        </w:rPr>
        <w:t xml:space="preserve">التشريعات </w:t>
      </w:r>
    </w:p>
    <w:p w:rsidR="00606FAF" w:rsidRDefault="00B547B6" w:rsidP="00B547B6">
      <w:pPr>
        <w:pStyle w:val="SingleTxtGA"/>
        <w:rPr>
          <w:rtl/>
        </w:rPr>
      </w:pPr>
      <w:r>
        <w:rPr>
          <w:rFonts w:hint="cs"/>
          <w:rtl/>
        </w:rPr>
        <w:t>8-</w:t>
      </w:r>
      <w:r>
        <w:rPr>
          <w:rFonts w:hint="cs"/>
          <w:rtl/>
        </w:rPr>
        <w:tab/>
      </w:r>
      <w:r w:rsidR="00606FAF">
        <w:rPr>
          <w:rtl/>
        </w:rPr>
        <w:t xml:space="preserve">ترحّب اللجنة بالمعلومات التي تفيد بأنه تم بالفعل إدراج بعض الأحكام الواردة في البروتوكول الاختياري في تشريعات منغوليا. لكنها تعرب عن قلقها إزاء عدم وجود </w:t>
      </w:r>
      <w:proofErr w:type="spellStart"/>
      <w:r w:rsidR="00606FAF">
        <w:rPr>
          <w:rtl/>
        </w:rPr>
        <w:t>تعاريف</w:t>
      </w:r>
      <w:proofErr w:type="spellEnd"/>
      <w:r w:rsidR="00606FAF">
        <w:rPr>
          <w:rtl/>
        </w:rPr>
        <w:t xml:space="preserve"> دقيقة وإزاء عدم إدراج جميع الجرائم المنصوص عليها في البروتوكول الاختياري. </w:t>
      </w:r>
    </w:p>
    <w:p w:rsidR="00606FAF" w:rsidRPr="00B547B6" w:rsidRDefault="00B547B6" w:rsidP="00B547B6">
      <w:pPr>
        <w:pStyle w:val="SingleTxtGA"/>
        <w:rPr>
          <w:b/>
          <w:bCs/>
          <w:rtl/>
        </w:rPr>
      </w:pPr>
      <w:r>
        <w:rPr>
          <w:rFonts w:hint="cs"/>
          <w:rtl/>
        </w:rPr>
        <w:t>9-</w:t>
      </w:r>
      <w:r>
        <w:rPr>
          <w:rFonts w:hint="cs"/>
          <w:rtl/>
        </w:rPr>
        <w:tab/>
      </w:r>
      <w:r w:rsidR="00606FAF" w:rsidRPr="00B547B6">
        <w:rPr>
          <w:b/>
          <w:bCs/>
          <w:rtl/>
        </w:rPr>
        <w:t xml:space="preserve">توصي اللجنة بأن تواصل الدولة الطرف </w:t>
      </w:r>
      <w:r w:rsidRPr="00B547B6">
        <w:rPr>
          <w:rFonts w:hint="cs"/>
          <w:b/>
          <w:bCs/>
          <w:rtl/>
        </w:rPr>
        <w:t>وتنجز</w:t>
      </w:r>
      <w:r w:rsidR="00606FAF" w:rsidRPr="00B547B6">
        <w:rPr>
          <w:b/>
          <w:bCs/>
          <w:rtl/>
        </w:rPr>
        <w:t xml:space="preserve"> عملية مواءمة تشريعاتها الوطنية مع مبادئ وأحكام البروتوكول الاختياري. </w:t>
      </w:r>
    </w:p>
    <w:p w:rsidR="00606FAF" w:rsidRDefault="0061076D" w:rsidP="0061076D">
      <w:pPr>
        <w:pStyle w:val="H1GA"/>
        <w:rPr>
          <w:rtl/>
        </w:rPr>
      </w:pPr>
      <w:r>
        <w:rPr>
          <w:rFonts w:hint="cs"/>
          <w:rtl/>
        </w:rPr>
        <w:tab/>
      </w:r>
      <w:r>
        <w:rPr>
          <w:rFonts w:hint="cs"/>
          <w:rtl/>
        </w:rPr>
        <w:tab/>
      </w:r>
      <w:r w:rsidR="00606FAF">
        <w:rPr>
          <w:rtl/>
        </w:rPr>
        <w:t xml:space="preserve">خطة العمل الوطنية </w:t>
      </w:r>
    </w:p>
    <w:p w:rsidR="00606FAF" w:rsidRDefault="00606FAF" w:rsidP="0061076D">
      <w:pPr>
        <w:pStyle w:val="SingleTxtGA"/>
        <w:rPr>
          <w:rtl/>
        </w:rPr>
      </w:pPr>
      <w:r>
        <w:rPr>
          <w:rtl/>
        </w:rPr>
        <w:t>10</w:t>
      </w:r>
      <w:r w:rsidR="0061076D">
        <w:rPr>
          <w:rFonts w:hint="cs"/>
          <w:rtl/>
        </w:rPr>
        <w:t>-</w:t>
      </w:r>
      <w:r w:rsidR="0061076D">
        <w:rPr>
          <w:rFonts w:hint="cs"/>
          <w:rtl/>
        </w:rPr>
        <w:tab/>
      </w:r>
      <w:r>
        <w:rPr>
          <w:rtl/>
        </w:rPr>
        <w:t>مع أن اللجنة تحيط علماً باعتماد البرنامج الوطني للحماية من الاتجار بالأطفال والنساء لأغراض الاستغلال الجنسي في عام 2005، فإنها تشعر بالقلق لأن هذا البرنامج</w:t>
      </w:r>
      <w:r w:rsidR="002B20F6">
        <w:rPr>
          <w:rFonts w:hint="cs"/>
          <w:rtl/>
        </w:rPr>
        <w:t xml:space="preserve">     </w:t>
      </w:r>
      <w:r>
        <w:rPr>
          <w:rtl/>
        </w:rPr>
        <w:t xml:space="preserve"> لا يتناول انتهاكات جميع أحكام البروتوكول الاختياري. </w:t>
      </w:r>
    </w:p>
    <w:p w:rsidR="00606FAF" w:rsidRPr="0061076D" w:rsidRDefault="00606FAF" w:rsidP="00BB07D6">
      <w:pPr>
        <w:pStyle w:val="SingleTxtGA"/>
        <w:rPr>
          <w:b/>
          <w:bCs/>
          <w:rtl/>
        </w:rPr>
      </w:pPr>
      <w:r>
        <w:rPr>
          <w:rtl/>
        </w:rPr>
        <w:t>11</w:t>
      </w:r>
      <w:r w:rsidR="0061076D">
        <w:rPr>
          <w:rFonts w:hint="cs"/>
          <w:rtl/>
        </w:rPr>
        <w:t>-</w:t>
      </w:r>
      <w:r w:rsidR="0061076D">
        <w:rPr>
          <w:rFonts w:hint="cs"/>
          <w:rtl/>
        </w:rPr>
        <w:tab/>
      </w:r>
      <w:r w:rsidRPr="0061076D">
        <w:rPr>
          <w:b/>
          <w:bCs/>
          <w:rtl/>
        </w:rPr>
        <w:t xml:space="preserve">توصي اللجنة الدولة الطرف بتنفيذ البرنامج الوطني للحماية من الاتجار بالأطفال والنساء لأغراض الاستغلال الجنسي تنفيذاً فعالاً، وبالنظر في توسيع نطاق هذا </w:t>
      </w:r>
      <w:r w:rsidR="00BB07D6">
        <w:rPr>
          <w:rFonts w:hint="cs"/>
          <w:b/>
          <w:bCs/>
          <w:rtl/>
        </w:rPr>
        <w:t>البرنامج</w:t>
      </w:r>
      <w:r w:rsidRPr="0061076D">
        <w:rPr>
          <w:b/>
          <w:bCs/>
          <w:rtl/>
        </w:rPr>
        <w:t xml:space="preserve"> بغية التصدي لجميع انتهاكات أحكام البروتوكول الاختياري، ودعمه بموارد بشرية ومالية كافية. </w:t>
      </w:r>
    </w:p>
    <w:p w:rsidR="00606FAF" w:rsidRDefault="007D33E7" w:rsidP="00BC74EC">
      <w:pPr>
        <w:pStyle w:val="H1GA"/>
        <w:rPr>
          <w:rtl/>
        </w:rPr>
      </w:pPr>
      <w:r>
        <w:rPr>
          <w:rFonts w:hint="cs"/>
          <w:rtl/>
        </w:rPr>
        <w:tab/>
      </w:r>
      <w:r>
        <w:rPr>
          <w:rFonts w:hint="cs"/>
          <w:rtl/>
        </w:rPr>
        <w:tab/>
      </w:r>
      <w:r w:rsidR="00606FAF">
        <w:rPr>
          <w:rtl/>
        </w:rPr>
        <w:t>التنسيق والتقييم</w:t>
      </w:r>
    </w:p>
    <w:p w:rsidR="00606FAF" w:rsidRDefault="00606FAF" w:rsidP="007D33E7">
      <w:pPr>
        <w:pStyle w:val="SingleTxtGA"/>
        <w:rPr>
          <w:rtl/>
        </w:rPr>
      </w:pPr>
      <w:r>
        <w:rPr>
          <w:rtl/>
        </w:rPr>
        <w:t>12</w:t>
      </w:r>
      <w:r w:rsidR="007D33E7">
        <w:rPr>
          <w:rFonts w:hint="cs"/>
          <w:rtl/>
        </w:rPr>
        <w:t>-</w:t>
      </w:r>
      <w:r w:rsidR="007D33E7">
        <w:rPr>
          <w:rFonts w:hint="cs"/>
          <w:rtl/>
        </w:rPr>
        <w:tab/>
      </w:r>
      <w:r>
        <w:rPr>
          <w:rtl/>
        </w:rPr>
        <w:t xml:space="preserve">تلاحظ اللجنة أن هناك مجلساً وطنياً </w:t>
      </w:r>
      <w:proofErr w:type="spellStart"/>
      <w:r>
        <w:rPr>
          <w:rtl/>
        </w:rPr>
        <w:t>مسؤولاً</w:t>
      </w:r>
      <w:proofErr w:type="spellEnd"/>
      <w:r>
        <w:rPr>
          <w:rtl/>
        </w:rPr>
        <w:t xml:space="preserve"> عن تنفيذ البرنامج الوطني للحماية من الاتجار بالأطفال والنساء لأغراض الاستغلال الجنسي. ومع ذلك، فإنها تشعر بالقلق إزاء عدم تقييم أداء المجلس بصورة منهجية. </w:t>
      </w:r>
    </w:p>
    <w:p w:rsidR="00606FAF" w:rsidRPr="007D33E7" w:rsidRDefault="007D33E7" w:rsidP="002B20F6">
      <w:pPr>
        <w:pStyle w:val="SingleTxtGA"/>
        <w:rPr>
          <w:b/>
          <w:bCs/>
          <w:rtl/>
        </w:rPr>
      </w:pPr>
      <w:r>
        <w:rPr>
          <w:rFonts w:hint="cs"/>
          <w:rtl/>
        </w:rPr>
        <w:t>13-</w:t>
      </w:r>
      <w:r>
        <w:rPr>
          <w:rFonts w:hint="cs"/>
          <w:rtl/>
        </w:rPr>
        <w:tab/>
      </w:r>
      <w:r w:rsidR="00606FAF" w:rsidRPr="007D33E7">
        <w:rPr>
          <w:b/>
          <w:bCs/>
          <w:rtl/>
        </w:rPr>
        <w:t xml:space="preserve">توصي اللجنة الدولة الطرف باتخاذ جميع التدابير اللازمة لضمان اضطلاع المجلس الوطني بولايته على نحو فعال وتزويده بالموارد البشرية والمالية الكافية. </w:t>
      </w:r>
    </w:p>
    <w:p w:rsidR="00606FAF" w:rsidRDefault="007D33E7" w:rsidP="007D33E7">
      <w:pPr>
        <w:pStyle w:val="H1GA"/>
        <w:rPr>
          <w:rtl/>
        </w:rPr>
      </w:pPr>
      <w:r>
        <w:rPr>
          <w:rFonts w:hint="cs"/>
          <w:rtl/>
        </w:rPr>
        <w:tab/>
      </w:r>
      <w:r>
        <w:rPr>
          <w:rFonts w:hint="cs"/>
          <w:rtl/>
        </w:rPr>
        <w:tab/>
      </w:r>
      <w:r w:rsidR="00606FAF">
        <w:rPr>
          <w:rtl/>
        </w:rPr>
        <w:t xml:space="preserve">النشر والتدريب </w:t>
      </w:r>
    </w:p>
    <w:p w:rsidR="00606FAF" w:rsidRDefault="00606FAF" w:rsidP="0055449E">
      <w:pPr>
        <w:pStyle w:val="SingleTxtGA"/>
        <w:rPr>
          <w:rtl/>
        </w:rPr>
      </w:pPr>
      <w:r>
        <w:rPr>
          <w:rtl/>
        </w:rPr>
        <w:t>14</w:t>
      </w:r>
      <w:r w:rsidR="0055449E">
        <w:rPr>
          <w:rFonts w:hint="cs"/>
          <w:rtl/>
        </w:rPr>
        <w:t>-</w:t>
      </w:r>
      <w:r w:rsidR="0055449E">
        <w:rPr>
          <w:rFonts w:hint="cs"/>
          <w:rtl/>
        </w:rPr>
        <w:tab/>
      </w:r>
      <w:r>
        <w:rPr>
          <w:rtl/>
        </w:rPr>
        <w:t>تعرب اللجنة عن تقديرها للجهود التي تبذلها الدولة الطرف من</w:t>
      </w:r>
      <w:r w:rsidR="0055449E">
        <w:rPr>
          <w:rtl/>
        </w:rPr>
        <w:t xml:space="preserve"> أجل تعزيز البروتوكول الاختياري</w:t>
      </w:r>
      <w:r>
        <w:rPr>
          <w:rtl/>
        </w:rPr>
        <w:t xml:space="preserve"> بوسائل شتى من جملتها برامج التدريب ونشر الكتب والمواد الإعلامية المتعلقة بالاتجار بالبشر وحماية الأطفال من الاستغلال الجنسي، وذلك بالتعاون مع المنظمات غير الحكومية. ومع ذلك، تلاحظ اللجنة أن</w:t>
      </w:r>
      <w:r w:rsidR="0055449E">
        <w:rPr>
          <w:rFonts w:hint="cs"/>
          <w:rtl/>
        </w:rPr>
        <w:t>ه</w:t>
      </w:r>
      <w:r>
        <w:rPr>
          <w:rtl/>
        </w:rPr>
        <w:t xml:space="preserve"> </w:t>
      </w:r>
      <w:r w:rsidR="0055449E">
        <w:rPr>
          <w:rFonts w:hint="cs"/>
          <w:rtl/>
        </w:rPr>
        <w:t xml:space="preserve">يلزم تعزيز </w:t>
      </w:r>
      <w:r>
        <w:rPr>
          <w:rtl/>
        </w:rPr>
        <w:t xml:space="preserve">هذه الجهود </w:t>
      </w:r>
      <w:r w:rsidR="0055449E">
        <w:rPr>
          <w:rFonts w:hint="cs"/>
          <w:rtl/>
        </w:rPr>
        <w:t xml:space="preserve">وتعميمها على نحو منهجي </w:t>
      </w:r>
      <w:r>
        <w:rPr>
          <w:rtl/>
        </w:rPr>
        <w:t xml:space="preserve">في جميع أنحاء الدولة الطرف. </w:t>
      </w:r>
    </w:p>
    <w:p w:rsidR="00606FAF" w:rsidRPr="0055449E" w:rsidRDefault="00BE24B4" w:rsidP="0055449E">
      <w:pPr>
        <w:pStyle w:val="SingleTxtGA"/>
        <w:rPr>
          <w:b/>
          <w:bCs/>
          <w:rtl/>
        </w:rPr>
      </w:pPr>
      <w:r w:rsidRPr="00F30E8E">
        <w:rPr>
          <w:rtl/>
        </w:rPr>
        <w:t>15</w:t>
      </w:r>
      <w:r w:rsidRPr="00F30E8E">
        <w:rPr>
          <w:rFonts w:hint="cs"/>
          <w:rtl/>
        </w:rPr>
        <w:t>-</w:t>
      </w:r>
      <w:r>
        <w:rPr>
          <w:rFonts w:hint="cs"/>
          <w:b/>
          <w:bCs/>
          <w:rtl/>
        </w:rPr>
        <w:tab/>
      </w:r>
      <w:r w:rsidR="00606FAF" w:rsidRPr="0055449E">
        <w:rPr>
          <w:b/>
          <w:bCs/>
          <w:rtl/>
        </w:rPr>
        <w:t>توصي اللجنة بأن تقوم الدولة الطرف بما يلي:</w:t>
      </w:r>
    </w:p>
    <w:p w:rsidR="00606FAF" w:rsidRPr="0055449E" w:rsidRDefault="00606FAF" w:rsidP="00814C31">
      <w:pPr>
        <w:pStyle w:val="SingleTxtGA"/>
        <w:rPr>
          <w:b/>
          <w:bCs/>
          <w:rtl/>
        </w:rPr>
      </w:pPr>
      <w:r w:rsidRPr="0055449E">
        <w:rPr>
          <w:b/>
          <w:bCs/>
          <w:rtl/>
        </w:rPr>
        <w:tab/>
        <w:t>(أ)</w:t>
      </w:r>
      <w:r w:rsidR="00814C31">
        <w:rPr>
          <w:rFonts w:hint="cs"/>
          <w:b/>
          <w:bCs/>
          <w:rtl/>
        </w:rPr>
        <w:tab/>
      </w:r>
      <w:r w:rsidRPr="0055449E">
        <w:rPr>
          <w:b/>
          <w:bCs/>
          <w:rtl/>
        </w:rPr>
        <w:t xml:space="preserve">مواصلة وتعزيز </w:t>
      </w:r>
      <w:r w:rsidR="00BE24B4">
        <w:rPr>
          <w:rFonts w:hint="cs"/>
          <w:b/>
          <w:bCs/>
          <w:rtl/>
        </w:rPr>
        <w:t>التثقيف</w:t>
      </w:r>
      <w:r w:rsidRPr="0055449E">
        <w:rPr>
          <w:b/>
          <w:bCs/>
          <w:rtl/>
        </w:rPr>
        <w:t xml:space="preserve"> والتدريب المنهجيين بشأن أحكام البروتوكول الاختياري لفائد</w:t>
      </w:r>
      <w:r w:rsidR="002B20F6">
        <w:rPr>
          <w:b/>
          <w:bCs/>
          <w:rtl/>
        </w:rPr>
        <w:t>ة جميع الفئات المهنية ذات الصلة</w:t>
      </w:r>
      <w:r w:rsidRPr="0055449E">
        <w:rPr>
          <w:b/>
          <w:bCs/>
          <w:rtl/>
        </w:rPr>
        <w:t xml:space="preserve">؛ </w:t>
      </w:r>
    </w:p>
    <w:p w:rsidR="00606FAF" w:rsidRPr="0055449E" w:rsidRDefault="00606FAF" w:rsidP="00814C31">
      <w:pPr>
        <w:pStyle w:val="SingleTxtGA"/>
        <w:rPr>
          <w:b/>
          <w:bCs/>
          <w:rtl/>
        </w:rPr>
      </w:pPr>
      <w:r w:rsidRPr="0055449E">
        <w:rPr>
          <w:b/>
          <w:bCs/>
          <w:rtl/>
        </w:rPr>
        <w:tab/>
        <w:t>(ب)</w:t>
      </w:r>
      <w:r w:rsidR="00814C31">
        <w:rPr>
          <w:rFonts w:hint="cs"/>
          <w:b/>
          <w:bCs/>
          <w:rtl/>
        </w:rPr>
        <w:tab/>
      </w:r>
      <w:r w:rsidRPr="0055449E">
        <w:rPr>
          <w:b/>
          <w:bCs/>
          <w:rtl/>
        </w:rPr>
        <w:t>تعزيز التدابير لنشر أحكام البروتوكول الاختياري بين سكانها، ولا</w:t>
      </w:r>
      <w:r w:rsidR="00814C31">
        <w:rPr>
          <w:rFonts w:hint="cs"/>
          <w:b/>
          <w:bCs/>
          <w:rtl/>
        </w:rPr>
        <w:t xml:space="preserve"> </w:t>
      </w:r>
      <w:proofErr w:type="spellStart"/>
      <w:r w:rsidRPr="0055449E">
        <w:rPr>
          <w:b/>
          <w:bCs/>
          <w:rtl/>
        </w:rPr>
        <w:t>سيّما</w:t>
      </w:r>
      <w:proofErr w:type="spellEnd"/>
      <w:r w:rsidRPr="0055449E">
        <w:rPr>
          <w:b/>
          <w:bCs/>
          <w:rtl/>
        </w:rPr>
        <w:t xml:space="preserve"> في صفوف الأطفال والآباء والأمهات بوسائل شتى منها استخدام المناهج المدرسية والمواد المن</w:t>
      </w:r>
      <w:r w:rsidR="002B20F6">
        <w:rPr>
          <w:b/>
          <w:bCs/>
          <w:rtl/>
        </w:rPr>
        <w:t>اسبة التي تصمَّم خصيصاً للأطفال</w:t>
      </w:r>
      <w:r w:rsidRPr="0055449E">
        <w:rPr>
          <w:b/>
          <w:bCs/>
          <w:rtl/>
        </w:rPr>
        <w:t xml:space="preserve">؛ </w:t>
      </w:r>
    </w:p>
    <w:p w:rsidR="00606FAF" w:rsidRPr="0055449E" w:rsidRDefault="0055449E" w:rsidP="00F30E8E">
      <w:pPr>
        <w:pStyle w:val="SingleTxtGA"/>
        <w:rPr>
          <w:b/>
          <w:bCs/>
          <w:rtl/>
        </w:rPr>
      </w:pPr>
      <w:r w:rsidRPr="0055449E">
        <w:rPr>
          <w:b/>
          <w:bCs/>
          <w:rtl/>
        </w:rPr>
        <w:tab/>
        <w:t>(ج)</w:t>
      </w:r>
      <w:r w:rsidRPr="0055449E">
        <w:rPr>
          <w:rFonts w:hint="cs"/>
          <w:b/>
          <w:bCs/>
          <w:rtl/>
        </w:rPr>
        <w:tab/>
      </w:r>
      <w:r w:rsidR="00606FAF" w:rsidRPr="0055449E">
        <w:rPr>
          <w:b/>
          <w:bCs/>
          <w:rtl/>
        </w:rPr>
        <w:t xml:space="preserve">توعية الجمهور عموماً، بما في ذلك الأطفال، عن طريق الإعلام بجميع الوسائل المناسبة </w:t>
      </w:r>
      <w:r w:rsidR="00294884">
        <w:rPr>
          <w:rFonts w:hint="cs"/>
          <w:b/>
          <w:bCs/>
          <w:rtl/>
        </w:rPr>
        <w:t>والتثقيف</w:t>
      </w:r>
      <w:r w:rsidR="00606FAF" w:rsidRPr="0055449E">
        <w:rPr>
          <w:b/>
          <w:bCs/>
          <w:rtl/>
        </w:rPr>
        <w:t xml:space="preserve"> والتدريب، بشأن </w:t>
      </w:r>
      <w:r w:rsidR="00294884">
        <w:rPr>
          <w:rFonts w:hint="cs"/>
          <w:b/>
          <w:bCs/>
          <w:rtl/>
        </w:rPr>
        <w:t>ال</w:t>
      </w:r>
      <w:r w:rsidR="00606FAF" w:rsidRPr="0055449E">
        <w:rPr>
          <w:b/>
          <w:bCs/>
          <w:rtl/>
        </w:rPr>
        <w:t xml:space="preserve">تدابير </w:t>
      </w:r>
      <w:r w:rsidR="00294884">
        <w:rPr>
          <w:rFonts w:hint="cs"/>
          <w:b/>
          <w:bCs/>
          <w:rtl/>
        </w:rPr>
        <w:t>ال</w:t>
      </w:r>
      <w:r w:rsidR="00606FAF" w:rsidRPr="0055449E">
        <w:rPr>
          <w:b/>
          <w:bCs/>
          <w:rtl/>
        </w:rPr>
        <w:t xml:space="preserve">وقائية والآثار الضارة المترتبة على كل الجرائم المشار إليها في البروتوكول الاختياري بوسائل منها تشجيع مشاركة المجتمع المحلي، وخاصةً الأطفال والضحايا من الأطفال من كلا الجنسين، في برامج الإعلام </w:t>
      </w:r>
      <w:r w:rsidR="00F30E8E">
        <w:rPr>
          <w:rFonts w:hint="cs"/>
          <w:b/>
          <w:bCs/>
          <w:rtl/>
        </w:rPr>
        <w:t xml:space="preserve">والتثقيف </w:t>
      </w:r>
      <w:r w:rsidR="00606FAF" w:rsidRPr="0055449E">
        <w:rPr>
          <w:b/>
          <w:bCs/>
          <w:rtl/>
        </w:rPr>
        <w:t xml:space="preserve">والتدريب تلك، وذلك وفقاً لأحكام الفقرة 2 من المادة 9 من البروتوكول الاختياري وبالتعاون مع المجتمع المدني. </w:t>
      </w:r>
    </w:p>
    <w:p w:rsidR="00606FAF" w:rsidRDefault="002B20F6" w:rsidP="002B20F6">
      <w:pPr>
        <w:pStyle w:val="H1GA"/>
        <w:rPr>
          <w:rtl/>
        </w:rPr>
      </w:pPr>
      <w:r>
        <w:rPr>
          <w:rFonts w:hint="cs"/>
          <w:rtl/>
        </w:rPr>
        <w:tab/>
      </w:r>
      <w:r>
        <w:rPr>
          <w:rFonts w:hint="cs"/>
          <w:rtl/>
        </w:rPr>
        <w:tab/>
      </w:r>
      <w:r w:rsidR="00606FAF">
        <w:rPr>
          <w:rtl/>
        </w:rPr>
        <w:t xml:space="preserve">تخصيص الموارد </w:t>
      </w:r>
    </w:p>
    <w:p w:rsidR="00606FAF" w:rsidRDefault="00CB0B3A" w:rsidP="00C243D5">
      <w:pPr>
        <w:pStyle w:val="SingleTxtGA"/>
        <w:rPr>
          <w:rtl/>
        </w:rPr>
      </w:pPr>
      <w:r>
        <w:rPr>
          <w:rFonts w:hint="cs"/>
          <w:rtl/>
        </w:rPr>
        <w:t>16-</w:t>
      </w:r>
      <w:r>
        <w:rPr>
          <w:rFonts w:hint="cs"/>
          <w:rtl/>
        </w:rPr>
        <w:tab/>
      </w:r>
      <w:r w:rsidR="00606FAF">
        <w:rPr>
          <w:rtl/>
        </w:rPr>
        <w:t xml:space="preserve">ترحب اللجنة بالمعلومات المقدَّمة بشأن مخصصات الميزانية لتنفيذ البروتوكول الاختياري. غير أن القلق لا يزال يساورها لكون الميزانية المخصصة ليست كافية ولا تغطي جميع المجالات التي </w:t>
      </w:r>
      <w:r w:rsidR="00C243D5">
        <w:rPr>
          <w:rFonts w:hint="cs"/>
          <w:rtl/>
        </w:rPr>
        <w:t xml:space="preserve">يشملها </w:t>
      </w:r>
      <w:r w:rsidR="00606FAF">
        <w:rPr>
          <w:rtl/>
        </w:rPr>
        <w:t xml:space="preserve">البروتوكول الاختياري. </w:t>
      </w:r>
    </w:p>
    <w:p w:rsidR="00606FAF" w:rsidRPr="00816C55" w:rsidRDefault="00847EEA" w:rsidP="00042E88">
      <w:pPr>
        <w:pStyle w:val="SingleTxtGA"/>
        <w:rPr>
          <w:b/>
          <w:bCs/>
          <w:rtl/>
        </w:rPr>
      </w:pPr>
      <w:r>
        <w:rPr>
          <w:rFonts w:hint="cs"/>
          <w:rtl/>
        </w:rPr>
        <w:t>17-</w:t>
      </w:r>
      <w:r>
        <w:rPr>
          <w:rFonts w:hint="cs"/>
          <w:rtl/>
        </w:rPr>
        <w:tab/>
      </w:r>
      <w:r w:rsidR="00606FAF" w:rsidRPr="004A49E9">
        <w:rPr>
          <w:b/>
          <w:bCs/>
          <w:rtl/>
        </w:rPr>
        <w:t xml:space="preserve">توصي اللجنة الدولة الطرف بزيادة مخصصات الميزانية على الصعيدين الوطني والمحلي من أجل تغطية جميع المجالات </w:t>
      </w:r>
      <w:r w:rsidR="0071009A">
        <w:rPr>
          <w:rFonts w:hint="cs"/>
          <w:b/>
          <w:bCs/>
          <w:rtl/>
        </w:rPr>
        <w:t xml:space="preserve">التي يشملها </w:t>
      </w:r>
      <w:r w:rsidR="00606FAF" w:rsidRPr="004A49E9">
        <w:rPr>
          <w:b/>
          <w:bCs/>
          <w:rtl/>
        </w:rPr>
        <w:t xml:space="preserve">البروتوكول الاختياري، مع المراعاة الواجبة للتوصيات الصادرة عن اللجنة بعد يوم المناقشة العامة </w:t>
      </w:r>
      <w:r w:rsidR="00403620">
        <w:rPr>
          <w:rFonts w:hint="cs"/>
          <w:b/>
          <w:bCs/>
          <w:rtl/>
        </w:rPr>
        <w:t xml:space="preserve">التي جرت </w:t>
      </w:r>
      <w:r w:rsidR="00A76C21">
        <w:rPr>
          <w:rFonts w:hint="cs"/>
          <w:b/>
          <w:bCs/>
          <w:rtl/>
        </w:rPr>
        <w:t xml:space="preserve">في عام 2007 </w:t>
      </w:r>
      <w:r w:rsidR="00606FAF" w:rsidRPr="004A49E9">
        <w:rPr>
          <w:b/>
          <w:bCs/>
          <w:rtl/>
        </w:rPr>
        <w:t xml:space="preserve">بشأن المادة 4 من الاتفاقية. </w:t>
      </w:r>
      <w:r w:rsidR="00606FAF" w:rsidRPr="00816C55">
        <w:rPr>
          <w:b/>
          <w:bCs/>
          <w:rtl/>
        </w:rPr>
        <w:t>وتوصي اللجنة، على وجه الخصوص، بأن تقوم الدولة</w:t>
      </w:r>
      <w:r w:rsidR="00521911">
        <w:rPr>
          <w:rFonts w:hint="cs"/>
          <w:b/>
          <w:bCs/>
          <w:rtl/>
        </w:rPr>
        <w:t xml:space="preserve">           </w:t>
      </w:r>
      <w:r w:rsidR="00606FAF" w:rsidRPr="00816C55">
        <w:rPr>
          <w:b/>
          <w:bCs/>
          <w:rtl/>
        </w:rPr>
        <w:t xml:space="preserve"> الطرف بما يلي: </w:t>
      </w:r>
    </w:p>
    <w:p w:rsidR="00606FAF" w:rsidRPr="00042E88" w:rsidRDefault="00606FAF" w:rsidP="00020DF8">
      <w:pPr>
        <w:pStyle w:val="SingleTxtGA"/>
        <w:rPr>
          <w:b/>
          <w:bCs/>
          <w:rtl/>
        </w:rPr>
      </w:pPr>
      <w:r w:rsidRPr="00042E88">
        <w:rPr>
          <w:b/>
          <w:bCs/>
          <w:rtl/>
        </w:rPr>
        <w:tab/>
        <w:t>(أ)</w:t>
      </w:r>
      <w:r w:rsidR="00042E88" w:rsidRPr="00042E88">
        <w:rPr>
          <w:rFonts w:hint="cs"/>
          <w:b/>
          <w:bCs/>
          <w:rtl/>
        </w:rPr>
        <w:tab/>
      </w:r>
      <w:r w:rsidRPr="00042E88">
        <w:rPr>
          <w:b/>
          <w:bCs/>
          <w:rtl/>
        </w:rPr>
        <w:t>توفير الموارد البشرية والمالية اللازمة لوضع وتنفيذ الخطط والمشاريع، خاصةً على الصعيد المحلي، بهدف الوقاية والحماية وتعافي الضحايا بدنياً ونفسياً و</w:t>
      </w:r>
      <w:r w:rsidR="00020DF8">
        <w:rPr>
          <w:rFonts w:hint="cs"/>
          <w:b/>
          <w:bCs/>
          <w:rtl/>
        </w:rPr>
        <w:t xml:space="preserve">إعادة </w:t>
      </w:r>
      <w:r w:rsidRPr="00042E88">
        <w:rPr>
          <w:b/>
          <w:bCs/>
          <w:rtl/>
        </w:rPr>
        <w:t xml:space="preserve">إدماجهم في المجتمع </w:t>
      </w:r>
      <w:r w:rsidR="00020DF8">
        <w:rPr>
          <w:rFonts w:hint="cs"/>
          <w:b/>
          <w:bCs/>
          <w:rtl/>
        </w:rPr>
        <w:t xml:space="preserve">ومقاضاة مرتكبي </w:t>
      </w:r>
      <w:r w:rsidRPr="00042E88">
        <w:rPr>
          <w:b/>
          <w:bCs/>
          <w:rtl/>
        </w:rPr>
        <w:t>الجرائم ا</w:t>
      </w:r>
      <w:r w:rsidR="00042E88" w:rsidRPr="00042E88">
        <w:rPr>
          <w:b/>
          <w:bCs/>
          <w:rtl/>
        </w:rPr>
        <w:t>لمذكورة في البروتوكول الاختياري</w:t>
      </w:r>
      <w:r w:rsidRPr="00042E88">
        <w:rPr>
          <w:b/>
          <w:bCs/>
          <w:rtl/>
        </w:rPr>
        <w:t xml:space="preserve">؛ </w:t>
      </w:r>
    </w:p>
    <w:p w:rsidR="00606FAF" w:rsidRDefault="00606FAF" w:rsidP="00042E88">
      <w:pPr>
        <w:pStyle w:val="SingleTxtGA"/>
        <w:rPr>
          <w:rFonts w:hint="cs"/>
          <w:b/>
          <w:bCs/>
          <w:rtl/>
        </w:rPr>
      </w:pPr>
      <w:r w:rsidRPr="00042E88">
        <w:rPr>
          <w:b/>
          <w:bCs/>
          <w:rtl/>
        </w:rPr>
        <w:tab/>
        <w:t>(ب)</w:t>
      </w:r>
      <w:r w:rsidR="00042E88" w:rsidRPr="00042E88">
        <w:rPr>
          <w:rFonts w:hint="cs"/>
          <w:b/>
          <w:bCs/>
          <w:rtl/>
        </w:rPr>
        <w:tab/>
      </w:r>
      <w:r w:rsidRPr="00042E88">
        <w:rPr>
          <w:b/>
          <w:bCs/>
          <w:rtl/>
        </w:rPr>
        <w:t xml:space="preserve">اعتماد نهج قائم على حقوق الإنسان ووضع منهجيات </w:t>
      </w:r>
      <w:proofErr w:type="spellStart"/>
      <w:r w:rsidRPr="00042E88">
        <w:rPr>
          <w:b/>
          <w:bCs/>
          <w:rtl/>
        </w:rPr>
        <w:t>الميزنة</w:t>
      </w:r>
      <w:proofErr w:type="spellEnd"/>
      <w:r w:rsidRPr="00042E88">
        <w:rPr>
          <w:b/>
          <w:bCs/>
          <w:rtl/>
        </w:rPr>
        <w:t xml:space="preserve"> كما هو مبيّن في الملاحظات الختامية للجنة (الفقرة 18من الوثيقة </w:t>
      </w:r>
      <w:r w:rsidRPr="00042E88">
        <w:rPr>
          <w:b/>
          <w:bCs/>
        </w:rPr>
        <w:t>CRC/C/MNG/CO/3-4</w:t>
      </w:r>
      <w:r w:rsidRPr="00042E88">
        <w:rPr>
          <w:b/>
          <w:bCs/>
          <w:rtl/>
        </w:rPr>
        <w:t xml:space="preserve">). </w:t>
      </w:r>
    </w:p>
    <w:p w:rsidR="00930CC2" w:rsidRDefault="00930CC2" w:rsidP="00042E88">
      <w:pPr>
        <w:pStyle w:val="SingleTxtGA"/>
        <w:rPr>
          <w:rFonts w:hint="cs"/>
          <w:b/>
          <w:bCs/>
          <w:rtl/>
        </w:rPr>
      </w:pPr>
    </w:p>
    <w:p w:rsidR="00606FAF" w:rsidRDefault="00BD151F" w:rsidP="00D70BBB">
      <w:pPr>
        <w:pStyle w:val="H1GA"/>
        <w:rPr>
          <w:rtl/>
        </w:rPr>
      </w:pPr>
      <w:r>
        <w:rPr>
          <w:rFonts w:hint="cs"/>
          <w:rtl/>
        </w:rPr>
        <w:tab/>
      </w:r>
      <w:r>
        <w:rPr>
          <w:rFonts w:hint="cs"/>
          <w:rtl/>
        </w:rPr>
        <w:tab/>
      </w:r>
      <w:r w:rsidR="00606FAF">
        <w:rPr>
          <w:rtl/>
        </w:rPr>
        <w:t xml:space="preserve">المؤسسات المستقلة </w:t>
      </w:r>
    </w:p>
    <w:p w:rsidR="00606FAF" w:rsidRDefault="00355BF1" w:rsidP="00D02D29">
      <w:pPr>
        <w:pStyle w:val="SingleTxtGA"/>
        <w:rPr>
          <w:rtl/>
        </w:rPr>
      </w:pPr>
      <w:r>
        <w:rPr>
          <w:rFonts w:hint="cs"/>
          <w:rtl/>
        </w:rPr>
        <w:t>18-</w:t>
      </w:r>
      <w:r>
        <w:rPr>
          <w:rFonts w:hint="cs"/>
          <w:rtl/>
        </w:rPr>
        <w:tab/>
      </w:r>
      <w:r w:rsidR="00606FAF">
        <w:rPr>
          <w:rtl/>
        </w:rPr>
        <w:t xml:space="preserve">تشعر اللجنة بالقلق لأن الوصول إلى اللجنة الوطنية لحقوق الإنسان ليس </w:t>
      </w:r>
      <w:r w:rsidR="002A08A4">
        <w:rPr>
          <w:rFonts w:hint="cs"/>
          <w:rtl/>
        </w:rPr>
        <w:t xml:space="preserve">ميسّراً أو متاحاً </w:t>
      </w:r>
      <w:r w:rsidR="00606FAF">
        <w:rPr>
          <w:rtl/>
        </w:rPr>
        <w:t xml:space="preserve">لجميع الأطفال في البلد. وتشعر اللجنة بالقلق كذلك لأنه لا يمكن للأطفال تقديم </w:t>
      </w:r>
      <w:r w:rsidR="002A08A4">
        <w:rPr>
          <w:rFonts w:hint="cs"/>
          <w:rtl/>
        </w:rPr>
        <w:t>ال</w:t>
      </w:r>
      <w:r w:rsidR="00606FAF">
        <w:rPr>
          <w:rtl/>
        </w:rPr>
        <w:t xml:space="preserve">شكاوى بأنفسهم. </w:t>
      </w:r>
    </w:p>
    <w:p w:rsidR="00606FAF" w:rsidRPr="00A84E5C" w:rsidRDefault="00A84E5C" w:rsidP="00CA1E9F">
      <w:pPr>
        <w:pStyle w:val="SingleTxtGA"/>
        <w:rPr>
          <w:b/>
          <w:bCs/>
          <w:rtl/>
        </w:rPr>
      </w:pPr>
      <w:r>
        <w:rPr>
          <w:rFonts w:hint="cs"/>
          <w:rtl/>
        </w:rPr>
        <w:t>19-</w:t>
      </w:r>
      <w:r>
        <w:rPr>
          <w:rFonts w:hint="cs"/>
          <w:rtl/>
        </w:rPr>
        <w:tab/>
      </w:r>
      <w:r w:rsidR="00606FAF" w:rsidRPr="00A84E5C">
        <w:rPr>
          <w:b/>
          <w:bCs/>
          <w:rtl/>
        </w:rPr>
        <w:t xml:space="preserve">توصي اللجنة بأن تعزز الدولة الطرف جهودها الرامية إلى ضمان تيسير وصول جميع الأطفال إلى اللجنة الوطنية لحقوق الإنسان من أجل تقديم </w:t>
      </w:r>
      <w:r w:rsidR="00CA1E9F">
        <w:rPr>
          <w:rFonts w:hint="cs"/>
          <w:b/>
          <w:bCs/>
          <w:rtl/>
        </w:rPr>
        <w:t>الشكاوى</w:t>
      </w:r>
      <w:r w:rsidR="00606FAF" w:rsidRPr="00A84E5C">
        <w:rPr>
          <w:b/>
          <w:bCs/>
          <w:rtl/>
        </w:rPr>
        <w:t xml:space="preserve"> بشأن أي انتهاك يمس حقوقهم، ومن جملتها الحقوق المنصوص عليها في البروتوكول الاختياري. وتوصي اللجنة أيضاً بأن تكفل الدولة الطرف تكليف اللجنة الوطنية لحقوق الإنسان وتخويلها صلاحية تلقي </w:t>
      </w:r>
      <w:r w:rsidR="00583FAE">
        <w:rPr>
          <w:rFonts w:hint="cs"/>
          <w:b/>
          <w:bCs/>
          <w:rtl/>
        </w:rPr>
        <w:t>ال</w:t>
      </w:r>
      <w:r w:rsidR="00606FAF" w:rsidRPr="00A84E5C">
        <w:rPr>
          <w:b/>
          <w:bCs/>
          <w:rtl/>
        </w:rPr>
        <w:t xml:space="preserve">شكاوى من الأطفال أنفسهم. </w:t>
      </w:r>
    </w:p>
    <w:p w:rsidR="00606FAF" w:rsidRDefault="002A7AAC" w:rsidP="002A7AAC">
      <w:pPr>
        <w:pStyle w:val="HChGA"/>
        <w:rPr>
          <w:rtl/>
        </w:rPr>
      </w:pPr>
      <w:r>
        <w:rPr>
          <w:rFonts w:hint="cs"/>
          <w:rtl/>
        </w:rPr>
        <w:tab/>
      </w:r>
      <w:r w:rsidR="00606FAF">
        <w:rPr>
          <w:rtl/>
        </w:rPr>
        <w:t>رابعاً</w:t>
      </w:r>
      <w:r>
        <w:rPr>
          <w:rFonts w:hint="cs"/>
          <w:rtl/>
        </w:rPr>
        <w:t xml:space="preserve"> -</w:t>
      </w:r>
      <w:r>
        <w:rPr>
          <w:rFonts w:hint="cs"/>
          <w:rtl/>
        </w:rPr>
        <w:tab/>
      </w:r>
      <w:r w:rsidR="00606FAF">
        <w:rPr>
          <w:rtl/>
        </w:rPr>
        <w:t>منع حدوث بيع الأطفال وبغاء الأطفال واستغلال الأطفال في</w:t>
      </w:r>
      <w:r>
        <w:rPr>
          <w:rFonts w:hint="cs"/>
          <w:rtl/>
        </w:rPr>
        <w:t xml:space="preserve">            </w:t>
      </w:r>
      <w:r w:rsidR="00606FAF">
        <w:rPr>
          <w:rtl/>
        </w:rPr>
        <w:t xml:space="preserve"> المواد الإباحية </w:t>
      </w:r>
    </w:p>
    <w:p w:rsidR="00606FAF" w:rsidRDefault="00535F89" w:rsidP="00F42094">
      <w:pPr>
        <w:pStyle w:val="SingleTxtGA"/>
        <w:rPr>
          <w:rtl/>
        </w:rPr>
      </w:pPr>
      <w:r>
        <w:rPr>
          <w:rFonts w:hint="cs"/>
          <w:rtl/>
        </w:rPr>
        <w:t>20-</w:t>
      </w:r>
      <w:r>
        <w:rPr>
          <w:rFonts w:hint="cs"/>
          <w:rtl/>
        </w:rPr>
        <w:tab/>
      </w:r>
      <w:r w:rsidR="00606FAF">
        <w:rPr>
          <w:rtl/>
        </w:rPr>
        <w:t xml:space="preserve">تعرب اللجنة عن قلقها العميق </w:t>
      </w:r>
      <w:r>
        <w:rPr>
          <w:rFonts w:hint="cs"/>
          <w:rtl/>
        </w:rPr>
        <w:t>إزاء</w:t>
      </w:r>
      <w:r w:rsidR="00606FAF">
        <w:rPr>
          <w:rtl/>
        </w:rPr>
        <w:t xml:space="preserve"> المعلومات التي تفيد بأن لتزايد كل من الفقر وإيذاء الأطفال جنسياً دور</w:t>
      </w:r>
      <w:r>
        <w:rPr>
          <w:rFonts w:hint="cs"/>
          <w:rtl/>
        </w:rPr>
        <w:t>اً</w:t>
      </w:r>
      <w:r w:rsidR="00606FAF">
        <w:rPr>
          <w:rtl/>
        </w:rPr>
        <w:t xml:space="preserve"> كبير</w:t>
      </w:r>
      <w:r>
        <w:rPr>
          <w:rFonts w:hint="cs"/>
          <w:rtl/>
        </w:rPr>
        <w:t>اً</w:t>
      </w:r>
      <w:r w:rsidR="00606FAF">
        <w:rPr>
          <w:rtl/>
        </w:rPr>
        <w:t xml:space="preserve"> في تزايد الاستغلال الجنسي </w:t>
      </w:r>
      <w:r w:rsidR="00F42094">
        <w:rPr>
          <w:rFonts w:hint="cs"/>
          <w:rtl/>
        </w:rPr>
        <w:t xml:space="preserve">للأطفال لأغراض تجارية </w:t>
      </w:r>
      <w:r w:rsidR="00606FAF">
        <w:rPr>
          <w:rtl/>
        </w:rPr>
        <w:t xml:space="preserve">في الدولة الطرف. </w:t>
      </w:r>
    </w:p>
    <w:p w:rsidR="00606FAF" w:rsidRPr="00250B43" w:rsidRDefault="00F42094" w:rsidP="001C1F87">
      <w:pPr>
        <w:pStyle w:val="SingleTxtGA"/>
        <w:rPr>
          <w:b/>
          <w:bCs/>
          <w:rtl/>
        </w:rPr>
      </w:pPr>
      <w:r>
        <w:rPr>
          <w:rFonts w:hint="cs"/>
          <w:rtl/>
        </w:rPr>
        <w:t>21-</w:t>
      </w:r>
      <w:r>
        <w:rPr>
          <w:rFonts w:hint="cs"/>
          <w:rtl/>
        </w:rPr>
        <w:tab/>
      </w:r>
      <w:r w:rsidR="00606FAF" w:rsidRPr="00250B43">
        <w:rPr>
          <w:b/>
          <w:bCs/>
          <w:rtl/>
        </w:rPr>
        <w:t xml:space="preserve">توصي اللجنة بأن تواصل الدولة الطرف </w:t>
      </w:r>
      <w:proofErr w:type="spellStart"/>
      <w:r w:rsidR="00606FAF" w:rsidRPr="00250B43">
        <w:rPr>
          <w:b/>
          <w:bCs/>
          <w:rtl/>
        </w:rPr>
        <w:t>إيلاء</w:t>
      </w:r>
      <w:proofErr w:type="spellEnd"/>
      <w:r w:rsidR="00606FAF" w:rsidRPr="00250B43">
        <w:rPr>
          <w:b/>
          <w:bCs/>
          <w:rtl/>
        </w:rPr>
        <w:t xml:space="preserve"> الاهتمام الكافي</w:t>
      </w:r>
      <w:r w:rsidR="00250B43" w:rsidRPr="00250B43">
        <w:rPr>
          <w:rFonts w:hint="cs"/>
          <w:b/>
          <w:bCs/>
          <w:rtl/>
        </w:rPr>
        <w:t xml:space="preserve">، </w:t>
      </w:r>
      <w:r w:rsidR="001C1F87" w:rsidRPr="00250B43">
        <w:rPr>
          <w:b/>
          <w:bCs/>
          <w:rtl/>
        </w:rPr>
        <w:t>بوسائل منها تخصيص الموارد البشرية والمالية</w:t>
      </w:r>
      <w:r w:rsidR="001C1F87">
        <w:rPr>
          <w:rFonts w:hint="cs"/>
          <w:b/>
          <w:bCs/>
          <w:rtl/>
        </w:rPr>
        <w:t>،</w:t>
      </w:r>
      <w:r w:rsidR="00606FAF" w:rsidRPr="00250B43">
        <w:rPr>
          <w:b/>
          <w:bCs/>
          <w:rtl/>
        </w:rPr>
        <w:t xml:space="preserve"> للمشاريع الهادفة إلى معالجة الأسباب الجذرية التي تسهم في تعريض الأطفال للبيع والبغاء والاستغلال في المواد الإباحية والسياحة الجنسية، ك</w:t>
      </w:r>
      <w:r w:rsidR="001C1F87">
        <w:rPr>
          <w:b/>
          <w:bCs/>
          <w:rtl/>
        </w:rPr>
        <w:t>الفقر والتخلف والمواقف الثقافية</w:t>
      </w:r>
      <w:r w:rsidR="00606FAF" w:rsidRPr="00250B43">
        <w:rPr>
          <w:b/>
          <w:bCs/>
          <w:rtl/>
        </w:rPr>
        <w:t>. وتوصي اللجنة كذلك بأن تبذل الدولة الطرف المزيد من الجهود لتعزيز التعاون الدولي في هذا الشأن، لا</w:t>
      </w:r>
      <w:r w:rsidR="009877A2">
        <w:rPr>
          <w:rFonts w:hint="cs"/>
          <w:b/>
          <w:bCs/>
          <w:rtl/>
        </w:rPr>
        <w:t xml:space="preserve"> </w:t>
      </w:r>
      <w:proofErr w:type="spellStart"/>
      <w:r w:rsidR="00606FAF" w:rsidRPr="00250B43">
        <w:rPr>
          <w:b/>
          <w:bCs/>
          <w:rtl/>
        </w:rPr>
        <w:t>سيّما</w:t>
      </w:r>
      <w:proofErr w:type="spellEnd"/>
      <w:r w:rsidR="00606FAF" w:rsidRPr="00250B43">
        <w:rPr>
          <w:b/>
          <w:bCs/>
          <w:rtl/>
        </w:rPr>
        <w:t xml:space="preserve"> مع البلدان المجاورة. </w:t>
      </w:r>
    </w:p>
    <w:p w:rsidR="00606FAF" w:rsidRDefault="00606FAF" w:rsidP="001C1F87">
      <w:pPr>
        <w:pStyle w:val="HChGA"/>
        <w:ind w:hanging="1072"/>
        <w:rPr>
          <w:rtl/>
        </w:rPr>
      </w:pPr>
      <w:r>
        <w:rPr>
          <w:rtl/>
        </w:rPr>
        <w:t>خامساً</w:t>
      </w:r>
      <w:r w:rsidR="001C1F87">
        <w:rPr>
          <w:rFonts w:hint="cs"/>
          <w:rtl/>
        </w:rPr>
        <w:t xml:space="preserve"> -</w:t>
      </w:r>
      <w:r w:rsidR="001C1F87">
        <w:rPr>
          <w:rFonts w:hint="cs"/>
          <w:rtl/>
        </w:rPr>
        <w:tab/>
      </w:r>
      <w:r>
        <w:rPr>
          <w:rtl/>
        </w:rPr>
        <w:t>حظر بيع الأطفال وبغاء الأطفال واستغلال الأطفال في المواد الإباحية</w:t>
      </w:r>
      <w:r w:rsidR="00161E31">
        <w:rPr>
          <w:rFonts w:hint="cs"/>
          <w:rtl/>
        </w:rPr>
        <w:t>،</w:t>
      </w:r>
      <w:r>
        <w:rPr>
          <w:rtl/>
        </w:rPr>
        <w:t xml:space="preserve"> و</w:t>
      </w:r>
      <w:r w:rsidR="00161E31">
        <w:rPr>
          <w:rFonts w:hint="cs"/>
          <w:rtl/>
        </w:rPr>
        <w:t>ال</w:t>
      </w:r>
      <w:r>
        <w:rPr>
          <w:rtl/>
        </w:rPr>
        <w:t xml:space="preserve">مسائل ذات </w:t>
      </w:r>
      <w:r w:rsidR="00161E31">
        <w:rPr>
          <w:rFonts w:hint="cs"/>
          <w:rtl/>
        </w:rPr>
        <w:t>ال</w:t>
      </w:r>
      <w:r>
        <w:rPr>
          <w:rtl/>
        </w:rPr>
        <w:t xml:space="preserve">صلة </w:t>
      </w:r>
    </w:p>
    <w:p w:rsidR="00606FAF" w:rsidRDefault="001C1F87" w:rsidP="001C1F87">
      <w:pPr>
        <w:pStyle w:val="H1GA"/>
        <w:rPr>
          <w:rtl/>
        </w:rPr>
      </w:pPr>
      <w:r>
        <w:rPr>
          <w:rFonts w:hint="cs"/>
          <w:rtl/>
        </w:rPr>
        <w:tab/>
      </w:r>
      <w:r>
        <w:rPr>
          <w:rFonts w:hint="cs"/>
          <w:rtl/>
        </w:rPr>
        <w:tab/>
      </w:r>
      <w:r w:rsidR="00606FAF">
        <w:rPr>
          <w:rtl/>
        </w:rPr>
        <w:t xml:space="preserve">القوانين الجنائية والجزائية واللوائح القائمة </w:t>
      </w:r>
    </w:p>
    <w:p w:rsidR="00606FAF" w:rsidRDefault="00161E31" w:rsidP="00D62059">
      <w:pPr>
        <w:pStyle w:val="SingleTxtGA"/>
        <w:rPr>
          <w:rtl/>
        </w:rPr>
      </w:pPr>
      <w:r>
        <w:rPr>
          <w:rFonts w:hint="cs"/>
          <w:rtl/>
        </w:rPr>
        <w:t>22-</w:t>
      </w:r>
      <w:r>
        <w:rPr>
          <w:rFonts w:hint="cs"/>
          <w:rtl/>
        </w:rPr>
        <w:tab/>
      </w:r>
      <w:r w:rsidR="00606FAF">
        <w:rPr>
          <w:rtl/>
        </w:rPr>
        <w:t xml:space="preserve">تشعر اللجنة بالقلق لأن حظر بيع الأطفال وبغاء الأطفال واستغلالهم في المواد الإباحية لم يُدرَج صراحةً في التشريعات الوطنية للدولة الطرف عملاً بنص المادتين 2 و3 من البروتوكول الاختياري. وتشعر اللجنة بالقلق، على وجه الخصوص، إزاء عدم وجود تعريف واضح لجريمة بغاء الأطفال وفقاً للبروتوكول الاختياري، وهو ما حال دون معالجة كثير من الحالات </w:t>
      </w:r>
      <w:r w:rsidR="00D62059">
        <w:rPr>
          <w:rFonts w:hint="cs"/>
          <w:rtl/>
        </w:rPr>
        <w:t>معالجةً وافية</w:t>
      </w:r>
      <w:r w:rsidR="00606FAF">
        <w:rPr>
          <w:rtl/>
        </w:rPr>
        <w:t xml:space="preserve">. </w:t>
      </w:r>
    </w:p>
    <w:p w:rsidR="00606FAF" w:rsidRPr="00D62059" w:rsidRDefault="00D62059" w:rsidP="00A97F19">
      <w:pPr>
        <w:pStyle w:val="SingleTxtGA"/>
        <w:rPr>
          <w:b/>
          <w:bCs/>
          <w:rtl/>
        </w:rPr>
      </w:pPr>
      <w:r>
        <w:rPr>
          <w:rFonts w:hint="cs"/>
          <w:rtl/>
        </w:rPr>
        <w:t>23-</w:t>
      </w:r>
      <w:r>
        <w:rPr>
          <w:rFonts w:hint="cs"/>
          <w:rtl/>
        </w:rPr>
        <w:tab/>
      </w:r>
      <w:r w:rsidR="00606FAF" w:rsidRPr="00D62059">
        <w:rPr>
          <w:b/>
          <w:bCs/>
          <w:rtl/>
        </w:rPr>
        <w:t xml:space="preserve">توصي اللجنة بأن تقوم الدولة الطرف بإجراء دراسة قانونية بغرض تحديد </w:t>
      </w:r>
      <w:r w:rsidR="004A33B9">
        <w:rPr>
          <w:rFonts w:hint="cs"/>
          <w:b/>
          <w:bCs/>
          <w:rtl/>
        </w:rPr>
        <w:t>الثغرات و</w:t>
      </w:r>
      <w:r w:rsidR="00606FAF" w:rsidRPr="00D62059">
        <w:rPr>
          <w:b/>
          <w:bCs/>
          <w:rtl/>
        </w:rPr>
        <w:t xml:space="preserve">أوجه التضارب </w:t>
      </w:r>
      <w:r w:rsidR="00A20EBE">
        <w:rPr>
          <w:rFonts w:hint="cs"/>
          <w:b/>
          <w:bCs/>
          <w:rtl/>
        </w:rPr>
        <w:t xml:space="preserve">بين </w:t>
      </w:r>
      <w:r w:rsidR="00437A95">
        <w:rPr>
          <w:b/>
          <w:bCs/>
          <w:rtl/>
        </w:rPr>
        <w:t>النظام القانوني الوطني، والبروتوكول الاختياري</w:t>
      </w:r>
      <w:r w:rsidR="00606FAF" w:rsidRPr="00D62059">
        <w:rPr>
          <w:b/>
          <w:bCs/>
          <w:rtl/>
        </w:rPr>
        <w:t xml:space="preserve">، وبأن تلتمس المساعدة </w:t>
      </w:r>
      <w:r w:rsidR="00437A95">
        <w:rPr>
          <w:rFonts w:hint="cs"/>
          <w:b/>
          <w:bCs/>
          <w:rtl/>
        </w:rPr>
        <w:t xml:space="preserve">في هذا الصدد </w:t>
      </w:r>
      <w:r w:rsidR="00606FAF" w:rsidRPr="00D62059">
        <w:rPr>
          <w:b/>
          <w:bCs/>
          <w:rtl/>
        </w:rPr>
        <w:t>من اليونيسيف و</w:t>
      </w:r>
      <w:r w:rsidR="00437A95">
        <w:rPr>
          <w:rFonts w:hint="cs"/>
          <w:b/>
          <w:bCs/>
          <w:rtl/>
        </w:rPr>
        <w:t xml:space="preserve">غيرها </w:t>
      </w:r>
      <w:r w:rsidR="00606FAF" w:rsidRPr="00D62059">
        <w:rPr>
          <w:b/>
          <w:bCs/>
          <w:rtl/>
        </w:rPr>
        <w:t xml:space="preserve">من </w:t>
      </w:r>
      <w:r w:rsidR="00437A95">
        <w:rPr>
          <w:rFonts w:hint="cs"/>
          <w:b/>
          <w:bCs/>
          <w:rtl/>
        </w:rPr>
        <w:t>ال</w:t>
      </w:r>
      <w:r w:rsidR="00606FAF" w:rsidRPr="00D62059">
        <w:rPr>
          <w:b/>
          <w:bCs/>
          <w:rtl/>
        </w:rPr>
        <w:t xml:space="preserve">منظمات </w:t>
      </w:r>
      <w:r w:rsidR="00437A95">
        <w:rPr>
          <w:rFonts w:hint="cs"/>
          <w:b/>
          <w:bCs/>
          <w:rtl/>
        </w:rPr>
        <w:t>ال</w:t>
      </w:r>
      <w:r w:rsidR="00606FAF" w:rsidRPr="00D62059">
        <w:rPr>
          <w:b/>
          <w:bCs/>
          <w:rtl/>
        </w:rPr>
        <w:t xml:space="preserve">دولية ذات </w:t>
      </w:r>
      <w:r w:rsidR="00574740">
        <w:rPr>
          <w:rFonts w:hint="cs"/>
          <w:b/>
          <w:bCs/>
          <w:rtl/>
        </w:rPr>
        <w:t>ال</w:t>
      </w:r>
      <w:r w:rsidR="00606FAF" w:rsidRPr="00D62059">
        <w:rPr>
          <w:b/>
          <w:bCs/>
          <w:rtl/>
        </w:rPr>
        <w:t xml:space="preserve">صلة. وتوصي اللجنة كذلك بأن تتخذ الدولة الطرف جميع التدابير اللازمة لتعديل أحكام تشريعاتها الوطنية لكي تدرِج فيها جميع أغراض </w:t>
      </w:r>
      <w:r w:rsidR="00A97F19">
        <w:rPr>
          <w:rFonts w:hint="cs"/>
          <w:b/>
          <w:bCs/>
          <w:rtl/>
        </w:rPr>
        <w:t xml:space="preserve">وأشكال </w:t>
      </w:r>
      <w:r w:rsidR="00606FAF" w:rsidRPr="00D62059">
        <w:rPr>
          <w:b/>
          <w:bCs/>
          <w:rtl/>
        </w:rPr>
        <w:t xml:space="preserve">بيع الأطفال وبغاء </w:t>
      </w:r>
      <w:r w:rsidR="005011C4">
        <w:rPr>
          <w:rFonts w:hint="cs"/>
          <w:b/>
          <w:bCs/>
          <w:rtl/>
        </w:rPr>
        <w:t xml:space="preserve">          </w:t>
      </w:r>
      <w:r w:rsidR="00606FAF" w:rsidRPr="00D62059">
        <w:rPr>
          <w:b/>
          <w:bCs/>
          <w:rtl/>
        </w:rPr>
        <w:t>الأطفال واستغلالهم في المواد الإباحية</w:t>
      </w:r>
      <w:r w:rsidR="00A97F19">
        <w:rPr>
          <w:rFonts w:hint="cs"/>
          <w:b/>
          <w:bCs/>
          <w:rtl/>
        </w:rPr>
        <w:t>،</w:t>
      </w:r>
      <w:r w:rsidR="00606FAF" w:rsidRPr="00D62059">
        <w:rPr>
          <w:b/>
          <w:bCs/>
          <w:rtl/>
        </w:rPr>
        <w:t xml:space="preserve"> </w:t>
      </w:r>
      <w:r w:rsidR="00A97F19">
        <w:rPr>
          <w:rFonts w:hint="cs"/>
          <w:b/>
          <w:bCs/>
          <w:rtl/>
        </w:rPr>
        <w:t xml:space="preserve">وذلك </w:t>
      </w:r>
      <w:r w:rsidR="00606FAF" w:rsidRPr="00D62059">
        <w:rPr>
          <w:b/>
          <w:bCs/>
          <w:rtl/>
        </w:rPr>
        <w:t>وفقاً لأحكام المادتين 2 و3 من</w:t>
      </w:r>
      <w:r w:rsidR="005011C4">
        <w:rPr>
          <w:rFonts w:hint="cs"/>
          <w:b/>
          <w:bCs/>
          <w:rtl/>
        </w:rPr>
        <w:t xml:space="preserve">  </w:t>
      </w:r>
      <w:r w:rsidR="00606FAF" w:rsidRPr="00D62059">
        <w:rPr>
          <w:b/>
          <w:bCs/>
          <w:rtl/>
        </w:rPr>
        <w:t xml:space="preserve"> البروتوكول الاختياري. </w:t>
      </w:r>
    </w:p>
    <w:p w:rsidR="00606FAF" w:rsidRDefault="005011C4" w:rsidP="00A61E24">
      <w:pPr>
        <w:pStyle w:val="H1GA"/>
        <w:rPr>
          <w:rFonts w:hint="cs"/>
          <w:rtl/>
        </w:rPr>
      </w:pPr>
      <w:r>
        <w:rPr>
          <w:rFonts w:hint="cs"/>
          <w:rtl/>
        </w:rPr>
        <w:tab/>
      </w:r>
      <w:r>
        <w:rPr>
          <w:rFonts w:hint="cs"/>
          <w:rtl/>
        </w:rPr>
        <w:tab/>
      </w:r>
      <w:r w:rsidR="00A61E24">
        <w:rPr>
          <w:rFonts w:hint="cs"/>
          <w:rtl/>
        </w:rPr>
        <w:t>الولاية القضائية</w:t>
      </w:r>
    </w:p>
    <w:p w:rsidR="00606FAF" w:rsidRDefault="007A08AC" w:rsidP="007A08AC">
      <w:pPr>
        <w:pStyle w:val="SingleTxtGA"/>
        <w:rPr>
          <w:rtl/>
        </w:rPr>
      </w:pPr>
      <w:r>
        <w:rPr>
          <w:rFonts w:hint="cs"/>
          <w:rtl/>
        </w:rPr>
        <w:t>24-</w:t>
      </w:r>
      <w:r>
        <w:rPr>
          <w:rFonts w:hint="cs"/>
          <w:rtl/>
        </w:rPr>
        <w:tab/>
      </w:r>
      <w:r w:rsidR="00606FAF">
        <w:rPr>
          <w:rtl/>
        </w:rPr>
        <w:t xml:space="preserve">مع أن اللجنة ترحّب بممارسة الدولة الطرف ولايتها القضائية وفقاً للمادة 4 من البروتوكول الاختياري، فإنها لا تزال تشعر بالقلق إزاء الافتقار إلى معلومات مفصلة عن الإجراءات المتبعة في معالجة جميع الجرائم المذكورة في البروتوكول الاختياري. </w:t>
      </w:r>
    </w:p>
    <w:p w:rsidR="00606FAF" w:rsidRPr="007A08AC" w:rsidRDefault="007A08AC" w:rsidP="009A3566">
      <w:pPr>
        <w:pStyle w:val="SingleTxtGA"/>
        <w:rPr>
          <w:b/>
          <w:bCs/>
          <w:rtl/>
        </w:rPr>
      </w:pPr>
      <w:r>
        <w:rPr>
          <w:rFonts w:hint="cs"/>
          <w:rtl/>
        </w:rPr>
        <w:t>25-</w:t>
      </w:r>
      <w:r>
        <w:rPr>
          <w:rFonts w:hint="cs"/>
          <w:rtl/>
        </w:rPr>
        <w:tab/>
      </w:r>
      <w:r w:rsidR="00606FAF" w:rsidRPr="007A08AC">
        <w:rPr>
          <w:b/>
          <w:bCs/>
          <w:rtl/>
        </w:rPr>
        <w:t xml:space="preserve">توصي اللجنة بأن تتخذ الدولة الطرف التدابير التشريعية اللازمة لضمان أن </w:t>
      </w:r>
      <w:proofErr w:type="spellStart"/>
      <w:r w:rsidR="00606FAF" w:rsidRPr="007A08AC">
        <w:rPr>
          <w:b/>
          <w:bCs/>
          <w:rtl/>
        </w:rPr>
        <w:t>ينص</w:t>
      </w:r>
      <w:proofErr w:type="spellEnd"/>
      <w:r w:rsidR="00606FAF" w:rsidRPr="007A08AC">
        <w:rPr>
          <w:b/>
          <w:bCs/>
          <w:rtl/>
        </w:rPr>
        <w:t xml:space="preserve"> القانون الداخلي على </w:t>
      </w:r>
      <w:r w:rsidR="009A3566">
        <w:rPr>
          <w:rFonts w:hint="cs"/>
          <w:b/>
          <w:bCs/>
          <w:rtl/>
        </w:rPr>
        <w:t xml:space="preserve">ممارسة </w:t>
      </w:r>
      <w:r w:rsidR="00606FAF" w:rsidRPr="007A08AC">
        <w:rPr>
          <w:b/>
          <w:bCs/>
          <w:rtl/>
        </w:rPr>
        <w:t xml:space="preserve">الولاية القضائية خارج </w:t>
      </w:r>
      <w:r w:rsidR="009A3566">
        <w:rPr>
          <w:rFonts w:hint="cs"/>
          <w:b/>
          <w:bCs/>
          <w:rtl/>
        </w:rPr>
        <w:t xml:space="preserve">الحدود الإقليمية على أساس الامتثال التام </w:t>
      </w:r>
      <w:r w:rsidR="00606FAF" w:rsidRPr="007A08AC">
        <w:rPr>
          <w:b/>
          <w:bCs/>
          <w:rtl/>
        </w:rPr>
        <w:t xml:space="preserve">لأحكام المادة 4 من البروتوكول الاختياري. </w:t>
      </w:r>
    </w:p>
    <w:p w:rsidR="00606FAF" w:rsidRDefault="009A3566" w:rsidP="009A3566">
      <w:pPr>
        <w:pStyle w:val="HChGA"/>
        <w:ind w:hanging="1114"/>
        <w:rPr>
          <w:rtl/>
        </w:rPr>
      </w:pPr>
      <w:r>
        <w:rPr>
          <w:rFonts w:hint="cs"/>
          <w:rtl/>
        </w:rPr>
        <w:tab/>
      </w:r>
      <w:r w:rsidR="00606FAF">
        <w:rPr>
          <w:rtl/>
        </w:rPr>
        <w:t>سادساً</w:t>
      </w:r>
      <w:r>
        <w:rPr>
          <w:rFonts w:hint="cs"/>
          <w:rtl/>
        </w:rPr>
        <w:t xml:space="preserve"> -</w:t>
      </w:r>
      <w:r>
        <w:rPr>
          <w:rFonts w:hint="cs"/>
          <w:rtl/>
        </w:rPr>
        <w:tab/>
      </w:r>
      <w:r w:rsidR="00606FAF">
        <w:rPr>
          <w:rtl/>
        </w:rPr>
        <w:t xml:space="preserve">حماية حقوق الأطفال الضحايا </w:t>
      </w:r>
    </w:p>
    <w:p w:rsidR="00606FAF" w:rsidRDefault="006A4DCA" w:rsidP="006A4DCA">
      <w:pPr>
        <w:pStyle w:val="H1GA"/>
        <w:rPr>
          <w:rtl/>
        </w:rPr>
      </w:pPr>
      <w:r>
        <w:rPr>
          <w:rFonts w:hint="cs"/>
          <w:rtl/>
        </w:rPr>
        <w:tab/>
      </w:r>
      <w:r>
        <w:rPr>
          <w:rFonts w:hint="cs"/>
          <w:rtl/>
        </w:rPr>
        <w:tab/>
      </w:r>
      <w:r w:rsidR="00606FAF">
        <w:rPr>
          <w:rtl/>
        </w:rPr>
        <w:t xml:space="preserve">التدابير المتخذة لحماية حقوق ومصالح الأطفال ضحايا الجرائم المحظورة بموجب البروتوكول الاختياري </w:t>
      </w:r>
    </w:p>
    <w:p w:rsidR="00606FAF" w:rsidRDefault="00725FD0" w:rsidP="001C153B">
      <w:pPr>
        <w:pStyle w:val="SingleTxtGA"/>
        <w:rPr>
          <w:rFonts w:hint="cs"/>
          <w:rtl/>
        </w:rPr>
      </w:pPr>
      <w:r>
        <w:rPr>
          <w:rtl/>
        </w:rPr>
        <w:t>26</w:t>
      </w:r>
      <w:r>
        <w:rPr>
          <w:rFonts w:hint="cs"/>
          <w:rtl/>
        </w:rPr>
        <w:t>-</w:t>
      </w:r>
      <w:r>
        <w:rPr>
          <w:rFonts w:hint="cs"/>
          <w:rtl/>
        </w:rPr>
        <w:tab/>
      </w:r>
      <w:r w:rsidR="00606FAF">
        <w:rPr>
          <w:rtl/>
        </w:rPr>
        <w:t xml:space="preserve">تشعر اللجنة بالقلق </w:t>
      </w:r>
      <w:r w:rsidR="00241915">
        <w:rPr>
          <w:rFonts w:hint="cs"/>
          <w:rtl/>
        </w:rPr>
        <w:t xml:space="preserve">لأن </w:t>
      </w:r>
      <w:r w:rsidR="00606FAF">
        <w:rPr>
          <w:rtl/>
        </w:rPr>
        <w:t xml:space="preserve">الأطفال ضحايا الجرائم المذكورة في البروتوكول الاختياري </w:t>
      </w:r>
      <w:r w:rsidR="0023514E">
        <w:rPr>
          <w:rFonts w:hint="cs"/>
          <w:rtl/>
        </w:rPr>
        <w:t xml:space="preserve">قد لا يُعتبرون دائماً </w:t>
      </w:r>
      <w:r w:rsidR="00606FAF">
        <w:rPr>
          <w:rtl/>
        </w:rPr>
        <w:t xml:space="preserve">ضحايا ولا تتم معاملتهم على هذا الأساس </w:t>
      </w:r>
      <w:r w:rsidR="00F516A3">
        <w:rPr>
          <w:rFonts w:hint="cs"/>
          <w:rtl/>
        </w:rPr>
        <w:t>حسبما</w:t>
      </w:r>
      <w:r w:rsidR="00606FAF">
        <w:rPr>
          <w:rtl/>
        </w:rPr>
        <w:t xml:space="preserve"> </w:t>
      </w:r>
      <w:proofErr w:type="spellStart"/>
      <w:r w:rsidR="00606FAF">
        <w:rPr>
          <w:rtl/>
        </w:rPr>
        <w:t>تنص</w:t>
      </w:r>
      <w:proofErr w:type="spellEnd"/>
      <w:r w:rsidR="00606FAF">
        <w:rPr>
          <w:rtl/>
        </w:rPr>
        <w:t xml:space="preserve"> </w:t>
      </w:r>
      <w:r w:rsidR="00E45A22">
        <w:rPr>
          <w:rFonts w:hint="cs"/>
          <w:rtl/>
        </w:rPr>
        <w:t xml:space="preserve">عليه </w:t>
      </w:r>
      <w:r w:rsidR="00606FAF">
        <w:rPr>
          <w:rtl/>
        </w:rPr>
        <w:t>المادة 8 من البروتوكول الاختياري. وتضم اللجنة صوتها إلى صوت اللجنة المعنية بالقضاء على التمييز ضد المرأة التي أعربت عن قلقها، في تشرين الثاني/نوفمبر 2008 (</w:t>
      </w:r>
      <w:r w:rsidR="00606FAF">
        <w:t>CEDAW/C/MNG/CO/7</w:t>
      </w:r>
      <w:r w:rsidR="00606FAF">
        <w:rPr>
          <w:rtl/>
        </w:rPr>
        <w:t xml:space="preserve">، الفقرتان 27 و28)، إزاء تزايد حالات الاتجار بالنساء والفتيات واستغلالهن وإزاء انخفاض معدل الملاحقة القضائية. وتلاحظ اللجنة بقلق أيضاً نُدرة تدابير إعادة الإدماج الاجتماعي وإعادة التأهيل البدني والنفسي/الاجتماعي </w:t>
      </w:r>
      <w:r w:rsidR="001C153B">
        <w:rPr>
          <w:rFonts w:hint="cs"/>
          <w:rtl/>
        </w:rPr>
        <w:t>ل</w:t>
      </w:r>
      <w:r w:rsidR="00606FAF">
        <w:rPr>
          <w:rtl/>
        </w:rPr>
        <w:t xml:space="preserve">لأطفال الضحايا. </w:t>
      </w:r>
    </w:p>
    <w:p w:rsidR="00497ACA" w:rsidRDefault="00497ACA" w:rsidP="00E45A22">
      <w:pPr>
        <w:pStyle w:val="SingleTxtGA"/>
        <w:rPr>
          <w:rFonts w:hint="cs"/>
          <w:rtl/>
        </w:rPr>
      </w:pPr>
    </w:p>
    <w:p w:rsidR="00606FAF" w:rsidRPr="00E45A22" w:rsidRDefault="00E45A22" w:rsidP="00E45A22">
      <w:pPr>
        <w:pStyle w:val="SingleTxtGA"/>
        <w:rPr>
          <w:b/>
          <w:bCs/>
          <w:rtl/>
        </w:rPr>
      </w:pPr>
      <w:r>
        <w:rPr>
          <w:rFonts w:hint="cs"/>
          <w:rtl/>
        </w:rPr>
        <w:t>27-</w:t>
      </w:r>
      <w:r>
        <w:rPr>
          <w:rFonts w:hint="cs"/>
          <w:rtl/>
        </w:rPr>
        <w:tab/>
      </w:r>
      <w:r w:rsidR="00606FAF" w:rsidRPr="00E45A22">
        <w:rPr>
          <w:b/>
          <w:bCs/>
          <w:rtl/>
        </w:rPr>
        <w:t xml:space="preserve">توصي اللجنة بأن تقوم الدولة الطرف بما يلي: </w:t>
      </w:r>
    </w:p>
    <w:p w:rsidR="00606FAF" w:rsidRPr="00653C4F" w:rsidRDefault="00653C4F" w:rsidP="002F0199">
      <w:pPr>
        <w:pStyle w:val="SingleTxtGA"/>
        <w:rPr>
          <w:b/>
          <w:bCs/>
          <w:rtl/>
        </w:rPr>
      </w:pPr>
      <w:r w:rsidRPr="00653C4F">
        <w:rPr>
          <w:b/>
          <w:bCs/>
          <w:rtl/>
        </w:rPr>
        <w:tab/>
        <w:t>(أ)</w:t>
      </w:r>
      <w:r w:rsidRPr="00653C4F">
        <w:rPr>
          <w:rFonts w:hint="cs"/>
          <w:b/>
          <w:bCs/>
          <w:rtl/>
        </w:rPr>
        <w:tab/>
      </w:r>
      <w:r w:rsidR="00606FAF" w:rsidRPr="00653C4F">
        <w:rPr>
          <w:b/>
          <w:bCs/>
          <w:rtl/>
        </w:rPr>
        <w:t xml:space="preserve">ضمان </w:t>
      </w:r>
      <w:r w:rsidR="002F0199">
        <w:rPr>
          <w:rFonts w:hint="cs"/>
          <w:b/>
          <w:bCs/>
          <w:rtl/>
        </w:rPr>
        <w:t xml:space="preserve">أن يشمل </w:t>
      </w:r>
      <w:r w:rsidR="00606FAF" w:rsidRPr="00653C4F">
        <w:rPr>
          <w:b/>
          <w:bCs/>
          <w:rtl/>
        </w:rPr>
        <w:t xml:space="preserve">التشريع الحالي </w:t>
      </w:r>
      <w:r w:rsidR="002F0199">
        <w:rPr>
          <w:rFonts w:hint="cs"/>
          <w:b/>
          <w:bCs/>
          <w:rtl/>
        </w:rPr>
        <w:t xml:space="preserve">حالات </w:t>
      </w:r>
      <w:r w:rsidR="00606FAF" w:rsidRPr="00653C4F">
        <w:rPr>
          <w:b/>
          <w:bCs/>
          <w:rtl/>
        </w:rPr>
        <w:t xml:space="preserve">الأطفال الضحايا في جميع مراحل الإجراءات القضائية الجنائية وفقاً للمادة 8 من البروتوكول الاختياري، وضمان </w:t>
      </w:r>
      <w:proofErr w:type="spellStart"/>
      <w:r w:rsidR="00606FAF" w:rsidRPr="00653C4F">
        <w:rPr>
          <w:b/>
          <w:bCs/>
          <w:rtl/>
        </w:rPr>
        <w:t>إيلاء</w:t>
      </w:r>
      <w:proofErr w:type="spellEnd"/>
      <w:r w:rsidR="00606FAF" w:rsidRPr="00653C4F">
        <w:rPr>
          <w:b/>
          <w:bCs/>
          <w:rtl/>
        </w:rPr>
        <w:t xml:space="preserve"> الاعتبار </w:t>
      </w:r>
      <w:r w:rsidR="002F0199">
        <w:rPr>
          <w:rFonts w:hint="cs"/>
          <w:b/>
          <w:bCs/>
          <w:rtl/>
        </w:rPr>
        <w:t>الأهم</w:t>
      </w:r>
      <w:r w:rsidR="00606FAF" w:rsidRPr="00653C4F">
        <w:rPr>
          <w:b/>
          <w:bCs/>
          <w:rtl/>
        </w:rPr>
        <w:t xml:space="preserve"> لمصالح الطفل الفضلى. وفي هذا الصدد، ينبغي أن تسترشد الدولة الطرف بالمبادئ التوجيهية بشأن العدالة في الأمور المتعلقة بالأطفال ضحايا الجريمة والشهود عليها (قرار المجلس الاقتصادي والاجتماعي 2005/20، المرفق)؛ </w:t>
      </w:r>
    </w:p>
    <w:p w:rsidR="00606FAF" w:rsidRPr="005F42E1" w:rsidRDefault="00606FAF" w:rsidP="003969CC">
      <w:pPr>
        <w:pStyle w:val="SingleTxtGA"/>
        <w:rPr>
          <w:b/>
          <w:bCs/>
          <w:rtl/>
        </w:rPr>
      </w:pPr>
      <w:r w:rsidRPr="005F42E1">
        <w:rPr>
          <w:b/>
          <w:bCs/>
          <w:rtl/>
        </w:rPr>
        <w:tab/>
        <w:t>(ب)</w:t>
      </w:r>
      <w:r w:rsidR="003969CC">
        <w:rPr>
          <w:rFonts w:hint="cs"/>
          <w:b/>
          <w:bCs/>
          <w:rtl/>
        </w:rPr>
        <w:tab/>
      </w:r>
      <w:r w:rsidRPr="005F42E1">
        <w:rPr>
          <w:b/>
          <w:bCs/>
          <w:rtl/>
        </w:rPr>
        <w:t xml:space="preserve">اتخاذ جميع التدابير اللازمة لضمان تخصيص الموارد البشرية والمالية الكافية من أجل تحسين التمثيل القانوني للأطفال الضحايا؛ </w:t>
      </w:r>
    </w:p>
    <w:p w:rsidR="00606FAF" w:rsidRPr="005F42E1" w:rsidRDefault="00606FAF" w:rsidP="006942A5">
      <w:pPr>
        <w:pStyle w:val="SingleTxtGA"/>
        <w:rPr>
          <w:b/>
          <w:bCs/>
          <w:rtl/>
        </w:rPr>
      </w:pPr>
      <w:r w:rsidRPr="005F42E1">
        <w:rPr>
          <w:b/>
          <w:bCs/>
          <w:rtl/>
        </w:rPr>
        <w:tab/>
        <w:t>(ج)</w:t>
      </w:r>
      <w:r w:rsidR="006942A5">
        <w:rPr>
          <w:rFonts w:hint="cs"/>
          <w:b/>
          <w:bCs/>
          <w:rtl/>
        </w:rPr>
        <w:tab/>
      </w:r>
      <w:r w:rsidRPr="005F42E1">
        <w:rPr>
          <w:b/>
          <w:bCs/>
          <w:rtl/>
        </w:rPr>
        <w:t xml:space="preserve">ضمان عدم تجريم وعدم معاقبة الأطفال ضحايا أي من الجرائم المذكورة في البروتوكول الاختياري واتخاذ جميع التدابير الممكنة لتفادي تعرُّضهم للوصم والتهميش الاجتماعي؛ </w:t>
      </w:r>
    </w:p>
    <w:p w:rsidR="00606FAF" w:rsidRPr="005F42E1" w:rsidRDefault="00606FAF" w:rsidP="006942A5">
      <w:pPr>
        <w:pStyle w:val="SingleTxtGA"/>
        <w:rPr>
          <w:b/>
          <w:bCs/>
          <w:rtl/>
        </w:rPr>
      </w:pPr>
      <w:r w:rsidRPr="005F42E1">
        <w:rPr>
          <w:b/>
          <w:bCs/>
          <w:rtl/>
        </w:rPr>
        <w:tab/>
        <w:t>(د)</w:t>
      </w:r>
      <w:r w:rsidR="006942A5">
        <w:rPr>
          <w:rFonts w:hint="cs"/>
          <w:b/>
          <w:bCs/>
          <w:rtl/>
        </w:rPr>
        <w:tab/>
      </w:r>
      <w:r w:rsidRPr="005F42E1">
        <w:rPr>
          <w:b/>
          <w:bCs/>
          <w:rtl/>
        </w:rPr>
        <w:t>ضمان توفير خدمات كافية لجميع الأطفال الضحاي</w:t>
      </w:r>
      <w:r w:rsidR="007B2E16">
        <w:rPr>
          <w:b/>
          <w:bCs/>
          <w:rtl/>
        </w:rPr>
        <w:t xml:space="preserve">ا، من فتيان وفتيات، بما في ذلك </w:t>
      </w:r>
      <w:r w:rsidR="007B2E16">
        <w:rPr>
          <w:rFonts w:hint="cs"/>
          <w:b/>
          <w:bCs/>
          <w:rtl/>
        </w:rPr>
        <w:t>لإ</w:t>
      </w:r>
      <w:r w:rsidRPr="005F42E1">
        <w:rPr>
          <w:b/>
          <w:bCs/>
          <w:rtl/>
        </w:rPr>
        <w:t xml:space="preserve">عادة إدماجهم الكامل في المجتمع وتحقيق تعافيهم التام بدنياً ونفسياً، وفقاً للفقرة 3 من المادة 9 من البروتوكول الاختياري. </w:t>
      </w:r>
    </w:p>
    <w:p w:rsidR="00606FAF" w:rsidRPr="00B853A3" w:rsidRDefault="00B853A3" w:rsidP="00A37F21">
      <w:pPr>
        <w:pStyle w:val="SingleTxtGA"/>
        <w:rPr>
          <w:b/>
          <w:bCs/>
          <w:rtl/>
        </w:rPr>
      </w:pPr>
      <w:r>
        <w:rPr>
          <w:rFonts w:hint="cs"/>
          <w:rtl/>
        </w:rPr>
        <w:t>28-</w:t>
      </w:r>
      <w:r>
        <w:rPr>
          <w:rFonts w:hint="cs"/>
          <w:rtl/>
        </w:rPr>
        <w:tab/>
      </w:r>
      <w:r w:rsidR="00606FAF" w:rsidRPr="00B853A3">
        <w:rPr>
          <w:b/>
          <w:bCs/>
          <w:rtl/>
        </w:rPr>
        <w:t xml:space="preserve">وتوصي اللجنة كذلك الدولة الطرف بإجراء دراسة للمراحل التي يمر </w:t>
      </w:r>
      <w:proofErr w:type="spellStart"/>
      <w:r w:rsidR="00606FAF" w:rsidRPr="00B853A3">
        <w:rPr>
          <w:b/>
          <w:bCs/>
          <w:rtl/>
        </w:rPr>
        <w:t>بها</w:t>
      </w:r>
      <w:proofErr w:type="spellEnd"/>
      <w:r w:rsidR="00606FAF" w:rsidRPr="00B853A3">
        <w:rPr>
          <w:b/>
          <w:bCs/>
          <w:rtl/>
        </w:rPr>
        <w:t xml:space="preserve"> الأطفال ضحايا البيع والبغاء والاستغلال في المواد الإباحية، بدءاً من لحظة دخولهم إلى النظام القضائي وحتى مرحلة </w:t>
      </w:r>
      <w:r w:rsidR="00A37F21">
        <w:rPr>
          <w:rFonts w:hint="cs"/>
          <w:b/>
          <w:bCs/>
          <w:rtl/>
        </w:rPr>
        <w:t xml:space="preserve">تعامل </w:t>
      </w:r>
      <w:r w:rsidR="00606FAF" w:rsidRPr="00B853A3">
        <w:rPr>
          <w:b/>
          <w:bCs/>
          <w:rtl/>
        </w:rPr>
        <w:t xml:space="preserve">الشرطة </w:t>
      </w:r>
      <w:r w:rsidR="00A37F21">
        <w:rPr>
          <w:rFonts w:hint="cs"/>
          <w:b/>
          <w:bCs/>
          <w:rtl/>
        </w:rPr>
        <w:t xml:space="preserve">معهم </w:t>
      </w:r>
      <w:r w:rsidR="00606FAF" w:rsidRPr="00B853A3">
        <w:rPr>
          <w:b/>
          <w:bCs/>
          <w:rtl/>
        </w:rPr>
        <w:t xml:space="preserve">وإعادة </w:t>
      </w:r>
      <w:r w:rsidR="00A37F21">
        <w:rPr>
          <w:rFonts w:hint="cs"/>
          <w:b/>
          <w:bCs/>
          <w:rtl/>
        </w:rPr>
        <w:t xml:space="preserve">تأهيلهم، </w:t>
      </w:r>
      <w:r w:rsidR="00606FAF" w:rsidRPr="00B853A3">
        <w:rPr>
          <w:b/>
          <w:bCs/>
          <w:rtl/>
        </w:rPr>
        <w:t xml:space="preserve">بغية تحديد العقبات التي تعترضهم </w:t>
      </w:r>
      <w:r w:rsidR="00A37F21">
        <w:rPr>
          <w:rFonts w:hint="cs"/>
          <w:b/>
          <w:bCs/>
          <w:rtl/>
        </w:rPr>
        <w:t>ضمن</w:t>
      </w:r>
      <w:r w:rsidR="00606FAF" w:rsidRPr="00B853A3">
        <w:rPr>
          <w:b/>
          <w:bCs/>
          <w:rtl/>
        </w:rPr>
        <w:t xml:space="preserve"> النظام القانوني والاجتماعي، والاستفادة من نتائج هذه الدراسة في وضع وتنفيذ سياسة فعالة وشاملة.</w:t>
      </w:r>
    </w:p>
    <w:p w:rsidR="00606FAF" w:rsidRPr="004D38F7" w:rsidRDefault="00606FAF" w:rsidP="00E37AA7">
      <w:pPr>
        <w:pStyle w:val="SingleTxtGA"/>
        <w:rPr>
          <w:b/>
          <w:bCs/>
          <w:rtl/>
        </w:rPr>
      </w:pPr>
      <w:r>
        <w:rPr>
          <w:rtl/>
        </w:rPr>
        <w:t>29</w:t>
      </w:r>
      <w:r w:rsidR="004D38F7">
        <w:rPr>
          <w:rFonts w:hint="cs"/>
          <w:rtl/>
        </w:rPr>
        <w:t>-</w:t>
      </w:r>
      <w:r w:rsidR="004D38F7">
        <w:rPr>
          <w:rFonts w:hint="cs"/>
          <w:rtl/>
        </w:rPr>
        <w:tab/>
      </w:r>
      <w:r w:rsidRPr="004D38F7">
        <w:rPr>
          <w:b/>
          <w:bCs/>
          <w:rtl/>
        </w:rPr>
        <w:t xml:space="preserve">وتوصي اللجنة بأن تواصل الدولة الطرف ضمان وصول الأطفال إلى خطوط المساعدة الهاتفية المختلفة المخصصة لتقديم العون إلى الأطفال الضحايا. وهي، في هذا الصدد، توصي بأن تكفل الدولة الطرف معرفة الأطفال بوجود خطوط المساعدة الهاتفية </w:t>
      </w:r>
      <w:r w:rsidR="00B35D6B">
        <w:rPr>
          <w:rFonts w:hint="cs"/>
          <w:b/>
          <w:bCs/>
          <w:rtl/>
        </w:rPr>
        <w:t>هذه</w:t>
      </w:r>
      <w:r w:rsidR="00E37AA7">
        <w:rPr>
          <w:rFonts w:hint="cs"/>
          <w:b/>
          <w:bCs/>
          <w:rtl/>
        </w:rPr>
        <w:t xml:space="preserve"> </w:t>
      </w:r>
      <w:r w:rsidRPr="004D38F7">
        <w:rPr>
          <w:b/>
          <w:bCs/>
          <w:rtl/>
        </w:rPr>
        <w:t xml:space="preserve">والوصول إليها، وبأنه تسهِّل تعاون </w:t>
      </w:r>
      <w:r w:rsidR="00E37AA7">
        <w:rPr>
          <w:rFonts w:hint="cs"/>
          <w:b/>
          <w:bCs/>
          <w:rtl/>
        </w:rPr>
        <w:t xml:space="preserve">مشغلي هذه الخطوط </w:t>
      </w:r>
      <w:r w:rsidRPr="004D38F7">
        <w:rPr>
          <w:b/>
          <w:bCs/>
          <w:rtl/>
        </w:rPr>
        <w:t xml:space="preserve">مع المنظمات غير الحكومية التي تركِّز على الطفل ومع الشرطة، وكذلك مع الأخصائيين الاجتماعيين والعاملين في مجال الصحة. </w:t>
      </w:r>
    </w:p>
    <w:p w:rsidR="00606FAF" w:rsidRDefault="00C34662" w:rsidP="00C34662">
      <w:pPr>
        <w:pStyle w:val="H1GA"/>
        <w:rPr>
          <w:rtl/>
        </w:rPr>
      </w:pPr>
      <w:r>
        <w:rPr>
          <w:rFonts w:hint="cs"/>
          <w:rtl/>
        </w:rPr>
        <w:tab/>
      </w:r>
      <w:r>
        <w:rPr>
          <w:rFonts w:hint="cs"/>
          <w:rtl/>
        </w:rPr>
        <w:tab/>
      </w:r>
      <w:r w:rsidR="00606FAF">
        <w:rPr>
          <w:rtl/>
        </w:rPr>
        <w:t xml:space="preserve">تعافي الضحايا وإعادة إدماجهم </w:t>
      </w:r>
    </w:p>
    <w:p w:rsidR="00606FAF" w:rsidRDefault="00C34662" w:rsidP="00A27DEC">
      <w:pPr>
        <w:pStyle w:val="SingleTxtGA"/>
        <w:rPr>
          <w:rtl/>
        </w:rPr>
      </w:pPr>
      <w:r>
        <w:rPr>
          <w:rtl/>
        </w:rPr>
        <w:t>30</w:t>
      </w:r>
      <w:r>
        <w:rPr>
          <w:rFonts w:hint="cs"/>
          <w:rtl/>
        </w:rPr>
        <w:t>-</w:t>
      </w:r>
      <w:r>
        <w:rPr>
          <w:rFonts w:hint="cs"/>
          <w:rtl/>
        </w:rPr>
        <w:tab/>
      </w:r>
      <w:r w:rsidR="00606FAF">
        <w:rPr>
          <w:rtl/>
        </w:rPr>
        <w:t xml:space="preserve">ترحب اللجنة بالمعلومات المتعلقة بالعمل الجدير بالثناء الذي تقوم </w:t>
      </w:r>
      <w:proofErr w:type="spellStart"/>
      <w:r w:rsidR="00606FAF">
        <w:rPr>
          <w:rtl/>
        </w:rPr>
        <w:t>به</w:t>
      </w:r>
      <w:proofErr w:type="spellEnd"/>
      <w:r w:rsidR="00606FAF">
        <w:rPr>
          <w:rtl/>
        </w:rPr>
        <w:t xml:space="preserve"> منظمات المجتمع المدني في توفير الرعاية والدعم والحماية للأطفال الأضعف حالاً، بمن فيهم ضحايا الجرائم المذكورة في البروتوكول الاختياري. </w:t>
      </w:r>
      <w:r w:rsidR="00A27DEC">
        <w:rPr>
          <w:rFonts w:hint="cs"/>
          <w:rtl/>
        </w:rPr>
        <w:t>إلا أن اللجنة</w:t>
      </w:r>
      <w:r w:rsidR="00606FAF">
        <w:rPr>
          <w:rtl/>
        </w:rPr>
        <w:t xml:space="preserve"> تشعر بالقلق إزاء عدم وجود آليات منهجية ومنسقة على مستوى المقاطعات والمجتمعات المحلية يمكنها أن تتناول حقوق الأطفال الضحايا وتلبّي احتياجاتهم على نحو أكثر شمولاً وتنسيقاً. </w:t>
      </w:r>
    </w:p>
    <w:p w:rsidR="00606FAF" w:rsidRPr="0031288D" w:rsidRDefault="0031288D" w:rsidP="0031288D">
      <w:pPr>
        <w:pStyle w:val="SingleTxtGA"/>
        <w:rPr>
          <w:b/>
          <w:bCs/>
          <w:rtl/>
        </w:rPr>
      </w:pPr>
      <w:r>
        <w:rPr>
          <w:rtl/>
        </w:rPr>
        <w:t>31</w:t>
      </w:r>
      <w:r>
        <w:rPr>
          <w:rFonts w:hint="cs"/>
          <w:rtl/>
        </w:rPr>
        <w:t>-</w:t>
      </w:r>
      <w:r>
        <w:rPr>
          <w:rFonts w:hint="cs"/>
          <w:rtl/>
        </w:rPr>
        <w:tab/>
      </w:r>
      <w:r w:rsidR="00606FAF" w:rsidRPr="0031288D">
        <w:rPr>
          <w:b/>
          <w:bCs/>
          <w:rtl/>
        </w:rPr>
        <w:t xml:space="preserve">توصي اللجنة بأن تقوم الدولة الطرف بما يلي: </w:t>
      </w:r>
    </w:p>
    <w:p w:rsidR="00606FAF" w:rsidRPr="00952892" w:rsidRDefault="00606FAF" w:rsidP="00952892">
      <w:pPr>
        <w:pStyle w:val="SingleTxtGA"/>
        <w:rPr>
          <w:b/>
          <w:bCs/>
          <w:rtl/>
        </w:rPr>
      </w:pPr>
      <w:r w:rsidRPr="00952892">
        <w:rPr>
          <w:b/>
          <w:bCs/>
          <w:rtl/>
        </w:rPr>
        <w:tab/>
        <w:t>(أ)</w:t>
      </w:r>
      <w:r w:rsidR="00952892" w:rsidRPr="00952892">
        <w:rPr>
          <w:rFonts w:hint="cs"/>
          <w:b/>
          <w:bCs/>
          <w:rtl/>
        </w:rPr>
        <w:tab/>
      </w:r>
      <w:r w:rsidRPr="00952892">
        <w:rPr>
          <w:b/>
          <w:bCs/>
          <w:rtl/>
        </w:rPr>
        <w:t>اتخاذ تدابير لضمان حصول الأشخاص العاملين مع ضحايا الجرائم المحظورة بموجب البروتوكول الاختياري على التدريب الملائم، وخاصة التدريب في المجالين القانوني والنفسي، وفقاً لأحكام الفقرة 4 من ا</w:t>
      </w:r>
      <w:r w:rsidR="00952892">
        <w:rPr>
          <w:b/>
          <w:bCs/>
          <w:rtl/>
        </w:rPr>
        <w:t>لمادة 8 من البروتوكول الاختياري</w:t>
      </w:r>
      <w:r w:rsidRPr="00952892">
        <w:rPr>
          <w:b/>
          <w:bCs/>
          <w:rtl/>
        </w:rPr>
        <w:t xml:space="preserve">؛ </w:t>
      </w:r>
    </w:p>
    <w:p w:rsidR="00606FAF" w:rsidRPr="00605B55" w:rsidRDefault="00606FAF" w:rsidP="00605B55">
      <w:pPr>
        <w:pStyle w:val="SingleTxtGA"/>
        <w:rPr>
          <w:b/>
          <w:bCs/>
          <w:rtl/>
        </w:rPr>
      </w:pPr>
      <w:r w:rsidRPr="00605B55">
        <w:rPr>
          <w:b/>
          <w:bCs/>
          <w:rtl/>
        </w:rPr>
        <w:tab/>
        <w:t>(ب)</w:t>
      </w:r>
      <w:r w:rsidR="00605B55" w:rsidRPr="00605B55">
        <w:rPr>
          <w:rFonts w:hint="cs"/>
          <w:b/>
          <w:bCs/>
          <w:rtl/>
        </w:rPr>
        <w:tab/>
      </w:r>
      <w:r w:rsidRPr="00605B55">
        <w:rPr>
          <w:b/>
          <w:bCs/>
          <w:rtl/>
        </w:rPr>
        <w:t>ضمان استفادة جميع الأطفال ضحايا الجرائم الموصوفة في البروتوكول الاختياري من الإجراءات القانونية المناسبة، دونما تمييز،  من أجل التماس التعويض</w:t>
      </w:r>
      <w:r w:rsidR="00605B55">
        <w:rPr>
          <w:rFonts w:hint="cs"/>
          <w:b/>
          <w:bCs/>
          <w:rtl/>
        </w:rPr>
        <w:t xml:space="preserve">         </w:t>
      </w:r>
      <w:r w:rsidRPr="00605B55">
        <w:rPr>
          <w:b/>
          <w:bCs/>
          <w:rtl/>
        </w:rPr>
        <w:t xml:space="preserve"> عن الأذى ممن تثبت مسؤوليتهم </w:t>
      </w:r>
      <w:r w:rsidR="00605B55">
        <w:rPr>
          <w:rFonts w:hint="cs"/>
          <w:b/>
          <w:bCs/>
          <w:rtl/>
        </w:rPr>
        <w:t>القانونية</w:t>
      </w:r>
      <w:r w:rsidRPr="00605B55">
        <w:rPr>
          <w:b/>
          <w:bCs/>
          <w:rtl/>
        </w:rPr>
        <w:t xml:space="preserve"> عنه، وفقاً للفقرة 4 من المادة 9 من البروتوكول الاختياري. </w:t>
      </w:r>
    </w:p>
    <w:p w:rsidR="00606FAF" w:rsidRDefault="00605B55" w:rsidP="00605B55">
      <w:pPr>
        <w:pStyle w:val="HChGA"/>
        <w:rPr>
          <w:rtl/>
        </w:rPr>
      </w:pPr>
      <w:r>
        <w:rPr>
          <w:rFonts w:hint="cs"/>
          <w:rtl/>
        </w:rPr>
        <w:tab/>
      </w:r>
      <w:r>
        <w:rPr>
          <w:rtl/>
        </w:rPr>
        <w:t>سابعاً</w:t>
      </w:r>
      <w:r>
        <w:rPr>
          <w:rFonts w:hint="cs"/>
          <w:rtl/>
        </w:rPr>
        <w:t xml:space="preserve"> -</w:t>
      </w:r>
      <w:r>
        <w:rPr>
          <w:rFonts w:hint="cs"/>
          <w:rtl/>
        </w:rPr>
        <w:tab/>
      </w:r>
      <w:r w:rsidR="00606FAF">
        <w:rPr>
          <w:rtl/>
        </w:rPr>
        <w:t>المساعدة والتعاون على الصعيد الدولي</w:t>
      </w:r>
    </w:p>
    <w:p w:rsidR="00606FAF" w:rsidRDefault="006D6F9C" w:rsidP="006D6F9C">
      <w:pPr>
        <w:pStyle w:val="H1GA"/>
        <w:rPr>
          <w:rtl/>
        </w:rPr>
      </w:pPr>
      <w:r>
        <w:rPr>
          <w:rFonts w:hint="cs"/>
          <w:rtl/>
        </w:rPr>
        <w:tab/>
      </w:r>
      <w:r>
        <w:rPr>
          <w:rFonts w:hint="cs"/>
          <w:rtl/>
        </w:rPr>
        <w:tab/>
      </w:r>
      <w:r w:rsidR="00606FAF">
        <w:rPr>
          <w:rtl/>
        </w:rPr>
        <w:t>الاتفاقات الثنائية والإقليمية والمتعددة الأطراف</w:t>
      </w:r>
    </w:p>
    <w:p w:rsidR="00606FAF" w:rsidRPr="001032D7" w:rsidRDefault="001032D7" w:rsidP="001032D7">
      <w:pPr>
        <w:pStyle w:val="SingleTxtGA"/>
        <w:rPr>
          <w:b/>
          <w:bCs/>
          <w:rtl/>
        </w:rPr>
      </w:pPr>
      <w:r>
        <w:rPr>
          <w:rtl/>
        </w:rPr>
        <w:t>32</w:t>
      </w:r>
      <w:r>
        <w:rPr>
          <w:rFonts w:hint="cs"/>
          <w:rtl/>
        </w:rPr>
        <w:t>-</w:t>
      </w:r>
      <w:r>
        <w:rPr>
          <w:rFonts w:hint="cs"/>
          <w:rtl/>
        </w:rPr>
        <w:tab/>
      </w:r>
      <w:r w:rsidR="00606FAF" w:rsidRPr="001032D7">
        <w:rPr>
          <w:b/>
          <w:bCs/>
          <w:rtl/>
        </w:rPr>
        <w:t xml:space="preserve">تشجع اللجنة الدولة الطرف على مواصلة تعاونها مع الوكالات والبرامج المتخصصة التابعة للأمم المتحدة ومع منظمات المجتمع المدني، وكذلك بواسطة الترتيبات الثنائية من أجل التصدي للأسباب الجذرية، كالفقر والتخلف، التي تُسهم في تعرُّض الأطفال للبيع والبغاء والاستغلال في المواد الإباحية وفي السياحة الجنسية. </w:t>
      </w:r>
    </w:p>
    <w:p w:rsidR="00606FAF" w:rsidRDefault="001032D7" w:rsidP="001032D7">
      <w:pPr>
        <w:pStyle w:val="H1GA"/>
        <w:rPr>
          <w:rtl/>
        </w:rPr>
      </w:pPr>
      <w:r>
        <w:rPr>
          <w:rFonts w:hint="cs"/>
          <w:rtl/>
        </w:rPr>
        <w:tab/>
      </w:r>
      <w:r>
        <w:rPr>
          <w:rFonts w:hint="cs"/>
          <w:rtl/>
        </w:rPr>
        <w:tab/>
      </w:r>
      <w:r w:rsidR="00606FAF">
        <w:rPr>
          <w:rtl/>
        </w:rPr>
        <w:t xml:space="preserve">إنفاذ القانون </w:t>
      </w:r>
    </w:p>
    <w:p w:rsidR="00281B8B" w:rsidRDefault="00213F57" w:rsidP="00281B8B">
      <w:pPr>
        <w:pStyle w:val="SingleTxtGA"/>
        <w:rPr>
          <w:rFonts w:hint="cs"/>
          <w:b/>
          <w:bCs/>
          <w:rtl/>
        </w:rPr>
      </w:pPr>
      <w:r>
        <w:rPr>
          <w:rtl/>
        </w:rPr>
        <w:t>33</w:t>
      </w:r>
      <w:r>
        <w:rPr>
          <w:rFonts w:hint="cs"/>
          <w:rtl/>
        </w:rPr>
        <w:t>-</w:t>
      </w:r>
      <w:r>
        <w:rPr>
          <w:rFonts w:hint="cs"/>
          <w:rtl/>
        </w:rPr>
        <w:tab/>
      </w:r>
      <w:r w:rsidR="00606FAF" w:rsidRPr="00213F57">
        <w:rPr>
          <w:rtl/>
        </w:rPr>
        <w:t xml:space="preserve">تشجع اللجنة الدولة الطرف على القيام بأنشطة تعاون مع دول أخرى على الصعيدين الإقليمي والدولي </w:t>
      </w:r>
      <w:r w:rsidR="001346AC">
        <w:rPr>
          <w:rFonts w:hint="cs"/>
          <w:rtl/>
        </w:rPr>
        <w:t xml:space="preserve">في مجالات القضاء وعمل الشرطة ومساعدة الضحايا، </w:t>
      </w:r>
      <w:r w:rsidR="00606FAF" w:rsidRPr="00213F57">
        <w:rPr>
          <w:rtl/>
        </w:rPr>
        <w:t xml:space="preserve">بهدف منع ومكافحة بيع الأطفال وبغاء الأطفال واستغلالهم في المواد الإباحية، كما تشجعها على توفير معلومات أكثر تفصيلاً في التقرير الدوري المقبل بموجب الاتفاقية. </w:t>
      </w:r>
    </w:p>
    <w:p w:rsidR="00606FAF" w:rsidRDefault="002423D3" w:rsidP="00281B8B">
      <w:pPr>
        <w:pStyle w:val="HChGA"/>
        <w:rPr>
          <w:rtl/>
        </w:rPr>
      </w:pPr>
      <w:r>
        <w:rPr>
          <w:rFonts w:hint="cs"/>
          <w:rtl/>
        </w:rPr>
        <w:tab/>
      </w:r>
      <w:r w:rsidR="00D85FFE">
        <w:rPr>
          <w:rtl/>
        </w:rPr>
        <w:t>ثامناً</w:t>
      </w:r>
      <w:r w:rsidR="00D85FFE">
        <w:rPr>
          <w:rFonts w:hint="cs"/>
          <w:rtl/>
        </w:rPr>
        <w:t xml:space="preserve"> -</w:t>
      </w:r>
      <w:r w:rsidR="00D85FFE">
        <w:rPr>
          <w:rFonts w:hint="cs"/>
          <w:rtl/>
        </w:rPr>
        <w:tab/>
      </w:r>
      <w:r w:rsidR="00606FAF">
        <w:rPr>
          <w:rtl/>
        </w:rPr>
        <w:t xml:space="preserve">المتابعة والنشر </w:t>
      </w:r>
    </w:p>
    <w:p w:rsidR="00606FAF" w:rsidRDefault="00D85FFE" w:rsidP="00D85FFE">
      <w:pPr>
        <w:pStyle w:val="H1GA"/>
        <w:rPr>
          <w:rtl/>
        </w:rPr>
      </w:pPr>
      <w:r>
        <w:rPr>
          <w:rFonts w:hint="cs"/>
          <w:rtl/>
        </w:rPr>
        <w:tab/>
      </w:r>
      <w:r>
        <w:rPr>
          <w:rFonts w:hint="cs"/>
          <w:rtl/>
        </w:rPr>
        <w:tab/>
      </w:r>
      <w:r w:rsidR="00606FAF">
        <w:rPr>
          <w:rtl/>
        </w:rPr>
        <w:t xml:space="preserve">المتابعة </w:t>
      </w:r>
    </w:p>
    <w:p w:rsidR="00606FAF" w:rsidRPr="00D05B48" w:rsidRDefault="00D05B48" w:rsidP="00D05B48">
      <w:pPr>
        <w:pStyle w:val="SingleTxtGA"/>
        <w:rPr>
          <w:b/>
          <w:bCs/>
          <w:rtl/>
        </w:rPr>
      </w:pPr>
      <w:r>
        <w:rPr>
          <w:rtl/>
        </w:rPr>
        <w:t>34</w:t>
      </w:r>
      <w:r>
        <w:rPr>
          <w:rFonts w:hint="cs"/>
          <w:rtl/>
        </w:rPr>
        <w:t>-</w:t>
      </w:r>
      <w:r>
        <w:rPr>
          <w:rFonts w:hint="cs"/>
          <w:rtl/>
        </w:rPr>
        <w:tab/>
      </w:r>
      <w:r w:rsidR="00606FAF" w:rsidRPr="00D05B48">
        <w:rPr>
          <w:b/>
          <w:bCs/>
          <w:rtl/>
        </w:rPr>
        <w:t xml:space="preserve">توصي اللجنة بأن تتخذ الدولة الطرف جميع التدابير المناسبة لضمان تنفيذ هذه التوصيات تنفيذاً كاملاً بوسائل منها إحالتها إلى الوزارات ذات الصلة وإلى الجمعية الشعبية العليا وإلى السلطات المحلية، للنظر فيها واتخاذ مزيد من الإجراءات </w:t>
      </w:r>
      <w:r w:rsidR="00D57015">
        <w:rPr>
          <w:rFonts w:hint="cs"/>
          <w:b/>
          <w:bCs/>
          <w:rtl/>
        </w:rPr>
        <w:t xml:space="preserve">              </w:t>
      </w:r>
      <w:r w:rsidR="00606FAF" w:rsidRPr="00D05B48">
        <w:rPr>
          <w:b/>
          <w:bCs/>
          <w:rtl/>
        </w:rPr>
        <w:t xml:space="preserve">المناسبة بشأنها. </w:t>
      </w:r>
    </w:p>
    <w:p w:rsidR="00606FAF" w:rsidRDefault="00D05B48" w:rsidP="00D05B48">
      <w:pPr>
        <w:pStyle w:val="H1GA"/>
        <w:rPr>
          <w:rtl/>
        </w:rPr>
      </w:pPr>
      <w:r>
        <w:rPr>
          <w:rFonts w:hint="cs"/>
          <w:rtl/>
        </w:rPr>
        <w:tab/>
      </w:r>
      <w:r>
        <w:rPr>
          <w:rFonts w:hint="cs"/>
          <w:rtl/>
        </w:rPr>
        <w:tab/>
      </w:r>
      <w:r w:rsidR="00606FAF">
        <w:rPr>
          <w:rtl/>
        </w:rPr>
        <w:t xml:space="preserve">النشر </w:t>
      </w:r>
    </w:p>
    <w:p w:rsidR="00606FAF" w:rsidRDefault="00937AA3" w:rsidP="00937AA3">
      <w:pPr>
        <w:pStyle w:val="SingleTxtGA"/>
        <w:rPr>
          <w:rFonts w:hint="cs"/>
          <w:b/>
          <w:bCs/>
          <w:rtl/>
        </w:rPr>
      </w:pPr>
      <w:r>
        <w:rPr>
          <w:rtl/>
        </w:rPr>
        <w:t>35</w:t>
      </w:r>
      <w:r>
        <w:rPr>
          <w:rFonts w:hint="cs"/>
          <w:rtl/>
        </w:rPr>
        <w:t>-</w:t>
      </w:r>
      <w:r>
        <w:rPr>
          <w:rFonts w:hint="cs"/>
          <w:rtl/>
        </w:rPr>
        <w:tab/>
      </w:r>
      <w:r w:rsidR="00606FAF" w:rsidRPr="00937AA3">
        <w:rPr>
          <w:b/>
          <w:bCs/>
          <w:rtl/>
        </w:rPr>
        <w:t xml:space="preserve">توصي اللجنة بأن يُنشر على نطاق واسع التقرير والردود الخطية التي قدمتها الدولة الطرف والتوصيات ذات الصلة (الملاحظات الختامية) التي اعتمدتها اللجنة، بوسائط منها شبكة الإنترنت (على سبيل المثال، لا الحصر)، في صفوف عامة الجمهور ومنظمات المجتمع المدني ومجموعات الشباب ووسائط الإعلام والجمعيات المهنية وفي صفوف الأطفال </w:t>
      </w:r>
      <w:r>
        <w:rPr>
          <w:rFonts w:hint="cs"/>
          <w:b/>
          <w:bCs/>
          <w:rtl/>
        </w:rPr>
        <w:t xml:space="preserve">من أجل إثارة </w:t>
      </w:r>
      <w:r w:rsidR="00606FAF" w:rsidRPr="00937AA3">
        <w:rPr>
          <w:b/>
          <w:bCs/>
          <w:rtl/>
        </w:rPr>
        <w:t>النقاش وللتوعية بالبروتوكول الاختياري</w:t>
      </w:r>
      <w:r>
        <w:rPr>
          <w:rFonts w:hint="cs"/>
          <w:b/>
          <w:bCs/>
          <w:rtl/>
        </w:rPr>
        <w:t xml:space="preserve">            </w:t>
      </w:r>
      <w:r w:rsidR="00606FAF" w:rsidRPr="00937AA3">
        <w:rPr>
          <w:b/>
          <w:bCs/>
          <w:rtl/>
        </w:rPr>
        <w:t xml:space="preserve"> وبتنفيذه ورصده. </w:t>
      </w:r>
    </w:p>
    <w:p w:rsidR="00606FAF" w:rsidRDefault="00606FAF" w:rsidP="004073E8">
      <w:pPr>
        <w:pStyle w:val="HChGA"/>
        <w:ind w:hanging="1044"/>
        <w:rPr>
          <w:rtl/>
        </w:rPr>
      </w:pPr>
      <w:r>
        <w:rPr>
          <w:rFonts w:hint="cs"/>
          <w:rtl/>
        </w:rPr>
        <w:tab/>
      </w:r>
      <w:r>
        <w:rPr>
          <w:rtl/>
        </w:rPr>
        <w:t>تاسعا</w:t>
      </w:r>
      <w:r>
        <w:rPr>
          <w:rFonts w:hint="cs"/>
          <w:rtl/>
        </w:rPr>
        <w:t>ً -</w:t>
      </w:r>
      <w:r w:rsidR="004073E8">
        <w:rPr>
          <w:rFonts w:hint="cs"/>
          <w:rtl/>
        </w:rPr>
        <w:tab/>
      </w:r>
      <w:r>
        <w:rPr>
          <w:rtl/>
        </w:rPr>
        <w:t xml:space="preserve">التقرير المقبل </w:t>
      </w:r>
    </w:p>
    <w:p w:rsidR="00B41119" w:rsidRPr="00FA6286" w:rsidRDefault="00E31AE6" w:rsidP="00E31AE6">
      <w:pPr>
        <w:pStyle w:val="SingleTxtGA"/>
        <w:rPr>
          <w:rFonts w:hint="cs"/>
          <w:b/>
          <w:bCs/>
          <w:rtl/>
          <w:lang w:val="fr-CH"/>
        </w:rPr>
      </w:pPr>
      <w:r>
        <w:rPr>
          <w:rFonts w:hint="cs"/>
          <w:rtl/>
        </w:rPr>
        <w:t>36-</w:t>
      </w:r>
      <w:r>
        <w:rPr>
          <w:rFonts w:hint="cs"/>
          <w:rtl/>
        </w:rPr>
        <w:tab/>
      </w:r>
      <w:r w:rsidR="00606FAF" w:rsidRPr="00FA6286">
        <w:rPr>
          <w:b/>
          <w:bCs/>
          <w:rtl/>
        </w:rPr>
        <w:t>وفقاً للفقرة 2 من المادة 12، تطلب اللجنة إلى الدولة الطرف أن تدرج المزيد من المعلومات عن تنفيذ البروتوكول الاختياري في تقريرها الدوري المقبل بموجب اتفاقية حقوق الطفل، وفقاً للمادة 44 من الاتفاقية.</w:t>
      </w:r>
    </w:p>
    <w:p w:rsidR="008B4BC6" w:rsidRPr="00077BE9" w:rsidRDefault="00077BE9" w:rsidP="00077BE9">
      <w:pPr>
        <w:spacing w:before="120"/>
        <w:jc w:val="center"/>
        <w:rPr>
          <w:rFonts w:hint="cs"/>
          <w:u w:val="single"/>
          <w:rtl/>
        </w:rPr>
      </w:pPr>
      <w:r>
        <w:rPr>
          <w:u w:val="single"/>
          <w:rtl/>
        </w:rPr>
        <w:tab/>
      </w:r>
      <w:r>
        <w:rPr>
          <w:u w:val="single"/>
          <w:rtl/>
        </w:rPr>
        <w:tab/>
      </w:r>
      <w:r>
        <w:rPr>
          <w:u w:val="single"/>
          <w:rtl/>
        </w:rPr>
        <w:tab/>
      </w:r>
    </w:p>
    <w:sectPr w:rsidR="008B4BC6" w:rsidRPr="00077BE9" w:rsidSect="00A157A2">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C85" w:rsidRPr="00FE6865" w:rsidRDefault="00714C85" w:rsidP="00FE6865">
      <w:pPr>
        <w:pStyle w:val="Footer"/>
      </w:pPr>
    </w:p>
  </w:endnote>
  <w:endnote w:type="continuationSeparator" w:id="0">
    <w:p w:rsidR="00714C85" w:rsidRDefault="0071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85" w:rsidRPr="00A157A2" w:rsidRDefault="00714C85" w:rsidP="00A157A2">
    <w:pPr>
      <w:pStyle w:val="Footer"/>
      <w:tabs>
        <w:tab w:val="right" w:pos="9598"/>
      </w:tabs>
    </w:pPr>
    <w:r>
      <w:t>GE.10-41026</w:t>
    </w:r>
    <w:r>
      <w:tab/>
    </w:r>
    <w:r w:rsidRPr="00A157A2">
      <w:rPr>
        <w:b/>
        <w:sz w:val="18"/>
      </w:rPr>
      <w:fldChar w:fldCharType="begin"/>
    </w:r>
    <w:r w:rsidRPr="00A157A2">
      <w:rPr>
        <w:b/>
        <w:sz w:val="18"/>
      </w:rPr>
      <w:instrText xml:space="preserve"> PAGE  \* MERGEFORMAT </w:instrText>
    </w:r>
    <w:r w:rsidRPr="00A157A2">
      <w:rPr>
        <w:b/>
        <w:sz w:val="18"/>
      </w:rPr>
      <w:fldChar w:fldCharType="separate"/>
    </w:r>
    <w:r w:rsidR="00F37B55">
      <w:rPr>
        <w:b/>
        <w:noProof/>
        <w:sz w:val="18"/>
      </w:rPr>
      <w:t>8</w:t>
    </w:r>
    <w:r w:rsidRPr="00A157A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85" w:rsidRPr="00A157A2" w:rsidRDefault="00714C85" w:rsidP="00A157A2">
    <w:pPr>
      <w:pStyle w:val="Footer"/>
      <w:tabs>
        <w:tab w:val="right" w:pos="9598"/>
      </w:tabs>
      <w:rPr>
        <w:b/>
        <w:sz w:val="18"/>
      </w:rPr>
    </w:pPr>
    <w:r w:rsidRPr="00A157A2">
      <w:rPr>
        <w:b/>
        <w:sz w:val="18"/>
      </w:rPr>
      <w:fldChar w:fldCharType="begin"/>
    </w:r>
    <w:r w:rsidRPr="00A157A2">
      <w:rPr>
        <w:b/>
        <w:sz w:val="18"/>
      </w:rPr>
      <w:instrText xml:space="preserve"> PAGE  \* MERGEFORMAT </w:instrText>
    </w:r>
    <w:r w:rsidRPr="00A157A2">
      <w:rPr>
        <w:b/>
        <w:sz w:val="18"/>
      </w:rPr>
      <w:fldChar w:fldCharType="separate"/>
    </w:r>
    <w:r w:rsidR="00F37B55">
      <w:rPr>
        <w:b/>
        <w:noProof/>
        <w:sz w:val="18"/>
      </w:rPr>
      <w:t>9</w:t>
    </w:r>
    <w:r w:rsidRPr="00A157A2">
      <w:rPr>
        <w:b/>
        <w:sz w:val="18"/>
      </w:rPr>
      <w:fldChar w:fldCharType="end"/>
    </w:r>
    <w:r>
      <w:rPr>
        <w:b/>
        <w:sz w:val="18"/>
      </w:rPr>
      <w:tab/>
    </w:r>
    <w:r>
      <w:t>GE.10-41026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85" w:rsidRDefault="00714C85" w:rsidP="00E04E4A">
    <w:pPr>
      <w:pStyle w:val="Footer"/>
      <w:jc w:val="right"/>
    </w:pPr>
    <w:r>
      <w:rPr>
        <w:sz w:val="20"/>
      </w:rPr>
      <w:t>(A)   GE.10-41026    130410    140410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C85" w:rsidRDefault="00714C85" w:rsidP="00DC09F9">
      <w:pPr>
        <w:pStyle w:val="Footer"/>
        <w:bidi/>
        <w:spacing w:after="80" w:line="200" w:lineRule="exact"/>
        <w:ind w:left="680"/>
      </w:pPr>
      <w:r>
        <w:rPr>
          <w:rFonts w:hint="cs"/>
          <w:rtl/>
        </w:rPr>
        <w:t>__________</w:t>
      </w:r>
    </w:p>
  </w:footnote>
  <w:footnote w:type="continuationSeparator" w:id="0">
    <w:p w:rsidR="00714C85" w:rsidRDefault="00714C85" w:rsidP="00DC09F9">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85" w:rsidRPr="00A157A2" w:rsidRDefault="00714C85" w:rsidP="00A157A2">
    <w:pPr>
      <w:pStyle w:val="Header"/>
      <w:jc w:val="right"/>
    </w:pPr>
    <w:r w:rsidRPr="00A157A2">
      <w:t>CRC/C/OPSC/MNG/CO/1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85" w:rsidRPr="00A157A2" w:rsidRDefault="00714C85" w:rsidP="00A157A2">
    <w:pPr>
      <w:pStyle w:val="Header"/>
      <w:jc w:val="left"/>
    </w:pPr>
    <w:r w:rsidRPr="00A157A2">
      <w:t>CRC/C/OPSC/MNG/CO/1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ADA"/>
    <w:rsid w:val="00020DF8"/>
    <w:rsid w:val="00040E25"/>
    <w:rsid w:val="00042149"/>
    <w:rsid w:val="00042E88"/>
    <w:rsid w:val="000648EA"/>
    <w:rsid w:val="000776FB"/>
    <w:rsid w:val="00077BE9"/>
    <w:rsid w:val="000957C8"/>
    <w:rsid w:val="000B52F2"/>
    <w:rsid w:val="000C71A4"/>
    <w:rsid w:val="000D0EAE"/>
    <w:rsid w:val="000D5380"/>
    <w:rsid w:val="000D6654"/>
    <w:rsid w:val="000F0264"/>
    <w:rsid w:val="000F2EBF"/>
    <w:rsid w:val="000F56E7"/>
    <w:rsid w:val="000F5FF6"/>
    <w:rsid w:val="001032D7"/>
    <w:rsid w:val="00113FA5"/>
    <w:rsid w:val="001346AC"/>
    <w:rsid w:val="00136528"/>
    <w:rsid w:val="001455A0"/>
    <w:rsid w:val="001602A3"/>
    <w:rsid w:val="00161E31"/>
    <w:rsid w:val="00185AB0"/>
    <w:rsid w:val="001924B4"/>
    <w:rsid w:val="001A5161"/>
    <w:rsid w:val="001A60BD"/>
    <w:rsid w:val="001B001D"/>
    <w:rsid w:val="001C153B"/>
    <w:rsid w:val="001C1F87"/>
    <w:rsid w:val="00213F57"/>
    <w:rsid w:val="00226BCA"/>
    <w:rsid w:val="0023514E"/>
    <w:rsid w:val="0023694A"/>
    <w:rsid w:val="0023736D"/>
    <w:rsid w:val="00241915"/>
    <w:rsid w:val="002423D3"/>
    <w:rsid w:val="00250B43"/>
    <w:rsid w:val="00257225"/>
    <w:rsid w:val="00267108"/>
    <w:rsid w:val="00281B8B"/>
    <w:rsid w:val="00294884"/>
    <w:rsid w:val="002A08A4"/>
    <w:rsid w:val="002A3957"/>
    <w:rsid w:val="002A7AAC"/>
    <w:rsid w:val="002B20F6"/>
    <w:rsid w:val="002B47D9"/>
    <w:rsid w:val="002D1B8A"/>
    <w:rsid w:val="002F0199"/>
    <w:rsid w:val="00310160"/>
    <w:rsid w:val="0031288D"/>
    <w:rsid w:val="00341A8C"/>
    <w:rsid w:val="003519E6"/>
    <w:rsid w:val="00355BF1"/>
    <w:rsid w:val="00365E1B"/>
    <w:rsid w:val="003969CC"/>
    <w:rsid w:val="003B4356"/>
    <w:rsid w:val="003F08A8"/>
    <w:rsid w:val="00403620"/>
    <w:rsid w:val="004073E8"/>
    <w:rsid w:val="004250E3"/>
    <w:rsid w:val="0043538E"/>
    <w:rsid w:val="00437A95"/>
    <w:rsid w:val="00472176"/>
    <w:rsid w:val="00472A81"/>
    <w:rsid w:val="00497ACA"/>
    <w:rsid w:val="004A33B9"/>
    <w:rsid w:val="004A49E9"/>
    <w:rsid w:val="004B2C92"/>
    <w:rsid w:val="004C60AC"/>
    <w:rsid w:val="004D38F7"/>
    <w:rsid w:val="004D6A3A"/>
    <w:rsid w:val="004F4AD7"/>
    <w:rsid w:val="005011C4"/>
    <w:rsid w:val="00521911"/>
    <w:rsid w:val="00535F89"/>
    <w:rsid w:val="0055449E"/>
    <w:rsid w:val="00557CD3"/>
    <w:rsid w:val="00571432"/>
    <w:rsid w:val="005732A2"/>
    <w:rsid w:val="00574740"/>
    <w:rsid w:val="005762A5"/>
    <w:rsid w:val="00583FAE"/>
    <w:rsid w:val="00590BA3"/>
    <w:rsid w:val="005B7AE0"/>
    <w:rsid w:val="005D746C"/>
    <w:rsid w:val="005F146F"/>
    <w:rsid w:val="005F2984"/>
    <w:rsid w:val="005F42E1"/>
    <w:rsid w:val="005F71B6"/>
    <w:rsid w:val="006041C4"/>
    <w:rsid w:val="00605B55"/>
    <w:rsid w:val="00606FAF"/>
    <w:rsid w:val="0061076D"/>
    <w:rsid w:val="00653C4F"/>
    <w:rsid w:val="00660FD4"/>
    <w:rsid w:val="006942A5"/>
    <w:rsid w:val="006A4425"/>
    <w:rsid w:val="006A4DCA"/>
    <w:rsid w:val="006B4669"/>
    <w:rsid w:val="006D6F9C"/>
    <w:rsid w:val="006F6BF8"/>
    <w:rsid w:val="00707BDF"/>
    <w:rsid w:val="0071009A"/>
    <w:rsid w:val="00710727"/>
    <w:rsid w:val="00714C85"/>
    <w:rsid w:val="00715F45"/>
    <w:rsid w:val="00725FD0"/>
    <w:rsid w:val="00731B84"/>
    <w:rsid w:val="00734AE7"/>
    <w:rsid w:val="00791ADA"/>
    <w:rsid w:val="007A08AC"/>
    <w:rsid w:val="007B2E16"/>
    <w:rsid w:val="007C6923"/>
    <w:rsid w:val="007D33E7"/>
    <w:rsid w:val="007E197F"/>
    <w:rsid w:val="007F68C4"/>
    <w:rsid w:val="00814C31"/>
    <w:rsid w:val="008153DE"/>
    <w:rsid w:val="00816C55"/>
    <w:rsid w:val="00847EEA"/>
    <w:rsid w:val="00852A10"/>
    <w:rsid w:val="00862634"/>
    <w:rsid w:val="00866C59"/>
    <w:rsid w:val="008731B6"/>
    <w:rsid w:val="00877306"/>
    <w:rsid w:val="008A6242"/>
    <w:rsid w:val="008B4BC6"/>
    <w:rsid w:val="00901E57"/>
    <w:rsid w:val="00930CC2"/>
    <w:rsid w:val="00935F0E"/>
    <w:rsid w:val="00937AA3"/>
    <w:rsid w:val="00937B2D"/>
    <w:rsid w:val="0095208F"/>
    <w:rsid w:val="00952892"/>
    <w:rsid w:val="00977B3F"/>
    <w:rsid w:val="009814AE"/>
    <w:rsid w:val="009874AE"/>
    <w:rsid w:val="009877A2"/>
    <w:rsid w:val="00996BBE"/>
    <w:rsid w:val="009A3566"/>
    <w:rsid w:val="009D1DD5"/>
    <w:rsid w:val="009D5F8F"/>
    <w:rsid w:val="00A11DDA"/>
    <w:rsid w:val="00A157A2"/>
    <w:rsid w:val="00A20EBE"/>
    <w:rsid w:val="00A26157"/>
    <w:rsid w:val="00A265C3"/>
    <w:rsid w:val="00A26A07"/>
    <w:rsid w:val="00A27DEC"/>
    <w:rsid w:val="00A37F21"/>
    <w:rsid w:val="00A43F9A"/>
    <w:rsid w:val="00A543D4"/>
    <w:rsid w:val="00A61E24"/>
    <w:rsid w:val="00A76C21"/>
    <w:rsid w:val="00A84E5C"/>
    <w:rsid w:val="00A96A00"/>
    <w:rsid w:val="00A97F19"/>
    <w:rsid w:val="00AD0014"/>
    <w:rsid w:val="00AD4CF2"/>
    <w:rsid w:val="00AF0BBA"/>
    <w:rsid w:val="00B30468"/>
    <w:rsid w:val="00B35D6B"/>
    <w:rsid w:val="00B41119"/>
    <w:rsid w:val="00B53700"/>
    <w:rsid w:val="00B547B6"/>
    <w:rsid w:val="00B5705A"/>
    <w:rsid w:val="00B853A3"/>
    <w:rsid w:val="00BB07D6"/>
    <w:rsid w:val="00BB2C41"/>
    <w:rsid w:val="00BC55C8"/>
    <w:rsid w:val="00BC5C10"/>
    <w:rsid w:val="00BC74EC"/>
    <w:rsid w:val="00BD151F"/>
    <w:rsid w:val="00BE24B4"/>
    <w:rsid w:val="00BE2964"/>
    <w:rsid w:val="00C1062C"/>
    <w:rsid w:val="00C243D5"/>
    <w:rsid w:val="00C24FBD"/>
    <w:rsid w:val="00C34662"/>
    <w:rsid w:val="00C473BA"/>
    <w:rsid w:val="00C611ED"/>
    <w:rsid w:val="00C6490A"/>
    <w:rsid w:val="00C64FE1"/>
    <w:rsid w:val="00C8345E"/>
    <w:rsid w:val="00CA18F1"/>
    <w:rsid w:val="00CA1E9F"/>
    <w:rsid w:val="00CA5F7C"/>
    <w:rsid w:val="00CB0B3A"/>
    <w:rsid w:val="00CD5D05"/>
    <w:rsid w:val="00D02D29"/>
    <w:rsid w:val="00D05B48"/>
    <w:rsid w:val="00D51067"/>
    <w:rsid w:val="00D57015"/>
    <w:rsid w:val="00D62059"/>
    <w:rsid w:val="00D70BBB"/>
    <w:rsid w:val="00D70E2F"/>
    <w:rsid w:val="00D75657"/>
    <w:rsid w:val="00D76AC3"/>
    <w:rsid w:val="00D81CC9"/>
    <w:rsid w:val="00D85FFE"/>
    <w:rsid w:val="00D923A4"/>
    <w:rsid w:val="00D960AD"/>
    <w:rsid w:val="00DA0E0E"/>
    <w:rsid w:val="00DB0C39"/>
    <w:rsid w:val="00DB352F"/>
    <w:rsid w:val="00DB3F87"/>
    <w:rsid w:val="00DB7679"/>
    <w:rsid w:val="00DC09F9"/>
    <w:rsid w:val="00DF1702"/>
    <w:rsid w:val="00DF4DD8"/>
    <w:rsid w:val="00DF5ACD"/>
    <w:rsid w:val="00DF668E"/>
    <w:rsid w:val="00E04E4A"/>
    <w:rsid w:val="00E14D2B"/>
    <w:rsid w:val="00E20DBA"/>
    <w:rsid w:val="00E31AE6"/>
    <w:rsid w:val="00E37AA7"/>
    <w:rsid w:val="00E45A22"/>
    <w:rsid w:val="00E660D6"/>
    <w:rsid w:val="00E771AB"/>
    <w:rsid w:val="00EA796F"/>
    <w:rsid w:val="00EB077B"/>
    <w:rsid w:val="00EB0F51"/>
    <w:rsid w:val="00EC50B9"/>
    <w:rsid w:val="00ED26A0"/>
    <w:rsid w:val="00F02784"/>
    <w:rsid w:val="00F07AAD"/>
    <w:rsid w:val="00F1727A"/>
    <w:rsid w:val="00F30E8E"/>
    <w:rsid w:val="00F34764"/>
    <w:rsid w:val="00F37B55"/>
    <w:rsid w:val="00F42094"/>
    <w:rsid w:val="00F455C5"/>
    <w:rsid w:val="00F516A3"/>
    <w:rsid w:val="00F54E3C"/>
    <w:rsid w:val="00F874BD"/>
    <w:rsid w:val="00FA6286"/>
    <w:rsid w:val="00FB3505"/>
    <w:rsid w:val="00FC31E1"/>
    <w:rsid w:val="00FC6ED9"/>
    <w:rsid w:val="00FE1192"/>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9</Pages>
  <Words>2346</Words>
  <Characters>11196</Characters>
  <Application>Microsoft Office Word</Application>
  <DocSecurity>4</DocSecurity>
  <Lines>203</Lines>
  <Paragraphs>50</Paragraphs>
  <ScaleCrop>false</ScaleCrop>
  <HeadingPairs>
    <vt:vector size="2" baseType="variant">
      <vt:variant>
        <vt:lpstr>العنوان</vt:lpstr>
      </vt:variant>
      <vt:variant>
        <vt:i4>1</vt:i4>
      </vt:variant>
    </vt:vector>
  </HeadingPairs>
  <TitlesOfParts>
    <vt:vector size="1" baseType="lpstr">
      <vt:lpstr>CRC/C/OPSC/MNG/CO/1</vt:lpstr>
    </vt:vector>
  </TitlesOfParts>
  <Company>CSD</Company>
  <LinksUpToDate>false</LinksUpToDate>
  <CharactersWithSpaces>13492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CRC/C/OPSC/MNG/CO/1</dc:title>
  <dc:subject>Abdellaoui-el haj</dc:subject>
  <dc:creator>Morcos</dc:creator>
  <cp:keywords/>
  <dc:description>Ludi</dc:description>
  <cp:lastModifiedBy>Morcos</cp:lastModifiedBy>
  <cp:revision>2</cp:revision>
  <cp:lastPrinted>2010-04-13T15:12:00Z</cp:lastPrinted>
  <dcterms:created xsi:type="dcterms:W3CDTF">2010-04-14T07:49:00Z</dcterms:created>
  <dcterms:modified xsi:type="dcterms:W3CDTF">2010-04-14T07:49:00Z</dcterms:modified>
</cp:coreProperties>
</file>