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FF65D6" w14:paraId="011C3507" w14:textId="77777777" w:rsidTr="008F3CA0">
        <w:trPr>
          <w:trHeight w:hRule="exact" w:val="851"/>
        </w:trPr>
        <w:tc>
          <w:tcPr>
            <w:tcW w:w="1276" w:type="dxa"/>
            <w:tcBorders>
              <w:bottom w:val="single" w:sz="4" w:space="0" w:color="auto"/>
            </w:tcBorders>
          </w:tcPr>
          <w:p w14:paraId="5F722EB2" w14:textId="77777777" w:rsidR="000354E9" w:rsidRPr="00DB58B5" w:rsidRDefault="000354E9" w:rsidP="00D37EB2"/>
        </w:tc>
        <w:tc>
          <w:tcPr>
            <w:tcW w:w="2268" w:type="dxa"/>
            <w:tcBorders>
              <w:bottom w:val="single" w:sz="4" w:space="0" w:color="auto"/>
            </w:tcBorders>
            <w:vAlign w:val="bottom"/>
          </w:tcPr>
          <w:p w14:paraId="3A7644D2" w14:textId="77777777" w:rsidR="000354E9" w:rsidRPr="00FF65D6" w:rsidRDefault="000354E9" w:rsidP="008F3CA0">
            <w:pPr>
              <w:spacing w:after="80" w:line="300" w:lineRule="exact"/>
              <w:rPr>
                <w:sz w:val="28"/>
              </w:rPr>
            </w:pPr>
            <w:r w:rsidRPr="00FF65D6">
              <w:rPr>
                <w:sz w:val="28"/>
              </w:rPr>
              <w:t>Nations Unies</w:t>
            </w:r>
          </w:p>
        </w:tc>
        <w:tc>
          <w:tcPr>
            <w:tcW w:w="6095" w:type="dxa"/>
            <w:gridSpan w:val="2"/>
            <w:tcBorders>
              <w:bottom w:val="single" w:sz="4" w:space="0" w:color="auto"/>
            </w:tcBorders>
            <w:vAlign w:val="bottom"/>
          </w:tcPr>
          <w:p w14:paraId="663B042E" w14:textId="77777777" w:rsidR="000354E9" w:rsidRPr="00FF65D6" w:rsidRDefault="00D37EB2" w:rsidP="00D37EB2">
            <w:pPr>
              <w:jc w:val="right"/>
            </w:pPr>
            <w:r w:rsidRPr="00FF65D6">
              <w:rPr>
                <w:sz w:val="40"/>
              </w:rPr>
              <w:t>CRC</w:t>
            </w:r>
            <w:r w:rsidRPr="00FF65D6">
              <w:t>/C/OPSC/GEO/1</w:t>
            </w:r>
          </w:p>
        </w:tc>
      </w:tr>
      <w:tr w:rsidR="000354E9" w:rsidRPr="00FF65D6" w14:paraId="220DB041" w14:textId="77777777" w:rsidTr="008F3CA0">
        <w:trPr>
          <w:trHeight w:hRule="exact" w:val="2835"/>
        </w:trPr>
        <w:tc>
          <w:tcPr>
            <w:tcW w:w="1276" w:type="dxa"/>
            <w:tcBorders>
              <w:top w:val="single" w:sz="4" w:space="0" w:color="auto"/>
              <w:bottom w:val="single" w:sz="12" w:space="0" w:color="auto"/>
            </w:tcBorders>
          </w:tcPr>
          <w:p w14:paraId="322AF8A1" w14:textId="77777777" w:rsidR="000354E9" w:rsidRPr="00FF65D6" w:rsidRDefault="000354E9" w:rsidP="008F3CA0">
            <w:pPr>
              <w:spacing w:before="120"/>
              <w:jc w:val="center"/>
            </w:pPr>
            <w:r w:rsidRPr="00FF65D6">
              <w:rPr>
                <w:noProof/>
                <w:lang w:eastAsia="fr-CH"/>
              </w:rPr>
              <w:drawing>
                <wp:inline distT="0" distB="0" distL="0" distR="0" wp14:anchorId="1BF0E6FA" wp14:editId="03D9C2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90FCFA" w14:textId="77777777" w:rsidR="000354E9" w:rsidRPr="00FF65D6" w:rsidRDefault="000354E9" w:rsidP="008F3CA0">
            <w:pPr>
              <w:spacing w:before="120" w:line="460" w:lineRule="exact"/>
              <w:rPr>
                <w:b/>
                <w:sz w:val="40"/>
                <w:szCs w:val="40"/>
              </w:rPr>
            </w:pPr>
            <w:r w:rsidRPr="00FF65D6">
              <w:rPr>
                <w:b/>
                <w:sz w:val="40"/>
                <w:szCs w:val="40"/>
              </w:rPr>
              <w:t>Convention relative</w:t>
            </w:r>
            <w:r w:rsidRPr="00FF65D6">
              <w:rPr>
                <w:b/>
                <w:sz w:val="40"/>
                <w:szCs w:val="40"/>
              </w:rPr>
              <w:br/>
              <w:t>aux droits de l</w:t>
            </w:r>
            <w:r w:rsidR="002127F6" w:rsidRPr="00FF65D6">
              <w:rPr>
                <w:b/>
                <w:sz w:val="40"/>
                <w:szCs w:val="40"/>
              </w:rPr>
              <w:t>’</w:t>
            </w:r>
            <w:r w:rsidRPr="00FF65D6">
              <w:rPr>
                <w:b/>
                <w:sz w:val="40"/>
                <w:szCs w:val="40"/>
              </w:rPr>
              <w:t>enfant</w:t>
            </w:r>
          </w:p>
        </w:tc>
        <w:tc>
          <w:tcPr>
            <w:tcW w:w="2835" w:type="dxa"/>
            <w:tcBorders>
              <w:top w:val="single" w:sz="4" w:space="0" w:color="auto"/>
              <w:bottom w:val="single" w:sz="12" w:space="0" w:color="auto"/>
            </w:tcBorders>
          </w:tcPr>
          <w:p w14:paraId="1645C28D" w14:textId="77777777" w:rsidR="000354E9" w:rsidRPr="00FF65D6" w:rsidRDefault="00D37EB2" w:rsidP="008F3CA0">
            <w:pPr>
              <w:spacing w:before="240"/>
            </w:pPr>
            <w:proofErr w:type="spellStart"/>
            <w:r w:rsidRPr="00FF65D6">
              <w:t>Distr</w:t>
            </w:r>
            <w:proofErr w:type="spellEnd"/>
            <w:r w:rsidR="005C1799" w:rsidRPr="005C1799">
              <w:t>.</w:t>
            </w:r>
            <w:r w:rsidRPr="00FF65D6">
              <w:t xml:space="preserve"> générale</w:t>
            </w:r>
          </w:p>
          <w:p w14:paraId="0D454E2D" w14:textId="77777777" w:rsidR="00D37EB2" w:rsidRPr="00FF65D6" w:rsidRDefault="00D37EB2" w:rsidP="00D37EB2">
            <w:pPr>
              <w:spacing w:line="240" w:lineRule="exact"/>
            </w:pPr>
            <w:r w:rsidRPr="00FF65D6">
              <w:t>20 novembre 2018</w:t>
            </w:r>
          </w:p>
          <w:p w14:paraId="36D4DB9B" w14:textId="77777777" w:rsidR="00D37EB2" w:rsidRPr="00FF65D6" w:rsidRDefault="00D37EB2" w:rsidP="00D37EB2">
            <w:pPr>
              <w:spacing w:line="240" w:lineRule="exact"/>
            </w:pPr>
            <w:r w:rsidRPr="00FF65D6">
              <w:t>Français</w:t>
            </w:r>
          </w:p>
          <w:p w14:paraId="1EF9992F" w14:textId="77777777" w:rsidR="00D37EB2" w:rsidRPr="00FF65D6" w:rsidRDefault="00D37EB2" w:rsidP="00D37EB2">
            <w:pPr>
              <w:spacing w:line="240" w:lineRule="exact"/>
            </w:pPr>
            <w:r w:rsidRPr="00FF65D6">
              <w:t>Original</w:t>
            </w:r>
            <w:r w:rsidR="003B7618" w:rsidRPr="00FF65D6">
              <w:t> :</w:t>
            </w:r>
            <w:r w:rsidRPr="00FF65D6">
              <w:t xml:space="preserve"> anglais</w:t>
            </w:r>
          </w:p>
          <w:p w14:paraId="68766BAD" w14:textId="77777777" w:rsidR="00D37EB2" w:rsidRPr="00FF65D6" w:rsidRDefault="00D37EB2" w:rsidP="00D37EB2">
            <w:pPr>
              <w:spacing w:line="240" w:lineRule="exact"/>
            </w:pPr>
            <w:r w:rsidRPr="00FF65D6">
              <w:t>Anglais, espagnol et français seulement</w:t>
            </w:r>
          </w:p>
        </w:tc>
      </w:tr>
    </w:tbl>
    <w:p w14:paraId="022F7061" w14:textId="77777777" w:rsidR="002D14A3" w:rsidRPr="00FF65D6" w:rsidRDefault="002D14A3" w:rsidP="002D14A3">
      <w:pPr>
        <w:spacing w:before="120"/>
        <w:rPr>
          <w:b/>
          <w:sz w:val="24"/>
          <w:szCs w:val="24"/>
        </w:rPr>
      </w:pPr>
      <w:r w:rsidRPr="00FF65D6">
        <w:rPr>
          <w:b/>
          <w:sz w:val="24"/>
          <w:szCs w:val="24"/>
        </w:rPr>
        <w:t>Comité des droits de l</w:t>
      </w:r>
      <w:r w:rsidR="002127F6" w:rsidRPr="00FF65D6">
        <w:rPr>
          <w:b/>
          <w:sz w:val="24"/>
          <w:szCs w:val="24"/>
        </w:rPr>
        <w:t>’</w:t>
      </w:r>
      <w:r w:rsidRPr="00FF65D6">
        <w:rPr>
          <w:b/>
          <w:sz w:val="24"/>
          <w:szCs w:val="24"/>
        </w:rPr>
        <w:t>enfant</w:t>
      </w:r>
    </w:p>
    <w:p w14:paraId="70F6E6A4" w14:textId="77777777" w:rsidR="005C5C6A" w:rsidRPr="00FF65D6" w:rsidRDefault="005C5C6A" w:rsidP="000D64C3">
      <w:pPr>
        <w:pStyle w:val="HMG"/>
        <w:rPr>
          <w:lang w:val="fr-FR"/>
        </w:rPr>
      </w:pPr>
      <w:r w:rsidRPr="00FF65D6">
        <w:rPr>
          <w:lang w:val="fr-FR"/>
        </w:rPr>
        <w:tab/>
      </w:r>
      <w:r w:rsidRPr="00FF65D6">
        <w:rPr>
          <w:lang w:val="fr-FR"/>
        </w:rPr>
        <w:tab/>
        <w:t xml:space="preserve">Rapport soumis par la Géorgie en application </w:t>
      </w:r>
      <w:r w:rsidR="000D64C3" w:rsidRPr="00FF65D6">
        <w:rPr>
          <w:lang w:val="fr-FR"/>
        </w:rPr>
        <w:br/>
      </w:r>
      <w:r w:rsidRPr="00FF65D6">
        <w:rPr>
          <w:lang w:val="fr-FR"/>
        </w:rPr>
        <w:t>du paragraphe 1 de l</w:t>
      </w:r>
      <w:r w:rsidR="002127F6" w:rsidRPr="00FF65D6">
        <w:rPr>
          <w:lang w:val="fr-FR"/>
        </w:rPr>
        <w:t>’</w:t>
      </w:r>
      <w:r w:rsidRPr="00FF65D6">
        <w:rPr>
          <w:lang w:val="fr-FR"/>
        </w:rPr>
        <w:t xml:space="preserve">article 12 du Protocole facultatif à la Convention relative aux droits </w:t>
      </w:r>
      <w:r w:rsidR="000D64C3" w:rsidRPr="00FF65D6">
        <w:rPr>
          <w:lang w:val="fr-FR"/>
        </w:rPr>
        <w:br/>
      </w:r>
      <w:r w:rsidRPr="00FF65D6">
        <w:rPr>
          <w:lang w:val="fr-FR"/>
        </w:rPr>
        <w:t>de l</w:t>
      </w:r>
      <w:r w:rsidR="002127F6" w:rsidRPr="00FF65D6">
        <w:rPr>
          <w:lang w:val="fr-FR"/>
        </w:rPr>
        <w:t>’</w:t>
      </w:r>
      <w:r w:rsidRPr="00FF65D6">
        <w:rPr>
          <w:lang w:val="fr-FR"/>
        </w:rPr>
        <w:t>enfant, concernant la vente d</w:t>
      </w:r>
      <w:r w:rsidR="002127F6" w:rsidRPr="00FF65D6">
        <w:rPr>
          <w:lang w:val="fr-FR"/>
        </w:rPr>
        <w:t>’</w:t>
      </w:r>
      <w:r w:rsidRPr="00FF65D6">
        <w:rPr>
          <w:lang w:val="fr-FR"/>
        </w:rPr>
        <w:t xml:space="preserve">enfants, </w:t>
      </w:r>
      <w:r w:rsidR="000D64C3" w:rsidRPr="00FF65D6">
        <w:rPr>
          <w:lang w:val="fr-FR"/>
        </w:rPr>
        <w:br/>
      </w:r>
      <w:r w:rsidRPr="00FF65D6">
        <w:rPr>
          <w:lang w:val="fr-FR"/>
        </w:rPr>
        <w:t>la prostitution des enfants et la pornographie mettant en scène des enfants, attendu en 2007</w:t>
      </w:r>
      <w:r w:rsidR="00AD5A16" w:rsidRPr="00FF65D6">
        <w:rPr>
          <w:rStyle w:val="Appelnotedebasdep"/>
          <w:b w:val="0"/>
          <w:sz w:val="20"/>
          <w:vertAlign w:val="baseline"/>
        </w:rPr>
        <w:footnoteReference w:customMarkFollows="1" w:id="2"/>
        <w:t>*</w:t>
      </w:r>
    </w:p>
    <w:p w14:paraId="4AFB24A1" w14:textId="77777777" w:rsidR="005C5C6A" w:rsidRPr="00FF65D6" w:rsidRDefault="005C5C6A" w:rsidP="001D2A83">
      <w:pPr>
        <w:pStyle w:val="SingleTxtG"/>
        <w:jc w:val="right"/>
        <w:rPr>
          <w:lang w:val="fr-FR"/>
        </w:rPr>
      </w:pPr>
      <w:r w:rsidRPr="00FF65D6">
        <w:rPr>
          <w:lang w:val="fr-FR"/>
        </w:rPr>
        <w:t>[Date de réception</w:t>
      </w:r>
      <w:r w:rsidR="003B7618" w:rsidRPr="00FF65D6">
        <w:rPr>
          <w:lang w:val="fr-FR"/>
        </w:rPr>
        <w:t> :</w:t>
      </w:r>
      <w:r w:rsidRPr="00FF65D6">
        <w:rPr>
          <w:lang w:val="fr-FR"/>
        </w:rPr>
        <w:t xml:space="preserve"> 24 janvier 2017]</w:t>
      </w:r>
    </w:p>
    <w:p w14:paraId="1FB9196B" w14:textId="77777777" w:rsidR="005C5C6A" w:rsidRPr="00FF65D6" w:rsidRDefault="005C5C6A" w:rsidP="00F34341">
      <w:pPr>
        <w:spacing w:after="120"/>
        <w:rPr>
          <w:sz w:val="28"/>
          <w:lang w:val="fr-FR"/>
        </w:rPr>
      </w:pPr>
      <w:r w:rsidRPr="00FF65D6">
        <w:rPr>
          <w:lang w:val="fr-FR"/>
        </w:rPr>
        <w:br w:type="page"/>
      </w:r>
      <w:bookmarkStart w:id="1" w:name="_Toc472961703"/>
      <w:r w:rsidR="00F34341" w:rsidRPr="00FF65D6">
        <w:rPr>
          <w:sz w:val="28"/>
          <w:lang w:val="fr-FR"/>
        </w:rPr>
        <w:lastRenderedPageBreak/>
        <w:t>Table des matières</w:t>
      </w:r>
    </w:p>
    <w:p w14:paraId="1B10EB0D" w14:textId="77777777" w:rsidR="00F34341" w:rsidRPr="00FF65D6" w:rsidRDefault="00F34341" w:rsidP="00F34341">
      <w:pPr>
        <w:tabs>
          <w:tab w:val="right" w:pos="9638"/>
        </w:tabs>
        <w:spacing w:after="120"/>
        <w:ind w:left="283"/>
        <w:rPr>
          <w:i/>
          <w:webHidden/>
          <w:sz w:val="18"/>
        </w:rPr>
      </w:pPr>
      <w:r w:rsidRPr="00FF65D6">
        <w:rPr>
          <w:i/>
          <w:webHidden/>
          <w:sz w:val="18"/>
        </w:rPr>
        <w:tab/>
        <w:t>Page</w:t>
      </w:r>
    </w:p>
    <w:p w14:paraId="731608A4" w14:textId="77777777" w:rsidR="00F34341" w:rsidRPr="00FF65D6" w:rsidRDefault="00F34341" w:rsidP="00F34341">
      <w:pPr>
        <w:tabs>
          <w:tab w:val="right" w:pos="850"/>
          <w:tab w:val="right" w:leader="dot" w:pos="8787"/>
          <w:tab w:val="right" w:pos="9638"/>
        </w:tabs>
        <w:spacing w:after="120"/>
        <w:ind w:left="1134" w:hanging="1134"/>
        <w:rPr>
          <w:webHidden/>
        </w:rPr>
      </w:pPr>
      <w:r w:rsidRPr="00FF65D6">
        <w:rPr>
          <w:webHidden/>
        </w:rPr>
        <w:tab/>
        <w:t>I</w:t>
      </w:r>
      <w:r w:rsidR="005C1799" w:rsidRPr="005C1799">
        <w:rPr>
          <w:webHidden/>
        </w:rPr>
        <w:t>.</w:t>
      </w:r>
      <w:r w:rsidRPr="00FF65D6">
        <w:rPr>
          <w:webHidden/>
        </w:rPr>
        <w:tab/>
      </w:r>
      <w:r w:rsidR="0055735A" w:rsidRPr="00FF65D6">
        <w:rPr>
          <w:lang w:val="fr-FR"/>
        </w:rPr>
        <w:t>Introduction</w:t>
      </w:r>
      <w:r w:rsidRPr="00FF65D6">
        <w:rPr>
          <w:webHidden/>
        </w:rPr>
        <w:tab/>
      </w:r>
      <w:r w:rsidRPr="00FF65D6">
        <w:rPr>
          <w:webHidden/>
        </w:rPr>
        <w:tab/>
      </w:r>
      <w:r w:rsidR="0055735A" w:rsidRPr="00FF65D6">
        <w:rPr>
          <w:webHidden/>
        </w:rPr>
        <w:t>3</w:t>
      </w:r>
    </w:p>
    <w:p w14:paraId="2F568140" w14:textId="77777777" w:rsidR="00F34341" w:rsidRPr="00FF65D6" w:rsidRDefault="00F34341" w:rsidP="00F34341">
      <w:pPr>
        <w:tabs>
          <w:tab w:val="right" w:pos="850"/>
          <w:tab w:val="right" w:leader="dot" w:pos="8787"/>
          <w:tab w:val="right" w:pos="9638"/>
        </w:tabs>
        <w:spacing w:after="120"/>
        <w:ind w:left="1134" w:hanging="1134"/>
        <w:rPr>
          <w:webHidden/>
        </w:rPr>
      </w:pPr>
      <w:r w:rsidRPr="00FF65D6">
        <w:rPr>
          <w:webHidden/>
        </w:rPr>
        <w:tab/>
        <w:t>II</w:t>
      </w:r>
      <w:r w:rsidR="005C1799" w:rsidRPr="005C1799">
        <w:rPr>
          <w:webHidden/>
        </w:rPr>
        <w:t>.</w:t>
      </w:r>
      <w:r w:rsidRPr="00FF65D6">
        <w:rPr>
          <w:webHidden/>
        </w:rPr>
        <w:tab/>
      </w:r>
      <w:r w:rsidR="0055735A" w:rsidRPr="00FF65D6">
        <w:rPr>
          <w:lang w:val="fr-FR"/>
        </w:rPr>
        <w:t>Mesures d’application générales</w:t>
      </w:r>
      <w:r w:rsidRPr="00FF65D6">
        <w:rPr>
          <w:webHidden/>
        </w:rPr>
        <w:tab/>
      </w:r>
      <w:r w:rsidRPr="00FF65D6">
        <w:rPr>
          <w:webHidden/>
        </w:rPr>
        <w:tab/>
      </w:r>
      <w:r w:rsidR="0055735A" w:rsidRPr="00FF65D6">
        <w:rPr>
          <w:webHidden/>
        </w:rPr>
        <w:t>3</w:t>
      </w:r>
    </w:p>
    <w:p w14:paraId="24A94FE4" w14:textId="77777777" w:rsidR="00F34341" w:rsidRPr="00FF65D6" w:rsidRDefault="00F34341" w:rsidP="00F34341">
      <w:pPr>
        <w:tabs>
          <w:tab w:val="right" w:leader="dot" w:pos="8787"/>
          <w:tab w:val="right" w:pos="9638"/>
        </w:tabs>
        <w:spacing w:after="120"/>
        <w:ind w:left="1559" w:hanging="425"/>
        <w:rPr>
          <w:webHidden/>
        </w:rPr>
      </w:pPr>
      <w:r w:rsidRPr="00FF65D6">
        <w:rPr>
          <w:webHidden/>
        </w:rPr>
        <w:t>A</w:t>
      </w:r>
      <w:r w:rsidR="005C1799" w:rsidRPr="005C1799">
        <w:rPr>
          <w:webHidden/>
        </w:rPr>
        <w:t>.</w:t>
      </w:r>
      <w:r w:rsidRPr="00FF65D6">
        <w:rPr>
          <w:webHidden/>
        </w:rPr>
        <w:tab/>
      </w:r>
      <w:r w:rsidR="0055735A" w:rsidRPr="00FF65D6">
        <w:rPr>
          <w:lang w:val="fr-FR"/>
        </w:rPr>
        <w:t>Place du Protocole facultatif dans l’ordre juridique interne</w:t>
      </w:r>
      <w:r w:rsidRPr="00FF65D6">
        <w:rPr>
          <w:webHidden/>
        </w:rPr>
        <w:tab/>
      </w:r>
      <w:r w:rsidRPr="00FF65D6">
        <w:rPr>
          <w:webHidden/>
        </w:rPr>
        <w:tab/>
      </w:r>
      <w:r w:rsidR="0055735A" w:rsidRPr="00FF65D6">
        <w:rPr>
          <w:webHidden/>
        </w:rPr>
        <w:t>3</w:t>
      </w:r>
    </w:p>
    <w:p w14:paraId="0E6A96ED" w14:textId="77777777" w:rsidR="00F34341" w:rsidRPr="00FF65D6" w:rsidRDefault="00F34341" w:rsidP="00F34341">
      <w:pPr>
        <w:tabs>
          <w:tab w:val="right" w:leader="dot" w:pos="8787"/>
          <w:tab w:val="right" w:pos="9638"/>
        </w:tabs>
        <w:spacing w:after="120"/>
        <w:ind w:left="1559" w:hanging="425"/>
        <w:rPr>
          <w:webHidden/>
        </w:rPr>
      </w:pPr>
      <w:r w:rsidRPr="00FF65D6">
        <w:rPr>
          <w:webHidden/>
        </w:rPr>
        <w:t>B</w:t>
      </w:r>
      <w:r w:rsidR="005C1799" w:rsidRPr="005C1799">
        <w:rPr>
          <w:webHidden/>
        </w:rPr>
        <w:t>.</w:t>
      </w:r>
      <w:r w:rsidRPr="00FF65D6">
        <w:rPr>
          <w:webHidden/>
        </w:rPr>
        <w:tab/>
      </w:r>
      <w:r w:rsidR="0055735A" w:rsidRPr="00FF65D6">
        <w:rPr>
          <w:lang w:val="fr-FR"/>
        </w:rPr>
        <w:t>Cadre institutionnel et plans d’action nationaux</w:t>
      </w:r>
      <w:r w:rsidRPr="00FF65D6">
        <w:rPr>
          <w:webHidden/>
        </w:rPr>
        <w:tab/>
      </w:r>
      <w:r w:rsidRPr="00FF65D6">
        <w:rPr>
          <w:webHidden/>
        </w:rPr>
        <w:tab/>
      </w:r>
      <w:r w:rsidR="0055735A" w:rsidRPr="00FF65D6">
        <w:rPr>
          <w:webHidden/>
        </w:rPr>
        <w:t>4</w:t>
      </w:r>
    </w:p>
    <w:p w14:paraId="2A2CC54F" w14:textId="77777777" w:rsidR="00F34341" w:rsidRPr="00FF65D6" w:rsidRDefault="00F34341" w:rsidP="00F34341">
      <w:pPr>
        <w:tabs>
          <w:tab w:val="right" w:leader="dot" w:pos="8787"/>
          <w:tab w:val="right" w:pos="9638"/>
        </w:tabs>
        <w:spacing w:after="120"/>
        <w:ind w:left="1559" w:hanging="425"/>
        <w:rPr>
          <w:webHidden/>
        </w:rPr>
      </w:pPr>
      <w:r w:rsidRPr="00FF65D6">
        <w:rPr>
          <w:webHidden/>
        </w:rPr>
        <w:t>C</w:t>
      </w:r>
      <w:r w:rsidR="005C1799" w:rsidRPr="005C1799">
        <w:rPr>
          <w:webHidden/>
        </w:rPr>
        <w:t>.</w:t>
      </w:r>
      <w:r w:rsidRPr="00FF65D6">
        <w:rPr>
          <w:webHidden/>
        </w:rPr>
        <w:tab/>
      </w:r>
      <w:r w:rsidR="0055735A" w:rsidRPr="00FF65D6">
        <w:rPr>
          <w:lang w:val="fr-FR"/>
        </w:rPr>
        <w:t>Institution nationale indépendante des droits de l’homme</w:t>
      </w:r>
      <w:r w:rsidRPr="00FF65D6">
        <w:rPr>
          <w:webHidden/>
        </w:rPr>
        <w:tab/>
      </w:r>
      <w:r w:rsidRPr="00FF65D6">
        <w:rPr>
          <w:webHidden/>
        </w:rPr>
        <w:tab/>
      </w:r>
      <w:r w:rsidR="0055735A" w:rsidRPr="00FF65D6">
        <w:rPr>
          <w:webHidden/>
        </w:rPr>
        <w:t>5</w:t>
      </w:r>
    </w:p>
    <w:p w14:paraId="129A3EEB" w14:textId="77777777" w:rsidR="00F34341" w:rsidRPr="00FF65D6" w:rsidRDefault="00F34341" w:rsidP="00F34341">
      <w:pPr>
        <w:tabs>
          <w:tab w:val="right" w:leader="dot" w:pos="8787"/>
          <w:tab w:val="right" w:pos="9638"/>
        </w:tabs>
        <w:spacing w:after="120"/>
        <w:ind w:left="1559" w:hanging="425"/>
        <w:rPr>
          <w:webHidden/>
        </w:rPr>
      </w:pPr>
      <w:r w:rsidRPr="00FF65D6">
        <w:rPr>
          <w:webHidden/>
        </w:rPr>
        <w:t>D</w:t>
      </w:r>
      <w:r w:rsidR="005C1799" w:rsidRPr="005C1799">
        <w:rPr>
          <w:webHidden/>
        </w:rPr>
        <w:t>.</w:t>
      </w:r>
      <w:r w:rsidRPr="00FF65D6">
        <w:rPr>
          <w:webHidden/>
        </w:rPr>
        <w:tab/>
      </w:r>
      <w:r w:rsidR="0055735A" w:rsidRPr="00FF65D6">
        <w:rPr>
          <w:lang w:val="fr-FR"/>
        </w:rPr>
        <w:t>Égalité et non-discrimination</w:t>
      </w:r>
      <w:r w:rsidRPr="00FF65D6">
        <w:rPr>
          <w:webHidden/>
        </w:rPr>
        <w:tab/>
      </w:r>
      <w:r w:rsidRPr="00FF65D6">
        <w:rPr>
          <w:webHidden/>
        </w:rPr>
        <w:tab/>
      </w:r>
      <w:r w:rsidR="0055735A" w:rsidRPr="00FF65D6">
        <w:rPr>
          <w:webHidden/>
        </w:rPr>
        <w:t>6</w:t>
      </w:r>
    </w:p>
    <w:p w14:paraId="426C8155" w14:textId="77777777" w:rsidR="00F34341" w:rsidRPr="00FF65D6" w:rsidRDefault="00F34341" w:rsidP="00F34341">
      <w:pPr>
        <w:tabs>
          <w:tab w:val="right" w:leader="dot" w:pos="8787"/>
          <w:tab w:val="right" w:pos="9638"/>
        </w:tabs>
        <w:spacing w:after="120"/>
        <w:ind w:left="1559" w:hanging="425"/>
        <w:rPr>
          <w:webHidden/>
        </w:rPr>
      </w:pPr>
      <w:r w:rsidRPr="00FF65D6">
        <w:rPr>
          <w:webHidden/>
        </w:rPr>
        <w:t>E</w:t>
      </w:r>
      <w:r w:rsidR="005C1799" w:rsidRPr="005C1799">
        <w:rPr>
          <w:webHidden/>
        </w:rPr>
        <w:t>.</w:t>
      </w:r>
      <w:r w:rsidRPr="00FF65D6">
        <w:rPr>
          <w:webHidden/>
        </w:rPr>
        <w:tab/>
      </w:r>
      <w:r w:rsidR="0055735A" w:rsidRPr="00FF65D6">
        <w:rPr>
          <w:lang w:val="fr-FR"/>
        </w:rPr>
        <w:t>Diffusion de données et formation</w:t>
      </w:r>
      <w:r w:rsidRPr="00FF65D6">
        <w:rPr>
          <w:webHidden/>
        </w:rPr>
        <w:tab/>
      </w:r>
      <w:r w:rsidRPr="00FF65D6">
        <w:rPr>
          <w:webHidden/>
        </w:rPr>
        <w:tab/>
      </w:r>
      <w:r w:rsidR="0055735A" w:rsidRPr="00FF65D6">
        <w:rPr>
          <w:webHidden/>
        </w:rPr>
        <w:t>7</w:t>
      </w:r>
    </w:p>
    <w:p w14:paraId="57AA6A0D" w14:textId="77777777" w:rsidR="00F34341" w:rsidRPr="00FF65D6" w:rsidRDefault="00F34341" w:rsidP="00F34341">
      <w:pPr>
        <w:tabs>
          <w:tab w:val="right" w:pos="850"/>
          <w:tab w:val="right" w:leader="dot" w:pos="8787"/>
          <w:tab w:val="right" w:pos="9638"/>
        </w:tabs>
        <w:spacing w:after="120"/>
        <w:ind w:left="1134" w:hanging="1134"/>
        <w:rPr>
          <w:webHidden/>
        </w:rPr>
      </w:pPr>
      <w:r w:rsidRPr="00FF65D6">
        <w:rPr>
          <w:webHidden/>
        </w:rPr>
        <w:tab/>
        <w:t>III</w:t>
      </w:r>
      <w:r w:rsidR="005C1799" w:rsidRPr="005C1799">
        <w:rPr>
          <w:webHidden/>
        </w:rPr>
        <w:t>.</w:t>
      </w:r>
      <w:r w:rsidRPr="00FF65D6">
        <w:rPr>
          <w:webHidden/>
        </w:rPr>
        <w:tab/>
      </w:r>
      <w:r w:rsidR="0055735A" w:rsidRPr="00FF65D6">
        <w:rPr>
          <w:lang w:val="fr-FR"/>
        </w:rPr>
        <w:t>Situation des droits de l’homme dans les territoires occupés de la Géorgie</w:t>
      </w:r>
      <w:r w:rsidRPr="00FF65D6">
        <w:rPr>
          <w:webHidden/>
        </w:rPr>
        <w:tab/>
      </w:r>
      <w:r w:rsidRPr="00FF65D6">
        <w:rPr>
          <w:webHidden/>
        </w:rPr>
        <w:tab/>
      </w:r>
      <w:r w:rsidR="0055735A" w:rsidRPr="00FF65D6">
        <w:rPr>
          <w:webHidden/>
        </w:rPr>
        <w:t>8</w:t>
      </w:r>
    </w:p>
    <w:p w14:paraId="3FB35C33" w14:textId="77777777" w:rsidR="00F34341" w:rsidRPr="00FF65D6" w:rsidRDefault="00F34341" w:rsidP="00F34341">
      <w:pPr>
        <w:tabs>
          <w:tab w:val="right" w:pos="850"/>
          <w:tab w:val="right" w:leader="dot" w:pos="8787"/>
          <w:tab w:val="right" w:pos="9638"/>
        </w:tabs>
        <w:spacing w:after="120"/>
        <w:ind w:left="1134" w:hanging="1134"/>
        <w:rPr>
          <w:webHidden/>
        </w:rPr>
      </w:pPr>
      <w:r w:rsidRPr="00FF65D6">
        <w:rPr>
          <w:webHidden/>
        </w:rPr>
        <w:tab/>
        <w:t>IV</w:t>
      </w:r>
      <w:r w:rsidR="005C1799" w:rsidRPr="005C1799">
        <w:rPr>
          <w:webHidden/>
        </w:rPr>
        <w:t>.</w:t>
      </w:r>
      <w:r w:rsidRPr="00FF65D6">
        <w:rPr>
          <w:webHidden/>
        </w:rPr>
        <w:tab/>
      </w:r>
      <w:r w:rsidR="0055735A" w:rsidRPr="00FF65D6">
        <w:rPr>
          <w:lang w:val="fr-FR"/>
        </w:rPr>
        <w:t xml:space="preserve">Prévention de la vente d’enfants, de la prostitution des enfants </w:t>
      </w:r>
      <w:r w:rsidR="007868EB" w:rsidRPr="00FF65D6">
        <w:rPr>
          <w:lang w:val="fr-FR"/>
        </w:rPr>
        <w:br/>
      </w:r>
      <w:r w:rsidR="0055735A" w:rsidRPr="00FF65D6">
        <w:rPr>
          <w:lang w:val="fr-FR"/>
        </w:rPr>
        <w:t>et de la pornographie mettant en scène des enfants</w:t>
      </w:r>
      <w:r w:rsidRPr="00FF65D6">
        <w:rPr>
          <w:webHidden/>
        </w:rPr>
        <w:tab/>
      </w:r>
      <w:r w:rsidRPr="00FF65D6">
        <w:rPr>
          <w:webHidden/>
        </w:rPr>
        <w:tab/>
      </w:r>
      <w:r w:rsidR="007868EB" w:rsidRPr="00FF65D6">
        <w:rPr>
          <w:webHidden/>
        </w:rPr>
        <w:t>11</w:t>
      </w:r>
    </w:p>
    <w:p w14:paraId="5EE4E472" w14:textId="77777777" w:rsidR="00F34341" w:rsidRPr="00FF65D6" w:rsidRDefault="00F34341" w:rsidP="00F34341">
      <w:pPr>
        <w:tabs>
          <w:tab w:val="right" w:leader="dot" w:pos="8787"/>
          <w:tab w:val="right" w:pos="9638"/>
        </w:tabs>
        <w:spacing w:after="120"/>
        <w:ind w:left="1559" w:hanging="425"/>
        <w:rPr>
          <w:webHidden/>
        </w:rPr>
      </w:pPr>
      <w:r w:rsidRPr="00FF65D6">
        <w:rPr>
          <w:webHidden/>
        </w:rPr>
        <w:t>A</w:t>
      </w:r>
      <w:r w:rsidR="005C1799" w:rsidRPr="005C1799">
        <w:rPr>
          <w:webHidden/>
        </w:rPr>
        <w:t>.</w:t>
      </w:r>
      <w:r w:rsidRPr="00FF65D6">
        <w:rPr>
          <w:webHidden/>
        </w:rPr>
        <w:tab/>
      </w:r>
      <w:r w:rsidR="007868EB" w:rsidRPr="00FF65D6">
        <w:rPr>
          <w:lang w:val="fr-FR"/>
        </w:rPr>
        <w:t>Sensibilisation</w:t>
      </w:r>
      <w:r w:rsidRPr="00FF65D6">
        <w:rPr>
          <w:webHidden/>
        </w:rPr>
        <w:tab/>
      </w:r>
      <w:r w:rsidRPr="00FF65D6">
        <w:rPr>
          <w:webHidden/>
        </w:rPr>
        <w:tab/>
      </w:r>
      <w:r w:rsidR="007868EB" w:rsidRPr="00FF65D6">
        <w:rPr>
          <w:webHidden/>
        </w:rPr>
        <w:t>11</w:t>
      </w:r>
    </w:p>
    <w:p w14:paraId="0E1CD40A" w14:textId="77777777" w:rsidR="00F34341" w:rsidRPr="00FF65D6" w:rsidRDefault="00F34341" w:rsidP="00F34341">
      <w:pPr>
        <w:tabs>
          <w:tab w:val="right" w:leader="dot" w:pos="8787"/>
          <w:tab w:val="right" w:pos="9638"/>
        </w:tabs>
        <w:spacing w:after="120"/>
        <w:ind w:left="1559" w:hanging="425"/>
        <w:rPr>
          <w:webHidden/>
        </w:rPr>
      </w:pPr>
      <w:r w:rsidRPr="00FF65D6">
        <w:rPr>
          <w:webHidden/>
        </w:rPr>
        <w:t>B</w:t>
      </w:r>
      <w:r w:rsidR="005C1799" w:rsidRPr="005C1799">
        <w:rPr>
          <w:webHidden/>
        </w:rPr>
        <w:t>.</w:t>
      </w:r>
      <w:r w:rsidRPr="00FF65D6">
        <w:rPr>
          <w:webHidden/>
        </w:rPr>
        <w:tab/>
      </w:r>
      <w:r w:rsidR="007868EB" w:rsidRPr="00FF65D6">
        <w:rPr>
          <w:lang w:val="fr-FR"/>
        </w:rPr>
        <w:t>Éducation inclusive</w:t>
      </w:r>
      <w:r w:rsidRPr="00FF65D6">
        <w:rPr>
          <w:webHidden/>
        </w:rPr>
        <w:tab/>
      </w:r>
      <w:r w:rsidRPr="00FF65D6">
        <w:rPr>
          <w:webHidden/>
        </w:rPr>
        <w:tab/>
      </w:r>
      <w:r w:rsidR="007868EB" w:rsidRPr="00FF65D6">
        <w:rPr>
          <w:webHidden/>
        </w:rPr>
        <w:t>14</w:t>
      </w:r>
    </w:p>
    <w:p w14:paraId="02FF4952" w14:textId="77777777" w:rsidR="00F34341" w:rsidRPr="00FF65D6" w:rsidRDefault="00F34341" w:rsidP="00F34341">
      <w:pPr>
        <w:tabs>
          <w:tab w:val="right" w:leader="dot" w:pos="8787"/>
          <w:tab w:val="right" w:pos="9638"/>
        </w:tabs>
        <w:spacing w:after="120"/>
        <w:ind w:left="1559" w:hanging="425"/>
        <w:rPr>
          <w:webHidden/>
        </w:rPr>
      </w:pPr>
      <w:r w:rsidRPr="00FF65D6">
        <w:rPr>
          <w:webHidden/>
        </w:rPr>
        <w:t>C</w:t>
      </w:r>
      <w:r w:rsidR="005C1799" w:rsidRPr="005C1799">
        <w:rPr>
          <w:webHidden/>
        </w:rPr>
        <w:t>.</w:t>
      </w:r>
      <w:r w:rsidRPr="00FF65D6">
        <w:rPr>
          <w:webHidden/>
        </w:rPr>
        <w:tab/>
      </w:r>
      <w:r w:rsidR="007868EB" w:rsidRPr="00FF65D6">
        <w:rPr>
          <w:lang w:val="fr-FR"/>
        </w:rPr>
        <w:t>Inclusion et intégration sociales</w:t>
      </w:r>
      <w:r w:rsidRPr="00FF65D6">
        <w:rPr>
          <w:webHidden/>
        </w:rPr>
        <w:tab/>
      </w:r>
      <w:r w:rsidRPr="00FF65D6">
        <w:rPr>
          <w:webHidden/>
        </w:rPr>
        <w:tab/>
      </w:r>
      <w:r w:rsidR="007868EB" w:rsidRPr="00FF65D6">
        <w:rPr>
          <w:webHidden/>
        </w:rPr>
        <w:t>15</w:t>
      </w:r>
    </w:p>
    <w:p w14:paraId="16AC7F6C" w14:textId="77777777" w:rsidR="00F34341" w:rsidRPr="00FF65D6" w:rsidRDefault="00F34341" w:rsidP="00F34341">
      <w:pPr>
        <w:tabs>
          <w:tab w:val="right" w:pos="850"/>
          <w:tab w:val="right" w:leader="dot" w:pos="8787"/>
          <w:tab w:val="right" w:pos="9638"/>
        </w:tabs>
        <w:spacing w:after="120"/>
        <w:ind w:left="1134" w:hanging="1134"/>
        <w:rPr>
          <w:webHidden/>
        </w:rPr>
      </w:pPr>
      <w:r w:rsidRPr="00FF65D6">
        <w:rPr>
          <w:webHidden/>
        </w:rPr>
        <w:tab/>
        <w:t>V</w:t>
      </w:r>
      <w:r w:rsidR="005C1799" w:rsidRPr="005C1799">
        <w:rPr>
          <w:webHidden/>
        </w:rPr>
        <w:t>.</w:t>
      </w:r>
      <w:r w:rsidRPr="00FF65D6">
        <w:rPr>
          <w:webHidden/>
        </w:rPr>
        <w:tab/>
      </w:r>
      <w:r w:rsidR="007868EB" w:rsidRPr="00FF65D6">
        <w:rPr>
          <w:lang w:val="fr-FR"/>
        </w:rPr>
        <w:t xml:space="preserve">Interdiction de la vente d’enfants, de la prostitution des enfants et de la pornographie </w:t>
      </w:r>
      <w:r w:rsidR="007868EB" w:rsidRPr="00FF65D6">
        <w:rPr>
          <w:lang w:val="fr-FR"/>
        </w:rPr>
        <w:br/>
        <w:t>mettant en scène des enfants et questions connexes</w:t>
      </w:r>
      <w:r w:rsidRPr="00FF65D6">
        <w:rPr>
          <w:webHidden/>
        </w:rPr>
        <w:tab/>
      </w:r>
      <w:r w:rsidRPr="00FF65D6">
        <w:rPr>
          <w:webHidden/>
        </w:rPr>
        <w:tab/>
      </w:r>
      <w:r w:rsidR="007868EB" w:rsidRPr="00FF65D6">
        <w:rPr>
          <w:webHidden/>
        </w:rPr>
        <w:t>17</w:t>
      </w:r>
    </w:p>
    <w:p w14:paraId="72A1014A" w14:textId="77777777" w:rsidR="00F34341" w:rsidRPr="00FF65D6" w:rsidRDefault="00F34341" w:rsidP="00F34341">
      <w:pPr>
        <w:tabs>
          <w:tab w:val="right" w:leader="dot" w:pos="8787"/>
          <w:tab w:val="right" w:pos="9638"/>
        </w:tabs>
        <w:spacing w:after="120"/>
        <w:ind w:left="1559" w:hanging="425"/>
        <w:rPr>
          <w:webHidden/>
        </w:rPr>
      </w:pPr>
      <w:r w:rsidRPr="00FF65D6">
        <w:rPr>
          <w:webHidden/>
        </w:rPr>
        <w:t>A</w:t>
      </w:r>
      <w:r w:rsidR="005C1799" w:rsidRPr="005C1799">
        <w:rPr>
          <w:webHidden/>
        </w:rPr>
        <w:t>.</w:t>
      </w:r>
      <w:r w:rsidRPr="00FF65D6">
        <w:rPr>
          <w:webHidden/>
        </w:rPr>
        <w:tab/>
      </w:r>
      <w:r w:rsidR="007868EB" w:rsidRPr="00FF65D6">
        <w:rPr>
          <w:lang w:val="fr-FR"/>
        </w:rPr>
        <w:t>Cadre législatif</w:t>
      </w:r>
      <w:r w:rsidRPr="00FF65D6">
        <w:rPr>
          <w:webHidden/>
        </w:rPr>
        <w:tab/>
      </w:r>
      <w:r w:rsidRPr="00FF65D6">
        <w:rPr>
          <w:webHidden/>
        </w:rPr>
        <w:tab/>
      </w:r>
      <w:r w:rsidR="007868EB" w:rsidRPr="00FF65D6">
        <w:rPr>
          <w:webHidden/>
        </w:rPr>
        <w:t>17</w:t>
      </w:r>
    </w:p>
    <w:p w14:paraId="25BB676D" w14:textId="77777777" w:rsidR="00F34341" w:rsidRPr="00FF65D6" w:rsidRDefault="00F34341" w:rsidP="00F34341">
      <w:pPr>
        <w:tabs>
          <w:tab w:val="right" w:leader="dot" w:pos="8787"/>
          <w:tab w:val="right" w:pos="9638"/>
        </w:tabs>
        <w:spacing w:after="120"/>
        <w:ind w:left="1559" w:hanging="425"/>
        <w:rPr>
          <w:webHidden/>
        </w:rPr>
      </w:pPr>
      <w:r w:rsidRPr="00FF65D6">
        <w:rPr>
          <w:webHidden/>
        </w:rPr>
        <w:t>B</w:t>
      </w:r>
      <w:r w:rsidR="005C1799" w:rsidRPr="005C1799">
        <w:rPr>
          <w:webHidden/>
        </w:rPr>
        <w:t>.</w:t>
      </w:r>
      <w:r w:rsidRPr="00FF65D6">
        <w:rPr>
          <w:webHidden/>
        </w:rPr>
        <w:tab/>
      </w:r>
      <w:r w:rsidR="007868EB" w:rsidRPr="00FF65D6">
        <w:rPr>
          <w:lang w:val="fr-FR"/>
        </w:rPr>
        <w:t>Protection des mineurs nés par fécondation extracorporelle (gestation pour autrui)</w:t>
      </w:r>
      <w:r w:rsidRPr="00FF65D6">
        <w:rPr>
          <w:webHidden/>
        </w:rPr>
        <w:tab/>
      </w:r>
      <w:r w:rsidRPr="00FF65D6">
        <w:rPr>
          <w:webHidden/>
        </w:rPr>
        <w:tab/>
      </w:r>
      <w:r w:rsidR="007868EB" w:rsidRPr="00FF65D6">
        <w:rPr>
          <w:webHidden/>
        </w:rPr>
        <w:t>21</w:t>
      </w:r>
    </w:p>
    <w:p w14:paraId="217B77AC" w14:textId="77777777" w:rsidR="00F34341" w:rsidRPr="00FF65D6" w:rsidRDefault="00F34341" w:rsidP="00F34341">
      <w:pPr>
        <w:tabs>
          <w:tab w:val="right" w:leader="dot" w:pos="8787"/>
          <w:tab w:val="right" w:pos="9638"/>
        </w:tabs>
        <w:spacing w:after="120"/>
        <w:ind w:left="1559" w:hanging="425"/>
        <w:rPr>
          <w:webHidden/>
        </w:rPr>
      </w:pPr>
      <w:r w:rsidRPr="00FF65D6">
        <w:rPr>
          <w:webHidden/>
        </w:rPr>
        <w:t>C</w:t>
      </w:r>
      <w:r w:rsidR="005C1799" w:rsidRPr="005C1799">
        <w:rPr>
          <w:webHidden/>
        </w:rPr>
        <w:t>.</w:t>
      </w:r>
      <w:r w:rsidRPr="00FF65D6">
        <w:rPr>
          <w:webHidden/>
        </w:rPr>
        <w:tab/>
      </w:r>
      <w:r w:rsidR="007868EB" w:rsidRPr="00FF65D6">
        <w:rPr>
          <w:lang w:val="fr-FR"/>
        </w:rPr>
        <w:t>Enfants vivant ou travaillant dans la rue</w:t>
      </w:r>
      <w:r w:rsidRPr="00FF65D6">
        <w:rPr>
          <w:webHidden/>
        </w:rPr>
        <w:tab/>
      </w:r>
      <w:r w:rsidRPr="00FF65D6">
        <w:rPr>
          <w:webHidden/>
        </w:rPr>
        <w:tab/>
      </w:r>
      <w:r w:rsidR="007868EB" w:rsidRPr="00FF65D6">
        <w:rPr>
          <w:webHidden/>
        </w:rPr>
        <w:t>22</w:t>
      </w:r>
    </w:p>
    <w:p w14:paraId="18AAC85F" w14:textId="77777777" w:rsidR="00F34341" w:rsidRPr="00FF65D6" w:rsidRDefault="00F34341" w:rsidP="00F34341">
      <w:pPr>
        <w:tabs>
          <w:tab w:val="right" w:leader="dot" w:pos="8787"/>
          <w:tab w:val="right" w:pos="9638"/>
        </w:tabs>
        <w:spacing w:after="120"/>
        <w:ind w:left="1559" w:hanging="425"/>
        <w:rPr>
          <w:webHidden/>
        </w:rPr>
      </w:pPr>
      <w:r w:rsidRPr="00FF65D6">
        <w:rPr>
          <w:webHidden/>
        </w:rPr>
        <w:t>D</w:t>
      </w:r>
      <w:r w:rsidR="005C1799" w:rsidRPr="005C1799">
        <w:rPr>
          <w:webHidden/>
        </w:rPr>
        <w:t>.</w:t>
      </w:r>
      <w:r w:rsidRPr="00FF65D6">
        <w:rPr>
          <w:webHidden/>
        </w:rPr>
        <w:tab/>
      </w:r>
      <w:r w:rsidR="007868EB" w:rsidRPr="00FF65D6">
        <w:rPr>
          <w:lang w:val="fr-FR"/>
        </w:rPr>
        <w:t>Exercice de la compétence en matière pénale</w:t>
      </w:r>
      <w:r w:rsidRPr="00FF65D6">
        <w:rPr>
          <w:webHidden/>
        </w:rPr>
        <w:tab/>
      </w:r>
      <w:r w:rsidRPr="00FF65D6">
        <w:rPr>
          <w:webHidden/>
        </w:rPr>
        <w:tab/>
      </w:r>
      <w:r w:rsidR="007868EB" w:rsidRPr="00FF65D6">
        <w:rPr>
          <w:webHidden/>
        </w:rPr>
        <w:t>22</w:t>
      </w:r>
    </w:p>
    <w:p w14:paraId="6AD5918B" w14:textId="77777777" w:rsidR="00F34341" w:rsidRPr="00FF65D6" w:rsidRDefault="00F34341" w:rsidP="00F34341">
      <w:pPr>
        <w:tabs>
          <w:tab w:val="right" w:leader="dot" w:pos="8787"/>
          <w:tab w:val="right" w:pos="9638"/>
        </w:tabs>
        <w:spacing w:after="120"/>
        <w:ind w:left="1559" w:hanging="425"/>
        <w:rPr>
          <w:webHidden/>
        </w:rPr>
      </w:pPr>
      <w:r w:rsidRPr="00FF65D6">
        <w:rPr>
          <w:webHidden/>
        </w:rPr>
        <w:t>E</w:t>
      </w:r>
      <w:r w:rsidR="005C1799" w:rsidRPr="005C1799">
        <w:rPr>
          <w:webHidden/>
        </w:rPr>
        <w:t>.</w:t>
      </w:r>
      <w:r w:rsidRPr="00FF65D6">
        <w:rPr>
          <w:webHidden/>
        </w:rPr>
        <w:tab/>
      </w:r>
      <w:r w:rsidR="007868EB" w:rsidRPr="00FF65D6">
        <w:rPr>
          <w:lang w:val="fr-FR"/>
        </w:rPr>
        <w:t>Prescription</w:t>
      </w:r>
      <w:r w:rsidRPr="00FF65D6">
        <w:rPr>
          <w:webHidden/>
        </w:rPr>
        <w:tab/>
      </w:r>
      <w:r w:rsidRPr="00FF65D6">
        <w:rPr>
          <w:webHidden/>
        </w:rPr>
        <w:tab/>
      </w:r>
      <w:r w:rsidR="007868EB" w:rsidRPr="00FF65D6">
        <w:rPr>
          <w:webHidden/>
        </w:rPr>
        <w:t>23</w:t>
      </w:r>
    </w:p>
    <w:p w14:paraId="1E3D61B5" w14:textId="77777777" w:rsidR="00F34341" w:rsidRPr="00FF65D6" w:rsidRDefault="00F34341" w:rsidP="00F34341">
      <w:pPr>
        <w:tabs>
          <w:tab w:val="right" w:leader="dot" w:pos="8787"/>
          <w:tab w:val="right" w:pos="9638"/>
        </w:tabs>
        <w:spacing w:after="120"/>
        <w:ind w:left="1559" w:hanging="425"/>
        <w:rPr>
          <w:webHidden/>
        </w:rPr>
      </w:pPr>
      <w:r w:rsidRPr="00FF65D6">
        <w:rPr>
          <w:webHidden/>
        </w:rPr>
        <w:t>F</w:t>
      </w:r>
      <w:r w:rsidR="005C1799" w:rsidRPr="005C1799">
        <w:rPr>
          <w:webHidden/>
        </w:rPr>
        <w:t>.</w:t>
      </w:r>
      <w:r w:rsidRPr="00FF65D6">
        <w:rPr>
          <w:webHidden/>
        </w:rPr>
        <w:tab/>
      </w:r>
      <w:r w:rsidR="007868EB" w:rsidRPr="00FF65D6">
        <w:rPr>
          <w:lang w:val="fr-FR"/>
        </w:rPr>
        <w:t>Extradition</w:t>
      </w:r>
      <w:r w:rsidRPr="00FF65D6">
        <w:rPr>
          <w:webHidden/>
        </w:rPr>
        <w:tab/>
      </w:r>
      <w:r w:rsidRPr="00FF65D6">
        <w:rPr>
          <w:webHidden/>
        </w:rPr>
        <w:tab/>
      </w:r>
      <w:r w:rsidR="007868EB" w:rsidRPr="00FF65D6">
        <w:rPr>
          <w:webHidden/>
        </w:rPr>
        <w:t>23</w:t>
      </w:r>
    </w:p>
    <w:p w14:paraId="33DA18EC" w14:textId="77777777" w:rsidR="00F34341" w:rsidRPr="00FF65D6" w:rsidRDefault="00F34341" w:rsidP="00F34341">
      <w:pPr>
        <w:tabs>
          <w:tab w:val="right" w:pos="850"/>
          <w:tab w:val="right" w:leader="dot" w:pos="8787"/>
          <w:tab w:val="right" w:pos="9638"/>
        </w:tabs>
        <w:spacing w:after="120"/>
        <w:ind w:left="1134" w:hanging="1134"/>
        <w:rPr>
          <w:webHidden/>
        </w:rPr>
      </w:pPr>
      <w:r w:rsidRPr="00FF65D6">
        <w:rPr>
          <w:webHidden/>
        </w:rPr>
        <w:tab/>
        <w:t>VI</w:t>
      </w:r>
      <w:r w:rsidR="005C1799" w:rsidRPr="005C1799">
        <w:rPr>
          <w:webHidden/>
        </w:rPr>
        <w:t>.</w:t>
      </w:r>
      <w:r w:rsidRPr="00FF65D6">
        <w:rPr>
          <w:webHidden/>
        </w:rPr>
        <w:tab/>
      </w:r>
      <w:r w:rsidR="007868EB" w:rsidRPr="00FF65D6">
        <w:rPr>
          <w:lang w:val="fr-FR"/>
        </w:rPr>
        <w:t>Protection des droits des enfants victimes</w:t>
      </w:r>
      <w:r w:rsidRPr="00FF65D6">
        <w:rPr>
          <w:webHidden/>
        </w:rPr>
        <w:tab/>
      </w:r>
      <w:r w:rsidRPr="00FF65D6">
        <w:rPr>
          <w:webHidden/>
        </w:rPr>
        <w:tab/>
      </w:r>
      <w:r w:rsidR="007868EB" w:rsidRPr="00FF65D6">
        <w:rPr>
          <w:webHidden/>
        </w:rPr>
        <w:t>24</w:t>
      </w:r>
    </w:p>
    <w:p w14:paraId="50FAEA1A" w14:textId="77777777" w:rsidR="00F34341" w:rsidRPr="00FF65D6" w:rsidRDefault="00F34341" w:rsidP="00F34341">
      <w:pPr>
        <w:tabs>
          <w:tab w:val="right" w:leader="dot" w:pos="8787"/>
          <w:tab w:val="right" w:pos="9638"/>
        </w:tabs>
        <w:spacing w:after="120"/>
        <w:ind w:left="1559" w:hanging="425"/>
        <w:rPr>
          <w:webHidden/>
        </w:rPr>
      </w:pPr>
      <w:r w:rsidRPr="00FF65D6">
        <w:rPr>
          <w:webHidden/>
        </w:rPr>
        <w:t>A</w:t>
      </w:r>
      <w:r w:rsidR="005C1799" w:rsidRPr="005C1799">
        <w:rPr>
          <w:webHidden/>
        </w:rPr>
        <w:t>.</w:t>
      </w:r>
      <w:r w:rsidRPr="00FF65D6">
        <w:rPr>
          <w:webHidden/>
        </w:rPr>
        <w:tab/>
      </w:r>
      <w:r w:rsidR="007868EB" w:rsidRPr="00FF65D6">
        <w:rPr>
          <w:lang w:val="fr-FR"/>
        </w:rPr>
        <w:t>Service d’aide juridictionnelle</w:t>
      </w:r>
      <w:r w:rsidRPr="00FF65D6">
        <w:rPr>
          <w:webHidden/>
        </w:rPr>
        <w:tab/>
      </w:r>
      <w:r w:rsidRPr="00FF65D6">
        <w:rPr>
          <w:webHidden/>
        </w:rPr>
        <w:tab/>
      </w:r>
      <w:r w:rsidR="007868EB" w:rsidRPr="00FF65D6">
        <w:rPr>
          <w:webHidden/>
        </w:rPr>
        <w:t>24</w:t>
      </w:r>
    </w:p>
    <w:p w14:paraId="44F3D584" w14:textId="77777777" w:rsidR="00F34341" w:rsidRPr="00FF65D6" w:rsidRDefault="00F34341" w:rsidP="00F34341">
      <w:pPr>
        <w:tabs>
          <w:tab w:val="right" w:leader="dot" w:pos="8787"/>
          <w:tab w:val="right" w:pos="9638"/>
        </w:tabs>
        <w:spacing w:after="120"/>
        <w:ind w:left="1559" w:hanging="425"/>
        <w:rPr>
          <w:webHidden/>
        </w:rPr>
      </w:pPr>
      <w:r w:rsidRPr="00FF65D6">
        <w:rPr>
          <w:webHidden/>
        </w:rPr>
        <w:t>B</w:t>
      </w:r>
      <w:r w:rsidR="005C1799" w:rsidRPr="005C1799">
        <w:rPr>
          <w:webHidden/>
        </w:rPr>
        <w:t>.</w:t>
      </w:r>
      <w:r w:rsidRPr="00FF65D6">
        <w:rPr>
          <w:webHidden/>
        </w:rPr>
        <w:tab/>
      </w:r>
      <w:r w:rsidR="007868EB" w:rsidRPr="00FF65D6">
        <w:rPr>
          <w:lang w:val="fr-FR"/>
        </w:rPr>
        <w:t>Appui aux victimes et réadaptation et réinsertion des victimes</w:t>
      </w:r>
      <w:r w:rsidRPr="00FF65D6">
        <w:rPr>
          <w:webHidden/>
        </w:rPr>
        <w:tab/>
      </w:r>
      <w:r w:rsidRPr="00FF65D6">
        <w:rPr>
          <w:webHidden/>
        </w:rPr>
        <w:tab/>
      </w:r>
      <w:r w:rsidR="007868EB" w:rsidRPr="00FF65D6">
        <w:rPr>
          <w:webHidden/>
        </w:rPr>
        <w:t>25</w:t>
      </w:r>
    </w:p>
    <w:p w14:paraId="5952FC46" w14:textId="77777777" w:rsidR="00F34341" w:rsidRPr="00FF65D6" w:rsidRDefault="00F34341" w:rsidP="00F34341">
      <w:pPr>
        <w:tabs>
          <w:tab w:val="right" w:leader="dot" w:pos="8787"/>
          <w:tab w:val="right" w:pos="9638"/>
        </w:tabs>
        <w:spacing w:after="120"/>
        <w:ind w:left="1559" w:hanging="425"/>
        <w:rPr>
          <w:webHidden/>
        </w:rPr>
      </w:pPr>
      <w:r w:rsidRPr="00FF65D6">
        <w:rPr>
          <w:webHidden/>
        </w:rPr>
        <w:t>C</w:t>
      </w:r>
      <w:r w:rsidR="005C1799" w:rsidRPr="005C1799">
        <w:rPr>
          <w:webHidden/>
        </w:rPr>
        <w:t>.</w:t>
      </w:r>
      <w:r w:rsidRPr="00FF65D6">
        <w:rPr>
          <w:webHidden/>
        </w:rPr>
        <w:tab/>
      </w:r>
      <w:r w:rsidR="007868EB" w:rsidRPr="00FF65D6">
        <w:rPr>
          <w:lang w:val="fr-FR"/>
        </w:rPr>
        <w:t>Code de la justice pour mineurs</w:t>
      </w:r>
      <w:r w:rsidRPr="00FF65D6">
        <w:rPr>
          <w:webHidden/>
        </w:rPr>
        <w:tab/>
      </w:r>
      <w:r w:rsidRPr="00FF65D6">
        <w:rPr>
          <w:webHidden/>
        </w:rPr>
        <w:tab/>
      </w:r>
      <w:r w:rsidR="007868EB" w:rsidRPr="00FF65D6">
        <w:rPr>
          <w:webHidden/>
        </w:rPr>
        <w:t>27</w:t>
      </w:r>
    </w:p>
    <w:p w14:paraId="5FA4E2AB" w14:textId="77777777" w:rsidR="00F34341" w:rsidRPr="00FF65D6" w:rsidRDefault="00F34341" w:rsidP="00F34341">
      <w:pPr>
        <w:tabs>
          <w:tab w:val="right" w:pos="850"/>
          <w:tab w:val="right" w:leader="dot" w:pos="8787"/>
          <w:tab w:val="right" w:pos="9638"/>
        </w:tabs>
        <w:spacing w:after="120"/>
        <w:ind w:left="1134" w:hanging="1134"/>
        <w:rPr>
          <w:webHidden/>
        </w:rPr>
      </w:pPr>
      <w:r w:rsidRPr="00FF65D6">
        <w:rPr>
          <w:webHidden/>
        </w:rPr>
        <w:tab/>
        <w:t>VII</w:t>
      </w:r>
      <w:r w:rsidR="005C1799" w:rsidRPr="005C1799">
        <w:rPr>
          <w:webHidden/>
        </w:rPr>
        <w:t>.</w:t>
      </w:r>
      <w:r w:rsidRPr="00FF65D6">
        <w:rPr>
          <w:webHidden/>
        </w:rPr>
        <w:tab/>
      </w:r>
      <w:r w:rsidR="007868EB" w:rsidRPr="00FF65D6">
        <w:rPr>
          <w:lang w:val="fr-FR"/>
        </w:rPr>
        <w:t>Assistance et coopération internationales (art</w:t>
      </w:r>
      <w:r w:rsidR="005C1799" w:rsidRPr="005C1799">
        <w:rPr>
          <w:lang w:val="fr-FR"/>
        </w:rPr>
        <w:t>.</w:t>
      </w:r>
      <w:r w:rsidR="007868EB" w:rsidRPr="00FF65D6">
        <w:rPr>
          <w:lang w:val="fr-FR"/>
        </w:rPr>
        <w:t xml:space="preserve"> 10)</w:t>
      </w:r>
      <w:r w:rsidRPr="00FF65D6">
        <w:rPr>
          <w:webHidden/>
        </w:rPr>
        <w:tab/>
      </w:r>
      <w:r w:rsidRPr="00FF65D6">
        <w:rPr>
          <w:webHidden/>
        </w:rPr>
        <w:tab/>
      </w:r>
      <w:r w:rsidR="007868EB" w:rsidRPr="00FF65D6">
        <w:rPr>
          <w:webHidden/>
        </w:rPr>
        <w:t>30</w:t>
      </w:r>
    </w:p>
    <w:p w14:paraId="5398A0C6" w14:textId="77777777" w:rsidR="00F34341" w:rsidRPr="00FF65D6" w:rsidRDefault="00F34341" w:rsidP="00F34341">
      <w:pPr>
        <w:tabs>
          <w:tab w:val="right" w:leader="dot" w:pos="8787"/>
          <w:tab w:val="right" w:pos="9638"/>
        </w:tabs>
        <w:spacing w:after="120"/>
        <w:ind w:left="1559" w:hanging="425"/>
        <w:rPr>
          <w:webHidden/>
        </w:rPr>
      </w:pPr>
      <w:r w:rsidRPr="00FF65D6">
        <w:rPr>
          <w:webHidden/>
        </w:rPr>
        <w:t>A</w:t>
      </w:r>
      <w:r w:rsidR="005C1799" w:rsidRPr="005C1799">
        <w:rPr>
          <w:webHidden/>
        </w:rPr>
        <w:t>.</w:t>
      </w:r>
      <w:r w:rsidRPr="00FF65D6">
        <w:rPr>
          <w:webHidden/>
        </w:rPr>
        <w:tab/>
      </w:r>
      <w:r w:rsidR="007868EB" w:rsidRPr="00FF65D6">
        <w:rPr>
          <w:lang w:val="fr-FR"/>
        </w:rPr>
        <w:t>Traités internationaux</w:t>
      </w:r>
      <w:r w:rsidRPr="00FF65D6">
        <w:rPr>
          <w:webHidden/>
        </w:rPr>
        <w:tab/>
      </w:r>
      <w:r w:rsidRPr="00FF65D6">
        <w:rPr>
          <w:webHidden/>
        </w:rPr>
        <w:tab/>
      </w:r>
      <w:r w:rsidR="007868EB" w:rsidRPr="00FF65D6">
        <w:rPr>
          <w:webHidden/>
        </w:rPr>
        <w:t>30</w:t>
      </w:r>
    </w:p>
    <w:p w14:paraId="215C9FED" w14:textId="77777777" w:rsidR="00F34341" w:rsidRPr="00FF65D6" w:rsidRDefault="00F34341" w:rsidP="00F34341">
      <w:pPr>
        <w:tabs>
          <w:tab w:val="right" w:leader="dot" w:pos="8787"/>
          <w:tab w:val="right" w:pos="9638"/>
        </w:tabs>
        <w:spacing w:after="120"/>
        <w:ind w:left="1559" w:hanging="425"/>
        <w:rPr>
          <w:webHidden/>
        </w:rPr>
      </w:pPr>
      <w:r w:rsidRPr="00FF65D6">
        <w:rPr>
          <w:webHidden/>
        </w:rPr>
        <w:t>B</w:t>
      </w:r>
      <w:r w:rsidR="005C1799" w:rsidRPr="005C1799">
        <w:rPr>
          <w:webHidden/>
        </w:rPr>
        <w:t>.</w:t>
      </w:r>
      <w:r w:rsidRPr="00FF65D6">
        <w:rPr>
          <w:webHidden/>
        </w:rPr>
        <w:tab/>
      </w:r>
      <w:r w:rsidR="007868EB" w:rsidRPr="00FF65D6">
        <w:rPr>
          <w:lang w:val="fr-FR"/>
        </w:rPr>
        <w:t>Renforcement de la coopération bilatérale et régionale</w:t>
      </w:r>
      <w:r w:rsidRPr="00FF65D6">
        <w:rPr>
          <w:webHidden/>
        </w:rPr>
        <w:tab/>
      </w:r>
      <w:r w:rsidRPr="00FF65D6">
        <w:rPr>
          <w:webHidden/>
        </w:rPr>
        <w:tab/>
      </w:r>
      <w:r w:rsidR="007868EB" w:rsidRPr="00FF65D6">
        <w:rPr>
          <w:webHidden/>
        </w:rPr>
        <w:t>31</w:t>
      </w:r>
    </w:p>
    <w:p w14:paraId="79701253" w14:textId="77777777" w:rsidR="00F34341" w:rsidRPr="00FF65D6" w:rsidRDefault="00F34341" w:rsidP="00F34341">
      <w:pPr>
        <w:tabs>
          <w:tab w:val="right" w:pos="850"/>
          <w:tab w:val="right" w:leader="dot" w:pos="8787"/>
          <w:tab w:val="right" w:pos="9638"/>
        </w:tabs>
        <w:spacing w:after="120"/>
        <w:ind w:left="1134" w:hanging="1134"/>
        <w:rPr>
          <w:webHidden/>
        </w:rPr>
      </w:pPr>
      <w:r w:rsidRPr="00FF65D6">
        <w:rPr>
          <w:webHidden/>
        </w:rPr>
        <w:tab/>
        <w:t>VIII</w:t>
      </w:r>
      <w:r w:rsidR="005C1799" w:rsidRPr="005C1799">
        <w:rPr>
          <w:webHidden/>
        </w:rPr>
        <w:t>.</w:t>
      </w:r>
      <w:r w:rsidRPr="00FF65D6">
        <w:rPr>
          <w:webHidden/>
        </w:rPr>
        <w:tab/>
      </w:r>
      <w:r w:rsidR="007868EB" w:rsidRPr="00FF65D6">
        <w:rPr>
          <w:bCs/>
          <w:lang w:val="fr-FR"/>
        </w:rPr>
        <w:t>Données</w:t>
      </w:r>
      <w:r w:rsidRPr="00FF65D6">
        <w:rPr>
          <w:webHidden/>
        </w:rPr>
        <w:tab/>
      </w:r>
      <w:r w:rsidRPr="00FF65D6">
        <w:rPr>
          <w:webHidden/>
        </w:rPr>
        <w:tab/>
      </w:r>
      <w:r w:rsidR="00FA2FCA" w:rsidRPr="00FF65D6">
        <w:rPr>
          <w:webHidden/>
        </w:rPr>
        <w:t>32</w:t>
      </w:r>
    </w:p>
    <w:p w14:paraId="5B7BE214" w14:textId="77777777" w:rsidR="005C5C6A" w:rsidRPr="00FF65D6" w:rsidRDefault="005C5C6A" w:rsidP="005D46A0">
      <w:pPr>
        <w:pStyle w:val="HChG"/>
        <w:rPr>
          <w:lang w:val="fr-FR"/>
        </w:rPr>
      </w:pPr>
      <w:r w:rsidRPr="00FF65D6">
        <w:rPr>
          <w:webHidden/>
          <w:lang w:val="fr-FR"/>
        </w:rPr>
        <w:br w:type="page"/>
      </w:r>
      <w:r w:rsidRPr="00FF65D6">
        <w:rPr>
          <w:lang w:val="fr-FR"/>
        </w:rPr>
        <w:tab/>
        <w:t>I</w:t>
      </w:r>
      <w:r w:rsidR="005C1799" w:rsidRPr="005C1799">
        <w:rPr>
          <w:b w:val="0"/>
          <w:lang w:val="fr-FR"/>
        </w:rPr>
        <w:t>.</w:t>
      </w:r>
      <w:r w:rsidRPr="00FF65D6">
        <w:rPr>
          <w:lang w:val="fr-FR"/>
        </w:rPr>
        <w:tab/>
        <w:t>Introduction</w:t>
      </w:r>
      <w:bookmarkEnd w:id="1"/>
    </w:p>
    <w:p w14:paraId="3A9CF0B5" w14:textId="77777777" w:rsidR="005C5C6A" w:rsidRPr="00FF65D6" w:rsidRDefault="005C5C6A" w:rsidP="00F34341">
      <w:pPr>
        <w:pStyle w:val="SingleTxtG"/>
        <w:rPr>
          <w:lang w:val="fr-FR"/>
        </w:rPr>
      </w:pPr>
      <w:r w:rsidRPr="00FF65D6">
        <w:rPr>
          <w:lang w:val="fr-FR"/>
        </w:rPr>
        <w:t>1</w:t>
      </w:r>
      <w:r w:rsidR="005C1799" w:rsidRPr="005C1799">
        <w:rPr>
          <w:lang w:val="fr-FR"/>
        </w:rPr>
        <w:t>.</w:t>
      </w:r>
      <w:r w:rsidRPr="00FF65D6">
        <w:rPr>
          <w:lang w:val="fr-FR"/>
        </w:rPr>
        <w:tab/>
        <w:t>Le présent rapport est le premier soumis par le Gouvernement géorgien en application du paragraphe 1 de l</w:t>
      </w:r>
      <w:r w:rsidR="002127F6" w:rsidRPr="00FF65D6">
        <w:rPr>
          <w:lang w:val="fr-FR"/>
        </w:rPr>
        <w:t>’</w:t>
      </w:r>
      <w:r w:rsidRPr="00FF65D6">
        <w:rPr>
          <w:lang w:val="fr-FR"/>
        </w:rPr>
        <w:t>article 12 du Protocole facultatif à la Convention relative aux droits de l</w:t>
      </w:r>
      <w:r w:rsidR="002127F6" w:rsidRPr="00FF65D6">
        <w:rPr>
          <w:lang w:val="fr-FR"/>
        </w:rPr>
        <w:t>’</w:t>
      </w:r>
      <w:r w:rsidRPr="00FF65D6">
        <w:rPr>
          <w:lang w:val="fr-FR"/>
        </w:rPr>
        <w:t>enfant, concernant la vente d</w:t>
      </w:r>
      <w:r w:rsidR="002127F6" w:rsidRPr="00FF65D6">
        <w:rPr>
          <w:lang w:val="fr-FR"/>
        </w:rPr>
        <w:t>’</w:t>
      </w:r>
      <w:r w:rsidRPr="00FF65D6">
        <w:rPr>
          <w:lang w:val="fr-FR"/>
        </w:rPr>
        <w:t>enfants, la prostitution des enfants et la pornographie mettant en scène des enfants</w:t>
      </w:r>
      <w:r w:rsidR="005C1799" w:rsidRPr="005C1799">
        <w:rPr>
          <w:lang w:val="fr-FR"/>
        </w:rPr>
        <w:t>.</w:t>
      </w:r>
    </w:p>
    <w:p w14:paraId="31CB289F" w14:textId="77777777" w:rsidR="005C5C6A" w:rsidRPr="00FF65D6" w:rsidRDefault="005C5C6A" w:rsidP="00F34341">
      <w:pPr>
        <w:pStyle w:val="SingleTxtG"/>
        <w:rPr>
          <w:lang w:val="fr-FR"/>
        </w:rPr>
      </w:pPr>
      <w:r w:rsidRPr="00FF65D6">
        <w:rPr>
          <w:lang w:val="fr-FR"/>
        </w:rPr>
        <w:t>2</w:t>
      </w:r>
      <w:r w:rsidR="005C1799" w:rsidRPr="005C1799">
        <w:rPr>
          <w:lang w:val="fr-FR"/>
        </w:rPr>
        <w:t>.</w:t>
      </w:r>
      <w:r w:rsidRPr="00FF65D6">
        <w:rPr>
          <w:lang w:val="fr-FR"/>
        </w:rPr>
        <w:tab/>
        <w:t>Il contient des informations sur les mesures législatives, judiciaires, administratives et autres appliquées par la Géorgie depuis son adhésion</w:t>
      </w:r>
      <w:r w:rsidR="002127F6" w:rsidRPr="00FF65D6">
        <w:rPr>
          <w:lang w:val="fr-FR"/>
        </w:rPr>
        <w:t xml:space="preserve"> </w:t>
      </w:r>
      <w:r w:rsidRPr="00FF65D6">
        <w:rPr>
          <w:lang w:val="fr-FR"/>
        </w:rPr>
        <w:t>au Protocole facultatif à la Convention relative aux droits de l</w:t>
      </w:r>
      <w:r w:rsidR="002127F6" w:rsidRPr="00FF65D6">
        <w:rPr>
          <w:lang w:val="fr-FR"/>
        </w:rPr>
        <w:t>’</w:t>
      </w:r>
      <w:r w:rsidRPr="00FF65D6">
        <w:rPr>
          <w:lang w:val="fr-FR"/>
        </w:rPr>
        <w:t>enfant, concernant la vente d</w:t>
      </w:r>
      <w:r w:rsidR="002127F6" w:rsidRPr="00FF65D6">
        <w:rPr>
          <w:lang w:val="fr-FR"/>
        </w:rPr>
        <w:t>’</w:t>
      </w:r>
      <w:r w:rsidRPr="00FF65D6">
        <w:rPr>
          <w:lang w:val="fr-FR"/>
        </w:rPr>
        <w:t>enfants, la prostitution des enfants et la pornographie mettant en scène des enfants</w:t>
      </w:r>
      <w:r w:rsidR="005C1799" w:rsidRPr="005C1799">
        <w:rPr>
          <w:lang w:val="fr-FR"/>
        </w:rPr>
        <w:t>.</w:t>
      </w:r>
    </w:p>
    <w:p w14:paraId="59E21F92" w14:textId="77777777" w:rsidR="005C5C6A" w:rsidRPr="00FF65D6" w:rsidRDefault="005C5C6A" w:rsidP="00F34341">
      <w:pPr>
        <w:pStyle w:val="SingleTxtG"/>
        <w:rPr>
          <w:lang w:val="fr-FR"/>
        </w:rPr>
      </w:pPr>
      <w:r w:rsidRPr="00FF65D6">
        <w:rPr>
          <w:lang w:val="fr-FR"/>
        </w:rPr>
        <w:t>3</w:t>
      </w:r>
      <w:r w:rsidR="005C1799" w:rsidRPr="005C1799">
        <w:rPr>
          <w:lang w:val="fr-FR"/>
        </w:rPr>
        <w:t>.</w:t>
      </w:r>
      <w:r w:rsidRPr="00FF65D6">
        <w:rPr>
          <w:lang w:val="fr-FR"/>
        </w:rPr>
        <w:tab/>
        <w:t>La Géorgie a élaboré un processus national inclusif d</w:t>
      </w:r>
      <w:r w:rsidR="002127F6" w:rsidRPr="00FF65D6">
        <w:rPr>
          <w:lang w:val="fr-FR"/>
        </w:rPr>
        <w:t>’</w:t>
      </w:r>
      <w:r w:rsidRPr="00FF65D6">
        <w:rPr>
          <w:lang w:val="fr-FR"/>
        </w:rPr>
        <w:t>établissement de rapports</w:t>
      </w:r>
      <w:r w:rsidR="005C1799" w:rsidRPr="005C1799">
        <w:rPr>
          <w:lang w:val="fr-FR"/>
        </w:rPr>
        <w:t>.</w:t>
      </w:r>
      <w:r w:rsidRPr="00FF65D6">
        <w:rPr>
          <w:lang w:val="fr-FR"/>
        </w:rPr>
        <w:t xml:space="preserve"> Afin de faciliter la bonne exécution des obligations qui incombent à la Géorgie en vertu des traités relatifs aux droits de l</w:t>
      </w:r>
      <w:r w:rsidR="002127F6" w:rsidRPr="00FF65D6">
        <w:rPr>
          <w:lang w:val="fr-FR"/>
        </w:rPr>
        <w:t>’</w:t>
      </w:r>
      <w:r w:rsidRPr="00FF65D6">
        <w:rPr>
          <w:lang w:val="fr-FR"/>
        </w:rPr>
        <w:t xml:space="preserve">homme, un groupe de travail permanent </w:t>
      </w:r>
      <w:proofErr w:type="spellStart"/>
      <w:r w:rsidRPr="00FF65D6">
        <w:rPr>
          <w:lang w:val="fr-FR"/>
        </w:rPr>
        <w:t>interinstitutions</w:t>
      </w:r>
      <w:proofErr w:type="spellEnd"/>
      <w:r w:rsidRPr="00FF65D6">
        <w:rPr>
          <w:lang w:val="fr-FR"/>
        </w:rPr>
        <w:t xml:space="preserve"> a été créé en tant que mécanisme national de coordination en 2014, qui réunit des responsables de niveau supérieur et intermédiaire des pouvoirs exécutif, judiciaire et législatif</w:t>
      </w:r>
      <w:r w:rsidR="005C1799" w:rsidRPr="005C1799">
        <w:rPr>
          <w:lang w:val="fr-FR"/>
        </w:rPr>
        <w:t>.</w:t>
      </w:r>
      <w:r w:rsidRPr="00FF65D6">
        <w:rPr>
          <w:lang w:val="fr-FR"/>
        </w:rPr>
        <w:t xml:space="preserve"> Parallèlement, une formation appropriée a été organisée à l</w:t>
      </w:r>
      <w:r w:rsidR="002127F6" w:rsidRPr="00FF65D6">
        <w:rPr>
          <w:lang w:val="fr-FR"/>
        </w:rPr>
        <w:t>’</w:t>
      </w:r>
      <w:r w:rsidRPr="00FF65D6">
        <w:rPr>
          <w:lang w:val="fr-FR"/>
        </w:rPr>
        <w:t xml:space="preserve">intention des membres du Groupe de travail </w:t>
      </w:r>
      <w:proofErr w:type="spellStart"/>
      <w:r w:rsidRPr="00FF65D6">
        <w:rPr>
          <w:lang w:val="fr-FR"/>
        </w:rPr>
        <w:t>interinstitutions</w:t>
      </w:r>
      <w:proofErr w:type="spellEnd"/>
      <w:r w:rsidRPr="00FF65D6">
        <w:rPr>
          <w:lang w:val="fr-FR"/>
        </w:rPr>
        <w:t xml:space="preserve"> en coopération avec le Programme des Nations Unies pour le développement (PNUD), et d</w:t>
      </w:r>
      <w:r w:rsidR="002127F6" w:rsidRPr="00FF65D6">
        <w:rPr>
          <w:lang w:val="fr-FR"/>
        </w:rPr>
        <w:t>’</w:t>
      </w:r>
      <w:r w:rsidRPr="00FF65D6">
        <w:rPr>
          <w:lang w:val="fr-FR"/>
        </w:rPr>
        <w:t>autres formations sont prévues</w:t>
      </w:r>
      <w:r w:rsidR="005C1799" w:rsidRPr="005C1799">
        <w:rPr>
          <w:lang w:val="fr-FR"/>
        </w:rPr>
        <w:t>.</w:t>
      </w:r>
    </w:p>
    <w:p w14:paraId="52E20CA3" w14:textId="77777777" w:rsidR="005C5C6A" w:rsidRPr="00FF65D6" w:rsidRDefault="005C5C6A" w:rsidP="00F34341">
      <w:pPr>
        <w:pStyle w:val="SingleTxtG"/>
        <w:rPr>
          <w:lang w:val="fr-FR"/>
        </w:rPr>
      </w:pPr>
      <w:r w:rsidRPr="00FF65D6">
        <w:rPr>
          <w:lang w:val="fr-FR"/>
        </w:rPr>
        <w:t>4</w:t>
      </w:r>
      <w:r w:rsidR="005C1799" w:rsidRPr="005C1799">
        <w:rPr>
          <w:lang w:val="fr-FR"/>
        </w:rPr>
        <w:t>.</w:t>
      </w:r>
      <w:r w:rsidRPr="00FF65D6">
        <w:rPr>
          <w:lang w:val="fr-FR"/>
        </w:rPr>
        <w:tab/>
        <w:t>Les efforts conjugués des autorités compétentes, coordonnés par le Ministère géorgien des affaires étrangères, ont permis d</w:t>
      </w:r>
      <w:r w:rsidR="002127F6" w:rsidRPr="00FF65D6">
        <w:rPr>
          <w:lang w:val="fr-FR"/>
        </w:rPr>
        <w:t>’</w:t>
      </w:r>
      <w:r w:rsidRPr="00FF65D6">
        <w:rPr>
          <w:lang w:val="fr-FR"/>
        </w:rPr>
        <w:t>élaborer le présent rapport, qui est en grande partie conforme aux directives révisées concernant les rapports initiaux que les États parties doivent présenter</w:t>
      </w:r>
      <w:r w:rsidRPr="00FF65D6">
        <w:rPr>
          <w:rStyle w:val="Appelnotedebasdep"/>
        </w:rPr>
        <w:footnoteReference w:id="3"/>
      </w:r>
      <w:r w:rsidR="005C1799" w:rsidRPr="005C1799">
        <w:rPr>
          <w:lang w:val="fr-FR"/>
        </w:rPr>
        <w:t>.</w:t>
      </w:r>
      <w:r w:rsidRPr="00FF65D6">
        <w:rPr>
          <w:lang w:val="fr-FR"/>
        </w:rPr>
        <w:t xml:space="preserve"> Les autorités indiquées ci-après ont participé à l</w:t>
      </w:r>
      <w:r w:rsidR="002127F6" w:rsidRPr="00FF65D6">
        <w:rPr>
          <w:lang w:val="fr-FR"/>
        </w:rPr>
        <w:t>’</w:t>
      </w:r>
      <w:r w:rsidRPr="00FF65D6">
        <w:rPr>
          <w:lang w:val="fr-FR"/>
        </w:rPr>
        <w:t>élaboration du rapport</w:t>
      </w:r>
      <w:r w:rsidR="003B7618" w:rsidRPr="00FF65D6">
        <w:rPr>
          <w:lang w:val="fr-FR"/>
        </w:rPr>
        <w:t> :</w:t>
      </w:r>
      <w:r w:rsidRPr="00FF65D6">
        <w:rPr>
          <w:lang w:val="fr-FR"/>
        </w:rPr>
        <w:t xml:space="preserve"> le Secrétariat aux droits de l</w:t>
      </w:r>
      <w:r w:rsidR="002127F6" w:rsidRPr="00FF65D6">
        <w:rPr>
          <w:lang w:val="fr-FR"/>
        </w:rPr>
        <w:t>’</w:t>
      </w:r>
      <w:r w:rsidRPr="00FF65D6">
        <w:rPr>
          <w:lang w:val="fr-FR"/>
        </w:rPr>
        <w:t>homme de l</w:t>
      </w:r>
      <w:r w:rsidR="002127F6" w:rsidRPr="00FF65D6">
        <w:rPr>
          <w:lang w:val="fr-FR"/>
        </w:rPr>
        <w:t>’</w:t>
      </w:r>
      <w:r w:rsidRPr="00FF65D6">
        <w:rPr>
          <w:lang w:val="fr-FR"/>
        </w:rPr>
        <w:t>administration publique, le Ministère de la justice, le Bureau du Procureur général, le Ministère du travail, de la santé et des affaires sociales, le Ministère de l</w:t>
      </w:r>
      <w:r w:rsidR="002127F6" w:rsidRPr="00FF65D6">
        <w:rPr>
          <w:lang w:val="fr-FR"/>
        </w:rPr>
        <w:t>’</w:t>
      </w:r>
      <w:r w:rsidRPr="00FF65D6">
        <w:rPr>
          <w:lang w:val="fr-FR"/>
        </w:rPr>
        <w:t>intérieur, le Ministère de l</w:t>
      </w:r>
      <w:r w:rsidR="002127F6" w:rsidRPr="00FF65D6">
        <w:rPr>
          <w:lang w:val="fr-FR"/>
        </w:rPr>
        <w:t>’</w:t>
      </w:r>
      <w:r w:rsidRPr="00FF65D6">
        <w:rPr>
          <w:lang w:val="fr-FR"/>
        </w:rPr>
        <w:t>éducation et des sciences, le Service de sûreté de l</w:t>
      </w:r>
      <w:r w:rsidR="002127F6" w:rsidRPr="00FF65D6">
        <w:rPr>
          <w:lang w:val="fr-FR"/>
        </w:rPr>
        <w:t>’</w:t>
      </w:r>
      <w:r w:rsidRPr="00FF65D6">
        <w:rPr>
          <w:lang w:val="fr-FR"/>
        </w:rPr>
        <w:t>État, le Service d</w:t>
      </w:r>
      <w:r w:rsidR="002127F6" w:rsidRPr="00FF65D6">
        <w:rPr>
          <w:lang w:val="fr-FR"/>
        </w:rPr>
        <w:t>’</w:t>
      </w:r>
      <w:r w:rsidRPr="00FF65D6">
        <w:rPr>
          <w:lang w:val="fr-FR"/>
        </w:rPr>
        <w:t>aide juridictionnelle, le Parlement, la Cour constitutionnelle, la Cour suprême et la Commission nationale géorgienne des communications</w:t>
      </w:r>
      <w:r w:rsidR="005C1799" w:rsidRPr="005C1799">
        <w:rPr>
          <w:lang w:val="fr-FR"/>
        </w:rPr>
        <w:t>.</w:t>
      </w:r>
    </w:p>
    <w:p w14:paraId="450BB8EF" w14:textId="77777777" w:rsidR="005C5C6A" w:rsidRPr="00FF65D6" w:rsidRDefault="005C5C6A" w:rsidP="00F34341">
      <w:pPr>
        <w:pStyle w:val="SingleTxtG"/>
        <w:rPr>
          <w:lang w:val="fr-FR"/>
        </w:rPr>
      </w:pPr>
      <w:r w:rsidRPr="00FF65D6">
        <w:rPr>
          <w:lang w:val="fr-FR"/>
        </w:rPr>
        <w:t>5</w:t>
      </w:r>
      <w:r w:rsidR="005C1799" w:rsidRPr="005C1799">
        <w:rPr>
          <w:lang w:val="fr-FR"/>
        </w:rPr>
        <w:t>.</w:t>
      </w:r>
      <w:r w:rsidRPr="00FF65D6">
        <w:rPr>
          <w:lang w:val="fr-FR"/>
        </w:rPr>
        <w:tab/>
        <w:t xml:space="preserve">Le rapport a été soumis au </w:t>
      </w:r>
      <w:r w:rsidR="00F33173">
        <w:rPr>
          <w:lang w:val="fr-FR"/>
        </w:rPr>
        <w:t>Bureau du Défenseur public</w:t>
      </w:r>
      <w:r w:rsidRPr="00FF65D6">
        <w:rPr>
          <w:lang w:val="fr-FR"/>
        </w:rPr>
        <w:t xml:space="preserve"> et aux représentants d</w:t>
      </w:r>
      <w:r w:rsidR="002127F6" w:rsidRPr="00FF65D6">
        <w:rPr>
          <w:lang w:val="fr-FR"/>
        </w:rPr>
        <w:t>’</w:t>
      </w:r>
      <w:r w:rsidRPr="00FF65D6">
        <w:rPr>
          <w:lang w:val="fr-FR"/>
        </w:rPr>
        <w:t>organisations non gouvernementales et d</w:t>
      </w:r>
      <w:r w:rsidR="002127F6" w:rsidRPr="00FF65D6">
        <w:rPr>
          <w:lang w:val="fr-FR"/>
        </w:rPr>
        <w:t>’</w:t>
      </w:r>
      <w:r w:rsidRPr="00FF65D6">
        <w:rPr>
          <w:lang w:val="fr-FR"/>
        </w:rPr>
        <w:t>organisations internationales</w:t>
      </w:r>
      <w:r w:rsidR="005C1799" w:rsidRPr="005C1799">
        <w:rPr>
          <w:lang w:val="fr-FR"/>
        </w:rPr>
        <w:t>.</w:t>
      </w:r>
      <w:r w:rsidRPr="00FF65D6">
        <w:rPr>
          <w:lang w:val="fr-FR"/>
        </w:rPr>
        <w:t xml:space="preserve"> Leurs observations et suggestions ont été examinées lors de l</w:t>
      </w:r>
      <w:r w:rsidR="002127F6" w:rsidRPr="00FF65D6">
        <w:rPr>
          <w:lang w:val="fr-FR"/>
        </w:rPr>
        <w:t>’</w:t>
      </w:r>
      <w:r w:rsidRPr="00FF65D6">
        <w:rPr>
          <w:lang w:val="fr-FR"/>
        </w:rPr>
        <w:t>établissement de la version définitive du rapport</w:t>
      </w:r>
      <w:r w:rsidR="005C1799" w:rsidRPr="005C1799">
        <w:rPr>
          <w:lang w:val="fr-FR"/>
        </w:rPr>
        <w:t>.</w:t>
      </w:r>
    </w:p>
    <w:p w14:paraId="6DC27BFE" w14:textId="77777777" w:rsidR="005C5C6A" w:rsidRPr="00FF65D6" w:rsidRDefault="005C5C6A" w:rsidP="005D46A0">
      <w:pPr>
        <w:pStyle w:val="HChG"/>
        <w:rPr>
          <w:lang w:val="fr-FR"/>
        </w:rPr>
      </w:pPr>
      <w:bookmarkStart w:id="2" w:name="_Toc469062636"/>
      <w:bookmarkStart w:id="3" w:name="_Toc469062664"/>
      <w:bookmarkStart w:id="4" w:name="_Toc472961704"/>
      <w:r w:rsidRPr="00FF65D6">
        <w:rPr>
          <w:lang w:val="fr-FR"/>
        </w:rPr>
        <w:tab/>
        <w:t>II</w:t>
      </w:r>
      <w:r w:rsidR="005C1799" w:rsidRPr="005C1799">
        <w:rPr>
          <w:b w:val="0"/>
          <w:lang w:val="fr-FR"/>
        </w:rPr>
        <w:t>.</w:t>
      </w:r>
      <w:r w:rsidRPr="00FF65D6">
        <w:rPr>
          <w:lang w:val="fr-FR"/>
        </w:rPr>
        <w:tab/>
        <w:t>Mesures d</w:t>
      </w:r>
      <w:r w:rsidR="002127F6" w:rsidRPr="00FF65D6">
        <w:rPr>
          <w:lang w:val="fr-FR"/>
        </w:rPr>
        <w:t>’</w:t>
      </w:r>
      <w:r w:rsidRPr="00FF65D6">
        <w:rPr>
          <w:lang w:val="fr-FR"/>
        </w:rPr>
        <w:t>application générales</w:t>
      </w:r>
      <w:bookmarkEnd w:id="2"/>
      <w:bookmarkEnd w:id="3"/>
      <w:bookmarkEnd w:id="4"/>
    </w:p>
    <w:p w14:paraId="591BB0F0" w14:textId="77777777" w:rsidR="005C5C6A" w:rsidRPr="00FF65D6" w:rsidRDefault="005C5C6A" w:rsidP="005D46A0">
      <w:pPr>
        <w:pStyle w:val="H1G"/>
        <w:rPr>
          <w:lang w:val="fr-FR"/>
        </w:rPr>
      </w:pPr>
      <w:bookmarkStart w:id="5" w:name="_Toc472961705"/>
      <w:r w:rsidRPr="00FF65D6">
        <w:rPr>
          <w:lang w:val="fr-FR"/>
        </w:rPr>
        <w:tab/>
        <w:t>A</w:t>
      </w:r>
      <w:r w:rsidR="005C1799" w:rsidRPr="005C1799">
        <w:rPr>
          <w:b w:val="0"/>
          <w:lang w:val="fr-FR"/>
        </w:rPr>
        <w:t>.</w:t>
      </w:r>
      <w:r w:rsidRPr="00FF65D6">
        <w:rPr>
          <w:lang w:val="fr-FR"/>
        </w:rPr>
        <w:tab/>
        <w:t>Place du Protocole facultatif dans l</w:t>
      </w:r>
      <w:r w:rsidR="002127F6" w:rsidRPr="00FF65D6">
        <w:rPr>
          <w:lang w:val="fr-FR"/>
        </w:rPr>
        <w:t>’</w:t>
      </w:r>
      <w:r w:rsidRPr="00FF65D6">
        <w:rPr>
          <w:lang w:val="fr-FR"/>
        </w:rPr>
        <w:t xml:space="preserve">ordre juridique interne </w:t>
      </w:r>
      <w:bookmarkEnd w:id="5"/>
    </w:p>
    <w:p w14:paraId="165FD629" w14:textId="77777777" w:rsidR="005C5C6A" w:rsidRPr="00FF65D6" w:rsidRDefault="005C5C6A" w:rsidP="00F34341">
      <w:pPr>
        <w:pStyle w:val="SingleTxtG"/>
        <w:rPr>
          <w:lang w:val="fr-FR"/>
        </w:rPr>
      </w:pPr>
      <w:r w:rsidRPr="00FF65D6">
        <w:rPr>
          <w:lang w:val="fr-FR"/>
        </w:rPr>
        <w:t>6</w:t>
      </w:r>
      <w:r w:rsidR="005C1799" w:rsidRPr="005C1799">
        <w:rPr>
          <w:lang w:val="fr-FR"/>
        </w:rPr>
        <w:t>.</w:t>
      </w:r>
      <w:r w:rsidRPr="00FF65D6">
        <w:rPr>
          <w:lang w:val="fr-FR"/>
        </w:rPr>
        <w:tab/>
        <w:t>La Géorgie a accédé au Protocole facultatif à la Convention relative aux droits de l</w:t>
      </w:r>
      <w:r w:rsidR="002127F6" w:rsidRPr="00FF65D6">
        <w:rPr>
          <w:lang w:val="fr-FR"/>
        </w:rPr>
        <w:t>’</w:t>
      </w:r>
      <w:r w:rsidRPr="00FF65D6">
        <w:rPr>
          <w:lang w:val="fr-FR"/>
        </w:rPr>
        <w:t>enfant, concernant la vente d</w:t>
      </w:r>
      <w:r w:rsidR="002127F6" w:rsidRPr="00FF65D6">
        <w:rPr>
          <w:lang w:val="fr-FR"/>
        </w:rPr>
        <w:t>’</w:t>
      </w:r>
      <w:r w:rsidRPr="00FF65D6">
        <w:rPr>
          <w:lang w:val="fr-FR"/>
        </w:rPr>
        <w:t>enfants, la prostitution des enfants et la pornographie mettant en scène des enfants le 27 septembre 2002 et celui-ci est entré en vigueur en Géorgie le 28 juillet 2005</w:t>
      </w:r>
      <w:r w:rsidR="005C1799" w:rsidRPr="005C1799">
        <w:rPr>
          <w:lang w:val="fr-FR"/>
        </w:rPr>
        <w:t>.</w:t>
      </w:r>
      <w:r w:rsidRPr="00FF65D6">
        <w:rPr>
          <w:lang w:val="fr-FR"/>
        </w:rPr>
        <w:t xml:space="preserve"> Le Protocole facultatif à la Convention relative aux droits de l</w:t>
      </w:r>
      <w:r w:rsidR="002127F6" w:rsidRPr="00FF65D6">
        <w:rPr>
          <w:lang w:val="fr-FR"/>
        </w:rPr>
        <w:t>’</w:t>
      </w:r>
      <w:r w:rsidRPr="00FF65D6">
        <w:rPr>
          <w:lang w:val="fr-FR"/>
        </w:rPr>
        <w:t>enfant, concernant la vente d</w:t>
      </w:r>
      <w:r w:rsidR="002127F6" w:rsidRPr="00FF65D6">
        <w:rPr>
          <w:lang w:val="fr-FR"/>
        </w:rPr>
        <w:t>’</w:t>
      </w:r>
      <w:r w:rsidRPr="00FF65D6">
        <w:rPr>
          <w:lang w:val="fr-FR"/>
        </w:rPr>
        <w:t>enfants, la prostitution des enfants et la pornographie mettant en scène des enfants (Protocole facultatif) constitue un traité international que la Géorgie a ratifié</w:t>
      </w:r>
      <w:r w:rsidR="005C1799" w:rsidRPr="005C1799">
        <w:rPr>
          <w:lang w:val="fr-FR"/>
        </w:rPr>
        <w:t>.</w:t>
      </w:r>
      <w:r w:rsidRPr="00FF65D6">
        <w:rPr>
          <w:lang w:val="fr-FR"/>
        </w:rPr>
        <w:t xml:space="preserve"> Un traité international que la Géorgie a promulgué fait partie intégrante du droit interne géorgien et occupe un rang élevé dans la hiérarchie des normes de la Géorgie</w:t>
      </w:r>
      <w:r w:rsidR="005C1799" w:rsidRPr="005C1799">
        <w:rPr>
          <w:lang w:val="fr-FR"/>
        </w:rPr>
        <w:t>.</w:t>
      </w:r>
      <w:r w:rsidRPr="00FF65D6">
        <w:rPr>
          <w:lang w:val="fr-FR"/>
        </w:rPr>
        <w:t xml:space="preserve"> Ainsi, les traités internationaux conclus par la Géorgie, s</w:t>
      </w:r>
      <w:r w:rsidR="002127F6" w:rsidRPr="00FF65D6">
        <w:rPr>
          <w:lang w:val="fr-FR"/>
        </w:rPr>
        <w:t>’</w:t>
      </w:r>
      <w:r w:rsidRPr="00FF65D6">
        <w:rPr>
          <w:lang w:val="fr-FR"/>
        </w:rPr>
        <w:t>ils ne sont pas contraires à la Constitution géorgienne et à l</w:t>
      </w:r>
      <w:r w:rsidR="002127F6" w:rsidRPr="00FF65D6">
        <w:rPr>
          <w:lang w:val="fr-FR"/>
        </w:rPr>
        <w:t>’</w:t>
      </w:r>
      <w:r w:rsidRPr="00FF65D6">
        <w:rPr>
          <w:lang w:val="fr-FR"/>
        </w:rPr>
        <w:t>accord constitutionnel, ont une autorité supérieure en droit à celles des lois normatives internes</w:t>
      </w:r>
      <w:r w:rsidR="005C1799" w:rsidRPr="005C1799">
        <w:rPr>
          <w:lang w:val="fr-FR"/>
        </w:rPr>
        <w:t>.</w:t>
      </w:r>
      <w:r w:rsidRPr="00FF65D6">
        <w:rPr>
          <w:lang w:val="fr-FR"/>
        </w:rPr>
        <w:t xml:space="preserve"> Les dispositions des traités internationaux promulgués officiellement par la Géorgie qui créent des droits et des obligations concrets sont directement applicables et ne nécessitent pas l</w:t>
      </w:r>
      <w:r w:rsidR="002127F6" w:rsidRPr="00FF65D6">
        <w:rPr>
          <w:lang w:val="fr-FR"/>
        </w:rPr>
        <w:t>’</w:t>
      </w:r>
      <w:r w:rsidRPr="00FF65D6">
        <w:rPr>
          <w:lang w:val="fr-FR"/>
        </w:rPr>
        <w:t>adoption de lois et de règlements d</w:t>
      </w:r>
      <w:r w:rsidR="002127F6" w:rsidRPr="00FF65D6">
        <w:rPr>
          <w:lang w:val="fr-FR"/>
        </w:rPr>
        <w:t>’</w:t>
      </w:r>
      <w:r w:rsidRPr="00FF65D6">
        <w:rPr>
          <w:lang w:val="fr-FR"/>
        </w:rPr>
        <w:t>exécution</w:t>
      </w:r>
      <w:r w:rsidR="005C1799" w:rsidRPr="005C1799">
        <w:rPr>
          <w:lang w:val="fr-FR"/>
        </w:rPr>
        <w:t>.</w:t>
      </w:r>
      <w:r w:rsidRPr="00FF65D6">
        <w:rPr>
          <w:lang w:val="fr-FR"/>
        </w:rPr>
        <w:t xml:space="preserve"> </w:t>
      </w:r>
    </w:p>
    <w:p w14:paraId="75A796BE" w14:textId="77777777" w:rsidR="005C5C6A" w:rsidRPr="00FF65D6" w:rsidRDefault="005C5C6A" w:rsidP="005D46A0">
      <w:pPr>
        <w:pStyle w:val="H1G"/>
        <w:rPr>
          <w:lang w:val="fr-FR"/>
        </w:rPr>
      </w:pPr>
      <w:bookmarkStart w:id="6" w:name="_Toc472961706"/>
      <w:r w:rsidRPr="00FF65D6">
        <w:rPr>
          <w:lang w:val="fr-FR"/>
        </w:rPr>
        <w:tab/>
        <w:t>B</w:t>
      </w:r>
      <w:r w:rsidR="005C1799" w:rsidRPr="005C1799">
        <w:rPr>
          <w:b w:val="0"/>
          <w:lang w:val="fr-FR"/>
        </w:rPr>
        <w:t>.</w:t>
      </w:r>
      <w:r w:rsidRPr="00FF65D6">
        <w:rPr>
          <w:lang w:val="fr-FR"/>
        </w:rPr>
        <w:tab/>
        <w:t>Cadre institutionnel et plans d</w:t>
      </w:r>
      <w:r w:rsidR="002127F6" w:rsidRPr="00FF65D6">
        <w:rPr>
          <w:lang w:val="fr-FR"/>
        </w:rPr>
        <w:t>’</w:t>
      </w:r>
      <w:r w:rsidRPr="00FF65D6">
        <w:rPr>
          <w:lang w:val="fr-FR"/>
        </w:rPr>
        <w:t xml:space="preserve">action nationaux </w:t>
      </w:r>
      <w:bookmarkEnd w:id="6"/>
    </w:p>
    <w:p w14:paraId="394EEB8A" w14:textId="77777777" w:rsidR="005C5C6A" w:rsidRPr="00FF65D6" w:rsidRDefault="005C5C6A" w:rsidP="00F34341">
      <w:pPr>
        <w:pStyle w:val="SingleTxtG"/>
        <w:rPr>
          <w:lang w:val="fr-FR"/>
        </w:rPr>
      </w:pPr>
      <w:r w:rsidRPr="00FF65D6">
        <w:rPr>
          <w:lang w:val="fr-FR"/>
        </w:rPr>
        <w:t>7</w:t>
      </w:r>
      <w:r w:rsidR="005C1799" w:rsidRPr="005C1799">
        <w:rPr>
          <w:lang w:val="fr-FR"/>
        </w:rPr>
        <w:t>.</w:t>
      </w:r>
      <w:r w:rsidRPr="00FF65D6">
        <w:rPr>
          <w:lang w:val="fr-FR"/>
        </w:rPr>
        <w:tab/>
        <w:t>Ces dernières années, d</w:t>
      </w:r>
      <w:r w:rsidR="002127F6" w:rsidRPr="00FF65D6">
        <w:rPr>
          <w:lang w:val="fr-FR"/>
        </w:rPr>
        <w:t>’</w:t>
      </w:r>
      <w:r w:rsidRPr="00FF65D6">
        <w:rPr>
          <w:lang w:val="fr-FR"/>
        </w:rPr>
        <w:t>importantes mesures ont été prises par la Géorgie en matière d</w:t>
      </w:r>
      <w:r w:rsidR="002127F6" w:rsidRPr="00FF65D6">
        <w:rPr>
          <w:lang w:val="fr-FR"/>
        </w:rPr>
        <w:t>’</w:t>
      </w:r>
      <w:r w:rsidRPr="00FF65D6">
        <w:rPr>
          <w:lang w:val="fr-FR"/>
        </w:rPr>
        <w:t>élaboration de politiques et au niveau institutionnel pour coordonner l</w:t>
      </w:r>
      <w:r w:rsidR="002127F6" w:rsidRPr="00FF65D6">
        <w:rPr>
          <w:lang w:val="fr-FR"/>
        </w:rPr>
        <w:t>’</w:t>
      </w:r>
      <w:r w:rsidRPr="00FF65D6">
        <w:rPr>
          <w:lang w:val="fr-FR"/>
        </w:rPr>
        <w:t>action de l</w:t>
      </w:r>
      <w:r w:rsidR="002127F6" w:rsidRPr="00FF65D6">
        <w:rPr>
          <w:lang w:val="fr-FR"/>
        </w:rPr>
        <w:t>’</w:t>
      </w:r>
      <w:r w:rsidRPr="00FF65D6">
        <w:rPr>
          <w:lang w:val="fr-FR"/>
        </w:rPr>
        <w:t>État aux fins de l</w:t>
      </w:r>
      <w:r w:rsidR="002127F6" w:rsidRPr="00FF65D6">
        <w:rPr>
          <w:lang w:val="fr-FR"/>
        </w:rPr>
        <w:t>’</w:t>
      </w:r>
      <w:r w:rsidRPr="00FF65D6">
        <w:rPr>
          <w:lang w:val="fr-FR"/>
        </w:rPr>
        <w:t>exercice effectif des droits de l</w:t>
      </w:r>
      <w:r w:rsidR="002127F6" w:rsidRPr="00FF65D6">
        <w:rPr>
          <w:lang w:val="fr-FR"/>
        </w:rPr>
        <w:t>’</w:t>
      </w:r>
      <w:r w:rsidRPr="00FF65D6">
        <w:rPr>
          <w:lang w:val="fr-FR"/>
        </w:rPr>
        <w:t>homme</w:t>
      </w:r>
      <w:r w:rsidR="005C1799" w:rsidRPr="005C1799">
        <w:rPr>
          <w:lang w:val="fr-FR"/>
        </w:rPr>
        <w:t>.</w:t>
      </w:r>
      <w:r w:rsidRPr="00FF65D6">
        <w:rPr>
          <w:lang w:val="fr-FR"/>
        </w:rPr>
        <w:t xml:space="preserve"> Parallèlement au Conseil de l</w:t>
      </w:r>
      <w:r w:rsidR="002127F6" w:rsidRPr="00FF65D6">
        <w:rPr>
          <w:lang w:val="fr-FR"/>
        </w:rPr>
        <w:t>’</w:t>
      </w:r>
      <w:r w:rsidRPr="00FF65D6">
        <w:rPr>
          <w:lang w:val="fr-FR"/>
        </w:rPr>
        <w:t>égalité des sexes présidé par un vice-président du Parlement, des postes spéciaux ont également été mis en place, tels que ceux de conseiller du Président pour les droits de l</w:t>
      </w:r>
      <w:r w:rsidR="002127F6" w:rsidRPr="00FF65D6">
        <w:rPr>
          <w:lang w:val="fr-FR"/>
        </w:rPr>
        <w:t>’</w:t>
      </w:r>
      <w:r w:rsidRPr="00FF65D6">
        <w:rPr>
          <w:lang w:val="fr-FR"/>
        </w:rPr>
        <w:t>homme, d</w:t>
      </w:r>
      <w:r w:rsidR="002127F6" w:rsidRPr="00FF65D6">
        <w:rPr>
          <w:lang w:val="fr-FR"/>
        </w:rPr>
        <w:t>’</w:t>
      </w:r>
      <w:r w:rsidRPr="00FF65D6">
        <w:rPr>
          <w:lang w:val="fr-FR"/>
        </w:rPr>
        <w:t>assistant du Premier Ministre sur les questions relatives aux droits de l</w:t>
      </w:r>
      <w:r w:rsidR="002127F6" w:rsidRPr="00FF65D6">
        <w:rPr>
          <w:lang w:val="fr-FR"/>
        </w:rPr>
        <w:t>’</w:t>
      </w:r>
      <w:r w:rsidRPr="00FF65D6">
        <w:rPr>
          <w:lang w:val="fr-FR"/>
        </w:rPr>
        <w:t>homme et à l</w:t>
      </w:r>
      <w:r w:rsidR="002127F6" w:rsidRPr="00FF65D6">
        <w:rPr>
          <w:lang w:val="fr-FR"/>
        </w:rPr>
        <w:t>’</w:t>
      </w:r>
      <w:r w:rsidRPr="00FF65D6">
        <w:rPr>
          <w:lang w:val="fr-FR"/>
        </w:rPr>
        <w:t>égalité des sexes, et d</w:t>
      </w:r>
      <w:r w:rsidR="002127F6" w:rsidRPr="00FF65D6">
        <w:rPr>
          <w:lang w:val="fr-FR"/>
        </w:rPr>
        <w:t>’</w:t>
      </w:r>
      <w:r w:rsidRPr="00FF65D6">
        <w:rPr>
          <w:lang w:val="fr-FR"/>
        </w:rPr>
        <w:t>ambassadeur chargé des droits de l</w:t>
      </w:r>
      <w:r w:rsidR="002127F6" w:rsidRPr="00FF65D6">
        <w:rPr>
          <w:lang w:val="fr-FR"/>
        </w:rPr>
        <w:t>’</w:t>
      </w:r>
      <w:r w:rsidRPr="00FF65D6">
        <w:rPr>
          <w:lang w:val="fr-FR"/>
        </w:rPr>
        <w:t>homme, au sein du Ministère des affaires étrangères</w:t>
      </w:r>
      <w:r w:rsidR="005C1799" w:rsidRPr="005C1799">
        <w:rPr>
          <w:lang w:val="fr-FR"/>
        </w:rPr>
        <w:t>.</w:t>
      </w:r>
      <w:r w:rsidRPr="00FF65D6">
        <w:rPr>
          <w:lang w:val="fr-FR"/>
        </w:rPr>
        <w:t xml:space="preserve"> Tant le Président que le Premier Ministre ont nommé des conseillers sur les questions relatives aux minorités nationales</w:t>
      </w:r>
      <w:r w:rsidR="005C1799" w:rsidRPr="005C1799">
        <w:rPr>
          <w:lang w:val="fr-FR"/>
        </w:rPr>
        <w:t>.</w:t>
      </w:r>
      <w:r w:rsidRPr="00FF65D6">
        <w:rPr>
          <w:lang w:val="fr-FR"/>
        </w:rPr>
        <w:t xml:space="preserve"> La Commission des droits de l</w:t>
      </w:r>
      <w:r w:rsidR="002127F6" w:rsidRPr="00FF65D6">
        <w:rPr>
          <w:lang w:val="fr-FR"/>
        </w:rPr>
        <w:t>’</w:t>
      </w:r>
      <w:r w:rsidRPr="00FF65D6">
        <w:rPr>
          <w:lang w:val="fr-FR"/>
        </w:rPr>
        <w:t>homme et de l</w:t>
      </w:r>
      <w:r w:rsidR="002127F6" w:rsidRPr="00FF65D6">
        <w:rPr>
          <w:lang w:val="fr-FR"/>
        </w:rPr>
        <w:t>’</w:t>
      </w:r>
      <w:r w:rsidRPr="00FF65D6">
        <w:rPr>
          <w:lang w:val="fr-FR"/>
        </w:rPr>
        <w:t>intégration civile, qui est l</w:t>
      </w:r>
      <w:r w:rsidR="002127F6" w:rsidRPr="00FF65D6">
        <w:rPr>
          <w:lang w:val="fr-FR"/>
        </w:rPr>
        <w:t>’</w:t>
      </w:r>
      <w:r w:rsidRPr="00FF65D6">
        <w:rPr>
          <w:lang w:val="fr-FR"/>
        </w:rPr>
        <w:t>une des commissions permanentes du Parlement géorgien, dispose de pouvoirs étendus pour suivre et évaluer la situation des droits de l</w:t>
      </w:r>
      <w:r w:rsidR="002127F6" w:rsidRPr="00FF65D6">
        <w:rPr>
          <w:lang w:val="fr-FR"/>
        </w:rPr>
        <w:t>’</w:t>
      </w:r>
      <w:r w:rsidRPr="00FF65D6">
        <w:rPr>
          <w:lang w:val="fr-FR"/>
        </w:rPr>
        <w:t>homme dans le pays et pour examiner les requêtes individuelles émanant de particuliers</w:t>
      </w:r>
      <w:r w:rsidR="005C1799" w:rsidRPr="005C1799">
        <w:rPr>
          <w:lang w:val="fr-FR"/>
        </w:rPr>
        <w:t>.</w:t>
      </w:r>
    </w:p>
    <w:p w14:paraId="23AED1FE" w14:textId="77777777" w:rsidR="005C5C6A" w:rsidRPr="00FF65D6" w:rsidRDefault="005C5C6A" w:rsidP="00F34341">
      <w:pPr>
        <w:pStyle w:val="SingleTxtG"/>
        <w:rPr>
          <w:lang w:val="fr-FR"/>
        </w:rPr>
      </w:pPr>
      <w:r w:rsidRPr="00FF65D6">
        <w:rPr>
          <w:lang w:val="fr-FR"/>
        </w:rPr>
        <w:t>8</w:t>
      </w:r>
      <w:r w:rsidR="005C1799" w:rsidRPr="005C1799">
        <w:rPr>
          <w:lang w:val="fr-FR"/>
        </w:rPr>
        <w:t>.</w:t>
      </w:r>
      <w:r w:rsidRPr="00FF65D6">
        <w:rPr>
          <w:lang w:val="fr-FR"/>
        </w:rPr>
        <w:tab/>
        <w:t>Le 30 avril 2014, le Parlement géorgien a adopté la stratégie nationale sur les droits de l</w:t>
      </w:r>
      <w:r w:rsidR="002127F6" w:rsidRPr="00FF65D6">
        <w:rPr>
          <w:lang w:val="fr-FR"/>
        </w:rPr>
        <w:t>’</w:t>
      </w:r>
      <w:r w:rsidRPr="00FF65D6">
        <w:rPr>
          <w:lang w:val="fr-FR"/>
        </w:rPr>
        <w:t>homme pour la période 2014-2020</w:t>
      </w:r>
      <w:r w:rsidR="005C1799" w:rsidRPr="005C1799">
        <w:rPr>
          <w:lang w:val="fr-FR"/>
        </w:rPr>
        <w:t>.</w:t>
      </w:r>
      <w:r w:rsidRPr="00FF65D6">
        <w:rPr>
          <w:lang w:val="fr-FR"/>
        </w:rPr>
        <w:t xml:space="preserve"> L</w:t>
      </w:r>
      <w:r w:rsidR="002127F6" w:rsidRPr="00FF65D6">
        <w:rPr>
          <w:lang w:val="fr-FR"/>
        </w:rPr>
        <w:t>’</w:t>
      </w:r>
      <w:r w:rsidRPr="00FF65D6">
        <w:rPr>
          <w:lang w:val="fr-FR"/>
        </w:rPr>
        <w:t>objectif principal de la stratégie est d</w:t>
      </w:r>
      <w:r w:rsidR="002127F6" w:rsidRPr="00FF65D6">
        <w:rPr>
          <w:lang w:val="fr-FR"/>
        </w:rPr>
        <w:t>’</w:t>
      </w:r>
      <w:r w:rsidRPr="00FF65D6">
        <w:rPr>
          <w:lang w:val="fr-FR"/>
        </w:rPr>
        <w:t>élaborer une approche globale pour garantir l</w:t>
      </w:r>
      <w:r w:rsidR="002127F6" w:rsidRPr="00FF65D6">
        <w:rPr>
          <w:lang w:val="fr-FR"/>
        </w:rPr>
        <w:t>’</w:t>
      </w:r>
      <w:r w:rsidRPr="00FF65D6">
        <w:rPr>
          <w:lang w:val="fr-FR"/>
        </w:rPr>
        <w:t>exécution des obligations découlant des instruments internationaux relatifs aux droits de l</w:t>
      </w:r>
      <w:r w:rsidR="002127F6" w:rsidRPr="00FF65D6">
        <w:rPr>
          <w:lang w:val="fr-FR"/>
        </w:rPr>
        <w:t>’</w:t>
      </w:r>
      <w:r w:rsidRPr="00FF65D6">
        <w:rPr>
          <w:lang w:val="fr-FR"/>
        </w:rPr>
        <w:t>homme dans la vie quotidienne en vue d</w:t>
      </w:r>
      <w:r w:rsidR="002127F6" w:rsidRPr="00FF65D6">
        <w:rPr>
          <w:lang w:val="fr-FR"/>
        </w:rPr>
        <w:t>’</w:t>
      </w:r>
      <w:r w:rsidRPr="00FF65D6">
        <w:rPr>
          <w:lang w:val="fr-FR"/>
        </w:rPr>
        <w:t xml:space="preserve">établir une politique </w:t>
      </w:r>
      <w:proofErr w:type="spellStart"/>
      <w:r w:rsidRPr="00FF65D6">
        <w:rPr>
          <w:lang w:val="fr-FR"/>
        </w:rPr>
        <w:t>interinstitutions</w:t>
      </w:r>
      <w:proofErr w:type="spellEnd"/>
      <w:r w:rsidRPr="00FF65D6">
        <w:rPr>
          <w:lang w:val="fr-FR"/>
        </w:rPr>
        <w:t xml:space="preserve"> multisectorielle, unifiée et cohérente et, en conséquence, d</w:t>
      </w:r>
      <w:r w:rsidR="002127F6" w:rsidRPr="00FF65D6">
        <w:rPr>
          <w:lang w:val="fr-FR"/>
        </w:rPr>
        <w:t>’</w:t>
      </w:r>
      <w:r w:rsidRPr="00FF65D6">
        <w:rPr>
          <w:lang w:val="fr-FR"/>
        </w:rPr>
        <w:t>assurer une bonne gouvernance</w:t>
      </w:r>
      <w:r w:rsidR="005C1799" w:rsidRPr="005C1799">
        <w:rPr>
          <w:lang w:val="fr-FR"/>
        </w:rPr>
        <w:t>.</w:t>
      </w:r>
      <w:r w:rsidRPr="00FF65D6">
        <w:rPr>
          <w:lang w:val="fr-FR"/>
        </w:rPr>
        <w:t xml:space="preserve"> Le treizième objectif stratégique du document porte sur les droits de l</w:t>
      </w:r>
      <w:r w:rsidR="002127F6" w:rsidRPr="00FF65D6">
        <w:rPr>
          <w:lang w:val="fr-FR"/>
        </w:rPr>
        <w:t>’</w:t>
      </w:r>
      <w:r w:rsidRPr="00FF65D6">
        <w:rPr>
          <w:lang w:val="fr-FR"/>
        </w:rPr>
        <w:t>enfant, en particulier sur l</w:t>
      </w:r>
      <w:r w:rsidR="002127F6" w:rsidRPr="00FF65D6">
        <w:rPr>
          <w:lang w:val="fr-FR"/>
        </w:rPr>
        <w:t>’</w:t>
      </w:r>
      <w:r w:rsidRPr="00FF65D6">
        <w:rPr>
          <w:lang w:val="fr-FR"/>
        </w:rPr>
        <w:t>amélioration des mécanismes de protection et d</w:t>
      </w:r>
      <w:r w:rsidR="002127F6" w:rsidRPr="00FF65D6">
        <w:rPr>
          <w:lang w:val="fr-FR"/>
        </w:rPr>
        <w:t>’</w:t>
      </w:r>
      <w:r w:rsidRPr="00FF65D6">
        <w:rPr>
          <w:lang w:val="fr-FR"/>
        </w:rPr>
        <w:t>aide existants, la prestation de services sociaux, la réduction des taux de pauvreté et de mortalité des enfants et les moyens de garantir un enseignement de qualité</w:t>
      </w:r>
      <w:r w:rsidR="005C1799" w:rsidRPr="005C1799">
        <w:rPr>
          <w:lang w:val="fr-FR"/>
        </w:rPr>
        <w:t>.</w:t>
      </w:r>
      <w:r w:rsidRPr="00FF65D6">
        <w:rPr>
          <w:lang w:val="fr-FR"/>
        </w:rPr>
        <w:t xml:space="preserve"> </w:t>
      </w:r>
    </w:p>
    <w:p w14:paraId="04BAD458" w14:textId="77777777" w:rsidR="005C5C6A" w:rsidRPr="00FF65D6" w:rsidRDefault="005C5C6A" w:rsidP="00F34341">
      <w:pPr>
        <w:pStyle w:val="SingleTxtG"/>
        <w:rPr>
          <w:lang w:val="fr-FR"/>
        </w:rPr>
      </w:pPr>
      <w:r w:rsidRPr="00FF65D6">
        <w:rPr>
          <w:lang w:val="fr-FR"/>
        </w:rPr>
        <w:t>9</w:t>
      </w:r>
      <w:r w:rsidR="005C1799" w:rsidRPr="005C1799">
        <w:rPr>
          <w:lang w:val="fr-FR"/>
        </w:rPr>
        <w:t>.</w:t>
      </w:r>
      <w:r w:rsidRPr="00FF65D6">
        <w:rPr>
          <w:lang w:val="fr-FR"/>
        </w:rPr>
        <w:tab/>
        <w:t>Pour mettre en œuvre la stratégie, le Gouvernement, à l</w:t>
      </w:r>
      <w:r w:rsidR="002127F6" w:rsidRPr="00FF65D6">
        <w:rPr>
          <w:lang w:val="fr-FR"/>
        </w:rPr>
        <w:t>’</w:t>
      </w:r>
      <w:r w:rsidRPr="00FF65D6">
        <w:rPr>
          <w:lang w:val="fr-FR"/>
        </w:rPr>
        <w:t>issue d</w:t>
      </w:r>
      <w:r w:rsidR="002127F6" w:rsidRPr="00FF65D6">
        <w:rPr>
          <w:lang w:val="fr-FR"/>
        </w:rPr>
        <w:t>’</w:t>
      </w:r>
      <w:r w:rsidRPr="00FF65D6">
        <w:rPr>
          <w:lang w:val="fr-FR"/>
        </w:rPr>
        <w:t>un processus d</w:t>
      </w:r>
      <w:r w:rsidR="002127F6" w:rsidRPr="00FF65D6">
        <w:rPr>
          <w:lang w:val="fr-FR"/>
        </w:rPr>
        <w:t>’</w:t>
      </w:r>
      <w:r w:rsidRPr="00FF65D6">
        <w:rPr>
          <w:lang w:val="fr-FR"/>
        </w:rPr>
        <w:t>élaboration inclusif et ouvert, a, le 9 juillet 2014, adopté le Plan d</w:t>
      </w:r>
      <w:r w:rsidR="002127F6" w:rsidRPr="00FF65D6">
        <w:rPr>
          <w:lang w:val="fr-FR"/>
        </w:rPr>
        <w:t>’</w:t>
      </w:r>
      <w:r w:rsidRPr="00FF65D6">
        <w:rPr>
          <w:lang w:val="fr-FR"/>
        </w:rPr>
        <w:t>action gouvernemental sur les droits de l</w:t>
      </w:r>
      <w:r w:rsidR="002127F6" w:rsidRPr="00FF65D6">
        <w:rPr>
          <w:lang w:val="fr-FR"/>
        </w:rPr>
        <w:t>’</w:t>
      </w:r>
      <w:r w:rsidRPr="00FF65D6">
        <w:rPr>
          <w:lang w:val="fr-FR"/>
        </w:rPr>
        <w:t>homme pour 2014</w:t>
      </w:r>
      <w:r w:rsidR="00141627">
        <w:rPr>
          <w:lang w:val="fr-FR"/>
        </w:rPr>
        <w:t>-</w:t>
      </w:r>
      <w:r w:rsidRPr="00FF65D6">
        <w:rPr>
          <w:lang w:val="fr-FR"/>
        </w:rPr>
        <w:t>2015</w:t>
      </w:r>
      <w:r w:rsidR="005C1799" w:rsidRPr="005C1799">
        <w:rPr>
          <w:lang w:val="fr-FR"/>
        </w:rPr>
        <w:t>.</w:t>
      </w:r>
      <w:r w:rsidRPr="00FF65D6">
        <w:rPr>
          <w:lang w:val="fr-FR"/>
        </w:rPr>
        <w:t xml:space="preserve"> Le processus a inclus une analyse des rapports locaux et internationaux pertinents ainsi que des consultations avec les organisations locales et internationales</w:t>
      </w:r>
      <w:r w:rsidR="005C1799" w:rsidRPr="005C1799">
        <w:rPr>
          <w:lang w:val="fr-FR"/>
        </w:rPr>
        <w:t>.</w:t>
      </w:r>
      <w:r w:rsidRPr="00FF65D6">
        <w:rPr>
          <w:lang w:val="fr-FR"/>
        </w:rPr>
        <w:t xml:space="preserve"> Le 13 juin 2016, le Gouvernement a approuvé un nouveau plan d</w:t>
      </w:r>
      <w:r w:rsidR="002127F6" w:rsidRPr="00FF65D6">
        <w:rPr>
          <w:lang w:val="fr-FR"/>
        </w:rPr>
        <w:t>’</w:t>
      </w:r>
      <w:r w:rsidRPr="00FF65D6">
        <w:rPr>
          <w:lang w:val="fr-FR"/>
        </w:rPr>
        <w:t>action pour 2016</w:t>
      </w:r>
      <w:r w:rsidR="005D46A0" w:rsidRPr="00FF65D6">
        <w:rPr>
          <w:lang w:val="fr-FR"/>
        </w:rPr>
        <w:t>-</w:t>
      </w:r>
      <w:r w:rsidRPr="00FF65D6">
        <w:rPr>
          <w:lang w:val="fr-FR"/>
        </w:rPr>
        <w:t>2017, qui tient compte des nouveaux engagements en matière de protection des droits de l</w:t>
      </w:r>
      <w:r w:rsidR="002127F6" w:rsidRPr="00FF65D6">
        <w:rPr>
          <w:lang w:val="fr-FR"/>
        </w:rPr>
        <w:t>’</w:t>
      </w:r>
      <w:r w:rsidRPr="00FF65D6">
        <w:rPr>
          <w:lang w:val="fr-FR"/>
        </w:rPr>
        <w:t>enfant</w:t>
      </w:r>
      <w:r w:rsidR="005C1799" w:rsidRPr="005C1799">
        <w:rPr>
          <w:lang w:val="fr-FR"/>
        </w:rPr>
        <w:t>.</w:t>
      </w:r>
      <w:r w:rsidRPr="00FF65D6">
        <w:rPr>
          <w:lang w:val="fr-FR"/>
        </w:rPr>
        <w:t xml:space="preserve"> Plus précisément, le </w:t>
      </w:r>
      <w:r w:rsidR="00EE03CA">
        <w:rPr>
          <w:lang w:val="fr-FR"/>
        </w:rPr>
        <w:t>P</w:t>
      </w:r>
      <w:r w:rsidRPr="00FF65D6">
        <w:rPr>
          <w:lang w:val="fr-FR"/>
        </w:rPr>
        <w:t>lan d</w:t>
      </w:r>
      <w:r w:rsidR="002127F6" w:rsidRPr="00FF65D6">
        <w:rPr>
          <w:lang w:val="fr-FR"/>
        </w:rPr>
        <w:t>’</w:t>
      </w:r>
      <w:r w:rsidRPr="00FF65D6">
        <w:rPr>
          <w:lang w:val="fr-FR"/>
        </w:rPr>
        <w:t>action sur les droits de l</w:t>
      </w:r>
      <w:r w:rsidR="002127F6" w:rsidRPr="00FF65D6">
        <w:rPr>
          <w:lang w:val="fr-FR"/>
        </w:rPr>
        <w:t>’</w:t>
      </w:r>
      <w:r w:rsidRPr="00FF65D6">
        <w:rPr>
          <w:lang w:val="fr-FR"/>
        </w:rPr>
        <w:t>homme pour 2016</w:t>
      </w:r>
      <w:r w:rsidR="005D46A0" w:rsidRPr="00FF65D6">
        <w:rPr>
          <w:lang w:val="fr-FR"/>
        </w:rPr>
        <w:t>-</w:t>
      </w:r>
      <w:r w:rsidRPr="00FF65D6">
        <w:rPr>
          <w:lang w:val="fr-FR"/>
        </w:rPr>
        <w:t>2017 comprend un chapitre sur la protection des droits de l</w:t>
      </w:r>
      <w:r w:rsidR="002127F6" w:rsidRPr="00FF65D6">
        <w:rPr>
          <w:lang w:val="fr-FR"/>
        </w:rPr>
        <w:t>’</w:t>
      </w:r>
      <w:r w:rsidRPr="00FF65D6">
        <w:rPr>
          <w:lang w:val="fr-FR"/>
        </w:rPr>
        <w:t>enfant qui couvre le renforcement du système de protection et d</w:t>
      </w:r>
      <w:r w:rsidR="002127F6" w:rsidRPr="00FF65D6">
        <w:rPr>
          <w:lang w:val="fr-FR"/>
        </w:rPr>
        <w:t>’</w:t>
      </w:r>
      <w:r w:rsidRPr="00FF65D6">
        <w:rPr>
          <w:lang w:val="fr-FR"/>
        </w:rPr>
        <w:t>aide en faveur des enfants</w:t>
      </w:r>
      <w:r w:rsidR="003B7618" w:rsidRPr="00FF65D6">
        <w:rPr>
          <w:lang w:val="fr-FR"/>
        </w:rPr>
        <w:t> ;</w:t>
      </w:r>
      <w:r w:rsidRPr="00FF65D6">
        <w:rPr>
          <w:lang w:val="fr-FR"/>
        </w:rPr>
        <w:t xml:space="preserve"> l</w:t>
      </w:r>
      <w:r w:rsidR="002127F6" w:rsidRPr="00FF65D6">
        <w:rPr>
          <w:lang w:val="fr-FR"/>
        </w:rPr>
        <w:t>’</w:t>
      </w:r>
      <w:r w:rsidRPr="00FF65D6">
        <w:rPr>
          <w:lang w:val="fr-FR"/>
        </w:rPr>
        <w:t>amélioration des services en faveur des enfants vulnérables</w:t>
      </w:r>
      <w:r w:rsidR="003B7618" w:rsidRPr="00FF65D6">
        <w:rPr>
          <w:lang w:val="fr-FR"/>
        </w:rPr>
        <w:t> ;</w:t>
      </w:r>
      <w:r w:rsidRPr="00FF65D6">
        <w:rPr>
          <w:lang w:val="fr-FR"/>
        </w:rPr>
        <w:t xml:space="preserve"> l</w:t>
      </w:r>
      <w:r w:rsidR="002127F6" w:rsidRPr="00FF65D6">
        <w:rPr>
          <w:lang w:val="fr-FR"/>
        </w:rPr>
        <w:t>’</w:t>
      </w:r>
      <w:r w:rsidRPr="00FF65D6">
        <w:rPr>
          <w:lang w:val="fr-FR"/>
        </w:rPr>
        <w:t>élimination de la pauvreté des enfants</w:t>
      </w:r>
      <w:r w:rsidR="005C1799" w:rsidRPr="005C1799">
        <w:rPr>
          <w:lang w:val="fr-FR"/>
        </w:rPr>
        <w:t>.</w:t>
      </w:r>
    </w:p>
    <w:p w14:paraId="0E70E9FF" w14:textId="77777777" w:rsidR="005C5C6A" w:rsidRPr="00FF65D6" w:rsidRDefault="005C5C6A" w:rsidP="00F34341">
      <w:pPr>
        <w:pStyle w:val="SingleTxtG"/>
        <w:rPr>
          <w:lang w:val="fr-FR"/>
        </w:rPr>
      </w:pPr>
      <w:r w:rsidRPr="00FF65D6">
        <w:rPr>
          <w:lang w:val="fr-FR"/>
        </w:rPr>
        <w:t>10</w:t>
      </w:r>
      <w:r w:rsidR="005C1799" w:rsidRPr="005C1799">
        <w:rPr>
          <w:lang w:val="fr-FR"/>
        </w:rPr>
        <w:t>.</w:t>
      </w:r>
      <w:r w:rsidRPr="00FF65D6">
        <w:rPr>
          <w:lang w:val="fr-FR"/>
        </w:rPr>
        <w:tab/>
        <w:t xml:space="preserve">Un conseil </w:t>
      </w:r>
      <w:proofErr w:type="spellStart"/>
      <w:r w:rsidRPr="00FF65D6">
        <w:rPr>
          <w:lang w:val="fr-FR"/>
        </w:rPr>
        <w:t>interinstitutions</w:t>
      </w:r>
      <w:proofErr w:type="spellEnd"/>
      <w:r w:rsidRPr="00FF65D6">
        <w:rPr>
          <w:lang w:val="fr-FR"/>
        </w:rPr>
        <w:t xml:space="preserve"> présidé par le Premier Ministre a été créé pour coordonner et suivre le processus de mise en œuvre du plan d</w:t>
      </w:r>
      <w:r w:rsidR="002127F6" w:rsidRPr="00FF65D6">
        <w:rPr>
          <w:lang w:val="fr-FR"/>
        </w:rPr>
        <w:t>’</w:t>
      </w:r>
      <w:r w:rsidRPr="00FF65D6">
        <w:rPr>
          <w:lang w:val="fr-FR"/>
        </w:rPr>
        <w:t>action</w:t>
      </w:r>
      <w:r w:rsidR="005C1799" w:rsidRPr="005C1799">
        <w:rPr>
          <w:lang w:val="fr-FR"/>
        </w:rPr>
        <w:t>.</w:t>
      </w:r>
      <w:r w:rsidRPr="00FF65D6">
        <w:rPr>
          <w:lang w:val="fr-FR"/>
        </w:rPr>
        <w:t xml:space="preserve"> Tous les ministres sont membres du Conseil et le Défenseur public de la Géorgie ainsi que des organisations non gouvernementales et des organisations internationales ont un droit de vote au sein du Conseil</w:t>
      </w:r>
      <w:r w:rsidR="005C1799" w:rsidRPr="005C1799">
        <w:rPr>
          <w:lang w:val="fr-FR"/>
        </w:rPr>
        <w:t>.</w:t>
      </w:r>
      <w:r w:rsidRPr="00FF65D6">
        <w:rPr>
          <w:lang w:val="fr-FR"/>
        </w:rPr>
        <w:t xml:space="preserve"> Pour apporter une garantie supplémentaire de la mise en œuvre effective du plan d</w:t>
      </w:r>
      <w:r w:rsidR="002127F6" w:rsidRPr="00FF65D6">
        <w:rPr>
          <w:lang w:val="fr-FR"/>
        </w:rPr>
        <w:t>’</w:t>
      </w:r>
      <w:r w:rsidRPr="00FF65D6">
        <w:rPr>
          <w:lang w:val="fr-FR"/>
        </w:rPr>
        <w:t>action, le Secrétariat aux droits de l</w:t>
      </w:r>
      <w:r w:rsidR="002127F6" w:rsidRPr="00FF65D6">
        <w:rPr>
          <w:lang w:val="fr-FR"/>
        </w:rPr>
        <w:t>’</w:t>
      </w:r>
      <w:r w:rsidRPr="00FF65D6">
        <w:rPr>
          <w:lang w:val="fr-FR"/>
        </w:rPr>
        <w:t xml:space="preserve">homme, responsable de la coordination </w:t>
      </w:r>
      <w:proofErr w:type="spellStart"/>
      <w:r w:rsidRPr="00FF65D6">
        <w:rPr>
          <w:lang w:val="fr-FR"/>
        </w:rPr>
        <w:t>interinstitutions</w:t>
      </w:r>
      <w:proofErr w:type="spellEnd"/>
      <w:r w:rsidRPr="00FF65D6">
        <w:rPr>
          <w:lang w:val="fr-FR"/>
        </w:rPr>
        <w:t xml:space="preserve"> productive et du suivi de près de l</w:t>
      </w:r>
      <w:r w:rsidR="002127F6" w:rsidRPr="00FF65D6">
        <w:rPr>
          <w:lang w:val="fr-FR"/>
        </w:rPr>
        <w:t>’</w:t>
      </w:r>
      <w:r w:rsidRPr="00FF65D6">
        <w:rPr>
          <w:lang w:val="fr-FR"/>
        </w:rPr>
        <w:t>exécution du plan d</w:t>
      </w:r>
      <w:r w:rsidR="002127F6" w:rsidRPr="00FF65D6">
        <w:rPr>
          <w:lang w:val="fr-FR"/>
        </w:rPr>
        <w:t>’</w:t>
      </w:r>
      <w:r w:rsidRPr="00FF65D6">
        <w:rPr>
          <w:lang w:val="fr-FR"/>
        </w:rPr>
        <w:t>action a été mis en place dans le Cabinet du Premier Ministre, qui fait partie de l</w:t>
      </w:r>
      <w:r w:rsidR="002127F6" w:rsidRPr="00FF65D6">
        <w:rPr>
          <w:lang w:val="fr-FR"/>
        </w:rPr>
        <w:t>’</w:t>
      </w:r>
      <w:r w:rsidRPr="00FF65D6">
        <w:rPr>
          <w:lang w:val="fr-FR"/>
        </w:rPr>
        <w:t>administration publique</w:t>
      </w:r>
      <w:r w:rsidR="005C1799" w:rsidRPr="005C1799">
        <w:rPr>
          <w:lang w:val="fr-FR"/>
        </w:rPr>
        <w:t>.</w:t>
      </w:r>
      <w:r w:rsidRPr="00FF65D6">
        <w:rPr>
          <w:lang w:val="fr-FR"/>
        </w:rPr>
        <w:t xml:space="preserve"> Le Conseil rend des comptes au Parlement au moyen de rapports annuels</w:t>
      </w:r>
      <w:r w:rsidR="005C1799" w:rsidRPr="005C1799">
        <w:rPr>
          <w:lang w:val="fr-FR"/>
        </w:rPr>
        <w:t>.</w:t>
      </w:r>
    </w:p>
    <w:p w14:paraId="1CCD8DB1" w14:textId="77777777" w:rsidR="005C5C6A" w:rsidRPr="00FF65D6" w:rsidRDefault="005C5C6A" w:rsidP="00F34341">
      <w:pPr>
        <w:pStyle w:val="SingleTxtG"/>
        <w:rPr>
          <w:lang w:val="fr-FR"/>
        </w:rPr>
      </w:pPr>
      <w:r w:rsidRPr="00FF65D6">
        <w:rPr>
          <w:lang w:val="fr-FR"/>
        </w:rPr>
        <w:t>11</w:t>
      </w:r>
      <w:r w:rsidR="005C1799" w:rsidRPr="005C1799">
        <w:rPr>
          <w:lang w:val="fr-FR"/>
        </w:rPr>
        <w:t>.</w:t>
      </w:r>
      <w:r w:rsidRPr="00FF65D6">
        <w:rPr>
          <w:lang w:val="fr-FR"/>
        </w:rPr>
        <w:tab/>
        <w:t>En outre, en décembre 2016, conformément aux recommandations du Comité des droits de l</w:t>
      </w:r>
      <w:r w:rsidR="002127F6" w:rsidRPr="00FF65D6">
        <w:rPr>
          <w:lang w:val="fr-FR"/>
        </w:rPr>
        <w:t>’</w:t>
      </w:r>
      <w:r w:rsidRPr="00FF65D6">
        <w:rPr>
          <w:lang w:val="fr-FR"/>
        </w:rPr>
        <w:t xml:space="preserve">enfant, le Gouvernement géorgien a créé une Commission </w:t>
      </w:r>
      <w:proofErr w:type="spellStart"/>
      <w:r w:rsidRPr="00FF65D6">
        <w:rPr>
          <w:lang w:val="fr-FR"/>
        </w:rPr>
        <w:t>interinstitutions</w:t>
      </w:r>
      <w:proofErr w:type="spellEnd"/>
      <w:r w:rsidRPr="00FF65D6">
        <w:rPr>
          <w:lang w:val="fr-FR"/>
        </w:rPr>
        <w:t xml:space="preserve"> chargée de la mise en œuvre de la Convention relative aux droits de l</w:t>
      </w:r>
      <w:r w:rsidR="002127F6" w:rsidRPr="00FF65D6">
        <w:rPr>
          <w:lang w:val="fr-FR"/>
        </w:rPr>
        <w:t>’</w:t>
      </w:r>
      <w:r w:rsidRPr="00FF65D6">
        <w:rPr>
          <w:lang w:val="fr-FR"/>
        </w:rPr>
        <w:t>enfant</w:t>
      </w:r>
      <w:r w:rsidR="005C1799" w:rsidRPr="005C1799">
        <w:rPr>
          <w:lang w:val="fr-FR"/>
        </w:rPr>
        <w:t>.</w:t>
      </w:r>
      <w:r w:rsidRPr="00FF65D6">
        <w:rPr>
          <w:lang w:val="fr-FR"/>
        </w:rPr>
        <w:t xml:space="preserve"> La Commission est un mécanisme de coordination, pour la mise en œuvre effective des obligations liées aux questions relatives aux droits de l</w:t>
      </w:r>
      <w:r w:rsidR="002127F6" w:rsidRPr="00FF65D6">
        <w:rPr>
          <w:lang w:val="fr-FR"/>
        </w:rPr>
        <w:t>’</w:t>
      </w:r>
      <w:r w:rsidRPr="00FF65D6">
        <w:rPr>
          <w:lang w:val="fr-FR"/>
        </w:rPr>
        <w:t>enfant, entre les différents organismes gouvernementaux au niveau central et local, ainsi qu</w:t>
      </w:r>
      <w:r w:rsidR="002127F6" w:rsidRPr="00FF65D6">
        <w:rPr>
          <w:lang w:val="fr-FR"/>
        </w:rPr>
        <w:t>’</w:t>
      </w:r>
      <w:r w:rsidRPr="00FF65D6">
        <w:rPr>
          <w:lang w:val="fr-FR"/>
        </w:rPr>
        <w:t>entre le Gouvernement et la société civile</w:t>
      </w:r>
      <w:r w:rsidR="005C1799" w:rsidRPr="005C1799">
        <w:rPr>
          <w:lang w:val="fr-FR"/>
        </w:rPr>
        <w:t>.</w:t>
      </w:r>
      <w:r w:rsidRPr="00FF65D6">
        <w:rPr>
          <w:lang w:val="fr-FR"/>
        </w:rPr>
        <w:t xml:space="preserve"> La Commission </w:t>
      </w:r>
      <w:proofErr w:type="spellStart"/>
      <w:r w:rsidRPr="00FF65D6">
        <w:rPr>
          <w:lang w:val="fr-FR"/>
        </w:rPr>
        <w:t>interinstitutions</w:t>
      </w:r>
      <w:proofErr w:type="spellEnd"/>
      <w:r w:rsidRPr="00FF65D6">
        <w:rPr>
          <w:lang w:val="fr-FR"/>
        </w:rPr>
        <w:t xml:space="preserve"> est un organe au niveau du ministre adjoint, qui est coprésidé par le chef du Secrétariat aux droits de l</w:t>
      </w:r>
      <w:r w:rsidR="002127F6" w:rsidRPr="00FF65D6">
        <w:rPr>
          <w:lang w:val="fr-FR"/>
        </w:rPr>
        <w:t>’</w:t>
      </w:r>
      <w:r w:rsidRPr="00FF65D6">
        <w:rPr>
          <w:lang w:val="fr-FR"/>
        </w:rPr>
        <w:t>homme de l</w:t>
      </w:r>
      <w:r w:rsidR="002127F6" w:rsidRPr="00FF65D6">
        <w:rPr>
          <w:lang w:val="fr-FR"/>
        </w:rPr>
        <w:t>’</w:t>
      </w:r>
      <w:r w:rsidRPr="00FF65D6">
        <w:rPr>
          <w:lang w:val="fr-FR"/>
        </w:rPr>
        <w:t>administration géorgienne et le Ministre adjoint des affaires étrangères</w:t>
      </w:r>
      <w:r w:rsidR="005C1799" w:rsidRPr="005C1799">
        <w:rPr>
          <w:lang w:val="fr-FR"/>
        </w:rPr>
        <w:t>.</w:t>
      </w:r>
      <w:r w:rsidRPr="00FF65D6">
        <w:rPr>
          <w:lang w:val="fr-FR"/>
        </w:rPr>
        <w:t xml:space="preserve"> La Commission collabore avec le pouvoir judiciaire, le Parlement, le </w:t>
      </w:r>
      <w:r w:rsidR="00F33173">
        <w:rPr>
          <w:lang w:val="fr-FR"/>
        </w:rPr>
        <w:t>Bureau du Défenseur public</w:t>
      </w:r>
      <w:r w:rsidRPr="00FF65D6">
        <w:rPr>
          <w:lang w:val="fr-FR"/>
        </w:rPr>
        <w:t>, des ONG et les représentants du Fonds des Nations Unies pour l</w:t>
      </w:r>
      <w:r w:rsidR="002127F6" w:rsidRPr="00FF65D6">
        <w:rPr>
          <w:lang w:val="fr-FR"/>
        </w:rPr>
        <w:t>’</w:t>
      </w:r>
      <w:r w:rsidRPr="00FF65D6">
        <w:rPr>
          <w:lang w:val="fr-FR"/>
        </w:rPr>
        <w:t>enfance (UNICEF)</w:t>
      </w:r>
      <w:r w:rsidR="005C1799" w:rsidRPr="005C1799">
        <w:rPr>
          <w:lang w:val="fr-FR"/>
        </w:rPr>
        <w:t>.</w:t>
      </w:r>
      <w:r w:rsidRPr="00FF65D6">
        <w:rPr>
          <w:lang w:val="fr-FR"/>
        </w:rPr>
        <w:t xml:space="preserve"> La Commission rend compte au Conseil des droits de l</w:t>
      </w:r>
      <w:r w:rsidR="002127F6" w:rsidRPr="00FF65D6">
        <w:rPr>
          <w:lang w:val="fr-FR"/>
        </w:rPr>
        <w:t>’</w:t>
      </w:r>
      <w:r w:rsidRPr="00FF65D6">
        <w:rPr>
          <w:lang w:val="fr-FR"/>
        </w:rPr>
        <w:t>homme et lui soumet un rapport annuel</w:t>
      </w:r>
      <w:r w:rsidR="005C1799" w:rsidRPr="005C1799">
        <w:rPr>
          <w:lang w:val="fr-FR"/>
        </w:rPr>
        <w:t>.</w:t>
      </w:r>
    </w:p>
    <w:p w14:paraId="14C17FAB" w14:textId="77777777" w:rsidR="005C5C6A" w:rsidRPr="00FF65D6" w:rsidRDefault="005C5C6A" w:rsidP="00F34341">
      <w:pPr>
        <w:pStyle w:val="SingleTxtG"/>
        <w:rPr>
          <w:lang w:val="fr-FR"/>
        </w:rPr>
      </w:pPr>
      <w:r w:rsidRPr="00FF65D6">
        <w:rPr>
          <w:lang w:val="fr-FR"/>
        </w:rPr>
        <w:t>12</w:t>
      </w:r>
      <w:r w:rsidR="005C1799" w:rsidRPr="005C1799">
        <w:rPr>
          <w:lang w:val="fr-FR"/>
        </w:rPr>
        <w:t>.</w:t>
      </w:r>
      <w:r w:rsidRPr="00FF65D6">
        <w:rPr>
          <w:lang w:val="fr-FR"/>
        </w:rPr>
        <w:tab/>
        <w:t xml:space="preserve">Le Conseil </w:t>
      </w:r>
      <w:proofErr w:type="spellStart"/>
      <w:r w:rsidRPr="00FF65D6">
        <w:rPr>
          <w:lang w:val="fr-FR"/>
        </w:rPr>
        <w:t>interinstitutions</w:t>
      </w:r>
      <w:proofErr w:type="spellEnd"/>
      <w:r w:rsidRPr="00FF65D6">
        <w:rPr>
          <w:lang w:val="fr-FR"/>
        </w:rPr>
        <w:t xml:space="preserve"> pour la lutte contre la traite des êtres humains (Conseil pour la lutte contre la traite) créé en 2006 joue un rôle crucial dans la prise de mesures substantielles et la coordination de la politique </w:t>
      </w:r>
      <w:proofErr w:type="spellStart"/>
      <w:r w:rsidRPr="00FF65D6">
        <w:rPr>
          <w:lang w:val="fr-FR"/>
        </w:rPr>
        <w:t>interinstitutions</w:t>
      </w:r>
      <w:proofErr w:type="spellEnd"/>
      <w:r w:rsidRPr="00FF65D6">
        <w:rPr>
          <w:lang w:val="fr-FR"/>
        </w:rPr>
        <w:t xml:space="preserve"> de lutte contre la traite des êtres humains</w:t>
      </w:r>
      <w:r w:rsidR="005C1799" w:rsidRPr="005C1799">
        <w:rPr>
          <w:lang w:val="fr-FR"/>
        </w:rPr>
        <w:t>.</w:t>
      </w:r>
      <w:r w:rsidRPr="00FF65D6">
        <w:rPr>
          <w:lang w:val="fr-FR"/>
        </w:rPr>
        <w:t xml:space="preserve"> Ce Conseil est présidé par le Ministre de la justice et composé de représentants de tous les ministères d</w:t>
      </w:r>
      <w:r w:rsidR="002127F6" w:rsidRPr="00FF65D6">
        <w:rPr>
          <w:lang w:val="fr-FR"/>
        </w:rPr>
        <w:t>’</w:t>
      </w:r>
      <w:r w:rsidRPr="00FF65D6">
        <w:rPr>
          <w:lang w:val="fr-FR"/>
        </w:rPr>
        <w:t>exécution et organismes compétents (Ministère de l</w:t>
      </w:r>
      <w:r w:rsidR="002127F6" w:rsidRPr="00FF65D6">
        <w:rPr>
          <w:lang w:val="fr-FR"/>
        </w:rPr>
        <w:t>’</w:t>
      </w:r>
      <w:r w:rsidRPr="00FF65D6">
        <w:rPr>
          <w:lang w:val="fr-FR"/>
        </w:rPr>
        <w:t>intérieur, Bureau du Procureur général, Ministère des affaires étrangères, Ministère du travail, de la santé et des affaires sociales, Ministère de l</w:t>
      </w:r>
      <w:r w:rsidR="002127F6" w:rsidRPr="00FF65D6">
        <w:rPr>
          <w:lang w:val="fr-FR"/>
        </w:rPr>
        <w:t>’</w:t>
      </w:r>
      <w:r w:rsidRPr="00FF65D6">
        <w:rPr>
          <w:lang w:val="fr-FR"/>
        </w:rPr>
        <w:t>économie et du développement durable, Ministère de l</w:t>
      </w:r>
      <w:r w:rsidR="002127F6" w:rsidRPr="00FF65D6">
        <w:rPr>
          <w:lang w:val="fr-FR"/>
        </w:rPr>
        <w:t>’</w:t>
      </w:r>
      <w:r w:rsidRPr="00FF65D6">
        <w:rPr>
          <w:lang w:val="fr-FR"/>
        </w:rPr>
        <w:t>éducation et des sciences, Ministère d</w:t>
      </w:r>
      <w:r w:rsidR="002127F6" w:rsidRPr="00FF65D6">
        <w:rPr>
          <w:lang w:val="fr-FR"/>
        </w:rPr>
        <w:t>’</w:t>
      </w:r>
      <w:r w:rsidRPr="00FF65D6">
        <w:rPr>
          <w:lang w:val="fr-FR"/>
        </w:rPr>
        <w:t>État chargé des questions de diaspora, Secrétaire parlementaire du Gouvernement géorgien, Fonds national pour la fourniture d</w:t>
      </w:r>
      <w:r w:rsidR="002127F6" w:rsidRPr="00FF65D6">
        <w:rPr>
          <w:lang w:val="fr-FR"/>
        </w:rPr>
        <w:t>’</w:t>
      </w:r>
      <w:r w:rsidRPr="00FF65D6">
        <w:rPr>
          <w:lang w:val="fr-FR"/>
        </w:rPr>
        <w:t>une protection et d</w:t>
      </w:r>
      <w:r w:rsidR="002127F6" w:rsidRPr="00FF65D6">
        <w:rPr>
          <w:lang w:val="fr-FR"/>
        </w:rPr>
        <w:t>’</w:t>
      </w:r>
      <w:r w:rsidRPr="00FF65D6">
        <w:rPr>
          <w:lang w:val="fr-FR"/>
        </w:rPr>
        <w:t>une aide aux victimes de la traite et Bureau du Défenseur public)</w:t>
      </w:r>
      <w:r w:rsidR="005C1799" w:rsidRPr="005C1799">
        <w:rPr>
          <w:lang w:val="fr-FR"/>
        </w:rPr>
        <w:t>.</w:t>
      </w:r>
      <w:r w:rsidRPr="00FF65D6">
        <w:rPr>
          <w:lang w:val="fr-FR"/>
        </w:rPr>
        <w:t xml:space="preserve"> En outre, les ONG et les organisations internationales, ainsi que le représentant de l</w:t>
      </w:r>
      <w:r w:rsidR="002127F6" w:rsidRPr="00FF65D6">
        <w:rPr>
          <w:lang w:val="fr-FR"/>
        </w:rPr>
        <w:t>’</w:t>
      </w:r>
      <w:r w:rsidRPr="00FF65D6">
        <w:rPr>
          <w:lang w:val="fr-FR"/>
        </w:rPr>
        <w:t>ambassade des États-Unis à Tbilissi (Géorgie) participent activement aux travaux du Conseil</w:t>
      </w:r>
      <w:r w:rsidR="005C1799" w:rsidRPr="005C1799">
        <w:rPr>
          <w:lang w:val="fr-FR"/>
        </w:rPr>
        <w:t>.</w:t>
      </w:r>
      <w:r w:rsidRPr="00FF65D6">
        <w:rPr>
          <w:lang w:val="fr-FR"/>
        </w:rPr>
        <w:t xml:space="preserve"> Le Conseil pour la lutte contre la traite est chargé d</w:t>
      </w:r>
      <w:r w:rsidR="002127F6" w:rsidRPr="00FF65D6">
        <w:rPr>
          <w:lang w:val="fr-FR"/>
        </w:rPr>
        <w:t>’</w:t>
      </w:r>
      <w:r w:rsidRPr="00FF65D6">
        <w:rPr>
          <w:lang w:val="fr-FR"/>
        </w:rPr>
        <w:t>élaborer des propositions sur les questions relatives à la traite des êtres humains, à la coordination entre les organismes gouvernementaux travaillant sur la traite des êtres humains et à la coopération avec les ONG et les organisations internationales</w:t>
      </w:r>
      <w:r w:rsidR="005C1799" w:rsidRPr="005C1799">
        <w:rPr>
          <w:lang w:val="fr-FR"/>
        </w:rPr>
        <w:t>.</w:t>
      </w:r>
      <w:r w:rsidRPr="00FF65D6">
        <w:rPr>
          <w:lang w:val="fr-FR"/>
        </w:rPr>
        <w:t xml:space="preserve"> En outre, le Conseil est également chargé d</w:t>
      </w:r>
      <w:r w:rsidR="002127F6" w:rsidRPr="00FF65D6">
        <w:rPr>
          <w:lang w:val="fr-FR"/>
        </w:rPr>
        <w:t>’</w:t>
      </w:r>
      <w:r w:rsidRPr="00FF65D6">
        <w:rPr>
          <w:lang w:val="fr-FR"/>
        </w:rPr>
        <w:t>élaborer et d</w:t>
      </w:r>
      <w:r w:rsidR="002127F6" w:rsidRPr="00FF65D6">
        <w:rPr>
          <w:lang w:val="fr-FR"/>
        </w:rPr>
        <w:t>’</w:t>
      </w:r>
      <w:r w:rsidRPr="00FF65D6">
        <w:rPr>
          <w:lang w:val="fr-FR"/>
        </w:rPr>
        <w:t>encourager la mise en œuvre du Plan d</w:t>
      </w:r>
      <w:r w:rsidR="002127F6" w:rsidRPr="00FF65D6">
        <w:rPr>
          <w:lang w:val="fr-FR"/>
        </w:rPr>
        <w:t>’</w:t>
      </w:r>
      <w:r w:rsidRPr="00FF65D6">
        <w:rPr>
          <w:lang w:val="fr-FR"/>
        </w:rPr>
        <w:t>action national de lutte contre la traite des êtres humains, qui est axé sur cinq piliers</w:t>
      </w:r>
      <w:r w:rsidR="003B7618" w:rsidRPr="00FF65D6">
        <w:rPr>
          <w:lang w:val="fr-FR"/>
        </w:rPr>
        <w:t> :</w:t>
      </w:r>
      <w:r w:rsidRPr="00FF65D6">
        <w:rPr>
          <w:lang w:val="fr-FR"/>
        </w:rPr>
        <w:t xml:space="preserve"> la prévention, la protection, les poursuites, le renforcement des capacités des professionnels qui s</w:t>
      </w:r>
      <w:r w:rsidR="002127F6" w:rsidRPr="00FF65D6">
        <w:rPr>
          <w:lang w:val="fr-FR"/>
        </w:rPr>
        <w:t>’</w:t>
      </w:r>
      <w:r w:rsidRPr="00FF65D6">
        <w:rPr>
          <w:lang w:val="fr-FR"/>
        </w:rPr>
        <w:t>occupent des questions relatives à la traite des êtres humains et les partenariats</w:t>
      </w:r>
      <w:r w:rsidR="005C1799" w:rsidRPr="005C1799">
        <w:rPr>
          <w:lang w:val="fr-FR"/>
        </w:rPr>
        <w:t>.</w:t>
      </w:r>
      <w:r w:rsidRPr="00FF65D6">
        <w:rPr>
          <w:lang w:val="fr-FR"/>
        </w:rPr>
        <w:t xml:space="preserve"> Le Plan d</w:t>
      </w:r>
      <w:r w:rsidR="002127F6" w:rsidRPr="00FF65D6">
        <w:rPr>
          <w:lang w:val="fr-FR"/>
        </w:rPr>
        <w:t>’</w:t>
      </w:r>
      <w:r w:rsidRPr="00FF65D6">
        <w:rPr>
          <w:lang w:val="fr-FR"/>
        </w:rPr>
        <w:t>action national de 2015</w:t>
      </w:r>
      <w:r w:rsidR="00B26DA8">
        <w:rPr>
          <w:lang w:val="fr-FR"/>
        </w:rPr>
        <w:t>-</w:t>
      </w:r>
      <w:r w:rsidRPr="00FF65D6">
        <w:rPr>
          <w:lang w:val="fr-FR"/>
        </w:rPr>
        <w:t>2016 garantit la prise de mesures de protection spéciales pour les enfants victimes de la traite</w:t>
      </w:r>
      <w:r w:rsidR="005C1799" w:rsidRPr="005C1799">
        <w:rPr>
          <w:lang w:val="fr-FR"/>
        </w:rPr>
        <w:t>.</w:t>
      </w:r>
      <w:r w:rsidRPr="00FF65D6">
        <w:rPr>
          <w:lang w:val="fr-FR"/>
        </w:rPr>
        <w:t xml:space="preserve"> Le Conseil procède actuellement à l</w:t>
      </w:r>
      <w:r w:rsidR="002127F6" w:rsidRPr="00FF65D6">
        <w:rPr>
          <w:lang w:val="fr-FR"/>
        </w:rPr>
        <w:t>’</w:t>
      </w:r>
      <w:r w:rsidRPr="00FF65D6">
        <w:rPr>
          <w:lang w:val="fr-FR"/>
        </w:rPr>
        <w:t>élaboration du nouveau Plan d</w:t>
      </w:r>
      <w:r w:rsidR="002127F6" w:rsidRPr="00FF65D6">
        <w:rPr>
          <w:lang w:val="fr-FR"/>
        </w:rPr>
        <w:t>’</w:t>
      </w:r>
      <w:r w:rsidRPr="00FF65D6">
        <w:rPr>
          <w:lang w:val="fr-FR"/>
        </w:rPr>
        <w:t>action national, pour 2017</w:t>
      </w:r>
      <w:r w:rsidR="00285D17" w:rsidRPr="00FF65D6">
        <w:rPr>
          <w:lang w:val="fr-FR"/>
        </w:rPr>
        <w:t>-</w:t>
      </w:r>
      <w:r w:rsidRPr="00FF65D6">
        <w:rPr>
          <w:lang w:val="fr-FR"/>
        </w:rPr>
        <w:t>2018</w:t>
      </w:r>
      <w:r w:rsidR="005C1799" w:rsidRPr="005C1799">
        <w:rPr>
          <w:lang w:val="fr-FR"/>
        </w:rPr>
        <w:t>.</w:t>
      </w:r>
      <w:r w:rsidRPr="00FF65D6">
        <w:rPr>
          <w:lang w:val="fr-FR"/>
        </w:rPr>
        <w:t xml:space="preserve"> </w:t>
      </w:r>
    </w:p>
    <w:p w14:paraId="5E4B77B8" w14:textId="77777777" w:rsidR="005C5C6A" w:rsidRPr="00FF65D6" w:rsidRDefault="005C5C6A" w:rsidP="00F34341">
      <w:pPr>
        <w:pStyle w:val="SingleTxtG"/>
        <w:rPr>
          <w:lang w:val="fr-FR"/>
        </w:rPr>
      </w:pPr>
      <w:r w:rsidRPr="00FF65D6">
        <w:rPr>
          <w:lang w:val="fr-FR"/>
        </w:rPr>
        <w:t>13</w:t>
      </w:r>
      <w:r w:rsidR="005C1799" w:rsidRPr="005C1799">
        <w:rPr>
          <w:lang w:val="fr-FR"/>
        </w:rPr>
        <w:t>.</w:t>
      </w:r>
      <w:r w:rsidRPr="00FF65D6">
        <w:rPr>
          <w:lang w:val="fr-FR"/>
        </w:rPr>
        <w:tab/>
        <w:t>Institué en 2006, le Fonds public pour la fourniture d</w:t>
      </w:r>
      <w:r w:rsidR="002127F6" w:rsidRPr="00FF65D6">
        <w:rPr>
          <w:lang w:val="fr-FR"/>
        </w:rPr>
        <w:t>’</w:t>
      </w:r>
      <w:r w:rsidRPr="00FF65D6">
        <w:rPr>
          <w:lang w:val="fr-FR"/>
        </w:rPr>
        <w:t>une protection et d</w:t>
      </w:r>
      <w:r w:rsidR="002127F6" w:rsidRPr="00FF65D6">
        <w:rPr>
          <w:lang w:val="fr-FR"/>
        </w:rPr>
        <w:t>’</w:t>
      </w:r>
      <w:r w:rsidRPr="00FF65D6">
        <w:rPr>
          <w:lang w:val="fr-FR"/>
        </w:rPr>
        <w:t>une aide aux personnes reconnues comme victimes</w:t>
      </w:r>
      <w:r w:rsidR="002127F6" w:rsidRPr="00FF65D6">
        <w:rPr>
          <w:lang w:val="fr-FR"/>
        </w:rPr>
        <w:t xml:space="preserve"> </w:t>
      </w:r>
      <w:r w:rsidRPr="00FF65D6">
        <w:rPr>
          <w:lang w:val="fr-FR"/>
        </w:rPr>
        <w:t>de la traite (y compris les mineurs) permet d</w:t>
      </w:r>
      <w:r w:rsidR="002127F6" w:rsidRPr="00FF65D6">
        <w:rPr>
          <w:lang w:val="fr-FR"/>
        </w:rPr>
        <w:t>’</w:t>
      </w:r>
      <w:r w:rsidRPr="00FF65D6">
        <w:rPr>
          <w:lang w:val="fr-FR"/>
        </w:rPr>
        <w:t>améliorer la protection et l</w:t>
      </w:r>
      <w:r w:rsidR="002127F6" w:rsidRPr="00FF65D6">
        <w:rPr>
          <w:lang w:val="fr-FR"/>
        </w:rPr>
        <w:t>’</w:t>
      </w:r>
      <w:r w:rsidRPr="00FF65D6">
        <w:rPr>
          <w:lang w:val="fr-FR"/>
        </w:rPr>
        <w:t>aide apportées à ces victimes</w:t>
      </w:r>
      <w:r w:rsidR="005C1799" w:rsidRPr="005C1799">
        <w:rPr>
          <w:lang w:val="fr-FR"/>
        </w:rPr>
        <w:t>.</w:t>
      </w:r>
      <w:r w:rsidRPr="00FF65D6">
        <w:rPr>
          <w:lang w:val="fr-FR"/>
        </w:rPr>
        <w:t xml:space="preserve"> Le Fonds public pour la fourniture d</w:t>
      </w:r>
      <w:r w:rsidR="002127F6" w:rsidRPr="00FF65D6">
        <w:rPr>
          <w:lang w:val="fr-FR"/>
        </w:rPr>
        <w:t>’</w:t>
      </w:r>
      <w:r w:rsidRPr="00FF65D6">
        <w:rPr>
          <w:lang w:val="fr-FR"/>
        </w:rPr>
        <w:t>une protection et d</w:t>
      </w:r>
      <w:r w:rsidR="002127F6" w:rsidRPr="00FF65D6">
        <w:rPr>
          <w:lang w:val="fr-FR"/>
        </w:rPr>
        <w:t>’</w:t>
      </w:r>
      <w:r w:rsidRPr="00FF65D6">
        <w:rPr>
          <w:lang w:val="fr-FR"/>
        </w:rPr>
        <w:t>une aide aux personnes reconnues comme victimes</w:t>
      </w:r>
      <w:r w:rsidR="002127F6" w:rsidRPr="00FF65D6">
        <w:rPr>
          <w:lang w:val="fr-FR"/>
        </w:rPr>
        <w:t xml:space="preserve"> </w:t>
      </w:r>
      <w:r w:rsidRPr="00FF65D6">
        <w:rPr>
          <w:lang w:val="fr-FR"/>
        </w:rPr>
        <w:t>de la traite continue de fournir</w:t>
      </w:r>
      <w:r w:rsidR="003B7618" w:rsidRPr="00FF65D6">
        <w:rPr>
          <w:lang w:val="fr-FR"/>
        </w:rPr>
        <w:t> :</w:t>
      </w:r>
      <w:r w:rsidRPr="00FF65D6">
        <w:rPr>
          <w:lang w:val="fr-FR"/>
        </w:rPr>
        <w:t xml:space="preserve"> a) des refuges</w:t>
      </w:r>
      <w:r w:rsidR="003B7618" w:rsidRPr="00FF65D6">
        <w:rPr>
          <w:lang w:val="fr-FR"/>
        </w:rPr>
        <w:t> ;</w:t>
      </w:r>
      <w:r w:rsidRPr="00FF65D6">
        <w:rPr>
          <w:lang w:val="fr-FR"/>
        </w:rPr>
        <w:t xml:space="preserve"> b) une aide juridictionnelle</w:t>
      </w:r>
      <w:r w:rsidR="003B7618" w:rsidRPr="00FF65D6">
        <w:rPr>
          <w:lang w:val="fr-FR"/>
        </w:rPr>
        <w:t> ;</w:t>
      </w:r>
      <w:r w:rsidRPr="00FF65D6">
        <w:rPr>
          <w:lang w:val="fr-FR"/>
        </w:rPr>
        <w:t xml:space="preserve"> c) une aide physiologique et médicale</w:t>
      </w:r>
      <w:r w:rsidR="003B7618" w:rsidRPr="00FF65D6">
        <w:rPr>
          <w:lang w:val="fr-FR"/>
        </w:rPr>
        <w:t> ;</w:t>
      </w:r>
      <w:r w:rsidRPr="00FF65D6">
        <w:rPr>
          <w:lang w:val="fr-FR"/>
        </w:rPr>
        <w:t xml:space="preserve"> d) des mesures de réadaptation et de réintégration des victimes</w:t>
      </w:r>
      <w:r w:rsidR="005C1799" w:rsidRPr="005C1799">
        <w:rPr>
          <w:lang w:val="fr-FR"/>
        </w:rPr>
        <w:t>.</w:t>
      </w:r>
      <w:r w:rsidRPr="00FF65D6">
        <w:rPr>
          <w:lang w:val="fr-FR"/>
        </w:rPr>
        <w:t xml:space="preserve"> </w:t>
      </w:r>
    </w:p>
    <w:p w14:paraId="103CBB51" w14:textId="77777777" w:rsidR="005C5C6A" w:rsidRPr="00FF65D6" w:rsidRDefault="005C5C6A" w:rsidP="00EC0D9C">
      <w:pPr>
        <w:pStyle w:val="H1G"/>
        <w:rPr>
          <w:lang w:val="fr-FR"/>
        </w:rPr>
      </w:pPr>
      <w:bookmarkStart w:id="7" w:name="_Toc472961707"/>
      <w:r w:rsidRPr="00FF65D6">
        <w:rPr>
          <w:lang w:val="fr-FR"/>
        </w:rPr>
        <w:tab/>
        <w:t>C</w:t>
      </w:r>
      <w:r w:rsidR="005C1799" w:rsidRPr="005C1799">
        <w:rPr>
          <w:b w:val="0"/>
          <w:lang w:val="fr-FR"/>
        </w:rPr>
        <w:t>.</w:t>
      </w:r>
      <w:r w:rsidRPr="00FF65D6">
        <w:rPr>
          <w:lang w:val="fr-FR"/>
        </w:rPr>
        <w:tab/>
        <w:t>Institution nationale indépendante des droits de l</w:t>
      </w:r>
      <w:r w:rsidR="002127F6" w:rsidRPr="00FF65D6">
        <w:rPr>
          <w:lang w:val="fr-FR"/>
        </w:rPr>
        <w:t>’</w:t>
      </w:r>
      <w:r w:rsidRPr="00FF65D6">
        <w:rPr>
          <w:lang w:val="fr-FR"/>
        </w:rPr>
        <w:t>homme</w:t>
      </w:r>
      <w:bookmarkEnd w:id="7"/>
    </w:p>
    <w:p w14:paraId="04EAD45E" w14:textId="77777777" w:rsidR="005C5C6A" w:rsidRPr="00FF65D6" w:rsidRDefault="005C5C6A" w:rsidP="00F34341">
      <w:pPr>
        <w:pStyle w:val="SingleTxtG"/>
        <w:rPr>
          <w:lang w:val="fr-FR"/>
        </w:rPr>
      </w:pPr>
      <w:r w:rsidRPr="00FF65D6">
        <w:rPr>
          <w:lang w:val="fr-FR"/>
        </w:rPr>
        <w:t>14</w:t>
      </w:r>
      <w:r w:rsidR="005C1799" w:rsidRPr="005C1799">
        <w:rPr>
          <w:lang w:val="fr-FR"/>
        </w:rPr>
        <w:t>.</w:t>
      </w:r>
      <w:r w:rsidRPr="00FF65D6">
        <w:rPr>
          <w:lang w:val="fr-FR"/>
        </w:rPr>
        <w:tab/>
        <w:t>L</w:t>
      </w:r>
      <w:r w:rsidR="002127F6" w:rsidRPr="00FF65D6">
        <w:rPr>
          <w:lang w:val="fr-FR"/>
        </w:rPr>
        <w:t>’</w:t>
      </w:r>
      <w:r w:rsidRPr="00FF65D6">
        <w:rPr>
          <w:lang w:val="fr-FR"/>
        </w:rPr>
        <w:t>organe indépendant chargé de la surveillance de la protection des droits de l</w:t>
      </w:r>
      <w:r w:rsidR="002127F6" w:rsidRPr="00FF65D6">
        <w:rPr>
          <w:lang w:val="fr-FR"/>
        </w:rPr>
        <w:t>’</w:t>
      </w:r>
      <w:r w:rsidRPr="00FF65D6">
        <w:rPr>
          <w:lang w:val="fr-FR"/>
        </w:rPr>
        <w:t>homme et des libertés fondamentales sur le territoire national est le Défenseur public de la Géorgie, qui est élu pour un mandat de cinq ans par le Parlement géorgien</w:t>
      </w:r>
      <w:r w:rsidRPr="00FF65D6">
        <w:rPr>
          <w:rStyle w:val="Appelnotedebasdep"/>
        </w:rPr>
        <w:footnoteReference w:id="4"/>
      </w:r>
      <w:r w:rsidR="005C1799" w:rsidRPr="005C1799">
        <w:rPr>
          <w:lang w:val="fr-FR"/>
        </w:rPr>
        <w:t>.</w:t>
      </w:r>
      <w:r w:rsidRPr="00FF65D6">
        <w:rPr>
          <w:lang w:val="fr-FR"/>
        </w:rPr>
        <w:t xml:space="preserve"> Le Défenseur public agit en toute indépendance et exerce ses activités conformément à la Constitution, aux traités internationaux et aux principes et normes universellement reconnus du droit international</w:t>
      </w:r>
      <w:r w:rsidRPr="00FF65D6">
        <w:rPr>
          <w:rStyle w:val="Appelnotedebasdep"/>
        </w:rPr>
        <w:footnoteReference w:id="5"/>
      </w:r>
      <w:r w:rsidR="005C1799" w:rsidRPr="005C1799">
        <w:rPr>
          <w:lang w:val="fr-FR"/>
        </w:rPr>
        <w:t>.</w:t>
      </w:r>
      <w:r w:rsidRPr="00FF65D6">
        <w:rPr>
          <w:lang w:val="fr-FR"/>
        </w:rPr>
        <w:t xml:space="preserve"> Le Défenseur public examine les situations de manière indépendante en ce qui concerne la protection des droits de l</w:t>
      </w:r>
      <w:r w:rsidR="002127F6" w:rsidRPr="00FF65D6">
        <w:rPr>
          <w:lang w:val="fr-FR"/>
        </w:rPr>
        <w:t>’</w:t>
      </w:r>
      <w:r w:rsidRPr="00FF65D6">
        <w:rPr>
          <w:lang w:val="fr-FR"/>
        </w:rPr>
        <w:t>homme et des libertés fondamentales et les faits relatifs à leur violation, en donnant suite aux requêtes reçues ainsi que de sa propre initiative</w:t>
      </w:r>
      <w:r w:rsidRPr="00FF65D6">
        <w:rPr>
          <w:rStyle w:val="Appelnotedebasdep"/>
        </w:rPr>
        <w:footnoteReference w:id="6"/>
      </w:r>
      <w:r w:rsidR="005C1799" w:rsidRPr="005C1799">
        <w:rPr>
          <w:lang w:val="fr-FR"/>
        </w:rPr>
        <w:t>.</w:t>
      </w:r>
      <w:r w:rsidRPr="00FF65D6">
        <w:rPr>
          <w:lang w:val="fr-FR"/>
        </w:rPr>
        <w:t xml:space="preserve"> Comme il a été mentionné ci-dessus, le Défenseur public est habilité à surveiller l</w:t>
      </w:r>
      <w:r w:rsidR="002127F6" w:rsidRPr="00FF65D6">
        <w:rPr>
          <w:lang w:val="fr-FR"/>
        </w:rPr>
        <w:t>’</w:t>
      </w:r>
      <w:r w:rsidRPr="00FF65D6">
        <w:rPr>
          <w:lang w:val="fr-FR"/>
        </w:rPr>
        <w:t>application de la loi contre la discrimination</w:t>
      </w:r>
      <w:r w:rsidR="005C1799" w:rsidRPr="005C1799">
        <w:rPr>
          <w:lang w:val="fr-FR"/>
        </w:rPr>
        <w:t>.</w:t>
      </w:r>
      <w:r w:rsidRPr="00FF65D6">
        <w:rPr>
          <w:lang w:val="fr-FR"/>
        </w:rPr>
        <w:t xml:space="preserve"> </w:t>
      </w:r>
    </w:p>
    <w:p w14:paraId="3FE1C7A1" w14:textId="77777777" w:rsidR="005C5C6A" w:rsidRPr="00FF65D6" w:rsidRDefault="005C5C6A" w:rsidP="00F34341">
      <w:pPr>
        <w:pStyle w:val="SingleTxtG"/>
        <w:rPr>
          <w:lang w:val="fr-FR"/>
        </w:rPr>
      </w:pPr>
      <w:r w:rsidRPr="00FF65D6">
        <w:rPr>
          <w:lang w:val="fr-FR"/>
        </w:rPr>
        <w:t>15</w:t>
      </w:r>
      <w:r w:rsidR="005C1799" w:rsidRPr="005C1799">
        <w:rPr>
          <w:lang w:val="fr-FR"/>
        </w:rPr>
        <w:t>.</w:t>
      </w:r>
      <w:r w:rsidRPr="00FF65D6">
        <w:rPr>
          <w:lang w:val="fr-FR"/>
        </w:rPr>
        <w:tab/>
        <w:t>Lorsqu</w:t>
      </w:r>
      <w:r w:rsidR="002127F6" w:rsidRPr="00FF65D6">
        <w:rPr>
          <w:lang w:val="fr-FR"/>
        </w:rPr>
        <w:t>’</w:t>
      </w:r>
      <w:r w:rsidRPr="00FF65D6">
        <w:rPr>
          <w:lang w:val="fr-FR"/>
        </w:rPr>
        <w:t>il conduit une inspection, le Défenseur public a notamment le droit d</w:t>
      </w:r>
      <w:r w:rsidR="002127F6" w:rsidRPr="00FF65D6">
        <w:rPr>
          <w:lang w:val="fr-FR"/>
        </w:rPr>
        <w:t>’</w:t>
      </w:r>
      <w:r w:rsidRPr="00FF65D6">
        <w:rPr>
          <w:lang w:val="fr-FR"/>
        </w:rPr>
        <w:t>entrer librement dans tout organe, entreprise, organisation, institution ou unité militaire de l</w:t>
      </w:r>
      <w:r w:rsidR="002127F6" w:rsidRPr="00FF65D6">
        <w:rPr>
          <w:lang w:val="fr-FR"/>
        </w:rPr>
        <w:t>’</w:t>
      </w:r>
      <w:r w:rsidRPr="00FF65D6">
        <w:rPr>
          <w:lang w:val="fr-FR"/>
        </w:rPr>
        <w:t>État ou d</w:t>
      </w:r>
      <w:r w:rsidR="002127F6" w:rsidRPr="00FF65D6">
        <w:rPr>
          <w:lang w:val="fr-FR"/>
        </w:rPr>
        <w:t>’</w:t>
      </w:r>
      <w:r w:rsidRPr="00FF65D6">
        <w:rPr>
          <w:lang w:val="fr-FR"/>
        </w:rPr>
        <w:t>une autorité locale autonome, y compris les prisons, centres de détention et autres établissements pénitentiaires et lieux de détention et de restriction de liberté</w:t>
      </w:r>
      <w:r w:rsidR="003B7618" w:rsidRPr="00FF65D6">
        <w:rPr>
          <w:lang w:val="fr-FR"/>
        </w:rPr>
        <w:t> </w:t>
      </w:r>
      <w:r w:rsidRPr="00FF65D6">
        <w:rPr>
          <w:lang w:val="fr-FR"/>
        </w:rPr>
        <w:t xml:space="preserve">; de demander et de recevoir, immédiatement ou dans un délai de </w:t>
      </w:r>
      <w:r w:rsidR="00EC0D9C" w:rsidRPr="00FF65D6">
        <w:rPr>
          <w:lang w:val="fr-FR"/>
        </w:rPr>
        <w:t>dix</w:t>
      </w:r>
      <w:r w:rsidRPr="00FF65D6">
        <w:rPr>
          <w:lang w:val="fr-FR"/>
        </w:rPr>
        <w:t xml:space="preserve"> jours au plus, des autorités de l</w:t>
      </w:r>
      <w:r w:rsidR="002127F6" w:rsidRPr="00FF65D6">
        <w:rPr>
          <w:lang w:val="fr-FR"/>
        </w:rPr>
        <w:t>’</w:t>
      </w:r>
      <w:r w:rsidRPr="00FF65D6">
        <w:rPr>
          <w:lang w:val="fr-FR"/>
        </w:rPr>
        <w:t>État et des collectivités locales ou de fonctionnaires, tous les documents et matériaux nécessaires pour conduire une inspection</w:t>
      </w:r>
      <w:r w:rsidRPr="00FF65D6">
        <w:rPr>
          <w:rStyle w:val="Appelnotedebasdep"/>
        </w:rPr>
        <w:footnoteReference w:id="7"/>
      </w:r>
      <w:r w:rsidR="005C1799" w:rsidRPr="005C1799">
        <w:rPr>
          <w:lang w:val="fr-FR"/>
        </w:rPr>
        <w:t>.</w:t>
      </w:r>
    </w:p>
    <w:p w14:paraId="53B44F24" w14:textId="77777777" w:rsidR="005C5C6A" w:rsidRPr="00FF65D6" w:rsidRDefault="005C5C6A" w:rsidP="00F34341">
      <w:pPr>
        <w:pStyle w:val="SingleTxtG"/>
        <w:rPr>
          <w:lang w:val="fr-FR"/>
        </w:rPr>
      </w:pPr>
      <w:r w:rsidRPr="00FF65D6">
        <w:rPr>
          <w:lang w:val="fr-FR"/>
        </w:rPr>
        <w:t>16</w:t>
      </w:r>
      <w:r w:rsidR="005C1799" w:rsidRPr="005C1799">
        <w:rPr>
          <w:lang w:val="fr-FR"/>
        </w:rPr>
        <w:t>.</w:t>
      </w:r>
      <w:r w:rsidRPr="00FF65D6">
        <w:rPr>
          <w:lang w:val="fr-FR"/>
        </w:rPr>
        <w:tab/>
        <w:t>Sur la base des résultats d</w:t>
      </w:r>
      <w:r w:rsidR="002127F6" w:rsidRPr="00FF65D6">
        <w:rPr>
          <w:lang w:val="fr-FR"/>
        </w:rPr>
        <w:t>’</w:t>
      </w:r>
      <w:r w:rsidRPr="00FF65D6">
        <w:rPr>
          <w:lang w:val="fr-FR"/>
        </w:rPr>
        <w:t>une inspection, le Défenseur public est habilité, notamment, pour rétablir le respect des droits de l</w:t>
      </w:r>
      <w:r w:rsidR="002127F6" w:rsidRPr="00FF65D6">
        <w:rPr>
          <w:lang w:val="fr-FR"/>
        </w:rPr>
        <w:t>’</w:t>
      </w:r>
      <w:r w:rsidRPr="00FF65D6">
        <w:rPr>
          <w:lang w:val="fr-FR"/>
        </w:rPr>
        <w:t>homme qui ont été violés, à envoyer des propositions et des recommandations aux autorités de l</w:t>
      </w:r>
      <w:r w:rsidR="002127F6" w:rsidRPr="00FF65D6">
        <w:rPr>
          <w:lang w:val="fr-FR"/>
        </w:rPr>
        <w:t>’</w:t>
      </w:r>
      <w:r w:rsidRPr="00FF65D6">
        <w:rPr>
          <w:lang w:val="fr-FR"/>
        </w:rPr>
        <w:t>État et aux collectivités locales, aux institutions publiques et aux fonctionnaires dont les actions ont entraîné une violation des droits et des libertés garantis par l</w:t>
      </w:r>
      <w:r w:rsidR="002127F6" w:rsidRPr="00FF65D6">
        <w:rPr>
          <w:lang w:val="fr-FR"/>
        </w:rPr>
        <w:t>’</w:t>
      </w:r>
      <w:r w:rsidRPr="00FF65D6">
        <w:rPr>
          <w:lang w:val="fr-FR"/>
        </w:rPr>
        <w:t>État</w:t>
      </w:r>
      <w:r w:rsidR="003B7618" w:rsidRPr="00FF65D6">
        <w:rPr>
          <w:lang w:val="fr-FR"/>
        </w:rPr>
        <w:t> </w:t>
      </w:r>
      <w:r w:rsidRPr="00FF65D6">
        <w:rPr>
          <w:lang w:val="fr-FR"/>
        </w:rPr>
        <w:t>; à demander aux autorités chargées d</w:t>
      </w:r>
      <w:r w:rsidR="002127F6" w:rsidRPr="00FF65D6">
        <w:rPr>
          <w:lang w:val="fr-FR"/>
        </w:rPr>
        <w:t>’</w:t>
      </w:r>
      <w:r w:rsidRPr="00FF65D6">
        <w:rPr>
          <w:lang w:val="fr-FR"/>
        </w:rPr>
        <w:t>enquêter d</w:t>
      </w:r>
      <w:r w:rsidR="002127F6" w:rsidRPr="00FF65D6">
        <w:rPr>
          <w:lang w:val="fr-FR"/>
        </w:rPr>
        <w:t>’</w:t>
      </w:r>
      <w:r w:rsidRPr="00FF65D6">
        <w:rPr>
          <w:lang w:val="fr-FR"/>
        </w:rPr>
        <w:t>ouvrir une enquête ou d</w:t>
      </w:r>
      <w:r w:rsidR="002127F6" w:rsidRPr="00FF65D6">
        <w:rPr>
          <w:lang w:val="fr-FR"/>
        </w:rPr>
        <w:t>’</w:t>
      </w:r>
      <w:r w:rsidRPr="00FF65D6">
        <w:rPr>
          <w:lang w:val="fr-FR"/>
        </w:rPr>
        <w:t>engager des poursuites pénales si, après avoir examiné l</w:t>
      </w:r>
      <w:r w:rsidR="002127F6" w:rsidRPr="00FF65D6">
        <w:rPr>
          <w:lang w:val="fr-FR"/>
        </w:rPr>
        <w:t>’</w:t>
      </w:r>
      <w:r w:rsidRPr="00FF65D6">
        <w:rPr>
          <w:lang w:val="fr-FR"/>
        </w:rPr>
        <w:t>affaire, il a conclu que l</w:t>
      </w:r>
      <w:r w:rsidR="002127F6" w:rsidRPr="00FF65D6">
        <w:rPr>
          <w:lang w:val="fr-FR"/>
        </w:rPr>
        <w:t>’</w:t>
      </w:r>
      <w:r w:rsidRPr="00FF65D6">
        <w:rPr>
          <w:lang w:val="fr-FR"/>
        </w:rPr>
        <w:t>affaire présente des éléments constitutifs d</w:t>
      </w:r>
      <w:r w:rsidR="002127F6" w:rsidRPr="00FF65D6">
        <w:rPr>
          <w:lang w:val="fr-FR"/>
        </w:rPr>
        <w:t>’</w:t>
      </w:r>
      <w:r w:rsidRPr="00FF65D6">
        <w:rPr>
          <w:lang w:val="fr-FR"/>
        </w:rPr>
        <w:t>une infraction</w:t>
      </w:r>
      <w:r w:rsidR="003B7618" w:rsidRPr="00FF65D6">
        <w:rPr>
          <w:lang w:val="fr-FR"/>
        </w:rPr>
        <w:t> ;</w:t>
      </w:r>
      <w:r w:rsidRPr="00FF65D6">
        <w:rPr>
          <w:lang w:val="fr-FR"/>
        </w:rPr>
        <w:t xml:space="preserve"> à faire des propositions aux organes pertinents sur la responsabilité disciplinaire ou administrative de personnes dont les actes ont violé les droits de l</w:t>
      </w:r>
      <w:r w:rsidR="002127F6" w:rsidRPr="00FF65D6">
        <w:rPr>
          <w:lang w:val="fr-FR"/>
        </w:rPr>
        <w:t>’</w:t>
      </w:r>
      <w:r w:rsidRPr="00FF65D6">
        <w:rPr>
          <w:lang w:val="fr-FR"/>
        </w:rPr>
        <w:t>homme et les libertés fondamentales</w:t>
      </w:r>
      <w:r w:rsidR="003B7618" w:rsidRPr="00FF65D6">
        <w:rPr>
          <w:lang w:val="fr-FR"/>
        </w:rPr>
        <w:t> </w:t>
      </w:r>
      <w:r w:rsidRPr="00FF65D6">
        <w:rPr>
          <w:lang w:val="fr-FR"/>
        </w:rPr>
        <w:t>; à agir en qualité d</w:t>
      </w:r>
      <w:r w:rsidR="002127F6" w:rsidRPr="00FF65D6">
        <w:rPr>
          <w:lang w:val="fr-FR"/>
        </w:rPr>
        <w:t>’</w:t>
      </w:r>
      <w:r w:rsidRPr="00FF65D6">
        <w:rPr>
          <w:lang w:val="fr-FR"/>
        </w:rPr>
        <w:t>ami de la cour (</w:t>
      </w:r>
      <w:proofErr w:type="spellStart"/>
      <w:r w:rsidRPr="00FF65D6">
        <w:rPr>
          <w:i/>
          <w:iCs/>
          <w:lang w:val="fr-FR"/>
        </w:rPr>
        <w:t>amicus</w:t>
      </w:r>
      <w:proofErr w:type="spellEnd"/>
      <w:r w:rsidRPr="00FF65D6">
        <w:rPr>
          <w:i/>
          <w:iCs/>
          <w:lang w:val="fr-FR"/>
        </w:rPr>
        <w:t xml:space="preserve"> </w:t>
      </w:r>
      <w:proofErr w:type="spellStart"/>
      <w:r w:rsidRPr="00FF65D6">
        <w:rPr>
          <w:i/>
          <w:iCs/>
          <w:lang w:val="fr-FR"/>
        </w:rPr>
        <w:t>curiae</w:t>
      </w:r>
      <w:proofErr w:type="spellEnd"/>
      <w:r w:rsidRPr="00FF65D6">
        <w:rPr>
          <w:lang w:val="fr-FR"/>
        </w:rPr>
        <w:t>) devant les tribunaux et la Cour constitutionnelle de la Géorgie</w:t>
      </w:r>
      <w:r w:rsidR="003B7618" w:rsidRPr="00FF65D6">
        <w:rPr>
          <w:lang w:val="fr-FR"/>
        </w:rPr>
        <w:t> </w:t>
      </w:r>
      <w:r w:rsidRPr="00FF65D6">
        <w:rPr>
          <w:lang w:val="fr-FR"/>
        </w:rPr>
        <w:t xml:space="preserve">; à informer les </w:t>
      </w:r>
      <w:proofErr w:type="spellStart"/>
      <w:r w:rsidRPr="00FF65D6">
        <w:rPr>
          <w:lang w:val="fr-FR"/>
        </w:rPr>
        <w:t>médias</w:t>
      </w:r>
      <w:proofErr w:type="spellEnd"/>
      <w:r w:rsidRPr="00FF65D6">
        <w:rPr>
          <w:lang w:val="fr-FR"/>
        </w:rPr>
        <w:t xml:space="preserve"> des résultats des inspections relatives aux violations des droits de l</w:t>
      </w:r>
      <w:r w:rsidR="002127F6" w:rsidRPr="00FF65D6">
        <w:rPr>
          <w:lang w:val="fr-FR"/>
        </w:rPr>
        <w:t>’</w:t>
      </w:r>
      <w:r w:rsidRPr="00FF65D6">
        <w:rPr>
          <w:lang w:val="fr-FR"/>
        </w:rPr>
        <w:t>homme et des libertés fondamentales</w:t>
      </w:r>
      <w:r w:rsidR="003B7618" w:rsidRPr="00FF65D6">
        <w:rPr>
          <w:lang w:val="fr-FR"/>
        </w:rPr>
        <w:t> </w:t>
      </w:r>
      <w:r w:rsidRPr="00FF65D6">
        <w:rPr>
          <w:lang w:val="fr-FR"/>
        </w:rPr>
        <w:t>; à saisir le Président et le Premier Ministre de la Géorgie, s</w:t>
      </w:r>
      <w:r w:rsidR="002127F6" w:rsidRPr="00FF65D6">
        <w:rPr>
          <w:lang w:val="fr-FR"/>
        </w:rPr>
        <w:t>’</w:t>
      </w:r>
      <w:r w:rsidRPr="00FF65D6">
        <w:rPr>
          <w:lang w:val="fr-FR"/>
        </w:rPr>
        <w:t>il estime que les moyens d</w:t>
      </w:r>
      <w:r w:rsidR="002127F6" w:rsidRPr="00FF65D6">
        <w:rPr>
          <w:lang w:val="fr-FR"/>
        </w:rPr>
        <w:t>’</w:t>
      </w:r>
      <w:r w:rsidRPr="00FF65D6">
        <w:rPr>
          <w:lang w:val="fr-FR"/>
        </w:rPr>
        <w:t>intervention à sa disposition ne sont pas suffisants</w:t>
      </w:r>
      <w:r w:rsidRPr="00FF65D6">
        <w:rPr>
          <w:rStyle w:val="Appelnotedebasdep"/>
        </w:rPr>
        <w:footnoteReference w:id="8"/>
      </w:r>
      <w:r w:rsidR="005C1799" w:rsidRPr="005C1799">
        <w:rPr>
          <w:lang w:val="fr-FR"/>
        </w:rPr>
        <w:t>.</w:t>
      </w:r>
      <w:r w:rsidRPr="00FF65D6">
        <w:rPr>
          <w:lang w:val="fr-FR"/>
        </w:rPr>
        <w:t xml:space="preserve"> Le Défenseur public soumet au Parlement géorgien un rapport annuel sur la situation des droits de l</w:t>
      </w:r>
      <w:r w:rsidR="002127F6" w:rsidRPr="00FF65D6">
        <w:rPr>
          <w:lang w:val="fr-FR"/>
        </w:rPr>
        <w:t>’</w:t>
      </w:r>
      <w:r w:rsidRPr="00FF65D6">
        <w:rPr>
          <w:lang w:val="fr-FR"/>
        </w:rPr>
        <w:t>homme et des libertés fondamentales dans le pays</w:t>
      </w:r>
      <w:r w:rsidRPr="00FF65D6">
        <w:rPr>
          <w:rStyle w:val="Appelnotedebasdep"/>
        </w:rPr>
        <w:footnoteReference w:id="9"/>
      </w:r>
      <w:r w:rsidR="005C1799" w:rsidRPr="005C1799">
        <w:rPr>
          <w:lang w:val="fr-FR"/>
        </w:rPr>
        <w:t>.</w:t>
      </w:r>
    </w:p>
    <w:p w14:paraId="474D083F" w14:textId="77777777" w:rsidR="005C5C6A" w:rsidRPr="00FF65D6" w:rsidRDefault="005C5C6A" w:rsidP="00F34341">
      <w:pPr>
        <w:pStyle w:val="SingleTxtG"/>
        <w:rPr>
          <w:lang w:val="fr-FR"/>
        </w:rPr>
      </w:pPr>
      <w:r w:rsidRPr="00FF65D6">
        <w:rPr>
          <w:lang w:val="fr-FR"/>
        </w:rPr>
        <w:t>17</w:t>
      </w:r>
      <w:r w:rsidR="005C1799" w:rsidRPr="005C1799">
        <w:rPr>
          <w:lang w:val="fr-FR"/>
        </w:rPr>
        <w:t>.</w:t>
      </w:r>
      <w:r w:rsidRPr="00FF65D6">
        <w:rPr>
          <w:lang w:val="fr-FR"/>
        </w:rPr>
        <w:tab/>
        <w:t>Sur la base des principes de la Convention relative aux droits de l</w:t>
      </w:r>
      <w:r w:rsidR="002127F6" w:rsidRPr="00FF65D6">
        <w:rPr>
          <w:lang w:val="fr-FR"/>
        </w:rPr>
        <w:t>’</w:t>
      </w:r>
      <w:r w:rsidRPr="00FF65D6">
        <w:rPr>
          <w:lang w:val="fr-FR"/>
        </w:rPr>
        <w:t>enfant, on a créé le Centre pour les droits de l</w:t>
      </w:r>
      <w:r w:rsidR="002127F6" w:rsidRPr="00FF65D6">
        <w:rPr>
          <w:lang w:val="fr-FR"/>
        </w:rPr>
        <w:t>’</w:t>
      </w:r>
      <w:r w:rsidRPr="00FF65D6">
        <w:rPr>
          <w:lang w:val="fr-FR"/>
        </w:rPr>
        <w:t>enfant, qui relève du Bureau du Défenseur public</w:t>
      </w:r>
      <w:r w:rsidR="005C1799" w:rsidRPr="005C1799">
        <w:rPr>
          <w:lang w:val="fr-FR"/>
        </w:rPr>
        <w:t>.</w:t>
      </w:r>
      <w:r w:rsidRPr="00FF65D6">
        <w:rPr>
          <w:lang w:val="fr-FR"/>
        </w:rPr>
        <w:t xml:space="preserve"> Le Centre a pour mandat de superviser la protection des droits et des libertés fondamentales de l</w:t>
      </w:r>
      <w:r w:rsidR="002127F6" w:rsidRPr="00FF65D6">
        <w:rPr>
          <w:lang w:val="fr-FR"/>
        </w:rPr>
        <w:t>’</w:t>
      </w:r>
      <w:r w:rsidRPr="00FF65D6">
        <w:rPr>
          <w:lang w:val="fr-FR"/>
        </w:rPr>
        <w:t>enfant et de promouvoir l</w:t>
      </w:r>
      <w:r w:rsidR="002127F6" w:rsidRPr="00FF65D6">
        <w:rPr>
          <w:lang w:val="fr-FR"/>
        </w:rPr>
        <w:t>’</w:t>
      </w:r>
      <w:r w:rsidRPr="00FF65D6">
        <w:rPr>
          <w:lang w:val="fr-FR"/>
        </w:rPr>
        <w:t>exercice de leurs droits</w:t>
      </w:r>
      <w:r w:rsidR="005C1799" w:rsidRPr="005C1799">
        <w:rPr>
          <w:lang w:val="fr-FR"/>
        </w:rPr>
        <w:t>.</w:t>
      </w:r>
    </w:p>
    <w:p w14:paraId="71422F80" w14:textId="77777777" w:rsidR="005C5C6A" w:rsidRPr="00FF65D6" w:rsidRDefault="005C5C6A" w:rsidP="00F34341">
      <w:pPr>
        <w:pStyle w:val="SingleTxtG"/>
        <w:rPr>
          <w:lang w:val="fr-FR"/>
        </w:rPr>
      </w:pPr>
      <w:r w:rsidRPr="00FF65D6">
        <w:rPr>
          <w:lang w:val="fr-FR"/>
        </w:rPr>
        <w:t>18</w:t>
      </w:r>
      <w:r w:rsidR="005C1799" w:rsidRPr="005C1799">
        <w:rPr>
          <w:lang w:val="fr-FR"/>
        </w:rPr>
        <w:t>.</w:t>
      </w:r>
      <w:r w:rsidRPr="00FF65D6">
        <w:rPr>
          <w:lang w:val="fr-FR"/>
        </w:rPr>
        <w:tab/>
        <w:t>Les objectifs du Centre sont les suivants</w:t>
      </w:r>
      <w:r w:rsidR="003B7618" w:rsidRPr="00FF65D6">
        <w:rPr>
          <w:lang w:val="fr-FR"/>
        </w:rPr>
        <w:t> :</w:t>
      </w:r>
      <w:r w:rsidRPr="00FF65D6">
        <w:rPr>
          <w:lang w:val="fr-FR"/>
        </w:rPr>
        <w:t xml:space="preserve"> surveiller la mise en œuvre de la Convention relative aux droits de l</w:t>
      </w:r>
      <w:r w:rsidR="002127F6" w:rsidRPr="00FF65D6">
        <w:rPr>
          <w:lang w:val="fr-FR"/>
        </w:rPr>
        <w:t>’</w:t>
      </w:r>
      <w:r w:rsidRPr="00FF65D6">
        <w:rPr>
          <w:lang w:val="fr-FR"/>
        </w:rPr>
        <w:t>enfant ainsi que de</w:t>
      </w:r>
      <w:r w:rsidR="00163801">
        <w:rPr>
          <w:lang w:val="fr-FR"/>
        </w:rPr>
        <w:t>s</w:t>
      </w:r>
      <w:r w:rsidRPr="00FF65D6">
        <w:rPr>
          <w:lang w:val="fr-FR"/>
        </w:rPr>
        <w:t xml:space="preserve"> législation</w:t>
      </w:r>
      <w:r w:rsidR="00163801">
        <w:rPr>
          <w:lang w:val="fr-FR"/>
        </w:rPr>
        <w:t>s</w:t>
      </w:r>
      <w:r w:rsidRPr="00FF65D6">
        <w:rPr>
          <w:lang w:val="fr-FR"/>
        </w:rPr>
        <w:t xml:space="preserve"> nationale et internationale relatives aux droits de l</w:t>
      </w:r>
      <w:r w:rsidR="002127F6" w:rsidRPr="00FF65D6">
        <w:rPr>
          <w:lang w:val="fr-FR"/>
        </w:rPr>
        <w:t>’</w:t>
      </w:r>
      <w:r w:rsidRPr="00FF65D6">
        <w:rPr>
          <w:lang w:val="fr-FR"/>
        </w:rPr>
        <w:t>enfant</w:t>
      </w:r>
      <w:r w:rsidR="003B7618" w:rsidRPr="00FF65D6">
        <w:rPr>
          <w:lang w:val="fr-FR"/>
        </w:rPr>
        <w:t> </w:t>
      </w:r>
      <w:r w:rsidRPr="00FF65D6">
        <w:rPr>
          <w:lang w:val="fr-FR"/>
        </w:rPr>
        <w:t>; contrôler les établissements pour enfants et établir les rapports correspondants</w:t>
      </w:r>
      <w:r w:rsidR="003B7618" w:rsidRPr="00FF65D6">
        <w:rPr>
          <w:lang w:val="fr-FR"/>
        </w:rPr>
        <w:t> </w:t>
      </w:r>
      <w:r w:rsidRPr="00FF65D6">
        <w:rPr>
          <w:lang w:val="fr-FR"/>
        </w:rPr>
        <w:t>; détecter et examiner certains cas de violation des droits de l</w:t>
      </w:r>
      <w:r w:rsidR="002127F6" w:rsidRPr="00FF65D6">
        <w:rPr>
          <w:lang w:val="fr-FR"/>
        </w:rPr>
        <w:t>’</w:t>
      </w:r>
      <w:r w:rsidRPr="00FF65D6">
        <w:rPr>
          <w:lang w:val="fr-FR"/>
        </w:rPr>
        <w:t>enfant et y répondre</w:t>
      </w:r>
      <w:r w:rsidR="003B7618" w:rsidRPr="00FF65D6">
        <w:rPr>
          <w:lang w:val="fr-FR"/>
        </w:rPr>
        <w:t> </w:t>
      </w:r>
      <w:r w:rsidRPr="00FF65D6">
        <w:rPr>
          <w:lang w:val="fr-FR"/>
        </w:rPr>
        <w:t>; examiner les requêtes et les plaintes des citoyens concernant les allégations de violation des droits de l</w:t>
      </w:r>
      <w:r w:rsidR="002127F6" w:rsidRPr="00FF65D6">
        <w:rPr>
          <w:lang w:val="fr-FR"/>
        </w:rPr>
        <w:t>’</w:t>
      </w:r>
      <w:r w:rsidRPr="00FF65D6">
        <w:rPr>
          <w:lang w:val="fr-FR"/>
        </w:rPr>
        <w:t>enfant</w:t>
      </w:r>
      <w:r w:rsidR="003B7618" w:rsidRPr="00FF65D6">
        <w:rPr>
          <w:lang w:val="fr-FR"/>
        </w:rPr>
        <w:t> </w:t>
      </w:r>
      <w:r w:rsidRPr="00FF65D6">
        <w:rPr>
          <w:lang w:val="fr-FR"/>
        </w:rPr>
        <w:t>; élaborer des recommandations et des propositions pour les organes législatifs et administratifs</w:t>
      </w:r>
      <w:r w:rsidR="003B7618" w:rsidRPr="00FF65D6">
        <w:rPr>
          <w:lang w:val="fr-FR"/>
        </w:rPr>
        <w:t> </w:t>
      </w:r>
      <w:r w:rsidRPr="00FF65D6">
        <w:rPr>
          <w:lang w:val="fr-FR"/>
        </w:rPr>
        <w:t>; mener des activités éducatives visant à promouvoir les libertés et les droits fondamentaux des enfants et à sensibiliser le public à ce domaine</w:t>
      </w:r>
      <w:r w:rsidR="005C1799" w:rsidRPr="005C1799">
        <w:rPr>
          <w:lang w:val="fr-FR"/>
        </w:rPr>
        <w:t>.</w:t>
      </w:r>
    </w:p>
    <w:p w14:paraId="132540CE" w14:textId="77777777" w:rsidR="005C5C6A" w:rsidRPr="00FF65D6" w:rsidRDefault="005C5C6A" w:rsidP="00F34341">
      <w:pPr>
        <w:pStyle w:val="SingleTxtG"/>
        <w:rPr>
          <w:lang w:val="fr-FR"/>
        </w:rPr>
      </w:pPr>
      <w:r w:rsidRPr="00FF65D6">
        <w:rPr>
          <w:lang w:val="fr-FR"/>
        </w:rPr>
        <w:t>19</w:t>
      </w:r>
      <w:r w:rsidR="005C1799" w:rsidRPr="005C1799">
        <w:rPr>
          <w:lang w:val="fr-FR"/>
        </w:rPr>
        <w:t>.</w:t>
      </w:r>
      <w:r w:rsidRPr="00FF65D6">
        <w:rPr>
          <w:lang w:val="fr-FR"/>
        </w:rPr>
        <w:tab/>
        <w:t>Toute personne, y compris un mineur, peut formuler une demande auprès du Bureau du Défenseur public</w:t>
      </w:r>
      <w:r w:rsidR="005C1799" w:rsidRPr="005C1799">
        <w:rPr>
          <w:lang w:val="fr-FR"/>
        </w:rPr>
        <w:t>.</w:t>
      </w:r>
      <w:r w:rsidRPr="00FF65D6">
        <w:rPr>
          <w:lang w:val="fr-FR"/>
        </w:rPr>
        <w:t xml:space="preserve"> Les demandes sont acceptées par le Département de l</w:t>
      </w:r>
      <w:r w:rsidR="002127F6" w:rsidRPr="00FF65D6">
        <w:rPr>
          <w:lang w:val="fr-FR"/>
        </w:rPr>
        <w:t>’</w:t>
      </w:r>
      <w:r w:rsidRPr="00FF65D6">
        <w:rPr>
          <w:lang w:val="fr-FR"/>
        </w:rPr>
        <w:t>accueil des citoyens du Bureau du Défenseur public</w:t>
      </w:r>
      <w:r w:rsidR="005C1799" w:rsidRPr="005C1799">
        <w:rPr>
          <w:lang w:val="fr-FR"/>
        </w:rPr>
        <w:t>.</w:t>
      </w:r>
      <w:r w:rsidRPr="00FF65D6">
        <w:rPr>
          <w:lang w:val="fr-FR"/>
        </w:rPr>
        <w:t xml:space="preserve"> Le Centre dispense ses services à titre gratuit</w:t>
      </w:r>
      <w:r w:rsidR="005C1799" w:rsidRPr="005C1799">
        <w:rPr>
          <w:lang w:val="fr-FR"/>
        </w:rPr>
        <w:t>.</w:t>
      </w:r>
    </w:p>
    <w:p w14:paraId="1733E9B1" w14:textId="77777777" w:rsidR="005C5C6A" w:rsidRPr="00FF65D6" w:rsidRDefault="005C5C6A" w:rsidP="00F34341">
      <w:pPr>
        <w:pStyle w:val="SingleTxtG"/>
        <w:rPr>
          <w:lang w:val="fr-FR"/>
        </w:rPr>
      </w:pPr>
      <w:r w:rsidRPr="00FF65D6">
        <w:rPr>
          <w:lang w:val="fr-FR"/>
        </w:rPr>
        <w:t>20</w:t>
      </w:r>
      <w:r w:rsidR="005C1799" w:rsidRPr="005C1799">
        <w:rPr>
          <w:lang w:val="fr-FR"/>
        </w:rPr>
        <w:t>.</w:t>
      </w:r>
      <w:r w:rsidRPr="00FF65D6">
        <w:rPr>
          <w:lang w:val="fr-FR"/>
        </w:rPr>
        <w:tab/>
      </w:r>
      <w:bookmarkStart w:id="8" w:name="_Hlk534144940"/>
      <w:r w:rsidRPr="00FF65D6">
        <w:rPr>
          <w:lang w:val="fr-FR"/>
        </w:rPr>
        <w:t>Il convient de noter que le budget du Bureau du Défenseur public a augmenté de 620 000 euros, soit 68</w:t>
      </w:r>
      <w:r w:rsidR="003B7618" w:rsidRPr="00FF65D6">
        <w:rPr>
          <w:lang w:val="fr-FR"/>
        </w:rPr>
        <w:t> %</w:t>
      </w:r>
      <w:r w:rsidRPr="00FF65D6">
        <w:rPr>
          <w:lang w:val="fr-FR"/>
        </w:rPr>
        <w:t xml:space="preserve"> de plus qu</w:t>
      </w:r>
      <w:r w:rsidR="002127F6" w:rsidRPr="00FF65D6">
        <w:rPr>
          <w:lang w:val="fr-FR"/>
        </w:rPr>
        <w:t>’</w:t>
      </w:r>
      <w:r w:rsidRPr="00FF65D6">
        <w:rPr>
          <w:lang w:val="fr-FR"/>
        </w:rPr>
        <w:t>en 2014</w:t>
      </w:r>
      <w:r w:rsidR="005C1799" w:rsidRPr="005C1799">
        <w:rPr>
          <w:lang w:val="fr-FR"/>
        </w:rPr>
        <w:t>.</w:t>
      </w:r>
      <w:r w:rsidRPr="00FF65D6">
        <w:rPr>
          <w:lang w:val="fr-FR"/>
        </w:rPr>
        <w:t xml:space="preserve"> En 2015, le budget alloué au Bureau du Défenseur public s</w:t>
      </w:r>
      <w:r w:rsidR="002127F6" w:rsidRPr="00FF65D6">
        <w:rPr>
          <w:lang w:val="fr-FR"/>
        </w:rPr>
        <w:t>’</w:t>
      </w:r>
      <w:r w:rsidRPr="00FF65D6">
        <w:rPr>
          <w:lang w:val="fr-FR"/>
        </w:rPr>
        <w:t xml:space="preserve">est élevé à </w:t>
      </w:r>
      <w:r w:rsidR="00163801">
        <w:rPr>
          <w:lang w:val="fr-FR"/>
        </w:rPr>
        <w:t>4 </w:t>
      </w:r>
      <w:r w:rsidRPr="00FF65D6">
        <w:rPr>
          <w:lang w:val="fr-FR"/>
        </w:rPr>
        <w:t>millions de lari et il a augmenté de 12,5</w:t>
      </w:r>
      <w:r w:rsidR="003B7618" w:rsidRPr="00FF65D6">
        <w:rPr>
          <w:lang w:val="fr-FR"/>
        </w:rPr>
        <w:t> %</w:t>
      </w:r>
      <w:r w:rsidRPr="00FF65D6">
        <w:rPr>
          <w:lang w:val="fr-FR"/>
        </w:rPr>
        <w:t xml:space="preserve"> en 2016, atteignant 4</w:t>
      </w:r>
      <w:r w:rsidR="00163801">
        <w:rPr>
          <w:lang w:val="fr-FR"/>
        </w:rPr>
        <w:t>,</w:t>
      </w:r>
      <w:r w:rsidRPr="00FF65D6">
        <w:rPr>
          <w:lang w:val="fr-FR"/>
        </w:rPr>
        <w:t>5</w:t>
      </w:r>
      <w:r w:rsidR="00163801">
        <w:rPr>
          <w:lang w:val="fr-FR"/>
        </w:rPr>
        <w:t xml:space="preserve"> millions de </w:t>
      </w:r>
      <w:r w:rsidRPr="00FF65D6">
        <w:rPr>
          <w:lang w:val="fr-FR"/>
        </w:rPr>
        <w:t>lari</w:t>
      </w:r>
      <w:r w:rsidR="005C1799" w:rsidRPr="005C1799">
        <w:rPr>
          <w:lang w:val="fr-FR"/>
        </w:rPr>
        <w:t>.</w:t>
      </w:r>
      <w:r w:rsidRPr="00FF65D6">
        <w:rPr>
          <w:lang w:val="fr-FR"/>
        </w:rPr>
        <w:t xml:space="preserve"> En vertu du règlement du </w:t>
      </w:r>
      <w:r w:rsidR="00F33173">
        <w:rPr>
          <w:lang w:val="fr-FR"/>
        </w:rPr>
        <w:t>Bureau du Défenseur public</w:t>
      </w:r>
      <w:r w:rsidRPr="00FF65D6">
        <w:rPr>
          <w:lang w:val="fr-FR"/>
        </w:rPr>
        <w:t xml:space="preserve"> de Géorgie (Défenseur public), le Bureau est chargé du budget et de la planification, ainsi que de l</w:t>
      </w:r>
      <w:r w:rsidR="002127F6" w:rsidRPr="00FF65D6">
        <w:rPr>
          <w:lang w:val="fr-FR"/>
        </w:rPr>
        <w:t>’</w:t>
      </w:r>
      <w:r w:rsidRPr="00FF65D6">
        <w:rPr>
          <w:lang w:val="fr-FR"/>
        </w:rPr>
        <w:t>organisation de la politique en matière de ressources humaines</w:t>
      </w:r>
      <w:bookmarkEnd w:id="8"/>
      <w:r w:rsidR="005C1799" w:rsidRPr="005C1799">
        <w:rPr>
          <w:lang w:val="fr-FR"/>
        </w:rPr>
        <w:t>.</w:t>
      </w:r>
    </w:p>
    <w:p w14:paraId="3D98F063" w14:textId="77777777" w:rsidR="005C5C6A" w:rsidRPr="00FF65D6" w:rsidRDefault="005C5C6A" w:rsidP="00576456">
      <w:pPr>
        <w:pStyle w:val="H1G"/>
        <w:rPr>
          <w:lang w:val="fr-FR"/>
        </w:rPr>
      </w:pPr>
      <w:bookmarkStart w:id="9" w:name="_Toc472961708"/>
      <w:r w:rsidRPr="00FF65D6">
        <w:rPr>
          <w:lang w:val="fr-FR"/>
        </w:rPr>
        <w:tab/>
        <w:t>D</w:t>
      </w:r>
      <w:r w:rsidR="005C1799" w:rsidRPr="005C1799">
        <w:rPr>
          <w:b w:val="0"/>
          <w:lang w:val="fr-FR"/>
        </w:rPr>
        <w:t>.</w:t>
      </w:r>
      <w:r w:rsidRPr="00FF65D6">
        <w:rPr>
          <w:lang w:val="fr-FR"/>
        </w:rPr>
        <w:tab/>
        <w:t>Égalité et non-discrimination</w:t>
      </w:r>
      <w:bookmarkEnd w:id="9"/>
    </w:p>
    <w:p w14:paraId="2F4ACB93" w14:textId="77777777" w:rsidR="005C5C6A" w:rsidRPr="00FF65D6" w:rsidRDefault="005C5C6A" w:rsidP="00F34341">
      <w:pPr>
        <w:pStyle w:val="SingleTxtG"/>
        <w:rPr>
          <w:spacing w:val="-2"/>
          <w:lang w:val="fr-FR"/>
        </w:rPr>
      </w:pPr>
      <w:r w:rsidRPr="00FF65D6">
        <w:rPr>
          <w:spacing w:val="-2"/>
          <w:lang w:val="fr-FR"/>
        </w:rPr>
        <w:t>21</w:t>
      </w:r>
      <w:r w:rsidR="005C1799" w:rsidRPr="005C1799">
        <w:rPr>
          <w:spacing w:val="-2"/>
          <w:lang w:val="fr-FR"/>
        </w:rPr>
        <w:t>.</w:t>
      </w:r>
      <w:r w:rsidRPr="00FF65D6">
        <w:rPr>
          <w:spacing w:val="-2"/>
          <w:lang w:val="fr-FR"/>
        </w:rPr>
        <w:tab/>
        <w:t>La protection et la promotion des droits de l</w:t>
      </w:r>
      <w:r w:rsidR="002127F6" w:rsidRPr="00FF65D6">
        <w:rPr>
          <w:spacing w:val="-2"/>
          <w:lang w:val="fr-FR"/>
        </w:rPr>
        <w:t>’</w:t>
      </w:r>
      <w:r w:rsidRPr="00FF65D6">
        <w:rPr>
          <w:spacing w:val="-2"/>
          <w:lang w:val="fr-FR"/>
        </w:rPr>
        <w:t>homme et des libertés fondamentales sont garanties par la Constitution géorgienne</w:t>
      </w:r>
      <w:r w:rsidR="005C1799" w:rsidRPr="005C1799">
        <w:rPr>
          <w:spacing w:val="-2"/>
          <w:lang w:val="fr-FR"/>
        </w:rPr>
        <w:t>.</w:t>
      </w:r>
      <w:r w:rsidRPr="00FF65D6">
        <w:rPr>
          <w:spacing w:val="-2"/>
          <w:lang w:val="fr-FR"/>
        </w:rPr>
        <w:t xml:space="preserve"> En vertu de la Constitution, tous naissent libres et sont égaux devant la loi sans aucune distinction fondée sur la race, la couleur, la langue, le sexe, la religion, les convictions politiques ou autres, l</w:t>
      </w:r>
      <w:r w:rsidR="002127F6" w:rsidRPr="00FF65D6">
        <w:rPr>
          <w:spacing w:val="-2"/>
          <w:lang w:val="fr-FR"/>
        </w:rPr>
        <w:t>’</w:t>
      </w:r>
      <w:r w:rsidRPr="00FF65D6">
        <w:rPr>
          <w:spacing w:val="-2"/>
          <w:lang w:val="fr-FR"/>
        </w:rPr>
        <w:t>appartenance nationale, ethnique et sociale, la fortune, la position sociale ou le lieu de résidence</w:t>
      </w:r>
      <w:r w:rsidR="005C1799" w:rsidRPr="005C1799">
        <w:rPr>
          <w:spacing w:val="-2"/>
          <w:lang w:val="fr-FR"/>
        </w:rPr>
        <w:t>.</w:t>
      </w:r>
      <w:r w:rsidRPr="00FF65D6">
        <w:rPr>
          <w:spacing w:val="-2"/>
          <w:lang w:val="fr-FR"/>
        </w:rPr>
        <w:t xml:space="preserve"> Les citoyens géorgiens sont égaux dans la vie sociale, économique, culturelle et politique, indépendamment de l</w:t>
      </w:r>
      <w:r w:rsidR="002127F6" w:rsidRPr="00FF65D6">
        <w:rPr>
          <w:spacing w:val="-2"/>
          <w:lang w:val="fr-FR"/>
        </w:rPr>
        <w:t>’</w:t>
      </w:r>
      <w:r w:rsidRPr="00FF65D6">
        <w:rPr>
          <w:spacing w:val="-2"/>
          <w:lang w:val="fr-FR"/>
        </w:rPr>
        <w:t>origine nationale, ethnique, religieuse ou linguistique</w:t>
      </w:r>
      <w:r w:rsidR="005C1799" w:rsidRPr="005C1799">
        <w:rPr>
          <w:spacing w:val="-2"/>
          <w:lang w:val="fr-FR"/>
        </w:rPr>
        <w:t>.</w:t>
      </w:r>
      <w:r w:rsidRPr="00FF65D6">
        <w:rPr>
          <w:spacing w:val="-2"/>
          <w:lang w:val="fr-FR"/>
        </w:rPr>
        <w:t xml:space="preserve"> De plus, la Constitution affirme clairement que les droits de la mère et de l</w:t>
      </w:r>
      <w:r w:rsidR="002127F6" w:rsidRPr="00FF65D6">
        <w:rPr>
          <w:spacing w:val="-2"/>
          <w:lang w:val="fr-FR"/>
        </w:rPr>
        <w:t>’</w:t>
      </w:r>
      <w:r w:rsidRPr="00FF65D6">
        <w:rPr>
          <w:spacing w:val="-2"/>
          <w:lang w:val="fr-FR"/>
        </w:rPr>
        <w:t>enfant sont protégés par la loi</w:t>
      </w:r>
      <w:r w:rsidR="005C1799" w:rsidRPr="005C1799">
        <w:rPr>
          <w:spacing w:val="-2"/>
          <w:lang w:val="fr-FR"/>
        </w:rPr>
        <w:t>.</w:t>
      </w:r>
      <w:r w:rsidRPr="00FF65D6">
        <w:rPr>
          <w:spacing w:val="-2"/>
          <w:lang w:val="fr-FR"/>
        </w:rPr>
        <w:t xml:space="preserve"> </w:t>
      </w:r>
    </w:p>
    <w:p w14:paraId="6370966D" w14:textId="77777777" w:rsidR="005C5C6A" w:rsidRPr="00FF65D6" w:rsidRDefault="005C5C6A" w:rsidP="00F34341">
      <w:pPr>
        <w:pStyle w:val="SingleTxtG"/>
        <w:rPr>
          <w:lang w:val="fr-FR"/>
        </w:rPr>
      </w:pPr>
      <w:r w:rsidRPr="00FF65D6">
        <w:rPr>
          <w:lang w:val="fr-FR"/>
        </w:rPr>
        <w:t>22</w:t>
      </w:r>
      <w:r w:rsidR="005C1799" w:rsidRPr="005C1799">
        <w:rPr>
          <w:lang w:val="fr-FR"/>
        </w:rPr>
        <w:t>.</w:t>
      </w:r>
      <w:r w:rsidRPr="00FF65D6">
        <w:rPr>
          <w:lang w:val="fr-FR"/>
        </w:rPr>
        <w:tab/>
        <w:t>En Géorgie, l</w:t>
      </w:r>
      <w:r w:rsidR="002127F6" w:rsidRPr="00FF65D6">
        <w:rPr>
          <w:lang w:val="fr-FR"/>
        </w:rPr>
        <w:t>’</w:t>
      </w:r>
      <w:r w:rsidRPr="00FF65D6">
        <w:rPr>
          <w:lang w:val="fr-FR"/>
        </w:rPr>
        <w:t>un des faits nouveaux les plus récents et les plus importants en matière de législation a été l</w:t>
      </w:r>
      <w:r w:rsidR="002127F6" w:rsidRPr="00FF65D6">
        <w:rPr>
          <w:lang w:val="fr-FR"/>
        </w:rPr>
        <w:t>’</w:t>
      </w:r>
      <w:r w:rsidRPr="00FF65D6">
        <w:rPr>
          <w:lang w:val="fr-FR"/>
        </w:rPr>
        <w:t>adoption par le Parlement géorgien de la loi générale contre la discrimination, le 2 mai 2014</w:t>
      </w:r>
      <w:r w:rsidR="005C1799" w:rsidRPr="005C1799">
        <w:rPr>
          <w:lang w:val="fr-FR"/>
        </w:rPr>
        <w:t>.</w:t>
      </w:r>
      <w:r w:rsidRPr="00FF65D6">
        <w:rPr>
          <w:lang w:val="fr-FR"/>
        </w:rPr>
        <w:t xml:space="preserve"> Cette loi a pour objet d</w:t>
      </w:r>
      <w:r w:rsidR="002127F6" w:rsidRPr="00FF65D6">
        <w:rPr>
          <w:lang w:val="fr-FR"/>
        </w:rPr>
        <w:t>’</w:t>
      </w:r>
      <w:r w:rsidRPr="00FF65D6">
        <w:rPr>
          <w:lang w:val="fr-FR"/>
        </w:rPr>
        <w:t>éliminer toutes les formes de discrimination et de garantir à chaque personne, y compris les mineurs, l</w:t>
      </w:r>
      <w:r w:rsidR="002127F6" w:rsidRPr="00FF65D6">
        <w:rPr>
          <w:lang w:val="fr-FR"/>
        </w:rPr>
        <w:t>’</w:t>
      </w:r>
      <w:r w:rsidRPr="00FF65D6">
        <w:rPr>
          <w:lang w:val="fr-FR"/>
        </w:rPr>
        <w:t>exercice sur un pied d</w:t>
      </w:r>
      <w:r w:rsidR="002127F6" w:rsidRPr="00FF65D6">
        <w:rPr>
          <w:lang w:val="fr-FR"/>
        </w:rPr>
        <w:t>’</w:t>
      </w:r>
      <w:r w:rsidRPr="00FF65D6">
        <w:rPr>
          <w:lang w:val="fr-FR"/>
        </w:rPr>
        <w:t>égalité des droits prévus par la loi, indépendamment de la race, de la couleur, de la langue, de l</w:t>
      </w:r>
      <w:r w:rsidR="002127F6" w:rsidRPr="00FF65D6">
        <w:rPr>
          <w:lang w:val="fr-FR"/>
        </w:rPr>
        <w:t>’</w:t>
      </w:r>
      <w:r w:rsidRPr="00FF65D6">
        <w:rPr>
          <w:lang w:val="fr-FR"/>
        </w:rPr>
        <w:t>appartenance nationale, ethnique ou sociale, du sexe, de l</w:t>
      </w:r>
      <w:r w:rsidR="002127F6" w:rsidRPr="00FF65D6">
        <w:rPr>
          <w:lang w:val="fr-FR"/>
        </w:rPr>
        <w:t>’</w:t>
      </w:r>
      <w:r w:rsidRPr="00FF65D6">
        <w:rPr>
          <w:lang w:val="fr-FR"/>
        </w:rPr>
        <w:t>orientation sexuelle ou de l</w:t>
      </w:r>
      <w:r w:rsidR="002127F6" w:rsidRPr="00FF65D6">
        <w:rPr>
          <w:lang w:val="fr-FR"/>
        </w:rPr>
        <w:t>’</w:t>
      </w:r>
      <w:r w:rsidRPr="00FF65D6">
        <w:rPr>
          <w:lang w:val="fr-FR"/>
        </w:rPr>
        <w:t>identité de genre, de la situation matrimoniale ou de l</w:t>
      </w:r>
      <w:r w:rsidR="002127F6" w:rsidRPr="00FF65D6">
        <w:rPr>
          <w:lang w:val="fr-FR"/>
        </w:rPr>
        <w:t>’</w:t>
      </w:r>
      <w:r w:rsidRPr="00FF65D6">
        <w:rPr>
          <w:lang w:val="fr-FR"/>
        </w:rPr>
        <w:t>état de santé, du handicap, de l</w:t>
      </w:r>
      <w:r w:rsidR="002127F6" w:rsidRPr="00FF65D6">
        <w:rPr>
          <w:lang w:val="fr-FR"/>
        </w:rPr>
        <w:t>’</w:t>
      </w:r>
      <w:r w:rsidRPr="00FF65D6">
        <w:rPr>
          <w:lang w:val="fr-FR"/>
        </w:rPr>
        <w:t>âge, de la nationalité, de l</w:t>
      </w:r>
      <w:r w:rsidR="002127F6" w:rsidRPr="00FF65D6">
        <w:rPr>
          <w:lang w:val="fr-FR"/>
        </w:rPr>
        <w:t>’</w:t>
      </w:r>
      <w:r w:rsidRPr="00FF65D6">
        <w:rPr>
          <w:lang w:val="fr-FR"/>
        </w:rPr>
        <w:t>origine, du lieu de naissance, du lieu de résidence, du statut social, de la religion ou des convictions, des opinions politiques ou de tout autre motif</w:t>
      </w:r>
      <w:r w:rsidR="005C1799" w:rsidRPr="005C1799">
        <w:rPr>
          <w:lang w:val="fr-FR"/>
        </w:rPr>
        <w:t>.</w:t>
      </w:r>
      <w:r w:rsidRPr="00FF65D6">
        <w:rPr>
          <w:lang w:val="fr-FR"/>
        </w:rPr>
        <w:t xml:space="preserve"> Toute forme de discrimination, qu</w:t>
      </w:r>
      <w:r w:rsidR="002127F6" w:rsidRPr="00FF65D6">
        <w:rPr>
          <w:lang w:val="fr-FR"/>
        </w:rPr>
        <w:t>’</w:t>
      </w:r>
      <w:r w:rsidRPr="00FF65D6">
        <w:rPr>
          <w:lang w:val="fr-FR"/>
        </w:rPr>
        <w:t>elle soit directe, indirecte ou multiple, doit être interdite</w:t>
      </w:r>
      <w:r w:rsidR="005C1799" w:rsidRPr="005C1799">
        <w:rPr>
          <w:lang w:val="fr-FR"/>
        </w:rPr>
        <w:t>.</w:t>
      </w:r>
      <w:r w:rsidRPr="00FF65D6">
        <w:rPr>
          <w:lang w:val="fr-FR"/>
        </w:rPr>
        <w:t xml:space="preserve"> La loi interdit également la discrimination dans les sphères publique et privée et impose des responsabilités non seulement aux institutions publiques mais aussi à toutes les personnes morales et physiques</w:t>
      </w:r>
      <w:r w:rsidR="005C1799" w:rsidRPr="005C1799">
        <w:rPr>
          <w:lang w:val="fr-FR"/>
        </w:rPr>
        <w:t>.</w:t>
      </w:r>
      <w:r w:rsidRPr="00FF65D6">
        <w:rPr>
          <w:lang w:val="fr-FR"/>
        </w:rPr>
        <w:t xml:space="preserve"> Comme il a été mentionné, l</w:t>
      </w:r>
      <w:r w:rsidR="002127F6" w:rsidRPr="00FF65D6">
        <w:rPr>
          <w:lang w:val="fr-FR"/>
        </w:rPr>
        <w:t>’</w:t>
      </w:r>
      <w:r w:rsidRPr="00FF65D6">
        <w:rPr>
          <w:lang w:val="fr-FR"/>
        </w:rPr>
        <w:t>élimination de la discrimination et la garantie de l</w:t>
      </w:r>
      <w:r w:rsidR="002127F6" w:rsidRPr="00FF65D6">
        <w:rPr>
          <w:lang w:val="fr-FR"/>
        </w:rPr>
        <w:t>’</w:t>
      </w:r>
      <w:r w:rsidRPr="00FF65D6">
        <w:rPr>
          <w:lang w:val="fr-FR"/>
        </w:rPr>
        <w:t xml:space="preserve">égalité doivent être suivies et contrôlées par un organe indépendant </w:t>
      </w:r>
      <w:r w:rsidR="00811619">
        <w:rPr>
          <w:lang w:val="fr-FR"/>
        </w:rPr>
        <w:t>− </w:t>
      </w:r>
      <w:r w:rsidRPr="00FF65D6">
        <w:rPr>
          <w:lang w:val="fr-FR"/>
        </w:rPr>
        <w:t>le Défenseur public de la Géorgie</w:t>
      </w:r>
      <w:r w:rsidR="005C1799" w:rsidRPr="005C1799">
        <w:rPr>
          <w:lang w:val="fr-FR"/>
        </w:rPr>
        <w:t>.</w:t>
      </w:r>
      <w:r w:rsidRPr="00FF65D6">
        <w:rPr>
          <w:lang w:val="fr-FR"/>
        </w:rPr>
        <w:t xml:space="preserve"> Pour le suivi de l</w:t>
      </w:r>
      <w:r w:rsidR="002127F6" w:rsidRPr="00FF65D6">
        <w:rPr>
          <w:lang w:val="fr-FR"/>
        </w:rPr>
        <w:t>’</w:t>
      </w:r>
      <w:r w:rsidRPr="00FF65D6">
        <w:rPr>
          <w:lang w:val="fr-FR"/>
        </w:rPr>
        <w:t>application de la loi, le Bureau du Défenseur public a créé un Département de l</w:t>
      </w:r>
      <w:r w:rsidR="002127F6" w:rsidRPr="00FF65D6">
        <w:rPr>
          <w:lang w:val="fr-FR"/>
        </w:rPr>
        <w:t>’</w:t>
      </w:r>
      <w:r w:rsidRPr="00FF65D6">
        <w:rPr>
          <w:lang w:val="fr-FR"/>
        </w:rPr>
        <w:t>égalité</w:t>
      </w:r>
      <w:r w:rsidR="005C1799" w:rsidRPr="005C1799">
        <w:rPr>
          <w:lang w:val="fr-FR"/>
        </w:rPr>
        <w:t>.</w:t>
      </w:r>
      <w:r w:rsidRPr="00FF65D6">
        <w:rPr>
          <w:lang w:val="fr-FR"/>
        </w:rPr>
        <w:t xml:space="preserve"> Pour veiller à la bonne exécution des nouvelles tâches assignées par la loi, le budget du Bureau du Défenseur public a déjà été considérablement accru</w:t>
      </w:r>
      <w:r w:rsidR="005C1799" w:rsidRPr="005C1799">
        <w:rPr>
          <w:lang w:val="fr-FR"/>
        </w:rPr>
        <w:t>.</w:t>
      </w:r>
    </w:p>
    <w:p w14:paraId="7147AD22" w14:textId="77777777" w:rsidR="005C5C6A" w:rsidRPr="00FF65D6" w:rsidRDefault="005C5C6A" w:rsidP="00576456">
      <w:pPr>
        <w:pStyle w:val="H1G"/>
        <w:rPr>
          <w:lang w:val="fr-FR"/>
        </w:rPr>
      </w:pPr>
      <w:bookmarkStart w:id="10" w:name="_Toc472961709"/>
      <w:r w:rsidRPr="00FF65D6">
        <w:rPr>
          <w:lang w:val="fr-FR"/>
        </w:rPr>
        <w:tab/>
        <w:t>E</w:t>
      </w:r>
      <w:r w:rsidR="005C1799" w:rsidRPr="005C1799">
        <w:rPr>
          <w:b w:val="0"/>
          <w:lang w:val="fr-FR"/>
        </w:rPr>
        <w:t>.</w:t>
      </w:r>
      <w:r w:rsidRPr="00FF65D6">
        <w:rPr>
          <w:lang w:val="fr-FR"/>
        </w:rPr>
        <w:tab/>
        <w:t>Diffusion de données et formation</w:t>
      </w:r>
      <w:bookmarkEnd w:id="10"/>
    </w:p>
    <w:p w14:paraId="65C9F3E0" w14:textId="77777777" w:rsidR="005C5C6A" w:rsidRPr="00FF65D6" w:rsidRDefault="005C5C6A" w:rsidP="00F34341">
      <w:pPr>
        <w:pStyle w:val="SingleTxtG"/>
        <w:rPr>
          <w:lang w:val="fr-FR"/>
        </w:rPr>
      </w:pPr>
      <w:r w:rsidRPr="00FF65D6">
        <w:rPr>
          <w:lang w:val="fr-FR"/>
        </w:rPr>
        <w:t>23</w:t>
      </w:r>
      <w:r w:rsidR="005C1799" w:rsidRPr="005C1799">
        <w:rPr>
          <w:lang w:val="fr-FR"/>
        </w:rPr>
        <w:t>.</w:t>
      </w:r>
      <w:r w:rsidRPr="00FF65D6">
        <w:rPr>
          <w:lang w:val="fr-FR"/>
        </w:rPr>
        <w:tab/>
        <w:t>Les employés du Bureau du Procureur prennent part activement aux études concernant les questions touchant à la traite des enfants et à la pornographie mettant en scène des enfants</w:t>
      </w:r>
      <w:r w:rsidR="005C1799" w:rsidRPr="005C1799">
        <w:rPr>
          <w:lang w:val="fr-FR"/>
        </w:rPr>
        <w:t>.</w:t>
      </w:r>
      <w:r w:rsidRPr="00FF65D6">
        <w:rPr>
          <w:lang w:val="fr-FR"/>
        </w:rPr>
        <w:t xml:space="preserve"> En 2014, 26 employés du Bureau du Procureur au total ont suivi une formation portant sur ces questions</w:t>
      </w:r>
      <w:r w:rsidR="005C1799" w:rsidRPr="005C1799">
        <w:rPr>
          <w:lang w:val="fr-FR"/>
        </w:rPr>
        <w:t>.</w:t>
      </w:r>
      <w:r w:rsidRPr="00FF65D6">
        <w:rPr>
          <w:lang w:val="fr-FR"/>
        </w:rPr>
        <w:t xml:space="preserve"> Les activités de formation ont été organisées par l</w:t>
      </w:r>
      <w:r w:rsidR="002127F6" w:rsidRPr="00FF65D6">
        <w:rPr>
          <w:lang w:val="fr-FR"/>
        </w:rPr>
        <w:t>’</w:t>
      </w:r>
      <w:r w:rsidR="00E61BC8">
        <w:rPr>
          <w:lang w:val="fr-FR"/>
        </w:rPr>
        <w:t>ambassade</w:t>
      </w:r>
      <w:r w:rsidRPr="00FF65D6">
        <w:rPr>
          <w:lang w:val="fr-FR"/>
        </w:rPr>
        <w:t xml:space="preserve"> des États-Unis en Géorgie et l</w:t>
      </w:r>
      <w:r w:rsidR="002127F6" w:rsidRPr="00FF65D6">
        <w:rPr>
          <w:lang w:val="fr-FR"/>
        </w:rPr>
        <w:t>’</w:t>
      </w:r>
      <w:r w:rsidRPr="00FF65D6">
        <w:rPr>
          <w:lang w:val="fr-FR"/>
        </w:rPr>
        <w:t>Organisation internationale pour les migrations (OIM)</w:t>
      </w:r>
      <w:r w:rsidR="005C1799" w:rsidRPr="005C1799">
        <w:rPr>
          <w:lang w:val="fr-FR"/>
        </w:rPr>
        <w:t>.</w:t>
      </w:r>
    </w:p>
    <w:p w14:paraId="0F9DC267" w14:textId="77777777" w:rsidR="005C5C6A" w:rsidRPr="00FF65D6" w:rsidRDefault="005C5C6A" w:rsidP="00F34341">
      <w:pPr>
        <w:pStyle w:val="SingleTxtG"/>
        <w:rPr>
          <w:lang w:val="fr-FR"/>
        </w:rPr>
      </w:pPr>
      <w:r w:rsidRPr="00FF65D6">
        <w:rPr>
          <w:lang w:val="fr-FR"/>
        </w:rPr>
        <w:t>24</w:t>
      </w:r>
      <w:r w:rsidR="005C1799" w:rsidRPr="005C1799">
        <w:rPr>
          <w:lang w:val="fr-FR"/>
        </w:rPr>
        <w:t>.</w:t>
      </w:r>
      <w:r w:rsidRPr="00FF65D6">
        <w:rPr>
          <w:lang w:val="fr-FR"/>
        </w:rPr>
        <w:tab/>
        <w:t>En 2015, 26 employés ont pris part à des activités éducatives sur les questions susvisées, organisées par l</w:t>
      </w:r>
      <w:r w:rsidR="002127F6" w:rsidRPr="00FF65D6">
        <w:rPr>
          <w:lang w:val="fr-FR"/>
        </w:rPr>
        <w:t>’</w:t>
      </w:r>
      <w:r w:rsidRPr="00FF65D6">
        <w:rPr>
          <w:lang w:val="fr-FR"/>
        </w:rPr>
        <w:t>Union européenne</w:t>
      </w:r>
      <w:r w:rsidR="005C1799" w:rsidRPr="005C1799">
        <w:rPr>
          <w:lang w:val="fr-FR"/>
        </w:rPr>
        <w:t>.</w:t>
      </w:r>
      <w:r w:rsidRPr="00FF65D6">
        <w:rPr>
          <w:lang w:val="fr-FR"/>
        </w:rPr>
        <w:t xml:space="preserve"> Une visite d</w:t>
      </w:r>
      <w:r w:rsidR="002127F6" w:rsidRPr="00FF65D6">
        <w:rPr>
          <w:lang w:val="fr-FR"/>
        </w:rPr>
        <w:t>’</w:t>
      </w:r>
      <w:r w:rsidRPr="00FF65D6">
        <w:rPr>
          <w:lang w:val="fr-FR"/>
        </w:rPr>
        <w:t>études s</w:t>
      </w:r>
      <w:r w:rsidR="002127F6" w:rsidRPr="00FF65D6">
        <w:rPr>
          <w:lang w:val="fr-FR"/>
        </w:rPr>
        <w:t>’</w:t>
      </w:r>
      <w:r w:rsidRPr="00FF65D6">
        <w:rPr>
          <w:lang w:val="fr-FR"/>
        </w:rPr>
        <w:t>est tenue sur la traite, à laquelle ont participé six employés du Bureau du Procureur</w:t>
      </w:r>
      <w:r w:rsidR="005C1799" w:rsidRPr="005C1799">
        <w:rPr>
          <w:lang w:val="fr-FR"/>
        </w:rPr>
        <w:t>.</w:t>
      </w:r>
      <w:r w:rsidRPr="00FF65D6">
        <w:rPr>
          <w:lang w:val="fr-FR"/>
        </w:rPr>
        <w:t xml:space="preserve"> En 2016, 36 employés ont suivi une formation, avec l</w:t>
      </w:r>
      <w:r w:rsidR="002127F6" w:rsidRPr="00FF65D6">
        <w:rPr>
          <w:lang w:val="fr-FR"/>
        </w:rPr>
        <w:t>’</w:t>
      </w:r>
      <w:r w:rsidRPr="00FF65D6">
        <w:rPr>
          <w:lang w:val="fr-FR"/>
        </w:rPr>
        <w:t>appui de l</w:t>
      </w:r>
      <w:r w:rsidR="002127F6" w:rsidRPr="00FF65D6">
        <w:rPr>
          <w:lang w:val="fr-FR"/>
        </w:rPr>
        <w:t>’</w:t>
      </w:r>
      <w:r w:rsidR="00E61BC8">
        <w:rPr>
          <w:lang w:val="fr-FR"/>
        </w:rPr>
        <w:t>ambassade</w:t>
      </w:r>
      <w:r w:rsidRPr="00FF65D6">
        <w:rPr>
          <w:lang w:val="fr-FR"/>
        </w:rPr>
        <w:t xml:space="preserve"> des États-Unis en Géorgie, sur les questions liées à la traite</w:t>
      </w:r>
      <w:r w:rsidR="005C1799" w:rsidRPr="005C1799">
        <w:rPr>
          <w:lang w:val="fr-FR"/>
        </w:rPr>
        <w:t>.</w:t>
      </w:r>
    </w:p>
    <w:p w14:paraId="32379DB8" w14:textId="77777777" w:rsidR="005C5C6A" w:rsidRPr="00FF65D6" w:rsidRDefault="005C5C6A" w:rsidP="00F34341">
      <w:pPr>
        <w:pStyle w:val="SingleTxtG"/>
        <w:rPr>
          <w:lang w:val="fr-FR"/>
        </w:rPr>
      </w:pPr>
      <w:r w:rsidRPr="00FF65D6">
        <w:rPr>
          <w:lang w:val="fr-FR"/>
        </w:rPr>
        <w:t>25</w:t>
      </w:r>
      <w:r w:rsidR="005C1799" w:rsidRPr="005C1799">
        <w:rPr>
          <w:lang w:val="fr-FR"/>
        </w:rPr>
        <w:t>.</w:t>
      </w:r>
      <w:r w:rsidRPr="00FF65D6">
        <w:rPr>
          <w:lang w:val="fr-FR"/>
        </w:rPr>
        <w:tab/>
        <w:t>La lutte contre la traite des êtres humains est l</w:t>
      </w:r>
      <w:r w:rsidR="002127F6" w:rsidRPr="00FF65D6">
        <w:rPr>
          <w:lang w:val="fr-FR"/>
        </w:rPr>
        <w:t>’</w:t>
      </w:r>
      <w:r w:rsidRPr="00FF65D6">
        <w:rPr>
          <w:lang w:val="fr-FR"/>
        </w:rPr>
        <w:t>un des sujets couverts par le programme de l</w:t>
      </w:r>
      <w:r w:rsidR="002127F6" w:rsidRPr="00FF65D6">
        <w:rPr>
          <w:lang w:val="fr-FR"/>
        </w:rPr>
        <w:t>’</w:t>
      </w:r>
      <w:r w:rsidR="004147B2">
        <w:rPr>
          <w:lang w:val="fr-FR"/>
        </w:rPr>
        <w:t>é</w:t>
      </w:r>
      <w:r w:rsidRPr="00FF65D6">
        <w:rPr>
          <w:lang w:val="fr-FR"/>
        </w:rPr>
        <w:t>cole de police, qui relève du Ministère géorgien de l</w:t>
      </w:r>
      <w:r w:rsidR="002127F6" w:rsidRPr="00FF65D6">
        <w:rPr>
          <w:lang w:val="fr-FR"/>
        </w:rPr>
        <w:t>’</w:t>
      </w:r>
      <w:r w:rsidRPr="00FF65D6">
        <w:rPr>
          <w:lang w:val="fr-FR"/>
        </w:rPr>
        <w:t>intérieur</w:t>
      </w:r>
      <w:r w:rsidR="005C1799" w:rsidRPr="005C1799">
        <w:rPr>
          <w:lang w:val="fr-FR"/>
        </w:rPr>
        <w:t>.</w:t>
      </w:r>
      <w:r w:rsidRPr="00FF65D6">
        <w:rPr>
          <w:lang w:val="fr-FR"/>
        </w:rPr>
        <w:t xml:space="preserve"> Au cours de la formation de base, les élèves policiers acquièrent des compétences en matière d</w:t>
      </w:r>
      <w:r w:rsidR="002127F6" w:rsidRPr="00FF65D6">
        <w:rPr>
          <w:lang w:val="fr-FR"/>
        </w:rPr>
        <w:t>’</w:t>
      </w:r>
      <w:r w:rsidRPr="00FF65D6">
        <w:rPr>
          <w:lang w:val="fr-FR"/>
        </w:rPr>
        <w:t>identification des victimes, de conduite des entretiens ou d</w:t>
      </w:r>
      <w:r w:rsidR="002127F6" w:rsidRPr="00FF65D6">
        <w:rPr>
          <w:lang w:val="fr-FR"/>
        </w:rPr>
        <w:t>’</w:t>
      </w:r>
      <w:r w:rsidRPr="00FF65D6">
        <w:rPr>
          <w:lang w:val="fr-FR"/>
        </w:rPr>
        <w:t>autres procédures tenant compte de l</w:t>
      </w:r>
      <w:r w:rsidR="002127F6" w:rsidRPr="00FF65D6">
        <w:rPr>
          <w:lang w:val="fr-FR"/>
        </w:rPr>
        <w:t>’</w:t>
      </w:r>
      <w:r w:rsidRPr="00FF65D6">
        <w:rPr>
          <w:lang w:val="fr-FR"/>
        </w:rPr>
        <w:t>état psychologique des victimes de la traite et des instruments juridiques locaux et internationaux relatifs à la lutte contre la traite</w:t>
      </w:r>
      <w:r w:rsidR="005C1799" w:rsidRPr="005C1799">
        <w:rPr>
          <w:lang w:val="fr-FR"/>
        </w:rPr>
        <w:t>.</w:t>
      </w:r>
      <w:r w:rsidRPr="00FF65D6">
        <w:rPr>
          <w:lang w:val="fr-FR"/>
        </w:rPr>
        <w:t xml:space="preserve"> Par ailleurs, le personnel des organismes chargés de l</w:t>
      </w:r>
      <w:r w:rsidR="002127F6" w:rsidRPr="00FF65D6">
        <w:rPr>
          <w:lang w:val="fr-FR"/>
        </w:rPr>
        <w:t>’</w:t>
      </w:r>
      <w:r w:rsidRPr="00FF65D6">
        <w:rPr>
          <w:lang w:val="fr-FR"/>
        </w:rPr>
        <w:t>application des lois participe périodiquement à différentes formations organisées sous les auspices de différentes organisations non gouvernementales internationales et locales</w:t>
      </w:r>
      <w:r w:rsidR="005C1799" w:rsidRPr="005C1799">
        <w:rPr>
          <w:lang w:val="fr-FR"/>
        </w:rPr>
        <w:t>.</w:t>
      </w:r>
      <w:r w:rsidRPr="00FF65D6">
        <w:rPr>
          <w:lang w:val="fr-FR"/>
        </w:rPr>
        <w:t xml:space="preserve"> Les cours et les matériels de formation sont également disponibles sur le site Web de l</w:t>
      </w:r>
      <w:r w:rsidR="002127F6" w:rsidRPr="00FF65D6">
        <w:rPr>
          <w:lang w:val="fr-FR"/>
        </w:rPr>
        <w:t>’</w:t>
      </w:r>
      <w:r w:rsidRPr="00FF65D6">
        <w:rPr>
          <w:lang w:val="fr-FR"/>
        </w:rPr>
        <w:t>école de police</w:t>
      </w:r>
      <w:r w:rsidR="005C1799" w:rsidRPr="005C1799">
        <w:rPr>
          <w:lang w:val="fr-FR"/>
        </w:rPr>
        <w:t>.</w:t>
      </w:r>
      <w:r w:rsidRPr="00FF65D6">
        <w:rPr>
          <w:lang w:val="fr-FR"/>
        </w:rPr>
        <w:t xml:space="preserve"> </w:t>
      </w:r>
    </w:p>
    <w:p w14:paraId="1AAA6D71" w14:textId="77777777" w:rsidR="005C5C6A" w:rsidRPr="00FF65D6" w:rsidRDefault="005C5C6A" w:rsidP="00F34341">
      <w:pPr>
        <w:pStyle w:val="SingleTxtG"/>
        <w:rPr>
          <w:lang w:val="fr-FR"/>
        </w:rPr>
      </w:pPr>
      <w:r w:rsidRPr="00FF65D6">
        <w:rPr>
          <w:lang w:val="fr-FR"/>
        </w:rPr>
        <w:t>26</w:t>
      </w:r>
      <w:r w:rsidR="005C1799" w:rsidRPr="005C1799">
        <w:rPr>
          <w:lang w:val="fr-FR"/>
        </w:rPr>
        <w:t>.</w:t>
      </w:r>
      <w:r w:rsidRPr="00FF65D6">
        <w:rPr>
          <w:lang w:val="fr-FR"/>
        </w:rPr>
        <w:tab/>
        <w:t>La Division de la lutte contre la cybercriminalité, qui relève du Département central de la police, est habilitée à enquêter sur les affaires de pornographie mettant en scène des enfants</w:t>
      </w:r>
      <w:r w:rsidR="005C1799" w:rsidRPr="005C1799">
        <w:rPr>
          <w:lang w:val="fr-FR"/>
        </w:rPr>
        <w:t>.</w:t>
      </w:r>
      <w:r w:rsidRPr="00FF65D6">
        <w:rPr>
          <w:lang w:val="fr-FR"/>
        </w:rPr>
        <w:t xml:space="preserve"> Elle opère 24 heures sur 24 et son personnel participe continuellement à des programmes de perfectionnement</w:t>
      </w:r>
      <w:r w:rsidR="005C1799" w:rsidRPr="005C1799">
        <w:rPr>
          <w:lang w:val="fr-FR"/>
        </w:rPr>
        <w:t>.</w:t>
      </w:r>
    </w:p>
    <w:p w14:paraId="17355A7A" w14:textId="77777777" w:rsidR="005C5C6A" w:rsidRPr="00FF65D6" w:rsidRDefault="005C5C6A" w:rsidP="00F34341">
      <w:pPr>
        <w:pStyle w:val="SingleTxtG"/>
        <w:rPr>
          <w:lang w:val="fr-FR"/>
        </w:rPr>
      </w:pPr>
      <w:r w:rsidRPr="00FF65D6">
        <w:rPr>
          <w:lang w:val="fr-FR"/>
        </w:rPr>
        <w:t>27</w:t>
      </w:r>
      <w:r w:rsidR="005C1799" w:rsidRPr="005C1799">
        <w:rPr>
          <w:lang w:val="fr-FR"/>
        </w:rPr>
        <w:t>.</w:t>
      </w:r>
      <w:r w:rsidRPr="00FF65D6">
        <w:rPr>
          <w:lang w:val="fr-FR"/>
        </w:rPr>
        <w:tab/>
        <w:t>Depuis 2015, le 18 novembre, pour célébrer la Journée européenne de la lutte contre la violence sexuelle et l</w:t>
      </w:r>
      <w:r w:rsidR="002127F6" w:rsidRPr="00FF65D6">
        <w:rPr>
          <w:lang w:val="fr-FR"/>
        </w:rPr>
        <w:t>’</w:t>
      </w:r>
      <w:r w:rsidRPr="00FF65D6">
        <w:rPr>
          <w:lang w:val="fr-FR"/>
        </w:rPr>
        <w:t>exploitation sexuelle contre les enfants (Convention de Lanzarote), le Ministère de l</w:t>
      </w:r>
      <w:r w:rsidR="002127F6" w:rsidRPr="00FF65D6">
        <w:rPr>
          <w:lang w:val="fr-FR"/>
        </w:rPr>
        <w:t>’</w:t>
      </w:r>
      <w:r w:rsidRPr="00FF65D6">
        <w:rPr>
          <w:lang w:val="fr-FR"/>
        </w:rPr>
        <w:t>intérieur tient une réunion interactive avec des enfants âgés de 12 à 15 ans</w:t>
      </w:r>
      <w:r w:rsidR="005C1799" w:rsidRPr="005C1799">
        <w:rPr>
          <w:lang w:val="fr-FR"/>
        </w:rPr>
        <w:t>.</w:t>
      </w:r>
      <w:r w:rsidRPr="00FF65D6">
        <w:rPr>
          <w:lang w:val="fr-FR"/>
        </w:rPr>
        <w:t xml:space="preserve"> La réunion a pour objet de sensibiliser les enfants aux conséquences juridiques et sociales de la violence sexuelle, notamment en leur fournissant des informations sur les mécanismes de lutte contre la violence sexuelle, la cybersécurité et les risques liés à la cybercriminalité, ainsi que sur les moyens de protection existants, les services disponibles et le service d</w:t>
      </w:r>
      <w:r w:rsidR="002127F6" w:rsidRPr="00FF65D6">
        <w:rPr>
          <w:lang w:val="fr-FR"/>
        </w:rPr>
        <w:t>’</w:t>
      </w:r>
      <w:r w:rsidRPr="00FF65D6">
        <w:rPr>
          <w:lang w:val="fr-FR"/>
        </w:rPr>
        <w:t>accueil téléphonique d</w:t>
      </w:r>
      <w:r w:rsidR="002127F6" w:rsidRPr="00FF65D6">
        <w:rPr>
          <w:lang w:val="fr-FR"/>
        </w:rPr>
        <w:t>’</w:t>
      </w:r>
      <w:r w:rsidRPr="00FF65D6">
        <w:rPr>
          <w:lang w:val="fr-FR"/>
        </w:rPr>
        <w:t>urgence</w:t>
      </w:r>
      <w:r w:rsidR="005C1799" w:rsidRPr="005C1799">
        <w:rPr>
          <w:lang w:val="fr-FR"/>
        </w:rPr>
        <w:t>.</w:t>
      </w:r>
    </w:p>
    <w:p w14:paraId="74DCA64D" w14:textId="77777777" w:rsidR="005C5C6A" w:rsidRPr="00FF65D6" w:rsidRDefault="005C5C6A" w:rsidP="00F34341">
      <w:pPr>
        <w:pStyle w:val="SingleTxtG"/>
        <w:rPr>
          <w:lang w:val="fr-FR"/>
        </w:rPr>
      </w:pPr>
      <w:r w:rsidRPr="00FF65D6">
        <w:rPr>
          <w:lang w:val="fr-FR"/>
        </w:rPr>
        <w:t>28</w:t>
      </w:r>
      <w:r w:rsidR="005C1799" w:rsidRPr="005C1799">
        <w:rPr>
          <w:lang w:val="fr-FR"/>
        </w:rPr>
        <w:t>.</w:t>
      </w:r>
      <w:r w:rsidRPr="00FF65D6">
        <w:rPr>
          <w:lang w:val="fr-FR"/>
        </w:rPr>
        <w:tab/>
        <w:t>Le Ministère de l</w:t>
      </w:r>
      <w:r w:rsidR="002127F6" w:rsidRPr="00FF65D6">
        <w:rPr>
          <w:lang w:val="fr-FR"/>
        </w:rPr>
        <w:t>’</w:t>
      </w:r>
      <w:r w:rsidRPr="00FF65D6">
        <w:rPr>
          <w:lang w:val="fr-FR"/>
        </w:rPr>
        <w:t>intérieur coopère étroitement avec des organisations non gouvernementales aux fins de l</w:t>
      </w:r>
      <w:r w:rsidR="002127F6" w:rsidRPr="00FF65D6">
        <w:rPr>
          <w:lang w:val="fr-FR"/>
        </w:rPr>
        <w:t>’</w:t>
      </w:r>
      <w:r w:rsidRPr="00FF65D6">
        <w:rPr>
          <w:lang w:val="fr-FR"/>
        </w:rPr>
        <w:t>application de projets conjoints sur les questions liées à la traite</w:t>
      </w:r>
      <w:r w:rsidR="005C1799" w:rsidRPr="005C1799">
        <w:rPr>
          <w:lang w:val="fr-FR"/>
        </w:rPr>
        <w:t>.</w:t>
      </w:r>
      <w:r w:rsidRPr="00FF65D6">
        <w:rPr>
          <w:lang w:val="fr-FR"/>
        </w:rPr>
        <w:t xml:space="preserve"> Au titre de cette coopération avec l</w:t>
      </w:r>
      <w:r w:rsidR="002127F6" w:rsidRPr="00FF65D6">
        <w:rPr>
          <w:lang w:val="fr-FR"/>
        </w:rPr>
        <w:t>’</w:t>
      </w:r>
      <w:r w:rsidRPr="00FF65D6">
        <w:rPr>
          <w:lang w:val="fr-FR"/>
        </w:rPr>
        <w:t>OIM, plusieurs formations, visites d</w:t>
      </w:r>
      <w:r w:rsidR="002127F6" w:rsidRPr="00FF65D6">
        <w:rPr>
          <w:lang w:val="fr-FR"/>
        </w:rPr>
        <w:t>’</w:t>
      </w:r>
      <w:r w:rsidRPr="00FF65D6">
        <w:rPr>
          <w:lang w:val="fr-FR"/>
        </w:rPr>
        <w:t>études et séminaires se sont tenus à l</w:t>
      </w:r>
      <w:r w:rsidR="002127F6" w:rsidRPr="00FF65D6">
        <w:rPr>
          <w:lang w:val="fr-FR"/>
        </w:rPr>
        <w:t>’</w:t>
      </w:r>
      <w:r w:rsidRPr="00FF65D6">
        <w:rPr>
          <w:lang w:val="fr-FR"/>
        </w:rPr>
        <w:t>intention des responsables géorgiens de l</w:t>
      </w:r>
      <w:r w:rsidR="002127F6" w:rsidRPr="00FF65D6">
        <w:rPr>
          <w:lang w:val="fr-FR"/>
        </w:rPr>
        <w:t>’</w:t>
      </w:r>
      <w:r w:rsidRPr="00FF65D6">
        <w:rPr>
          <w:lang w:val="fr-FR"/>
        </w:rPr>
        <w:t>application des lois</w:t>
      </w:r>
      <w:r w:rsidR="005C1799" w:rsidRPr="005C1799">
        <w:rPr>
          <w:lang w:val="fr-FR"/>
        </w:rPr>
        <w:t>.</w:t>
      </w:r>
      <w:r w:rsidRPr="00FF65D6">
        <w:rPr>
          <w:lang w:val="fr-FR"/>
        </w:rPr>
        <w:t xml:space="preserve"> Les formations, qui font appel à des spécialistes internationaux, sont axées sur le partage des meilleures pratiques des pays étrangers en matière de lutte contre la traite et visent également à relever les nouvelles tendances relatives à cette forme de criminalité</w:t>
      </w:r>
      <w:r w:rsidR="005C1799" w:rsidRPr="005C1799">
        <w:rPr>
          <w:lang w:val="fr-FR"/>
        </w:rPr>
        <w:t>.</w:t>
      </w:r>
      <w:r w:rsidRPr="00FF65D6">
        <w:rPr>
          <w:lang w:val="fr-FR"/>
        </w:rPr>
        <w:t xml:space="preserve"> </w:t>
      </w:r>
    </w:p>
    <w:p w14:paraId="4FE4C9B7" w14:textId="77777777" w:rsidR="005C5C6A" w:rsidRPr="00FF65D6" w:rsidRDefault="005C5C6A" w:rsidP="00F34341">
      <w:pPr>
        <w:pStyle w:val="SingleTxtG"/>
        <w:rPr>
          <w:lang w:val="fr-FR"/>
        </w:rPr>
      </w:pPr>
      <w:r w:rsidRPr="00FF65D6">
        <w:rPr>
          <w:lang w:val="fr-FR"/>
        </w:rPr>
        <w:t>29</w:t>
      </w:r>
      <w:r w:rsidR="005C1799" w:rsidRPr="005C1799">
        <w:rPr>
          <w:lang w:val="fr-FR"/>
        </w:rPr>
        <w:t>.</w:t>
      </w:r>
      <w:r w:rsidRPr="00FF65D6">
        <w:rPr>
          <w:lang w:val="fr-FR"/>
        </w:rPr>
        <w:tab/>
        <w:t>Afin de renforcer les connaissances et les qualifications des responsables de l</w:t>
      </w:r>
      <w:r w:rsidR="002127F6" w:rsidRPr="00FF65D6">
        <w:rPr>
          <w:lang w:val="fr-FR"/>
        </w:rPr>
        <w:t>’</w:t>
      </w:r>
      <w:r w:rsidRPr="00FF65D6">
        <w:rPr>
          <w:lang w:val="fr-FR"/>
        </w:rPr>
        <w:t>application des lois dans le domaine de la lutte contre la traite, des directives spécialisées et des procédures opérationnelles spéciales ont été élaborées et adoptées</w:t>
      </w:r>
      <w:r w:rsidR="005C1799" w:rsidRPr="005C1799">
        <w:rPr>
          <w:lang w:val="fr-FR"/>
        </w:rPr>
        <w:t>.</w:t>
      </w:r>
      <w:r w:rsidRPr="00FF65D6">
        <w:rPr>
          <w:lang w:val="fr-FR"/>
        </w:rPr>
        <w:t xml:space="preserve"> </w:t>
      </w:r>
    </w:p>
    <w:p w14:paraId="171B4122" w14:textId="77777777" w:rsidR="005C5C6A" w:rsidRPr="00FF65D6" w:rsidRDefault="005C5C6A" w:rsidP="00F34341">
      <w:pPr>
        <w:pStyle w:val="SingleTxtG"/>
        <w:rPr>
          <w:lang w:val="fr-FR"/>
        </w:rPr>
      </w:pPr>
      <w:r w:rsidRPr="00FF65D6">
        <w:rPr>
          <w:lang w:val="fr-FR"/>
        </w:rPr>
        <w:t>30</w:t>
      </w:r>
      <w:r w:rsidR="005C1799" w:rsidRPr="005C1799">
        <w:rPr>
          <w:lang w:val="fr-FR"/>
        </w:rPr>
        <w:t>.</w:t>
      </w:r>
      <w:r w:rsidRPr="00FF65D6">
        <w:rPr>
          <w:lang w:val="fr-FR"/>
        </w:rPr>
        <w:tab/>
        <w:t>Les procédures opérationnelles spéciales relatives aux</w:t>
      </w:r>
      <w:r w:rsidR="002127F6" w:rsidRPr="00FF65D6">
        <w:rPr>
          <w:lang w:val="fr-FR"/>
        </w:rPr>
        <w:t xml:space="preserve"> </w:t>
      </w:r>
      <w:r w:rsidRPr="00FF65D6">
        <w:rPr>
          <w:lang w:val="fr-FR"/>
        </w:rPr>
        <w:t>enquêtes proactives prévoient des mesures spéciales</w:t>
      </w:r>
      <w:r w:rsidR="002127F6" w:rsidRPr="00FF65D6">
        <w:rPr>
          <w:lang w:val="fr-FR"/>
        </w:rPr>
        <w:t xml:space="preserve"> </w:t>
      </w:r>
      <w:r w:rsidRPr="00FF65D6">
        <w:rPr>
          <w:lang w:val="fr-FR"/>
        </w:rPr>
        <w:t>que les enquêteurs et officiers de police doivent appliquer lors des entretiens conduits avec des victimes mineures potentielles de la traite</w:t>
      </w:r>
      <w:r w:rsidR="005C1799" w:rsidRPr="005C1799">
        <w:rPr>
          <w:lang w:val="fr-FR"/>
        </w:rPr>
        <w:t>.</w:t>
      </w:r>
      <w:r w:rsidRPr="00FF65D6">
        <w:rPr>
          <w:lang w:val="fr-FR"/>
        </w:rPr>
        <w:t xml:space="preserve"> Il leur est recommandé de tenir compte des situations particulières pertinentes pour identifier les victimes mineures</w:t>
      </w:r>
      <w:r w:rsidR="005C1799" w:rsidRPr="005C1799">
        <w:rPr>
          <w:lang w:val="fr-FR"/>
        </w:rPr>
        <w:t>.</w:t>
      </w:r>
      <w:r w:rsidRPr="00FF65D6">
        <w:rPr>
          <w:lang w:val="fr-FR"/>
        </w:rPr>
        <w:t xml:space="preserve"> Le document a fait l</w:t>
      </w:r>
      <w:r w:rsidR="002127F6" w:rsidRPr="00FF65D6">
        <w:rPr>
          <w:lang w:val="fr-FR"/>
        </w:rPr>
        <w:t>’</w:t>
      </w:r>
      <w:r w:rsidRPr="00FF65D6">
        <w:rPr>
          <w:lang w:val="fr-FR"/>
        </w:rPr>
        <w:t>objet d</w:t>
      </w:r>
      <w:r w:rsidR="002127F6" w:rsidRPr="00FF65D6">
        <w:rPr>
          <w:lang w:val="fr-FR"/>
        </w:rPr>
        <w:t>’</w:t>
      </w:r>
      <w:r w:rsidRPr="00FF65D6">
        <w:rPr>
          <w:lang w:val="fr-FR"/>
        </w:rPr>
        <w:t>une évaluation effectuée par un expert des États-Unis et l</w:t>
      </w:r>
      <w:r w:rsidR="002127F6" w:rsidRPr="00FF65D6">
        <w:rPr>
          <w:lang w:val="fr-FR"/>
        </w:rPr>
        <w:t>’</w:t>
      </w:r>
      <w:r w:rsidRPr="00FF65D6">
        <w:rPr>
          <w:lang w:val="fr-FR"/>
        </w:rPr>
        <w:t>OIM a également fourni des compétences spécialisées</w:t>
      </w:r>
      <w:r w:rsidR="005C1799" w:rsidRPr="005C1799">
        <w:rPr>
          <w:lang w:val="fr-FR"/>
        </w:rPr>
        <w:t>.</w:t>
      </w:r>
      <w:r w:rsidRPr="00FF65D6">
        <w:rPr>
          <w:lang w:val="fr-FR"/>
        </w:rPr>
        <w:t xml:space="preserve"> L</w:t>
      </w:r>
      <w:r w:rsidR="002127F6" w:rsidRPr="00FF65D6">
        <w:rPr>
          <w:lang w:val="fr-FR"/>
        </w:rPr>
        <w:t>’</w:t>
      </w:r>
      <w:r w:rsidRPr="00FF65D6">
        <w:rPr>
          <w:lang w:val="fr-FR"/>
        </w:rPr>
        <w:t>expert a formulé des observations et des recommandations précieuses concernant le document afin d</w:t>
      </w:r>
      <w:r w:rsidR="002127F6" w:rsidRPr="00FF65D6">
        <w:rPr>
          <w:lang w:val="fr-FR"/>
        </w:rPr>
        <w:t>’</w:t>
      </w:r>
      <w:r w:rsidRPr="00FF65D6">
        <w:rPr>
          <w:lang w:val="fr-FR"/>
        </w:rPr>
        <w:t>assurer sa conformité avec les meilleures pratiques internationales</w:t>
      </w:r>
      <w:r w:rsidR="005C1799" w:rsidRPr="005C1799">
        <w:rPr>
          <w:lang w:val="fr-FR"/>
        </w:rPr>
        <w:t>.</w:t>
      </w:r>
      <w:r w:rsidRPr="00FF65D6">
        <w:rPr>
          <w:lang w:val="fr-FR"/>
        </w:rPr>
        <w:t xml:space="preserve"> La majeure partie des recommandations a été intégrée dans le projet, dont la version finale a été approuvée par le Ministre géorgien de l</w:t>
      </w:r>
      <w:r w:rsidR="002127F6" w:rsidRPr="00FF65D6">
        <w:rPr>
          <w:lang w:val="fr-FR"/>
        </w:rPr>
        <w:t>’</w:t>
      </w:r>
      <w:r w:rsidRPr="00FF65D6">
        <w:rPr>
          <w:lang w:val="fr-FR"/>
        </w:rPr>
        <w:t>intérieur en 2015</w:t>
      </w:r>
      <w:r w:rsidR="005C1799" w:rsidRPr="005C1799">
        <w:rPr>
          <w:lang w:val="fr-FR"/>
        </w:rPr>
        <w:t>.</w:t>
      </w:r>
    </w:p>
    <w:p w14:paraId="0B9E6C0E" w14:textId="77777777" w:rsidR="005C5C6A" w:rsidRPr="00FF65D6" w:rsidRDefault="005C5C6A" w:rsidP="00F34341">
      <w:pPr>
        <w:pStyle w:val="SingleTxtG"/>
        <w:rPr>
          <w:lang w:val="fr-FR"/>
        </w:rPr>
      </w:pPr>
      <w:r w:rsidRPr="00FF65D6">
        <w:rPr>
          <w:lang w:val="fr-FR"/>
        </w:rPr>
        <w:t>31</w:t>
      </w:r>
      <w:r w:rsidR="005C1799" w:rsidRPr="005C1799">
        <w:rPr>
          <w:lang w:val="fr-FR"/>
        </w:rPr>
        <w:t>.</w:t>
      </w:r>
      <w:r w:rsidRPr="00FF65D6">
        <w:rPr>
          <w:lang w:val="fr-FR"/>
        </w:rPr>
        <w:tab/>
        <w:t>Outre les mesures susmentionnées, qui ont été mises en œuvre, le Ministère de l</w:t>
      </w:r>
      <w:r w:rsidR="002127F6" w:rsidRPr="00FF65D6">
        <w:rPr>
          <w:lang w:val="fr-FR"/>
        </w:rPr>
        <w:t>’</w:t>
      </w:r>
      <w:r w:rsidRPr="00FF65D6">
        <w:rPr>
          <w:lang w:val="fr-FR"/>
        </w:rPr>
        <w:t>intérieur a pris des mesures pour renforcer la coopération internationale afin de recueillir et d</w:t>
      </w:r>
      <w:r w:rsidR="002127F6" w:rsidRPr="00FF65D6">
        <w:rPr>
          <w:lang w:val="fr-FR"/>
        </w:rPr>
        <w:t>’</w:t>
      </w:r>
      <w:r w:rsidRPr="00FF65D6">
        <w:rPr>
          <w:lang w:val="fr-FR"/>
        </w:rPr>
        <w:t>évaluer de façon proactive des informations concernant les atteintes et les violences à l</w:t>
      </w:r>
      <w:r w:rsidR="002127F6" w:rsidRPr="00FF65D6">
        <w:rPr>
          <w:lang w:val="fr-FR"/>
        </w:rPr>
        <w:t>’</w:t>
      </w:r>
      <w:r w:rsidRPr="00FF65D6">
        <w:rPr>
          <w:lang w:val="fr-FR"/>
        </w:rPr>
        <w:t>encontre des enfants</w:t>
      </w:r>
      <w:r w:rsidR="005C1799" w:rsidRPr="005C1799">
        <w:rPr>
          <w:lang w:val="fr-FR"/>
        </w:rPr>
        <w:t>.</w:t>
      </w:r>
      <w:r w:rsidRPr="00FF65D6">
        <w:rPr>
          <w:lang w:val="fr-FR"/>
        </w:rPr>
        <w:t xml:space="preserve"> À cet égard, en décembre 2012, le Gouvernement géorgien a signé la déclaration sur l</w:t>
      </w:r>
      <w:r w:rsidR="002127F6" w:rsidRPr="00FF65D6">
        <w:rPr>
          <w:lang w:val="fr-FR"/>
        </w:rPr>
        <w:t>’</w:t>
      </w:r>
      <w:r w:rsidRPr="00FF65D6">
        <w:rPr>
          <w:lang w:val="fr-FR"/>
        </w:rPr>
        <w:t>Alliance mondiale contre l</w:t>
      </w:r>
      <w:r w:rsidR="002127F6" w:rsidRPr="00FF65D6">
        <w:rPr>
          <w:lang w:val="fr-FR"/>
        </w:rPr>
        <w:t>’</w:t>
      </w:r>
      <w:r w:rsidRPr="00FF65D6">
        <w:rPr>
          <w:lang w:val="fr-FR"/>
        </w:rPr>
        <w:t>abus sexuel d</w:t>
      </w:r>
      <w:r w:rsidR="002127F6" w:rsidRPr="00FF65D6">
        <w:rPr>
          <w:lang w:val="fr-FR"/>
        </w:rPr>
        <w:t>’</w:t>
      </w:r>
      <w:r w:rsidRPr="00FF65D6">
        <w:rPr>
          <w:lang w:val="fr-FR"/>
        </w:rPr>
        <w:t>enfants en ligne, lancée par l</w:t>
      </w:r>
      <w:r w:rsidR="002127F6" w:rsidRPr="00FF65D6">
        <w:rPr>
          <w:lang w:val="fr-FR"/>
        </w:rPr>
        <w:t>’</w:t>
      </w:r>
      <w:r w:rsidRPr="00FF65D6">
        <w:rPr>
          <w:lang w:val="fr-FR"/>
        </w:rPr>
        <w:t>Union européenne et recevant l</w:t>
      </w:r>
      <w:r w:rsidR="002127F6" w:rsidRPr="00FF65D6">
        <w:rPr>
          <w:lang w:val="fr-FR"/>
        </w:rPr>
        <w:t>’</w:t>
      </w:r>
      <w:r w:rsidRPr="00FF65D6">
        <w:rPr>
          <w:lang w:val="fr-FR"/>
        </w:rPr>
        <w:t>appui du Département de la justice des États-Unis</w:t>
      </w:r>
      <w:r w:rsidR="005C1799" w:rsidRPr="005C1799">
        <w:rPr>
          <w:lang w:val="fr-FR"/>
        </w:rPr>
        <w:t>.</w:t>
      </w:r>
    </w:p>
    <w:p w14:paraId="57A3F920" w14:textId="77777777" w:rsidR="005C5C6A" w:rsidRPr="00FF65D6" w:rsidRDefault="005C5C6A" w:rsidP="00F34341">
      <w:pPr>
        <w:pStyle w:val="SingleTxtG"/>
        <w:rPr>
          <w:lang w:val="fr-FR"/>
        </w:rPr>
      </w:pPr>
      <w:r w:rsidRPr="00FF65D6">
        <w:rPr>
          <w:lang w:val="fr-FR"/>
        </w:rPr>
        <w:t>32</w:t>
      </w:r>
      <w:r w:rsidR="005C1799" w:rsidRPr="005C1799">
        <w:rPr>
          <w:lang w:val="fr-FR"/>
        </w:rPr>
        <w:t>.</w:t>
      </w:r>
      <w:r w:rsidRPr="00FF65D6">
        <w:rPr>
          <w:lang w:val="fr-FR"/>
        </w:rPr>
        <w:tab/>
        <w:t>En février 2014, un accord mutuel a été signé par le bureau central national d</w:t>
      </w:r>
      <w:r w:rsidR="002127F6" w:rsidRPr="00FF65D6">
        <w:rPr>
          <w:lang w:val="fr-FR"/>
        </w:rPr>
        <w:t>’</w:t>
      </w:r>
      <w:r w:rsidRPr="00FF65D6">
        <w:rPr>
          <w:lang w:val="fr-FR"/>
        </w:rPr>
        <w:t>I</w:t>
      </w:r>
      <w:r w:rsidR="008E30DB" w:rsidRPr="00FF65D6">
        <w:rPr>
          <w:lang w:val="fr-FR"/>
        </w:rPr>
        <w:t>NTERPOL</w:t>
      </w:r>
      <w:r w:rsidRPr="00FF65D6">
        <w:rPr>
          <w:lang w:val="fr-FR"/>
        </w:rPr>
        <w:t xml:space="preserve"> et le Centre national pour les enfants disparus et exploités</w:t>
      </w:r>
      <w:r w:rsidR="005C1799" w:rsidRPr="005C1799">
        <w:rPr>
          <w:lang w:val="fr-FR"/>
        </w:rPr>
        <w:t>.</w:t>
      </w:r>
      <w:r w:rsidRPr="00FF65D6">
        <w:rPr>
          <w:lang w:val="fr-FR"/>
        </w:rPr>
        <w:t xml:space="preserve"> Le Centre relève du Congrès des États-Unis et constitue le centre national de ressources et la banque d</w:t>
      </w:r>
      <w:r w:rsidR="002127F6" w:rsidRPr="00FF65D6">
        <w:rPr>
          <w:lang w:val="fr-FR"/>
        </w:rPr>
        <w:t>’</w:t>
      </w:r>
      <w:r w:rsidRPr="00FF65D6">
        <w:rPr>
          <w:lang w:val="fr-FR"/>
        </w:rPr>
        <w:t>informations concernant les enfants disparus et exploités</w:t>
      </w:r>
      <w:r w:rsidR="005C1799" w:rsidRPr="005C1799">
        <w:rPr>
          <w:lang w:val="fr-FR"/>
        </w:rPr>
        <w:t>.</w:t>
      </w:r>
      <w:r w:rsidRPr="00FF65D6">
        <w:rPr>
          <w:lang w:val="fr-FR"/>
        </w:rPr>
        <w:t xml:space="preserve"> Sur la base de ce qui précède, les normes internes du Ministère géorgien de l</w:t>
      </w:r>
      <w:r w:rsidR="002127F6" w:rsidRPr="00FF65D6">
        <w:rPr>
          <w:lang w:val="fr-FR"/>
        </w:rPr>
        <w:t>’</w:t>
      </w:r>
      <w:r w:rsidRPr="00FF65D6">
        <w:rPr>
          <w:lang w:val="fr-FR"/>
        </w:rPr>
        <w:t>intérieur ont été adoptées et le Ministère a accès à une base de données sur les enfants victimes d</w:t>
      </w:r>
      <w:r w:rsidR="002127F6" w:rsidRPr="00FF65D6">
        <w:rPr>
          <w:lang w:val="fr-FR"/>
        </w:rPr>
        <w:t>’</w:t>
      </w:r>
      <w:r w:rsidRPr="00FF65D6">
        <w:rPr>
          <w:lang w:val="fr-FR"/>
        </w:rPr>
        <w:t>exploitation sexuelle, qui est tenue par la Division des enfants exploités</w:t>
      </w:r>
      <w:r w:rsidR="005C1799" w:rsidRPr="005C1799">
        <w:rPr>
          <w:lang w:val="fr-FR"/>
        </w:rPr>
        <w:t>.</w:t>
      </w:r>
    </w:p>
    <w:p w14:paraId="489928A0" w14:textId="77777777" w:rsidR="005C5C6A" w:rsidRPr="00FF65D6" w:rsidRDefault="005C5C6A" w:rsidP="00F34341">
      <w:pPr>
        <w:pStyle w:val="SingleTxtG"/>
        <w:rPr>
          <w:lang w:val="fr-FR"/>
        </w:rPr>
      </w:pPr>
      <w:r w:rsidRPr="00FF65D6">
        <w:rPr>
          <w:lang w:val="fr-FR"/>
        </w:rPr>
        <w:t>33</w:t>
      </w:r>
      <w:r w:rsidR="005C1799" w:rsidRPr="005C1799">
        <w:rPr>
          <w:lang w:val="fr-FR"/>
        </w:rPr>
        <w:t>.</w:t>
      </w:r>
      <w:r w:rsidRPr="00FF65D6">
        <w:rPr>
          <w:lang w:val="fr-FR"/>
        </w:rPr>
        <w:tab/>
        <w:t>Afin de renforcer les efforts en matière d</w:t>
      </w:r>
      <w:r w:rsidR="002127F6" w:rsidRPr="00FF65D6">
        <w:rPr>
          <w:lang w:val="fr-FR"/>
        </w:rPr>
        <w:t>’</w:t>
      </w:r>
      <w:r w:rsidRPr="00FF65D6">
        <w:rPr>
          <w:lang w:val="fr-FR"/>
        </w:rPr>
        <w:t>enquête et d</w:t>
      </w:r>
      <w:r w:rsidR="002127F6" w:rsidRPr="00FF65D6">
        <w:rPr>
          <w:lang w:val="fr-FR"/>
        </w:rPr>
        <w:t>’</w:t>
      </w:r>
      <w:r w:rsidRPr="00FF65D6">
        <w:rPr>
          <w:lang w:val="fr-FR"/>
        </w:rPr>
        <w:t>identification des victimes, un mémorandum d</w:t>
      </w:r>
      <w:r w:rsidR="002127F6" w:rsidRPr="00FF65D6">
        <w:rPr>
          <w:lang w:val="fr-FR"/>
        </w:rPr>
        <w:t>’</w:t>
      </w:r>
      <w:r w:rsidRPr="00FF65D6">
        <w:rPr>
          <w:lang w:val="fr-FR"/>
        </w:rPr>
        <w:t>accord a été signé le 27 février 2014 entre le Ministère de l</w:t>
      </w:r>
      <w:r w:rsidR="002127F6" w:rsidRPr="00FF65D6">
        <w:rPr>
          <w:lang w:val="fr-FR"/>
        </w:rPr>
        <w:t>’</w:t>
      </w:r>
      <w:r w:rsidRPr="00FF65D6">
        <w:rPr>
          <w:lang w:val="fr-FR"/>
        </w:rPr>
        <w:t xml:space="preserve">intérieur, le Bureau du </w:t>
      </w:r>
      <w:r w:rsidR="004D7CE5">
        <w:rPr>
          <w:lang w:val="fr-FR"/>
        </w:rPr>
        <w:t>P</w:t>
      </w:r>
      <w:r w:rsidRPr="00FF65D6">
        <w:rPr>
          <w:lang w:val="fr-FR"/>
        </w:rPr>
        <w:t>rocureur en chef et l</w:t>
      </w:r>
      <w:r w:rsidR="002127F6" w:rsidRPr="00FF65D6">
        <w:rPr>
          <w:lang w:val="fr-FR"/>
        </w:rPr>
        <w:t>’</w:t>
      </w:r>
      <w:r w:rsidRPr="00FF65D6">
        <w:rPr>
          <w:lang w:val="fr-FR"/>
        </w:rPr>
        <w:t>OIM sur les principes de coopération dans le domaine du renforcement des compétences des organismes chargés de l</w:t>
      </w:r>
      <w:r w:rsidR="002127F6" w:rsidRPr="00FF65D6">
        <w:rPr>
          <w:lang w:val="fr-FR"/>
        </w:rPr>
        <w:t>’</w:t>
      </w:r>
      <w:r w:rsidRPr="00FF65D6">
        <w:rPr>
          <w:lang w:val="fr-FR"/>
        </w:rPr>
        <w:t>application des lois en matière de lutte contre la traite</w:t>
      </w:r>
      <w:r w:rsidR="005C1799" w:rsidRPr="005C1799">
        <w:rPr>
          <w:lang w:val="fr-FR"/>
        </w:rPr>
        <w:t>.</w:t>
      </w:r>
      <w:r w:rsidRPr="00FF65D6">
        <w:rPr>
          <w:lang w:val="fr-FR"/>
        </w:rPr>
        <w:t xml:space="preserve"> Sur la base du mémorandum, une équipe spéciale a été constituée dans la région d</w:t>
      </w:r>
      <w:r w:rsidR="002127F6" w:rsidRPr="00FF65D6">
        <w:rPr>
          <w:lang w:val="fr-FR"/>
        </w:rPr>
        <w:t>’</w:t>
      </w:r>
      <w:proofErr w:type="spellStart"/>
      <w:r w:rsidRPr="00FF65D6">
        <w:rPr>
          <w:lang w:val="fr-FR"/>
        </w:rPr>
        <w:t>Adjara</w:t>
      </w:r>
      <w:proofErr w:type="spellEnd"/>
      <w:r w:rsidRPr="00FF65D6">
        <w:rPr>
          <w:lang w:val="fr-FR"/>
        </w:rPr>
        <w:t>, qui avait été identifiée comme l</w:t>
      </w:r>
      <w:r w:rsidR="002127F6" w:rsidRPr="00FF65D6">
        <w:rPr>
          <w:lang w:val="fr-FR"/>
        </w:rPr>
        <w:t>’</w:t>
      </w:r>
      <w:r w:rsidRPr="00FF65D6">
        <w:rPr>
          <w:lang w:val="fr-FR"/>
        </w:rPr>
        <w:t>une des principales zones à risque en matière de traite</w:t>
      </w:r>
      <w:r w:rsidR="005C1799" w:rsidRPr="005C1799">
        <w:rPr>
          <w:lang w:val="fr-FR"/>
        </w:rPr>
        <w:t>.</w:t>
      </w:r>
      <w:r w:rsidRPr="00FF65D6">
        <w:rPr>
          <w:lang w:val="fr-FR"/>
        </w:rPr>
        <w:t xml:space="preserve"> L</w:t>
      </w:r>
      <w:r w:rsidR="002127F6" w:rsidRPr="00FF65D6">
        <w:rPr>
          <w:lang w:val="fr-FR"/>
        </w:rPr>
        <w:t>’</w:t>
      </w:r>
      <w:r w:rsidRPr="00FF65D6">
        <w:rPr>
          <w:lang w:val="fr-FR"/>
        </w:rPr>
        <w:t>Équipe spéciale est composée de 12 membres</w:t>
      </w:r>
      <w:r w:rsidR="00576456" w:rsidRPr="00FF65D6">
        <w:rPr>
          <w:lang w:val="fr-FR"/>
        </w:rPr>
        <w:t xml:space="preserve"> − </w:t>
      </w:r>
      <w:r w:rsidR="004D7CE5">
        <w:rPr>
          <w:lang w:val="fr-FR"/>
        </w:rPr>
        <w:t>7 </w:t>
      </w:r>
      <w:r w:rsidRPr="00FF65D6">
        <w:rPr>
          <w:lang w:val="fr-FR"/>
        </w:rPr>
        <w:t xml:space="preserve">enquêteurs adjoints et </w:t>
      </w:r>
      <w:r w:rsidR="004D7CE5">
        <w:rPr>
          <w:lang w:val="fr-FR"/>
        </w:rPr>
        <w:t>5 </w:t>
      </w:r>
      <w:r w:rsidRPr="00FF65D6">
        <w:rPr>
          <w:lang w:val="fr-FR"/>
        </w:rPr>
        <w:t>procureurs </w:t>
      </w:r>
      <w:r w:rsidR="00576456" w:rsidRPr="00FF65D6">
        <w:rPr>
          <w:lang w:val="fr-FR"/>
        </w:rPr>
        <w:t>−</w:t>
      </w:r>
      <w:r w:rsidRPr="00FF65D6">
        <w:rPr>
          <w:lang w:val="fr-FR"/>
        </w:rPr>
        <w:t xml:space="preserve"> qui signaleront conjointement les cas de traite concernant principalement la région d</w:t>
      </w:r>
      <w:r w:rsidR="002127F6" w:rsidRPr="00FF65D6">
        <w:rPr>
          <w:lang w:val="fr-FR"/>
        </w:rPr>
        <w:t>’</w:t>
      </w:r>
      <w:proofErr w:type="spellStart"/>
      <w:r w:rsidRPr="00FF65D6">
        <w:rPr>
          <w:lang w:val="fr-FR"/>
        </w:rPr>
        <w:t>Adjara</w:t>
      </w:r>
      <w:proofErr w:type="spellEnd"/>
      <w:r w:rsidRPr="00FF65D6">
        <w:rPr>
          <w:lang w:val="fr-FR"/>
        </w:rPr>
        <w:t xml:space="preserve"> (zone à haut risque située à la frontière turque)</w:t>
      </w:r>
      <w:r w:rsidR="005C1799" w:rsidRPr="005C1799">
        <w:rPr>
          <w:lang w:val="fr-FR"/>
        </w:rPr>
        <w:t>.</w:t>
      </w:r>
    </w:p>
    <w:p w14:paraId="36B86076" w14:textId="77777777" w:rsidR="005C5C6A" w:rsidRPr="00FF65D6" w:rsidRDefault="005C5C6A" w:rsidP="00F34341">
      <w:pPr>
        <w:pStyle w:val="SingleTxtG"/>
        <w:rPr>
          <w:lang w:val="fr-FR"/>
        </w:rPr>
      </w:pPr>
      <w:r w:rsidRPr="00FF65D6">
        <w:rPr>
          <w:lang w:val="fr-FR"/>
        </w:rPr>
        <w:t>34</w:t>
      </w:r>
      <w:r w:rsidR="005C1799" w:rsidRPr="005C1799">
        <w:rPr>
          <w:lang w:val="fr-FR"/>
        </w:rPr>
        <w:t>.</w:t>
      </w:r>
      <w:r w:rsidRPr="00FF65D6">
        <w:rPr>
          <w:lang w:val="fr-FR"/>
        </w:rPr>
        <w:tab/>
        <w:t>En outre, le 30 juillet 2016, au titre de la Journée mondiale de la lutte contre la traite d</w:t>
      </w:r>
      <w:r w:rsidR="002127F6" w:rsidRPr="00FF65D6">
        <w:rPr>
          <w:lang w:val="fr-FR"/>
        </w:rPr>
        <w:t>’</w:t>
      </w:r>
      <w:r w:rsidRPr="00FF65D6">
        <w:rPr>
          <w:lang w:val="fr-FR"/>
        </w:rPr>
        <w:t xml:space="preserve">êtres humains, le Bureau du </w:t>
      </w:r>
      <w:r w:rsidR="00DB1391">
        <w:rPr>
          <w:lang w:val="fr-FR"/>
        </w:rPr>
        <w:t>P</w:t>
      </w:r>
      <w:r w:rsidRPr="00FF65D6">
        <w:rPr>
          <w:lang w:val="fr-FR"/>
        </w:rPr>
        <w:t>rocureur et le Ministère de l</w:t>
      </w:r>
      <w:r w:rsidR="002127F6" w:rsidRPr="00FF65D6">
        <w:rPr>
          <w:lang w:val="fr-FR"/>
        </w:rPr>
        <w:t>’</w:t>
      </w:r>
      <w:r w:rsidRPr="00FF65D6">
        <w:rPr>
          <w:lang w:val="fr-FR"/>
        </w:rPr>
        <w:t xml:space="preserve">intérieur ont organisé une réunion avec la population dans le district de </w:t>
      </w:r>
      <w:proofErr w:type="spellStart"/>
      <w:r w:rsidRPr="00FF65D6">
        <w:rPr>
          <w:lang w:val="fr-FR"/>
        </w:rPr>
        <w:t>Khelvachauri</w:t>
      </w:r>
      <w:proofErr w:type="spellEnd"/>
      <w:r w:rsidRPr="00FF65D6">
        <w:rPr>
          <w:lang w:val="fr-FR"/>
        </w:rPr>
        <w:t xml:space="preserve"> (région d</w:t>
      </w:r>
      <w:r w:rsidR="002127F6" w:rsidRPr="00FF65D6">
        <w:rPr>
          <w:lang w:val="fr-FR"/>
        </w:rPr>
        <w:t>’</w:t>
      </w:r>
      <w:proofErr w:type="spellStart"/>
      <w:r w:rsidRPr="00FF65D6">
        <w:rPr>
          <w:lang w:val="fr-FR"/>
        </w:rPr>
        <w:t>Adjara</w:t>
      </w:r>
      <w:proofErr w:type="spellEnd"/>
      <w:r w:rsidRPr="00FF65D6">
        <w:rPr>
          <w:lang w:val="fr-FR"/>
        </w:rPr>
        <w:t>), dans le cadre d</w:t>
      </w:r>
      <w:r w:rsidR="002127F6" w:rsidRPr="00FF65D6">
        <w:rPr>
          <w:lang w:val="fr-FR"/>
        </w:rPr>
        <w:t>’</w:t>
      </w:r>
      <w:r w:rsidRPr="00FF65D6">
        <w:rPr>
          <w:lang w:val="fr-FR"/>
        </w:rPr>
        <w:t>un projet du Conseil local, à laquelle ont participé une quarantaine de personnes</w:t>
      </w:r>
      <w:r w:rsidR="005C1799" w:rsidRPr="005C1799">
        <w:rPr>
          <w:lang w:val="fr-FR"/>
        </w:rPr>
        <w:t>.</w:t>
      </w:r>
      <w:r w:rsidRPr="00FF65D6">
        <w:rPr>
          <w:lang w:val="fr-FR"/>
        </w:rPr>
        <w:t xml:space="preserve"> Des représentants des organismes susmentionnés ont communiqué des informations détaillées sur les questions relatives à la traite</w:t>
      </w:r>
      <w:r w:rsidR="005C1799" w:rsidRPr="005C1799">
        <w:rPr>
          <w:lang w:val="fr-FR"/>
        </w:rPr>
        <w:t>.</w:t>
      </w:r>
      <w:r w:rsidRPr="00FF65D6">
        <w:rPr>
          <w:lang w:val="fr-FR"/>
        </w:rPr>
        <w:t xml:space="preserve"> </w:t>
      </w:r>
    </w:p>
    <w:p w14:paraId="5A595CA4" w14:textId="77777777" w:rsidR="005C5C6A" w:rsidRPr="00FF65D6" w:rsidRDefault="005C5C6A" w:rsidP="00576456">
      <w:pPr>
        <w:pStyle w:val="HChG"/>
        <w:rPr>
          <w:lang w:val="fr-FR"/>
        </w:rPr>
      </w:pPr>
      <w:bookmarkStart w:id="11" w:name="_Toc472961710"/>
      <w:r w:rsidRPr="00FF65D6">
        <w:rPr>
          <w:lang w:val="fr-FR"/>
        </w:rPr>
        <w:tab/>
        <w:t>III</w:t>
      </w:r>
      <w:r w:rsidR="005C1799" w:rsidRPr="005C1799">
        <w:rPr>
          <w:b w:val="0"/>
          <w:lang w:val="fr-FR"/>
        </w:rPr>
        <w:t>.</w:t>
      </w:r>
      <w:r w:rsidRPr="00FF65D6">
        <w:rPr>
          <w:lang w:val="fr-FR"/>
        </w:rPr>
        <w:tab/>
        <w:t>Situation des droits de l</w:t>
      </w:r>
      <w:r w:rsidR="002127F6" w:rsidRPr="00FF65D6">
        <w:rPr>
          <w:lang w:val="fr-FR"/>
        </w:rPr>
        <w:t>’</w:t>
      </w:r>
      <w:r w:rsidRPr="00FF65D6">
        <w:rPr>
          <w:lang w:val="fr-FR"/>
        </w:rPr>
        <w:t xml:space="preserve">homme dans les territoires </w:t>
      </w:r>
      <w:r w:rsidR="00576456" w:rsidRPr="00FF65D6">
        <w:rPr>
          <w:lang w:val="fr-FR"/>
        </w:rPr>
        <w:br/>
      </w:r>
      <w:r w:rsidRPr="00FF65D6">
        <w:rPr>
          <w:lang w:val="fr-FR"/>
        </w:rPr>
        <w:t>occupés de la Géorgie</w:t>
      </w:r>
      <w:bookmarkEnd w:id="11"/>
    </w:p>
    <w:p w14:paraId="3143EE40" w14:textId="77777777" w:rsidR="005C5C6A" w:rsidRPr="00FF65D6" w:rsidRDefault="005C5C6A" w:rsidP="00F34341">
      <w:pPr>
        <w:pStyle w:val="SingleTxtG"/>
        <w:rPr>
          <w:lang w:val="fr-FR"/>
        </w:rPr>
      </w:pPr>
      <w:bookmarkStart w:id="12" w:name="_Toc466668035"/>
      <w:bookmarkStart w:id="13" w:name="_Toc469062637"/>
      <w:bookmarkStart w:id="14" w:name="_Toc469062665"/>
      <w:r w:rsidRPr="00FF65D6">
        <w:rPr>
          <w:lang w:val="fr-FR"/>
        </w:rPr>
        <w:t>35</w:t>
      </w:r>
      <w:r w:rsidR="005C1799" w:rsidRPr="005C1799">
        <w:rPr>
          <w:lang w:val="fr-FR"/>
        </w:rPr>
        <w:t>.</w:t>
      </w:r>
      <w:r w:rsidRPr="00FF65D6">
        <w:rPr>
          <w:lang w:val="fr-FR"/>
        </w:rPr>
        <w:tab/>
        <w:t>Le Gouvernement géorgien applique continuellement</w:t>
      </w:r>
      <w:r w:rsidR="002127F6" w:rsidRPr="00FF65D6">
        <w:rPr>
          <w:lang w:val="fr-FR"/>
        </w:rPr>
        <w:t xml:space="preserve"> </w:t>
      </w:r>
      <w:r w:rsidRPr="00FF65D6">
        <w:rPr>
          <w:lang w:val="fr-FR"/>
        </w:rPr>
        <w:t>sa politique visant à garantir le plein exercice des droits prévus dans le Protocole facultatif à l</w:t>
      </w:r>
      <w:r w:rsidR="002127F6" w:rsidRPr="00FF65D6">
        <w:rPr>
          <w:lang w:val="fr-FR"/>
        </w:rPr>
        <w:t>’</w:t>
      </w:r>
      <w:r w:rsidRPr="00FF65D6">
        <w:rPr>
          <w:lang w:val="fr-FR"/>
        </w:rPr>
        <w:t>ensemble de la population du pays</w:t>
      </w:r>
      <w:r w:rsidR="005C1799" w:rsidRPr="005C1799">
        <w:rPr>
          <w:lang w:val="fr-FR"/>
        </w:rPr>
        <w:t>.</w:t>
      </w:r>
      <w:r w:rsidRPr="00FF65D6">
        <w:rPr>
          <w:lang w:val="fr-FR"/>
        </w:rPr>
        <w:t xml:space="preserve"> Toutefois, la réalisation de cet objectif a été entravée par des obstacles d</w:t>
      </w:r>
      <w:r w:rsidR="002127F6" w:rsidRPr="00FF65D6">
        <w:rPr>
          <w:lang w:val="fr-FR"/>
        </w:rPr>
        <w:t>’</w:t>
      </w:r>
      <w:r w:rsidRPr="00FF65D6">
        <w:rPr>
          <w:lang w:val="fr-FR"/>
        </w:rPr>
        <w:t>une gravité extrême imposés au Gouvernement géorgien du fait du contrôle effectif par la Russie de l</w:t>
      </w:r>
      <w:r w:rsidR="002127F6" w:rsidRPr="00FF65D6">
        <w:rPr>
          <w:lang w:val="fr-FR"/>
        </w:rPr>
        <w:t>’</w:t>
      </w:r>
      <w:r w:rsidRPr="00FF65D6">
        <w:rPr>
          <w:lang w:val="fr-FR"/>
        </w:rPr>
        <w:t>Abkhazie (Géorgie) et de la région de Tskhinvali/Ossétie du Sud (Géorgie) depuis le début des années 1990, lorsqu</w:t>
      </w:r>
      <w:r w:rsidR="002127F6" w:rsidRPr="00FF65D6">
        <w:rPr>
          <w:lang w:val="fr-FR"/>
        </w:rPr>
        <w:t>’</w:t>
      </w:r>
      <w:r w:rsidRPr="00FF65D6">
        <w:rPr>
          <w:lang w:val="fr-FR"/>
        </w:rPr>
        <w:t>un conflit armé dans ces régions a été déclenché par la Fédération de Russie</w:t>
      </w:r>
      <w:r w:rsidR="005C1799" w:rsidRPr="005C1799">
        <w:rPr>
          <w:lang w:val="fr-FR"/>
        </w:rPr>
        <w:t>.</w:t>
      </w:r>
      <w:r w:rsidRPr="00FF65D6">
        <w:rPr>
          <w:lang w:val="fr-FR"/>
        </w:rPr>
        <w:t xml:space="preserve"> Du fait des conflits armés qui ont éclaté dans ces territoires durant les années 1992-1993, la Géorgie a de facto perdu le contrôle de parties de ces régions</w:t>
      </w:r>
      <w:r w:rsidR="005C1799" w:rsidRPr="005C1799">
        <w:rPr>
          <w:lang w:val="fr-FR"/>
        </w:rPr>
        <w:t>.</w:t>
      </w:r>
      <w:r w:rsidRPr="00FF65D6">
        <w:rPr>
          <w:lang w:val="fr-FR"/>
        </w:rPr>
        <w:t xml:space="preserve"> Par la suite, ces territoires ont été occupés par la Russie après une nouvelle vague d</w:t>
      </w:r>
      <w:r w:rsidR="002127F6" w:rsidRPr="00FF65D6">
        <w:rPr>
          <w:lang w:val="fr-FR"/>
        </w:rPr>
        <w:t>’</w:t>
      </w:r>
      <w:r w:rsidRPr="00FF65D6">
        <w:rPr>
          <w:lang w:val="fr-FR"/>
        </w:rPr>
        <w:t>agressions armées contre la Géorgie, en août 2008</w:t>
      </w:r>
      <w:r w:rsidR="005C1799" w:rsidRPr="005C1799">
        <w:rPr>
          <w:lang w:val="fr-FR"/>
        </w:rPr>
        <w:t>.</w:t>
      </w:r>
    </w:p>
    <w:p w14:paraId="1617CB98" w14:textId="77777777" w:rsidR="005C5C6A" w:rsidRPr="00FF65D6" w:rsidRDefault="005C5C6A" w:rsidP="00F34341">
      <w:pPr>
        <w:pStyle w:val="SingleTxtG"/>
        <w:rPr>
          <w:lang w:val="fr-FR"/>
        </w:rPr>
      </w:pPr>
      <w:bookmarkStart w:id="15" w:name="_Toc392092310"/>
      <w:r w:rsidRPr="00FF65D6">
        <w:rPr>
          <w:lang w:val="fr-FR"/>
        </w:rPr>
        <w:t>36</w:t>
      </w:r>
      <w:r w:rsidR="005C1799" w:rsidRPr="005C1799">
        <w:rPr>
          <w:lang w:val="fr-FR"/>
        </w:rPr>
        <w:t>.</w:t>
      </w:r>
      <w:r w:rsidRPr="00FF65D6">
        <w:rPr>
          <w:lang w:val="fr-FR"/>
        </w:rPr>
        <w:tab/>
        <w:t>Comme suite aux actions illégales de la Russie, le Gouvernement géorgien, ainsi que les autorités légitimes de ces régions actuellement en exil, ne sont pas en mesure d</w:t>
      </w:r>
      <w:r w:rsidR="002127F6" w:rsidRPr="00FF65D6">
        <w:rPr>
          <w:lang w:val="fr-FR"/>
        </w:rPr>
        <w:t>’</w:t>
      </w:r>
      <w:r w:rsidRPr="00FF65D6">
        <w:rPr>
          <w:lang w:val="fr-FR"/>
        </w:rPr>
        <w:t>exercer un contrôle effectif sur les territoires pour donner effet aux dispositions du Protocole facultatif</w:t>
      </w:r>
      <w:r w:rsidR="005C1799" w:rsidRPr="005C1799">
        <w:rPr>
          <w:lang w:val="fr-FR"/>
        </w:rPr>
        <w:t>.</w:t>
      </w:r>
      <w:r w:rsidRPr="00FF65D6">
        <w:rPr>
          <w:lang w:val="fr-FR"/>
        </w:rPr>
        <w:t xml:space="preserve"> La Géorgie s</w:t>
      </w:r>
      <w:r w:rsidR="002127F6" w:rsidRPr="00FF65D6">
        <w:rPr>
          <w:lang w:val="fr-FR"/>
        </w:rPr>
        <w:t>’</w:t>
      </w:r>
      <w:r w:rsidRPr="00FF65D6">
        <w:rPr>
          <w:lang w:val="fr-FR"/>
        </w:rPr>
        <w:t>acquitte pleinement de son obligation de prendre toutes les mesures possibles pour appliquer les dispositions du Protocole facultatif, empêchant qu</w:t>
      </w:r>
      <w:r w:rsidR="002127F6" w:rsidRPr="00FF65D6">
        <w:rPr>
          <w:lang w:val="fr-FR"/>
        </w:rPr>
        <w:t>’</w:t>
      </w:r>
      <w:r w:rsidRPr="00FF65D6">
        <w:rPr>
          <w:lang w:val="fr-FR"/>
        </w:rPr>
        <w:t>il puisse être violé et mettant fin aux violations continuelles de celui-ci eu égard aux obligations positives qui lui incombent en vertu du droit international des droits de l</w:t>
      </w:r>
      <w:r w:rsidR="002127F6" w:rsidRPr="00FF65D6">
        <w:rPr>
          <w:lang w:val="fr-FR"/>
        </w:rPr>
        <w:t>’</w:t>
      </w:r>
      <w:r w:rsidRPr="00FF65D6">
        <w:rPr>
          <w:lang w:val="fr-FR"/>
        </w:rPr>
        <w:t>homme, mais elle affirme toutefois que la responsabilité première du non-respect des dispositions de la Convention et de leur violation dans ces régions incombe à la Fédération de Russie</w:t>
      </w:r>
      <w:r w:rsidR="005C1799" w:rsidRPr="005C1799">
        <w:rPr>
          <w:lang w:val="fr-FR"/>
        </w:rPr>
        <w:t>.</w:t>
      </w:r>
      <w:r w:rsidRPr="00FF65D6">
        <w:rPr>
          <w:lang w:val="fr-FR"/>
        </w:rPr>
        <w:t xml:space="preserve"> </w:t>
      </w:r>
    </w:p>
    <w:bookmarkEnd w:id="15"/>
    <w:p w14:paraId="29EA3E7E" w14:textId="77777777" w:rsidR="005C5C6A" w:rsidRPr="00FF65D6" w:rsidRDefault="005C5C6A" w:rsidP="00F34341">
      <w:pPr>
        <w:pStyle w:val="SingleTxtG"/>
        <w:rPr>
          <w:lang w:val="fr-FR"/>
        </w:rPr>
      </w:pPr>
      <w:r w:rsidRPr="00FF65D6">
        <w:rPr>
          <w:lang w:val="fr-FR"/>
        </w:rPr>
        <w:t>37</w:t>
      </w:r>
      <w:r w:rsidR="005C1799" w:rsidRPr="005C1799">
        <w:rPr>
          <w:lang w:val="fr-FR"/>
        </w:rPr>
        <w:t>.</w:t>
      </w:r>
      <w:r w:rsidRPr="00FF65D6">
        <w:rPr>
          <w:lang w:val="fr-FR"/>
        </w:rPr>
        <w:tab/>
        <w:t>Du fait de l</w:t>
      </w:r>
      <w:r w:rsidR="002127F6" w:rsidRPr="00FF65D6">
        <w:rPr>
          <w:lang w:val="fr-FR"/>
        </w:rPr>
        <w:t>’</w:t>
      </w:r>
      <w:r w:rsidRPr="00FF65D6">
        <w:rPr>
          <w:lang w:val="fr-FR"/>
        </w:rPr>
        <w:t>agression militaire, de l</w:t>
      </w:r>
      <w:r w:rsidR="002127F6" w:rsidRPr="00FF65D6">
        <w:rPr>
          <w:lang w:val="fr-FR"/>
        </w:rPr>
        <w:t>’</w:t>
      </w:r>
      <w:r w:rsidRPr="00FF65D6">
        <w:rPr>
          <w:lang w:val="fr-FR"/>
        </w:rPr>
        <w:t>annexion rampante et de la politique d</w:t>
      </w:r>
      <w:r w:rsidR="002127F6" w:rsidRPr="00FF65D6">
        <w:rPr>
          <w:lang w:val="fr-FR"/>
        </w:rPr>
        <w:t>’</w:t>
      </w:r>
      <w:r w:rsidRPr="00FF65D6">
        <w:rPr>
          <w:lang w:val="fr-FR"/>
        </w:rPr>
        <w:t>occupation, bien planifiées et mises en œuvre de façon systématique par la Fédération de Russie à l</w:t>
      </w:r>
      <w:r w:rsidR="002127F6" w:rsidRPr="00FF65D6">
        <w:rPr>
          <w:lang w:val="fr-FR"/>
        </w:rPr>
        <w:t>’</w:t>
      </w:r>
      <w:r w:rsidRPr="00FF65D6">
        <w:rPr>
          <w:lang w:val="fr-FR"/>
        </w:rPr>
        <w:t>égard de la Géorgie, plusieurs centaines de milliers de personnes ont été expulsées de leur foyer et sont devenues des personnes déplacées dans leur pays et des réfugiés qui ont été privés de leur droit reconnu au niveau international à un retour volontaire, en toute sécurité et dans la dignité, sur leur lieu de résidence permanent</w:t>
      </w:r>
      <w:r w:rsidR="005C1799" w:rsidRPr="005C1799">
        <w:rPr>
          <w:lang w:val="fr-FR"/>
        </w:rPr>
        <w:t>.</w:t>
      </w:r>
    </w:p>
    <w:p w14:paraId="1A6C2B10" w14:textId="77777777" w:rsidR="005C5C6A" w:rsidRPr="00FF65D6" w:rsidRDefault="005C5C6A" w:rsidP="00F34341">
      <w:pPr>
        <w:pStyle w:val="SingleTxtG"/>
        <w:rPr>
          <w:lang w:val="fr-FR"/>
        </w:rPr>
      </w:pPr>
      <w:r w:rsidRPr="00FF65D6">
        <w:rPr>
          <w:lang w:val="fr-FR"/>
        </w:rPr>
        <w:t>38</w:t>
      </w:r>
      <w:r w:rsidR="005C1799" w:rsidRPr="005C1799">
        <w:rPr>
          <w:lang w:val="fr-FR"/>
        </w:rPr>
        <w:t>.</w:t>
      </w:r>
      <w:r w:rsidRPr="00FF65D6">
        <w:rPr>
          <w:lang w:val="fr-FR"/>
        </w:rPr>
        <w:tab/>
        <w:t>La Russie, en tant que Puissance occupante qui exerce un contrôle effectif sur les régions occupées de la Géorgie, continue d</w:t>
      </w:r>
      <w:r w:rsidR="002127F6" w:rsidRPr="00FF65D6">
        <w:rPr>
          <w:lang w:val="fr-FR"/>
        </w:rPr>
        <w:t>’</w:t>
      </w:r>
      <w:r w:rsidRPr="00FF65D6">
        <w:rPr>
          <w:lang w:val="fr-FR"/>
        </w:rPr>
        <w:t>empêcher de nombreuses organisations internationales ainsi que des organismes humanitaires d</w:t>
      </w:r>
      <w:r w:rsidR="002127F6" w:rsidRPr="00FF65D6">
        <w:rPr>
          <w:lang w:val="fr-FR"/>
        </w:rPr>
        <w:t>’</w:t>
      </w:r>
      <w:r w:rsidRPr="00FF65D6">
        <w:rPr>
          <w:lang w:val="fr-FR"/>
        </w:rPr>
        <w:t>avoir accès à ces territoires</w:t>
      </w:r>
      <w:r w:rsidR="005C1799" w:rsidRPr="005C1799">
        <w:rPr>
          <w:lang w:val="fr-FR"/>
        </w:rPr>
        <w:t>.</w:t>
      </w:r>
      <w:r w:rsidRPr="00FF65D6">
        <w:rPr>
          <w:lang w:val="fr-FR"/>
        </w:rPr>
        <w:t xml:space="preserve"> Il est déplorable que la Mission de surveillance de l</w:t>
      </w:r>
      <w:r w:rsidR="002127F6" w:rsidRPr="00FF65D6">
        <w:rPr>
          <w:lang w:val="fr-FR"/>
        </w:rPr>
        <w:t>’</w:t>
      </w:r>
      <w:r w:rsidRPr="00FF65D6">
        <w:rPr>
          <w:lang w:val="fr-FR"/>
        </w:rPr>
        <w:t>Union européenne en Géorgie soit encore empêchée de s</w:t>
      </w:r>
      <w:r w:rsidR="002127F6" w:rsidRPr="00FF65D6">
        <w:rPr>
          <w:lang w:val="fr-FR"/>
        </w:rPr>
        <w:t>’</w:t>
      </w:r>
      <w:r w:rsidRPr="00FF65D6">
        <w:rPr>
          <w:lang w:val="fr-FR"/>
        </w:rPr>
        <w:t>acquitter de sa mission de surveillance à l</w:t>
      </w:r>
      <w:r w:rsidR="002127F6" w:rsidRPr="00FF65D6">
        <w:rPr>
          <w:lang w:val="fr-FR"/>
        </w:rPr>
        <w:t>’</w:t>
      </w:r>
      <w:r w:rsidRPr="00FF65D6">
        <w:rPr>
          <w:lang w:val="fr-FR"/>
        </w:rPr>
        <w:t>intérieur des régions occupées qui est prévue dans son mandat</w:t>
      </w:r>
      <w:r w:rsidR="005C1799" w:rsidRPr="005C1799">
        <w:rPr>
          <w:lang w:val="fr-FR"/>
        </w:rPr>
        <w:t>.</w:t>
      </w:r>
    </w:p>
    <w:p w14:paraId="42BCBCA2" w14:textId="77777777" w:rsidR="005C5C6A" w:rsidRPr="00FF65D6" w:rsidRDefault="005C5C6A" w:rsidP="00F34341">
      <w:pPr>
        <w:pStyle w:val="SingleTxtG"/>
        <w:rPr>
          <w:lang w:val="fr-FR"/>
        </w:rPr>
      </w:pPr>
      <w:r w:rsidRPr="00FF65D6">
        <w:rPr>
          <w:lang w:val="fr-FR"/>
        </w:rPr>
        <w:t>39</w:t>
      </w:r>
      <w:r w:rsidR="005C1799" w:rsidRPr="005C1799">
        <w:rPr>
          <w:lang w:val="fr-FR"/>
        </w:rPr>
        <w:t>.</w:t>
      </w:r>
      <w:r w:rsidRPr="00FF65D6">
        <w:rPr>
          <w:lang w:val="fr-FR"/>
        </w:rPr>
        <w:tab/>
        <w:t>La ligne d</w:t>
      </w:r>
      <w:r w:rsidR="002127F6" w:rsidRPr="00FF65D6">
        <w:rPr>
          <w:lang w:val="fr-FR"/>
        </w:rPr>
        <w:t>’</w:t>
      </w:r>
      <w:r w:rsidRPr="00FF65D6">
        <w:rPr>
          <w:lang w:val="fr-FR"/>
        </w:rPr>
        <w:t>occupation le long des régions de l</w:t>
      </w:r>
      <w:r w:rsidR="002127F6" w:rsidRPr="00FF65D6">
        <w:rPr>
          <w:lang w:val="fr-FR"/>
        </w:rPr>
        <w:t>’</w:t>
      </w:r>
      <w:r w:rsidRPr="00FF65D6">
        <w:rPr>
          <w:lang w:val="fr-FR"/>
        </w:rPr>
        <w:t>Abkhazie et de la Tskhinvali sépare la Géorgie de ses deux territoires occupés</w:t>
      </w:r>
      <w:r w:rsidR="005C1799" w:rsidRPr="005C1799">
        <w:rPr>
          <w:lang w:val="fr-FR"/>
        </w:rPr>
        <w:t>.</w:t>
      </w:r>
      <w:r w:rsidRPr="00FF65D6">
        <w:rPr>
          <w:lang w:val="fr-FR"/>
        </w:rPr>
        <w:t xml:space="preserve"> Au printemps de 2011, les forces d</w:t>
      </w:r>
      <w:r w:rsidR="002127F6" w:rsidRPr="00FF65D6">
        <w:rPr>
          <w:lang w:val="fr-FR"/>
        </w:rPr>
        <w:t>’</w:t>
      </w:r>
      <w:r w:rsidRPr="00FF65D6">
        <w:rPr>
          <w:lang w:val="fr-FR"/>
        </w:rPr>
        <w:t>occupation russes ont intensifié l</w:t>
      </w:r>
      <w:r w:rsidR="002127F6" w:rsidRPr="00FF65D6">
        <w:rPr>
          <w:lang w:val="fr-FR"/>
        </w:rPr>
        <w:t>’</w:t>
      </w:r>
      <w:r w:rsidRPr="00FF65D6">
        <w:rPr>
          <w:lang w:val="fr-FR"/>
        </w:rPr>
        <w:t>installation de fil de fer barbelé et d</w:t>
      </w:r>
      <w:r w:rsidR="002127F6" w:rsidRPr="00FF65D6">
        <w:rPr>
          <w:lang w:val="fr-FR"/>
        </w:rPr>
        <w:t>’</w:t>
      </w:r>
      <w:r w:rsidRPr="00FF65D6">
        <w:rPr>
          <w:lang w:val="fr-FR"/>
        </w:rPr>
        <w:t>autres obstacles artificiels le long des lignes d</w:t>
      </w:r>
      <w:r w:rsidR="002127F6" w:rsidRPr="00FF65D6">
        <w:rPr>
          <w:lang w:val="fr-FR"/>
        </w:rPr>
        <w:t>’</w:t>
      </w:r>
      <w:r w:rsidRPr="00FF65D6">
        <w:rPr>
          <w:lang w:val="fr-FR"/>
        </w:rPr>
        <w:t>occupation en Abkhazie (Géorgie) et dans la région de Tskhinvali/Ossétie du Sud (Géorgie) (mises en place en 2009)</w:t>
      </w:r>
      <w:r w:rsidR="005C1799" w:rsidRPr="005C1799">
        <w:rPr>
          <w:lang w:val="fr-FR"/>
        </w:rPr>
        <w:t>.</w:t>
      </w:r>
      <w:r w:rsidRPr="00FF65D6">
        <w:rPr>
          <w:lang w:val="fr-FR"/>
        </w:rPr>
        <w:t xml:space="preserve"> À l</w:t>
      </w:r>
      <w:r w:rsidR="002127F6" w:rsidRPr="00FF65D6">
        <w:rPr>
          <w:lang w:val="fr-FR"/>
        </w:rPr>
        <w:t>’</w:t>
      </w:r>
      <w:r w:rsidRPr="00FF65D6">
        <w:rPr>
          <w:lang w:val="fr-FR"/>
        </w:rPr>
        <w:t>heure actuelle, la longueur totale des barrières artificielles le long des lignes d</w:t>
      </w:r>
      <w:r w:rsidR="002127F6" w:rsidRPr="00FF65D6">
        <w:rPr>
          <w:lang w:val="fr-FR"/>
        </w:rPr>
        <w:t>’</w:t>
      </w:r>
      <w:r w:rsidRPr="00FF65D6">
        <w:rPr>
          <w:lang w:val="fr-FR"/>
        </w:rPr>
        <w:t>occupation est d</w:t>
      </w:r>
      <w:r w:rsidR="002127F6" w:rsidRPr="00FF65D6">
        <w:rPr>
          <w:lang w:val="fr-FR"/>
        </w:rPr>
        <w:t>’</w:t>
      </w:r>
      <w:r w:rsidRPr="00FF65D6">
        <w:rPr>
          <w:lang w:val="fr-FR"/>
        </w:rPr>
        <w:t>une centaine de kilomètres (48 km le long de la ligne d</w:t>
      </w:r>
      <w:r w:rsidR="002127F6" w:rsidRPr="00FF65D6">
        <w:rPr>
          <w:lang w:val="fr-FR"/>
        </w:rPr>
        <w:t>’</w:t>
      </w:r>
      <w:r w:rsidRPr="00FF65D6">
        <w:rPr>
          <w:lang w:val="fr-FR"/>
        </w:rPr>
        <w:t>occupation en Abkhazie (Géorgie) et 52</w:t>
      </w:r>
      <w:r w:rsidR="00DB1391">
        <w:rPr>
          <w:lang w:val="fr-FR"/>
        </w:rPr>
        <w:t> </w:t>
      </w:r>
      <w:r w:rsidRPr="00FF65D6">
        <w:rPr>
          <w:lang w:val="fr-FR"/>
        </w:rPr>
        <w:t>km le long de la ligne d</w:t>
      </w:r>
      <w:r w:rsidR="002127F6" w:rsidRPr="00FF65D6">
        <w:rPr>
          <w:lang w:val="fr-FR"/>
        </w:rPr>
        <w:t>’</w:t>
      </w:r>
      <w:r w:rsidRPr="00FF65D6">
        <w:rPr>
          <w:lang w:val="fr-FR"/>
        </w:rPr>
        <w:t>occupation dans la région de Tskhinvali/Ossétie du Sud (Géorgie))</w:t>
      </w:r>
      <w:r w:rsidR="005C1799" w:rsidRPr="005C1799">
        <w:rPr>
          <w:lang w:val="fr-FR"/>
        </w:rPr>
        <w:t>.</w:t>
      </w:r>
      <w:r w:rsidRPr="00FF65D6">
        <w:rPr>
          <w:lang w:val="fr-FR"/>
        </w:rPr>
        <w:t xml:space="preserve"> La Russie continue d</w:t>
      </w:r>
      <w:r w:rsidR="002127F6" w:rsidRPr="00FF65D6">
        <w:rPr>
          <w:lang w:val="fr-FR"/>
        </w:rPr>
        <w:t>’</w:t>
      </w:r>
      <w:r w:rsidRPr="00FF65D6">
        <w:rPr>
          <w:lang w:val="fr-FR"/>
        </w:rPr>
        <w:t>imposer des restrictions indues à la population locale qui souhaite franchir la ligne d</w:t>
      </w:r>
      <w:r w:rsidR="002127F6" w:rsidRPr="00FF65D6">
        <w:rPr>
          <w:lang w:val="fr-FR"/>
        </w:rPr>
        <w:t>’</w:t>
      </w:r>
      <w:r w:rsidRPr="00FF65D6">
        <w:rPr>
          <w:lang w:val="fr-FR"/>
        </w:rPr>
        <w:t>occupation, ce qui fait souvent des blessés parmi elle, notamment parmi les enfants et les femmes qui ont besoin d</w:t>
      </w:r>
      <w:r w:rsidR="002127F6" w:rsidRPr="00FF65D6">
        <w:rPr>
          <w:lang w:val="fr-FR"/>
        </w:rPr>
        <w:t>’</w:t>
      </w:r>
      <w:r w:rsidRPr="00FF65D6">
        <w:rPr>
          <w:lang w:val="fr-FR"/>
        </w:rPr>
        <w:t>un traitement médical urgent</w:t>
      </w:r>
      <w:r w:rsidR="005C1799" w:rsidRPr="005C1799">
        <w:rPr>
          <w:lang w:val="fr-FR"/>
        </w:rPr>
        <w:t>.</w:t>
      </w:r>
      <w:r w:rsidRPr="00FF65D6">
        <w:rPr>
          <w:lang w:val="fr-FR"/>
        </w:rPr>
        <w:t xml:space="preserve"> Il arrive régulièrement que des personnes soient détenues illégalement par les </w:t>
      </w:r>
      <w:proofErr w:type="spellStart"/>
      <w:r w:rsidRPr="00FF65D6">
        <w:rPr>
          <w:lang w:val="fr-FR"/>
        </w:rPr>
        <w:t>garde</w:t>
      </w:r>
      <w:r w:rsidR="00006F64" w:rsidRPr="00FF65D6">
        <w:rPr>
          <w:lang w:val="fr-FR"/>
        </w:rPr>
        <w:t>s</w:t>
      </w:r>
      <w:r w:rsidR="005D499E">
        <w:rPr>
          <w:lang w:val="fr-FR"/>
        </w:rPr>
        <w:t xml:space="preserve"> </w:t>
      </w:r>
      <w:r w:rsidRPr="00FF65D6">
        <w:rPr>
          <w:lang w:val="fr-FR"/>
        </w:rPr>
        <w:t>frontière</w:t>
      </w:r>
      <w:proofErr w:type="spellEnd"/>
      <w:r w:rsidRPr="00FF65D6">
        <w:rPr>
          <w:lang w:val="fr-FR"/>
        </w:rPr>
        <w:t xml:space="preserve"> du Service fédéral de sécurité de la Fédération de Russie pour de prétendus « franchissements illégaux de la frontière »</w:t>
      </w:r>
      <w:r w:rsidR="005C1799" w:rsidRPr="005C1799">
        <w:rPr>
          <w:lang w:val="fr-FR"/>
        </w:rPr>
        <w:t>.</w:t>
      </w:r>
      <w:r w:rsidRPr="00FF65D6">
        <w:rPr>
          <w:lang w:val="fr-FR"/>
        </w:rPr>
        <w:t xml:space="preserve"> </w:t>
      </w:r>
    </w:p>
    <w:p w14:paraId="5D9D790D" w14:textId="77777777" w:rsidR="005C5C6A" w:rsidRPr="00FF65D6" w:rsidRDefault="005C5C6A" w:rsidP="00F34341">
      <w:pPr>
        <w:pStyle w:val="SingleTxtG"/>
        <w:rPr>
          <w:lang w:val="fr-FR"/>
        </w:rPr>
      </w:pPr>
      <w:r w:rsidRPr="00FF65D6">
        <w:rPr>
          <w:lang w:val="fr-FR"/>
        </w:rPr>
        <w:t>40</w:t>
      </w:r>
      <w:r w:rsidR="005C1799" w:rsidRPr="005C1799">
        <w:rPr>
          <w:lang w:val="fr-FR"/>
        </w:rPr>
        <w:t>.</w:t>
      </w:r>
      <w:r w:rsidRPr="00FF65D6">
        <w:rPr>
          <w:lang w:val="fr-FR"/>
        </w:rPr>
        <w:tab/>
        <w:t>L</w:t>
      </w:r>
      <w:r w:rsidR="002127F6" w:rsidRPr="00FF65D6">
        <w:rPr>
          <w:lang w:val="fr-FR"/>
        </w:rPr>
        <w:t>’</w:t>
      </w:r>
      <w:r w:rsidRPr="00FF65D6">
        <w:rPr>
          <w:lang w:val="fr-FR"/>
        </w:rPr>
        <w:t>occupation militaire qui se poursuit engendre de graves violations des droits de l</w:t>
      </w:r>
      <w:r w:rsidR="002127F6" w:rsidRPr="00FF65D6">
        <w:rPr>
          <w:lang w:val="fr-FR"/>
        </w:rPr>
        <w:t>’</w:t>
      </w:r>
      <w:r w:rsidRPr="00FF65D6">
        <w:rPr>
          <w:lang w:val="fr-FR"/>
        </w:rPr>
        <w:t>homme dans les territoires occupés</w:t>
      </w:r>
      <w:r w:rsidR="005C1799" w:rsidRPr="005C1799">
        <w:rPr>
          <w:lang w:val="fr-FR"/>
        </w:rPr>
        <w:t>.</w:t>
      </w:r>
      <w:r w:rsidRPr="00FF65D6">
        <w:rPr>
          <w:lang w:val="fr-FR"/>
        </w:rPr>
        <w:t xml:space="preserve"> Des personnes </w:t>
      </w:r>
      <w:r w:rsidR="00576456" w:rsidRPr="00FF65D6">
        <w:rPr>
          <w:lang w:val="fr-FR"/>
        </w:rPr>
        <w:t>− </w:t>
      </w:r>
      <w:r w:rsidRPr="00FF65D6">
        <w:rPr>
          <w:lang w:val="fr-FR"/>
        </w:rPr>
        <w:t>y compris des enfants</w:t>
      </w:r>
      <w:r w:rsidR="00576456" w:rsidRPr="00FF65D6">
        <w:rPr>
          <w:lang w:val="fr-FR"/>
        </w:rPr>
        <w:t> −</w:t>
      </w:r>
      <w:r w:rsidRPr="00FF65D6">
        <w:rPr>
          <w:lang w:val="fr-FR"/>
        </w:rPr>
        <w:t xml:space="preserve"> en particulier celles de souche géorgienne, ont été privées de la plupart de leurs libertés et droits fondamentaux</w:t>
      </w:r>
      <w:r w:rsidR="005C1799" w:rsidRPr="005C1799">
        <w:rPr>
          <w:lang w:val="fr-FR"/>
        </w:rPr>
        <w:t>.</w:t>
      </w:r>
      <w:r w:rsidRPr="00FF65D6">
        <w:rPr>
          <w:lang w:val="fr-FR"/>
        </w:rPr>
        <w:t xml:space="preserve"> À cet égard, les enfants demeurent un des groupes les plus vulnérables car leurs droits continuent d</w:t>
      </w:r>
      <w:r w:rsidR="002127F6" w:rsidRPr="00FF65D6">
        <w:rPr>
          <w:lang w:val="fr-FR"/>
        </w:rPr>
        <w:t>’</w:t>
      </w:r>
      <w:r w:rsidRPr="00FF65D6">
        <w:rPr>
          <w:lang w:val="fr-FR"/>
        </w:rPr>
        <w:t>être violés de façon systématique</w:t>
      </w:r>
      <w:r w:rsidR="005C1799" w:rsidRPr="005C1799">
        <w:rPr>
          <w:lang w:val="fr-FR"/>
        </w:rPr>
        <w:t>.</w:t>
      </w:r>
      <w:r w:rsidRPr="00FF65D6">
        <w:rPr>
          <w:lang w:val="fr-FR"/>
        </w:rPr>
        <w:t xml:space="preserve"> Ces violations consistent dans des restrictions à leur liberté de circulation, des restrictions en matière d</w:t>
      </w:r>
      <w:r w:rsidR="002127F6" w:rsidRPr="00FF65D6">
        <w:rPr>
          <w:lang w:val="fr-FR"/>
        </w:rPr>
        <w:t>’</w:t>
      </w:r>
      <w:r w:rsidRPr="00FF65D6">
        <w:rPr>
          <w:lang w:val="fr-FR"/>
        </w:rPr>
        <w:t>éducation dans leur langue maternelle et d</w:t>
      </w:r>
      <w:r w:rsidR="002127F6" w:rsidRPr="00FF65D6">
        <w:rPr>
          <w:lang w:val="fr-FR"/>
        </w:rPr>
        <w:t>’</w:t>
      </w:r>
      <w:r w:rsidRPr="00FF65D6">
        <w:rPr>
          <w:lang w:val="fr-FR"/>
        </w:rPr>
        <w:t>accès à l</w:t>
      </w:r>
      <w:r w:rsidR="002127F6" w:rsidRPr="00FF65D6">
        <w:rPr>
          <w:lang w:val="fr-FR"/>
        </w:rPr>
        <w:t>’</w:t>
      </w:r>
      <w:r w:rsidRPr="00FF65D6">
        <w:rPr>
          <w:lang w:val="fr-FR"/>
        </w:rPr>
        <w:t>éducation, des détentions illégales et des menaces à leur sécurité physique qui constituent des violations graves de la Convention relative aux droits de l</w:t>
      </w:r>
      <w:r w:rsidR="002127F6" w:rsidRPr="00FF65D6">
        <w:rPr>
          <w:lang w:val="fr-FR"/>
        </w:rPr>
        <w:t>’</w:t>
      </w:r>
      <w:r w:rsidRPr="00FF65D6">
        <w:rPr>
          <w:lang w:val="fr-FR"/>
        </w:rPr>
        <w:t>enfant</w:t>
      </w:r>
      <w:r w:rsidR="005C1799" w:rsidRPr="005C1799">
        <w:rPr>
          <w:lang w:val="fr-FR"/>
        </w:rPr>
        <w:t>.</w:t>
      </w:r>
      <w:r w:rsidRPr="00FF65D6">
        <w:rPr>
          <w:lang w:val="fr-FR"/>
        </w:rPr>
        <w:t xml:space="preserve"> </w:t>
      </w:r>
    </w:p>
    <w:p w14:paraId="7D39DEA1" w14:textId="77777777" w:rsidR="005C5C6A" w:rsidRPr="00FF65D6" w:rsidRDefault="005C5C6A" w:rsidP="00F34341">
      <w:pPr>
        <w:pStyle w:val="SingleTxtG"/>
        <w:rPr>
          <w:lang w:val="fr-FR"/>
        </w:rPr>
      </w:pPr>
      <w:r w:rsidRPr="00FF65D6">
        <w:rPr>
          <w:lang w:val="fr-FR"/>
        </w:rPr>
        <w:t>41</w:t>
      </w:r>
      <w:r w:rsidR="005C1799" w:rsidRPr="005C1799">
        <w:rPr>
          <w:lang w:val="fr-FR"/>
        </w:rPr>
        <w:t>.</w:t>
      </w:r>
      <w:r w:rsidRPr="00FF65D6">
        <w:rPr>
          <w:lang w:val="fr-FR"/>
        </w:rPr>
        <w:tab/>
        <w:t>En 2016, la situation s</w:t>
      </w:r>
      <w:r w:rsidR="002127F6" w:rsidRPr="00FF65D6">
        <w:rPr>
          <w:lang w:val="fr-FR"/>
        </w:rPr>
        <w:t>’</w:t>
      </w:r>
      <w:r w:rsidRPr="00FF65D6">
        <w:rPr>
          <w:lang w:val="fr-FR"/>
        </w:rPr>
        <w:t>est aggravée s</w:t>
      </w:r>
      <w:r w:rsidR="002127F6" w:rsidRPr="00FF65D6">
        <w:rPr>
          <w:lang w:val="fr-FR"/>
        </w:rPr>
        <w:t>’</w:t>
      </w:r>
      <w:r w:rsidRPr="00FF65D6">
        <w:rPr>
          <w:lang w:val="fr-FR"/>
        </w:rPr>
        <w:t>agissant de la liberté de circulation au-delà des lignes d</w:t>
      </w:r>
      <w:r w:rsidR="002127F6" w:rsidRPr="00FF65D6">
        <w:rPr>
          <w:lang w:val="fr-FR"/>
        </w:rPr>
        <w:t>’</w:t>
      </w:r>
      <w:r w:rsidRPr="00FF65D6">
        <w:rPr>
          <w:lang w:val="fr-FR"/>
        </w:rPr>
        <w:t>occupation</w:t>
      </w:r>
      <w:r w:rsidR="005C1799" w:rsidRPr="005C1799">
        <w:rPr>
          <w:lang w:val="fr-FR"/>
        </w:rPr>
        <w:t>.</w:t>
      </w:r>
      <w:r w:rsidRPr="00FF65D6">
        <w:rPr>
          <w:lang w:val="fr-FR"/>
        </w:rPr>
        <w:t xml:space="preserve"> Sur les six prétendus «</w:t>
      </w:r>
      <w:r w:rsidR="00576456" w:rsidRPr="00FF65D6">
        <w:rPr>
          <w:lang w:val="fr-FR"/>
        </w:rPr>
        <w:t> </w:t>
      </w:r>
      <w:r w:rsidRPr="00FF65D6">
        <w:rPr>
          <w:lang w:val="fr-FR"/>
        </w:rPr>
        <w:t>points de contrôle</w:t>
      </w:r>
      <w:r w:rsidR="00576456" w:rsidRPr="00FF65D6">
        <w:rPr>
          <w:lang w:val="fr-FR"/>
        </w:rPr>
        <w:t> </w:t>
      </w:r>
      <w:r w:rsidRPr="00FF65D6">
        <w:rPr>
          <w:lang w:val="fr-FR"/>
        </w:rPr>
        <w:t>» opérant sur la ligne d</w:t>
      </w:r>
      <w:r w:rsidR="002127F6" w:rsidRPr="00FF65D6">
        <w:rPr>
          <w:lang w:val="fr-FR"/>
        </w:rPr>
        <w:t>’</w:t>
      </w:r>
      <w:r w:rsidRPr="00FF65D6">
        <w:rPr>
          <w:lang w:val="fr-FR"/>
        </w:rPr>
        <w:t>occupation le long de la région de l</w:t>
      </w:r>
      <w:r w:rsidR="002127F6" w:rsidRPr="00FF65D6">
        <w:rPr>
          <w:lang w:val="fr-FR"/>
        </w:rPr>
        <w:t>’</w:t>
      </w:r>
      <w:r w:rsidRPr="00FF65D6">
        <w:rPr>
          <w:lang w:val="fr-FR"/>
        </w:rPr>
        <w:t>Abkhazie, deux étaient déjà fermés et la fermeture de deux autres était déjà annoncée</w:t>
      </w:r>
      <w:r w:rsidR="005C1799" w:rsidRPr="005C1799">
        <w:rPr>
          <w:lang w:val="fr-FR"/>
        </w:rPr>
        <w:t>.</w:t>
      </w:r>
    </w:p>
    <w:p w14:paraId="301ED0CF" w14:textId="77777777" w:rsidR="005C5C6A" w:rsidRPr="00FF65D6" w:rsidRDefault="005C5C6A" w:rsidP="00F34341">
      <w:pPr>
        <w:pStyle w:val="SingleTxtG"/>
        <w:rPr>
          <w:lang w:val="fr-FR"/>
        </w:rPr>
      </w:pPr>
      <w:r w:rsidRPr="00FF65D6">
        <w:rPr>
          <w:lang w:val="fr-FR"/>
        </w:rPr>
        <w:t>42</w:t>
      </w:r>
      <w:r w:rsidR="005C1799" w:rsidRPr="005C1799">
        <w:rPr>
          <w:lang w:val="fr-FR"/>
        </w:rPr>
        <w:t>.</w:t>
      </w:r>
      <w:r w:rsidRPr="00FF65D6">
        <w:rPr>
          <w:lang w:val="fr-FR"/>
        </w:rPr>
        <w:tab/>
        <w:t>Les restrictions imposées par les prétendus «</w:t>
      </w:r>
      <w:r w:rsidR="00576456" w:rsidRPr="00FF65D6">
        <w:rPr>
          <w:lang w:val="fr-FR"/>
        </w:rPr>
        <w:t> </w:t>
      </w:r>
      <w:proofErr w:type="spellStart"/>
      <w:r w:rsidR="005D499E">
        <w:rPr>
          <w:lang w:val="fr-FR"/>
        </w:rPr>
        <w:t>gardes frontière</w:t>
      </w:r>
      <w:proofErr w:type="spellEnd"/>
      <w:r w:rsidR="00576456" w:rsidRPr="00FF65D6">
        <w:rPr>
          <w:lang w:val="fr-FR"/>
        </w:rPr>
        <w:t> </w:t>
      </w:r>
      <w:r w:rsidRPr="00FF65D6">
        <w:rPr>
          <w:lang w:val="fr-FR"/>
        </w:rPr>
        <w:t>» du Service fédéral de sécurité de la Russie portent directement préjudice aux droits des enfants d</w:t>
      </w:r>
      <w:r w:rsidR="002127F6" w:rsidRPr="00FF65D6">
        <w:rPr>
          <w:lang w:val="fr-FR"/>
        </w:rPr>
        <w:t>’</w:t>
      </w:r>
      <w:r w:rsidRPr="00FF65D6">
        <w:rPr>
          <w:lang w:val="fr-FR"/>
        </w:rPr>
        <w:t>avoir dûment accès aux services de soins de santé en temps voulu</w:t>
      </w:r>
      <w:r w:rsidR="005C1799" w:rsidRPr="005C1799">
        <w:rPr>
          <w:lang w:val="fr-FR"/>
        </w:rPr>
        <w:t>.</w:t>
      </w:r>
      <w:r w:rsidRPr="00FF65D6">
        <w:rPr>
          <w:lang w:val="fr-FR"/>
        </w:rPr>
        <w:t xml:space="preserve"> En 2015, cela s</w:t>
      </w:r>
      <w:r w:rsidR="002127F6" w:rsidRPr="00FF65D6">
        <w:rPr>
          <w:lang w:val="fr-FR"/>
        </w:rPr>
        <w:t>’</w:t>
      </w:r>
      <w:r w:rsidRPr="00FF65D6">
        <w:rPr>
          <w:lang w:val="fr-FR"/>
        </w:rPr>
        <w:t>est traduit par le décès d</w:t>
      </w:r>
      <w:r w:rsidR="002127F6" w:rsidRPr="00FF65D6">
        <w:rPr>
          <w:lang w:val="fr-FR"/>
        </w:rPr>
        <w:t>’</w:t>
      </w:r>
      <w:r w:rsidRPr="00FF65D6">
        <w:rPr>
          <w:lang w:val="fr-FR"/>
        </w:rPr>
        <w:t>un enfant âgé de 12 ans auquel on a interdit de franchir la ligne d</w:t>
      </w:r>
      <w:r w:rsidR="002127F6" w:rsidRPr="00FF65D6">
        <w:rPr>
          <w:lang w:val="fr-FR"/>
        </w:rPr>
        <w:t>’</w:t>
      </w:r>
      <w:r w:rsidRPr="00FF65D6">
        <w:rPr>
          <w:lang w:val="fr-FR"/>
        </w:rPr>
        <w:t>occupation</w:t>
      </w:r>
      <w:r w:rsidR="005C1799" w:rsidRPr="005C1799">
        <w:rPr>
          <w:lang w:val="fr-FR"/>
        </w:rPr>
        <w:t>.</w:t>
      </w:r>
      <w:r w:rsidRPr="00FF65D6">
        <w:rPr>
          <w:lang w:val="fr-FR"/>
        </w:rPr>
        <w:t xml:space="preserve"> Les officiers du Service fédéral de sécurité de la Russie n</w:t>
      </w:r>
      <w:r w:rsidR="002127F6" w:rsidRPr="00FF65D6">
        <w:rPr>
          <w:lang w:val="fr-FR"/>
        </w:rPr>
        <w:t>’</w:t>
      </w:r>
      <w:r w:rsidRPr="00FF65D6">
        <w:rPr>
          <w:lang w:val="fr-FR"/>
        </w:rPr>
        <w:t>ont pas permis non plus à deux autres enfants qui avaient un besoin urgent de soins médicaux de franchir la ligne d</w:t>
      </w:r>
      <w:r w:rsidR="002127F6" w:rsidRPr="00FF65D6">
        <w:rPr>
          <w:lang w:val="fr-FR"/>
        </w:rPr>
        <w:t>’</w:t>
      </w:r>
      <w:r w:rsidRPr="00FF65D6">
        <w:rPr>
          <w:lang w:val="fr-FR"/>
        </w:rPr>
        <w:t>occupation et d</w:t>
      </w:r>
      <w:r w:rsidR="002127F6" w:rsidRPr="00FF65D6">
        <w:rPr>
          <w:lang w:val="fr-FR"/>
        </w:rPr>
        <w:t>’</w:t>
      </w:r>
      <w:r w:rsidRPr="00FF65D6">
        <w:rPr>
          <w:lang w:val="fr-FR"/>
        </w:rPr>
        <w:t>avoir accès à des établissements médicaux</w:t>
      </w:r>
      <w:r w:rsidR="005C1799" w:rsidRPr="005C1799">
        <w:rPr>
          <w:lang w:val="fr-FR"/>
        </w:rPr>
        <w:t>.</w:t>
      </w:r>
      <w:r w:rsidRPr="00FF65D6">
        <w:rPr>
          <w:lang w:val="fr-FR"/>
        </w:rPr>
        <w:t xml:space="preserve"> Il convient de préciser que l</w:t>
      </w:r>
      <w:r w:rsidR="002127F6" w:rsidRPr="00FF65D6">
        <w:rPr>
          <w:lang w:val="fr-FR"/>
        </w:rPr>
        <w:t>’</w:t>
      </w:r>
      <w:r w:rsidRPr="00FF65D6">
        <w:rPr>
          <w:lang w:val="fr-FR"/>
        </w:rPr>
        <w:t>un d</w:t>
      </w:r>
      <w:r w:rsidR="002127F6" w:rsidRPr="00FF65D6">
        <w:rPr>
          <w:lang w:val="fr-FR"/>
        </w:rPr>
        <w:t>’</w:t>
      </w:r>
      <w:r w:rsidRPr="00FF65D6">
        <w:rPr>
          <w:lang w:val="fr-FR"/>
        </w:rPr>
        <w:t>eux souffrait d</w:t>
      </w:r>
      <w:r w:rsidR="002127F6" w:rsidRPr="00FF65D6">
        <w:rPr>
          <w:lang w:val="fr-FR"/>
        </w:rPr>
        <w:t>’</w:t>
      </w:r>
      <w:r w:rsidRPr="00FF65D6">
        <w:rPr>
          <w:lang w:val="fr-FR"/>
        </w:rPr>
        <w:t>une pneumonie et l</w:t>
      </w:r>
      <w:r w:rsidR="002127F6" w:rsidRPr="00FF65D6">
        <w:rPr>
          <w:lang w:val="fr-FR"/>
        </w:rPr>
        <w:t>’</w:t>
      </w:r>
      <w:r w:rsidRPr="00FF65D6">
        <w:rPr>
          <w:lang w:val="fr-FR"/>
        </w:rPr>
        <w:t>autre de brûlures au troisième degré</w:t>
      </w:r>
      <w:r w:rsidR="005C1799" w:rsidRPr="005C1799">
        <w:rPr>
          <w:lang w:val="fr-FR"/>
        </w:rPr>
        <w:t>.</w:t>
      </w:r>
      <w:r w:rsidRPr="00FF65D6">
        <w:rPr>
          <w:lang w:val="fr-FR"/>
        </w:rPr>
        <w:t xml:space="preserve"> </w:t>
      </w:r>
    </w:p>
    <w:p w14:paraId="293D54AA" w14:textId="77777777" w:rsidR="005C5C6A" w:rsidRPr="00FF65D6" w:rsidRDefault="005C5C6A" w:rsidP="00F34341">
      <w:pPr>
        <w:pStyle w:val="SingleTxtG"/>
        <w:rPr>
          <w:lang w:val="fr-FR"/>
        </w:rPr>
      </w:pPr>
      <w:r w:rsidRPr="00FF65D6">
        <w:rPr>
          <w:lang w:val="fr-FR"/>
        </w:rPr>
        <w:t>43</w:t>
      </w:r>
      <w:r w:rsidR="005C1799" w:rsidRPr="005C1799">
        <w:rPr>
          <w:lang w:val="fr-FR"/>
        </w:rPr>
        <w:t>.</w:t>
      </w:r>
      <w:r w:rsidRPr="00FF65D6">
        <w:rPr>
          <w:lang w:val="fr-FR"/>
        </w:rPr>
        <w:tab/>
        <w:t xml:space="preserve">Un enfant âgé de </w:t>
      </w:r>
      <w:r w:rsidR="00282B51">
        <w:rPr>
          <w:lang w:val="fr-FR"/>
        </w:rPr>
        <w:t>2 </w:t>
      </w:r>
      <w:r w:rsidRPr="00FF65D6">
        <w:rPr>
          <w:lang w:val="fr-FR"/>
        </w:rPr>
        <w:t>ans victime d</w:t>
      </w:r>
      <w:r w:rsidR="002127F6" w:rsidRPr="00FF65D6">
        <w:rPr>
          <w:lang w:val="fr-FR"/>
        </w:rPr>
        <w:t>’</w:t>
      </w:r>
      <w:r w:rsidRPr="00FF65D6">
        <w:rPr>
          <w:lang w:val="fr-FR"/>
        </w:rPr>
        <w:t>une attaque d</w:t>
      </w:r>
      <w:r w:rsidR="002127F6" w:rsidRPr="00FF65D6">
        <w:rPr>
          <w:lang w:val="fr-FR"/>
        </w:rPr>
        <w:t>’</w:t>
      </w:r>
      <w:r w:rsidRPr="00FF65D6">
        <w:rPr>
          <w:lang w:val="fr-FR"/>
        </w:rPr>
        <w:t>asthme n</w:t>
      </w:r>
      <w:r w:rsidR="002127F6" w:rsidRPr="00FF65D6">
        <w:rPr>
          <w:lang w:val="fr-FR"/>
        </w:rPr>
        <w:t>’</w:t>
      </w:r>
      <w:r w:rsidRPr="00FF65D6">
        <w:rPr>
          <w:lang w:val="fr-FR"/>
        </w:rPr>
        <w:t>a pas été autorisé à être conduit à l</w:t>
      </w:r>
      <w:r w:rsidR="002127F6" w:rsidRPr="00FF65D6">
        <w:rPr>
          <w:lang w:val="fr-FR"/>
        </w:rPr>
        <w:t>’</w:t>
      </w:r>
      <w:r w:rsidRPr="00FF65D6">
        <w:rPr>
          <w:lang w:val="fr-FR"/>
        </w:rPr>
        <w:t>hôpital situé sur le territoire contrôlé par le Gouvernement géorgien</w:t>
      </w:r>
      <w:r w:rsidR="005C1799" w:rsidRPr="005C1799">
        <w:rPr>
          <w:lang w:val="fr-FR"/>
        </w:rPr>
        <w:t>.</w:t>
      </w:r>
      <w:r w:rsidRPr="00FF65D6">
        <w:rPr>
          <w:lang w:val="fr-FR"/>
        </w:rPr>
        <w:t xml:space="preserve"> Les restrictions existantes et les procédures artificielles imposées à la circulation ont également joué un rôle dans le décès en 2016 d</w:t>
      </w:r>
      <w:r w:rsidR="002127F6" w:rsidRPr="00FF65D6">
        <w:rPr>
          <w:lang w:val="fr-FR"/>
        </w:rPr>
        <w:t>’</w:t>
      </w:r>
      <w:r w:rsidRPr="00FF65D6">
        <w:rPr>
          <w:lang w:val="fr-FR"/>
        </w:rPr>
        <w:t xml:space="preserve">un bébé de </w:t>
      </w:r>
      <w:proofErr w:type="spellStart"/>
      <w:r w:rsidRPr="00FF65D6">
        <w:rPr>
          <w:lang w:val="fr-FR"/>
        </w:rPr>
        <w:t>Sokhumi</w:t>
      </w:r>
      <w:proofErr w:type="spellEnd"/>
      <w:r w:rsidRPr="00FF65D6">
        <w:rPr>
          <w:lang w:val="fr-FR"/>
        </w:rPr>
        <w:t>, âgé de quelques mois seulement, qui est survenu parce que l</w:t>
      </w:r>
      <w:r w:rsidR="002127F6" w:rsidRPr="00FF65D6">
        <w:rPr>
          <w:lang w:val="fr-FR"/>
        </w:rPr>
        <w:t>’</w:t>
      </w:r>
      <w:r w:rsidRPr="00FF65D6">
        <w:rPr>
          <w:lang w:val="fr-FR"/>
        </w:rPr>
        <w:t>ambulance qui le transportait n</w:t>
      </w:r>
      <w:r w:rsidR="002127F6" w:rsidRPr="00FF65D6">
        <w:rPr>
          <w:lang w:val="fr-FR"/>
        </w:rPr>
        <w:t>’</w:t>
      </w:r>
      <w:r w:rsidRPr="00FF65D6">
        <w:rPr>
          <w:lang w:val="fr-FR"/>
        </w:rPr>
        <w:t>a pas été autorisée à traverser la ligne d</w:t>
      </w:r>
      <w:r w:rsidR="002127F6" w:rsidRPr="00FF65D6">
        <w:rPr>
          <w:lang w:val="fr-FR"/>
        </w:rPr>
        <w:t>’</w:t>
      </w:r>
      <w:r w:rsidRPr="00FF65D6">
        <w:rPr>
          <w:lang w:val="fr-FR"/>
        </w:rPr>
        <w:t>occupation</w:t>
      </w:r>
      <w:r w:rsidR="005C1799" w:rsidRPr="005C1799">
        <w:rPr>
          <w:lang w:val="fr-FR"/>
        </w:rPr>
        <w:t>.</w:t>
      </w:r>
      <w:r w:rsidRPr="00FF65D6">
        <w:rPr>
          <w:lang w:val="fr-FR"/>
        </w:rPr>
        <w:t xml:space="preserve"> Malheureusement, la situation décrite ci-dessus perdure</w:t>
      </w:r>
      <w:r w:rsidR="005C1799" w:rsidRPr="005C1799">
        <w:rPr>
          <w:lang w:val="fr-FR"/>
        </w:rPr>
        <w:t>.</w:t>
      </w:r>
    </w:p>
    <w:p w14:paraId="30E5D1D4" w14:textId="77777777" w:rsidR="005C5C6A" w:rsidRPr="00FF65D6" w:rsidRDefault="005C5C6A" w:rsidP="00F34341">
      <w:pPr>
        <w:pStyle w:val="SingleTxtG"/>
        <w:rPr>
          <w:lang w:val="fr-FR"/>
        </w:rPr>
      </w:pPr>
      <w:r w:rsidRPr="00FF65D6">
        <w:rPr>
          <w:lang w:val="fr-FR"/>
        </w:rPr>
        <w:t>44</w:t>
      </w:r>
      <w:r w:rsidR="005C1799" w:rsidRPr="005C1799">
        <w:rPr>
          <w:lang w:val="fr-FR"/>
        </w:rPr>
        <w:t>.</w:t>
      </w:r>
      <w:r w:rsidRPr="00FF65D6">
        <w:rPr>
          <w:lang w:val="fr-FR"/>
        </w:rPr>
        <w:tab/>
        <w:t>Les restrictions imposées ont trait également au droit des enfants de recevoir une éducation dans leur langue maternelle</w:t>
      </w:r>
      <w:r w:rsidR="005C1799" w:rsidRPr="005C1799">
        <w:rPr>
          <w:lang w:val="fr-FR"/>
        </w:rPr>
        <w:t>.</w:t>
      </w:r>
      <w:r w:rsidRPr="00FF65D6">
        <w:rPr>
          <w:lang w:val="fr-FR"/>
        </w:rPr>
        <w:t xml:space="preserve"> La restriction de l</w:t>
      </w:r>
      <w:r w:rsidR="002127F6" w:rsidRPr="00FF65D6">
        <w:rPr>
          <w:lang w:val="fr-FR"/>
        </w:rPr>
        <w:t>’</w:t>
      </w:r>
      <w:r w:rsidRPr="00FF65D6">
        <w:rPr>
          <w:lang w:val="fr-FR"/>
        </w:rPr>
        <w:t>exercice du droit à une éducation dans la langue maternelle commence dès l</w:t>
      </w:r>
      <w:r w:rsidR="002127F6" w:rsidRPr="00FF65D6">
        <w:rPr>
          <w:lang w:val="fr-FR"/>
        </w:rPr>
        <w:t>’</w:t>
      </w:r>
      <w:r w:rsidRPr="00FF65D6">
        <w:rPr>
          <w:lang w:val="fr-FR"/>
        </w:rPr>
        <w:t>éducation préscolaire, car l</w:t>
      </w:r>
      <w:r w:rsidR="002127F6" w:rsidRPr="00FF65D6">
        <w:rPr>
          <w:lang w:val="fr-FR"/>
        </w:rPr>
        <w:t>’</w:t>
      </w:r>
      <w:r w:rsidRPr="00FF65D6">
        <w:rPr>
          <w:lang w:val="fr-FR"/>
        </w:rPr>
        <w:t>utilisation de la langue russe a été imposée dans tous les jardins d</w:t>
      </w:r>
      <w:r w:rsidR="002127F6" w:rsidRPr="00FF65D6">
        <w:rPr>
          <w:lang w:val="fr-FR"/>
        </w:rPr>
        <w:t>’</w:t>
      </w:r>
      <w:r w:rsidRPr="00FF65D6">
        <w:rPr>
          <w:lang w:val="fr-FR"/>
        </w:rPr>
        <w:t xml:space="preserve">enfants dans le district de </w:t>
      </w:r>
      <w:proofErr w:type="spellStart"/>
      <w:r w:rsidRPr="00FF65D6">
        <w:rPr>
          <w:lang w:val="fr-FR"/>
        </w:rPr>
        <w:t>Gali</w:t>
      </w:r>
      <w:proofErr w:type="spellEnd"/>
      <w:r w:rsidRPr="00FF65D6">
        <w:rPr>
          <w:lang w:val="fr-FR"/>
        </w:rPr>
        <w:t>, en Abkhazie</w:t>
      </w:r>
      <w:r w:rsidR="005C1799" w:rsidRPr="005C1799">
        <w:rPr>
          <w:lang w:val="fr-FR"/>
        </w:rPr>
        <w:t>.</w:t>
      </w:r>
      <w:r w:rsidRPr="00FF65D6">
        <w:rPr>
          <w:lang w:val="fr-FR"/>
        </w:rPr>
        <w:t xml:space="preserve"> Depuis le début de l</w:t>
      </w:r>
      <w:r w:rsidR="002127F6" w:rsidRPr="00FF65D6">
        <w:rPr>
          <w:lang w:val="fr-FR"/>
        </w:rPr>
        <w:t>’</w:t>
      </w:r>
      <w:r w:rsidRPr="00FF65D6">
        <w:rPr>
          <w:lang w:val="fr-FR"/>
        </w:rPr>
        <w:t>année scolaire 2015</w:t>
      </w:r>
      <w:r w:rsidR="00A813BD">
        <w:rPr>
          <w:lang w:val="fr-FR"/>
        </w:rPr>
        <w:t>/1</w:t>
      </w:r>
      <w:r w:rsidRPr="00FF65D6">
        <w:rPr>
          <w:lang w:val="fr-FR"/>
        </w:rPr>
        <w:t>6, le droit à l</w:t>
      </w:r>
      <w:r w:rsidR="002127F6" w:rsidRPr="00FF65D6">
        <w:rPr>
          <w:lang w:val="fr-FR"/>
        </w:rPr>
        <w:t>’</w:t>
      </w:r>
      <w:r w:rsidRPr="00FF65D6">
        <w:rPr>
          <w:lang w:val="fr-FR"/>
        </w:rPr>
        <w:t xml:space="preserve">éducation dans la langue maternelle géorgienne est presque toujours limité dans les écoles du district de </w:t>
      </w:r>
      <w:proofErr w:type="spellStart"/>
      <w:r w:rsidRPr="00FF65D6">
        <w:rPr>
          <w:lang w:val="fr-FR"/>
        </w:rPr>
        <w:t>Gali</w:t>
      </w:r>
      <w:proofErr w:type="spellEnd"/>
      <w:r w:rsidR="005C1799" w:rsidRPr="005C1799">
        <w:rPr>
          <w:lang w:val="fr-FR"/>
        </w:rPr>
        <w:t>.</w:t>
      </w:r>
      <w:r w:rsidRPr="00FF65D6">
        <w:rPr>
          <w:lang w:val="fr-FR"/>
        </w:rPr>
        <w:t xml:space="preserve"> En particulier, des changements radicaux ont été apportés au programme d</w:t>
      </w:r>
      <w:r w:rsidR="002127F6" w:rsidRPr="00FF65D6">
        <w:rPr>
          <w:lang w:val="fr-FR"/>
        </w:rPr>
        <w:t>’</w:t>
      </w:r>
      <w:r w:rsidRPr="00FF65D6">
        <w:rPr>
          <w:lang w:val="fr-FR"/>
        </w:rPr>
        <w:t>enseignement des 11</w:t>
      </w:r>
      <w:r w:rsidR="00A813BD">
        <w:rPr>
          <w:lang w:val="fr-FR"/>
        </w:rPr>
        <w:t> </w:t>
      </w:r>
      <w:r w:rsidRPr="00FF65D6">
        <w:rPr>
          <w:lang w:val="fr-FR"/>
        </w:rPr>
        <w:t>écoles géorgiennes qui y subsistent, dont 97</w:t>
      </w:r>
      <w:r w:rsidR="003B7618" w:rsidRPr="00FF65D6">
        <w:rPr>
          <w:lang w:val="fr-FR"/>
        </w:rPr>
        <w:t> %</w:t>
      </w:r>
      <w:r w:rsidRPr="00FF65D6">
        <w:rPr>
          <w:lang w:val="fr-FR"/>
        </w:rPr>
        <w:t xml:space="preserve"> des écoliers et 91</w:t>
      </w:r>
      <w:r w:rsidR="003B7618" w:rsidRPr="00FF65D6">
        <w:rPr>
          <w:lang w:val="fr-FR"/>
        </w:rPr>
        <w:t> %</w:t>
      </w:r>
      <w:r w:rsidRPr="00FF65D6">
        <w:rPr>
          <w:lang w:val="fr-FR"/>
        </w:rPr>
        <w:t xml:space="preserve"> des employés sont de souche géorgienne</w:t>
      </w:r>
      <w:r w:rsidR="005C1799" w:rsidRPr="005C1799">
        <w:rPr>
          <w:lang w:val="fr-FR"/>
        </w:rPr>
        <w:t>.</w:t>
      </w:r>
      <w:r w:rsidRPr="00FF65D6">
        <w:rPr>
          <w:lang w:val="fr-FR"/>
        </w:rPr>
        <w:t xml:space="preserve"> De fait, à l</w:t>
      </w:r>
      <w:r w:rsidR="002127F6" w:rsidRPr="00FF65D6">
        <w:rPr>
          <w:lang w:val="fr-FR"/>
        </w:rPr>
        <w:t>’</w:t>
      </w:r>
      <w:r w:rsidRPr="00FF65D6">
        <w:rPr>
          <w:lang w:val="fr-FR"/>
        </w:rPr>
        <w:t>heure actuelle, toutes les matières enseignées dans ces écoles aux élèves de première, deuxième, troisième, quatrième et cinquième année le sont en russe</w:t>
      </w:r>
      <w:r w:rsidR="005C1799" w:rsidRPr="005C1799">
        <w:rPr>
          <w:lang w:val="fr-FR"/>
        </w:rPr>
        <w:t>.</w:t>
      </w:r>
      <w:r w:rsidRPr="00FF65D6">
        <w:rPr>
          <w:lang w:val="fr-FR"/>
        </w:rPr>
        <w:t xml:space="preserve"> Cela montre la politique de russification de la population locale, qui a un fondement ethnique</w:t>
      </w:r>
      <w:r w:rsidR="005C1799" w:rsidRPr="005C1799">
        <w:rPr>
          <w:lang w:val="fr-FR"/>
        </w:rPr>
        <w:t>.</w:t>
      </w:r>
    </w:p>
    <w:p w14:paraId="7BAF8435" w14:textId="77777777" w:rsidR="005C5C6A" w:rsidRPr="00FF65D6" w:rsidRDefault="005C5C6A" w:rsidP="00F34341">
      <w:pPr>
        <w:pStyle w:val="SingleTxtG"/>
        <w:rPr>
          <w:lang w:val="fr-FR"/>
        </w:rPr>
      </w:pPr>
      <w:r w:rsidRPr="00FF65D6">
        <w:rPr>
          <w:lang w:val="fr-FR"/>
        </w:rPr>
        <w:t>45</w:t>
      </w:r>
      <w:r w:rsidR="005C1799" w:rsidRPr="005C1799">
        <w:rPr>
          <w:lang w:val="fr-FR"/>
        </w:rPr>
        <w:t>.</w:t>
      </w:r>
      <w:r w:rsidRPr="00FF65D6">
        <w:rPr>
          <w:lang w:val="fr-FR"/>
        </w:rPr>
        <w:tab/>
        <w:t>Tout au long de la période 2015-2016, plus de 50 incidents ont été enregistrés, dans lesquels étaient impliqués des membres du Service fédéral de sécurité qui n</w:t>
      </w:r>
      <w:r w:rsidR="002127F6" w:rsidRPr="00FF65D6">
        <w:rPr>
          <w:lang w:val="fr-FR"/>
        </w:rPr>
        <w:t>’</w:t>
      </w:r>
      <w:r w:rsidRPr="00FF65D6">
        <w:rPr>
          <w:lang w:val="fr-FR"/>
        </w:rPr>
        <w:t>ont pas autorisé des élèves appartenant à l</w:t>
      </w:r>
      <w:r w:rsidR="002127F6" w:rsidRPr="00FF65D6">
        <w:rPr>
          <w:lang w:val="fr-FR"/>
        </w:rPr>
        <w:t>’</w:t>
      </w:r>
      <w:r w:rsidRPr="00FF65D6">
        <w:rPr>
          <w:lang w:val="fr-FR"/>
        </w:rPr>
        <w:t>ethnie géorgienne de franchir la ligne d</w:t>
      </w:r>
      <w:r w:rsidR="002127F6" w:rsidRPr="00FF65D6">
        <w:rPr>
          <w:lang w:val="fr-FR"/>
        </w:rPr>
        <w:t>’</w:t>
      </w:r>
      <w:r w:rsidRPr="00FF65D6">
        <w:rPr>
          <w:lang w:val="fr-FR"/>
        </w:rPr>
        <w:t>occupation pour se rendre à leur école située sur le territoire contrôlé par le Gouvernement géorgien</w:t>
      </w:r>
      <w:r w:rsidR="005C1799" w:rsidRPr="005C1799">
        <w:rPr>
          <w:lang w:val="fr-FR"/>
        </w:rPr>
        <w:t>.</w:t>
      </w:r>
      <w:r w:rsidRPr="00FF65D6">
        <w:rPr>
          <w:lang w:val="fr-FR"/>
        </w:rPr>
        <w:t xml:space="preserve"> </w:t>
      </w:r>
    </w:p>
    <w:p w14:paraId="176FEF6D" w14:textId="77777777" w:rsidR="005C5C6A" w:rsidRPr="00FF65D6" w:rsidRDefault="005C5C6A" w:rsidP="00F34341">
      <w:pPr>
        <w:pStyle w:val="SingleTxtG"/>
        <w:rPr>
          <w:lang w:val="fr-FR"/>
        </w:rPr>
      </w:pPr>
      <w:r w:rsidRPr="00FF65D6">
        <w:rPr>
          <w:lang w:val="fr-FR"/>
        </w:rPr>
        <w:t>46</w:t>
      </w:r>
      <w:r w:rsidR="005C1799" w:rsidRPr="005C1799">
        <w:rPr>
          <w:lang w:val="fr-FR"/>
        </w:rPr>
        <w:t>.</w:t>
      </w:r>
      <w:r w:rsidRPr="00FF65D6">
        <w:rPr>
          <w:lang w:val="fr-FR"/>
        </w:rPr>
        <w:tab/>
        <w:t>Au total, 127 cas de détention d</w:t>
      </w:r>
      <w:r w:rsidR="002127F6" w:rsidRPr="00FF65D6">
        <w:rPr>
          <w:lang w:val="fr-FR"/>
        </w:rPr>
        <w:t>’</w:t>
      </w:r>
      <w:r w:rsidRPr="00FF65D6">
        <w:rPr>
          <w:lang w:val="fr-FR"/>
        </w:rPr>
        <w:t>enfants pour de prétendus « franchissements illégaux de la frontière » ont été enregistrés</w:t>
      </w:r>
      <w:r w:rsidR="005C1799" w:rsidRPr="005C1799">
        <w:rPr>
          <w:lang w:val="fr-FR"/>
        </w:rPr>
        <w:t>.</w:t>
      </w:r>
      <w:r w:rsidRPr="00FF65D6">
        <w:rPr>
          <w:lang w:val="fr-FR"/>
        </w:rPr>
        <w:t xml:space="preserve"> Il est arrivé que des enfants soient détenus pendant des heures</w:t>
      </w:r>
      <w:r w:rsidR="005C1799" w:rsidRPr="005C1799">
        <w:rPr>
          <w:lang w:val="fr-FR"/>
        </w:rPr>
        <w:t>.</w:t>
      </w:r>
      <w:r w:rsidRPr="00FF65D6">
        <w:rPr>
          <w:lang w:val="fr-FR"/>
        </w:rPr>
        <w:t xml:space="preserve"> Ils ont souvent été emmenés dans les prétendus «</w:t>
      </w:r>
      <w:r w:rsidR="00576456" w:rsidRPr="00FF65D6">
        <w:rPr>
          <w:lang w:val="fr-FR"/>
        </w:rPr>
        <w:t> </w:t>
      </w:r>
      <w:r w:rsidRPr="00FF65D6">
        <w:rPr>
          <w:lang w:val="fr-FR"/>
        </w:rPr>
        <w:t>bureaux de la sécurité de l</w:t>
      </w:r>
      <w:r w:rsidR="002127F6" w:rsidRPr="00FF65D6">
        <w:rPr>
          <w:lang w:val="fr-FR"/>
        </w:rPr>
        <w:t>’</w:t>
      </w:r>
      <w:r w:rsidRPr="00FF65D6">
        <w:rPr>
          <w:lang w:val="fr-FR"/>
        </w:rPr>
        <w:t>État</w:t>
      </w:r>
      <w:r w:rsidR="00576456" w:rsidRPr="00FF65D6">
        <w:rPr>
          <w:lang w:val="fr-FR"/>
        </w:rPr>
        <w:t> </w:t>
      </w:r>
      <w:r w:rsidRPr="00FF65D6">
        <w:rPr>
          <w:lang w:val="fr-FR"/>
        </w:rPr>
        <w:t>» et libérés seulement après le paiement d</w:t>
      </w:r>
      <w:r w:rsidR="002127F6" w:rsidRPr="00FF65D6">
        <w:rPr>
          <w:lang w:val="fr-FR"/>
        </w:rPr>
        <w:t>’</w:t>
      </w:r>
      <w:r w:rsidRPr="00FF65D6">
        <w:rPr>
          <w:lang w:val="fr-FR"/>
        </w:rPr>
        <w:t>une amende illégale</w:t>
      </w:r>
      <w:r w:rsidR="005C1799" w:rsidRPr="005C1799">
        <w:rPr>
          <w:lang w:val="fr-FR"/>
        </w:rPr>
        <w:t>.</w:t>
      </w:r>
    </w:p>
    <w:p w14:paraId="3C40D9FA" w14:textId="77777777" w:rsidR="005C5C6A" w:rsidRPr="00FF65D6" w:rsidRDefault="005C5C6A" w:rsidP="00F34341">
      <w:pPr>
        <w:pStyle w:val="SingleTxtG"/>
        <w:rPr>
          <w:lang w:val="fr-FR"/>
        </w:rPr>
      </w:pPr>
      <w:r w:rsidRPr="00FF65D6">
        <w:rPr>
          <w:lang w:val="fr-FR"/>
        </w:rPr>
        <w:t>47</w:t>
      </w:r>
      <w:r w:rsidR="005C1799" w:rsidRPr="005C1799">
        <w:rPr>
          <w:lang w:val="fr-FR"/>
        </w:rPr>
        <w:t>.</w:t>
      </w:r>
      <w:r w:rsidRPr="00FF65D6">
        <w:rPr>
          <w:lang w:val="fr-FR"/>
        </w:rPr>
        <w:tab/>
        <w:t>Du fait de ces restrictions, de nombreux parents ont retiré leurs enfants des écoles géorgiennes et le nombre d</w:t>
      </w:r>
      <w:r w:rsidR="002127F6" w:rsidRPr="00FF65D6">
        <w:rPr>
          <w:lang w:val="fr-FR"/>
        </w:rPr>
        <w:t>’</w:t>
      </w:r>
      <w:r w:rsidRPr="00FF65D6">
        <w:rPr>
          <w:lang w:val="fr-FR"/>
        </w:rPr>
        <w:t>élèves a diminué, passant de 48 en 2013 à 14 seulement en 2016</w:t>
      </w:r>
      <w:r w:rsidR="005C1799" w:rsidRPr="005C1799">
        <w:rPr>
          <w:lang w:val="fr-FR"/>
        </w:rPr>
        <w:t>.</w:t>
      </w:r>
      <w:r w:rsidRPr="00FF65D6">
        <w:rPr>
          <w:lang w:val="fr-FR"/>
        </w:rPr>
        <w:t xml:space="preserve"> </w:t>
      </w:r>
    </w:p>
    <w:p w14:paraId="1EF71A33" w14:textId="77777777" w:rsidR="005C5C6A" w:rsidRPr="00FF65D6" w:rsidRDefault="005C5C6A" w:rsidP="00F34341">
      <w:pPr>
        <w:pStyle w:val="SingleTxtG"/>
        <w:rPr>
          <w:lang w:val="fr-FR"/>
        </w:rPr>
      </w:pPr>
      <w:r w:rsidRPr="00FF65D6">
        <w:rPr>
          <w:lang w:val="fr-FR"/>
        </w:rPr>
        <w:t>48</w:t>
      </w:r>
      <w:r w:rsidR="005C1799" w:rsidRPr="005C1799">
        <w:rPr>
          <w:lang w:val="fr-FR"/>
        </w:rPr>
        <w:t>.</w:t>
      </w:r>
      <w:r w:rsidRPr="00FF65D6">
        <w:rPr>
          <w:lang w:val="fr-FR"/>
        </w:rPr>
        <w:tab/>
        <w:t>Le Gouvernement géorgien est résolu à dûment protéger les libertés et les droits fondamentaux sur l</w:t>
      </w:r>
      <w:r w:rsidR="002127F6" w:rsidRPr="00FF65D6">
        <w:rPr>
          <w:lang w:val="fr-FR"/>
        </w:rPr>
        <w:t>’</w:t>
      </w:r>
      <w:r w:rsidRPr="00FF65D6">
        <w:rPr>
          <w:lang w:val="fr-FR"/>
        </w:rPr>
        <w:t>ensemble de son territoire, y compris dans les régions occupées</w:t>
      </w:r>
      <w:r w:rsidR="005C1799" w:rsidRPr="005C1799">
        <w:rPr>
          <w:lang w:val="fr-FR"/>
        </w:rPr>
        <w:t>.</w:t>
      </w:r>
      <w:r w:rsidRPr="00FF65D6">
        <w:rPr>
          <w:lang w:val="fr-FR"/>
        </w:rPr>
        <w:t xml:space="preserve"> Ainsi, le système de soins de santé géorgien met en œuvre un programme d</w:t>
      </w:r>
      <w:r w:rsidR="002127F6" w:rsidRPr="00FF65D6">
        <w:rPr>
          <w:lang w:val="fr-FR"/>
        </w:rPr>
        <w:t>’</w:t>
      </w:r>
      <w:r w:rsidRPr="00FF65D6">
        <w:rPr>
          <w:lang w:val="fr-FR"/>
        </w:rPr>
        <w:t>orientation spécial qui garantit un traitement médical gratuit aux résidents des régions occupées de la Géorgie dans tout établissement médical de la Géorgie</w:t>
      </w:r>
      <w:r w:rsidR="005C1799" w:rsidRPr="005C1799">
        <w:rPr>
          <w:lang w:val="fr-FR"/>
        </w:rPr>
        <w:t>.</w:t>
      </w:r>
      <w:r w:rsidRPr="00FF65D6">
        <w:rPr>
          <w:lang w:val="fr-FR"/>
        </w:rPr>
        <w:t xml:space="preserve"> Selon les données disponibles, des milliers de résidents des régions occupées de la Géorgie, dont des centaines d</w:t>
      </w:r>
      <w:r w:rsidR="002127F6" w:rsidRPr="00FF65D6">
        <w:rPr>
          <w:lang w:val="fr-FR"/>
        </w:rPr>
        <w:t>’</w:t>
      </w:r>
      <w:r w:rsidRPr="00FF65D6">
        <w:rPr>
          <w:lang w:val="fr-FR"/>
        </w:rPr>
        <w:t>enfants, ont bénéficié de ce système médical et ont reçu des services gratuits sur le territoire contrôlé par le Gouvernement géorgien</w:t>
      </w:r>
      <w:r w:rsidR="005C1799" w:rsidRPr="005C1799">
        <w:rPr>
          <w:lang w:val="fr-FR"/>
        </w:rPr>
        <w:t>.</w:t>
      </w:r>
      <w:r w:rsidRPr="00FF65D6">
        <w:rPr>
          <w:lang w:val="fr-FR"/>
        </w:rPr>
        <w:t xml:space="preserve"> Ces dernières années, le nombre de personnes qui franchissent la ligne d</w:t>
      </w:r>
      <w:r w:rsidR="002127F6" w:rsidRPr="00FF65D6">
        <w:rPr>
          <w:lang w:val="fr-FR"/>
        </w:rPr>
        <w:t>’</w:t>
      </w:r>
      <w:r w:rsidRPr="00FF65D6">
        <w:rPr>
          <w:lang w:val="fr-FR"/>
        </w:rPr>
        <w:t>occupation pour recevoir des soins médicaux a doublé</w:t>
      </w:r>
      <w:r w:rsidR="005C1799" w:rsidRPr="005C1799">
        <w:rPr>
          <w:lang w:val="fr-FR"/>
        </w:rPr>
        <w:t>.</w:t>
      </w:r>
      <w:r w:rsidRPr="00FF65D6">
        <w:rPr>
          <w:lang w:val="fr-FR"/>
        </w:rPr>
        <w:t xml:space="preserve"> Le Gouvernement géorgien achemine périodiquement différents types de médicaments et de matériel médical jusqu</w:t>
      </w:r>
      <w:r w:rsidR="002127F6" w:rsidRPr="00FF65D6">
        <w:rPr>
          <w:lang w:val="fr-FR"/>
        </w:rPr>
        <w:t>’</w:t>
      </w:r>
      <w:r w:rsidRPr="00FF65D6">
        <w:rPr>
          <w:lang w:val="fr-FR"/>
        </w:rPr>
        <w:t>à la région de l</w:t>
      </w:r>
      <w:r w:rsidR="002127F6" w:rsidRPr="00FF65D6">
        <w:rPr>
          <w:lang w:val="fr-FR"/>
        </w:rPr>
        <w:t>’</w:t>
      </w:r>
      <w:r w:rsidRPr="00FF65D6">
        <w:rPr>
          <w:lang w:val="fr-FR"/>
        </w:rPr>
        <w:t>Abkhazie</w:t>
      </w:r>
      <w:r w:rsidR="005C1799" w:rsidRPr="005C1799">
        <w:rPr>
          <w:lang w:val="fr-FR"/>
        </w:rPr>
        <w:t>.</w:t>
      </w:r>
      <w:r w:rsidRPr="00FF65D6">
        <w:rPr>
          <w:lang w:val="fr-FR"/>
        </w:rPr>
        <w:t xml:space="preserve"> </w:t>
      </w:r>
    </w:p>
    <w:p w14:paraId="08B4C9DB" w14:textId="77777777" w:rsidR="005C5C6A" w:rsidRPr="00FF65D6" w:rsidRDefault="005C5C6A" w:rsidP="00F34341">
      <w:pPr>
        <w:pStyle w:val="SingleTxtG"/>
        <w:rPr>
          <w:lang w:val="fr-FR"/>
        </w:rPr>
      </w:pPr>
      <w:r w:rsidRPr="00FF65D6">
        <w:rPr>
          <w:lang w:val="fr-FR"/>
        </w:rPr>
        <w:t>49</w:t>
      </w:r>
      <w:r w:rsidR="005C1799" w:rsidRPr="005C1799">
        <w:rPr>
          <w:lang w:val="fr-FR"/>
        </w:rPr>
        <w:t>.</w:t>
      </w:r>
      <w:r w:rsidRPr="00FF65D6">
        <w:rPr>
          <w:lang w:val="fr-FR"/>
        </w:rPr>
        <w:tab/>
        <w:t xml:space="preserve">Un dispensaire universitaire moderne, polyvalent et pleinement équipé est en construction et un centre commercial multifonctionnel a déjà ouvert dans le village de </w:t>
      </w:r>
      <w:proofErr w:type="spellStart"/>
      <w:r w:rsidRPr="00FF65D6">
        <w:rPr>
          <w:lang w:val="fr-FR"/>
        </w:rPr>
        <w:t>Rukhi</w:t>
      </w:r>
      <w:proofErr w:type="spellEnd"/>
      <w:r w:rsidRPr="00FF65D6">
        <w:rPr>
          <w:lang w:val="fr-FR"/>
        </w:rPr>
        <w:t>, le plus proche de la ligne d</w:t>
      </w:r>
      <w:r w:rsidR="002127F6" w:rsidRPr="00FF65D6">
        <w:rPr>
          <w:lang w:val="fr-FR"/>
        </w:rPr>
        <w:t>’</w:t>
      </w:r>
      <w:r w:rsidRPr="00FF65D6">
        <w:rPr>
          <w:lang w:val="fr-FR"/>
        </w:rPr>
        <w:t>occupation</w:t>
      </w:r>
      <w:r w:rsidR="005C1799" w:rsidRPr="005C1799">
        <w:rPr>
          <w:lang w:val="fr-FR"/>
        </w:rPr>
        <w:t>.</w:t>
      </w:r>
    </w:p>
    <w:p w14:paraId="1AB09A4C" w14:textId="77777777" w:rsidR="005C5C6A" w:rsidRPr="00FF65D6" w:rsidRDefault="005C5C6A" w:rsidP="00F34341">
      <w:pPr>
        <w:pStyle w:val="SingleTxtG"/>
        <w:rPr>
          <w:lang w:val="fr-FR"/>
        </w:rPr>
      </w:pPr>
      <w:r w:rsidRPr="00FF65D6">
        <w:rPr>
          <w:lang w:val="fr-FR"/>
        </w:rPr>
        <w:t>50</w:t>
      </w:r>
      <w:r w:rsidR="005C1799" w:rsidRPr="005C1799">
        <w:rPr>
          <w:lang w:val="fr-FR"/>
        </w:rPr>
        <w:t>.</w:t>
      </w:r>
      <w:r w:rsidRPr="00FF65D6">
        <w:rPr>
          <w:lang w:val="fr-FR"/>
        </w:rPr>
        <w:tab/>
        <w:t>Dans le cadre du programme «</w:t>
      </w:r>
      <w:r w:rsidR="00576456" w:rsidRPr="00FF65D6">
        <w:rPr>
          <w:lang w:val="fr-FR"/>
        </w:rPr>
        <w:t> </w:t>
      </w:r>
      <w:r w:rsidRPr="00FF65D6">
        <w:rPr>
          <w:lang w:val="fr-FR"/>
        </w:rPr>
        <w:t>1+4</w:t>
      </w:r>
      <w:r w:rsidR="00576456" w:rsidRPr="00FF65D6">
        <w:rPr>
          <w:lang w:val="fr-FR"/>
        </w:rPr>
        <w:t> </w:t>
      </w:r>
      <w:r w:rsidRPr="00FF65D6">
        <w:rPr>
          <w:lang w:val="fr-FR"/>
        </w:rPr>
        <w:t>», le Gouvernement offre la possibilité aux étudiants qui résident dans les territoires occupés de s</w:t>
      </w:r>
      <w:r w:rsidR="002127F6" w:rsidRPr="00FF65D6">
        <w:rPr>
          <w:lang w:val="fr-FR"/>
        </w:rPr>
        <w:t>’</w:t>
      </w:r>
      <w:r w:rsidRPr="00FF65D6">
        <w:rPr>
          <w:lang w:val="fr-FR"/>
        </w:rPr>
        <w:t>inscrire dans les universités géorgiennes, où qu</w:t>
      </w:r>
      <w:r w:rsidR="002127F6" w:rsidRPr="00FF65D6">
        <w:rPr>
          <w:lang w:val="fr-FR"/>
        </w:rPr>
        <w:t>’</w:t>
      </w:r>
      <w:r w:rsidRPr="00FF65D6">
        <w:rPr>
          <w:lang w:val="fr-FR"/>
        </w:rPr>
        <w:t>elles soient situées, au moyen de procédures simplifiées</w:t>
      </w:r>
      <w:r w:rsidR="005C1799" w:rsidRPr="005C1799">
        <w:rPr>
          <w:lang w:val="fr-FR"/>
        </w:rPr>
        <w:t>.</w:t>
      </w:r>
      <w:r w:rsidRPr="00FF65D6">
        <w:rPr>
          <w:lang w:val="fr-FR"/>
        </w:rPr>
        <w:t xml:space="preserve"> Par ailleurs, les résidents des régions d</w:t>
      </w:r>
      <w:r w:rsidR="002127F6" w:rsidRPr="00FF65D6">
        <w:rPr>
          <w:lang w:val="fr-FR"/>
        </w:rPr>
        <w:t>’</w:t>
      </w:r>
      <w:r w:rsidRPr="00FF65D6">
        <w:rPr>
          <w:lang w:val="fr-FR"/>
        </w:rPr>
        <w:t>Abkhazie et de Tskhinvali/Ossétie du Sud peuvent recevoir une bourse d</w:t>
      </w:r>
      <w:r w:rsidR="002127F6" w:rsidRPr="00FF65D6">
        <w:rPr>
          <w:lang w:val="fr-FR"/>
        </w:rPr>
        <w:t>’</w:t>
      </w:r>
      <w:r w:rsidRPr="00FF65D6">
        <w:rPr>
          <w:lang w:val="fr-FR"/>
        </w:rPr>
        <w:t>études et participer à des programmes universitaires et d</w:t>
      </w:r>
      <w:r w:rsidR="002127F6" w:rsidRPr="00FF65D6">
        <w:rPr>
          <w:lang w:val="fr-FR"/>
        </w:rPr>
        <w:t>’</w:t>
      </w:r>
      <w:r w:rsidRPr="00FF65D6">
        <w:rPr>
          <w:lang w:val="fr-FR"/>
        </w:rPr>
        <w:t>échanges internationaux dans des universités américaines, européennes et autres de premier rang</w:t>
      </w:r>
      <w:r w:rsidR="005C1799" w:rsidRPr="005C1799">
        <w:rPr>
          <w:lang w:val="fr-FR"/>
        </w:rPr>
        <w:t>.</w:t>
      </w:r>
      <w:r w:rsidRPr="00FF65D6">
        <w:rPr>
          <w:lang w:val="fr-FR"/>
        </w:rPr>
        <w:t xml:space="preserve"> </w:t>
      </w:r>
    </w:p>
    <w:p w14:paraId="041C10E2" w14:textId="77777777" w:rsidR="005C5C6A" w:rsidRPr="00FF65D6" w:rsidRDefault="005C5C6A" w:rsidP="00F34341">
      <w:pPr>
        <w:pStyle w:val="SingleTxtG"/>
        <w:rPr>
          <w:lang w:val="fr-FR"/>
        </w:rPr>
      </w:pPr>
      <w:r w:rsidRPr="00FF65D6">
        <w:rPr>
          <w:lang w:val="fr-FR"/>
        </w:rPr>
        <w:t>51</w:t>
      </w:r>
      <w:r w:rsidR="005C1799" w:rsidRPr="005C1799">
        <w:rPr>
          <w:lang w:val="fr-FR"/>
        </w:rPr>
        <w:t>.</w:t>
      </w:r>
      <w:r w:rsidRPr="00FF65D6">
        <w:rPr>
          <w:lang w:val="fr-FR"/>
        </w:rPr>
        <w:tab/>
        <w:t>Depuis des années, les autorités géorgiennes demandent la participation des organisations internationales au traitement de la question de la protection des droits de l</w:t>
      </w:r>
      <w:r w:rsidR="002127F6" w:rsidRPr="00FF65D6">
        <w:rPr>
          <w:lang w:val="fr-FR"/>
        </w:rPr>
        <w:t>’</w:t>
      </w:r>
      <w:r w:rsidRPr="00FF65D6">
        <w:rPr>
          <w:lang w:val="fr-FR"/>
        </w:rPr>
        <w:t>homme dans les régions occupées de la Géorgie et insistent sur l</w:t>
      </w:r>
      <w:r w:rsidR="002127F6" w:rsidRPr="00FF65D6">
        <w:rPr>
          <w:lang w:val="fr-FR"/>
        </w:rPr>
        <w:t>’</w:t>
      </w:r>
      <w:r w:rsidRPr="00FF65D6">
        <w:rPr>
          <w:lang w:val="fr-FR"/>
        </w:rPr>
        <w:t>importance que revêt l</w:t>
      </w:r>
      <w:r w:rsidR="002127F6" w:rsidRPr="00FF65D6">
        <w:rPr>
          <w:lang w:val="fr-FR"/>
        </w:rPr>
        <w:t>’</w:t>
      </w:r>
      <w:r w:rsidRPr="00FF65D6">
        <w:rPr>
          <w:lang w:val="fr-FR"/>
        </w:rPr>
        <w:t>accès des mécanismes internationaux de surveillance des droits de l</w:t>
      </w:r>
      <w:r w:rsidR="002127F6" w:rsidRPr="00FF65D6">
        <w:rPr>
          <w:lang w:val="fr-FR"/>
        </w:rPr>
        <w:t>’</w:t>
      </w:r>
      <w:r w:rsidRPr="00FF65D6">
        <w:rPr>
          <w:lang w:val="fr-FR"/>
        </w:rPr>
        <w:t>homme à ces zones</w:t>
      </w:r>
      <w:r w:rsidR="005C1799" w:rsidRPr="005C1799">
        <w:rPr>
          <w:lang w:val="fr-FR"/>
        </w:rPr>
        <w:t>.</w:t>
      </w:r>
      <w:r w:rsidRPr="00FF65D6">
        <w:rPr>
          <w:lang w:val="fr-FR"/>
        </w:rPr>
        <w:t xml:space="preserve"> La puissance occupante, qui exerce un contrôle effectif, continue d</w:t>
      </w:r>
      <w:r w:rsidR="002127F6" w:rsidRPr="00FF65D6">
        <w:rPr>
          <w:lang w:val="fr-FR"/>
        </w:rPr>
        <w:t>’</w:t>
      </w:r>
      <w:r w:rsidRPr="00FF65D6">
        <w:rPr>
          <w:lang w:val="fr-FR"/>
        </w:rPr>
        <w:t>empêcher de nombreuses organisations internationales, y compris des organisations humanitaires, de pénétrer sur ces territoires</w:t>
      </w:r>
      <w:r w:rsidR="005C1799" w:rsidRPr="005C1799">
        <w:rPr>
          <w:lang w:val="fr-FR"/>
        </w:rPr>
        <w:t>.</w:t>
      </w:r>
      <w:r w:rsidRPr="00FF65D6">
        <w:rPr>
          <w:lang w:val="fr-FR"/>
        </w:rPr>
        <w:t xml:space="preserve"> En 2015, le Ministère géorgien des affaires étrangères a commencé à publier des rapports trimestriels basés sur des sources publiques concernant la situation des droits de l</w:t>
      </w:r>
      <w:r w:rsidR="002127F6" w:rsidRPr="00FF65D6">
        <w:rPr>
          <w:lang w:val="fr-FR"/>
        </w:rPr>
        <w:t>’</w:t>
      </w:r>
      <w:r w:rsidRPr="00FF65D6">
        <w:rPr>
          <w:lang w:val="fr-FR"/>
        </w:rPr>
        <w:t>homme dans les territoires occupés de la Géorgie</w:t>
      </w:r>
      <w:r w:rsidR="005C1799" w:rsidRPr="005C1799">
        <w:rPr>
          <w:lang w:val="fr-FR"/>
        </w:rPr>
        <w:t>.</w:t>
      </w:r>
    </w:p>
    <w:p w14:paraId="43C05537" w14:textId="77777777" w:rsidR="005C5C6A" w:rsidRPr="00FF65D6" w:rsidRDefault="005C5C6A" w:rsidP="00F34341">
      <w:pPr>
        <w:pStyle w:val="SingleTxtG"/>
        <w:rPr>
          <w:lang w:val="fr-FR"/>
        </w:rPr>
      </w:pPr>
      <w:r w:rsidRPr="00FF65D6">
        <w:rPr>
          <w:lang w:val="fr-FR"/>
        </w:rPr>
        <w:t>52</w:t>
      </w:r>
      <w:r w:rsidR="005C1799" w:rsidRPr="005C1799">
        <w:rPr>
          <w:lang w:val="fr-FR"/>
        </w:rPr>
        <w:t>.</w:t>
      </w:r>
      <w:r w:rsidRPr="00FF65D6">
        <w:rPr>
          <w:lang w:val="fr-FR"/>
        </w:rPr>
        <w:tab/>
        <w:t>La communauté internationale a appelé la Fédération de Russie à assumer la responsabilité des violations des droits de l</w:t>
      </w:r>
      <w:r w:rsidR="002127F6" w:rsidRPr="00FF65D6">
        <w:rPr>
          <w:lang w:val="fr-FR"/>
        </w:rPr>
        <w:t>’</w:t>
      </w:r>
      <w:r w:rsidRPr="00FF65D6">
        <w:rPr>
          <w:lang w:val="fr-FR"/>
        </w:rPr>
        <w:t>homme commises sur les territoires géorgiens actuellement sous le contrôle effectif de la Russie</w:t>
      </w:r>
      <w:r w:rsidR="005C1799" w:rsidRPr="005C1799">
        <w:rPr>
          <w:lang w:val="fr-FR"/>
        </w:rPr>
        <w:t>.</w:t>
      </w:r>
      <w:r w:rsidRPr="00FF65D6">
        <w:rPr>
          <w:lang w:val="fr-FR"/>
        </w:rPr>
        <w:t xml:space="preserve"> Le Comité des droits de l</w:t>
      </w:r>
      <w:r w:rsidR="002127F6" w:rsidRPr="00FF65D6">
        <w:rPr>
          <w:lang w:val="fr-FR"/>
        </w:rPr>
        <w:t>’</w:t>
      </w:r>
      <w:r w:rsidRPr="00FF65D6">
        <w:rPr>
          <w:lang w:val="fr-FR"/>
        </w:rPr>
        <w:t>homme de l</w:t>
      </w:r>
      <w:r w:rsidR="002127F6" w:rsidRPr="00FF65D6">
        <w:rPr>
          <w:lang w:val="fr-FR"/>
        </w:rPr>
        <w:t>’</w:t>
      </w:r>
      <w:r w:rsidRPr="00FF65D6">
        <w:rPr>
          <w:lang w:val="fr-FR"/>
        </w:rPr>
        <w:t>ONU a publié des recommandations à l</w:t>
      </w:r>
      <w:r w:rsidR="002127F6" w:rsidRPr="00FF65D6">
        <w:rPr>
          <w:lang w:val="fr-FR"/>
        </w:rPr>
        <w:t>’</w:t>
      </w:r>
      <w:r w:rsidRPr="00FF65D6">
        <w:rPr>
          <w:lang w:val="fr-FR"/>
        </w:rPr>
        <w:t xml:space="preserve">intention de la Fédération de Russie concernant cette question à ses quatre-vingt-dix-septième et </w:t>
      </w:r>
      <w:r w:rsidR="00291CB4" w:rsidRPr="00FF65D6">
        <w:rPr>
          <w:lang w:val="fr-FR"/>
        </w:rPr>
        <w:t>113</w:t>
      </w:r>
      <w:r w:rsidR="00291CB4" w:rsidRPr="00FF65D6">
        <w:rPr>
          <w:vertAlign w:val="superscript"/>
          <w:lang w:val="fr-FR"/>
        </w:rPr>
        <w:t>e</w:t>
      </w:r>
      <w:r w:rsidR="00291CB4" w:rsidRPr="00FF65D6">
        <w:rPr>
          <w:lang w:val="fr-FR"/>
        </w:rPr>
        <w:t> </w:t>
      </w:r>
      <w:r w:rsidRPr="00FF65D6">
        <w:rPr>
          <w:lang w:val="fr-FR"/>
        </w:rPr>
        <w:t>sessions, tenues respectivement en 2009 et en 2015</w:t>
      </w:r>
      <w:r w:rsidR="005C1799" w:rsidRPr="005C1799">
        <w:rPr>
          <w:lang w:val="fr-FR"/>
        </w:rPr>
        <w:t>.</w:t>
      </w:r>
    </w:p>
    <w:p w14:paraId="4491F1C7" w14:textId="77777777" w:rsidR="005C5C6A" w:rsidRPr="00FF65D6" w:rsidRDefault="005C5C6A" w:rsidP="00291CB4">
      <w:pPr>
        <w:pStyle w:val="HChG"/>
        <w:rPr>
          <w:lang w:val="fr-FR"/>
        </w:rPr>
      </w:pPr>
      <w:bookmarkStart w:id="16" w:name="_Toc472961711"/>
      <w:r w:rsidRPr="00FF65D6">
        <w:rPr>
          <w:lang w:val="fr-FR"/>
        </w:rPr>
        <w:tab/>
        <w:t>IV</w:t>
      </w:r>
      <w:r w:rsidR="005C1799" w:rsidRPr="005C1799">
        <w:rPr>
          <w:b w:val="0"/>
          <w:lang w:val="fr-FR"/>
        </w:rPr>
        <w:t>.</w:t>
      </w:r>
      <w:r w:rsidRPr="00FF65D6">
        <w:rPr>
          <w:lang w:val="fr-FR"/>
        </w:rPr>
        <w:tab/>
        <w:t>Prévention de la vente d</w:t>
      </w:r>
      <w:r w:rsidR="002127F6" w:rsidRPr="00FF65D6">
        <w:rPr>
          <w:lang w:val="fr-FR"/>
        </w:rPr>
        <w:t>’</w:t>
      </w:r>
      <w:r w:rsidRPr="00FF65D6">
        <w:rPr>
          <w:lang w:val="fr-FR"/>
        </w:rPr>
        <w:t>enfants, de la prostitution</w:t>
      </w:r>
      <w:r w:rsidR="00291CB4" w:rsidRPr="00FF65D6">
        <w:rPr>
          <w:lang w:val="fr-FR"/>
        </w:rPr>
        <w:br/>
      </w:r>
      <w:r w:rsidRPr="00FF65D6">
        <w:rPr>
          <w:lang w:val="fr-FR"/>
        </w:rPr>
        <w:t xml:space="preserve">des enfants et de la pornographie mettant </w:t>
      </w:r>
      <w:r w:rsidR="00291CB4" w:rsidRPr="00FF65D6">
        <w:rPr>
          <w:lang w:val="fr-FR"/>
        </w:rPr>
        <w:br/>
      </w:r>
      <w:r w:rsidRPr="00FF65D6">
        <w:rPr>
          <w:lang w:val="fr-FR"/>
        </w:rPr>
        <w:t xml:space="preserve">en scène des enfants </w:t>
      </w:r>
      <w:bookmarkEnd w:id="12"/>
      <w:bookmarkEnd w:id="13"/>
      <w:bookmarkEnd w:id="14"/>
      <w:bookmarkEnd w:id="16"/>
    </w:p>
    <w:p w14:paraId="2DF52E1E" w14:textId="77777777" w:rsidR="005C5C6A" w:rsidRPr="00FF65D6" w:rsidRDefault="005C5C6A" w:rsidP="00291CB4">
      <w:pPr>
        <w:pStyle w:val="H1G"/>
        <w:rPr>
          <w:lang w:val="fr-FR"/>
        </w:rPr>
      </w:pPr>
      <w:bookmarkStart w:id="17" w:name="_Toc472961712"/>
      <w:r w:rsidRPr="00FF65D6">
        <w:rPr>
          <w:lang w:val="fr-FR"/>
        </w:rPr>
        <w:tab/>
        <w:t>A</w:t>
      </w:r>
      <w:r w:rsidR="005C1799" w:rsidRPr="005C1799">
        <w:rPr>
          <w:b w:val="0"/>
          <w:lang w:val="fr-FR"/>
        </w:rPr>
        <w:t>.</w:t>
      </w:r>
      <w:r w:rsidRPr="00FF65D6">
        <w:rPr>
          <w:lang w:val="fr-FR"/>
        </w:rPr>
        <w:tab/>
        <w:t>Sensibilisation</w:t>
      </w:r>
      <w:bookmarkEnd w:id="17"/>
    </w:p>
    <w:p w14:paraId="31F71209" w14:textId="77777777" w:rsidR="005C5C6A" w:rsidRPr="00FF65D6" w:rsidRDefault="005C5C6A" w:rsidP="00F34341">
      <w:pPr>
        <w:pStyle w:val="SingleTxtG"/>
        <w:rPr>
          <w:lang w:val="fr-FR"/>
        </w:rPr>
      </w:pPr>
      <w:r w:rsidRPr="00FF65D6">
        <w:rPr>
          <w:lang w:val="fr-FR"/>
        </w:rPr>
        <w:t>53</w:t>
      </w:r>
      <w:r w:rsidR="005C1799" w:rsidRPr="005C1799">
        <w:rPr>
          <w:lang w:val="fr-FR"/>
        </w:rPr>
        <w:t>.</w:t>
      </w:r>
      <w:r w:rsidRPr="00FF65D6">
        <w:rPr>
          <w:lang w:val="fr-FR"/>
        </w:rPr>
        <w:tab/>
        <w:t>Le Gouvernement géorgien considère que les campagnes de sensibilisation du public sur la traite des personnes constituent l</w:t>
      </w:r>
      <w:r w:rsidR="002127F6" w:rsidRPr="00FF65D6">
        <w:rPr>
          <w:lang w:val="fr-FR"/>
        </w:rPr>
        <w:t>’</w:t>
      </w:r>
      <w:r w:rsidRPr="00FF65D6">
        <w:rPr>
          <w:lang w:val="fr-FR"/>
        </w:rPr>
        <w:t>une des mesures de prévention essentielles</w:t>
      </w:r>
      <w:r w:rsidR="005C1799" w:rsidRPr="005C1799">
        <w:rPr>
          <w:lang w:val="fr-FR"/>
        </w:rPr>
        <w:t>.</w:t>
      </w:r>
      <w:r w:rsidRPr="00FF65D6">
        <w:rPr>
          <w:lang w:val="fr-FR"/>
        </w:rPr>
        <w:t xml:space="preserve"> Pour que la mise en œuvre de ces mesures soit efficace, le 2 février 2014, le Conseil pour la lutte contre la traite a approuvé la Stratégie commune d</w:t>
      </w:r>
      <w:r w:rsidR="002127F6" w:rsidRPr="00FF65D6">
        <w:rPr>
          <w:lang w:val="fr-FR"/>
        </w:rPr>
        <w:t>’</w:t>
      </w:r>
      <w:r w:rsidRPr="00FF65D6">
        <w:rPr>
          <w:lang w:val="fr-FR"/>
        </w:rPr>
        <w:t>information sur la lutte contre la traite, qui identifie spécialement des groupes cibles vulnérables et des régions, ainsi que des moyens d</w:t>
      </w:r>
      <w:r w:rsidR="002127F6" w:rsidRPr="00FF65D6">
        <w:rPr>
          <w:lang w:val="fr-FR"/>
        </w:rPr>
        <w:t>’</w:t>
      </w:r>
      <w:r w:rsidRPr="00FF65D6">
        <w:rPr>
          <w:lang w:val="fr-FR"/>
        </w:rPr>
        <w:t>application</w:t>
      </w:r>
      <w:r w:rsidR="005C1799" w:rsidRPr="005C1799">
        <w:rPr>
          <w:lang w:val="fr-FR"/>
        </w:rPr>
        <w:t>.</w:t>
      </w:r>
      <w:r w:rsidRPr="00FF65D6">
        <w:rPr>
          <w:lang w:val="fr-FR"/>
        </w:rPr>
        <w:t xml:space="preserve"> Il convient de souligner que cette stratégie d</w:t>
      </w:r>
      <w:r w:rsidR="002127F6" w:rsidRPr="00FF65D6">
        <w:rPr>
          <w:lang w:val="fr-FR"/>
        </w:rPr>
        <w:t>’</w:t>
      </w:r>
      <w:r w:rsidRPr="00FF65D6">
        <w:rPr>
          <w:lang w:val="fr-FR"/>
        </w:rPr>
        <w:t>information et ce plan d</w:t>
      </w:r>
      <w:r w:rsidR="002127F6" w:rsidRPr="00FF65D6">
        <w:rPr>
          <w:lang w:val="fr-FR"/>
        </w:rPr>
        <w:t>’</w:t>
      </w:r>
      <w:r w:rsidRPr="00FF65D6">
        <w:rPr>
          <w:lang w:val="fr-FR"/>
        </w:rPr>
        <w:t>action sont tout à fait uniques dans la région</w:t>
      </w:r>
      <w:r w:rsidR="005C1799" w:rsidRPr="005C1799">
        <w:rPr>
          <w:lang w:val="fr-FR"/>
        </w:rPr>
        <w:t>.</w:t>
      </w:r>
      <w:r w:rsidRPr="00FF65D6">
        <w:rPr>
          <w:lang w:val="fr-FR"/>
        </w:rPr>
        <w:t xml:space="preserve"> Les priorités, les publics cibles et les messages cl</w:t>
      </w:r>
      <w:r w:rsidR="00A813BD">
        <w:rPr>
          <w:lang w:val="fr-FR"/>
        </w:rPr>
        <w:t>ef</w:t>
      </w:r>
      <w:r w:rsidRPr="00FF65D6">
        <w:rPr>
          <w:lang w:val="fr-FR"/>
        </w:rPr>
        <w:t>s ont été établis lors de réunions de travail tenues dans les ministères de tutelle et avec les ONG compétentes</w:t>
      </w:r>
      <w:r w:rsidR="005C1799" w:rsidRPr="005C1799">
        <w:rPr>
          <w:lang w:val="fr-FR"/>
        </w:rPr>
        <w:t>.</w:t>
      </w:r>
      <w:r w:rsidRPr="00FF65D6">
        <w:rPr>
          <w:lang w:val="fr-FR"/>
        </w:rPr>
        <w:t xml:space="preserve"> </w:t>
      </w:r>
    </w:p>
    <w:p w14:paraId="6E7BB4A4" w14:textId="77777777" w:rsidR="005C5C6A" w:rsidRPr="00FF65D6" w:rsidRDefault="005C5C6A" w:rsidP="00F34341">
      <w:pPr>
        <w:pStyle w:val="SingleTxtG"/>
        <w:rPr>
          <w:lang w:val="fr-FR"/>
        </w:rPr>
      </w:pPr>
      <w:r w:rsidRPr="00FF65D6">
        <w:rPr>
          <w:lang w:val="fr-FR"/>
        </w:rPr>
        <w:t>54</w:t>
      </w:r>
      <w:r w:rsidR="005C1799" w:rsidRPr="005C1799">
        <w:rPr>
          <w:lang w:val="fr-FR"/>
        </w:rPr>
        <w:t>.</w:t>
      </w:r>
      <w:r w:rsidRPr="00FF65D6">
        <w:rPr>
          <w:lang w:val="fr-FR"/>
        </w:rPr>
        <w:tab/>
        <w:t>Dans le cadre de la Stratégie commune d</w:t>
      </w:r>
      <w:r w:rsidR="002127F6" w:rsidRPr="00FF65D6">
        <w:rPr>
          <w:lang w:val="fr-FR"/>
        </w:rPr>
        <w:t>’</w:t>
      </w:r>
      <w:r w:rsidRPr="00FF65D6">
        <w:rPr>
          <w:lang w:val="fr-FR"/>
        </w:rPr>
        <w:t>information approuvée par le Conseil pour la</w:t>
      </w:r>
      <w:r w:rsidR="002127F6" w:rsidRPr="00FF65D6">
        <w:rPr>
          <w:lang w:val="fr-FR"/>
        </w:rPr>
        <w:t xml:space="preserve"> </w:t>
      </w:r>
      <w:r w:rsidRPr="00FF65D6">
        <w:rPr>
          <w:lang w:val="fr-FR"/>
        </w:rPr>
        <w:t>lutte contre la traite en 2014, des réunions d</w:t>
      </w:r>
      <w:r w:rsidR="002127F6" w:rsidRPr="00FF65D6">
        <w:rPr>
          <w:lang w:val="fr-FR"/>
        </w:rPr>
        <w:t>’</w:t>
      </w:r>
      <w:r w:rsidRPr="00FF65D6">
        <w:rPr>
          <w:lang w:val="fr-FR"/>
        </w:rPr>
        <w:t>information avec différents groupes cibles tels que les élèves, les étudiants, les enfants en situation de rue, les journalistes, les minorités et les personnes des zones rurales sont organisées continuellement dans l</w:t>
      </w:r>
      <w:r w:rsidR="002127F6" w:rsidRPr="00FF65D6">
        <w:rPr>
          <w:lang w:val="fr-FR"/>
        </w:rPr>
        <w:t>’</w:t>
      </w:r>
      <w:r w:rsidRPr="00FF65D6">
        <w:rPr>
          <w:lang w:val="fr-FR"/>
        </w:rPr>
        <w:t>ensemble du pays</w:t>
      </w:r>
      <w:r w:rsidR="005C1799" w:rsidRPr="005C1799">
        <w:rPr>
          <w:lang w:val="fr-FR"/>
        </w:rPr>
        <w:t>.</w:t>
      </w:r>
      <w:r w:rsidRPr="00FF65D6">
        <w:rPr>
          <w:lang w:val="fr-FR"/>
        </w:rPr>
        <w:t xml:space="preserve"> </w:t>
      </w:r>
    </w:p>
    <w:p w14:paraId="1ACDDB76" w14:textId="77777777" w:rsidR="005C5C6A" w:rsidRPr="00FF65D6" w:rsidRDefault="005C5C6A" w:rsidP="00F34341">
      <w:pPr>
        <w:pStyle w:val="SingleTxtG"/>
        <w:rPr>
          <w:lang w:val="fr-FR"/>
        </w:rPr>
      </w:pPr>
      <w:r w:rsidRPr="00FF65D6">
        <w:rPr>
          <w:lang w:val="fr-FR"/>
        </w:rPr>
        <w:t>55</w:t>
      </w:r>
      <w:r w:rsidR="005C1799" w:rsidRPr="005C1799">
        <w:rPr>
          <w:lang w:val="fr-FR"/>
        </w:rPr>
        <w:t>.</w:t>
      </w:r>
      <w:r w:rsidRPr="00FF65D6">
        <w:rPr>
          <w:lang w:val="fr-FR"/>
        </w:rPr>
        <w:tab/>
        <w:t>L</w:t>
      </w:r>
      <w:r w:rsidR="002127F6" w:rsidRPr="00FF65D6">
        <w:rPr>
          <w:lang w:val="fr-FR"/>
        </w:rPr>
        <w:t>’</w:t>
      </w:r>
      <w:r w:rsidRPr="00FF65D6">
        <w:rPr>
          <w:lang w:val="fr-FR"/>
        </w:rPr>
        <w:t>évaluation de l</w:t>
      </w:r>
      <w:r w:rsidR="002127F6" w:rsidRPr="00FF65D6">
        <w:rPr>
          <w:lang w:val="fr-FR"/>
        </w:rPr>
        <w:t>’</w:t>
      </w:r>
      <w:r w:rsidRPr="00FF65D6">
        <w:rPr>
          <w:lang w:val="fr-FR"/>
        </w:rPr>
        <w:t>efficacité des réunions d</w:t>
      </w:r>
      <w:r w:rsidR="002127F6" w:rsidRPr="00FF65D6">
        <w:rPr>
          <w:lang w:val="fr-FR"/>
        </w:rPr>
        <w:t>’</w:t>
      </w:r>
      <w:r w:rsidRPr="00FF65D6">
        <w:rPr>
          <w:lang w:val="fr-FR"/>
        </w:rPr>
        <w:t>information est une des priorités du Conseil pour la lutte contre la traite</w:t>
      </w:r>
      <w:r w:rsidR="005C1799" w:rsidRPr="005C1799">
        <w:rPr>
          <w:lang w:val="fr-FR"/>
        </w:rPr>
        <w:t>.</w:t>
      </w:r>
      <w:r w:rsidRPr="00FF65D6">
        <w:rPr>
          <w:lang w:val="fr-FR"/>
        </w:rPr>
        <w:t xml:space="preserve"> À cette fin, des questionnaires ont été spécialement élaborés par le Secrétariat du Conseil, en étroite coopération avec l</w:t>
      </w:r>
      <w:r w:rsidR="002127F6" w:rsidRPr="00FF65D6">
        <w:rPr>
          <w:lang w:val="fr-FR"/>
        </w:rPr>
        <w:t>’</w:t>
      </w:r>
      <w:r w:rsidRPr="00FF65D6">
        <w:rPr>
          <w:lang w:val="fr-FR"/>
        </w:rPr>
        <w:t>OIM</w:t>
      </w:r>
      <w:r w:rsidR="005C1799" w:rsidRPr="005C1799">
        <w:rPr>
          <w:lang w:val="fr-FR"/>
        </w:rPr>
        <w:t>.</w:t>
      </w:r>
      <w:r w:rsidRPr="00FF65D6">
        <w:rPr>
          <w:lang w:val="fr-FR"/>
        </w:rPr>
        <w:t xml:space="preserve"> Ces questionnaires ont été largement distribués lors des réunions d</w:t>
      </w:r>
      <w:r w:rsidR="002127F6" w:rsidRPr="00FF65D6">
        <w:rPr>
          <w:lang w:val="fr-FR"/>
        </w:rPr>
        <w:t>’</w:t>
      </w:r>
      <w:r w:rsidRPr="00FF65D6">
        <w:rPr>
          <w:lang w:val="fr-FR"/>
        </w:rPr>
        <w:t>information pour identifier les lacunes dans les connaissances du grand public sur les questions touchant à la traite, ainsi que pour évaluer si la population est mieux informée que les années précédentes</w:t>
      </w:r>
      <w:r w:rsidR="005C1799" w:rsidRPr="005C1799">
        <w:rPr>
          <w:lang w:val="fr-FR"/>
        </w:rPr>
        <w:t>.</w:t>
      </w:r>
      <w:r w:rsidRPr="00FF65D6">
        <w:rPr>
          <w:lang w:val="fr-FR"/>
        </w:rPr>
        <w:t xml:space="preserve"> </w:t>
      </w:r>
    </w:p>
    <w:p w14:paraId="6668F649" w14:textId="77777777" w:rsidR="005C5C6A" w:rsidRPr="00FF65D6" w:rsidRDefault="005C5C6A" w:rsidP="00F34341">
      <w:pPr>
        <w:pStyle w:val="SingleTxtG"/>
        <w:rPr>
          <w:lang w:val="fr-FR"/>
        </w:rPr>
      </w:pPr>
      <w:r w:rsidRPr="00FF65D6">
        <w:rPr>
          <w:lang w:val="fr-FR"/>
        </w:rPr>
        <w:t>56</w:t>
      </w:r>
      <w:r w:rsidR="005C1799" w:rsidRPr="005C1799">
        <w:rPr>
          <w:lang w:val="fr-FR"/>
        </w:rPr>
        <w:t>.</w:t>
      </w:r>
      <w:r w:rsidRPr="00FF65D6">
        <w:rPr>
          <w:lang w:val="fr-FR"/>
        </w:rPr>
        <w:tab/>
        <w:t>L</w:t>
      </w:r>
      <w:r w:rsidR="002127F6" w:rsidRPr="00FF65D6">
        <w:rPr>
          <w:lang w:val="fr-FR"/>
        </w:rPr>
        <w:t>’</w:t>
      </w:r>
      <w:r w:rsidRPr="00FF65D6">
        <w:rPr>
          <w:lang w:val="fr-FR"/>
        </w:rPr>
        <w:t>évaluation des réunions d</w:t>
      </w:r>
      <w:r w:rsidR="002127F6" w:rsidRPr="00FF65D6">
        <w:rPr>
          <w:lang w:val="fr-FR"/>
        </w:rPr>
        <w:t>’</w:t>
      </w:r>
      <w:r w:rsidRPr="00FF65D6">
        <w:rPr>
          <w:lang w:val="fr-FR"/>
        </w:rPr>
        <w:t>information a montré que l</w:t>
      </w:r>
      <w:r w:rsidR="002127F6" w:rsidRPr="00FF65D6">
        <w:rPr>
          <w:lang w:val="fr-FR"/>
        </w:rPr>
        <w:t>’</w:t>
      </w:r>
      <w:r w:rsidRPr="00FF65D6">
        <w:rPr>
          <w:lang w:val="fr-FR"/>
        </w:rPr>
        <w:t>âge du public cible (des deux sexes) allait de 14 à 61 ans</w:t>
      </w:r>
      <w:r w:rsidR="005C1799" w:rsidRPr="005C1799">
        <w:rPr>
          <w:lang w:val="fr-FR"/>
        </w:rPr>
        <w:t>.</w:t>
      </w:r>
      <w:r w:rsidRPr="00FF65D6">
        <w:rPr>
          <w:lang w:val="fr-FR"/>
        </w:rPr>
        <w:t xml:space="preserve"> Les participants aux réunions avaient des profils variés</w:t>
      </w:r>
      <w:r w:rsidR="003B7618" w:rsidRPr="00FF65D6">
        <w:rPr>
          <w:lang w:val="fr-FR"/>
        </w:rPr>
        <w:t> :</w:t>
      </w:r>
      <w:r w:rsidRPr="00FF65D6">
        <w:rPr>
          <w:lang w:val="fr-FR"/>
        </w:rPr>
        <w:t xml:space="preserve"> enseignants, journalistes, représentants d</w:t>
      </w:r>
      <w:r w:rsidR="002127F6" w:rsidRPr="00FF65D6">
        <w:rPr>
          <w:lang w:val="fr-FR"/>
        </w:rPr>
        <w:t>’</w:t>
      </w:r>
      <w:r w:rsidRPr="00FF65D6">
        <w:rPr>
          <w:lang w:val="fr-FR"/>
        </w:rPr>
        <w:t>ONG, étudiants, élèves, etc</w:t>
      </w:r>
      <w:r w:rsidR="005C1799" w:rsidRPr="005C1799">
        <w:rPr>
          <w:lang w:val="fr-FR"/>
        </w:rPr>
        <w:t>.</w:t>
      </w:r>
      <w:r w:rsidRPr="00FF65D6">
        <w:rPr>
          <w:lang w:val="fr-FR"/>
        </w:rPr>
        <w:t xml:space="preserve"> L</w:t>
      </w:r>
      <w:r w:rsidR="002127F6" w:rsidRPr="00FF65D6">
        <w:rPr>
          <w:lang w:val="fr-FR"/>
        </w:rPr>
        <w:t>’</w:t>
      </w:r>
      <w:r w:rsidRPr="00FF65D6">
        <w:rPr>
          <w:lang w:val="fr-FR"/>
        </w:rPr>
        <w:t>évaluation a constaté que la majorité des gens connaissent bien les menaces que fait peser la traite, qu</w:t>
      </w:r>
      <w:r w:rsidR="002127F6" w:rsidRPr="00FF65D6">
        <w:rPr>
          <w:lang w:val="fr-FR"/>
        </w:rPr>
        <w:t>’</w:t>
      </w:r>
      <w:r w:rsidRPr="00FF65D6">
        <w:rPr>
          <w:lang w:val="fr-FR"/>
        </w:rPr>
        <w:t>ils sont capables d</w:t>
      </w:r>
      <w:r w:rsidR="002127F6" w:rsidRPr="00FF65D6">
        <w:rPr>
          <w:lang w:val="fr-FR"/>
        </w:rPr>
        <w:t>’</w:t>
      </w:r>
      <w:r w:rsidRPr="00FF65D6">
        <w:rPr>
          <w:lang w:val="fr-FR"/>
        </w:rPr>
        <w:t>identifier les moyens d</w:t>
      </w:r>
      <w:r w:rsidR="002127F6" w:rsidRPr="00FF65D6">
        <w:rPr>
          <w:lang w:val="fr-FR"/>
        </w:rPr>
        <w:t>’</w:t>
      </w:r>
      <w:r w:rsidRPr="00FF65D6">
        <w:rPr>
          <w:lang w:val="fr-FR"/>
        </w:rPr>
        <w:t>exploitation et de reconnaître le lien entre la traite d</w:t>
      </w:r>
      <w:r w:rsidR="002127F6" w:rsidRPr="00FF65D6">
        <w:rPr>
          <w:lang w:val="fr-FR"/>
        </w:rPr>
        <w:t>’</w:t>
      </w:r>
      <w:r w:rsidRPr="00FF65D6">
        <w:rPr>
          <w:lang w:val="fr-FR"/>
        </w:rPr>
        <w:t>êtres humains et le trafic illicite d</w:t>
      </w:r>
      <w:r w:rsidR="002127F6" w:rsidRPr="00FF65D6">
        <w:rPr>
          <w:lang w:val="fr-FR"/>
        </w:rPr>
        <w:t>’</w:t>
      </w:r>
      <w:r w:rsidRPr="00FF65D6">
        <w:rPr>
          <w:lang w:val="fr-FR"/>
        </w:rPr>
        <w:t>êtres humains et les conséquences des migrations illégales</w:t>
      </w:r>
      <w:r w:rsidR="005C1799" w:rsidRPr="005C1799">
        <w:rPr>
          <w:lang w:val="fr-FR"/>
        </w:rPr>
        <w:t>.</w:t>
      </w:r>
      <w:r w:rsidRPr="00FF65D6">
        <w:rPr>
          <w:lang w:val="fr-FR"/>
        </w:rPr>
        <w:t xml:space="preserve"> De plus, les participants sont en mesure d</w:t>
      </w:r>
      <w:r w:rsidR="002127F6" w:rsidRPr="00FF65D6">
        <w:rPr>
          <w:lang w:val="fr-FR"/>
        </w:rPr>
        <w:t>’</w:t>
      </w:r>
      <w:r w:rsidRPr="00FF65D6">
        <w:rPr>
          <w:lang w:val="fr-FR"/>
        </w:rPr>
        <w:t>identifier les indicateurs de l</w:t>
      </w:r>
      <w:r w:rsidR="002127F6" w:rsidRPr="00FF65D6">
        <w:rPr>
          <w:lang w:val="fr-FR"/>
        </w:rPr>
        <w:t>’</w:t>
      </w:r>
      <w:r w:rsidRPr="00FF65D6">
        <w:rPr>
          <w:lang w:val="fr-FR"/>
        </w:rPr>
        <w:t>exploitation tels que le retrait des pièces d</w:t>
      </w:r>
      <w:r w:rsidR="002127F6" w:rsidRPr="00FF65D6">
        <w:rPr>
          <w:lang w:val="fr-FR"/>
        </w:rPr>
        <w:t>’</w:t>
      </w:r>
      <w:r w:rsidRPr="00FF65D6">
        <w:rPr>
          <w:lang w:val="fr-FR"/>
        </w:rPr>
        <w:t>identité, le travail forcé et les restrictions imposées aux communications et à la liberté de circulation</w:t>
      </w:r>
      <w:r w:rsidR="005C1799" w:rsidRPr="005C1799">
        <w:rPr>
          <w:lang w:val="fr-FR"/>
        </w:rPr>
        <w:t>.</w:t>
      </w:r>
    </w:p>
    <w:p w14:paraId="63BD461A" w14:textId="77777777" w:rsidR="005C5C6A" w:rsidRPr="00FF65D6" w:rsidRDefault="005C5C6A" w:rsidP="00F34341">
      <w:pPr>
        <w:pStyle w:val="SingleTxtG"/>
        <w:rPr>
          <w:lang w:val="fr-FR"/>
        </w:rPr>
      </w:pPr>
      <w:r w:rsidRPr="00FF65D6">
        <w:rPr>
          <w:lang w:val="fr-FR"/>
        </w:rPr>
        <w:t>57</w:t>
      </w:r>
      <w:r w:rsidR="005C1799" w:rsidRPr="005C1799">
        <w:rPr>
          <w:lang w:val="fr-FR"/>
        </w:rPr>
        <w:t>.</w:t>
      </w:r>
      <w:r w:rsidRPr="00FF65D6">
        <w:rPr>
          <w:lang w:val="fr-FR"/>
        </w:rPr>
        <w:tab/>
        <w:t>De plus, en 2014 et 2015, diverses activités éducatives (notamment formations, conférences publiques, concours de plaidoiries, tables rondes, réunions d</w:t>
      </w:r>
      <w:r w:rsidR="002127F6" w:rsidRPr="00FF65D6">
        <w:rPr>
          <w:lang w:val="fr-FR"/>
        </w:rPr>
        <w:t>’</w:t>
      </w:r>
      <w:r w:rsidRPr="00FF65D6">
        <w:rPr>
          <w:lang w:val="fr-FR"/>
        </w:rPr>
        <w:t>information, écoles d</w:t>
      </w:r>
      <w:r w:rsidR="002127F6" w:rsidRPr="00FF65D6">
        <w:rPr>
          <w:lang w:val="fr-FR"/>
        </w:rPr>
        <w:t>’</w:t>
      </w:r>
      <w:r w:rsidRPr="00FF65D6">
        <w:rPr>
          <w:lang w:val="fr-FR"/>
        </w:rPr>
        <w:t>été, projections de films suivies de discussions) ont été organisées à l</w:t>
      </w:r>
      <w:r w:rsidR="002127F6" w:rsidRPr="00FF65D6">
        <w:rPr>
          <w:lang w:val="fr-FR"/>
        </w:rPr>
        <w:t>’</w:t>
      </w:r>
      <w:r w:rsidRPr="00FF65D6">
        <w:rPr>
          <w:lang w:val="fr-FR"/>
        </w:rPr>
        <w:t>intention des élèves, des enseignants et des étudiants, divers dépliants, prospectus et brochures d</w:t>
      </w:r>
      <w:r w:rsidR="002127F6" w:rsidRPr="00FF65D6">
        <w:rPr>
          <w:lang w:val="fr-FR"/>
        </w:rPr>
        <w:t>’</w:t>
      </w:r>
      <w:r w:rsidRPr="00FF65D6">
        <w:rPr>
          <w:lang w:val="fr-FR"/>
        </w:rPr>
        <w:t>information ont été largement distribués aux enfants et aux adolescents pour les informer des menaces que fait peser l</w:t>
      </w:r>
      <w:r w:rsidR="002127F6" w:rsidRPr="00FF65D6">
        <w:rPr>
          <w:lang w:val="fr-FR"/>
        </w:rPr>
        <w:t>’</w:t>
      </w:r>
      <w:r w:rsidRPr="00FF65D6">
        <w:rPr>
          <w:lang w:val="fr-FR"/>
        </w:rPr>
        <w:t>exploitation sexuelle et des moyens de prévenir l</w:t>
      </w:r>
      <w:r w:rsidR="002127F6" w:rsidRPr="00FF65D6">
        <w:rPr>
          <w:lang w:val="fr-FR"/>
        </w:rPr>
        <w:t>’</w:t>
      </w:r>
      <w:r w:rsidRPr="00FF65D6">
        <w:rPr>
          <w:lang w:val="fr-FR"/>
        </w:rPr>
        <w:t>infraction et leur indiquer quelles sont les personnes auxquelles ils peuvent s</w:t>
      </w:r>
      <w:r w:rsidR="002127F6" w:rsidRPr="00FF65D6">
        <w:rPr>
          <w:lang w:val="fr-FR"/>
        </w:rPr>
        <w:t>’</w:t>
      </w:r>
      <w:r w:rsidRPr="00FF65D6">
        <w:rPr>
          <w:lang w:val="fr-FR"/>
        </w:rPr>
        <w:t>adresser s</w:t>
      </w:r>
      <w:r w:rsidR="002127F6" w:rsidRPr="00FF65D6">
        <w:rPr>
          <w:lang w:val="fr-FR"/>
        </w:rPr>
        <w:t>’</w:t>
      </w:r>
      <w:r w:rsidRPr="00FF65D6">
        <w:rPr>
          <w:lang w:val="fr-FR"/>
        </w:rPr>
        <w:t>ils sont victimes de tout type de violence</w:t>
      </w:r>
      <w:r w:rsidR="005C1799" w:rsidRPr="005C1799">
        <w:rPr>
          <w:lang w:val="fr-FR"/>
        </w:rPr>
        <w:t>.</w:t>
      </w:r>
    </w:p>
    <w:p w14:paraId="6F374FC0" w14:textId="77777777" w:rsidR="005C5C6A" w:rsidRPr="00FF65D6" w:rsidRDefault="005C5C6A" w:rsidP="00F34341">
      <w:pPr>
        <w:pStyle w:val="SingleTxtG"/>
        <w:rPr>
          <w:lang w:val="fr-FR"/>
        </w:rPr>
      </w:pPr>
      <w:r w:rsidRPr="00FF65D6">
        <w:rPr>
          <w:lang w:val="fr-FR"/>
        </w:rPr>
        <w:t>58</w:t>
      </w:r>
      <w:r w:rsidR="005C1799" w:rsidRPr="005C1799">
        <w:rPr>
          <w:lang w:val="fr-FR"/>
        </w:rPr>
        <w:t>.</w:t>
      </w:r>
      <w:r w:rsidRPr="00FF65D6">
        <w:rPr>
          <w:lang w:val="fr-FR"/>
        </w:rPr>
        <w:tab/>
        <w:t>Le 30 juillet 2016, à l</w:t>
      </w:r>
      <w:r w:rsidR="002127F6" w:rsidRPr="00FF65D6">
        <w:rPr>
          <w:lang w:val="fr-FR"/>
        </w:rPr>
        <w:t>’</w:t>
      </w:r>
      <w:r w:rsidRPr="00FF65D6">
        <w:rPr>
          <w:lang w:val="fr-FR"/>
        </w:rPr>
        <w:t>occasion de la célébration de la Journée mondiale de la lutte contre la traite d</w:t>
      </w:r>
      <w:r w:rsidR="002127F6" w:rsidRPr="00FF65D6">
        <w:rPr>
          <w:lang w:val="fr-FR"/>
        </w:rPr>
        <w:t>’</w:t>
      </w:r>
      <w:r w:rsidRPr="00FF65D6">
        <w:rPr>
          <w:lang w:val="fr-FR"/>
        </w:rPr>
        <w:t>êtres humains, des formations à la prévention de la traite ont été dispensées à 125 participants dans 25 centres communautaires dans l</w:t>
      </w:r>
      <w:r w:rsidR="002127F6" w:rsidRPr="00FF65D6">
        <w:rPr>
          <w:lang w:val="fr-FR"/>
        </w:rPr>
        <w:t>’</w:t>
      </w:r>
      <w:r w:rsidRPr="00FF65D6">
        <w:rPr>
          <w:lang w:val="fr-FR"/>
        </w:rPr>
        <w:t>ensemble du pays</w:t>
      </w:r>
      <w:r w:rsidR="005C1799" w:rsidRPr="005C1799">
        <w:rPr>
          <w:lang w:val="fr-FR"/>
        </w:rPr>
        <w:t>.</w:t>
      </w:r>
      <w:r w:rsidRPr="00FF65D6">
        <w:rPr>
          <w:lang w:val="fr-FR"/>
        </w:rPr>
        <w:t xml:space="preserve"> Ces formations étaient ouvertes à toute personne intéressée par cette question</w:t>
      </w:r>
      <w:r w:rsidR="005C1799" w:rsidRPr="005C1799">
        <w:rPr>
          <w:lang w:val="fr-FR"/>
        </w:rPr>
        <w:t>.</w:t>
      </w:r>
      <w:r w:rsidRPr="00FF65D6">
        <w:rPr>
          <w:lang w:val="fr-FR"/>
        </w:rPr>
        <w:t xml:space="preserve"> Des dépliants spéciaux ont été distribués aux participants</w:t>
      </w:r>
      <w:r w:rsidR="005C1799" w:rsidRPr="005C1799">
        <w:rPr>
          <w:lang w:val="fr-FR"/>
        </w:rPr>
        <w:t>.</w:t>
      </w:r>
      <w:r w:rsidRPr="00FF65D6">
        <w:rPr>
          <w:lang w:val="fr-FR"/>
        </w:rPr>
        <w:t xml:space="preserve"> </w:t>
      </w:r>
    </w:p>
    <w:p w14:paraId="37FB5FB4" w14:textId="77777777" w:rsidR="005C5C6A" w:rsidRPr="00FF65D6" w:rsidRDefault="005C5C6A" w:rsidP="00F34341">
      <w:pPr>
        <w:pStyle w:val="SingleTxtG"/>
        <w:rPr>
          <w:lang w:val="fr-FR"/>
        </w:rPr>
      </w:pPr>
      <w:r w:rsidRPr="00FF65D6">
        <w:rPr>
          <w:lang w:val="fr-FR"/>
        </w:rPr>
        <w:t>59</w:t>
      </w:r>
      <w:r w:rsidR="005C1799" w:rsidRPr="005C1799">
        <w:rPr>
          <w:lang w:val="fr-FR"/>
        </w:rPr>
        <w:t>.</w:t>
      </w:r>
      <w:r w:rsidRPr="00FF65D6">
        <w:rPr>
          <w:lang w:val="fr-FR"/>
        </w:rPr>
        <w:tab/>
        <w:t>Pour assurer une mise en œuvre efficace des mesures de prévention prévues dans le Plan d</w:t>
      </w:r>
      <w:r w:rsidR="002127F6" w:rsidRPr="00FF65D6">
        <w:rPr>
          <w:lang w:val="fr-FR"/>
        </w:rPr>
        <w:t>’</w:t>
      </w:r>
      <w:r w:rsidRPr="00FF65D6">
        <w:rPr>
          <w:lang w:val="fr-FR"/>
        </w:rPr>
        <w:t>action national sur la lutte contre la traite d</w:t>
      </w:r>
      <w:r w:rsidR="002127F6" w:rsidRPr="00FF65D6">
        <w:rPr>
          <w:lang w:val="fr-FR"/>
        </w:rPr>
        <w:t>’</w:t>
      </w:r>
      <w:r w:rsidRPr="00FF65D6">
        <w:rPr>
          <w:lang w:val="fr-FR"/>
        </w:rPr>
        <w:t>êtres humains, en particulier, pour sensibiliser le public aux dangers de la traite et fournir une formation appropriée aux responsables compétents, le Ministère géorgien des affaires étrangères entreprend les actions indiquées ci-après</w:t>
      </w:r>
      <w:r w:rsidR="003B7618" w:rsidRPr="00FF65D6">
        <w:rPr>
          <w:lang w:val="fr-FR"/>
        </w:rPr>
        <w:t> :</w:t>
      </w:r>
    </w:p>
    <w:p w14:paraId="4193460C" w14:textId="77777777" w:rsidR="005C5C6A" w:rsidRPr="00FF65D6" w:rsidRDefault="005C5C6A" w:rsidP="00291CB4">
      <w:pPr>
        <w:pStyle w:val="Bullet1G"/>
        <w:rPr>
          <w:lang w:val="fr-FR"/>
        </w:rPr>
      </w:pPr>
      <w:r w:rsidRPr="00FF65D6">
        <w:rPr>
          <w:lang w:val="fr-FR"/>
        </w:rPr>
        <w:t>Distribution de brochures sur la traite, les migrations illégales et les droits fondamentaux</w:t>
      </w:r>
      <w:r w:rsidR="003B7618" w:rsidRPr="00FF65D6">
        <w:rPr>
          <w:lang w:val="fr-FR"/>
        </w:rPr>
        <w:t> ;</w:t>
      </w:r>
    </w:p>
    <w:p w14:paraId="49F3030A" w14:textId="77777777" w:rsidR="005C5C6A" w:rsidRPr="00FF65D6" w:rsidRDefault="005C5C6A" w:rsidP="00291CB4">
      <w:pPr>
        <w:pStyle w:val="Bullet1G"/>
        <w:rPr>
          <w:lang w:val="fr-FR"/>
        </w:rPr>
      </w:pPr>
      <w:r w:rsidRPr="00FF65D6">
        <w:rPr>
          <w:lang w:val="fr-FR"/>
        </w:rPr>
        <w:t>Publication, avec l</w:t>
      </w:r>
      <w:r w:rsidR="002127F6" w:rsidRPr="00FF65D6">
        <w:rPr>
          <w:lang w:val="fr-FR"/>
        </w:rPr>
        <w:t>’</w:t>
      </w:r>
      <w:r w:rsidRPr="00FF65D6">
        <w:rPr>
          <w:lang w:val="fr-FR"/>
        </w:rPr>
        <w:t>appui financier du Représentant de l</w:t>
      </w:r>
      <w:r w:rsidR="002127F6" w:rsidRPr="00FF65D6">
        <w:rPr>
          <w:lang w:val="fr-FR"/>
        </w:rPr>
        <w:t>’</w:t>
      </w:r>
      <w:r w:rsidRPr="00FF65D6">
        <w:rPr>
          <w:lang w:val="fr-FR"/>
        </w:rPr>
        <w:t>OIM en Géorgie, de brochures d</w:t>
      </w:r>
      <w:r w:rsidR="002127F6" w:rsidRPr="00FF65D6">
        <w:rPr>
          <w:lang w:val="fr-FR"/>
        </w:rPr>
        <w:t>’</w:t>
      </w:r>
      <w:r w:rsidRPr="00FF65D6">
        <w:rPr>
          <w:lang w:val="fr-FR"/>
        </w:rPr>
        <w:t>information (« Conseils aux voyageurs à l</w:t>
      </w:r>
      <w:r w:rsidR="002127F6" w:rsidRPr="00FF65D6">
        <w:rPr>
          <w:lang w:val="fr-FR"/>
        </w:rPr>
        <w:t>’</w:t>
      </w:r>
      <w:r w:rsidRPr="00FF65D6">
        <w:rPr>
          <w:lang w:val="fr-FR"/>
        </w:rPr>
        <w:t>étranger »)</w:t>
      </w:r>
      <w:r w:rsidR="005C1799" w:rsidRPr="005C1799">
        <w:rPr>
          <w:lang w:val="fr-FR"/>
        </w:rPr>
        <w:t>.</w:t>
      </w:r>
      <w:r w:rsidRPr="00FF65D6">
        <w:rPr>
          <w:lang w:val="fr-FR"/>
        </w:rPr>
        <w:t xml:space="preserve"> Ces brochures contiennent des informations sur l</w:t>
      </w:r>
      <w:r w:rsidR="002127F6" w:rsidRPr="00FF65D6">
        <w:rPr>
          <w:lang w:val="fr-FR"/>
        </w:rPr>
        <w:t>’</w:t>
      </w:r>
      <w:r w:rsidRPr="00FF65D6">
        <w:rPr>
          <w:lang w:val="fr-FR"/>
        </w:rPr>
        <w:t>assistance consulaire et les dangers de la traite</w:t>
      </w:r>
      <w:r w:rsidR="005C1799" w:rsidRPr="005C1799">
        <w:rPr>
          <w:lang w:val="fr-FR"/>
        </w:rPr>
        <w:t>.</w:t>
      </w:r>
      <w:r w:rsidRPr="00FF65D6">
        <w:rPr>
          <w:lang w:val="fr-FR"/>
        </w:rPr>
        <w:t xml:space="preserve"> Elles sont distribuées aux points de franchissement de la frontière et dans les missions diplomatiques et les consulats de la Géorgie à l</w:t>
      </w:r>
      <w:r w:rsidR="002127F6" w:rsidRPr="00FF65D6">
        <w:rPr>
          <w:lang w:val="fr-FR"/>
        </w:rPr>
        <w:t>’</w:t>
      </w:r>
      <w:r w:rsidRPr="00FF65D6">
        <w:rPr>
          <w:lang w:val="fr-FR"/>
        </w:rPr>
        <w:t>étranger, ainsi que dans les organisations de la diaspora géorgienne dans les pays hôtes</w:t>
      </w:r>
      <w:r w:rsidR="003B7618" w:rsidRPr="00FF65D6">
        <w:rPr>
          <w:lang w:val="fr-FR"/>
        </w:rPr>
        <w:t> ;</w:t>
      </w:r>
    </w:p>
    <w:p w14:paraId="0AC877D2" w14:textId="77777777" w:rsidR="005C5C6A" w:rsidRPr="00FF65D6" w:rsidRDefault="005C5C6A" w:rsidP="00291CB4">
      <w:pPr>
        <w:pStyle w:val="Bullet1G"/>
        <w:rPr>
          <w:lang w:val="fr-FR"/>
        </w:rPr>
      </w:pPr>
      <w:r w:rsidRPr="00FF65D6">
        <w:rPr>
          <w:lang w:val="fr-FR"/>
        </w:rPr>
        <w:t>Mise en place d</w:t>
      </w:r>
      <w:r w:rsidR="002127F6" w:rsidRPr="00FF65D6">
        <w:rPr>
          <w:lang w:val="fr-FR"/>
        </w:rPr>
        <w:t>’</w:t>
      </w:r>
      <w:r w:rsidRPr="00FF65D6">
        <w:rPr>
          <w:lang w:val="fr-FR"/>
        </w:rPr>
        <w:t>une ligne d</w:t>
      </w:r>
      <w:r w:rsidR="002127F6" w:rsidRPr="00FF65D6">
        <w:rPr>
          <w:lang w:val="fr-FR"/>
        </w:rPr>
        <w:t>’</w:t>
      </w:r>
      <w:r w:rsidRPr="00FF65D6">
        <w:rPr>
          <w:lang w:val="fr-FR"/>
        </w:rPr>
        <w:t>assistance téléphonique pour prévenir la traite et prendre des mesures appropriées de lutte contre la traite</w:t>
      </w:r>
      <w:r w:rsidR="005C1799" w:rsidRPr="005C1799">
        <w:rPr>
          <w:lang w:val="fr-FR"/>
        </w:rPr>
        <w:t>.</w:t>
      </w:r>
      <w:r w:rsidRPr="00FF65D6">
        <w:rPr>
          <w:lang w:val="fr-FR"/>
        </w:rPr>
        <w:t xml:space="preserve"> Les informations nécessaires pour contacter cette ligne téléphonique sont disponibles sur le site Web du Ministère des affaires étrangères</w:t>
      </w:r>
      <w:r w:rsidR="005C1799" w:rsidRPr="005C1799">
        <w:rPr>
          <w:lang w:val="fr-FR"/>
        </w:rPr>
        <w:t>.</w:t>
      </w:r>
      <w:r w:rsidRPr="00FF65D6">
        <w:rPr>
          <w:lang w:val="fr-FR"/>
        </w:rPr>
        <w:t xml:space="preserve"> De plus, des informations relatives à la traite, y compris des détails sur les organisations non gouvernementales et internationales concernées dans le pays de résidence sont disponibles sur le site Web du Ministère des affaires étrangères et sur ceux des missions diplomatiques et consulaires géorgiennes à l</w:t>
      </w:r>
      <w:r w:rsidR="002127F6" w:rsidRPr="00FF65D6">
        <w:rPr>
          <w:lang w:val="fr-FR"/>
        </w:rPr>
        <w:t>’</w:t>
      </w:r>
      <w:r w:rsidRPr="00FF65D6">
        <w:rPr>
          <w:lang w:val="fr-FR"/>
        </w:rPr>
        <w:t>étranger</w:t>
      </w:r>
      <w:r w:rsidR="003B7618" w:rsidRPr="00FF65D6">
        <w:rPr>
          <w:lang w:val="fr-FR"/>
        </w:rPr>
        <w:t> ;</w:t>
      </w:r>
    </w:p>
    <w:p w14:paraId="47A956F4" w14:textId="77777777" w:rsidR="005C5C6A" w:rsidRPr="00FF65D6" w:rsidRDefault="005C5C6A" w:rsidP="00291CB4">
      <w:pPr>
        <w:pStyle w:val="Bullet1G"/>
        <w:rPr>
          <w:lang w:val="fr-FR"/>
        </w:rPr>
      </w:pPr>
      <w:r w:rsidRPr="00FF65D6">
        <w:rPr>
          <w:lang w:val="fr-FR"/>
        </w:rPr>
        <w:t>Les sujets liés à la traite sont couverts par la formation obligatoire que doivent suivre les responsables consulaires avant d</w:t>
      </w:r>
      <w:r w:rsidR="002127F6" w:rsidRPr="00FF65D6">
        <w:rPr>
          <w:lang w:val="fr-FR"/>
        </w:rPr>
        <w:t>’</w:t>
      </w:r>
      <w:r w:rsidRPr="00FF65D6">
        <w:rPr>
          <w:lang w:val="fr-FR"/>
        </w:rPr>
        <w:t>être affectés à l</w:t>
      </w:r>
      <w:r w:rsidR="002127F6" w:rsidRPr="00FF65D6">
        <w:rPr>
          <w:lang w:val="fr-FR"/>
        </w:rPr>
        <w:t>’</w:t>
      </w:r>
      <w:r w:rsidRPr="00FF65D6">
        <w:rPr>
          <w:lang w:val="fr-FR"/>
        </w:rPr>
        <w:t>étranger</w:t>
      </w:r>
      <w:r w:rsidR="003B7618" w:rsidRPr="00FF65D6">
        <w:rPr>
          <w:lang w:val="fr-FR"/>
        </w:rPr>
        <w:t> ;</w:t>
      </w:r>
    </w:p>
    <w:p w14:paraId="4679BA2A" w14:textId="77777777" w:rsidR="005C5C6A" w:rsidRPr="00FF65D6" w:rsidRDefault="005C5C6A" w:rsidP="00291CB4">
      <w:pPr>
        <w:pStyle w:val="Bullet1G"/>
        <w:rPr>
          <w:lang w:val="fr-FR"/>
        </w:rPr>
      </w:pPr>
      <w:r w:rsidRPr="00FF65D6">
        <w:rPr>
          <w:lang w:val="fr-FR"/>
        </w:rPr>
        <w:t>Des réunions se tiennent périodiquement à Tbilissi à l</w:t>
      </w:r>
      <w:r w:rsidR="002127F6" w:rsidRPr="00FF65D6">
        <w:rPr>
          <w:lang w:val="fr-FR"/>
        </w:rPr>
        <w:t>’</w:t>
      </w:r>
      <w:r w:rsidRPr="00FF65D6">
        <w:rPr>
          <w:lang w:val="fr-FR"/>
        </w:rPr>
        <w:t>intention des agents consulaires de la Géorgie, au cours desquelles les questions liées à la traite et d</w:t>
      </w:r>
      <w:r w:rsidR="002127F6" w:rsidRPr="00FF65D6">
        <w:rPr>
          <w:lang w:val="fr-FR"/>
        </w:rPr>
        <w:t>’</w:t>
      </w:r>
      <w:r w:rsidRPr="00FF65D6">
        <w:rPr>
          <w:lang w:val="fr-FR"/>
        </w:rPr>
        <w:t>autres questions sont examinées</w:t>
      </w:r>
      <w:r w:rsidR="005C1799" w:rsidRPr="005C1799">
        <w:rPr>
          <w:lang w:val="fr-FR"/>
        </w:rPr>
        <w:t>.</w:t>
      </w:r>
    </w:p>
    <w:p w14:paraId="46E7A9D6" w14:textId="77777777" w:rsidR="005C5C6A" w:rsidRPr="00FF65D6" w:rsidRDefault="005C5C6A" w:rsidP="00F34341">
      <w:pPr>
        <w:pStyle w:val="SingleTxtG"/>
        <w:rPr>
          <w:lang w:val="fr-FR"/>
        </w:rPr>
      </w:pPr>
      <w:r w:rsidRPr="00FF65D6">
        <w:rPr>
          <w:lang w:val="fr-FR"/>
        </w:rPr>
        <w:t>60</w:t>
      </w:r>
      <w:r w:rsidR="005C1799" w:rsidRPr="005C1799">
        <w:rPr>
          <w:lang w:val="fr-FR"/>
        </w:rPr>
        <w:t>.</w:t>
      </w:r>
      <w:r w:rsidRPr="00FF65D6">
        <w:rPr>
          <w:lang w:val="fr-FR"/>
        </w:rPr>
        <w:tab/>
        <w:t>Une des hautes priorités du Ministère géorgien de l</w:t>
      </w:r>
      <w:r w:rsidR="002127F6" w:rsidRPr="00FF65D6">
        <w:rPr>
          <w:lang w:val="fr-FR"/>
        </w:rPr>
        <w:t>’</w:t>
      </w:r>
      <w:r w:rsidRPr="00FF65D6">
        <w:rPr>
          <w:lang w:val="fr-FR"/>
        </w:rPr>
        <w:t>éducation et des sciences est de tenir les écoliers informés de la prévention de toute forme de violence, en leur communiquant des informations sur les droits de l</w:t>
      </w:r>
      <w:r w:rsidR="002127F6" w:rsidRPr="00FF65D6">
        <w:rPr>
          <w:lang w:val="fr-FR"/>
        </w:rPr>
        <w:t>’</w:t>
      </w:r>
      <w:r w:rsidRPr="00FF65D6">
        <w:rPr>
          <w:lang w:val="fr-FR"/>
        </w:rPr>
        <w:t>homme et sur la formation d</w:t>
      </w:r>
      <w:r w:rsidR="002127F6" w:rsidRPr="00FF65D6">
        <w:rPr>
          <w:lang w:val="fr-FR"/>
        </w:rPr>
        <w:t>’</w:t>
      </w:r>
      <w:r w:rsidRPr="00FF65D6">
        <w:rPr>
          <w:lang w:val="fr-FR"/>
        </w:rPr>
        <w:t>une culture juridique</w:t>
      </w:r>
      <w:r w:rsidR="005C1799" w:rsidRPr="005C1799">
        <w:rPr>
          <w:lang w:val="fr-FR"/>
        </w:rPr>
        <w:t>.</w:t>
      </w:r>
      <w:r w:rsidRPr="00FF65D6">
        <w:rPr>
          <w:lang w:val="fr-FR"/>
        </w:rPr>
        <w:t xml:space="preserve"> Pour sensibiliser les élèves aux droits de l</w:t>
      </w:r>
      <w:r w:rsidR="002127F6" w:rsidRPr="00FF65D6">
        <w:rPr>
          <w:lang w:val="fr-FR"/>
        </w:rPr>
        <w:t>’</w:t>
      </w:r>
      <w:r w:rsidRPr="00FF65D6">
        <w:rPr>
          <w:lang w:val="fr-FR"/>
        </w:rPr>
        <w:t>homme, un certain nombre de concours scolaires sont organisés périodiquement</w:t>
      </w:r>
      <w:r w:rsidR="005C1799" w:rsidRPr="005C1799">
        <w:rPr>
          <w:lang w:val="fr-FR"/>
        </w:rPr>
        <w:t>.</w:t>
      </w:r>
      <w:r w:rsidRPr="00FF65D6">
        <w:rPr>
          <w:lang w:val="fr-FR"/>
        </w:rPr>
        <w:t xml:space="preserve"> Ces concours ont pour principal objet d</w:t>
      </w:r>
      <w:r w:rsidR="002127F6" w:rsidRPr="00FF65D6">
        <w:rPr>
          <w:lang w:val="fr-FR"/>
        </w:rPr>
        <w:t>’</w:t>
      </w:r>
      <w:r w:rsidRPr="00FF65D6">
        <w:rPr>
          <w:lang w:val="fr-FR"/>
        </w:rPr>
        <w:t>encourager les élèves à faire part de leur vision et de leur attitude à l</w:t>
      </w:r>
      <w:r w:rsidR="002127F6" w:rsidRPr="00FF65D6">
        <w:rPr>
          <w:lang w:val="fr-FR"/>
        </w:rPr>
        <w:t>’</w:t>
      </w:r>
      <w:r w:rsidRPr="00FF65D6">
        <w:rPr>
          <w:lang w:val="fr-FR"/>
        </w:rPr>
        <w:t>égard, notamment, des questions relatives à la protection des droits de l</w:t>
      </w:r>
      <w:r w:rsidR="002127F6" w:rsidRPr="00FF65D6">
        <w:rPr>
          <w:lang w:val="fr-FR"/>
        </w:rPr>
        <w:t>’</w:t>
      </w:r>
      <w:r w:rsidRPr="00FF65D6">
        <w:rPr>
          <w:lang w:val="fr-FR"/>
        </w:rPr>
        <w:t>homme, à l</w:t>
      </w:r>
      <w:r w:rsidR="002127F6" w:rsidRPr="00FF65D6">
        <w:rPr>
          <w:lang w:val="fr-FR"/>
        </w:rPr>
        <w:t>’</w:t>
      </w:r>
      <w:r w:rsidRPr="00FF65D6">
        <w:rPr>
          <w:lang w:val="fr-FR"/>
        </w:rPr>
        <w:t>égalité femmes-hommes, à la lutte contre toute forme de violence, dont la traite, et aux risques découlant des mariages précoces</w:t>
      </w:r>
      <w:r w:rsidR="005C1799" w:rsidRPr="005C1799">
        <w:rPr>
          <w:lang w:val="fr-FR"/>
        </w:rPr>
        <w:t>.</w:t>
      </w:r>
    </w:p>
    <w:p w14:paraId="406B42A5" w14:textId="77777777" w:rsidR="005C5C6A" w:rsidRPr="00FF65D6" w:rsidRDefault="005C5C6A" w:rsidP="00F34341">
      <w:pPr>
        <w:pStyle w:val="SingleTxtG"/>
        <w:rPr>
          <w:lang w:val="fr-FR"/>
        </w:rPr>
      </w:pPr>
      <w:r w:rsidRPr="00FF65D6">
        <w:rPr>
          <w:lang w:val="fr-FR"/>
        </w:rPr>
        <w:t>61</w:t>
      </w:r>
      <w:r w:rsidR="005C1799" w:rsidRPr="005C1799">
        <w:rPr>
          <w:lang w:val="fr-FR"/>
        </w:rPr>
        <w:t>.</w:t>
      </w:r>
      <w:r w:rsidRPr="00FF65D6">
        <w:rPr>
          <w:lang w:val="fr-FR"/>
        </w:rPr>
        <w:tab/>
        <w:t>Une attention particulière est accordée à la sensibilisation des enfants et des jeunes aux menaces que représentent tous les types d</w:t>
      </w:r>
      <w:r w:rsidR="002127F6" w:rsidRPr="00FF65D6">
        <w:rPr>
          <w:lang w:val="fr-FR"/>
        </w:rPr>
        <w:t>’</w:t>
      </w:r>
      <w:r w:rsidRPr="00FF65D6">
        <w:rPr>
          <w:lang w:val="fr-FR"/>
        </w:rPr>
        <w:t>exploitation afin de prévenir la traite qui les cible</w:t>
      </w:r>
      <w:r w:rsidR="005C1799" w:rsidRPr="005C1799">
        <w:rPr>
          <w:lang w:val="fr-FR"/>
        </w:rPr>
        <w:t>.</w:t>
      </w:r>
      <w:r w:rsidRPr="00FF65D6">
        <w:rPr>
          <w:lang w:val="fr-FR"/>
        </w:rPr>
        <w:t xml:space="preserve"> Le Gouvernement géorgien accorde un rang de priorité élevé à la prévention de la traite, y compris l</w:t>
      </w:r>
      <w:r w:rsidR="002127F6" w:rsidRPr="00FF65D6">
        <w:rPr>
          <w:lang w:val="fr-FR"/>
        </w:rPr>
        <w:t>’</w:t>
      </w:r>
      <w:r w:rsidRPr="00FF65D6">
        <w:rPr>
          <w:lang w:val="fr-FR"/>
        </w:rPr>
        <w:t>exploitation sexuelle, en renforçant l</w:t>
      </w:r>
      <w:r w:rsidR="002127F6" w:rsidRPr="00FF65D6">
        <w:rPr>
          <w:lang w:val="fr-FR"/>
        </w:rPr>
        <w:t>’</w:t>
      </w:r>
      <w:r w:rsidRPr="00FF65D6">
        <w:rPr>
          <w:lang w:val="fr-FR"/>
        </w:rPr>
        <w:t>éducation dans l</w:t>
      </w:r>
      <w:r w:rsidR="002127F6" w:rsidRPr="00FF65D6">
        <w:rPr>
          <w:lang w:val="fr-FR"/>
        </w:rPr>
        <w:t>’</w:t>
      </w:r>
      <w:r w:rsidRPr="00FF65D6">
        <w:rPr>
          <w:lang w:val="fr-FR"/>
        </w:rPr>
        <w:t>enseignement secondaire</w:t>
      </w:r>
      <w:r w:rsidR="005C1799" w:rsidRPr="005C1799">
        <w:rPr>
          <w:lang w:val="fr-FR"/>
        </w:rPr>
        <w:t>.</w:t>
      </w:r>
      <w:r w:rsidRPr="00FF65D6">
        <w:rPr>
          <w:lang w:val="fr-FR"/>
        </w:rPr>
        <w:t xml:space="preserve"> À cet égard, les questions liées à l</w:t>
      </w:r>
      <w:r w:rsidR="002127F6" w:rsidRPr="00FF65D6">
        <w:rPr>
          <w:lang w:val="fr-FR"/>
        </w:rPr>
        <w:t>’</w:t>
      </w:r>
      <w:r w:rsidRPr="00FF65D6">
        <w:rPr>
          <w:lang w:val="fr-FR"/>
        </w:rPr>
        <w:t>exploitation sexuelle et du travail sont largement couvertes par le programme national d</w:t>
      </w:r>
      <w:r w:rsidR="002127F6" w:rsidRPr="00FF65D6">
        <w:rPr>
          <w:lang w:val="fr-FR"/>
        </w:rPr>
        <w:t>’</w:t>
      </w:r>
      <w:r w:rsidRPr="00FF65D6">
        <w:rPr>
          <w:lang w:val="fr-FR"/>
        </w:rPr>
        <w:t>enseignement pour les années 2011-2016</w:t>
      </w:r>
      <w:r w:rsidR="005C1799" w:rsidRPr="005C1799">
        <w:rPr>
          <w:lang w:val="fr-FR"/>
        </w:rPr>
        <w:t>.</w:t>
      </w:r>
      <w:r w:rsidRPr="00FF65D6">
        <w:rPr>
          <w:lang w:val="fr-FR"/>
        </w:rPr>
        <w:t xml:space="preserve"> Les questions liées à la traite sont un sujet abordé dans le cadre des sciences sociales </w:t>
      </w:r>
      <w:r w:rsidR="00291CB4" w:rsidRPr="00FF65D6">
        <w:rPr>
          <w:lang w:val="fr-FR"/>
        </w:rPr>
        <w:t>− </w:t>
      </w:r>
      <w:r w:rsidRPr="00FF65D6">
        <w:rPr>
          <w:lang w:val="fr-FR"/>
        </w:rPr>
        <w:t>éducation civique et histoire</w:t>
      </w:r>
      <w:r w:rsidR="005C1799" w:rsidRPr="005C1799">
        <w:rPr>
          <w:lang w:val="fr-FR"/>
        </w:rPr>
        <w:t>.</w:t>
      </w:r>
      <w:r w:rsidRPr="00FF65D6">
        <w:rPr>
          <w:lang w:val="fr-FR"/>
        </w:rPr>
        <w:t xml:space="preserve"> </w:t>
      </w:r>
    </w:p>
    <w:p w14:paraId="6DE88DDA" w14:textId="77777777" w:rsidR="005C5C6A" w:rsidRPr="00FF65D6" w:rsidRDefault="005C5C6A" w:rsidP="00F34341">
      <w:pPr>
        <w:pStyle w:val="SingleTxtG"/>
        <w:rPr>
          <w:lang w:val="fr-FR"/>
        </w:rPr>
      </w:pPr>
      <w:r w:rsidRPr="00FF65D6">
        <w:rPr>
          <w:lang w:val="fr-FR"/>
        </w:rPr>
        <w:t>62</w:t>
      </w:r>
      <w:r w:rsidR="005C1799" w:rsidRPr="005C1799">
        <w:rPr>
          <w:lang w:val="fr-FR"/>
        </w:rPr>
        <w:t>.</w:t>
      </w:r>
      <w:r w:rsidRPr="00FF65D6">
        <w:rPr>
          <w:lang w:val="fr-FR"/>
        </w:rPr>
        <w:tab/>
        <w:t>Pour renforcer la conscience civique des élèves en matière de droits de l</w:t>
      </w:r>
      <w:r w:rsidR="002127F6" w:rsidRPr="00FF65D6">
        <w:rPr>
          <w:lang w:val="fr-FR"/>
        </w:rPr>
        <w:t>’</w:t>
      </w:r>
      <w:r w:rsidRPr="00FF65D6">
        <w:rPr>
          <w:lang w:val="fr-FR"/>
        </w:rPr>
        <w:t>homme, le Ministère géorgien de l</w:t>
      </w:r>
      <w:r w:rsidR="002127F6" w:rsidRPr="00FF65D6">
        <w:rPr>
          <w:lang w:val="fr-FR"/>
        </w:rPr>
        <w:t>’</w:t>
      </w:r>
      <w:r w:rsidRPr="00FF65D6">
        <w:rPr>
          <w:lang w:val="fr-FR"/>
        </w:rPr>
        <w:t>éducation et des sciences, de concert avec d</w:t>
      </w:r>
      <w:r w:rsidR="002127F6" w:rsidRPr="00FF65D6">
        <w:rPr>
          <w:lang w:val="fr-FR"/>
        </w:rPr>
        <w:t>’</w:t>
      </w:r>
      <w:r w:rsidRPr="00FF65D6">
        <w:rPr>
          <w:lang w:val="fr-FR"/>
        </w:rPr>
        <w:t>autres entités, met en œuvre des projets d</w:t>
      </w:r>
      <w:r w:rsidR="002127F6" w:rsidRPr="00FF65D6">
        <w:rPr>
          <w:lang w:val="fr-FR"/>
        </w:rPr>
        <w:t>’</w:t>
      </w:r>
      <w:r w:rsidRPr="00FF65D6">
        <w:rPr>
          <w:lang w:val="fr-FR"/>
        </w:rPr>
        <w:t>éducation non formelle, notamment un programme d</w:t>
      </w:r>
      <w:r w:rsidR="002127F6" w:rsidRPr="00FF65D6">
        <w:rPr>
          <w:lang w:val="fr-FR"/>
        </w:rPr>
        <w:t>’</w:t>
      </w:r>
      <w:r w:rsidRPr="00FF65D6">
        <w:rPr>
          <w:lang w:val="fr-FR"/>
        </w:rPr>
        <w:t>éducation civique, un programme d</w:t>
      </w:r>
      <w:r w:rsidR="002127F6" w:rsidRPr="00FF65D6">
        <w:rPr>
          <w:lang w:val="fr-FR"/>
        </w:rPr>
        <w:t>’</w:t>
      </w:r>
      <w:r w:rsidRPr="00FF65D6">
        <w:rPr>
          <w:lang w:val="fr-FR"/>
        </w:rPr>
        <w:t>éducation au droit en Géorgie et un programme sur les droits de l</w:t>
      </w:r>
      <w:r w:rsidR="002127F6" w:rsidRPr="00FF65D6">
        <w:rPr>
          <w:lang w:val="fr-FR"/>
        </w:rPr>
        <w:t>’</w:t>
      </w:r>
      <w:r w:rsidRPr="00FF65D6">
        <w:rPr>
          <w:lang w:val="fr-FR"/>
        </w:rPr>
        <w:t>enfant</w:t>
      </w:r>
      <w:r w:rsidR="005C1799" w:rsidRPr="005C1799">
        <w:rPr>
          <w:lang w:val="fr-FR"/>
        </w:rPr>
        <w:t>.</w:t>
      </w:r>
      <w:r w:rsidRPr="00FF65D6">
        <w:rPr>
          <w:lang w:val="fr-FR"/>
        </w:rPr>
        <w:t xml:space="preserve"> Des clubs d</w:t>
      </w:r>
      <w:r w:rsidR="002127F6" w:rsidRPr="00FF65D6">
        <w:rPr>
          <w:lang w:val="fr-FR"/>
        </w:rPr>
        <w:t>’</w:t>
      </w:r>
      <w:r w:rsidRPr="00FF65D6">
        <w:rPr>
          <w:lang w:val="fr-FR"/>
        </w:rPr>
        <w:t>éducation civique sont en activité dans plus d</w:t>
      </w:r>
      <w:r w:rsidR="002127F6" w:rsidRPr="00FF65D6">
        <w:rPr>
          <w:lang w:val="fr-FR"/>
        </w:rPr>
        <w:t>’</w:t>
      </w:r>
      <w:r w:rsidRPr="00FF65D6">
        <w:rPr>
          <w:lang w:val="fr-FR"/>
        </w:rPr>
        <w:t>un millier d</w:t>
      </w:r>
      <w:r w:rsidR="002127F6" w:rsidRPr="00FF65D6">
        <w:rPr>
          <w:lang w:val="fr-FR"/>
        </w:rPr>
        <w:t>’</w:t>
      </w:r>
      <w:r w:rsidRPr="00FF65D6">
        <w:rPr>
          <w:lang w:val="fr-FR"/>
        </w:rPr>
        <w:t>écoles, dans lesquels les élèves discutent sur les questions touchant notamment aux droits de l</w:t>
      </w:r>
      <w:r w:rsidR="002127F6" w:rsidRPr="00FF65D6">
        <w:rPr>
          <w:lang w:val="fr-FR"/>
        </w:rPr>
        <w:t>’</w:t>
      </w:r>
      <w:r w:rsidRPr="00FF65D6">
        <w:rPr>
          <w:lang w:val="fr-FR"/>
        </w:rPr>
        <w:t>enfant et aux moyens de lutter contre la violence</w:t>
      </w:r>
      <w:r w:rsidR="005C1799" w:rsidRPr="005C1799">
        <w:rPr>
          <w:lang w:val="fr-FR"/>
        </w:rPr>
        <w:t>.</w:t>
      </w:r>
    </w:p>
    <w:p w14:paraId="0D96E334" w14:textId="77777777" w:rsidR="005C5C6A" w:rsidRPr="00FF65D6" w:rsidRDefault="005C5C6A" w:rsidP="00006F64">
      <w:pPr>
        <w:pStyle w:val="SingleTxtG"/>
        <w:spacing w:line="230" w:lineRule="atLeast"/>
        <w:rPr>
          <w:lang w:val="fr-FR"/>
        </w:rPr>
      </w:pPr>
      <w:r w:rsidRPr="00FF65D6">
        <w:rPr>
          <w:lang w:val="fr-FR"/>
        </w:rPr>
        <w:t>63</w:t>
      </w:r>
      <w:r w:rsidR="005C1799" w:rsidRPr="005C1799">
        <w:rPr>
          <w:lang w:val="fr-FR"/>
        </w:rPr>
        <w:t>.</w:t>
      </w:r>
      <w:r w:rsidRPr="00FF65D6">
        <w:rPr>
          <w:lang w:val="fr-FR"/>
        </w:rPr>
        <w:tab/>
        <w:t>Les parents ont un rôle spécial à jouer dans la lutte contre la violence et les agressions qui ciblent les enfants</w:t>
      </w:r>
      <w:r w:rsidR="005C1799" w:rsidRPr="005C1799">
        <w:rPr>
          <w:lang w:val="fr-FR"/>
        </w:rPr>
        <w:t>.</w:t>
      </w:r>
      <w:r w:rsidRPr="00FF65D6">
        <w:rPr>
          <w:lang w:val="fr-FR"/>
        </w:rPr>
        <w:t xml:space="preserve"> Le Ministère de l</w:t>
      </w:r>
      <w:r w:rsidR="002127F6" w:rsidRPr="00FF65D6">
        <w:rPr>
          <w:lang w:val="fr-FR"/>
        </w:rPr>
        <w:t>’</w:t>
      </w:r>
      <w:r w:rsidRPr="00FF65D6">
        <w:rPr>
          <w:lang w:val="fr-FR"/>
        </w:rPr>
        <w:t>éducation et des sciences met en œuvre le « Programme relatif à l</w:t>
      </w:r>
      <w:r w:rsidR="002127F6" w:rsidRPr="00FF65D6">
        <w:rPr>
          <w:lang w:val="fr-FR"/>
        </w:rPr>
        <w:t>’</w:t>
      </w:r>
      <w:r w:rsidRPr="00FF65D6">
        <w:rPr>
          <w:lang w:val="fr-FR"/>
        </w:rPr>
        <w:t>éducation et à l</w:t>
      </w:r>
      <w:r w:rsidR="002127F6" w:rsidRPr="00FF65D6">
        <w:rPr>
          <w:lang w:val="fr-FR"/>
        </w:rPr>
        <w:t>’</w:t>
      </w:r>
      <w:r w:rsidRPr="00FF65D6">
        <w:rPr>
          <w:lang w:val="fr-FR"/>
        </w:rPr>
        <w:t>engagement des parents », qui vise à informer les parents des risques juridiques et sanitaires que posent les mariages précoces en organisant périodiquement des réunions et des conférences publiques à l</w:t>
      </w:r>
      <w:r w:rsidR="002127F6" w:rsidRPr="00FF65D6">
        <w:rPr>
          <w:lang w:val="fr-FR"/>
        </w:rPr>
        <w:t>’</w:t>
      </w:r>
      <w:r w:rsidRPr="00FF65D6">
        <w:rPr>
          <w:lang w:val="fr-FR"/>
        </w:rPr>
        <w:t>intention des parents qui vivent dans les régions géorgiennes où les taux de mariage précoce les plus élevés sont enregistrés</w:t>
      </w:r>
      <w:r w:rsidR="005C1799" w:rsidRPr="005C1799">
        <w:rPr>
          <w:lang w:val="fr-FR"/>
        </w:rPr>
        <w:t>.</w:t>
      </w:r>
      <w:r w:rsidRPr="00FF65D6">
        <w:rPr>
          <w:lang w:val="fr-FR"/>
        </w:rPr>
        <w:t xml:space="preserve"> De même, dans l</w:t>
      </w:r>
      <w:r w:rsidR="002127F6" w:rsidRPr="00FF65D6">
        <w:rPr>
          <w:lang w:val="fr-FR"/>
        </w:rPr>
        <w:t>’</w:t>
      </w:r>
      <w:r w:rsidRPr="00FF65D6">
        <w:rPr>
          <w:lang w:val="fr-FR"/>
        </w:rPr>
        <w:t>éducation générale, un large éventail d</w:t>
      </w:r>
      <w:r w:rsidR="002127F6" w:rsidRPr="00FF65D6">
        <w:rPr>
          <w:lang w:val="fr-FR"/>
        </w:rPr>
        <w:t>’</w:t>
      </w:r>
      <w:r w:rsidRPr="00FF65D6">
        <w:rPr>
          <w:lang w:val="fr-FR"/>
        </w:rPr>
        <w:t>activités dans le secteur de la formation professionnelle ont été menées en 2015 et 2016 avec l</w:t>
      </w:r>
      <w:r w:rsidR="002127F6" w:rsidRPr="00FF65D6">
        <w:rPr>
          <w:lang w:val="fr-FR"/>
        </w:rPr>
        <w:t>’</w:t>
      </w:r>
      <w:r w:rsidRPr="00FF65D6">
        <w:rPr>
          <w:lang w:val="fr-FR"/>
        </w:rPr>
        <w:t>appui de différentes organisations internationales et organisations non gouvernementales locales dans le but de familiariser les étudiants avec les menaces que représente la traite et les mesures préventives connexes, les mariages précoces, les modes de vie sains et les migrations sans danger</w:t>
      </w:r>
      <w:r w:rsidR="005C1799" w:rsidRPr="005C1799">
        <w:rPr>
          <w:lang w:val="fr-FR"/>
        </w:rPr>
        <w:t>.</w:t>
      </w:r>
    </w:p>
    <w:p w14:paraId="7096F0DE" w14:textId="77777777" w:rsidR="005C5C6A" w:rsidRPr="00FF65D6" w:rsidRDefault="005C5C6A" w:rsidP="00006F64">
      <w:pPr>
        <w:pStyle w:val="SingleTxtG"/>
        <w:spacing w:line="230" w:lineRule="atLeast"/>
        <w:rPr>
          <w:lang w:val="fr-FR"/>
        </w:rPr>
      </w:pPr>
      <w:r w:rsidRPr="00FF65D6">
        <w:rPr>
          <w:lang w:val="fr-FR"/>
        </w:rPr>
        <w:t>64</w:t>
      </w:r>
      <w:r w:rsidR="005C1799" w:rsidRPr="005C1799">
        <w:rPr>
          <w:lang w:val="fr-FR"/>
        </w:rPr>
        <w:t>.</w:t>
      </w:r>
      <w:r w:rsidRPr="00FF65D6">
        <w:rPr>
          <w:lang w:val="fr-FR"/>
        </w:rPr>
        <w:tab/>
        <w:t>Conformément à la politique stratégique globale du Ministère de l</w:t>
      </w:r>
      <w:r w:rsidR="002127F6" w:rsidRPr="00FF65D6">
        <w:rPr>
          <w:lang w:val="fr-FR"/>
        </w:rPr>
        <w:t>’</w:t>
      </w:r>
      <w:r w:rsidRPr="00FF65D6">
        <w:rPr>
          <w:lang w:val="fr-FR"/>
        </w:rPr>
        <w:t>éducation et des sciences, toutes les formations à l</w:t>
      </w:r>
      <w:r w:rsidR="002127F6" w:rsidRPr="00FF65D6">
        <w:rPr>
          <w:lang w:val="fr-FR"/>
        </w:rPr>
        <w:t>’</w:t>
      </w:r>
      <w:r w:rsidRPr="00FF65D6">
        <w:rPr>
          <w:lang w:val="fr-FR"/>
        </w:rPr>
        <w:t>intention de l</w:t>
      </w:r>
      <w:r w:rsidR="002127F6" w:rsidRPr="00FF65D6">
        <w:rPr>
          <w:lang w:val="fr-FR"/>
        </w:rPr>
        <w:t>’</w:t>
      </w:r>
      <w:r w:rsidRPr="00FF65D6">
        <w:rPr>
          <w:lang w:val="fr-FR"/>
        </w:rPr>
        <w:t>administration scolaire et des enseignants doivent inclure un module distinct ou des thèmes transversaux sur l</w:t>
      </w:r>
      <w:r w:rsidR="002127F6" w:rsidRPr="00FF65D6">
        <w:rPr>
          <w:lang w:val="fr-FR"/>
        </w:rPr>
        <w:t>’</w:t>
      </w:r>
      <w:r w:rsidRPr="00FF65D6">
        <w:rPr>
          <w:lang w:val="fr-FR"/>
        </w:rPr>
        <w:t>éducation civique et, les questions relatives à l</w:t>
      </w:r>
      <w:r w:rsidR="002127F6" w:rsidRPr="00FF65D6">
        <w:rPr>
          <w:lang w:val="fr-FR"/>
        </w:rPr>
        <w:t>’</w:t>
      </w:r>
      <w:r w:rsidRPr="00FF65D6">
        <w:rPr>
          <w:lang w:val="fr-FR"/>
        </w:rPr>
        <w:t>élimination de toutes les formes de violence, à la discrimination, à la traite des êtres humains et à la protection des droits de l</w:t>
      </w:r>
      <w:r w:rsidR="002127F6" w:rsidRPr="00FF65D6">
        <w:rPr>
          <w:lang w:val="fr-FR"/>
        </w:rPr>
        <w:t>’</w:t>
      </w:r>
      <w:r w:rsidRPr="00FF65D6">
        <w:rPr>
          <w:lang w:val="fr-FR"/>
        </w:rPr>
        <w:t>enfant</w:t>
      </w:r>
      <w:r w:rsidR="005C1799" w:rsidRPr="005C1799">
        <w:rPr>
          <w:lang w:val="fr-FR"/>
        </w:rPr>
        <w:t>.</w:t>
      </w:r>
    </w:p>
    <w:p w14:paraId="69A37094" w14:textId="77777777" w:rsidR="005C5C6A" w:rsidRPr="00FF65D6" w:rsidRDefault="005C5C6A" w:rsidP="00006F64">
      <w:pPr>
        <w:pStyle w:val="SingleTxtG"/>
        <w:spacing w:line="230" w:lineRule="atLeast"/>
        <w:rPr>
          <w:lang w:val="fr-FR"/>
        </w:rPr>
      </w:pPr>
      <w:r w:rsidRPr="00FF65D6">
        <w:rPr>
          <w:lang w:val="fr-FR"/>
        </w:rPr>
        <w:t>65</w:t>
      </w:r>
      <w:r w:rsidR="005C1799" w:rsidRPr="005C1799">
        <w:rPr>
          <w:lang w:val="fr-FR"/>
        </w:rPr>
        <w:t>.</w:t>
      </w:r>
      <w:r w:rsidRPr="00FF65D6">
        <w:rPr>
          <w:lang w:val="fr-FR"/>
        </w:rPr>
        <w:tab/>
        <w:t>Le Centre national pour le développement professionnel des enseignants, qui relève du Ministère de l</w:t>
      </w:r>
      <w:r w:rsidR="002127F6" w:rsidRPr="00FF65D6">
        <w:rPr>
          <w:lang w:val="fr-FR"/>
        </w:rPr>
        <w:t>’</w:t>
      </w:r>
      <w:r w:rsidRPr="00FF65D6">
        <w:rPr>
          <w:lang w:val="fr-FR"/>
        </w:rPr>
        <w:t>éducation et des sciences, organise régulièrement des formations visant à améliorer les compétences professionnelles des enseignants dans le domaine des mariages précoces ou forcés, ainsi que sur les questions liées notamment à la violence familiale, à la violence contre les femmes, à la sensibilisation à l</w:t>
      </w:r>
      <w:r w:rsidR="002127F6" w:rsidRPr="00FF65D6">
        <w:rPr>
          <w:lang w:val="fr-FR"/>
        </w:rPr>
        <w:t>’</w:t>
      </w:r>
      <w:r w:rsidRPr="00FF65D6">
        <w:rPr>
          <w:lang w:val="fr-FR"/>
        </w:rPr>
        <w:t>égalité des sexes à l</w:t>
      </w:r>
      <w:r w:rsidR="002127F6" w:rsidRPr="00FF65D6">
        <w:rPr>
          <w:lang w:val="fr-FR"/>
        </w:rPr>
        <w:t>’</w:t>
      </w:r>
      <w:r w:rsidRPr="00FF65D6">
        <w:rPr>
          <w:lang w:val="fr-FR"/>
        </w:rPr>
        <w:t>école et à la violence des enfants</w:t>
      </w:r>
      <w:r w:rsidR="005C1799" w:rsidRPr="005C1799">
        <w:rPr>
          <w:lang w:val="fr-FR"/>
        </w:rPr>
        <w:t>.</w:t>
      </w:r>
      <w:r w:rsidRPr="00FF65D6">
        <w:rPr>
          <w:lang w:val="fr-FR"/>
        </w:rPr>
        <w:t xml:space="preserve"> Plus précisément, le Centre fournit un module de formation à l</w:t>
      </w:r>
      <w:r w:rsidR="002127F6" w:rsidRPr="00FF65D6">
        <w:rPr>
          <w:lang w:val="fr-FR"/>
        </w:rPr>
        <w:t>’</w:t>
      </w:r>
      <w:r w:rsidRPr="00FF65D6">
        <w:rPr>
          <w:lang w:val="fr-FR"/>
        </w:rPr>
        <w:t>éducation civique, intitulé «</w:t>
      </w:r>
      <w:r w:rsidR="00291CB4" w:rsidRPr="00FF65D6">
        <w:rPr>
          <w:lang w:val="fr-FR"/>
        </w:rPr>
        <w:t> </w:t>
      </w:r>
      <w:r w:rsidRPr="00FF65D6">
        <w:rPr>
          <w:lang w:val="fr-FR"/>
        </w:rPr>
        <w:t>méthodes pédagogiques d</w:t>
      </w:r>
      <w:r w:rsidR="002127F6" w:rsidRPr="00FF65D6">
        <w:rPr>
          <w:lang w:val="fr-FR"/>
        </w:rPr>
        <w:t>’</w:t>
      </w:r>
      <w:r w:rsidRPr="00FF65D6">
        <w:rPr>
          <w:lang w:val="fr-FR"/>
        </w:rPr>
        <w:t>éducation civique</w:t>
      </w:r>
      <w:r w:rsidR="00291CB4" w:rsidRPr="00FF65D6">
        <w:rPr>
          <w:lang w:val="fr-FR"/>
        </w:rPr>
        <w:t> </w:t>
      </w:r>
      <w:r w:rsidRPr="00FF65D6">
        <w:rPr>
          <w:lang w:val="fr-FR"/>
        </w:rPr>
        <w:t>»</w:t>
      </w:r>
      <w:r w:rsidR="005C1799" w:rsidRPr="005C1799">
        <w:rPr>
          <w:lang w:val="fr-FR"/>
        </w:rPr>
        <w:t>.</w:t>
      </w:r>
      <w:r w:rsidRPr="00FF65D6">
        <w:rPr>
          <w:lang w:val="fr-FR"/>
        </w:rPr>
        <w:t xml:space="preserve"> En outre, le module de formation intitulé «</w:t>
      </w:r>
      <w:r w:rsidR="00291CB4" w:rsidRPr="00FF65D6">
        <w:rPr>
          <w:lang w:val="fr-FR"/>
        </w:rPr>
        <w:t> </w:t>
      </w:r>
      <w:r w:rsidRPr="00FF65D6">
        <w:rPr>
          <w:lang w:val="fr-FR"/>
        </w:rPr>
        <w:t>méthodes pour enseigner l</w:t>
      </w:r>
      <w:r w:rsidR="002127F6" w:rsidRPr="00FF65D6">
        <w:rPr>
          <w:lang w:val="fr-FR"/>
        </w:rPr>
        <w:t>’</w:t>
      </w:r>
      <w:r w:rsidRPr="00FF65D6">
        <w:rPr>
          <w:lang w:val="fr-FR"/>
        </w:rPr>
        <w:t>éducation civique à l</w:t>
      </w:r>
      <w:r w:rsidR="002127F6" w:rsidRPr="00FF65D6">
        <w:rPr>
          <w:lang w:val="fr-FR"/>
        </w:rPr>
        <w:t>’</w:t>
      </w:r>
      <w:r w:rsidRPr="00FF65D6">
        <w:rPr>
          <w:lang w:val="fr-FR"/>
        </w:rPr>
        <w:t>intention des instituteurs non géorgiens</w:t>
      </w:r>
      <w:r w:rsidR="00291CB4" w:rsidRPr="00FF65D6">
        <w:rPr>
          <w:lang w:val="fr-FR"/>
        </w:rPr>
        <w:t> </w:t>
      </w:r>
      <w:r w:rsidRPr="00FF65D6">
        <w:rPr>
          <w:lang w:val="fr-FR"/>
        </w:rPr>
        <w:t>» a été élaboré en 2015 et est en cours de traduction en arménien, en azéri et en russe</w:t>
      </w:r>
      <w:r w:rsidR="005C1799" w:rsidRPr="005C1799">
        <w:rPr>
          <w:lang w:val="fr-FR"/>
        </w:rPr>
        <w:t>.</w:t>
      </w:r>
      <w:r w:rsidRPr="00FF65D6">
        <w:rPr>
          <w:lang w:val="fr-FR"/>
        </w:rPr>
        <w:t xml:space="preserve"> Les formations n</w:t>
      </w:r>
      <w:r w:rsidR="002127F6" w:rsidRPr="00FF65D6">
        <w:rPr>
          <w:lang w:val="fr-FR"/>
        </w:rPr>
        <w:t>’</w:t>
      </w:r>
      <w:r w:rsidRPr="00FF65D6">
        <w:rPr>
          <w:lang w:val="fr-FR"/>
        </w:rPr>
        <w:t>ont pas encore été dispensées</w:t>
      </w:r>
      <w:r w:rsidR="005C1799" w:rsidRPr="005C1799">
        <w:rPr>
          <w:lang w:val="fr-FR"/>
        </w:rPr>
        <w:t>.</w:t>
      </w:r>
    </w:p>
    <w:p w14:paraId="3E22C864" w14:textId="77777777" w:rsidR="005C5C6A" w:rsidRPr="00FF65D6" w:rsidRDefault="005C5C6A" w:rsidP="00006F64">
      <w:pPr>
        <w:pStyle w:val="SingleTxtG"/>
        <w:spacing w:line="230" w:lineRule="atLeast"/>
        <w:rPr>
          <w:lang w:val="fr-FR"/>
        </w:rPr>
      </w:pPr>
      <w:r w:rsidRPr="00FF65D6">
        <w:rPr>
          <w:lang w:val="fr-FR"/>
        </w:rPr>
        <w:t>66</w:t>
      </w:r>
      <w:r w:rsidR="005C1799" w:rsidRPr="005C1799">
        <w:rPr>
          <w:lang w:val="fr-FR"/>
        </w:rPr>
        <w:t>.</w:t>
      </w:r>
      <w:r w:rsidRPr="00FF65D6">
        <w:rPr>
          <w:lang w:val="fr-FR"/>
        </w:rPr>
        <w:tab/>
        <w:t>Le Centre participe en tant que partenaire au projet commun de l</w:t>
      </w:r>
      <w:r w:rsidR="002127F6" w:rsidRPr="00FF65D6">
        <w:rPr>
          <w:lang w:val="fr-FR"/>
        </w:rPr>
        <w:t>’</w:t>
      </w:r>
      <w:r w:rsidRPr="00FF65D6">
        <w:rPr>
          <w:lang w:val="fr-FR"/>
        </w:rPr>
        <w:t>Union européenne et du Conseil de l</w:t>
      </w:r>
      <w:r w:rsidR="002127F6" w:rsidRPr="00FF65D6">
        <w:rPr>
          <w:lang w:val="fr-FR"/>
        </w:rPr>
        <w:t>’</w:t>
      </w:r>
      <w:r w:rsidRPr="00FF65D6">
        <w:rPr>
          <w:lang w:val="fr-FR"/>
        </w:rPr>
        <w:t>Europe intitulé «</w:t>
      </w:r>
      <w:r w:rsidR="00291CB4" w:rsidRPr="00FF65D6">
        <w:rPr>
          <w:lang w:val="fr-FR"/>
        </w:rPr>
        <w:t> </w:t>
      </w:r>
      <w:r w:rsidRPr="00FF65D6">
        <w:rPr>
          <w:lang w:val="fr-FR"/>
        </w:rPr>
        <w:t>Promouvoir l</w:t>
      </w:r>
      <w:r w:rsidR="002127F6" w:rsidRPr="00FF65D6">
        <w:rPr>
          <w:lang w:val="fr-FR"/>
        </w:rPr>
        <w:t>’</w:t>
      </w:r>
      <w:r w:rsidRPr="00FF65D6">
        <w:rPr>
          <w:lang w:val="fr-FR"/>
        </w:rPr>
        <w:t>éducation aux droits de l</w:t>
      </w:r>
      <w:r w:rsidR="002127F6" w:rsidRPr="00FF65D6">
        <w:rPr>
          <w:lang w:val="fr-FR"/>
        </w:rPr>
        <w:t>’</w:t>
      </w:r>
      <w:r w:rsidRPr="00FF65D6">
        <w:rPr>
          <w:lang w:val="fr-FR"/>
        </w:rPr>
        <w:t>homme et la citoyenneté démocratique dans les pays du Partenariat oriental</w:t>
      </w:r>
      <w:r w:rsidR="00291CB4" w:rsidRPr="00FF65D6">
        <w:rPr>
          <w:lang w:val="fr-FR"/>
        </w:rPr>
        <w:t> </w:t>
      </w:r>
      <w:r w:rsidRPr="00FF65D6">
        <w:rPr>
          <w:lang w:val="fr-FR"/>
        </w:rPr>
        <w:t>», qui vise à aider les universités et les écoles à développer les compétences en matière d</w:t>
      </w:r>
      <w:r w:rsidR="002127F6" w:rsidRPr="00FF65D6">
        <w:rPr>
          <w:lang w:val="fr-FR"/>
        </w:rPr>
        <w:t>’</w:t>
      </w:r>
      <w:r w:rsidRPr="00FF65D6">
        <w:rPr>
          <w:lang w:val="fr-FR"/>
        </w:rPr>
        <w:t>éducation à la citoyenneté démocratique et aux droits de l</w:t>
      </w:r>
      <w:r w:rsidR="002127F6" w:rsidRPr="00FF65D6">
        <w:rPr>
          <w:lang w:val="fr-FR"/>
        </w:rPr>
        <w:t>’</w:t>
      </w:r>
      <w:r w:rsidRPr="00FF65D6">
        <w:rPr>
          <w:lang w:val="fr-FR"/>
        </w:rPr>
        <w:t>homme</w:t>
      </w:r>
      <w:r w:rsidR="005C1799" w:rsidRPr="005C1799">
        <w:rPr>
          <w:lang w:val="fr-FR"/>
        </w:rPr>
        <w:t>.</w:t>
      </w:r>
    </w:p>
    <w:p w14:paraId="576E6A03" w14:textId="77777777" w:rsidR="005C5C6A" w:rsidRPr="00FF65D6" w:rsidRDefault="005C5C6A" w:rsidP="00006F64">
      <w:pPr>
        <w:pStyle w:val="SingleTxtG"/>
        <w:spacing w:line="230" w:lineRule="atLeast"/>
        <w:rPr>
          <w:lang w:val="fr-FR"/>
        </w:rPr>
      </w:pPr>
      <w:r w:rsidRPr="00FF65D6">
        <w:rPr>
          <w:lang w:val="fr-FR"/>
        </w:rPr>
        <w:t>67</w:t>
      </w:r>
      <w:r w:rsidR="005C1799" w:rsidRPr="005C1799">
        <w:rPr>
          <w:lang w:val="fr-FR"/>
        </w:rPr>
        <w:t>.</w:t>
      </w:r>
      <w:r w:rsidRPr="00FF65D6">
        <w:rPr>
          <w:lang w:val="fr-FR"/>
        </w:rPr>
        <w:tab/>
        <w:t>Le Centre participe conjointement avec le FNUAP à un groupe de travail sur le développement d</w:t>
      </w:r>
      <w:r w:rsidR="002127F6" w:rsidRPr="00FF65D6">
        <w:rPr>
          <w:lang w:val="fr-FR"/>
        </w:rPr>
        <w:t>’</w:t>
      </w:r>
      <w:r w:rsidRPr="00FF65D6">
        <w:rPr>
          <w:lang w:val="fr-FR"/>
        </w:rPr>
        <w:t>une norme intersectorielle «</w:t>
      </w:r>
      <w:r w:rsidR="00B06C8A" w:rsidRPr="00FF65D6">
        <w:rPr>
          <w:lang w:val="fr-FR"/>
        </w:rPr>
        <w:t> </w:t>
      </w:r>
      <w:r w:rsidRPr="00FF65D6">
        <w:rPr>
          <w:lang w:val="fr-FR"/>
        </w:rPr>
        <w:t>sur la santé en matière de procréation et les modes de vie sains</w:t>
      </w:r>
      <w:r w:rsidR="00B06C8A" w:rsidRPr="00FF65D6">
        <w:rPr>
          <w:lang w:val="fr-FR"/>
        </w:rPr>
        <w:t> </w:t>
      </w:r>
      <w:r w:rsidRPr="00FF65D6">
        <w:rPr>
          <w:lang w:val="fr-FR"/>
        </w:rPr>
        <w:t>»</w:t>
      </w:r>
      <w:r w:rsidR="005C1799" w:rsidRPr="005C1799">
        <w:rPr>
          <w:lang w:val="fr-FR"/>
        </w:rPr>
        <w:t>.</w:t>
      </w:r>
      <w:r w:rsidRPr="00FF65D6">
        <w:rPr>
          <w:lang w:val="fr-FR"/>
        </w:rPr>
        <w:t xml:space="preserve"> La norme a été établie et adoptée en 2016</w:t>
      </w:r>
      <w:r w:rsidR="005C1799" w:rsidRPr="005C1799">
        <w:rPr>
          <w:lang w:val="fr-FR"/>
        </w:rPr>
        <w:t>.</w:t>
      </w:r>
      <w:r w:rsidRPr="00FF65D6">
        <w:rPr>
          <w:lang w:val="fr-FR"/>
        </w:rPr>
        <w:t xml:space="preserve"> L</w:t>
      </w:r>
      <w:r w:rsidR="002127F6" w:rsidRPr="00FF65D6">
        <w:rPr>
          <w:lang w:val="fr-FR"/>
        </w:rPr>
        <w:t>’</w:t>
      </w:r>
      <w:r w:rsidRPr="00FF65D6">
        <w:rPr>
          <w:lang w:val="fr-FR"/>
        </w:rPr>
        <w:t>un des thèmes de la norme traite des aspects négatifs et de la prévention des mariages précoces</w:t>
      </w:r>
      <w:r w:rsidR="005C1799" w:rsidRPr="005C1799">
        <w:rPr>
          <w:lang w:val="fr-FR"/>
        </w:rPr>
        <w:t>.</w:t>
      </w:r>
      <w:r w:rsidRPr="00FF65D6">
        <w:rPr>
          <w:lang w:val="fr-FR"/>
        </w:rPr>
        <w:t xml:space="preserve"> </w:t>
      </w:r>
    </w:p>
    <w:p w14:paraId="41E5CC15" w14:textId="77777777" w:rsidR="005C5C6A" w:rsidRPr="00FF65D6" w:rsidRDefault="005C5C6A" w:rsidP="00006F64">
      <w:pPr>
        <w:pStyle w:val="SingleTxtG"/>
        <w:spacing w:line="230" w:lineRule="atLeast"/>
        <w:rPr>
          <w:lang w:val="fr-FR"/>
        </w:rPr>
      </w:pPr>
      <w:r w:rsidRPr="00FF65D6">
        <w:rPr>
          <w:lang w:val="fr-FR"/>
        </w:rPr>
        <w:t>68</w:t>
      </w:r>
      <w:r w:rsidR="005C1799" w:rsidRPr="005C1799">
        <w:rPr>
          <w:lang w:val="fr-FR"/>
        </w:rPr>
        <w:t>.</w:t>
      </w:r>
      <w:r w:rsidRPr="00FF65D6">
        <w:rPr>
          <w:lang w:val="fr-FR"/>
        </w:rPr>
        <w:tab/>
        <w:t>En outre, le Centre travaille actuellement à l</w:t>
      </w:r>
      <w:r w:rsidR="002127F6" w:rsidRPr="00FF65D6">
        <w:rPr>
          <w:lang w:val="fr-FR"/>
        </w:rPr>
        <w:t>’</w:t>
      </w:r>
      <w:r w:rsidRPr="00FF65D6">
        <w:rPr>
          <w:lang w:val="fr-FR"/>
        </w:rPr>
        <w:t>élaboration d</w:t>
      </w:r>
      <w:r w:rsidR="002127F6" w:rsidRPr="00FF65D6">
        <w:rPr>
          <w:lang w:val="fr-FR"/>
        </w:rPr>
        <w:t>’</w:t>
      </w:r>
      <w:r w:rsidRPr="00FF65D6">
        <w:rPr>
          <w:lang w:val="fr-FR"/>
        </w:rPr>
        <w:t>un module de formation destiné aux enseignants chargés de l</w:t>
      </w:r>
      <w:r w:rsidR="002127F6" w:rsidRPr="00FF65D6">
        <w:rPr>
          <w:lang w:val="fr-FR"/>
        </w:rPr>
        <w:t>’</w:t>
      </w:r>
      <w:r w:rsidRPr="00FF65D6">
        <w:rPr>
          <w:lang w:val="fr-FR"/>
        </w:rPr>
        <w:t>éducation civique, intitulé « Prévention de la traite »</w:t>
      </w:r>
      <w:r w:rsidR="005C1799" w:rsidRPr="005C1799">
        <w:rPr>
          <w:lang w:val="fr-FR"/>
        </w:rPr>
        <w:t>.</w:t>
      </w:r>
      <w:r w:rsidRPr="00FF65D6">
        <w:rPr>
          <w:lang w:val="fr-FR"/>
        </w:rPr>
        <w:t xml:space="preserve"> Le module couvrira les questions relatives à la traite des enfants</w:t>
      </w:r>
      <w:r w:rsidR="005C1799" w:rsidRPr="005C1799">
        <w:rPr>
          <w:lang w:val="fr-FR"/>
        </w:rPr>
        <w:t>.</w:t>
      </w:r>
    </w:p>
    <w:p w14:paraId="27D3170D" w14:textId="77777777" w:rsidR="005C5C6A" w:rsidRPr="00FF65D6" w:rsidRDefault="005C5C6A" w:rsidP="00006F64">
      <w:pPr>
        <w:pStyle w:val="SingleTxtG"/>
        <w:spacing w:line="230" w:lineRule="atLeast"/>
        <w:rPr>
          <w:lang w:val="fr-FR"/>
        </w:rPr>
      </w:pPr>
      <w:r w:rsidRPr="00FF65D6">
        <w:rPr>
          <w:lang w:val="fr-FR"/>
        </w:rPr>
        <w:t>69</w:t>
      </w:r>
      <w:r w:rsidR="005C1799" w:rsidRPr="005C1799">
        <w:rPr>
          <w:lang w:val="fr-FR"/>
        </w:rPr>
        <w:t>.</w:t>
      </w:r>
      <w:r w:rsidRPr="00FF65D6">
        <w:rPr>
          <w:lang w:val="fr-FR"/>
        </w:rPr>
        <w:tab/>
        <w:t>En 2016, afin d</w:t>
      </w:r>
      <w:r w:rsidR="002127F6" w:rsidRPr="00FF65D6">
        <w:rPr>
          <w:lang w:val="fr-FR"/>
        </w:rPr>
        <w:t>’</w:t>
      </w:r>
      <w:r w:rsidRPr="00FF65D6">
        <w:rPr>
          <w:lang w:val="fr-FR"/>
        </w:rPr>
        <w:t>améliorer les qualifications des directeurs d</w:t>
      </w:r>
      <w:r w:rsidR="002127F6" w:rsidRPr="00FF65D6">
        <w:rPr>
          <w:lang w:val="fr-FR"/>
        </w:rPr>
        <w:t>’</w:t>
      </w:r>
      <w:r w:rsidRPr="00FF65D6">
        <w:rPr>
          <w:lang w:val="fr-FR"/>
        </w:rPr>
        <w:t>école et des enseignants, le module «</w:t>
      </w:r>
      <w:r w:rsidR="00AA7CA7" w:rsidRPr="00FF65D6">
        <w:rPr>
          <w:lang w:val="fr-FR"/>
        </w:rPr>
        <w:t> </w:t>
      </w:r>
      <w:r w:rsidRPr="00FF65D6">
        <w:rPr>
          <w:lang w:val="fr-FR"/>
        </w:rPr>
        <w:t>Être un directeur efficace, de la théorie à la pratique</w:t>
      </w:r>
      <w:r w:rsidR="00AA7CA7" w:rsidRPr="00FF65D6">
        <w:rPr>
          <w:lang w:val="fr-FR"/>
        </w:rPr>
        <w:t> </w:t>
      </w:r>
      <w:r w:rsidRPr="00FF65D6">
        <w:rPr>
          <w:lang w:val="fr-FR"/>
        </w:rPr>
        <w:t>» a été élaboré</w:t>
      </w:r>
      <w:r w:rsidR="005C1799" w:rsidRPr="005C1799">
        <w:rPr>
          <w:lang w:val="fr-FR"/>
        </w:rPr>
        <w:t>.</w:t>
      </w:r>
      <w:r w:rsidRPr="00FF65D6">
        <w:rPr>
          <w:lang w:val="fr-FR"/>
        </w:rPr>
        <w:t xml:space="preserve"> Ce module traite des questions touchant à la compréhension de la notion de discrimination et de la Convention relative aux droits de l</w:t>
      </w:r>
      <w:r w:rsidR="002127F6" w:rsidRPr="00FF65D6">
        <w:rPr>
          <w:lang w:val="fr-FR"/>
        </w:rPr>
        <w:t>’</w:t>
      </w:r>
      <w:r w:rsidRPr="00FF65D6">
        <w:rPr>
          <w:lang w:val="fr-FR"/>
        </w:rPr>
        <w:t>enfant</w:t>
      </w:r>
      <w:r w:rsidR="005C1799" w:rsidRPr="005C1799">
        <w:rPr>
          <w:lang w:val="fr-FR"/>
        </w:rPr>
        <w:t>.</w:t>
      </w:r>
      <w:r w:rsidRPr="00FF65D6">
        <w:rPr>
          <w:lang w:val="fr-FR"/>
        </w:rPr>
        <w:t xml:space="preserve"> Cette formation a été suivie par 1 700 directeurs d</w:t>
      </w:r>
      <w:r w:rsidR="002127F6" w:rsidRPr="00FF65D6">
        <w:rPr>
          <w:lang w:val="fr-FR"/>
        </w:rPr>
        <w:t>’</w:t>
      </w:r>
      <w:r w:rsidRPr="00FF65D6">
        <w:rPr>
          <w:lang w:val="fr-FR"/>
        </w:rPr>
        <w:t>école</w:t>
      </w:r>
      <w:r w:rsidR="005C1799" w:rsidRPr="005C1799">
        <w:rPr>
          <w:lang w:val="fr-FR"/>
        </w:rPr>
        <w:t>.</w:t>
      </w:r>
    </w:p>
    <w:p w14:paraId="682803E5" w14:textId="77777777" w:rsidR="005C5C6A" w:rsidRPr="00FF65D6" w:rsidRDefault="005C5C6A" w:rsidP="00006F64">
      <w:pPr>
        <w:pStyle w:val="SingleTxtG"/>
        <w:spacing w:line="230" w:lineRule="atLeast"/>
        <w:rPr>
          <w:lang w:val="fr-FR"/>
        </w:rPr>
      </w:pPr>
      <w:r w:rsidRPr="00FF65D6">
        <w:rPr>
          <w:lang w:val="fr-FR"/>
        </w:rPr>
        <w:t>70</w:t>
      </w:r>
      <w:r w:rsidR="005C1799" w:rsidRPr="005C1799">
        <w:rPr>
          <w:lang w:val="fr-FR"/>
        </w:rPr>
        <w:t>.</w:t>
      </w:r>
      <w:r w:rsidRPr="00FF65D6">
        <w:rPr>
          <w:lang w:val="fr-FR"/>
        </w:rPr>
        <w:tab/>
        <w:t>Il est à noter que les bénéficiaires des grandes institutions résidentielles (orphelinats) et des foyers de substitution pour les enfants (foyers accueillant de petits groupes) suivent périodiquement une formation sur les droits de l</w:t>
      </w:r>
      <w:r w:rsidR="002127F6" w:rsidRPr="00FF65D6">
        <w:rPr>
          <w:lang w:val="fr-FR"/>
        </w:rPr>
        <w:t>’</w:t>
      </w:r>
      <w:r w:rsidRPr="00FF65D6">
        <w:rPr>
          <w:lang w:val="fr-FR"/>
        </w:rPr>
        <w:t>enfant, qui les aide à être bien informés sur tous les droits consacrés dans la Convention</w:t>
      </w:r>
      <w:r w:rsidR="005C1799" w:rsidRPr="005C1799">
        <w:rPr>
          <w:lang w:val="fr-FR"/>
        </w:rPr>
        <w:t>.</w:t>
      </w:r>
      <w:r w:rsidRPr="00FF65D6">
        <w:rPr>
          <w:lang w:val="fr-FR"/>
        </w:rPr>
        <w:t xml:space="preserve"> Les formations sont organisées sur la base des accords et des consultations du Ministère géorgien du travail, de la santé et des affaires sociales avec des organisations non gouvernementales internationales et locales</w:t>
      </w:r>
      <w:r w:rsidR="005C1799" w:rsidRPr="005C1799">
        <w:rPr>
          <w:lang w:val="fr-FR"/>
        </w:rPr>
        <w:t>.</w:t>
      </w:r>
      <w:r w:rsidRPr="00FF65D6">
        <w:rPr>
          <w:lang w:val="fr-FR"/>
        </w:rPr>
        <w:t xml:space="preserve"> </w:t>
      </w:r>
    </w:p>
    <w:p w14:paraId="622A4E8B" w14:textId="77777777" w:rsidR="005C5C6A" w:rsidRPr="00FF65D6" w:rsidRDefault="005C5C6A" w:rsidP="00006F64">
      <w:pPr>
        <w:pStyle w:val="SingleTxtG"/>
        <w:spacing w:line="230" w:lineRule="atLeast"/>
        <w:rPr>
          <w:lang w:val="fr-FR"/>
        </w:rPr>
      </w:pPr>
      <w:r w:rsidRPr="00FF65D6">
        <w:rPr>
          <w:lang w:val="fr-FR"/>
        </w:rPr>
        <w:t>71</w:t>
      </w:r>
      <w:r w:rsidR="005C1799" w:rsidRPr="005C1799">
        <w:rPr>
          <w:lang w:val="fr-FR"/>
        </w:rPr>
        <w:t>.</w:t>
      </w:r>
      <w:r w:rsidRPr="00FF65D6">
        <w:rPr>
          <w:lang w:val="fr-FR"/>
        </w:rPr>
        <w:tab/>
        <w:t>Les formations comprennent un enseignement sur la Convention relative aux droits de l</w:t>
      </w:r>
      <w:r w:rsidR="002127F6" w:rsidRPr="00FF65D6">
        <w:rPr>
          <w:lang w:val="fr-FR"/>
        </w:rPr>
        <w:t>’</w:t>
      </w:r>
      <w:r w:rsidRPr="00FF65D6">
        <w:rPr>
          <w:lang w:val="fr-FR"/>
        </w:rPr>
        <w:t>enfant ou des formations sur les droits particuliers définis par la Convention, touchant notamment à la violence et à la négligence, à la traite et à l</w:t>
      </w:r>
      <w:r w:rsidR="002127F6" w:rsidRPr="00FF65D6">
        <w:rPr>
          <w:lang w:val="fr-FR"/>
        </w:rPr>
        <w:t>’</w:t>
      </w:r>
      <w:r w:rsidRPr="00FF65D6">
        <w:rPr>
          <w:lang w:val="fr-FR"/>
        </w:rPr>
        <w:t>expression d</w:t>
      </w:r>
      <w:r w:rsidR="002127F6" w:rsidRPr="00FF65D6">
        <w:rPr>
          <w:lang w:val="fr-FR"/>
        </w:rPr>
        <w:t>’</w:t>
      </w:r>
      <w:r w:rsidRPr="00FF65D6">
        <w:rPr>
          <w:lang w:val="fr-FR"/>
        </w:rPr>
        <w:t>opinions</w:t>
      </w:r>
      <w:r w:rsidR="005C1799" w:rsidRPr="005C1799">
        <w:rPr>
          <w:lang w:val="fr-FR"/>
        </w:rPr>
        <w:t>.</w:t>
      </w:r>
      <w:r w:rsidRPr="00FF65D6">
        <w:rPr>
          <w:lang w:val="fr-FR"/>
        </w:rPr>
        <w:t xml:space="preserve"> Les activités de formation aident les enfants et les adultes à mieux comprendre leurs droits et leurs devoirs</w:t>
      </w:r>
      <w:r w:rsidR="005C1799" w:rsidRPr="005C1799">
        <w:rPr>
          <w:lang w:val="fr-FR"/>
        </w:rPr>
        <w:t>.</w:t>
      </w:r>
      <w:r w:rsidRPr="00FF65D6">
        <w:rPr>
          <w:lang w:val="fr-FR"/>
        </w:rPr>
        <w:t xml:space="preserve"> Il est important de noter que ces formations aident les enfants à dûment exercer leurs droits</w:t>
      </w:r>
      <w:r w:rsidR="005C1799" w:rsidRPr="005C1799">
        <w:rPr>
          <w:lang w:val="fr-FR"/>
        </w:rPr>
        <w:t>.</w:t>
      </w:r>
    </w:p>
    <w:p w14:paraId="0C1408FC" w14:textId="77777777" w:rsidR="005C5C6A" w:rsidRPr="00FF65D6" w:rsidRDefault="005C5C6A" w:rsidP="00F34341">
      <w:pPr>
        <w:pStyle w:val="SingleTxtG"/>
        <w:rPr>
          <w:lang w:val="fr-FR"/>
        </w:rPr>
      </w:pPr>
      <w:r w:rsidRPr="00FF65D6">
        <w:rPr>
          <w:lang w:val="fr-FR"/>
        </w:rPr>
        <w:t>72</w:t>
      </w:r>
      <w:r w:rsidR="005C1799" w:rsidRPr="005C1799">
        <w:rPr>
          <w:lang w:val="fr-FR"/>
        </w:rPr>
        <w:t>.</w:t>
      </w:r>
      <w:r w:rsidRPr="00FF65D6">
        <w:rPr>
          <w:lang w:val="fr-FR"/>
        </w:rPr>
        <w:tab/>
        <w:t>Depuis le 1</w:t>
      </w:r>
      <w:r w:rsidRPr="00FF65D6">
        <w:rPr>
          <w:vertAlign w:val="superscript"/>
          <w:lang w:val="fr-FR"/>
        </w:rPr>
        <w:t>er</w:t>
      </w:r>
      <w:r w:rsidRPr="00FF65D6">
        <w:rPr>
          <w:lang w:val="fr-FR"/>
        </w:rPr>
        <w:t xml:space="preserve"> janvier 2017, l</w:t>
      </w:r>
      <w:r w:rsidR="002127F6" w:rsidRPr="00FF65D6">
        <w:rPr>
          <w:lang w:val="fr-FR"/>
        </w:rPr>
        <w:t>’</w:t>
      </w:r>
      <w:r w:rsidRPr="00FF65D6">
        <w:rPr>
          <w:lang w:val="fr-FR"/>
        </w:rPr>
        <w:t>âge minimum légal du mariage est fixé à 18 ans en vertu de l</w:t>
      </w:r>
      <w:r w:rsidR="002127F6" w:rsidRPr="00FF65D6">
        <w:rPr>
          <w:lang w:val="fr-FR"/>
        </w:rPr>
        <w:t>’</w:t>
      </w:r>
      <w:r w:rsidRPr="00FF65D6">
        <w:rPr>
          <w:lang w:val="fr-FR"/>
        </w:rPr>
        <w:t>article 1108, tel que modifié, du Code civil géorgien</w:t>
      </w:r>
      <w:r w:rsidR="005C1799" w:rsidRPr="005C1799">
        <w:rPr>
          <w:lang w:val="fr-FR"/>
        </w:rPr>
        <w:t>.</w:t>
      </w:r>
      <w:r w:rsidRPr="00FF65D6">
        <w:rPr>
          <w:lang w:val="fr-FR"/>
        </w:rPr>
        <w:t xml:space="preserve"> Afin de prévenir les cas de mariage d</w:t>
      </w:r>
      <w:r w:rsidR="002127F6" w:rsidRPr="00FF65D6">
        <w:rPr>
          <w:lang w:val="fr-FR"/>
        </w:rPr>
        <w:t>’</w:t>
      </w:r>
      <w:r w:rsidRPr="00FF65D6">
        <w:rPr>
          <w:lang w:val="fr-FR"/>
        </w:rPr>
        <w:t>enfants et les mariages précoces ou forcés, des activités sont menées comme indiqué ci-après</w:t>
      </w:r>
      <w:r w:rsidR="003B7618" w:rsidRPr="00FF65D6">
        <w:rPr>
          <w:lang w:val="fr-FR"/>
        </w:rPr>
        <w:t> :</w:t>
      </w:r>
      <w:r w:rsidRPr="00FF65D6">
        <w:rPr>
          <w:lang w:val="fr-FR"/>
        </w:rPr>
        <w:t xml:space="preserve"> sensibilisation des étudiants, avec intégration des questions relatives à un mode de vie sain et aux questions démographiques dans le Programme national d</w:t>
      </w:r>
      <w:r w:rsidR="002127F6" w:rsidRPr="00FF65D6">
        <w:rPr>
          <w:lang w:val="fr-FR"/>
        </w:rPr>
        <w:t>’</w:t>
      </w:r>
      <w:r w:rsidRPr="00FF65D6">
        <w:rPr>
          <w:lang w:val="fr-FR"/>
        </w:rPr>
        <w:t>enseignement pour la période 2011</w:t>
      </w:r>
      <w:r w:rsidR="00AA7CA7" w:rsidRPr="00FF65D6">
        <w:rPr>
          <w:lang w:val="fr-FR"/>
        </w:rPr>
        <w:t>-</w:t>
      </w:r>
      <w:r w:rsidRPr="00FF65D6">
        <w:rPr>
          <w:lang w:val="fr-FR"/>
        </w:rPr>
        <w:t>2016 dans un certain nombre de matières, telles que les sciences naturelles, l</w:t>
      </w:r>
      <w:r w:rsidR="002127F6" w:rsidRPr="00FF65D6">
        <w:rPr>
          <w:lang w:val="fr-FR"/>
        </w:rPr>
        <w:t>’</w:t>
      </w:r>
      <w:r w:rsidRPr="00FF65D6">
        <w:rPr>
          <w:lang w:val="fr-FR"/>
        </w:rPr>
        <w:t>éducation civique, l</w:t>
      </w:r>
      <w:r w:rsidR="002127F6" w:rsidRPr="00FF65D6">
        <w:rPr>
          <w:lang w:val="fr-FR"/>
        </w:rPr>
        <w:t>’</w:t>
      </w:r>
      <w:r w:rsidRPr="00FF65D6">
        <w:rPr>
          <w:lang w:val="fr-FR"/>
        </w:rPr>
        <w:t>éducation physique et le sport</w:t>
      </w:r>
      <w:r w:rsidR="005C1799" w:rsidRPr="005C1799">
        <w:rPr>
          <w:lang w:val="fr-FR"/>
        </w:rPr>
        <w:t>.</w:t>
      </w:r>
    </w:p>
    <w:p w14:paraId="77A960E5" w14:textId="77777777" w:rsidR="005C5C6A" w:rsidRPr="00FF65D6" w:rsidRDefault="005C5C6A" w:rsidP="00F34341">
      <w:pPr>
        <w:pStyle w:val="SingleTxtG"/>
        <w:rPr>
          <w:lang w:val="fr-FR"/>
        </w:rPr>
      </w:pPr>
      <w:r w:rsidRPr="00FF65D6">
        <w:rPr>
          <w:lang w:val="fr-FR"/>
        </w:rPr>
        <w:t>73</w:t>
      </w:r>
      <w:r w:rsidR="005C1799" w:rsidRPr="005C1799">
        <w:rPr>
          <w:lang w:val="fr-FR"/>
        </w:rPr>
        <w:t>.</w:t>
      </w:r>
      <w:r w:rsidRPr="00FF65D6">
        <w:rPr>
          <w:lang w:val="fr-FR"/>
        </w:rPr>
        <w:tab/>
        <w:t>Dans le cadre du Programme national d</w:t>
      </w:r>
      <w:r w:rsidR="002127F6" w:rsidRPr="00FF65D6">
        <w:rPr>
          <w:lang w:val="fr-FR"/>
        </w:rPr>
        <w:t>’</w:t>
      </w:r>
      <w:r w:rsidRPr="00FF65D6">
        <w:rPr>
          <w:lang w:val="fr-FR"/>
        </w:rPr>
        <w:t>enseignement pour 2011</w:t>
      </w:r>
      <w:r w:rsidR="007C057F" w:rsidRPr="00FF65D6">
        <w:rPr>
          <w:lang w:val="fr-FR"/>
        </w:rPr>
        <w:t>-</w:t>
      </w:r>
      <w:r w:rsidRPr="00FF65D6">
        <w:rPr>
          <w:lang w:val="fr-FR"/>
        </w:rPr>
        <w:t>2016, les thèmes de la violence, ainsi que les questions liées au mode de vie sain sont considérés comme des questions transversales à chaque stade de l</w:t>
      </w:r>
      <w:r w:rsidR="002127F6" w:rsidRPr="00FF65D6">
        <w:rPr>
          <w:lang w:val="fr-FR"/>
        </w:rPr>
        <w:t>’</w:t>
      </w:r>
      <w:r w:rsidRPr="00FF65D6">
        <w:rPr>
          <w:lang w:val="fr-FR"/>
        </w:rPr>
        <w:t>éducation générale et sont par conséquent traités dans les manuels approuvés élaborés sur la base du Programme national d</w:t>
      </w:r>
      <w:r w:rsidR="002127F6" w:rsidRPr="00FF65D6">
        <w:rPr>
          <w:lang w:val="fr-FR"/>
        </w:rPr>
        <w:t>’</w:t>
      </w:r>
      <w:r w:rsidRPr="00FF65D6">
        <w:rPr>
          <w:lang w:val="fr-FR"/>
        </w:rPr>
        <w:t>enseignement de 2012</w:t>
      </w:r>
      <w:r w:rsidR="005C1799" w:rsidRPr="005C1799">
        <w:rPr>
          <w:lang w:val="fr-FR"/>
        </w:rPr>
        <w:t>.</w:t>
      </w:r>
    </w:p>
    <w:p w14:paraId="37F7179F" w14:textId="77777777" w:rsidR="005C5C6A" w:rsidRPr="00FF65D6" w:rsidRDefault="005C5C6A" w:rsidP="00F34341">
      <w:pPr>
        <w:pStyle w:val="SingleTxtG"/>
        <w:rPr>
          <w:lang w:val="fr-FR"/>
        </w:rPr>
      </w:pPr>
      <w:r w:rsidRPr="00FF65D6">
        <w:rPr>
          <w:lang w:val="fr-FR"/>
        </w:rPr>
        <w:t>74</w:t>
      </w:r>
      <w:r w:rsidR="005C1799" w:rsidRPr="005C1799">
        <w:rPr>
          <w:lang w:val="fr-FR"/>
        </w:rPr>
        <w:t>.</w:t>
      </w:r>
      <w:r w:rsidRPr="00FF65D6">
        <w:rPr>
          <w:lang w:val="fr-FR"/>
        </w:rPr>
        <w:tab/>
        <w:t>Le programme national d</w:t>
      </w:r>
      <w:r w:rsidR="002127F6" w:rsidRPr="00FF65D6">
        <w:rPr>
          <w:lang w:val="fr-FR"/>
        </w:rPr>
        <w:t>’</w:t>
      </w:r>
      <w:r w:rsidRPr="00FF65D6">
        <w:rPr>
          <w:lang w:val="fr-FR"/>
        </w:rPr>
        <w:t>enseignement de la nouvelle génération (2017</w:t>
      </w:r>
      <w:r w:rsidR="00075FC6" w:rsidRPr="00FF65D6">
        <w:rPr>
          <w:lang w:val="fr-FR"/>
        </w:rPr>
        <w:t>-</w:t>
      </w:r>
      <w:r w:rsidRPr="00FF65D6">
        <w:rPr>
          <w:lang w:val="fr-FR"/>
        </w:rPr>
        <w:t>2023) prévoit de mettre davantage l</w:t>
      </w:r>
      <w:r w:rsidR="002127F6" w:rsidRPr="00FF65D6">
        <w:rPr>
          <w:lang w:val="fr-FR"/>
        </w:rPr>
        <w:t>’</w:t>
      </w:r>
      <w:r w:rsidRPr="00FF65D6">
        <w:rPr>
          <w:lang w:val="fr-FR"/>
        </w:rPr>
        <w:t>accent sur ces questions</w:t>
      </w:r>
      <w:r w:rsidR="005C1799" w:rsidRPr="005C1799">
        <w:rPr>
          <w:lang w:val="fr-FR"/>
        </w:rPr>
        <w:t>.</w:t>
      </w:r>
      <w:r w:rsidRPr="00FF65D6">
        <w:rPr>
          <w:lang w:val="fr-FR"/>
        </w:rPr>
        <w:t xml:space="preserve"> Le programme national de l</w:t>
      </w:r>
      <w:r w:rsidR="002127F6" w:rsidRPr="00FF65D6">
        <w:rPr>
          <w:lang w:val="fr-FR"/>
        </w:rPr>
        <w:t>’</w:t>
      </w:r>
      <w:r w:rsidRPr="00FF65D6">
        <w:rPr>
          <w:lang w:val="fr-FR"/>
        </w:rPr>
        <w:t>enseignement primaire est déjà établi et approuvé, et il comprend une norme et des programmes annuels pour la nouvelle matière des sciences sociales, «</w:t>
      </w:r>
      <w:r w:rsidR="00075FC6" w:rsidRPr="00FF65D6">
        <w:rPr>
          <w:lang w:val="fr-FR"/>
        </w:rPr>
        <w:t> </w:t>
      </w:r>
      <w:r w:rsidRPr="00FF65D6">
        <w:rPr>
          <w:lang w:val="fr-FR"/>
        </w:rPr>
        <w:t>Moi et la société</w:t>
      </w:r>
      <w:r w:rsidR="00075FC6" w:rsidRPr="00FF65D6">
        <w:rPr>
          <w:lang w:val="fr-FR"/>
        </w:rPr>
        <w:t> </w:t>
      </w:r>
      <w:r w:rsidRPr="00FF65D6">
        <w:rPr>
          <w:lang w:val="fr-FR"/>
        </w:rPr>
        <w:t>», qui est axée sur les questions mentionnées ci-dessus de façon plus complète à un stade précoce de l</w:t>
      </w:r>
      <w:r w:rsidR="002127F6" w:rsidRPr="00FF65D6">
        <w:rPr>
          <w:lang w:val="fr-FR"/>
        </w:rPr>
        <w:t>’</w:t>
      </w:r>
      <w:r w:rsidRPr="00FF65D6">
        <w:rPr>
          <w:lang w:val="fr-FR"/>
        </w:rPr>
        <w:t>apprentissage (depuis la troisième année)</w:t>
      </w:r>
      <w:r w:rsidR="005C1799" w:rsidRPr="005C1799">
        <w:rPr>
          <w:lang w:val="fr-FR"/>
        </w:rPr>
        <w:t>.</w:t>
      </w:r>
      <w:r w:rsidRPr="00FF65D6">
        <w:rPr>
          <w:lang w:val="fr-FR"/>
        </w:rPr>
        <w:t xml:space="preserve"> </w:t>
      </w:r>
    </w:p>
    <w:p w14:paraId="1D51EDEE" w14:textId="77777777" w:rsidR="005C5C6A" w:rsidRPr="00FF65D6" w:rsidRDefault="005C5C6A" w:rsidP="00F34341">
      <w:pPr>
        <w:pStyle w:val="SingleTxtG"/>
        <w:rPr>
          <w:lang w:val="fr-FR"/>
        </w:rPr>
      </w:pPr>
      <w:r w:rsidRPr="00FF65D6">
        <w:rPr>
          <w:lang w:val="fr-FR"/>
        </w:rPr>
        <w:t>75</w:t>
      </w:r>
      <w:r w:rsidR="005C1799" w:rsidRPr="005C1799">
        <w:rPr>
          <w:lang w:val="fr-FR"/>
        </w:rPr>
        <w:t>.</w:t>
      </w:r>
      <w:r w:rsidRPr="00FF65D6">
        <w:rPr>
          <w:lang w:val="fr-FR"/>
        </w:rPr>
        <w:tab/>
        <w:t>Les travaux portant sur le programme national du premier cycle de l</w:t>
      </w:r>
      <w:r w:rsidR="002127F6" w:rsidRPr="00FF65D6">
        <w:rPr>
          <w:lang w:val="fr-FR"/>
        </w:rPr>
        <w:t>’</w:t>
      </w:r>
      <w:r w:rsidRPr="00FF65D6">
        <w:rPr>
          <w:lang w:val="fr-FR"/>
        </w:rPr>
        <w:t>enseignement secondaire pour 2017</w:t>
      </w:r>
      <w:r w:rsidR="00075FC6" w:rsidRPr="00FF65D6">
        <w:rPr>
          <w:lang w:val="fr-FR"/>
        </w:rPr>
        <w:t>-</w:t>
      </w:r>
      <w:r w:rsidRPr="00FF65D6">
        <w:rPr>
          <w:lang w:val="fr-FR"/>
        </w:rPr>
        <w:t>2023 sont achevés et l</w:t>
      </w:r>
      <w:r w:rsidR="002127F6" w:rsidRPr="00FF65D6">
        <w:rPr>
          <w:lang w:val="fr-FR"/>
        </w:rPr>
        <w:t>’</w:t>
      </w:r>
      <w:r w:rsidRPr="00FF65D6">
        <w:rPr>
          <w:lang w:val="fr-FR"/>
        </w:rPr>
        <w:t>accent y est mis sur des principes tels que l</w:t>
      </w:r>
      <w:r w:rsidR="002127F6" w:rsidRPr="00FF65D6">
        <w:rPr>
          <w:lang w:val="fr-FR"/>
        </w:rPr>
        <w:t>’</w:t>
      </w:r>
      <w:r w:rsidRPr="00FF65D6">
        <w:rPr>
          <w:lang w:val="fr-FR"/>
        </w:rPr>
        <w:t>égalité des sexes et la prévention de la violence</w:t>
      </w:r>
      <w:r w:rsidR="005C1799" w:rsidRPr="005C1799">
        <w:rPr>
          <w:lang w:val="fr-FR"/>
        </w:rPr>
        <w:t>.</w:t>
      </w:r>
    </w:p>
    <w:p w14:paraId="6B217BA8" w14:textId="77777777" w:rsidR="005C5C6A" w:rsidRPr="00FF65D6" w:rsidRDefault="005C5C6A" w:rsidP="00F34341">
      <w:pPr>
        <w:pStyle w:val="SingleTxtG"/>
        <w:rPr>
          <w:lang w:val="fr-FR"/>
        </w:rPr>
      </w:pPr>
      <w:r w:rsidRPr="00FF65D6">
        <w:rPr>
          <w:lang w:val="fr-FR"/>
        </w:rPr>
        <w:t>76</w:t>
      </w:r>
      <w:r w:rsidR="005C1799" w:rsidRPr="005C1799">
        <w:rPr>
          <w:lang w:val="fr-FR"/>
        </w:rPr>
        <w:t>.</w:t>
      </w:r>
      <w:r w:rsidRPr="00FF65D6">
        <w:rPr>
          <w:lang w:val="fr-FR"/>
        </w:rPr>
        <w:tab/>
        <w:t>Dans le cadre de l</w:t>
      </w:r>
      <w:r w:rsidR="002127F6" w:rsidRPr="00FF65D6">
        <w:rPr>
          <w:lang w:val="fr-FR"/>
        </w:rPr>
        <w:t>’</w:t>
      </w:r>
      <w:r w:rsidRPr="00FF65D6">
        <w:rPr>
          <w:lang w:val="fr-FR"/>
        </w:rPr>
        <w:t>initiative du Ministère de l</w:t>
      </w:r>
      <w:r w:rsidR="002127F6" w:rsidRPr="00FF65D6">
        <w:rPr>
          <w:lang w:val="fr-FR"/>
        </w:rPr>
        <w:t>’</w:t>
      </w:r>
      <w:r w:rsidRPr="00FF65D6">
        <w:rPr>
          <w:lang w:val="fr-FR"/>
        </w:rPr>
        <w:t>intérieur, des représentants de ce Ministère et du Ministère de l</w:t>
      </w:r>
      <w:r w:rsidR="002127F6" w:rsidRPr="00FF65D6">
        <w:rPr>
          <w:lang w:val="fr-FR"/>
        </w:rPr>
        <w:t>’</w:t>
      </w:r>
      <w:r w:rsidRPr="00FF65D6">
        <w:rPr>
          <w:lang w:val="fr-FR"/>
        </w:rPr>
        <w:t>éducation et des sciences ont tenu une réunion d</w:t>
      </w:r>
      <w:r w:rsidR="002127F6" w:rsidRPr="00FF65D6">
        <w:rPr>
          <w:lang w:val="fr-FR"/>
        </w:rPr>
        <w:t>’</w:t>
      </w:r>
      <w:r w:rsidRPr="00FF65D6">
        <w:rPr>
          <w:lang w:val="fr-FR"/>
        </w:rPr>
        <w:t>information dans le cadre de la Journée mondiale pour la prévention des abus envers les enfants avec des élèves de terminale de l</w:t>
      </w:r>
      <w:r w:rsidR="002127F6" w:rsidRPr="00FF65D6">
        <w:rPr>
          <w:lang w:val="fr-FR"/>
        </w:rPr>
        <w:t>’</w:t>
      </w:r>
      <w:r w:rsidRPr="00FF65D6">
        <w:rPr>
          <w:lang w:val="fr-FR"/>
        </w:rPr>
        <w:t>école publique N191 à Tbilissi</w:t>
      </w:r>
      <w:r w:rsidR="005C1799" w:rsidRPr="005C1799">
        <w:rPr>
          <w:lang w:val="fr-FR"/>
        </w:rPr>
        <w:t>.</w:t>
      </w:r>
    </w:p>
    <w:p w14:paraId="7E91BEB5" w14:textId="77777777" w:rsidR="005C5C6A" w:rsidRPr="00FF65D6" w:rsidRDefault="005C5C6A" w:rsidP="00F34341">
      <w:pPr>
        <w:pStyle w:val="SingleTxtG"/>
        <w:rPr>
          <w:lang w:val="fr-FR"/>
        </w:rPr>
      </w:pPr>
      <w:r w:rsidRPr="00FF65D6">
        <w:rPr>
          <w:lang w:val="fr-FR"/>
        </w:rPr>
        <w:t>77</w:t>
      </w:r>
      <w:r w:rsidR="005C1799" w:rsidRPr="005C1799">
        <w:rPr>
          <w:lang w:val="fr-FR"/>
        </w:rPr>
        <w:t>.</w:t>
      </w:r>
      <w:r w:rsidRPr="00FF65D6">
        <w:rPr>
          <w:lang w:val="fr-FR"/>
        </w:rPr>
        <w:tab/>
        <w:t>Les représentants du Ministère de l</w:t>
      </w:r>
      <w:r w:rsidR="002127F6" w:rsidRPr="00FF65D6">
        <w:rPr>
          <w:lang w:val="fr-FR"/>
        </w:rPr>
        <w:t>’</w:t>
      </w:r>
      <w:r w:rsidRPr="00FF65D6">
        <w:rPr>
          <w:lang w:val="fr-FR"/>
        </w:rPr>
        <w:t>intérieur ont débattu de questions relatives aux diverses formes de violence parmi les mineurs, notamment les brimades, qui sont communes dans les écoles, et les infractions graves</w:t>
      </w:r>
      <w:r w:rsidR="005C1799" w:rsidRPr="005C1799">
        <w:rPr>
          <w:lang w:val="fr-FR"/>
        </w:rPr>
        <w:t>.</w:t>
      </w:r>
      <w:r w:rsidRPr="00FF65D6">
        <w:rPr>
          <w:lang w:val="fr-FR"/>
        </w:rPr>
        <w:t xml:space="preserve"> Une autre forme d</w:t>
      </w:r>
      <w:r w:rsidR="002127F6" w:rsidRPr="00FF65D6">
        <w:rPr>
          <w:lang w:val="fr-FR"/>
        </w:rPr>
        <w:t>’</w:t>
      </w:r>
      <w:r w:rsidRPr="00FF65D6">
        <w:rPr>
          <w:lang w:val="fr-FR"/>
        </w:rPr>
        <w:t>abus envers les mineurs, la question de la traite, a également été débattue à cette réunion</w:t>
      </w:r>
      <w:r w:rsidR="005C1799" w:rsidRPr="005C1799">
        <w:rPr>
          <w:lang w:val="fr-FR"/>
        </w:rPr>
        <w:t>.</w:t>
      </w:r>
    </w:p>
    <w:p w14:paraId="384E2E80" w14:textId="77777777" w:rsidR="005C5C6A" w:rsidRPr="00FF65D6" w:rsidRDefault="005C5C6A" w:rsidP="00F34341">
      <w:pPr>
        <w:pStyle w:val="SingleTxtG"/>
        <w:rPr>
          <w:lang w:val="fr-FR"/>
        </w:rPr>
      </w:pPr>
      <w:r w:rsidRPr="00FF65D6">
        <w:rPr>
          <w:lang w:val="fr-FR"/>
        </w:rPr>
        <w:t>78</w:t>
      </w:r>
      <w:r w:rsidR="005C1799" w:rsidRPr="005C1799">
        <w:rPr>
          <w:lang w:val="fr-FR"/>
        </w:rPr>
        <w:t>.</w:t>
      </w:r>
      <w:r w:rsidRPr="00FF65D6">
        <w:rPr>
          <w:lang w:val="fr-FR"/>
        </w:rPr>
        <w:tab/>
        <w:t>Au cours de la réunion, les élèves ont visionné des vidéos sur la lutte contre la violence produites par le Ministère</w:t>
      </w:r>
      <w:r w:rsidR="005C1799" w:rsidRPr="005C1799">
        <w:rPr>
          <w:lang w:val="fr-FR"/>
        </w:rPr>
        <w:t>.</w:t>
      </w:r>
      <w:r w:rsidRPr="00FF65D6">
        <w:rPr>
          <w:lang w:val="fr-FR"/>
        </w:rPr>
        <w:t xml:space="preserve"> Les participants à la réunion ont répondu aux questions de façon détaillée</w:t>
      </w:r>
      <w:r w:rsidR="005C1799" w:rsidRPr="005C1799">
        <w:rPr>
          <w:lang w:val="fr-FR"/>
        </w:rPr>
        <w:t>.</w:t>
      </w:r>
      <w:r w:rsidRPr="00FF65D6">
        <w:rPr>
          <w:lang w:val="fr-FR"/>
        </w:rPr>
        <w:t xml:space="preserve"> Les représentants du Centre d</w:t>
      </w:r>
      <w:r w:rsidR="002127F6" w:rsidRPr="00FF65D6">
        <w:rPr>
          <w:lang w:val="fr-FR"/>
        </w:rPr>
        <w:t>’</w:t>
      </w:r>
      <w:r w:rsidRPr="00FF65D6">
        <w:rPr>
          <w:lang w:val="fr-FR"/>
        </w:rPr>
        <w:t>intervention d</w:t>
      </w:r>
      <w:r w:rsidR="002127F6" w:rsidRPr="00FF65D6">
        <w:rPr>
          <w:lang w:val="fr-FR"/>
        </w:rPr>
        <w:t>’</w:t>
      </w:r>
      <w:r w:rsidRPr="00FF65D6">
        <w:rPr>
          <w:lang w:val="fr-FR"/>
        </w:rPr>
        <w:t>urgence 112 ont dit aux élèves que s</w:t>
      </w:r>
      <w:r w:rsidR="002127F6" w:rsidRPr="00FF65D6">
        <w:rPr>
          <w:lang w:val="fr-FR"/>
        </w:rPr>
        <w:t>’</w:t>
      </w:r>
      <w:r w:rsidRPr="00FF65D6">
        <w:rPr>
          <w:lang w:val="fr-FR"/>
        </w:rPr>
        <w:t>il leur arrivait d</w:t>
      </w:r>
      <w:r w:rsidR="002127F6" w:rsidRPr="00FF65D6">
        <w:rPr>
          <w:lang w:val="fr-FR"/>
        </w:rPr>
        <w:t>’</w:t>
      </w:r>
      <w:r w:rsidRPr="00FF65D6">
        <w:rPr>
          <w:lang w:val="fr-FR"/>
        </w:rPr>
        <w:t>être victimes d</w:t>
      </w:r>
      <w:r w:rsidR="002127F6" w:rsidRPr="00FF65D6">
        <w:rPr>
          <w:lang w:val="fr-FR"/>
        </w:rPr>
        <w:t>’</w:t>
      </w:r>
      <w:r w:rsidRPr="00FF65D6">
        <w:rPr>
          <w:lang w:val="fr-FR"/>
        </w:rPr>
        <w:t>actes de violence, d</w:t>
      </w:r>
      <w:r w:rsidR="002127F6" w:rsidRPr="00FF65D6">
        <w:rPr>
          <w:lang w:val="fr-FR"/>
        </w:rPr>
        <w:t>’</w:t>
      </w:r>
      <w:r w:rsidRPr="00FF65D6">
        <w:rPr>
          <w:lang w:val="fr-FR"/>
        </w:rPr>
        <w:t>en être témoins ou de devenir complices de l</w:t>
      </w:r>
      <w:r w:rsidR="002127F6" w:rsidRPr="00FF65D6">
        <w:rPr>
          <w:lang w:val="fr-FR"/>
        </w:rPr>
        <w:t>’</w:t>
      </w:r>
      <w:r w:rsidRPr="00FF65D6">
        <w:rPr>
          <w:lang w:val="fr-FR"/>
        </w:rPr>
        <w:t>infraction, ils devaient contacter le centre 112 pour obtenir une intervention rapide</w:t>
      </w:r>
      <w:r w:rsidR="005C1799" w:rsidRPr="005C1799">
        <w:rPr>
          <w:lang w:val="fr-FR"/>
        </w:rPr>
        <w:t>.</w:t>
      </w:r>
    </w:p>
    <w:p w14:paraId="2A5AAB02" w14:textId="77777777" w:rsidR="005C5C6A" w:rsidRPr="00FF65D6" w:rsidRDefault="005C5C6A" w:rsidP="002741BF">
      <w:pPr>
        <w:pStyle w:val="H1G"/>
        <w:rPr>
          <w:lang w:val="fr-FR"/>
        </w:rPr>
      </w:pPr>
      <w:bookmarkStart w:id="18" w:name="_Toc472961713"/>
      <w:r w:rsidRPr="00FF65D6">
        <w:rPr>
          <w:lang w:val="fr-FR"/>
        </w:rPr>
        <w:tab/>
        <w:t>B</w:t>
      </w:r>
      <w:r w:rsidR="005C1799" w:rsidRPr="005C1799">
        <w:rPr>
          <w:b w:val="0"/>
          <w:lang w:val="fr-FR"/>
        </w:rPr>
        <w:t>.</w:t>
      </w:r>
      <w:r w:rsidRPr="00FF65D6">
        <w:rPr>
          <w:lang w:val="fr-FR"/>
        </w:rPr>
        <w:tab/>
        <w:t>Éducation inclusive</w:t>
      </w:r>
      <w:bookmarkEnd w:id="18"/>
    </w:p>
    <w:p w14:paraId="735F42A4" w14:textId="77777777" w:rsidR="005C5C6A" w:rsidRPr="00FF65D6" w:rsidRDefault="005C5C6A" w:rsidP="00F34341">
      <w:pPr>
        <w:pStyle w:val="SingleTxtG"/>
        <w:rPr>
          <w:lang w:val="fr-FR"/>
        </w:rPr>
      </w:pPr>
      <w:r w:rsidRPr="00FF65D6">
        <w:rPr>
          <w:lang w:val="fr-FR"/>
        </w:rPr>
        <w:t>79</w:t>
      </w:r>
      <w:r w:rsidR="005C1799" w:rsidRPr="005C1799">
        <w:rPr>
          <w:lang w:val="fr-FR"/>
        </w:rPr>
        <w:t>.</w:t>
      </w:r>
      <w:r w:rsidRPr="00FF65D6">
        <w:rPr>
          <w:lang w:val="fr-FR"/>
        </w:rPr>
        <w:tab/>
        <w:t>Aux termes de l</w:t>
      </w:r>
      <w:r w:rsidR="002127F6" w:rsidRPr="00FF65D6">
        <w:rPr>
          <w:lang w:val="fr-FR"/>
        </w:rPr>
        <w:t>’</w:t>
      </w:r>
      <w:r w:rsidRPr="00FF65D6">
        <w:rPr>
          <w:lang w:val="fr-FR"/>
        </w:rPr>
        <w:t>article 35 de la Constitution géorgienne, chaque citoyen a le droit à l</w:t>
      </w:r>
      <w:r w:rsidR="002127F6" w:rsidRPr="00FF65D6">
        <w:rPr>
          <w:lang w:val="fr-FR"/>
        </w:rPr>
        <w:t>’</w:t>
      </w:r>
      <w:r w:rsidRPr="00FF65D6">
        <w:rPr>
          <w:lang w:val="fr-FR"/>
        </w:rPr>
        <w:t>éducation</w:t>
      </w:r>
      <w:r w:rsidR="005C1799" w:rsidRPr="005C1799">
        <w:rPr>
          <w:lang w:val="fr-FR"/>
        </w:rPr>
        <w:t>.</w:t>
      </w:r>
      <w:r w:rsidRPr="00FF65D6">
        <w:rPr>
          <w:lang w:val="fr-FR"/>
        </w:rPr>
        <w:t xml:space="preserve"> La liberté de choix dans le domaine de l</w:t>
      </w:r>
      <w:r w:rsidR="002127F6" w:rsidRPr="00FF65D6">
        <w:rPr>
          <w:lang w:val="fr-FR"/>
        </w:rPr>
        <w:t>’</w:t>
      </w:r>
      <w:r w:rsidRPr="00FF65D6">
        <w:rPr>
          <w:lang w:val="fr-FR"/>
        </w:rPr>
        <w:t>enseignement est reconnue</w:t>
      </w:r>
      <w:r w:rsidR="005C1799" w:rsidRPr="005C1799">
        <w:rPr>
          <w:lang w:val="fr-FR"/>
        </w:rPr>
        <w:t>.</w:t>
      </w:r>
      <w:r w:rsidRPr="00FF65D6">
        <w:rPr>
          <w:lang w:val="fr-FR"/>
        </w:rPr>
        <w:t xml:space="preserve"> L</w:t>
      </w:r>
      <w:r w:rsidR="002127F6" w:rsidRPr="00FF65D6">
        <w:rPr>
          <w:lang w:val="fr-FR"/>
        </w:rPr>
        <w:t>’</w:t>
      </w:r>
      <w:r w:rsidRPr="00FF65D6">
        <w:rPr>
          <w:lang w:val="fr-FR"/>
        </w:rPr>
        <w:t>éducation spéciale en Géorgie est réglementée par la loi sur l</w:t>
      </w:r>
      <w:r w:rsidR="002127F6" w:rsidRPr="00FF65D6">
        <w:rPr>
          <w:lang w:val="fr-FR"/>
        </w:rPr>
        <w:t>’</w:t>
      </w:r>
      <w:r w:rsidRPr="00FF65D6">
        <w:rPr>
          <w:lang w:val="fr-FR"/>
        </w:rPr>
        <w:t>éducation générale et le Programme national d</w:t>
      </w:r>
      <w:r w:rsidR="002127F6" w:rsidRPr="00FF65D6">
        <w:rPr>
          <w:lang w:val="fr-FR"/>
        </w:rPr>
        <w:t>’</w:t>
      </w:r>
      <w:r w:rsidRPr="00FF65D6">
        <w:rPr>
          <w:lang w:val="fr-FR"/>
        </w:rPr>
        <w:t>enseignement pour les années 2011</w:t>
      </w:r>
      <w:r w:rsidR="002741BF" w:rsidRPr="00FF65D6">
        <w:rPr>
          <w:lang w:val="fr-FR"/>
        </w:rPr>
        <w:t>-</w:t>
      </w:r>
      <w:r w:rsidRPr="00FF65D6">
        <w:rPr>
          <w:lang w:val="fr-FR"/>
        </w:rPr>
        <w:t>2016</w:t>
      </w:r>
      <w:r w:rsidR="005C1799" w:rsidRPr="005C1799">
        <w:rPr>
          <w:lang w:val="fr-FR"/>
        </w:rPr>
        <w:t>.</w:t>
      </w:r>
      <w:r w:rsidRPr="00FF65D6">
        <w:rPr>
          <w:lang w:val="fr-FR"/>
        </w:rPr>
        <w:t xml:space="preserve"> Il convient de noter qu</w:t>
      </w:r>
      <w:r w:rsidR="002127F6" w:rsidRPr="00FF65D6">
        <w:rPr>
          <w:lang w:val="fr-FR"/>
        </w:rPr>
        <w:t>’</w:t>
      </w:r>
      <w:r w:rsidRPr="00FF65D6">
        <w:rPr>
          <w:lang w:val="fr-FR"/>
        </w:rPr>
        <w:t>en 2010, des modifications importantes ont été apportées aux deux textes réglementaires pour offrir une éducation de qualité aux personnes ayant des besoins éducatifs spéciaux en Géorgie</w:t>
      </w:r>
      <w:r w:rsidR="005C1799" w:rsidRPr="005C1799">
        <w:rPr>
          <w:lang w:val="fr-FR"/>
        </w:rPr>
        <w:t>.</w:t>
      </w:r>
      <w:r w:rsidRPr="00FF65D6">
        <w:rPr>
          <w:lang w:val="fr-FR"/>
        </w:rPr>
        <w:t xml:space="preserve"> Le sens des expressions « besoins éducatifs spéciaux », « plan individuel d</w:t>
      </w:r>
      <w:r w:rsidR="002127F6" w:rsidRPr="00FF65D6">
        <w:rPr>
          <w:lang w:val="fr-FR"/>
        </w:rPr>
        <w:t>’</w:t>
      </w:r>
      <w:r w:rsidRPr="00FF65D6">
        <w:rPr>
          <w:lang w:val="fr-FR"/>
        </w:rPr>
        <w:t>apprentissage », « équipe multidisciplinaire » et « enseignant spécialisé » a été redéfini dans la loi sur l</w:t>
      </w:r>
      <w:r w:rsidR="002127F6" w:rsidRPr="00FF65D6">
        <w:rPr>
          <w:lang w:val="fr-FR"/>
        </w:rPr>
        <w:t>’</w:t>
      </w:r>
      <w:r w:rsidRPr="00FF65D6">
        <w:rPr>
          <w:lang w:val="fr-FR"/>
        </w:rPr>
        <w:t>éducation générale</w:t>
      </w:r>
      <w:r w:rsidR="005C1799" w:rsidRPr="005C1799">
        <w:rPr>
          <w:lang w:val="fr-FR"/>
        </w:rPr>
        <w:t>.</w:t>
      </w:r>
      <w:r w:rsidRPr="00FF65D6">
        <w:rPr>
          <w:lang w:val="fr-FR"/>
        </w:rPr>
        <w:t xml:space="preserve"> Les points suivants ont été pleinement pris en compte dans les programmes nationaux d</w:t>
      </w:r>
      <w:r w:rsidR="002127F6" w:rsidRPr="00FF65D6">
        <w:rPr>
          <w:lang w:val="fr-FR"/>
        </w:rPr>
        <w:t>’</w:t>
      </w:r>
      <w:r w:rsidRPr="00FF65D6">
        <w:rPr>
          <w:lang w:val="fr-FR"/>
        </w:rPr>
        <w:t>enseignement</w:t>
      </w:r>
      <w:r w:rsidR="003B7618" w:rsidRPr="00FF65D6">
        <w:rPr>
          <w:lang w:val="fr-FR"/>
        </w:rPr>
        <w:t> :</w:t>
      </w:r>
      <w:r w:rsidRPr="00FF65D6">
        <w:rPr>
          <w:lang w:val="fr-FR"/>
        </w:rPr>
        <w:t xml:space="preserve"> processus visant à fournir une éducation inclusive dans les écoles, importance de la disponibilité de plans individuels d</w:t>
      </w:r>
      <w:r w:rsidR="002127F6" w:rsidRPr="00FF65D6">
        <w:rPr>
          <w:lang w:val="fr-FR"/>
        </w:rPr>
        <w:t>’</w:t>
      </w:r>
      <w:r w:rsidRPr="00FF65D6">
        <w:rPr>
          <w:lang w:val="fr-FR"/>
        </w:rPr>
        <w:t>apprentissage, intégration des personnes ayant des besoins éducatifs spéciaux dans les processus d</w:t>
      </w:r>
      <w:r w:rsidR="002127F6" w:rsidRPr="00FF65D6">
        <w:rPr>
          <w:lang w:val="fr-FR"/>
        </w:rPr>
        <w:t>’</w:t>
      </w:r>
      <w:r w:rsidRPr="00FF65D6">
        <w:rPr>
          <w:lang w:val="fr-FR"/>
        </w:rPr>
        <w:t>apprentissage et évaluation de leurs résultats scolaires</w:t>
      </w:r>
      <w:r w:rsidR="005C1799" w:rsidRPr="005C1799">
        <w:rPr>
          <w:lang w:val="fr-FR"/>
        </w:rPr>
        <w:t>.</w:t>
      </w:r>
    </w:p>
    <w:p w14:paraId="288C8265" w14:textId="77777777" w:rsidR="005C5C6A" w:rsidRPr="00FF65D6" w:rsidRDefault="005C5C6A" w:rsidP="00F34341">
      <w:pPr>
        <w:pStyle w:val="SingleTxtG"/>
        <w:rPr>
          <w:lang w:val="fr-FR"/>
        </w:rPr>
      </w:pPr>
      <w:r w:rsidRPr="00FF65D6">
        <w:rPr>
          <w:lang w:val="fr-FR"/>
        </w:rPr>
        <w:t>80</w:t>
      </w:r>
      <w:r w:rsidR="005C1799" w:rsidRPr="005C1799">
        <w:rPr>
          <w:lang w:val="fr-FR"/>
        </w:rPr>
        <w:t>.</w:t>
      </w:r>
      <w:r w:rsidRPr="00FF65D6">
        <w:rPr>
          <w:lang w:val="fr-FR"/>
        </w:rPr>
        <w:tab/>
        <w:t>En décembre 2013, le Parlement géorgien a ratifié la Convention relative aux droits des personnes handicapées</w:t>
      </w:r>
      <w:r w:rsidR="005C1799" w:rsidRPr="005C1799">
        <w:rPr>
          <w:lang w:val="fr-FR"/>
        </w:rPr>
        <w:t>.</w:t>
      </w:r>
      <w:r w:rsidRPr="00FF65D6">
        <w:rPr>
          <w:lang w:val="fr-FR"/>
        </w:rPr>
        <w:t xml:space="preserve"> En 2014, le Premier Ministre géorgien a approuvé la « Réglementation technique relative à la construction de locaux et à la conception architecturale pour les personnes ayant des besoins spéciaux »</w:t>
      </w:r>
      <w:r w:rsidR="005C1799" w:rsidRPr="005C1799">
        <w:rPr>
          <w:lang w:val="fr-FR"/>
        </w:rPr>
        <w:t>.</w:t>
      </w:r>
    </w:p>
    <w:p w14:paraId="31731710" w14:textId="77777777" w:rsidR="005C5C6A" w:rsidRPr="00FF65D6" w:rsidRDefault="005C5C6A" w:rsidP="00F34341">
      <w:pPr>
        <w:pStyle w:val="SingleTxtG"/>
        <w:rPr>
          <w:lang w:val="fr-FR"/>
        </w:rPr>
      </w:pPr>
      <w:r w:rsidRPr="00FF65D6">
        <w:rPr>
          <w:lang w:val="fr-FR"/>
        </w:rPr>
        <w:t>81</w:t>
      </w:r>
      <w:r w:rsidR="005C1799" w:rsidRPr="005C1799">
        <w:rPr>
          <w:lang w:val="fr-FR"/>
        </w:rPr>
        <w:t>.</w:t>
      </w:r>
      <w:r w:rsidRPr="00FF65D6">
        <w:rPr>
          <w:lang w:val="fr-FR"/>
        </w:rPr>
        <w:tab/>
        <w:t>Une équipe pluridisciplinaire composée de psychologues, d</w:t>
      </w:r>
      <w:r w:rsidR="002127F6" w:rsidRPr="00FF65D6">
        <w:rPr>
          <w:lang w:val="fr-FR"/>
        </w:rPr>
        <w:t>’</w:t>
      </w:r>
      <w:r w:rsidRPr="00FF65D6">
        <w:rPr>
          <w:lang w:val="fr-FR"/>
        </w:rPr>
        <w:t>enseignants spécialisés, d</w:t>
      </w:r>
      <w:r w:rsidR="002127F6" w:rsidRPr="00FF65D6">
        <w:rPr>
          <w:lang w:val="fr-FR"/>
        </w:rPr>
        <w:t>’</w:t>
      </w:r>
      <w:r w:rsidRPr="00FF65D6">
        <w:rPr>
          <w:lang w:val="fr-FR"/>
        </w:rPr>
        <w:t>orthophonistes et d</w:t>
      </w:r>
      <w:r w:rsidR="002127F6" w:rsidRPr="00FF65D6">
        <w:rPr>
          <w:lang w:val="fr-FR"/>
        </w:rPr>
        <w:t>’</w:t>
      </w:r>
      <w:r w:rsidRPr="00FF65D6">
        <w:rPr>
          <w:lang w:val="fr-FR"/>
        </w:rPr>
        <w:t>ergothérapeutes a été constituée pour soutenir l</w:t>
      </w:r>
      <w:r w:rsidR="002127F6" w:rsidRPr="00FF65D6">
        <w:rPr>
          <w:lang w:val="fr-FR"/>
        </w:rPr>
        <w:t>’</w:t>
      </w:r>
      <w:r w:rsidRPr="00FF65D6">
        <w:rPr>
          <w:lang w:val="fr-FR"/>
        </w:rPr>
        <w:t>éducation inclusive</w:t>
      </w:r>
      <w:r w:rsidR="005C1799" w:rsidRPr="005C1799">
        <w:rPr>
          <w:lang w:val="fr-FR"/>
        </w:rPr>
        <w:t>.</w:t>
      </w:r>
      <w:r w:rsidRPr="00FF65D6">
        <w:rPr>
          <w:lang w:val="fr-FR"/>
        </w:rPr>
        <w:t xml:space="preserve"> Son mandat comprend l</w:t>
      </w:r>
      <w:r w:rsidR="002127F6" w:rsidRPr="00FF65D6">
        <w:rPr>
          <w:lang w:val="fr-FR"/>
        </w:rPr>
        <w:t>’</w:t>
      </w:r>
      <w:r w:rsidRPr="00FF65D6">
        <w:rPr>
          <w:lang w:val="fr-FR"/>
        </w:rPr>
        <w:t>identification et l</w:t>
      </w:r>
      <w:r w:rsidR="002127F6" w:rsidRPr="00FF65D6">
        <w:rPr>
          <w:lang w:val="fr-FR"/>
        </w:rPr>
        <w:t>’</w:t>
      </w:r>
      <w:r w:rsidRPr="00FF65D6">
        <w:rPr>
          <w:lang w:val="fr-FR"/>
        </w:rPr>
        <w:t>évaluation des élèves ayant des besoins éducatifs spéciaux et l</w:t>
      </w:r>
      <w:r w:rsidR="002127F6" w:rsidRPr="00FF65D6">
        <w:rPr>
          <w:lang w:val="fr-FR"/>
        </w:rPr>
        <w:t>’</w:t>
      </w:r>
      <w:r w:rsidRPr="00FF65D6">
        <w:rPr>
          <w:lang w:val="fr-FR"/>
        </w:rPr>
        <w:t>appui à leur intégration dans un milieu ordinaire avec leurs pairs dans les écoles, la fourniture d</w:t>
      </w:r>
      <w:r w:rsidR="002127F6" w:rsidRPr="00FF65D6">
        <w:rPr>
          <w:lang w:val="fr-FR"/>
        </w:rPr>
        <w:t>’</w:t>
      </w:r>
      <w:r w:rsidRPr="00FF65D6">
        <w:rPr>
          <w:lang w:val="fr-FR"/>
        </w:rPr>
        <w:t>une assistance aux enseignants dans la salle de classe en vue d</w:t>
      </w:r>
      <w:r w:rsidR="002127F6" w:rsidRPr="00FF65D6">
        <w:rPr>
          <w:lang w:val="fr-FR"/>
        </w:rPr>
        <w:t>’</w:t>
      </w:r>
      <w:r w:rsidRPr="00FF65D6">
        <w:rPr>
          <w:lang w:val="fr-FR"/>
        </w:rPr>
        <w:t>élaborer et d</w:t>
      </w:r>
      <w:r w:rsidR="002127F6" w:rsidRPr="00FF65D6">
        <w:rPr>
          <w:lang w:val="fr-FR"/>
        </w:rPr>
        <w:t>’</w:t>
      </w:r>
      <w:r w:rsidRPr="00FF65D6">
        <w:rPr>
          <w:lang w:val="fr-FR"/>
        </w:rPr>
        <w:t>enseigner des programmes éducatifs individualisés pour les élèves ayant des besoins éducatifs spéciaux</w:t>
      </w:r>
      <w:r w:rsidR="005C1799" w:rsidRPr="005C1799">
        <w:rPr>
          <w:lang w:val="fr-FR"/>
        </w:rPr>
        <w:t>.</w:t>
      </w:r>
      <w:r w:rsidRPr="00FF65D6">
        <w:rPr>
          <w:lang w:val="fr-FR"/>
        </w:rPr>
        <w:t xml:space="preserve"> Les équipes multidisciplinaires travaillent dans toutes les municipalités géorgiennes</w:t>
      </w:r>
      <w:r w:rsidR="005C1799" w:rsidRPr="005C1799">
        <w:rPr>
          <w:lang w:val="fr-FR"/>
        </w:rPr>
        <w:t>.</w:t>
      </w:r>
    </w:p>
    <w:p w14:paraId="27488766" w14:textId="77777777" w:rsidR="005C5C6A" w:rsidRPr="00FF65D6" w:rsidRDefault="005C5C6A" w:rsidP="00F34341">
      <w:pPr>
        <w:pStyle w:val="SingleTxtG"/>
        <w:rPr>
          <w:lang w:val="fr-FR"/>
        </w:rPr>
      </w:pPr>
      <w:r w:rsidRPr="00FF65D6">
        <w:rPr>
          <w:lang w:val="fr-FR"/>
        </w:rPr>
        <w:t>82</w:t>
      </w:r>
      <w:r w:rsidR="005C1799" w:rsidRPr="005C1799">
        <w:rPr>
          <w:lang w:val="fr-FR"/>
        </w:rPr>
        <w:t>.</w:t>
      </w:r>
      <w:r w:rsidRPr="00FF65D6">
        <w:rPr>
          <w:lang w:val="fr-FR"/>
        </w:rPr>
        <w:tab/>
        <w:t>Selon les données disponibles, en 2013, 3 366 élèves ayant des besoins spéciaux étaient inscrits dans un processus éducatif, contre 3 898 en 2014, 5</w:t>
      </w:r>
      <w:r w:rsidR="00C36971">
        <w:rPr>
          <w:lang w:val="fr-FR"/>
        </w:rPr>
        <w:t> </w:t>
      </w:r>
      <w:r w:rsidRPr="00FF65D6">
        <w:rPr>
          <w:lang w:val="fr-FR"/>
        </w:rPr>
        <w:t>268 en 2015 et 5 752 en 2016, dans les écoles publiques géorgiennes</w:t>
      </w:r>
      <w:r w:rsidR="005C1799" w:rsidRPr="005C1799">
        <w:rPr>
          <w:lang w:val="fr-FR"/>
        </w:rPr>
        <w:t>.</w:t>
      </w:r>
    </w:p>
    <w:p w14:paraId="247F0B94" w14:textId="77777777" w:rsidR="005C5C6A" w:rsidRPr="00FF65D6" w:rsidRDefault="005C5C6A" w:rsidP="00F34341">
      <w:pPr>
        <w:pStyle w:val="SingleTxtG"/>
        <w:rPr>
          <w:lang w:val="fr-FR"/>
        </w:rPr>
      </w:pPr>
      <w:r w:rsidRPr="00FF65D6">
        <w:rPr>
          <w:lang w:val="fr-FR"/>
        </w:rPr>
        <w:t>83</w:t>
      </w:r>
      <w:r w:rsidR="005C1799" w:rsidRPr="005C1799">
        <w:rPr>
          <w:lang w:val="fr-FR"/>
        </w:rPr>
        <w:t>.</w:t>
      </w:r>
      <w:r w:rsidRPr="00FF65D6">
        <w:rPr>
          <w:lang w:val="fr-FR"/>
        </w:rPr>
        <w:tab/>
        <w:t>En 2013, le Ministère géorgien de l</w:t>
      </w:r>
      <w:r w:rsidR="002127F6" w:rsidRPr="00FF65D6">
        <w:rPr>
          <w:lang w:val="fr-FR"/>
        </w:rPr>
        <w:t>’</w:t>
      </w:r>
      <w:r w:rsidRPr="00FF65D6">
        <w:rPr>
          <w:lang w:val="fr-FR"/>
        </w:rPr>
        <w:t>éducation et des sciences, afin de fournir un appui à l</w:t>
      </w:r>
      <w:r w:rsidR="002127F6" w:rsidRPr="00FF65D6">
        <w:rPr>
          <w:lang w:val="fr-FR"/>
        </w:rPr>
        <w:t>’</w:t>
      </w:r>
      <w:r w:rsidRPr="00FF65D6">
        <w:rPr>
          <w:lang w:val="fr-FR"/>
        </w:rPr>
        <w:t>éducation inclusive et de promouvoir l</w:t>
      </w:r>
      <w:r w:rsidR="002127F6" w:rsidRPr="00FF65D6">
        <w:rPr>
          <w:lang w:val="fr-FR"/>
        </w:rPr>
        <w:t>’</w:t>
      </w:r>
      <w:r w:rsidRPr="00FF65D6">
        <w:rPr>
          <w:lang w:val="fr-FR"/>
        </w:rPr>
        <w:t>égalité des chances pour le développement de l</w:t>
      </w:r>
      <w:r w:rsidR="002127F6" w:rsidRPr="00FF65D6">
        <w:rPr>
          <w:lang w:val="fr-FR"/>
        </w:rPr>
        <w:t>’</w:t>
      </w:r>
      <w:r w:rsidRPr="00FF65D6">
        <w:rPr>
          <w:lang w:val="fr-FR"/>
        </w:rPr>
        <w:t>enseignement professionnel à l</w:t>
      </w:r>
      <w:r w:rsidR="002127F6" w:rsidRPr="00FF65D6">
        <w:rPr>
          <w:lang w:val="fr-FR"/>
        </w:rPr>
        <w:t>’</w:t>
      </w:r>
      <w:r w:rsidRPr="00FF65D6">
        <w:rPr>
          <w:lang w:val="fr-FR"/>
        </w:rPr>
        <w:t>intention des personnes ayant des besoins spéciaux dans le système d</w:t>
      </w:r>
      <w:r w:rsidR="002127F6" w:rsidRPr="00FF65D6">
        <w:rPr>
          <w:lang w:val="fr-FR"/>
        </w:rPr>
        <w:t>’</w:t>
      </w:r>
      <w:r w:rsidRPr="00FF65D6">
        <w:rPr>
          <w:lang w:val="fr-FR"/>
        </w:rPr>
        <w:t>enseignement professionnel, a lancé un projet relatif au développement de l</w:t>
      </w:r>
      <w:r w:rsidR="002127F6" w:rsidRPr="00FF65D6">
        <w:rPr>
          <w:lang w:val="fr-FR"/>
        </w:rPr>
        <w:t>’</w:t>
      </w:r>
      <w:r w:rsidRPr="00FF65D6">
        <w:rPr>
          <w:lang w:val="fr-FR"/>
        </w:rPr>
        <w:t>éducation inclusive dans le système de l</w:t>
      </w:r>
      <w:r w:rsidR="002127F6" w:rsidRPr="00FF65D6">
        <w:rPr>
          <w:lang w:val="fr-FR"/>
        </w:rPr>
        <w:t>’</w:t>
      </w:r>
      <w:r w:rsidRPr="00FF65D6">
        <w:rPr>
          <w:lang w:val="fr-FR"/>
        </w:rPr>
        <w:t>enseignement professionnel et de la formation professionnelle de la Géorgie avec l</w:t>
      </w:r>
      <w:r w:rsidR="002127F6" w:rsidRPr="00FF65D6">
        <w:rPr>
          <w:lang w:val="fr-FR"/>
        </w:rPr>
        <w:t>’</w:t>
      </w:r>
      <w:r w:rsidRPr="00FF65D6">
        <w:rPr>
          <w:lang w:val="fr-FR"/>
        </w:rPr>
        <w:t>appui du Gouvernement norvégien</w:t>
      </w:r>
      <w:r w:rsidR="005C1799" w:rsidRPr="005C1799">
        <w:rPr>
          <w:lang w:val="fr-FR"/>
        </w:rPr>
        <w:t>.</w:t>
      </w:r>
      <w:r w:rsidRPr="00FF65D6">
        <w:rPr>
          <w:lang w:val="fr-FR"/>
        </w:rPr>
        <w:t xml:space="preserve"> En 2015, l</w:t>
      </w:r>
      <w:r w:rsidR="002127F6" w:rsidRPr="00FF65D6">
        <w:rPr>
          <w:lang w:val="fr-FR"/>
        </w:rPr>
        <w:t>’</w:t>
      </w:r>
      <w:r w:rsidRPr="00FF65D6">
        <w:rPr>
          <w:lang w:val="fr-FR"/>
        </w:rPr>
        <w:t>adaptation à l</w:t>
      </w:r>
      <w:r w:rsidR="002127F6" w:rsidRPr="00FF65D6">
        <w:rPr>
          <w:lang w:val="fr-FR"/>
        </w:rPr>
        <w:t>’</w:t>
      </w:r>
      <w:r w:rsidRPr="00FF65D6">
        <w:rPr>
          <w:lang w:val="fr-FR"/>
        </w:rPr>
        <w:t>environnement physique, sur la base des principes de la conception universelle, a été lancée dans cinq des 21 écoles publiques de formation professionnelle</w:t>
      </w:r>
      <w:r w:rsidR="005C1799" w:rsidRPr="005C1799">
        <w:rPr>
          <w:lang w:val="fr-FR"/>
        </w:rPr>
        <w:t>.</w:t>
      </w:r>
      <w:r w:rsidRPr="00FF65D6">
        <w:rPr>
          <w:lang w:val="fr-FR"/>
        </w:rPr>
        <w:t xml:space="preserve"> D</w:t>
      </w:r>
      <w:r w:rsidR="002127F6" w:rsidRPr="00FF65D6">
        <w:rPr>
          <w:lang w:val="fr-FR"/>
        </w:rPr>
        <w:t>’</w:t>
      </w:r>
      <w:r w:rsidRPr="00FF65D6">
        <w:rPr>
          <w:lang w:val="fr-FR"/>
        </w:rPr>
        <w:t>après les données pour 2013-2015, 426 élèves ayant des besoins spéciaux étaient inscrits dans l</w:t>
      </w:r>
      <w:r w:rsidR="002127F6" w:rsidRPr="00FF65D6">
        <w:rPr>
          <w:lang w:val="fr-FR"/>
        </w:rPr>
        <w:t>’</w:t>
      </w:r>
      <w:r w:rsidRPr="00FF65D6">
        <w:rPr>
          <w:lang w:val="fr-FR"/>
        </w:rPr>
        <w:t>enseignement professionnel</w:t>
      </w:r>
      <w:r w:rsidR="005C1799" w:rsidRPr="005C1799">
        <w:rPr>
          <w:lang w:val="fr-FR"/>
        </w:rPr>
        <w:t>.</w:t>
      </w:r>
    </w:p>
    <w:p w14:paraId="38EBF718" w14:textId="77777777" w:rsidR="005C5C6A" w:rsidRPr="00FF65D6" w:rsidRDefault="005C5C6A" w:rsidP="005C5C6A">
      <w:pPr>
        <w:pStyle w:val="H1G"/>
        <w:rPr>
          <w:lang w:val="fr-FR"/>
        </w:rPr>
      </w:pPr>
      <w:bookmarkStart w:id="19" w:name="_Toc472961714"/>
      <w:r w:rsidRPr="00FF65D6">
        <w:rPr>
          <w:lang w:val="fr-FR"/>
        </w:rPr>
        <w:tab/>
        <w:t>C</w:t>
      </w:r>
      <w:r w:rsidR="005C1799" w:rsidRPr="005C1799">
        <w:rPr>
          <w:b w:val="0"/>
          <w:lang w:val="fr-FR"/>
        </w:rPr>
        <w:t>.</w:t>
      </w:r>
      <w:r w:rsidRPr="00FF65D6">
        <w:rPr>
          <w:lang w:val="fr-FR"/>
        </w:rPr>
        <w:tab/>
        <w:t xml:space="preserve">Inclusion et intégration sociales </w:t>
      </w:r>
      <w:bookmarkEnd w:id="19"/>
    </w:p>
    <w:p w14:paraId="4F7334C0" w14:textId="77777777" w:rsidR="005C5C6A" w:rsidRPr="00FF65D6" w:rsidRDefault="005C5C6A" w:rsidP="00F34341">
      <w:pPr>
        <w:pStyle w:val="SingleTxtG"/>
        <w:rPr>
          <w:lang w:val="fr-FR"/>
        </w:rPr>
      </w:pPr>
      <w:r w:rsidRPr="00FF65D6">
        <w:rPr>
          <w:lang w:val="fr-FR"/>
        </w:rPr>
        <w:t>84</w:t>
      </w:r>
      <w:r w:rsidR="005C1799" w:rsidRPr="005C1799">
        <w:rPr>
          <w:lang w:val="fr-FR"/>
        </w:rPr>
        <w:t>.</w:t>
      </w:r>
      <w:r w:rsidRPr="00FF65D6">
        <w:rPr>
          <w:lang w:val="fr-FR"/>
        </w:rPr>
        <w:tab/>
        <w:t>Le programme public de réadaptation sociale et de protection de l</w:t>
      </w:r>
      <w:r w:rsidR="002127F6" w:rsidRPr="00FF65D6">
        <w:rPr>
          <w:lang w:val="fr-FR"/>
        </w:rPr>
        <w:t>’</w:t>
      </w:r>
      <w:r w:rsidRPr="00FF65D6">
        <w:rPr>
          <w:lang w:val="fr-FR"/>
        </w:rPr>
        <w:t>enfance comprend un sous-programme visant à fournir un abri aux enfants et aux jeunes vivant ou travaillant dans la rue</w:t>
      </w:r>
      <w:r w:rsidR="005C1799" w:rsidRPr="005C1799">
        <w:rPr>
          <w:lang w:val="fr-FR"/>
        </w:rPr>
        <w:t>.</w:t>
      </w:r>
      <w:r w:rsidRPr="00FF65D6">
        <w:rPr>
          <w:lang w:val="fr-FR"/>
        </w:rPr>
        <w:t xml:space="preserve"> Le programme inclut l</w:t>
      </w:r>
      <w:r w:rsidR="002127F6" w:rsidRPr="00FF65D6">
        <w:rPr>
          <w:lang w:val="fr-FR"/>
        </w:rPr>
        <w:t>’</w:t>
      </w:r>
      <w:r w:rsidRPr="00FF65D6">
        <w:rPr>
          <w:lang w:val="fr-FR"/>
        </w:rPr>
        <w:t>exploitation de quatre équipes mobiles de rue composées d</w:t>
      </w:r>
      <w:r w:rsidR="002127F6" w:rsidRPr="00FF65D6">
        <w:rPr>
          <w:lang w:val="fr-FR"/>
        </w:rPr>
        <w:t>’</w:t>
      </w:r>
      <w:r w:rsidRPr="00FF65D6">
        <w:rPr>
          <w:lang w:val="fr-FR"/>
        </w:rPr>
        <w:t>un travailleur social, d</w:t>
      </w:r>
      <w:r w:rsidR="002127F6" w:rsidRPr="00FF65D6">
        <w:rPr>
          <w:lang w:val="fr-FR"/>
        </w:rPr>
        <w:t>’</w:t>
      </w:r>
      <w:r w:rsidRPr="00FF65D6">
        <w:rPr>
          <w:lang w:val="fr-FR"/>
        </w:rPr>
        <w:t>un psychologue et d</w:t>
      </w:r>
      <w:r w:rsidR="002127F6" w:rsidRPr="00FF65D6">
        <w:rPr>
          <w:lang w:val="fr-FR"/>
        </w:rPr>
        <w:t>’</w:t>
      </w:r>
      <w:r w:rsidRPr="00FF65D6">
        <w:rPr>
          <w:lang w:val="fr-FR"/>
        </w:rPr>
        <w:t>un pair éducateur (un enfant qui vivait et travaillait auparavant dans la rue) qui joue le rôle de mentor, effectue le premier contact avec les enfants des rues et les oriente vers les services de ce programme</w:t>
      </w:r>
      <w:r w:rsidR="005C1799" w:rsidRPr="005C1799">
        <w:rPr>
          <w:lang w:val="fr-FR"/>
        </w:rPr>
        <w:t>.</w:t>
      </w:r>
      <w:r w:rsidRPr="00FF65D6">
        <w:rPr>
          <w:lang w:val="fr-FR"/>
        </w:rPr>
        <w:t xml:space="preserve"> Le programme finance également six centres d</w:t>
      </w:r>
      <w:r w:rsidR="002127F6" w:rsidRPr="00FF65D6">
        <w:rPr>
          <w:lang w:val="fr-FR"/>
        </w:rPr>
        <w:t>’</w:t>
      </w:r>
      <w:r w:rsidRPr="00FF65D6">
        <w:rPr>
          <w:lang w:val="fr-FR"/>
        </w:rPr>
        <w:t>accueil de jour et quatre centres d</w:t>
      </w:r>
      <w:r w:rsidR="002127F6" w:rsidRPr="00FF65D6">
        <w:rPr>
          <w:lang w:val="fr-FR"/>
        </w:rPr>
        <w:t>’</w:t>
      </w:r>
      <w:r w:rsidRPr="00FF65D6">
        <w:rPr>
          <w:lang w:val="fr-FR"/>
        </w:rPr>
        <w:t>accueil fonctionnant 24 heures sur 24, qui préparent les enfants à la réintégration dans la famille biologique ou à une protection de remplacement de type familial</w:t>
      </w:r>
      <w:r w:rsidR="005C1799" w:rsidRPr="005C1799">
        <w:rPr>
          <w:lang w:val="fr-FR"/>
        </w:rPr>
        <w:t>.</w:t>
      </w:r>
    </w:p>
    <w:p w14:paraId="11BB8C35" w14:textId="77777777" w:rsidR="005C5C6A" w:rsidRPr="00FF65D6" w:rsidRDefault="005C5C6A" w:rsidP="00F34341">
      <w:pPr>
        <w:pStyle w:val="SingleTxtG"/>
        <w:rPr>
          <w:lang w:val="fr-FR"/>
        </w:rPr>
      </w:pPr>
      <w:r w:rsidRPr="00FF65D6">
        <w:rPr>
          <w:lang w:val="fr-FR"/>
        </w:rPr>
        <w:t>85</w:t>
      </w:r>
      <w:r w:rsidR="005C1799" w:rsidRPr="005C1799">
        <w:rPr>
          <w:lang w:val="fr-FR"/>
        </w:rPr>
        <w:t>.</w:t>
      </w:r>
      <w:r w:rsidRPr="00FF65D6">
        <w:rPr>
          <w:lang w:val="fr-FR"/>
        </w:rPr>
        <w:tab/>
        <w:t>Au mois de juin 2016, les services dispensés au titre du sous-programme en vue d</w:t>
      </w:r>
      <w:r w:rsidR="002127F6" w:rsidRPr="00FF65D6">
        <w:rPr>
          <w:lang w:val="fr-FR"/>
        </w:rPr>
        <w:t>’</w:t>
      </w:r>
      <w:r w:rsidRPr="00FF65D6">
        <w:rPr>
          <w:lang w:val="fr-FR"/>
        </w:rPr>
        <w:t>héberger les enfants sans abri étaient les suivants</w:t>
      </w:r>
      <w:r w:rsidR="003B7618" w:rsidRPr="00FF65D6">
        <w:rPr>
          <w:lang w:val="fr-FR"/>
        </w:rPr>
        <w:t> :</w:t>
      </w:r>
    </w:p>
    <w:p w14:paraId="62FE9AA7" w14:textId="77777777" w:rsidR="005C5C6A" w:rsidRPr="00FF65D6" w:rsidRDefault="005C5C6A" w:rsidP="005C5C6A">
      <w:pPr>
        <w:pStyle w:val="Bullet1G"/>
        <w:rPr>
          <w:lang w:val="fr-FR"/>
        </w:rPr>
      </w:pPr>
      <w:r w:rsidRPr="00FF65D6">
        <w:rPr>
          <w:lang w:val="fr-FR"/>
        </w:rPr>
        <w:t>115 bénéficiaires étaient dans des centres d</w:t>
      </w:r>
      <w:r w:rsidR="002127F6" w:rsidRPr="00FF65D6">
        <w:rPr>
          <w:lang w:val="fr-FR"/>
        </w:rPr>
        <w:t>’</w:t>
      </w:r>
      <w:r w:rsidRPr="00FF65D6">
        <w:rPr>
          <w:lang w:val="fr-FR"/>
        </w:rPr>
        <w:t>accueil de jour, le nombre mensuel de bénéficiaires de ce service était de 96</w:t>
      </w:r>
      <w:r w:rsidR="003B7618" w:rsidRPr="00FF65D6">
        <w:rPr>
          <w:lang w:val="fr-FR"/>
        </w:rPr>
        <w:t> ;</w:t>
      </w:r>
    </w:p>
    <w:p w14:paraId="5C7FEADB" w14:textId="77777777" w:rsidR="005C5C6A" w:rsidRPr="00FF65D6" w:rsidRDefault="005C5C6A" w:rsidP="005C5C6A">
      <w:pPr>
        <w:pStyle w:val="Bullet1G"/>
        <w:rPr>
          <w:lang w:val="fr-FR"/>
        </w:rPr>
      </w:pPr>
      <w:r w:rsidRPr="00FF65D6">
        <w:rPr>
          <w:lang w:val="fr-FR"/>
        </w:rPr>
        <w:t>37 bénéficiaires étaient dans des centres d</w:t>
      </w:r>
      <w:r w:rsidR="002127F6" w:rsidRPr="00FF65D6">
        <w:rPr>
          <w:lang w:val="fr-FR"/>
        </w:rPr>
        <w:t>’</w:t>
      </w:r>
      <w:r w:rsidRPr="00FF65D6">
        <w:rPr>
          <w:lang w:val="fr-FR"/>
        </w:rPr>
        <w:t>hébergement, le nombre mensuel de bénéficiaires était de 34</w:t>
      </w:r>
      <w:r w:rsidR="003B7618" w:rsidRPr="00FF65D6">
        <w:rPr>
          <w:lang w:val="fr-FR"/>
        </w:rPr>
        <w:t> ;</w:t>
      </w:r>
    </w:p>
    <w:p w14:paraId="3261CCDE" w14:textId="77777777" w:rsidR="005C5C6A" w:rsidRPr="00FF65D6" w:rsidRDefault="005C5C6A" w:rsidP="005C5C6A">
      <w:pPr>
        <w:pStyle w:val="Bullet1G"/>
        <w:rPr>
          <w:lang w:val="fr-FR"/>
        </w:rPr>
      </w:pPr>
      <w:r w:rsidRPr="00FF65D6">
        <w:rPr>
          <w:lang w:val="fr-FR"/>
        </w:rPr>
        <w:t>Le service d</w:t>
      </w:r>
      <w:r w:rsidR="002127F6" w:rsidRPr="00FF65D6">
        <w:rPr>
          <w:lang w:val="fr-FR"/>
        </w:rPr>
        <w:t>’</w:t>
      </w:r>
      <w:r w:rsidRPr="00FF65D6">
        <w:rPr>
          <w:lang w:val="fr-FR"/>
        </w:rPr>
        <w:t>accueil téléphonique a reçu 73 appels, dont 24 ont été transférés au service 112</w:t>
      </w:r>
      <w:r w:rsidR="005C1799" w:rsidRPr="005C1799">
        <w:rPr>
          <w:lang w:val="fr-FR"/>
        </w:rPr>
        <w:t>.</w:t>
      </w:r>
      <w:r w:rsidRPr="00FF65D6">
        <w:rPr>
          <w:lang w:val="fr-FR"/>
        </w:rPr>
        <w:t xml:space="preserve"> Les groupes mobiles ont répondu à 46 appels téléphoniques</w:t>
      </w:r>
      <w:r w:rsidR="005C1799" w:rsidRPr="005C1799">
        <w:rPr>
          <w:lang w:val="fr-FR"/>
        </w:rPr>
        <w:t>.</w:t>
      </w:r>
      <w:r w:rsidRPr="00FF65D6">
        <w:rPr>
          <w:lang w:val="fr-FR"/>
        </w:rPr>
        <w:t xml:space="preserve"> Dans </w:t>
      </w:r>
      <w:r w:rsidR="00F4136E">
        <w:rPr>
          <w:lang w:val="fr-FR"/>
        </w:rPr>
        <w:t>trois</w:t>
      </w:r>
      <w:r w:rsidRPr="00FF65D6">
        <w:rPr>
          <w:lang w:val="fr-FR"/>
        </w:rPr>
        <w:t xml:space="preserve"> cas seulement, les groupes mobiles n</w:t>
      </w:r>
      <w:r w:rsidR="002127F6" w:rsidRPr="00FF65D6">
        <w:rPr>
          <w:lang w:val="fr-FR"/>
        </w:rPr>
        <w:t>’</w:t>
      </w:r>
      <w:r w:rsidRPr="00FF65D6">
        <w:rPr>
          <w:lang w:val="fr-FR"/>
        </w:rPr>
        <w:t>ont pas été en mesure d</w:t>
      </w:r>
      <w:r w:rsidR="002127F6" w:rsidRPr="00FF65D6">
        <w:rPr>
          <w:lang w:val="fr-FR"/>
        </w:rPr>
        <w:t>’</w:t>
      </w:r>
      <w:r w:rsidRPr="00FF65D6">
        <w:rPr>
          <w:lang w:val="fr-FR"/>
        </w:rPr>
        <w:t>intervenir</w:t>
      </w:r>
      <w:r w:rsidR="005C1799" w:rsidRPr="005C1799">
        <w:rPr>
          <w:lang w:val="fr-FR"/>
        </w:rPr>
        <w:t>.</w:t>
      </w:r>
    </w:p>
    <w:p w14:paraId="6CFD3D68" w14:textId="77777777" w:rsidR="005C5C6A" w:rsidRPr="00FF65D6" w:rsidRDefault="005C5C6A" w:rsidP="00F34341">
      <w:pPr>
        <w:pStyle w:val="SingleTxtG"/>
        <w:rPr>
          <w:lang w:val="fr-FR"/>
        </w:rPr>
      </w:pPr>
      <w:r w:rsidRPr="00FF65D6">
        <w:rPr>
          <w:lang w:val="fr-FR"/>
        </w:rPr>
        <w:t>86</w:t>
      </w:r>
      <w:r w:rsidR="005C1799" w:rsidRPr="005C1799">
        <w:rPr>
          <w:lang w:val="fr-FR"/>
        </w:rPr>
        <w:t>.</w:t>
      </w:r>
      <w:r w:rsidRPr="00FF65D6">
        <w:rPr>
          <w:lang w:val="fr-FR"/>
        </w:rPr>
        <w:tab/>
        <w:t>Depuis 2014</w:t>
      </w:r>
      <w:r w:rsidR="003B7618" w:rsidRPr="00FF65D6">
        <w:rPr>
          <w:lang w:val="fr-FR"/>
        </w:rPr>
        <w:t> :</w:t>
      </w:r>
    </w:p>
    <w:p w14:paraId="4A29BA0A" w14:textId="77777777" w:rsidR="005C5C6A" w:rsidRPr="00FF65D6" w:rsidRDefault="005C5C6A" w:rsidP="005C5C6A">
      <w:pPr>
        <w:pStyle w:val="Bullet1G"/>
        <w:rPr>
          <w:lang w:val="fr-FR"/>
        </w:rPr>
      </w:pPr>
      <w:r w:rsidRPr="00FF65D6">
        <w:rPr>
          <w:lang w:val="fr-FR"/>
        </w:rPr>
        <w:t>14 enfants ont été transférés des centres d</w:t>
      </w:r>
      <w:r w:rsidR="002127F6" w:rsidRPr="00FF65D6">
        <w:rPr>
          <w:lang w:val="fr-FR"/>
        </w:rPr>
        <w:t>’</w:t>
      </w:r>
      <w:r w:rsidRPr="00FF65D6">
        <w:rPr>
          <w:lang w:val="fr-FR"/>
        </w:rPr>
        <w:t>hébergement dans des foyers accueillant de petits groupes</w:t>
      </w:r>
      <w:r w:rsidR="003B7618" w:rsidRPr="00FF65D6">
        <w:rPr>
          <w:lang w:val="fr-FR"/>
        </w:rPr>
        <w:t> ;</w:t>
      </w:r>
    </w:p>
    <w:p w14:paraId="3DD2E3D4" w14:textId="77777777" w:rsidR="005C5C6A" w:rsidRPr="00FF65D6" w:rsidRDefault="005C5C6A" w:rsidP="005C5C6A">
      <w:pPr>
        <w:pStyle w:val="Bullet1G"/>
        <w:rPr>
          <w:lang w:val="fr-FR"/>
        </w:rPr>
      </w:pPr>
      <w:r w:rsidRPr="00FF65D6">
        <w:rPr>
          <w:lang w:val="fr-FR"/>
        </w:rPr>
        <w:t>16 enfants qui étaient dans un centre d</w:t>
      </w:r>
      <w:r w:rsidR="002127F6" w:rsidRPr="00FF65D6">
        <w:rPr>
          <w:lang w:val="fr-FR"/>
        </w:rPr>
        <w:t>’</w:t>
      </w:r>
      <w:r w:rsidRPr="00FF65D6">
        <w:rPr>
          <w:lang w:val="fr-FR"/>
        </w:rPr>
        <w:t>hébergement ont été placés dans une famille d</w:t>
      </w:r>
      <w:r w:rsidR="002127F6" w:rsidRPr="00FF65D6">
        <w:rPr>
          <w:lang w:val="fr-FR"/>
        </w:rPr>
        <w:t>’</w:t>
      </w:r>
      <w:r w:rsidRPr="00FF65D6">
        <w:rPr>
          <w:lang w:val="fr-FR"/>
        </w:rPr>
        <w:t>accueil</w:t>
      </w:r>
      <w:r w:rsidR="003B7618" w:rsidRPr="00FF65D6">
        <w:rPr>
          <w:lang w:val="fr-FR"/>
        </w:rPr>
        <w:t> ;</w:t>
      </w:r>
    </w:p>
    <w:p w14:paraId="5E7B1FD2" w14:textId="77777777" w:rsidR="005C5C6A" w:rsidRPr="00FF65D6" w:rsidRDefault="005C5C6A" w:rsidP="005C5C6A">
      <w:pPr>
        <w:pStyle w:val="Bullet1G"/>
        <w:rPr>
          <w:lang w:val="fr-FR"/>
        </w:rPr>
      </w:pPr>
      <w:r w:rsidRPr="00FF65D6">
        <w:rPr>
          <w:lang w:val="fr-FR"/>
        </w:rPr>
        <w:t>10 enfants ont été réintégrés</w:t>
      </w:r>
      <w:r w:rsidR="003B7618" w:rsidRPr="00FF65D6">
        <w:rPr>
          <w:lang w:val="fr-FR"/>
        </w:rPr>
        <w:t> ;</w:t>
      </w:r>
    </w:p>
    <w:p w14:paraId="34809308" w14:textId="77777777" w:rsidR="005C5C6A" w:rsidRPr="00FF65D6" w:rsidRDefault="005C5C6A" w:rsidP="005C5C6A">
      <w:pPr>
        <w:pStyle w:val="Bullet1G"/>
        <w:rPr>
          <w:lang w:val="fr-FR"/>
        </w:rPr>
      </w:pPr>
      <w:r w:rsidRPr="00FF65D6">
        <w:rPr>
          <w:lang w:val="fr-FR"/>
        </w:rPr>
        <w:t>90 enfants et des membres de leur famille ont bénéficié d</w:t>
      </w:r>
      <w:r w:rsidR="002127F6" w:rsidRPr="00FF65D6">
        <w:rPr>
          <w:lang w:val="fr-FR"/>
        </w:rPr>
        <w:t>’</w:t>
      </w:r>
      <w:r w:rsidRPr="00FF65D6">
        <w:rPr>
          <w:lang w:val="fr-FR"/>
        </w:rPr>
        <w:t>une aide aux fins de la délivrance de documents officiels</w:t>
      </w:r>
      <w:r w:rsidR="003B7618" w:rsidRPr="00FF65D6">
        <w:rPr>
          <w:lang w:val="fr-FR"/>
        </w:rPr>
        <w:t> ;</w:t>
      </w:r>
    </w:p>
    <w:p w14:paraId="43956848" w14:textId="77777777" w:rsidR="005C5C6A" w:rsidRPr="00FF65D6" w:rsidRDefault="005C5C6A" w:rsidP="005C5C6A">
      <w:pPr>
        <w:pStyle w:val="Bullet1G"/>
        <w:rPr>
          <w:lang w:val="fr-FR"/>
        </w:rPr>
      </w:pPr>
      <w:r w:rsidRPr="00FF65D6">
        <w:rPr>
          <w:lang w:val="fr-FR"/>
        </w:rPr>
        <w:t>38 familles de bénéficiaires étaient inscrit</w:t>
      </w:r>
      <w:r w:rsidR="00006F64" w:rsidRPr="00FF65D6">
        <w:rPr>
          <w:lang w:val="fr-FR"/>
        </w:rPr>
        <w:t>e</w:t>
      </w:r>
      <w:r w:rsidRPr="00FF65D6">
        <w:rPr>
          <w:lang w:val="fr-FR"/>
        </w:rPr>
        <w:t>s à un sous-programme d</w:t>
      </w:r>
      <w:r w:rsidR="002127F6" w:rsidRPr="00FF65D6">
        <w:rPr>
          <w:lang w:val="fr-FR"/>
        </w:rPr>
        <w:t>’</w:t>
      </w:r>
      <w:r w:rsidRPr="00FF65D6">
        <w:rPr>
          <w:lang w:val="fr-FR"/>
        </w:rPr>
        <w:t>aide d</w:t>
      </w:r>
      <w:r w:rsidR="002127F6" w:rsidRPr="00FF65D6">
        <w:rPr>
          <w:lang w:val="fr-FR"/>
        </w:rPr>
        <w:t>’</w:t>
      </w:r>
      <w:r w:rsidRPr="00FF65D6">
        <w:rPr>
          <w:lang w:val="fr-FR"/>
        </w:rPr>
        <w:t>urgence pour les familles avec enfants en situation de crise</w:t>
      </w:r>
      <w:r w:rsidR="003B7618" w:rsidRPr="00FF65D6">
        <w:rPr>
          <w:lang w:val="fr-FR"/>
        </w:rPr>
        <w:t> ;</w:t>
      </w:r>
    </w:p>
    <w:p w14:paraId="55CE6BD8" w14:textId="77777777" w:rsidR="005C5C6A" w:rsidRPr="00FF65D6" w:rsidRDefault="005C5C6A" w:rsidP="005C5C6A">
      <w:pPr>
        <w:pStyle w:val="Bullet1G"/>
        <w:rPr>
          <w:lang w:val="fr-FR"/>
        </w:rPr>
      </w:pPr>
      <w:r w:rsidRPr="00FF65D6">
        <w:rPr>
          <w:lang w:val="fr-FR"/>
        </w:rPr>
        <w:t>56 bénéficiaires étaient inscrits à l</w:t>
      </w:r>
      <w:r w:rsidR="002127F6" w:rsidRPr="00FF65D6">
        <w:rPr>
          <w:lang w:val="fr-FR"/>
        </w:rPr>
        <w:t>’</w:t>
      </w:r>
      <w:r w:rsidRPr="00FF65D6">
        <w:rPr>
          <w:lang w:val="fr-FR"/>
        </w:rPr>
        <w:t>école</w:t>
      </w:r>
      <w:r w:rsidR="005C1799" w:rsidRPr="005C1799">
        <w:rPr>
          <w:lang w:val="fr-FR"/>
        </w:rPr>
        <w:t>.</w:t>
      </w:r>
      <w:r w:rsidRPr="00FF65D6">
        <w:rPr>
          <w:lang w:val="fr-FR"/>
        </w:rPr>
        <w:t xml:space="preserve"> </w:t>
      </w:r>
    </w:p>
    <w:p w14:paraId="6B0C2791" w14:textId="77777777" w:rsidR="005C5C6A" w:rsidRPr="00FF65D6" w:rsidRDefault="005C5C6A" w:rsidP="00F34341">
      <w:pPr>
        <w:pStyle w:val="SingleTxtG"/>
        <w:rPr>
          <w:lang w:val="fr-FR"/>
        </w:rPr>
      </w:pPr>
      <w:r w:rsidRPr="00FF65D6">
        <w:rPr>
          <w:lang w:val="fr-FR"/>
        </w:rPr>
        <w:t>87</w:t>
      </w:r>
      <w:r w:rsidR="005C1799" w:rsidRPr="005C1799">
        <w:rPr>
          <w:lang w:val="fr-FR"/>
        </w:rPr>
        <w:t>.</w:t>
      </w:r>
      <w:r w:rsidRPr="00FF65D6">
        <w:rPr>
          <w:lang w:val="fr-FR"/>
        </w:rPr>
        <w:tab/>
        <w:t>En 2015, dans le cadre du programme « Seconde chance pour l</w:t>
      </w:r>
      <w:r w:rsidR="002127F6" w:rsidRPr="00FF65D6">
        <w:rPr>
          <w:lang w:val="fr-FR"/>
        </w:rPr>
        <w:t>’</w:t>
      </w:r>
      <w:r w:rsidRPr="00FF65D6">
        <w:rPr>
          <w:lang w:val="fr-FR"/>
        </w:rPr>
        <w:t>éducation des enfants non scolarisés au Géorgie », le Ministère de l</w:t>
      </w:r>
      <w:r w:rsidR="002127F6" w:rsidRPr="00FF65D6">
        <w:rPr>
          <w:lang w:val="fr-FR"/>
        </w:rPr>
        <w:t>’</w:t>
      </w:r>
      <w:r w:rsidRPr="00FF65D6">
        <w:rPr>
          <w:lang w:val="fr-FR"/>
        </w:rPr>
        <w:t>éducation et des sciences a commencé à garantir que les enfants qui vivent et travaillent dans la rue bénéficient de la composante éducation</w:t>
      </w:r>
      <w:r w:rsidR="005C1799" w:rsidRPr="005C1799">
        <w:rPr>
          <w:lang w:val="fr-FR"/>
        </w:rPr>
        <w:t>.</w:t>
      </w:r>
      <w:r w:rsidRPr="00FF65D6">
        <w:rPr>
          <w:lang w:val="fr-FR"/>
        </w:rPr>
        <w:t xml:space="preserve"> Au titre de ce programme, un travail individuel est mené avec chaque bénéficiaire des services fournis par l</w:t>
      </w:r>
      <w:r w:rsidR="002127F6" w:rsidRPr="00FF65D6">
        <w:rPr>
          <w:lang w:val="fr-FR"/>
        </w:rPr>
        <w:t>’</w:t>
      </w:r>
      <w:r w:rsidRPr="00FF65D6">
        <w:rPr>
          <w:lang w:val="fr-FR"/>
        </w:rPr>
        <w:t>Agence des services sociaux</w:t>
      </w:r>
      <w:r w:rsidR="005C1799" w:rsidRPr="005C1799">
        <w:rPr>
          <w:lang w:val="fr-FR"/>
        </w:rPr>
        <w:t>.</w:t>
      </w:r>
      <w:r w:rsidRPr="00FF65D6">
        <w:rPr>
          <w:lang w:val="fr-FR"/>
        </w:rPr>
        <w:t xml:space="preserve"> </w:t>
      </w:r>
    </w:p>
    <w:p w14:paraId="4C56C74F" w14:textId="77777777" w:rsidR="005C5C6A" w:rsidRPr="00FF65D6" w:rsidRDefault="005C5C6A" w:rsidP="00F34341">
      <w:pPr>
        <w:pStyle w:val="SingleTxtG"/>
        <w:rPr>
          <w:lang w:val="fr-FR"/>
        </w:rPr>
      </w:pPr>
      <w:r w:rsidRPr="00FF65D6">
        <w:rPr>
          <w:lang w:val="fr-FR"/>
        </w:rPr>
        <w:t>88</w:t>
      </w:r>
      <w:r w:rsidR="005C1799" w:rsidRPr="005C1799">
        <w:rPr>
          <w:lang w:val="fr-FR"/>
        </w:rPr>
        <w:t>.</w:t>
      </w:r>
      <w:r w:rsidRPr="00FF65D6">
        <w:rPr>
          <w:lang w:val="fr-FR"/>
        </w:rPr>
        <w:tab/>
        <w:t>En 2016, dans le cadre du Programme « Seconde chance pour l</w:t>
      </w:r>
      <w:r w:rsidR="002127F6" w:rsidRPr="00FF65D6">
        <w:rPr>
          <w:lang w:val="fr-FR"/>
        </w:rPr>
        <w:t>’</w:t>
      </w:r>
      <w:r w:rsidRPr="00FF65D6">
        <w:rPr>
          <w:lang w:val="fr-FR"/>
        </w:rPr>
        <w:t>éducation des enfants non scolarisés en Géorgie », le Ministère de l</w:t>
      </w:r>
      <w:r w:rsidR="002127F6" w:rsidRPr="00FF65D6">
        <w:rPr>
          <w:lang w:val="fr-FR"/>
        </w:rPr>
        <w:t>’</w:t>
      </w:r>
      <w:r w:rsidRPr="00FF65D6">
        <w:rPr>
          <w:lang w:val="fr-FR"/>
        </w:rPr>
        <w:t>éducation et des sciences offre un service spécial, intitulé « Programme éducatif de transition » dans le cadre des services destinés aux enfants sans abri dispensés par l</w:t>
      </w:r>
      <w:r w:rsidR="002127F6" w:rsidRPr="00FF65D6">
        <w:rPr>
          <w:lang w:val="fr-FR"/>
        </w:rPr>
        <w:t>’</w:t>
      </w:r>
      <w:r w:rsidRPr="00FF65D6">
        <w:rPr>
          <w:lang w:val="fr-FR"/>
        </w:rPr>
        <w:t>Agence des services sociaux</w:t>
      </w:r>
      <w:r w:rsidR="005C1799" w:rsidRPr="005C1799">
        <w:rPr>
          <w:lang w:val="fr-FR"/>
        </w:rPr>
        <w:t>.</w:t>
      </w:r>
      <w:r w:rsidRPr="00FF65D6">
        <w:rPr>
          <w:lang w:val="fr-FR"/>
        </w:rPr>
        <w:t xml:space="preserve"> Le programme vise à intégrer les enfants sans abri (les « enfants vivant et travaillant dans les rues ») dans l</w:t>
      </w:r>
      <w:r w:rsidR="002127F6" w:rsidRPr="00FF65D6">
        <w:rPr>
          <w:lang w:val="fr-FR"/>
        </w:rPr>
        <w:t>’</w:t>
      </w:r>
      <w:r w:rsidRPr="00FF65D6">
        <w:rPr>
          <w:lang w:val="fr-FR"/>
        </w:rPr>
        <w:t>enseignement scolaire formel</w:t>
      </w:r>
      <w:r w:rsidR="005C1799" w:rsidRPr="005C1799">
        <w:rPr>
          <w:lang w:val="fr-FR"/>
        </w:rPr>
        <w:t>.</w:t>
      </w:r>
      <w:r w:rsidRPr="00FF65D6">
        <w:rPr>
          <w:lang w:val="fr-FR"/>
        </w:rPr>
        <w:t xml:space="preserve"> À ce stade, il fournit une assistance à environ 80 enfants pour qu</w:t>
      </w:r>
      <w:r w:rsidR="002127F6" w:rsidRPr="00FF65D6">
        <w:rPr>
          <w:lang w:val="fr-FR"/>
        </w:rPr>
        <w:t>’</w:t>
      </w:r>
      <w:r w:rsidRPr="00FF65D6">
        <w:rPr>
          <w:lang w:val="fr-FR"/>
        </w:rPr>
        <w:t>ils s</w:t>
      </w:r>
      <w:r w:rsidR="002127F6" w:rsidRPr="00FF65D6">
        <w:rPr>
          <w:lang w:val="fr-FR"/>
        </w:rPr>
        <w:t>’</w:t>
      </w:r>
      <w:r w:rsidRPr="00FF65D6">
        <w:rPr>
          <w:lang w:val="fr-FR"/>
        </w:rPr>
        <w:t>inscrivent dans les écoles et les établissements d</w:t>
      </w:r>
      <w:r w:rsidR="002127F6" w:rsidRPr="00FF65D6">
        <w:rPr>
          <w:lang w:val="fr-FR"/>
        </w:rPr>
        <w:t>’</w:t>
      </w:r>
      <w:r w:rsidRPr="00FF65D6">
        <w:rPr>
          <w:lang w:val="fr-FR"/>
        </w:rPr>
        <w:t>enseignement professionnel</w:t>
      </w:r>
      <w:r w:rsidR="005C1799" w:rsidRPr="005C1799">
        <w:rPr>
          <w:lang w:val="fr-FR"/>
        </w:rPr>
        <w:t>.</w:t>
      </w:r>
      <w:r w:rsidRPr="00FF65D6">
        <w:rPr>
          <w:lang w:val="fr-FR"/>
        </w:rPr>
        <w:t xml:space="preserve"> Des spécialistes travaillent également au développement de leurs aptitudes scolaires et de leurs capacités cognitives et fonctionnelles</w:t>
      </w:r>
      <w:r w:rsidR="005C1799" w:rsidRPr="005C1799">
        <w:rPr>
          <w:lang w:val="fr-FR"/>
        </w:rPr>
        <w:t>.</w:t>
      </w:r>
    </w:p>
    <w:p w14:paraId="3828EF40" w14:textId="77777777" w:rsidR="005C5C6A" w:rsidRPr="00FF65D6" w:rsidRDefault="005C5C6A" w:rsidP="00F34341">
      <w:pPr>
        <w:pStyle w:val="SingleTxtG"/>
        <w:rPr>
          <w:lang w:val="fr-FR"/>
        </w:rPr>
      </w:pPr>
      <w:r w:rsidRPr="00FF65D6">
        <w:rPr>
          <w:lang w:val="fr-FR"/>
        </w:rPr>
        <w:t>89</w:t>
      </w:r>
      <w:r w:rsidR="005C1799" w:rsidRPr="005C1799">
        <w:rPr>
          <w:lang w:val="fr-FR"/>
        </w:rPr>
        <w:t>.</w:t>
      </w:r>
      <w:r w:rsidRPr="00FF65D6">
        <w:rPr>
          <w:lang w:val="fr-FR"/>
        </w:rPr>
        <w:tab/>
        <w:t>Il convient de noter le rôle des ONG locales dans la campagne de sensibilisation</w:t>
      </w:r>
      <w:r w:rsidR="005C1799" w:rsidRPr="005C1799">
        <w:rPr>
          <w:lang w:val="fr-FR"/>
        </w:rPr>
        <w:t>.</w:t>
      </w:r>
      <w:r w:rsidRPr="00FF65D6">
        <w:rPr>
          <w:lang w:val="fr-FR"/>
        </w:rPr>
        <w:t xml:space="preserve"> Comme cela a été mentionné plus haut, chaque année, le Ministère de la justice octroie des subventions à des organisations de la société civile afin de faciliter leur participation à des activités de sensibilisation</w:t>
      </w:r>
      <w:r w:rsidR="005C1799" w:rsidRPr="005C1799">
        <w:rPr>
          <w:lang w:val="fr-FR"/>
        </w:rPr>
        <w:t>.</w:t>
      </w:r>
      <w:r w:rsidRPr="00FF65D6">
        <w:rPr>
          <w:lang w:val="fr-FR"/>
        </w:rPr>
        <w:t xml:space="preserve"> On trouvera à l</w:t>
      </w:r>
      <w:r w:rsidR="002127F6" w:rsidRPr="00FF65D6">
        <w:rPr>
          <w:lang w:val="fr-FR"/>
        </w:rPr>
        <w:t>’</w:t>
      </w:r>
      <w:r w:rsidRPr="00FF65D6">
        <w:rPr>
          <w:lang w:val="fr-FR"/>
        </w:rPr>
        <w:t>annexe I du présent rapport des informations détaillées sur les activités menées pour sensibiliser la société à la nature même de la traite des êtres humains et aux méthodes de lutte contre cette forme de criminalité</w:t>
      </w:r>
      <w:r w:rsidR="005C1799" w:rsidRPr="005C1799">
        <w:rPr>
          <w:lang w:val="fr-FR"/>
        </w:rPr>
        <w:t>.</w:t>
      </w:r>
    </w:p>
    <w:p w14:paraId="156F4404" w14:textId="77777777" w:rsidR="005C5C6A" w:rsidRPr="00FF65D6" w:rsidRDefault="005C5C6A" w:rsidP="00F34341">
      <w:pPr>
        <w:pStyle w:val="SingleTxtG"/>
        <w:rPr>
          <w:lang w:val="fr-FR"/>
        </w:rPr>
      </w:pPr>
      <w:r w:rsidRPr="00FF65D6">
        <w:rPr>
          <w:lang w:val="fr-FR"/>
        </w:rPr>
        <w:t>90</w:t>
      </w:r>
      <w:r w:rsidR="005C1799" w:rsidRPr="005C1799">
        <w:rPr>
          <w:lang w:val="fr-FR"/>
        </w:rPr>
        <w:t>.</w:t>
      </w:r>
      <w:r w:rsidRPr="00FF65D6">
        <w:rPr>
          <w:lang w:val="fr-FR"/>
        </w:rPr>
        <w:tab/>
        <w:t>Dans ce cadre, 150 enseignants et directeurs des écoles publiques ont suivi une formation pour améliorer leurs méthodes et leur capacité de surmonter les difficultés qu</w:t>
      </w:r>
      <w:r w:rsidR="002127F6" w:rsidRPr="00FF65D6">
        <w:rPr>
          <w:lang w:val="fr-FR"/>
        </w:rPr>
        <w:t>’</w:t>
      </w:r>
      <w:r w:rsidRPr="00FF65D6">
        <w:rPr>
          <w:lang w:val="fr-FR"/>
        </w:rPr>
        <w:t>ils rencontrent dans leurs rapports et leur travail avec les enfants vulnérables, y compris les enfants vivant et travaillant dans la rue</w:t>
      </w:r>
      <w:r w:rsidR="005C1799" w:rsidRPr="005C1799">
        <w:rPr>
          <w:lang w:val="fr-FR"/>
        </w:rPr>
        <w:t>.</w:t>
      </w:r>
    </w:p>
    <w:p w14:paraId="68911828" w14:textId="77777777" w:rsidR="005C5C6A" w:rsidRPr="00FF65D6" w:rsidRDefault="005C5C6A" w:rsidP="00F34341">
      <w:pPr>
        <w:pStyle w:val="SingleTxtG"/>
        <w:rPr>
          <w:lang w:val="fr-FR"/>
        </w:rPr>
      </w:pPr>
      <w:r w:rsidRPr="00FF65D6">
        <w:rPr>
          <w:lang w:val="fr-FR"/>
        </w:rPr>
        <w:t>91</w:t>
      </w:r>
      <w:r w:rsidR="005C1799" w:rsidRPr="005C1799">
        <w:rPr>
          <w:lang w:val="fr-FR"/>
        </w:rPr>
        <w:t>.</w:t>
      </w:r>
      <w:r w:rsidRPr="00FF65D6">
        <w:rPr>
          <w:lang w:val="fr-FR"/>
        </w:rPr>
        <w:tab/>
        <w:t>Les parents des élèves qui sont en classe avec les enfants vivant et travaillant dans la rue apprennent ce que sont les droits fondamentaux des enfants</w:t>
      </w:r>
      <w:r w:rsidR="005C1799" w:rsidRPr="005C1799">
        <w:rPr>
          <w:lang w:val="fr-FR"/>
        </w:rPr>
        <w:t>.</w:t>
      </w:r>
      <w:r w:rsidRPr="00FF65D6">
        <w:rPr>
          <w:lang w:val="fr-FR"/>
        </w:rPr>
        <w:t xml:space="preserve"> Des informations leur sont également communiquées sur les difficultés que la société pose aux adolescents qui ont connu d</w:t>
      </w:r>
      <w:r w:rsidR="002127F6" w:rsidRPr="00FF65D6">
        <w:rPr>
          <w:lang w:val="fr-FR"/>
        </w:rPr>
        <w:t>’</w:t>
      </w:r>
      <w:r w:rsidRPr="00FF65D6">
        <w:rPr>
          <w:lang w:val="fr-FR"/>
        </w:rPr>
        <w:t>amères expériences</w:t>
      </w:r>
      <w:r w:rsidR="005C1799" w:rsidRPr="005C1799">
        <w:rPr>
          <w:lang w:val="fr-FR"/>
        </w:rPr>
        <w:t>.</w:t>
      </w:r>
      <w:r w:rsidRPr="00FF65D6">
        <w:rPr>
          <w:lang w:val="fr-FR"/>
        </w:rPr>
        <w:t xml:space="preserve"> La campagne d</w:t>
      </w:r>
      <w:r w:rsidR="002127F6" w:rsidRPr="00FF65D6">
        <w:rPr>
          <w:lang w:val="fr-FR"/>
        </w:rPr>
        <w:t>’</w:t>
      </w:r>
      <w:r w:rsidRPr="00FF65D6">
        <w:rPr>
          <w:lang w:val="fr-FR"/>
        </w:rPr>
        <w:t>information a été organisée pour surmonter la stigmatisation dans la société à l</w:t>
      </w:r>
      <w:r w:rsidR="002127F6" w:rsidRPr="00FF65D6">
        <w:rPr>
          <w:lang w:val="fr-FR"/>
        </w:rPr>
        <w:t>’</w:t>
      </w:r>
      <w:r w:rsidRPr="00FF65D6">
        <w:rPr>
          <w:lang w:val="fr-FR"/>
        </w:rPr>
        <w:t>égard des enfants vivant et travaillant dans la rue</w:t>
      </w:r>
      <w:r w:rsidR="005C1799" w:rsidRPr="005C1799">
        <w:rPr>
          <w:lang w:val="fr-FR"/>
        </w:rPr>
        <w:t>.</w:t>
      </w:r>
      <w:r w:rsidRPr="00FF65D6">
        <w:rPr>
          <w:lang w:val="fr-FR"/>
        </w:rPr>
        <w:t xml:space="preserve"> </w:t>
      </w:r>
    </w:p>
    <w:p w14:paraId="2158940B" w14:textId="77777777" w:rsidR="005C5C6A" w:rsidRPr="00FF65D6" w:rsidRDefault="005C5C6A" w:rsidP="00F34341">
      <w:pPr>
        <w:pStyle w:val="SingleTxtG"/>
        <w:rPr>
          <w:lang w:val="fr-FR"/>
        </w:rPr>
      </w:pPr>
      <w:r w:rsidRPr="00FF65D6">
        <w:rPr>
          <w:lang w:val="fr-FR"/>
        </w:rPr>
        <w:t>92</w:t>
      </w:r>
      <w:r w:rsidR="005C1799" w:rsidRPr="005C1799">
        <w:rPr>
          <w:lang w:val="fr-FR"/>
        </w:rPr>
        <w:t>.</w:t>
      </w:r>
      <w:r w:rsidRPr="00FF65D6">
        <w:rPr>
          <w:lang w:val="fr-FR"/>
        </w:rPr>
        <w:tab/>
        <w:t>Pour prévenir les risques qu</w:t>
      </w:r>
      <w:r w:rsidR="002127F6" w:rsidRPr="00FF65D6">
        <w:rPr>
          <w:lang w:val="fr-FR"/>
        </w:rPr>
        <w:t>’</w:t>
      </w:r>
      <w:r w:rsidRPr="00FF65D6">
        <w:rPr>
          <w:lang w:val="fr-FR"/>
        </w:rPr>
        <w:t>encourent les « enfants vulnérables », le programme « Seconde chance pour l</w:t>
      </w:r>
      <w:r w:rsidR="002127F6" w:rsidRPr="00FF65D6">
        <w:rPr>
          <w:lang w:val="fr-FR"/>
        </w:rPr>
        <w:t>’</w:t>
      </w:r>
      <w:r w:rsidRPr="00FF65D6">
        <w:rPr>
          <w:lang w:val="fr-FR"/>
        </w:rPr>
        <w:t>éducation des enfants non scolarisés en Géorgie » travaille à</w:t>
      </w:r>
      <w:r w:rsidR="003B7618" w:rsidRPr="00FF65D6">
        <w:rPr>
          <w:lang w:val="fr-FR"/>
        </w:rPr>
        <w:t> :</w:t>
      </w:r>
      <w:r w:rsidRPr="00FF65D6">
        <w:rPr>
          <w:lang w:val="fr-FR"/>
        </w:rPr>
        <w:t xml:space="preserve"> </w:t>
      </w:r>
    </w:p>
    <w:p w14:paraId="5E3437D8" w14:textId="77777777" w:rsidR="005C5C6A" w:rsidRPr="00FF65D6" w:rsidRDefault="005C5C6A" w:rsidP="005C5C6A">
      <w:pPr>
        <w:pStyle w:val="Bullet1G"/>
        <w:rPr>
          <w:lang w:val="fr-FR"/>
        </w:rPr>
      </w:pPr>
      <w:r w:rsidRPr="00FF65D6">
        <w:rPr>
          <w:lang w:val="fr-FR"/>
        </w:rPr>
        <w:t>La création d</w:t>
      </w:r>
      <w:r w:rsidR="002127F6" w:rsidRPr="00FF65D6">
        <w:rPr>
          <w:lang w:val="fr-FR"/>
        </w:rPr>
        <w:t>’</w:t>
      </w:r>
      <w:r w:rsidRPr="00FF65D6">
        <w:rPr>
          <w:lang w:val="fr-FR"/>
        </w:rPr>
        <w:t>un système de suivi des enfants déscolarisés en Géorgie</w:t>
      </w:r>
      <w:r w:rsidR="005C1799" w:rsidRPr="005C1799">
        <w:rPr>
          <w:lang w:val="fr-FR"/>
        </w:rPr>
        <w:t>.</w:t>
      </w:r>
      <w:r w:rsidRPr="00FF65D6">
        <w:rPr>
          <w:lang w:val="fr-FR"/>
        </w:rPr>
        <w:t xml:space="preserve"> En coopération avec le système d</w:t>
      </w:r>
      <w:r w:rsidR="002127F6" w:rsidRPr="00FF65D6">
        <w:rPr>
          <w:lang w:val="fr-FR"/>
        </w:rPr>
        <w:t>’</w:t>
      </w:r>
      <w:r w:rsidRPr="00FF65D6">
        <w:rPr>
          <w:lang w:val="fr-FR"/>
        </w:rPr>
        <w:t>information sur la gestion des établissements d</w:t>
      </w:r>
      <w:r w:rsidR="002127F6" w:rsidRPr="00FF65D6">
        <w:rPr>
          <w:lang w:val="fr-FR"/>
        </w:rPr>
        <w:t>’</w:t>
      </w:r>
      <w:r w:rsidRPr="00FF65D6">
        <w:rPr>
          <w:lang w:val="fr-FR"/>
        </w:rPr>
        <w:t>enseignement relevant du Ministère de l</w:t>
      </w:r>
      <w:r w:rsidR="002127F6" w:rsidRPr="00FF65D6">
        <w:rPr>
          <w:lang w:val="fr-FR"/>
        </w:rPr>
        <w:t>’</w:t>
      </w:r>
      <w:r w:rsidRPr="00FF65D6">
        <w:rPr>
          <w:lang w:val="fr-FR"/>
        </w:rPr>
        <w:t>éducation et des sciences, il est prévu d</w:t>
      </w:r>
      <w:r w:rsidR="002127F6" w:rsidRPr="00FF65D6">
        <w:rPr>
          <w:lang w:val="fr-FR"/>
        </w:rPr>
        <w:t>’</w:t>
      </w:r>
      <w:r w:rsidRPr="00FF65D6">
        <w:rPr>
          <w:lang w:val="fr-FR"/>
        </w:rPr>
        <w:t>inclure de nouveaux indicateurs relatifs aux enfants déscolarisés dans la base de données du système d</w:t>
      </w:r>
      <w:r w:rsidR="002127F6" w:rsidRPr="00FF65D6">
        <w:rPr>
          <w:lang w:val="fr-FR"/>
        </w:rPr>
        <w:t>’</w:t>
      </w:r>
      <w:r w:rsidRPr="00FF65D6">
        <w:rPr>
          <w:lang w:val="fr-FR"/>
        </w:rPr>
        <w:t>information</w:t>
      </w:r>
      <w:r w:rsidR="003B7618" w:rsidRPr="00FF65D6">
        <w:rPr>
          <w:lang w:val="fr-FR"/>
        </w:rPr>
        <w:t> ;</w:t>
      </w:r>
    </w:p>
    <w:p w14:paraId="144F4F1C" w14:textId="77777777" w:rsidR="005C5C6A" w:rsidRPr="00FF65D6" w:rsidRDefault="005C5C6A" w:rsidP="005C5C6A">
      <w:pPr>
        <w:pStyle w:val="Bullet1G"/>
        <w:rPr>
          <w:lang w:val="fr-FR"/>
        </w:rPr>
      </w:pPr>
      <w:r w:rsidRPr="00FF65D6">
        <w:rPr>
          <w:lang w:val="fr-FR"/>
        </w:rPr>
        <w:t>L</w:t>
      </w:r>
      <w:r w:rsidR="002127F6" w:rsidRPr="00FF65D6">
        <w:rPr>
          <w:lang w:val="fr-FR"/>
        </w:rPr>
        <w:t>’</w:t>
      </w:r>
      <w:r w:rsidRPr="00FF65D6">
        <w:rPr>
          <w:lang w:val="fr-FR"/>
        </w:rPr>
        <w:t>élaboration du plan d</w:t>
      </w:r>
      <w:r w:rsidR="002127F6" w:rsidRPr="00FF65D6">
        <w:rPr>
          <w:lang w:val="fr-FR"/>
        </w:rPr>
        <w:t>’</w:t>
      </w:r>
      <w:r w:rsidRPr="00FF65D6">
        <w:rPr>
          <w:lang w:val="fr-FR"/>
        </w:rPr>
        <w:t>action d</w:t>
      </w:r>
      <w:r w:rsidR="002127F6" w:rsidRPr="00FF65D6">
        <w:rPr>
          <w:lang w:val="fr-FR"/>
        </w:rPr>
        <w:t>’</w:t>
      </w:r>
      <w:r w:rsidRPr="00FF65D6">
        <w:rPr>
          <w:lang w:val="fr-FR"/>
        </w:rPr>
        <w:t>un modèle national pour le programme « Seconde chance pour l</w:t>
      </w:r>
      <w:r w:rsidR="002127F6" w:rsidRPr="00FF65D6">
        <w:rPr>
          <w:lang w:val="fr-FR"/>
        </w:rPr>
        <w:t>’</w:t>
      </w:r>
      <w:r w:rsidRPr="00FF65D6">
        <w:rPr>
          <w:lang w:val="fr-FR"/>
        </w:rPr>
        <w:t>éducation » afin d</w:t>
      </w:r>
      <w:r w:rsidR="002127F6" w:rsidRPr="00FF65D6">
        <w:rPr>
          <w:lang w:val="fr-FR"/>
        </w:rPr>
        <w:t>’</w:t>
      </w:r>
      <w:r w:rsidRPr="00FF65D6">
        <w:rPr>
          <w:lang w:val="fr-FR"/>
        </w:rPr>
        <w:t>intégrer dans l</w:t>
      </w:r>
      <w:r w:rsidR="002127F6" w:rsidRPr="00FF65D6">
        <w:rPr>
          <w:lang w:val="fr-FR"/>
        </w:rPr>
        <w:t>’</w:t>
      </w:r>
      <w:r w:rsidRPr="00FF65D6">
        <w:rPr>
          <w:lang w:val="fr-FR"/>
        </w:rPr>
        <w:t>enseignement scolaire les élèves et les adolescents qui ne sont pas scolarisés</w:t>
      </w:r>
      <w:r w:rsidR="005C1799" w:rsidRPr="005C1799">
        <w:rPr>
          <w:lang w:val="fr-FR"/>
        </w:rPr>
        <w:t>.</w:t>
      </w:r>
      <w:r w:rsidRPr="00FF65D6">
        <w:rPr>
          <w:lang w:val="fr-FR"/>
        </w:rPr>
        <w:t xml:space="preserve"> </w:t>
      </w:r>
    </w:p>
    <w:p w14:paraId="419A9F64" w14:textId="77777777" w:rsidR="005C5C6A" w:rsidRPr="00FF65D6" w:rsidRDefault="005C5C6A" w:rsidP="00F34341">
      <w:pPr>
        <w:pStyle w:val="SingleTxtG"/>
        <w:rPr>
          <w:lang w:val="fr-FR"/>
        </w:rPr>
      </w:pPr>
      <w:r w:rsidRPr="00FF65D6">
        <w:rPr>
          <w:lang w:val="fr-FR"/>
        </w:rPr>
        <w:t>93</w:t>
      </w:r>
      <w:r w:rsidR="005C1799" w:rsidRPr="005C1799">
        <w:rPr>
          <w:lang w:val="fr-FR"/>
        </w:rPr>
        <w:t>.</w:t>
      </w:r>
      <w:r w:rsidRPr="00FF65D6">
        <w:rPr>
          <w:lang w:val="fr-FR"/>
        </w:rPr>
        <w:tab/>
        <w:t>Le Ministère de l</w:t>
      </w:r>
      <w:r w:rsidR="002127F6" w:rsidRPr="00FF65D6">
        <w:rPr>
          <w:lang w:val="fr-FR"/>
        </w:rPr>
        <w:t>’</w:t>
      </w:r>
      <w:r w:rsidRPr="00FF65D6">
        <w:rPr>
          <w:lang w:val="fr-FR"/>
        </w:rPr>
        <w:t>éducation et des sciences met en œuvre un programme intitulé « Inclusion sociale » qui a pour but de faciliter l</w:t>
      </w:r>
      <w:r w:rsidR="002127F6" w:rsidRPr="00FF65D6">
        <w:rPr>
          <w:lang w:val="fr-FR"/>
        </w:rPr>
        <w:t>’</w:t>
      </w:r>
      <w:r w:rsidRPr="00FF65D6">
        <w:rPr>
          <w:lang w:val="fr-FR"/>
        </w:rPr>
        <w:t>intégration des groupes vulnérables dans l</w:t>
      </w:r>
      <w:r w:rsidR="002127F6" w:rsidRPr="00FF65D6">
        <w:rPr>
          <w:lang w:val="fr-FR"/>
        </w:rPr>
        <w:t>’</w:t>
      </w:r>
      <w:r w:rsidRPr="00FF65D6">
        <w:rPr>
          <w:lang w:val="fr-FR"/>
        </w:rPr>
        <w:t>enseignement scolaire</w:t>
      </w:r>
      <w:r w:rsidR="005C1799" w:rsidRPr="005C1799">
        <w:rPr>
          <w:lang w:val="fr-FR"/>
        </w:rPr>
        <w:t>.</w:t>
      </w:r>
      <w:r w:rsidRPr="00FF65D6">
        <w:rPr>
          <w:lang w:val="fr-FR"/>
        </w:rPr>
        <w:t xml:space="preserve"> L</w:t>
      </w:r>
      <w:r w:rsidR="002127F6" w:rsidRPr="00FF65D6">
        <w:rPr>
          <w:lang w:val="fr-FR"/>
        </w:rPr>
        <w:t>’</w:t>
      </w:r>
      <w:r w:rsidRPr="00FF65D6">
        <w:rPr>
          <w:lang w:val="fr-FR"/>
        </w:rPr>
        <w:t>un des groupes de discussion et des bénéficiaires du programme sont des enfants roms</w:t>
      </w:r>
      <w:r w:rsidR="005C1799" w:rsidRPr="005C1799">
        <w:rPr>
          <w:lang w:val="fr-FR"/>
        </w:rPr>
        <w:t>.</w:t>
      </w:r>
      <w:r w:rsidRPr="00FF65D6">
        <w:rPr>
          <w:lang w:val="fr-FR"/>
        </w:rPr>
        <w:t xml:space="preserve"> Le programme offre différents types de soutien aux enfants</w:t>
      </w:r>
      <w:r w:rsidR="005C1799" w:rsidRPr="005C1799">
        <w:rPr>
          <w:lang w:val="fr-FR"/>
        </w:rPr>
        <w:t>.</w:t>
      </w:r>
      <w:r w:rsidRPr="00FF65D6">
        <w:rPr>
          <w:lang w:val="fr-FR"/>
        </w:rPr>
        <w:t xml:space="preserve"> Dans le cadre du programme, dans les régions peuplées de Roms, des clubs sont créés où les enfants roms, ainsi que leurs homologues de souche géorgienne, mènent différentes activités, notamment lisent des textes en géorgien, jouent des pièces de théâtre et participent à des concours</w:t>
      </w:r>
      <w:r w:rsidR="005C1799" w:rsidRPr="005C1799">
        <w:rPr>
          <w:lang w:val="fr-FR"/>
        </w:rPr>
        <w:t>.</w:t>
      </w:r>
      <w:r w:rsidRPr="00FF65D6">
        <w:rPr>
          <w:lang w:val="fr-FR"/>
        </w:rPr>
        <w:t xml:space="preserve"> Grâce à ce programme, le nombre d</w:t>
      </w:r>
      <w:r w:rsidR="002127F6" w:rsidRPr="00FF65D6">
        <w:rPr>
          <w:lang w:val="fr-FR"/>
        </w:rPr>
        <w:t>’</w:t>
      </w:r>
      <w:r w:rsidRPr="00FF65D6">
        <w:rPr>
          <w:lang w:val="fr-FR"/>
        </w:rPr>
        <w:t>enfants qui étudient le géorgien a nettement augmenté et l</w:t>
      </w:r>
      <w:r w:rsidR="002127F6" w:rsidRPr="00FF65D6">
        <w:rPr>
          <w:lang w:val="fr-FR"/>
        </w:rPr>
        <w:t>’</w:t>
      </w:r>
      <w:r w:rsidRPr="00FF65D6">
        <w:rPr>
          <w:lang w:val="fr-FR"/>
        </w:rPr>
        <w:t>intégration des Roms dans l</w:t>
      </w:r>
      <w:r w:rsidR="002127F6" w:rsidRPr="00FF65D6">
        <w:rPr>
          <w:lang w:val="fr-FR"/>
        </w:rPr>
        <w:t>’</w:t>
      </w:r>
      <w:r w:rsidRPr="00FF65D6">
        <w:rPr>
          <w:lang w:val="fr-FR"/>
        </w:rPr>
        <w:t>enseignement a augmenté, passant de 88 enfants roms scolarisés l</w:t>
      </w:r>
      <w:r w:rsidR="002127F6" w:rsidRPr="00FF65D6">
        <w:rPr>
          <w:lang w:val="fr-FR"/>
        </w:rPr>
        <w:t>’</w:t>
      </w:r>
      <w:r w:rsidRPr="00FF65D6">
        <w:rPr>
          <w:lang w:val="fr-FR"/>
        </w:rPr>
        <w:t>an passé à 155 cette année</w:t>
      </w:r>
      <w:r w:rsidR="005C1799" w:rsidRPr="005C1799">
        <w:rPr>
          <w:lang w:val="fr-FR"/>
        </w:rPr>
        <w:t>.</w:t>
      </w:r>
      <w:r w:rsidRPr="00FF65D6">
        <w:rPr>
          <w:lang w:val="fr-FR"/>
        </w:rPr>
        <w:t xml:space="preserve"> Outre ces activités, un travail actif est effectué avec les parents d</w:t>
      </w:r>
      <w:r w:rsidR="002127F6" w:rsidRPr="00FF65D6">
        <w:rPr>
          <w:lang w:val="fr-FR"/>
        </w:rPr>
        <w:t>’</w:t>
      </w:r>
      <w:r w:rsidRPr="00FF65D6">
        <w:rPr>
          <w:lang w:val="fr-FR"/>
        </w:rPr>
        <w:t>enfants roms afin de les convaincre d</w:t>
      </w:r>
      <w:r w:rsidR="002127F6" w:rsidRPr="00FF65D6">
        <w:rPr>
          <w:lang w:val="fr-FR"/>
        </w:rPr>
        <w:t>’</w:t>
      </w:r>
      <w:r w:rsidRPr="00FF65D6">
        <w:rPr>
          <w:lang w:val="fr-FR"/>
        </w:rPr>
        <w:t>envoyer leurs enfants à l</w:t>
      </w:r>
      <w:r w:rsidR="002127F6" w:rsidRPr="00FF65D6">
        <w:rPr>
          <w:lang w:val="fr-FR"/>
        </w:rPr>
        <w:t>’</w:t>
      </w:r>
      <w:r w:rsidRPr="00FF65D6">
        <w:rPr>
          <w:lang w:val="fr-FR"/>
        </w:rPr>
        <w:t>école</w:t>
      </w:r>
      <w:r w:rsidR="005C1799" w:rsidRPr="005C1799">
        <w:rPr>
          <w:lang w:val="fr-FR"/>
        </w:rPr>
        <w:t>.</w:t>
      </w:r>
    </w:p>
    <w:p w14:paraId="63E19E56" w14:textId="77777777" w:rsidR="005C5C6A" w:rsidRPr="00FF65D6" w:rsidRDefault="005C5C6A" w:rsidP="00F34341">
      <w:pPr>
        <w:pStyle w:val="SingleTxtG"/>
        <w:rPr>
          <w:lang w:val="fr-FR"/>
        </w:rPr>
      </w:pPr>
      <w:r w:rsidRPr="00FF65D6">
        <w:rPr>
          <w:lang w:val="fr-FR"/>
        </w:rPr>
        <w:t>94</w:t>
      </w:r>
      <w:r w:rsidR="005C1799" w:rsidRPr="005C1799">
        <w:rPr>
          <w:lang w:val="fr-FR"/>
        </w:rPr>
        <w:t>.</w:t>
      </w:r>
      <w:r w:rsidRPr="00FF65D6">
        <w:rPr>
          <w:lang w:val="fr-FR"/>
        </w:rPr>
        <w:tab/>
        <w:t>Outre qu</w:t>
      </w:r>
      <w:r w:rsidR="002127F6" w:rsidRPr="00FF65D6">
        <w:rPr>
          <w:lang w:val="fr-FR"/>
        </w:rPr>
        <w:t>’</w:t>
      </w:r>
      <w:r w:rsidRPr="00FF65D6">
        <w:rPr>
          <w:lang w:val="fr-FR"/>
        </w:rPr>
        <w:t>il fait participer des enfants roms au programme d</w:t>
      </w:r>
      <w:r w:rsidR="002127F6" w:rsidRPr="00FF65D6">
        <w:rPr>
          <w:lang w:val="fr-FR"/>
        </w:rPr>
        <w:t>’</w:t>
      </w:r>
      <w:r w:rsidRPr="00FF65D6">
        <w:rPr>
          <w:lang w:val="fr-FR"/>
        </w:rPr>
        <w:t>éducation non formelle, le programme Inclusion sociale est axé sur les enfants roms qui éprouvent des difficultés d</w:t>
      </w:r>
      <w:r w:rsidR="002127F6" w:rsidRPr="00FF65D6">
        <w:rPr>
          <w:lang w:val="fr-FR"/>
        </w:rPr>
        <w:t>’</w:t>
      </w:r>
      <w:r w:rsidRPr="00FF65D6">
        <w:rPr>
          <w:lang w:val="fr-FR"/>
        </w:rPr>
        <w:t>apprentissage parce qu</w:t>
      </w:r>
      <w:r w:rsidR="002127F6" w:rsidRPr="00FF65D6">
        <w:rPr>
          <w:lang w:val="fr-FR"/>
        </w:rPr>
        <w:t>’</w:t>
      </w:r>
      <w:r w:rsidRPr="00FF65D6">
        <w:rPr>
          <w:lang w:val="fr-FR"/>
        </w:rPr>
        <w:t>ils sont en retard par rapport à leur âge, ainsi que dans leur éducation professionnelle</w:t>
      </w:r>
      <w:r w:rsidR="005C1799" w:rsidRPr="005C1799">
        <w:rPr>
          <w:lang w:val="fr-FR"/>
        </w:rPr>
        <w:t>.</w:t>
      </w:r>
      <w:r w:rsidRPr="00FF65D6">
        <w:rPr>
          <w:lang w:val="fr-FR"/>
        </w:rPr>
        <w:t xml:space="preserve"> En 2016, dans le but d</w:t>
      </w:r>
      <w:r w:rsidR="002127F6" w:rsidRPr="00FF65D6">
        <w:rPr>
          <w:lang w:val="fr-FR"/>
        </w:rPr>
        <w:t>’</w:t>
      </w:r>
      <w:r w:rsidRPr="00FF65D6">
        <w:rPr>
          <w:lang w:val="fr-FR"/>
        </w:rPr>
        <w:t>aider un adolescent rom âgé de 18 ans (qui était inscrit en quatrième année, mais, qui en raison de la différence d</w:t>
      </w:r>
      <w:r w:rsidR="002127F6" w:rsidRPr="00FF65D6">
        <w:rPr>
          <w:lang w:val="fr-FR"/>
        </w:rPr>
        <w:t>’</w:t>
      </w:r>
      <w:r w:rsidRPr="00FF65D6">
        <w:rPr>
          <w:lang w:val="fr-FR"/>
        </w:rPr>
        <w:t>âge manifeste évitait d</w:t>
      </w:r>
      <w:r w:rsidR="002127F6" w:rsidRPr="00FF65D6">
        <w:rPr>
          <w:lang w:val="fr-FR"/>
        </w:rPr>
        <w:t>’</w:t>
      </w:r>
      <w:r w:rsidRPr="00FF65D6">
        <w:rPr>
          <w:lang w:val="fr-FR"/>
        </w:rPr>
        <w:t>aller à l</w:t>
      </w:r>
      <w:r w:rsidR="002127F6" w:rsidRPr="00FF65D6">
        <w:rPr>
          <w:lang w:val="fr-FR"/>
        </w:rPr>
        <w:t>’</w:t>
      </w:r>
      <w:r w:rsidRPr="00FF65D6">
        <w:rPr>
          <w:lang w:val="fr-FR"/>
        </w:rPr>
        <w:t>école), celui-ci a été enregistré à l</w:t>
      </w:r>
      <w:r w:rsidR="002127F6" w:rsidRPr="00FF65D6">
        <w:rPr>
          <w:lang w:val="fr-FR"/>
        </w:rPr>
        <w:t>’</w:t>
      </w:r>
      <w:r w:rsidRPr="00FF65D6">
        <w:rPr>
          <w:lang w:val="fr-FR"/>
        </w:rPr>
        <w:t>avance et a réussi les examens en tant qu</w:t>
      </w:r>
      <w:r w:rsidR="002127F6" w:rsidRPr="00FF65D6">
        <w:rPr>
          <w:lang w:val="fr-FR"/>
        </w:rPr>
        <w:t>’</w:t>
      </w:r>
      <w:r w:rsidRPr="00FF65D6">
        <w:rPr>
          <w:lang w:val="fr-FR"/>
        </w:rPr>
        <w:t>externe</w:t>
      </w:r>
      <w:r w:rsidR="003B7618" w:rsidRPr="00FF65D6">
        <w:rPr>
          <w:lang w:val="fr-FR"/>
        </w:rPr>
        <w:t> ;</w:t>
      </w:r>
      <w:r w:rsidRPr="00FF65D6">
        <w:rPr>
          <w:lang w:val="fr-FR"/>
        </w:rPr>
        <w:t xml:space="preserve"> il a obtenu un certificat d</w:t>
      </w:r>
      <w:r w:rsidR="002127F6" w:rsidRPr="00FF65D6">
        <w:rPr>
          <w:lang w:val="fr-FR"/>
        </w:rPr>
        <w:t>’</w:t>
      </w:r>
      <w:r w:rsidRPr="00FF65D6">
        <w:rPr>
          <w:lang w:val="fr-FR"/>
        </w:rPr>
        <w:t>études de base correspondant à une scolarité de neuf ans et a été inscrit dans un collège professionnel</w:t>
      </w:r>
      <w:r w:rsidR="005C1799" w:rsidRPr="005C1799">
        <w:rPr>
          <w:lang w:val="fr-FR"/>
        </w:rPr>
        <w:t>.</w:t>
      </w:r>
      <w:r w:rsidRPr="00FF65D6">
        <w:rPr>
          <w:lang w:val="fr-FR"/>
        </w:rPr>
        <w:t xml:space="preserve"> Pendant huit mois, l</w:t>
      </w:r>
      <w:r w:rsidR="002127F6" w:rsidRPr="00FF65D6">
        <w:rPr>
          <w:lang w:val="fr-FR"/>
        </w:rPr>
        <w:t>’</w:t>
      </w:r>
      <w:r w:rsidRPr="00FF65D6">
        <w:rPr>
          <w:lang w:val="fr-FR"/>
        </w:rPr>
        <w:t>adolescent suit une formation professionnelle en informatique (le secteur professionnel a été choisi en fonction de ses intérêts et de sa volonté) et il est logé gratuitement dans un dortoir de collège professionnel</w:t>
      </w:r>
      <w:r w:rsidR="005C1799" w:rsidRPr="005C1799">
        <w:rPr>
          <w:lang w:val="fr-FR"/>
        </w:rPr>
        <w:t>.</w:t>
      </w:r>
      <w:r w:rsidRPr="00FF65D6">
        <w:rPr>
          <w:lang w:val="fr-FR"/>
        </w:rPr>
        <w:t xml:space="preserve"> Dès qu</w:t>
      </w:r>
      <w:r w:rsidR="002127F6" w:rsidRPr="00FF65D6">
        <w:rPr>
          <w:lang w:val="fr-FR"/>
        </w:rPr>
        <w:t>’</w:t>
      </w:r>
      <w:r w:rsidRPr="00FF65D6">
        <w:rPr>
          <w:lang w:val="fr-FR"/>
        </w:rPr>
        <w:t>il aura achevé ses études, il recevra de l</w:t>
      </w:r>
      <w:r w:rsidR="002127F6" w:rsidRPr="00FF65D6">
        <w:rPr>
          <w:lang w:val="fr-FR"/>
        </w:rPr>
        <w:t>’</w:t>
      </w:r>
      <w:r w:rsidRPr="00FF65D6">
        <w:rPr>
          <w:lang w:val="fr-FR"/>
        </w:rPr>
        <w:t>aide pour trouver un emploi</w:t>
      </w:r>
      <w:r w:rsidR="005C1799" w:rsidRPr="005C1799">
        <w:rPr>
          <w:lang w:val="fr-FR"/>
        </w:rPr>
        <w:t>.</w:t>
      </w:r>
    </w:p>
    <w:p w14:paraId="61842F5E" w14:textId="77777777" w:rsidR="005C5C6A" w:rsidRPr="00FF65D6" w:rsidRDefault="005C5C6A" w:rsidP="00F34341">
      <w:pPr>
        <w:pStyle w:val="SingleTxtG"/>
        <w:rPr>
          <w:lang w:val="fr-FR"/>
        </w:rPr>
      </w:pPr>
      <w:r w:rsidRPr="00FF65D6">
        <w:rPr>
          <w:lang w:val="fr-FR"/>
        </w:rPr>
        <w:t>95</w:t>
      </w:r>
      <w:r w:rsidR="005C1799" w:rsidRPr="005C1799">
        <w:rPr>
          <w:lang w:val="fr-FR"/>
        </w:rPr>
        <w:t>.</w:t>
      </w:r>
      <w:r w:rsidRPr="00FF65D6">
        <w:rPr>
          <w:lang w:val="fr-FR"/>
        </w:rPr>
        <w:tab/>
        <w:t>Outre les enfants roms, en 2016, les bénéficiaires du programme comprennent d</w:t>
      </w:r>
      <w:r w:rsidR="002127F6" w:rsidRPr="00FF65D6">
        <w:rPr>
          <w:lang w:val="fr-FR"/>
        </w:rPr>
        <w:t>’</w:t>
      </w:r>
      <w:r w:rsidRPr="00FF65D6">
        <w:rPr>
          <w:lang w:val="fr-FR"/>
        </w:rPr>
        <w:t>autres groupes cibles tels que les enfants apatrides, les enfants déplacés et les enfants handicapés</w:t>
      </w:r>
      <w:r w:rsidR="005C1799" w:rsidRPr="005C1799">
        <w:rPr>
          <w:lang w:val="fr-FR"/>
        </w:rPr>
        <w:t>.</w:t>
      </w:r>
      <w:r w:rsidRPr="00FF65D6">
        <w:rPr>
          <w:lang w:val="fr-FR"/>
        </w:rPr>
        <w:t xml:space="preserve"> Le budget-programme en 2016 est de 97 600</w:t>
      </w:r>
      <w:r w:rsidR="005C1799" w:rsidRPr="005C1799">
        <w:rPr>
          <w:lang w:val="fr-FR"/>
        </w:rPr>
        <w:t>.</w:t>
      </w:r>
      <w:r w:rsidRPr="00FF65D6">
        <w:rPr>
          <w:lang w:val="fr-FR"/>
        </w:rPr>
        <w:t xml:space="preserve"> </w:t>
      </w:r>
    </w:p>
    <w:p w14:paraId="271A1918" w14:textId="77777777" w:rsidR="005C5C6A" w:rsidRPr="00FF65D6" w:rsidRDefault="005C5C6A" w:rsidP="005C5C6A">
      <w:pPr>
        <w:pStyle w:val="HChG"/>
        <w:rPr>
          <w:lang w:val="fr-FR"/>
        </w:rPr>
      </w:pPr>
      <w:bookmarkStart w:id="20" w:name="_Toc466668036"/>
      <w:bookmarkStart w:id="21" w:name="_Toc472961715"/>
      <w:bookmarkStart w:id="22" w:name="_Toc469062638"/>
      <w:bookmarkStart w:id="23" w:name="_Toc469062666"/>
      <w:r w:rsidRPr="00FF65D6">
        <w:rPr>
          <w:lang w:val="fr-FR"/>
        </w:rPr>
        <w:tab/>
        <w:t>V</w:t>
      </w:r>
      <w:r w:rsidR="005C1799" w:rsidRPr="005C1799">
        <w:rPr>
          <w:b w:val="0"/>
          <w:lang w:val="fr-FR"/>
        </w:rPr>
        <w:t>.</w:t>
      </w:r>
      <w:r w:rsidRPr="00FF65D6">
        <w:rPr>
          <w:lang w:val="fr-FR"/>
        </w:rPr>
        <w:tab/>
        <w:t>Interdiction de la vente d</w:t>
      </w:r>
      <w:r w:rsidR="002127F6" w:rsidRPr="00FF65D6">
        <w:rPr>
          <w:lang w:val="fr-FR"/>
        </w:rPr>
        <w:t>’</w:t>
      </w:r>
      <w:r w:rsidRPr="00FF65D6">
        <w:rPr>
          <w:lang w:val="fr-FR"/>
        </w:rPr>
        <w:t xml:space="preserve">enfants, de la prostitution </w:t>
      </w:r>
      <w:r w:rsidRPr="00FF65D6">
        <w:rPr>
          <w:lang w:val="fr-FR"/>
        </w:rPr>
        <w:br/>
        <w:t xml:space="preserve">des enfants et de la pornographie mettant </w:t>
      </w:r>
      <w:r w:rsidRPr="00FF65D6">
        <w:rPr>
          <w:lang w:val="fr-FR"/>
        </w:rPr>
        <w:br/>
        <w:t xml:space="preserve">en scène des enfants et questions connexes </w:t>
      </w:r>
      <w:bookmarkEnd w:id="20"/>
      <w:bookmarkEnd w:id="21"/>
      <w:bookmarkEnd w:id="22"/>
      <w:bookmarkEnd w:id="23"/>
    </w:p>
    <w:p w14:paraId="2F416F6F" w14:textId="77777777" w:rsidR="005C5C6A" w:rsidRPr="00FF65D6" w:rsidRDefault="005C5C6A" w:rsidP="005C5C6A">
      <w:pPr>
        <w:pStyle w:val="H1G"/>
        <w:rPr>
          <w:lang w:val="fr-FR"/>
        </w:rPr>
      </w:pPr>
      <w:bookmarkStart w:id="24" w:name="_Toc472961716"/>
      <w:r w:rsidRPr="00FF65D6">
        <w:rPr>
          <w:lang w:val="fr-FR"/>
        </w:rPr>
        <w:tab/>
        <w:t>A</w:t>
      </w:r>
      <w:r w:rsidR="005C1799" w:rsidRPr="005C1799">
        <w:rPr>
          <w:b w:val="0"/>
          <w:lang w:val="fr-FR"/>
        </w:rPr>
        <w:t>.</w:t>
      </w:r>
      <w:r w:rsidRPr="00FF65D6">
        <w:rPr>
          <w:lang w:val="fr-FR"/>
        </w:rPr>
        <w:tab/>
        <w:t xml:space="preserve">Cadre législatif </w:t>
      </w:r>
      <w:bookmarkEnd w:id="24"/>
    </w:p>
    <w:p w14:paraId="7C5CB443" w14:textId="77777777" w:rsidR="005C5C6A" w:rsidRPr="00FF65D6" w:rsidRDefault="005C5C6A" w:rsidP="00F34341">
      <w:pPr>
        <w:pStyle w:val="SingleTxtG"/>
        <w:rPr>
          <w:lang w:val="fr-FR"/>
        </w:rPr>
      </w:pPr>
      <w:r w:rsidRPr="00FF65D6">
        <w:rPr>
          <w:lang w:val="fr-FR"/>
        </w:rPr>
        <w:t>96</w:t>
      </w:r>
      <w:r w:rsidR="005C1799" w:rsidRPr="005C1799">
        <w:rPr>
          <w:lang w:val="fr-FR"/>
        </w:rPr>
        <w:t>.</w:t>
      </w:r>
      <w:r w:rsidRPr="00FF65D6">
        <w:rPr>
          <w:lang w:val="fr-FR"/>
        </w:rPr>
        <w:tab/>
        <w:t>La Géorgie a ratifié la Convention du Conseil de l</w:t>
      </w:r>
      <w:r w:rsidR="002127F6" w:rsidRPr="00FF65D6">
        <w:rPr>
          <w:lang w:val="fr-FR"/>
        </w:rPr>
        <w:t>’</w:t>
      </w:r>
      <w:r w:rsidRPr="00FF65D6">
        <w:rPr>
          <w:lang w:val="fr-FR"/>
        </w:rPr>
        <w:t>Europe sur la protection des enfants contre l</w:t>
      </w:r>
      <w:r w:rsidR="002127F6" w:rsidRPr="00FF65D6">
        <w:rPr>
          <w:lang w:val="fr-FR"/>
        </w:rPr>
        <w:t>’</w:t>
      </w:r>
      <w:r w:rsidRPr="00FF65D6">
        <w:rPr>
          <w:lang w:val="fr-FR"/>
        </w:rPr>
        <w:t>exploitation et les abus sexuels le 23 septembre 2014 et celle-ci est entrée en vigueur le 1</w:t>
      </w:r>
      <w:r w:rsidRPr="00FF65D6">
        <w:rPr>
          <w:vertAlign w:val="superscript"/>
          <w:lang w:val="fr-FR"/>
        </w:rPr>
        <w:t>er</w:t>
      </w:r>
      <w:r w:rsidRPr="00FF65D6">
        <w:rPr>
          <w:lang w:val="fr-FR"/>
        </w:rPr>
        <w:t xml:space="preserve"> janvier 2015 en Géorgie</w:t>
      </w:r>
      <w:r w:rsidR="005C1799" w:rsidRPr="005C1799">
        <w:rPr>
          <w:lang w:val="fr-FR"/>
        </w:rPr>
        <w:t>.</w:t>
      </w:r>
      <w:r w:rsidRPr="00FF65D6">
        <w:rPr>
          <w:lang w:val="fr-FR"/>
        </w:rPr>
        <w:t xml:space="preserve"> </w:t>
      </w:r>
    </w:p>
    <w:p w14:paraId="0B7C5E5C" w14:textId="77777777" w:rsidR="005C5C6A" w:rsidRPr="00FF65D6" w:rsidRDefault="005C5C6A" w:rsidP="00F34341">
      <w:pPr>
        <w:pStyle w:val="SingleTxtG"/>
        <w:rPr>
          <w:lang w:val="fr-FR"/>
        </w:rPr>
      </w:pPr>
      <w:r w:rsidRPr="00FF65D6">
        <w:rPr>
          <w:lang w:val="fr-FR"/>
        </w:rPr>
        <w:t>97</w:t>
      </w:r>
      <w:r w:rsidR="005C1799" w:rsidRPr="005C1799">
        <w:rPr>
          <w:lang w:val="fr-FR"/>
        </w:rPr>
        <w:t>.</w:t>
      </w:r>
      <w:r w:rsidRPr="00FF65D6">
        <w:rPr>
          <w:lang w:val="fr-FR"/>
        </w:rPr>
        <w:tab/>
        <w:t>La loi géorgienne sur la lutte contre la traite a été modifiée conformément aux recommandations du Groupe d</w:t>
      </w:r>
      <w:r w:rsidR="002127F6" w:rsidRPr="00FF65D6">
        <w:rPr>
          <w:lang w:val="fr-FR"/>
        </w:rPr>
        <w:t>’</w:t>
      </w:r>
      <w:r w:rsidRPr="00FF65D6">
        <w:rPr>
          <w:lang w:val="fr-FR"/>
        </w:rPr>
        <w:t>experts sur la lutte contre la traite des êtres humains (GRETA) en avril 2012</w:t>
      </w:r>
      <w:r w:rsidR="005C1799" w:rsidRPr="005C1799">
        <w:rPr>
          <w:lang w:val="fr-FR"/>
        </w:rPr>
        <w:t>.</w:t>
      </w:r>
      <w:r w:rsidRPr="00FF65D6">
        <w:rPr>
          <w:lang w:val="fr-FR"/>
        </w:rPr>
        <w:t xml:space="preserve"> En particulier, le nouveau chapitre inséré dans la loi se réfère à la protection sociale et juridique, à l</w:t>
      </w:r>
      <w:r w:rsidR="002127F6" w:rsidRPr="00FF65D6">
        <w:rPr>
          <w:lang w:val="fr-FR"/>
        </w:rPr>
        <w:t>’</w:t>
      </w:r>
      <w:r w:rsidRPr="00FF65D6">
        <w:rPr>
          <w:lang w:val="fr-FR"/>
        </w:rPr>
        <w:t>assistance et à la réadaptation des enfants victimes</w:t>
      </w:r>
      <w:r w:rsidR="005C1799" w:rsidRPr="005C1799">
        <w:rPr>
          <w:lang w:val="fr-FR"/>
        </w:rPr>
        <w:t>.</w:t>
      </w:r>
      <w:r w:rsidRPr="00FF65D6">
        <w:rPr>
          <w:lang w:val="fr-FR"/>
        </w:rPr>
        <w:t xml:space="preserve"> En mai 2014, des modifications du Code pénal géorgien et de la loi sur la lutte contre la traite ont été adoptées, qui fournissent une définition plus claire du terme « exploitation »</w:t>
      </w:r>
      <w:r w:rsidR="005C1799" w:rsidRPr="005C1799">
        <w:rPr>
          <w:lang w:val="fr-FR"/>
        </w:rPr>
        <w:t>.</w:t>
      </w:r>
    </w:p>
    <w:p w14:paraId="3D3CB82E" w14:textId="77777777" w:rsidR="005C5C6A" w:rsidRPr="00FF65D6" w:rsidRDefault="005C5C6A" w:rsidP="00F34341">
      <w:pPr>
        <w:pStyle w:val="SingleTxtG"/>
        <w:rPr>
          <w:lang w:val="fr-FR"/>
        </w:rPr>
      </w:pPr>
      <w:r w:rsidRPr="00FF65D6">
        <w:rPr>
          <w:lang w:val="fr-FR"/>
        </w:rPr>
        <w:t>98</w:t>
      </w:r>
      <w:r w:rsidR="005C1799" w:rsidRPr="005C1799">
        <w:rPr>
          <w:lang w:val="fr-FR"/>
        </w:rPr>
        <w:t>.</w:t>
      </w:r>
      <w:r w:rsidRPr="00FF65D6">
        <w:rPr>
          <w:lang w:val="fr-FR"/>
        </w:rPr>
        <w:tab/>
        <w:t>Conformément aux obligations internationales qui lui incombent en vertu du Protocole facultatif à la Convention relative aux droits de l</w:t>
      </w:r>
      <w:r w:rsidR="002127F6" w:rsidRPr="00FF65D6">
        <w:rPr>
          <w:lang w:val="fr-FR"/>
        </w:rPr>
        <w:t>’</w:t>
      </w:r>
      <w:r w:rsidRPr="00FF65D6">
        <w:rPr>
          <w:lang w:val="fr-FR"/>
        </w:rPr>
        <w:t>enfant, concernant la vente d</w:t>
      </w:r>
      <w:r w:rsidR="002127F6" w:rsidRPr="00FF65D6">
        <w:rPr>
          <w:lang w:val="fr-FR"/>
        </w:rPr>
        <w:t>’</w:t>
      </w:r>
      <w:r w:rsidRPr="00FF65D6">
        <w:rPr>
          <w:lang w:val="fr-FR"/>
        </w:rPr>
        <w:t>enfants, la prostitution des enfants et la pornographie mettant en scène des enfants (le Protocole), la Géorgie incrimine tous les actes et activités énumérés au paragraphe 1 de l</w:t>
      </w:r>
      <w:r w:rsidR="002127F6" w:rsidRPr="00FF65D6">
        <w:rPr>
          <w:lang w:val="fr-FR"/>
        </w:rPr>
        <w:t>’</w:t>
      </w:r>
      <w:r w:rsidRPr="00FF65D6">
        <w:rPr>
          <w:lang w:val="fr-FR"/>
        </w:rPr>
        <w:t>article 3 du Protocole</w:t>
      </w:r>
      <w:r w:rsidR="005C1799" w:rsidRPr="005C1799">
        <w:rPr>
          <w:lang w:val="fr-FR"/>
        </w:rPr>
        <w:t>.</w:t>
      </w:r>
      <w:r w:rsidRPr="00FF65D6">
        <w:rPr>
          <w:lang w:val="fr-FR"/>
        </w:rPr>
        <w:t xml:space="preserve"> </w:t>
      </w:r>
    </w:p>
    <w:p w14:paraId="5D727E7F" w14:textId="77777777" w:rsidR="005C5C6A" w:rsidRPr="00FF65D6" w:rsidRDefault="005C5C6A" w:rsidP="00F34341">
      <w:pPr>
        <w:pStyle w:val="SingleTxtG"/>
        <w:rPr>
          <w:lang w:val="fr-FR"/>
        </w:rPr>
      </w:pPr>
      <w:r w:rsidRPr="00FF65D6">
        <w:rPr>
          <w:lang w:val="fr-FR"/>
        </w:rPr>
        <w:t>99</w:t>
      </w:r>
      <w:r w:rsidR="005C1799" w:rsidRPr="005C1799">
        <w:rPr>
          <w:lang w:val="fr-FR"/>
        </w:rPr>
        <w:t>.</w:t>
      </w:r>
      <w:r w:rsidRPr="00FF65D6">
        <w:rPr>
          <w:lang w:val="fr-FR"/>
        </w:rPr>
        <w:tab/>
        <w:t>La Géorgie, avant même d</w:t>
      </w:r>
      <w:r w:rsidR="002127F6" w:rsidRPr="00FF65D6">
        <w:rPr>
          <w:lang w:val="fr-FR"/>
        </w:rPr>
        <w:t>’</w:t>
      </w:r>
      <w:r w:rsidRPr="00FF65D6">
        <w:rPr>
          <w:lang w:val="fr-FR"/>
        </w:rPr>
        <w:t>adhérer au Protocole, le 28 juin 2005, a pris des mesures législatives pour faire respecter les normes internationales en matière de protection des enfants contre l</w:t>
      </w:r>
      <w:r w:rsidR="002127F6" w:rsidRPr="00FF65D6">
        <w:rPr>
          <w:lang w:val="fr-FR"/>
        </w:rPr>
        <w:t>’</w:t>
      </w:r>
      <w:r w:rsidRPr="00FF65D6">
        <w:rPr>
          <w:lang w:val="fr-FR"/>
        </w:rPr>
        <w:t>exploitation économique et sexuelle</w:t>
      </w:r>
      <w:r w:rsidR="005C1799" w:rsidRPr="005C1799">
        <w:rPr>
          <w:lang w:val="fr-FR"/>
        </w:rPr>
        <w:t>.</w:t>
      </w:r>
      <w:r w:rsidRPr="00FF65D6">
        <w:rPr>
          <w:lang w:val="fr-FR"/>
        </w:rPr>
        <w:t xml:space="preserve"> Ainsi, le 6 juin 2003, les articles 1431 (traite des êtres humains) et 1432 (traite d</w:t>
      </w:r>
      <w:r w:rsidR="002127F6" w:rsidRPr="00FF65D6">
        <w:rPr>
          <w:lang w:val="fr-FR"/>
        </w:rPr>
        <w:t>’</w:t>
      </w:r>
      <w:r w:rsidRPr="00FF65D6">
        <w:rPr>
          <w:lang w:val="fr-FR"/>
        </w:rPr>
        <w:t>enfants) ont été ajoutés dans le Code pénal géorgien</w:t>
      </w:r>
      <w:r w:rsidR="005C1799" w:rsidRPr="005C1799">
        <w:rPr>
          <w:lang w:val="fr-FR"/>
        </w:rPr>
        <w:t>.</w:t>
      </w:r>
      <w:r w:rsidRPr="00FF65D6">
        <w:rPr>
          <w:lang w:val="fr-FR"/>
        </w:rPr>
        <w:t xml:space="preserve"> Il convient de souligner que la traite des enfants n</w:t>
      </w:r>
      <w:r w:rsidR="002127F6" w:rsidRPr="00FF65D6">
        <w:rPr>
          <w:lang w:val="fr-FR"/>
        </w:rPr>
        <w:t>’</w:t>
      </w:r>
      <w:r w:rsidRPr="00FF65D6">
        <w:rPr>
          <w:lang w:val="fr-FR"/>
        </w:rPr>
        <w:t>a pas été mentionnée comme une circonstance aggravante dans l</w:t>
      </w:r>
      <w:r w:rsidR="002127F6" w:rsidRPr="00FF65D6">
        <w:rPr>
          <w:lang w:val="fr-FR"/>
        </w:rPr>
        <w:t>’</w:t>
      </w:r>
      <w:r w:rsidRPr="00FF65D6">
        <w:rPr>
          <w:lang w:val="fr-FR"/>
        </w:rPr>
        <w:t>article 1431, mais qu</w:t>
      </w:r>
      <w:r w:rsidR="002127F6" w:rsidRPr="00FF65D6">
        <w:rPr>
          <w:lang w:val="fr-FR"/>
        </w:rPr>
        <w:t>’</w:t>
      </w:r>
      <w:r w:rsidRPr="00FF65D6">
        <w:rPr>
          <w:lang w:val="fr-FR"/>
        </w:rPr>
        <w:t>elle a été considérée comme constituant une infraction distincte, ce qui témoigne du sérieux de l</w:t>
      </w:r>
      <w:r w:rsidR="002127F6" w:rsidRPr="00FF65D6">
        <w:rPr>
          <w:lang w:val="fr-FR"/>
        </w:rPr>
        <w:t>’</w:t>
      </w:r>
      <w:r w:rsidRPr="00FF65D6">
        <w:rPr>
          <w:lang w:val="fr-FR"/>
        </w:rPr>
        <w:t>approche suivie par le système juridique géorgien concernant cette question</w:t>
      </w:r>
      <w:r w:rsidR="005C1799" w:rsidRPr="005C1799">
        <w:rPr>
          <w:lang w:val="fr-FR"/>
        </w:rPr>
        <w:t>.</w:t>
      </w:r>
      <w:r w:rsidRPr="00FF65D6">
        <w:rPr>
          <w:lang w:val="fr-FR"/>
        </w:rPr>
        <w:t xml:space="preserve"> </w:t>
      </w:r>
    </w:p>
    <w:p w14:paraId="0C6BBA69" w14:textId="77777777" w:rsidR="005C5C6A" w:rsidRPr="00FF65D6" w:rsidRDefault="005C5C6A" w:rsidP="00F34341">
      <w:pPr>
        <w:pStyle w:val="SingleTxtG"/>
        <w:rPr>
          <w:lang w:val="fr-FR"/>
        </w:rPr>
      </w:pPr>
      <w:r w:rsidRPr="00FF65D6">
        <w:rPr>
          <w:lang w:val="fr-FR"/>
        </w:rPr>
        <w:t>100</w:t>
      </w:r>
      <w:r w:rsidR="005C1799" w:rsidRPr="005C1799">
        <w:rPr>
          <w:lang w:val="fr-FR"/>
        </w:rPr>
        <w:t>.</w:t>
      </w:r>
      <w:r w:rsidRPr="00FF65D6">
        <w:rPr>
          <w:lang w:val="fr-FR"/>
        </w:rPr>
        <w:tab/>
        <w:t>Le paragraphe 1 de l</w:t>
      </w:r>
      <w:r w:rsidR="002127F6" w:rsidRPr="00FF65D6">
        <w:rPr>
          <w:lang w:val="fr-FR"/>
        </w:rPr>
        <w:t>’</w:t>
      </w:r>
      <w:r w:rsidRPr="00FF65D6">
        <w:rPr>
          <w:lang w:val="fr-FR"/>
        </w:rPr>
        <w:t>article 1432 est libellé comme suit</w:t>
      </w:r>
      <w:r w:rsidR="003B7618" w:rsidRPr="00FF65D6">
        <w:rPr>
          <w:lang w:val="fr-FR"/>
        </w:rPr>
        <w:t> :</w:t>
      </w:r>
      <w:r w:rsidRPr="00FF65D6">
        <w:rPr>
          <w:lang w:val="fr-FR"/>
        </w:rPr>
        <w:t xml:space="preserve"> « </w:t>
      </w:r>
      <w:r w:rsidR="00554F66">
        <w:rPr>
          <w:lang w:val="fr-FR"/>
        </w:rPr>
        <w:t>L</w:t>
      </w:r>
      <w:r w:rsidR="002127F6" w:rsidRPr="00FF65D6">
        <w:rPr>
          <w:lang w:val="fr-FR"/>
        </w:rPr>
        <w:t>’</w:t>
      </w:r>
      <w:r w:rsidRPr="00FF65D6">
        <w:rPr>
          <w:lang w:val="fr-FR"/>
        </w:rPr>
        <w:t>achat ou la vente d</w:t>
      </w:r>
      <w:r w:rsidR="002127F6" w:rsidRPr="00FF65D6">
        <w:rPr>
          <w:lang w:val="fr-FR"/>
        </w:rPr>
        <w:t>’</w:t>
      </w:r>
      <w:r w:rsidRPr="00FF65D6">
        <w:rPr>
          <w:lang w:val="fr-FR"/>
        </w:rPr>
        <w:t>enfants ou les autres transactions illicites concernant des enfants, ainsi que le recrutement, l</w:t>
      </w:r>
      <w:r w:rsidR="002127F6" w:rsidRPr="00FF65D6">
        <w:rPr>
          <w:lang w:val="fr-FR"/>
        </w:rPr>
        <w:t>’</w:t>
      </w:r>
      <w:r w:rsidRPr="00FF65D6">
        <w:rPr>
          <w:lang w:val="fr-FR"/>
        </w:rPr>
        <w:t>acheminement, la dissimulation, l</w:t>
      </w:r>
      <w:r w:rsidR="002127F6" w:rsidRPr="00FF65D6">
        <w:rPr>
          <w:lang w:val="fr-FR"/>
        </w:rPr>
        <w:t>’</w:t>
      </w:r>
      <w:r w:rsidRPr="00FF65D6">
        <w:rPr>
          <w:lang w:val="fr-FR"/>
        </w:rPr>
        <w:t>embauche, le transport, la fourniture,</w:t>
      </w:r>
      <w:r w:rsidR="002127F6" w:rsidRPr="00FF65D6">
        <w:rPr>
          <w:lang w:val="fr-FR"/>
        </w:rPr>
        <w:t xml:space="preserve"> </w:t>
      </w:r>
      <w:r w:rsidRPr="00FF65D6">
        <w:rPr>
          <w:lang w:val="fr-FR"/>
        </w:rPr>
        <w:t>l</w:t>
      </w:r>
      <w:r w:rsidR="002127F6" w:rsidRPr="00FF65D6">
        <w:rPr>
          <w:lang w:val="fr-FR"/>
        </w:rPr>
        <w:t>’</w:t>
      </w:r>
      <w:r w:rsidRPr="00FF65D6">
        <w:rPr>
          <w:lang w:val="fr-FR"/>
        </w:rPr>
        <w:t>hébergement ou l</w:t>
      </w:r>
      <w:r w:rsidR="002127F6" w:rsidRPr="00FF65D6">
        <w:rPr>
          <w:lang w:val="fr-FR"/>
        </w:rPr>
        <w:t>’</w:t>
      </w:r>
      <w:r w:rsidRPr="00FF65D6">
        <w:rPr>
          <w:lang w:val="fr-FR"/>
        </w:rPr>
        <w:t>accueil d</w:t>
      </w:r>
      <w:r w:rsidR="002127F6" w:rsidRPr="00FF65D6">
        <w:rPr>
          <w:lang w:val="fr-FR"/>
        </w:rPr>
        <w:t>’</w:t>
      </w:r>
      <w:r w:rsidRPr="00FF65D6">
        <w:rPr>
          <w:lang w:val="fr-FR"/>
        </w:rPr>
        <w:t>enfants à des fins d</w:t>
      </w:r>
      <w:r w:rsidR="002127F6" w:rsidRPr="00FF65D6">
        <w:rPr>
          <w:lang w:val="fr-FR"/>
        </w:rPr>
        <w:t>’</w:t>
      </w:r>
      <w:r w:rsidRPr="00FF65D6">
        <w:rPr>
          <w:lang w:val="fr-FR"/>
        </w:rPr>
        <w:t>exploitation sont passibles d</w:t>
      </w:r>
      <w:r w:rsidR="002127F6" w:rsidRPr="00FF65D6">
        <w:rPr>
          <w:lang w:val="fr-FR"/>
        </w:rPr>
        <w:t>’</w:t>
      </w:r>
      <w:r w:rsidRPr="00FF65D6">
        <w:rPr>
          <w:lang w:val="fr-FR"/>
        </w:rPr>
        <w:t>une peine d</w:t>
      </w:r>
      <w:r w:rsidR="002127F6" w:rsidRPr="00FF65D6">
        <w:rPr>
          <w:lang w:val="fr-FR"/>
        </w:rPr>
        <w:t>’</w:t>
      </w:r>
      <w:r w:rsidRPr="00FF65D6">
        <w:rPr>
          <w:lang w:val="fr-FR"/>
        </w:rPr>
        <w:t xml:space="preserve">emprisonnement allant de huit à </w:t>
      </w:r>
      <w:r w:rsidR="00554F66">
        <w:rPr>
          <w:lang w:val="fr-FR"/>
        </w:rPr>
        <w:t>douze</w:t>
      </w:r>
      <w:r w:rsidRPr="00FF65D6">
        <w:rPr>
          <w:lang w:val="fr-FR"/>
        </w:rPr>
        <w:t xml:space="preserve"> ans assortie de l</w:t>
      </w:r>
      <w:r w:rsidR="002127F6" w:rsidRPr="00FF65D6">
        <w:rPr>
          <w:lang w:val="fr-FR"/>
        </w:rPr>
        <w:t>’</w:t>
      </w:r>
      <w:r w:rsidRPr="00FF65D6">
        <w:rPr>
          <w:lang w:val="fr-FR"/>
        </w:rPr>
        <w:t>interdiction d</w:t>
      </w:r>
      <w:r w:rsidR="002127F6" w:rsidRPr="00FF65D6">
        <w:rPr>
          <w:lang w:val="fr-FR"/>
        </w:rPr>
        <w:t>’</w:t>
      </w:r>
      <w:r w:rsidRPr="00FF65D6">
        <w:rPr>
          <w:lang w:val="fr-FR"/>
        </w:rPr>
        <w:t>occuper un poste officiel ou d</w:t>
      </w:r>
      <w:r w:rsidR="002127F6" w:rsidRPr="00FF65D6">
        <w:rPr>
          <w:lang w:val="fr-FR"/>
        </w:rPr>
        <w:t>’</w:t>
      </w:r>
      <w:r w:rsidRPr="00FF65D6">
        <w:rPr>
          <w:lang w:val="fr-FR"/>
        </w:rPr>
        <w:t>exercer certaines activités pendant une période pouvant aller jusqu</w:t>
      </w:r>
      <w:r w:rsidR="002127F6" w:rsidRPr="00FF65D6">
        <w:rPr>
          <w:lang w:val="fr-FR"/>
        </w:rPr>
        <w:t>’</w:t>
      </w:r>
      <w:r w:rsidRPr="00FF65D6">
        <w:rPr>
          <w:lang w:val="fr-FR"/>
        </w:rPr>
        <w:t>à trois ans</w:t>
      </w:r>
      <w:r w:rsidR="00554F66">
        <w:rPr>
          <w:lang w:val="fr-FR"/>
        </w:rPr>
        <w:t>.</w:t>
      </w:r>
      <w:r w:rsidRPr="00FF65D6">
        <w:rPr>
          <w:lang w:val="fr-FR"/>
        </w:rPr>
        <w:t> »</w:t>
      </w:r>
      <w:r w:rsidR="005C1799" w:rsidRPr="005C1799">
        <w:rPr>
          <w:lang w:val="fr-FR"/>
        </w:rPr>
        <w:t>.</w:t>
      </w:r>
    </w:p>
    <w:p w14:paraId="1BDB13AE" w14:textId="77777777" w:rsidR="005C5C6A" w:rsidRPr="00FF65D6" w:rsidRDefault="005C5C6A" w:rsidP="00F34341">
      <w:pPr>
        <w:pStyle w:val="SingleTxtG"/>
        <w:rPr>
          <w:lang w:val="fr-FR"/>
        </w:rPr>
      </w:pPr>
      <w:r w:rsidRPr="00FF65D6">
        <w:rPr>
          <w:lang w:val="fr-FR"/>
        </w:rPr>
        <w:t>101</w:t>
      </w:r>
      <w:r w:rsidR="005C1799" w:rsidRPr="005C1799">
        <w:rPr>
          <w:lang w:val="fr-FR"/>
        </w:rPr>
        <w:t>.</w:t>
      </w:r>
      <w:r w:rsidRPr="00FF65D6">
        <w:rPr>
          <w:lang w:val="fr-FR"/>
        </w:rPr>
        <w:tab/>
        <w:t>En outre, la disposition énumère les circonstances susceptibles d</w:t>
      </w:r>
      <w:r w:rsidR="002127F6" w:rsidRPr="00FF65D6">
        <w:rPr>
          <w:lang w:val="fr-FR"/>
        </w:rPr>
        <w:t>’</w:t>
      </w:r>
      <w:r w:rsidRPr="00FF65D6">
        <w:rPr>
          <w:lang w:val="fr-FR"/>
        </w:rPr>
        <w:t>aggraver la responsabilité pénale de l</w:t>
      </w:r>
      <w:r w:rsidR="002127F6" w:rsidRPr="00FF65D6">
        <w:rPr>
          <w:lang w:val="fr-FR"/>
        </w:rPr>
        <w:t>’</w:t>
      </w:r>
      <w:r w:rsidRPr="00FF65D6">
        <w:rPr>
          <w:lang w:val="fr-FR"/>
        </w:rPr>
        <w:t>auteur de l</w:t>
      </w:r>
      <w:r w:rsidR="002127F6" w:rsidRPr="00FF65D6">
        <w:rPr>
          <w:lang w:val="fr-FR"/>
        </w:rPr>
        <w:t>’</w:t>
      </w:r>
      <w:r w:rsidRPr="00FF65D6">
        <w:rPr>
          <w:lang w:val="fr-FR"/>
        </w:rPr>
        <w:t>infraction</w:t>
      </w:r>
      <w:r w:rsidR="005C1799" w:rsidRPr="005C1799">
        <w:rPr>
          <w:lang w:val="fr-FR"/>
        </w:rPr>
        <w:t>.</w:t>
      </w:r>
      <w:r w:rsidRPr="00FF65D6">
        <w:rPr>
          <w:lang w:val="fr-FR"/>
        </w:rPr>
        <w:t xml:space="preserve"> Ainsi, aux termes du paragraphe 2 de l</w:t>
      </w:r>
      <w:r w:rsidR="002127F6" w:rsidRPr="00FF65D6">
        <w:rPr>
          <w:lang w:val="fr-FR"/>
        </w:rPr>
        <w:t>’</w:t>
      </w:r>
      <w:r w:rsidRPr="00FF65D6">
        <w:rPr>
          <w:lang w:val="fr-FR"/>
        </w:rPr>
        <w:t>article 1432,</w:t>
      </w:r>
      <w:r w:rsidR="002127F6" w:rsidRPr="00FF65D6">
        <w:rPr>
          <w:lang w:val="fr-FR"/>
        </w:rPr>
        <w:t xml:space="preserve"> </w:t>
      </w:r>
      <w:r w:rsidRPr="00FF65D6">
        <w:rPr>
          <w:lang w:val="fr-FR"/>
        </w:rPr>
        <w:t>le même acte commis en connaissance de cause à l</w:t>
      </w:r>
      <w:r w:rsidR="002127F6" w:rsidRPr="00FF65D6">
        <w:rPr>
          <w:lang w:val="fr-FR"/>
        </w:rPr>
        <w:t>’</w:t>
      </w:r>
      <w:r w:rsidRPr="00FF65D6">
        <w:rPr>
          <w:lang w:val="fr-FR"/>
        </w:rPr>
        <w:t>encontre d</w:t>
      </w:r>
      <w:r w:rsidR="002127F6" w:rsidRPr="00FF65D6">
        <w:rPr>
          <w:lang w:val="fr-FR"/>
        </w:rPr>
        <w:t>’</w:t>
      </w:r>
      <w:r w:rsidRPr="00FF65D6">
        <w:rPr>
          <w:lang w:val="fr-FR"/>
        </w:rPr>
        <w:t>une femme enceinte ou d</w:t>
      </w:r>
      <w:r w:rsidR="002127F6" w:rsidRPr="00FF65D6">
        <w:rPr>
          <w:lang w:val="fr-FR"/>
        </w:rPr>
        <w:t>’</w:t>
      </w:r>
      <w:r w:rsidRPr="00FF65D6">
        <w:rPr>
          <w:lang w:val="fr-FR"/>
        </w:rPr>
        <w:t>une personne sans défense ou d</w:t>
      </w:r>
      <w:r w:rsidR="002127F6" w:rsidRPr="00FF65D6">
        <w:rPr>
          <w:lang w:val="fr-FR"/>
        </w:rPr>
        <w:t>’</w:t>
      </w:r>
      <w:r w:rsidRPr="00FF65D6">
        <w:rPr>
          <w:lang w:val="fr-FR"/>
        </w:rPr>
        <w:t>une personne qui dépend financièrement ou autrement de l</w:t>
      </w:r>
      <w:r w:rsidR="002127F6" w:rsidRPr="00FF65D6">
        <w:rPr>
          <w:lang w:val="fr-FR"/>
        </w:rPr>
        <w:t>’</w:t>
      </w:r>
      <w:r w:rsidRPr="00FF65D6">
        <w:rPr>
          <w:lang w:val="fr-FR"/>
        </w:rPr>
        <w:t>auteur de l</w:t>
      </w:r>
      <w:r w:rsidR="002127F6" w:rsidRPr="00FF65D6">
        <w:rPr>
          <w:lang w:val="fr-FR"/>
        </w:rPr>
        <w:t>’</w:t>
      </w:r>
      <w:r w:rsidRPr="00FF65D6">
        <w:rPr>
          <w:lang w:val="fr-FR"/>
        </w:rPr>
        <w:t>infraction ou au moyen</w:t>
      </w:r>
      <w:r w:rsidR="002127F6" w:rsidRPr="00FF65D6">
        <w:rPr>
          <w:lang w:val="fr-FR"/>
        </w:rPr>
        <w:t xml:space="preserve"> </w:t>
      </w:r>
      <w:r w:rsidRPr="00FF65D6">
        <w:rPr>
          <w:lang w:val="fr-FR"/>
        </w:rPr>
        <w:t>d</w:t>
      </w:r>
      <w:r w:rsidR="002127F6" w:rsidRPr="00FF65D6">
        <w:rPr>
          <w:lang w:val="fr-FR"/>
        </w:rPr>
        <w:t>’</w:t>
      </w:r>
      <w:r w:rsidRPr="00FF65D6">
        <w:rPr>
          <w:lang w:val="fr-FR"/>
        </w:rPr>
        <w:t xml:space="preserve">un abus de pouvoir emporte une peine de </w:t>
      </w:r>
      <w:r w:rsidR="00554F66">
        <w:rPr>
          <w:lang w:val="fr-FR"/>
        </w:rPr>
        <w:t>onze</w:t>
      </w:r>
      <w:r w:rsidRPr="00FF65D6">
        <w:rPr>
          <w:lang w:val="fr-FR"/>
        </w:rPr>
        <w:t xml:space="preserve"> à </w:t>
      </w:r>
      <w:r w:rsidR="00554F66">
        <w:rPr>
          <w:lang w:val="fr-FR"/>
        </w:rPr>
        <w:t xml:space="preserve">quinze </w:t>
      </w:r>
      <w:r w:rsidRPr="00FF65D6">
        <w:rPr>
          <w:lang w:val="fr-FR"/>
        </w:rPr>
        <w:t>ans d</w:t>
      </w:r>
      <w:r w:rsidR="002127F6" w:rsidRPr="00FF65D6">
        <w:rPr>
          <w:lang w:val="fr-FR"/>
        </w:rPr>
        <w:t>’</w:t>
      </w:r>
      <w:r w:rsidRPr="00FF65D6">
        <w:rPr>
          <w:lang w:val="fr-FR"/>
        </w:rPr>
        <w:t>emprisonnement, assortie de l</w:t>
      </w:r>
      <w:r w:rsidR="002127F6" w:rsidRPr="00FF65D6">
        <w:rPr>
          <w:lang w:val="fr-FR"/>
        </w:rPr>
        <w:t>’</w:t>
      </w:r>
      <w:r w:rsidRPr="00FF65D6">
        <w:rPr>
          <w:lang w:val="fr-FR"/>
        </w:rPr>
        <w:t>interdiction d</w:t>
      </w:r>
      <w:r w:rsidR="002127F6" w:rsidRPr="00FF65D6">
        <w:rPr>
          <w:lang w:val="fr-FR"/>
        </w:rPr>
        <w:t>’</w:t>
      </w:r>
      <w:r w:rsidRPr="00FF65D6">
        <w:rPr>
          <w:lang w:val="fr-FR"/>
        </w:rPr>
        <w:t>occuper un poste officiel ou d</w:t>
      </w:r>
      <w:r w:rsidR="002127F6" w:rsidRPr="00FF65D6">
        <w:rPr>
          <w:lang w:val="fr-FR"/>
        </w:rPr>
        <w:t>’</w:t>
      </w:r>
      <w:r w:rsidRPr="00FF65D6">
        <w:rPr>
          <w:lang w:val="fr-FR"/>
        </w:rPr>
        <w:t>exercer certaines activités pendant une période de trois ans au plus</w:t>
      </w:r>
      <w:r w:rsidR="005C1799" w:rsidRPr="005C1799">
        <w:rPr>
          <w:lang w:val="fr-FR"/>
        </w:rPr>
        <w:t>.</w:t>
      </w:r>
      <w:r w:rsidRPr="00FF65D6">
        <w:rPr>
          <w:lang w:val="fr-FR"/>
        </w:rPr>
        <w:t xml:space="preserve"> En outre, le paragraphe 3 de l</w:t>
      </w:r>
      <w:r w:rsidR="002127F6" w:rsidRPr="00FF65D6">
        <w:rPr>
          <w:lang w:val="fr-FR"/>
        </w:rPr>
        <w:t>’</w:t>
      </w:r>
      <w:r w:rsidRPr="00FF65D6">
        <w:rPr>
          <w:lang w:val="fr-FR"/>
        </w:rPr>
        <w:t>article 1432, dispose que le même acte commis</w:t>
      </w:r>
      <w:r w:rsidR="003B7618" w:rsidRPr="00FF65D6">
        <w:rPr>
          <w:lang w:val="fr-FR"/>
        </w:rPr>
        <w:t> :</w:t>
      </w:r>
      <w:r w:rsidRPr="00FF65D6">
        <w:rPr>
          <w:lang w:val="fr-FR"/>
        </w:rPr>
        <w:t xml:space="preserve"> a) de façon répétée</w:t>
      </w:r>
      <w:r w:rsidR="003B7618" w:rsidRPr="00FF65D6">
        <w:rPr>
          <w:lang w:val="fr-FR"/>
        </w:rPr>
        <w:t> ;</w:t>
      </w:r>
      <w:r w:rsidRPr="00FF65D6">
        <w:rPr>
          <w:lang w:val="fr-FR"/>
        </w:rPr>
        <w:t xml:space="preserve"> b) en usant de contrainte, de chantage ou de tromperie</w:t>
      </w:r>
      <w:r w:rsidR="003B7618" w:rsidRPr="00FF65D6">
        <w:rPr>
          <w:lang w:val="fr-FR"/>
        </w:rPr>
        <w:t> ;</w:t>
      </w:r>
      <w:r w:rsidRPr="00FF65D6">
        <w:rPr>
          <w:lang w:val="fr-FR"/>
        </w:rPr>
        <w:t xml:space="preserve"> c) à l</w:t>
      </w:r>
      <w:r w:rsidR="002127F6" w:rsidRPr="00FF65D6">
        <w:rPr>
          <w:lang w:val="fr-FR"/>
        </w:rPr>
        <w:t>’</w:t>
      </w:r>
      <w:r w:rsidRPr="00FF65D6">
        <w:rPr>
          <w:lang w:val="fr-FR"/>
        </w:rPr>
        <w:t>encontre de deux enfants ou plus</w:t>
      </w:r>
      <w:r w:rsidR="003B7618" w:rsidRPr="00FF65D6">
        <w:rPr>
          <w:lang w:val="fr-FR"/>
        </w:rPr>
        <w:t> </w:t>
      </w:r>
      <w:r w:rsidRPr="00FF65D6">
        <w:rPr>
          <w:lang w:val="fr-FR"/>
        </w:rPr>
        <w:t>; d) en emmenant la victime à l</w:t>
      </w:r>
      <w:r w:rsidR="002127F6" w:rsidRPr="00FF65D6">
        <w:rPr>
          <w:lang w:val="fr-FR"/>
        </w:rPr>
        <w:t>’</w:t>
      </w:r>
      <w:r w:rsidRPr="00FF65D6">
        <w:rPr>
          <w:lang w:val="fr-FR"/>
        </w:rPr>
        <w:t>étranger</w:t>
      </w:r>
      <w:r w:rsidR="003B7618" w:rsidRPr="00FF65D6">
        <w:rPr>
          <w:lang w:val="fr-FR"/>
        </w:rPr>
        <w:t> </w:t>
      </w:r>
      <w:r w:rsidRPr="00FF65D6">
        <w:rPr>
          <w:lang w:val="fr-FR"/>
        </w:rPr>
        <w:t>; e) avec la menace ou l</w:t>
      </w:r>
      <w:r w:rsidR="002127F6" w:rsidRPr="00FF65D6">
        <w:rPr>
          <w:lang w:val="fr-FR"/>
        </w:rPr>
        <w:t>’</w:t>
      </w:r>
      <w:r w:rsidRPr="00FF65D6">
        <w:rPr>
          <w:lang w:val="fr-FR"/>
        </w:rPr>
        <w:t xml:space="preserve">utilisation de la force mettant en péril la vie ou la santé de la personne, emporte une peine de </w:t>
      </w:r>
      <w:r w:rsidR="00F91DAC">
        <w:rPr>
          <w:lang w:val="fr-FR"/>
        </w:rPr>
        <w:t>quatorze</w:t>
      </w:r>
      <w:r w:rsidRPr="00FF65D6">
        <w:rPr>
          <w:lang w:val="fr-FR"/>
        </w:rPr>
        <w:t xml:space="preserve"> à </w:t>
      </w:r>
      <w:r w:rsidR="00F91DAC">
        <w:rPr>
          <w:lang w:val="fr-FR"/>
        </w:rPr>
        <w:t xml:space="preserve">dix-sept </w:t>
      </w:r>
      <w:r w:rsidRPr="00FF65D6">
        <w:rPr>
          <w:lang w:val="fr-FR"/>
        </w:rPr>
        <w:t>ans d</w:t>
      </w:r>
      <w:r w:rsidR="002127F6" w:rsidRPr="00FF65D6">
        <w:rPr>
          <w:lang w:val="fr-FR"/>
        </w:rPr>
        <w:t>’</w:t>
      </w:r>
      <w:r w:rsidRPr="00FF65D6">
        <w:rPr>
          <w:lang w:val="fr-FR"/>
        </w:rPr>
        <w:t>emprisonnement, assortie de l</w:t>
      </w:r>
      <w:r w:rsidR="002127F6" w:rsidRPr="00FF65D6">
        <w:rPr>
          <w:lang w:val="fr-FR"/>
        </w:rPr>
        <w:t>’</w:t>
      </w:r>
      <w:r w:rsidRPr="00FF65D6">
        <w:rPr>
          <w:lang w:val="fr-FR"/>
        </w:rPr>
        <w:t>interdiction d</w:t>
      </w:r>
      <w:r w:rsidR="002127F6" w:rsidRPr="00FF65D6">
        <w:rPr>
          <w:lang w:val="fr-FR"/>
        </w:rPr>
        <w:t>’</w:t>
      </w:r>
      <w:r w:rsidRPr="00FF65D6">
        <w:rPr>
          <w:lang w:val="fr-FR"/>
        </w:rPr>
        <w:t>occuper un poste officiel ou d</w:t>
      </w:r>
      <w:r w:rsidR="002127F6" w:rsidRPr="00FF65D6">
        <w:rPr>
          <w:lang w:val="fr-FR"/>
        </w:rPr>
        <w:t>’</w:t>
      </w:r>
      <w:r w:rsidRPr="00FF65D6">
        <w:rPr>
          <w:lang w:val="fr-FR"/>
        </w:rPr>
        <w:t>exercer certaines activités pendant une période de trois ans au plus</w:t>
      </w:r>
      <w:r w:rsidR="005C1799" w:rsidRPr="005C1799">
        <w:rPr>
          <w:lang w:val="fr-FR"/>
        </w:rPr>
        <w:t>.</w:t>
      </w:r>
      <w:r w:rsidRPr="00FF65D6">
        <w:rPr>
          <w:lang w:val="fr-FR"/>
        </w:rPr>
        <w:t xml:space="preserve"> Enfin, les actes visés aux paragraphes 1, 2 et 3 de l</w:t>
      </w:r>
      <w:r w:rsidR="002127F6" w:rsidRPr="00FF65D6">
        <w:rPr>
          <w:lang w:val="fr-FR"/>
        </w:rPr>
        <w:t>’</w:t>
      </w:r>
      <w:r w:rsidRPr="00FF65D6">
        <w:rPr>
          <w:lang w:val="fr-FR"/>
        </w:rPr>
        <w:t>article 1432, lorsqu</w:t>
      </w:r>
      <w:r w:rsidR="002127F6" w:rsidRPr="00FF65D6">
        <w:rPr>
          <w:lang w:val="fr-FR"/>
        </w:rPr>
        <w:t>’</w:t>
      </w:r>
      <w:r w:rsidRPr="00FF65D6">
        <w:rPr>
          <w:lang w:val="fr-FR"/>
        </w:rPr>
        <w:t>ils sont commis par un groupe organisé ou causent la mort de la victime ou ont toute autre conséquence grave, emportent une peine</w:t>
      </w:r>
      <w:r w:rsidR="002127F6" w:rsidRPr="00FF65D6">
        <w:rPr>
          <w:lang w:val="fr-FR"/>
        </w:rPr>
        <w:t xml:space="preserve"> </w:t>
      </w:r>
      <w:r w:rsidRPr="00FF65D6">
        <w:rPr>
          <w:lang w:val="fr-FR"/>
        </w:rPr>
        <w:t>de 17 à 20 ans d</w:t>
      </w:r>
      <w:r w:rsidR="002127F6" w:rsidRPr="00FF65D6">
        <w:rPr>
          <w:lang w:val="fr-FR"/>
        </w:rPr>
        <w:t>’</w:t>
      </w:r>
      <w:r w:rsidRPr="00FF65D6">
        <w:rPr>
          <w:lang w:val="fr-FR"/>
        </w:rPr>
        <w:t>emprisonnement, assortie de l</w:t>
      </w:r>
      <w:r w:rsidR="002127F6" w:rsidRPr="00FF65D6">
        <w:rPr>
          <w:lang w:val="fr-FR"/>
        </w:rPr>
        <w:t>’</w:t>
      </w:r>
      <w:r w:rsidRPr="00FF65D6">
        <w:rPr>
          <w:lang w:val="fr-FR"/>
        </w:rPr>
        <w:t>interdiction d</w:t>
      </w:r>
      <w:r w:rsidR="002127F6" w:rsidRPr="00FF65D6">
        <w:rPr>
          <w:lang w:val="fr-FR"/>
        </w:rPr>
        <w:t>’</w:t>
      </w:r>
      <w:r w:rsidRPr="00FF65D6">
        <w:rPr>
          <w:lang w:val="fr-FR"/>
        </w:rPr>
        <w:t>occuper un poste officiel ou d</w:t>
      </w:r>
      <w:r w:rsidR="002127F6" w:rsidRPr="00FF65D6">
        <w:rPr>
          <w:lang w:val="fr-FR"/>
        </w:rPr>
        <w:t>’</w:t>
      </w:r>
      <w:r w:rsidRPr="00FF65D6">
        <w:rPr>
          <w:lang w:val="fr-FR"/>
        </w:rPr>
        <w:t>exercer certaines activités pendant une période de trois ans au plus, ou d</w:t>
      </w:r>
      <w:r w:rsidR="002127F6" w:rsidRPr="00FF65D6">
        <w:rPr>
          <w:lang w:val="fr-FR"/>
        </w:rPr>
        <w:t>’</w:t>
      </w:r>
      <w:r w:rsidRPr="00FF65D6">
        <w:rPr>
          <w:lang w:val="fr-FR"/>
        </w:rPr>
        <w:t>une peine de réclusion à perpétuité</w:t>
      </w:r>
      <w:r w:rsidR="005C1799" w:rsidRPr="005C1799">
        <w:rPr>
          <w:lang w:val="fr-FR"/>
        </w:rPr>
        <w:t>.</w:t>
      </w:r>
    </w:p>
    <w:p w14:paraId="3E8EC344" w14:textId="77777777" w:rsidR="005C5C6A" w:rsidRPr="00FF65D6" w:rsidRDefault="005C5C6A" w:rsidP="00F34341">
      <w:pPr>
        <w:pStyle w:val="SingleTxtG"/>
        <w:rPr>
          <w:lang w:val="fr-FR"/>
        </w:rPr>
      </w:pPr>
      <w:r w:rsidRPr="00FF65D6">
        <w:rPr>
          <w:lang w:val="fr-FR"/>
        </w:rPr>
        <w:t>102</w:t>
      </w:r>
      <w:r w:rsidR="005C1799" w:rsidRPr="005C1799">
        <w:rPr>
          <w:lang w:val="fr-FR"/>
        </w:rPr>
        <w:t>.</w:t>
      </w:r>
      <w:r w:rsidRPr="00FF65D6">
        <w:rPr>
          <w:lang w:val="fr-FR"/>
        </w:rPr>
        <w:tab/>
        <w:t>L</w:t>
      </w:r>
      <w:r w:rsidR="002127F6" w:rsidRPr="00FF65D6">
        <w:rPr>
          <w:lang w:val="fr-FR"/>
        </w:rPr>
        <w:t>’</w:t>
      </w:r>
      <w:r w:rsidRPr="00FF65D6">
        <w:rPr>
          <w:lang w:val="fr-FR"/>
        </w:rPr>
        <w:t>article 1431 contient une note qui définit le terme «</w:t>
      </w:r>
      <w:r w:rsidR="00151421" w:rsidRPr="00FF65D6">
        <w:rPr>
          <w:lang w:val="fr-FR"/>
        </w:rPr>
        <w:t> </w:t>
      </w:r>
      <w:r w:rsidRPr="00FF65D6">
        <w:rPr>
          <w:lang w:val="fr-FR"/>
        </w:rPr>
        <w:t>exploitation</w:t>
      </w:r>
      <w:r w:rsidR="00151421" w:rsidRPr="00FF65D6">
        <w:rPr>
          <w:lang w:val="fr-FR"/>
        </w:rPr>
        <w:t> </w:t>
      </w:r>
      <w:r w:rsidRPr="00FF65D6">
        <w:rPr>
          <w:lang w:val="fr-FR"/>
        </w:rPr>
        <w:t>» aux fins des articles 1431 et 1432</w:t>
      </w:r>
      <w:r w:rsidR="005C1799" w:rsidRPr="005C1799">
        <w:rPr>
          <w:lang w:val="fr-FR"/>
        </w:rPr>
        <w:t>.</w:t>
      </w:r>
      <w:r w:rsidRPr="00FF65D6">
        <w:rPr>
          <w:lang w:val="fr-FR"/>
        </w:rPr>
        <w:t xml:space="preserve"> Selon la note, les actes ci-après commis dans le but d</w:t>
      </w:r>
      <w:r w:rsidR="002127F6" w:rsidRPr="00FF65D6">
        <w:rPr>
          <w:lang w:val="fr-FR"/>
        </w:rPr>
        <w:t>’</w:t>
      </w:r>
      <w:r w:rsidRPr="00FF65D6">
        <w:rPr>
          <w:lang w:val="fr-FR"/>
        </w:rPr>
        <w:t>obtenir des avantages matériels ou autres constituent l</w:t>
      </w:r>
      <w:r w:rsidR="002127F6" w:rsidRPr="00FF65D6">
        <w:rPr>
          <w:lang w:val="fr-FR"/>
        </w:rPr>
        <w:t>’</w:t>
      </w:r>
      <w:r w:rsidRPr="00FF65D6">
        <w:rPr>
          <w:lang w:val="fr-FR"/>
        </w:rPr>
        <w:t>infraction d</w:t>
      </w:r>
      <w:r w:rsidR="002127F6" w:rsidRPr="00FF65D6">
        <w:rPr>
          <w:lang w:val="fr-FR"/>
        </w:rPr>
        <w:t>’</w:t>
      </w:r>
      <w:r w:rsidRPr="00FF65D6">
        <w:rPr>
          <w:lang w:val="fr-FR"/>
        </w:rPr>
        <w:t>exploitation</w:t>
      </w:r>
      <w:r w:rsidR="003B7618" w:rsidRPr="00FF65D6">
        <w:rPr>
          <w:lang w:val="fr-FR"/>
        </w:rPr>
        <w:t> :</w:t>
      </w:r>
    </w:p>
    <w:p w14:paraId="05E5E55E" w14:textId="77777777" w:rsidR="005C5C6A" w:rsidRPr="00FF65D6" w:rsidRDefault="005C5C6A" w:rsidP="00F34341">
      <w:pPr>
        <w:pStyle w:val="SingleTxtG"/>
        <w:rPr>
          <w:lang w:val="fr-FR"/>
        </w:rPr>
      </w:pPr>
      <w:r w:rsidRPr="00FF65D6">
        <w:rPr>
          <w:lang w:val="fr-FR"/>
        </w:rPr>
        <w:tab/>
        <w:t>a)</w:t>
      </w:r>
      <w:r w:rsidRPr="00FF65D6">
        <w:rPr>
          <w:lang w:val="fr-FR"/>
        </w:rPr>
        <w:tab/>
      </w:r>
      <w:r w:rsidR="00151421" w:rsidRPr="00FF65D6">
        <w:rPr>
          <w:lang w:val="fr-FR"/>
        </w:rPr>
        <w:t>I</w:t>
      </w:r>
      <w:r w:rsidRPr="00FF65D6">
        <w:rPr>
          <w:lang w:val="fr-FR"/>
        </w:rPr>
        <w:t>nciter une personne à fournir un travail ou d</w:t>
      </w:r>
      <w:r w:rsidR="002127F6" w:rsidRPr="00FF65D6">
        <w:rPr>
          <w:lang w:val="fr-FR"/>
        </w:rPr>
        <w:t>’</w:t>
      </w:r>
      <w:r w:rsidRPr="00FF65D6">
        <w:rPr>
          <w:lang w:val="fr-FR"/>
        </w:rPr>
        <w:t>autres services</w:t>
      </w:r>
      <w:r w:rsidR="003B7618" w:rsidRPr="00FF65D6">
        <w:rPr>
          <w:lang w:val="fr-FR"/>
        </w:rPr>
        <w:t> ;</w:t>
      </w:r>
    </w:p>
    <w:p w14:paraId="5F9CFC92" w14:textId="77777777" w:rsidR="005C5C6A" w:rsidRPr="00FF65D6" w:rsidRDefault="005C5C6A" w:rsidP="00F34341">
      <w:pPr>
        <w:pStyle w:val="SingleTxtG"/>
        <w:rPr>
          <w:lang w:val="fr-FR"/>
        </w:rPr>
      </w:pPr>
      <w:r w:rsidRPr="00FF65D6">
        <w:rPr>
          <w:lang w:val="fr-FR"/>
        </w:rPr>
        <w:tab/>
        <w:t>b)</w:t>
      </w:r>
      <w:r w:rsidRPr="00FF65D6">
        <w:rPr>
          <w:lang w:val="fr-FR"/>
        </w:rPr>
        <w:tab/>
      </w:r>
      <w:r w:rsidR="00151421" w:rsidRPr="00FF65D6">
        <w:rPr>
          <w:lang w:val="fr-FR"/>
        </w:rPr>
        <w:t>I</w:t>
      </w:r>
      <w:r w:rsidRPr="00FF65D6">
        <w:rPr>
          <w:lang w:val="fr-FR"/>
        </w:rPr>
        <w:t>nciter une personne à fournir des services sexuels</w:t>
      </w:r>
      <w:r w:rsidR="003B7618" w:rsidRPr="00FF65D6">
        <w:rPr>
          <w:lang w:val="fr-FR"/>
        </w:rPr>
        <w:t> ;</w:t>
      </w:r>
    </w:p>
    <w:p w14:paraId="24925A70" w14:textId="77777777" w:rsidR="005C5C6A" w:rsidRPr="00FF65D6" w:rsidRDefault="005C5C6A" w:rsidP="00F34341">
      <w:pPr>
        <w:pStyle w:val="SingleTxtG"/>
        <w:rPr>
          <w:lang w:val="fr-FR"/>
        </w:rPr>
      </w:pPr>
      <w:r w:rsidRPr="00FF65D6">
        <w:rPr>
          <w:lang w:val="fr-FR"/>
        </w:rPr>
        <w:tab/>
        <w:t>c)</w:t>
      </w:r>
      <w:r w:rsidRPr="00FF65D6">
        <w:rPr>
          <w:lang w:val="fr-FR"/>
        </w:rPr>
        <w:tab/>
      </w:r>
      <w:r w:rsidR="00151421" w:rsidRPr="00FF65D6">
        <w:rPr>
          <w:lang w:val="fr-FR"/>
        </w:rPr>
        <w:t>A</w:t>
      </w:r>
      <w:r w:rsidRPr="00FF65D6">
        <w:rPr>
          <w:lang w:val="fr-FR"/>
        </w:rPr>
        <w:t>mener une personne à se livrer à des activités criminelles, à la prostitution, à des activités à caractère pornographique ou à d</w:t>
      </w:r>
      <w:r w:rsidR="002127F6" w:rsidRPr="00FF65D6">
        <w:rPr>
          <w:lang w:val="fr-FR"/>
        </w:rPr>
        <w:t>’</w:t>
      </w:r>
      <w:r w:rsidRPr="00FF65D6">
        <w:rPr>
          <w:lang w:val="fr-FR"/>
        </w:rPr>
        <w:t>autres activités antisociales</w:t>
      </w:r>
      <w:r w:rsidR="003B7618" w:rsidRPr="00FF65D6">
        <w:rPr>
          <w:lang w:val="fr-FR"/>
        </w:rPr>
        <w:t> ;</w:t>
      </w:r>
    </w:p>
    <w:p w14:paraId="1DA435A9" w14:textId="77777777" w:rsidR="005C5C6A" w:rsidRPr="00FF65D6" w:rsidRDefault="005C5C6A" w:rsidP="00F34341">
      <w:pPr>
        <w:pStyle w:val="SingleTxtG"/>
        <w:rPr>
          <w:lang w:val="fr-FR"/>
        </w:rPr>
      </w:pPr>
      <w:r w:rsidRPr="00FF65D6">
        <w:rPr>
          <w:lang w:val="fr-FR"/>
        </w:rPr>
        <w:tab/>
        <w:t>d)</w:t>
      </w:r>
      <w:r w:rsidRPr="00FF65D6">
        <w:rPr>
          <w:lang w:val="fr-FR"/>
        </w:rPr>
        <w:tab/>
      </w:r>
      <w:r w:rsidR="00151421" w:rsidRPr="00FF65D6">
        <w:rPr>
          <w:lang w:val="fr-FR"/>
        </w:rPr>
        <w:t>P</w:t>
      </w:r>
      <w:r w:rsidRPr="00FF65D6">
        <w:rPr>
          <w:lang w:val="fr-FR"/>
        </w:rPr>
        <w:t>rélever, transférer ou utiliser de toute autre manière un organe</w:t>
      </w:r>
      <w:r w:rsidR="00BE5F97">
        <w:rPr>
          <w:lang w:val="fr-FR"/>
        </w:rPr>
        <w:t xml:space="preserve"> − </w:t>
      </w:r>
      <w:r w:rsidRPr="00FF65D6">
        <w:rPr>
          <w:lang w:val="fr-FR"/>
        </w:rPr>
        <w:t>ou une partie de celui-ci</w:t>
      </w:r>
      <w:r w:rsidR="00BE5F97">
        <w:rPr>
          <w:lang w:val="fr-FR"/>
        </w:rPr>
        <w:t> −</w:t>
      </w:r>
      <w:r w:rsidRPr="00FF65D6">
        <w:rPr>
          <w:lang w:val="fr-FR"/>
        </w:rPr>
        <w:t xml:space="preserve"> ou des tissus humains en recourant à la force ou à la tromperie</w:t>
      </w:r>
      <w:r w:rsidR="003B7618" w:rsidRPr="00FF65D6">
        <w:rPr>
          <w:lang w:val="fr-FR"/>
        </w:rPr>
        <w:t> ;</w:t>
      </w:r>
    </w:p>
    <w:p w14:paraId="3FAB45FF" w14:textId="77777777" w:rsidR="005C5C6A" w:rsidRPr="00FF65D6" w:rsidRDefault="005C5C6A" w:rsidP="00F34341">
      <w:pPr>
        <w:pStyle w:val="SingleTxtG"/>
        <w:rPr>
          <w:lang w:val="fr-FR"/>
        </w:rPr>
      </w:pPr>
      <w:r w:rsidRPr="00FF65D6">
        <w:rPr>
          <w:lang w:val="fr-FR"/>
        </w:rPr>
        <w:tab/>
        <w:t>e)</w:t>
      </w:r>
      <w:r w:rsidRPr="00FF65D6">
        <w:rPr>
          <w:lang w:val="fr-FR"/>
        </w:rPr>
        <w:tab/>
      </w:r>
      <w:r w:rsidR="00151421" w:rsidRPr="00FF65D6">
        <w:rPr>
          <w:lang w:val="fr-FR"/>
        </w:rPr>
        <w:t>S</w:t>
      </w:r>
      <w:r w:rsidRPr="00FF65D6">
        <w:rPr>
          <w:lang w:val="fr-FR"/>
        </w:rPr>
        <w:t>oumettre une personne à des pratiques analogues à l</w:t>
      </w:r>
      <w:r w:rsidR="002127F6" w:rsidRPr="00FF65D6">
        <w:rPr>
          <w:lang w:val="fr-FR"/>
        </w:rPr>
        <w:t>’</w:t>
      </w:r>
      <w:r w:rsidRPr="00FF65D6">
        <w:rPr>
          <w:lang w:val="fr-FR"/>
        </w:rPr>
        <w:t>esclavage ou à l</w:t>
      </w:r>
      <w:r w:rsidR="002127F6" w:rsidRPr="00FF65D6">
        <w:rPr>
          <w:lang w:val="fr-FR"/>
        </w:rPr>
        <w:t>’</w:t>
      </w:r>
      <w:r w:rsidRPr="00FF65D6">
        <w:rPr>
          <w:lang w:val="fr-FR"/>
        </w:rPr>
        <w:t>esclavage moderne</w:t>
      </w:r>
      <w:r w:rsidR="005C1799" w:rsidRPr="005C1799">
        <w:rPr>
          <w:lang w:val="fr-FR"/>
        </w:rPr>
        <w:t>.</w:t>
      </w:r>
      <w:r w:rsidRPr="00FF65D6">
        <w:rPr>
          <w:lang w:val="fr-FR"/>
        </w:rPr>
        <w:t xml:space="preserve"> Soumettre une personne à l</w:t>
      </w:r>
      <w:r w:rsidR="002127F6" w:rsidRPr="00FF65D6">
        <w:rPr>
          <w:lang w:val="fr-FR"/>
        </w:rPr>
        <w:t>’</w:t>
      </w:r>
      <w:r w:rsidRPr="00FF65D6">
        <w:rPr>
          <w:lang w:val="fr-FR"/>
        </w:rPr>
        <w:t>esclavage moderne s</w:t>
      </w:r>
      <w:r w:rsidR="002127F6" w:rsidRPr="00FF65D6">
        <w:rPr>
          <w:lang w:val="fr-FR"/>
        </w:rPr>
        <w:t>’</w:t>
      </w:r>
      <w:r w:rsidRPr="00FF65D6">
        <w:rPr>
          <w:lang w:val="fr-FR"/>
        </w:rPr>
        <w:t>entend de l</w:t>
      </w:r>
      <w:r w:rsidR="002127F6" w:rsidRPr="00FF65D6">
        <w:rPr>
          <w:lang w:val="fr-FR"/>
        </w:rPr>
        <w:t>’</w:t>
      </w:r>
      <w:r w:rsidRPr="00FF65D6">
        <w:rPr>
          <w:lang w:val="fr-FR"/>
        </w:rPr>
        <w:t>instauration de conditions où la personne accomplit certaines tâches ou rend des services au profit d</w:t>
      </w:r>
      <w:r w:rsidR="002127F6" w:rsidRPr="00FF65D6">
        <w:rPr>
          <w:lang w:val="fr-FR"/>
        </w:rPr>
        <w:t>’</w:t>
      </w:r>
      <w:r w:rsidRPr="00FF65D6">
        <w:rPr>
          <w:lang w:val="fr-FR"/>
        </w:rPr>
        <w:t>une autre personne moyennant paiement, un paiement insuffisant ou sans paiement sans être en mesure de modifier ces conditions en raison de sa dépendance à l</w:t>
      </w:r>
      <w:r w:rsidR="002127F6" w:rsidRPr="00FF65D6">
        <w:rPr>
          <w:lang w:val="fr-FR"/>
        </w:rPr>
        <w:t>’</w:t>
      </w:r>
      <w:r w:rsidRPr="00FF65D6">
        <w:rPr>
          <w:lang w:val="fr-FR"/>
        </w:rPr>
        <w:t>égard de l</w:t>
      </w:r>
      <w:r w:rsidR="002127F6" w:rsidRPr="00FF65D6">
        <w:rPr>
          <w:lang w:val="fr-FR"/>
        </w:rPr>
        <w:t>’</w:t>
      </w:r>
      <w:r w:rsidRPr="00FF65D6">
        <w:rPr>
          <w:lang w:val="fr-FR"/>
        </w:rPr>
        <w:t>autre personne</w:t>
      </w:r>
      <w:r w:rsidR="005C1799" w:rsidRPr="005C1799">
        <w:rPr>
          <w:lang w:val="fr-FR"/>
        </w:rPr>
        <w:t>.</w:t>
      </w:r>
      <w:r w:rsidRPr="00FF65D6">
        <w:rPr>
          <w:lang w:val="fr-FR"/>
        </w:rPr>
        <w:t xml:space="preserve"> </w:t>
      </w:r>
    </w:p>
    <w:p w14:paraId="28A92AEB" w14:textId="77777777" w:rsidR="005C5C6A" w:rsidRPr="00FF65D6" w:rsidRDefault="005C5C6A" w:rsidP="00F34341">
      <w:pPr>
        <w:pStyle w:val="SingleTxtG"/>
        <w:rPr>
          <w:lang w:val="fr-FR"/>
        </w:rPr>
      </w:pPr>
      <w:r w:rsidRPr="00FF65D6">
        <w:rPr>
          <w:lang w:val="fr-FR"/>
        </w:rPr>
        <w:t>103</w:t>
      </w:r>
      <w:r w:rsidR="005C1799" w:rsidRPr="005C1799">
        <w:rPr>
          <w:lang w:val="fr-FR"/>
        </w:rPr>
        <w:t>.</w:t>
      </w:r>
      <w:r w:rsidRPr="00FF65D6">
        <w:rPr>
          <w:lang w:val="fr-FR"/>
        </w:rPr>
        <w:tab/>
        <w:t>La dépendance à l</w:t>
      </w:r>
      <w:r w:rsidR="002127F6" w:rsidRPr="00FF65D6">
        <w:rPr>
          <w:lang w:val="fr-FR"/>
        </w:rPr>
        <w:t>’</w:t>
      </w:r>
      <w:r w:rsidRPr="00FF65D6">
        <w:rPr>
          <w:lang w:val="fr-FR"/>
        </w:rPr>
        <w:t>égard d</w:t>
      </w:r>
      <w:r w:rsidR="002127F6" w:rsidRPr="00FF65D6">
        <w:rPr>
          <w:lang w:val="fr-FR"/>
        </w:rPr>
        <w:t>’</w:t>
      </w:r>
      <w:r w:rsidRPr="00FF65D6">
        <w:rPr>
          <w:lang w:val="fr-FR"/>
        </w:rPr>
        <w:t>une personne peut être causée, entre autres choses, par</w:t>
      </w:r>
      <w:r w:rsidR="003B7618" w:rsidRPr="00FF65D6">
        <w:rPr>
          <w:lang w:val="fr-FR"/>
        </w:rPr>
        <w:t> :</w:t>
      </w:r>
    </w:p>
    <w:p w14:paraId="7CE046B2" w14:textId="77777777" w:rsidR="005C5C6A" w:rsidRPr="00FF65D6" w:rsidRDefault="005C5C6A" w:rsidP="00F34341">
      <w:pPr>
        <w:pStyle w:val="SingleTxtG"/>
        <w:rPr>
          <w:lang w:val="fr-FR"/>
        </w:rPr>
      </w:pPr>
      <w:r w:rsidRPr="00FF65D6">
        <w:rPr>
          <w:lang w:val="fr-FR"/>
        </w:rPr>
        <w:tab/>
        <w:t>i)</w:t>
      </w:r>
      <w:r w:rsidRPr="00FF65D6">
        <w:rPr>
          <w:lang w:val="fr-FR"/>
        </w:rPr>
        <w:tab/>
      </w:r>
      <w:r w:rsidR="00151421" w:rsidRPr="00FF65D6">
        <w:rPr>
          <w:lang w:val="fr-FR"/>
        </w:rPr>
        <w:t>L</w:t>
      </w:r>
      <w:r w:rsidRPr="00FF65D6">
        <w:rPr>
          <w:lang w:val="fr-FR"/>
        </w:rPr>
        <w:t>a confiscation, le contrôle ou le traitement illégal de documents d</w:t>
      </w:r>
      <w:r w:rsidR="002127F6" w:rsidRPr="00FF65D6">
        <w:rPr>
          <w:lang w:val="fr-FR"/>
        </w:rPr>
        <w:t>’</w:t>
      </w:r>
      <w:r w:rsidRPr="00FF65D6">
        <w:rPr>
          <w:lang w:val="fr-FR"/>
        </w:rPr>
        <w:t>identité</w:t>
      </w:r>
      <w:r w:rsidR="003B7618" w:rsidRPr="00FF65D6">
        <w:rPr>
          <w:lang w:val="fr-FR"/>
        </w:rPr>
        <w:t> ;</w:t>
      </w:r>
    </w:p>
    <w:p w14:paraId="430505E3" w14:textId="77777777" w:rsidR="005C5C6A" w:rsidRPr="00FF65D6" w:rsidRDefault="005C5C6A" w:rsidP="00F34341">
      <w:pPr>
        <w:pStyle w:val="SingleTxtG"/>
        <w:rPr>
          <w:lang w:val="fr-FR"/>
        </w:rPr>
      </w:pPr>
      <w:r w:rsidRPr="00FF65D6">
        <w:rPr>
          <w:lang w:val="fr-FR"/>
        </w:rPr>
        <w:tab/>
        <w:t>ii)</w:t>
      </w:r>
      <w:r w:rsidRPr="00FF65D6">
        <w:rPr>
          <w:lang w:val="fr-FR"/>
        </w:rPr>
        <w:tab/>
      </w:r>
      <w:r w:rsidR="00151421" w:rsidRPr="00FF65D6">
        <w:rPr>
          <w:lang w:val="fr-FR"/>
        </w:rPr>
        <w:t>L</w:t>
      </w:r>
      <w:r w:rsidRPr="00FF65D6">
        <w:rPr>
          <w:lang w:val="fr-FR"/>
        </w:rPr>
        <w:t>a restriction du droit à la libre circulation ou le contrôle de la libre circulation</w:t>
      </w:r>
      <w:r w:rsidR="003B7618" w:rsidRPr="00FF65D6">
        <w:rPr>
          <w:lang w:val="fr-FR"/>
        </w:rPr>
        <w:t> ;</w:t>
      </w:r>
    </w:p>
    <w:p w14:paraId="32BFAC9C" w14:textId="77777777" w:rsidR="005C5C6A" w:rsidRPr="00FF65D6" w:rsidRDefault="00151421" w:rsidP="00F34341">
      <w:pPr>
        <w:pStyle w:val="SingleTxtG"/>
        <w:rPr>
          <w:lang w:val="fr-FR"/>
        </w:rPr>
      </w:pPr>
      <w:r w:rsidRPr="00FF65D6">
        <w:rPr>
          <w:lang w:val="fr-FR"/>
        </w:rPr>
        <w:tab/>
      </w:r>
      <w:r w:rsidR="005C5C6A" w:rsidRPr="00FF65D6">
        <w:rPr>
          <w:lang w:val="fr-FR"/>
        </w:rPr>
        <w:t>iii)</w:t>
      </w:r>
      <w:r w:rsidR="005C5C6A" w:rsidRPr="00FF65D6">
        <w:rPr>
          <w:lang w:val="fr-FR"/>
        </w:rPr>
        <w:tab/>
      </w:r>
      <w:r w:rsidRPr="00FF65D6">
        <w:rPr>
          <w:lang w:val="fr-FR"/>
        </w:rPr>
        <w:t>L</w:t>
      </w:r>
      <w:r w:rsidR="005C5C6A" w:rsidRPr="00FF65D6">
        <w:rPr>
          <w:lang w:val="fr-FR"/>
        </w:rPr>
        <w:t>a restriction ou le contrôle des communications (y compris de la correspondance et des communications téléphoniques) avec des membres de la famille ou d</w:t>
      </w:r>
      <w:r w:rsidR="002127F6" w:rsidRPr="00FF65D6">
        <w:rPr>
          <w:lang w:val="fr-FR"/>
        </w:rPr>
        <w:t>’</w:t>
      </w:r>
      <w:r w:rsidR="005C5C6A" w:rsidRPr="00FF65D6">
        <w:rPr>
          <w:lang w:val="fr-FR"/>
        </w:rPr>
        <w:t>autres personnes</w:t>
      </w:r>
      <w:r w:rsidR="003B7618" w:rsidRPr="00FF65D6">
        <w:rPr>
          <w:lang w:val="fr-FR"/>
        </w:rPr>
        <w:t> ;</w:t>
      </w:r>
    </w:p>
    <w:p w14:paraId="7E4D99A9" w14:textId="77777777" w:rsidR="005C5C6A" w:rsidRPr="00FF65D6" w:rsidRDefault="00151421" w:rsidP="00F34341">
      <w:pPr>
        <w:pStyle w:val="SingleTxtG"/>
        <w:rPr>
          <w:lang w:val="fr-FR"/>
        </w:rPr>
      </w:pPr>
      <w:r w:rsidRPr="00FF65D6">
        <w:rPr>
          <w:lang w:val="fr-FR"/>
        </w:rPr>
        <w:tab/>
      </w:r>
      <w:r w:rsidR="005C5C6A" w:rsidRPr="00FF65D6">
        <w:rPr>
          <w:lang w:val="fr-FR"/>
        </w:rPr>
        <w:t>iv)</w:t>
      </w:r>
      <w:r w:rsidR="005C5C6A" w:rsidRPr="00FF65D6">
        <w:rPr>
          <w:lang w:val="fr-FR"/>
        </w:rPr>
        <w:tab/>
      </w:r>
      <w:r w:rsidRPr="00FF65D6">
        <w:rPr>
          <w:lang w:val="fr-FR"/>
        </w:rPr>
        <w:t>L</w:t>
      </w:r>
      <w:r w:rsidR="005C5C6A" w:rsidRPr="00FF65D6">
        <w:rPr>
          <w:lang w:val="fr-FR"/>
        </w:rPr>
        <w:t>a création d</w:t>
      </w:r>
      <w:r w:rsidR="002127F6" w:rsidRPr="00FF65D6">
        <w:rPr>
          <w:lang w:val="fr-FR"/>
        </w:rPr>
        <w:t>’</w:t>
      </w:r>
      <w:r w:rsidR="005C5C6A" w:rsidRPr="00FF65D6">
        <w:rPr>
          <w:lang w:val="fr-FR"/>
        </w:rPr>
        <w:t>un environnement contraignant ou menaçant</w:t>
      </w:r>
      <w:r w:rsidR="005C1799" w:rsidRPr="005C1799">
        <w:rPr>
          <w:lang w:val="fr-FR"/>
        </w:rPr>
        <w:t>.</w:t>
      </w:r>
    </w:p>
    <w:p w14:paraId="020CE30E" w14:textId="77777777" w:rsidR="005C5C6A" w:rsidRPr="00FF65D6" w:rsidRDefault="005C5C6A" w:rsidP="00F34341">
      <w:pPr>
        <w:pStyle w:val="SingleTxtG"/>
        <w:rPr>
          <w:lang w:val="fr-FR"/>
        </w:rPr>
      </w:pPr>
      <w:r w:rsidRPr="00FF65D6">
        <w:rPr>
          <w:lang w:val="fr-FR"/>
        </w:rPr>
        <w:t>104</w:t>
      </w:r>
      <w:r w:rsidR="005C1799" w:rsidRPr="005C1799">
        <w:rPr>
          <w:lang w:val="fr-FR"/>
        </w:rPr>
        <w:t>.</w:t>
      </w:r>
      <w:r w:rsidRPr="00FF65D6">
        <w:rPr>
          <w:lang w:val="fr-FR"/>
        </w:rPr>
        <w:tab/>
        <w:t>Selon la même note, le consentement de l</w:t>
      </w:r>
      <w:r w:rsidR="002127F6" w:rsidRPr="00FF65D6">
        <w:rPr>
          <w:lang w:val="fr-FR"/>
        </w:rPr>
        <w:t>’</w:t>
      </w:r>
      <w:r w:rsidRPr="00FF65D6">
        <w:rPr>
          <w:lang w:val="fr-FR"/>
        </w:rPr>
        <w:t>intéressé à sa condition prédéterminée n</w:t>
      </w:r>
      <w:r w:rsidR="002127F6" w:rsidRPr="00FF65D6">
        <w:rPr>
          <w:lang w:val="fr-FR"/>
        </w:rPr>
        <w:t>’</w:t>
      </w:r>
      <w:r w:rsidRPr="00FF65D6">
        <w:rPr>
          <w:lang w:val="fr-FR"/>
        </w:rPr>
        <w:t>est pas pertinent et ne saurait être considéré comme une circonstance excluant ou atténuant la responsabilité pénale de l</w:t>
      </w:r>
      <w:r w:rsidR="002127F6" w:rsidRPr="00FF65D6">
        <w:rPr>
          <w:lang w:val="fr-FR"/>
        </w:rPr>
        <w:t>’</w:t>
      </w:r>
      <w:r w:rsidRPr="00FF65D6">
        <w:rPr>
          <w:lang w:val="fr-FR"/>
        </w:rPr>
        <w:t>auteur de l</w:t>
      </w:r>
      <w:r w:rsidR="002127F6" w:rsidRPr="00FF65D6">
        <w:rPr>
          <w:lang w:val="fr-FR"/>
        </w:rPr>
        <w:t>’</w:t>
      </w:r>
      <w:r w:rsidRPr="00FF65D6">
        <w:rPr>
          <w:lang w:val="fr-FR"/>
        </w:rPr>
        <w:t>infraction</w:t>
      </w:r>
      <w:r w:rsidR="005C1799" w:rsidRPr="005C1799">
        <w:rPr>
          <w:lang w:val="fr-FR"/>
        </w:rPr>
        <w:t>.</w:t>
      </w:r>
      <w:r w:rsidRPr="00FF65D6">
        <w:rPr>
          <w:lang w:val="fr-FR"/>
        </w:rPr>
        <w:t xml:space="preserve"> </w:t>
      </w:r>
    </w:p>
    <w:p w14:paraId="436F50E6" w14:textId="77777777" w:rsidR="005C5C6A" w:rsidRPr="00FF65D6" w:rsidRDefault="005C5C6A" w:rsidP="00F34341">
      <w:pPr>
        <w:pStyle w:val="SingleTxtG"/>
        <w:rPr>
          <w:lang w:val="fr-FR"/>
        </w:rPr>
      </w:pPr>
      <w:r w:rsidRPr="00FF65D6">
        <w:rPr>
          <w:lang w:val="fr-FR"/>
        </w:rPr>
        <w:t>105</w:t>
      </w:r>
      <w:r w:rsidR="005C1799" w:rsidRPr="005C1799">
        <w:rPr>
          <w:lang w:val="fr-FR"/>
        </w:rPr>
        <w:t>.</w:t>
      </w:r>
      <w:r w:rsidRPr="00FF65D6">
        <w:rPr>
          <w:lang w:val="fr-FR"/>
        </w:rPr>
        <w:tab/>
        <w:t>En vertu de l</w:t>
      </w:r>
      <w:r w:rsidR="002127F6" w:rsidRPr="00FF65D6">
        <w:rPr>
          <w:lang w:val="fr-FR"/>
        </w:rPr>
        <w:t>’</w:t>
      </w:r>
      <w:r w:rsidRPr="00FF65D6">
        <w:rPr>
          <w:lang w:val="fr-FR"/>
        </w:rPr>
        <w:t>article 1072 du Code pénal, une personne morale n</w:t>
      </w:r>
      <w:r w:rsidR="002127F6" w:rsidRPr="00FF65D6">
        <w:rPr>
          <w:lang w:val="fr-FR"/>
        </w:rPr>
        <w:t>’</w:t>
      </w:r>
      <w:r w:rsidRPr="00FF65D6">
        <w:rPr>
          <w:lang w:val="fr-FR"/>
        </w:rPr>
        <w:t>est pénalement responsable que si cela est prévu par l</w:t>
      </w:r>
      <w:r w:rsidR="002127F6" w:rsidRPr="00FF65D6">
        <w:rPr>
          <w:lang w:val="fr-FR"/>
        </w:rPr>
        <w:t>’</w:t>
      </w:r>
      <w:r w:rsidRPr="00FF65D6">
        <w:rPr>
          <w:lang w:val="fr-FR"/>
        </w:rPr>
        <w:t>article pertinent</w:t>
      </w:r>
      <w:r w:rsidR="005C1799" w:rsidRPr="005C1799">
        <w:rPr>
          <w:lang w:val="fr-FR"/>
        </w:rPr>
        <w:t>.</w:t>
      </w:r>
      <w:r w:rsidRPr="00FF65D6">
        <w:rPr>
          <w:lang w:val="fr-FR"/>
        </w:rPr>
        <w:t xml:space="preserve"> Les articles 1431 et 1432 précisent qu</w:t>
      </w:r>
      <w:r w:rsidR="002127F6" w:rsidRPr="00FF65D6">
        <w:rPr>
          <w:lang w:val="fr-FR"/>
        </w:rPr>
        <w:t>’</w:t>
      </w:r>
      <w:r w:rsidRPr="00FF65D6">
        <w:rPr>
          <w:lang w:val="fr-FR"/>
        </w:rPr>
        <w:t>une personne morale reconnue coupable d</w:t>
      </w:r>
      <w:r w:rsidR="002127F6" w:rsidRPr="00FF65D6">
        <w:rPr>
          <w:lang w:val="fr-FR"/>
        </w:rPr>
        <w:t>’</w:t>
      </w:r>
      <w:r w:rsidRPr="00FF65D6">
        <w:rPr>
          <w:lang w:val="fr-FR"/>
        </w:rPr>
        <w:t>avoir commis les actes visés par ces articles est punie de la peine d</w:t>
      </w:r>
      <w:r w:rsidR="002127F6" w:rsidRPr="00FF65D6">
        <w:rPr>
          <w:lang w:val="fr-FR"/>
        </w:rPr>
        <w:t>’</w:t>
      </w:r>
      <w:r w:rsidRPr="00FF65D6">
        <w:rPr>
          <w:lang w:val="fr-FR"/>
        </w:rPr>
        <w:t>interdiction de mener des activités ou de sa liquidation et d</w:t>
      </w:r>
      <w:r w:rsidR="002127F6" w:rsidRPr="00FF65D6">
        <w:rPr>
          <w:lang w:val="fr-FR"/>
        </w:rPr>
        <w:t>’</w:t>
      </w:r>
      <w:r w:rsidRPr="00FF65D6">
        <w:rPr>
          <w:lang w:val="fr-FR"/>
        </w:rPr>
        <w:t>une amende</w:t>
      </w:r>
      <w:r w:rsidR="005C1799" w:rsidRPr="005C1799">
        <w:rPr>
          <w:lang w:val="fr-FR"/>
        </w:rPr>
        <w:t>.</w:t>
      </w:r>
    </w:p>
    <w:p w14:paraId="207F65F8" w14:textId="77777777" w:rsidR="005C5C6A" w:rsidRPr="00FF65D6" w:rsidRDefault="005C5C6A" w:rsidP="00F34341">
      <w:pPr>
        <w:pStyle w:val="SingleTxtG"/>
        <w:rPr>
          <w:lang w:val="fr-FR"/>
        </w:rPr>
      </w:pPr>
      <w:r w:rsidRPr="00FF65D6">
        <w:rPr>
          <w:lang w:val="fr-FR"/>
        </w:rPr>
        <w:t>106</w:t>
      </w:r>
      <w:r w:rsidR="005C1799" w:rsidRPr="005C1799">
        <w:rPr>
          <w:lang w:val="fr-FR"/>
        </w:rPr>
        <w:t>.</w:t>
      </w:r>
      <w:r w:rsidRPr="00FF65D6">
        <w:rPr>
          <w:lang w:val="fr-FR"/>
        </w:rPr>
        <w:tab/>
        <w:t>Pour créer de nouveaux obstacles à la pratique de la traite, le Gouvernement géorgien a incriminé le recours aux services des victimes de la traite des êtres humains, c</w:t>
      </w:r>
      <w:r w:rsidR="002127F6" w:rsidRPr="00FF65D6">
        <w:rPr>
          <w:lang w:val="fr-FR"/>
        </w:rPr>
        <w:t>’</w:t>
      </w:r>
      <w:r w:rsidRPr="00FF65D6">
        <w:rPr>
          <w:lang w:val="fr-FR"/>
        </w:rPr>
        <w:t>est à dire des personnes qui sont touchées par celle-ci</w:t>
      </w:r>
      <w:r w:rsidR="005C1799" w:rsidRPr="005C1799">
        <w:rPr>
          <w:lang w:val="fr-FR"/>
        </w:rPr>
        <w:t>.</w:t>
      </w:r>
      <w:r w:rsidRPr="00FF65D6">
        <w:rPr>
          <w:lang w:val="fr-FR"/>
        </w:rPr>
        <w:t xml:space="preserve"> En particulier, l</w:t>
      </w:r>
      <w:r w:rsidR="002127F6" w:rsidRPr="00FF65D6">
        <w:rPr>
          <w:lang w:val="fr-FR"/>
        </w:rPr>
        <w:t>’</w:t>
      </w:r>
      <w:r w:rsidRPr="00FF65D6">
        <w:rPr>
          <w:lang w:val="fr-FR"/>
        </w:rPr>
        <w:t>article 1433 du Code pénal incrimine le recours, en connaissance de cause, aux services des victimes de la traite des êtres humains, et prévoit</w:t>
      </w:r>
      <w:r w:rsidR="002127F6" w:rsidRPr="00FF65D6">
        <w:rPr>
          <w:lang w:val="fr-FR"/>
        </w:rPr>
        <w:t xml:space="preserve"> </w:t>
      </w:r>
      <w:r w:rsidRPr="00FF65D6">
        <w:rPr>
          <w:lang w:val="fr-FR"/>
        </w:rPr>
        <w:t>une peine restrictive de liberté pouvant aller jusqu</w:t>
      </w:r>
      <w:r w:rsidR="002127F6" w:rsidRPr="00FF65D6">
        <w:rPr>
          <w:lang w:val="fr-FR"/>
        </w:rPr>
        <w:t>’</w:t>
      </w:r>
      <w:r w:rsidRPr="00FF65D6">
        <w:rPr>
          <w:lang w:val="fr-FR"/>
        </w:rPr>
        <w:t>à</w:t>
      </w:r>
      <w:r w:rsidR="002127F6" w:rsidRPr="00FF65D6">
        <w:rPr>
          <w:lang w:val="fr-FR"/>
        </w:rPr>
        <w:t xml:space="preserve"> </w:t>
      </w:r>
      <w:r w:rsidRPr="00FF65D6">
        <w:rPr>
          <w:lang w:val="fr-FR"/>
        </w:rPr>
        <w:t>quatre ans ou une peine d</w:t>
      </w:r>
      <w:r w:rsidR="002127F6" w:rsidRPr="00FF65D6">
        <w:rPr>
          <w:lang w:val="fr-FR"/>
        </w:rPr>
        <w:t>’</w:t>
      </w:r>
      <w:r w:rsidRPr="00FF65D6">
        <w:rPr>
          <w:lang w:val="fr-FR"/>
        </w:rPr>
        <w:t>emprisonnement d</w:t>
      </w:r>
      <w:r w:rsidR="002127F6" w:rsidRPr="00FF65D6">
        <w:rPr>
          <w:lang w:val="fr-FR"/>
        </w:rPr>
        <w:t>’</w:t>
      </w:r>
      <w:r w:rsidRPr="00FF65D6">
        <w:rPr>
          <w:lang w:val="fr-FR"/>
        </w:rPr>
        <w:t>une durée de trois à cinq ans</w:t>
      </w:r>
      <w:r w:rsidR="005C1799" w:rsidRPr="005C1799">
        <w:rPr>
          <w:lang w:val="fr-FR"/>
        </w:rPr>
        <w:t>.</w:t>
      </w:r>
      <w:r w:rsidRPr="00FF65D6">
        <w:rPr>
          <w:lang w:val="fr-FR"/>
        </w:rPr>
        <w:t xml:space="preserve"> En ce qui concerne les circonstances aggravantes, le même acte commis</w:t>
      </w:r>
      <w:r w:rsidR="003B7618" w:rsidRPr="00FF65D6">
        <w:rPr>
          <w:lang w:val="fr-FR"/>
        </w:rPr>
        <w:t> :</w:t>
      </w:r>
      <w:r w:rsidRPr="00FF65D6">
        <w:rPr>
          <w:lang w:val="fr-FR"/>
        </w:rPr>
        <w:t xml:space="preserve"> a) de façon répétée</w:t>
      </w:r>
      <w:r w:rsidR="003B7618" w:rsidRPr="00FF65D6">
        <w:rPr>
          <w:lang w:val="fr-FR"/>
        </w:rPr>
        <w:t> ;</w:t>
      </w:r>
      <w:r w:rsidRPr="00FF65D6">
        <w:rPr>
          <w:lang w:val="fr-FR"/>
        </w:rPr>
        <w:t xml:space="preserve"> b)</w:t>
      </w:r>
      <w:r w:rsidR="00151421" w:rsidRPr="00FF65D6">
        <w:rPr>
          <w:lang w:val="fr-FR"/>
        </w:rPr>
        <w:t> </w:t>
      </w:r>
      <w:r w:rsidRPr="00FF65D6">
        <w:rPr>
          <w:lang w:val="fr-FR"/>
        </w:rPr>
        <w:t>en connaissance de cause par l</w:t>
      </w:r>
      <w:r w:rsidR="002127F6" w:rsidRPr="00FF65D6">
        <w:rPr>
          <w:lang w:val="fr-FR"/>
        </w:rPr>
        <w:t>’</w:t>
      </w:r>
      <w:r w:rsidRPr="00FF65D6">
        <w:rPr>
          <w:lang w:val="fr-FR"/>
        </w:rPr>
        <w:t>auteur de l</w:t>
      </w:r>
      <w:r w:rsidR="002127F6" w:rsidRPr="00FF65D6">
        <w:rPr>
          <w:lang w:val="fr-FR"/>
        </w:rPr>
        <w:t>’</w:t>
      </w:r>
      <w:r w:rsidRPr="00FF65D6">
        <w:rPr>
          <w:lang w:val="fr-FR"/>
        </w:rPr>
        <w:t>infraction à l</w:t>
      </w:r>
      <w:r w:rsidR="002127F6" w:rsidRPr="00FF65D6">
        <w:rPr>
          <w:lang w:val="fr-FR"/>
        </w:rPr>
        <w:t>’</w:t>
      </w:r>
      <w:r w:rsidRPr="00FF65D6">
        <w:rPr>
          <w:lang w:val="fr-FR"/>
        </w:rPr>
        <w:t>encontre d</w:t>
      </w:r>
      <w:r w:rsidR="002127F6" w:rsidRPr="00FF65D6">
        <w:rPr>
          <w:lang w:val="fr-FR"/>
        </w:rPr>
        <w:t>’</w:t>
      </w:r>
      <w:r w:rsidRPr="00FF65D6">
        <w:rPr>
          <w:lang w:val="fr-FR"/>
        </w:rPr>
        <w:t>une femme enceinte</w:t>
      </w:r>
      <w:r w:rsidR="003B7618" w:rsidRPr="00FF65D6">
        <w:rPr>
          <w:lang w:val="fr-FR"/>
        </w:rPr>
        <w:t> </w:t>
      </w:r>
      <w:r w:rsidRPr="00FF65D6">
        <w:rPr>
          <w:lang w:val="fr-FR"/>
        </w:rPr>
        <w:t>; c)</w:t>
      </w:r>
      <w:r w:rsidR="00151421" w:rsidRPr="00FF65D6">
        <w:rPr>
          <w:lang w:val="fr-FR"/>
        </w:rPr>
        <w:t> </w:t>
      </w:r>
      <w:r w:rsidRPr="00FF65D6">
        <w:rPr>
          <w:lang w:val="fr-FR"/>
        </w:rPr>
        <w:t>en connaissance de cause par l</w:t>
      </w:r>
      <w:r w:rsidR="002127F6" w:rsidRPr="00FF65D6">
        <w:rPr>
          <w:lang w:val="fr-FR"/>
        </w:rPr>
        <w:t>’</w:t>
      </w:r>
      <w:r w:rsidRPr="00FF65D6">
        <w:rPr>
          <w:lang w:val="fr-FR"/>
        </w:rPr>
        <w:t>auteur de l</w:t>
      </w:r>
      <w:r w:rsidR="002127F6" w:rsidRPr="00FF65D6">
        <w:rPr>
          <w:lang w:val="fr-FR"/>
        </w:rPr>
        <w:t>’</w:t>
      </w:r>
      <w:r w:rsidRPr="00FF65D6">
        <w:rPr>
          <w:lang w:val="fr-FR"/>
        </w:rPr>
        <w:t>infraction à l</w:t>
      </w:r>
      <w:r w:rsidR="002127F6" w:rsidRPr="00FF65D6">
        <w:rPr>
          <w:lang w:val="fr-FR"/>
        </w:rPr>
        <w:t>’</w:t>
      </w:r>
      <w:r w:rsidRPr="00FF65D6">
        <w:rPr>
          <w:lang w:val="fr-FR"/>
        </w:rPr>
        <w:t>encontre d</w:t>
      </w:r>
      <w:r w:rsidR="002127F6" w:rsidRPr="00FF65D6">
        <w:rPr>
          <w:lang w:val="fr-FR"/>
        </w:rPr>
        <w:t>’</w:t>
      </w:r>
      <w:r w:rsidRPr="00FF65D6">
        <w:rPr>
          <w:lang w:val="fr-FR"/>
        </w:rPr>
        <w:t>une personne sans défense ou d</w:t>
      </w:r>
      <w:r w:rsidR="002127F6" w:rsidRPr="00FF65D6">
        <w:rPr>
          <w:lang w:val="fr-FR"/>
        </w:rPr>
        <w:t>’</w:t>
      </w:r>
      <w:r w:rsidRPr="00FF65D6">
        <w:rPr>
          <w:lang w:val="fr-FR"/>
        </w:rPr>
        <w:t>une personne qui dépend financièrement ou autrement de lui</w:t>
      </w:r>
      <w:r w:rsidR="003B7618" w:rsidRPr="00FF65D6">
        <w:rPr>
          <w:lang w:val="fr-FR"/>
        </w:rPr>
        <w:t> </w:t>
      </w:r>
      <w:r w:rsidRPr="00FF65D6">
        <w:rPr>
          <w:lang w:val="fr-FR"/>
        </w:rPr>
        <w:t>; d) en abusant de sa position officielle, est passible d</w:t>
      </w:r>
      <w:r w:rsidR="002127F6" w:rsidRPr="00FF65D6">
        <w:rPr>
          <w:lang w:val="fr-FR"/>
        </w:rPr>
        <w:t>’</w:t>
      </w:r>
      <w:r w:rsidRPr="00FF65D6">
        <w:rPr>
          <w:lang w:val="fr-FR"/>
        </w:rPr>
        <w:t>une peine d</w:t>
      </w:r>
      <w:r w:rsidR="002127F6" w:rsidRPr="00FF65D6">
        <w:rPr>
          <w:lang w:val="fr-FR"/>
        </w:rPr>
        <w:t>’</w:t>
      </w:r>
      <w:r w:rsidRPr="00FF65D6">
        <w:rPr>
          <w:lang w:val="fr-FR"/>
        </w:rPr>
        <w:t>emprisonnement d</w:t>
      </w:r>
      <w:r w:rsidR="002127F6" w:rsidRPr="00FF65D6">
        <w:rPr>
          <w:lang w:val="fr-FR"/>
        </w:rPr>
        <w:t>’</w:t>
      </w:r>
      <w:r w:rsidRPr="00FF65D6">
        <w:rPr>
          <w:lang w:val="fr-FR"/>
        </w:rPr>
        <w:t>une durée de cinq à sept ans, assortie de l</w:t>
      </w:r>
      <w:r w:rsidR="002127F6" w:rsidRPr="00FF65D6">
        <w:rPr>
          <w:lang w:val="fr-FR"/>
        </w:rPr>
        <w:t>’</w:t>
      </w:r>
      <w:r w:rsidRPr="00FF65D6">
        <w:rPr>
          <w:lang w:val="fr-FR"/>
        </w:rPr>
        <w:t>interdiction d</w:t>
      </w:r>
      <w:r w:rsidR="002127F6" w:rsidRPr="00FF65D6">
        <w:rPr>
          <w:lang w:val="fr-FR"/>
        </w:rPr>
        <w:t>’</w:t>
      </w:r>
      <w:r w:rsidRPr="00FF65D6">
        <w:rPr>
          <w:lang w:val="fr-FR"/>
        </w:rPr>
        <w:t>occuper un poste officiel ou d</w:t>
      </w:r>
      <w:r w:rsidR="002127F6" w:rsidRPr="00FF65D6">
        <w:rPr>
          <w:lang w:val="fr-FR"/>
        </w:rPr>
        <w:t>’</w:t>
      </w:r>
      <w:r w:rsidRPr="00FF65D6">
        <w:rPr>
          <w:lang w:val="fr-FR"/>
        </w:rPr>
        <w:t>exercer certaines activités pendant une période de trois ans au plus</w:t>
      </w:r>
      <w:r w:rsidR="003B7618" w:rsidRPr="00FF65D6">
        <w:rPr>
          <w:lang w:val="fr-FR"/>
        </w:rPr>
        <w:t> </w:t>
      </w:r>
      <w:r w:rsidRPr="00FF65D6">
        <w:rPr>
          <w:lang w:val="fr-FR"/>
        </w:rPr>
        <w:t>; le même acte commis</w:t>
      </w:r>
      <w:r w:rsidR="003B7618" w:rsidRPr="00FF65D6">
        <w:rPr>
          <w:lang w:val="fr-FR"/>
        </w:rPr>
        <w:t> :</w:t>
      </w:r>
      <w:r w:rsidRPr="00FF65D6">
        <w:rPr>
          <w:lang w:val="fr-FR"/>
        </w:rPr>
        <w:t xml:space="preserve"> a) contre deux personnes ou plus</w:t>
      </w:r>
      <w:r w:rsidR="003B7618" w:rsidRPr="00FF65D6">
        <w:rPr>
          <w:lang w:val="fr-FR"/>
        </w:rPr>
        <w:t> </w:t>
      </w:r>
      <w:r w:rsidRPr="00FF65D6">
        <w:rPr>
          <w:lang w:val="fr-FR"/>
        </w:rPr>
        <w:t xml:space="preserve">; b) en ayant recours à la violence ou à la menace de la violence qui met en danger la vie ou la santé </w:t>
      </w:r>
      <w:r w:rsidR="00151421" w:rsidRPr="00FF65D6">
        <w:rPr>
          <w:lang w:val="fr-FR"/>
        </w:rPr>
        <w:t>− </w:t>
      </w:r>
      <w:r w:rsidRPr="00FF65D6">
        <w:rPr>
          <w:lang w:val="fr-FR"/>
        </w:rPr>
        <w:t>est passible d</w:t>
      </w:r>
      <w:r w:rsidR="002127F6" w:rsidRPr="00FF65D6">
        <w:rPr>
          <w:lang w:val="fr-FR"/>
        </w:rPr>
        <w:t>’</w:t>
      </w:r>
      <w:r w:rsidRPr="00FF65D6">
        <w:rPr>
          <w:lang w:val="fr-FR"/>
        </w:rPr>
        <w:t>une peine d</w:t>
      </w:r>
      <w:r w:rsidR="002127F6" w:rsidRPr="00FF65D6">
        <w:rPr>
          <w:lang w:val="fr-FR"/>
        </w:rPr>
        <w:t>’</w:t>
      </w:r>
      <w:r w:rsidRPr="00FF65D6">
        <w:rPr>
          <w:lang w:val="fr-FR"/>
        </w:rPr>
        <w:t xml:space="preserve">emprisonnement de sept à </w:t>
      </w:r>
      <w:r w:rsidR="00237BDB">
        <w:rPr>
          <w:lang w:val="fr-FR"/>
        </w:rPr>
        <w:t>douze</w:t>
      </w:r>
      <w:r w:rsidRPr="00FF65D6">
        <w:rPr>
          <w:lang w:val="fr-FR"/>
        </w:rPr>
        <w:t xml:space="preserve"> ans, assortie de l</w:t>
      </w:r>
      <w:r w:rsidR="002127F6" w:rsidRPr="00FF65D6">
        <w:rPr>
          <w:lang w:val="fr-FR"/>
        </w:rPr>
        <w:t>’</w:t>
      </w:r>
      <w:r w:rsidRPr="00FF65D6">
        <w:rPr>
          <w:lang w:val="fr-FR"/>
        </w:rPr>
        <w:t>interdiction d</w:t>
      </w:r>
      <w:r w:rsidR="002127F6" w:rsidRPr="00FF65D6">
        <w:rPr>
          <w:lang w:val="fr-FR"/>
        </w:rPr>
        <w:t>’</w:t>
      </w:r>
      <w:r w:rsidRPr="00FF65D6">
        <w:rPr>
          <w:lang w:val="fr-FR"/>
        </w:rPr>
        <w:t>occuper un poste officiel ou d</w:t>
      </w:r>
      <w:r w:rsidR="002127F6" w:rsidRPr="00FF65D6">
        <w:rPr>
          <w:lang w:val="fr-FR"/>
        </w:rPr>
        <w:t>’</w:t>
      </w:r>
      <w:r w:rsidRPr="00FF65D6">
        <w:rPr>
          <w:lang w:val="fr-FR"/>
        </w:rPr>
        <w:t>exercer certaines activités pendant une période de trois ans au plus</w:t>
      </w:r>
      <w:r w:rsidR="005C1799" w:rsidRPr="005C1799">
        <w:rPr>
          <w:lang w:val="fr-FR"/>
        </w:rPr>
        <w:t>.</w:t>
      </w:r>
      <w:r w:rsidRPr="00FF65D6">
        <w:rPr>
          <w:lang w:val="fr-FR"/>
        </w:rPr>
        <w:t xml:space="preserve"> Un de ces actes commis par un groupe organisé est passible d</w:t>
      </w:r>
      <w:r w:rsidR="002127F6" w:rsidRPr="00FF65D6">
        <w:rPr>
          <w:lang w:val="fr-FR"/>
        </w:rPr>
        <w:t>’</w:t>
      </w:r>
      <w:r w:rsidRPr="00FF65D6">
        <w:rPr>
          <w:lang w:val="fr-FR"/>
        </w:rPr>
        <w:t>une peine d</w:t>
      </w:r>
      <w:r w:rsidR="002127F6" w:rsidRPr="00FF65D6">
        <w:rPr>
          <w:lang w:val="fr-FR"/>
        </w:rPr>
        <w:t>’</w:t>
      </w:r>
      <w:r w:rsidRPr="00FF65D6">
        <w:rPr>
          <w:lang w:val="fr-FR"/>
        </w:rPr>
        <w:t>emprisonnement d</w:t>
      </w:r>
      <w:r w:rsidR="002127F6" w:rsidRPr="00FF65D6">
        <w:rPr>
          <w:lang w:val="fr-FR"/>
        </w:rPr>
        <w:t>’</w:t>
      </w:r>
      <w:r w:rsidRPr="00FF65D6">
        <w:rPr>
          <w:lang w:val="fr-FR"/>
        </w:rPr>
        <w:t xml:space="preserve">une durée de </w:t>
      </w:r>
      <w:r w:rsidR="00237BDB">
        <w:rPr>
          <w:lang w:val="fr-FR"/>
        </w:rPr>
        <w:t>douze</w:t>
      </w:r>
      <w:r w:rsidRPr="00FF65D6">
        <w:rPr>
          <w:lang w:val="fr-FR"/>
        </w:rPr>
        <w:t xml:space="preserve"> à </w:t>
      </w:r>
      <w:r w:rsidR="00237BDB">
        <w:rPr>
          <w:lang w:val="fr-FR"/>
        </w:rPr>
        <w:t xml:space="preserve">quinze </w:t>
      </w:r>
      <w:r w:rsidRPr="00FF65D6">
        <w:rPr>
          <w:lang w:val="fr-FR"/>
        </w:rPr>
        <w:t>ans, de l</w:t>
      </w:r>
      <w:r w:rsidR="002127F6" w:rsidRPr="00FF65D6">
        <w:rPr>
          <w:lang w:val="fr-FR"/>
        </w:rPr>
        <w:t>’</w:t>
      </w:r>
      <w:r w:rsidRPr="00FF65D6">
        <w:rPr>
          <w:lang w:val="fr-FR"/>
        </w:rPr>
        <w:t>interdiction d</w:t>
      </w:r>
      <w:r w:rsidR="002127F6" w:rsidRPr="00FF65D6">
        <w:rPr>
          <w:lang w:val="fr-FR"/>
        </w:rPr>
        <w:t>’</w:t>
      </w:r>
      <w:r w:rsidRPr="00FF65D6">
        <w:rPr>
          <w:lang w:val="fr-FR"/>
        </w:rPr>
        <w:t>occuper un poste officiel ou d</w:t>
      </w:r>
      <w:r w:rsidR="002127F6" w:rsidRPr="00FF65D6">
        <w:rPr>
          <w:lang w:val="fr-FR"/>
        </w:rPr>
        <w:t>’</w:t>
      </w:r>
      <w:r w:rsidRPr="00FF65D6">
        <w:rPr>
          <w:lang w:val="fr-FR"/>
        </w:rPr>
        <w:t>exercer certaines activités pendant une période de trois ans au plus</w:t>
      </w:r>
      <w:r w:rsidR="005C1799" w:rsidRPr="005C1799">
        <w:rPr>
          <w:lang w:val="fr-FR"/>
        </w:rPr>
        <w:t>.</w:t>
      </w:r>
      <w:r w:rsidRPr="00FF65D6">
        <w:rPr>
          <w:lang w:val="fr-FR"/>
        </w:rPr>
        <w:t xml:space="preserve"> Il convient de mentionner que la disposition susmentionnée prévoit l</w:t>
      </w:r>
      <w:r w:rsidR="002127F6" w:rsidRPr="00FF65D6">
        <w:rPr>
          <w:lang w:val="fr-FR"/>
        </w:rPr>
        <w:t>’</w:t>
      </w:r>
      <w:r w:rsidRPr="00FF65D6">
        <w:rPr>
          <w:lang w:val="fr-FR"/>
        </w:rPr>
        <w:t>exonération de la responsabilité pénale d</w:t>
      </w:r>
      <w:r w:rsidR="002127F6" w:rsidRPr="00FF65D6">
        <w:rPr>
          <w:lang w:val="fr-FR"/>
        </w:rPr>
        <w:t>’</w:t>
      </w:r>
      <w:r w:rsidRPr="00FF65D6">
        <w:rPr>
          <w:lang w:val="fr-FR"/>
        </w:rPr>
        <w:t>une personne qui a commis une infraction prévue par cette disposition si elle fournit des informations volontairement par écrit ou par des moyens techniques de communication sur l</w:t>
      </w:r>
      <w:r w:rsidR="002127F6" w:rsidRPr="00FF65D6">
        <w:rPr>
          <w:lang w:val="fr-FR"/>
        </w:rPr>
        <w:t>’</w:t>
      </w:r>
      <w:r w:rsidRPr="00FF65D6">
        <w:rPr>
          <w:lang w:val="fr-FR"/>
        </w:rPr>
        <w:t>infraction aux autorités chargées de l</w:t>
      </w:r>
      <w:r w:rsidR="002127F6" w:rsidRPr="00FF65D6">
        <w:rPr>
          <w:lang w:val="fr-FR"/>
        </w:rPr>
        <w:t>’</w:t>
      </w:r>
      <w:r w:rsidRPr="00FF65D6">
        <w:rPr>
          <w:lang w:val="fr-FR"/>
        </w:rPr>
        <w:t>enquête, contribue à la conduite d</w:t>
      </w:r>
      <w:r w:rsidR="002127F6" w:rsidRPr="00FF65D6">
        <w:rPr>
          <w:lang w:val="fr-FR"/>
        </w:rPr>
        <w:t>’</w:t>
      </w:r>
      <w:r w:rsidRPr="00FF65D6">
        <w:rPr>
          <w:lang w:val="fr-FR"/>
        </w:rPr>
        <w:t>enquêtes et que ses actes ne contiennent pas</w:t>
      </w:r>
      <w:r w:rsidR="002127F6" w:rsidRPr="00FF65D6">
        <w:rPr>
          <w:lang w:val="fr-FR"/>
        </w:rPr>
        <w:t xml:space="preserve"> </w:t>
      </w:r>
      <w:r w:rsidRPr="00FF65D6">
        <w:rPr>
          <w:lang w:val="fr-FR"/>
        </w:rPr>
        <w:t>d</w:t>
      </w:r>
      <w:r w:rsidR="002127F6" w:rsidRPr="00FF65D6">
        <w:rPr>
          <w:lang w:val="fr-FR"/>
        </w:rPr>
        <w:t>’</w:t>
      </w:r>
      <w:r w:rsidRPr="00FF65D6">
        <w:rPr>
          <w:lang w:val="fr-FR"/>
        </w:rPr>
        <w:t>éléments constitutifs d</w:t>
      </w:r>
      <w:r w:rsidR="002127F6" w:rsidRPr="00FF65D6">
        <w:rPr>
          <w:lang w:val="fr-FR"/>
        </w:rPr>
        <w:t>’</w:t>
      </w:r>
      <w:r w:rsidRPr="00FF65D6">
        <w:rPr>
          <w:lang w:val="fr-FR"/>
        </w:rPr>
        <w:t>une autre infraction</w:t>
      </w:r>
      <w:r w:rsidR="005C1799" w:rsidRPr="005C1799">
        <w:rPr>
          <w:lang w:val="fr-FR"/>
        </w:rPr>
        <w:t>.</w:t>
      </w:r>
      <w:r w:rsidRPr="00FF65D6">
        <w:rPr>
          <w:lang w:val="fr-FR"/>
        </w:rPr>
        <w:t xml:space="preserve"> </w:t>
      </w:r>
    </w:p>
    <w:p w14:paraId="5277A07A" w14:textId="77777777" w:rsidR="005C5C6A" w:rsidRPr="00FF65D6" w:rsidRDefault="005C5C6A" w:rsidP="00F34341">
      <w:pPr>
        <w:pStyle w:val="SingleTxtG"/>
        <w:rPr>
          <w:lang w:val="fr-FR"/>
        </w:rPr>
      </w:pPr>
      <w:r w:rsidRPr="00FF65D6">
        <w:rPr>
          <w:lang w:val="fr-FR"/>
        </w:rPr>
        <w:t>107</w:t>
      </w:r>
      <w:r w:rsidR="005C1799" w:rsidRPr="005C1799">
        <w:rPr>
          <w:lang w:val="fr-FR"/>
        </w:rPr>
        <w:t>.</w:t>
      </w:r>
      <w:r w:rsidRPr="00FF65D6">
        <w:rPr>
          <w:lang w:val="fr-FR"/>
        </w:rPr>
        <w:tab/>
        <w:t>Afin de renforcer encore le cadre juridique de la protection des mineurs contre l</w:t>
      </w:r>
      <w:r w:rsidR="002127F6" w:rsidRPr="00FF65D6">
        <w:rPr>
          <w:lang w:val="fr-FR"/>
        </w:rPr>
        <w:t>’</w:t>
      </w:r>
      <w:r w:rsidRPr="00FF65D6">
        <w:rPr>
          <w:lang w:val="fr-FR"/>
        </w:rPr>
        <w:t>exploitation sexuelle, la pornographie et les atteintes sexuelles dans le respect des normes internationales, le Gouvernement géorgien a modifié le Code pénal géorgien</w:t>
      </w:r>
      <w:r w:rsidR="005C1799" w:rsidRPr="005C1799">
        <w:rPr>
          <w:lang w:val="fr-FR"/>
        </w:rPr>
        <w:t>.</w:t>
      </w:r>
      <w:r w:rsidRPr="00FF65D6">
        <w:rPr>
          <w:lang w:val="fr-FR"/>
        </w:rPr>
        <w:t xml:space="preserve"> </w:t>
      </w:r>
    </w:p>
    <w:p w14:paraId="525449CD" w14:textId="77777777" w:rsidR="005C5C6A" w:rsidRPr="00FF65D6" w:rsidRDefault="005C5C6A" w:rsidP="00F34341">
      <w:pPr>
        <w:pStyle w:val="SingleTxtG"/>
        <w:rPr>
          <w:lang w:val="fr-FR"/>
        </w:rPr>
      </w:pPr>
      <w:r w:rsidRPr="00FF65D6">
        <w:rPr>
          <w:lang w:val="fr-FR"/>
        </w:rPr>
        <w:t>108</w:t>
      </w:r>
      <w:r w:rsidR="005C1799" w:rsidRPr="005C1799">
        <w:rPr>
          <w:lang w:val="fr-FR"/>
        </w:rPr>
        <w:t>.</w:t>
      </w:r>
      <w:r w:rsidRPr="00FF65D6">
        <w:rPr>
          <w:lang w:val="fr-FR"/>
        </w:rPr>
        <w:tab/>
        <w:t>En particulier, le paragraphe 2 de l</w:t>
      </w:r>
      <w:r w:rsidR="002127F6" w:rsidRPr="00FF65D6">
        <w:rPr>
          <w:lang w:val="fr-FR"/>
        </w:rPr>
        <w:t>’</w:t>
      </w:r>
      <w:r w:rsidRPr="00FF65D6">
        <w:rPr>
          <w:lang w:val="fr-FR"/>
        </w:rPr>
        <w:t>article 253 du Code pénal incrimine le fait de pousser un mineur à se prostituer en recourant à la violence, à la menace de la violence ou de la destruction de biens, au chantage ou à la tromperie et le fait de tirer un avantage de la participation d</w:t>
      </w:r>
      <w:r w:rsidR="002127F6" w:rsidRPr="00FF65D6">
        <w:rPr>
          <w:lang w:val="fr-FR"/>
        </w:rPr>
        <w:t>’</w:t>
      </w:r>
      <w:r w:rsidRPr="00FF65D6">
        <w:rPr>
          <w:lang w:val="fr-FR"/>
        </w:rPr>
        <w:t>un mineur à des activités de prostitution</w:t>
      </w:r>
      <w:r w:rsidR="005C1799" w:rsidRPr="005C1799">
        <w:rPr>
          <w:lang w:val="fr-FR"/>
        </w:rPr>
        <w:t>.</w:t>
      </w:r>
      <w:r w:rsidRPr="00FF65D6">
        <w:rPr>
          <w:lang w:val="fr-FR"/>
        </w:rPr>
        <w:t xml:space="preserve"> La commission de cette infraction est passible d</w:t>
      </w:r>
      <w:r w:rsidR="002127F6" w:rsidRPr="00FF65D6">
        <w:rPr>
          <w:lang w:val="fr-FR"/>
        </w:rPr>
        <w:t>’</w:t>
      </w:r>
      <w:r w:rsidRPr="00FF65D6">
        <w:rPr>
          <w:lang w:val="fr-FR"/>
        </w:rPr>
        <w:t>une peine d</w:t>
      </w:r>
      <w:r w:rsidR="002127F6" w:rsidRPr="00FF65D6">
        <w:rPr>
          <w:lang w:val="fr-FR"/>
        </w:rPr>
        <w:t>’</w:t>
      </w:r>
      <w:r w:rsidRPr="00FF65D6">
        <w:rPr>
          <w:lang w:val="fr-FR"/>
        </w:rPr>
        <w:t>emprisonnement d</w:t>
      </w:r>
      <w:r w:rsidR="002127F6" w:rsidRPr="00FF65D6">
        <w:rPr>
          <w:lang w:val="fr-FR"/>
        </w:rPr>
        <w:t>’</w:t>
      </w:r>
      <w:r w:rsidRPr="00FF65D6">
        <w:rPr>
          <w:lang w:val="fr-FR"/>
        </w:rPr>
        <w:t>une durée de cinq à sept ans</w:t>
      </w:r>
      <w:r w:rsidR="005C1799" w:rsidRPr="005C1799">
        <w:rPr>
          <w:lang w:val="fr-FR"/>
        </w:rPr>
        <w:t>.</w:t>
      </w:r>
      <w:r w:rsidRPr="00FF65D6">
        <w:rPr>
          <w:lang w:val="fr-FR"/>
        </w:rPr>
        <w:t xml:space="preserve"> L</w:t>
      </w:r>
      <w:r w:rsidR="002127F6" w:rsidRPr="00FF65D6">
        <w:rPr>
          <w:lang w:val="fr-FR"/>
        </w:rPr>
        <w:t>’</w:t>
      </w:r>
      <w:r w:rsidRPr="00FF65D6">
        <w:rPr>
          <w:lang w:val="fr-FR"/>
        </w:rPr>
        <w:t>article dispose aussi que pour la commission de cet acte, une personne morale encourt une peine d</w:t>
      </w:r>
      <w:r w:rsidR="002127F6" w:rsidRPr="00FF65D6">
        <w:rPr>
          <w:lang w:val="fr-FR"/>
        </w:rPr>
        <w:t>’</w:t>
      </w:r>
      <w:r w:rsidRPr="00FF65D6">
        <w:rPr>
          <w:lang w:val="fr-FR"/>
        </w:rPr>
        <w:t>interdiction de mener des</w:t>
      </w:r>
      <w:r w:rsidR="002127F6" w:rsidRPr="00FF65D6">
        <w:rPr>
          <w:lang w:val="fr-FR"/>
        </w:rPr>
        <w:t xml:space="preserve"> </w:t>
      </w:r>
      <w:r w:rsidRPr="00FF65D6">
        <w:rPr>
          <w:lang w:val="fr-FR"/>
        </w:rPr>
        <w:t>activités ou sa liquidation et une amende</w:t>
      </w:r>
      <w:r w:rsidR="005C1799" w:rsidRPr="005C1799">
        <w:rPr>
          <w:lang w:val="fr-FR"/>
        </w:rPr>
        <w:t>.</w:t>
      </w:r>
    </w:p>
    <w:p w14:paraId="06A02361" w14:textId="77777777" w:rsidR="005C5C6A" w:rsidRPr="00FF65D6" w:rsidRDefault="005C5C6A" w:rsidP="00F34341">
      <w:pPr>
        <w:pStyle w:val="SingleTxtG"/>
        <w:rPr>
          <w:lang w:val="fr-FR"/>
        </w:rPr>
      </w:pPr>
      <w:r w:rsidRPr="00FF65D6">
        <w:rPr>
          <w:lang w:val="fr-FR"/>
        </w:rPr>
        <w:t>109</w:t>
      </w:r>
      <w:r w:rsidR="005C1799" w:rsidRPr="005C1799">
        <w:rPr>
          <w:lang w:val="fr-FR"/>
        </w:rPr>
        <w:t>.</w:t>
      </w:r>
      <w:r w:rsidRPr="00FF65D6">
        <w:rPr>
          <w:lang w:val="fr-FR"/>
        </w:rPr>
        <w:tab/>
        <w:t>En outre, l</w:t>
      </w:r>
      <w:r w:rsidR="002127F6" w:rsidRPr="00FF65D6">
        <w:rPr>
          <w:lang w:val="fr-FR"/>
        </w:rPr>
        <w:t>’</w:t>
      </w:r>
      <w:r w:rsidRPr="00FF65D6">
        <w:rPr>
          <w:lang w:val="fr-FR"/>
        </w:rPr>
        <w:t>article 255 du Code pénal contient une définition de l</w:t>
      </w:r>
      <w:r w:rsidR="002127F6" w:rsidRPr="00FF65D6">
        <w:rPr>
          <w:lang w:val="fr-FR"/>
        </w:rPr>
        <w:t>’</w:t>
      </w:r>
      <w:r w:rsidRPr="00FF65D6">
        <w:rPr>
          <w:lang w:val="fr-FR"/>
        </w:rPr>
        <w:t>œuvre à caractère pornographique mettant en scène des mineurs, c</w:t>
      </w:r>
      <w:r w:rsidR="002127F6" w:rsidRPr="00FF65D6">
        <w:rPr>
          <w:lang w:val="fr-FR"/>
        </w:rPr>
        <w:t>’</w:t>
      </w:r>
      <w:r w:rsidRPr="00FF65D6">
        <w:rPr>
          <w:lang w:val="fr-FR"/>
        </w:rPr>
        <w:t xml:space="preserve">est-à-dire « un matériel visuel ou </w:t>
      </w:r>
      <w:proofErr w:type="spellStart"/>
      <w:r w:rsidRPr="00FF65D6">
        <w:rPr>
          <w:lang w:val="fr-FR"/>
        </w:rPr>
        <w:t>audiovisuel</w:t>
      </w:r>
      <w:proofErr w:type="spellEnd"/>
      <w:r w:rsidRPr="00FF65D6">
        <w:rPr>
          <w:lang w:val="fr-FR"/>
        </w:rPr>
        <w:t xml:space="preserve"> produit par une quelconque méthode, ainsi qu</w:t>
      </w:r>
      <w:r w:rsidR="002127F6" w:rsidRPr="00FF65D6">
        <w:rPr>
          <w:lang w:val="fr-FR"/>
        </w:rPr>
        <w:t>’</w:t>
      </w:r>
      <w:r w:rsidRPr="00FF65D6">
        <w:rPr>
          <w:lang w:val="fr-FR"/>
        </w:rPr>
        <w:t>un spectacle qui, à l</w:t>
      </w:r>
      <w:r w:rsidR="002127F6" w:rsidRPr="00FF65D6">
        <w:rPr>
          <w:lang w:val="fr-FR"/>
        </w:rPr>
        <w:t>’</w:t>
      </w:r>
      <w:r w:rsidRPr="00FF65D6">
        <w:rPr>
          <w:lang w:val="fr-FR"/>
        </w:rPr>
        <w:t>aide de divers moyens, représente la participation de mineurs ou de personnages ayant l</w:t>
      </w:r>
      <w:r w:rsidR="002127F6" w:rsidRPr="00FF65D6">
        <w:rPr>
          <w:lang w:val="fr-FR"/>
        </w:rPr>
        <w:t>’</w:t>
      </w:r>
      <w:r w:rsidRPr="00FF65D6">
        <w:rPr>
          <w:lang w:val="fr-FR"/>
        </w:rPr>
        <w:t>apparence d</w:t>
      </w:r>
      <w:r w:rsidR="002127F6" w:rsidRPr="00FF65D6">
        <w:rPr>
          <w:lang w:val="fr-FR"/>
        </w:rPr>
        <w:t>’</w:t>
      </w:r>
      <w:r w:rsidRPr="00FF65D6">
        <w:rPr>
          <w:lang w:val="fr-FR"/>
        </w:rPr>
        <w:t>un mineur à des scènes sexuelles effectives, simulées ou générées par ordinateur ou présente ou expose les organes sexuels d</w:t>
      </w:r>
      <w:r w:rsidR="002127F6" w:rsidRPr="00FF65D6">
        <w:rPr>
          <w:lang w:val="fr-FR"/>
        </w:rPr>
        <w:t>’</w:t>
      </w:r>
      <w:r w:rsidRPr="00FF65D6">
        <w:rPr>
          <w:lang w:val="fr-FR"/>
        </w:rPr>
        <w:t>un mineur aux fins de l</w:t>
      </w:r>
      <w:r w:rsidR="002127F6" w:rsidRPr="00FF65D6">
        <w:rPr>
          <w:lang w:val="fr-FR"/>
        </w:rPr>
        <w:t>’</w:t>
      </w:r>
      <w:r w:rsidRPr="00FF65D6">
        <w:rPr>
          <w:lang w:val="fr-FR"/>
        </w:rPr>
        <w:t>assouvissement des besoins sexuels d</w:t>
      </w:r>
      <w:r w:rsidR="002127F6" w:rsidRPr="00FF65D6">
        <w:rPr>
          <w:lang w:val="fr-FR"/>
        </w:rPr>
        <w:t>’</w:t>
      </w:r>
      <w:r w:rsidRPr="00FF65D6">
        <w:rPr>
          <w:lang w:val="fr-FR"/>
        </w:rPr>
        <w:t>un consommateur</w:t>
      </w:r>
      <w:r w:rsidR="005C1799" w:rsidRPr="005C1799">
        <w:rPr>
          <w:lang w:val="fr-FR"/>
        </w:rPr>
        <w:t>.</w:t>
      </w:r>
      <w:r w:rsidRPr="00FF65D6">
        <w:rPr>
          <w:lang w:val="fr-FR"/>
        </w:rPr>
        <w:t xml:space="preserve"> Une œuvre n</w:t>
      </w:r>
      <w:r w:rsidR="002127F6" w:rsidRPr="00FF65D6">
        <w:rPr>
          <w:lang w:val="fr-FR"/>
        </w:rPr>
        <w:t>’</w:t>
      </w:r>
      <w:r w:rsidRPr="00FF65D6">
        <w:rPr>
          <w:lang w:val="fr-FR"/>
        </w:rPr>
        <w:t>est pas considérée comme ayant un caractère pornographique si elle présente un intérêt médical, scientifique, éducatif ou artistique</w:t>
      </w:r>
      <w:r w:rsidR="005C1799" w:rsidRPr="005C1799">
        <w:rPr>
          <w:lang w:val="fr-FR"/>
        </w:rPr>
        <w:t>.</w:t>
      </w:r>
      <w:r w:rsidRPr="00FF65D6">
        <w:rPr>
          <w:lang w:val="fr-FR"/>
        </w:rPr>
        <w:t> »</w:t>
      </w:r>
      <w:r w:rsidR="005C1799" w:rsidRPr="005C1799">
        <w:rPr>
          <w:lang w:val="fr-FR"/>
        </w:rPr>
        <w:t>.</w:t>
      </w:r>
      <w:r w:rsidRPr="00FF65D6">
        <w:rPr>
          <w:lang w:val="fr-FR"/>
        </w:rPr>
        <w:t xml:space="preserve"> Cet article incrimine l</w:t>
      </w:r>
      <w:r w:rsidR="002127F6" w:rsidRPr="00FF65D6">
        <w:rPr>
          <w:lang w:val="fr-FR"/>
        </w:rPr>
        <w:t>’</w:t>
      </w:r>
      <w:r w:rsidRPr="00FF65D6">
        <w:rPr>
          <w:lang w:val="fr-FR"/>
        </w:rPr>
        <w:t>achat, le stockage, la visualisation en tant que spectateur, l</w:t>
      </w:r>
      <w:r w:rsidR="002127F6" w:rsidRPr="00FF65D6">
        <w:rPr>
          <w:lang w:val="fr-FR"/>
        </w:rPr>
        <w:t>’</w:t>
      </w:r>
      <w:r w:rsidRPr="00FF65D6">
        <w:rPr>
          <w:lang w:val="fr-FR"/>
        </w:rPr>
        <w:t>offre, la distribution, la transmission, la promotion et l</w:t>
      </w:r>
      <w:r w:rsidR="002127F6" w:rsidRPr="00FF65D6">
        <w:rPr>
          <w:lang w:val="fr-FR"/>
        </w:rPr>
        <w:t>’</w:t>
      </w:r>
      <w:r w:rsidRPr="00FF65D6">
        <w:rPr>
          <w:lang w:val="fr-FR"/>
        </w:rPr>
        <w:t>utilisation d</w:t>
      </w:r>
      <w:r w:rsidR="002127F6" w:rsidRPr="00FF65D6">
        <w:rPr>
          <w:lang w:val="fr-FR"/>
        </w:rPr>
        <w:t>’</w:t>
      </w:r>
      <w:r w:rsidRPr="00FF65D6">
        <w:rPr>
          <w:lang w:val="fr-FR"/>
        </w:rPr>
        <w:t>œuvres pornographiques contenant des images de mineurs et le fait d</w:t>
      </w:r>
      <w:r w:rsidR="002127F6" w:rsidRPr="00FF65D6">
        <w:rPr>
          <w:lang w:val="fr-FR"/>
        </w:rPr>
        <w:t>’</w:t>
      </w:r>
      <w:r w:rsidRPr="00FF65D6">
        <w:rPr>
          <w:lang w:val="fr-FR"/>
        </w:rPr>
        <w:t>offrir l</w:t>
      </w:r>
      <w:r w:rsidR="002127F6" w:rsidRPr="00FF65D6">
        <w:rPr>
          <w:lang w:val="fr-FR"/>
        </w:rPr>
        <w:t>’</w:t>
      </w:r>
      <w:r w:rsidRPr="00FF65D6">
        <w:rPr>
          <w:lang w:val="fr-FR"/>
        </w:rPr>
        <w:t>accès à ces œuvres et prévoit une peine d</w:t>
      </w:r>
      <w:r w:rsidR="002127F6" w:rsidRPr="00FF65D6">
        <w:rPr>
          <w:lang w:val="fr-FR"/>
        </w:rPr>
        <w:t>’</w:t>
      </w:r>
      <w:r w:rsidRPr="00FF65D6">
        <w:rPr>
          <w:lang w:val="fr-FR"/>
        </w:rPr>
        <w:t>amende ou de rééducation par le travail de deux ans au plus et/ou une peine d</w:t>
      </w:r>
      <w:r w:rsidR="002127F6" w:rsidRPr="00FF65D6">
        <w:rPr>
          <w:lang w:val="fr-FR"/>
        </w:rPr>
        <w:t>’</w:t>
      </w:r>
      <w:r w:rsidRPr="00FF65D6">
        <w:rPr>
          <w:lang w:val="fr-FR"/>
        </w:rPr>
        <w:t>emprisonnement de trois ans au plus</w:t>
      </w:r>
      <w:r w:rsidR="005C1799" w:rsidRPr="005C1799">
        <w:rPr>
          <w:lang w:val="fr-FR"/>
        </w:rPr>
        <w:t>.</w:t>
      </w:r>
      <w:r w:rsidRPr="00FF65D6">
        <w:rPr>
          <w:lang w:val="fr-FR"/>
        </w:rPr>
        <w:t xml:space="preserve"> En outre, la même disposition interdit la production ou la vente d</w:t>
      </w:r>
      <w:r w:rsidR="002127F6" w:rsidRPr="00FF65D6">
        <w:rPr>
          <w:lang w:val="fr-FR"/>
        </w:rPr>
        <w:t>’</w:t>
      </w:r>
      <w:r w:rsidRPr="00FF65D6">
        <w:rPr>
          <w:lang w:val="fr-FR"/>
        </w:rPr>
        <w:t>œuvres pornographiques contenant des images de mineurs et prévoit une peine d</w:t>
      </w:r>
      <w:r w:rsidR="002127F6" w:rsidRPr="00FF65D6">
        <w:rPr>
          <w:lang w:val="fr-FR"/>
        </w:rPr>
        <w:t>’</w:t>
      </w:r>
      <w:r w:rsidRPr="00FF65D6">
        <w:rPr>
          <w:lang w:val="fr-FR"/>
        </w:rPr>
        <w:t>emprisonnement de trois à cinq ans</w:t>
      </w:r>
      <w:r w:rsidR="005C1799" w:rsidRPr="005C1799">
        <w:rPr>
          <w:lang w:val="fr-FR"/>
        </w:rPr>
        <w:t>.</w:t>
      </w:r>
      <w:r w:rsidRPr="00FF65D6">
        <w:rPr>
          <w:lang w:val="fr-FR"/>
        </w:rPr>
        <w:t xml:space="preserve"> La personne morale à laquelle est imputé l</w:t>
      </w:r>
      <w:r w:rsidR="002127F6" w:rsidRPr="00FF65D6">
        <w:rPr>
          <w:lang w:val="fr-FR"/>
        </w:rPr>
        <w:t>’</w:t>
      </w:r>
      <w:r w:rsidRPr="00FF65D6">
        <w:rPr>
          <w:lang w:val="fr-FR"/>
        </w:rPr>
        <w:t>acte défini dans cet article encourt une amende, assortie de l</w:t>
      </w:r>
      <w:r w:rsidR="002127F6" w:rsidRPr="00FF65D6">
        <w:rPr>
          <w:lang w:val="fr-FR"/>
        </w:rPr>
        <w:t>’</w:t>
      </w:r>
      <w:r w:rsidRPr="00FF65D6">
        <w:rPr>
          <w:lang w:val="fr-FR"/>
        </w:rPr>
        <w:t>interdiction d</w:t>
      </w:r>
      <w:r w:rsidR="002127F6" w:rsidRPr="00FF65D6">
        <w:rPr>
          <w:lang w:val="fr-FR"/>
        </w:rPr>
        <w:t>’</w:t>
      </w:r>
      <w:r w:rsidRPr="00FF65D6">
        <w:rPr>
          <w:lang w:val="fr-FR"/>
        </w:rPr>
        <w:t>exercer certaines activités, ou sa liquidation et une amende</w:t>
      </w:r>
      <w:r w:rsidR="005C1799" w:rsidRPr="005C1799">
        <w:rPr>
          <w:lang w:val="fr-FR"/>
        </w:rPr>
        <w:t>.</w:t>
      </w:r>
    </w:p>
    <w:p w14:paraId="4879F4EA" w14:textId="77777777" w:rsidR="005C5C6A" w:rsidRPr="00FF65D6" w:rsidRDefault="005C5C6A" w:rsidP="00F34341">
      <w:pPr>
        <w:pStyle w:val="SingleTxtG"/>
        <w:rPr>
          <w:lang w:val="fr-FR"/>
        </w:rPr>
      </w:pPr>
      <w:r w:rsidRPr="00FF65D6">
        <w:rPr>
          <w:lang w:val="fr-FR"/>
        </w:rPr>
        <w:t>110</w:t>
      </w:r>
      <w:r w:rsidR="005C1799" w:rsidRPr="005C1799">
        <w:rPr>
          <w:lang w:val="fr-FR"/>
        </w:rPr>
        <w:t>.</w:t>
      </w:r>
      <w:r w:rsidRPr="00FF65D6">
        <w:rPr>
          <w:lang w:val="fr-FR"/>
        </w:rPr>
        <w:tab/>
        <w:t>En outre, l</w:t>
      </w:r>
      <w:r w:rsidR="002127F6" w:rsidRPr="00FF65D6">
        <w:rPr>
          <w:lang w:val="fr-FR"/>
        </w:rPr>
        <w:t>’</w:t>
      </w:r>
      <w:r w:rsidRPr="00FF65D6">
        <w:rPr>
          <w:lang w:val="fr-FR"/>
        </w:rPr>
        <w:t>article 2551 interdit de faire participer un mineur à la production, à la distribution ou à la promotion de matériel pornographique ou de tirer profit de ces activités</w:t>
      </w:r>
      <w:r w:rsidR="005C1799" w:rsidRPr="005C1799">
        <w:rPr>
          <w:lang w:val="fr-FR"/>
        </w:rPr>
        <w:t>.</w:t>
      </w:r>
      <w:r w:rsidRPr="00FF65D6">
        <w:rPr>
          <w:lang w:val="fr-FR"/>
        </w:rPr>
        <w:t xml:space="preserve"> En vertu de l</w:t>
      </w:r>
      <w:r w:rsidR="002127F6" w:rsidRPr="00FF65D6">
        <w:rPr>
          <w:lang w:val="fr-FR"/>
        </w:rPr>
        <w:t>’</w:t>
      </w:r>
      <w:r w:rsidRPr="00FF65D6">
        <w:rPr>
          <w:lang w:val="fr-FR"/>
        </w:rPr>
        <w:t>article 2551 du Code pénal, sont également incriminés la distribution et la promotion de matériels pornographiques, toutes transactions commerciales liées à ces matériels ou le fait de retirer tout avantage de cette activité</w:t>
      </w:r>
      <w:r w:rsidR="005C1799" w:rsidRPr="005C1799">
        <w:rPr>
          <w:lang w:val="fr-FR"/>
        </w:rPr>
        <w:t>.</w:t>
      </w:r>
      <w:r w:rsidRPr="00FF65D6">
        <w:rPr>
          <w:lang w:val="fr-FR"/>
        </w:rPr>
        <w:t xml:space="preserve"> Ces infractions sont passibles d</w:t>
      </w:r>
      <w:r w:rsidR="002127F6" w:rsidRPr="00FF65D6">
        <w:rPr>
          <w:lang w:val="fr-FR"/>
        </w:rPr>
        <w:t>’</w:t>
      </w:r>
      <w:r w:rsidRPr="00FF65D6">
        <w:rPr>
          <w:lang w:val="fr-FR"/>
        </w:rPr>
        <w:t>une peine de deux à cinq ans d</w:t>
      </w:r>
      <w:r w:rsidR="002127F6" w:rsidRPr="00FF65D6">
        <w:rPr>
          <w:lang w:val="fr-FR"/>
        </w:rPr>
        <w:t>’</w:t>
      </w:r>
      <w:r w:rsidRPr="00FF65D6">
        <w:rPr>
          <w:lang w:val="fr-FR"/>
        </w:rPr>
        <w:t>emprisonnement</w:t>
      </w:r>
      <w:r w:rsidR="005C1799" w:rsidRPr="005C1799">
        <w:rPr>
          <w:lang w:val="fr-FR"/>
        </w:rPr>
        <w:t>.</w:t>
      </w:r>
      <w:r w:rsidRPr="00FF65D6">
        <w:rPr>
          <w:lang w:val="fr-FR"/>
        </w:rPr>
        <w:t xml:space="preserve"> Une personne morale reconnue coupable d</w:t>
      </w:r>
      <w:r w:rsidR="002127F6" w:rsidRPr="00FF65D6">
        <w:rPr>
          <w:lang w:val="fr-FR"/>
        </w:rPr>
        <w:t>’</w:t>
      </w:r>
      <w:r w:rsidRPr="00FF65D6">
        <w:rPr>
          <w:lang w:val="fr-FR"/>
        </w:rPr>
        <w:t>avoir commis cette infraction encourt une amende, assortie de l</w:t>
      </w:r>
      <w:r w:rsidR="002127F6" w:rsidRPr="00FF65D6">
        <w:rPr>
          <w:lang w:val="fr-FR"/>
        </w:rPr>
        <w:t>’</w:t>
      </w:r>
      <w:r w:rsidRPr="00FF65D6">
        <w:rPr>
          <w:lang w:val="fr-FR"/>
        </w:rPr>
        <w:t>interdiction d</w:t>
      </w:r>
      <w:r w:rsidR="002127F6" w:rsidRPr="00FF65D6">
        <w:rPr>
          <w:lang w:val="fr-FR"/>
        </w:rPr>
        <w:t>’</w:t>
      </w:r>
      <w:r w:rsidRPr="00FF65D6">
        <w:rPr>
          <w:lang w:val="fr-FR"/>
        </w:rPr>
        <w:t>exercer certaines activités, ou sa liquidation et une amende</w:t>
      </w:r>
      <w:r w:rsidR="005C1799" w:rsidRPr="005C1799">
        <w:rPr>
          <w:lang w:val="fr-FR"/>
        </w:rPr>
        <w:t>.</w:t>
      </w:r>
    </w:p>
    <w:p w14:paraId="09B58316" w14:textId="77777777" w:rsidR="005C5C6A" w:rsidRPr="00FF65D6" w:rsidRDefault="005C5C6A" w:rsidP="00F34341">
      <w:pPr>
        <w:pStyle w:val="SingleTxtG"/>
        <w:rPr>
          <w:lang w:val="fr-FR"/>
        </w:rPr>
      </w:pPr>
      <w:r w:rsidRPr="00FF65D6">
        <w:rPr>
          <w:lang w:val="fr-FR"/>
        </w:rPr>
        <w:t>111</w:t>
      </w:r>
      <w:r w:rsidR="005C1799" w:rsidRPr="005C1799">
        <w:rPr>
          <w:lang w:val="fr-FR"/>
        </w:rPr>
        <w:t>.</w:t>
      </w:r>
      <w:r w:rsidRPr="00FF65D6">
        <w:rPr>
          <w:lang w:val="fr-FR"/>
        </w:rPr>
        <w:tab/>
        <w:t>En outre, les rapports sexuels, homosexuels ou lesbiens ou autres rapports sexuels sous une forme pervertie qu</w:t>
      </w:r>
      <w:r w:rsidR="002127F6" w:rsidRPr="00FF65D6">
        <w:rPr>
          <w:lang w:val="fr-FR"/>
        </w:rPr>
        <w:t>’</w:t>
      </w:r>
      <w:r w:rsidRPr="00FF65D6">
        <w:rPr>
          <w:lang w:val="fr-FR"/>
        </w:rPr>
        <w:t>a en connaissance de cause un adulte avec une personne qui n</w:t>
      </w:r>
      <w:r w:rsidR="002127F6" w:rsidRPr="00FF65D6">
        <w:rPr>
          <w:lang w:val="fr-FR"/>
        </w:rPr>
        <w:t>’</w:t>
      </w:r>
      <w:r w:rsidRPr="00FF65D6">
        <w:rPr>
          <w:lang w:val="fr-FR"/>
        </w:rPr>
        <w:t>a pas atteint l</w:t>
      </w:r>
      <w:r w:rsidR="002127F6" w:rsidRPr="00FF65D6">
        <w:rPr>
          <w:lang w:val="fr-FR"/>
        </w:rPr>
        <w:t>’</w:t>
      </w:r>
      <w:r w:rsidRPr="00FF65D6">
        <w:rPr>
          <w:lang w:val="fr-FR"/>
        </w:rPr>
        <w:t>âge de 16 ans sont incriminés par l</w:t>
      </w:r>
      <w:r w:rsidR="002127F6" w:rsidRPr="00FF65D6">
        <w:rPr>
          <w:lang w:val="fr-FR"/>
        </w:rPr>
        <w:t>’</w:t>
      </w:r>
      <w:r w:rsidRPr="00FF65D6">
        <w:rPr>
          <w:lang w:val="fr-FR"/>
        </w:rPr>
        <w:t>article 140 du Code pénal et l</w:t>
      </w:r>
      <w:r w:rsidR="002127F6" w:rsidRPr="00FF65D6">
        <w:rPr>
          <w:lang w:val="fr-FR"/>
        </w:rPr>
        <w:t>’</w:t>
      </w:r>
      <w:r w:rsidRPr="00FF65D6">
        <w:rPr>
          <w:lang w:val="fr-FR"/>
        </w:rPr>
        <w:t>auteur de cette infraction peut encourir une peine d</w:t>
      </w:r>
      <w:r w:rsidR="002127F6" w:rsidRPr="00FF65D6">
        <w:rPr>
          <w:lang w:val="fr-FR"/>
        </w:rPr>
        <w:t>’</w:t>
      </w:r>
      <w:r w:rsidRPr="00FF65D6">
        <w:rPr>
          <w:lang w:val="fr-FR"/>
        </w:rPr>
        <w:t>emprisonnement de sept à neuf ans</w:t>
      </w:r>
      <w:r w:rsidR="005C1799" w:rsidRPr="005C1799">
        <w:rPr>
          <w:lang w:val="fr-FR"/>
        </w:rPr>
        <w:t>.</w:t>
      </w:r>
    </w:p>
    <w:p w14:paraId="1372A0D0" w14:textId="77777777" w:rsidR="005C5C6A" w:rsidRPr="00FF65D6" w:rsidRDefault="005C5C6A" w:rsidP="00F34341">
      <w:pPr>
        <w:pStyle w:val="SingleTxtG"/>
        <w:rPr>
          <w:lang w:val="fr-FR"/>
        </w:rPr>
      </w:pPr>
      <w:r w:rsidRPr="00FF65D6">
        <w:rPr>
          <w:lang w:val="fr-FR"/>
        </w:rPr>
        <w:t>112</w:t>
      </w:r>
      <w:r w:rsidR="005C1799" w:rsidRPr="005C1799">
        <w:rPr>
          <w:lang w:val="fr-FR"/>
        </w:rPr>
        <w:t>.</w:t>
      </w:r>
      <w:r w:rsidRPr="00FF65D6">
        <w:rPr>
          <w:lang w:val="fr-FR"/>
        </w:rPr>
        <w:tab/>
        <w:t>Par ailleurs, l</w:t>
      </w:r>
      <w:r w:rsidR="002127F6" w:rsidRPr="00FF65D6">
        <w:rPr>
          <w:lang w:val="fr-FR"/>
        </w:rPr>
        <w:t>’</w:t>
      </w:r>
      <w:r w:rsidRPr="00FF65D6">
        <w:rPr>
          <w:lang w:val="fr-FR"/>
        </w:rPr>
        <w:t>article 2552 du Code pénal prévoit des sanctions pénales en cas de proposition d</w:t>
      </w:r>
      <w:r w:rsidR="002127F6" w:rsidRPr="00FF65D6">
        <w:rPr>
          <w:lang w:val="fr-FR"/>
        </w:rPr>
        <w:t>’</w:t>
      </w:r>
      <w:r w:rsidRPr="00FF65D6">
        <w:rPr>
          <w:lang w:val="fr-FR"/>
        </w:rPr>
        <w:t>un rendez-vous à une personne âgée de moins de 16 ans par tout moyen de communication pour toutes fins à caractère sexuel, c</w:t>
      </w:r>
      <w:r w:rsidR="002127F6" w:rsidRPr="00FF65D6">
        <w:rPr>
          <w:lang w:val="fr-FR"/>
        </w:rPr>
        <w:t>’</w:t>
      </w:r>
      <w:r w:rsidRPr="00FF65D6">
        <w:rPr>
          <w:lang w:val="fr-FR"/>
        </w:rPr>
        <w:t>est-à-dire en vue de la commission de l</w:t>
      </w:r>
      <w:r w:rsidR="002127F6" w:rsidRPr="00FF65D6">
        <w:rPr>
          <w:lang w:val="fr-FR"/>
        </w:rPr>
        <w:t>’</w:t>
      </w:r>
      <w:r w:rsidRPr="00FF65D6">
        <w:rPr>
          <w:lang w:val="fr-FR"/>
        </w:rPr>
        <w:t>infraction visée à l</w:t>
      </w:r>
      <w:r w:rsidR="002127F6" w:rsidRPr="00FF65D6">
        <w:rPr>
          <w:lang w:val="fr-FR"/>
        </w:rPr>
        <w:t>’</w:t>
      </w:r>
      <w:r w:rsidRPr="00FF65D6">
        <w:rPr>
          <w:lang w:val="fr-FR"/>
        </w:rPr>
        <w:t>article 140 ou au paragraphe 3 de l</w:t>
      </w:r>
      <w:r w:rsidR="002127F6" w:rsidRPr="00FF65D6">
        <w:rPr>
          <w:lang w:val="fr-FR"/>
        </w:rPr>
        <w:t>’</w:t>
      </w:r>
      <w:r w:rsidRPr="00FF65D6">
        <w:rPr>
          <w:lang w:val="fr-FR"/>
        </w:rPr>
        <w:t>article 255 (production ou vente d</w:t>
      </w:r>
      <w:r w:rsidR="002127F6" w:rsidRPr="00FF65D6">
        <w:rPr>
          <w:lang w:val="fr-FR"/>
        </w:rPr>
        <w:t>’</w:t>
      </w:r>
      <w:r w:rsidRPr="00FF65D6">
        <w:rPr>
          <w:lang w:val="fr-FR"/>
        </w:rPr>
        <w:t>œuvres pornographiques contenant des images de mineurs)</w:t>
      </w:r>
      <w:r w:rsidR="005C1799" w:rsidRPr="005C1799">
        <w:rPr>
          <w:lang w:val="fr-FR"/>
        </w:rPr>
        <w:t>.</w:t>
      </w:r>
      <w:r w:rsidRPr="00FF65D6">
        <w:rPr>
          <w:lang w:val="fr-FR"/>
        </w:rPr>
        <w:t xml:space="preserve"> Ces infractions sont passibles d</w:t>
      </w:r>
      <w:r w:rsidR="002127F6" w:rsidRPr="00FF65D6">
        <w:rPr>
          <w:lang w:val="fr-FR"/>
        </w:rPr>
        <w:t>’</w:t>
      </w:r>
      <w:r w:rsidRPr="00FF65D6">
        <w:rPr>
          <w:lang w:val="fr-FR"/>
        </w:rPr>
        <w:t>une peine restrictive de liberté de trois ans au plus ou d</w:t>
      </w:r>
      <w:r w:rsidR="002127F6" w:rsidRPr="00FF65D6">
        <w:rPr>
          <w:lang w:val="fr-FR"/>
        </w:rPr>
        <w:t>’</w:t>
      </w:r>
      <w:r w:rsidRPr="00FF65D6">
        <w:rPr>
          <w:lang w:val="fr-FR"/>
        </w:rPr>
        <w:t>une peine d</w:t>
      </w:r>
      <w:r w:rsidR="002127F6" w:rsidRPr="00FF65D6">
        <w:rPr>
          <w:lang w:val="fr-FR"/>
        </w:rPr>
        <w:t>’</w:t>
      </w:r>
      <w:r w:rsidRPr="00FF65D6">
        <w:rPr>
          <w:lang w:val="fr-FR"/>
        </w:rPr>
        <w:t>emprisonnement de un à trois ans</w:t>
      </w:r>
      <w:r w:rsidR="005C1799" w:rsidRPr="005C1799">
        <w:rPr>
          <w:lang w:val="fr-FR"/>
        </w:rPr>
        <w:t>.</w:t>
      </w:r>
      <w:r w:rsidRPr="00FF65D6">
        <w:rPr>
          <w:lang w:val="fr-FR"/>
        </w:rPr>
        <w:t xml:space="preserve"> </w:t>
      </w:r>
    </w:p>
    <w:p w14:paraId="2F8FF96C" w14:textId="77777777" w:rsidR="005C5C6A" w:rsidRPr="00FF65D6" w:rsidRDefault="005C5C6A" w:rsidP="00F34341">
      <w:pPr>
        <w:pStyle w:val="SingleTxtG"/>
        <w:rPr>
          <w:lang w:val="fr-FR"/>
        </w:rPr>
      </w:pPr>
      <w:r w:rsidRPr="00FF65D6">
        <w:rPr>
          <w:lang w:val="fr-FR"/>
        </w:rPr>
        <w:t>113</w:t>
      </w:r>
      <w:r w:rsidR="005C1799" w:rsidRPr="005C1799">
        <w:rPr>
          <w:lang w:val="fr-FR"/>
        </w:rPr>
        <w:t>.</w:t>
      </w:r>
      <w:r w:rsidRPr="00FF65D6">
        <w:rPr>
          <w:lang w:val="fr-FR"/>
        </w:rPr>
        <w:tab/>
        <w:t>À cet égard, il convient de mentionner que le fait d</w:t>
      </w:r>
      <w:r w:rsidR="002127F6" w:rsidRPr="00FF65D6">
        <w:rPr>
          <w:lang w:val="fr-FR"/>
        </w:rPr>
        <w:t>’</w:t>
      </w:r>
      <w:r w:rsidRPr="00FF65D6">
        <w:rPr>
          <w:lang w:val="fr-FR"/>
        </w:rPr>
        <w:t>offrir un local ou un logement à des fins de prostitution est également incriminé en Géorgie par l</w:t>
      </w:r>
      <w:r w:rsidR="002127F6" w:rsidRPr="00FF65D6">
        <w:rPr>
          <w:lang w:val="fr-FR"/>
        </w:rPr>
        <w:t>’</w:t>
      </w:r>
      <w:r w:rsidRPr="00FF65D6">
        <w:rPr>
          <w:lang w:val="fr-FR"/>
        </w:rPr>
        <w:t>article 254 du Code pénal</w:t>
      </w:r>
      <w:r w:rsidR="005C1799" w:rsidRPr="005C1799">
        <w:rPr>
          <w:lang w:val="fr-FR"/>
        </w:rPr>
        <w:t>.</w:t>
      </w:r>
      <w:r w:rsidRPr="00FF65D6">
        <w:rPr>
          <w:lang w:val="fr-FR"/>
        </w:rPr>
        <w:t xml:space="preserve"> Cet article dispose que la mise à disposition d</w:t>
      </w:r>
      <w:r w:rsidR="002127F6" w:rsidRPr="00FF65D6">
        <w:rPr>
          <w:lang w:val="fr-FR"/>
        </w:rPr>
        <w:t>’</w:t>
      </w:r>
      <w:r w:rsidRPr="00FF65D6">
        <w:rPr>
          <w:lang w:val="fr-FR"/>
        </w:rPr>
        <w:t>un local ou d</w:t>
      </w:r>
      <w:r w:rsidR="002127F6" w:rsidRPr="00FF65D6">
        <w:rPr>
          <w:lang w:val="fr-FR"/>
        </w:rPr>
        <w:t>’</w:t>
      </w:r>
      <w:r w:rsidRPr="00FF65D6">
        <w:rPr>
          <w:lang w:val="fr-FR"/>
        </w:rPr>
        <w:t>un logement à des fins de prostitution est passible d</w:t>
      </w:r>
      <w:r w:rsidR="002127F6" w:rsidRPr="00FF65D6">
        <w:rPr>
          <w:lang w:val="fr-FR"/>
        </w:rPr>
        <w:t>’</w:t>
      </w:r>
      <w:r w:rsidRPr="00FF65D6">
        <w:rPr>
          <w:lang w:val="fr-FR"/>
        </w:rPr>
        <w:t>une amende ou d</w:t>
      </w:r>
      <w:r w:rsidR="002127F6" w:rsidRPr="00FF65D6">
        <w:rPr>
          <w:lang w:val="fr-FR"/>
        </w:rPr>
        <w:t>’</w:t>
      </w:r>
      <w:r w:rsidRPr="00FF65D6">
        <w:rPr>
          <w:lang w:val="fr-FR"/>
        </w:rPr>
        <w:t>une peine d</w:t>
      </w:r>
      <w:r w:rsidR="002127F6" w:rsidRPr="00FF65D6">
        <w:rPr>
          <w:lang w:val="fr-FR"/>
        </w:rPr>
        <w:t>’</w:t>
      </w:r>
      <w:r w:rsidRPr="00FF65D6">
        <w:rPr>
          <w:lang w:val="fr-FR"/>
        </w:rPr>
        <w:t>emprisonnement d</w:t>
      </w:r>
      <w:r w:rsidR="002127F6" w:rsidRPr="00FF65D6">
        <w:rPr>
          <w:lang w:val="fr-FR"/>
        </w:rPr>
        <w:t>’</w:t>
      </w:r>
      <w:r w:rsidRPr="00FF65D6">
        <w:rPr>
          <w:lang w:val="fr-FR"/>
        </w:rPr>
        <w:t>une durée de deux à quatre ans et, pour les personnes morales, d</w:t>
      </w:r>
      <w:r w:rsidR="002127F6" w:rsidRPr="00FF65D6">
        <w:rPr>
          <w:lang w:val="fr-FR"/>
        </w:rPr>
        <w:t>’</w:t>
      </w:r>
      <w:r w:rsidRPr="00FF65D6">
        <w:rPr>
          <w:lang w:val="fr-FR"/>
        </w:rPr>
        <w:t>une amende, de l</w:t>
      </w:r>
      <w:r w:rsidR="002127F6" w:rsidRPr="00FF65D6">
        <w:rPr>
          <w:lang w:val="fr-FR"/>
        </w:rPr>
        <w:t>’</w:t>
      </w:r>
      <w:r w:rsidRPr="00FF65D6">
        <w:rPr>
          <w:lang w:val="fr-FR"/>
        </w:rPr>
        <w:t>interdiction d</w:t>
      </w:r>
      <w:r w:rsidR="002127F6" w:rsidRPr="00FF65D6">
        <w:rPr>
          <w:lang w:val="fr-FR"/>
        </w:rPr>
        <w:t>’</w:t>
      </w:r>
      <w:r w:rsidRPr="00FF65D6">
        <w:rPr>
          <w:lang w:val="fr-FR"/>
        </w:rPr>
        <w:t>exercer certaines activités ou de la liquidation et d</w:t>
      </w:r>
      <w:r w:rsidR="002127F6" w:rsidRPr="00FF65D6">
        <w:rPr>
          <w:lang w:val="fr-FR"/>
        </w:rPr>
        <w:t>’</w:t>
      </w:r>
      <w:r w:rsidRPr="00FF65D6">
        <w:rPr>
          <w:lang w:val="fr-FR"/>
        </w:rPr>
        <w:t>une amende</w:t>
      </w:r>
      <w:r w:rsidR="005C1799" w:rsidRPr="005C1799">
        <w:rPr>
          <w:lang w:val="fr-FR"/>
        </w:rPr>
        <w:t>.</w:t>
      </w:r>
    </w:p>
    <w:p w14:paraId="41605E01" w14:textId="77777777" w:rsidR="005C5C6A" w:rsidRPr="00FF65D6" w:rsidRDefault="005C5C6A" w:rsidP="00F34341">
      <w:pPr>
        <w:pStyle w:val="SingleTxtG"/>
        <w:rPr>
          <w:lang w:val="fr-FR"/>
        </w:rPr>
      </w:pPr>
      <w:r w:rsidRPr="00FF65D6">
        <w:rPr>
          <w:lang w:val="fr-FR"/>
        </w:rPr>
        <w:t>114</w:t>
      </w:r>
      <w:r w:rsidR="005C1799" w:rsidRPr="005C1799">
        <w:rPr>
          <w:lang w:val="fr-FR"/>
        </w:rPr>
        <w:t>.</w:t>
      </w:r>
      <w:r w:rsidRPr="00FF65D6">
        <w:rPr>
          <w:lang w:val="fr-FR"/>
        </w:rPr>
        <w:tab/>
        <w:t>En outre, l</w:t>
      </w:r>
      <w:r w:rsidR="002127F6" w:rsidRPr="00FF65D6">
        <w:rPr>
          <w:lang w:val="fr-FR"/>
        </w:rPr>
        <w:t>’</w:t>
      </w:r>
      <w:r w:rsidRPr="00FF65D6">
        <w:rPr>
          <w:lang w:val="fr-FR"/>
        </w:rPr>
        <w:t>article 171 du Code pénal interdit l</w:t>
      </w:r>
      <w:r w:rsidR="002127F6" w:rsidRPr="00FF65D6">
        <w:rPr>
          <w:lang w:val="fr-FR"/>
        </w:rPr>
        <w:t>’</w:t>
      </w:r>
      <w:r w:rsidRPr="00FF65D6">
        <w:rPr>
          <w:lang w:val="fr-FR"/>
        </w:rPr>
        <w:t>implication de mineurs dans des activités antisociales et dispose que persuader des mineurs de se livrer à la mendicité ou à d</w:t>
      </w:r>
      <w:r w:rsidR="002127F6" w:rsidRPr="00FF65D6">
        <w:rPr>
          <w:lang w:val="fr-FR"/>
        </w:rPr>
        <w:t>’</w:t>
      </w:r>
      <w:r w:rsidRPr="00FF65D6">
        <w:rPr>
          <w:lang w:val="fr-FR"/>
        </w:rPr>
        <w:t>autres activités antisociales est passible d</w:t>
      </w:r>
      <w:r w:rsidR="002127F6" w:rsidRPr="00FF65D6">
        <w:rPr>
          <w:lang w:val="fr-FR"/>
        </w:rPr>
        <w:t>’</w:t>
      </w:r>
      <w:r w:rsidRPr="00FF65D6">
        <w:rPr>
          <w:lang w:val="fr-FR"/>
        </w:rPr>
        <w:t>une peine de travail d</w:t>
      </w:r>
      <w:r w:rsidR="002127F6" w:rsidRPr="00FF65D6">
        <w:rPr>
          <w:lang w:val="fr-FR"/>
        </w:rPr>
        <w:t>’</w:t>
      </w:r>
      <w:r w:rsidRPr="00FF65D6">
        <w:rPr>
          <w:lang w:val="fr-FR"/>
        </w:rPr>
        <w:t xml:space="preserve">intérêt général de </w:t>
      </w:r>
      <w:r w:rsidR="00151421" w:rsidRPr="00FF65D6">
        <w:rPr>
          <w:lang w:val="fr-FR"/>
        </w:rPr>
        <w:t>cent soixante-dix</w:t>
      </w:r>
      <w:r w:rsidRPr="00FF65D6">
        <w:rPr>
          <w:lang w:val="fr-FR"/>
        </w:rPr>
        <w:t xml:space="preserve"> à </w:t>
      </w:r>
      <w:r w:rsidR="00151421" w:rsidRPr="00FF65D6">
        <w:rPr>
          <w:lang w:val="fr-FR"/>
        </w:rPr>
        <w:t>deux cent quarante</w:t>
      </w:r>
      <w:r w:rsidRPr="00FF65D6">
        <w:rPr>
          <w:lang w:val="fr-FR"/>
        </w:rPr>
        <w:t xml:space="preserve"> heures ou d</w:t>
      </w:r>
      <w:r w:rsidR="002127F6" w:rsidRPr="00FF65D6">
        <w:rPr>
          <w:lang w:val="fr-FR"/>
        </w:rPr>
        <w:t>’</w:t>
      </w:r>
      <w:r w:rsidRPr="00FF65D6">
        <w:rPr>
          <w:lang w:val="fr-FR"/>
        </w:rPr>
        <w:t>une peine de rééducation par le travail ou d</w:t>
      </w:r>
      <w:r w:rsidR="002127F6" w:rsidRPr="00FF65D6">
        <w:rPr>
          <w:lang w:val="fr-FR"/>
        </w:rPr>
        <w:t>’</w:t>
      </w:r>
      <w:r w:rsidRPr="00FF65D6">
        <w:rPr>
          <w:lang w:val="fr-FR"/>
        </w:rPr>
        <w:t>emprisonnement de deux ans au plus</w:t>
      </w:r>
      <w:r w:rsidR="003B7618" w:rsidRPr="00FF65D6">
        <w:rPr>
          <w:lang w:val="fr-FR"/>
        </w:rPr>
        <w:t> </w:t>
      </w:r>
      <w:r w:rsidRPr="00FF65D6">
        <w:rPr>
          <w:lang w:val="fr-FR"/>
        </w:rPr>
        <w:t>; le fait de faire participer des mineurs à l</w:t>
      </w:r>
      <w:r w:rsidR="002127F6" w:rsidRPr="00FF65D6">
        <w:rPr>
          <w:lang w:val="fr-FR"/>
        </w:rPr>
        <w:t>’</w:t>
      </w:r>
      <w:r w:rsidRPr="00FF65D6">
        <w:rPr>
          <w:lang w:val="fr-FR"/>
        </w:rPr>
        <w:t>abus de drogues ou de médicaments toxiques est passible d</w:t>
      </w:r>
      <w:r w:rsidR="002127F6" w:rsidRPr="00FF65D6">
        <w:rPr>
          <w:lang w:val="fr-FR"/>
        </w:rPr>
        <w:t>’</w:t>
      </w:r>
      <w:r w:rsidRPr="00FF65D6">
        <w:rPr>
          <w:lang w:val="fr-FR"/>
        </w:rPr>
        <w:t>une peine restrictive de liberté ou d</w:t>
      </w:r>
      <w:r w:rsidR="002127F6" w:rsidRPr="00FF65D6">
        <w:rPr>
          <w:lang w:val="fr-FR"/>
        </w:rPr>
        <w:t>’</w:t>
      </w:r>
      <w:r w:rsidRPr="00FF65D6">
        <w:rPr>
          <w:lang w:val="fr-FR"/>
        </w:rPr>
        <w:t>une peine d</w:t>
      </w:r>
      <w:r w:rsidR="002127F6" w:rsidRPr="00FF65D6">
        <w:rPr>
          <w:lang w:val="fr-FR"/>
        </w:rPr>
        <w:t>’</w:t>
      </w:r>
      <w:r w:rsidRPr="00FF65D6">
        <w:rPr>
          <w:lang w:val="fr-FR"/>
        </w:rPr>
        <w:t>emprisonnement de trois ans au plus, alors que pousser des mineurs à se prostituer en recourant à la violence, à la menace de la violence ou à la tromperie est passible d</w:t>
      </w:r>
      <w:r w:rsidR="002127F6" w:rsidRPr="00FF65D6">
        <w:rPr>
          <w:lang w:val="fr-FR"/>
        </w:rPr>
        <w:t>’</w:t>
      </w:r>
      <w:r w:rsidRPr="00FF65D6">
        <w:rPr>
          <w:lang w:val="fr-FR"/>
        </w:rPr>
        <w:t>une peine d</w:t>
      </w:r>
      <w:r w:rsidR="002127F6" w:rsidRPr="00FF65D6">
        <w:rPr>
          <w:lang w:val="fr-FR"/>
        </w:rPr>
        <w:t>’</w:t>
      </w:r>
      <w:r w:rsidRPr="00FF65D6">
        <w:rPr>
          <w:lang w:val="fr-FR"/>
        </w:rPr>
        <w:t>emprisonnement de deux à cinq ans</w:t>
      </w:r>
      <w:r w:rsidR="005C1799" w:rsidRPr="005C1799">
        <w:rPr>
          <w:lang w:val="fr-FR"/>
        </w:rPr>
        <w:t>.</w:t>
      </w:r>
      <w:r w:rsidRPr="00FF65D6">
        <w:rPr>
          <w:lang w:val="fr-FR"/>
        </w:rPr>
        <w:t xml:space="preserve"> La personne morale à laquelle est imputé un des actes définis dans cet article encourt l</w:t>
      </w:r>
      <w:r w:rsidR="002127F6" w:rsidRPr="00FF65D6">
        <w:rPr>
          <w:lang w:val="fr-FR"/>
        </w:rPr>
        <w:t>’</w:t>
      </w:r>
      <w:r w:rsidRPr="00FF65D6">
        <w:rPr>
          <w:lang w:val="fr-FR"/>
        </w:rPr>
        <w:t>interdiction d</w:t>
      </w:r>
      <w:r w:rsidR="002127F6" w:rsidRPr="00FF65D6">
        <w:rPr>
          <w:lang w:val="fr-FR"/>
        </w:rPr>
        <w:t>’</w:t>
      </w:r>
      <w:r w:rsidRPr="00FF65D6">
        <w:rPr>
          <w:lang w:val="fr-FR"/>
        </w:rPr>
        <w:t>exercer certaines activités, ou sa liquidation et une amende</w:t>
      </w:r>
      <w:r w:rsidR="005C1799" w:rsidRPr="005C1799">
        <w:rPr>
          <w:lang w:val="fr-FR"/>
        </w:rPr>
        <w:t>.</w:t>
      </w:r>
    </w:p>
    <w:p w14:paraId="290327ED" w14:textId="77777777" w:rsidR="005C5C6A" w:rsidRPr="00FF65D6" w:rsidRDefault="005C5C6A" w:rsidP="00F34341">
      <w:pPr>
        <w:pStyle w:val="SingleTxtG"/>
        <w:rPr>
          <w:lang w:val="fr-FR"/>
        </w:rPr>
      </w:pPr>
      <w:r w:rsidRPr="00FF65D6">
        <w:rPr>
          <w:lang w:val="fr-FR"/>
        </w:rPr>
        <w:t>115</w:t>
      </w:r>
      <w:r w:rsidR="005C1799" w:rsidRPr="005C1799">
        <w:rPr>
          <w:lang w:val="fr-FR"/>
        </w:rPr>
        <w:t>.</w:t>
      </w:r>
      <w:r w:rsidRPr="00FF65D6">
        <w:rPr>
          <w:lang w:val="fr-FR"/>
        </w:rPr>
        <w:tab/>
        <w:t>S</w:t>
      </w:r>
      <w:r w:rsidR="002127F6" w:rsidRPr="00FF65D6">
        <w:rPr>
          <w:lang w:val="fr-FR"/>
        </w:rPr>
        <w:t>’</w:t>
      </w:r>
      <w:r w:rsidRPr="00FF65D6">
        <w:rPr>
          <w:lang w:val="fr-FR"/>
        </w:rPr>
        <w:t>agissant des mesures législatives visant à prévenir les adoptions illégales, il existe un certain nombre de dispositions pénales qui ont un effet dissuasif</w:t>
      </w:r>
      <w:r w:rsidR="005C1799" w:rsidRPr="005C1799">
        <w:rPr>
          <w:lang w:val="fr-FR"/>
        </w:rPr>
        <w:t>.</w:t>
      </w:r>
      <w:r w:rsidRPr="00FF65D6">
        <w:rPr>
          <w:lang w:val="fr-FR"/>
        </w:rPr>
        <w:t xml:space="preserve"> </w:t>
      </w:r>
    </w:p>
    <w:p w14:paraId="791F8796" w14:textId="77777777" w:rsidR="005C5C6A" w:rsidRPr="00FF65D6" w:rsidRDefault="005C5C6A" w:rsidP="00F34341">
      <w:pPr>
        <w:pStyle w:val="SingleTxtG"/>
        <w:rPr>
          <w:lang w:val="fr-FR"/>
        </w:rPr>
      </w:pPr>
      <w:r w:rsidRPr="00FF65D6">
        <w:rPr>
          <w:lang w:val="fr-FR"/>
        </w:rPr>
        <w:t>116</w:t>
      </w:r>
      <w:r w:rsidR="005C1799" w:rsidRPr="005C1799">
        <w:rPr>
          <w:lang w:val="fr-FR"/>
        </w:rPr>
        <w:t>.</w:t>
      </w:r>
      <w:r w:rsidRPr="00FF65D6">
        <w:rPr>
          <w:lang w:val="fr-FR"/>
        </w:rPr>
        <w:tab/>
        <w:t>Ainsi, l</w:t>
      </w:r>
      <w:r w:rsidR="002127F6" w:rsidRPr="00FF65D6">
        <w:rPr>
          <w:lang w:val="fr-FR"/>
        </w:rPr>
        <w:t>’</w:t>
      </w:r>
      <w:r w:rsidRPr="00FF65D6">
        <w:rPr>
          <w:lang w:val="fr-FR"/>
        </w:rPr>
        <w:t>article 172 du Code pénal interdit l</w:t>
      </w:r>
      <w:r w:rsidR="002127F6" w:rsidRPr="00FF65D6">
        <w:rPr>
          <w:lang w:val="fr-FR"/>
        </w:rPr>
        <w:t>’</w:t>
      </w:r>
      <w:r w:rsidRPr="00FF65D6">
        <w:rPr>
          <w:lang w:val="fr-FR"/>
        </w:rPr>
        <w:t>achat et les autres transactions illicites concernant des mineurs aux fins de leur adoption et dispose que</w:t>
      </w:r>
      <w:r w:rsidR="002127F6" w:rsidRPr="00FF65D6">
        <w:rPr>
          <w:lang w:val="fr-FR"/>
        </w:rPr>
        <w:t xml:space="preserve"> </w:t>
      </w:r>
      <w:r w:rsidRPr="00FF65D6">
        <w:rPr>
          <w:lang w:val="fr-FR"/>
        </w:rPr>
        <w:t>ces actes sont punissables d</w:t>
      </w:r>
      <w:r w:rsidR="002127F6" w:rsidRPr="00FF65D6">
        <w:rPr>
          <w:lang w:val="fr-FR"/>
        </w:rPr>
        <w:t>’</w:t>
      </w:r>
      <w:r w:rsidRPr="00FF65D6">
        <w:rPr>
          <w:lang w:val="fr-FR"/>
        </w:rPr>
        <w:t>une amende ou d</w:t>
      </w:r>
      <w:r w:rsidR="002127F6" w:rsidRPr="00FF65D6">
        <w:rPr>
          <w:lang w:val="fr-FR"/>
        </w:rPr>
        <w:t>’</w:t>
      </w:r>
      <w:r w:rsidRPr="00FF65D6">
        <w:rPr>
          <w:lang w:val="fr-FR"/>
        </w:rPr>
        <w:t>une peine d</w:t>
      </w:r>
      <w:r w:rsidR="002127F6" w:rsidRPr="00FF65D6">
        <w:rPr>
          <w:lang w:val="fr-FR"/>
        </w:rPr>
        <w:t>’</w:t>
      </w:r>
      <w:r w:rsidRPr="00FF65D6">
        <w:rPr>
          <w:lang w:val="fr-FR"/>
        </w:rPr>
        <w:t>emprisonnement d</w:t>
      </w:r>
      <w:r w:rsidR="002127F6" w:rsidRPr="00FF65D6">
        <w:rPr>
          <w:lang w:val="fr-FR"/>
        </w:rPr>
        <w:t>’</w:t>
      </w:r>
      <w:r w:rsidRPr="00FF65D6">
        <w:rPr>
          <w:lang w:val="fr-FR"/>
        </w:rPr>
        <w:t>un an au plus</w:t>
      </w:r>
      <w:r w:rsidR="005C1799" w:rsidRPr="005C1799">
        <w:rPr>
          <w:lang w:val="fr-FR"/>
        </w:rPr>
        <w:t>.</w:t>
      </w:r>
      <w:r w:rsidRPr="00FF65D6">
        <w:rPr>
          <w:lang w:val="fr-FR"/>
        </w:rPr>
        <w:t xml:space="preserve"> La vente d</w:t>
      </w:r>
      <w:r w:rsidR="002127F6" w:rsidRPr="00FF65D6">
        <w:rPr>
          <w:lang w:val="fr-FR"/>
        </w:rPr>
        <w:t>’</w:t>
      </w:r>
      <w:r w:rsidRPr="00FF65D6">
        <w:rPr>
          <w:lang w:val="fr-FR"/>
        </w:rPr>
        <w:t>un mineur est également incriminée par la même disposition et elle peut donner lieu à une peine plus lourde, à savoir</w:t>
      </w:r>
      <w:r w:rsidR="002127F6" w:rsidRPr="00FF65D6">
        <w:rPr>
          <w:lang w:val="fr-FR"/>
        </w:rPr>
        <w:t xml:space="preserve"> </w:t>
      </w:r>
      <w:r w:rsidRPr="00FF65D6">
        <w:rPr>
          <w:lang w:val="fr-FR"/>
        </w:rPr>
        <w:t>deux à cinq ans d</w:t>
      </w:r>
      <w:r w:rsidR="002127F6" w:rsidRPr="00FF65D6">
        <w:rPr>
          <w:lang w:val="fr-FR"/>
        </w:rPr>
        <w:t>’</w:t>
      </w:r>
      <w:r w:rsidRPr="00FF65D6">
        <w:rPr>
          <w:lang w:val="fr-FR"/>
        </w:rPr>
        <w:t>emprisonnement</w:t>
      </w:r>
      <w:r w:rsidR="005C1799" w:rsidRPr="005C1799">
        <w:rPr>
          <w:lang w:val="fr-FR"/>
        </w:rPr>
        <w:t>.</w:t>
      </w:r>
    </w:p>
    <w:p w14:paraId="49A17330" w14:textId="77777777" w:rsidR="005C5C6A" w:rsidRPr="00FF65D6" w:rsidRDefault="005C5C6A" w:rsidP="00F34341">
      <w:pPr>
        <w:pStyle w:val="SingleTxtG"/>
        <w:rPr>
          <w:lang w:val="fr-FR"/>
        </w:rPr>
      </w:pPr>
      <w:r w:rsidRPr="00FF65D6">
        <w:rPr>
          <w:lang w:val="fr-FR"/>
        </w:rPr>
        <w:t>117</w:t>
      </w:r>
      <w:r w:rsidR="005C1799" w:rsidRPr="005C1799">
        <w:rPr>
          <w:lang w:val="fr-FR"/>
        </w:rPr>
        <w:t>.</w:t>
      </w:r>
      <w:r w:rsidRPr="00FF65D6">
        <w:rPr>
          <w:lang w:val="fr-FR"/>
        </w:rPr>
        <w:tab/>
        <w:t>Selon la législation en vigueur concernant l</w:t>
      </w:r>
      <w:r w:rsidR="002127F6" w:rsidRPr="00FF65D6">
        <w:rPr>
          <w:lang w:val="fr-FR"/>
        </w:rPr>
        <w:t>’</w:t>
      </w:r>
      <w:r w:rsidRPr="00FF65D6">
        <w:rPr>
          <w:lang w:val="fr-FR"/>
        </w:rPr>
        <w:t>adoption et le placement en famille d</w:t>
      </w:r>
      <w:r w:rsidR="002127F6" w:rsidRPr="00FF65D6">
        <w:rPr>
          <w:lang w:val="fr-FR"/>
        </w:rPr>
        <w:t>’</w:t>
      </w:r>
      <w:r w:rsidRPr="00FF65D6">
        <w:rPr>
          <w:lang w:val="fr-FR"/>
        </w:rPr>
        <w:t>accueil, aucun intermédiaire n</w:t>
      </w:r>
      <w:r w:rsidR="002127F6" w:rsidRPr="00FF65D6">
        <w:rPr>
          <w:lang w:val="fr-FR"/>
        </w:rPr>
        <w:t>’</w:t>
      </w:r>
      <w:r w:rsidRPr="00FF65D6">
        <w:rPr>
          <w:lang w:val="fr-FR"/>
        </w:rPr>
        <w:t>est impliqué dans la procédure d</w:t>
      </w:r>
      <w:r w:rsidR="002127F6" w:rsidRPr="00FF65D6">
        <w:rPr>
          <w:lang w:val="fr-FR"/>
        </w:rPr>
        <w:t>’</w:t>
      </w:r>
      <w:r w:rsidRPr="00FF65D6">
        <w:rPr>
          <w:lang w:val="fr-FR"/>
        </w:rPr>
        <w:t>adoption</w:t>
      </w:r>
      <w:r w:rsidR="005C1799" w:rsidRPr="005C1799">
        <w:rPr>
          <w:lang w:val="fr-FR"/>
        </w:rPr>
        <w:t>.</w:t>
      </w:r>
      <w:r w:rsidRPr="00FF65D6">
        <w:rPr>
          <w:lang w:val="fr-FR"/>
        </w:rPr>
        <w:t xml:space="preserve"> Afin de prévenir l</w:t>
      </w:r>
      <w:r w:rsidR="002127F6" w:rsidRPr="00FF65D6">
        <w:rPr>
          <w:lang w:val="fr-FR"/>
        </w:rPr>
        <w:t>’</w:t>
      </w:r>
      <w:r w:rsidRPr="00FF65D6">
        <w:rPr>
          <w:lang w:val="fr-FR"/>
        </w:rPr>
        <w:t>intervention d</w:t>
      </w:r>
      <w:r w:rsidR="002127F6" w:rsidRPr="00FF65D6">
        <w:rPr>
          <w:lang w:val="fr-FR"/>
        </w:rPr>
        <w:t>’</w:t>
      </w:r>
      <w:r w:rsidRPr="00FF65D6">
        <w:rPr>
          <w:lang w:val="fr-FR"/>
        </w:rPr>
        <w:t>intermédiaires, l</w:t>
      </w:r>
      <w:r w:rsidR="002127F6" w:rsidRPr="00FF65D6">
        <w:rPr>
          <w:lang w:val="fr-FR"/>
        </w:rPr>
        <w:t>’</w:t>
      </w:r>
      <w:r w:rsidRPr="00FF65D6">
        <w:rPr>
          <w:lang w:val="fr-FR"/>
        </w:rPr>
        <w:t>article 1721 du Code pénal incrimine la sélection préliminaire, aux fins d</w:t>
      </w:r>
      <w:r w:rsidR="002127F6" w:rsidRPr="00FF65D6">
        <w:rPr>
          <w:lang w:val="fr-FR"/>
        </w:rPr>
        <w:t>’</w:t>
      </w:r>
      <w:r w:rsidRPr="00FF65D6">
        <w:rPr>
          <w:lang w:val="fr-FR"/>
        </w:rPr>
        <w:t>adoption, de femmes enceintes et la création de possibilités de faire quitter la Géorgie à des femmes enceintes pour qu</w:t>
      </w:r>
      <w:r w:rsidR="002127F6" w:rsidRPr="00FF65D6">
        <w:rPr>
          <w:lang w:val="fr-FR"/>
        </w:rPr>
        <w:t>’</w:t>
      </w:r>
      <w:r w:rsidRPr="00FF65D6">
        <w:rPr>
          <w:lang w:val="fr-FR"/>
        </w:rPr>
        <w:t>elles accouchent ou reçoivent une assistance à l</w:t>
      </w:r>
      <w:r w:rsidR="002127F6" w:rsidRPr="00FF65D6">
        <w:rPr>
          <w:lang w:val="fr-FR"/>
        </w:rPr>
        <w:t>’</w:t>
      </w:r>
      <w:r w:rsidRPr="00FF65D6">
        <w:rPr>
          <w:lang w:val="fr-FR"/>
        </w:rPr>
        <w:t>étranger aux fins d</w:t>
      </w:r>
      <w:r w:rsidR="002127F6" w:rsidRPr="00FF65D6">
        <w:rPr>
          <w:lang w:val="fr-FR"/>
        </w:rPr>
        <w:t>’</w:t>
      </w:r>
      <w:r w:rsidRPr="00FF65D6">
        <w:rPr>
          <w:lang w:val="fr-FR"/>
        </w:rPr>
        <w:t>une adoption et prévoit une peine d</w:t>
      </w:r>
      <w:r w:rsidR="002127F6" w:rsidRPr="00FF65D6">
        <w:rPr>
          <w:lang w:val="fr-FR"/>
        </w:rPr>
        <w:t>’</w:t>
      </w:r>
      <w:r w:rsidRPr="00FF65D6">
        <w:rPr>
          <w:lang w:val="fr-FR"/>
        </w:rPr>
        <w:t>emprisonnement d</w:t>
      </w:r>
      <w:r w:rsidR="002127F6" w:rsidRPr="00FF65D6">
        <w:rPr>
          <w:lang w:val="fr-FR"/>
        </w:rPr>
        <w:t>’</w:t>
      </w:r>
      <w:r w:rsidRPr="00FF65D6">
        <w:rPr>
          <w:lang w:val="fr-FR"/>
        </w:rPr>
        <w:t>une durée de trois à sept ans</w:t>
      </w:r>
      <w:r w:rsidR="005C1799" w:rsidRPr="005C1799">
        <w:rPr>
          <w:lang w:val="fr-FR"/>
        </w:rPr>
        <w:t>.</w:t>
      </w:r>
      <w:r w:rsidRPr="00FF65D6">
        <w:rPr>
          <w:lang w:val="fr-FR"/>
        </w:rPr>
        <w:t xml:space="preserve"> L</w:t>
      </w:r>
      <w:r w:rsidR="002127F6" w:rsidRPr="00FF65D6">
        <w:rPr>
          <w:lang w:val="fr-FR"/>
        </w:rPr>
        <w:t>’</w:t>
      </w:r>
      <w:r w:rsidRPr="00FF65D6">
        <w:rPr>
          <w:lang w:val="fr-FR"/>
        </w:rPr>
        <w:t xml:space="preserve">article définit également des circonstances aggravantes </w:t>
      </w:r>
      <w:r w:rsidR="00151421" w:rsidRPr="00FF65D6">
        <w:rPr>
          <w:lang w:val="fr-FR"/>
        </w:rPr>
        <w:t>− </w:t>
      </w:r>
      <w:r w:rsidRPr="00FF65D6">
        <w:rPr>
          <w:lang w:val="fr-FR"/>
        </w:rPr>
        <w:t>si l</w:t>
      </w:r>
      <w:r w:rsidR="002127F6" w:rsidRPr="00FF65D6">
        <w:rPr>
          <w:lang w:val="fr-FR"/>
        </w:rPr>
        <w:t>’</w:t>
      </w:r>
      <w:r w:rsidRPr="00FF65D6">
        <w:rPr>
          <w:lang w:val="fr-FR"/>
        </w:rPr>
        <w:t>acte est commis de façon répétée ou par plus d</w:t>
      </w:r>
      <w:r w:rsidR="002127F6" w:rsidRPr="00FF65D6">
        <w:rPr>
          <w:lang w:val="fr-FR"/>
        </w:rPr>
        <w:t>’</w:t>
      </w:r>
      <w:r w:rsidRPr="00FF65D6">
        <w:rPr>
          <w:lang w:val="fr-FR"/>
        </w:rPr>
        <w:t>une personne</w:t>
      </w:r>
      <w:r w:rsidR="00151421" w:rsidRPr="00FF65D6">
        <w:rPr>
          <w:lang w:val="fr-FR"/>
        </w:rPr>
        <w:t> −</w:t>
      </w:r>
      <w:r w:rsidRPr="00FF65D6">
        <w:rPr>
          <w:lang w:val="fr-FR"/>
        </w:rPr>
        <w:t xml:space="preserve"> et prévoit que, dans ce cas, la peine est l</w:t>
      </w:r>
      <w:r w:rsidR="002127F6" w:rsidRPr="00FF65D6">
        <w:rPr>
          <w:lang w:val="fr-FR"/>
        </w:rPr>
        <w:t>’</w:t>
      </w:r>
      <w:r w:rsidRPr="00FF65D6">
        <w:rPr>
          <w:lang w:val="fr-FR"/>
        </w:rPr>
        <w:t>emprisonnement pour une durée de six à neuf ans</w:t>
      </w:r>
      <w:r w:rsidR="005C1799" w:rsidRPr="005C1799">
        <w:rPr>
          <w:lang w:val="fr-FR"/>
        </w:rPr>
        <w:t>.</w:t>
      </w:r>
    </w:p>
    <w:p w14:paraId="51CCCF47" w14:textId="77777777" w:rsidR="005C5C6A" w:rsidRPr="00FF65D6" w:rsidRDefault="005C5C6A" w:rsidP="00F34341">
      <w:pPr>
        <w:pStyle w:val="SingleTxtG"/>
        <w:rPr>
          <w:lang w:val="fr-FR"/>
        </w:rPr>
      </w:pPr>
      <w:r w:rsidRPr="00FF65D6">
        <w:rPr>
          <w:lang w:val="fr-FR"/>
        </w:rPr>
        <w:t>118</w:t>
      </w:r>
      <w:r w:rsidR="005C1799" w:rsidRPr="005C1799">
        <w:rPr>
          <w:lang w:val="fr-FR"/>
        </w:rPr>
        <w:t>.</w:t>
      </w:r>
      <w:r w:rsidRPr="00FF65D6">
        <w:rPr>
          <w:lang w:val="fr-FR"/>
        </w:rPr>
        <w:tab/>
        <w:t>Enfin, une violation de la procédure d</w:t>
      </w:r>
      <w:r w:rsidR="002127F6" w:rsidRPr="00FF65D6">
        <w:rPr>
          <w:lang w:val="fr-FR"/>
        </w:rPr>
        <w:t>’</w:t>
      </w:r>
      <w:r w:rsidRPr="00FF65D6">
        <w:rPr>
          <w:lang w:val="fr-FR"/>
        </w:rPr>
        <w:t>adoption ou de placement en famille d</w:t>
      </w:r>
      <w:r w:rsidR="002127F6" w:rsidRPr="00FF65D6">
        <w:rPr>
          <w:lang w:val="fr-FR"/>
        </w:rPr>
        <w:t>’</w:t>
      </w:r>
      <w:r w:rsidRPr="00FF65D6">
        <w:rPr>
          <w:lang w:val="fr-FR"/>
        </w:rPr>
        <w:t>accueil ayant eu des conséquences graves est réprimée par l</w:t>
      </w:r>
      <w:r w:rsidR="002127F6" w:rsidRPr="00FF65D6">
        <w:rPr>
          <w:lang w:val="fr-FR"/>
        </w:rPr>
        <w:t>’</w:t>
      </w:r>
      <w:r w:rsidRPr="00FF65D6">
        <w:rPr>
          <w:lang w:val="fr-FR"/>
        </w:rPr>
        <w:t>article 173 du Code pénal et est passible d</w:t>
      </w:r>
      <w:r w:rsidR="002127F6" w:rsidRPr="00FF65D6">
        <w:rPr>
          <w:lang w:val="fr-FR"/>
        </w:rPr>
        <w:t>’</w:t>
      </w:r>
      <w:r w:rsidRPr="00FF65D6">
        <w:rPr>
          <w:lang w:val="fr-FR"/>
        </w:rPr>
        <w:t>une peine d</w:t>
      </w:r>
      <w:r w:rsidR="002127F6" w:rsidRPr="00FF65D6">
        <w:rPr>
          <w:lang w:val="fr-FR"/>
        </w:rPr>
        <w:t>’</w:t>
      </w:r>
      <w:r w:rsidRPr="00FF65D6">
        <w:rPr>
          <w:lang w:val="fr-FR"/>
        </w:rPr>
        <w:t>amende ou de rééducation par le travail de deux ans au plus, ou d</w:t>
      </w:r>
      <w:r w:rsidR="002127F6" w:rsidRPr="00FF65D6">
        <w:rPr>
          <w:lang w:val="fr-FR"/>
        </w:rPr>
        <w:t>’</w:t>
      </w:r>
      <w:r w:rsidRPr="00FF65D6">
        <w:rPr>
          <w:lang w:val="fr-FR"/>
        </w:rPr>
        <w:t>une peine d</w:t>
      </w:r>
      <w:r w:rsidR="002127F6" w:rsidRPr="00FF65D6">
        <w:rPr>
          <w:lang w:val="fr-FR"/>
        </w:rPr>
        <w:t>’</w:t>
      </w:r>
      <w:r w:rsidRPr="00FF65D6">
        <w:rPr>
          <w:lang w:val="fr-FR"/>
        </w:rPr>
        <w:t>emprisonnement de deux ans au plus</w:t>
      </w:r>
      <w:r w:rsidR="005C1799" w:rsidRPr="005C1799">
        <w:rPr>
          <w:lang w:val="fr-FR"/>
        </w:rPr>
        <w:t>.</w:t>
      </w:r>
      <w:r w:rsidRPr="00FF65D6">
        <w:rPr>
          <w:lang w:val="fr-FR"/>
        </w:rPr>
        <w:t xml:space="preserve"> Le même acte commis en abusant de sa position officielle est passible d</w:t>
      </w:r>
      <w:r w:rsidR="002127F6" w:rsidRPr="00FF65D6">
        <w:rPr>
          <w:lang w:val="fr-FR"/>
        </w:rPr>
        <w:t>’</w:t>
      </w:r>
      <w:r w:rsidRPr="00FF65D6">
        <w:rPr>
          <w:lang w:val="fr-FR"/>
        </w:rPr>
        <w:t>une amende ou d</w:t>
      </w:r>
      <w:r w:rsidR="002127F6" w:rsidRPr="00FF65D6">
        <w:rPr>
          <w:lang w:val="fr-FR"/>
        </w:rPr>
        <w:t>’</w:t>
      </w:r>
      <w:r w:rsidRPr="00FF65D6">
        <w:rPr>
          <w:lang w:val="fr-FR"/>
        </w:rPr>
        <w:t>une peine d</w:t>
      </w:r>
      <w:r w:rsidR="002127F6" w:rsidRPr="00FF65D6">
        <w:rPr>
          <w:lang w:val="fr-FR"/>
        </w:rPr>
        <w:t>’</w:t>
      </w:r>
      <w:r w:rsidRPr="00FF65D6">
        <w:rPr>
          <w:lang w:val="fr-FR"/>
        </w:rPr>
        <w:t>emprisonnement de quatre ans au plus, assortie</w:t>
      </w:r>
      <w:r w:rsidR="002127F6" w:rsidRPr="00FF65D6">
        <w:rPr>
          <w:lang w:val="fr-FR"/>
        </w:rPr>
        <w:t xml:space="preserve"> </w:t>
      </w:r>
      <w:r w:rsidRPr="00FF65D6">
        <w:rPr>
          <w:lang w:val="fr-FR"/>
        </w:rPr>
        <w:t>ou non</w:t>
      </w:r>
      <w:r w:rsidR="002127F6" w:rsidRPr="00FF65D6">
        <w:rPr>
          <w:lang w:val="fr-FR"/>
        </w:rPr>
        <w:t xml:space="preserve"> </w:t>
      </w:r>
      <w:r w:rsidRPr="00FF65D6">
        <w:rPr>
          <w:lang w:val="fr-FR"/>
        </w:rPr>
        <w:t>de l</w:t>
      </w:r>
      <w:r w:rsidR="002127F6" w:rsidRPr="00FF65D6">
        <w:rPr>
          <w:lang w:val="fr-FR"/>
        </w:rPr>
        <w:t>’</w:t>
      </w:r>
      <w:r w:rsidRPr="00FF65D6">
        <w:rPr>
          <w:lang w:val="fr-FR"/>
        </w:rPr>
        <w:t>interdiction d</w:t>
      </w:r>
      <w:r w:rsidR="002127F6" w:rsidRPr="00FF65D6">
        <w:rPr>
          <w:lang w:val="fr-FR"/>
        </w:rPr>
        <w:t>’</w:t>
      </w:r>
      <w:r w:rsidRPr="00FF65D6">
        <w:rPr>
          <w:lang w:val="fr-FR"/>
        </w:rPr>
        <w:t>occuper une position officielle ou d</w:t>
      </w:r>
      <w:r w:rsidR="002127F6" w:rsidRPr="00FF65D6">
        <w:rPr>
          <w:lang w:val="fr-FR"/>
        </w:rPr>
        <w:t>’</w:t>
      </w:r>
      <w:r w:rsidRPr="00FF65D6">
        <w:rPr>
          <w:lang w:val="fr-FR"/>
        </w:rPr>
        <w:t>exercer certaines activités pendant une période de trois ans au plus</w:t>
      </w:r>
      <w:r w:rsidR="005C1799" w:rsidRPr="005C1799">
        <w:rPr>
          <w:lang w:val="fr-FR"/>
        </w:rPr>
        <w:t>.</w:t>
      </w:r>
      <w:r w:rsidRPr="00FF65D6">
        <w:rPr>
          <w:lang w:val="fr-FR"/>
        </w:rPr>
        <w:t xml:space="preserve"> </w:t>
      </w:r>
    </w:p>
    <w:p w14:paraId="3938C4A3" w14:textId="77777777" w:rsidR="005C5C6A" w:rsidRPr="00FF65D6" w:rsidRDefault="005C5C6A" w:rsidP="00F34341">
      <w:pPr>
        <w:pStyle w:val="SingleTxtG"/>
        <w:rPr>
          <w:lang w:val="fr-FR"/>
        </w:rPr>
      </w:pPr>
      <w:r w:rsidRPr="00FF65D6">
        <w:rPr>
          <w:lang w:val="fr-FR"/>
        </w:rPr>
        <w:t>119</w:t>
      </w:r>
      <w:r w:rsidR="005C1799" w:rsidRPr="005C1799">
        <w:rPr>
          <w:lang w:val="fr-FR"/>
        </w:rPr>
        <w:t>.</w:t>
      </w:r>
      <w:r w:rsidRPr="00FF65D6">
        <w:rPr>
          <w:lang w:val="fr-FR"/>
        </w:rPr>
        <w:tab/>
        <w:t>S</w:t>
      </w:r>
      <w:r w:rsidR="002127F6" w:rsidRPr="00FF65D6">
        <w:rPr>
          <w:lang w:val="fr-FR"/>
        </w:rPr>
        <w:t>’</w:t>
      </w:r>
      <w:r w:rsidRPr="00FF65D6">
        <w:rPr>
          <w:lang w:val="fr-FR"/>
        </w:rPr>
        <w:t>agissant de la lutte contre le transfert d</w:t>
      </w:r>
      <w:r w:rsidR="002127F6" w:rsidRPr="00FF65D6">
        <w:rPr>
          <w:lang w:val="fr-FR"/>
        </w:rPr>
        <w:t>’</w:t>
      </w:r>
      <w:r w:rsidRPr="00FF65D6">
        <w:rPr>
          <w:lang w:val="fr-FR"/>
        </w:rPr>
        <w:t>organes d</w:t>
      </w:r>
      <w:r w:rsidR="002127F6" w:rsidRPr="00FF65D6">
        <w:rPr>
          <w:lang w:val="fr-FR"/>
        </w:rPr>
        <w:t>’</w:t>
      </w:r>
      <w:r w:rsidRPr="00FF65D6">
        <w:rPr>
          <w:lang w:val="fr-FR"/>
        </w:rPr>
        <w:t>enfants à titre onéreux, conformément à l</w:t>
      </w:r>
      <w:r w:rsidR="002127F6" w:rsidRPr="00FF65D6">
        <w:rPr>
          <w:lang w:val="fr-FR"/>
        </w:rPr>
        <w:t>’</w:t>
      </w:r>
      <w:r w:rsidRPr="00FF65D6">
        <w:rPr>
          <w:lang w:val="fr-FR"/>
        </w:rPr>
        <w:t>article 3 du Protocole, il convient de noter que le paragraphe 2 de l</w:t>
      </w:r>
      <w:r w:rsidR="002127F6" w:rsidRPr="00FF65D6">
        <w:rPr>
          <w:lang w:val="fr-FR"/>
        </w:rPr>
        <w:t>’</w:t>
      </w:r>
      <w:r w:rsidRPr="00FF65D6">
        <w:rPr>
          <w:lang w:val="fr-FR"/>
        </w:rPr>
        <w:t>article 134 du Code pénal prévoit que le recours à la contrainte pour prélever un organe humain, une partie ou des tissus d</w:t>
      </w:r>
      <w:r w:rsidR="002127F6" w:rsidRPr="00FF65D6">
        <w:rPr>
          <w:lang w:val="fr-FR"/>
        </w:rPr>
        <w:t>’</w:t>
      </w:r>
      <w:r w:rsidRPr="00FF65D6">
        <w:rPr>
          <w:lang w:val="fr-FR"/>
        </w:rPr>
        <w:t>un organe aux fins d</w:t>
      </w:r>
      <w:r w:rsidR="002127F6" w:rsidRPr="00FF65D6">
        <w:rPr>
          <w:lang w:val="fr-FR"/>
        </w:rPr>
        <w:t>’</w:t>
      </w:r>
      <w:r w:rsidRPr="00FF65D6">
        <w:rPr>
          <w:lang w:val="fr-FR"/>
        </w:rPr>
        <w:t>un traitement, d</w:t>
      </w:r>
      <w:r w:rsidR="002127F6" w:rsidRPr="00FF65D6">
        <w:rPr>
          <w:lang w:val="fr-FR"/>
        </w:rPr>
        <w:t>’</w:t>
      </w:r>
      <w:r w:rsidRPr="00FF65D6">
        <w:rPr>
          <w:lang w:val="fr-FR"/>
        </w:rPr>
        <w:t>une transplantation, d</w:t>
      </w:r>
      <w:r w:rsidR="002127F6" w:rsidRPr="00FF65D6">
        <w:rPr>
          <w:lang w:val="fr-FR"/>
        </w:rPr>
        <w:t>’</w:t>
      </w:r>
      <w:r w:rsidRPr="00FF65D6">
        <w:rPr>
          <w:lang w:val="fr-FR"/>
        </w:rPr>
        <w:t>une expérience ou de la fabrication de produits médicinaux, commis en connaissance de cause par l</w:t>
      </w:r>
      <w:r w:rsidR="002127F6" w:rsidRPr="00FF65D6">
        <w:rPr>
          <w:lang w:val="fr-FR"/>
        </w:rPr>
        <w:t>’</w:t>
      </w:r>
      <w:r w:rsidRPr="00FF65D6">
        <w:rPr>
          <w:lang w:val="fr-FR"/>
        </w:rPr>
        <w:t>auteur de l</w:t>
      </w:r>
      <w:r w:rsidR="002127F6" w:rsidRPr="00FF65D6">
        <w:rPr>
          <w:lang w:val="fr-FR"/>
        </w:rPr>
        <w:t>’</w:t>
      </w:r>
      <w:r w:rsidRPr="00FF65D6">
        <w:rPr>
          <w:lang w:val="fr-FR"/>
        </w:rPr>
        <w:t>infraction à l</w:t>
      </w:r>
      <w:r w:rsidR="002127F6" w:rsidRPr="00FF65D6">
        <w:rPr>
          <w:lang w:val="fr-FR"/>
        </w:rPr>
        <w:t>’</w:t>
      </w:r>
      <w:r w:rsidRPr="00FF65D6">
        <w:rPr>
          <w:lang w:val="fr-FR"/>
        </w:rPr>
        <w:t>encontre d</w:t>
      </w:r>
      <w:r w:rsidR="002127F6" w:rsidRPr="00FF65D6">
        <w:rPr>
          <w:lang w:val="fr-FR"/>
        </w:rPr>
        <w:t>’</w:t>
      </w:r>
      <w:r w:rsidRPr="00FF65D6">
        <w:rPr>
          <w:lang w:val="fr-FR"/>
        </w:rPr>
        <w:t>une femme enceinte, d</w:t>
      </w:r>
      <w:r w:rsidR="002127F6" w:rsidRPr="00FF65D6">
        <w:rPr>
          <w:lang w:val="fr-FR"/>
        </w:rPr>
        <w:t>’</w:t>
      </w:r>
      <w:r w:rsidRPr="00FF65D6">
        <w:rPr>
          <w:lang w:val="fr-FR"/>
        </w:rPr>
        <w:t>un mineur ou d</w:t>
      </w:r>
      <w:r w:rsidR="002127F6" w:rsidRPr="00FF65D6">
        <w:rPr>
          <w:lang w:val="fr-FR"/>
        </w:rPr>
        <w:t>’</w:t>
      </w:r>
      <w:r w:rsidRPr="00FF65D6">
        <w:rPr>
          <w:lang w:val="fr-FR"/>
        </w:rPr>
        <w:t>une personne sans défense ou d</w:t>
      </w:r>
      <w:r w:rsidR="002127F6" w:rsidRPr="00FF65D6">
        <w:rPr>
          <w:lang w:val="fr-FR"/>
        </w:rPr>
        <w:t>’</w:t>
      </w:r>
      <w:r w:rsidRPr="00FF65D6">
        <w:rPr>
          <w:lang w:val="fr-FR"/>
        </w:rPr>
        <w:t>une personne qui dépend matériellement ou autrement de l</w:t>
      </w:r>
      <w:r w:rsidR="002127F6" w:rsidRPr="00FF65D6">
        <w:rPr>
          <w:lang w:val="fr-FR"/>
        </w:rPr>
        <w:t>’</w:t>
      </w:r>
      <w:r w:rsidRPr="00FF65D6">
        <w:rPr>
          <w:lang w:val="fr-FR"/>
        </w:rPr>
        <w:t>auteur de l</w:t>
      </w:r>
      <w:r w:rsidR="002127F6" w:rsidRPr="00FF65D6">
        <w:rPr>
          <w:lang w:val="fr-FR"/>
        </w:rPr>
        <w:t>’</w:t>
      </w:r>
      <w:r w:rsidRPr="00FF65D6">
        <w:rPr>
          <w:lang w:val="fr-FR"/>
        </w:rPr>
        <w:t>infraction est passible d</w:t>
      </w:r>
      <w:r w:rsidR="002127F6" w:rsidRPr="00FF65D6">
        <w:rPr>
          <w:lang w:val="fr-FR"/>
        </w:rPr>
        <w:t>’</w:t>
      </w:r>
      <w:r w:rsidRPr="00FF65D6">
        <w:rPr>
          <w:lang w:val="fr-FR"/>
        </w:rPr>
        <w:t>une peine d</w:t>
      </w:r>
      <w:r w:rsidR="002127F6" w:rsidRPr="00FF65D6">
        <w:rPr>
          <w:lang w:val="fr-FR"/>
        </w:rPr>
        <w:t>’</w:t>
      </w:r>
      <w:r w:rsidRPr="00FF65D6">
        <w:rPr>
          <w:lang w:val="fr-FR"/>
        </w:rPr>
        <w:t>emprisonnement d</w:t>
      </w:r>
      <w:r w:rsidR="002127F6" w:rsidRPr="00FF65D6">
        <w:rPr>
          <w:lang w:val="fr-FR"/>
        </w:rPr>
        <w:t>’</w:t>
      </w:r>
      <w:r w:rsidRPr="00FF65D6">
        <w:rPr>
          <w:lang w:val="fr-FR"/>
        </w:rPr>
        <w:t>une durée de trois à cinq ans, assortie de l</w:t>
      </w:r>
      <w:r w:rsidR="002127F6" w:rsidRPr="00FF65D6">
        <w:rPr>
          <w:lang w:val="fr-FR"/>
        </w:rPr>
        <w:t>’</w:t>
      </w:r>
      <w:r w:rsidRPr="00FF65D6">
        <w:rPr>
          <w:lang w:val="fr-FR"/>
        </w:rPr>
        <w:t>interdiction d</w:t>
      </w:r>
      <w:r w:rsidR="002127F6" w:rsidRPr="00FF65D6">
        <w:rPr>
          <w:lang w:val="fr-FR"/>
        </w:rPr>
        <w:t>’</w:t>
      </w:r>
      <w:r w:rsidRPr="00FF65D6">
        <w:rPr>
          <w:lang w:val="fr-FR"/>
        </w:rPr>
        <w:t>occuper une position officielle ou d</w:t>
      </w:r>
      <w:r w:rsidR="002127F6" w:rsidRPr="00FF65D6">
        <w:rPr>
          <w:lang w:val="fr-FR"/>
        </w:rPr>
        <w:t>’</w:t>
      </w:r>
      <w:r w:rsidRPr="00FF65D6">
        <w:rPr>
          <w:lang w:val="fr-FR"/>
        </w:rPr>
        <w:t>exercer certaines activités pendant une période de trois ans au plus</w:t>
      </w:r>
      <w:r w:rsidR="005C1799" w:rsidRPr="005C1799">
        <w:rPr>
          <w:lang w:val="fr-FR"/>
        </w:rPr>
        <w:t>.</w:t>
      </w:r>
    </w:p>
    <w:p w14:paraId="51DC85FE" w14:textId="77777777" w:rsidR="005C5C6A" w:rsidRPr="00FF65D6" w:rsidRDefault="005C5C6A" w:rsidP="00F34341">
      <w:pPr>
        <w:pStyle w:val="SingleTxtG"/>
        <w:rPr>
          <w:lang w:val="fr-FR"/>
        </w:rPr>
      </w:pPr>
      <w:r w:rsidRPr="00FF65D6">
        <w:rPr>
          <w:lang w:val="fr-FR"/>
        </w:rPr>
        <w:t>120</w:t>
      </w:r>
      <w:r w:rsidR="005C1799" w:rsidRPr="005C1799">
        <w:rPr>
          <w:lang w:val="fr-FR"/>
        </w:rPr>
        <w:t>.</w:t>
      </w:r>
      <w:r w:rsidRPr="00FF65D6">
        <w:rPr>
          <w:lang w:val="fr-FR"/>
        </w:rPr>
        <w:tab/>
        <w:t>Le commerce d</w:t>
      </w:r>
      <w:r w:rsidR="002127F6" w:rsidRPr="00FF65D6">
        <w:rPr>
          <w:lang w:val="fr-FR"/>
        </w:rPr>
        <w:t>’</w:t>
      </w:r>
      <w:r w:rsidRPr="00FF65D6">
        <w:rPr>
          <w:lang w:val="fr-FR"/>
        </w:rPr>
        <w:t>organes humains est également incriminé par l</w:t>
      </w:r>
      <w:r w:rsidR="002127F6" w:rsidRPr="00FF65D6">
        <w:rPr>
          <w:lang w:val="fr-FR"/>
        </w:rPr>
        <w:t>’</w:t>
      </w:r>
      <w:r w:rsidRPr="00FF65D6">
        <w:rPr>
          <w:lang w:val="fr-FR"/>
        </w:rPr>
        <w:t>article 1351 du Code pénal et est passible d</w:t>
      </w:r>
      <w:r w:rsidR="002127F6" w:rsidRPr="00FF65D6">
        <w:rPr>
          <w:lang w:val="fr-FR"/>
        </w:rPr>
        <w:t>’</w:t>
      </w:r>
      <w:r w:rsidRPr="00FF65D6">
        <w:rPr>
          <w:lang w:val="fr-FR"/>
        </w:rPr>
        <w:t>une peine d</w:t>
      </w:r>
      <w:r w:rsidR="002127F6" w:rsidRPr="00FF65D6">
        <w:rPr>
          <w:lang w:val="fr-FR"/>
        </w:rPr>
        <w:t>’</w:t>
      </w:r>
      <w:r w:rsidRPr="00FF65D6">
        <w:rPr>
          <w:lang w:val="fr-FR"/>
        </w:rPr>
        <w:t xml:space="preserve">emprisonnement de six à neuf ans, de huit à </w:t>
      </w:r>
      <w:r w:rsidR="00A2504F" w:rsidRPr="00FF65D6">
        <w:rPr>
          <w:lang w:val="fr-FR"/>
        </w:rPr>
        <w:t>douze</w:t>
      </w:r>
      <w:r w:rsidRPr="00FF65D6">
        <w:rPr>
          <w:lang w:val="fr-FR"/>
        </w:rPr>
        <w:t xml:space="preserve"> ans si l</w:t>
      </w:r>
      <w:r w:rsidR="002127F6" w:rsidRPr="00FF65D6">
        <w:rPr>
          <w:lang w:val="fr-FR"/>
        </w:rPr>
        <w:t>’</w:t>
      </w:r>
      <w:r w:rsidRPr="00FF65D6">
        <w:rPr>
          <w:lang w:val="fr-FR"/>
        </w:rPr>
        <w:t xml:space="preserve">infraction est commise de façon répétée et de </w:t>
      </w:r>
      <w:r w:rsidR="00A2504F" w:rsidRPr="00FF65D6">
        <w:rPr>
          <w:lang w:val="fr-FR"/>
        </w:rPr>
        <w:t>onze</w:t>
      </w:r>
      <w:r w:rsidRPr="00FF65D6">
        <w:rPr>
          <w:lang w:val="fr-FR"/>
        </w:rPr>
        <w:t xml:space="preserve"> à </w:t>
      </w:r>
      <w:r w:rsidR="00A2504F" w:rsidRPr="00FF65D6">
        <w:rPr>
          <w:lang w:val="fr-FR"/>
        </w:rPr>
        <w:t>quinze</w:t>
      </w:r>
      <w:r w:rsidRPr="00FF65D6">
        <w:rPr>
          <w:lang w:val="fr-FR"/>
        </w:rPr>
        <w:t xml:space="preserve"> ans si elle est commise par un groupe organisé</w:t>
      </w:r>
      <w:r w:rsidR="005C1799" w:rsidRPr="005C1799">
        <w:rPr>
          <w:lang w:val="fr-FR"/>
        </w:rPr>
        <w:t>.</w:t>
      </w:r>
      <w:r w:rsidRPr="00FF65D6">
        <w:rPr>
          <w:lang w:val="fr-FR"/>
        </w:rPr>
        <w:t xml:space="preserve"> </w:t>
      </w:r>
    </w:p>
    <w:p w14:paraId="140D46E1" w14:textId="77777777" w:rsidR="005C5C6A" w:rsidRPr="00FF65D6" w:rsidRDefault="005C5C6A" w:rsidP="00F34341">
      <w:pPr>
        <w:pStyle w:val="SingleTxtG"/>
        <w:rPr>
          <w:lang w:val="fr-FR"/>
        </w:rPr>
      </w:pPr>
      <w:r w:rsidRPr="00FF65D6">
        <w:rPr>
          <w:lang w:val="fr-FR"/>
        </w:rPr>
        <w:t>121</w:t>
      </w:r>
      <w:r w:rsidR="005C1799" w:rsidRPr="005C1799">
        <w:rPr>
          <w:lang w:val="fr-FR"/>
        </w:rPr>
        <w:t>.</w:t>
      </w:r>
      <w:r w:rsidRPr="00FF65D6">
        <w:rPr>
          <w:lang w:val="fr-FR"/>
        </w:rPr>
        <w:tab/>
        <w:t>Conformément au paragraphe 14 de</w:t>
      </w:r>
      <w:r w:rsidR="002127F6" w:rsidRPr="00FF65D6">
        <w:rPr>
          <w:lang w:val="fr-FR"/>
        </w:rPr>
        <w:t xml:space="preserve"> </w:t>
      </w:r>
      <w:r w:rsidRPr="00FF65D6">
        <w:rPr>
          <w:lang w:val="fr-FR"/>
        </w:rPr>
        <w:t>l</w:t>
      </w:r>
      <w:r w:rsidR="002127F6" w:rsidRPr="00FF65D6">
        <w:rPr>
          <w:lang w:val="fr-FR"/>
        </w:rPr>
        <w:t>’</w:t>
      </w:r>
      <w:r w:rsidRPr="00FF65D6">
        <w:rPr>
          <w:lang w:val="fr-FR"/>
        </w:rPr>
        <w:t>article 4 de la loi géorgienne sur la publicité, il est interdit d</w:t>
      </w:r>
      <w:r w:rsidR="002127F6" w:rsidRPr="00FF65D6">
        <w:rPr>
          <w:lang w:val="fr-FR"/>
        </w:rPr>
        <w:t>’</w:t>
      </w:r>
      <w:r w:rsidRPr="00FF65D6">
        <w:rPr>
          <w:lang w:val="fr-FR"/>
        </w:rPr>
        <w:t>utiliser des images ou des voix de mineurs pour faire la publicité de produits à caractère sexuel sous quelque forme que ce soit</w:t>
      </w:r>
      <w:r w:rsidR="005C1799" w:rsidRPr="005C1799">
        <w:rPr>
          <w:lang w:val="fr-FR"/>
        </w:rPr>
        <w:t>.</w:t>
      </w:r>
    </w:p>
    <w:p w14:paraId="5C64E4E7" w14:textId="77777777" w:rsidR="005C5C6A" w:rsidRPr="00FF65D6" w:rsidRDefault="005C5C6A" w:rsidP="00F34341">
      <w:pPr>
        <w:pStyle w:val="SingleTxtG"/>
        <w:rPr>
          <w:lang w:val="fr-FR"/>
        </w:rPr>
      </w:pPr>
      <w:r w:rsidRPr="00FF65D6">
        <w:rPr>
          <w:lang w:val="fr-FR"/>
        </w:rPr>
        <w:t>122</w:t>
      </w:r>
      <w:r w:rsidR="005C1799" w:rsidRPr="005C1799">
        <w:rPr>
          <w:lang w:val="fr-FR"/>
        </w:rPr>
        <w:t>.</w:t>
      </w:r>
      <w:r w:rsidRPr="00FF65D6">
        <w:rPr>
          <w:lang w:val="fr-FR"/>
        </w:rPr>
        <w:tab/>
        <w:t>La Commission nationale géorgienne des communications a adopté la résolution n</w:t>
      </w:r>
      <w:r w:rsidRPr="00FF65D6">
        <w:rPr>
          <w:vertAlign w:val="superscript"/>
          <w:lang w:val="fr-FR"/>
        </w:rPr>
        <w:t>o</w:t>
      </w:r>
      <w:r w:rsidRPr="00FF65D6">
        <w:rPr>
          <w:lang w:val="fr-FR"/>
        </w:rPr>
        <w:t> 3 dans laquelle sont énoncées les conditions applicables à la fourniture des services et à la protection des droits des consommateurs dans les domaines des communications électroniques, conformément aux lois géorgiennes sur la protection des droits des consommateurs, les communications électroniques et les autorités nationales indépendantes de régulation</w:t>
      </w:r>
      <w:r w:rsidR="005C1799" w:rsidRPr="005C1799">
        <w:rPr>
          <w:lang w:val="fr-FR"/>
        </w:rPr>
        <w:t>.</w:t>
      </w:r>
    </w:p>
    <w:p w14:paraId="25AE507B" w14:textId="77777777" w:rsidR="005C5C6A" w:rsidRPr="00FF65D6" w:rsidRDefault="005C5C6A" w:rsidP="00F34341">
      <w:pPr>
        <w:pStyle w:val="SingleTxtG"/>
        <w:rPr>
          <w:lang w:val="fr-FR"/>
        </w:rPr>
      </w:pPr>
      <w:r w:rsidRPr="00FF65D6">
        <w:rPr>
          <w:lang w:val="fr-FR"/>
        </w:rPr>
        <w:t>123</w:t>
      </w:r>
      <w:r w:rsidR="005C1799" w:rsidRPr="005C1799">
        <w:rPr>
          <w:lang w:val="fr-FR"/>
        </w:rPr>
        <w:t>.</w:t>
      </w:r>
      <w:r w:rsidRPr="00FF65D6">
        <w:rPr>
          <w:lang w:val="fr-FR"/>
        </w:rPr>
        <w:tab/>
        <w:t>En vertu de la résolution, les produits transmis au moyen de communications électroniques, telles que celles à caractère pornographique, celles montrant des formes</w:t>
      </w:r>
      <w:r w:rsidR="002127F6" w:rsidRPr="00FF65D6">
        <w:rPr>
          <w:lang w:val="fr-FR"/>
        </w:rPr>
        <w:t xml:space="preserve"> </w:t>
      </w:r>
      <w:r w:rsidRPr="00FF65D6">
        <w:rPr>
          <w:lang w:val="fr-FR"/>
        </w:rPr>
        <w:t>particulièrement graves de haine, de violence, de violation de la vie privée, ainsi que celles comprenant des propos diffamatoires, insultants, violant le principe de la présomption d</w:t>
      </w:r>
      <w:r w:rsidR="002127F6" w:rsidRPr="00FF65D6">
        <w:rPr>
          <w:lang w:val="fr-FR"/>
        </w:rPr>
        <w:t>’</w:t>
      </w:r>
      <w:r w:rsidRPr="00FF65D6">
        <w:rPr>
          <w:lang w:val="fr-FR"/>
        </w:rPr>
        <w:t>innocence ou inexacts et d</w:t>
      </w:r>
      <w:r w:rsidR="002127F6" w:rsidRPr="00FF65D6">
        <w:rPr>
          <w:lang w:val="fr-FR"/>
        </w:rPr>
        <w:t>’</w:t>
      </w:r>
      <w:r w:rsidRPr="00FF65D6">
        <w:rPr>
          <w:lang w:val="fr-FR"/>
        </w:rPr>
        <w:t>autres produits transmis en violation des droits de propriété intellectuelle et de la législation géorgienne sont définis comme des «</w:t>
      </w:r>
      <w:r w:rsidR="00A2504F" w:rsidRPr="00FF65D6">
        <w:rPr>
          <w:lang w:val="fr-FR"/>
        </w:rPr>
        <w:t> </w:t>
      </w:r>
      <w:r w:rsidRPr="00FF65D6">
        <w:rPr>
          <w:lang w:val="fr-FR"/>
        </w:rPr>
        <w:t>produits inadmissibles</w:t>
      </w:r>
      <w:r w:rsidR="00A2504F" w:rsidRPr="00FF65D6">
        <w:rPr>
          <w:lang w:val="fr-FR"/>
        </w:rPr>
        <w:t> </w:t>
      </w:r>
      <w:r w:rsidRPr="00FF65D6">
        <w:rPr>
          <w:lang w:val="fr-FR"/>
        </w:rPr>
        <w:t>»</w:t>
      </w:r>
      <w:r w:rsidR="005C1799" w:rsidRPr="005C1799">
        <w:rPr>
          <w:lang w:val="fr-FR"/>
        </w:rPr>
        <w:t>.</w:t>
      </w:r>
    </w:p>
    <w:p w14:paraId="2B523B01" w14:textId="77777777" w:rsidR="005C5C6A" w:rsidRPr="00FF65D6" w:rsidRDefault="005C5C6A" w:rsidP="00F34341">
      <w:pPr>
        <w:pStyle w:val="SingleTxtG"/>
        <w:rPr>
          <w:lang w:val="fr-FR"/>
        </w:rPr>
      </w:pPr>
      <w:r w:rsidRPr="00FF65D6">
        <w:rPr>
          <w:lang w:val="fr-FR"/>
        </w:rPr>
        <w:t>124</w:t>
      </w:r>
      <w:r w:rsidR="005C1799" w:rsidRPr="005C1799">
        <w:rPr>
          <w:lang w:val="fr-FR"/>
        </w:rPr>
        <w:t>.</w:t>
      </w:r>
      <w:r w:rsidRPr="00FF65D6">
        <w:rPr>
          <w:lang w:val="fr-FR"/>
        </w:rPr>
        <w:tab/>
        <w:t>La résolution prévoit des mesures visant à garantir la protection des droits et des intérêts légitimes des consommateurs</w:t>
      </w:r>
      <w:r w:rsidR="005C1799" w:rsidRPr="005C1799">
        <w:rPr>
          <w:lang w:val="fr-FR"/>
        </w:rPr>
        <w:t>.</w:t>
      </w:r>
      <w:r w:rsidRPr="00FF65D6">
        <w:rPr>
          <w:lang w:val="fr-FR"/>
        </w:rPr>
        <w:t xml:space="preserve"> En particulier, elle définit une plainte comme un motif de rétablissement d</w:t>
      </w:r>
      <w:r w:rsidR="002127F6" w:rsidRPr="00FF65D6">
        <w:rPr>
          <w:lang w:val="fr-FR"/>
        </w:rPr>
        <w:t>’</w:t>
      </w:r>
      <w:r w:rsidRPr="00FF65D6">
        <w:rPr>
          <w:lang w:val="fr-FR"/>
        </w:rPr>
        <w:t>un droit violé ou non reconnu et de défense des intérêts du consommateur prévus par la loi</w:t>
      </w:r>
      <w:r w:rsidR="005C1799" w:rsidRPr="005C1799">
        <w:rPr>
          <w:lang w:val="fr-FR"/>
        </w:rPr>
        <w:t>.</w:t>
      </w:r>
      <w:r w:rsidRPr="00FF65D6">
        <w:rPr>
          <w:lang w:val="fr-FR"/>
        </w:rPr>
        <w:t xml:space="preserve"> En outre, elle énonce la procédure d</w:t>
      </w:r>
      <w:r w:rsidR="002127F6" w:rsidRPr="00FF65D6">
        <w:rPr>
          <w:lang w:val="fr-FR"/>
        </w:rPr>
        <w:t>’</w:t>
      </w:r>
      <w:r w:rsidRPr="00FF65D6">
        <w:rPr>
          <w:lang w:val="fr-FR"/>
        </w:rPr>
        <w:t>examen d</w:t>
      </w:r>
      <w:r w:rsidR="002127F6" w:rsidRPr="00FF65D6">
        <w:rPr>
          <w:lang w:val="fr-FR"/>
        </w:rPr>
        <w:t>’</w:t>
      </w:r>
      <w:r w:rsidRPr="00FF65D6">
        <w:rPr>
          <w:lang w:val="fr-FR"/>
        </w:rPr>
        <w:t>un différend entre le prestataire de services et le consommateur</w:t>
      </w:r>
      <w:r w:rsidR="005C1799" w:rsidRPr="005C1799">
        <w:rPr>
          <w:lang w:val="fr-FR"/>
        </w:rPr>
        <w:t>.</w:t>
      </w:r>
    </w:p>
    <w:p w14:paraId="0CAE514F" w14:textId="77777777" w:rsidR="005C5C6A" w:rsidRPr="00FF65D6" w:rsidRDefault="005C5C6A" w:rsidP="00A2504F">
      <w:pPr>
        <w:pStyle w:val="H1G"/>
        <w:rPr>
          <w:lang w:val="fr-FR"/>
        </w:rPr>
      </w:pPr>
      <w:bookmarkStart w:id="25" w:name="_Toc472961717"/>
      <w:r w:rsidRPr="00FF65D6">
        <w:rPr>
          <w:lang w:val="fr-FR"/>
        </w:rPr>
        <w:tab/>
        <w:t>B</w:t>
      </w:r>
      <w:r w:rsidR="005C1799" w:rsidRPr="005C1799">
        <w:rPr>
          <w:b w:val="0"/>
          <w:lang w:val="fr-FR"/>
        </w:rPr>
        <w:t>.</w:t>
      </w:r>
      <w:r w:rsidRPr="00FF65D6">
        <w:rPr>
          <w:lang w:val="fr-FR"/>
        </w:rPr>
        <w:tab/>
        <w:t xml:space="preserve">Protection des mineurs nés par fécondation extracorporelle </w:t>
      </w:r>
      <w:r w:rsidR="007868EB" w:rsidRPr="00FF65D6">
        <w:rPr>
          <w:lang w:val="fr-FR"/>
        </w:rPr>
        <w:br/>
      </w:r>
      <w:r w:rsidRPr="00FF65D6">
        <w:rPr>
          <w:lang w:val="fr-FR"/>
        </w:rPr>
        <w:t>(gestation pour autrui)</w:t>
      </w:r>
      <w:bookmarkEnd w:id="25"/>
    </w:p>
    <w:p w14:paraId="1672032B" w14:textId="77777777" w:rsidR="005C5C6A" w:rsidRPr="00FF65D6" w:rsidRDefault="005C5C6A" w:rsidP="00F34341">
      <w:pPr>
        <w:pStyle w:val="SingleTxtG"/>
        <w:rPr>
          <w:lang w:val="fr-FR"/>
        </w:rPr>
      </w:pPr>
      <w:r w:rsidRPr="00FF65D6">
        <w:rPr>
          <w:lang w:val="fr-FR"/>
        </w:rPr>
        <w:t>125</w:t>
      </w:r>
      <w:r w:rsidR="005C1799" w:rsidRPr="005C1799">
        <w:rPr>
          <w:lang w:val="fr-FR"/>
        </w:rPr>
        <w:t>.</w:t>
      </w:r>
      <w:r w:rsidRPr="00FF65D6">
        <w:rPr>
          <w:lang w:val="fr-FR"/>
        </w:rPr>
        <w:tab/>
        <w:t>Le Gouvernement géorgien accorde une attention particulière à la protection des enfants nés par fécondation extracorporelle (gestation pour autrui)</w:t>
      </w:r>
      <w:r w:rsidR="005C1799" w:rsidRPr="005C1799">
        <w:rPr>
          <w:lang w:val="fr-FR"/>
        </w:rPr>
        <w:t>.</w:t>
      </w:r>
      <w:r w:rsidRPr="00FF65D6">
        <w:rPr>
          <w:lang w:val="fr-FR"/>
        </w:rPr>
        <w:t xml:space="preserve"> En conséquence, le 22</w:t>
      </w:r>
      <w:r w:rsidR="00A2504F" w:rsidRPr="00FF65D6">
        <w:rPr>
          <w:lang w:val="fr-FR"/>
        </w:rPr>
        <w:t> </w:t>
      </w:r>
      <w:r w:rsidRPr="00FF65D6">
        <w:rPr>
          <w:lang w:val="fr-FR"/>
        </w:rPr>
        <w:t>mars 2016, des modifications ont été apportées à la loi géorgienne énonçant les règles applicables à la sortie de Géorgie et à l</w:t>
      </w:r>
      <w:r w:rsidR="002127F6" w:rsidRPr="00FF65D6">
        <w:rPr>
          <w:lang w:val="fr-FR"/>
        </w:rPr>
        <w:t>’</w:t>
      </w:r>
      <w:r w:rsidRPr="00FF65D6">
        <w:rPr>
          <w:lang w:val="fr-FR"/>
        </w:rPr>
        <w:t>entrée en Géorgie des citoyens géorgiens et à la loi géorgienne sur le statut légal des étrangers et des apatrides</w:t>
      </w:r>
      <w:r w:rsidR="005C1799" w:rsidRPr="005C1799">
        <w:rPr>
          <w:lang w:val="fr-FR"/>
        </w:rPr>
        <w:t>.</w:t>
      </w:r>
      <w:r w:rsidRPr="00FF65D6">
        <w:rPr>
          <w:lang w:val="fr-FR"/>
        </w:rPr>
        <w:t xml:space="preserve"> En particulier, l</w:t>
      </w:r>
      <w:r w:rsidR="002127F6" w:rsidRPr="00FF65D6">
        <w:rPr>
          <w:lang w:val="fr-FR"/>
        </w:rPr>
        <w:t>’</w:t>
      </w:r>
      <w:r w:rsidRPr="00FF65D6">
        <w:rPr>
          <w:lang w:val="fr-FR"/>
        </w:rPr>
        <w:t>article 81 a été ajouté à la loi géorgienne énonçant les règles applicables à la sortie de Géorgie et à l</w:t>
      </w:r>
      <w:r w:rsidR="002127F6" w:rsidRPr="00FF65D6">
        <w:rPr>
          <w:lang w:val="fr-FR"/>
        </w:rPr>
        <w:t>’</w:t>
      </w:r>
      <w:r w:rsidRPr="00FF65D6">
        <w:rPr>
          <w:lang w:val="fr-FR"/>
        </w:rPr>
        <w:t>entrée en Géorgie des citoyens géorgiens, qui régit le déplacement hors de Géorgie d</w:t>
      </w:r>
      <w:r w:rsidR="002127F6" w:rsidRPr="00FF65D6">
        <w:rPr>
          <w:lang w:val="fr-FR"/>
        </w:rPr>
        <w:t>’</w:t>
      </w:r>
      <w:r w:rsidRPr="00FF65D6">
        <w:rPr>
          <w:lang w:val="fr-FR"/>
        </w:rPr>
        <w:t>un enfant né en Géorgie par fécondation extracorporelle (gestation pour autrui)</w:t>
      </w:r>
      <w:r w:rsidR="005C1799" w:rsidRPr="005C1799">
        <w:rPr>
          <w:lang w:val="fr-FR"/>
        </w:rPr>
        <w:t>.</w:t>
      </w:r>
      <w:r w:rsidRPr="00FF65D6">
        <w:rPr>
          <w:lang w:val="fr-FR"/>
        </w:rPr>
        <w:t xml:space="preserve"> </w:t>
      </w:r>
    </w:p>
    <w:p w14:paraId="2EF03654" w14:textId="77777777" w:rsidR="005C5C6A" w:rsidRPr="00FF65D6" w:rsidRDefault="005C5C6A" w:rsidP="00F34341">
      <w:pPr>
        <w:pStyle w:val="SingleTxtG"/>
        <w:rPr>
          <w:lang w:val="fr-FR"/>
        </w:rPr>
      </w:pPr>
      <w:r w:rsidRPr="00FF65D6">
        <w:rPr>
          <w:lang w:val="fr-FR"/>
        </w:rPr>
        <w:t>126</w:t>
      </w:r>
      <w:r w:rsidR="005C1799" w:rsidRPr="005C1799">
        <w:rPr>
          <w:lang w:val="fr-FR"/>
        </w:rPr>
        <w:t>.</w:t>
      </w:r>
      <w:r w:rsidRPr="00FF65D6">
        <w:rPr>
          <w:lang w:val="fr-FR"/>
        </w:rPr>
        <w:tab/>
        <w:t>Les modifications visent essentiellement à protéger l</w:t>
      </w:r>
      <w:r w:rsidR="002127F6" w:rsidRPr="00FF65D6">
        <w:rPr>
          <w:lang w:val="fr-FR"/>
        </w:rPr>
        <w:t>’</w:t>
      </w:r>
      <w:r w:rsidRPr="00FF65D6">
        <w:rPr>
          <w:lang w:val="fr-FR"/>
        </w:rPr>
        <w:t>intérêt supérieur des enfants nés en Géorgie par fécondation extracorporelle (gestation pour autrui)</w:t>
      </w:r>
      <w:r w:rsidR="003B7618" w:rsidRPr="00FF65D6">
        <w:rPr>
          <w:lang w:val="fr-FR"/>
        </w:rPr>
        <w:t> ;</w:t>
      </w:r>
      <w:r w:rsidRPr="00FF65D6">
        <w:rPr>
          <w:lang w:val="fr-FR"/>
        </w:rPr>
        <w:t xml:space="preserve"> à interdire le déplacement de ces enfants hors de Géorgie en contournant la loi</w:t>
      </w:r>
      <w:r w:rsidR="003B7618" w:rsidRPr="00FF65D6">
        <w:rPr>
          <w:lang w:val="fr-FR"/>
        </w:rPr>
        <w:t> ;</w:t>
      </w:r>
      <w:r w:rsidRPr="00FF65D6">
        <w:rPr>
          <w:lang w:val="fr-FR"/>
        </w:rPr>
        <w:t xml:space="preserve"> à empêcher la commission de tous actes illégaux contre eux, y compris les actes de violence, la pornographie, l</w:t>
      </w:r>
      <w:r w:rsidR="002127F6" w:rsidRPr="00FF65D6">
        <w:rPr>
          <w:lang w:val="fr-FR"/>
        </w:rPr>
        <w:t>’</w:t>
      </w:r>
      <w:r w:rsidRPr="00FF65D6">
        <w:rPr>
          <w:lang w:val="fr-FR"/>
        </w:rPr>
        <w:t>exploitation sexuelle et la traite</w:t>
      </w:r>
      <w:r w:rsidR="005C1799" w:rsidRPr="005C1799">
        <w:rPr>
          <w:lang w:val="fr-FR"/>
        </w:rPr>
        <w:t>.</w:t>
      </w:r>
    </w:p>
    <w:p w14:paraId="506106B6" w14:textId="77777777" w:rsidR="005C5C6A" w:rsidRPr="00FF65D6" w:rsidRDefault="005C5C6A" w:rsidP="00F34341">
      <w:pPr>
        <w:pStyle w:val="SingleTxtG"/>
        <w:rPr>
          <w:lang w:val="fr-FR"/>
        </w:rPr>
      </w:pPr>
      <w:r w:rsidRPr="00FF65D6">
        <w:rPr>
          <w:lang w:val="fr-FR"/>
        </w:rPr>
        <w:t>127</w:t>
      </w:r>
      <w:r w:rsidR="005C1799" w:rsidRPr="005C1799">
        <w:rPr>
          <w:lang w:val="fr-FR"/>
        </w:rPr>
        <w:t>.</w:t>
      </w:r>
      <w:r w:rsidRPr="00FF65D6">
        <w:rPr>
          <w:lang w:val="fr-FR"/>
        </w:rPr>
        <w:tab/>
        <w:t>En vertu des modifications, le déplacement hors de Géorgie d</w:t>
      </w:r>
      <w:r w:rsidR="002127F6" w:rsidRPr="00FF65D6">
        <w:rPr>
          <w:lang w:val="fr-FR"/>
        </w:rPr>
        <w:t>’</w:t>
      </w:r>
      <w:r w:rsidRPr="00FF65D6">
        <w:rPr>
          <w:lang w:val="fr-FR"/>
        </w:rPr>
        <w:t>un enfant né en Géorgie par fécondation extracorporelle (gestation pour autrui) n</w:t>
      </w:r>
      <w:r w:rsidR="002127F6" w:rsidRPr="00FF65D6">
        <w:rPr>
          <w:lang w:val="fr-FR"/>
        </w:rPr>
        <w:t>’</w:t>
      </w:r>
      <w:r w:rsidRPr="00FF65D6">
        <w:rPr>
          <w:lang w:val="fr-FR"/>
        </w:rPr>
        <w:t>est possible que si les deux parents sont enregistrés sur l</w:t>
      </w:r>
      <w:r w:rsidR="002127F6" w:rsidRPr="00FF65D6">
        <w:rPr>
          <w:lang w:val="fr-FR"/>
        </w:rPr>
        <w:t>’</w:t>
      </w:r>
      <w:r w:rsidRPr="00FF65D6">
        <w:rPr>
          <w:lang w:val="fr-FR"/>
        </w:rPr>
        <w:t>acte de naissance délivré par l</w:t>
      </w:r>
      <w:r w:rsidR="002127F6" w:rsidRPr="00FF65D6">
        <w:rPr>
          <w:lang w:val="fr-FR"/>
        </w:rPr>
        <w:t>’</w:t>
      </w:r>
      <w:r w:rsidRPr="00FF65D6">
        <w:rPr>
          <w:lang w:val="fr-FR"/>
        </w:rPr>
        <w:t>Agence de développement des services publics</w:t>
      </w:r>
      <w:r w:rsidR="005C1799" w:rsidRPr="005C1799">
        <w:rPr>
          <w:lang w:val="fr-FR"/>
        </w:rPr>
        <w:t>.</w:t>
      </w:r>
      <w:r w:rsidRPr="00FF65D6">
        <w:rPr>
          <w:lang w:val="fr-FR"/>
        </w:rPr>
        <w:t xml:space="preserve"> En outre, les règles relatives au déplacement d</w:t>
      </w:r>
      <w:r w:rsidR="002127F6" w:rsidRPr="00FF65D6">
        <w:rPr>
          <w:lang w:val="fr-FR"/>
        </w:rPr>
        <w:t>’</w:t>
      </w:r>
      <w:r w:rsidRPr="00FF65D6">
        <w:rPr>
          <w:lang w:val="fr-FR"/>
        </w:rPr>
        <w:t>un enfant né en Géorgie par fécondation extracorporelle (gestation pour autrui) ont été approuvées par l</w:t>
      </w:r>
      <w:r w:rsidR="002127F6" w:rsidRPr="00FF65D6">
        <w:rPr>
          <w:lang w:val="fr-FR"/>
        </w:rPr>
        <w:t>’</w:t>
      </w:r>
      <w:r w:rsidRPr="00FF65D6">
        <w:rPr>
          <w:lang w:val="fr-FR"/>
        </w:rPr>
        <w:t>Ordonnance conjointe du Ministre géorgien de la justice et du Ministre géorgien de l</w:t>
      </w:r>
      <w:r w:rsidR="002127F6" w:rsidRPr="00FF65D6">
        <w:rPr>
          <w:lang w:val="fr-FR"/>
        </w:rPr>
        <w:t>’</w:t>
      </w:r>
      <w:r w:rsidRPr="00FF65D6">
        <w:rPr>
          <w:lang w:val="fr-FR"/>
        </w:rPr>
        <w:t>intérieur (n</w:t>
      </w:r>
      <w:r w:rsidRPr="00FF65D6">
        <w:rPr>
          <w:vertAlign w:val="superscript"/>
          <w:lang w:val="fr-FR"/>
        </w:rPr>
        <w:t>o</w:t>
      </w:r>
      <w:r w:rsidRPr="00FF65D6">
        <w:rPr>
          <w:lang w:val="fr-FR"/>
        </w:rPr>
        <w:t> 1133 du 5 avril 2016 et n</w:t>
      </w:r>
      <w:r w:rsidRPr="00FF65D6">
        <w:rPr>
          <w:vertAlign w:val="superscript"/>
          <w:lang w:val="fr-FR"/>
        </w:rPr>
        <w:t>o</w:t>
      </w:r>
      <w:r w:rsidRPr="00FF65D6">
        <w:rPr>
          <w:lang w:val="fr-FR"/>
        </w:rPr>
        <w:t> 1144 du 11 avril 2016)</w:t>
      </w:r>
      <w:r w:rsidR="005C1799" w:rsidRPr="005C1799">
        <w:rPr>
          <w:lang w:val="fr-FR"/>
        </w:rPr>
        <w:t>.</w:t>
      </w:r>
      <w:r w:rsidRPr="00FF65D6">
        <w:rPr>
          <w:lang w:val="fr-FR"/>
        </w:rPr>
        <w:t xml:space="preserve"> Cette ordonnance conjointe régit les procédures à suivre pour faire quitter la Géorgie à un enfant qui y est né par fécondation extracorporelle (gestation pour autrui), les motifs de restriction du droit de le déplacer hors de Géorgie et les aspects importants de la coopération entre les services respectifs du Ministère de l</w:t>
      </w:r>
      <w:r w:rsidR="002127F6" w:rsidRPr="00FF65D6">
        <w:rPr>
          <w:lang w:val="fr-FR"/>
        </w:rPr>
        <w:t>’</w:t>
      </w:r>
      <w:r w:rsidRPr="00FF65D6">
        <w:rPr>
          <w:lang w:val="fr-FR"/>
        </w:rPr>
        <w:t>intérieur et de l</w:t>
      </w:r>
      <w:r w:rsidR="002127F6" w:rsidRPr="00FF65D6">
        <w:rPr>
          <w:lang w:val="fr-FR"/>
        </w:rPr>
        <w:t>’</w:t>
      </w:r>
      <w:r w:rsidRPr="00FF65D6">
        <w:rPr>
          <w:lang w:val="fr-FR"/>
        </w:rPr>
        <w:t>Agence de développement des services publics visant à protéger les droits et l</w:t>
      </w:r>
      <w:r w:rsidR="002127F6" w:rsidRPr="00FF65D6">
        <w:rPr>
          <w:lang w:val="fr-FR"/>
        </w:rPr>
        <w:t>’</w:t>
      </w:r>
      <w:r w:rsidRPr="00FF65D6">
        <w:rPr>
          <w:lang w:val="fr-FR"/>
        </w:rPr>
        <w:t>intérêt supérieur de l</w:t>
      </w:r>
      <w:r w:rsidR="002127F6" w:rsidRPr="00FF65D6">
        <w:rPr>
          <w:lang w:val="fr-FR"/>
        </w:rPr>
        <w:t>’</w:t>
      </w:r>
      <w:r w:rsidRPr="00FF65D6">
        <w:rPr>
          <w:lang w:val="fr-FR"/>
        </w:rPr>
        <w:t>enfant</w:t>
      </w:r>
      <w:r w:rsidR="005C1799" w:rsidRPr="005C1799">
        <w:rPr>
          <w:lang w:val="fr-FR"/>
        </w:rPr>
        <w:t>.</w:t>
      </w:r>
    </w:p>
    <w:p w14:paraId="354B57EC" w14:textId="77777777" w:rsidR="005C5C6A" w:rsidRPr="00FF65D6" w:rsidRDefault="005C5C6A" w:rsidP="00F34341">
      <w:pPr>
        <w:pStyle w:val="SingleTxtG"/>
        <w:rPr>
          <w:lang w:val="fr-FR"/>
        </w:rPr>
      </w:pPr>
      <w:r w:rsidRPr="00FF65D6">
        <w:rPr>
          <w:lang w:val="fr-FR"/>
        </w:rPr>
        <w:t>128</w:t>
      </w:r>
      <w:r w:rsidR="005C1799" w:rsidRPr="005C1799">
        <w:rPr>
          <w:lang w:val="fr-FR"/>
        </w:rPr>
        <w:t>.</w:t>
      </w:r>
      <w:r w:rsidRPr="00FF65D6">
        <w:rPr>
          <w:lang w:val="fr-FR"/>
        </w:rPr>
        <w:tab/>
        <w:t>En outre, en vertu de la nouvelle réglementation, le Ministre de l</w:t>
      </w:r>
      <w:r w:rsidR="002127F6" w:rsidRPr="00FF65D6">
        <w:rPr>
          <w:lang w:val="fr-FR"/>
        </w:rPr>
        <w:t>’</w:t>
      </w:r>
      <w:r w:rsidRPr="00FF65D6">
        <w:rPr>
          <w:lang w:val="fr-FR"/>
        </w:rPr>
        <w:t>intérieur, qui est responsable du contrôle des passeports aux points de passage des frontières, a accès aux données relatives à un enfant né en Géorgie par fécondation extracorporelle (gestation pour autrui) produites par l</w:t>
      </w:r>
      <w:r w:rsidR="002127F6" w:rsidRPr="00FF65D6">
        <w:rPr>
          <w:lang w:val="fr-FR"/>
        </w:rPr>
        <w:t>’</w:t>
      </w:r>
      <w:r w:rsidRPr="00FF65D6">
        <w:rPr>
          <w:lang w:val="fr-FR"/>
        </w:rPr>
        <w:t>Agence de développement des services publics</w:t>
      </w:r>
      <w:r w:rsidR="005C1799" w:rsidRPr="005C1799">
        <w:rPr>
          <w:lang w:val="fr-FR"/>
        </w:rPr>
        <w:t>.</w:t>
      </w:r>
      <w:r w:rsidRPr="00FF65D6">
        <w:rPr>
          <w:lang w:val="fr-FR"/>
        </w:rPr>
        <w:t xml:space="preserve"> Si, lors du contrôle d</w:t>
      </w:r>
      <w:r w:rsidR="002127F6" w:rsidRPr="00FF65D6">
        <w:rPr>
          <w:lang w:val="fr-FR"/>
        </w:rPr>
        <w:t>’</w:t>
      </w:r>
      <w:r w:rsidRPr="00FF65D6">
        <w:rPr>
          <w:lang w:val="fr-FR"/>
        </w:rPr>
        <w:t>un passeport, l</w:t>
      </w:r>
      <w:r w:rsidR="002127F6" w:rsidRPr="00FF65D6">
        <w:rPr>
          <w:lang w:val="fr-FR"/>
        </w:rPr>
        <w:t>’</w:t>
      </w:r>
      <w:r w:rsidRPr="00FF65D6">
        <w:rPr>
          <w:lang w:val="fr-FR"/>
        </w:rPr>
        <w:t>employé du Ministère de l</w:t>
      </w:r>
      <w:r w:rsidR="002127F6" w:rsidRPr="00FF65D6">
        <w:rPr>
          <w:lang w:val="fr-FR"/>
        </w:rPr>
        <w:t>’</w:t>
      </w:r>
      <w:r w:rsidRPr="00FF65D6">
        <w:rPr>
          <w:lang w:val="fr-FR"/>
        </w:rPr>
        <w:t>intérieur relève que l</w:t>
      </w:r>
      <w:r w:rsidR="002127F6" w:rsidRPr="00FF65D6">
        <w:rPr>
          <w:lang w:val="fr-FR"/>
        </w:rPr>
        <w:t>’</w:t>
      </w:r>
      <w:r w:rsidRPr="00FF65D6">
        <w:rPr>
          <w:lang w:val="fr-FR"/>
        </w:rPr>
        <w:t>enfant qui quitte la Géorgie pour la première fois est né par fécondation extracorporelle (gestation pour autrui) et figure dans la base de données de l</w:t>
      </w:r>
      <w:r w:rsidR="002127F6" w:rsidRPr="00FF65D6">
        <w:rPr>
          <w:lang w:val="fr-FR"/>
        </w:rPr>
        <w:t>’</w:t>
      </w:r>
      <w:r w:rsidRPr="00FF65D6">
        <w:rPr>
          <w:lang w:val="fr-FR"/>
        </w:rPr>
        <w:t>Agence de développement des services publics, mais que les deux parents ne figurent pas sur l</w:t>
      </w:r>
      <w:r w:rsidR="002127F6" w:rsidRPr="00FF65D6">
        <w:rPr>
          <w:lang w:val="fr-FR"/>
        </w:rPr>
        <w:t>’</w:t>
      </w:r>
      <w:r w:rsidRPr="00FF65D6">
        <w:rPr>
          <w:lang w:val="fr-FR"/>
        </w:rPr>
        <w:t>acte de naissance ou que l</w:t>
      </w:r>
      <w:r w:rsidR="002127F6" w:rsidRPr="00FF65D6">
        <w:rPr>
          <w:lang w:val="fr-FR"/>
        </w:rPr>
        <w:t>’</w:t>
      </w:r>
      <w:r w:rsidRPr="00FF65D6">
        <w:rPr>
          <w:lang w:val="fr-FR"/>
        </w:rPr>
        <w:t>Agence n</w:t>
      </w:r>
      <w:r w:rsidR="002127F6" w:rsidRPr="00FF65D6">
        <w:rPr>
          <w:lang w:val="fr-FR"/>
        </w:rPr>
        <w:t>’</w:t>
      </w:r>
      <w:r w:rsidRPr="00FF65D6">
        <w:rPr>
          <w:lang w:val="fr-FR"/>
        </w:rPr>
        <w:t>a pas enregistré l</w:t>
      </w:r>
      <w:r w:rsidR="002127F6" w:rsidRPr="00FF65D6">
        <w:rPr>
          <w:lang w:val="fr-FR"/>
        </w:rPr>
        <w:t>’</w:t>
      </w:r>
      <w:r w:rsidRPr="00FF65D6">
        <w:rPr>
          <w:lang w:val="fr-FR"/>
        </w:rPr>
        <w:t>acte de naissance de l</w:t>
      </w:r>
      <w:r w:rsidR="002127F6" w:rsidRPr="00FF65D6">
        <w:rPr>
          <w:lang w:val="fr-FR"/>
        </w:rPr>
        <w:t>’</w:t>
      </w:r>
      <w:r w:rsidRPr="00FF65D6">
        <w:rPr>
          <w:lang w:val="fr-FR"/>
        </w:rPr>
        <w:t>enfant, le représentant officiel du Ministère de l</w:t>
      </w:r>
      <w:r w:rsidR="002127F6" w:rsidRPr="00FF65D6">
        <w:rPr>
          <w:lang w:val="fr-FR"/>
        </w:rPr>
        <w:t>’</w:t>
      </w:r>
      <w:r w:rsidRPr="00FF65D6">
        <w:rPr>
          <w:lang w:val="fr-FR"/>
        </w:rPr>
        <w:t>intérieur doit impérativement empêcher la sortie de l</w:t>
      </w:r>
      <w:r w:rsidR="002127F6" w:rsidRPr="00FF65D6">
        <w:rPr>
          <w:lang w:val="fr-FR"/>
        </w:rPr>
        <w:t>’</w:t>
      </w:r>
      <w:r w:rsidRPr="00FF65D6">
        <w:rPr>
          <w:lang w:val="fr-FR"/>
        </w:rPr>
        <w:t>enfant de Géorgie</w:t>
      </w:r>
      <w:r w:rsidR="005C1799" w:rsidRPr="005C1799">
        <w:rPr>
          <w:lang w:val="fr-FR"/>
        </w:rPr>
        <w:t>.</w:t>
      </w:r>
      <w:r w:rsidRPr="00FF65D6">
        <w:rPr>
          <w:lang w:val="fr-FR"/>
        </w:rPr>
        <w:t xml:space="preserve"> </w:t>
      </w:r>
    </w:p>
    <w:p w14:paraId="2678D07A" w14:textId="77777777" w:rsidR="005C5C6A" w:rsidRPr="00FF65D6" w:rsidRDefault="005C5C6A" w:rsidP="00F34341">
      <w:pPr>
        <w:pStyle w:val="SingleTxtG"/>
        <w:rPr>
          <w:lang w:val="fr-FR"/>
        </w:rPr>
      </w:pPr>
      <w:r w:rsidRPr="00FF65D6">
        <w:rPr>
          <w:lang w:val="fr-FR"/>
        </w:rPr>
        <w:t>129</w:t>
      </w:r>
      <w:r w:rsidR="005C1799" w:rsidRPr="005C1799">
        <w:rPr>
          <w:lang w:val="fr-FR"/>
        </w:rPr>
        <w:t>.</w:t>
      </w:r>
      <w:r w:rsidRPr="00FF65D6">
        <w:rPr>
          <w:lang w:val="fr-FR"/>
        </w:rPr>
        <w:tab/>
        <w:t>La règle susmentionnée relative au retrait d</w:t>
      </w:r>
      <w:r w:rsidR="002127F6" w:rsidRPr="00FF65D6">
        <w:rPr>
          <w:lang w:val="fr-FR"/>
        </w:rPr>
        <w:t>’</w:t>
      </w:r>
      <w:r w:rsidRPr="00FF65D6">
        <w:rPr>
          <w:lang w:val="fr-FR"/>
        </w:rPr>
        <w:t>un enfant né en Géorgie par fécondation extracorporelle (gestation pour autrui) est entrée en vigueur le 11 avril 2016 et est en vigueur depuis lors</w:t>
      </w:r>
      <w:r w:rsidR="005C1799" w:rsidRPr="005C1799">
        <w:rPr>
          <w:lang w:val="fr-FR"/>
        </w:rPr>
        <w:t>.</w:t>
      </w:r>
    </w:p>
    <w:p w14:paraId="03E2A6B3" w14:textId="77777777" w:rsidR="005C5C6A" w:rsidRPr="00FF65D6" w:rsidRDefault="005C5C6A" w:rsidP="008E079D">
      <w:pPr>
        <w:pStyle w:val="H1G"/>
        <w:rPr>
          <w:lang w:val="fr-FR"/>
        </w:rPr>
      </w:pPr>
      <w:bookmarkStart w:id="26" w:name="_Toc472961718"/>
      <w:r w:rsidRPr="00FF65D6">
        <w:rPr>
          <w:lang w:val="fr-FR"/>
        </w:rPr>
        <w:tab/>
        <w:t>C</w:t>
      </w:r>
      <w:r w:rsidR="005C1799" w:rsidRPr="005C1799">
        <w:rPr>
          <w:b w:val="0"/>
          <w:lang w:val="fr-FR"/>
        </w:rPr>
        <w:t>.</w:t>
      </w:r>
      <w:r w:rsidRPr="00FF65D6">
        <w:rPr>
          <w:lang w:val="fr-FR"/>
        </w:rPr>
        <w:tab/>
        <w:t>Enfants vivant ou travaillant dans la rue</w:t>
      </w:r>
      <w:bookmarkEnd w:id="26"/>
    </w:p>
    <w:p w14:paraId="2921D45B" w14:textId="77777777" w:rsidR="005C5C6A" w:rsidRPr="00FF65D6" w:rsidRDefault="005C5C6A" w:rsidP="00F34341">
      <w:pPr>
        <w:pStyle w:val="SingleTxtG"/>
        <w:rPr>
          <w:lang w:val="fr-FR"/>
        </w:rPr>
      </w:pPr>
      <w:r w:rsidRPr="00FF65D6">
        <w:rPr>
          <w:lang w:val="fr-FR"/>
        </w:rPr>
        <w:t>130</w:t>
      </w:r>
      <w:r w:rsidR="005C1799" w:rsidRPr="005C1799">
        <w:rPr>
          <w:lang w:val="fr-FR"/>
        </w:rPr>
        <w:t>.</w:t>
      </w:r>
      <w:r w:rsidRPr="00FF65D6">
        <w:rPr>
          <w:lang w:val="fr-FR"/>
        </w:rPr>
        <w:tab/>
        <w:t>Le Gouvernement géorgien accorde également une attention particulière aux mineurs qui vivent et travaillent dans la rue</w:t>
      </w:r>
      <w:r w:rsidR="005C1799" w:rsidRPr="005C1799">
        <w:rPr>
          <w:lang w:val="fr-FR"/>
        </w:rPr>
        <w:t>.</w:t>
      </w:r>
      <w:r w:rsidRPr="00FF65D6">
        <w:rPr>
          <w:lang w:val="fr-FR"/>
        </w:rPr>
        <w:t xml:space="preserve"> Ils risquent de faire l</w:t>
      </w:r>
      <w:r w:rsidR="002127F6" w:rsidRPr="00FF65D6">
        <w:rPr>
          <w:lang w:val="fr-FR"/>
        </w:rPr>
        <w:t>’</w:t>
      </w:r>
      <w:r w:rsidRPr="00FF65D6">
        <w:rPr>
          <w:lang w:val="fr-FR"/>
        </w:rPr>
        <w:t>objet de violences, de sévices et d</w:t>
      </w:r>
      <w:r w:rsidR="002127F6" w:rsidRPr="00FF65D6">
        <w:rPr>
          <w:lang w:val="fr-FR"/>
        </w:rPr>
        <w:t>’</w:t>
      </w:r>
      <w:r w:rsidRPr="00FF65D6">
        <w:rPr>
          <w:lang w:val="fr-FR"/>
        </w:rPr>
        <w:t>exploitation</w:t>
      </w:r>
      <w:r w:rsidR="005C1799" w:rsidRPr="005C1799">
        <w:rPr>
          <w:lang w:val="fr-FR"/>
        </w:rPr>
        <w:t>.</w:t>
      </w:r>
      <w:r w:rsidRPr="00FF65D6">
        <w:rPr>
          <w:lang w:val="fr-FR"/>
        </w:rPr>
        <w:t xml:space="preserve"> Pour résoudre ce problème, le Gouvernement géorgien a engagé des procédures visant à apporter des modifications à 10 lois afin de créer un cadre juridique permettant de délivrer des documents d</w:t>
      </w:r>
      <w:r w:rsidR="002127F6" w:rsidRPr="00FF65D6">
        <w:rPr>
          <w:lang w:val="fr-FR"/>
        </w:rPr>
        <w:t>’</w:t>
      </w:r>
      <w:r w:rsidRPr="00FF65D6">
        <w:rPr>
          <w:lang w:val="fr-FR"/>
        </w:rPr>
        <w:t>identité gratuits aux enfants vivant et/ou travaillant dans la rue et de renforcer le rôle des travailleurs sociaux en cas de violence pour séparer le mineur de l</w:t>
      </w:r>
      <w:r w:rsidR="002127F6" w:rsidRPr="00FF65D6">
        <w:rPr>
          <w:lang w:val="fr-FR"/>
        </w:rPr>
        <w:t>’</w:t>
      </w:r>
      <w:r w:rsidRPr="00FF65D6">
        <w:rPr>
          <w:lang w:val="fr-FR"/>
        </w:rPr>
        <w:t>auteur de l</w:t>
      </w:r>
      <w:r w:rsidR="002127F6" w:rsidRPr="00FF65D6">
        <w:rPr>
          <w:lang w:val="fr-FR"/>
        </w:rPr>
        <w:t>’</w:t>
      </w:r>
      <w:r w:rsidRPr="00FF65D6">
        <w:rPr>
          <w:lang w:val="fr-FR"/>
        </w:rPr>
        <w:t>infraction ou retirer l</w:t>
      </w:r>
      <w:r w:rsidR="002127F6" w:rsidRPr="00FF65D6">
        <w:rPr>
          <w:lang w:val="fr-FR"/>
        </w:rPr>
        <w:t>’</w:t>
      </w:r>
      <w:r w:rsidRPr="00FF65D6">
        <w:rPr>
          <w:lang w:val="fr-FR"/>
        </w:rPr>
        <w:t>enfant de sa famille ou d</w:t>
      </w:r>
      <w:r w:rsidR="002127F6" w:rsidRPr="00FF65D6">
        <w:rPr>
          <w:lang w:val="fr-FR"/>
        </w:rPr>
        <w:t>’</w:t>
      </w:r>
      <w:r w:rsidRPr="00FF65D6">
        <w:rPr>
          <w:lang w:val="fr-FR"/>
        </w:rPr>
        <w:t>un autre milieu où l</w:t>
      </w:r>
      <w:r w:rsidR="002127F6" w:rsidRPr="00FF65D6">
        <w:rPr>
          <w:lang w:val="fr-FR"/>
        </w:rPr>
        <w:t>’</w:t>
      </w:r>
      <w:r w:rsidRPr="00FF65D6">
        <w:rPr>
          <w:lang w:val="fr-FR"/>
        </w:rPr>
        <w:t>acte violent a été commis</w:t>
      </w:r>
      <w:r w:rsidR="005C1799" w:rsidRPr="005C1799">
        <w:rPr>
          <w:lang w:val="fr-FR"/>
        </w:rPr>
        <w:t>.</w:t>
      </w:r>
      <w:r w:rsidRPr="00FF65D6">
        <w:rPr>
          <w:lang w:val="fr-FR"/>
        </w:rPr>
        <w:t xml:space="preserve"> En particulier, l</w:t>
      </w:r>
      <w:r w:rsidR="002127F6" w:rsidRPr="00FF65D6">
        <w:rPr>
          <w:lang w:val="fr-FR"/>
        </w:rPr>
        <w:t>’</w:t>
      </w:r>
      <w:r w:rsidRPr="00FF65D6">
        <w:rPr>
          <w:lang w:val="fr-FR"/>
        </w:rPr>
        <w:t>ensemble de mesures législatives élaboré a deux dimensions principales</w:t>
      </w:r>
      <w:r w:rsidR="003B7618" w:rsidRPr="00FF65D6">
        <w:rPr>
          <w:lang w:val="fr-FR"/>
        </w:rPr>
        <w:t> :</w:t>
      </w:r>
    </w:p>
    <w:p w14:paraId="11DC6ACC" w14:textId="77777777" w:rsidR="005C5C6A" w:rsidRPr="00FF65D6" w:rsidRDefault="005C5C6A" w:rsidP="008E079D">
      <w:pPr>
        <w:pStyle w:val="Bullet1G"/>
        <w:rPr>
          <w:lang w:val="fr-FR"/>
        </w:rPr>
      </w:pPr>
      <w:r w:rsidRPr="00FF65D6">
        <w:rPr>
          <w:lang w:val="fr-FR"/>
        </w:rPr>
        <w:t>Il fournit la définition juridique de l</w:t>
      </w:r>
      <w:r w:rsidR="002127F6" w:rsidRPr="00FF65D6">
        <w:rPr>
          <w:lang w:val="fr-FR"/>
        </w:rPr>
        <w:t>’</w:t>
      </w:r>
      <w:r w:rsidRPr="00FF65D6">
        <w:rPr>
          <w:lang w:val="fr-FR"/>
        </w:rPr>
        <w:t>expression « enfants vivant ou travaillant dans la rue »</w:t>
      </w:r>
      <w:r w:rsidR="003B7618" w:rsidRPr="00FF65D6">
        <w:rPr>
          <w:lang w:val="fr-FR"/>
        </w:rPr>
        <w:t> ;</w:t>
      </w:r>
      <w:r w:rsidRPr="00FF65D6">
        <w:rPr>
          <w:lang w:val="fr-FR"/>
        </w:rPr>
        <w:t xml:space="preserve"> ces enfants sont identifiés et se voient accorder le statut d</w:t>
      </w:r>
      <w:r w:rsidR="002127F6" w:rsidRPr="00FF65D6">
        <w:rPr>
          <w:lang w:val="fr-FR"/>
        </w:rPr>
        <w:t>’</w:t>
      </w:r>
      <w:r w:rsidRPr="00FF65D6">
        <w:rPr>
          <w:lang w:val="fr-FR"/>
        </w:rPr>
        <w:t>enfant sans abri par les travailleurs sociaux responsables</w:t>
      </w:r>
      <w:r w:rsidR="005C1799" w:rsidRPr="005C1799">
        <w:rPr>
          <w:lang w:val="fr-FR"/>
        </w:rPr>
        <w:t>.</w:t>
      </w:r>
      <w:r w:rsidRPr="00FF65D6">
        <w:rPr>
          <w:lang w:val="fr-FR"/>
        </w:rPr>
        <w:t xml:space="preserve"> L</w:t>
      </w:r>
      <w:r w:rsidR="002127F6" w:rsidRPr="00FF65D6">
        <w:rPr>
          <w:lang w:val="fr-FR"/>
        </w:rPr>
        <w:t>’</w:t>
      </w:r>
      <w:r w:rsidRPr="00FF65D6">
        <w:rPr>
          <w:lang w:val="fr-FR"/>
        </w:rPr>
        <w:t>octroi du statut d</w:t>
      </w:r>
      <w:r w:rsidR="002127F6" w:rsidRPr="00FF65D6">
        <w:rPr>
          <w:lang w:val="fr-FR"/>
        </w:rPr>
        <w:t>’</w:t>
      </w:r>
      <w:r w:rsidRPr="00FF65D6">
        <w:rPr>
          <w:lang w:val="fr-FR"/>
        </w:rPr>
        <w:t>enfant sans abri vise à créer la base juridique pour délivrer à ces enfants des documents d</w:t>
      </w:r>
      <w:r w:rsidR="002127F6" w:rsidRPr="00FF65D6">
        <w:rPr>
          <w:lang w:val="fr-FR"/>
        </w:rPr>
        <w:t>’</w:t>
      </w:r>
      <w:r w:rsidRPr="00FF65D6">
        <w:rPr>
          <w:lang w:val="fr-FR"/>
        </w:rPr>
        <w:t>identité à titre gratuit afin de garantir leur accès à différents services gérés par l</w:t>
      </w:r>
      <w:r w:rsidR="002127F6" w:rsidRPr="00FF65D6">
        <w:rPr>
          <w:lang w:val="fr-FR"/>
        </w:rPr>
        <w:t>’</w:t>
      </w:r>
      <w:r w:rsidRPr="00FF65D6">
        <w:rPr>
          <w:lang w:val="fr-FR"/>
        </w:rPr>
        <w:t>État, notamment l</w:t>
      </w:r>
      <w:r w:rsidR="002127F6" w:rsidRPr="00FF65D6">
        <w:rPr>
          <w:lang w:val="fr-FR"/>
        </w:rPr>
        <w:t>’</w:t>
      </w:r>
      <w:r w:rsidRPr="00FF65D6">
        <w:rPr>
          <w:lang w:val="fr-FR"/>
        </w:rPr>
        <w:t>éducation, les services médicaux et sociaux et d</w:t>
      </w:r>
      <w:r w:rsidR="002127F6" w:rsidRPr="00FF65D6">
        <w:rPr>
          <w:lang w:val="fr-FR"/>
        </w:rPr>
        <w:t>’</w:t>
      </w:r>
      <w:r w:rsidRPr="00FF65D6">
        <w:rPr>
          <w:lang w:val="fr-FR"/>
        </w:rPr>
        <w:t>autres types de services</w:t>
      </w:r>
      <w:r w:rsidR="005C1799" w:rsidRPr="005C1799">
        <w:rPr>
          <w:lang w:val="fr-FR"/>
        </w:rPr>
        <w:t>.</w:t>
      </w:r>
      <w:r w:rsidRPr="00FF65D6">
        <w:rPr>
          <w:lang w:val="fr-FR"/>
        </w:rPr>
        <w:t xml:space="preserve"> L</w:t>
      </w:r>
      <w:r w:rsidR="002127F6" w:rsidRPr="00FF65D6">
        <w:rPr>
          <w:lang w:val="fr-FR"/>
        </w:rPr>
        <w:t>’</w:t>
      </w:r>
      <w:r w:rsidRPr="00FF65D6">
        <w:rPr>
          <w:lang w:val="fr-FR"/>
        </w:rPr>
        <w:t>organe de tutelle, qui relève de l</w:t>
      </w:r>
      <w:r w:rsidR="002127F6" w:rsidRPr="00FF65D6">
        <w:rPr>
          <w:lang w:val="fr-FR"/>
        </w:rPr>
        <w:t>’</w:t>
      </w:r>
      <w:r w:rsidRPr="00FF65D6">
        <w:rPr>
          <w:lang w:val="fr-FR"/>
        </w:rPr>
        <w:t>Agence des services sociaux, est autorisé à renvoyer le dossier à l</w:t>
      </w:r>
      <w:r w:rsidR="002127F6" w:rsidRPr="00FF65D6">
        <w:rPr>
          <w:lang w:val="fr-FR"/>
        </w:rPr>
        <w:t>’</w:t>
      </w:r>
      <w:r w:rsidRPr="00FF65D6">
        <w:rPr>
          <w:lang w:val="fr-FR"/>
        </w:rPr>
        <w:t>Agence de développement des services publics, qui relève du Ministère géorgien de la justice, qui est compétent en matière d</w:t>
      </w:r>
      <w:r w:rsidR="002127F6" w:rsidRPr="00FF65D6">
        <w:rPr>
          <w:lang w:val="fr-FR"/>
        </w:rPr>
        <w:t>’</w:t>
      </w:r>
      <w:r w:rsidRPr="00FF65D6">
        <w:rPr>
          <w:lang w:val="fr-FR"/>
        </w:rPr>
        <w:t>enregistrement des faits d</w:t>
      </w:r>
      <w:r w:rsidR="002127F6" w:rsidRPr="00FF65D6">
        <w:rPr>
          <w:lang w:val="fr-FR"/>
        </w:rPr>
        <w:t>’</w:t>
      </w:r>
      <w:r w:rsidRPr="00FF65D6">
        <w:rPr>
          <w:lang w:val="fr-FR"/>
        </w:rPr>
        <w:t>état civil et de délivrance de documents d</w:t>
      </w:r>
      <w:r w:rsidR="002127F6" w:rsidRPr="00FF65D6">
        <w:rPr>
          <w:lang w:val="fr-FR"/>
        </w:rPr>
        <w:t>’</w:t>
      </w:r>
      <w:r w:rsidRPr="00FF65D6">
        <w:rPr>
          <w:lang w:val="fr-FR"/>
        </w:rPr>
        <w:t>identité aux enfants sans abri</w:t>
      </w:r>
      <w:r w:rsidR="003B7618" w:rsidRPr="00FF65D6">
        <w:rPr>
          <w:lang w:val="fr-FR"/>
        </w:rPr>
        <w:t> ;</w:t>
      </w:r>
      <w:r w:rsidRPr="00FF65D6">
        <w:rPr>
          <w:lang w:val="fr-FR"/>
        </w:rPr>
        <w:t xml:space="preserve"> </w:t>
      </w:r>
    </w:p>
    <w:p w14:paraId="4FF9CF61" w14:textId="77777777" w:rsidR="005C5C6A" w:rsidRPr="00FF65D6" w:rsidRDefault="005C5C6A" w:rsidP="008E079D">
      <w:pPr>
        <w:pStyle w:val="Bullet1G"/>
        <w:rPr>
          <w:lang w:val="fr-FR"/>
        </w:rPr>
      </w:pPr>
      <w:r w:rsidRPr="00FF65D6">
        <w:rPr>
          <w:lang w:val="fr-FR"/>
        </w:rPr>
        <w:t>Des modifications visent à renforcer le rôle des travailleurs sociaux</w:t>
      </w:r>
      <w:r w:rsidR="005C1799" w:rsidRPr="005C1799">
        <w:rPr>
          <w:lang w:val="fr-FR"/>
        </w:rPr>
        <w:t>.</w:t>
      </w:r>
      <w:r w:rsidRPr="00FF65D6">
        <w:rPr>
          <w:lang w:val="fr-FR"/>
        </w:rPr>
        <w:t xml:space="preserve"> En vertu de la nouvelle réglementation, le travailleur social est habilité à examiner si un enfant est victime de toute forme de violence et à décider de le retirer de sa famille ou de l</w:t>
      </w:r>
      <w:r w:rsidR="002127F6" w:rsidRPr="00FF65D6">
        <w:rPr>
          <w:lang w:val="fr-FR"/>
        </w:rPr>
        <w:t>’</w:t>
      </w:r>
      <w:r w:rsidRPr="00FF65D6">
        <w:rPr>
          <w:lang w:val="fr-FR"/>
        </w:rPr>
        <w:t>environnement où l</w:t>
      </w:r>
      <w:r w:rsidR="002127F6" w:rsidRPr="00FF65D6">
        <w:rPr>
          <w:lang w:val="fr-FR"/>
        </w:rPr>
        <w:t>’</w:t>
      </w:r>
      <w:r w:rsidRPr="00FF65D6">
        <w:rPr>
          <w:lang w:val="fr-FR"/>
        </w:rPr>
        <w:t>acte violent a été commis</w:t>
      </w:r>
      <w:r w:rsidR="005C1799" w:rsidRPr="005C1799">
        <w:rPr>
          <w:lang w:val="fr-FR"/>
        </w:rPr>
        <w:t>.</w:t>
      </w:r>
    </w:p>
    <w:p w14:paraId="3D9589B7" w14:textId="77777777" w:rsidR="005C5C6A" w:rsidRPr="00FF65D6" w:rsidRDefault="005C5C6A" w:rsidP="00F34341">
      <w:pPr>
        <w:pStyle w:val="SingleTxtG"/>
        <w:rPr>
          <w:lang w:val="fr-FR"/>
        </w:rPr>
      </w:pPr>
      <w:r w:rsidRPr="00FF65D6">
        <w:rPr>
          <w:lang w:val="fr-FR"/>
        </w:rPr>
        <w:t>131</w:t>
      </w:r>
      <w:r w:rsidR="005C1799" w:rsidRPr="005C1799">
        <w:rPr>
          <w:lang w:val="fr-FR"/>
        </w:rPr>
        <w:t>.</w:t>
      </w:r>
      <w:r w:rsidRPr="00FF65D6">
        <w:rPr>
          <w:lang w:val="fr-FR"/>
        </w:rPr>
        <w:tab/>
        <w:t>Le train de mesures législatives concernant les enfants sans abri a été adopté par le Parlement géorgien le 22 juin 2016 et est entré en vigueur le 10 août 2016</w:t>
      </w:r>
      <w:r w:rsidR="005C1799" w:rsidRPr="005C1799">
        <w:rPr>
          <w:lang w:val="fr-FR"/>
        </w:rPr>
        <w:t>.</w:t>
      </w:r>
    </w:p>
    <w:p w14:paraId="2CD10447" w14:textId="77777777" w:rsidR="005C5C6A" w:rsidRPr="00FF65D6" w:rsidRDefault="005C5C6A" w:rsidP="008E079D">
      <w:pPr>
        <w:pStyle w:val="H1G"/>
        <w:rPr>
          <w:lang w:val="fr-FR"/>
        </w:rPr>
      </w:pPr>
      <w:bookmarkStart w:id="27" w:name="_Toc472961719"/>
      <w:r w:rsidRPr="00FF65D6">
        <w:rPr>
          <w:lang w:val="fr-FR"/>
        </w:rPr>
        <w:tab/>
        <w:t>D</w:t>
      </w:r>
      <w:r w:rsidR="005C1799" w:rsidRPr="005C1799">
        <w:rPr>
          <w:b w:val="0"/>
          <w:lang w:val="fr-FR"/>
        </w:rPr>
        <w:t>.</w:t>
      </w:r>
      <w:r w:rsidRPr="00FF65D6">
        <w:rPr>
          <w:lang w:val="fr-FR"/>
        </w:rPr>
        <w:tab/>
        <w:t xml:space="preserve">Exercice de la compétence en matière pénale </w:t>
      </w:r>
      <w:bookmarkEnd w:id="27"/>
    </w:p>
    <w:p w14:paraId="699DE69E" w14:textId="77777777" w:rsidR="005C5C6A" w:rsidRPr="00FF65D6" w:rsidRDefault="005C5C6A" w:rsidP="00F34341">
      <w:pPr>
        <w:pStyle w:val="SingleTxtG"/>
        <w:rPr>
          <w:lang w:val="fr-FR"/>
        </w:rPr>
      </w:pPr>
      <w:r w:rsidRPr="00FF65D6">
        <w:rPr>
          <w:lang w:val="fr-FR"/>
        </w:rPr>
        <w:t>132</w:t>
      </w:r>
      <w:r w:rsidR="005C1799" w:rsidRPr="005C1799">
        <w:rPr>
          <w:lang w:val="fr-FR"/>
        </w:rPr>
        <w:t>.</w:t>
      </w:r>
      <w:r w:rsidRPr="00FF65D6">
        <w:rPr>
          <w:lang w:val="fr-FR"/>
        </w:rPr>
        <w:tab/>
        <w:t>La Géorgie exerce sa compétence pénale selon deux principes, celui de territorialité et celui d</w:t>
      </w:r>
      <w:r w:rsidR="002127F6" w:rsidRPr="00FF65D6">
        <w:rPr>
          <w:lang w:val="fr-FR"/>
        </w:rPr>
        <w:t>’</w:t>
      </w:r>
      <w:proofErr w:type="spellStart"/>
      <w:r w:rsidRPr="00FF65D6">
        <w:rPr>
          <w:lang w:val="fr-FR"/>
        </w:rPr>
        <w:t>extraterritorialité</w:t>
      </w:r>
      <w:proofErr w:type="spellEnd"/>
      <w:r w:rsidR="005C1799" w:rsidRPr="005C1799">
        <w:rPr>
          <w:lang w:val="fr-FR"/>
        </w:rPr>
        <w:t>.</w:t>
      </w:r>
      <w:r w:rsidRPr="00FF65D6">
        <w:rPr>
          <w:lang w:val="fr-FR"/>
        </w:rPr>
        <w:t xml:space="preserve"> L</w:t>
      </w:r>
      <w:r w:rsidR="002127F6" w:rsidRPr="00FF65D6">
        <w:rPr>
          <w:lang w:val="fr-FR"/>
        </w:rPr>
        <w:t>’</w:t>
      </w:r>
      <w:r w:rsidRPr="00FF65D6">
        <w:rPr>
          <w:lang w:val="fr-FR"/>
        </w:rPr>
        <w:t>article 4 du Code pénal géorgien dispose qu</w:t>
      </w:r>
      <w:r w:rsidR="002127F6" w:rsidRPr="00FF65D6">
        <w:rPr>
          <w:lang w:val="fr-FR"/>
        </w:rPr>
        <w:t>’</w:t>
      </w:r>
      <w:r w:rsidRPr="00FF65D6">
        <w:rPr>
          <w:lang w:val="fr-FR"/>
        </w:rPr>
        <w:t xml:space="preserve">une personne qui a commis une infraction sur le territoire géorgien est pénalement responsable en vertu de ce </w:t>
      </w:r>
      <w:r w:rsidR="008E079D" w:rsidRPr="00FF65D6">
        <w:rPr>
          <w:lang w:val="fr-FR"/>
        </w:rPr>
        <w:t>c</w:t>
      </w:r>
      <w:r w:rsidRPr="00FF65D6">
        <w:rPr>
          <w:lang w:val="fr-FR"/>
        </w:rPr>
        <w:t>ode</w:t>
      </w:r>
      <w:r w:rsidR="005C1799" w:rsidRPr="005C1799">
        <w:rPr>
          <w:lang w:val="fr-FR"/>
        </w:rPr>
        <w:t>.</w:t>
      </w:r>
      <w:r w:rsidRPr="00FF65D6">
        <w:rPr>
          <w:lang w:val="fr-FR"/>
        </w:rPr>
        <w:t xml:space="preserve"> De plus, l</w:t>
      </w:r>
      <w:r w:rsidR="002127F6" w:rsidRPr="00FF65D6">
        <w:rPr>
          <w:lang w:val="fr-FR"/>
        </w:rPr>
        <w:t>’</w:t>
      </w:r>
      <w:r w:rsidRPr="00FF65D6">
        <w:rPr>
          <w:lang w:val="fr-FR"/>
        </w:rPr>
        <w:t>article 4 dispose qu</w:t>
      </w:r>
      <w:r w:rsidR="002127F6" w:rsidRPr="00FF65D6">
        <w:rPr>
          <w:lang w:val="fr-FR"/>
        </w:rPr>
        <w:t>’</w:t>
      </w:r>
      <w:r w:rsidRPr="00FF65D6">
        <w:rPr>
          <w:lang w:val="fr-FR"/>
        </w:rPr>
        <w:t>une infraction est considérée comme ayant été commise sur le territoire géorgien si elle a commencé, s</w:t>
      </w:r>
      <w:r w:rsidR="002127F6" w:rsidRPr="00FF65D6">
        <w:rPr>
          <w:lang w:val="fr-FR"/>
        </w:rPr>
        <w:t>’</w:t>
      </w:r>
      <w:r w:rsidRPr="00FF65D6">
        <w:rPr>
          <w:lang w:val="fr-FR"/>
        </w:rPr>
        <w:t>est poursuivie ou a pris fin sur le territoire géorgien et étend la compétence pénale de la Géorgie au plateau continental et à la Zone économique spéciale de la Géorgie et aux personnes ayant commis une infraction à bord d</w:t>
      </w:r>
      <w:r w:rsidR="002127F6" w:rsidRPr="00FF65D6">
        <w:rPr>
          <w:lang w:val="fr-FR"/>
        </w:rPr>
        <w:t>’</w:t>
      </w:r>
      <w:r w:rsidRPr="00FF65D6">
        <w:rPr>
          <w:lang w:val="fr-FR"/>
        </w:rPr>
        <w:t>un navire ou contre un navire autorisé à battre le pavillon national ou à arborer les insignes nationaux de la Géorgie</w:t>
      </w:r>
      <w:r w:rsidR="005C1799" w:rsidRPr="005C1799">
        <w:rPr>
          <w:lang w:val="fr-FR"/>
        </w:rPr>
        <w:t>.</w:t>
      </w:r>
      <w:r w:rsidRPr="00FF65D6">
        <w:rPr>
          <w:lang w:val="fr-FR"/>
        </w:rPr>
        <w:t xml:space="preserve"> En vertu de l</w:t>
      </w:r>
      <w:r w:rsidR="002127F6" w:rsidRPr="00FF65D6">
        <w:rPr>
          <w:lang w:val="fr-FR"/>
        </w:rPr>
        <w:t>’</w:t>
      </w:r>
      <w:r w:rsidRPr="00FF65D6">
        <w:rPr>
          <w:lang w:val="fr-FR"/>
        </w:rPr>
        <w:t>article 5 de son Code pénal, sa compétence extraterritoriale est fondée sur les principes de la personnalité active (compte dûment tenu du principe de double incrimination), de la protection et de la compétence universelle</w:t>
      </w:r>
      <w:r w:rsidR="005C1799" w:rsidRPr="005C1799">
        <w:rPr>
          <w:lang w:val="fr-FR"/>
        </w:rPr>
        <w:t>.</w:t>
      </w:r>
      <w:r w:rsidRPr="00FF65D6">
        <w:rPr>
          <w:lang w:val="fr-FR"/>
        </w:rPr>
        <w:t xml:space="preserve"> Cette dernière est prévue au paragraphe 3 de</w:t>
      </w:r>
      <w:r w:rsidR="002127F6" w:rsidRPr="00FF65D6">
        <w:rPr>
          <w:lang w:val="fr-FR"/>
        </w:rPr>
        <w:t xml:space="preserve"> </w:t>
      </w:r>
      <w:r w:rsidRPr="00FF65D6">
        <w:rPr>
          <w:lang w:val="fr-FR"/>
        </w:rPr>
        <w:t>l</w:t>
      </w:r>
      <w:r w:rsidR="002127F6" w:rsidRPr="00FF65D6">
        <w:rPr>
          <w:lang w:val="fr-FR"/>
        </w:rPr>
        <w:t>’</w:t>
      </w:r>
      <w:r w:rsidRPr="00FF65D6">
        <w:rPr>
          <w:lang w:val="fr-FR"/>
        </w:rPr>
        <w:t>article 5, qui énonce que la responsabilité pénale d</w:t>
      </w:r>
      <w:r w:rsidR="002127F6" w:rsidRPr="00FF65D6">
        <w:rPr>
          <w:lang w:val="fr-FR"/>
        </w:rPr>
        <w:t>’</w:t>
      </w:r>
      <w:r w:rsidRPr="00FF65D6">
        <w:rPr>
          <w:lang w:val="fr-FR"/>
        </w:rPr>
        <w:t>un ressortissant étranger ou d</w:t>
      </w:r>
      <w:r w:rsidR="002127F6" w:rsidRPr="00FF65D6">
        <w:rPr>
          <w:lang w:val="fr-FR"/>
        </w:rPr>
        <w:t>’</w:t>
      </w:r>
      <w:r w:rsidRPr="00FF65D6">
        <w:rPr>
          <w:lang w:val="fr-FR"/>
        </w:rPr>
        <w:t>un apatride peut être engagée pour une infraction commise à l</w:t>
      </w:r>
      <w:r w:rsidR="002127F6" w:rsidRPr="00FF65D6">
        <w:rPr>
          <w:lang w:val="fr-FR"/>
        </w:rPr>
        <w:t>’</w:t>
      </w:r>
      <w:r w:rsidRPr="00FF65D6">
        <w:rPr>
          <w:lang w:val="fr-FR"/>
        </w:rPr>
        <w:t>étranger si un traité international auquel la Géorgie est partie en dispose ainsi</w:t>
      </w:r>
      <w:r w:rsidR="005C1799" w:rsidRPr="005C1799">
        <w:rPr>
          <w:lang w:val="fr-FR"/>
        </w:rPr>
        <w:t>.</w:t>
      </w:r>
    </w:p>
    <w:p w14:paraId="69A51888" w14:textId="77777777" w:rsidR="005C5C6A" w:rsidRPr="00FF65D6" w:rsidRDefault="005C5C6A" w:rsidP="008E079D">
      <w:pPr>
        <w:pStyle w:val="H1G"/>
        <w:rPr>
          <w:lang w:val="fr-FR"/>
        </w:rPr>
      </w:pPr>
      <w:bookmarkStart w:id="28" w:name="_Toc472961720"/>
      <w:r w:rsidRPr="00FF65D6">
        <w:rPr>
          <w:lang w:val="fr-FR"/>
        </w:rPr>
        <w:tab/>
        <w:t>E</w:t>
      </w:r>
      <w:r w:rsidR="005C1799" w:rsidRPr="005C1799">
        <w:rPr>
          <w:b w:val="0"/>
          <w:lang w:val="fr-FR"/>
        </w:rPr>
        <w:t>.</w:t>
      </w:r>
      <w:r w:rsidRPr="00FF65D6">
        <w:rPr>
          <w:lang w:val="fr-FR"/>
        </w:rPr>
        <w:tab/>
        <w:t xml:space="preserve">Prescription </w:t>
      </w:r>
      <w:bookmarkEnd w:id="28"/>
    </w:p>
    <w:p w14:paraId="7DAB1123" w14:textId="77777777" w:rsidR="005C5C6A" w:rsidRPr="00FF65D6" w:rsidRDefault="005C5C6A" w:rsidP="00F34341">
      <w:pPr>
        <w:pStyle w:val="SingleTxtG"/>
        <w:rPr>
          <w:lang w:val="fr-FR"/>
        </w:rPr>
      </w:pPr>
      <w:r w:rsidRPr="00FF65D6">
        <w:rPr>
          <w:lang w:val="fr-FR"/>
        </w:rPr>
        <w:t>133</w:t>
      </w:r>
      <w:r w:rsidR="005C1799" w:rsidRPr="005C1799">
        <w:rPr>
          <w:lang w:val="fr-FR"/>
        </w:rPr>
        <w:t>.</w:t>
      </w:r>
      <w:r w:rsidRPr="00FF65D6">
        <w:rPr>
          <w:lang w:val="fr-FR"/>
        </w:rPr>
        <w:tab/>
        <w:t>Les questions de prescription sont régies par le paragraphe 1 de l</w:t>
      </w:r>
      <w:r w:rsidR="002127F6" w:rsidRPr="00FF65D6">
        <w:rPr>
          <w:lang w:val="fr-FR"/>
        </w:rPr>
        <w:t>’</w:t>
      </w:r>
      <w:r w:rsidRPr="00FF65D6">
        <w:rPr>
          <w:lang w:val="fr-FR"/>
        </w:rPr>
        <w:t>article 71,</w:t>
      </w:r>
      <w:r w:rsidR="002127F6" w:rsidRPr="00FF65D6">
        <w:rPr>
          <w:lang w:val="fr-FR"/>
        </w:rPr>
        <w:t xml:space="preserve"> </w:t>
      </w:r>
      <w:r w:rsidRPr="00FF65D6">
        <w:rPr>
          <w:lang w:val="fr-FR"/>
        </w:rPr>
        <w:t>du Code pénal, qui dispose qu</w:t>
      </w:r>
      <w:r w:rsidR="002127F6" w:rsidRPr="00FF65D6">
        <w:rPr>
          <w:lang w:val="fr-FR"/>
        </w:rPr>
        <w:t>’</w:t>
      </w:r>
      <w:r w:rsidRPr="00FF65D6">
        <w:rPr>
          <w:lang w:val="fr-FR"/>
        </w:rPr>
        <w:t>une personne est affranchie de toute responsabilité pénale si</w:t>
      </w:r>
      <w:r w:rsidR="003B7618" w:rsidRPr="00FF65D6">
        <w:rPr>
          <w:lang w:val="fr-FR"/>
        </w:rPr>
        <w:t> :</w:t>
      </w:r>
    </w:p>
    <w:p w14:paraId="26BD75F6" w14:textId="77777777" w:rsidR="005C5C6A" w:rsidRPr="00FF65D6" w:rsidRDefault="005C5C6A" w:rsidP="00F34341">
      <w:pPr>
        <w:pStyle w:val="SingleTxtG"/>
        <w:rPr>
          <w:lang w:val="fr-FR"/>
        </w:rPr>
      </w:pPr>
      <w:r w:rsidRPr="00FF65D6">
        <w:rPr>
          <w:lang w:val="fr-FR"/>
        </w:rPr>
        <w:tab/>
        <w:t>a)</w:t>
      </w:r>
      <w:r w:rsidRPr="00FF65D6">
        <w:rPr>
          <w:lang w:val="fr-FR"/>
        </w:rPr>
        <w:tab/>
      </w:r>
      <w:r w:rsidR="008E079D" w:rsidRPr="00FF65D6">
        <w:rPr>
          <w:lang w:val="fr-FR"/>
        </w:rPr>
        <w:t>D</w:t>
      </w:r>
      <w:r w:rsidRPr="00FF65D6">
        <w:rPr>
          <w:lang w:val="fr-FR"/>
        </w:rPr>
        <w:t>eux ans se sont écoulés depuis la commission d</w:t>
      </w:r>
      <w:r w:rsidR="002127F6" w:rsidRPr="00FF65D6">
        <w:rPr>
          <w:lang w:val="fr-FR"/>
        </w:rPr>
        <w:t>’</w:t>
      </w:r>
      <w:r w:rsidRPr="00FF65D6">
        <w:rPr>
          <w:lang w:val="fr-FR"/>
        </w:rPr>
        <w:t>une infraction</w:t>
      </w:r>
      <w:r w:rsidR="002127F6" w:rsidRPr="00FF65D6">
        <w:rPr>
          <w:lang w:val="fr-FR"/>
        </w:rPr>
        <w:t xml:space="preserve"> </w:t>
      </w:r>
      <w:r w:rsidRPr="00FF65D6">
        <w:rPr>
          <w:lang w:val="fr-FR"/>
        </w:rPr>
        <w:t>pour laquelle la peine maximale prévue par la partie spéciale du</w:t>
      </w:r>
      <w:r w:rsidR="002127F6" w:rsidRPr="00FF65D6">
        <w:rPr>
          <w:lang w:val="fr-FR"/>
        </w:rPr>
        <w:t xml:space="preserve"> </w:t>
      </w:r>
      <w:r w:rsidRPr="00FF65D6">
        <w:rPr>
          <w:lang w:val="fr-FR"/>
        </w:rPr>
        <w:t>Code pénal ne dépasse pas deux ans d</w:t>
      </w:r>
      <w:r w:rsidR="002127F6" w:rsidRPr="00FF65D6">
        <w:rPr>
          <w:lang w:val="fr-FR"/>
        </w:rPr>
        <w:t>’</w:t>
      </w:r>
      <w:r w:rsidRPr="00FF65D6">
        <w:rPr>
          <w:lang w:val="fr-FR"/>
        </w:rPr>
        <w:t>emprisonnement</w:t>
      </w:r>
      <w:r w:rsidR="003B7618" w:rsidRPr="00FF65D6">
        <w:rPr>
          <w:lang w:val="fr-FR"/>
        </w:rPr>
        <w:t> ;</w:t>
      </w:r>
    </w:p>
    <w:p w14:paraId="4D6316CA" w14:textId="77777777" w:rsidR="005C5C6A" w:rsidRPr="00FF65D6" w:rsidRDefault="005C5C6A" w:rsidP="00F34341">
      <w:pPr>
        <w:pStyle w:val="SingleTxtG"/>
        <w:rPr>
          <w:lang w:val="fr-FR"/>
        </w:rPr>
      </w:pPr>
      <w:r w:rsidRPr="00FF65D6">
        <w:rPr>
          <w:lang w:val="fr-FR"/>
        </w:rPr>
        <w:tab/>
        <w:t>b)</w:t>
      </w:r>
      <w:r w:rsidRPr="00FF65D6">
        <w:rPr>
          <w:lang w:val="fr-FR"/>
        </w:rPr>
        <w:tab/>
      </w:r>
      <w:r w:rsidR="008E079D" w:rsidRPr="00FF65D6">
        <w:rPr>
          <w:lang w:val="fr-FR"/>
        </w:rPr>
        <w:t>S</w:t>
      </w:r>
      <w:r w:rsidRPr="00FF65D6">
        <w:rPr>
          <w:lang w:val="fr-FR"/>
        </w:rPr>
        <w:t>ix ans se sont écoulés depuis la commission d</w:t>
      </w:r>
      <w:r w:rsidR="002127F6" w:rsidRPr="00FF65D6">
        <w:rPr>
          <w:lang w:val="fr-FR"/>
        </w:rPr>
        <w:t>’</w:t>
      </w:r>
      <w:r w:rsidRPr="00FF65D6">
        <w:rPr>
          <w:lang w:val="fr-FR"/>
        </w:rPr>
        <w:t>une autre infraction de moindre gravité</w:t>
      </w:r>
      <w:r w:rsidR="003B7618" w:rsidRPr="00FF65D6">
        <w:rPr>
          <w:lang w:val="fr-FR"/>
        </w:rPr>
        <w:t> ;</w:t>
      </w:r>
    </w:p>
    <w:p w14:paraId="6D6E149A" w14:textId="77777777" w:rsidR="005C5C6A" w:rsidRPr="00FF65D6" w:rsidRDefault="005C5C6A" w:rsidP="00F34341">
      <w:pPr>
        <w:pStyle w:val="SingleTxtG"/>
        <w:rPr>
          <w:lang w:val="fr-FR"/>
        </w:rPr>
      </w:pPr>
      <w:r w:rsidRPr="00FF65D6">
        <w:rPr>
          <w:lang w:val="fr-FR"/>
        </w:rPr>
        <w:tab/>
        <w:t>c)</w:t>
      </w:r>
      <w:r w:rsidRPr="00FF65D6">
        <w:rPr>
          <w:lang w:val="fr-FR"/>
        </w:rPr>
        <w:tab/>
      </w:r>
      <w:r w:rsidR="008E079D" w:rsidRPr="00FF65D6">
        <w:rPr>
          <w:lang w:val="fr-FR"/>
        </w:rPr>
        <w:t>Dix</w:t>
      </w:r>
      <w:r w:rsidRPr="00FF65D6">
        <w:rPr>
          <w:lang w:val="fr-FR"/>
        </w:rPr>
        <w:t xml:space="preserve"> ans se sont écoulés depuis la commission d</w:t>
      </w:r>
      <w:r w:rsidR="002127F6" w:rsidRPr="00FF65D6">
        <w:rPr>
          <w:lang w:val="fr-FR"/>
        </w:rPr>
        <w:t>’</w:t>
      </w:r>
      <w:r w:rsidRPr="00FF65D6">
        <w:rPr>
          <w:lang w:val="fr-FR"/>
        </w:rPr>
        <w:t>une infraction grave</w:t>
      </w:r>
      <w:r w:rsidR="003B7618" w:rsidRPr="00FF65D6">
        <w:rPr>
          <w:lang w:val="fr-FR"/>
        </w:rPr>
        <w:t> ;</w:t>
      </w:r>
    </w:p>
    <w:p w14:paraId="33195441" w14:textId="77777777" w:rsidR="005C5C6A" w:rsidRPr="00FF65D6" w:rsidRDefault="005C5C6A" w:rsidP="00F34341">
      <w:pPr>
        <w:pStyle w:val="SingleTxtG"/>
        <w:rPr>
          <w:lang w:val="fr-FR"/>
        </w:rPr>
      </w:pPr>
      <w:r w:rsidRPr="00FF65D6">
        <w:rPr>
          <w:lang w:val="fr-FR"/>
        </w:rPr>
        <w:tab/>
        <w:t>d)</w:t>
      </w:r>
      <w:r w:rsidRPr="00FF65D6">
        <w:rPr>
          <w:lang w:val="fr-FR"/>
        </w:rPr>
        <w:tab/>
      </w:r>
      <w:r w:rsidR="008E079D" w:rsidRPr="00FF65D6">
        <w:rPr>
          <w:lang w:val="fr-FR"/>
        </w:rPr>
        <w:t>Quinze</w:t>
      </w:r>
      <w:r w:rsidRPr="00FF65D6">
        <w:rPr>
          <w:lang w:val="fr-FR"/>
        </w:rPr>
        <w:t xml:space="preserve"> ans se sont écoulés depuis la commission des infractions visées aux articles 332 à</w:t>
      </w:r>
      <w:r w:rsidR="002127F6" w:rsidRPr="00FF65D6">
        <w:rPr>
          <w:lang w:val="fr-FR"/>
        </w:rPr>
        <w:t xml:space="preserve"> </w:t>
      </w:r>
      <w:r w:rsidRPr="00FF65D6">
        <w:rPr>
          <w:lang w:val="fr-FR"/>
        </w:rPr>
        <w:t>342 (faute commise par un fonctionnaire dans l</w:t>
      </w:r>
      <w:r w:rsidR="002127F6" w:rsidRPr="00FF65D6">
        <w:rPr>
          <w:lang w:val="fr-FR"/>
        </w:rPr>
        <w:t>’</w:t>
      </w:r>
      <w:r w:rsidRPr="00FF65D6">
        <w:rPr>
          <w:lang w:val="fr-FR"/>
        </w:rPr>
        <w:t>exercice de ses fonctions) du</w:t>
      </w:r>
      <w:r w:rsidR="002127F6" w:rsidRPr="00FF65D6">
        <w:rPr>
          <w:lang w:val="fr-FR"/>
        </w:rPr>
        <w:t xml:space="preserve"> </w:t>
      </w:r>
      <w:r w:rsidRPr="00FF65D6">
        <w:rPr>
          <w:lang w:val="fr-FR"/>
        </w:rPr>
        <w:t>Code pénal, sauf si ce sont des infractions particulièrement graves</w:t>
      </w:r>
      <w:r w:rsidR="003B7618" w:rsidRPr="00FF65D6">
        <w:rPr>
          <w:lang w:val="fr-FR"/>
        </w:rPr>
        <w:t> ;</w:t>
      </w:r>
    </w:p>
    <w:p w14:paraId="6DC20246" w14:textId="77777777" w:rsidR="005C5C6A" w:rsidRPr="00FF65D6" w:rsidRDefault="005C5C6A" w:rsidP="00F34341">
      <w:pPr>
        <w:pStyle w:val="SingleTxtG"/>
        <w:rPr>
          <w:lang w:val="fr-FR"/>
        </w:rPr>
      </w:pPr>
      <w:r w:rsidRPr="00FF65D6">
        <w:rPr>
          <w:lang w:val="fr-FR"/>
        </w:rPr>
        <w:tab/>
        <w:t>e)</w:t>
      </w:r>
      <w:r w:rsidRPr="00FF65D6">
        <w:rPr>
          <w:lang w:val="fr-FR"/>
        </w:rPr>
        <w:tab/>
      </w:r>
      <w:r w:rsidR="008E079D" w:rsidRPr="00FF65D6">
        <w:rPr>
          <w:lang w:val="fr-FR"/>
        </w:rPr>
        <w:t>Vingt-cinq</w:t>
      </w:r>
      <w:r w:rsidRPr="00FF65D6">
        <w:rPr>
          <w:lang w:val="fr-FR"/>
        </w:rPr>
        <w:t xml:space="preserve"> ans se sont écoulés depuis la commission d</w:t>
      </w:r>
      <w:r w:rsidR="002127F6" w:rsidRPr="00FF65D6">
        <w:rPr>
          <w:lang w:val="fr-FR"/>
        </w:rPr>
        <w:t>’</w:t>
      </w:r>
      <w:r w:rsidRPr="00FF65D6">
        <w:rPr>
          <w:lang w:val="fr-FR"/>
        </w:rPr>
        <w:t>une infraction grave</w:t>
      </w:r>
      <w:r w:rsidR="005C1799" w:rsidRPr="005C1799">
        <w:rPr>
          <w:lang w:val="fr-FR"/>
        </w:rPr>
        <w:t>.</w:t>
      </w:r>
    </w:p>
    <w:p w14:paraId="46DE2E44" w14:textId="77777777" w:rsidR="005C5C6A" w:rsidRPr="00FF65D6" w:rsidRDefault="005C5C6A" w:rsidP="00F34341">
      <w:pPr>
        <w:pStyle w:val="SingleTxtG"/>
        <w:rPr>
          <w:lang w:val="fr-FR"/>
        </w:rPr>
      </w:pPr>
      <w:r w:rsidRPr="00FF65D6">
        <w:rPr>
          <w:lang w:val="fr-FR"/>
        </w:rPr>
        <w:t>134</w:t>
      </w:r>
      <w:r w:rsidR="005C1799" w:rsidRPr="005C1799">
        <w:rPr>
          <w:lang w:val="fr-FR"/>
        </w:rPr>
        <w:t>.</w:t>
      </w:r>
      <w:r w:rsidRPr="00FF65D6">
        <w:rPr>
          <w:lang w:val="fr-FR"/>
        </w:rPr>
        <w:tab/>
        <w:t>Il convient de préciser que la législation pénale géorgienne distingue trois catégories d</w:t>
      </w:r>
      <w:r w:rsidR="002127F6" w:rsidRPr="00FF65D6">
        <w:rPr>
          <w:lang w:val="fr-FR"/>
        </w:rPr>
        <w:t>’</w:t>
      </w:r>
      <w:r w:rsidRPr="00FF65D6">
        <w:rPr>
          <w:lang w:val="fr-FR"/>
        </w:rPr>
        <w:t>infraction</w:t>
      </w:r>
      <w:r w:rsidR="003B7618" w:rsidRPr="00FF65D6">
        <w:rPr>
          <w:lang w:val="fr-FR"/>
        </w:rPr>
        <w:t> :</w:t>
      </w:r>
      <w:r w:rsidRPr="00FF65D6">
        <w:rPr>
          <w:lang w:val="fr-FR"/>
        </w:rPr>
        <w:t xml:space="preserve"> les infractions de moindre gravité</w:t>
      </w:r>
      <w:r w:rsidR="003B7618" w:rsidRPr="00FF65D6">
        <w:rPr>
          <w:lang w:val="fr-FR"/>
        </w:rPr>
        <w:t> ;</w:t>
      </w:r>
      <w:r w:rsidRPr="00FF65D6">
        <w:rPr>
          <w:lang w:val="fr-FR"/>
        </w:rPr>
        <w:t xml:space="preserve"> les infractions graves et les infractions particulièrement graves</w:t>
      </w:r>
      <w:r w:rsidR="005C1799" w:rsidRPr="005C1799">
        <w:rPr>
          <w:lang w:val="fr-FR"/>
        </w:rPr>
        <w:t>.</w:t>
      </w:r>
      <w:r w:rsidRPr="00FF65D6">
        <w:rPr>
          <w:lang w:val="fr-FR"/>
        </w:rPr>
        <w:t xml:space="preserve"> </w:t>
      </w:r>
    </w:p>
    <w:p w14:paraId="54A1C3D7" w14:textId="77777777" w:rsidR="005C5C6A" w:rsidRPr="00FF65D6" w:rsidRDefault="005C5C6A" w:rsidP="00F34341">
      <w:pPr>
        <w:pStyle w:val="SingleTxtG"/>
        <w:rPr>
          <w:lang w:val="fr-FR"/>
        </w:rPr>
      </w:pPr>
      <w:r w:rsidRPr="00FF65D6">
        <w:rPr>
          <w:lang w:val="fr-FR"/>
        </w:rPr>
        <w:t>135</w:t>
      </w:r>
      <w:r w:rsidR="005C1799" w:rsidRPr="005C1799">
        <w:rPr>
          <w:lang w:val="fr-FR"/>
        </w:rPr>
        <w:t>.</w:t>
      </w:r>
      <w:r w:rsidRPr="00FF65D6">
        <w:rPr>
          <w:lang w:val="fr-FR"/>
        </w:rPr>
        <w:tab/>
        <w:t>En vertu de l</w:t>
      </w:r>
      <w:r w:rsidR="002127F6" w:rsidRPr="00FF65D6">
        <w:rPr>
          <w:lang w:val="fr-FR"/>
        </w:rPr>
        <w:t>’</w:t>
      </w:r>
      <w:r w:rsidRPr="00FF65D6">
        <w:rPr>
          <w:lang w:val="fr-FR"/>
        </w:rPr>
        <w:t>article 12 du Code pénal, les infractions de moindre gravité sont les infractions intentionnelles ou les infractions</w:t>
      </w:r>
      <w:r w:rsidR="002127F6" w:rsidRPr="00FF65D6">
        <w:rPr>
          <w:lang w:val="fr-FR"/>
        </w:rPr>
        <w:t xml:space="preserve"> </w:t>
      </w:r>
      <w:r w:rsidRPr="00FF65D6">
        <w:rPr>
          <w:lang w:val="fr-FR"/>
        </w:rPr>
        <w:t>par</w:t>
      </w:r>
      <w:r w:rsidR="002127F6" w:rsidRPr="00FF65D6">
        <w:rPr>
          <w:lang w:val="fr-FR"/>
        </w:rPr>
        <w:t xml:space="preserve"> </w:t>
      </w:r>
      <w:r w:rsidRPr="00FF65D6">
        <w:rPr>
          <w:lang w:val="fr-FR"/>
        </w:rPr>
        <w:t>négligence qui sont passibles en vertu du Code pénal d</w:t>
      </w:r>
      <w:r w:rsidR="002127F6" w:rsidRPr="00FF65D6">
        <w:rPr>
          <w:lang w:val="fr-FR"/>
        </w:rPr>
        <w:t>’</w:t>
      </w:r>
      <w:r w:rsidRPr="00FF65D6">
        <w:rPr>
          <w:lang w:val="fr-FR"/>
        </w:rPr>
        <w:t xml:space="preserve">une peine de </w:t>
      </w:r>
      <w:r w:rsidR="008E079D" w:rsidRPr="00FF65D6">
        <w:rPr>
          <w:lang w:val="fr-FR"/>
        </w:rPr>
        <w:t>cinq</w:t>
      </w:r>
      <w:r w:rsidRPr="00FF65D6">
        <w:rPr>
          <w:lang w:val="fr-FR"/>
        </w:rPr>
        <w:t xml:space="preserve"> ans d</w:t>
      </w:r>
      <w:r w:rsidR="002127F6" w:rsidRPr="00FF65D6">
        <w:rPr>
          <w:lang w:val="fr-FR"/>
        </w:rPr>
        <w:t>’</w:t>
      </w:r>
      <w:r w:rsidRPr="00FF65D6">
        <w:rPr>
          <w:lang w:val="fr-FR"/>
        </w:rPr>
        <w:t>emprisonnement au plus</w:t>
      </w:r>
      <w:r w:rsidR="005C1799" w:rsidRPr="005C1799">
        <w:rPr>
          <w:lang w:val="fr-FR"/>
        </w:rPr>
        <w:t>.</w:t>
      </w:r>
      <w:r w:rsidRPr="00FF65D6">
        <w:rPr>
          <w:lang w:val="fr-FR"/>
        </w:rPr>
        <w:t xml:space="preserve"> Une infraction intentionnelle pour la commission de laquelle la peine maximale est de </w:t>
      </w:r>
      <w:r w:rsidR="008E079D" w:rsidRPr="00FF65D6">
        <w:rPr>
          <w:lang w:val="fr-FR"/>
        </w:rPr>
        <w:t>dix</w:t>
      </w:r>
      <w:r w:rsidRPr="00FF65D6">
        <w:rPr>
          <w:lang w:val="fr-FR"/>
        </w:rPr>
        <w:t xml:space="preserve"> ans d</w:t>
      </w:r>
      <w:r w:rsidR="002127F6" w:rsidRPr="00FF65D6">
        <w:rPr>
          <w:lang w:val="fr-FR"/>
        </w:rPr>
        <w:t>’</w:t>
      </w:r>
      <w:r w:rsidRPr="00FF65D6">
        <w:rPr>
          <w:lang w:val="fr-FR"/>
        </w:rPr>
        <w:t xml:space="preserve">emprisonnement en vertu du Code, et une infraction par négligence pour la commission de laquelle la peine maximale est supérieure à </w:t>
      </w:r>
      <w:r w:rsidR="008E079D" w:rsidRPr="00FF65D6">
        <w:rPr>
          <w:lang w:val="fr-FR"/>
        </w:rPr>
        <w:t>cinq</w:t>
      </w:r>
      <w:r w:rsidRPr="00FF65D6">
        <w:rPr>
          <w:lang w:val="fr-FR"/>
        </w:rPr>
        <w:t xml:space="preserve"> ans d</w:t>
      </w:r>
      <w:r w:rsidR="002127F6" w:rsidRPr="00FF65D6">
        <w:rPr>
          <w:lang w:val="fr-FR"/>
        </w:rPr>
        <w:t>’</w:t>
      </w:r>
      <w:r w:rsidRPr="00FF65D6">
        <w:rPr>
          <w:lang w:val="fr-FR"/>
        </w:rPr>
        <w:t>emprisonnement constituent des infractions graves</w:t>
      </w:r>
      <w:r w:rsidR="005C1799" w:rsidRPr="005C1799">
        <w:rPr>
          <w:lang w:val="fr-FR"/>
        </w:rPr>
        <w:t>.</w:t>
      </w:r>
      <w:r w:rsidRPr="00FF65D6">
        <w:rPr>
          <w:lang w:val="fr-FR"/>
        </w:rPr>
        <w:t xml:space="preserve"> Les infractions particulièrement graves ne peuvent être que des infractions intentionnelles et elles sont passibles d</w:t>
      </w:r>
      <w:r w:rsidR="002127F6" w:rsidRPr="00FF65D6">
        <w:rPr>
          <w:lang w:val="fr-FR"/>
        </w:rPr>
        <w:t>’</w:t>
      </w:r>
      <w:r w:rsidRPr="00FF65D6">
        <w:rPr>
          <w:lang w:val="fr-FR"/>
        </w:rPr>
        <w:t>une peine d</w:t>
      </w:r>
      <w:r w:rsidR="002127F6" w:rsidRPr="00FF65D6">
        <w:rPr>
          <w:lang w:val="fr-FR"/>
        </w:rPr>
        <w:t>’</w:t>
      </w:r>
      <w:r w:rsidRPr="00FF65D6">
        <w:rPr>
          <w:lang w:val="fr-FR"/>
        </w:rPr>
        <w:t xml:space="preserve">emprisonnement de plus de </w:t>
      </w:r>
      <w:r w:rsidR="008E079D" w:rsidRPr="00FF65D6">
        <w:rPr>
          <w:lang w:val="fr-FR"/>
        </w:rPr>
        <w:t>dix</w:t>
      </w:r>
      <w:r w:rsidRPr="00FF65D6">
        <w:rPr>
          <w:lang w:val="fr-FR"/>
        </w:rPr>
        <w:t xml:space="preserve"> ans ou de la réclusion à perpétuité</w:t>
      </w:r>
      <w:r w:rsidR="005C1799" w:rsidRPr="005C1799">
        <w:rPr>
          <w:lang w:val="fr-FR"/>
        </w:rPr>
        <w:t>.</w:t>
      </w:r>
      <w:r w:rsidRPr="00FF65D6">
        <w:rPr>
          <w:lang w:val="fr-FR"/>
        </w:rPr>
        <w:t xml:space="preserve"> </w:t>
      </w:r>
    </w:p>
    <w:p w14:paraId="5CE2E07A" w14:textId="77777777" w:rsidR="005C5C6A" w:rsidRPr="00FF65D6" w:rsidRDefault="005C5C6A" w:rsidP="00F34341">
      <w:pPr>
        <w:pStyle w:val="SingleTxtG"/>
        <w:rPr>
          <w:lang w:val="fr-FR"/>
        </w:rPr>
      </w:pPr>
      <w:r w:rsidRPr="00FF65D6">
        <w:rPr>
          <w:lang w:val="fr-FR"/>
        </w:rPr>
        <w:t>136</w:t>
      </w:r>
      <w:r w:rsidR="005C1799" w:rsidRPr="005C1799">
        <w:rPr>
          <w:lang w:val="fr-FR"/>
        </w:rPr>
        <w:t>.</w:t>
      </w:r>
      <w:r w:rsidRPr="00FF65D6">
        <w:rPr>
          <w:lang w:val="fr-FR"/>
        </w:rPr>
        <w:tab/>
        <w:t>En vertu du paragraphe 3 de l</w:t>
      </w:r>
      <w:r w:rsidR="002127F6" w:rsidRPr="00FF65D6">
        <w:rPr>
          <w:lang w:val="fr-FR"/>
        </w:rPr>
        <w:t>’</w:t>
      </w:r>
      <w:r w:rsidRPr="00FF65D6">
        <w:rPr>
          <w:lang w:val="fr-FR"/>
        </w:rPr>
        <w:t>article 71, le délai de prescription est suspendu si l</w:t>
      </w:r>
      <w:r w:rsidR="002127F6" w:rsidRPr="00FF65D6">
        <w:rPr>
          <w:lang w:val="fr-FR"/>
        </w:rPr>
        <w:t>’</w:t>
      </w:r>
      <w:r w:rsidRPr="00FF65D6">
        <w:rPr>
          <w:lang w:val="fr-FR"/>
        </w:rPr>
        <w:t>auteur a pris la fuite au cours de l</w:t>
      </w:r>
      <w:r w:rsidR="002127F6" w:rsidRPr="00FF65D6">
        <w:rPr>
          <w:lang w:val="fr-FR"/>
        </w:rPr>
        <w:t>’</w:t>
      </w:r>
      <w:r w:rsidRPr="00FF65D6">
        <w:rPr>
          <w:lang w:val="fr-FR"/>
        </w:rPr>
        <w:t>enquête ou du procès</w:t>
      </w:r>
      <w:r w:rsidR="005C1799" w:rsidRPr="005C1799">
        <w:rPr>
          <w:lang w:val="fr-FR"/>
        </w:rPr>
        <w:t>.</w:t>
      </w:r>
      <w:r w:rsidRPr="00FF65D6">
        <w:rPr>
          <w:lang w:val="fr-FR"/>
        </w:rPr>
        <w:t xml:space="preserve"> Dans ce cas, l</w:t>
      </w:r>
      <w:r w:rsidR="002127F6" w:rsidRPr="00FF65D6">
        <w:rPr>
          <w:lang w:val="fr-FR"/>
        </w:rPr>
        <w:t>’</w:t>
      </w:r>
      <w:r w:rsidRPr="00FF65D6">
        <w:rPr>
          <w:lang w:val="fr-FR"/>
        </w:rPr>
        <w:t>écoulement du délai de prescription reprend lorsque l</w:t>
      </w:r>
      <w:r w:rsidR="002127F6" w:rsidRPr="00FF65D6">
        <w:rPr>
          <w:lang w:val="fr-FR"/>
        </w:rPr>
        <w:t>’</w:t>
      </w:r>
      <w:r w:rsidRPr="00FF65D6">
        <w:rPr>
          <w:lang w:val="fr-FR"/>
        </w:rPr>
        <w:t>auteur de l</w:t>
      </w:r>
      <w:r w:rsidR="002127F6" w:rsidRPr="00FF65D6">
        <w:rPr>
          <w:lang w:val="fr-FR"/>
        </w:rPr>
        <w:t>’</w:t>
      </w:r>
      <w:r w:rsidRPr="00FF65D6">
        <w:rPr>
          <w:lang w:val="fr-FR"/>
        </w:rPr>
        <w:t>infraction est arrêté ou s</w:t>
      </w:r>
      <w:r w:rsidR="002127F6" w:rsidRPr="00FF65D6">
        <w:rPr>
          <w:lang w:val="fr-FR"/>
        </w:rPr>
        <w:t>’</w:t>
      </w:r>
      <w:r w:rsidRPr="00FF65D6">
        <w:rPr>
          <w:lang w:val="fr-FR"/>
        </w:rPr>
        <w:t>il réapparaît et reconnaît sa culpabilité</w:t>
      </w:r>
      <w:r w:rsidR="005C1799" w:rsidRPr="005C1799">
        <w:rPr>
          <w:lang w:val="fr-FR"/>
        </w:rPr>
        <w:t>.</w:t>
      </w:r>
      <w:r w:rsidRPr="00FF65D6">
        <w:rPr>
          <w:lang w:val="fr-FR"/>
        </w:rPr>
        <w:t xml:space="preserve"> Le délai de prescription est également suspendu pendant la période durant laquelle la personne jouit d</w:t>
      </w:r>
      <w:r w:rsidR="002127F6" w:rsidRPr="00FF65D6">
        <w:rPr>
          <w:lang w:val="fr-FR"/>
        </w:rPr>
        <w:t>’</w:t>
      </w:r>
      <w:r w:rsidRPr="00FF65D6">
        <w:rPr>
          <w:lang w:val="fr-FR"/>
        </w:rPr>
        <w:t>une immunité</w:t>
      </w:r>
      <w:r w:rsidR="005C1799" w:rsidRPr="005C1799">
        <w:rPr>
          <w:lang w:val="fr-FR"/>
        </w:rPr>
        <w:t>.</w:t>
      </w:r>
      <w:r w:rsidRPr="00FF65D6">
        <w:rPr>
          <w:lang w:val="fr-FR"/>
        </w:rPr>
        <w:t xml:space="preserve"> Le délai de prescription ne s</w:t>
      </w:r>
      <w:r w:rsidR="002127F6" w:rsidRPr="00FF65D6">
        <w:rPr>
          <w:lang w:val="fr-FR"/>
        </w:rPr>
        <w:t>’</w:t>
      </w:r>
      <w:r w:rsidRPr="00FF65D6">
        <w:rPr>
          <w:lang w:val="fr-FR"/>
        </w:rPr>
        <w:t>applique pas dans les cas prévus par les traités auxquels la Géorgie est partie</w:t>
      </w:r>
      <w:r w:rsidR="005C1799" w:rsidRPr="005C1799">
        <w:rPr>
          <w:lang w:val="fr-FR"/>
        </w:rPr>
        <w:t>.</w:t>
      </w:r>
      <w:r w:rsidRPr="00FF65D6">
        <w:rPr>
          <w:lang w:val="fr-FR"/>
        </w:rPr>
        <w:t xml:space="preserve"> </w:t>
      </w:r>
    </w:p>
    <w:p w14:paraId="06CA8C34" w14:textId="77777777" w:rsidR="005C5C6A" w:rsidRPr="00FF65D6" w:rsidRDefault="005C5C6A" w:rsidP="008E079D">
      <w:pPr>
        <w:pStyle w:val="H1G"/>
        <w:rPr>
          <w:lang w:val="fr-FR"/>
        </w:rPr>
      </w:pPr>
      <w:bookmarkStart w:id="29" w:name="_Toc472961721"/>
      <w:r w:rsidRPr="00FF65D6">
        <w:rPr>
          <w:lang w:val="fr-FR"/>
        </w:rPr>
        <w:tab/>
        <w:t>F</w:t>
      </w:r>
      <w:r w:rsidR="005C1799" w:rsidRPr="005C1799">
        <w:rPr>
          <w:b w:val="0"/>
          <w:lang w:val="fr-FR"/>
        </w:rPr>
        <w:t>.</w:t>
      </w:r>
      <w:r w:rsidRPr="00FF65D6">
        <w:rPr>
          <w:lang w:val="fr-FR"/>
        </w:rPr>
        <w:tab/>
        <w:t xml:space="preserve">Extradition </w:t>
      </w:r>
      <w:bookmarkEnd w:id="29"/>
    </w:p>
    <w:p w14:paraId="23715F3D" w14:textId="77777777" w:rsidR="005C5C6A" w:rsidRPr="00FF65D6" w:rsidRDefault="005C5C6A" w:rsidP="00F34341">
      <w:pPr>
        <w:pStyle w:val="SingleTxtG"/>
        <w:rPr>
          <w:lang w:val="fr-FR"/>
        </w:rPr>
      </w:pPr>
      <w:r w:rsidRPr="00FF65D6">
        <w:rPr>
          <w:lang w:val="fr-FR"/>
        </w:rPr>
        <w:t>137</w:t>
      </w:r>
      <w:r w:rsidR="005C1799" w:rsidRPr="005C1799">
        <w:rPr>
          <w:lang w:val="fr-FR"/>
        </w:rPr>
        <w:t>.</w:t>
      </w:r>
      <w:r w:rsidRPr="00FF65D6">
        <w:rPr>
          <w:lang w:val="fr-FR"/>
        </w:rPr>
        <w:tab/>
        <w:t>En vertu de la loi sur la coopération internationale en matière pénale, l</w:t>
      </w:r>
      <w:r w:rsidR="002127F6" w:rsidRPr="00FF65D6">
        <w:rPr>
          <w:lang w:val="fr-FR"/>
        </w:rPr>
        <w:t>’</w:t>
      </w:r>
      <w:r w:rsidRPr="00FF65D6">
        <w:rPr>
          <w:lang w:val="fr-FR"/>
        </w:rPr>
        <w:t>extradition s</w:t>
      </w:r>
      <w:r w:rsidR="002127F6" w:rsidRPr="00FF65D6">
        <w:rPr>
          <w:lang w:val="fr-FR"/>
        </w:rPr>
        <w:t>’</w:t>
      </w:r>
      <w:r w:rsidRPr="00FF65D6">
        <w:rPr>
          <w:lang w:val="fr-FR"/>
        </w:rPr>
        <w:t>effectue généralement sur la base de traités bilatéraux ou multilatéraux contraignants pour la Géorgie</w:t>
      </w:r>
      <w:r w:rsidR="005C1799" w:rsidRPr="005C1799">
        <w:rPr>
          <w:lang w:val="fr-FR"/>
        </w:rPr>
        <w:t>.</w:t>
      </w:r>
      <w:r w:rsidRPr="00FF65D6">
        <w:rPr>
          <w:lang w:val="fr-FR"/>
        </w:rPr>
        <w:t xml:space="preserve"> Toutefois, en cas d</w:t>
      </w:r>
      <w:r w:rsidR="002127F6" w:rsidRPr="00FF65D6">
        <w:rPr>
          <w:lang w:val="fr-FR"/>
        </w:rPr>
        <w:t>’</w:t>
      </w:r>
      <w:r w:rsidRPr="00FF65D6">
        <w:rPr>
          <w:lang w:val="fr-FR"/>
        </w:rPr>
        <w:t>absence de traité d</w:t>
      </w:r>
      <w:r w:rsidR="002127F6" w:rsidRPr="00FF65D6">
        <w:rPr>
          <w:lang w:val="fr-FR"/>
        </w:rPr>
        <w:t>’</w:t>
      </w:r>
      <w:r w:rsidRPr="00FF65D6">
        <w:rPr>
          <w:lang w:val="fr-FR"/>
        </w:rPr>
        <w:t>extradition avec l</w:t>
      </w:r>
      <w:r w:rsidR="002127F6" w:rsidRPr="00FF65D6">
        <w:rPr>
          <w:lang w:val="fr-FR"/>
        </w:rPr>
        <w:t>’</w:t>
      </w:r>
      <w:r w:rsidRPr="00FF65D6">
        <w:rPr>
          <w:lang w:val="fr-FR"/>
        </w:rPr>
        <w:t>État concerné, le Ministère géorgien de la justice est autorisé à conclure un accord de circonstance avec les autorités étrangères compétentes et, partant, à mener les procédures d</w:t>
      </w:r>
      <w:r w:rsidR="002127F6" w:rsidRPr="00FF65D6">
        <w:rPr>
          <w:lang w:val="fr-FR"/>
        </w:rPr>
        <w:t>’</w:t>
      </w:r>
      <w:r w:rsidRPr="00FF65D6">
        <w:rPr>
          <w:lang w:val="fr-FR"/>
        </w:rPr>
        <w:t>extradition (art</w:t>
      </w:r>
      <w:r w:rsidR="005C1799" w:rsidRPr="005C1799">
        <w:rPr>
          <w:lang w:val="fr-FR"/>
        </w:rPr>
        <w:t>.</w:t>
      </w:r>
      <w:r w:rsidR="008E079D" w:rsidRPr="00FF65D6">
        <w:rPr>
          <w:lang w:val="fr-FR"/>
        </w:rPr>
        <w:t> </w:t>
      </w:r>
      <w:r w:rsidRPr="00FF65D6">
        <w:rPr>
          <w:lang w:val="fr-FR"/>
        </w:rPr>
        <w:t>2)</w:t>
      </w:r>
      <w:r w:rsidR="005C1799" w:rsidRPr="005C1799">
        <w:rPr>
          <w:lang w:val="fr-FR"/>
        </w:rPr>
        <w:t>.</w:t>
      </w:r>
      <w:r w:rsidRPr="00FF65D6">
        <w:rPr>
          <w:lang w:val="fr-FR"/>
        </w:rPr>
        <w:t xml:space="preserve"> </w:t>
      </w:r>
    </w:p>
    <w:p w14:paraId="4F5F716A" w14:textId="77777777" w:rsidR="005C5C6A" w:rsidRPr="00FF65D6" w:rsidRDefault="005C5C6A" w:rsidP="00F34341">
      <w:pPr>
        <w:pStyle w:val="SingleTxtG"/>
        <w:rPr>
          <w:lang w:val="fr-FR"/>
        </w:rPr>
      </w:pPr>
      <w:r w:rsidRPr="00FF65D6">
        <w:rPr>
          <w:lang w:val="fr-FR"/>
        </w:rPr>
        <w:t>138</w:t>
      </w:r>
      <w:r w:rsidR="005C1799" w:rsidRPr="005C1799">
        <w:rPr>
          <w:lang w:val="fr-FR"/>
        </w:rPr>
        <w:t>.</w:t>
      </w:r>
      <w:r w:rsidRPr="00FF65D6">
        <w:rPr>
          <w:lang w:val="fr-FR"/>
        </w:rPr>
        <w:tab/>
        <w:t>Étant donné que toutes les infractions visées par le Protocole facultatif à la Convention relative aux droits de l</w:t>
      </w:r>
      <w:r w:rsidR="002127F6" w:rsidRPr="00FF65D6">
        <w:rPr>
          <w:lang w:val="fr-FR"/>
        </w:rPr>
        <w:t>’</w:t>
      </w:r>
      <w:r w:rsidRPr="00FF65D6">
        <w:rPr>
          <w:lang w:val="fr-FR"/>
        </w:rPr>
        <w:t>enfant, concernant la vente d</w:t>
      </w:r>
      <w:r w:rsidR="002127F6" w:rsidRPr="00FF65D6">
        <w:rPr>
          <w:lang w:val="fr-FR"/>
        </w:rPr>
        <w:t>’</w:t>
      </w:r>
      <w:r w:rsidRPr="00FF65D6">
        <w:rPr>
          <w:lang w:val="fr-FR"/>
        </w:rPr>
        <w:t>enfants, la prostitution des enfants et la pornographie mettant en scène des enfants sont incriminées dans la législation nationale géorgienne et qu</w:t>
      </w:r>
      <w:r w:rsidR="002127F6" w:rsidRPr="00FF65D6">
        <w:rPr>
          <w:lang w:val="fr-FR"/>
        </w:rPr>
        <w:t>’</w:t>
      </w:r>
      <w:r w:rsidRPr="00FF65D6">
        <w:rPr>
          <w:lang w:val="fr-FR"/>
        </w:rPr>
        <w:t>elles satisfont aussi à l</w:t>
      </w:r>
      <w:r w:rsidR="002127F6" w:rsidRPr="00FF65D6">
        <w:rPr>
          <w:lang w:val="fr-FR"/>
        </w:rPr>
        <w:t>’</w:t>
      </w:r>
      <w:r w:rsidRPr="00FF65D6">
        <w:rPr>
          <w:lang w:val="fr-FR"/>
        </w:rPr>
        <w:t>exigence de seuil de peine encourue, l</w:t>
      </w:r>
      <w:r w:rsidR="002127F6" w:rsidRPr="00FF65D6">
        <w:rPr>
          <w:lang w:val="fr-FR"/>
        </w:rPr>
        <w:t>’</w:t>
      </w:r>
      <w:r w:rsidRPr="00FF65D6">
        <w:rPr>
          <w:lang w:val="fr-FR"/>
        </w:rPr>
        <w:t>extradition d</w:t>
      </w:r>
      <w:r w:rsidR="002127F6" w:rsidRPr="00FF65D6">
        <w:rPr>
          <w:lang w:val="fr-FR"/>
        </w:rPr>
        <w:t>’</w:t>
      </w:r>
      <w:r w:rsidRPr="00FF65D6">
        <w:rPr>
          <w:lang w:val="fr-FR"/>
        </w:rPr>
        <w:t>une personne de Géorgie est autorisée pour les infractions visées dans le Protocole</w:t>
      </w:r>
      <w:r w:rsidR="005C1799" w:rsidRPr="005C1799">
        <w:rPr>
          <w:lang w:val="fr-FR"/>
        </w:rPr>
        <w:t>.</w:t>
      </w:r>
      <w:r w:rsidRPr="00FF65D6">
        <w:rPr>
          <w:lang w:val="fr-FR"/>
        </w:rPr>
        <w:t xml:space="preserve"> </w:t>
      </w:r>
    </w:p>
    <w:p w14:paraId="1B8EC993" w14:textId="77777777" w:rsidR="005C5C6A" w:rsidRPr="00FF65D6" w:rsidRDefault="005C5C6A" w:rsidP="00F34341">
      <w:pPr>
        <w:pStyle w:val="SingleTxtG"/>
        <w:rPr>
          <w:lang w:val="fr-FR"/>
        </w:rPr>
      </w:pPr>
      <w:r w:rsidRPr="00FF65D6">
        <w:rPr>
          <w:lang w:val="fr-FR"/>
        </w:rPr>
        <w:t>139</w:t>
      </w:r>
      <w:r w:rsidR="005C1799" w:rsidRPr="005C1799">
        <w:rPr>
          <w:lang w:val="fr-FR"/>
        </w:rPr>
        <w:t>.</w:t>
      </w:r>
      <w:r w:rsidRPr="00FF65D6">
        <w:rPr>
          <w:lang w:val="fr-FR"/>
        </w:rPr>
        <w:tab/>
        <w:t xml:space="preserve">Le paragraphe 4 de </w:t>
      </w:r>
      <w:r w:rsidR="00CB48E5">
        <w:rPr>
          <w:lang w:val="fr-FR"/>
        </w:rPr>
        <w:t>l’</w:t>
      </w:r>
      <w:r w:rsidRPr="00FF65D6">
        <w:rPr>
          <w:lang w:val="fr-FR"/>
        </w:rPr>
        <w:t>article 13 de la Constitution géorgienne interdit l</w:t>
      </w:r>
      <w:r w:rsidR="002127F6" w:rsidRPr="00FF65D6">
        <w:rPr>
          <w:lang w:val="fr-FR"/>
        </w:rPr>
        <w:t>’</w:t>
      </w:r>
      <w:r w:rsidRPr="00FF65D6">
        <w:rPr>
          <w:lang w:val="fr-FR"/>
        </w:rPr>
        <w:t>extradition d</w:t>
      </w:r>
      <w:r w:rsidR="002127F6" w:rsidRPr="00FF65D6">
        <w:rPr>
          <w:lang w:val="fr-FR"/>
        </w:rPr>
        <w:t>’</w:t>
      </w:r>
      <w:r w:rsidRPr="00FF65D6">
        <w:rPr>
          <w:lang w:val="fr-FR"/>
        </w:rPr>
        <w:t>un citoyen géorgien dans un autre pays, sauf dans les cas prévus par un accord international</w:t>
      </w:r>
      <w:r w:rsidR="005C1799" w:rsidRPr="005C1799">
        <w:rPr>
          <w:lang w:val="fr-FR"/>
        </w:rPr>
        <w:t>.</w:t>
      </w:r>
      <w:r w:rsidRPr="00FF65D6">
        <w:rPr>
          <w:lang w:val="fr-FR"/>
        </w:rPr>
        <w:t xml:space="preserve"> La nationalité géorgienne, en tant que motif de refus de l</w:t>
      </w:r>
      <w:r w:rsidR="002127F6" w:rsidRPr="00FF65D6">
        <w:rPr>
          <w:lang w:val="fr-FR"/>
        </w:rPr>
        <w:t>’</w:t>
      </w:r>
      <w:r w:rsidRPr="00FF65D6">
        <w:rPr>
          <w:lang w:val="fr-FR"/>
        </w:rPr>
        <w:t>extradition, est également indiquée à l</w:t>
      </w:r>
      <w:r w:rsidR="002127F6" w:rsidRPr="00FF65D6">
        <w:rPr>
          <w:lang w:val="fr-FR"/>
        </w:rPr>
        <w:t>’</w:t>
      </w:r>
      <w:r w:rsidRPr="00FF65D6">
        <w:rPr>
          <w:lang w:val="fr-FR"/>
        </w:rPr>
        <w:t>article 21 de la loi sur la coopération internationale en matière pénale</w:t>
      </w:r>
      <w:r w:rsidR="005C1799" w:rsidRPr="005C1799">
        <w:rPr>
          <w:lang w:val="fr-FR"/>
        </w:rPr>
        <w:t>.</w:t>
      </w:r>
      <w:r w:rsidRPr="00FF65D6">
        <w:rPr>
          <w:lang w:val="fr-FR"/>
        </w:rPr>
        <w:t xml:space="preserve"> Dans un tel cas, à la demande d</w:t>
      </w:r>
      <w:r w:rsidR="002127F6" w:rsidRPr="00FF65D6">
        <w:rPr>
          <w:lang w:val="fr-FR"/>
        </w:rPr>
        <w:t>’</w:t>
      </w:r>
      <w:r w:rsidRPr="00FF65D6">
        <w:rPr>
          <w:lang w:val="fr-FR"/>
        </w:rPr>
        <w:t>un État étranger requérant, le Ministère géorgien de la justice soumet les dossiers de l</w:t>
      </w:r>
      <w:r w:rsidR="002127F6" w:rsidRPr="00FF65D6">
        <w:rPr>
          <w:lang w:val="fr-FR"/>
        </w:rPr>
        <w:t>’</w:t>
      </w:r>
      <w:r w:rsidRPr="00FF65D6">
        <w:rPr>
          <w:lang w:val="fr-FR"/>
        </w:rPr>
        <w:t>affaire ou des copies certifiées conformes de ceux-ci aux autorités locales compétentes aux fins de la conduite d</w:t>
      </w:r>
      <w:r w:rsidR="002127F6" w:rsidRPr="00FF65D6">
        <w:rPr>
          <w:lang w:val="fr-FR"/>
        </w:rPr>
        <w:t>’</w:t>
      </w:r>
      <w:r w:rsidRPr="00FF65D6">
        <w:rPr>
          <w:lang w:val="fr-FR"/>
        </w:rPr>
        <w:t>une enquête ou des poursuites concernant les infractions indiquées dans la demande (art</w:t>
      </w:r>
      <w:r w:rsidR="005C1799" w:rsidRPr="005C1799">
        <w:rPr>
          <w:lang w:val="fr-FR"/>
        </w:rPr>
        <w:t>.</w:t>
      </w:r>
      <w:r w:rsidR="00D31A51" w:rsidRPr="00FF65D6">
        <w:rPr>
          <w:lang w:val="fr-FR"/>
        </w:rPr>
        <w:t> </w:t>
      </w:r>
      <w:r w:rsidRPr="00FF65D6">
        <w:rPr>
          <w:lang w:val="fr-FR"/>
        </w:rPr>
        <w:t>42 de la loi sur la coopération internationale en matière pénale)</w:t>
      </w:r>
      <w:r w:rsidR="005C1799" w:rsidRPr="005C1799">
        <w:rPr>
          <w:lang w:val="fr-FR"/>
        </w:rPr>
        <w:t>.</w:t>
      </w:r>
      <w:r w:rsidRPr="00FF65D6">
        <w:rPr>
          <w:lang w:val="fr-FR"/>
        </w:rPr>
        <w:t xml:space="preserve"> Les enquêtes et les poursuites en question sont menées</w:t>
      </w:r>
      <w:r w:rsidR="002127F6" w:rsidRPr="00FF65D6">
        <w:rPr>
          <w:lang w:val="fr-FR"/>
        </w:rPr>
        <w:t xml:space="preserve"> </w:t>
      </w:r>
      <w:r w:rsidRPr="00FF65D6">
        <w:rPr>
          <w:lang w:val="fr-FR"/>
        </w:rPr>
        <w:t>conformément à la législation géorgienne</w:t>
      </w:r>
      <w:r w:rsidR="005C1799" w:rsidRPr="005C1799">
        <w:rPr>
          <w:lang w:val="fr-FR"/>
        </w:rPr>
        <w:t>.</w:t>
      </w:r>
      <w:r w:rsidRPr="00FF65D6">
        <w:rPr>
          <w:lang w:val="fr-FR"/>
        </w:rPr>
        <w:t xml:space="preserve"> En outre, les éléments de preuve présentés par l</w:t>
      </w:r>
      <w:r w:rsidR="002127F6" w:rsidRPr="00FF65D6">
        <w:rPr>
          <w:lang w:val="fr-FR"/>
        </w:rPr>
        <w:t>’</w:t>
      </w:r>
      <w:r w:rsidRPr="00FF65D6">
        <w:rPr>
          <w:lang w:val="fr-FR"/>
        </w:rPr>
        <w:t>État requérant ont la même valeur juridique que ce</w:t>
      </w:r>
      <w:r w:rsidR="003C4BCE">
        <w:rPr>
          <w:lang w:val="fr-FR"/>
        </w:rPr>
        <w:t>ux</w:t>
      </w:r>
      <w:r w:rsidRPr="00FF65D6">
        <w:rPr>
          <w:lang w:val="fr-FR"/>
        </w:rPr>
        <w:t xml:space="preserve"> qui sont obtenus sur le territoire géorgien, à condition </w:t>
      </w:r>
      <w:r w:rsidR="003C4BCE">
        <w:rPr>
          <w:lang w:val="fr-FR"/>
        </w:rPr>
        <w:t xml:space="preserve">qu’ils </w:t>
      </w:r>
      <w:r w:rsidRPr="00FF65D6">
        <w:rPr>
          <w:lang w:val="fr-FR"/>
        </w:rPr>
        <w:t>soient recueillis dans le respect des procédures et des règles de l</w:t>
      </w:r>
      <w:r w:rsidR="002127F6" w:rsidRPr="00FF65D6">
        <w:rPr>
          <w:lang w:val="fr-FR"/>
        </w:rPr>
        <w:t>’</w:t>
      </w:r>
      <w:r w:rsidRPr="00FF65D6">
        <w:rPr>
          <w:lang w:val="fr-FR"/>
        </w:rPr>
        <w:t>État étranger concerné (loi sur la coopération internationale en matière pénale, art</w:t>
      </w:r>
      <w:r w:rsidR="005C1799" w:rsidRPr="005C1799">
        <w:rPr>
          <w:lang w:val="fr-FR"/>
        </w:rPr>
        <w:t>.</w:t>
      </w:r>
      <w:r w:rsidR="00D31A51" w:rsidRPr="00FF65D6">
        <w:rPr>
          <w:lang w:val="fr-FR"/>
        </w:rPr>
        <w:t> </w:t>
      </w:r>
      <w:r w:rsidRPr="00FF65D6">
        <w:rPr>
          <w:lang w:val="fr-FR"/>
        </w:rPr>
        <w:t>42, par</w:t>
      </w:r>
      <w:r w:rsidR="005C1799" w:rsidRPr="005C1799">
        <w:rPr>
          <w:lang w:val="fr-FR"/>
        </w:rPr>
        <w:t>.</w:t>
      </w:r>
      <w:r w:rsidR="00D31A51" w:rsidRPr="00FF65D6">
        <w:rPr>
          <w:lang w:val="fr-FR"/>
        </w:rPr>
        <w:t> </w:t>
      </w:r>
      <w:r w:rsidRPr="00FF65D6">
        <w:rPr>
          <w:lang w:val="fr-FR"/>
        </w:rPr>
        <w:t>2)</w:t>
      </w:r>
      <w:r w:rsidR="005C1799" w:rsidRPr="005C1799">
        <w:rPr>
          <w:lang w:val="fr-FR"/>
        </w:rPr>
        <w:t>.</w:t>
      </w:r>
      <w:r w:rsidRPr="00FF65D6">
        <w:rPr>
          <w:lang w:val="fr-FR"/>
        </w:rPr>
        <w:t xml:space="preserve"> Si les preuves sont insuffisantes pour poursuivre ou sanctionner la personne en question, le Ministère géorgien de la justice est autorisé à obtenir d</w:t>
      </w:r>
      <w:r w:rsidR="002127F6" w:rsidRPr="00FF65D6">
        <w:rPr>
          <w:lang w:val="fr-FR"/>
        </w:rPr>
        <w:t>’</w:t>
      </w:r>
      <w:r w:rsidRPr="00FF65D6">
        <w:rPr>
          <w:lang w:val="fr-FR"/>
        </w:rPr>
        <w:t>autres pièces provenant de l</w:t>
      </w:r>
      <w:r w:rsidR="002127F6" w:rsidRPr="00FF65D6">
        <w:rPr>
          <w:lang w:val="fr-FR"/>
        </w:rPr>
        <w:t>’</w:t>
      </w:r>
      <w:r w:rsidRPr="00FF65D6">
        <w:rPr>
          <w:lang w:val="fr-FR"/>
        </w:rPr>
        <w:t>État étranger concerné sur la base de la demande d</w:t>
      </w:r>
      <w:r w:rsidR="002127F6" w:rsidRPr="00FF65D6">
        <w:rPr>
          <w:lang w:val="fr-FR"/>
        </w:rPr>
        <w:t>’</w:t>
      </w:r>
      <w:r w:rsidRPr="00FF65D6">
        <w:rPr>
          <w:lang w:val="fr-FR"/>
        </w:rPr>
        <w:t>entraide judiciaire</w:t>
      </w:r>
      <w:r w:rsidR="005C1799" w:rsidRPr="005C1799">
        <w:rPr>
          <w:lang w:val="fr-FR"/>
        </w:rPr>
        <w:t>.</w:t>
      </w:r>
      <w:r w:rsidRPr="00FF65D6">
        <w:rPr>
          <w:lang w:val="fr-FR"/>
        </w:rPr>
        <w:t xml:space="preserve"> </w:t>
      </w:r>
    </w:p>
    <w:p w14:paraId="4FD7CC9E" w14:textId="77777777" w:rsidR="005C5C6A" w:rsidRPr="00FF65D6" w:rsidRDefault="005C5C6A" w:rsidP="00F34341">
      <w:pPr>
        <w:pStyle w:val="SingleTxtG"/>
        <w:rPr>
          <w:lang w:val="fr-FR"/>
        </w:rPr>
      </w:pPr>
      <w:r w:rsidRPr="00FF65D6">
        <w:rPr>
          <w:lang w:val="fr-FR"/>
        </w:rPr>
        <w:t>140</w:t>
      </w:r>
      <w:r w:rsidR="005C1799" w:rsidRPr="005C1799">
        <w:rPr>
          <w:lang w:val="fr-FR"/>
        </w:rPr>
        <w:t>.</w:t>
      </w:r>
      <w:r w:rsidRPr="00FF65D6">
        <w:rPr>
          <w:lang w:val="fr-FR"/>
        </w:rPr>
        <w:tab/>
        <w:t>Une fois la décision finale prise concernant les dossiers transférés, les autorités compétentes de l</w:t>
      </w:r>
      <w:r w:rsidR="002127F6" w:rsidRPr="00FF65D6">
        <w:rPr>
          <w:lang w:val="fr-FR"/>
        </w:rPr>
        <w:t>’</w:t>
      </w:r>
      <w:r w:rsidRPr="00FF65D6">
        <w:rPr>
          <w:lang w:val="fr-FR"/>
        </w:rPr>
        <w:t>État requérant sont dûment informées à ce sujet</w:t>
      </w:r>
      <w:r w:rsidR="005C1799" w:rsidRPr="005C1799">
        <w:rPr>
          <w:lang w:val="fr-FR"/>
        </w:rPr>
        <w:t>.</w:t>
      </w:r>
      <w:r w:rsidRPr="00FF65D6">
        <w:rPr>
          <w:lang w:val="fr-FR"/>
        </w:rPr>
        <w:t xml:space="preserve"> </w:t>
      </w:r>
    </w:p>
    <w:p w14:paraId="24D1966D" w14:textId="77777777" w:rsidR="005C5C6A" w:rsidRPr="00FF65D6" w:rsidRDefault="005C5C6A" w:rsidP="00F34341">
      <w:pPr>
        <w:pStyle w:val="SingleTxtG"/>
        <w:rPr>
          <w:lang w:val="fr-FR"/>
        </w:rPr>
      </w:pPr>
      <w:r w:rsidRPr="00FF65D6">
        <w:rPr>
          <w:lang w:val="fr-FR"/>
        </w:rPr>
        <w:t>141</w:t>
      </w:r>
      <w:r w:rsidR="005C1799" w:rsidRPr="005C1799">
        <w:rPr>
          <w:lang w:val="fr-FR"/>
        </w:rPr>
        <w:t>.</w:t>
      </w:r>
      <w:r w:rsidRPr="00FF65D6">
        <w:rPr>
          <w:lang w:val="fr-FR"/>
        </w:rPr>
        <w:tab/>
        <w:t>Les procédures et règles décrites ci-dessus s</w:t>
      </w:r>
      <w:r w:rsidR="002127F6" w:rsidRPr="00FF65D6">
        <w:rPr>
          <w:lang w:val="fr-FR"/>
        </w:rPr>
        <w:t>’</w:t>
      </w:r>
      <w:r w:rsidRPr="00FF65D6">
        <w:rPr>
          <w:lang w:val="fr-FR"/>
        </w:rPr>
        <w:t>appliquent également aux infractions visées par le Protocole facultatif</w:t>
      </w:r>
      <w:r w:rsidR="005C1799" w:rsidRPr="005C1799">
        <w:rPr>
          <w:lang w:val="fr-FR"/>
        </w:rPr>
        <w:t>.</w:t>
      </w:r>
    </w:p>
    <w:p w14:paraId="1784A2F3" w14:textId="77777777" w:rsidR="005C5C6A" w:rsidRPr="00FF65D6" w:rsidRDefault="005C5C6A" w:rsidP="00F34341">
      <w:pPr>
        <w:pStyle w:val="SingleTxtG"/>
        <w:rPr>
          <w:lang w:val="fr-FR"/>
        </w:rPr>
      </w:pPr>
      <w:r w:rsidRPr="00FF65D6">
        <w:rPr>
          <w:lang w:val="fr-FR"/>
        </w:rPr>
        <w:t>142</w:t>
      </w:r>
      <w:r w:rsidR="005C1799" w:rsidRPr="005C1799">
        <w:rPr>
          <w:lang w:val="fr-FR"/>
        </w:rPr>
        <w:t>.</w:t>
      </w:r>
      <w:r w:rsidRPr="00FF65D6">
        <w:rPr>
          <w:lang w:val="fr-FR"/>
        </w:rPr>
        <w:tab/>
        <w:t>Le 21 juillet 2010, la Géorgie a adopté la loi sur la coopération internationale en matière pénale, qui est entrée en vigueur le 1</w:t>
      </w:r>
      <w:r w:rsidRPr="00FF65D6">
        <w:rPr>
          <w:vertAlign w:val="superscript"/>
          <w:lang w:val="fr-FR"/>
        </w:rPr>
        <w:t>er</w:t>
      </w:r>
      <w:r w:rsidRPr="00FF65D6">
        <w:rPr>
          <w:lang w:val="fr-FR"/>
        </w:rPr>
        <w:t xml:space="preserve"> octobre de la même année</w:t>
      </w:r>
      <w:r w:rsidR="005C1799" w:rsidRPr="005C1799">
        <w:rPr>
          <w:lang w:val="fr-FR"/>
        </w:rPr>
        <w:t>.</w:t>
      </w:r>
      <w:r w:rsidRPr="00FF65D6">
        <w:rPr>
          <w:lang w:val="fr-FR"/>
        </w:rPr>
        <w:t xml:space="preserve"> Cette loi couvre tous les aspects de la coopération internationale, y compris en matière d</w:t>
      </w:r>
      <w:r w:rsidR="002127F6" w:rsidRPr="00FF65D6">
        <w:rPr>
          <w:lang w:val="fr-FR"/>
        </w:rPr>
        <w:t>’</w:t>
      </w:r>
      <w:r w:rsidRPr="00FF65D6">
        <w:rPr>
          <w:lang w:val="fr-FR"/>
        </w:rPr>
        <w:t>extradition</w:t>
      </w:r>
      <w:r w:rsidR="005C1799" w:rsidRPr="005C1799">
        <w:rPr>
          <w:lang w:val="fr-FR"/>
        </w:rPr>
        <w:t>.</w:t>
      </w:r>
      <w:r w:rsidRPr="00FF65D6">
        <w:rPr>
          <w:lang w:val="fr-FR"/>
        </w:rPr>
        <w:t xml:space="preserve"> </w:t>
      </w:r>
    </w:p>
    <w:p w14:paraId="566C0577" w14:textId="77777777" w:rsidR="005C5C6A" w:rsidRPr="00FF65D6" w:rsidRDefault="005C5C6A" w:rsidP="00F34341">
      <w:pPr>
        <w:pStyle w:val="SingleTxtG"/>
        <w:rPr>
          <w:lang w:val="fr-FR"/>
        </w:rPr>
      </w:pPr>
      <w:r w:rsidRPr="00FF65D6">
        <w:rPr>
          <w:lang w:val="fr-FR"/>
        </w:rPr>
        <w:t>143</w:t>
      </w:r>
      <w:r w:rsidR="005C1799" w:rsidRPr="005C1799">
        <w:rPr>
          <w:lang w:val="fr-FR"/>
        </w:rPr>
        <w:t>.</w:t>
      </w:r>
      <w:r w:rsidRPr="00FF65D6">
        <w:rPr>
          <w:lang w:val="fr-FR"/>
        </w:rPr>
        <w:tab/>
        <w:t>Depuis l</w:t>
      </w:r>
      <w:r w:rsidR="002127F6" w:rsidRPr="00FF65D6">
        <w:rPr>
          <w:lang w:val="fr-FR"/>
        </w:rPr>
        <w:t>’</w:t>
      </w:r>
      <w:r w:rsidRPr="00FF65D6">
        <w:rPr>
          <w:lang w:val="fr-FR"/>
        </w:rPr>
        <w:t>adhésion au Protocole facultatif, le 18 juin 2005, les autorités géorgiennes compétentes ont procédé à une extradition pour des infractions visées dans ledit Protocole</w:t>
      </w:r>
      <w:r w:rsidR="005C1799" w:rsidRPr="005C1799">
        <w:rPr>
          <w:lang w:val="fr-FR"/>
        </w:rPr>
        <w:t>.</w:t>
      </w:r>
      <w:r w:rsidRPr="00FF65D6">
        <w:rPr>
          <w:lang w:val="fr-FR"/>
        </w:rPr>
        <w:t xml:space="preserve"> De fait, en 2012, les autorités compétentes des États-Unis ont adressé une demande d</w:t>
      </w:r>
      <w:r w:rsidR="002127F6" w:rsidRPr="00FF65D6">
        <w:rPr>
          <w:lang w:val="fr-FR"/>
        </w:rPr>
        <w:t>’</w:t>
      </w:r>
      <w:r w:rsidRPr="00FF65D6">
        <w:rPr>
          <w:lang w:val="fr-FR"/>
        </w:rPr>
        <w:t xml:space="preserve">extradition au Bureau du Procureur général de la Géorgie (Ministère de la </w:t>
      </w:r>
      <w:r w:rsidR="00D31A51" w:rsidRPr="00FF65D6">
        <w:rPr>
          <w:lang w:val="fr-FR"/>
        </w:rPr>
        <w:t>j</w:t>
      </w:r>
      <w:r w:rsidRPr="00FF65D6">
        <w:rPr>
          <w:lang w:val="fr-FR"/>
        </w:rPr>
        <w:t>ustice) visant C</w:t>
      </w:r>
      <w:r w:rsidR="005C1799" w:rsidRPr="005C1799">
        <w:rPr>
          <w:lang w:val="fr-FR"/>
        </w:rPr>
        <w:t>.</w:t>
      </w:r>
      <w:r w:rsidR="00D31A51" w:rsidRPr="00FF65D6">
        <w:rPr>
          <w:lang w:val="fr-FR"/>
        </w:rPr>
        <w:t> </w:t>
      </w:r>
      <w:r w:rsidRPr="00FF65D6">
        <w:rPr>
          <w:lang w:val="fr-FR"/>
        </w:rPr>
        <w:t>F, citoyen américain</w:t>
      </w:r>
      <w:r w:rsidR="005C1799" w:rsidRPr="005C1799">
        <w:rPr>
          <w:lang w:val="fr-FR"/>
        </w:rPr>
        <w:t>.</w:t>
      </w:r>
      <w:r w:rsidRPr="00FF65D6">
        <w:rPr>
          <w:lang w:val="fr-FR"/>
        </w:rPr>
        <w:t xml:space="preserve"> D</w:t>
      </w:r>
      <w:r w:rsidR="002127F6" w:rsidRPr="00FF65D6">
        <w:rPr>
          <w:lang w:val="fr-FR"/>
        </w:rPr>
        <w:t>’</w:t>
      </w:r>
      <w:r w:rsidRPr="00FF65D6">
        <w:rPr>
          <w:lang w:val="fr-FR"/>
        </w:rPr>
        <w:t>après les dossiers, de 2005 à 2012, M</w:t>
      </w:r>
      <w:r w:rsidR="005C1799" w:rsidRPr="005C1799">
        <w:rPr>
          <w:lang w:val="fr-FR"/>
        </w:rPr>
        <w:t>.</w:t>
      </w:r>
      <w:r w:rsidR="00D31A51" w:rsidRPr="00FF65D6">
        <w:rPr>
          <w:lang w:val="fr-FR"/>
        </w:rPr>
        <w:t> </w:t>
      </w:r>
      <w:r w:rsidRPr="00FF65D6">
        <w:rPr>
          <w:lang w:val="fr-FR"/>
        </w:rPr>
        <w:t>C</w:t>
      </w:r>
      <w:r w:rsidR="005C1799" w:rsidRPr="005C1799">
        <w:rPr>
          <w:lang w:val="fr-FR"/>
        </w:rPr>
        <w:t>.</w:t>
      </w:r>
      <w:r w:rsidR="00D31A51" w:rsidRPr="00FF65D6">
        <w:rPr>
          <w:lang w:val="fr-FR"/>
        </w:rPr>
        <w:t> </w:t>
      </w:r>
      <w:r w:rsidRPr="00FF65D6">
        <w:rPr>
          <w:lang w:val="fr-FR"/>
        </w:rPr>
        <w:t>F</w:t>
      </w:r>
      <w:r w:rsidR="005C1799" w:rsidRPr="005C1799">
        <w:rPr>
          <w:lang w:val="fr-FR"/>
        </w:rPr>
        <w:t>.</w:t>
      </w:r>
      <w:r w:rsidRPr="00FF65D6">
        <w:rPr>
          <w:lang w:val="fr-FR"/>
        </w:rPr>
        <w:t xml:space="preserve"> avait commis des attentats à la pudeur sur trois de ses filles mineures à leur domicile</w:t>
      </w:r>
      <w:r w:rsidR="005C1799" w:rsidRPr="005C1799">
        <w:rPr>
          <w:lang w:val="fr-FR"/>
        </w:rPr>
        <w:t>.</w:t>
      </w:r>
      <w:r w:rsidRPr="00FF65D6">
        <w:rPr>
          <w:lang w:val="fr-FR"/>
        </w:rPr>
        <w:t xml:space="preserve"> L</w:t>
      </w:r>
      <w:r w:rsidR="002127F6" w:rsidRPr="00FF65D6">
        <w:rPr>
          <w:lang w:val="fr-FR"/>
        </w:rPr>
        <w:t>’</w:t>
      </w:r>
      <w:r w:rsidRPr="00FF65D6">
        <w:rPr>
          <w:lang w:val="fr-FR"/>
        </w:rPr>
        <w:t>infraction est punie par le paragraphe 2 de l</w:t>
      </w:r>
      <w:r w:rsidR="002127F6" w:rsidRPr="00FF65D6">
        <w:rPr>
          <w:lang w:val="fr-FR"/>
        </w:rPr>
        <w:t>’</w:t>
      </w:r>
      <w:r w:rsidRPr="00FF65D6">
        <w:rPr>
          <w:lang w:val="fr-FR"/>
        </w:rPr>
        <w:t>article 139 (contrainte en matière de rapports sexuels ou de tout autre acte de nature sexuelle, commis dans des circonstances aggravantes) du Code pénal géorgien</w:t>
      </w:r>
      <w:r w:rsidR="005C1799" w:rsidRPr="005C1799">
        <w:rPr>
          <w:lang w:val="fr-FR"/>
        </w:rPr>
        <w:t>.</w:t>
      </w:r>
      <w:r w:rsidRPr="00FF65D6">
        <w:rPr>
          <w:lang w:val="fr-FR"/>
        </w:rPr>
        <w:t xml:space="preserve"> Au mois de mai 2012, la cour supérieure</w:t>
      </w:r>
      <w:r w:rsidR="002127F6" w:rsidRPr="00FF65D6">
        <w:rPr>
          <w:lang w:val="fr-FR"/>
        </w:rPr>
        <w:t xml:space="preserve"> </w:t>
      </w:r>
      <w:r w:rsidRPr="00FF65D6">
        <w:rPr>
          <w:lang w:val="fr-FR"/>
        </w:rPr>
        <w:t>(</w:t>
      </w:r>
      <w:proofErr w:type="spellStart"/>
      <w:r w:rsidRPr="00FF65D6">
        <w:rPr>
          <w:i/>
          <w:lang w:val="fr-FR"/>
        </w:rPr>
        <w:t>superior</w:t>
      </w:r>
      <w:proofErr w:type="spellEnd"/>
      <w:r w:rsidRPr="00FF65D6">
        <w:rPr>
          <w:i/>
          <w:lang w:val="fr-FR"/>
        </w:rPr>
        <w:t xml:space="preserve"> court</w:t>
      </w:r>
      <w:r w:rsidRPr="00FF65D6">
        <w:rPr>
          <w:lang w:val="fr-FR"/>
        </w:rPr>
        <w:t>) du comté de Spokane a délivré un mandat d</w:t>
      </w:r>
      <w:r w:rsidR="002127F6" w:rsidRPr="00FF65D6">
        <w:rPr>
          <w:lang w:val="fr-FR"/>
        </w:rPr>
        <w:t>’</w:t>
      </w:r>
      <w:r w:rsidRPr="00FF65D6">
        <w:rPr>
          <w:lang w:val="fr-FR"/>
        </w:rPr>
        <w:t>arrêt contre F</w:t>
      </w:r>
      <w:r w:rsidR="005C1799" w:rsidRPr="005C1799">
        <w:rPr>
          <w:lang w:val="fr-FR"/>
        </w:rPr>
        <w:t>.</w:t>
      </w:r>
      <w:r w:rsidRPr="00FF65D6">
        <w:rPr>
          <w:lang w:val="fr-FR"/>
        </w:rPr>
        <w:t xml:space="preserve"> pour de multiples chefs d</w:t>
      </w:r>
      <w:r w:rsidR="002127F6" w:rsidRPr="00FF65D6">
        <w:rPr>
          <w:lang w:val="fr-FR"/>
        </w:rPr>
        <w:t>’</w:t>
      </w:r>
      <w:r w:rsidRPr="00FF65D6">
        <w:rPr>
          <w:lang w:val="fr-FR"/>
        </w:rPr>
        <w:t>accusation</w:t>
      </w:r>
      <w:r w:rsidR="005C1799" w:rsidRPr="005C1799">
        <w:rPr>
          <w:lang w:val="fr-FR"/>
        </w:rPr>
        <w:t>.</w:t>
      </w:r>
      <w:r w:rsidRPr="00FF65D6">
        <w:rPr>
          <w:lang w:val="fr-FR"/>
        </w:rPr>
        <w:t xml:space="preserve"> En mai 2013, l</w:t>
      </w:r>
      <w:r w:rsidR="002127F6" w:rsidRPr="00FF65D6">
        <w:rPr>
          <w:lang w:val="fr-FR"/>
        </w:rPr>
        <w:t>’</w:t>
      </w:r>
      <w:r w:rsidRPr="00FF65D6">
        <w:rPr>
          <w:lang w:val="fr-FR"/>
        </w:rPr>
        <w:t>extradition de C</w:t>
      </w:r>
      <w:r w:rsidR="005C1799" w:rsidRPr="005C1799">
        <w:rPr>
          <w:lang w:val="fr-FR"/>
        </w:rPr>
        <w:t>.</w:t>
      </w:r>
      <w:r w:rsidR="00D31A51" w:rsidRPr="00FF65D6">
        <w:rPr>
          <w:lang w:val="fr-FR"/>
        </w:rPr>
        <w:t> </w:t>
      </w:r>
      <w:r w:rsidRPr="00FF65D6">
        <w:rPr>
          <w:lang w:val="fr-FR"/>
        </w:rPr>
        <w:t>F</w:t>
      </w:r>
      <w:r w:rsidR="005C1799" w:rsidRPr="005C1799">
        <w:rPr>
          <w:lang w:val="fr-FR"/>
        </w:rPr>
        <w:t>.</w:t>
      </w:r>
      <w:r w:rsidRPr="00FF65D6">
        <w:rPr>
          <w:lang w:val="fr-FR"/>
        </w:rPr>
        <w:t xml:space="preserve"> a été déclarée recevable et il a été extradé aux États-Unis par les autorités géorgiennes compétentes</w:t>
      </w:r>
      <w:r w:rsidR="005C1799" w:rsidRPr="005C1799">
        <w:rPr>
          <w:lang w:val="fr-FR"/>
        </w:rPr>
        <w:t>.</w:t>
      </w:r>
    </w:p>
    <w:p w14:paraId="091A811F" w14:textId="77777777" w:rsidR="005C5C6A" w:rsidRPr="00FF65D6" w:rsidRDefault="005C5C6A" w:rsidP="00D31A51">
      <w:pPr>
        <w:pStyle w:val="HChG"/>
        <w:rPr>
          <w:lang w:val="fr-FR"/>
        </w:rPr>
      </w:pPr>
      <w:bookmarkStart w:id="30" w:name="_Toc472961722"/>
      <w:bookmarkStart w:id="31" w:name="_Toc466668037"/>
      <w:bookmarkStart w:id="32" w:name="_Toc469062639"/>
      <w:bookmarkStart w:id="33" w:name="_Toc469062667"/>
      <w:r w:rsidRPr="00FF65D6">
        <w:rPr>
          <w:lang w:val="fr-FR"/>
        </w:rPr>
        <w:tab/>
        <w:t>VI</w:t>
      </w:r>
      <w:r w:rsidR="005C1799" w:rsidRPr="005C1799">
        <w:rPr>
          <w:b w:val="0"/>
          <w:lang w:val="fr-FR"/>
        </w:rPr>
        <w:t>.</w:t>
      </w:r>
      <w:r w:rsidRPr="00FF65D6">
        <w:rPr>
          <w:lang w:val="fr-FR"/>
        </w:rPr>
        <w:tab/>
        <w:t xml:space="preserve">Protection des droits des enfants victimes </w:t>
      </w:r>
      <w:bookmarkEnd w:id="30"/>
      <w:bookmarkEnd w:id="31"/>
      <w:bookmarkEnd w:id="32"/>
      <w:bookmarkEnd w:id="33"/>
    </w:p>
    <w:p w14:paraId="58D84266" w14:textId="77777777" w:rsidR="005C5C6A" w:rsidRPr="00FF65D6" w:rsidRDefault="005C5C6A" w:rsidP="00D31A51">
      <w:pPr>
        <w:pStyle w:val="H1G"/>
        <w:rPr>
          <w:lang w:val="fr-FR"/>
        </w:rPr>
      </w:pPr>
      <w:bookmarkStart w:id="34" w:name="_Toc472961723"/>
      <w:r w:rsidRPr="00FF65D6">
        <w:rPr>
          <w:lang w:val="fr-FR"/>
        </w:rPr>
        <w:tab/>
        <w:t>A</w:t>
      </w:r>
      <w:r w:rsidR="005C1799" w:rsidRPr="005C1799">
        <w:rPr>
          <w:b w:val="0"/>
          <w:lang w:val="fr-FR"/>
        </w:rPr>
        <w:t>.</w:t>
      </w:r>
      <w:r w:rsidRPr="00FF65D6">
        <w:rPr>
          <w:lang w:val="fr-FR"/>
        </w:rPr>
        <w:tab/>
        <w:t>Service d</w:t>
      </w:r>
      <w:r w:rsidR="002127F6" w:rsidRPr="00FF65D6">
        <w:rPr>
          <w:lang w:val="fr-FR"/>
        </w:rPr>
        <w:t>’</w:t>
      </w:r>
      <w:r w:rsidRPr="00FF65D6">
        <w:rPr>
          <w:lang w:val="fr-FR"/>
        </w:rPr>
        <w:t>aide juridictionnelle</w:t>
      </w:r>
      <w:bookmarkEnd w:id="34"/>
    </w:p>
    <w:p w14:paraId="7B782F79" w14:textId="77777777" w:rsidR="005C5C6A" w:rsidRPr="00FF65D6" w:rsidRDefault="005C5C6A" w:rsidP="00F34341">
      <w:pPr>
        <w:pStyle w:val="SingleTxtG"/>
        <w:rPr>
          <w:lang w:val="fr-FR"/>
        </w:rPr>
      </w:pPr>
      <w:r w:rsidRPr="00FF65D6">
        <w:rPr>
          <w:lang w:val="fr-FR"/>
        </w:rPr>
        <w:t>144</w:t>
      </w:r>
      <w:r w:rsidR="005C1799" w:rsidRPr="005C1799">
        <w:rPr>
          <w:lang w:val="fr-FR"/>
        </w:rPr>
        <w:t>.</w:t>
      </w:r>
      <w:r w:rsidRPr="00FF65D6">
        <w:rPr>
          <w:lang w:val="fr-FR"/>
        </w:rPr>
        <w:tab/>
        <w:t>Le service d</w:t>
      </w:r>
      <w:r w:rsidR="002127F6" w:rsidRPr="00FF65D6">
        <w:rPr>
          <w:lang w:val="fr-FR"/>
        </w:rPr>
        <w:t>’</w:t>
      </w:r>
      <w:r w:rsidRPr="00FF65D6">
        <w:rPr>
          <w:lang w:val="fr-FR"/>
        </w:rPr>
        <w:t>aide juridictionnelle, qui fournit gratuitement des services aux citoyens géorgiens depuis 2007, est un acteur important du système judiciaire du pays</w:t>
      </w:r>
      <w:r w:rsidR="005C1799" w:rsidRPr="005C1799">
        <w:rPr>
          <w:lang w:val="fr-FR"/>
        </w:rPr>
        <w:t>.</w:t>
      </w:r>
      <w:r w:rsidRPr="00FF65D6">
        <w:rPr>
          <w:lang w:val="fr-FR"/>
        </w:rPr>
        <w:t xml:space="preserve"> Les enfants victimes doivent obligatoirement être représentés par un avocat et s</w:t>
      </w:r>
      <w:r w:rsidR="002127F6" w:rsidRPr="00FF65D6">
        <w:rPr>
          <w:lang w:val="fr-FR"/>
        </w:rPr>
        <w:t>’</w:t>
      </w:r>
      <w:r w:rsidRPr="00FF65D6">
        <w:rPr>
          <w:lang w:val="fr-FR"/>
        </w:rPr>
        <w:t>ils ne le sont pas, de manière générale, un avocat du service d</w:t>
      </w:r>
      <w:r w:rsidR="002127F6" w:rsidRPr="00FF65D6">
        <w:rPr>
          <w:lang w:val="fr-FR"/>
        </w:rPr>
        <w:t>’</w:t>
      </w:r>
      <w:r w:rsidRPr="00FF65D6">
        <w:rPr>
          <w:lang w:val="fr-FR"/>
        </w:rPr>
        <w:t>aide juridictionnelle leur est assigné pour les défendre</w:t>
      </w:r>
      <w:r w:rsidR="005C1799" w:rsidRPr="005C1799">
        <w:rPr>
          <w:lang w:val="fr-FR"/>
        </w:rPr>
        <w:t>.</w:t>
      </w:r>
    </w:p>
    <w:p w14:paraId="4CC22ECA" w14:textId="77777777" w:rsidR="005C5C6A" w:rsidRPr="00FF65D6" w:rsidRDefault="005C5C6A" w:rsidP="00F34341">
      <w:pPr>
        <w:pStyle w:val="SingleTxtG"/>
        <w:rPr>
          <w:lang w:val="fr-FR"/>
        </w:rPr>
      </w:pPr>
      <w:r w:rsidRPr="00FF65D6">
        <w:rPr>
          <w:lang w:val="fr-FR"/>
        </w:rPr>
        <w:t>145</w:t>
      </w:r>
      <w:r w:rsidR="005C1799" w:rsidRPr="005C1799">
        <w:rPr>
          <w:lang w:val="fr-FR"/>
        </w:rPr>
        <w:t>.</w:t>
      </w:r>
      <w:r w:rsidRPr="00FF65D6">
        <w:rPr>
          <w:lang w:val="fr-FR"/>
        </w:rPr>
        <w:tab/>
        <w:t>En ce qui concerne l</w:t>
      </w:r>
      <w:r w:rsidR="002127F6" w:rsidRPr="00FF65D6">
        <w:rPr>
          <w:lang w:val="fr-FR"/>
        </w:rPr>
        <w:t>’</w:t>
      </w:r>
      <w:r w:rsidRPr="00FF65D6">
        <w:rPr>
          <w:lang w:val="fr-FR"/>
        </w:rPr>
        <w:t>enfant victime, le mandat du service en la matière a changé plusieurs fois au cours de la période 2007</w:t>
      </w:r>
      <w:r w:rsidR="00D31A51" w:rsidRPr="00FF65D6">
        <w:rPr>
          <w:lang w:val="fr-FR"/>
        </w:rPr>
        <w:t>-</w:t>
      </w:r>
      <w:r w:rsidRPr="00FF65D6">
        <w:rPr>
          <w:lang w:val="fr-FR"/>
        </w:rPr>
        <w:t>2016</w:t>
      </w:r>
      <w:r w:rsidR="005C1799" w:rsidRPr="005C1799">
        <w:rPr>
          <w:lang w:val="fr-FR"/>
        </w:rPr>
        <w:t>.</w:t>
      </w:r>
    </w:p>
    <w:p w14:paraId="5089E2B5" w14:textId="77777777" w:rsidR="005C5C6A" w:rsidRPr="00FF65D6" w:rsidRDefault="005C5C6A" w:rsidP="00F34341">
      <w:pPr>
        <w:pStyle w:val="SingleTxtG"/>
        <w:rPr>
          <w:lang w:val="fr-FR"/>
        </w:rPr>
      </w:pPr>
      <w:r w:rsidRPr="00FF65D6">
        <w:rPr>
          <w:lang w:val="fr-FR"/>
        </w:rPr>
        <w:t>146</w:t>
      </w:r>
      <w:r w:rsidR="005C1799" w:rsidRPr="005C1799">
        <w:rPr>
          <w:lang w:val="fr-FR"/>
        </w:rPr>
        <w:t>.</w:t>
      </w:r>
      <w:r w:rsidRPr="00FF65D6">
        <w:rPr>
          <w:lang w:val="fr-FR"/>
        </w:rPr>
        <w:tab/>
        <w:t>Jusqu</w:t>
      </w:r>
      <w:r w:rsidR="002127F6" w:rsidRPr="00FF65D6">
        <w:rPr>
          <w:lang w:val="fr-FR"/>
        </w:rPr>
        <w:t>’</w:t>
      </w:r>
      <w:r w:rsidRPr="00FF65D6">
        <w:rPr>
          <w:lang w:val="fr-FR"/>
        </w:rPr>
        <w:t>au 1</w:t>
      </w:r>
      <w:r w:rsidRPr="00FF65D6">
        <w:rPr>
          <w:vertAlign w:val="superscript"/>
          <w:lang w:val="fr-FR"/>
        </w:rPr>
        <w:t>er</w:t>
      </w:r>
      <w:r w:rsidRPr="00FF65D6">
        <w:rPr>
          <w:lang w:val="fr-FR"/>
        </w:rPr>
        <w:t xml:space="preserve"> janvier 2016, la protection des intérêts de</w:t>
      </w:r>
      <w:r w:rsidR="002127F6" w:rsidRPr="00FF65D6">
        <w:rPr>
          <w:lang w:val="fr-FR"/>
        </w:rPr>
        <w:t xml:space="preserve"> </w:t>
      </w:r>
      <w:r w:rsidRPr="00FF65D6">
        <w:rPr>
          <w:lang w:val="fr-FR"/>
        </w:rPr>
        <w:t>l</w:t>
      </w:r>
      <w:r w:rsidR="002127F6" w:rsidRPr="00FF65D6">
        <w:rPr>
          <w:lang w:val="fr-FR"/>
        </w:rPr>
        <w:t>’</w:t>
      </w:r>
      <w:r w:rsidRPr="00FF65D6">
        <w:rPr>
          <w:lang w:val="fr-FR"/>
        </w:rPr>
        <w:t>enfant victime était assurée par l</w:t>
      </w:r>
      <w:r w:rsidR="002127F6" w:rsidRPr="00FF65D6">
        <w:rPr>
          <w:lang w:val="fr-FR"/>
        </w:rPr>
        <w:t>’</w:t>
      </w:r>
      <w:r w:rsidRPr="00FF65D6">
        <w:rPr>
          <w:lang w:val="fr-FR"/>
        </w:rPr>
        <w:t>État uniquement lors de la phase d</w:t>
      </w:r>
      <w:r w:rsidR="002127F6" w:rsidRPr="00FF65D6">
        <w:rPr>
          <w:lang w:val="fr-FR"/>
        </w:rPr>
        <w:t>’</w:t>
      </w:r>
      <w:r w:rsidRPr="00FF65D6">
        <w:rPr>
          <w:lang w:val="fr-FR"/>
        </w:rPr>
        <w:t>enquête, lorsqu</w:t>
      </w:r>
      <w:r w:rsidR="002127F6" w:rsidRPr="00FF65D6">
        <w:rPr>
          <w:lang w:val="fr-FR"/>
        </w:rPr>
        <w:t>’</w:t>
      </w:r>
      <w:r w:rsidRPr="00FF65D6">
        <w:rPr>
          <w:lang w:val="fr-FR"/>
        </w:rPr>
        <w:t>il s</w:t>
      </w:r>
      <w:r w:rsidR="002127F6" w:rsidRPr="00FF65D6">
        <w:rPr>
          <w:lang w:val="fr-FR"/>
        </w:rPr>
        <w:t>’</w:t>
      </w:r>
      <w:r w:rsidRPr="00FF65D6">
        <w:rPr>
          <w:lang w:val="fr-FR"/>
        </w:rPr>
        <w:t>agissait de reconnaître à l</w:t>
      </w:r>
      <w:r w:rsidR="002127F6" w:rsidRPr="00FF65D6">
        <w:rPr>
          <w:lang w:val="fr-FR"/>
        </w:rPr>
        <w:t>’</w:t>
      </w:r>
      <w:r w:rsidRPr="00FF65D6">
        <w:rPr>
          <w:lang w:val="fr-FR"/>
        </w:rPr>
        <w:t>enfant le statut de victime et de l</w:t>
      </w:r>
      <w:r w:rsidR="002127F6" w:rsidRPr="00FF65D6">
        <w:rPr>
          <w:lang w:val="fr-FR"/>
        </w:rPr>
        <w:t>’</w:t>
      </w:r>
      <w:r w:rsidRPr="00FF65D6">
        <w:rPr>
          <w:lang w:val="fr-FR"/>
        </w:rPr>
        <w:t>interroger</w:t>
      </w:r>
      <w:r w:rsidR="005C1799" w:rsidRPr="005C1799">
        <w:rPr>
          <w:lang w:val="fr-FR"/>
        </w:rPr>
        <w:t>.</w:t>
      </w:r>
    </w:p>
    <w:p w14:paraId="54CB2619" w14:textId="77777777" w:rsidR="005C5C6A" w:rsidRPr="00FF65D6" w:rsidRDefault="005C5C6A" w:rsidP="00F34341">
      <w:pPr>
        <w:pStyle w:val="SingleTxtG"/>
        <w:rPr>
          <w:lang w:val="fr-FR"/>
        </w:rPr>
      </w:pPr>
      <w:r w:rsidRPr="00FF65D6">
        <w:rPr>
          <w:lang w:val="fr-FR"/>
        </w:rPr>
        <w:t>147</w:t>
      </w:r>
      <w:r w:rsidR="005C1799" w:rsidRPr="005C1799">
        <w:rPr>
          <w:lang w:val="fr-FR"/>
        </w:rPr>
        <w:t>.</w:t>
      </w:r>
      <w:r w:rsidRPr="00FF65D6">
        <w:rPr>
          <w:lang w:val="fr-FR"/>
        </w:rPr>
        <w:tab/>
        <w:t>Depuis le 1</w:t>
      </w:r>
      <w:r w:rsidRPr="003C4BCE">
        <w:rPr>
          <w:vertAlign w:val="superscript"/>
          <w:lang w:val="fr-FR"/>
        </w:rPr>
        <w:t>er</w:t>
      </w:r>
      <w:r w:rsidRPr="00FF65D6">
        <w:rPr>
          <w:lang w:val="fr-FR"/>
        </w:rPr>
        <w:t xml:space="preserve"> janvier 2016, conformément au nouveau Code de la justice des mineurs, un avocat du service d</w:t>
      </w:r>
      <w:r w:rsidR="002127F6" w:rsidRPr="00FF65D6">
        <w:rPr>
          <w:lang w:val="fr-FR"/>
        </w:rPr>
        <w:t>’</w:t>
      </w:r>
      <w:r w:rsidRPr="00FF65D6">
        <w:rPr>
          <w:lang w:val="fr-FR"/>
        </w:rPr>
        <w:t>aide juridictionnelle est désigné pour assister la victime</w:t>
      </w:r>
      <w:r w:rsidR="005C1799" w:rsidRPr="005C1799">
        <w:rPr>
          <w:lang w:val="fr-FR"/>
        </w:rPr>
        <w:t>.</w:t>
      </w:r>
      <w:r w:rsidRPr="00FF65D6">
        <w:rPr>
          <w:lang w:val="fr-FR"/>
        </w:rPr>
        <w:t xml:space="preserve"> Afin de prévenir la victimisation secondaire et la victimisation répétée, l</w:t>
      </w:r>
      <w:r w:rsidR="002127F6" w:rsidRPr="00FF65D6">
        <w:rPr>
          <w:lang w:val="fr-FR"/>
        </w:rPr>
        <w:t>’</w:t>
      </w:r>
      <w:r w:rsidRPr="00FF65D6">
        <w:rPr>
          <w:lang w:val="fr-FR"/>
        </w:rPr>
        <w:t>avocat de la défense assiste aux audiences avec la participation de l</w:t>
      </w:r>
      <w:r w:rsidR="002127F6" w:rsidRPr="00FF65D6">
        <w:rPr>
          <w:lang w:val="fr-FR"/>
        </w:rPr>
        <w:t>’</w:t>
      </w:r>
      <w:r w:rsidRPr="00FF65D6">
        <w:rPr>
          <w:lang w:val="fr-FR"/>
        </w:rPr>
        <w:t>enfant victime</w:t>
      </w:r>
      <w:r w:rsidR="005C1799" w:rsidRPr="005C1799">
        <w:rPr>
          <w:lang w:val="fr-FR"/>
        </w:rPr>
        <w:t>.</w:t>
      </w:r>
    </w:p>
    <w:p w14:paraId="10817FF3" w14:textId="77777777" w:rsidR="005C5C6A" w:rsidRPr="00FF65D6" w:rsidRDefault="005C5C6A" w:rsidP="00F34341">
      <w:pPr>
        <w:pStyle w:val="SingleTxtG"/>
        <w:rPr>
          <w:lang w:val="fr-FR"/>
        </w:rPr>
      </w:pPr>
      <w:r w:rsidRPr="00FF65D6">
        <w:rPr>
          <w:lang w:val="fr-FR"/>
        </w:rPr>
        <w:t>148</w:t>
      </w:r>
      <w:r w:rsidR="005C1799" w:rsidRPr="005C1799">
        <w:rPr>
          <w:lang w:val="fr-FR"/>
        </w:rPr>
        <w:t>.</w:t>
      </w:r>
      <w:r w:rsidRPr="00FF65D6">
        <w:rPr>
          <w:lang w:val="fr-FR"/>
        </w:rPr>
        <w:tab/>
        <w:t>Dans sa pratique, le service d</w:t>
      </w:r>
      <w:r w:rsidR="002127F6" w:rsidRPr="00FF65D6">
        <w:rPr>
          <w:lang w:val="fr-FR"/>
        </w:rPr>
        <w:t>’</w:t>
      </w:r>
      <w:r w:rsidRPr="00FF65D6">
        <w:rPr>
          <w:lang w:val="fr-FR"/>
        </w:rPr>
        <w:t>aide juridictionnelle n</w:t>
      </w:r>
      <w:r w:rsidR="002127F6" w:rsidRPr="00FF65D6">
        <w:rPr>
          <w:lang w:val="fr-FR"/>
        </w:rPr>
        <w:t>’</w:t>
      </w:r>
      <w:r w:rsidRPr="00FF65D6">
        <w:rPr>
          <w:lang w:val="fr-FR"/>
        </w:rPr>
        <w:t>a pas eu à s</w:t>
      </w:r>
      <w:r w:rsidR="002127F6" w:rsidRPr="00FF65D6">
        <w:rPr>
          <w:lang w:val="fr-FR"/>
        </w:rPr>
        <w:t>’</w:t>
      </w:r>
      <w:r w:rsidRPr="00FF65D6">
        <w:rPr>
          <w:lang w:val="fr-FR"/>
        </w:rPr>
        <w:t>occuper d</w:t>
      </w:r>
      <w:r w:rsidR="002127F6" w:rsidRPr="00FF65D6">
        <w:rPr>
          <w:lang w:val="fr-FR"/>
        </w:rPr>
        <w:t>’</w:t>
      </w:r>
      <w:r w:rsidRPr="00FF65D6">
        <w:rPr>
          <w:lang w:val="fr-FR"/>
        </w:rPr>
        <w:t>affaires concernant la vente d</w:t>
      </w:r>
      <w:r w:rsidR="002127F6" w:rsidRPr="00FF65D6">
        <w:rPr>
          <w:lang w:val="fr-FR"/>
        </w:rPr>
        <w:t>’</w:t>
      </w:r>
      <w:r w:rsidRPr="00FF65D6">
        <w:rPr>
          <w:lang w:val="fr-FR"/>
        </w:rPr>
        <w:t>enfants, la prostitution des enfants et la pornographie mettant en scène des enfants</w:t>
      </w:r>
      <w:r w:rsidR="005C1799" w:rsidRPr="005C1799">
        <w:rPr>
          <w:lang w:val="fr-FR"/>
        </w:rPr>
        <w:t>.</w:t>
      </w:r>
      <w:r w:rsidRPr="00FF65D6">
        <w:rPr>
          <w:lang w:val="fr-FR"/>
        </w:rPr>
        <w:t xml:space="preserve"> De manière générale, au cours de la période 2013</w:t>
      </w:r>
      <w:r w:rsidR="004C43D9" w:rsidRPr="00FF65D6">
        <w:rPr>
          <w:lang w:val="fr-FR"/>
        </w:rPr>
        <w:t>-</w:t>
      </w:r>
      <w:r w:rsidRPr="00FF65D6">
        <w:rPr>
          <w:lang w:val="fr-FR"/>
        </w:rPr>
        <w:t>2016, les statistiques relatives aux enfants victimes indiquent que les avocats</w:t>
      </w:r>
      <w:r w:rsidR="002127F6" w:rsidRPr="00FF65D6">
        <w:rPr>
          <w:lang w:val="fr-FR"/>
        </w:rPr>
        <w:t xml:space="preserve"> </w:t>
      </w:r>
      <w:r w:rsidRPr="00FF65D6">
        <w:rPr>
          <w:lang w:val="fr-FR"/>
        </w:rPr>
        <w:t>du service d</w:t>
      </w:r>
      <w:r w:rsidR="002127F6" w:rsidRPr="00FF65D6">
        <w:rPr>
          <w:lang w:val="fr-FR"/>
        </w:rPr>
        <w:t>’</w:t>
      </w:r>
      <w:r w:rsidRPr="00FF65D6">
        <w:rPr>
          <w:lang w:val="fr-FR"/>
        </w:rPr>
        <w:t>aide juridictionnelle ont fourni une assistance à 336 enfants victimes au total, dont 98 qui avaient été victimes de violences sexuelles et 30 de violences familiales</w:t>
      </w:r>
      <w:r w:rsidR="005C1799" w:rsidRPr="005C1799">
        <w:rPr>
          <w:lang w:val="fr-FR"/>
        </w:rPr>
        <w:t>.</w:t>
      </w:r>
    </w:p>
    <w:p w14:paraId="53165236" w14:textId="77777777" w:rsidR="005C5C6A" w:rsidRPr="00FF65D6" w:rsidRDefault="005C5C6A" w:rsidP="004C43D9">
      <w:pPr>
        <w:pStyle w:val="H1G"/>
        <w:rPr>
          <w:lang w:val="fr-FR"/>
        </w:rPr>
      </w:pPr>
      <w:bookmarkStart w:id="35" w:name="_Toc472961724"/>
      <w:r w:rsidRPr="00FF65D6">
        <w:rPr>
          <w:lang w:val="fr-FR"/>
        </w:rPr>
        <w:tab/>
        <w:t>B</w:t>
      </w:r>
      <w:r w:rsidR="005C1799" w:rsidRPr="005C1799">
        <w:rPr>
          <w:b w:val="0"/>
          <w:lang w:val="fr-FR"/>
        </w:rPr>
        <w:t>.</w:t>
      </w:r>
      <w:r w:rsidRPr="00FF65D6">
        <w:rPr>
          <w:lang w:val="fr-FR"/>
        </w:rPr>
        <w:tab/>
        <w:t xml:space="preserve">Appui aux victimes et réadaptation et réinsertion des victimes </w:t>
      </w:r>
      <w:bookmarkEnd w:id="35"/>
    </w:p>
    <w:p w14:paraId="1A5CBFA8" w14:textId="77777777" w:rsidR="005C5C6A" w:rsidRPr="00FF65D6" w:rsidRDefault="005C5C6A" w:rsidP="004C43D9">
      <w:pPr>
        <w:pStyle w:val="H23G"/>
        <w:rPr>
          <w:lang w:val="fr-FR"/>
        </w:rPr>
      </w:pPr>
      <w:r w:rsidRPr="00FF65D6">
        <w:rPr>
          <w:lang w:val="fr-FR"/>
        </w:rPr>
        <w:tab/>
      </w:r>
      <w:r w:rsidRPr="00FF65D6">
        <w:rPr>
          <w:lang w:val="fr-FR"/>
        </w:rPr>
        <w:tab/>
        <w:t>Services psychologiques</w:t>
      </w:r>
    </w:p>
    <w:p w14:paraId="733141EE" w14:textId="77777777" w:rsidR="005C5C6A" w:rsidRPr="00FF65D6" w:rsidRDefault="005C5C6A" w:rsidP="00F34341">
      <w:pPr>
        <w:pStyle w:val="SingleTxtG"/>
        <w:rPr>
          <w:lang w:val="fr-FR"/>
        </w:rPr>
      </w:pPr>
      <w:r w:rsidRPr="00FF65D6">
        <w:rPr>
          <w:lang w:val="fr-FR"/>
        </w:rPr>
        <w:t>149</w:t>
      </w:r>
      <w:r w:rsidR="005C1799" w:rsidRPr="005C1799">
        <w:rPr>
          <w:lang w:val="fr-FR"/>
        </w:rPr>
        <w:t>.</w:t>
      </w:r>
      <w:r w:rsidRPr="00FF65D6">
        <w:rPr>
          <w:lang w:val="fr-FR"/>
        </w:rPr>
        <w:tab/>
        <w:t>Le Fonds national fournit des services psychologiques aux victimes de la traite des êtres humains</w:t>
      </w:r>
      <w:r w:rsidR="005C1799" w:rsidRPr="005C1799">
        <w:rPr>
          <w:lang w:val="fr-FR"/>
        </w:rPr>
        <w:t>.</w:t>
      </w:r>
      <w:r w:rsidRPr="00FF65D6">
        <w:rPr>
          <w:lang w:val="fr-FR"/>
        </w:rPr>
        <w:t xml:space="preserve"> Les services comportent les étapes suivantes</w:t>
      </w:r>
      <w:r w:rsidR="003B7618" w:rsidRPr="00FF65D6">
        <w:rPr>
          <w:lang w:val="fr-FR"/>
        </w:rPr>
        <w:t> :</w:t>
      </w:r>
      <w:r w:rsidRPr="00FF65D6">
        <w:rPr>
          <w:lang w:val="fr-FR"/>
        </w:rPr>
        <w:t xml:space="preserve"> consultations psychologiques individuelles et en groupe et réadaptation pour les victimes de la traite, intervention en temps de crise, soutien affectif et psychologique, éducation psychologique, assistance aux victimes pour leur permettre de définir leurs perspectives d</w:t>
      </w:r>
      <w:r w:rsidR="002127F6" w:rsidRPr="00FF65D6">
        <w:rPr>
          <w:lang w:val="fr-FR"/>
        </w:rPr>
        <w:t>’</w:t>
      </w:r>
      <w:r w:rsidRPr="00FF65D6">
        <w:rPr>
          <w:lang w:val="fr-FR"/>
        </w:rPr>
        <w:t>avenir/de reprendre leur vie en mains</w:t>
      </w:r>
      <w:r w:rsidR="005C1799" w:rsidRPr="005C1799">
        <w:rPr>
          <w:lang w:val="fr-FR"/>
        </w:rPr>
        <w:t>.</w:t>
      </w:r>
      <w:r w:rsidRPr="00FF65D6">
        <w:rPr>
          <w:lang w:val="fr-FR"/>
        </w:rPr>
        <w:t xml:space="preserve"> La réadaptation en groupe s</w:t>
      </w:r>
      <w:r w:rsidR="002127F6" w:rsidRPr="00FF65D6">
        <w:rPr>
          <w:lang w:val="fr-FR"/>
        </w:rPr>
        <w:t>’</w:t>
      </w:r>
      <w:r w:rsidRPr="00FF65D6">
        <w:rPr>
          <w:lang w:val="fr-FR"/>
        </w:rPr>
        <w:t xml:space="preserve">effectue au moyen de réunions qui se tiennent une fois par semaine ou tous les </w:t>
      </w:r>
      <w:r w:rsidR="004C43D9" w:rsidRPr="00FF65D6">
        <w:rPr>
          <w:lang w:val="fr-FR"/>
        </w:rPr>
        <w:t>dix</w:t>
      </w:r>
      <w:r w:rsidRPr="00FF65D6">
        <w:rPr>
          <w:lang w:val="fr-FR"/>
        </w:rPr>
        <w:t xml:space="preserve"> jours et comprend </w:t>
      </w:r>
      <w:r w:rsidR="0024316F">
        <w:rPr>
          <w:lang w:val="fr-FR"/>
        </w:rPr>
        <w:t xml:space="preserve">des </w:t>
      </w:r>
      <w:r w:rsidRPr="00FF65D6">
        <w:rPr>
          <w:lang w:val="fr-FR"/>
        </w:rPr>
        <w:t>formes de travail en groupe qui visent à renforcer la confiance en soi et à étayer les liens relationnels entre les résidents d</w:t>
      </w:r>
      <w:r w:rsidR="002127F6" w:rsidRPr="00FF65D6">
        <w:rPr>
          <w:lang w:val="fr-FR"/>
        </w:rPr>
        <w:t>’</w:t>
      </w:r>
      <w:r w:rsidRPr="00FF65D6">
        <w:rPr>
          <w:lang w:val="fr-FR"/>
        </w:rPr>
        <w:t>un centre d</w:t>
      </w:r>
      <w:r w:rsidR="002127F6" w:rsidRPr="00FF65D6">
        <w:rPr>
          <w:lang w:val="fr-FR"/>
        </w:rPr>
        <w:t>’</w:t>
      </w:r>
      <w:r w:rsidRPr="00FF65D6">
        <w:rPr>
          <w:lang w:val="fr-FR"/>
        </w:rPr>
        <w:t>hébergement</w:t>
      </w:r>
      <w:r w:rsidR="005C1799" w:rsidRPr="005C1799">
        <w:rPr>
          <w:lang w:val="fr-FR"/>
        </w:rPr>
        <w:t>.</w:t>
      </w:r>
      <w:r w:rsidRPr="00FF65D6">
        <w:rPr>
          <w:lang w:val="fr-FR"/>
        </w:rPr>
        <w:t xml:space="preserve"> La constitution de groupes créatifs, qui aident les victimes de la traite à s</w:t>
      </w:r>
      <w:r w:rsidR="002127F6" w:rsidRPr="00FF65D6">
        <w:rPr>
          <w:lang w:val="fr-FR"/>
        </w:rPr>
        <w:t>’</w:t>
      </w:r>
      <w:r w:rsidRPr="00FF65D6">
        <w:rPr>
          <w:lang w:val="fr-FR"/>
        </w:rPr>
        <w:t>exprimer dans le cadre de différentes activités (telles que peinture, tricotage, chant, dance) est une des formes de travail en groupe</w:t>
      </w:r>
      <w:r w:rsidR="005C1799" w:rsidRPr="005C1799">
        <w:rPr>
          <w:lang w:val="fr-FR"/>
        </w:rPr>
        <w:t>.</w:t>
      </w:r>
      <w:r w:rsidRPr="00FF65D6">
        <w:rPr>
          <w:lang w:val="fr-FR"/>
        </w:rPr>
        <w:t xml:space="preserve"> </w:t>
      </w:r>
    </w:p>
    <w:p w14:paraId="43BB469D" w14:textId="77777777" w:rsidR="005C5C6A" w:rsidRPr="00FF65D6" w:rsidRDefault="005C5C6A" w:rsidP="00F34341">
      <w:pPr>
        <w:pStyle w:val="SingleTxtG"/>
        <w:rPr>
          <w:lang w:val="fr-FR"/>
        </w:rPr>
      </w:pPr>
      <w:r w:rsidRPr="00FF65D6">
        <w:rPr>
          <w:lang w:val="fr-FR"/>
        </w:rPr>
        <w:t>150</w:t>
      </w:r>
      <w:r w:rsidR="005C1799" w:rsidRPr="005C1799">
        <w:rPr>
          <w:lang w:val="fr-FR"/>
        </w:rPr>
        <w:t>.</w:t>
      </w:r>
      <w:r w:rsidRPr="00FF65D6">
        <w:rPr>
          <w:lang w:val="fr-FR"/>
        </w:rPr>
        <w:tab/>
        <w:t>Le programme de réadaptation et de réintégration est mis en œuvre pour chaque bénéficiaire qui vit dans un centre d</w:t>
      </w:r>
      <w:r w:rsidR="002127F6" w:rsidRPr="00FF65D6">
        <w:rPr>
          <w:lang w:val="fr-FR"/>
        </w:rPr>
        <w:t>’</w:t>
      </w:r>
      <w:r w:rsidRPr="00FF65D6">
        <w:rPr>
          <w:lang w:val="fr-FR"/>
        </w:rPr>
        <w:t>hébergement, en tenant compte des mesures suivantes</w:t>
      </w:r>
      <w:r w:rsidR="003B7618" w:rsidRPr="00FF65D6">
        <w:rPr>
          <w:lang w:val="fr-FR"/>
        </w:rPr>
        <w:t> </w:t>
      </w:r>
      <w:r w:rsidRPr="00FF65D6">
        <w:rPr>
          <w:lang w:val="fr-FR"/>
        </w:rPr>
        <w:t>: conduite d</w:t>
      </w:r>
      <w:r w:rsidR="002127F6" w:rsidRPr="00FF65D6">
        <w:rPr>
          <w:lang w:val="fr-FR"/>
        </w:rPr>
        <w:t>’</w:t>
      </w:r>
      <w:r w:rsidRPr="00FF65D6">
        <w:rPr>
          <w:lang w:val="fr-FR"/>
        </w:rPr>
        <w:t>un entretien avec les bénéficiaires et évaluation de leurs besoins, évaluation du risque qu</w:t>
      </w:r>
      <w:r w:rsidR="002127F6" w:rsidRPr="00FF65D6">
        <w:rPr>
          <w:lang w:val="fr-FR"/>
        </w:rPr>
        <w:t>’</w:t>
      </w:r>
      <w:r w:rsidRPr="00FF65D6">
        <w:rPr>
          <w:lang w:val="fr-FR"/>
        </w:rPr>
        <w:t>encourent les bénéficiaires de subir une atteinte et élaboration d</w:t>
      </w:r>
      <w:r w:rsidR="002127F6" w:rsidRPr="00FF65D6">
        <w:rPr>
          <w:lang w:val="fr-FR"/>
        </w:rPr>
        <w:t>’</w:t>
      </w:r>
      <w:r w:rsidRPr="00FF65D6">
        <w:rPr>
          <w:lang w:val="fr-FR"/>
        </w:rPr>
        <w:t>un plan de sécurité, établissement d</w:t>
      </w:r>
      <w:r w:rsidR="002127F6" w:rsidRPr="00FF65D6">
        <w:rPr>
          <w:lang w:val="fr-FR"/>
        </w:rPr>
        <w:t>’</w:t>
      </w:r>
      <w:r w:rsidRPr="00FF65D6">
        <w:rPr>
          <w:lang w:val="fr-FR"/>
        </w:rPr>
        <w:t>un plan de réadaptation et de réintégration, planification et fourniture de services psychologiques, médicaux, juridiques et sociaux</w:t>
      </w:r>
      <w:r w:rsidR="003B7618" w:rsidRPr="00FF65D6">
        <w:rPr>
          <w:lang w:val="fr-FR"/>
        </w:rPr>
        <w:t> </w:t>
      </w:r>
      <w:r w:rsidRPr="00FF65D6">
        <w:rPr>
          <w:lang w:val="fr-FR"/>
        </w:rPr>
        <w:t>; communication avec d</w:t>
      </w:r>
      <w:r w:rsidR="002127F6" w:rsidRPr="00FF65D6">
        <w:rPr>
          <w:lang w:val="fr-FR"/>
        </w:rPr>
        <w:t>’</w:t>
      </w:r>
      <w:r w:rsidRPr="00FF65D6">
        <w:rPr>
          <w:lang w:val="fr-FR"/>
        </w:rPr>
        <w:t>autres organisations et experts et coordination des services, si nécessaire</w:t>
      </w:r>
      <w:r w:rsidR="005C1799" w:rsidRPr="005C1799">
        <w:rPr>
          <w:lang w:val="fr-FR"/>
        </w:rPr>
        <w:t>.</w:t>
      </w:r>
      <w:r w:rsidRPr="00FF65D6">
        <w:rPr>
          <w:lang w:val="fr-FR"/>
        </w:rPr>
        <w:t xml:space="preserve"> </w:t>
      </w:r>
    </w:p>
    <w:p w14:paraId="0290D852" w14:textId="77777777" w:rsidR="005C5C6A" w:rsidRPr="00FF65D6" w:rsidRDefault="005C5C6A" w:rsidP="004C43D9">
      <w:pPr>
        <w:pStyle w:val="H23G"/>
        <w:rPr>
          <w:lang w:val="fr-FR"/>
        </w:rPr>
      </w:pPr>
      <w:bookmarkStart w:id="36" w:name="_Toc472961725"/>
      <w:r w:rsidRPr="00FF65D6">
        <w:rPr>
          <w:lang w:val="fr-FR"/>
        </w:rPr>
        <w:tab/>
      </w:r>
      <w:r w:rsidRPr="00FF65D6">
        <w:rPr>
          <w:lang w:val="fr-FR"/>
        </w:rPr>
        <w:tab/>
        <w:t>Service de santé</w:t>
      </w:r>
      <w:bookmarkEnd w:id="36"/>
    </w:p>
    <w:p w14:paraId="09C768C1" w14:textId="77777777" w:rsidR="005C5C6A" w:rsidRPr="00FF65D6" w:rsidRDefault="005C5C6A" w:rsidP="00F34341">
      <w:pPr>
        <w:pStyle w:val="SingleTxtG"/>
        <w:rPr>
          <w:lang w:val="fr-FR"/>
        </w:rPr>
      </w:pPr>
      <w:r w:rsidRPr="00FF65D6">
        <w:rPr>
          <w:lang w:val="fr-FR"/>
        </w:rPr>
        <w:t>151</w:t>
      </w:r>
      <w:r w:rsidR="005C1799" w:rsidRPr="005C1799">
        <w:rPr>
          <w:lang w:val="fr-FR"/>
        </w:rPr>
        <w:t>.</w:t>
      </w:r>
      <w:r w:rsidRPr="00FF65D6">
        <w:rPr>
          <w:lang w:val="fr-FR"/>
        </w:rPr>
        <w:tab/>
        <w:t>Le Fonds national fournit des services médicaux aux victimes de la traite, y compris l</w:t>
      </w:r>
      <w:r w:rsidR="002127F6" w:rsidRPr="00FF65D6">
        <w:rPr>
          <w:lang w:val="fr-FR"/>
        </w:rPr>
        <w:t>’</w:t>
      </w:r>
      <w:r w:rsidRPr="00FF65D6">
        <w:rPr>
          <w:lang w:val="fr-FR"/>
        </w:rPr>
        <w:t>établissement du diagnostic de leur état de santé et de leurs besoins médicaux et la fourniture des premiers secours et de services d</w:t>
      </w:r>
      <w:r w:rsidR="002127F6" w:rsidRPr="00FF65D6">
        <w:rPr>
          <w:lang w:val="fr-FR"/>
        </w:rPr>
        <w:t>’</w:t>
      </w:r>
      <w:r w:rsidRPr="00FF65D6">
        <w:rPr>
          <w:lang w:val="fr-FR"/>
        </w:rPr>
        <w:t>urgence ainsi que de médicaments de base</w:t>
      </w:r>
      <w:r w:rsidR="005C1799" w:rsidRPr="005C1799">
        <w:rPr>
          <w:lang w:val="fr-FR"/>
        </w:rPr>
        <w:t>.</w:t>
      </w:r>
      <w:r w:rsidRPr="00FF65D6">
        <w:rPr>
          <w:lang w:val="fr-FR"/>
        </w:rPr>
        <w:t xml:space="preserve"> </w:t>
      </w:r>
    </w:p>
    <w:p w14:paraId="420A78FA" w14:textId="77777777" w:rsidR="005C5C6A" w:rsidRPr="00FF65D6" w:rsidRDefault="005C5C6A" w:rsidP="004C43D9">
      <w:pPr>
        <w:pStyle w:val="H23G"/>
        <w:rPr>
          <w:lang w:val="fr-FR"/>
        </w:rPr>
      </w:pPr>
      <w:bookmarkStart w:id="37" w:name="_Toc472961726"/>
      <w:r w:rsidRPr="00FF65D6">
        <w:rPr>
          <w:lang w:val="fr-FR"/>
        </w:rPr>
        <w:tab/>
      </w:r>
      <w:r w:rsidRPr="00FF65D6">
        <w:rPr>
          <w:lang w:val="fr-FR"/>
        </w:rPr>
        <w:tab/>
        <w:t>Services d</w:t>
      </w:r>
      <w:r w:rsidR="002127F6" w:rsidRPr="00FF65D6">
        <w:rPr>
          <w:lang w:val="fr-FR"/>
        </w:rPr>
        <w:t>’</w:t>
      </w:r>
      <w:r w:rsidRPr="00FF65D6">
        <w:rPr>
          <w:lang w:val="fr-FR"/>
        </w:rPr>
        <w:t>hébergement</w:t>
      </w:r>
      <w:bookmarkEnd w:id="37"/>
    </w:p>
    <w:p w14:paraId="26CFD685" w14:textId="77777777" w:rsidR="005C5C6A" w:rsidRPr="00FF65D6" w:rsidRDefault="005C5C6A" w:rsidP="00F34341">
      <w:pPr>
        <w:pStyle w:val="SingleTxtG"/>
        <w:rPr>
          <w:lang w:val="fr-FR"/>
        </w:rPr>
      </w:pPr>
      <w:r w:rsidRPr="00FF65D6">
        <w:rPr>
          <w:lang w:val="fr-FR"/>
        </w:rPr>
        <w:t>152</w:t>
      </w:r>
      <w:r w:rsidR="005C1799" w:rsidRPr="005C1799">
        <w:rPr>
          <w:lang w:val="fr-FR"/>
        </w:rPr>
        <w:t>.</w:t>
      </w:r>
      <w:r w:rsidRPr="00FF65D6">
        <w:rPr>
          <w:lang w:val="fr-FR"/>
        </w:rPr>
        <w:tab/>
        <w:t>Le Fonds national est responsable de deux centres d</w:t>
      </w:r>
      <w:r w:rsidR="002127F6" w:rsidRPr="00FF65D6">
        <w:rPr>
          <w:lang w:val="fr-FR"/>
        </w:rPr>
        <w:t>’</w:t>
      </w:r>
      <w:r w:rsidRPr="00FF65D6">
        <w:rPr>
          <w:lang w:val="fr-FR"/>
        </w:rPr>
        <w:t>hébergement pour les victimes de la traite, l</w:t>
      </w:r>
      <w:r w:rsidR="002127F6" w:rsidRPr="00FF65D6">
        <w:rPr>
          <w:lang w:val="fr-FR"/>
        </w:rPr>
        <w:t>’</w:t>
      </w:r>
      <w:r w:rsidRPr="00FF65D6">
        <w:rPr>
          <w:lang w:val="fr-FR"/>
        </w:rPr>
        <w:t>un à Batumi (ouvert en 2006), l</w:t>
      </w:r>
      <w:r w:rsidR="002127F6" w:rsidRPr="00FF65D6">
        <w:rPr>
          <w:lang w:val="fr-FR"/>
        </w:rPr>
        <w:t>’</w:t>
      </w:r>
      <w:r w:rsidRPr="00FF65D6">
        <w:rPr>
          <w:lang w:val="fr-FR"/>
        </w:rPr>
        <w:t>autre à Tbilissi (ouvert en 2007)</w:t>
      </w:r>
      <w:r w:rsidR="005C1799" w:rsidRPr="005C1799">
        <w:rPr>
          <w:lang w:val="fr-FR"/>
        </w:rPr>
        <w:t>.</w:t>
      </w:r>
    </w:p>
    <w:p w14:paraId="0E65705B" w14:textId="77777777" w:rsidR="005C5C6A" w:rsidRPr="00FF65D6" w:rsidRDefault="005C5C6A" w:rsidP="00F34341">
      <w:pPr>
        <w:pStyle w:val="SingleTxtG"/>
        <w:rPr>
          <w:lang w:val="fr-FR"/>
        </w:rPr>
      </w:pPr>
      <w:r w:rsidRPr="00FF65D6">
        <w:rPr>
          <w:lang w:val="fr-FR"/>
        </w:rPr>
        <w:t>153</w:t>
      </w:r>
      <w:r w:rsidR="005C1799" w:rsidRPr="005C1799">
        <w:rPr>
          <w:lang w:val="fr-FR"/>
        </w:rPr>
        <w:t>.</w:t>
      </w:r>
      <w:r w:rsidRPr="00FF65D6">
        <w:rPr>
          <w:lang w:val="fr-FR"/>
        </w:rPr>
        <w:tab/>
        <w:t>Les centres accueillent les victimes de la traite indépendamment de leur race, de leur couleur, de leur langue, de leur sexe, de leur religion, de leurs opinions politiques ou autres, de leur appartenance ethnique et sociale, de leur origine, des biens qu</w:t>
      </w:r>
      <w:r w:rsidR="002127F6" w:rsidRPr="00FF65D6">
        <w:rPr>
          <w:lang w:val="fr-FR"/>
        </w:rPr>
        <w:t>’</w:t>
      </w:r>
      <w:r w:rsidRPr="00FF65D6">
        <w:rPr>
          <w:lang w:val="fr-FR"/>
        </w:rPr>
        <w:t>ils possèdent ou de leur statut social ou de leur lieu de résidence</w:t>
      </w:r>
      <w:r w:rsidR="005C1799" w:rsidRPr="005C1799">
        <w:rPr>
          <w:lang w:val="fr-FR"/>
        </w:rPr>
        <w:t>.</w:t>
      </w:r>
      <w:r w:rsidRPr="00FF65D6">
        <w:rPr>
          <w:lang w:val="fr-FR"/>
        </w:rPr>
        <w:t xml:space="preserve"> Ces victimes peuvent être placées dans un centre d</w:t>
      </w:r>
      <w:r w:rsidR="002127F6" w:rsidRPr="00FF65D6">
        <w:rPr>
          <w:lang w:val="fr-FR"/>
        </w:rPr>
        <w:t>’</w:t>
      </w:r>
      <w:r w:rsidRPr="00FF65D6">
        <w:rPr>
          <w:lang w:val="fr-FR"/>
        </w:rPr>
        <w:t>hébergement avec les personnes qui sont à leur charge</w:t>
      </w:r>
      <w:r w:rsidR="005C1799" w:rsidRPr="005C1799">
        <w:rPr>
          <w:lang w:val="fr-FR"/>
        </w:rPr>
        <w:t>.</w:t>
      </w:r>
    </w:p>
    <w:p w14:paraId="649403D6" w14:textId="77777777" w:rsidR="005C5C6A" w:rsidRPr="00FF65D6" w:rsidRDefault="005C5C6A" w:rsidP="00F34341">
      <w:pPr>
        <w:pStyle w:val="SingleTxtG"/>
        <w:rPr>
          <w:lang w:val="fr-FR"/>
        </w:rPr>
      </w:pPr>
      <w:r w:rsidRPr="00FF65D6">
        <w:rPr>
          <w:lang w:val="fr-FR"/>
        </w:rPr>
        <w:t>154</w:t>
      </w:r>
      <w:r w:rsidR="005C1799" w:rsidRPr="005C1799">
        <w:rPr>
          <w:lang w:val="fr-FR"/>
        </w:rPr>
        <w:t>.</w:t>
      </w:r>
      <w:r w:rsidRPr="00FF65D6">
        <w:rPr>
          <w:lang w:val="fr-FR"/>
        </w:rPr>
        <w:tab/>
        <w:t>Le centre assure gratuitement et en permanence les services ci-après aux bénéficiaires et aux personnes qui sont à leur charge</w:t>
      </w:r>
      <w:r w:rsidR="003B7618" w:rsidRPr="00FF65D6">
        <w:rPr>
          <w:lang w:val="fr-FR"/>
        </w:rPr>
        <w:t> :</w:t>
      </w:r>
    </w:p>
    <w:p w14:paraId="1D640C19" w14:textId="77777777" w:rsidR="005C5C6A" w:rsidRPr="00FF65D6" w:rsidRDefault="005C5C6A" w:rsidP="00F34341">
      <w:pPr>
        <w:pStyle w:val="SingleTxtG"/>
        <w:rPr>
          <w:lang w:val="fr-FR"/>
        </w:rPr>
      </w:pPr>
      <w:r w:rsidRPr="00FF65D6">
        <w:rPr>
          <w:lang w:val="fr-FR"/>
        </w:rPr>
        <w:tab/>
        <w:t>a)</w:t>
      </w:r>
      <w:r w:rsidRPr="00FF65D6">
        <w:rPr>
          <w:lang w:val="fr-FR"/>
        </w:rPr>
        <w:tab/>
        <w:t>Un lieu sûr où vivre et mener une existence normale</w:t>
      </w:r>
      <w:r w:rsidR="003B7618" w:rsidRPr="00FF65D6">
        <w:rPr>
          <w:lang w:val="fr-FR"/>
        </w:rPr>
        <w:t> ;</w:t>
      </w:r>
    </w:p>
    <w:p w14:paraId="2230EF61" w14:textId="77777777" w:rsidR="005C5C6A" w:rsidRPr="00FF65D6" w:rsidRDefault="005C5C6A" w:rsidP="00F34341">
      <w:pPr>
        <w:pStyle w:val="SingleTxtG"/>
        <w:rPr>
          <w:lang w:val="fr-FR"/>
        </w:rPr>
      </w:pPr>
      <w:r w:rsidRPr="00FF65D6">
        <w:rPr>
          <w:lang w:val="fr-FR"/>
        </w:rPr>
        <w:tab/>
        <w:t>b)</w:t>
      </w:r>
      <w:r w:rsidRPr="00FF65D6">
        <w:rPr>
          <w:lang w:val="fr-FR"/>
        </w:rPr>
        <w:tab/>
        <w:t>De la nourriture et des vêtements</w:t>
      </w:r>
      <w:r w:rsidR="003B7618" w:rsidRPr="00FF65D6">
        <w:rPr>
          <w:lang w:val="fr-FR"/>
        </w:rPr>
        <w:t> ;</w:t>
      </w:r>
    </w:p>
    <w:p w14:paraId="4A5C1CFA" w14:textId="77777777" w:rsidR="005C5C6A" w:rsidRPr="00FF65D6" w:rsidRDefault="005C5C6A" w:rsidP="00F34341">
      <w:pPr>
        <w:pStyle w:val="SingleTxtG"/>
        <w:rPr>
          <w:lang w:val="fr-FR"/>
        </w:rPr>
      </w:pPr>
      <w:r w:rsidRPr="00FF65D6">
        <w:rPr>
          <w:lang w:val="fr-FR"/>
        </w:rPr>
        <w:tab/>
        <w:t>c)</w:t>
      </w:r>
      <w:r w:rsidRPr="00FF65D6">
        <w:rPr>
          <w:lang w:val="fr-FR"/>
        </w:rPr>
        <w:tab/>
        <w:t>La participation aux programmes d</w:t>
      </w:r>
      <w:r w:rsidR="002127F6" w:rsidRPr="00FF65D6">
        <w:rPr>
          <w:lang w:val="fr-FR"/>
        </w:rPr>
        <w:t>’</w:t>
      </w:r>
      <w:r w:rsidRPr="00FF65D6">
        <w:rPr>
          <w:lang w:val="fr-FR"/>
        </w:rPr>
        <w:t>intégration dans les familles et la société</w:t>
      </w:r>
      <w:r w:rsidR="003B7618" w:rsidRPr="00FF65D6">
        <w:rPr>
          <w:lang w:val="fr-FR"/>
        </w:rPr>
        <w:t> ;</w:t>
      </w:r>
    </w:p>
    <w:p w14:paraId="4AD07A43" w14:textId="77777777" w:rsidR="005C5C6A" w:rsidRPr="00FF65D6" w:rsidRDefault="005C5C6A" w:rsidP="00F34341">
      <w:pPr>
        <w:pStyle w:val="SingleTxtG"/>
        <w:rPr>
          <w:lang w:val="fr-FR"/>
        </w:rPr>
      </w:pPr>
      <w:r w:rsidRPr="00FF65D6">
        <w:rPr>
          <w:lang w:val="fr-FR"/>
        </w:rPr>
        <w:tab/>
        <w:t>d)</w:t>
      </w:r>
      <w:r w:rsidRPr="00FF65D6">
        <w:rPr>
          <w:lang w:val="fr-FR"/>
        </w:rPr>
        <w:tab/>
        <w:t>Un soutien aux mineurs pour leur permettre d</w:t>
      </w:r>
      <w:r w:rsidR="002127F6" w:rsidRPr="00FF65D6">
        <w:rPr>
          <w:lang w:val="fr-FR"/>
        </w:rPr>
        <w:t>’</w:t>
      </w:r>
      <w:r w:rsidRPr="00FF65D6">
        <w:rPr>
          <w:lang w:val="fr-FR"/>
        </w:rPr>
        <w:t>accéder à l</w:t>
      </w:r>
      <w:r w:rsidR="002127F6" w:rsidRPr="00FF65D6">
        <w:rPr>
          <w:lang w:val="fr-FR"/>
        </w:rPr>
        <w:t>’</w:t>
      </w:r>
      <w:r w:rsidRPr="00FF65D6">
        <w:rPr>
          <w:lang w:val="fr-FR"/>
        </w:rPr>
        <w:t xml:space="preserve">éducation scolaire et </w:t>
      </w:r>
      <w:proofErr w:type="spellStart"/>
      <w:r w:rsidRPr="00FF65D6">
        <w:rPr>
          <w:lang w:val="fr-FR"/>
        </w:rPr>
        <w:t>extrascolaire</w:t>
      </w:r>
      <w:proofErr w:type="spellEnd"/>
      <w:r w:rsidR="003B7618" w:rsidRPr="00FF65D6">
        <w:rPr>
          <w:lang w:val="fr-FR"/>
        </w:rPr>
        <w:t> ;</w:t>
      </w:r>
    </w:p>
    <w:p w14:paraId="3AEF3535" w14:textId="77777777" w:rsidR="005C5C6A" w:rsidRPr="00FF65D6" w:rsidRDefault="005C5C6A" w:rsidP="00F34341">
      <w:pPr>
        <w:pStyle w:val="SingleTxtG"/>
        <w:rPr>
          <w:lang w:val="fr-FR"/>
        </w:rPr>
      </w:pPr>
      <w:r w:rsidRPr="00FF65D6">
        <w:rPr>
          <w:lang w:val="fr-FR"/>
        </w:rPr>
        <w:tab/>
        <w:t>e)</w:t>
      </w:r>
      <w:r w:rsidRPr="00FF65D6">
        <w:rPr>
          <w:lang w:val="fr-FR"/>
        </w:rPr>
        <w:tab/>
        <w:t>Toutes les autres activités propres à favoriser le développement complet des bénéficiaires</w:t>
      </w:r>
      <w:r w:rsidR="003B7618" w:rsidRPr="00FF65D6">
        <w:rPr>
          <w:lang w:val="fr-FR"/>
        </w:rPr>
        <w:t> ;</w:t>
      </w:r>
      <w:r w:rsidRPr="00FF65D6">
        <w:rPr>
          <w:lang w:val="fr-FR"/>
        </w:rPr>
        <w:t xml:space="preserve"> les données personnelles des bénéficiaires et l</w:t>
      </w:r>
      <w:r w:rsidR="002127F6" w:rsidRPr="00FF65D6">
        <w:rPr>
          <w:lang w:val="fr-FR"/>
        </w:rPr>
        <w:t>’</w:t>
      </w:r>
      <w:r w:rsidRPr="00FF65D6">
        <w:rPr>
          <w:lang w:val="fr-FR"/>
        </w:rPr>
        <w:t>emplacement des centres d</w:t>
      </w:r>
      <w:r w:rsidR="002127F6" w:rsidRPr="00FF65D6">
        <w:rPr>
          <w:lang w:val="fr-FR"/>
        </w:rPr>
        <w:t>’</w:t>
      </w:r>
      <w:r w:rsidRPr="00FF65D6">
        <w:rPr>
          <w:lang w:val="fr-FR"/>
        </w:rPr>
        <w:t>hébergement sont confidentiels</w:t>
      </w:r>
      <w:r w:rsidR="003B7618" w:rsidRPr="00FF65D6">
        <w:rPr>
          <w:lang w:val="fr-FR"/>
        </w:rPr>
        <w:t> ;</w:t>
      </w:r>
    </w:p>
    <w:p w14:paraId="05D8F611" w14:textId="77777777" w:rsidR="005C5C6A" w:rsidRPr="00FF65D6" w:rsidRDefault="005C5C6A" w:rsidP="00F34341">
      <w:pPr>
        <w:pStyle w:val="SingleTxtG"/>
        <w:rPr>
          <w:lang w:val="fr-FR"/>
        </w:rPr>
      </w:pPr>
      <w:r w:rsidRPr="00FF65D6">
        <w:rPr>
          <w:lang w:val="fr-FR"/>
        </w:rPr>
        <w:tab/>
        <w:t>f)</w:t>
      </w:r>
      <w:r w:rsidRPr="00FF65D6">
        <w:rPr>
          <w:lang w:val="fr-FR"/>
        </w:rPr>
        <w:tab/>
        <w:t>D</w:t>
      </w:r>
      <w:r w:rsidR="002127F6" w:rsidRPr="00FF65D6">
        <w:rPr>
          <w:lang w:val="fr-FR"/>
        </w:rPr>
        <w:t>’</w:t>
      </w:r>
      <w:r w:rsidRPr="00FF65D6">
        <w:rPr>
          <w:lang w:val="fr-FR"/>
        </w:rPr>
        <w:t>autres dispositions prévues par la législation géorgienne</w:t>
      </w:r>
      <w:r w:rsidR="005C1799" w:rsidRPr="005C1799">
        <w:rPr>
          <w:lang w:val="fr-FR"/>
        </w:rPr>
        <w:t>.</w:t>
      </w:r>
      <w:r w:rsidRPr="00FF65D6">
        <w:rPr>
          <w:lang w:val="fr-FR"/>
        </w:rPr>
        <w:t xml:space="preserve"> </w:t>
      </w:r>
    </w:p>
    <w:p w14:paraId="6F64AC69" w14:textId="77777777" w:rsidR="005C5C6A" w:rsidRPr="00FF65D6" w:rsidRDefault="005C5C6A" w:rsidP="00F34341">
      <w:pPr>
        <w:pStyle w:val="SingleTxtG"/>
        <w:rPr>
          <w:lang w:val="fr-FR"/>
        </w:rPr>
      </w:pPr>
      <w:r w:rsidRPr="00FF65D6">
        <w:rPr>
          <w:lang w:val="fr-FR"/>
        </w:rPr>
        <w:t>155</w:t>
      </w:r>
      <w:r w:rsidR="005C1799" w:rsidRPr="005C1799">
        <w:rPr>
          <w:lang w:val="fr-FR"/>
        </w:rPr>
        <w:t>.</w:t>
      </w:r>
      <w:r w:rsidRPr="00FF65D6">
        <w:rPr>
          <w:lang w:val="fr-FR"/>
        </w:rPr>
        <w:tab/>
        <w:t>Les services dispensés dans les centres d</w:t>
      </w:r>
      <w:r w:rsidR="002127F6" w:rsidRPr="00FF65D6">
        <w:rPr>
          <w:lang w:val="fr-FR"/>
        </w:rPr>
        <w:t>’</w:t>
      </w:r>
      <w:r w:rsidRPr="00FF65D6">
        <w:rPr>
          <w:lang w:val="fr-FR"/>
        </w:rPr>
        <w:t>hébergement sont également adaptés aux mineurs et tiennent compte de leurs besoins</w:t>
      </w:r>
      <w:r w:rsidR="005C1799" w:rsidRPr="005C1799">
        <w:rPr>
          <w:lang w:val="fr-FR"/>
        </w:rPr>
        <w:t>.</w:t>
      </w:r>
      <w:r w:rsidRPr="00FF65D6">
        <w:rPr>
          <w:lang w:val="fr-FR"/>
        </w:rPr>
        <w:t xml:space="preserve"> Un plan de réadaptation-réintégration individualisé est établi pour chaque bénéficiaire (victime de la traite)</w:t>
      </w:r>
      <w:r w:rsidR="005C1799" w:rsidRPr="005C1799">
        <w:rPr>
          <w:lang w:val="fr-FR"/>
        </w:rPr>
        <w:t>.</w:t>
      </w:r>
      <w:r w:rsidRPr="00FF65D6">
        <w:rPr>
          <w:lang w:val="fr-FR"/>
        </w:rPr>
        <w:t xml:space="preserve"> Le programme de réadaptation-réintégration est mis en œuvre pour chaque bénéficiaire qui vit dans un centre d</w:t>
      </w:r>
      <w:r w:rsidR="002127F6" w:rsidRPr="00FF65D6">
        <w:rPr>
          <w:lang w:val="fr-FR"/>
        </w:rPr>
        <w:t>’</w:t>
      </w:r>
      <w:r w:rsidRPr="00FF65D6">
        <w:rPr>
          <w:lang w:val="fr-FR"/>
        </w:rPr>
        <w:t>hébergement, en tenant compte des mesures suivantes</w:t>
      </w:r>
      <w:r w:rsidR="003B7618" w:rsidRPr="00FF65D6">
        <w:rPr>
          <w:lang w:val="fr-FR"/>
        </w:rPr>
        <w:t> </w:t>
      </w:r>
      <w:r w:rsidRPr="00FF65D6">
        <w:rPr>
          <w:lang w:val="fr-FR"/>
        </w:rPr>
        <w:t>: conduite d</w:t>
      </w:r>
      <w:r w:rsidR="002127F6" w:rsidRPr="00FF65D6">
        <w:rPr>
          <w:lang w:val="fr-FR"/>
        </w:rPr>
        <w:t>’</w:t>
      </w:r>
      <w:r w:rsidRPr="00FF65D6">
        <w:rPr>
          <w:lang w:val="fr-FR"/>
        </w:rPr>
        <w:t>un entretien avec le bénéficiaire (adapté à son âge) et évaluation de ses besoins avec la participation d</w:t>
      </w:r>
      <w:r w:rsidR="002127F6" w:rsidRPr="00FF65D6">
        <w:rPr>
          <w:lang w:val="fr-FR"/>
        </w:rPr>
        <w:t>’</w:t>
      </w:r>
      <w:r w:rsidRPr="00FF65D6">
        <w:rPr>
          <w:lang w:val="fr-FR"/>
        </w:rPr>
        <w:t>un travailleur social de l</w:t>
      </w:r>
      <w:r w:rsidR="002127F6" w:rsidRPr="00FF65D6">
        <w:rPr>
          <w:lang w:val="fr-FR"/>
        </w:rPr>
        <w:t>’</w:t>
      </w:r>
      <w:r w:rsidRPr="00FF65D6">
        <w:rPr>
          <w:lang w:val="fr-FR"/>
        </w:rPr>
        <w:t>Agence des services sociaux, évaluation du risque qu</w:t>
      </w:r>
      <w:r w:rsidR="002127F6" w:rsidRPr="00FF65D6">
        <w:rPr>
          <w:lang w:val="fr-FR"/>
        </w:rPr>
        <w:t>’</w:t>
      </w:r>
      <w:r w:rsidRPr="00FF65D6">
        <w:rPr>
          <w:lang w:val="fr-FR"/>
        </w:rPr>
        <w:t>il encourt de subir une atteinte et élaboration d</w:t>
      </w:r>
      <w:r w:rsidR="002127F6" w:rsidRPr="00FF65D6">
        <w:rPr>
          <w:lang w:val="fr-FR"/>
        </w:rPr>
        <w:t>’</w:t>
      </w:r>
      <w:r w:rsidRPr="00FF65D6">
        <w:rPr>
          <w:lang w:val="fr-FR"/>
        </w:rPr>
        <w:t>un plan de sécurité, établissement d</w:t>
      </w:r>
      <w:r w:rsidR="002127F6" w:rsidRPr="00FF65D6">
        <w:rPr>
          <w:lang w:val="fr-FR"/>
        </w:rPr>
        <w:t>’</w:t>
      </w:r>
      <w:r w:rsidRPr="00FF65D6">
        <w:rPr>
          <w:lang w:val="fr-FR"/>
        </w:rPr>
        <w:t>un plan de réadaptation-réintégration, planification et fourniture de services psychologiques, médicaux, juridiques et sociaux</w:t>
      </w:r>
      <w:r w:rsidR="005C1799" w:rsidRPr="005C1799">
        <w:rPr>
          <w:lang w:val="fr-FR"/>
        </w:rPr>
        <w:t>.</w:t>
      </w:r>
      <w:r w:rsidRPr="00FF65D6">
        <w:rPr>
          <w:lang w:val="fr-FR"/>
        </w:rPr>
        <w:t xml:space="preserve"> </w:t>
      </w:r>
    </w:p>
    <w:p w14:paraId="043727DE" w14:textId="77777777" w:rsidR="005C5C6A" w:rsidRPr="00FF65D6" w:rsidRDefault="005C5C6A" w:rsidP="00F34341">
      <w:pPr>
        <w:pStyle w:val="SingleTxtG"/>
        <w:rPr>
          <w:lang w:val="fr-FR"/>
        </w:rPr>
      </w:pPr>
      <w:r w:rsidRPr="00FF65D6">
        <w:rPr>
          <w:lang w:val="fr-FR"/>
        </w:rPr>
        <w:t>156</w:t>
      </w:r>
      <w:r w:rsidR="005C1799" w:rsidRPr="005C1799">
        <w:rPr>
          <w:lang w:val="fr-FR"/>
        </w:rPr>
        <w:t>.</w:t>
      </w:r>
      <w:r w:rsidRPr="00FF65D6">
        <w:rPr>
          <w:lang w:val="fr-FR"/>
        </w:rPr>
        <w:tab/>
        <w:t>Les bénéficiaires des centres d</w:t>
      </w:r>
      <w:r w:rsidR="002127F6" w:rsidRPr="00FF65D6">
        <w:rPr>
          <w:lang w:val="fr-FR"/>
        </w:rPr>
        <w:t>’</w:t>
      </w:r>
      <w:r w:rsidRPr="00FF65D6">
        <w:rPr>
          <w:lang w:val="fr-FR"/>
        </w:rPr>
        <w:t>hébergement ont accès à un enseignement de type scolaire (école, jardin d</w:t>
      </w:r>
      <w:r w:rsidR="002127F6" w:rsidRPr="00FF65D6">
        <w:rPr>
          <w:lang w:val="fr-FR"/>
        </w:rPr>
        <w:t>’</w:t>
      </w:r>
      <w:r w:rsidRPr="00FF65D6">
        <w:rPr>
          <w:lang w:val="fr-FR"/>
        </w:rPr>
        <w:t>enfants) et à un appui à l</w:t>
      </w:r>
      <w:r w:rsidR="002127F6" w:rsidRPr="00FF65D6">
        <w:rPr>
          <w:lang w:val="fr-FR"/>
        </w:rPr>
        <w:t>’</w:t>
      </w:r>
      <w:r w:rsidRPr="00FF65D6">
        <w:rPr>
          <w:lang w:val="fr-FR"/>
        </w:rPr>
        <w:t>enseignement non scolaire (arts, sports, chorégraphie en groupe)</w:t>
      </w:r>
      <w:r w:rsidR="005C1799" w:rsidRPr="005C1799">
        <w:rPr>
          <w:lang w:val="fr-FR"/>
        </w:rPr>
        <w:t>.</w:t>
      </w:r>
    </w:p>
    <w:p w14:paraId="53011C88" w14:textId="77777777" w:rsidR="005C5C6A" w:rsidRPr="00FF65D6" w:rsidRDefault="005C5C6A" w:rsidP="00F34341">
      <w:pPr>
        <w:pStyle w:val="SingleTxtG"/>
        <w:rPr>
          <w:lang w:val="fr-FR"/>
        </w:rPr>
      </w:pPr>
      <w:r w:rsidRPr="00FF65D6">
        <w:rPr>
          <w:lang w:val="fr-FR"/>
        </w:rPr>
        <w:t>157</w:t>
      </w:r>
      <w:r w:rsidR="005C1799" w:rsidRPr="005C1799">
        <w:rPr>
          <w:lang w:val="fr-FR"/>
        </w:rPr>
        <w:t>.</w:t>
      </w:r>
      <w:r w:rsidRPr="00FF65D6">
        <w:rPr>
          <w:lang w:val="fr-FR"/>
        </w:rPr>
        <w:tab/>
        <w:t>Depuis 2015, les centres d</w:t>
      </w:r>
      <w:r w:rsidR="002127F6" w:rsidRPr="00FF65D6">
        <w:rPr>
          <w:lang w:val="fr-FR"/>
        </w:rPr>
        <w:t>’</w:t>
      </w:r>
      <w:r w:rsidRPr="00FF65D6">
        <w:rPr>
          <w:lang w:val="fr-FR"/>
        </w:rPr>
        <w:t>hébergement de Tbilissi et de Batumi emploient une garde d</w:t>
      </w:r>
      <w:r w:rsidR="002127F6" w:rsidRPr="00FF65D6">
        <w:rPr>
          <w:lang w:val="fr-FR"/>
        </w:rPr>
        <w:t>’</w:t>
      </w:r>
      <w:r w:rsidRPr="00FF65D6">
        <w:rPr>
          <w:lang w:val="fr-FR"/>
        </w:rPr>
        <w:t>enfants</w:t>
      </w:r>
      <w:r w:rsidR="005C1799" w:rsidRPr="005C1799">
        <w:rPr>
          <w:lang w:val="fr-FR"/>
        </w:rPr>
        <w:t>.</w:t>
      </w:r>
      <w:r w:rsidRPr="00FF65D6">
        <w:rPr>
          <w:lang w:val="fr-FR"/>
        </w:rPr>
        <w:t xml:space="preserve"> Celle-ci s</w:t>
      </w:r>
      <w:r w:rsidR="002127F6" w:rsidRPr="00FF65D6">
        <w:rPr>
          <w:lang w:val="fr-FR"/>
        </w:rPr>
        <w:t>’</w:t>
      </w:r>
      <w:r w:rsidRPr="00FF65D6">
        <w:rPr>
          <w:lang w:val="fr-FR"/>
        </w:rPr>
        <w:t>occupe d</w:t>
      </w:r>
      <w:r w:rsidR="002127F6" w:rsidRPr="00FF65D6">
        <w:rPr>
          <w:lang w:val="fr-FR"/>
        </w:rPr>
        <w:t>’</w:t>
      </w:r>
      <w:r w:rsidRPr="00FF65D6">
        <w:rPr>
          <w:lang w:val="fr-FR"/>
        </w:rPr>
        <w:t>un mineur bénéficiaire du centre d</w:t>
      </w:r>
      <w:r w:rsidR="002127F6" w:rsidRPr="00FF65D6">
        <w:rPr>
          <w:lang w:val="fr-FR"/>
        </w:rPr>
        <w:t>’</w:t>
      </w:r>
      <w:r w:rsidRPr="00FF65D6">
        <w:rPr>
          <w:lang w:val="fr-FR"/>
        </w:rPr>
        <w:t>hébergement et d</w:t>
      </w:r>
      <w:r w:rsidR="002127F6" w:rsidRPr="00FF65D6">
        <w:rPr>
          <w:lang w:val="fr-FR"/>
        </w:rPr>
        <w:t>’</w:t>
      </w:r>
      <w:r w:rsidRPr="00FF65D6">
        <w:rPr>
          <w:lang w:val="fr-FR"/>
        </w:rPr>
        <w:t>un ou de plusieurs mineurs dépendants</w:t>
      </w:r>
      <w:r w:rsidR="005C1799" w:rsidRPr="005C1799">
        <w:rPr>
          <w:lang w:val="fr-FR"/>
        </w:rPr>
        <w:t>.</w:t>
      </w:r>
    </w:p>
    <w:p w14:paraId="6CB05FAD" w14:textId="77777777" w:rsidR="005C5C6A" w:rsidRPr="00FF65D6" w:rsidRDefault="005C5C6A" w:rsidP="00F34341">
      <w:pPr>
        <w:pStyle w:val="SingleTxtG"/>
        <w:rPr>
          <w:lang w:val="fr-FR"/>
        </w:rPr>
      </w:pPr>
      <w:r w:rsidRPr="00FF65D6">
        <w:rPr>
          <w:lang w:val="fr-FR"/>
        </w:rPr>
        <w:t>158</w:t>
      </w:r>
      <w:r w:rsidR="005C1799" w:rsidRPr="005C1799">
        <w:rPr>
          <w:lang w:val="fr-FR"/>
        </w:rPr>
        <w:t>.</w:t>
      </w:r>
      <w:r w:rsidRPr="00FF65D6">
        <w:rPr>
          <w:lang w:val="fr-FR"/>
        </w:rPr>
        <w:tab/>
        <w:t>Le Fonds national suit en permanence les activités des centres d</w:t>
      </w:r>
      <w:r w:rsidR="002127F6" w:rsidRPr="00FF65D6">
        <w:rPr>
          <w:lang w:val="fr-FR"/>
        </w:rPr>
        <w:t>’</w:t>
      </w:r>
      <w:r w:rsidRPr="00FF65D6">
        <w:rPr>
          <w:lang w:val="fr-FR"/>
        </w:rPr>
        <w:t>hébergement, au moyen de contrôles périodiques effectuées par un groupe de visite qui relève de lui</w:t>
      </w:r>
      <w:r w:rsidR="005C1799" w:rsidRPr="005C1799">
        <w:rPr>
          <w:lang w:val="fr-FR"/>
        </w:rPr>
        <w:t>.</w:t>
      </w:r>
    </w:p>
    <w:p w14:paraId="45535A9F" w14:textId="77777777" w:rsidR="005C5C6A" w:rsidRPr="00FF65D6" w:rsidRDefault="005C5C6A" w:rsidP="004C43D9">
      <w:pPr>
        <w:pStyle w:val="H23G"/>
        <w:rPr>
          <w:lang w:val="fr-FR"/>
        </w:rPr>
      </w:pPr>
      <w:bookmarkStart w:id="38" w:name="_Toc472961727"/>
      <w:r w:rsidRPr="00FF65D6">
        <w:rPr>
          <w:lang w:val="fr-FR"/>
        </w:rPr>
        <w:tab/>
      </w:r>
      <w:r w:rsidRPr="00FF65D6">
        <w:rPr>
          <w:lang w:val="fr-FR"/>
        </w:rPr>
        <w:tab/>
        <w:t xml:space="preserve">Indemnisation des victimes </w:t>
      </w:r>
      <w:bookmarkEnd w:id="38"/>
    </w:p>
    <w:p w14:paraId="29C85975" w14:textId="77777777" w:rsidR="005C5C6A" w:rsidRPr="00FF65D6" w:rsidRDefault="005C5C6A" w:rsidP="00F34341">
      <w:pPr>
        <w:pStyle w:val="SingleTxtG"/>
        <w:rPr>
          <w:lang w:val="fr-FR"/>
        </w:rPr>
      </w:pPr>
      <w:r w:rsidRPr="00FF65D6">
        <w:rPr>
          <w:lang w:val="fr-FR"/>
        </w:rPr>
        <w:t>159</w:t>
      </w:r>
      <w:r w:rsidR="005C1799" w:rsidRPr="005C1799">
        <w:rPr>
          <w:lang w:val="fr-FR"/>
        </w:rPr>
        <w:t>.</w:t>
      </w:r>
      <w:r w:rsidRPr="00FF65D6">
        <w:rPr>
          <w:lang w:val="fr-FR"/>
        </w:rPr>
        <w:tab/>
        <w:t>Des indemnités s</w:t>
      </w:r>
      <w:r w:rsidR="002127F6" w:rsidRPr="00FF65D6">
        <w:rPr>
          <w:lang w:val="fr-FR"/>
        </w:rPr>
        <w:t>’</w:t>
      </w:r>
      <w:r w:rsidRPr="00FF65D6">
        <w:rPr>
          <w:lang w:val="fr-FR"/>
        </w:rPr>
        <w:t>élevant à 1 000 lari sont versées aux victimes de la traite</w:t>
      </w:r>
      <w:r w:rsidR="005C1799" w:rsidRPr="005C1799">
        <w:rPr>
          <w:lang w:val="fr-FR"/>
        </w:rPr>
        <w:t>.</w:t>
      </w:r>
      <w:r w:rsidRPr="00FF65D6">
        <w:rPr>
          <w:lang w:val="fr-FR"/>
        </w:rPr>
        <w:t xml:space="preserve"> </w:t>
      </w:r>
    </w:p>
    <w:p w14:paraId="061CB33A" w14:textId="77777777" w:rsidR="005C5C6A" w:rsidRPr="00FF65D6" w:rsidRDefault="005C5C6A" w:rsidP="004C43D9">
      <w:pPr>
        <w:pStyle w:val="H23G"/>
        <w:rPr>
          <w:lang w:val="fr-FR"/>
        </w:rPr>
      </w:pPr>
      <w:bookmarkStart w:id="39" w:name="_Toc472961728"/>
      <w:r w:rsidRPr="00FF65D6">
        <w:rPr>
          <w:lang w:val="fr-FR"/>
        </w:rPr>
        <w:tab/>
      </w:r>
      <w:r w:rsidRPr="00FF65D6">
        <w:rPr>
          <w:lang w:val="fr-FR"/>
        </w:rPr>
        <w:tab/>
        <w:t>Numéro d</w:t>
      </w:r>
      <w:r w:rsidR="002127F6" w:rsidRPr="00FF65D6">
        <w:rPr>
          <w:lang w:val="fr-FR"/>
        </w:rPr>
        <w:t>’</w:t>
      </w:r>
      <w:r w:rsidRPr="00FF65D6">
        <w:rPr>
          <w:lang w:val="fr-FR"/>
        </w:rPr>
        <w:t>urgence</w:t>
      </w:r>
      <w:bookmarkEnd w:id="39"/>
    </w:p>
    <w:p w14:paraId="161463C2" w14:textId="77777777" w:rsidR="005C5C6A" w:rsidRPr="00FF65D6" w:rsidRDefault="005C5C6A" w:rsidP="00F34341">
      <w:pPr>
        <w:pStyle w:val="SingleTxtG"/>
        <w:rPr>
          <w:lang w:val="fr-FR"/>
        </w:rPr>
      </w:pPr>
      <w:r w:rsidRPr="00FF65D6">
        <w:rPr>
          <w:lang w:val="fr-FR"/>
        </w:rPr>
        <w:t>160</w:t>
      </w:r>
      <w:r w:rsidR="005C1799" w:rsidRPr="005C1799">
        <w:rPr>
          <w:lang w:val="fr-FR"/>
        </w:rPr>
        <w:t>.</w:t>
      </w:r>
      <w:r w:rsidRPr="00FF65D6">
        <w:rPr>
          <w:lang w:val="fr-FR"/>
        </w:rPr>
        <w:tab/>
        <w:t>Un numéro d</w:t>
      </w:r>
      <w:r w:rsidR="002127F6" w:rsidRPr="00FF65D6">
        <w:rPr>
          <w:lang w:val="fr-FR"/>
        </w:rPr>
        <w:t>’</w:t>
      </w:r>
      <w:r w:rsidRPr="00FF65D6">
        <w:rPr>
          <w:lang w:val="fr-FR"/>
        </w:rPr>
        <w:t>urgence à l</w:t>
      </w:r>
      <w:r w:rsidR="002127F6" w:rsidRPr="00FF65D6">
        <w:rPr>
          <w:lang w:val="fr-FR"/>
        </w:rPr>
        <w:t>’</w:t>
      </w:r>
      <w:r w:rsidRPr="00FF65D6">
        <w:rPr>
          <w:lang w:val="fr-FR"/>
        </w:rPr>
        <w:t xml:space="preserve">intention </w:t>
      </w:r>
      <w:r w:rsidR="0086166D">
        <w:rPr>
          <w:lang w:val="fr-FR"/>
        </w:rPr>
        <w:t xml:space="preserve">des </w:t>
      </w:r>
      <w:r w:rsidRPr="00FF65D6">
        <w:rPr>
          <w:lang w:val="fr-FR"/>
        </w:rPr>
        <w:t>victimes de la traite est accessible, géré par le Fonds national</w:t>
      </w:r>
      <w:r w:rsidR="005C1799" w:rsidRPr="005C1799">
        <w:rPr>
          <w:lang w:val="fr-FR"/>
        </w:rPr>
        <w:t>.</w:t>
      </w:r>
      <w:r w:rsidRPr="00FF65D6">
        <w:rPr>
          <w:lang w:val="fr-FR"/>
        </w:rPr>
        <w:t xml:space="preserve"> Toute personne peut appeler le 2 100 229 et obtenir des informations précises sur les services dispensés par le Fonds national</w:t>
      </w:r>
      <w:r w:rsidR="005C1799" w:rsidRPr="005C1799">
        <w:rPr>
          <w:lang w:val="fr-FR"/>
        </w:rPr>
        <w:t>.</w:t>
      </w:r>
      <w:r w:rsidRPr="00FF65D6">
        <w:rPr>
          <w:lang w:val="fr-FR"/>
        </w:rPr>
        <w:t xml:space="preserve"> Ce service est gratuit et anonyme</w:t>
      </w:r>
      <w:r w:rsidR="005C1799" w:rsidRPr="005C1799">
        <w:rPr>
          <w:lang w:val="fr-FR"/>
        </w:rPr>
        <w:t>.</w:t>
      </w:r>
      <w:r w:rsidRPr="00FF65D6">
        <w:rPr>
          <w:lang w:val="fr-FR"/>
        </w:rPr>
        <w:t xml:space="preserve"> </w:t>
      </w:r>
    </w:p>
    <w:p w14:paraId="2743B8FC" w14:textId="77777777" w:rsidR="005C5C6A" w:rsidRPr="00FF65D6" w:rsidRDefault="005C5C6A" w:rsidP="004C43D9">
      <w:pPr>
        <w:pStyle w:val="H23G"/>
        <w:rPr>
          <w:lang w:val="fr-FR"/>
        </w:rPr>
      </w:pPr>
      <w:bookmarkStart w:id="40" w:name="_Toc472961729"/>
      <w:r w:rsidRPr="00FF65D6">
        <w:rPr>
          <w:lang w:val="fr-FR"/>
        </w:rPr>
        <w:tab/>
      </w:r>
      <w:r w:rsidRPr="00FF65D6">
        <w:rPr>
          <w:lang w:val="fr-FR"/>
        </w:rPr>
        <w:tab/>
        <w:t>Services du coordonnateur chargé des témoins et des victimes</w:t>
      </w:r>
      <w:bookmarkEnd w:id="40"/>
    </w:p>
    <w:p w14:paraId="6C1C552A" w14:textId="77777777" w:rsidR="005C5C6A" w:rsidRPr="00FF65D6" w:rsidRDefault="005C5C6A" w:rsidP="00F34341">
      <w:pPr>
        <w:pStyle w:val="SingleTxtG"/>
        <w:rPr>
          <w:lang w:val="fr-FR"/>
        </w:rPr>
      </w:pPr>
      <w:r w:rsidRPr="00FF65D6">
        <w:rPr>
          <w:lang w:val="fr-FR"/>
        </w:rPr>
        <w:t>161</w:t>
      </w:r>
      <w:r w:rsidR="005C1799" w:rsidRPr="005C1799">
        <w:rPr>
          <w:lang w:val="fr-FR"/>
        </w:rPr>
        <w:t>.</w:t>
      </w:r>
      <w:r w:rsidRPr="00FF65D6">
        <w:rPr>
          <w:lang w:val="fr-FR"/>
        </w:rPr>
        <w:tab/>
        <w:t>Depuis 2011, le Service du coordonnateur chargé des témoins et des victimes est administré par le Bureau du Procureur</w:t>
      </w:r>
      <w:r w:rsidR="005C1799" w:rsidRPr="005C1799">
        <w:rPr>
          <w:lang w:val="fr-FR"/>
        </w:rPr>
        <w:t>.</w:t>
      </w:r>
      <w:r w:rsidRPr="00FF65D6">
        <w:rPr>
          <w:lang w:val="fr-FR"/>
        </w:rPr>
        <w:t xml:space="preserve"> Dans tous les cas de traite, il est fait appel aux services de coordonnateurs chargés des témoins et des victimes</w:t>
      </w:r>
      <w:r w:rsidR="005C1799" w:rsidRPr="005C1799">
        <w:rPr>
          <w:lang w:val="fr-FR"/>
        </w:rPr>
        <w:t>.</w:t>
      </w:r>
      <w:r w:rsidRPr="00FF65D6">
        <w:rPr>
          <w:lang w:val="fr-FR"/>
        </w:rPr>
        <w:t xml:space="preserve"> Leur participation vise à gagner la confiance des intéressés et d</w:t>
      </w:r>
      <w:r w:rsidR="002127F6" w:rsidRPr="00FF65D6">
        <w:rPr>
          <w:lang w:val="fr-FR"/>
        </w:rPr>
        <w:t>’</w:t>
      </w:r>
      <w:r w:rsidRPr="00FF65D6">
        <w:rPr>
          <w:lang w:val="fr-FR"/>
        </w:rPr>
        <w:t>assurer leur participation effective à la procédure d</w:t>
      </w:r>
      <w:r w:rsidR="002127F6" w:rsidRPr="00FF65D6">
        <w:rPr>
          <w:lang w:val="fr-FR"/>
        </w:rPr>
        <w:t>’</w:t>
      </w:r>
      <w:r w:rsidRPr="00FF65D6">
        <w:rPr>
          <w:lang w:val="fr-FR"/>
        </w:rPr>
        <w:t>enquête en vue de tenir compte des spécificités de l</w:t>
      </w:r>
      <w:r w:rsidR="002127F6" w:rsidRPr="00FF65D6">
        <w:rPr>
          <w:lang w:val="fr-FR"/>
        </w:rPr>
        <w:t>’</w:t>
      </w:r>
      <w:r w:rsidRPr="00FF65D6">
        <w:rPr>
          <w:lang w:val="fr-FR"/>
        </w:rPr>
        <w:t>affaire</w:t>
      </w:r>
      <w:r w:rsidR="005C1799" w:rsidRPr="005C1799">
        <w:rPr>
          <w:lang w:val="fr-FR"/>
        </w:rPr>
        <w:t>.</w:t>
      </w:r>
    </w:p>
    <w:p w14:paraId="15FC2040" w14:textId="77777777" w:rsidR="005C5C6A" w:rsidRPr="00FF65D6" w:rsidRDefault="005C5C6A" w:rsidP="00F34341">
      <w:pPr>
        <w:pStyle w:val="SingleTxtG"/>
        <w:rPr>
          <w:lang w:val="fr-FR"/>
        </w:rPr>
      </w:pPr>
      <w:r w:rsidRPr="00FF65D6">
        <w:rPr>
          <w:lang w:val="fr-FR"/>
        </w:rPr>
        <w:t>162</w:t>
      </w:r>
      <w:r w:rsidR="005C1799" w:rsidRPr="005C1799">
        <w:rPr>
          <w:lang w:val="fr-FR"/>
        </w:rPr>
        <w:t>.</w:t>
      </w:r>
      <w:r w:rsidRPr="00FF65D6">
        <w:rPr>
          <w:lang w:val="fr-FR"/>
        </w:rPr>
        <w:tab/>
        <w:t>Le coordonnateur chargé des témoins et des victimes dans le cadre des affaires de traite assume les fonctions suivantes</w:t>
      </w:r>
      <w:r w:rsidR="003B7618" w:rsidRPr="00FF65D6">
        <w:rPr>
          <w:lang w:val="fr-FR"/>
        </w:rPr>
        <w:t> :</w:t>
      </w:r>
    </w:p>
    <w:p w14:paraId="046DF1A0" w14:textId="77777777" w:rsidR="005C5C6A" w:rsidRPr="00FF65D6" w:rsidRDefault="005C5C6A" w:rsidP="004C43D9">
      <w:pPr>
        <w:pStyle w:val="Bullet1G"/>
        <w:rPr>
          <w:lang w:val="fr-FR"/>
        </w:rPr>
      </w:pPr>
      <w:r w:rsidRPr="00FF65D6">
        <w:rPr>
          <w:lang w:val="fr-FR"/>
        </w:rPr>
        <w:t>Obtenir la confiance des témoins et des victimes sur la base de la législation, en adoptant une approche individualisée</w:t>
      </w:r>
      <w:r w:rsidR="003B7618" w:rsidRPr="00FF65D6">
        <w:rPr>
          <w:lang w:val="fr-FR"/>
        </w:rPr>
        <w:t> ;</w:t>
      </w:r>
    </w:p>
    <w:p w14:paraId="08DB2759" w14:textId="77777777" w:rsidR="005C5C6A" w:rsidRPr="00FF65D6" w:rsidRDefault="005C5C6A" w:rsidP="004C43D9">
      <w:pPr>
        <w:pStyle w:val="Bullet1G"/>
        <w:rPr>
          <w:lang w:val="fr-FR"/>
        </w:rPr>
      </w:pPr>
      <w:r w:rsidRPr="00FF65D6">
        <w:rPr>
          <w:lang w:val="fr-FR"/>
        </w:rPr>
        <w:t xml:space="preserve">Prévenir la </w:t>
      </w:r>
      <w:proofErr w:type="spellStart"/>
      <w:r w:rsidRPr="00FF65D6">
        <w:rPr>
          <w:lang w:val="fr-FR"/>
        </w:rPr>
        <w:t>revictimisation</w:t>
      </w:r>
      <w:proofErr w:type="spellEnd"/>
      <w:r w:rsidRPr="00FF65D6">
        <w:rPr>
          <w:lang w:val="fr-FR"/>
        </w:rPr>
        <w:t xml:space="preserve"> des victimes par d</w:t>
      </w:r>
      <w:r w:rsidR="002127F6" w:rsidRPr="00FF65D6">
        <w:rPr>
          <w:lang w:val="fr-FR"/>
        </w:rPr>
        <w:t>’</w:t>
      </w:r>
      <w:r w:rsidRPr="00FF65D6">
        <w:rPr>
          <w:lang w:val="fr-FR"/>
        </w:rPr>
        <w:t>autres parties impliquées dans la procédure pénale, dans la mesure du possible</w:t>
      </w:r>
      <w:r w:rsidR="003B7618" w:rsidRPr="00FF65D6">
        <w:rPr>
          <w:lang w:val="fr-FR"/>
        </w:rPr>
        <w:t> ;</w:t>
      </w:r>
    </w:p>
    <w:p w14:paraId="5A8138DA" w14:textId="77777777" w:rsidR="005C5C6A" w:rsidRPr="00FF65D6" w:rsidRDefault="005C5C6A" w:rsidP="004C43D9">
      <w:pPr>
        <w:pStyle w:val="Bullet1G"/>
        <w:rPr>
          <w:lang w:val="fr-FR"/>
        </w:rPr>
      </w:pPr>
      <w:r w:rsidRPr="00FF65D6">
        <w:rPr>
          <w:lang w:val="fr-FR"/>
        </w:rPr>
        <w:t>Évaluer l</w:t>
      </w:r>
      <w:r w:rsidR="002127F6" w:rsidRPr="00FF65D6">
        <w:rPr>
          <w:lang w:val="fr-FR"/>
        </w:rPr>
        <w:t>’</w:t>
      </w:r>
      <w:r w:rsidRPr="00FF65D6">
        <w:rPr>
          <w:lang w:val="fr-FR"/>
        </w:rPr>
        <w:t>ampleur des traumatismes et leur impact sur les témoins et les victimes, afin d</w:t>
      </w:r>
      <w:r w:rsidR="002127F6" w:rsidRPr="00FF65D6">
        <w:rPr>
          <w:lang w:val="fr-FR"/>
        </w:rPr>
        <w:t>’</w:t>
      </w:r>
      <w:r w:rsidRPr="00FF65D6">
        <w:rPr>
          <w:lang w:val="fr-FR"/>
        </w:rPr>
        <w:t>agir dans leur intérêt</w:t>
      </w:r>
      <w:r w:rsidR="003B7618" w:rsidRPr="00FF65D6">
        <w:rPr>
          <w:lang w:val="fr-FR"/>
        </w:rPr>
        <w:t> ;</w:t>
      </w:r>
    </w:p>
    <w:p w14:paraId="2A6EF3E4" w14:textId="77777777" w:rsidR="005C5C6A" w:rsidRPr="00FF65D6" w:rsidRDefault="005C5C6A" w:rsidP="004C43D9">
      <w:pPr>
        <w:pStyle w:val="Bullet1G"/>
        <w:rPr>
          <w:lang w:val="fr-FR"/>
        </w:rPr>
      </w:pPr>
      <w:r w:rsidRPr="00FF65D6">
        <w:rPr>
          <w:lang w:val="fr-FR"/>
        </w:rPr>
        <w:t>Aider les témoins et les victimes de la traite à rappeler les faits de l</w:t>
      </w:r>
      <w:r w:rsidR="002127F6" w:rsidRPr="00FF65D6">
        <w:rPr>
          <w:lang w:val="fr-FR"/>
        </w:rPr>
        <w:t>’</w:t>
      </w:r>
      <w:r w:rsidRPr="00FF65D6">
        <w:rPr>
          <w:lang w:val="fr-FR"/>
        </w:rPr>
        <w:t>espèce dans toute la mesure possible</w:t>
      </w:r>
      <w:r w:rsidR="003B7618" w:rsidRPr="00FF65D6">
        <w:rPr>
          <w:lang w:val="fr-FR"/>
        </w:rPr>
        <w:t> ;</w:t>
      </w:r>
      <w:r w:rsidRPr="00FF65D6">
        <w:rPr>
          <w:lang w:val="fr-FR"/>
        </w:rPr>
        <w:t xml:space="preserve"> </w:t>
      </w:r>
    </w:p>
    <w:p w14:paraId="7D8F2C7E" w14:textId="77777777" w:rsidR="005C5C6A" w:rsidRPr="00FF65D6" w:rsidRDefault="005C5C6A" w:rsidP="004C43D9">
      <w:pPr>
        <w:pStyle w:val="Bullet1G"/>
        <w:rPr>
          <w:lang w:val="fr-FR"/>
        </w:rPr>
      </w:pPr>
      <w:r w:rsidRPr="00FF65D6">
        <w:rPr>
          <w:lang w:val="fr-FR"/>
        </w:rPr>
        <w:t>Fournir aux témoins et aux victimes les informations sur les services publics disponibles (par exemple sur les centres d</w:t>
      </w:r>
      <w:r w:rsidR="002127F6" w:rsidRPr="00FF65D6">
        <w:rPr>
          <w:lang w:val="fr-FR"/>
        </w:rPr>
        <w:t>’</w:t>
      </w:r>
      <w:r w:rsidRPr="00FF65D6">
        <w:rPr>
          <w:lang w:val="fr-FR"/>
        </w:rPr>
        <w:t>hébergement, les aides psychologiques et médicales)</w:t>
      </w:r>
      <w:r w:rsidR="003B7618" w:rsidRPr="00FF65D6">
        <w:rPr>
          <w:lang w:val="fr-FR"/>
        </w:rPr>
        <w:t> ;</w:t>
      </w:r>
      <w:r w:rsidRPr="00FF65D6">
        <w:rPr>
          <w:lang w:val="fr-FR"/>
        </w:rPr>
        <w:t xml:space="preserve"> </w:t>
      </w:r>
    </w:p>
    <w:p w14:paraId="78AAE697" w14:textId="77777777" w:rsidR="005C5C6A" w:rsidRPr="00FF65D6" w:rsidRDefault="005C5C6A" w:rsidP="004C43D9">
      <w:pPr>
        <w:pStyle w:val="Bullet1G"/>
        <w:rPr>
          <w:lang w:val="fr-FR"/>
        </w:rPr>
      </w:pPr>
      <w:r w:rsidRPr="00FF65D6">
        <w:rPr>
          <w:lang w:val="fr-FR"/>
        </w:rPr>
        <w:t>Préparer le témoin ou la victime à participer à différentes étapes de l</w:t>
      </w:r>
      <w:r w:rsidR="002127F6" w:rsidRPr="00FF65D6">
        <w:rPr>
          <w:lang w:val="fr-FR"/>
        </w:rPr>
        <w:t>’</w:t>
      </w:r>
      <w:r w:rsidRPr="00FF65D6">
        <w:rPr>
          <w:lang w:val="fr-FR"/>
        </w:rPr>
        <w:t>enquête, par exemple à un entretien ou à un interrogatoire, à l</w:t>
      </w:r>
      <w:r w:rsidR="002127F6" w:rsidRPr="00FF65D6">
        <w:rPr>
          <w:lang w:val="fr-FR"/>
        </w:rPr>
        <w:t>’</w:t>
      </w:r>
      <w:r w:rsidRPr="00FF65D6">
        <w:rPr>
          <w:lang w:val="fr-FR"/>
        </w:rPr>
        <w:t>identification d</w:t>
      </w:r>
      <w:r w:rsidR="002127F6" w:rsidRPr="00FF65D6">
        <w:rPr>
          <w:lang w:val="fr-FR"/>
        </w:rPr>
        <w:t>’</w:t>
      </w:r>
      <w:r w:rsidRPr="00FF65D6">
        <w:rPr>
          <w:lang w:val="fr-FR"/>
        </w:rPr>
        <w:t>un corps, à des expériences ou à la collecte de preuves, participation qui peut être particulièrement stressante</w:t>
      </w:r>
      <w:r w:rsidR="003B7618" w:rsidRPr="00FF65D6">
        <w:rPr>
          <w:lang w:val="fr-FR"/>
        </w:rPr>
        <w:t> ;</w:t>
      </w:r>
    </w:p>
    <w:p w14:paraId="4F5D22C5" w14:textId="77777777" w:rsidR="005C5C6A" w:rsidRPr="00FF65D6" w:rsidRDefault="005C5C6A" w:rsidP="004C43D9">
      <w:pPr>
        <w:pStyle w:val="Bullet1G"/>
        <w:rPr>
          <w:lang w:val="fr-FR"/>
        </w:rPr>
      </w:pPr>
      <w:r w:rsidRPr="00FF65D6">
        <w:rPr>
          <w:lang w:val="fr-FR"/>
        </w:rPr>
        <w:t>Continuer d</w:t>
      </w:r>
      <w:r w:rsidR="002127F6" w:rsidRPr="00FF65D6">
        <w:rPr>
          <w:lang w:val="fr-FR"/>
        </w:rPr>
        <w:t>’</w:t>
      </w:r>
      <w:r w:rsidRPr="00FF65D6">
        <w:rPr>
          <w:lang w:val="fr-FR"/>
        </w:rPr>
        <w:t>apporter un appui aux témoins et aux victimes durant l</w:t>
      </w:r>
      <w:r w:rsidR="002127F6" w:rsidRPr="00FF65D6">
        <w:rPr>
          <w:lang w:val="fr-FR"/>
        </w:rPr>
        <w:t>’</w:t>
      </w:r>
      <w:r w:rsidRPr="00FF65D6">
        <w:rPr>
          <w:lang w:val="fr-FR"/>
        </w:rPr>
        <w:t>ensemble de la procédure d</w:t>
      </w:r>
      <w:r w:rsidR="002127F6" w:rsidRPr="00FF65D6">
        <w:rPr>
          <w:lang w:val="fr-FR"/>
        </w:rPr>
        <w:t>’</w:t>
      </w:r>
      <w:r w:rsidRPr="00FF65D6">
        <w:rPr>
          <w:lang w:val="fr-FR"/>
        </w:rPr>
        <w:t>enquête et du procès afin que les droits et les intérêts des témoins et des victimes soient dûment protégés</w:t>
      </w:r>
      <w:r w:rsidR="005C1799" w:rsidRPr="005C1799">
        <w:rPr>
          <w:lang w:val="fr-FR"/>
        </w:rPr>
        <w:t>.</w:t>
      </w:r>
      <w:r w:rsidRPr="00FF65D6">
        <w:rPr>
          <w:lang w:val="fr-FR"/>
        </w:rPr>
        <w:t xml:space="preserve"> </w:t>
      </w:r>
    </w:p>
    <w:p w14:paraId="430BB968" w14:textId="77777777" w:rsidR="005C5C6A" w:rsidRPr="00FF65D6" w:rsidRDefault="005C5C6A" w:rsidP="004C43D9">
      <w:pPr>
        <w:pStyle w:val="H1G"/>
        <w:rPr>
          <w:lang w:val="fr-FR"/>
        </w:rPr>
      </w:pPr>
      <w:bookmarkStart w:id="41" w:name="_Toc472961730"/>
      <w:r w:rsidRPr="00FF65D6">
        <w:rPr>
          <w:lang w:val="fr-FR"/>
        </w:rPr>
        <w:tab/>
        <w:t>C</w:t>
      </w:r>
      <w:r w:rsidR="005C1799" w:rsidRPr="005C1799">
        <w:rPr>
          <w:b w:val="0"/>
          <w:lang w:val="fr-FR"/>
        </w:rPr>
        <w:t>.</w:t>
      </w:r>
      <w:r w:rsidRPr="00FF65D6">
        <w:rPr>
          <w:lang w:val="fr-FR"/>
        </w:rPr>
        <w:tab/>
        <w:t>Code de la justice pour mineurs</w:t>
      </w:r>
      <w:bookmarkEnd w:id="41"/>
    </w:p>
    <w:p w14:paraId="33D49C74" w14:textId="77777777" w:rsidR="005C5C6A" w:rsidRPr="00FF65D6" w:rsidRDefault="005C5C6A" w:rsidP="00F34341">
      <w:pPr>
        <w:pStyle w:val="SingleTxtG"/>
        <w:rPr>
          <w:lang w:val="fr-FR"/>
        </w:rPr>
      </w:pPr>
      <w:r w:rsidRPr="00FF65D6">
        <w:rPr>
          <w:lang w:val="fr-FR"/>
        </w:rPr>
        <w:t>163</w:t>
      </w:r>
      <w:r w:rsidR="005C1799" w:rsidRPr="005C1799">
        <w:rPr>
          <w:lang w:val="fr-FR"/>
        </w:rPr>
        <w:t>.</w:t>
      </w:r>
      <w:r w:rsidRPr="00FF65D6">
        <w:rPr>
          <w:lang w:val="fr-FR"/>
        </w:rPr>
        <w:tab/>
        <w:t>Le 12 juin 2015, le Parlement a adopté le premier Code de la justice pour mineurs, autonome et spécialisé, basé sur la Loi type de l</w:t>
      </w:r>
      <w:r w:rsidR="002127F6" w:rsidRPr="00FF65D6">
        <w:rPr>
          <w:lang w:val="fr-FR"/>
        </w:rPr>
        <w:t>’</w:t>
      </w:r>
      <w:r w:rsidRPr="00FF65D6">
        <w:rPr>
          <w:lang w:val="fr-FR"/>
        </w:rPr>
        <w:t>ONUDC fondée sur la Convention relative aux droits de l</w:t>
      </w:r>
      <w:r w:rsidR="002127F6" w:rsidRPr="00FF65D6">
        <w:rPr>
          <w:lang w:val="fr-FR"/>
        </w:rPr>
        <w:t>’</w:t>
      </w:r>
      <w:r w:rsidRPr="00FF65D6">
        <w:rPr>
          <w:lang w:val="fr-FR"/>
        </w:rPr>
        <w:t>enfant et d</w:t>
      </w:r>
      <w:r w:rsidR="002127F6" w:rsidRPr="00FF65D6">
        <w:rPr>
          <w:lang w:val="fr-FR"/>
        </w:rPr>
        <w:t>’</w:t>
      </w:r>
      <w:r w:rsidRPr="00FF65D6">
        <w:rPr>
          <w:lang w:val="fr-FR"/>
        </w:rPr>
        <w:t>autres normes internationales</w:t>
      </w:r>
      <w:r w:rsidR="005C1799" w:rsidRPr="005C1799">
        <w:rPr>
          <w:lang w:val="fr-FR"/>
        </w:rPr>
        <w:t>.</w:t>
      </w:r>
      <w:r w:rsidRPr="00FF65D6">
        <w:rPr>
          <w:lang w:val="fr-FR"/>
        </w:rPr>
        <w:t xml:space="preserve"> Le nouveau Code de la justice pour mineurs détermine les caractéristiques de la responsabilité administrative et pénale des mineurs, les procédures administratives et pénales en cas d</w:t>
      </w:r>
      <w:r w:rsidR="002127F6" w:rsidRPr="00FF65D6">
        <w:rPr>
          <w:lang w:val="fr-FR"/>
        </w:rPr>
        <w:t>’</w:t>
      </w:r>
      <w:r w:rsidRPr="00FF65D6">
        <w:rPr>
          <w:lang w:val="fr-FR"/>
        </w:rPr>
        <w:t>infractions administratives et pénales impliquant des mineurs, et des procédures spéciales relatives à l</w:t>
      </w:r>
      <w:r w:rsidR="002127F6" w:rsidRPr="00FF65D6">
        <w:rPr>
          <w:lang w:val="fr-FR"/>
        </w:rPr>
        <w:t>’</w:t>
      </w:r>
      <w:r w:rsidRPr="00FF65D6">
        <w:rPr>
          <w:lang w:val="fr-FR"/>
        </w:rPr>
        <w:t>exécution des peines et d</w:t>
      </w:r>
      <w:r w:rsidR="002127F6" w:rsidRPr="00FF65D6">
        <w:rPr>
          <w:lang w:val="fr-FR"/>
        </w:rPr>
        <w:t>’</w:t>
      </w:r>
      <w:r w:rsidRPr="00FF65D6">
        <w:rPr>
          <w:lang w:val="fr-FR"/>
        </w:rPr>
        <w:t>autres mesures</w:t>
      </w:r>
      <w:r w:rsidR="003B7618" w:rsidRPr="00FF65D6">
        <w:rPr>
          <w:lang w:val="fr-FR"/>
        </w:rPr>
        <w:t> ;</w:t>
      </w:r>
      <w:r w:rsidRPr="00FF65D6">
        <w:rPr>
          <w:lang w:val="fr-FR"/>
        </w:rPr>
        <w:t xml:space="preserve"> prévoit des mesures de substitution aux poursuites pénales, telles que la déjudiciarisation et la médiation, et diversifie les sanctions dont dispose le juge pour garantir que la détention et l</w:t>
      </w:r>
      <w:r w:rsidR="002127F6" w:rsidRPr="00FF65D6">
        <w:rPr>
          <w:lang w:val="fr-FR"/>
        </w:rPr>
        <w:t>’</w:t>
      </w:r>
      <w:r w:rsidRPr="00FF65D6">
        <w:rPr>
          <w:lang w:val="fr-FR"/>
        </w:rPr>
        <w:t>emprisonnement ne sont utilisés qu</w:t>
      </w:r>
      <w:r w:rsidR="002127F6" w:rsidRPr="00FF65D6">
        <w:rPr>
          <w:lang w:val="fr-FR"/>
        </w:rPr>
        <w:t>’</w:t>
      </w:r>
      <w:r w:rsidRPr="00FF65D6">
        <w:rPr>
          <w:lang w:val="fr-FR"/>
        </w:rPr>
        <w:t>en dernier ressort, conformément au principe de l</w:t>
      </w:r>
      <w:r w:rsidR="002127F6" w:rsidRPr="00FF65D6">
        <w:rPr>
          <w:lang w:val="fr-FR"/>
        </w:rPr>
        <w:t>’</w:t>
      </w:r>
      <w:r w:rsidRPr="00FF65D6">
        <w:rPr>
          <w:lang w:val="fr-FR"/>
        </w:rPr>
        <w:t>intérêt supérieur de l</w:t>
      </w:r>
      <w:r w:rsidR="002127F6" w:rsidRPr="00FF65D6">
        <w:rPr>
          <w:lang w:val="fr-FR"/>
        </w:rPr>
        <w:t>’</w:t>
      </w:r>
      <w:r w:rsidRPr="00FF65D6">
        <w:rPr>
          <w:lang w:val="fr-FR"/>
        </w:rPr>
        <w:t>enfant et aux autres normes internationales découlant de la Convention relative aux droits de l</w:t>
      </w:r>
      <w:r w:rsidR="002127F6" w:rsidRPr="00FF65D6">
        <w:rPr>
          <w:lang w:val="fr-FR"/>
        </w:rPr>
        <w:t>’</w:t>
      </w:r>
      <w:r w:rsidRPr="00FF65D6">
        <w:rPr>
          <w:lang w:val="fr-FR"/>
        </w:rPr>
        <w:t>enfant et des instruments internationaux pertinents</w:t>
      </w:r>
      <w:r w:rsidR="005C1799" w:rsidRPr="005C1799">
        <w:rPr>
          <w:lang w:val="fr-FR"/>
        </w:rPr>
        <w:t>.</w:t>
      </w:r>
    </w:p>
    <w:p w14:paraId="7E82E787" w14:textId="77777777" w:rsidR="005C5C6A" w:rsidRPr="00FF65D6" w:rsidRDefault="005C5C6A" w:rsidP="00F34341">
      <w:pPr>
        <w:pStyle w:val="SingleTxtG"/>
        <w:rPr>
          <w:lang w:val="fr-FR"/>
        </w:rPr>
      </w:pPr>
      <w:r w:rsidRPr="00FF65D6">
        <w:rPr>
          <w:lang w:val="fr-FR"/>
        </w:rPr>
        <w:t>164</w:t>
      </w:r>
      <w:r w:rsidR="005C1799" w:rsidRPr="005C1799">
        <w:rPr>
          <w:lang w:val="fr-FR"/>
        </w:rPr>
        <w:t>.</w:t>
      </w:r>
      <w:r w:rsidRPr="00FF65D6">
        <w:rPr>
          <w:lang w:val="fr-FR"/>
        </w:rPr>
        <w:tab/>
        <w:t>Conformément au</w:t>
      </w:r>
      <w:r w:rsidR="002127F6" w:rsidRPr="00FF65D6">
        <w:rPr>
          <w:lang w:val="fr-FR"/>
        </w:rPr>
        <w:t xml:space="preserve"> </w:t>
      </w:r>
      <w:r w:rsidRPr="00FF65D6">
        <w:rPr>
          <w:lang w:val="fr-FR"/>
        </w:rPr>
        <w:t>paragraphe 2 de l</w:t>
      </w:r>
      <w:r w:rsidR="002127F6" w:rsidRPr="00FF65D6">
        <w:rPr>
          <w:lang w:val="fr-FR"/>
        </w:rPr>
        <w:t>’</w:t>
      </w:r>
      <w:r w:rsidRPr="00FF65D6">
        <w:rPr>
          <w:lang w:val="fr-FR"/>
        </w:rPr>
        <w:t>article premier du Code de la justice pour mineurs, le Code</w:t>
      </w:r>
      <w:r w:rsidR="002127F6" w:rsidRPr="00FF65D6">
        <w:rPr>
          <w:lang w:val="fr-FR"/>
        </w:rPr>
        <w:t xml:space="preserve"> </w:t>
      </w:r>
      <w:r w:rsidRPr="00FF65D6">
        <w:rPr>
          <w:lang w:val="fr-FR"/>
        </w:rPr>
        <w:t>a pour objectif de préserver l</w:t>
      </w:r>
      <w:r w:rsidR="002127F6" w:rsidRPr="00FF65D6">
        <w:rPr>
          <w:lang w:val="fr-FR"/>
        </w:rPr>
        <w:t>’</w:t>
      </w:r>
      <w:r w:rsidRPr="00FF65D6">
        <w:rPr>
          <w:lang w:val="fr-FR"/>
        </w:rPr>
        <w:t>intérêt supérieur des mineurs, d</w:t>
      </w:r>
      <w:r w:rsidR="002127F6" w:rsidRPr="00FF65D6">
        <w:rPr>
          <w:lang w:val="fr-FR"/>
        </w:rPr>
        <w:t>’</w:t>
      </w:r>
      <w:r w:rsidRPr="00FF65D6">
        <w:rPr>
          <w:lang w:val="fr-FR"/>
        </w:rPr>
        <w:t>assurer la resocialisation et la réadaptation des enfants en conflit avec la loi, de protéger les droits des victimes et témoins mineurs, de prévenir la victimisation secondaire des victimes et témoins mineurs et d</w:t>
      </w:r>
      <w:r w:rsidR="002127F6" w:rsidRPr="00FF65D6">
        <w:rPr>
          <w:lang w:val="fr-FR"/>
        </w:rPr>
        <w:t>’</w:t>
      </w:r>
      <w:r w:rsidRPr="00FF65D6">
        <w:rPr>
          <w:lang w:val="fr-FR"/>
        </w:rPr>
        <w:t xml:space="preserve">éviter la </w:t>
      </w:r>
      <w:proofErr w:type="spellStart"/>
      <w:r w:rsidRPr="00FF65D6">
        <w:rPr>
          <w:lang w:val="fr-FR"/>
        </w:rPr>
        <w:t>revictimisation</w:t>
      </w:r>
      <w:proofErr w:type="spellEnd"/>
      <w:r w:rsidRPr="00FF65D6">
        <w:rPr>
          <w:lang w:val="fr-FR"/>
        </w:rPr>
        <w:t xml:space="preserve"> des victimes mineures, et de prévenir la commission de nouvelles infractions et de protéger l</w:t>
      </w:r>
      <w:r w:rsidR="002127F6" w:rsidRPr="00FF65D6">
        <w:rPr>
          <w:lang w:val="fr-FR"/>
        </w:rPr>
        <w:t>’</w:t>
      </w:r>
      <w:r w:rsidRPr="00FF65D6">
        <w:rPr>
          <w:lang w:val="fr-FR"/>
        </w:rPr>
        <w:t>ordre public dans l</w:t>
      </w:r>
      <w:r w:rsidR="002127F6" w:rsidRPr="00FF65D6">
        <w:rPr>
          <w:lang w:val="fr-FR"/>
        </w:rPr>
        <w:t>’</w:t>
      </w:r>
      <w:r w:rsidRPr="00FF65D6">
        <w:rPr>
          <w:lang w:val="fr-FR"/>
        </w:rPr>
        <w:t>administration de la justice</w:t>
      </w:r>
      <w:r w:rsidR="005C1799" w:rsidRPr="005C1799">
        <w:rPr>
          <w:lang w:val="fr-FR"/>
        </w:rPr>
        <w:t>.</w:t>
      </w:r>
    </w:p>
    <w:p w14:paraId="7EF91AA1" w14:textId="77777777" w:rsidR="005C5C6A" w:rsidRPr="00FF65D6" w:rsidRDefault="005C5C6A" w:rsidP="00F34341">
      <w:pPr>
        <w:pStyle w:val="SingleTxtG"/>
        <w:rPr>
          <w:lang w:val="fr-FR"/>
        </w:rPr>
      </w:pPr>
      <w:r w:rsidRPr="00FF65D6">
        <w:rPr>
          <w:lang w:val="fr-FR"/>
        </w:rPr>
        <w:t>165</w:t>
      </w:r>
      <w:r w:rsidR="005C1799" w:rsidRPr="005C1799">
        <w:rPr>
          <w:lang w:val="fr-FR"/>
        </w:rPr>
        <w:t>.</w:t>
      </w:r>
      <w:r w:rsidRPr="00FF65D6">
        <w:rPr>
          <w:lang w:val="fr-FR"/>
        </w:rPr>
        <w:tab/>
        <w:t>Conformément au paragraphe 1 de l</w:t>
      </w:r>
      <w:r w:rsidR="002127F6" w:rsidRPr="00FF65D6">
        <w:rPr>
          <w:lang w:val="fr-FR"/>
        </w:rPr>
        <w:t>’</w:t>
      </w:r>
      <w:r w:rsidRPr="00FF65D6">
        <w:rPr>
          <w:lang w:val="fr-FR"/>
        </w:rPr>
        <w:t>article 3 du Code de la justice pour mineurs, par « mineur » on entend toute</w:t>
      </w:r>
      <w:r w:rsidR="002127F6" w:rsidRPr="00FF65D6">
        <w:rPr>
          <w:lang w:val="fr-FR"/>
        </w:rPr>
        <w:t xml:space="preserve"> </w:t>
      </w:r>
      <w:r w:rsidRPr="00FF65D6">
        <w:rPr>
          <w:lang w:val="fr-FR"/>
        </w:rPr>
        <w:t>victime, tout</w:t>
      </w:r>
      <w:r w:rsidR="002127F6" w:rsidRPr="00FF65D6">
        <w:rPr>
          <w:lang w:val="fr-FR"/>
        </w:rPr>
        <w:t xml:space="preserve"> </w:t>
      </w:r>
      <w:r w:rsidRPr="00FF65D6">
        <w:rPr>
          <w:lang w:val="fr-FR"/>
        </w:rPr>
        <w:t>témoin ou toute personne en conflit avec la loi âgés de moins de 18 ans</w:t>
      </w:r>
      <w:r w:rsidR="005C1799" w:rsidRPr="005C1799">
        <w:rPr>
          <w:lang w:val="fr-FR"/>
        </w:rPr>
        <w:t>.</w:t>
      </w:r>
      <w:r w:rsidRPr="00FF65D6">
        <w:rPr>
          <w:lang w:val="fr-FR"/>
        </w:rPr>
        <w:t xml:space="preserve"> La victime mineure est définie au paragraphe 13 de l</w:t>
      </w:r>
      <w:r w:rsidR="002127F6" w:rsidRPr="00FF65D6">
        <w:rPr>
          <w:lang w:val="fr-FR"/>
        </w:rPr>
        <w:t>’</w:t>
      </w:r>
      <w:r w:rsidRPr="00FF65D6">
        <w:rPr>
          <w:lang w:val="fr-FR"/>
        </w:rPr>
        <w:t>article</w:t>
      </w:r>
      <w:r w:rsidR="004C43D9" w:rsidRPr="00FF65D6">
        <w:rPr>
          <w:lang w:val="fr-FR"/>
        </w:rPr>
        <w:t> </w:t>
      </w:r>
      <w:r w:rsidRPr="00FF65D6">
        <w:rPr>
          <w:lang w:val="fr-FR"/>
        </w:rPr>
        <w:t>3 comme un mineur qui a subi un préjudice moral ou physique ou des dommages matériels découlant directement d</w:t>
      </w:r>
      <w:r w:rsidR="002127F6" w:rsidRPr="00FF65D6">
        <w:rPr>
          <w:lang w:val="fr-FR"/>
        </w:rPr>
        <w:t>’</w:t>
      </w:r>
      <w:r w:rsidRPr="00FF65D6">
        <w:rPr>
          <w:lang w:val="fr-FR"/>
        </w:rPr>
        <w:t>une infraction administrative ou pénale</w:t>
      </w:r>
      <w:r w:rsidR="005C1799" w:rsidRPr="005C1799">
        <w:rPr>
          <w:lang w:val="fr-FR"/>
        </w:rPr>
        <w:t>.</w:t>
      </w:r>
      <w:r w:rsidRPr="00FF65D6">
        <w:rPr>
          <w:lang w:val="fr-FR"/>
        </w:rPr>
        <w:t xml:space="preserve"> Une personne est considérée comme mineure aux fins de la responsabilité administrative si, au moment de la commission d</w:t>
      </w:r>
      <w:r w:rsidR="002127F6" w:rsidRPr="00FF65D6">
        <w:rPr>
          <w:lang w:val="fr-FR"/>
        </w:rPr>
        <w:t>’</w:t>
      </w:r>
      <w:r w:rsidRPr="00FF65D6">
        <w:rPr>
          <w:lang w:val="fr-FR"/>
        </w:rPr>
        <w:t>une infraction administrative, elle a atteint l</w:t>
      </w:r>
      <w:r w:rsidR="002127F6" w:rsidRPr="00FF65D6">
        <w:rPr>
          <w:lang w:val="fr-FR"/>
        </w:rPr>
        <w:t>’</w:t>
      </w:r>
      <w:r w:rsidRPr="00FF65D6">
        <w:rPr>
          <w:lang w:val="fr-FR"/>
        </w:rPr>
        <w:t>âge de 16 ans,</w:t>
      </w:r>
      <w:r w:rsidR="002127F6" w:rsidRPr="00FF65D6">
        <w:rPr>
          <w:lang w:val="fr-FR"/>
        </w:rPr>
        <w:t xml:space="preserve"> </w:t>
      </w:r>
      <w:r w:rsidRPr="00FF65D6">
        <w:rPr>
          <w:lang w:val="fr-FR"/>
        </w:rPr>
        <w:t>non celui de 18</w:t>
      </w:r>
      <w:r w:rsidR="004C43D9" w:rsidRPr="00FF65D6">
        <w:rPr>
          <w:lang w:val="fr-FR"/>
        </w:rPr>
        <w:t> </w:t>
      </w:r>
      <w:r w:rsidRPr="00FF65D6">
        <w:rPr>
          <w:lang w:val="fr-FR"/>
        </w:rPr>
        <w:t>ans et, aux fins de la responsabilité pénale si à la date de commission d</w:t>
      </w:r>
      <w:r w:rsidR="002127F6" w:rsidRPr="00FF65D6">
        <w:rPr>
          <w:lang w:val="fr-FR"/>
        </w:rPr>
        <w:t>’</w:t>
      </w:r>
      <w:r w:rsidRPr="00FF65D6">
        <w:rPr>
          <w:lang w:val="fr-FR"/>
        </w:rPr>
        <w:t>une infraction, elle a atteint l</w:t>
      </w:r>
      <w:r w:rsidR="002127F6" w:rsidRPr="00FF65D6">
        <w:rPr>
          <w:lang w:val="fr-FR"/>
        </w:rPr>
        <w:t>’</w:t>
      </w:r>
      <w:r w:rsidRPr="00FF65D6">
        <w:rPr>
          <w:lang w:val="fr-FR"/>
        </w:rPr>
        <w:t>âge de 14 ans, non celui de 18 ans</w:t>
      </w:r>
      <w:r w:rsidR="005C1799" w:rsidRPr="005C1799">
        <w:rPr>
          <w:lang w:val="fr-FR"/>
        </w:rPr>
        <w:t>.</w:t>
      </w:r>
    </w:p>
    <w:p w14:paraId="357F849B" w14:textId="77777777" w:rsidR="005C5C6A" w:rsidRPr="00FF65D6" w:rsidRDefault="005C5C6A" w:rsidP="00F34341">
      <w:pPr>
        <w:pStyle w:val="SingleTxtG"/>
        <w:rPr>
          <w:lang w:val="fr-FR"/>
        </w:rPr>
      </w:pPr>
      <w:r w:rsidRPr="00FF65D6">
        <w:rPr>
          <w:lang w:val="fr-FR"/>
        </w:rPr>
        <w:t>166</w:t>
      </w:r>
      <w:r w:rsidR="005C1799" w:rsidRPr="005C1799">
        <w:rPr>
          <w:lang w:val="fr-FR"/>
        </w:rPr>
        <w:t>.</w:t>
      </w:r>
      <w:r w:rsidRPr="00FF65D6">
        <w:rPr>
          <w:lang w:val="fr-FR"/>
        </w:rPr>
        <w:tab/>
        <w:t>En vertu de l</w:t>
      </w:r>
      <w:r w:rsidR="002127F6" w:rsidRPr="00FF65D6">
        <w:rPr>
          <w:lang w:val="fr-FR"/>
        </w:rPr>
        <w:t>’</w:t>
      </w:r>
      <w:r w:rsidRPr="00FF65D6">
        <w:rPr>
          <w:lang w:val="fr-FR"/>
        </w:rPr>
        <w:t>article 4 du Code de la justice pour mineurs, l</w:t>
      </w:r>
      <w:r w:rsidR="002127F6" w:rsidRPr="00FF65D6">
        <w:rPr>
          <w:lang w:val="fr-FR"/>
        </w:rPr>
        <w:t>’</w:t>
      </w:r>
      <w:r w:rsidRPr="00FF65D6">
        <w:rPr>
          <w:lang w:val="fr-FR"/>
        </w:rPr>
        <w:t>intérêt supérieur de l</w:t>
      </w:r>
      <w:r w:rsidR="002127F6" w:rsidRPr="00FF65D6">
        <w:rPr>
          <w:lang w:val="fr-FR"/>
        </w:rPr>
        <w:t>’</w:t>
      </w:r>
      <w:r w:rsidRPr="00FF65D6">
        <w:rPr>
          <w:lang w:val="fr-FR"/>
        </w:rPr>
        <w:t>enfant constitue une priorité dans les procédures judicaires concernant les</w:t>
      </w:r>
      <w:r w:rsidR="002127F6" w:rsidRPr="00FF65D6">
        <w:rPr>
          <w:lang w:val="fr-FR"/>
        </w:rPr>
        <w:t xml:space="preserve"> </w:t>
      </w:r>
      <w:r w:rsidRPr="00FF65D6">
        <w:rPr>
          <w:lang w:val="fr-FR"/>
        </w:rPr>
        <w:t>mineurs</w:t>
      </w:r>
      <w:r w:rsidR="005C1799" w:rsidRPr="005C1799">
        <w:rPr>
          <w:lang w:val="fr-FR"/>
        </w:rPr>
        <w:t>.</w:t>
      </w:r>
    </w:p>
    <w:p w14:paraId="780EFA5C" w14:textId="77777777" w:rsidR="005C5C6A" w:rsidRPr="00FF65D6" w:rsidRDefault="005C5C6A" w:rsidP="00F34341">
      <w:pPr>
        <w:pStyle w:val="SingleTxtG"/>
        <w:rPr>
          <w:lang w:val="fr-FR"/>
        </w:rPr>
      </w:pPr>
      <w:r w:rsidRPr="00FF65D6">
        <w:rPr>
          <w:lang w:val="fr-FR"/>
        </w:rPr>
        <w:t>167</w:t>
      </w:r>
      <w:r w:rsidR="005C1799" w:rsidRPr="005C1799">
        <w:rPr>
          <w:lang w:val="fr-FR"/>
        </w:rPr>
        <w:t>.</w:t>
      </w:r>
      <w:r w:rsidRPr="00FF65D6">
        <w:rPr>
          <w:lang w:val="fr-FR"/>
        </w:rPr>
        <w:tab/>
        <w:t>Le Code de la justice pour mineurs prévoit les meilleures garanties procédurales pour les victimes et témoins mineurs en accordant la plus haute importance à l</w:t>
      </w:r>
      <w:r w:rsidR="002127F6" w:rsidRPr="00FF65D6">
        <w:rPr>
          <w:lang w:val="fr-FR"/>
        </w:rPr>
        <w:t>’</w:t>
      </w:r>
      <w:r w:rsidRPr="00FF65D6">
        <w:rPr>
          <w:lang w:val="fr-FR"/>
        </w:rPr>
        <w:t>intérêt supérieur de l</w:t>
      </w:r>
      <w:r w:rsidR="002127F6" w:rsidRPr="00FF65D6">
        <w:rPr>
          <w:lang w:val="fr-FR"/>
        </w:rPr>
        <w:t>’</w:t>
      </w:r>
      <w:r w:rsidRPr="00FF65D6">
        <w:rPr>
          <w:lang w:val="fr-FR"/>
        </w:rPr>
        <w:t>enfant dans toute question</w:t>
      </w:r>
      <w:r w:rsidR="005C1799" w:rsidRPr="005C1799">
        <w:rPr>
          <w:lang w:val="fr-FR"/>
        </w:rPr>
        <w:t>.</w:t>
      </w:r>
    </w:p>
    <w:p w14:paraId="71A78345" w14:textId="77777777" w:rsidR="005C5C6A" w:rsidRPr="00FF65D6" w:rsidRDefault="005C5C6A" w:rsidP="00F34341">
      <w:pPr>
        <w:pStyle w:val="SingleTxtG"/>
        <w:rPr>
          <w:lang w:val="fr-FR"/>
        </w:rPr>
      </w:pPr>
      <w:r w:rsidRPr="00FF65D6">
        <w:rPr>
          <w:lang w:val="fr-FR"/>
        </w:rPr>
        <w:t>168</w:t>
      </w:r>
      <w:r w:rsidR="005C1799" w:rsidRPr="005C1799">
        <w:rPr>
          <w:lang w:val="fr-FR"/>
        </w:rPr>
        <w:t>.</w:t>
      </w:r>
      <w:r w:rsidRPr="00FF65D6">
        <w:rPr>
          <w:lang w:val="fr-FR"/>
        </w:rPr>
        <w:tab/>
        <w:t>D</w:t>
      </w:r>
      <w:r w:rsidR="002127F6" w:rsidRPr="00FF65D6">
        <w:rPr>
          <w:lang w:val="fr-FR"/>
        </w:rPr>
        <w:t>’</w:t>
      </w:r>
      <w:r w:rsidRPr="00FF65D6">
        <w:rPr>
          <w:lang w:val="fr-FR"/>
        </w:rPr>
        <w:t>après le Code, pour prévenir la victimisation secondaire ou la revictimisation d</w:t>
      </w:r>
      <w:r w:rsidR="002127F6" w:rsidRPr="00FF65D6">
        <w:rPr>
          <w:lang w:val="fr-FR"/>
        </w:rPr>
        <w:t>’</w:t>
      </w:r>
      <w:r w:rsidRPr="00FF65D6">
        <w:rPr>
          <w:lang w:val="fr-FR"/>
        </w:rPr>
        <w:t>une victime mineure ou d</w:t>
      </w:r>
      <w:r w:rsidR="002127F6" w:rsidRPr="00FF65D6">
        <w:rPr>
          <w:lang w:val="fr-FR"/>
        </w:rPr>
        <w:t>’</w:t>
      </w:r>
      <w:r w:rsidRPr="00FF65D6">
        <w:rPr>
          <w:lang w:val="fr-FR"/>
        </w:rPr>
        <w:t>un témoin mineur, un représentant légal et un avocat ainsi qu</w:t>
      </w:r>
      <w:r w:rsidR="002127F6" w:rsidRPr="00FF65D6">
        <w:rPr>
          <w:lang w:val="fr-FR"/>
        </w:rPr>
        <w:t>’</w:t>
      </w:r>
      <w:r w:rsidRPr="00FF65D6">
        <w:rPr>
          <w:lang w:val="fr-FR"/>
        </w:rPr>
        <w:t>un psychologue doivent participer à son interrogatoire</w:t>
      </w:r>
      <w:r w:rsidR="005C1799" w:rsidRPr="005C1799">
        <w:rPr>
          <w:lang w:val="fr-FR"/>
        </w:rPr>
        <w:t>.</w:t>
      </w:r>
      <w:r w:rsidRPr="00FF65D6">
        <w:rPr>
          <w:lang w:val="fr-FR"/>
        </w:rPr>
        <w:t xml:space="preserve"> Afin de protéger un témoin mineur, le juge peut décider</w:t>
      </w:r>
      <w:r w:rsidR="003B7618" w:rsidRPr="00FF65D6">
        <w:rPr>
          <w:lang w:val="fr-FR"/>
        </w:rPr>
        <w:t> :</w:t>
      </w:r>
      <w:r w:rsidRPr="00FF65D6">
        <w:rPr>
          <w:lang w:val="fr-FR"/>
        </w:rPr>
        <w:t xml:space="preserve"> </w:t>
      </w:r>
    </w:p>
    <w:p w14:paraId="4263E4FA" w14:textId="77777777" w:rsidR="005C5C6A" w:rsidRPr="00FF65D6" w:rsidRDefault="005C5C6A" w:rsidP="004C43D9">
      <w:pPr>
        <w:pStyle w:val="Bullet1G"/>
        <w:rPr>
          <w:lang w:val="fr-FR"/>
        </w:rPr>
      </w:pPr>
      <w:r w:rsidRPr="00FF65D6">
        <w:rPr>
          <w:lang w:val="fr-FR"/>
        </w:rPr>
        <w:t>D</w:t>
      </w:r>
      <w:r w:rsidR="002127F6" w:rsidRPr="00FF65D6">
        <w:rPr>
          <w:lang w:val="fr-FR"/>
        </w:rPr>
        <w:t>’</w:t>
      </w:r>
      <w:r w:rsidRPr="00FF65D6">
        <w:rPr>
          <w:lang w:val="fr-FR"/>
        </w:rPr>
        <w:t>utiliser du matériel modifiant l</w:t>
      </w:r>
      <w:r w:rsidR="002127F6" w:rsidRPr="00FF65D6">
        <w:rPr>
          <w:lang w:val="fr-FR"/>
        </w:rPr>
        <w:t>’</w:t>
      </w:r>
      <w:r w:rsidRPr="00FF65D6">
        <w:rPr>
          <w:lang w:val="fr-FR"/>
        </w:rPr>
        <w:t>image ou le son ou un écran opaque, ou de faire déposer un témoin à distance</w:t>
      </w:r>
      <w:r w:rsidR="003B7618" w:rsidRPr="00FF65D6">
        <w:rPr>
          <w:lang w:val="fr-FR"/>
        </w:rPr>
        <w:t> ;</w:t>
      </w:r>
    </w:p>
    <w:p w14:paraId="0D542EDA" w14:textId="77777777" w:rsidR="005C5C6A" w:rsidRPr="00FF65D6" w:rsidRDefault="005C5C6A" w:rsidP="004C43D9">
      <w:pPr>
        <w:pStyle w:val="Bullet1G"/>
        <w:rPr>
          <w:lang w:val="fr-FR"/>
        </w:rPr>
      </w:pPr>
      <w:r w:rsidRPr="00FF65D6">
        <w:rPr>
          <w:lang w:val="fr-FR"/>
        </w:rPr>
        <w:t>De faire déposer un témoin mineur avant l</w:t>
      </w:r>
      <w:r w:rsidR="002127F6" w:rsidRPr="00FF65D6">
        <w:rPr>
          <w:lang w:val="fr-FR"/>
        </w:rPr>
        <w:t>’</w:t>
      </w:r>
      <w:r w:rsidRPr="00FF65D6">
        <w:rPr>
          <w:lang w:val="fr-FR"/>
        </w:rPr>
        <w:t>audience et d</w:t>
      </w:r>
      <w:r w:rsidR="002127F6" w:rsidRPr="00FF65D6">
        <w:rPr>
          <w:lang w:val="fr-FR"/>
        </w:rPr>
        <w:t>’</w:t>
      </w:r>
      <w:r w:rsidRPr="00FF65D6">
        <w:rPr>
          <w:lang w:val="fr-FR"/>
        </w:rPr>
        <w:t>utiliser ensuite l</w:t>
      </w:r>
      <w:r w:rsidR="002127F6" w:rsidRPr="00FF65D6">
        <w:rPr>
          <w:lang w:val="fr-FR"/>
        </w:rPr>
        <w:t>’</w:t>
      </w:r>
      <w:r w:rsidRPr="00FF65D6">
        <w:rPr>
          <w:lang w:val="fr-FR"/>
        </w:rPr>
        <w:t>enregistrement vidéo, plutôt que de le faire déposer dans la salle d</w:t>
      </w:r>
      <w:r w:rsidR="002127F6" w:rsidRPr="00FF65D6">
        <w:rPr>
          <w:lang w:val="fr-FR"/>
        </w:rPr>
        <w:t>’</w:t>
      </w:r>
      <w:r w:rsidRPr="00FF65D6">
        <w:rPr>
          <w:lang w:val="fr-FR"/>
        </w:rPr>
        <w:t>audience</w:t>
      </w:r>
      <w:r w:rsidR="003B7618" w:rsidRPr="00FF65D6">
        <w:rPr>
          <w:lang w:val="fr-FR"/>
        </w:rPr>
        <w:t> ;</w:t>
      </w:r>
    </w:p>
    <w:p w14:paraId="7196277A" w14:textId="77777777" w:rsidR="005C5C6A" w:rsidRPr="00FF65D6" w:rsidRDefault="005C5C6A" w:rsidP="004C43D9">
      <w:pPr>
        <w:pStyle w:val="Bullet1G"/>
        <w:rPr>
          <w:lang w:val="fr-FR"/>
        </w:rPr>
      </w:pPr>
      <w:r w:rsidRPr="00FF65D6">
        <w:rPr>
          <w:lang w:val="fr-FR"/>
        </w:rPr>
        <w:t>De tenir l</w:t>
      </w:r>
      <w:r w:rsidR="002127F6" w:rsidRPr="00FF65D6">
        <w:rPr>
          <w:lang w:val="fr-FR"/>
        </w:rPr>
        <w:t>’</w:t>
      </w:r>
      <w:r w:rsidRPr="00FF65D6">
        <w:rPr>
          <w:lang w:val="fr-FR"/>
        </w:rPr>
        <w:t>audience ou une partie de l</w:t>
      </w:r>
      <w:r w:rsidR="002127F6" w:rsidRPr="00FF65D6">
        <w:rPr>
          <w:lang w:val="fr-FR"/>
        </w:rPr>
        <w:t>’</w:t>
      </w:r>
      <w:r w:rsidRPr="00FF65D6">
        <w:rPr>
          <w:lang w:val="fr-FR"/>
        </w:rPr>
        <w:t>audience à huis clos</w:t>
      </w:r>
      <w:r w:rsidR="003B7618" w:rsidRPr="00FF65D6">
        <w:rPr>
          <w:lang w:val="fr-FR"/>
        </w:rPr>
        <w:t> ;</w:t>
      </w:r>
    </w:p>
    <w:p w14:paraId="28755BB2" w14:textId="77777777" w:rsidR="005C5C6A" w:rsidRPr="00FF65D6" w:rsidRDefault="005C5C6A" w:rsidP="004C43D9">
      <w:pPr>
        <w:pStyle w:val="Bullet1G"/>
        <w:rPr>
          <w:lang w:val="fr-FR"/>
        </w:rPr>
      </w:pPr>
      <w:r w:rsidRPr="00FF65D6">
        <w:rPr>
          <w:lang w:val="fr-FR"/>
        </w:rPr>
        <w:t>De faire sortir l</w:t>
      </w:r>
      <w:r w:rsidR="002127F6" w:rsidRPr="00FF65D6">
        <w:rPr>
          <w:lang w:val="fr-FR"/>
        </w:rPr>
        <w:t>’</w:t>
      </w:r>
      <w:r w:rsidRPr="00FF65D6">
        <w:rPr>
          <w:lang w:val="fr-FR"/>
        </w:rPr>
        <w:t>accusé de la salle d</w:t>
      </w:r>
      <w:r w:rsidR="002127F6" w:rsidRPr="00FF65D6">
        <w:rPr>
          <w:lang w:val="fr-FR"/>
        </w:rPr>
        <w:t>’</w:t>
      </w:r>
      <w:r w:rsidRPr="00FF65D6">
        <w:rPr>
          <w:lang w:val="fr-FR"/>
        </w:rPr>
        <w:t>audience pendant la déposition du témoin</w:t>
      </w:r>
      <w:r w:rsidR="005C1799" w:rsidRPr="005C1799">
        <w:rPr>
          <w:lang w:val="fr-FR"/>
        </w:rPr>
        <w:t>.</w:t>
      </w:r>
      <w:r w:rsidRPr="00FF65D6">
        <w:rPr>
          <w:lang w:val="fr-FR"/>
        </w:rPr>
        <w:t xml:space="preserve"> </w:t>
      </w:r>
    </w:p>
    <w:p w14:paraId="394B968E" w14:textId="77777777" w:rsidR="005C5C6A" w:rsidRPr="00FF65D6" w:rsidRDefault="005C5C6A" w:rsidP="00F34341">
      <w:pPr>
        <w:pStyle w:val="SingleTxtG"/>
        <w:rPr>
          <w:lang w:val="fr-FR"/>
        </w:rPr>
      </w:pPr>
      <w:r w:rsidRPr="00FF65D6">
        <w:rPr>
          <w:lang w:val="fr-FR"/>
        </w:rPr>
        <w:t>169</w:t>
      </w:r>
      <w:r w:rsidR="005C1799" w:rsidRPr="005C1799">
        <w:rPr>
          <w:lang w:val="fr-FR"/>
        </w:rPr>
        <w:t>.</w:t>
      </w:r>
      <w:r w:rsidRPr="00FF65D6">
        <w:rPr>
          <w:lang w:val="fr-FR"/>
        </w:rPr>
        <w:tab/>
        <w:t>Plus important encore, le Code de la justice pour mineurs oblige les différents services chargés de l</w:t>
      </w:r>
      <w:r w:rsidR="002127F6" w:rsidRPr="00FF65D6">
        <w:rPr>
          <w:lang w:val="fr-FR"/>
        </w:rPr>
        <w:t>’</w:t>
      </w:r>
      <w:r w:rsidRPr="00FF65D6">
        <w:rPr>
          <w:lang w:val="fr-FR"/>
        </w:rPr>
        <w:t>application des lois à spécialiser et à former les professionnels conformément au Code</w:t>
      </w:r>
      <w:r w:rsidR="005C1799" w:rsidRPr="005C1799">
        <w:rPr>
          <w:lang w:val="fr-FR"/>
        </w:rPr>
        <w:t>.</w:t>
      </w:r>
      <w:r w:rsidRPr="00FF65D6">
        <w:rPr>
          <w:lang w:val="fr-FR"/>
        </w:rPr>
        <w:t xml:space="preserve"> L</w:t>
      </w:r>
      <w:r w:rsidR="002127F6" w:rsidRPr="00FF65D6">
        <w:rPr>
          <w:lang w:val="fr-FR"/>
        </w:rPr>
        <w:t>’</w:t>
      </w:r>
      <w:r w:rsidRPr="00FF65D6">
        <w:rPr>
          <w:lang w:val="fr-FR"/>
        </w:rPr>
        <w:t>école de police du Ministère de l</w:t>
      </w:r>
      <w:r w:rsidR="002127F6" w:rsidRPr="00FF65D6">
        <w:rPr>
          <w:lang w:val="fr-FR"/>
        </w:rPr>
        <w:t>’</w:t>
      </w:r>
      <w:r w:rsidRPr="00FF65D6">
        <w:rPr>
          <w:lang w:val="fr-FR"/>
        </w:rPr>
        <w:t>intérieur fournit des cours de formation spécialisés à l</w:t>
      </w:r>
      <w:r w:rsidR="002127F6" w:rsidRPr="00FF65D6">
        <w:rPr>
          <w:lang w:val="fr-FR"/>
        </w:rPr>
        <w:t>’</w:t>
      </w:r>
      <w:r w:rsidRPr="00FF65D6">
        <w:rPr>
          <w:lang w:val="fr-FR"/>
        </w:rPr>
        <w:t>intention des professionnels chargés des mineurs</w:t>
      </w:r>
      <w:r w:rsidR="005C1799" w:rsidRPr="005C1799">
        <w:rPr>
          <w:lang w:val="fr-FR"/>
        </w:rPr>
        <w:t>.</w:t>
      </w:r>
    </w:p>
    <w:p w14:paraId="23DB85BA" w14:textId="77777777" w:rsidR="005C5C6A" w:rsidRPr="00FF65D6" w:rsidRDefault="005C5C6A" w:rsidP="00F34341">
      <w:pPr>
        <w:pStyle w:val="SingleTxtG"/>
        <w:rPr>
          <w:lang w:val="fr-FR"/>
        </w:rPr>
      </w:pPr>
      <w:r w:rsidRPr="00FF65D6">
        <w:rPr>
          <w:lang w:val="fr-FR"/>
        </w:rPr>
        <w:t>170</w:t>
      </w:r>
      <w:r w:rsidR="005C1799" w:rsidRPr="005C1799">
        <w:rPr>
          <w:lang w:val="fr-FR"/>
        </w:rPr>
        <w:t>.</w:t>
      </w:r>
      <w:r w:rsidRPr="00FF65D6">
        <w:rPr>
          <w:lang w:val="fr-FR"/>
        </w:rPr>
        <w:tab/>
        <w:t>L</w:t>
      </w:r>
      <w:r w:rsidR="002127F6" w:rsidRPr="00FF65D6">
        <w:rPr>
          <w:lang w:val="fr-FR"/>
        </w:rPr>
        <w:t>’</w:t>
      </w:r>
      <w:r w:rsidRPr="00FF65D6">
        <w:rPr>
          <w:lang w:val="fr-FR"/>
        </w:rPr>
        <w:t>adoption d</w:t>
      </w:r>
      <w:r w:rsidR="002127F6" w:rsidRPr="00FF65D6">
        <w:rPr>
          <w:lang w:val="fr-FR"/>
        </w:rPr>
        <w:t>’</w:t>
      </w:r>
      <w:r w:rsidRPr="00FF65D6">
        <w:rPr>
          <w:lang w:val="fr-FR"/>
        </w:rPr>
        <w:t>un nouveau code a été précédée d</w:t>
      </w:r>
      <w:r w:rsidR="002127F6" w:rsidRPr="00FF65D6">
        <w:rPr>
          <w:lang w:val="fr-FR"/>
        </w:rPr>
        <w:t>’</w:t>
      </w:r>
      <w:r w:rsidRPr="00FF65D6">
        <w:rPr>
          <w:lang w:val="fr-FR"/>
        </w:rPr>
        <w:t>efforts déployés pendant de nombreuses années pour spécialiser des professionnels de la justice dans les questions relatives à la justice pour mineurs</w:t>
      </w:r>
      <w:r w:rsidR="005C1799" w:rsidRPr="005C1799">
        <w:rPr>
          <w:lang w:val="fr-FR"/>
        </w:rPr>
        <w:t>.</w:t>
      </w:r>
      <w:r w:rsidRPr="00FF65D6">
        <w:rPr>
          <w:lang w:val="fr-FR"/>
        </w:rPr>
        <w:t xml:space="preserve"> Les avocats ont suivi des formations de spécialisation dans le domaine de la justice pour mineurs, conjointement avec des policiers, des procureurs, des juges et des travailleurs sociaux</w:t>
      </w:r>
      <w:r w:rsidR="005C1799" w:rsidRPr="005C1799">
        <w:rPr>
          <w:lang w:val="fr-FR"/>
        </w:rPr>
        <w:t>.</w:t>
      </w:r>
      <w:r w:rsidRPr="00FF65D6">
        <w:rPr>
          <w:lang w:val="fr-FR"/>
        </w:rPr>
        <w:t xml:space="preserve"> Compte tenu du mandat du Service d</w:t>
      </w:r>
      <w:r w:rsidR="002127F6" w:rsidRPr="00FF65D6">
        <w:rPr>
          <w:lang w:val="fr-FR"/>
        </w:rPr>
        <w:t>’</w:t>
      </w:r>
      <w:r w:rsidRPr="00FF65D6">
        <w:rPr>
          <w:lang w:val="fr-FR"/>
        </w:rPr>
        <w:t>aide juridictionnelle, l</w:t>
      </w:r>
      <w:r w:rsidR="002127F6" w:rsidRPr="00FF65D6">
        <w:rPr>
          <w:lang w:val="fr-FR"/>
        </w:rPr>
        <w:t>’</w:t>
      </w:r>
      <w:r w:rsidRPr="00FF65D6">
        <w:rPr>
          <w:lang w:val="fr-FR"/>
        </w:rPr>
        <w:t>accent a été mis sur la spécialisation des avocats du Service qui traitent des affaires de mineurs</w:t>
      </w:r>
      <w:r w:rsidR="005C1799" w:rsidRPr="005C1799">
        <w:rPr>
          <w:lang w:val="fr-FR"/>
        </w:rPr>
        <w:t>.</w:t>
      </w:r>
      <w:r w:rsidRPr="00FF65D6">
        <w:rPr>
          <w:lang w:val="fr-FR"/>
        </w:rPr>
        <w:t xml:space="preserve"> En 2014</w:t>
      </w:r>
      <w:r w:rsidR="004C43D9" w:rsidRPr="00FF65D6">
        <w:rPr>
          <w:lang w:val="fr-FR"/>
        </w:rPr>
        <w:t>-</w:t>
      </w:r>
      <w:r w:rsidRPr="00FF65D6">
        <w:rPr>
          <w:lang w:val="fr-FR"/>
        </w:rPr>
        <w:t>2015, les avocats commis d</w:t>
      </w:r>
      <w:r w:rsidR="002127F6" w:rsidRPr="00FF65D6">
        <w:rPr>
          <w:lang w:val="fr-FR"/>
        </w:rPr>
        <w:t>’</w:t>
      </w:r>
      <w:r w:rsidRPr="00FF65D6">
        <w:rPr>
          <w:lang w:val="fr-FR"/>
        </w:rPr>
        <w:t>office ont suivi une formation intensive de spécialisation relative à la protection des enfants en conflit avec la loi</w:t>
      </w:r>
      <w:r w:rsidR="005C1799" w:rsidRPr="005C1799">
        <w:rPr>
          <w:lang w:val="fr-FR"/>
        </w:rPr>
        <w:t>.</w:t>
      </w:r>
      <w:r w:rsidRPr="00FF65D6">
        <w:rPr>
          <w:lang w:val="fr-FR"/>
        </w:rPr>
        <w:t xml:space="preserve"> À l</w:t>
      </w:r>
      <w:r w:rsidR="002127F6" w:rsidRPr="00FF65D6">
        <w:rPr>
          <w:lang w:val="fr-FR"/>
        </w:rPr>
        <w:t>’</w:t>
      </w:r>
      <w:r w:rsidRPr="00FF65D6">
        <w:rPr>
          <w:lang w:val="fr-FR"/>
        </w:rPr>
        <w:t>heure actuelle, un groupe permanent d</w:t>
      </w:r>
      <w:r w:rsidR="002127F6" w:rsidRPr="00FF65D6">
        <w:rPr>
          <w:lang w:val="fr-FR"/>
        </w:rPr>
        <w:t>’</w:t>
      </w:r>
      <w:r w:rsidRPr="00FF65D6">
        <w:rPr>
          <w:lang w:val="fr-FR"/>
        </w:rPr>
        <w:t>avocats spécialistes du système de justice pour mineurs existe au sein du Service d</w:t>
      </w:r>
      <w:r w:rsidR="002127F6" w:rsidRPr="00FF65D6">
        <w:rPr>
          <w:lang w:val="fr-FR"/>
        </w:rPr>
        <w:t>’</w:t>
      </w:r>
      <w:r w:rsidRPr="00FF65D6">
        <w:rPr>
          <w:lang w:val="fr-FR"/>
        </w:rPr>
        <w:t>aide juridictionnelle</w:t>
      </w:r>
      <w:r w:rsidR="005C1799" w:rsidRPr="005C1799">
        <w:rPr>
          <w:lang w:val="fr-FR"/>
        </w:rPr>
        <w:t>.</w:t>
      </w:r>
      <w:r w:rsidRPr="00FF65D6">
        <w:rPr>
          <w:lang w:val="fr-FR"/>
        </w:rPr>
        <w:t xml:space="preserve"> Les membres du groupe assurent la défense des personnes appartenant aux catégories ci-après</w:t>
      </w:r>
      <w:r w:rsidR="003B7618" w:rsidRPr="00FF65D6">
        <w:rPr>
          <w:lang w:val="fr-FR"/>
        </w:rPr>
        <w:t> :</w:t>
      </w:r>
    </w:p>
    <w:p w14:paraId="37A5F6A1" w14:textId="77777777" w:rsidR="005C5C6A" w:rsidRPr="00FF65D6" w:rsidRDefault="005C5C6A" w:rsidP="004C43D9">
      <w:pPr>
        <w:pStyle w:val="Bullet1G"/>
        <w:rPr>
          <w:lang w:val="fr-FR"/>
        </w:rPr>
      </w:pPr>
      <w:r w:rsidRPr="00FF65D6">
        <w:rPr>
          <w:lang w:val="fr-FR"/>
        </w:rPr>
        <w:t>Les enfants accusés, condamnés ou acquittés</w:t>
      </w:r>
      <w:r w:rsidR="003B7618" w:rsidRPr="00FF65D6">
        <w:rPr>
          <w:lang w:val="fr-FR"/>
        </w:rPr>
        <w:t> ;</w:t>
      </w:r>
    </w:p>
    <w:p w14:paraId="74F351F5" w14:textId="77777777" w:rsidR="005C5C6A" w:rsidRPr="00FF65D6" w:rsidRDefault="005C5C6A" w:rsidP="004C43D9">
      <w:pPr>
        <w:pStyle w:val="Bullet1G"/>
        <w:rPr>
          <w:lang w:val="fr-FR"/>
        </w:rPr>
      </w:pPr>
      <w:r w:rsidRPr="00FF65D6">
        <w:rPr>
          <w:lang w:val="fr-FR"/>
        </w:rPr>
        <w:t>Les accusés âgés de 18 à 21 ans</w:t>
      </w:r>
      <w:r w:rsidR="003B7618" w:rsidRPr="00FF65D6">
        <w:rPr>
          <w:lang w:val="fr-FR"/>
        </w:rPr>
        <w:t> ;</w:t>
      </w:r>
    </w:p>
    <w:p w14:paraId="359C0B2E" w14:textId="77777777" w:rsidR="005C5C6A" w:rsidRPr="00FF65D6" w:rsidRDefault="005C5C6A" w:rsidP="004C43D9">
      <w:pPr>
        <w:pStyle w:val="Bullet1G"/>
        <w:rPr>
          <w:lang w:val="fr-FR"/>
        </w:rPr>
      </w:pPr>
      <w:r w:rsidRPr="00FF65D6">
        <w:rPr>
          <w:lang w:val="fr-FR"/>
        </w:rPr>
        <w:t>Les enfants victimes</w:t>
      </w:r>
      <w:r w:rsidR="003B7618" w:rsidRPr="00FF65D6">
        <w:rPr>
          <w:lang w:val="fr-FR"/>
        </w:rPr>
        <w:t> ;</w:t>
      </w:r>
    </w:p>
    <w:p w14:paraId="3E65C232" w14:textId="77777777" w:rsidR="005C5C6A" w:rsidRPr="00FF65D6" w:rsidRDefault="005C5C6A" w:rsidP="004C43D9">
      <w:pPr>
        <w:pStyle w:val="Bullet1G"/>
        <w:rPr>
          <w:lang w:val="fr-FR"/>
        </w:rPr>
      </w:pPr>
      <w:r w:rsidRPr="00FF65D6">
        <w:rPr>
          <w:lang w:val="fr-FR"/>
        </w:rPr>
        <w:t>Les enfants témoins (si un témoin est enregistré dans la base de données unifiée des familles socialement vulnérables et satisfait aux critères d</w:t>
      </w:r>
      <w:r w:rsidR="002127F6" w:rsidRPr="00FF65D6">
        <w:rPr>
          <w:lang w:val="fr-FR"/>
        </w:rPr>
        <w:t>’</w:t>
      </w:r>
      <w:r w:rsidRPr="00FF65D6">
        <w:rPr>
          <w:lang w:val="fr-FR"/>
        </w:rPr>
        <w:t>insolvabilité)</w:t>
      </w:r>
      <w:r w:rsidR="005C1799" w:rsidRPr="005C1799">
        <w:rPr>
          <w:lang w:val="fr-FR"/>
        </w:rPr>
        <w:t>.</w:t>
      </w:r>
      <w:r w:rsidRPr="00FF65D6">
        <w:rPr>
          <w:lang w:val="fr-FR"/>
        </w:rPr>
        <w:t xml:space="preserve"> </w:t>
      </w:r>
    </w:p>
    <w:p w14:paraId="60D7D3E0" w14:textId="77777777" w:rsidR="005C5C6A" w:rsidRPr="00FF65D6" w:rsidRDefault="005C5C6A" w:rsidP="004C43D9">
      <w:pPr>
        <w:pStyle w:val="H23G"/>
        <w:rPr>
          <w:lang w:val="fr-FR"/>
        </w:rPr>
      </w:pPr>
      <w:bookmarkStart w:id="42" w:name="_Toc472961731"/>
      <w:r w:rsidRPr="00FF65D6">
        <w:rPr>
          <w:lang w:val="fr-FR"/>
        </w:rPr>
        <w:tab/>
      </w:r>
      <w:r w:rsidRPr="00FF65D6">
        <w:rPr>
          <w:lang w:val="fr-FR"/>
        </w:rPr>
        <w:tab/>
        <w:t>Espace adapté aux enfants au sein des tribunaux</w:t>
      </w:r>
      <w:bookmarkEnd w:id="42"/>
    </w:p>
    <w:p w14:paraId="52E81ECD" w14:textId="77777777" w:rsidR="005C5C6A" w:rsidRPr="00FF65D6" w:rsidRDefault="005C5C6A" w:rsidP="00F34341">
      <w:pPr>
        <w:pStyle w:val="SingleTxtG"/>
        <w:rPr>
          <w:lang w:val="fr-FR"/>
        </w:rPr>
      </w:pPr>
      <w:r w:rsidRPr="00FF65D6">
        <w:rPr>
          <w:lang w:val="fr-FR"/>
        </w:rPr>
        <w:t>171</w:t>
      </w:r>
      <w:r w:rsidR="005C1799" w:rsidRPr="005C1799">
        <w:rPr>
          <w:lang w:val="fr-FR"/>
        </w:rPr>
        <w:t>.</w:t>
      </w:r>
      <w:r w:rsidRPr="00FF65D6">
        <w:rPr>
          <w:lang w:val="fr-FR"/>
        </w:rPr>
        <w:tab/>
        <w:t>Depuis le 1</w:t>
      </w:r>
      <w:r w:rsidRPr="00FF65D6">
        <w:rPr>
          <w:vertAlign w:val="superscript"/>
          <w:lang w:val="fr-FR"/>
        </w:rPr>
        <w:t>er</w:t>
      </w:r>
      <w:r w:rsidRPr="00FF65D6">
        <w:rPr>
          <w:lang w:val="fr-FR"/>
        </w:rPr>
        <w:t xml:space="preserve"> juillet 2016, comme suite à l</w:t>
      </w:r>
      <w:r w:rsidR="002127F6" w:rsidRPr="00FF65D6">
        <w:rPr>
          <w:lang w:val="fr-FR"/>
        </w:rPr>
        <w:t>’</w:t>
      </w:r>
      <w:r w:rsidRPr="00FF65D6">
        <w:rPr>
          <w:lang w:val="fr-FR"/>
        </w:rPr>
        <w:t>entrée en vigueur du Code de la justice pour mineurs, des projets d</w:t>
      </w:r>
      <w:r w:rsidR="002127F6" w:rsidRPr="00FF65D6">
        <w:rPr>
          <w:lang w:val="fr-FR"/>
        </w:rPr>
        <w:t>’</w:t>
      </w:r>
      <w:r w:rsidRPr="00FF65D6">
        <w:rPr>
          <w:lang w:val="fr-FR"/>
        </w:rPr>
        <w:t>infrastructure modernes ont été mis en œuvre</w:t>
      </w:r>
      <w:r w:rsidR="005C1799" w:rsidRPr="005C1799">
        <w:rPr>
          <w:lang w:val="fr-FR"/>
        </w:rPr>
        <w:t>.</w:t>
      </w:r>
      <w:r w:rsidRPr="00FF65D6">
        <w:rPr>
          <w:lang w:val="fr-FR"/>
        </w:rPr>
        <w:t xml:space="preserve"> Trois cellules ont été aménagées au Tribunal municipal de Tbilissi pour le placement des défendeurs mineurs et des personnes accusées d</w:t>
      </w:r>
      <w:r w:rsidR="002127F6" w:rsidRPr="00FF65D6">
        <w:rPr>
          <w:lang w:val="fr-FR"/>
        </w:rPr>
        <w:t>’</w:t>
      </w:r>
      <w:r w:rsidRPr="00FF65D6">
        <w:rPr>
          <w:lang w:val="fr-FR"/>
        </w:rPr>
        <w:t>infractions administratives</w:t>
      </w:r>
      <w:r w:rsidR="005C1799" w:rsidRPr="005C1799">
        <w:rPr>
          <w:lang w:val="fr-FR"/>
        </w:rPr>
        <w:t>.</w:t>
      </w:r>
      <w:r w:rsidRPr="00FF65D6">
        <w:rPr>
          <w:lang w:val="fr-FR"/>
        </w:rPr>
        <w:t xml:space="preserve"> Les cellules sont conformes aux normes internationales et sont donc équipées de baignoires, de caméras de surveillance et de système</w:t>
      </w:r>
      <w:r w:rsidR="003801A3">
        <w:rPr>
          <w:lang w:val="fr-FR"/>
        </w:rPr>
        <w:t>s</w:t>
      </w:r>
      <w:r w:rsidRPr="00FF65D6">
        <w:rPr>
          <w:lang w:val="fr-FR"/>
        </w:rPr>
        <w:t xml:space="preserve"> de climatisation modernes</w:t>
      </w:r>
      <w:r w:rsidR="005C1799" w:rsidRPr="005C1799">
        <w:rPr>
          <w:lang w:val="fr-FR"/>
        </w:rPr>
        <w:t>.</w:t>
      </w:r>
    </w:p>
    <w:p w14:paraId="2DF283ED" w14:textId="77777777" w:rsidR="005C5C6A" w:rsidRPr="00FF65D6" w:rsidRDefault="005C5C6A" w:rsidP="00F34341">
      <w:pPr>
        <w:pStyle w:val="SingleTxtG"/>
        <w:rPr>
          <w:lang w:val="fr-FR"/>
        </w:rPr>
      </w:pPr>
      <w:r w:rsidRPr="00FF65D6">
        <w:rPr>
          <w:lang w:val="fr-FR"/>
        </w:rPr>
        <w:t>172</w:t>
      </w:r>
      <w:r w:rsidR="005C1799" w:rsidRPr="005C1799">
        <w:rPr>
          <w:lang w:val="fr-FR"/>
        </w:rPr>
        <w:t>.</w:t>
      </w:r>
      <w:r w:rsidRPr="00FF65D6">
        <w:rPr>
          <w:lang w:val="fr-FR"/>
        </w:rPr>
        <w:tab/>
        <w:t>Afin d</w:t>
      </w:r>
      <w:r w:rsidR="002127F6" w:rsidRPr="00FF65D6">
        <w:rPr>
          <w:lang w:val="fr-FR"/>
        </w:rPr>
        <w:t>’</w:t>
      </w:r>
      <w:r w:rsidRPr="00FF65D6">
        <w:rPr>
          <w:lang w:val="fr-FR"/>
        </w:rPr>
        <w:t>accroître l</w:t>
      </w:r>
      <w:r w:rsidR="002127F6" w:rsidRPr="00FF65D6">
        <w:rPr>
          <w:lang w:val="fr-FR"/>
        </w:rPr>
        <w:t>’</w:t>
      </w:r>
      <w:r w:rsidRPr="00FF65D6">
        <w:rPr>
          <w:lang w:val="fr-FR"/>
        </w:rPr>
        <w:t>accès au tribunal pour enfants dans les affaires civiles, les juges aux affaires familiales ont été placés dans un environnement adapté aux enfants, dans un bâtiment distinct du tribunal municipal de Tbilissi</w:t>
      </w:r>
      <w:r w:rsidR="005C1799" w:rsidRPr="005C1799">
        <w:rPr>
          <w:lang w:val="fr-FR"/>
        </w:rPr>
        <w:t>.</w:t>
      </w:r>
      <w:r w:rsidRPr="00FF65D6">
        <w:rPr>
          <w:lang w:val="fr-FR"/>
        </w:rPr>
        <w:t xml:space="preserve"> L</w:t>
      </w:r>
      <w:r w:rsidR="002127F6" w:rsidRPr="00FF65D6">
        <w:rPr>
          <w:lang w:val="fr-FR"/>
        </w:rPr>
        <w:t>’</w:t>
      </w:r>
      <w:r w:rsidRPr="00FF65D6">
        <w:rPr>
          <w:lang w:val="fr-FR"/>
        </w:rPr>
        <w:t>ancien bâtiment de l</w:t>
      </w:r>
      <w:r w:rsidR="002127F6" w:rsidRPr="00FF65D6">
        <w:rPr>
          <w:lang w:val="fr-FR"/>
        </w:rPr>
        <w:t>’</w:t>
      </w:r>
      <w:r w:rsidRPr="00FF65D6">
        <w:rPr>
          <w:lang w:val="fr-FR"/>
        </w:rPr>
        <w:t>École supérieure de justice a été aménagé et comprend trois salles d</w:t>
      </w:r>
      <w:r w:rsidR="002127F6" w:rsidRPr="00FF65D6">
        <w:rPr>
          <w:lang w:val="fr-FR"/>
        </w:rPr>
        <w:t>’</w:t>
      </w:r>
      <w:r w:rsidRPr="00FF65D6">
        <w:rPr>
          <w:lang w:val="fr-FR"/>
        </w:rPr>
        <w:t>audience, cinq bureaux pour les juges et une salle spéciale pour les mineurs</w:t>
      </w:r>
      <w:r w:rsidR="005C1799" w:rsidRPr="005C1799">
        <w:rPr>
          <w:lang w:val="fr-FR"/>
        </w:rPr>
        <w:t>.</w:t>
      </w:r>
    </w:p>
    <w:p w14:paraId="4BBBF2B0" w14:textId="77777777" w:rsidR="005C5C6A" w:rsidRPr="00FF65D6" w:rsidRDefault="005C5C6A" w:rsidP="00F34341">
      <w:pPr>
        <w:pStyle w:val="SingleTxtG"/>
        <w:rPr>
          <w:lang w:val="fr-FR"/>
        </w:rPr>
      </w:pPr>
      <w:r w:rsidRPr="00FF65D6">
        <w:rPr>
          <w:lang w:val="fr-FR"/>
        </w:rPr>
        <w:t>173</w:t>
      </w:r>
      <w:r w:rsidR="005C1799" w:rsidRPr="005C1799">
        <w:rPr>
          <w:lang w:val="fr-FR"/>
        </w:rPr>
        <w:t>.</w:t>
      </w:r>
      <w:r w:rsidRPr="00FF65D6">
        <w:rPr>
          <w:lang w:val="fr-FR"/>
        </w:rPr>
        <w:tab/>
        <w:t>Le juge aux affaires familiales qui a été saisi, un travailleur social et un psychologue conduisent des entretiens avec les enfants dans un environnement adapté aux enfants conformément aux normes internationales</w:t>
      </w:r>
      <w:r w:rsidR="005C1799" w:rsidRPr="005C1799">
        <w:rPr>
          <w:lang w:val="fr-FR"/>
        </w:rPr>
        <w:t>.</w:t>
      </w:r>
      <w:r w:rsidRPr="00FF65D6">
        <w:rPr>
          <w:lang w:val="fr-FR"/>
        </w:rPr>
        <w:t xml:space="preserve"> Il est prévu que les audiences se tiennent dans le bâtiment du tribunal spécialement conçu pour les enfants non seulement dans les affaires concernant un litige civil mais aussi pour les affaires pénales</w:t>
      </w:r>
      <w:r w:rsidR="005C1799" w:rsidRPr="005C1799">
        <w:rPr>
          <w:lang w:val="fr-FR"/>
        </w:rPr>
        <w:t>.</w:t>
      </w:r>
      <w:r w:rsidRPr="00FF65D6">
        <w:rPr>
          <w:lang w:val="fr-FR"/>
        </w:rPr>
        <w:t xml:space="preserve"> L</w:t>
      </w:r>
      <w:r w:rsidR="002127F6" w:rsidRPr="00FF65D6">
        <w:rPr>
          <w:lang w:val="fr-FR"/>
        </w:rPr>
        <w:t>’</w:t>
      </w:r>
      <w:r w:rsidRPr="00FF65D6">
        <w:rPr>
          <w:lang w:val="fr-FR"/>
        </w:rPr>
        <w:t>environnement de la Cour suprême est pleinement adapté aux normes internationales pour les pourvois en cassation formés dans des affaires concernant des mineurs</w:t>
      </w:r>
      <w:r w:rsidR="005C1799" w:rsidRPr="005C1799">
        <w:rPr>
          <w:lang w:val="fr-FR"/>
        </w:rPr>
        <w:t>.</w:t>
      </w:r>
      <w:r w:rsidRPr="00FF65D6">
        <w:rPr>
          <w:lang w:val="fr-FR"/>
        </w:rPr>
        <w:t xml:space="preserve"> </w:t>
      </w:r>
    </w:p>
    <w:p w14:paraId="045A30BE" w14:textId="77777777" w:rsidR="005C5C6A" w:rsidRPr="00FF65D6" w:rsidRDefault="005C5C6A" w:rsidP="00F34341">
      <w:pPr>
        <w:pStyle w:val="SingleTxtG"/>
        <w:rPr>
          <w:lang w:val="fr-FR"/>
        </w:rPr>
      </w:pPr>
      <w:r w:rsidRPr="00FF65D6">
        <w:rPr>
          <w:lang w:val="fr-FR"/>
        </w:rPr>
        <w:t>174</w:t>
      </w:r>
      <w:r w:rsidR="005C1799" w:rsidRPr="005C1799">
        <w:rPr>
          <w:lang w:val="fr-FR"/>
        </w:rPr>
        <w:t>.</w:t>
      </w:r>
      <w:r w:rsidRPr="00FF65D6">
        <w:rPr>
          <w:lang w:val="fr-FR"/>
        </w:rPr>
        <w:tab/>
        <w:t>Des juges spécialisés tiennent les audiences pénales, qui se déroulent avec des procureurs spécialisés, des défenseurs du Service d</w:t>
      </w:r>
      <w:r w:rsidR="002127F6" w:rsidRPr="00FF65D6">
        <w:rPr>
          <w:lang w:val="fr-FR"/>
        </w:rPr>
        <w:t>’</w:t>
      </w:r>
      <w:r w:rsidRPr="00FF65D6">
        <w:rPr>
          <w:lang w:val="fr-FR"/>
        </w:rPr>
        <w:t>aide juridictionnelle, des travailleurs sociaux et des psychologues</w:t>
      </w:r>
      <w:r w:rsidR="005C1799" w:rsidRPr="005C1799">
        <w:rPr>
          <w:lang w:val="fr-FR"/>
        </w:rPr>
        <w:t>.</w:t>
      </w:r>
      <w:r w:rsidRPr="00FF65D6">
        <w:rPr>
          <w:lang w:val="fr-FR"/>
        </w:rPr>
        <w:t xml:space="preserve"> Pour assurer le succès de la mise en œuvre du Code en 2015</w:t>
      </w:r>
      <w:r w:rsidR="00DE322D" w:rsidRPr="00FF65D6">
        <w:rPr>
          <w:lang w:val="fr-FR"/>
        </w:rPr>
        <w:t>-</w:t>
      </w:r>
      <w:r w:rsidRPr="00FF65D6">
        <w:rPr>
          <w:lang w:val="fr-FR"/>
        </w:rPr>
        <w:t>2016, environ 212 juges ont suivi une formation certifiée, conduite avec la participation d</w:t>
      </w:r>
      <w:r w:rsidR="002127F6" w:rsidRPr="00FF65D6">
        <w:rPr>
          <w:lang w:val="fr-FR"/>
        </w:rPr>
        <w:t>’</w:t>
      </w:r>
      <w:r w:rsidRPr="00FF65D6">
        <w:rPr>
          <w:lang w:val="fr-FR"/>
        </w:rPr>
        <w:t>experts internationaux et l</w:t>
      </w:r>
      <w:r w:rsidR="002127F6" w:rsidRPr="00FF65D6">
        <w:rPr>
          <w:lang w:val="fr-FR"/>
        </w:rPr>
        <w:t>’</w:t>
      </w:r>
      <w:r w:rsidRPr="00FF65D6">
        <w:rPr>
          <w:lang w:val="fr-FR"/>
        </w:rPr>
        <w:t>appui de l</w:t>
      </w:r>
      <w:r w:rsidR="002127F6" w:rsidRPr="00FF65D6">
        <w:rPr>
          <w:lang w:val="fr-FR"/>
        </w:rPr>
        <w:t>’</w:t>
      </w:r>
      <w:r w:rsidRPr="00FF65D6">
        <w:rPr>
          <w:lang w:val="fr-FR"/>
        </w:rPr>
        <w:t>UNICEF et de l</w:t>
      </w:r>
      <w:r w:rsidR="002127F6" w:rsidRPr="00FF65D6">
        <w:rPr>
          <w:lang w:val="fr-FR"/>
        </w:rPr>
        <w:t>’</w:t>
      </w:r>
      <w:r w:rsidRPr="00FF65D6">
        <w:rPr>
          <w:lang w:val="fr-FR"/>
        </w:rPr>
        <w:t>Union européenne dans le cadre du programme conjoint « Appui à la réforme du système de justice pénale en Géorgie »</w:t>
      </w:r>
      <w:r w:rsidR="005C1799" w:rsidRPr="005C1799">
        <w:rPr>
          <w:lang w:val="fr-FR"/>
        </w:rPr>
        <w:t>.</w:t>
      </w:r>
    </w:p>
    <w:p w14:paraId="130CA498" w14:textId="77777777" w:rsidR="005C5C6A" w:rsidRPr="00FF65D6" w:rsidRDefault="005C5C6A" w:rsidP="00F34341">
      <w:pPr>
        <w:pStyle w:val="SingleTxtG"/>
        <w:rPr>
          <w:lang w:val="fr-FR"/>
        </w:rPr>
      </w:pPr>
      <w:r w:rsidRPr="00FF65D6">
        <w:rPr>
          <w:lang w:val="fr-FR"/>
        </w:rPr>
        <w:t>175</w:t>
      </w:r>
      <w:r w:rsidR="005C1799" w:rsidRPr="005C1799">
        <w:rPr>
          <w:lang w:val="fr-FR"/>
        </w:rPr>
        <w:t>.</w:t>
      </w:r>
      <w:r w:rsidRPr="00FF65D6">
        <w:rPr>
          <w:lang w:val="fr-FR"/>
        </w:rPr>
        <w:tab/>
        <w:t>Le nombre total de détenus mineurs en 2016, comparé à l</w:t>
      </w:r>
      <w:r w:rsidR="002127F6" w:rsidRPr="00FF65D6">
        <w:rPr>
          <w:lang w:val="fr-FR"/>
        </w:rPr>
        <w:t>’</w:t>
      </w:r>
      <w:r w:rsidRPr="00FF65D6">
        <w:rPr>
          <w:lang w:val="fr-FR"/>
        </w:rPr>
        <w:t>année 2011, où il représentait 4</w:t>
      </w:r>
      <w:r w:rsidR="003B7618" w:rsidRPr="00FF65D6">
        <w:rPr>
          <w:lang w:val="fr-FR"/>
        </w:rPr>
        <w:t> %</w:t>
      </w:r>
      <w:r w:rsidRPr="00FF65D6">
        <w:rPr>
          <w:lang w:val="fr-FR"/>
        </w:rPr>
        <w:t xml:space="preserve"> du total des détenus, a diminué de 0,9</w:t>
      </w:r>
      <w:r w:rsidR="003B7618" w:rsidRPr="00FF65D6">
        <w:rPr>
          <w:lang w:val="fr-FR"/>
        </w:rPr>
        <w:t> %</w:t>
      </w:r>
      <w:r w:rsidRPr="00FF65D6">
        <w:rPr>
          <w:lang w:val="fr-FR"/>
        </w:rPr>
        <w:t xml:space="preserve"> en 2016 (de 2</w:t>
      </w:r>
      <w:r w:rsidR="003B7618" w:rsidRPr="00FF65D6">
        <w:rPr>
          <w:lang w:val="fr-FR"/>
        </w:rPr>
        <w:t> %</w:t>
      </w:r>
      <w:r w:rsidRPr="00FF65D6">
        <w:rPr>
          <w:lang w:val="fr-FR"/>
        </w:rPr>
        <w:t xml:space="preserve"> en 2015)</w:t>
      </w:r>
      <w:r w:rsidR="005C1799" w:rsidRPr="005C1799">
        <w:rPr>
          <w:lang w:val="fr-FR"/>
        </w:rPr>
        <w:t>.</w:t>
      </w:r>
      <w:r w:rsidRPr="00FF65D6">
        <w:rPr>
          <w:lang w:val="fr-FR"/>
        </w:rPr>
        <w:t xml:space="preserve"> Les types de peine prononcés par les tribunaux pour mineurs ont également changé</w:t>
      </w:r>
      <w:r w:rsidR="003B7618" w:rsidRPr="00FF65D6">
        <w:rPr>
          <w:lang w:val="fr-FR"/>
        </w:rPr>
        <w:t> :</w:t>
      </w:r>
      <w:r w:rsidRPr="00FF65D6">
        <w:rPr>
          <w:lang w:val="fr-FR"/>
        </w:rPr>
        <w:t xml:space="preserve"> alors qu</w:t>
      </w:r>
      <w:r w:rsidR="002127F6" w:rsidRPr="00FF65D6">
        <w:rPr>
          <w:lang w:val="fr-FR"/>
        </w:rPr>
        <w:t>’</w:t>
      </w:r>
      <w:r w:rsidRPr="00FF65D6">
        <w:rPr>
          <w:lang w:val="fr-FR"/>
        </w:rPr>
        <w:t>en 2015 une peine d</w:t>
      </w:r>
      <w:r w:rsidR="002127F6" w:rsidRPr="00FF65D6">
        <w:rPr>
          <w:lang w:val="fr-FR"/>
        </w:rPr>
        <w:t>’</w:t>
      </w:r>
      <w:r w:rsidRPr="00FF65D6">
        <w:rPr>
          <w:lang w:val="fr-FR"/>
        </w:rPr>
        <w:t>emprisonnement avait été prononcée pour quelque 87 jeunes, en 2016, seulement 43 mineurs accusés d</w:t>
      </w:r>
      <w:r w:rsidR="002127F6" w:rsidRPr="00FF65D6">
        <w:rPr>
          <w:lang w:val="fr-FR"/>
        </w:rPr>
        <w:t>’</w:t>
      </w:r>
      <w:r w:rsidRPr="00FF65D6">
        <w:rPr>
          <w:lang w:val="fr-FR"/>
        </w:rPr>
        <w:t>infractions graves ont été condamnés à une peine d</w:t>
      </w:r>
      <w:r w:rsidR="002127F6" w:rsidRPr="00FF65D6">
        <w:rPr>
          <w:lang w:val="fr-FR"/>
        </w:rPr>
        <w:t>’</w:t>
      </w:r>
      <w:r w:rsidRPr="00FF65D6">
        <w:rPr>
          <w:lang w:val="fr-FR"/>
        </w:rPr>
        <w:t>emprisonnement</w:t>
      </w:r>
      <w:r w:rsidR="005C1799" w:rsidRPr="005C1799">
        <w:rPr>
          <w:lang w:val="fr-FR"/>
        </w:rPr>
        <w:t>.</w:t>
      </w:r>
      <w:r w:rsidRPr="00FF65D6">
        <w:rPr>
          <w:lang w:val="fr-FR"/>
        </w:rPr>
        <w:t xml:space="preserve"> Il convient de noter que la peine d</w:t>
      </w:r>
      <w:r w:rsidR="002127F6" w:rsidRPr="00FF65D6">
        <w:rPr>
          <w:lang w:val="fr-FR"/>
        </w:rPr>
        <w:t>’</w:t>
      </w:r>
      <w:r w:rsidRPr="00FF65D6">
        <w:rPr>
          <w:lang w:val="fr-FR"/>
        </w:rPr>
        <w:t xml:space="preserve">emprisonnement ne doit pas être supérieure à </w:t>
      </w:r>
      <w:r w:rsidR="00DA3EAB" w:rsidRPr="00FF65D6">
        <w:rPr>
          <w:lang w:val="fr-FR"/>
        </w:rPr>
        <w:t>dix</w:t>
      </w:r>
      <w:r w:rsidRPr="00FF65D6">
        <w:rPr>
          <w:lang w:val="fr-FR"/>
        </w:rPr>
        <w:t xml:space="preserve"> ans pour les mineurs du groupe d</w:t>
      </w:r>
      <w:r w:rsidR="002127F6" w:rsidRPr="00FF65D6">
        <w:rPr>
          <w:lang w:val="fr-FR"/>
        </w:rPr>
        <w:t>’</w:t>
      </w:r>
      <w:r w:rsidRPr="00FF65D6">
        <w:rPr>
          <w:lang w:val="fr-FR"/>
        </w:rPr>
        <w:t>âge 14</w:t>
      </w:r>
      <w:r w:rsidR="00DA3EAB" w:rsidRPr="00FF65D6">
        <w:rPr>
          <w:lang w:val="fr-FR"/>
        </w:rPr>
        <w:t>-</w:t>
      </w:r>
      <w:r w:rsidRPr="00FF65D6">
        <w:rPr>
          <w:lang w:val="fr-FR"/>
        </w:rPr>
        <w:t xml:space="preserve">16 ans et de </w:t>
      </w:r>
      <w:r w:rsidR="00DA3EAB" w:rsidRPr="00FF65D6">
        <w:rPr>
          <w:lang w:val="fr-FR"/>
        </w:rPr>
        <w:t>douze</w:t>
      </w:r>
      <w:r w:rsidRPr="00FF65D6">
        <w:rPr>
          <w:lang w:val="fr-FR"/>
        </w:rPr>
        <w:t xml:space="preserve"> ans pour les mineurs du groupe d</w:t>
      </w:r>
      <w:r w:rsidR="002127F6" w:rsidRPr="00FF65D6">
        <w:rPr>
          <w:lang w:val="fr-FR"/>
        </w:rPr>
        <w:t>’</w:t>
      </w:r>
      <w:r w:rsidRPr="00FF65D6">
        <w:rPr>
          <w:lang w:val="fr-FR"/>
        </w:rPr>
        <w:t>âge</w:t>
      </w:r>
      <w:r w:rsidR="002127F6" w:rsidRPr="00FF65D6">
        <w:rPr>
          <w:lang w:val="fr-FR"/>
        </w:rPr>
        <w:t xml:space="preserve"> </w:t>
      </w:r>
      <w:r w:rsidRPr="00FF65D6">
        <w:rPr>
          <w:lang w:val="fr-FR"/>
        </w:rPr>
        <w:t>16</w:t>
      </w:r>
      <w:r w:rsidR="00DA3EAB" w:rsidRPr="00FF65D6">
        <w:rPr>
          <w:lang w:val="fr-FR"/>
        </w:rPr>
        <w:t>-</w:t>
      </w:r>
      <w:r w:rsidRPr="00FF65D6">
        <w:rPr>
          <w:lang w:val="fr-FR"/>
        </w:rPr>
        <w:t>18 ans</w:t>
      </w:r>
      <w:r w:rsidRPr="00FF65D6">
        <w:rPr>
          <w:rStyle w:val="Appelnotedebasdep"/>
        </w:rPr>
        <w:footnoteReference w:id="10"/>
      </w:r>
      <w:r w:rsidR="005C1799" w:rsidRPr="005C1799">
        <w:rPr>
          <w:lang w:val="fr-FR"/>
        </w:rPr>
        <w:t>.</w:t>
      </w:r>
      <w:r w:rsidRPr="00FF65D6">
        <w:rPr>
          <w:lang w:val="fr-FR"/>
        </w:rPr>
        <w:t xml:space="preserve"> Une attention particulière est accordée</w:t>
      </w:r>
      <w:r w:rsidR="002127F6" w:rsidRPr="00FF65D6">
        <w:rPr>
          <w:lang w:val="fr-FR"/>
        </w:rPr>
        <w:t xml:space="preserve"> </w:t>
      </w:r>
      <w:r w:rsidRPr="00FF65D6">
        <w:rPr>
          <w:lang w:val="fr-FR"/>
        </w:rPr>
        <w:t>au principe de</w:t>
      </w:r>
      <w:r w:rsidR="002127F6" w:rsidRPr="00FF65D6">
        <w:rPr>
          <w:lang w:val="fr-FR"/>
        </w:rPr>
        <w:t xml:space="preserve"> </w:t>
      </w:r>
      <w:r w:rsidRPr="00FF65D6">
        <w:rPr>
          <w:lang w:val="fr-FR"/>
        </w:rPr>
        <w:t>la déjudiciarisation en faveur des mineurs</w:t>
      </w:r>
      <w:r w:rsidR="003B7618" w:rsidRPr="00FF65D6">
        <w:rPr>
          <w:lang w:val="fr-FR"/>
        </w:rPr>
        <w:t> :</w:t>
      </w:r>
      <w:r w:rsidRPr="00FF65D6">
        <w:rPr>
          <w:lang w:val="fr-FR"/>
        </w:rPr>
        <w:t xml:space="preserve"> en 2016, environ 105 affaires impliquant des mineurs du</w:t>
      </w:r>
      <w:r w:rsidR="002127F6" w:rsidRPr="00FF65D6">
        <w:rPr>
          <w:lang w:val="fr-FR"/>
        </w:rPr>
        <w:t xml:space="preserve"> </w:t>
      </w:r>
      <w:r w:rsidRPr="00FF65D6">
        <w:rPr>
          <w:lang w:val="fr-FR"/>
        </w:rPr>
        <w:t>groupe d</w:t>
      </w:r>
      <w:r w:rsidR="002127F6" w:rsidRPr="00FF65D6">
        <w:rPr>
          <w:lang w:val="fr-FR"/>
        </w:rPr>
        <w:t>’</w:t>
      </w:r>
      <w:r w:rsidRPr="00FF65D6">
        <w:rPr>
          <w:lang w:val="fr-FR"/>
        </w:rPr>
        <w:t>âge</w:t>
      </w:r>
      <w:r w:rsidR="002127F6" w:rsidRPr="00FF65D6">
        <w:rPr>
          <w:lang w:val="fr-FR"/>
        </w:rPr>
        <w:t xml:space="preserve"> </w:t>
      </w:r>
      <w:r w:rsidRPr="00FF65D6">
        <w:rPr>
          <w:lang w:val="fr-FR"/>
        </w:rPr>
        <w:t>14</w:t>
      </w:r>
      <w:r w:rsidR="00DA3EAB" w:rsidRPr="00FF65D6">
        <w:rPr>
          <w:lang w:val="fr-FR"/>
        </w:rPr>
        <w:t>-</w:t>
      </w:r>
      <w:r w:rsidRPr="00FF65D6">
        <w:rPr>
          <w:lang w:val="fr-FR"/>
        </w:rPr>
        <w:t>21 ans ont été renvoyées au Bureau du Procureur aux fins de déjudiciarisation (quelque 32 mineurs étaient dans le groupe d</w:t>
      </w:r>
      <w:r w:rsidR="002127F6" w:rsidRPr="00FF65D6">
        <w:rPr>
          <w:lang w:val="fr-FR"/>
        </w:rPr>
        <w:t>’</w:t>
      </w:r>
      <w:r w:rsidRPr="00FF65D6">
        <w:rPr>
          <w:lang w:val="fr-FR"/>
        </w:rPr>
        <w:t>âge des 14</w:t>
      </w:r>
      <w:r w:rsidR="00DA3EAB" w:rsidRPr="00FF65D6">
        <w:rPr>
          <w:lang w:val="fr-FR"/>
        </w:rPr>
        <w:t>-</w:t>
      </w:r>
      <w:r w:rsidRPr="00FF65D6">
        <w:rPr>
          <w:lang w:val="fr-FR"/>
        </w:rPr>
        <w:t>17 ans)</w:t>
      </w:r>
      <w:r w:rsidR="005C1799" w:rsidRPr="005C1799">
        <w:rPr>
          <w:lang w:val="fr-FR"/>
        </w:rPr>
        <w:t>.</w:t>
      </w:r>
      <w:r w:rsidRPr="00FF65D6">
        <w:rPr>
          <w:lang w:val="fr-FR"/>
        </w:rPr>
        <w:t xml:space="preserve"> Cette tendance montre clairement que dans l</w:t>
      </w:r>
      <w:r w:rsidR="002127F6" w:rsidRPr="00FF65D6">
        <w:rPr>
          <w:lang w:val="fr-FR"/>
        </w:rPr>
        <w:t>’</w:t>
      </w:r>
      <w:r w:rsidRPr="00FF65D6">
        <w:rPr>
          <w:lang w:val="fr-FR"/>
        </w:rPr>
        <w:t>intérêt supérieur de l</w:t>
      </w:r>
      <w:r w:rsidR="002127F6" w:rsidRPr="00FF65D6">
        <w:rPr>
          <w:lang w:val="fr-FR"/>
        </w:rPr>
        <w:t>’</w:t>
      </w:r>
      <w:r w:rsidRPr="00FF65D6">
        <w:rPr>
          <w:lang w:val="fr-FR"/>
        </w:rPr>
        <w:t>enfant, la priorité est accordée aux programmes de réadaptation des mineurs</w:t>
      </w:r>
      <w:r w:rsidRPr="00FF65D6">
        <w:rPr>
          <w:rStyle w:val="Appelnotedebasdep"/>
        </w:rPr>
        <w:footnoteReference w:id="11"/>
      </w:r>
      <w:r w:rsidR="005C1799" w:rsidRPr="005C1799">
        <w:rPr>
          <w:lang w:val="fr-FR"/>
        </w:rPr>
        <w:t>.</w:t>
      </w:r>
    </w:p>
    <w:p w14:paraId="67131E34" w14:textId="77777777" w:rsidR="005C5C6A" w:rsidRPr="00FF65D6" w:rsidRDefault="005C5C6A" w:rsidP="00F34341">
      <w:pPr>
        <w:pStyle w:val="SingleTxtG"/>
        <w:rPr>
          <w:lang w:val="fr-FR"/>
        </w:rPr>
      </w:pPr>
      <w:r w:rsidRPr="00FF65D6">
        <w:rPr>
          <w:lang w:val="fr-FR"/>
        </w:rPr>
        <w:t>176</w:t>
      </w:r>
      <w:r w:rsidR="005C1799" w:rsidRPr="005C1799">
        <w:rPr>
          <w:lang w:val="fr-FR"/>
        </w:rPr>
        <w:t>.</w:t>
      </w:r>
      <w:r w:rsidRPr="00FF65D6">
        <w:rPr>
          <w:lang w:val="fr-FR"/>
        </w:rPr>
        <w:tab/>
        <w:t>L</w:t>
      </w:r>
      <w:r w:rsidR="002127F6" w:rsidRPr="00FF65D6">
        <w:rPr>
          <w:lang w:val="fr-FR"/>
        </w:rPr>
        <w:t>’</w:t>
      </w:r>
      <w:r w:rsidRPr="00FF65D6">
        <w:rPr>
          <w:lang w:val="fr-FR"/>
        </w:rPr>
        <w:t>application du Code, dans la pratique, est soumise à l</w:t>
      </w:r>
      <w:r w:rsidR="002127F6" w:rsidRPr="00FF65D6">
        <w:rPr>
          <w:lang w:val="fr-FR"/>
        </w:rPr>
        <w:t>’</w:t>
      </w:r>
      <w:r w:rsidRPr="00FF65D6">
        <w:rPr>
          <w:lang w:val="fr-FR"/>
        </w:rPr>
        <w:t>influence de nombreuses réunions multidisciplinaires et suit la jurisprudence des tribunaux</w:t>
      </w:r>
      <w:r w:rsidR="005C1799" w:rsidRPr="005C1799">
        <w:rPr>
          <w:lang w:val="fr-FR"/>
        </w:rPr>
        <w:t>.</w:t>
      </w:r>
      <w:r w:rsidRPr="00FF65D6">
        <w:rPr>
          <w:lang w:val="fr-FR"/>
        </w:rPr>
        <w:t xml:space="preserve"> Il ressort que du fait de la généralisation de la pratique des tribunaux, des réunions se tiennent sous la forme d</w:t>
      </w:r>
      <w:r w:rsidR="002127F6" w:rsidRPr="00FF65D6">
        <w:rPr>
          <w:lang w:val="fr-FR"/>
        </w:rPr>
        <w:t>’</w:t>
      </w:r>
      <w:r w:rsidRPr="00FF65D6">
        <w:rPr>
          <w:lang w:val="fr-FR"/>
        </w:rPr>
        <w:t>un conseil scientifique sur les modifications législatives à apporter</w:t>
      </w:r>
      <w:r w:rsidR="005C1799" w:rsidRPr="005C1799">
        <w:rPr>
          <w:lang w:val="fr-FR"/>
        </w:rPr>
        <w:t>.</w:t>
      </w:r>
      <w:r w:rsidRPr="00FF65D6">
        <w:rPr>
          <w:lang w:val="fr-FR"/>
        </w:rPr>
        <w:t xml:space="preserve"> Une coopération étroite du Parlement et du Ministère de la justice est prévue sur les modifications législatives nécessaires</w:t>
      </w:r>
      <w:r w:rsidR="005C1799" w:rsidRPr="005C1799">
        <w:rPr>
          <w:lang w:val="fr-FR"/>
        </w:rPr>
        <w:t>.</w:t>
      </w:r>
      <w:r w:rsidRPr="00FF65D6">
        <w:rPr>
          <w:lang w:val="fr-FR"/>
        </w:rPr>
        <w:t xml:space="preserve"> Les réunions multidisciplinaires reçoivent l</w:t>
      </w:r>
      <w:r w:rsidR="002127F6" w:rsidRPr="00FF65D6">
        <w:rPr>
          <w:lang w:val="fr-FR"/>
        </w:rPr>
        <w:t>’</w:t>
      </w:r>
      <w:r w:rsidRPr="00FF65D6">
        <w:rPr>
          <w:lang w:val="fr-FR"/>
        </w:rPr>
        <w:t>appui de l</w:t>
      </w:r>
      <w:r w:rsidR="002127F6" w:rsidRPr="00FF65D6">
        <w:rPr>
          <w:lang w:val="fr-FR"/>
        </w:rPr>
        <w:t>’</w:t>
      </w:r>
      <w:r w:rsidRPr="00FF65D6">
        <w:rPr>
          <w:lang w:val="fr-FR"/>
        </w:rPr>
        <w:t>UNICEF</w:t>
      </w:r>
      <w:r w:rsidR="005C1799" w:rsidRPr="005C1799">
        <w:rPr>
          <w:lang w:val="fr-FR"/>
        </w:rPr>
        <w:t>.</w:t>
      </w:r>
    </w:p>
    <w:p w14:paraId="637A9990" w14:textId="77777777" w:rsidR="005C5C6A" w:rsidRPr="00FF65D6" w:rsidRDefault="005C5C6A" w:rsidP="00DA3EAB">
      <w:pPr>
        <w:pStyle w:val="H23G"/>
        <w:rPr>
          <w:lang w:val="fr-FR"/>
        </w:rPr>
      </w:pPr>
      <w:bookmarkStart w:id="43" w:name="_Toc472961732"/>
      <w:r w:rsidRPr="00FF65D6">
        <w:rPr>
          <w:lang w:val="fr-FR"/>
        </w:rPr>
        <w:tab/>
      </w:r>
      <w:r w:rsidRPr="00FF65D6">
        <w:rPr>
          <w:lang w:val="fr-FR"/>
        </w:rPr>
        <w:tab/>
        <w:t>Nouveaux formulaires utilisés par les tribunaux</w:t>
      </w:r>
      <w:bookmarkEnd w:id="43"/>
    </w:p>
    <w:p w14:paraId="71621FFF" w14:textId="77777777" w:rsidR="005C5C6A" w:rsidRPr="00FF65D6" w:rsidRDefault="005C5C6A" w:rsidP="00F34341">
      <w:pPr>
        <w:pStyle w:val="SingleTxtG"/>
        <w:rPr>
          <w:lang w:val="fr-FR"/>
        </w:rPr>
      </w:pPr>
      <w:r w:rsidRPr="00FF65D6">
        <w:rPr>
          <w:lang w:val="fr-FR"/>
        </w:rPr>
        <w:t>177</w:t>
      </w:r>
      <w:r w:rsidR="005C1799" w:rsidRPr="005C1799">
        <w:rPr>
          <w:lang w:val="fr-FR"/>
        </w:rPr>
        <w:t>.</w:t>
      </w:r>
      <w:r w:rsidRPr="00FF65D6">
        <w:rPr>
          <w:lang w:val="fr-FR"/>
        </w:rPr>
        <w:tab/>
        <w:t>À la suite de la promulgation du Code de la justice pour mineurs, de nouveaux formulaires de communication de l</w:t>
      </w:r>
      <w:r w:rsidR="002127F6" w:rsidRPr="00FF65D6">
        <w:rPr>
          <w:lang w:val="fr-FR"/>
        </w:rPr>
        <w:t>’</w:t>
      </w:r>
      <w:r w:rsidRPr="00FF65D6">
        <w:rPr>
          <w:lang w:val="fr-FR"/>
        </w:rPr>
        <w:t>information ont été introduits dans les tribunaux géorgiens parallèlement aux formulaires statistiques sur les mineurs condamnés précédemment utilisés</w:t>
      </w:r>
      <w:r w:rsidR="005C1799" w:rsidRPr="005C1799">
        <w:rPr>
          <w:lang w:val="fr-FR"/>
        </w:rPr>
        <w:t>.</w:t>
      </w:r>
      <w:r w:rsidRPr="00FF65D6">
        <w:rPr>
          <w:lang w:val="fr-FR"/>
        </w:rPr>
        <w:t xml:space="preserve"> Ces formulaires ont commencé à être utilisés en janvier 2017</w:t>
      </w:r>
      <w:r w:rsidR="005C1799" w:rsidRPr="005C1799">
        <w:rPr>
          <w:lang w:val="fr-FR"/>
        </w:rPr>
        <w:t>.</w:t>
      </w:r>
      <w:r w:rsidRPr="00FF65D6">
        <w:rPr>
          <w:lang w:val="fr-FR"/>
        </w:rPr>
        <w:t xml:space="preserve"> </w:t>
      </w:r>
    </w:p>
    <w:p w14:paraId="5C726F0C" w14:textId="77777777" w:rsidR="005C5C6A" w:rsidRPr="00FF65D6" w:rsidRDefault="005C5C6A" w:rsidP="00F34341">
      <w:pPr>
        <w:pStyle w:val="SingleTxtG"/>
        <w:rPr>
          <w:lang w:val="fr-FR"/>
        </w:rPr>
      </w:pPr>
      <w:r w:rsidRPr="00FF65D6">
        <w:rPr>
          <w:lang w:val="fr-FR"/>
        </w:rPr>
        <w:t>178</w:t>
      </w:r>
      <w:r w:rsidR="005C1799" w:rsidRPr="005C1799">
        <w:rPr>
          <w:lang w:val="fr-FR"/>
        </w:rPr>
        <w:t>.</w:t>
      </w:r>
      <w:r w:rsidRPr="00FF65D6">
        <w:rPr>
          <w:lang w:val="fr-FR"/>
        </w:rPr>
        <w:tab/>
        <w:t>En particulier, dans les tribunaux régionaux et municipaux</w:t>
      </w:r>
      <w:r w:rsidR="003B7618" w:rsidRPr="00FF65D6">
        <w:rPr>
          <w:lang w:val="fr-FR"/>
        </w:rPr>
        <w:t> :</w:t>
      </w:r>
    </w:p>
    <w:p w14:paraId="2D1B117A" w14:textId="77777777" w:rsidR="005C5C6A" w:rsidRPr="00FF65D6" w:rsidRDefault="005C5C6A" w:rsidP="00A140E6">
      <w:pPr>
        <w:pStyle w:val="Bullet1G"/>
        <w:rPr>
          <w:lang w:val="fr-FR"/>
        </w:rPr>
      </w:pPr>
      <w:r w:rsidRPr="00FF65D6">
        <w:rPr>
          <w:lang w:val="fr-FR"/>
        </w:rPr>
        <w:t xml:space="preserve">Formulaire N 7-b </w:t>
      </w:r>
      <w:r w:rsidR="00A140E6" w:rsidRPr="00FF65D6">
        <w:rPr>
          <w:lang w:val="fr-FR"/>
        </w:rPr>
        <w:t>− </w:t>
      </w:r>
      <w:r w:rsidR="003801A3">
        <w:rPr>
          <w:lang w:val="fr-FR"/>
        </w:rPr>
        <w:t>d</w:t>
      </w:r>
      <w:r w:rsidRPr="00FF65D6">
        <w:rPr>
          <w:lang w:val="fr-FR"/>
        </w:rPr>
        <w:t>onnées sur l</w:t>
      </w:r>
      <w:r w:rsidR="002127F6" w:rsidRPr="00FF65D6">
        <w:rPr>
          <w:lang w:val="fr-FR"/>
        </w:rPr>
        <w:t>’</w:t>
      </w:r>
      <w:r w:rsidRPr="00FF65D6">
        <w:rPr>
          <w:lang w:val="fr-FR"/>
        </w:rPr>
        <w:t>application de mesures préventives ciblant les mineurs, sur lequel sont consignés les renseignements sur l</w:t>
      </w:r>
      <w:r w:rsidR="002127F6" w:rsidRPr="00FF65D6">
        <w:rPr>
          <w:lang w:val="fr-FR"/>
        </w:rPr>
        <w:t>’</w:t>
      </w:r>
      <w:r w:rsidRPr="00FF65D6">
        <w:rPr>
          <w:lang w:val="fr-FR"/>
        </w:rPr>
        <w:t>âge et le sexe des mineurs, les types de mesure coercitive demandés et appliqués en fonction notamment des principales infractions</w:t>
      </w:r>
      <w:r w:rsidR="003B7618" w:rsidRPr="00FF65D6">
        <w:rPr>
          <w:lang w:val="fr-FR"/>
        </w:rPr>
        <w:t> ;</w:t>
      </w:r>
    </w:p>
    <w:p w14:paraId="027A414D" w14:textId="77777777" w:rsidR="005C5C6A" w:rsidRPr="00FF65D6" w:rsidRDefault="005C5C6A" w:rsidP="00A140E6">
      <w:pPr>
        <w:pStyle w:val="Bullet1G"/>
        <w:rPr>
          <w:lang w:val="fr-FR"/>
        </w:rPr>
      </w:pPr>
      <w:r w:rsidRPr="00FF65D6">
        <w:rPr>
          <w:lang w:val="fr-FR"/>
        </w:rPr>
        <w:t xml:space="preserve">Formulaire N 1-b </w:t>
      </w:r>
      <w:r w:rsidR="00A140E6" w:rsidRPr="00FF65D6">
        <w:rPr>
          <w:lang w:val="fr-FR"/>
        </w:rPr>
        <w:t>− </w:t>
      </w:r>
      <w:r w:rsidRPr="00FF65D6">
        <w:rPr>
          <w:lang w:val="fr-FR"/>
        </w:rPr>
        <w:t>Données relatives aux mineurs accusés, condamnés, aux témoins et aux victimes mineurs dans les affaires pénales, notamment des informations sur l</w:t>
      </w:r>
      <w:r w:rsidR="002127F6" w:rsidRPr="00FF65D6">
        <w:rPr>
          <w:lang w:val="fr-FR"/>
        </w:rPr>
        <w:t>’</w:t>
      </w:r>
      <w:r w:rsidRPr="00FF65D6">
        <w:rPr>
          <w:lang w:val="fr-FR"/>
        </w:rPr>
        <w:t>âge et le sexe</w:t>
      </w:r>
      <w:r w:rsidR="003B7618" w:rsidRPr="00FF65D6">
        <w:rPr>
          <w:lang w:val="fr-FR"/>
        </w:rPr>
        <w:t> ;</w:t>
      </w:r>
    </w:p>
    <w:p w14:paraId="2727E17E" w14:textId="77777777" w:rsidR="005C5C6A" w:rsidRPr="00FF65D6" w:rsidRDefault="005C5C6A" w:rsidP="00A140E6">
      <w:pPr>
        <w:pStyle w:val="Bullet1G"/>
        <w:rPr>
          <w:lang w:val="fr-FR"/>
        </w:rPr>
      </w:pPr>
      <w:r w:rsidRPr="00FF65D6">
        <w:rPr>
          <w:lang w:val="fr-FR"/>
        </w:rPr>
        <w:t>Formulaire N</w:t>
      </w:r>
      <w:r w:rsidR="00797A16" w:rsidRPr="00FF65D6">
        <w:rPr>
          <w:lang w:val="fr-FR"/>
        </w:rPr>
        <w:t xml:space="preserve"> </w:t>
      </w:r>
      <w:r w:rsidRPr="00FF65D6">
        <w:rPr>
          <w:lang w:val="fr-FR"/>
        </w:rPr>
        <w:t xml:space="preserve">11-a </w:t>
      </w:r>
      <w:r w:rsidR="00A140E6" w:rsidRPr="00FF65D6">
        <w:rPr>
          <w:lang w:val="fr-FR"/>
        </w:rPr>
        <w:t>− </w:t>
      </w:r>
      <w:r w:rsidRPr="00FF65D6">
        <w:rPr>
          <w:lang w:val="fr-FR"/>
        </w:rPr>
        <w:t>données sur le délinquant juvénile ayant commis une infraction administrative, sur le témoin, sur la victime</w:t>
      </w:r>
      <w:r w:rsidR="00A140E6" w:rsidRPr="00FF65D6">
        <w:rPr>
          <w:lang w:val="fr-FR"/>
        </w:rPr>
        <w:t xml:space="preserve"> − </w:t>
      </w:r>
      <w:r w:rsidRPr="00FF65D6">
        <w:rPr>
          <w:lang w:val="fr-FR"/>
        </w:rPr>
        <w:t>des informations sont données sur l</w:t>
      </w:r>
      <w:r w:rsidR="002127F6" w:rsidRPr="00FF65D6">
        <w:rPr>
          <w:lang w:val="fr-FR"/>
        </w:rPr>
        <w:t>’</w:t>
      </w:r>
      <w:r w:rsidRPr="00FF65D6">
        <w:rPr>
          <w:lang w:val="fr-FR"/>
        </w:rPr>
        <w:t>âge et le sexe, ainsi que sur les sanctions administratives infligées au délinquant mineur conformément aux dispositions du Code des infractions administratives</w:t>
      </w:r>
      <w:r w:rsidR="003B7618" w:rsidRPr="00FF65D6">
        <w:rPr>
          <w:lang w:val="fr-FR"/>
        </w:rPr>
        <w:t> ;</w:t>
      </w:r>
    </w:p>
    <w:p w14:paraId="4002734C" w14:textId="77777777" w:rsidR="005C5C6A" w:rsidRPr="00FF65D6" w:rsidRDefault="005C5C6A" w:rsidP="00A140E6">
      <w:pPr>
        <w:pStyle w:val="Bullet1G"/>
        <w:rPr>
          <w:lang w:val="fr-FR"/>
        </w:rPr>
      </w:pPr>
      <w:r w:rsidRPr="00FF65D6">
        <w:rPr>
          <w:lang w:val="fr-FR"/>
        </w:rPr>
        <w:t xml:space="preserve">Formulaire N 8-d </w:t>
      </w:r>
      <w:r w:rsidR="00A140E6" w:rsidRPr="00FF65D6">
        <w:rPr>
          <w:lang w:val="fr-FR"/>
        </w:rPr>
        <w:t>− </w:t>
      </w:r>
      <w:r w:rsidRPr="00FF65D6">
        <w:rPr>
          <w:lang w:val="fr-FR"/>
        </w:rPr>
        <w:t>données sur l</w:t>
      </w:r>
      <w:r w:rsidR="002127F6" w:rsidRPr="00FF65D6">
        <w:rPr>
          <w:lang w:val="fr-FR"/>
        </w:rPr>
        <w:t>’</w:t>
      </w:r>
      <w:r w:rsidRPr="00FF65D6">
        <w:rPr>
          <w:lang w:val="fr-FR"/>
        </w:rPr>
        <w:t>implication de mineurs dans les affaires civiles, dans lesquelles, en fonction du type de litige, les mineurs sont enregistrés selon leur statut (demandeur, défendeur, témoin)</w:t>
      </w:r>
      <w:r w:rsidR="005C1799" w:rsidRPr="005C1799">
        <w:rPr>
          <w:lang w:val="fr-FR"/>
        </w:rPr>
        <w:t>.</w:t>
      </w:r>
      <w:r w:rsidRPr="00FF65D6">
        <w:rPr>
          <w:lang w:val="fr-FR"/>
        </w:rPr>
        <w:t xml:space="preserve"> L</w:t>
      </w:r>
      <w:r w:rsidR="002127F6" w:rsidRPr="00FF65D6">
        <w:rPr>
          <w:lang w:val="fr-FR"/>
        </w:rPr>
        <w:t>’</w:t>
      </w:r>
      <w:r w:rsidRPr="00FF65D6">
        <w:rPr>
          <w:lang w:val="fr-FR"/>
        </w:rPr>
        <w:t>information contenue dans le formulaire est donnée en fonction de l</w:t>
      </w:r>
      <w:r w:rsidR="002127F6" w:rsidRPr="00FF65D6">
        <w:rPr>
          <w:lang w:val="fr-FR"/>
        </w:rPr>
        <w:t>’</w:t>
      </w:r>
      <w:r w:rsidRPr="00FF65D6">
        <w:rPr>
          <w:lang w:val="fr-FR"/>
        </w:rPr>
        <w:t>âge et du sexe</w:t>
      </w:r>
      <w:r w:rsidR="005C1799" w:rsidRPr="005C1799">
        <w:rPr>
          <w:lang w:val="fr-FR"/>
        </w:rPr>
        <w:t>.</w:t>
      </w:r>
    </w:p>
    <w:p w14:paraId="390DF0E5" w14:textId="77777777" w:rsidR="005C5C6A" w:rsidRPr="00FF65D6" w:rsidRDefault="005C5C6A" w:rsidP="00F34341">
      <w:pPr>
        <w:pStyle w:val="SingleTxtG"/>
        <w:rPr>
          <w:lang w:val="fr-FR"/>
        </w:rPr>
      </w:pPr>
      <w:r w:rsidRPr="00FF65D6">
        <w:rPr>
          <w:lang w:val="fr-FR"/>
        </w:rPr>
        <w:t>179</w:t>
      </w:r>
      <w:r w:rsidR="005C1799" w:rsidRPr="005C1799">
        <w:rPr>
          <w:lang w:val="fr-FR"/>
        </w:rPr>
        <w:t>.</w:t>
      </w:r>
      <w:r w:rsidRPr="00FF65D6">
        <w:rPr>
          <w:lang w:val="fr-FR"/>
        </w:rPr>
        <w:tab/>
        <w:t>Toutes les informations qui figurent sur les formulaires concernent la participation d</w:t>
      </w:r>
      <w:r w:rsidR="002127F6" w:rsidRPr="00FF65D6">
        <w:rPr>
          <w:lang w:val="fr-FR"/>
        </w:rPr>
        <w:t>’</w:t>
      </w:r>
      <w:r w:rsidRPr="00FF65D6">
        <w:rPr>
          <w:lang w:val="fr-FR"/>
        </w:rPr>
        <w:t>un représentant légal, d</w:t>
      </w:r>
      <w:r w:rsidR="002127F6" w:rsidRPr="00FF65D6">
        <w:rPr>
          <w:lang w:val="fr-FR"/>
        </w:rPr>
        <w:t>’</w:t>
      </w:r>
      <w:r w:rsidRPr="00FF65D6">
        <w:rPr>
          <w:lang w:val="fr-FR"/>
        </w:rPr>
        <w:t>un psychologue et d</w:t>
      </w:r>
      <w:r w:rsidR="002127F6" w:rsidRPr="00FF65D6">
        <w:rPr>
          <w:lang w:val="fr-FR"/>
        </w:rPr>
        <w:t>’</w:t>
      </w:r>
      <w:r w:rsidRPr="00FF65D6">
        <w:rPr>
          <w:lang w:val="fr-FR"/>
        </w:rPr>
        <w:t>un avocat au procès</w:t>
      </w:r>
      <w:r w:rsidR="005C1799" w:rsidRPr="005C1799">
        <w:rPr>
          <w:lang w:val="fr-FR"/>
        </w:rPr>
        <w:t>.</w:t>
      </w:r>
      <w:r w:rsidRPr="00FF65D6">
        <w:rPr>
          <w:lang w:val="fr-FR"/>
        </w:rPr>
        <w:t xml:space="preserve"> En outre, les tribunaux utilisent des formulaires sur les mineurs accusés (formulaire N</w:t>
      </w:r>
      <w:r w:rsidR="00797A16" w:rsidRPr="00FF65D6">
        <w:rPr>
          <w:lang w:val="fr-FR"/>
        </w:rPr>
        <w:t> </w:t>
      </w:r>
      <w:r w:rsidRPr="00FF65D6">
        <w:rPr>
          <w:lang w:val="fr-FR"/>
        </w:rPr>
        <w:t>6), qui fournissent des informations détaillées sur les mineurs condamnés</w:t>
      </w:r>
      <w:r w:rsidR="005C1799" w:rsidRPr="005C1799">
        <w:rPr>
          <w:lang w:val="fr-FR"/>
        </w:rPr>
        <w:t>.</w:t>
      </w:r>
      <w:r w:rsidRPr="00FF65D6">
        <w:rPr>
          <w:lang w:val="fr-FR"/>
        </w:rPr>
        <w:t xml:space="preserve"> Des méthodes similaires sont introduites dans les cours d</w:t>
      </w:r>
      <w:r w:rsidR="002127F6" w:rsidRPr="00FF65D6">
        <w:rPr>
          <w:lang w:val="fr-FR"/>
        </w:rPr>
        <w:t>’</w:t>
      </w:r>
      <w:r w:rsidRPr="00FF65D6">
        <w:rPr>
          <w:lang w:val="fr-FR"/>
        </w:rPr>
        <w:t>appel aux fins de l</w:t>
      </w:r>
      <w:r w:rsidR="002127F6" w:rsidRPr="00FF65D6">
        <w:rPr>
          <w:lang w:val="fr-FR"/>
        </w:rPr>
        <w:t>’</w:t>
      </w:r>
      <w:r w:rsidRPr="00FF65D6">
        <w:rPr>
          <w:lang w:val="fr-FR"/>
        </w:rPr>
        <w:t>examen des résultats</w:t>
      </w:r>
      <w:r w:rsidR="005C1799" w:rsidRPr="005C1799">
        <w:rPr>
          <w:lang w:val="fr-FR"/>
        </w:rPr>
        <w:t>.</w:t>
      </w:r>
      <w:r w:rsidRPr="00FF65D6">
        <w:rPr>
          <w:lang w:val="fr-FR"/>
        </w:rPr>
        <w:t xml:space="preserve"> La Cour suprême reçoit et traite l</w:t>
      </w:r>
      <w:r w:rsidR="002127F6" w:rsidRPr="00FF65D6">
        <w:rPr>
          <w:lang w:val="fr-FR"/>
        </w:rPr>
        <w:t>’</w:t>
      </w:r>
      <w:r w:rsidRPr="00FF65D6">
        <w:rPr>
          <w:lang w:val="fr-FR"/>
        </w:rPr>
        <w:t>information communiquée par les tribunaux sous forme électronique au moyen de feuilles de calcul Excel</w:t>
      </w:r>
      <w:r w:rsidR="005C1799" w:rsidRPr="005C1799">
        <w:rPr>
          <w:lang w:val="fr-FR"/>
        </w:rPr>
        <w:t>.</w:t>
      </w:r>
      <w:r w:rsidRPr="00FF65D6">
        <w:rPr>
          <w:lang w:val="fr-FR"/>
        </w:rPr>
        <w:t xml:space="preserve"> À l</w:t>
      </w:r>
      <w:r w:rsidR="002127F6" w:rsidRPr="00FF65D6">
        <w:rPr>
          <w:lang w:val="fr-FR"/>
        </w:rPr>
        <w:t>’</w:t>
      </w:r>
      <w:r w:rsidRPr="00FF65D6">
        <w:rPr>
          <w:lang w:val="fr-FR"/>
        </w:rPr>
        <w:t>heure actuelle, des travaux sont en cours sur l</w:t>
      </w:r>
      <w:r w:rsidR="002127F6" w:rsidRPr="00FF65D6">
        <w:rPr>
          <w:lang w:val="fr-FR"/>
        </w:rPr>
        <w:t>’</w:t>
      </w:r>
      <w:r w:rsidRPr="00FF65D6">
        <w:rPr>
          <w:lang w:val="fr-FR"/>
        </w:rPr>
        <w:t>enregistrement électronique de l</w:t>
      </w:r>
      <w:r w:rsidR="002127F6" w:rsidRPr="00FF65D6">
        <w:rPr>
          <w:lang w:val="fr-FR"/>
        </w:rPr>
        <w:t>’</w:t>
      </w:r>
      <w:r w:rsidRPr="00FF65D6">
        <w:rPr>
          <w:lang w:val="fr-FR"/>
        </w:rPr>
        <w:t>information sur la participation de mineurs aux procès devant la Cour suprême</w:t>
      </w:r>
      <w:r w:rsidR="005C1799" w:rsidRPr="005C1799">
        <w:rPr>
          <w:lang w:val="fr-FR"/>
        </w:rPr>
        <w:t>.</w:t>
      </w:r>
      <w:r w:rsidRPr="00FF65D6">
        <w:rPr>
          <w:lang w:val="fr-FR"/>
        </w:rPr>
        <w:t xml:space="preserve"> Ces formulaires sont conformes aux indicateurs de l</w:t>
      </w:r>
      <w:r w:rsidR="002127F6" w:rsidRPr="00FF65D6">
        <w:rPr>
          <w:lang w:val="fr-FR"/>
        </w:rPr>
        <w:t>’</w:t>
      </w:r>
      <w:r w:rsidRPr="00FF65D6">
        <w:rPr>
          <w:lang w:val="fr-FR"/>
        </w:rPr>
        <w:t>UNICEF</w:t>
      </w:r>
      <w:r w:rsidR="005C1799" w:rsidRPr="005C1799">
        <w:rPr>
          <w:lang w:val="fr-FR"/>
        </w:rPr>
        <w:t>.</w:t>
      </w:r>
    </w:p>
    <w:p w14:paraId="66DF4334" w14:textId="77777777" w:rsidR="005C5C6A" w:rsidRPr="00FF65D6" w:rsidRDefault="005C5C6A" w:rsidP="00797A16">
      <w:pPr>
        <w:pStyle w:val="H23G"/>
        <w:rPr>
          <w:lang w:val="fr-FR"/>
        </w:rPr>
      </w:pPr>
      <w:bookmarkStart w:id="44" w:name="_Toc472961733"/>
      <w:r w:rsidRPr="00FF65D6">
        <w:rPr>
          <w:lang w:val="fr-FR"/>
        </w:rPr>
        <w:tab/>
      </w:r>
      <w:r w:rsidRPr="00FF65D6">
        <w:rPr>
          <w:lang w:val="fr-FR"/>
        </w:rPr>
        <w:tab/>
        <w:t>Mécanisme d</w:t>
      </w:r>
      <w:r w:rsidR="002127F6" w:rsidRPr="00FF65D6">
        <w:rPr>
          <w:lang w:val="fr-FR"/>
        </w:rPr>
        <w:t>’</w:t>
      </w:r>
      <w:r w:rsidRPr="00FF65D6">
        <w:rPr>
          <w:lang w:val="fr-FR"/>
        </w:rPr>
        <w:t>orientation pour les enfants victimes de la violence</w:t>
      </w:r>
      <w:bookmarkEnd w:id="44"/>
    </w:p>
    <w:p w14:paraId="1E21FCB5" w14:textId="77777777" w:rsidR="005C5C6A" w:rsidRPr="00FF65D6" w:rsidRDefault="005C5C6A" w:rsidP="00F34341">
      <w:pPr>
        <w:pStyle w:val="SingleTxtG"/>
        <w:rPr>
          <w:lang w:val="fr-FR"/>
        </w:rPr>
      </w:pPr>
      <w:r w:rsidRPr="00FF65D6">
        <w:rPr>
          <w:lang w:val="fr-FR"/>
        </w:rPr>
        <w:t>180</w:t>
      </w:r>
      <w:r w:rsidR="005C1799" w:rsidRPr="005C1799">
        <w:rPr>
          <w:lang w:val="fr-FR"/>
        </w:rPr>
        <w:t>.</w:t>
      </w:r>
      <w:r w:rsidRPr="00FF65D6">
        <w:rPr>
          <w:lang w:val="fr-FR"/>
        </w:rPr>
        <w:tab/>
        <w:t>Afin de protéger les enfants contre tout type de violence et d</w:t>
      </w:r>
      <w:r w:rsidR="002127F6" w:rsidRPr="00FF65D6">
        <w:rPr>
          <w:lang w:val="fr-FR"/>
        </w:rPr>
        <w:t>’</w:t>
      </w:r>
      <w:r w:rsidRPr="00FF65D6">
        <w:rPr>
          <w:lang w:val="fr-FR"/>
        </w:rPr>
        <w:t>intervenir face à la violence de façon appropriée, le Gouvernement géorgien a, le 12 septembre 2016, publié un décret gouvernemental sur le mécanisme d</w:t>
      </w:r>
      <w:r w:rsidR="002127F6" w:rsidRPr="00FF65D6">
        <w:rPr>
          <w:lang w:val="fr-FR"/>
        </w:rPr>
        <w:t>’</w:t>
      </w:r>
      <w:r w:rsidRPr="00FF65D6">
        <w:rPr>
          <w:lang w:val="fr-FR"/>
        </w:rPr>
        <w:t>orientation en matière de protection de l</w:t>
      </w:r>
      <w:r w:rsidR="002127F6" w:rsidRPr="00FF65D6">
        <w:rPr>
          <w:lang w:val="fr-FR"/>
        </w:rPr>
        <w:t>’</w:t>
      </w:r>
      <w:r w:rsidRPr="00FF65D6">
        <w:rPr>
          <w:lang w:val="fr-FR"/>
        </w:rPr>
        <w:t>enfance</w:t>
      </w:r>
      <w:r w:rsidR="005C1799" w:rsidRPr="005C1799">
        <w:rPr>
          <w:lang w:val="fr-FR"/>
        </w:rPr>
        <w:t>.</w:t>
      </w:r>
      <w:r w:rsidRPr="00FF65D6">
        <w:rPr>
          <w:lang w:val="fr-FR"/>
        </w:rPr>
        <w:t xml:space="preserve"> Ce dernier a étendu le nombre d</w:t>
      </w:r>
      <w:r w:rsidR="002127F6" w:rsidRPr="00FF65D6">
        <w:rPr>
          <w:lang w:val="fr-FR"/>
        </w:rPr>
        <w:t>’</w:t>
      </w:r>
      <w:r w:rsidRPr="00FF65D6">
        <w:rPr>
          <w:lang w:val="fr-FR"/>
        </w:rPr>
        <w:t>entités habilitées à renvoyer les cas de violence contre des enfants aux organismes compétents</w:t>
      </w:r>
      <w:r w:rsidR="005C1799" w:rsidRPr="005C1799">
        <w:rPr>
          <w:lang w:val="fr-FR"/>
        </w:rPr>
        <w:t>.</w:t>
      </w:r>
      <w:r w:rsidRPr="00FF65D6">
        <w:rPr>
          <w:lang w:val="fr-FR"/>
        </w:rPr>
        <w:t xml:space="preserve"> En particulier, toutes les institutions gouvernementales et leurs unités structurelles, les personnes morales de droit public, les institutions médicales et les municipalités locales sont désormais tenues de signaler les cas potentiels de violence contre un enfant à l</w:t>
      </w:r>
      <w:r w:rsidR="002127F6" w:rsidRPr="00FF65D6">
        <w:rPr>
          <w:lang w:val="fr-FR"/>
        </w:rPr>
        <w:t>’</w:t>
      </w:r>
      <w:r w:rsidRPr="00FF65D6">
        <w:rPr>
          <w:lang w:val="fr-FR"/>
        </w:rPr>
        <w:t>Agence des services sociaux et à la police</w:t>
      </w:r>
      <w:r w:rsidR="005C1799" w:rsidRPr="005C1799">
        <w:rPr>
          <w:lang w:val="fr-FR"/>
        </w:rPr>
        <w:t>.</w:t>
      </w:r>
    </w:p>
    <w:p w14:paraId="18E864ED" w14:textId="77777777" w:rsidR="005C5C6A" w:rsidRPr="00FF65D6" w:rsidRDefault="005C5C6A" w:rsidP="00F34341">
      <w:pPr>
        <w:pStyle w:val="SingleTxtG"/>
        <w:rPr>
          <w:lang w:val="fr-FR"/>
        </w:rPr>
      </w:pPr>
      <w:r w:rsidRPr="00FF65D6">
        <w:rPr>
          <w:lang w:val="fr-FR"/>
        </w:rPr>
        <w:t>181</w:t>
      </w:r>
      <w:r w:rsidR="005C1799" w:rsidRPr="005C1799">
        <w:rPr>
          <w:lang w:val="fr-FR"/>
        </w:rPr>
        <w:t>.</w:t>
      </w:r>
      <w:r w:rsidRPr="00FF65D6">
        <w:rPr>
          <w:lang w:val="fr-FR"/>
        </w:rPr>
        <w:tab/>
        <w:t>De plus, le décret a renforcé le rôle des travailleurs sociaux tout en prévoyant le retrait</w:t>
      </w:r>
      <w:r w:rsidR="002127F6" w:rsidRPr="00FF65D6">
        <w:rPr>
          <w:lang w:val="fr-FR"/>
        </w:rPr>
        <w:t xml:space="preserve"> </w:t>
      </w:r>
      <w:r w:rsidRPr="00FF65D6">
        <w:rPr>
          <w:lang w:val="fr-FR"/>
        </w:rPr>
        <w:t>de l</w:t>
      </w:r>
      <w:r w:rsidR="002127F6" w:rsidRPr="00FF65D6">
        <w:rPr>
          <w:lang w:val="fr-FR"/>
        </w:rPr>
        <w:t>’</w:t>
      </w:r>
      <w:r w:rsidRPr="00FF65D6">
        <w:rPr>
          <w:lang w:val="fr-FR"/>
        </w:rPr>
        <w:t>enfant de l</w:t>
      </w:r>
      <w:r w:rsidR="002127F6" w:rsidRPr="00FF65D6">
        <w:rPr>
          <w:lang w:val="fr-FR"/>
        </w:rPr>
        <w:t>’</w:t>
      </w:r>
      <w:r w:rsidRPr="00FF65D6">
        <w:rPr>
          <w:lang w:val="fr-FR"/>
        </w:rPr>
        <w:t>environnement violent</w:t>
      </w:r>
      <w:r w:rsidR="005C1799" w:rsidRPr="005C1799">
        <w:rPr>
          <w:lang w:val="fr-FR"/>
        </w:rPr>
        <w:t>.</w:t>
      </w:r>
      <w:r w:rsidRPr="00FF65D6">
        <w:rPr>
          <w:lang w:val="fr-FR"/>
        </w:rPr>
        <w:t xml:space="preserve"> En particulier, outre la police, le travailleur social a été habilité à examiner si un enfant est victime de toute forme de violence et à décider de le retirer de sa famille ou de l</w:t>
      </w:r>
      <w:r w:rsidR="002127F6" w:rsidRPr="00FF65D6">
        <w:rPr>
          <w:lang w:val="fr-FR"/>
        </w:rPr>
        <w:t>’</w:t>
      </w:r>
      <w:r w:rsidRPr="00FF65D6">
        <w:rPr>
          <w:lang w:val="fr-FR"/>
        </w:rPr>
        <w:t>environnement où l</w:t>
      </w:r>
      <w:r w:rsidR="002127F6" w:rsidRPr="00FF65D6">
        <w:rPr>
          <w:lang w:val="fr-FR"/>
        </w:rPr>
        <w:t>’</w:t>
      </w:r>
      <w:r w:rsidRPr="00FF65D6">
        <w:rPr>
          <w:lang w:val="fr-FR"/>
        </w:rPr>
        <w:t>acte de violence a été commis</w:t>
      </w:r>
      <w:r w:rsidR="005C1799" w:rsidRPr="005C1799">
        <w:rPr>
          <w:lang w:val="fr-FR"/>
        </w:rPr>
        <w:t>.</w:t>
      </w:r>
    </w:p>
    <w:p w14:paraId="2674A247" w14:textId="77777777" w:rsidR="005C5C6A" w:rsidRPr="00FF65D6" w:rsidRDefault="005C5C6A" w:rsidP="00797A16">
      <w:pPr>
        <w:pStyle w:val="HChG"/>
        <w:rPr>
          <w:lang w:val="fr-FR"/>
        </w:rPr>
      </w:pPr>
      <w:bookmarkStart w:id="45" w:name="_Toc466668038"/>
      <w:bookmarkStart w:id="46" w:name="_Toc469062640"/>
      <w:bookmarkStart w:id="47" w:name="_Toc469062668"/>
      <w:bookmarkStart w:id="48" w:name="_Toc472961734"/>
      <w:r w:rsidRPr="00FF65D6">
        <w:rPr>
          <w:lang w:val="fr-FR"/>
        </w:rPr>
        <w:tab/>
        <w:t>VII</w:t>
      </w:r>
      <w:r w:rsidR="005C1799" w:rsidRPr="005C1799">
        <w:rPr>
          <w:b w:val="0"/>
          <w:lang w:val="fr-FR"/>
        </w:rPr>
        <w:t>.</w:t>
      </w:r>
      <w:r w:rsidRPr="00FF65D6">
        <w:rPr>
          <w:lang w:val="fr-FR"/>
        </w:rPr>
        <w:tab/>
        <w:t>Assistance et coopération internationales (art</w:t>
      </w:r>
      <w:r w:rsidR="005C1799" w:rsidRPr="005C1799">
        <w:rPr>
          <w:b w:val="0"/>
          <w:lang w:val="fr-FR"/>
        </w:rPr>
        <w:t>.</w:t>
      </w:r>
      <w:r w:rsidRPr="00FF65D6">
        <w:rPr>
          <w:lang w:val="fr-FR"/>
        </w:rPr>
        <w:t xml:space="preserve"> 10)</w:t>
      </w:r>
      <w:bookmarkEnd w:id="45"/>
      <w:bookmarkEnd w:id="46"/>
      <w:bookmarkEnd w:id="47"/>
      <w:bookmarkEnd w:id="48"/>
    </w:p>
    <w:p w14:paraId="638250E3" w14:textId="77777777" w:rsidR="005C5C6A" w:rsidRPr="00FF65D6" w:rsidRDefault="005C5C6A" w:rsidP="00797A16">
      <w:pPr>
        <w:pStyle w:val="H1G"/>
        <w:rPr>
          <w:lang w:val="fr-FR"/>
        </w:rPr>
      </w:pPr>
      <w:bookmarkStart w:id="49" w:name="_Toc472961735"/>
      <w:r w:rsidRPr="00FF65D6">
        <w:rPr>
          <w:lang w:val="fr-FR"/>
        </w:rPr>
        <w:tab/>
        <w:t>A</w:t>
      </w:r>
      <w:r w:rsidR="005C1799" w:rsidRPr="005C1799">
        <w:rPr>
          <w:b w:val="0"/>
          <w:lang w:val="fr-FR"/>
        </w:rPr>
        <w:t>.</w:t>
      </w:r>
      <w:r w:rsidRPr="00FF65D6">
        <w:rPr>
          <w:lang w:val="fr-FR"/>
        </w:rPr>
        <w:tab/>
        <w:t xml:space="preserve">Traités internationaux </w:t>
      </w:r>
      <w:bookmarkEnd w:id="49"/>
    </w:p>
    <w:p w14:paraId="1965FF2A" w14:textId="77777777" w:rsidR="005C5C6A" w:rsidRPr="00FF65D6" w:rsidRDefault="005C5C6A" w:rsidP="00F34341">
      <w:pPr>
        <w:pStyle w:val="SingleTxtG"/>
        <w:rPr>
          <w:lang w:val="fr-FR"/>
        </w:rPr>
      </w:pPr>
      <w:r w:rsidRPr="00FF65D6">
        <w:rPr>
          <w:lang w:val="fr-FR"/>
        </w:rPr>
        <w:t>182</w:t>
      </w:r>
      <w:r w:rsidR="005C1799" w:rsidRPr="005C1799">
        <w:rPr>
          <w:lang w:val="fr-FR"/>
        </w:rPr>
        <w:t>.</w:t>
      </w:r>
      <w:r w:rsidRPr="00FF65D6">
        <w:rPr>
          <w:lang w:val="fr-FR"/>
        </w:rPr>
        <w:tab/>
        <w:t>La Géorgie est partie aux instruments juridiques internationaux suivants, qui régissent les questions liées à la pornographie mettant en scène des enfants et aux violences sexuelles contre des enfants</w:t>
      </w:r>
      <w:r w:rsidR="003B7618" w:rsidRPr="00FF65D6">
        <w:rPr>
          <w:lang w:val="fr-FR"/>
        </w:rPr>
        <w:t> :</w:t>
      </w:r>
    </w:p>
    <w:p w14:paraId="78FABAE8" w14:textId="77777777" w:rsidR="005C5C6A" w:rsidRPr="00FF65D6" w:rsidRDefault="005C5C6A" w:rsidP="00797A16">
      <w:pPr>
        <w:pStyle w:val="Bullet1G"/>
        <w:rPr>
          <w:lang w:val="fr-FR"/>
        </w:rPr>
      </w:pPr>
      <w:r w:rsidRPr="00FF65D6">
        <w:rPr>
          <w:lang w:val="fr-FR"/>
        </w:rPr>
        <w:t>Convention du Conseil de l</w:t>
      </w:r>
      <w:r w:rsidR="002127F6" w:rsidRPr="00FF65D6">
        <w:rPr>
          <w:lang w:val="fr-FR"/>
        </w:rPr>
        <w:t>’</w:t>
      </w:r>
      <w:r w:rsidRPr="00FF65D6">
        <w:rPr>
          <w:lang w:val="fr-FR"/>
        </w:rPr>
        <w:t>Europe sur la lutte contre la traite des êtres humains</w:t>
      </w:r>
      <w:r w:rsidR="003B7618" w:rsidRPr="00FF65D6">
        <w:rPr>
          <w:lang w:val="fr-FR"/>
        </w:rPr>
        <w:t> ;</w:t>
      </w:r>
    </w:p>
    <w:p w14:paraId="45E14F84" w14:textId="77777777" w:rsidR="005C5C6A" w:rsidRPr="00FF65D6" w:rsidRDefault="005C5C6A" w:rsidP="00797A16">
      <w:pPr>
        <w:pStyle w:val="Bullet1G"/>
        <w:rPr>
          <w:lang w:val="fr-FR"/>
        </w:rPr>
      </w:pPr>
      <w:r w:rsidRPr="00FF65D6">
        <w:rPr>
          <w:lang w:val="fr-FR"/>
        </w:rPr>
        <w:t>Convention des Nations Unies contre la criminalité transnationale organisée et son Protocole additionnel visant à prévenir, réprimer et punir la traite des personnes, en particulier des femmes et des enfants</w:t>
      </w:r>
      <w:r w:rsidR="003B7618" w:rsidRPr="00FF65D6">
        <w:rPr>
          <w:lang w:val="fr-FR"/>
        </w:rPr>
        <w:t> ;</w:t>
      </w:r>
    </w:p>
    <w:p w14:paraId="6FB450E5" w14:textId="77777777" w:rsidR="005C5C6A" w:rsidRPr="00FF65D6" w:rsidRDefault="005C5C6A" w:rsidP="00797A16">
      <w:pPr>
        <w:pStyle w:val="Bullet1G"/>
        <w:rPr>
          <w:lang w:val="fr-FR"/>
        </w:rPr>
      </w:pPr>
      <w:r w:rsidRPr="00FF65D6">
        <w:rPr>
          <w:lang w:val="fr-FR"/>
        </w:rPr>
        <w:t>Convention relative aux droits de l</w:t>
      </w:r>
      <w:r w:rsidR="002127F6" w:rsidRPr="00FF65D6">
        <w:rPr>
          <w:lang w:val="fr-FR"/>
        </w:rPr>
        <w:t>’</w:t>
      </w:r>
      <w:r w:rsidRPr="00FF65D6">
        <w:rPr>
          <w:lang w:val="fr-FR"/>
        </w:rPr>
        <w:t>enfant et son Protocole facultatif concernant la vente d</w:t>
      </w:r>
      <w:r w:rsidR="002127F6" w:rsidRPr="00FF65D6">
        <w:rPr>
          <w:lang w:val="fr-FR"/>
        </w:rPr>
        <w:t>’</w:t>
      </w:r>
      <w:r w:rsidRPr="00FF65D6">
        <w:rPr>
          <w:lang w:val="fr-FR"/>
        </w:rPr>
        <w:t>enfants, la prostitution des enfants et la pornographie mettant en scène des enfants</w:t>
      </w:r>
      <w:r w:rsidR="003B7618" w:rsidRPr="00FF65D6">
        <w:rPr>
          <w:lang w:val="fr-FR"/>
        </w:rPr>
        <w:t> ;</w:t>
      </w:r>
    </w:p>
    <w:p w14:paraId="73904824" w14:textId="77777777" w:rsidR="005C5C6A" w:rsidRPr="00FF65D6" w:rsidRDefault="005C5C6A" w:rsidP="00797A16">
      <w:pPr>
        <w:pStyle w:val="Bullet1G"/>
        <w:rPr>
          <w:lang w:val="fr-FR"/>
        </w:rPr>
      </w:pPr>
      <w:r w:rsidRPr="00FF65D6">
        <w:rPr>
          <w:lang w:val="fr-FR"/>
        </w:rPr>
        <w:t>Convention du Conseil de l</w:t>
      </w:r>
      <w:r w:rsidR="002127F6" w:rsidRPr="00FF65D6">
        <w:rPr>
          <w:lang w:val="fr-FR"/>
        </w:rPr>
        <w:t>’</w:t>
      </w:r>
      <w:r w:rsidRPr="00FF65D6">
        <w:rPr>
          <w:lang w:val="fr-FR"/>
        </w:rPr>
        <w:t>Europe sur la protection des enfants contre l</w:t>
      </w:r>
      <w:r w:rsidR="002127F6" w:rsidRPr="00FF65D6">
        <w:rPr>
          <w:lang w:val="fr-FR"/>
        </w:rPr>
        <w:t>’</w:t>
      </w:r>
      <w:r w:rsidRPr="00FF65D6">
        <w:rPr>
          <w:lang w:val="fr-FR"/>
        </w:rPr>
        <w:t>exploitation et les abus sexuels (Convention de Lanzarote)</w:t>
      </w:r>
      <w:r w:rsidR="003B7618" w:rsidRPr="00FF65D6">
        <w:rPr>
          <w:lang w:val="fr-FR"/>
        </w:rPr>
        <w:t> ;</w:t>
      </w:r>
    </w:p>
    <w:p w14:paraId="012C7D1A" w14:textId="77777777" w:rsidR="005C5C6A" w:rsidRPr="00FF65D6" w:rsidRDefault="005C5C6A" w:rsidP="00797A16">
      <w:pPr>
        <w:pStyle w:val="Bullet1G"/>
        <w:rPr>
          <w:lang w:val="fr-FR"/>
        </w:rPr>
      </w:pPr>
      <w:r w:rsidRPr="00FF65D6">
        <w:rPr>
          <w:lang w:val="fr-FR"/>
        </w:rPr>
        <w:t>Convention du Conseil de l</w:t>
      </w:r>
      <w:r w:rsidR="002127F6" w:rsidRPr="00FF65D6">
        <w:rPr>
          <w:lang w:val="fr-FR"/>
        </w:rPr>
        <w:t>’</w:t>
      </w:r>
      <w:r w:rsidRPr="00FF65D6">
        <w:rPr>
          <w:lang w:val="fr-FR"/>
        </w:rPr>
        <w:t>Europe sur la cybercriminalité</w:t>
      </w:r>
      <w:r w:rsidR="005C1799" w:rsidRPr="005C1799">
        <w:rPr>
          <w:lang w:val="fr-FR"/>
        </w:rPr>
        <w:t>.</w:t>
      </w:r>
    </w:p>
    <w:p w14:paraId="22C7F0D7" w14:textId="77777777" w:rsidR="005C5C6A" w:rsidRPr="00FF65D6" w:rsidRDefault="005C5C6A" w:rsidP="00F34341">
      <w:pPr>
        <w:pStyle w:val="SingleTxtG"/>
        <w:rPr>
          <w:lang w:val="fr-FR"/>
        </w:rPr>
      </w:pPr>
      <w:r w:rsidRPr="00FF65D6">
        <w:rPr>
          <w:lang w:val="fr-FR"/>
        </w:rPr>
        <w:t>183</w:t>
      </w:r>
      <w:r w:rsidR="005C1799" w:rsidRPr="005C1799">
        <w:rPr>
          <w:lang w:val="fr-FR"/>
        </w:rPr>
        <w:t>.</w:t>
      </w:r>
      <w:r w:rsidRPr="00FF65D6">
        <w:rPr>
          <w:lang w:val="fr-FR"/>
        </w:rPr>
        <w:tab/>
        <w:t>Afin de remplir les engagements internationaux et régionaux, le Conseil pour la lutte contre la traite, en tant que principal organe de décision dans le domaine de la lutte contre la traite des êtres humains, s</w:t>
      </w:r>
      <w:r w:rsidR="002127F6" w:rsidRPr="00FF65D6">
        <w:rPr>
          <w:lang w:val="fr-FR"/>
        </w:rPr>
        <w:t>’</w:t>
      </w:r>
      <w:r w:rsidRPr="00FF65D6">
        <w:rPr>
          <w:lang w:val="fr-FR"/>
        </w:rPr>
        <w:t>attache en particulier à promouvoir l</w:t>
      </w:r>
      <w:r w:rsidR="002127F6" w:rsidRPr="00FF65D6">
        <w:rPr>
          <w:lang w:val="fr-FR"/>
        </w:rPr>
        <w:t>’</w:t>
      </w:r>
      <w:r w:rsidRPr="00FF65D6">
        <w:rPr>
          <w:lang w:val="fr-FR"/>
        </w:rPr>
        <w:t>application des traités susmentionnés</w:t>
      </w:r>
      <w:r w:rsidR="005C1799" w:rsidRPr="005C1799">
        <w:rPr>
          <w:lang w:val="fr-FR"/>
        </w:rPr>
        <w:t>.</w:t>
      </w:r>
      <w:r w:rsidRPr="00FF65D6">
        <w:rPr>
          <w:lang w:val="fr-FR"/>
        </w:rPr>
        <w:t xml:space="preserve"> </w:t>
      </w:r>
      <w:r w:rsidR="00797A16" w:rsidRPr="00FF65D6">
        <w:rPr>
          <w:lang w:val="fr-FR"/>
        </w:rPr>
        <w:t>À</w:t>
      </w:r>
      <w:r w:rsidRPr="00FF65D6">
        <w:rPr>
          <w:lang w:val="fr-FR"/>
        </w:rPr>
        <w:t xml:space="preserve"> cet égard, le Conseil, en coopération avec d</w:t>
      </w:r>
      <w:r w:rsidR="002127F6" w:rsidRPr="00FF65D6">
        <w:rPr>
          <w:lang w:val="fr-FR"/>
        </w:rPr>
        <w:t>’</w:t>
      </w:r>
      <w:r w:rsidRPr="00FF65D6">
        <w:rPr>
          <w:lang w:val="fr-FR"/>
        </w:rPr>
        <w:t>autres membres du Conseil, élabore des rapports périodiques destinés aux organisations internationales (Conseil de l</w:t>
      </w:r>
      <w:r w:rsidR="002127F6" w:rsidRPr="00FF65D6">
        <w:rPr>
          <w:lang w:val="fr-FR"/>
        </w:rPr>
        <w:t>’</w:t>
      </w:r>
      <w:r w:rsidRPr="00FF65D6">
        <w:rPr>
          <w:lang w:val="fr-FR"/>
        </w:rPr>
        <w:t>Europe, ONU, Union européenne, Organisation pour la sécurité et la coopération en Europe) et à l</w:t>
      </w:r>
      <w:r w:rsidR="002127F6" w:rsidRPr="00FF65D6">
        <w:rPr>
          <w:lang w:val="fr-FR"/>
        </w:rPr>
        <w:t>’</w:t>
      </w:r>
      <w:r w:rsidR="00E61BC8">
        <w:rPr>
          <w:lang w:val="fr-FR"/>
        </w:rPr>
        <w:t>ambassade</w:t>
      </w:r>
      <w:r w:rsidRPr="00FF65D6">
        <w:rPr>
          <w:lang w:val="fr-FR"/>
        </w:rPr>
        <w:t xml:space="preserve"> des États-Unis sur les activités menées par le Gouvernement géorgien en matière de lutte contre la traite des êtres humains</w:t>
      </w:r>
      <w:r w:rsidR="005C1799" w:rsidRPr="005C1799">
        <w:rPr>
          <w:lang w:val="fr-FR"/>
        </w:rPr>
        <w:t>.</w:t>
      </w:r>
      <w:r w:rsidRPr="00FF65D6">
        <w:rPr>
          <w:lang w:val="fr-FR"/>
        </w:rPr>
        <w:t xml:space="preserve"> </w:t>
      </w:r>
    </w:p>
    <w:p w14:paraId="6B6F29E4" w14:textId="77777777" w:rsidR="005C5C6A" w:rsidRPr="00FF65D6" w:rsidRDefault="005C5C6A" w:rsidP="00F34341">
      <w:pPr>
        <w:pStyle w:val="SingleTxtG"/>
        <w:rPr>
          <w:lang w:val="fr-FR"/>
        </w:rPr>
      </w:pPr>
      <w:r w:rsidRPr="00FF65D6">
        <w:rPr>
          <w:lang w:val="fr-FR"/>
        </w:rPr>
        <w:t>184</w:t>
      </w:r>
      <w:r w:rsidR="005C1799" w:rsidRPr="005C1799">
        <w:rPr>
          <w:lang w:val="fr-FR"/>
        </w:rPr>
        <w:t>.</w:t>
      </w:r>
      <w:r w:rsidRPr="00FF65D6">
        <w:rPr>
          <w:lang w:val="fr-FR"/>
        </w:rPr>
        <w:tab/>
        <w:t>Il convient de souligner que les autorités géorgiennes apprécient l</w:t>
      </w:r>
      <w:r w:rsidR="002127F6" w:rsidRPr="00FF65D6">
        <w:rPr>
          <w:lang w:val="fr-FR"/>
        </w:rPr>
        <w:t>’</w:t>
      </w:r>
      <w:r w:rsidRPr="00FF65D6">
        <w:rPr>
          <w:lang w:val="fr-FR"/>
        </w:rPr>
        <w:t>évaluation externe des réformes mises en œuvre en matière de lutte contre la traite des êtres humains et des recommandations faites par les organisations internationales pour améliorer la politique géorgienne de lutte contre la traite</w:t>
      </w:r>
      <w:r w:rsidR="005C1799" w:rsidRPr="005C1799">
        <w:rPr>
          <w:lang w:val="fr-FR"/>
        </w:rPr>
        <w:t>.</w:t>
      </w:r>
    </w:p>
    <w:p w14:paraId="22A7079A" w14:textId="77777777" w:rsidR="005C5C6A" w:rsidRPr="00FF65D6" w:rsidRDefault="005C5C6A" w:rsidP="00F34341">
      <w:pPr>
        <w:pStyle w:val="SingleTxtG"/>
        <w:rPr>
          <w:lang w:val="fr-FR"/>
        </w:rPr>
      </w:pPr>
      <w:r w:rsidRPr="00FF65D6">
        <w:rPr>
          <w:lang w:val="fr-FR"/>
        </w:rPr>
        <w:t>185</w:t>
      </w:r>
      <w:r w:rsidR="005C1799" w:rsidRPr="005C1799">
        <w:rPr>
          <w:lang w:val="fr-FR"/>
        </w:rPr>
        <w:t>.</w:t>
      </w:r>
      <w:r w:rsidRPr="00FF65D6">
        <w:rPr>
          <w:lang w:val="fr-FR"/>
        </w:rPr>
        <w:tab/>
        <w:t>Grâce à l</w:t>
      </w:r>
      <w:r w:rsidR="002127F6" w:rsidRPr="00FF65D6">
        <w:rPr>
          <w:lang w:val="fr-FR"/>
        </w:rPr>
        <w:t>’</w:t>
      </w:r>
      <w:r w:rsidRPr="00FF65D6">
        <w:rPr>
          <w:lang w:val="fr-FR"/>
        </w:rPr>
        <w:t>affinement de la politique géorgienne de lutte contre la traite des êtres humains, la Géorgie est classée dans la catégorie 1 selon le rapport de 2016 sur la traite des êtres humains établi par les États-Unis et partage ce classement avec d</w:t>
      </w:r>
      <w:r w:rsidR="002127F6" w:rsidRPr="00FF65D6">
        <w:rPr>
          <w:lang w:val="fr-FR"/>
        </w:rPr>
        <w:t>’</w:t>
      </w:r>
      <w:r w:rsidRPr="00FF65D6">
        <w:rPr>
          <w:lang w:val="fr-FR"/>
        </w:rPr>
        <w:t>autres pays occidentaux et les États membres de l</w:t>
      </w:r>
      <w:r w:rsidR="002127F6" w:rsidRPr="00FF65D6">
        <w:rPr>
          <w:lang w:val="fr-FR"/>
        </w:rPr>
        <w:t>’</w:t>
      </w:r>
      <w:r w:rsidRPr="00FF65D6">
        <w:rPr>
          <w:lang w:val="fr-FR"/>
        </w:rPr>
        <w:t>Union européenne</w:t>
      </w:r>
      <w:r w:rsidR="005C1799" w:rsidRPr="005C1799">
        <w:rPr>
          <w:lang w:val="fr-FR"/>
        </w:rPr>
        <w:t>.</w:t>
      </w:r>
    </w:p>
    <w:p w14:paraId="7CDB733C" w14:textId="77777777" w:rsidR="005C5C6A" w:rsidRPr="00FF65D6" w:rsidRDefault="005C5C6A" w:rsidP="00F34341">
      <w:pPr>
        <w:pStyle w:val="SingleTxtG"/>
        <w:rPr>
          <w:lang w:val="fr-FR"/>
        </w:rPr>
      </w:pPr>
      <w:r w:rsidRPr="00FF65D6">
        <w:rPr>
          <w:lang w:val="fr-FR"/>
        </w:rPr>
        <w:t>186</w:t>
      </w:r>
      <w:r w:rsidR="005C1799" w:rsidRPr="005C1799">
        <w:rPr>
          <w:lang w:val="fr-FR"/>
        </w:rPr>
        <w:t>.</w:t>
      </w:r>
      <w:r w:rsidRPr="00FF65D6">
        <w:rPr>
          <w:lang w:val="fr-FR"/>
        </w:rPr>
        <w:tab/>
        <w:t>En outre, le Groupe d</w:t>
      </w:r>
      <w:r w:rsidR="002127F6" w:rsidRPr="00FF65D6">
        <w:rPr>
          <w:lang w:val="fr-FR"/>
        </w:rPr>
        <w:t>’</w:t>
      </w:r>
      <w:r w:rsidRPr="00FF65D6">
        <w:rPr>
          <w:lang w:val="fr-FR"/>
        </w:rPr>
        <w:t>experts sur la lutte contre la traite des êtres humains (GRETA) a, dans son deuxième rapport d</w:t>
      </w:r>
      <w:r w:rsidR="002127F6" w:rsidRPr="00FF65D6">
        <w:rPr>
          <w:lang w:val="fr-FR"/>
        </w:rPr>
        <w:t>’</w:t>
      </w:r>
      <w:r w:rsidRPr="00FF65D6">
        <w:rPr>
          <w:lang w:val="fr-FR"/>
        </w:rPr>
        <w:t>évaluation, publié le 3 juin 2016, évalué positivement les mesures de lutte contre la traite prises par la Géorgie</w:t>
      </w:r>
      <w:r w:rsidR="005C1799" w:rsidRPr="005C1799">
        <w:rPr>
          <w:lang w:val="fr-FR"/>
        </w:rPr>
        <w:t>.</w:t>
      </w:r>
    </w:p>
    <w:p w14:paraId="09E0D244" w14:textId="77777777" w:rsidR="005C5C6A" w:rsidRPr="00FF65D6" w:rsidRDefault="005C5C6A" w:rsidP="00F34341">
      <w:pPr>
        <w:pStyle w:val="SingleTxtG"/>
        <w:rPr>
          <w:lang w:val="fr-FR"/>
        </w:rPr>
      </w:pPr>
      <w:r w:rsidRPr="00FF65D6">
        <w:rPr>
          <w:lang w:val="fr-FR"/>
        </w:rPr>
        <w:t>187</w:t>
      </w:r>
      <w:r w:rsidR="005C1799" w:rsidRPr="005C1799">
        <w:rPr>
          <w:lang w:val="fr-FR"/>
        </w:rPr>
        <w:t>.</w:t>
      </w:r>
      <w:r w:rsidRPr="00FF65D6">
        <w:rPr>
          <w:lang w:val="fr-FR"/>
        </w:rPr>
        <w:tab/>
        <w:t>Selon l</w:t>
      </w:r>
      <w:r w:rsidR="002127F6" w:rsidRPr="00FF65D6">
        <w:rPr>
          <w:lang w:val="fr-FR"/>
        </w:rPr>
        <w:t>’</w:t>
      </w:r>
      <w:r w:rsidRPr="00FF65D6">
        <w:rPr>
          <w:lang w:val="fr-FR"/>
        </w:rPr>
        <w:t>Indice mondial de l</w:t>
      </w:r>
      <w:r w:rsidR="002127F6" w:rsidRPr="00FF65D6">
        <w:rPr>
          <w:lang w:val="fr-FR"/>
        </w:rPr>
        <w:t>’</w:t>
      </w:r>
      <w:r w:rsidRPr="00FF65D6">
        <w:rPr>
          <w:lang w:val="fr-FR"/>
        </w:rPr>
        <w:t>esclavage (Global Slavery Index) de 2016, le Gouvernement géorgien est classé parmi les autorités qui agissent le plus pour mettre un terme à la traite des êtres humains</w:t>
      </w:r>
      <w:r w:rsidR="005C1799" w:rsidRPr="005C1799">
        <w:rPr>
          <w:lang w:val="fr-FR"/>
        </w:rPr>
        <w:t>.</w:t>
      </w:r>
      <w:r w:rsidRPr="00FF65D6">
        <w:rPr>
          <w:lang w:val="fr-FR"/>
        </w:rPr>
        <w:t xml:space="preserve"> La Géorgie occupe la 17</w:t>
      </w:r>
      <w:r w:rsidRPr="00FF65D6">
        <w:rPr>
          <w:vertAlign w:val="superscript"/>
          <w:lang w:val="fr-FR"/>
        </w:rPr>
        <w:t>e</w:t>
      </w:r>
      <w:r w:rsidR="00797A16" w:rsidRPr="00FF65D6">
        <w:rPr>
          <w:lang w:val="fr-FR"/>
        </w:rPr>
        <w:t> </w:t>
      </w:r>
      <w:r w:rsidRPr="00FF65D6">
        <w:rPr>
          <w:lang w:val="fr-FR"/>
        </w:rPr>
        <w:t>place sur 167 pays et la deuxième place du classement établi eu égard au PIB</w:t>
      </w:r>
      <w:r w:rsidR="005C1799" w:rsidRPr="005C1799">
        <w:rPr>
          <w:lang w:val="fr-FR"/>
        </w:rPr>
        <w:t>.</w:t>
      </w:r>
      <w:r w:rsidRPr="00FF65D6">
        <w:rPr>
          <w:lang w:val="fr-FR"/>
        </w:rPr>
        <w:t xml:space="preserve"> Au niveau régional, selon la même source, la Géorgie est classée en première position pour la vigueur des mesures prises par le Gouvernement pour lutter contre l</w:t>
      </w:r>
      <w:r w:rsidR="002127F6" w:rsidRPr="00FF65D6">
        <w:rPr>
          <w:lang w:val="fr-FR"/>
        </w:rPr>
        <w:t>’</w:t>
      </w:r>
      <w:r w:rsidRPr="00FF65D6">
        <w:rPr>
          <w:lang w:val="fr-FR"/>
        </w:rPr>
        <w:t>esclavage</w:t>
      </w:r>
      <w:r w:rsidR="005C1799" w:rsidRPr="005C1799">
        <w:rPr>
          <w:lang w:val="fr-FR"/>
        </w:rPr>
        <w:t>.</w:t>
      </w:r>
      <w:r w:rsidRPr="00FF65D6">
        <w:rPr>
          <w:lang w:val="fr-FR"/>
        </w:rPr>
        <w:t xml:space="preserve"> </w:t>
      </w:r>
    </w:p>
    <w:p w14:paraId="10EF2BC9" w14:textId="77777777" w:rsidR="005C5C6A" w:rsidRPr="00FF65D6" w:rsidRDefault="005C5C6A" w:rsidP="00F34341">
      <w:pPr>
        <w:pStyle w:val="SingleTxtG"/>
        <w:rPr>
          <w:lang w:val="fr-FR"/>
        </w:rPr>
      </w:pPr>
      <w:r w:rsidRPr="00FF65D6">
        <w:rPr>
          <w:lang w:val="fr-FR"/>
        </w:rPr>
        <w:t>188</w:t>
      </w:r>
      <w:r w:rsidR="005C1799" w:rsidRPr="005C1799">
        <w:rPr>
          <w:lang w:val="fr-FR"/>
        </w:rPr>
        <w:t>.</w:t>
      </w:r>
      <w:r w:rsidRPr="00FF65D6">
        <w:rPr>
          <w:lang w:val="fr-FR"/>
        </w:rPr>
        <w:tab/>
        <w:t>Au début de 2013, le Ministère géorgien de l</w:t>
      </w:r>
      <w:r w:rsidR="002127F6" w:rsidRPr="00FF65D6">
        <w:rPr>
          <w:lang w:val="fr-FR"/>
        </w:rPr>
        <w:t>’</w:t>
      </w:r>
      <w:r w:rsidRPr="00FF65D6">
        <w:rPr>
          <w:lang w:val="fr-FR"/>
        </w:rPr>
        <w:t>intérieur a élaboré le projet de loi sur la « coopération internationale en matière de police et de répression » en vue de mettre en œuvre une coopération internationale efficace dans le domaine de la prévention, de la détection et de la répression des infractions, y compris des infractions liées à la traite des personnes, sur la base des traités internationaux, du principe de réciprocité et des décisions ponctuelles prises par le chef ou le chef adjoint des différents services chargés de l</w:t>
      </w:r>
      <w:r w:rsidR="002127F6" w:rsidRPr="00FF65D6">
        <w:rPr>
          <w:lang w:val="fr-FR"/>
        </w:rPr>
        <w:t>’</w:t>
      </w:r>
      <w:r w:rsidRPr="00FF65D6">
        <w:rPr>
          <w:lang w:val="fr-FR"/>
        </w:rPr>
        <w:t>application des lois géorgiennes</w:t>
      </w:r>
      <w:r w:rsidR="005C1799" w:rsidRPr="005C1799">
        <w:rPr>
          <w:lang w:val="fr-FR"/>
        </w:rPr>
        <w:t>.</w:t>
      </w:r>
      <w:r w:rsidRPr="00FF65D6">
        <w:rPr>
          <w:lang w:val="fr-FR"/>
        </w:rPr>
        <w:t xml:space="preserve"> La loi a été adoptée par le Parlement géorgien le 4</w:t>
      </w:r>
      <w:r w:rsidR="00797A16" w:rsidRPr="00FF65D6">
        <w:rPr>
          <w:lang w:val="fr-FR"/>
        </w:rPr>
        <w:t> </w:t>
      </w:r>
      <w:r w:rsidRPr="00FF65D6">
        <w:rPr>
          <w:lang w:val="fr-FR"/>
        </w:rPr>
        <w:t>octobre 2013</w:t>
      </w:r>
      <w:r w:rsidR="005C1799" w:rsidRPr="005C1799">
        <w:rPr>
          <w:lang w:val="fr-FR"/>
        </w:rPr>
        <w:t>.</w:t>
      </w:r>
      <w:r w:rsidRPr="00FF65D6">
        <w:rPr>
          <w:lang w:val="fr-FR"/>
        </w:rPr>
        <w:t xml:space="preserve"> Cette loi vise également à mettre pleinement en œuvre les obligations relatives à la coopération internationale en matière de répression découlant des traités pertinents internationaux bilatéraux et multilatéraux auxquels la Géorgie est partie</w:t>
      </w:r>
      <w:r w:rsidR="005C1799" w:rsidRPr="005C1799">
        <w:rPr>
          <w:lang w:val="fr-FR"/>
        </w:rPr>
        <w:t>.</w:t>
      </w:r>
      <w:r w:rsidRPr="00FF65D6">
        <w:rPr>
          <w:lang w:val="fr-FR"/>
        </w:rPr>
        <w:t xml:space="preserve"> Cette loi renforce les capacités des services chargés de l</w:t>
      </w:r>
      <w:r w:rsidR="002127F6" w:rsidRPr="00FF65D6">
        <w:rPr>
          <w:lang w:val="fr-FR"/>
        </w:rPr>
        <w:t>’</w:t>
      </w:r>
      <w:r w:rsidRPr="00FF65D6">
        <w:rPr>
          <w:lang w:val="fr-FR"/>
        </w:rPr>
        <w:t>application des lois de la Géorgie en matière de coopération internationale aux fins de la lutte contre les infractions liées à la traite</w:t>
      </w:r>
      <w:r w:rsidR="005C1799" w:rsidRPr="005C1799">
        <w:rPr>
          <w:lang w:val="fr-FR"/>
        </w:rPr>
        <w:t>.</w:t>
      </w:r>
      <w:r w:rsidRPr="00FF65D6">
        <w:rPr>
          <w:lang w:val="fr-FR"/>
        </w:rPr>
        <w:t xml:space="preserve"> La loi a été évaluée par une mission d</w:t>
      </w:r>
      <w:r w:rsidR="002127F6" w:rsidRPr="00FF65D6">
        <w:rPr>
          <w:lang w:val="fr-FR"/>
        </w:rPr>
        <w:t>’</w:t>
      </w:r>
      <w:r w:rsidRPr="00FF65D6">
        <w:rPr>
          <w:lang w:val="fr-FR"/>
        </w:rPr>
        <w:t>experts de l</w:t>
      </w:r>
      <w:r w:rsidR="002127F6" w:rsidRPr="00FF65D6">
        <w:rPr>
          <w:lang w:val="fr-FR"/>
        </w:rPr>
        <w:t>’</w:t>
      </w:r>
      <w:r w:rsidRPr="00FF65D6">
        <w:rPr>
          <w:lang w:val="fr-FR"/>
        </w:rPr>
        <w:t>Union européenne organisée dans le cadre du programme TAIEX, qui l</w:t>
      </w:r>
      <w:r w:rsidR="002127F6" w:rsidRPr="00FF65D6">
        <w:rPr>
          <w:lang w:val="fr-FR"/>
        </w:rPr>
        <w:t>’</w:t>
      </w:r>
      <w:r w:rsidRPr="00FF65D6">
        <w:rPr>
          <w:lang w:val="fr-FR"/>
        </w:rPr>
        <w:t>a qualifiée d</w:t>
      </w:r>
      <w:r w:rsidR="002127F6" w:rsidRPr="00FF65D6">
        <w:rPr>
          <w:lang w:val="fr-FR"/>
        </w:rPr>
        <w:t>’</w:t>
      </w:r>
      <w:r w:rsidRPr="00FF65D6">
        <w:rPr>
          <w:lang w:val="fr-FR"/>
        </w:rPr>
        <w:t>excellent document juridique</w:t>
      </w:r>
      <w:r w:rsidR="005C1799" w:rsidRPr="005C1799">
        <w:rPr>
          <w:lang w:val="fr-FR"/>
        </w:rPr>
        <w:t>.</w:t>
      </w:r>
      <w:r w:rsidRPr="00FF65D6">
        <w:rPr>
          <w:lang w:val="fr-FR"/>
        </w:rPr>
        <w:t xml:space="preserve"> Les types de coopération envisagés par la loi sont les suivants</w:t>
      </w:r>
      <w:r w:rsidR="003B7618" w:rsidRPr="00FF65D6">
        <w:rPr>
          <w:lang w:val="fr-FR"/>
        </w:rPr>
        <w:t> :</w:t>
      </w:r>
      <w:r w:rsidRPr="00FF65D6">
        <w:rPr>
          <w:lang w:val="fr-FR"/>
        </w:rPr>
        <w:t xml:space="preserve"> demande, fourniture et échange de renseignements</w:t>
      </w:r>
      <w:r w:rsidR="003B7618" w:rsidRPr="00FF65D6">
        <w:rPr>
          <w:lang w:val="fr-FR"/>
        </w:rPr>
        <w:t> ;</w:t>
      </w:r>
      <w:r w:rsidRPr="00FF65D6">
        <w:rPr>
          <w:lang w:val="fr-FR"/>
        </w:rPr>
        <w:t xml:space="preserve"> recherche de personnes et de biens en vue de les localiser</w:t>
      </w:r>
      <w:r w:rsidR="003B7618" w:rsidRPr="00FF65D6">
        <w:rPr>
          <w:lang w:val="fr-FR"/>
        </w:rPr>
        <w:t> ;</w:t>
      </w:r>
      <w:r w:rsidRPr="00FF65D6">
        <w:rPr>
          <w:lang w:val="fr-FR"/>
        </w:rPr>
        <w:t xml:space="preserve"> livraison surveillée</w:t>
      </w:r>
      <w:r w:rsidR="003B7618" w:rsidRPr="00FF65D6">
        <w:rPr>
          <w:lang w:val="fr-FR"/>
        </w:rPr>
        <w:t> ;</w:t>
      </w:r>
      <w:r w:rsidRPr="00FF65D6">
        <w:rPr>
          <w:lang w:val="fr-FR"/>
        </w:rPr>
        <w:t xml:space="preserve"> mise en place d</w:t>
      </w:r>
      <w:r w:rsidR="002127F6" w:rsidRPr="00FF65D6">
        <w:rPr>
          <w:lang w:val="fr-FR"/>
        </w:rPr>
        <w:t>’</w:t>
      </w:r>
      <w:r w:rsidRPr="00FF65D6">
        <w:rPr>
          <w:lang w:val="fr-FR"/>
        </w:rPr>
        <w:t>équipes conjointes de détection des activités criminelles</w:t>
      </w:r>
      <w:r w:rsidR="003B7618" w:rsidRPr="00FF65D6">
        <w:rPr>
          <w:lang w:val="fr-FR"/>
        </w:rPr>
        <w:t> ;</w:t>
      </w:r>
      <w:r w:rsidRPr="00FF65D6">
        <w:rPr>
          <w:lang w:val="fr-FR"/>
        </w:rPr>
        <w:t xml:space="preserve"> déploiement d</w:t>
      </w:r>
      <w:r w:rsidR="002127F6" w:rsidRPr="00FF65D6">
        <w:rPr>
          <w:lang w:val="fr-FR"/>
        </w:rPr>
        <w:t>’</w:t>
      </w:r>
      <w:r w:rsidRPr="00FF65D6">
        <w:rPr>
          <w:lang w:val="fr-FR"/>
        </w:rPr>
        <w:t>un agent de police infiltré</w:t>
      </w:r>
      <w:r w:rsidR="003B7618" w:rsidRPr="00FF65D6">
        <w:rPr>
          <w:lang w:val="fr-FR"/>
        </w:rPr>
        <w:t> ;</w:t>
      </w:r>
      <w:r w:rsidRPr="00FF65D6">
        <w:rPr>
          <w:lang w:val="fr-FR"/>
        </w:rPr>
        <w:t xml:space="preserve"> observations transfrontalières</w:t>
      </w:r>
      <w:r w:rsidR="003B7618" w:rsidRPr="00FF65D6">
        <w:rPr>
          <w:lang w:val="fr-FR"/>
        </w:rPr>
        <w:t> ;</w:t>
      </w:r>
      <w:r w:rsidRPr="00FF65D6">
        <w:rPr>
          <w:lang w:val="fr-FR"/>
        </w:rPr>
        <w:t xml:space="preserve"> protection des participants aux affaires pénales (protection des témoins)</w:t>
      </w:r>
      <w:r w:rsidR="003B7618" w:rsidRPr="00FF65D6">
        <w:rPr>
          <w:lang w:val="fr-FR"/>
        </w:rPr>
        <w:t> ;</w:t>
      </w:r>
      <w:r w:rsidRPr="00FF65D6">
        <w:rPr>
          <w:lang w:val="fr-FR"/>
        </w:rPr>
        <w:t xml:space="preserve"> collecte clandestine de renseignement criminel</w:t>
      </w:r>
      <w:r w:rsidR="003B7618" w:rsidRPr="00FF65D6">
        <w:rPr>
          <w:lang w:val="fr-FR"/>
        </w:rPr>
        <w:t> ;</w:t>
      </w:r>
      <w:r w:rsidRPr="00FF65D6">
        <w:rPr>
          <w:lang w:val="fr-FR"/>
        </w:rPr>
        <w:t xml:space="preserve"> formes de coopération non opérationnelles</w:t>
      </w:r>
      <w:r w:rsidR="005C1799" w:rsidRPr="005C1799">
        <w:rPr>
          <w:lang w:val="fr-FR"/>
        </w:rPr>
        <w:t>.</w:t>
      </w:r>
    </w:p>
    <w:p w14:paraId="426F7085" w14:textId="77777777" w:rsidR="005C5C6A" w:rsidRPr="00FF65D6" w:rsidRDefault="005C5C6A" w:rsidP="00030039">
      <w:pPr>
        <w:pStyle w:val="H1G"/>
        <w:rPr>
          <w:lang w:val="fr-FR"/>
        </w:rPr>
      </w:pPr>
      <w:bookmarkStart w:id="50" w:name="_Toc472961736"/>
      <w:r w:rsidRPr="00FF65D6">
        <w:rPr>
          <w:lang w:val="fr-FR"/>
        </w:rPr>
        <w:tab/>
        <w:t>B</w:t>
      </w:r>
      <w:r w:rsidR="005C1799" w:rsidRPr="005C1799">
        <w:rPr>
          <w:b w:val="0"/>
          <w:lang w:val="fr-FR"/>
        </w:rPr>
        <w:t>.</w:t>
      </w:r>
      <w:r w:rsidRPr="00FF65D6">
        <w:rPr>
          <w:lang w:val="fr-FR"/>
        </w:rPr>
        <w:tab/>
        <w:t>Renforcement de la coopération bilatérale et régionale</w:t>
      </w:r>
      <w:bookmarkEnd w:id="50"/>
    </w:p>
    <w:p w14:paraId="483C887D" w14:textId="77777777" w:rsidR="005C5C6A" w:rsidRPr="00FF65D6" w:rsidRDefault="005C5C6A" w:rsidP="00F34341">
      <w:pPr>
        <w:pStyle w:val="SingleTxtG"/>
        <w:rPr>
          <w:lang w:val="fr-FR"/>
        </w:rPr>
      </w:pPr>
      <w:r w:rsidRPr="00FF65D6">
        <w:rPr>
          <w:lang w:val="fr-FR"/>
        </w:rPr>
        <w:t>189</w:t>
      </w:r>
      <w:r w:rsidR="005C1799" w:rsidRPr="005C1799">
        <w:rPr>
          <w:lang w:val="fr-FR"/>
        </w:rPr>
        <w:t>.</w:t>
      </w:r>
      <w:r w:rsidRPr="00FF65D6">
        <w:rPr>
          <w:lang w:val="fr-FR"/>
        </w:rPr>
        <w:tab/>
        <w:t>En 2013, la principale division chargée de la coopération en matière de lutte contre la criminalité internationale et de la coordination des activités des représentants/attachés de police et agents de liaison à l</w:t>
      </w:r>
      <w:r w:rsidR="002127F6" w:rsidRPr="00FF65D6">
        <w:rPr>
          <w:lang w:val="fr-FR"/>
        </w:rPr>
        <w:t>’</w:t>
      </w:r>
      <w:r w:rsidRPr="00FF65D6">
        <w:rPr>
          <w:lang w:val="fr-FR"/>
        </w:rPr>
        <w:t>étranger du Ministère géorgien de l</w:t>
      </w:r>
      <w:r w:rsidR="002127F6" w:rsidRPr="00FF65D6">
        <w:rPr>
          <w:lang w:val="fr-FR"/>
        </w:rPr>
        <w:t>’</w:t>
      </w:r>
      <w:r w:rsidRPr="00FF65D6">
        <w:rPr>
          <w:lang w:val="fr-FR"/>
        </w:rPr>
        <w:t>intérieur, le Centre de coopération pénale internationale, a été créé au sein du Département central de la police criminelle, qui relève du Ministère de l</w:t>
      </w:r>
      <w:r w:rsidR="002127F6" w:rsidRPr="00FF65D6">
        <w:rPr>
          <w:lang w:val="fr-FR"/>
        </w:rPr>
        <w:t>’</w:t>
      </w:r>
      <w:r w:rsidRPr="00FF65D6">
        <w:rPr>
          <w:lang w:val="fr-FR"/>
        </w:rPr>
        <w:t>intérieur</w:t>
      </w:r>
      <w:r w:rsidR="005C1799" w:rsidRPr="005C1799">
        <w:rPr>
          <w:lang w:val="fr-FR"/>
        </w:rPr>
        <w:t>.</w:t>
      </w:r>
      <w:r w:rsidRPr="00FF65D6">
        <w:rPr>
          <w:lang w:val="fr-FR"/>
        </w:rPr>
        <w:t xml:space="preserve"> </w:t>
      </w:r>
    </w:p>
    <w:p w14:paraId="554D0C02" w14:textId="77777777" w:rsidR="005C5C6A" w:rsidRPr="00FF65D6" w:rsidRDefault="005C5C6A" w:rsidP="00F34341">
      <w:pPr>
        <w:pStyle w:val="SingleTxtG"/>
        <w:rPr>
          <w:lang w:val="fr-FR"/>
        </w:rPr>
      </w:pPr>
      <w:r w:rsidRPr="00FF65D6">
        <w:rPr>
          <w:lang w:val="fr-FR"/>
        </w:rPr>
        <w:t>190</w:t>
      </w:r>
      <w:r w:rsidR="005C1799" w:rsidRPr="005C1799">
        <w:rPr>
          <w:lang w:val="fr-FR"/>
        </w:rPr>
        <w:t>.</w:t>
      </w:r>
      <w:r w:rsidRPr="00FF65D6">
        <w:rPr>
          <w:lang w:val="fr-FR"/>
        </w:rPr>
        <w:tab/>
        <w:t>Les principales fonctions du Centre consistent à représenter le Ministère de l</w:t>
      </w:r>
      <w:r w:rsidR="002127F6" w:rsidRPr="00FF65D6">
        <w:rPr>
          <w:lang w:val="fr-FR"/>
        </w:rPr>
        <w:t>’</w:t>
      </w:r>
      <w:r w:rsidRPr="00FF65D6">
        <w:rPr>
          <w:lang w:val="fr-FR"/>
        </w:rPr>
        <w:t>intérieur auprès des organisations internationales et dans les États étrangers par l</w:t>
      </w:r>
      <w:r w:rsidR="002127F6" w:rsidRPr="00FF65D6">
        <w:rPr>
          <w:lang w:val="fr-FR"/>
        </w:rPr>
        <w:t>’</w:t>
      </w:r>
      <w:r w:rsidRPr="00FF65D6">
        <w:rPr>
          <w:lang w:val="fr-FR"/>
        </w:rPr>
        <w:t>intermédiaire de représentants détachés, d</w:t>
      </w:r>
      <w:r w:rsidR="002127F6" w:rsidRPr="00FF65D6">
        <w:rPr>
          <w:lang w:val="fr-FR"/>
        </w:rPr>
        <w:t>’</w:t>
      </w:r>
      <w:r w:rsidRPr="00FF65D6">
        <w:rPr>
          <w:lang w:val="fr-FR"/>
        </w:rPr>
        <w:t>attachés de police et d</w:t>
      </w:r>
      <w:r w:rsidR="002127F6" w:rsidRPr="00FF65D6">
        <w:rPr>
          <w:lang w:val="fr-FR"/>
        </w:rPr>
        <w:t>’</w:t>
      </w:r>
      <w:r w:rsidRPr="00FF65D6">
        <w:rPr>
          <w:lang w:val="fr-FR"/>
        </w:rPr>
        <w:t>officiers de liaison, à coopérer avec ses homologues étrangers au niveau opérationnel, notamment pour appliquer les dispositions pertinentes des accords de coopération internationale et de la loi géorgienne relative à la coopération internationale en matière de répression, dans le domaine opérationnel de la coopération</w:t>
      </w:r>
      <w:r w:rsidR="005C1799" w:rsidRPr="005C1799">
        <w:rPr>
          <w:lang w:val="fr-FR"/>
        </w:rPr>
        <w:t>.</w:t>
      </w:r>
    </w:p>
    <w:p w14:paraId="07D29873" w14:textId="77777777" w:rsidR="005C5C6A" w:rsidRPr="00FF65D6" w:rsidRDefault="005C5C6A" w:rsidP="00F34341">
      <w:pPr>
        <w:pStyle w:val="SingleTxtG"/>
        <w:rPr>
          <w:lang w:val="fr-FR"/>
        </w:rPr>
      </w:pPr>
      <w:r w:rsidRPr="00FF65D6">
        <w:rPr>
          <w:lang w:val="fr-FR"/>
        </w:rPr>
        <w:t>191</w:t>
      </w:r>
      <w:r w:rsidR="005C1799" w:rsidRPr="005C1799">
        <w:rPr>
          <w:lang w:val="fr-FR"/>
        </w:rPr>
        <w:t>.</w:t>
      </w:r>
      <w:r w:rsidRPr="00FF65D6">
        <w:rPr>
          <w:lang w:val="fr-FR"/>
        </w:rPr>
        <w:tab/>
        <w:t>Depuis le 1</w:t>
      </w:r>
      <w:r w:rsidRPr="00FF65D6">
        <w:rPr>
          <w:vertAlign w:val="superscript"/>
          <w:lang w:val="fr-FR"/>
        </w:rPr>
        <w:t>er</w:t>
      </w:r>
      <w:r w:rsidRPr="00FF65D6">
        <w:rPr>
          <w:lang w:val="fr-FR"/>
        </w:rPr>
        <w:t xml:space="preserve"> décembre 2014, les fonctions du Centre ont été élargies pour couvrir la coopération régionale dans le cadre du Groupe Géorgie, Ukraine, Azerbaïdjan et Moldova (GUAM), de l</w:t>
      </w:r>
      <w:r w:rsidR="002127F6" w:rsidRPr="00FF65D6">
        <w:rPr>
          <w:lang w:val="fr-FR"/>
        </w:rPr>
        <w:t>’</w:t>
      </w:r>
      <w:r w:rsidRPr="00FF65D6">
        <w:rPr>
          <w:lang w:val="fr-FR"/>
        </w:rPr>
        <w:t>Organisation de coopération économique de la mer Noire (BSEC) et du Centre de coopération en matière de détection et de répression pour l</w:t>
      </w:r>
      <w:r w:rsidR="002127F6" w:rsidRPr="00FF65D6">
        <w:rPr>
          <w:lang w:val="fr-FR"/>
        </w:rPr>
        <w:t>’</w:t>
      </w:r>
      <w:r w:rsidRPr="00FF65D6">
        <w:rPr>
          <w:lang w:val="fr-FR"/>
        </w:rPr>
        <w:t>Europe du Sud-Est (SELEC)</w:t>
      </w:r>
      <w:r w:rsidR="005C1799" w:rsidRPr="005C1799">
        <w:rPr>
          <w:lang w:val="fr-FR"/>
        </w:rPr>
        <w:t>.</w:t>
      </w:r>
      <w:r w:rsidRPr="00FF65D6">
        <w:rPr>
          <w:lang w:val="fr-FR"/>
        </w:rPr>
        <w:t xml:space="preserve"> En ce qui concerne la coopération policière au titre de l</w:t>
      </w:r>
      <w:r w:rsidR="002127F6" w:rsidRPr="00FF65D6">
        <w:rPr>
          <w:lang w:val="fr-FR"/>
        </w:rPr>
        <w:t>’</w:t>
      </w:r>
      <w:r w:rsidRPr="00FF65D6">
        <w:rPr>
          <w:lang w:val="fr-FR"/>
        </w:rPr>
        <w:t>application des lois nationales dans le cadre du GUAM, le Centre est doté de moyens techniques appropriés qui permettent l</w:t>
      </w:r>
      <w:r w:rsidR="002127F6" w:rsidRPr="00FF65D6">
        <w:rPr>
          <w:lang w:val="fr-FR"/>
        </w:rPr>
        <w:t>’</w:t>
      </w:r>
      <w:r w:rsidRPr="00FF65D6">
        <w:rPr>
          <w:lang w:val="fr-FR"/>
        </w:rPr>
        <w:t>échange rapide d</w:t>
      </w:r>
      <w:r w:rsidR="002127F6" w:rsidRPr="00FF65D6">
        <w:rPr>
          <w:lang w:val="fr-FR"/>
        </w:rPr>
        <w:t>’</w:t>
      </w:r>
      <w:r w:rsidRPr="00FF65D6">
        <w:rPr>
          <w:lang w:val="fr-FR"/>
        </w:rPr>
        <w:t>informations par des voies protégées, la communication directe pendant les opérations conjointes, la tenue de vidéoconférences en ligne et la détection des activités criminelles dans les meilleurs délais possibles</w:t>
      </w:r>
      <w:r w:rsidR="005C1799" w:rsidRPr="005C1799">
        <w:rPr>
          <w:lang w:val="fr-FR"/>
        </w:rPr>
        <w:t>.</w:t>
      </w:r>
      <w:r w:rsidRPr="00FF65D6">
        <w:rPr>
          <w:lang w:val="fr-FR"/>
        </w:rPr>
        <w:t xml:space="preserve"> </w:t>
      </w:r>
    </w:p>
    <w:p w14:paraId="352F2096" w14:textId="77777777" w:rsidR="005C5C6A" w:rsidRPr="00FF65D6" w:rsidRDefault="005C5C6A" w:rsidP="00F34341">
      <w:pPr>
        <w:pStyle w:val="SingleTxtG"/>
        <w:rPr>
          <w:lang w:val="fr-FR"/>
        </w:rPr>
      </w:pPr>
      <w:r w:rsidRPr="00FF65D6">
        <w:rPr>
          <w:lang w:val="fr-FR"/>
        </w:rPr>
        <w:t>192</w:t>
      </w:r>
      <w:r w:rsidR="005C1799" w:rsidRPr="005C1799">
        <w:rPr>
          <w:lang w:val="fr-FR"/>
        </w:rPr>
        <w:t>.</w:t>
      </w:r>
      <w:r w:rsidRPr="00FF65D6">
        <w:rPr>
          <w:lang w:val="fr-FR"/>
        </w:rPr>
        <w:tab/>
        <w:t>La coopération au moyen d</w:t>
      </w:r>
      <w:r w:rsidR="002127F6" w:rsidRPr="00FF65D6">
        <w:rPr>
          <w:lang w:val="fr-FR"/>
        </w:rPr>
        <w:t>’</w:t>
      </w:r>
      <w:r w:rsidRPr="00FF65D6">
        <w:rPr>
          <w:lang w:val="fr-FR"/>
        </w:rPr>
        <w:t>attachés de police a été considérablement renforcée ces dernières années</w:t>
      </w:r>
      <w:r w:rsidR="005C1799" w:rsidRPr="005C1799">
        <w:rPr>
          <w:lang w:val="fr-FR"/>
        </w:rPr>
        <w:t>.</w:t>
      </w:r>
      <w:r w:rsidRPr="00FF65D6">
        <w:rPr>
          <w:lang w:val="fr-FR"/>
        </w:rPr>
        <w:t xml:space="preserve"> Les formes de coopération sont notamment les suivantes</w:t>
      </w:r>
      <w:r w:rsidR="003B7618" w:rsidRPr="00FF65D6">
        <w:rPr>
          <w:lang w:val="fr-FR"/>
        </w:rPr>
        <w:t> :</w:t>
      </w:r>
      <w:r w:rsidRPr="00FF65D6">
        <w:rPr>
          <w:lang w:val="fr-FR"/>
        </w:rPr>
        <w:t xml:space="preserve"> échange d</w:t>
      </w:r>
      <w:r w:rsidR="002127F6" w:rsidRPr="00FF65D6">
        <w:rPr>
          <w:lang w:val="fr-FR"/>
        </w:rPr>
        <w:t>’</w:t>
      </w:r>
      <w:r w:rsidRPr="00FF65D6">
        <w:rPr>
          <w:lang w:val="fr-FR"/>
        </w:rPr>
        <w:t>informations pertinentes (y compris des renseignements criminels), meilleures pratiques, statistiques, mesures conjointes, adoption et mise en œuvre de plans annuels d</w:t>
      </w:r>
      <w:r w:rsidR="002127F6" w:rsidRPr="00FF65D6">
        <w:rPr>
          <w:lang w:val="fr-FR"/>
        </w:rPr>
        <w:t>’</w:t>
      </w:r>
      <w:r w:rsidRPr="00FF65D6">
        <w:rPr>
          <w:lang w:val="fr-FR"/>
        </w:rPr>
        <w:t>assistance et de coopération, formations et visites d</w:t>
      </w:r>
      <w:r w:rsidR="002127F6" w:rsidRPr="00FF65D6">
        <w:rPr>
          <w:lang w:val="fr-FR"/>
        </w:rPr>
        <w:t>’</w:t>
      </w:r>
      <w:r w:rsidRPr="00FF65D6">
        <w:rPr>
          <w:lang w:val="fr-FR"/>
        </w:rPr>
        <w:t>études</w:t>
      </w:r>
      <w:r w:rsidR="005C1799" w:rsidRPr="005C1799">
        <w:rPr>
          <w:lang w:val="fr-FR"/>
        </w:rPr>
        <w:t>.</w:t>
      </w:r>
      <w:r w:rsidRPr="00FF65D6">
        <w:rPr>
          <w:lang w:val="fr-FR"/>
        </w:rPr>
        <w:t xml:space="preserve"> Le </w:t>
      </w:r>
      <w:r w:rsidR="003801A3">
        <w:rPr>
          <w:lang w:val="fr-FR"/>
        </w:rPr>
        <w:t>M</w:t>
      </w:r>
      <w:r w:rsidRPr="00FF65D6">
        <w:rPr>
          <w:lang w:val="fr-FR"/>
        </w:rPr>
        <w:t>inistère a déjà déployé des attachés de police dans les 13 pays suivants</w:t>
      </w:r>
      <w:r w:rsidR="003B7618" w:rsidRPr="00FF65D6">
        <w:rPr>
          <w:lang w:val="fr-FR"/>
        </w:rPr>
        <w:t> :</w:t>
      </w:r>
      <w:r w:rsidRPr="00FF65D6">
        <w:rPr>
          <w:lang w:val="fr-FR"/>
        </w:rPr>
        <w:t xml:space="preserve"> Allemagne, Arménie, Autriche, Azerbaïdjan, Bélarus, Espagne, France, Grèce, Italie, Pologne, Suède, Turquie et Ukraine</w:t>
      </w:r>
      <w:r w:rsidR="005C1799" w:rsidRPr="005C1799">
        <w:rPr>
          <w:lang w:val="fr-FR"/>
        </w:rPr>
        <w:t>.</w:t>
      </w:r>
      <w:r w:rsidRPr="00FF65D6">
        <w:rPr>
          <w:lang w:val="fr-FR"/>
        </w:rPr>
        <w:t xml:space="preserve"> Après l</w:t>
      </w:r>
      <w:r w:rsidR="002127F6" w:rsidRPr="00FF65D6">
        <w:rPr>
          <w:lang w:val="fr-FR"/>
        </w:rPr>
        <w:t>’</w:t>
      </w:r>
      <w:r w:rsidRPr="00FF65D6">
        <w:rPr>
          <w:lang w:val="fr-FR"/>
        </w:rPr>
        <w:t>entrée en vigueur de l</w:t>
      </w:r>
      <w:r w:rsidR="002127F6" w:rsidRPr="00FF65D6">
        <w:rPr>
          <w:lang w:val="fr-FR"/>
        </w:rPr>
        <w:t>’</w:t>
      </w:r>
      <w:r w:rsidRPr="00FF65D6">
        <w:rPr>
          <w:lang w:val="fr-FR"/>
        </w:rPr>
        <w:t>accord de coopération opérationnelle et stratégique avec Europol, la Géorgie déploiera son officier de liaison au siège d</w:t>
      </w:r>
      <w:r w:rsidR="002127F6" w:rsidRPr="00FF65D6">
        <w:rPr>
          <w:lang w:val="fr-FR"/>
        </w:rPr>
        <w:t>’</w:t>
      </w:r>
      <w:r w:rsidR="008E30DB">
        <w:rPr>
          <w:lang w:val="fr-FR"/>
        </w:rPr>
        <w:t>Europol</w:t>
      </w:r>
      <w:r w:rsidRPr="00FF65D6">
        <w:rPr>
          <w:lang w:val="fr-FR"/>
        </w:rPr>
        <w:t xml:space="preserve"> à La Haye (très probablement en 2017)</w:t>
      </w:r>
      <w:r w:rsidR="005C1799" w:rsidRPr="005C1799">
        <w:rPr>
          <w:lang w:val="fr-FR"/>
        </w:rPr>
        <w:t>.</w:t>
      </w:r>
    </w:p>
    <w:p w14:paraId="6C01E5CB" w14:textId="77777777" w:rsidR="005C5C6A" w:rsidRPr="00FF65D6" w:rsidRDefault="005C5C6A" w:rsidP="00F34341">
      <w:pPr>
        <w:pStyle w:val="SingleTxtG"/>
        <w:rPr>
          <w:lang w:val="fr-FR"/>
        </w:rPr>
      </w:pPr>
      <w:r w:rsidRPr="00FF65D6">
        <w:rPr>
          <w:lang w:val="fr-FR"/>
        </w:rPr>
        <w:t>193</w:t>
      </w:r>
      <w:r w:rsidR="005C1799" w:rsidRPr="005C1799">
        <w:rPr>
          <w:lang w:val="fr-FR"/>
        </w:rPr>
        <w:t>.</w:t>
      </w:r>
      <w:r w:rsidRPr="00FF65D6">
        <w:rPr>
          <w:lang w:val="fr-FR"/>
        </w:rPr>
        <w:tab/>
        <w:t>Développement de la coopération fondée sur les attachés de police</w:t>
      </w:r>
      <w:r w:rsidR="003B7618" w:rsidRPr="00FF65D6">
        <w:rPr>
          <w:lang w:val="fr-FR"/>
        </w:rPr>
        <w:t> :</w:t>
      </w:r>
    </w:p>
    <w:p w14:paraId="1FD98BA4" w14:textId="77777777" w:rsidR="005C5C6A" w:rsidRPr="00FF65D6" w:rsidRDefault="005C5C6A" w:rsidP="00030039">
      <w:pPr>
        <w:pStyle w:val="Bullet1G"/>
        <w:rPr>
          <w:lang w:val="fr-FR"/>
        </w:rPr>
      </w:pPr>
      <w:r w:rsidRPr="00FF65D6">
        <w:rPr>
          <w:lang w:val="fr-FR"/>
        </w:rPr>
        <w:t>Au cours de la période 2005-2013, seuls quatre attachés de police au total ont été déployés, en Arménie, en Autriche, en Azerbaïdjan et en Ukraine</w:t>
      </w:r>
      <w:r w:rsidR="003B7618" w:rsidRPr="00FF65D6">
        <w:rPr>
          <w:lang w:val="fr-FR"/>
        </w:rPr>
        <w:t> ;</w:t>
      </w:r>
    </w:p>
    <w:p w14:paraId="77CEE5D2" w14:textId="77777777" w:rsidR="005C5C6A" w:rsidRPr="00FF65D6" w:rsidRDefault="005C5C6A" w:rsidP="00030039">
      <w:pPr>
        <w:pStyle w:val="Bullet1G"/>
        <w:rPr>
          <w:lang w:val="fr-FR"/>
        </w:rPr>
      </w:pPr>
      <w:r w:rsidRPr="00FF65D6">
        <w:rPr>
          <w:lang w:val="fr-FR"/>
        </w:rPr>
        <w:t>En 2014, quatre autres attachés de police ont été déployés, au Bélarus, en France, en Grèce et en Turquie</w:t>
      </w:r>
      <w:r w:rsidR="003B7618" w:rsidRPr="00FF65D6">
        <w:rPr>
          <w:lang w:val="fr-FR"/>
        </w:rPr>
        <w:t> ;</w:t>
      </w:r>
    </w:p>
    <w:p w14:paraId="5753A1EC" w14:textId="77777777" w:rsidR="005C5C6A" w:rsidRPr="00FF65D6" w:rsidRDefault="005C5C6A" w:rsidP="00030039">
      <w:pPr>
        <w:pStyle w:val="Bullet1G"/>
        <w:rPr>
          <w:lang w:val="fr-FR"/>
        </w:rPr>
      </w:pPr>
      <w:r w:rsidRPr="00FF65D6">
        <w:rPr>
          <w:lang w:val="fr-FR"/>
        </w:rPr>
        <w:t>En 2015, trois autres attachés de police ont été déployés, en Allemagne, en Espagne et en Pologne (couvrant également l</w:t>
      </w:r>
      <w:r w:rsidR="002127F6" w:rsidRPr="00FF65D6">
        <w:rPr>
          <w:lang w:val="fr-FR"/>
        </w:rPr>
        <w:t>’</w:t>
      </w:r>
      <w:r w:rsidRPr="00FF65D6">
        <w:rPr>
          <w:lang w:val="fr-FR"/>
        </w:rPr>
        <w:t>Estonie, la Lettonie et la Lituanie)</w:t>
      </w:r>
      <w:r w:rsidR="003B7618" w:rsidRPr="00FF65D6">
        <w:rPr>
          <w:lang w:val="fr-FR"/>
        </w:rPr>
        <w:t> ;</w:t>
      </w:r>
    </w:p>
    <w:p w14:paraId="3E77C5A8" w14:textId="77777777" w:rsidR="005C5C6A" w:rsidRPr="00FF65D6" w:rsidRDefault="005C5C6A" w:rsidP="00030039">
      <w:pPr>
        <w:pStyle w:val="Bullet1G"/>
        <w:rPr>
          <w:lang w:val="fr-FR"/>
        </w:rPr>
      </w:pPr>
      <w:r w:rsidRPr="00FF65D6">
        <w:rPr>
          <w:lang w:val="fr-FR"/>
        </w:rPr>
        <w:t xml:space="preserve">En 2016, deux autres attachés de police ont été déployés, en Italie et </w:t>
      </w:r>
      <w:r w:rsidR="003801A3">
        <w:rPr>
          <w:lang w:val="fr-FR"/>
        </w:rPr>
        <w:t xml:space="preserve">en </w:t>
      </w:r>
      <w:r w:rsidRPr="00FF65D6">
        <w:rPr>
          <w:lang w:val="fr-FR"/>
        </w:rPr>
        <w:t>Suède</w:t>
      </w:r>
      <w:r w:rsidR="003B7618" w:rsidRPr="00FF65D6">
        <w:rPr>
          <w:lang w:val="fr-FR"/>
        </w:rPr>
        <w:t> ;</w:t>
      </w:r>
    </w:p>
    <w:p w14:paraId="13E69F97" w14:textId="77777777" w:rsidR="005C5C6A" w:rsidRPr="00FF65D6" w:rsidRDefault="005C5C6A" w:rsidP="00030039">
      <w:pPr>
        <w:pStyle w:val="Bullet1G"/>
        <w:rPr>
          <w:lang w:val="fr-FR"/>
        </w:rPr>
      </w:pPr>
      <w:r w:rsidRPr="00FF65D6">
        <w:rPr>
          <w:lang w:val="fr-FR"/>
        </w:rPr>
        <w:t>En 2017, un officier de liaison sera déployé au siège d</w:t>
      </w:r>
      <w:r w:rsidR="002127F6" w:rsidRPr="00FF65D6">
        <w:rPr>
          <w:lang w:val="fr-FR"/>
        </w:rPr>
        <w:t>’</w:t>
      </w:r>
      <w:r w:rsidR="008E30DB">
        <w:rPr>
          <w:lang w:val="fr-FR"/>
        </w:rPr>
        <w:t>Europol</w:t>
      </w:r>
      <w:r w:rsidRPr="00FF65D6">
        <w:rPr>
          <w:lang w:val="fr-FR"/>
        </w:rPr>
        <w:t>, à La Haye</w:t>
      </w:r>
      <w:r w:rsidR="005C1799" w:rsidRPr="005C1799">
        <w:rPr>
          <w:lang w:val="fr-FR"/>
        </w:rPr>
        <w:t>.</w:t>
      </w:r>
      <w:r w:rsidRPr="00FF65D6">
        <w:rPr>
          <w:lang w:val="fr-FR"/>
        </w:rPr>
        <w:t xml:space="preserve"> </w:t>
      </w:r>
    </w:p>
    <w:p w14:paraId="11852A5E" w14:textId="77777777" w:rsidR="005C5C6A" w:rsidRPr="00FF65D6" w:rsidRDefault="005C5C6A" w:rsidP="00030039">
      <w:pPr>
        <w:pStyle w:val="Bullet1G"/>
        <w:rPr>
          <w:lang w:val="fr-FR"/>
        </w:rPr>
      </w:pPr>
      <w:r w:rsidRPr="00FF65D6">
        <w:rPr>
          <w:lang w:val="fr-FR"/>
        </w:rPr>
        <w:t>En outre, des attachés de police et de sécurité de l</w:t>
      </w:r>
      <w:r w:rsidR="002127F6" w:rsidRPr="00FF65D6">
        <w:rPr>
          <w:lang w:val="fr-FR"/>
        </w:rPr>
        <w:t>’</w:t>
      </w:r>
      <w:r w:rsidRPr="00FF65D6">
        <w:rPr>
          <w:lang w:val="fr-FR"/>
        </w:rPr>
        <w:t>Arménie, de l</w:t>
      </w:r>
      <w:r w:rsidR="002127F6" w:rsidRPr="00FF65D6">
        <w:rPr>
          <w:lang w:val="fr-FR"/>
        </w:rPr>
        <w:t>’</w:t>
      </w:r>
      <w:r w:rsidRPr="00FF65D6">
        <w:rPr>
          <w:lang w:val="fr-FR"/>
        </w:rPr>
        <w:t>Autriche, de l</w:t>
      </w:r>
      <w:r w:rsidR="002127F6" w:rsidRPr="00FF65D6">
        <w:rPr>
          <w:lang w:val="fr-FR"/>
        </w:rPr>
        <w:t>’</w:t>
      </w:r>
      <w:r w:rsidRPr="00FF65D6">
        <w:rPr>
          <w:lang w:val="fr-FR"/>
        </w:rPr>
        <w:t>Azerbaïdjan, des États-Unis, de la France, de la Grèce, de la Lettonie, de la Turquie et de l</w:t>
      </w:r>
      <w:r w:rsidR="002127F6" w:rsidRPr="00FF65D6">
        <w:rPr>
          <w:lang w:val="fr-FR"/>
        </w:rPr>
        <w:t>’</w:t>
      </w:r>
      <w:r w:rsidRPr="00FF65D6">
        <w:rPr>
          <w:lang w:val="fr-FR"/>
        </w:rPr>
        <w:t>Ukraine sont déployés en Géorgie, tandis que des attachés de police et de sécurité de l</w:t>
      </w:r>
      <w:r w:rsidR="002127F6" w:rsidRPr="00FF65D6">
        <w:rPr>
          <w:lang w:val="fr-FR"/>
        </w:rPr>
        <w:t>’</w:t>
      </w:r>
      <w:r w:rsidRPr="00FF65D6">
        <w:rPr>
          <w:lang w:val="fr-FR"/>
        </w:rPr>
        <w:t>Allemagne, du Bélarus, de la Belgique, de l</w:t>
      </w:r>
      <w:r w:rsidR="002127F6" w:rsidRPr="00FF65D6">
        <w:rPr>
          <w:lang w:val="fr-FR"/>
        </w:rPr>
        <w:t>’</w:t>
      </w:r>
      <w:r w:rsidRPr="00FF65D6">
        <w:rPr>
          <w:lang w:val="fr-FR"/>
        </w:rPr>
        <w:t>Espagne, d</w:t>
      </w:r>
      <w:r w:rsidR="002127F6" w:rsidRPr="00FF65D6">
        <w:rPr>
          <w:lang w:val="fr-FR"/>
        </w:rPr>
        <w:t>’</w:t>
      </w:r>
      <w:r w:rsidRPr="00FF65D6">
        <w:rPr>
          <w:lang w:val="fr-FR"/>
        </w:rPr>
        <w:t>Israël, de l</w:t>
      </w:r>
      <w:r w:rsidR="002127F6" w:rsidRPr="00FF65D6">
        <w:rPr>
          <w:lang w:val="fr-FR"/>
        </w:rPr>
        <w:t>’</w:t>
      </w:r>
      <w:r w:rsidRPr="00FF65D6">
        <w:rPr>
          <w:lang w:val="fr-FR"/>
        </w:rPr>
        <w:t xml:space="preserve">Italie, des Pays-Bas, du Royaume-Uni </w:t>
      </w:r>
      <w:r w:rsidR="003801A3">
        <w:rPr>
          <w:lang w:val="fr-FR"/>
        </w:rPr>
        <w:t xml:space="preserve">et de </w:t>
      </w:r>
      <w:r w:rsidR="003801A3" w:rsidRPr="00FF65D6">
        <w:rPr>
          <w:lang w:val="fr-FR"/>
        </w:rPr>
        <w:t xml:space="preserve">la </w:t>
      </w:r>
      <w:r w:rsidR="003801A3">
        <w:rPr>
          <w:lang w:val="fr-FR"/>
        </w:rPr>
        <w:t>T</w:t>
      </w:r>
      <w:r w:rsidR="003801A3" w:rsidRPr="00FF65D6">
        <w:rPr>
          <w:lang w:val="fr-FR"/>
        </w:rPr>
        <w:t>ch</w:t>
      </w:r>
      <w:r w:rsidR="003801A3">
        <w:rPr>
          <w:lang w:val="fr-FR"/>
        </w:rPr>
        <w:t>é</w:t>
      </w:r>
      <w:r w:rsidR="003801A3" w:rsidRPr="00FF65D6">
        <w:rPr>
          <w:lang w:val="fr-FR"/>
        </w:rPr>
        <w:t>qu</w:t>
      </w:r>
      <w:r w:rsidR="003801A3">
        <w:rPr>
          <w:lang w:val="fr-FR"/>
        </w:rPr>
        <w:t>ie</w:t>
      </w:r>
      <w:r w:rsidR="003801A3" w:rsidRPr="00FF65D6">
        <w:rPr>
          <w:lang w:val="fr-FR"/>
        </w:rPr>
        <w:t xml:space="preserve"> </w:t>
      </w:r>
      <w:r w:rsidRPr="00FF65D6">
        <w:rPr>
          <w:lang w:val="fr-FR"/>
        </w:rPr>
        <w:t>couvrent la Géorgie depuis un pays tiers</w:t>
      </w:r>
      <w:r w:rsidR="005C1799" w:rsidRPr="005C1799">
        <w:rPr>
          <w:lang w:val="fr-FR"/>
        </w:rPr>
        <w:t>.</w:t>
      </w:r>
      <w:r w:rsidRPr="00FF65D6">
        <w:rPr>
          <w:lang w:val="fr-FR"/>
        </w:rPr>
        <w:t xml:space="preserve"> </w:t>
      </w:r>
    </w:p>
    <w:p w14:paraId="3CB708B4" w14:textId="77777777" w:rsidR="005C5C6A" w:rsidRPr="00FF65D6" w:rsidRDefault="005C5C6A" w:rsidP="00030039">
      <w:pPr>
        <w:pStyle w:val="H23G"/>
        <w:rPr>
          <w:lang w:val="fr-FR"/>
        </w:rPr>
      </w:pPr>
      <w:r w:rsidRPr="00FF65D6">
        <w:rPr>
          <w:lang w:val="fr-FR"/>
        </w:rPr>
        <w:tab/>
      </w:r>
      <w:r w:rsidRPr="00FF65D6">
        <w:rPr>
          <w:lang w:val="fr-FR"/>
        </w:rPr>
        <w:tab/>
        <w:t>Coopération dans le cadre de groupes de travail</w:t>
      </w:r>
    </w:p>
    <w:p w14:paraId="54D5AFD7" w14:textId="77777777" w:rsidR="005C5C6A" w:rsidRPr="00FF65D6" w:rsidRDefault="005C5C6A" w:rsidP="00F34341">
      <w:pPr>
        <w:pStyle w:val="SingleTxtG"/>
        <w:rPr>
          <w:lang w:val="fr-FR"/>
        </w:rPr>
      </w:pPr>
      <w:r w:rsidRPr="00FF65D6">
        <w:rPr>
          <w:lang w:val="fr-FR"/>
        </w:rPr>
        <w:t>194</w:t>
      </w:r>
      <w:r w:rsidR="005C1799" w:rsidRPr="005C1799">
        <w:rPr>
          <w:lang w:val="fr-FR"/>
        </w:rPr>
        <w:t>.</w:t>
      </w:r>
      <w:r w:rsidRPr="00FF65D6">
        <w:rPr>
          <w:lang w:val="fr-FR"/>
        </w:rPr>
        <w:tab/>
        <w:t>La sixième réunion de la Commission mixte établie conformément à l</w:t>
      </w:r>
      <w:r w:rsidR="002127F6" w:rsidRPr="00FF65D6">
        <w:rPr>
          <w:lang w:val="fr-FR"/>
        </w:rPr>
        <w:t>’</w:t>
      </w:r>
      <w:r w:rsidRPr="00FF65D6">
        <w:rPr>
          <w:lang w:val="fr-FR"/>
        </w:rPr>
        <w:t>article 19 de l</w:t>
      </w:r>
      <w:r w:rsidR="002127F6" w:rsidRPr="00FF65D6">
        <w:rPr>
          <w:lang w:val="fr-FR"/>
        </w:rPr>
        <w:t>’</w:t>
      </w:r>
      <w:r w:rsidR="003801A3">
        <w:rPr>
          <w:lang w:val="fr-FR"/>
        </w:rPr>
        <w:t>A</w:t>
      </w:r>
      <w:r w:rsidRPr="00FF65D6">
        <w:rPr>
          <w:lang w:val="fr-FR"/>
        </w:rPr>
        <w:t>ccord de coopération dans le domaine de la sécurité entre le Gouvernement géorgien et le Gouvernement turc s</w:t>
      </w:r>
      <w:r w:rsidR="002127F6" w:rsidRPr="00FF65D6">
        <w:rPr>
          <w:lang w:val="fr-FR"/>
        </w:rPr>
        <w:t>’</w:t>
      </w:r>
      <w:r w:rsidRPr="00FF65D6">
        <w:rPr>
          <w:lang w:val="fr-FR"/>
        </w:rPr>
        <w:t>est tenue du 6 au 8 mai 2015 à Tbilissi</w:t>
      </w:r>
      <w:r w:rsidR="005C1799" w:rsidRPr="005C1799">
        <w:rPr>
          <w:lang w:val="fr-FR"/>
        </w:rPr>
        <w:t>.</w:t>
      </w:r>
      <w:r w:rsidRPr="00FF65D6">
        <w:rPr>
          <w:lang w:val="fr-FR"/>
        </w:rPr>
        <w:t xml:space="preserve"> </w:t>
      </w:r>
    </w:p>
    <w:p w14:paraId="24C7ABC4" w14:textId="77777777" w:rsidR="005C5C6A" w:rsidRPr="00FF65D6" w:rsidRDefault="005C5C6A" w:rsidP="00F34341">
      <w:pPr>
        <w:pStyle w:val="SingleTxtG"/>
        <w:rPr>
          <w:lang w:val="fr-FR"/>
        </w:rPr>
      </w:pPr>
      <w:r w:rsidRPr="00FF65D6">
        <w:rPr>
          <w:lang w:val="fr-FR"/>
        </w:rPr>
        <w:t>195</w:t>
      </w:r>
      <w:r w:rsidR="005C1799" w:rsidRPr="005C1799">
        <w:rPr>
          <w:lang w:val="fr-FR"/>
        </w:rPr>
        <w:t>.</w:t>
      </w:r>
      <w:r w:rsidRPr="00FF65D6">
        <w:rPr>
          <w:lang w:val="fr-FR"/>
        </w:rPr>
        <w:tab/>
        <w:t>Les parties à la réunion ont échangé des informations pertinentes sur les cas liés à la traite, ont souligné que l</w:t>
      </w:r>
      <w:r w:rsidR="002127F6" w:rsidRPr="00FF65D6">
        <w:rPr>
          <w:lang w:val="fr-FR"/>
        </w:rPr>
        <w:t>’</w:t>
      </w:r>
      <w:r w:rsidRPr="00FF65D6">
        <w:rPr>
          <w:lang w:val="fr-FR"/>
        </w:rPr>
        <w:t>efficacité de leur coopération s</w:t>
      </w:r>
      <w:r w:rsidR="002127F6" w:rsidRPr="00FF65D6">
        <w:rPr>
          <w:lang w:val="fr-FR"/>
        </w:rPr>
        <w:t>’</w:t>
      </w:r>
      <w:r w:rsidRPr="00FF65D6">
        <w:rPr>
          <w:lang w:val="fr-FR"/>
        </w:rPr>
        <w:t>était plus accrue durant les années précédentes et elles se sont engagées à maintenir et à renforcer le niveau de coopération déjà atteint</w:t>
      </w:r>
      <w:r w:rsidR="005C1799" w:rsidRPr="005C1799">
        <w:rPr>
          <w:lang w:val="fr-FR"/>
        </w:rPr>
        <w:t>.</w:t>
      </w:r>
    </w:p>
    <w:p w14:paraId="1B153DD2" w14:textId="77777777" w:rsidR="005C5C6A" w:rsidRPr="00FF65D6" w:rsidRDefault="005C5C6A" w:rsidP="00F34341">
      <w:pPr>
        <w:pStyle w:val="SingleTxtG"/>
        <w:rPr>
          <w:lang w:val="fr-FR"/>
        </w:rPr>
      </w:pPr>
      <w:r w:rsidRPr="00FF65D6">
        <w:rPr>
          <w:lang w:val="fr-FR"/>
        </w:rPr>
        <w:t>196</w:t>
      </w:r>
      <w:r w:rsidR="005C1799" w:rsidRPr="005C1799">
        <w:rPr>
          <w:lang w:val="fr-FR"/>
        </w:rPr>
        <w:t>.</w:t>
      </w:r>
      <w:r w:rsidRPr="00FF65D6">
        <w:rPr>
          <w:lang w:val="fr-FR"/>
        </w:rPr>
        <w:tab/>
        <w:t>La réunion du groupe de travail s</w:t>
      </w:r>
      <w:r w:rsidR="002127F6" w:rsidRPr="00FF65D6">
        <w:rPr>
          <w:lang w:val="fr-FR"/>
        </w:rPr>
        <w:t>’</w:t>
      </w:r>
      <w:r w:rsidRPr="00FF65D6">
        <w:rPr>
          <w:lang w:val="fr-FR"/>
        </w:rPr>
        <w:t>est tenue à Tbilissi en juin 2014 avec des représentants de l</w:t>
      </w:r>
      <w:r w:rsidR="002127F6" w:rsidRPr="00FF65D6">
        <w:rPr>
          <w:lang w:val="fr-FR"/>
        </w:rPr>
        <w:t>’</w:t>
      </w:r>
      <w:r w:rsidRPr="00FF65D6">
        <w:rPr>
          <w:lang w:val="fr-FR"/>
        </w:rPr>
        <w:t>Office fédéral allemand de police criminelle</w:t>
      </w:r>
      <w:r w:rsidR="005C1799" w:rsidRPr="005C1799">
        <w:rPr>
          <w:lang w:val="fr-FR"/>
        </w:rPr>
        <w:t>.</w:t>
      </w:r>
      <w:r w:rsidRPr="00FF65D6">
        <w:rPr>
          <w:lang w:val="fr-FR"/>
        </w:rPr>
        <w:t xml:space="preserve"> Entre autres questions, les parties ont examiné les questions relatives à la traite et ont échangé des informations pertinentes sur les affaires d</w:t>
      </w:r>
      <w:r w:rsidR="002127F6" w:rsidRPr="00FF65D6">
        <w:rPr>
          <w:lang w:val="fr-FR"/>
        </w:rPr>
        <w:t>’</w:t>
      </w:r>
      <w:r w:rsidRPr="00FF65D6">
        <w:rPr>
          <w:lang w:val="fr-FR"/>
        </w:rPr>
        <w:t>intérêt commun</w:t>
      </w:r>
      <w:r w:rsidR="005C1799" w:rsidRPr="005C1799">
        <w:rPr>
          <w:lang w:val="fr-FR"/>
        </w:rPr>
        <w:t>.</w:t>
      </w:r>
    </w:p>
    <w:p w14:paraId="18F15CEF" w14:textId="77777777" w:rsidR="005C5C6A" w:rsidRPr="00FF65D6" w:rsidRDefault="005C5C6A" w:rsidP="00F34341">
      <w:pPr>
        <w:pStyle w:val="SingleTxtG"/>
        <w:rPr>
          <w:lang w:val="fr-FR"/>
        </w:rPr>
      </w:pPr>
      <w:r w:rsidRPr="00FF65D6">
        <w:rPr>
          <w:lang w:val="fr-FR"/>
        </w:rPr>
        <w:t>197</w:t>
      </w:r>
      <w:r w:rsidR="005C1799" w:rsidRPr="005C1799">
        <w:rPr>
          <w:lang w:val="fr-FR"/>
        </w:rPr>
        <w:t>.</w:t>
      </w:r>
      <w:r w:rsidRPr="00FF65D6">
        <w:rPr>
          <w:lang w:val="fr-FR"/>
        </w:rPr>
        <w:tab/>
        <w:t>La réunion du groupe de travail s</w:t>
      </w:r>
      <w:r w:rsidR="002127F6" w:rsidRPr="00FF65D6">
        <w:rPr>
          <w:lang w:val="fr-FR"/>
        </w:rPr>
        <w:t>’</w:t>
      </w:r>
      <w:r w:rsidRPr="00FF65D6">
        <w:rPr>
          <w:lang w:val="fr-FR"/>
        </w:rPr>
        <w:t>est tenue à Tbilissi en juin 2014 avec les représentants de la police criminelle fédérale autrichienne</w:t>
      </w:r>
      <w:r w:rsidR="005C1799" w:rsidRPr="005C1799">
        <w:rPr>
          <w:lang w:val="fr-FR"/>
        </w:rPr>
        <w:t>.</w:t>
      </w:r>
      <w:r w:rsidRPr="00FF65D6">
        <w:rPr>
          <w:lang w:val="fr-FR"/>
        </w:rPr>
        <w:t xml:space="preserve"> Entre autres questions, les parties ont examiné les questions relatives à la traite d</w:t>
      </w:r>
      <w:r w:rsidR="002127F6" w:rsidRPr="00FF65D6">
        <w:rPr>
          <w:lang w:val="fr-FR"/>
        </w:rPr>
        <w:t>’</w:t>
      </w:r>
      <w:r w:rsidRPr="00FF65D6">
        <w:rPr>
          <w:lang w:val="fr-FR"/>
        </w:rPr>
        <w:t>êtres humains et ont échangé des informations pertinentes sur les affaires d</w:t>
      </w:r>
      <w:r w:rsidR="002127F6" w:rsidRPr="00FF65D6">
        <w:rPr>
          <w:lang w:val="fr-FR"/>
        </w:rPr>
        <w:t>’</w:t>
      </w:r>
      <w:r w:rsidRPr="00FF65D6">
        <w:rPr>
          <w:lang w:val="fr-FR"/>
        </w:rPr>
        <w:t>intérêt commun</w:t>
      </w:r>
      <w:r w:rsidR="005C1799" w:rsidRPr="005C1799">
        <w:rPr>
          <w:lang w:val="fr-FR"/>
        </w:rPr>
        <w:t>.</w:t>
      </w:r>
    </w:p>
    <w:p w14:paraId="7E8706C6" w14:textId="77777777" w:rsidR="005C5C6A" w:rsidRPr="00FF65D6" w:rsidRDefault="005C5C6A" w:rsidP="00F34341">
      <w:pPr>
        <w:pStyle w:val="SingleTxtG"/>
        <w:rPr>
          <w:lang w:val="fr-FR"/>
        </w:rPr>
      </w:pPr>
      <w:r w:rsidRPr="00FF65D6">
        <w:rPr>
          <w:lang w:val="fr-FR"/>
        </w:rPr>
        <w:t>198</w:t>
      </w:r>
      <w:r w:rsidR="005C1799" w:rsidRPr="005C1799">
        <w:rPr>
          <w:lang w:val="fr-FR"/>
        </w:rPr>
        <w:t>.</w:t>
      </w:r>
      <w:r w:rsidRPr="00FF65D6">
        <w:rPr>
          <w:lang w:val="fr-FR"/>
        </w:rPr>
        <w:tab/>
        <w:t>En outre, à l</w:t>
      </w:r>
      <w:r w:rsidR="002127F6" w:rsidRPr="00FF65D6">
        <w:rPr>
          <w:lang w:val="fr-FR"/>
        </w:rPr>
        <w:t>’</w:t>
      </w:r>
      <w:r w:rsidRPr="00FF65D6">
        <w:rPr>
          <w:lang w:val="fr-FR"/>
        </w:rPr>
        <w:t>automne 2014, le Ministère géorgien de l</w:t>
      </w:r>
      <w:r w:rsidR="002127F6" w:rsidRPr="00FF65D6">
        <w:rPr>
          <w:lang w:val="fr-FR"/>
        </w:rPr>
        <w:t>’</w:t>
      </w:r>
      <w:r w:rsidRPr="00FF65D6">
        <w:rPr>
          <w:lang w:val="fr-FR"/>
        </w:rPr>
        <w:t>intérieur a organisé des réunions de groupe de travail avec les services répressifs de tous les États membres concernés de l</w:t>
      </w:r>
      <w:r w:rsidR="002127F6" w:rsidRPr="00FF65D6">
        <w:rPr>
          <w:lang w:val="fr-FR"/>
        </w:rPr>
        <w:t>’</w:t>
      </w:r>
      <w:r w:rsidRPr="00FF65D6">
        <w:rPr>
          <w:lang w:val="fr-FR"/>
        </w:rPr>
        <w:t>Union européenne</w:t>
      </w:r>
      <w:r w:rsidR="005C1799" w:rsidRPr="005C1799">
        <w:rPr>
          <w:lang w:val="fr-FR"/>
        </w:rPr>
        <w:t>.</w:t>
      </w:r>
      <w:r w:rsidRPr="00FF65D6">
        <w:rPr>
          <w:lang w:val="fr-FR"/>
        </w:rPr>
        <w:t xml:space="preserve"> À cette fin, des lettres officielles signées par le Ministre géorgien de l</w:t>
      </w:r>
      <w:r w:rsidR="002127F6" w:rsidRPr="00FF65D6">
        <w:rPr>
          <w:lang w:val="fr-FR"/>
        </w:rPr>
        <w:t>’</w:t>
      </w:r>
      <w:r w:rsidRPr="00FF65D6">
        <w:rPr>
          <w:lang w:val="fr-FR"/>
        </w:rPr>
        <w:t>intérieur ont été envoyées à ces services chargés de l</w:t>
      </w:r>
      <w:r w:rsidR="002127F6" w:rsidRPr="00FF65D6">
        <w:rPr>
          <w:lang w:val="fr-FR"/>
        </w:rPr>
        <w:t>’</w:t>
      </w:r>
      <w:r w:rsidRPr="00FF65D6">
        <w:rPr>
          <w:lang w:val="fr-FR"/>
        </w:rPr>
        <w:t>application des lois</w:t>
      </w:r>
      <w:r w:rsidR="005C1799" w:rsidRPr="005C1799">
        <w:rPr>
          <w:lang w:val="fr-FR"/>
        </w:rPr>
        <w:t>.</w:t>
      </w:r>
      <w:r w:rsidRPr="00FF65D6">
        <w:rPr>
          <w:lang w:val="fr-FR"/>
        </w:rPr>
        <w:t xml:space="preserve"> </w:t>
      </w:r>
    </w:p>
    <w:p w14:paraId="1D1BE4D9" w14:textId="77777777" w:rsidR="005C5C6A" w:rsidRPr="00FF65D6" w:rsidRDefault="005C5C6A" w:rsidP="00F34341">
      <w:pPr>
        <w:pStyle w:val="SingleTxtG"/>
        <w:rPr>
          <w:lang w:val="fr-FR"/>
        </w:rPr>
      </w:pPr>
      <w:r w:rsidRPr="00FF65D6">
        <w:rPr>
          <w:lang w:val="fr-FR"/>
        </w:rPr>
        <w:t>199</w:t>
      </w:r>
      <w:r w:rsidR="005C1799" w:rsidRPr="005C1799">
        <w:rPr>
          <w:lang w:val="fr-FR"/>
        </w:rPr>
        <w:t>.</w:t>
      </w:r>
      <w:r w:rsidRPr="00FF65D6">
        <w:rPr>
          <w:lang w:val="fr-FR"/>
        </w:rPr>
        <w:tab/>
        <w:t>Outre les groupes de travail géorgo-autrichien et géorgo-allemand, des groupes de travail analogues étaient déjà établis entre représentants des polices criminelles géorgienne et suédoise, finlandaise et danoise (mars 2015), géorgienne et roumaine (mars 2015), géorgienne et slovène (avril 2015), géorgienne et italienne (mai 2015) et géorgienne et grecque (juin 2016)</w:t>
      </w:r>
      <w:r w:rsidR="005C1799" w:rsidRPr="005C1799">
        <w:rPr>
          <w:lang w:val="fr-FR"/>
        </w:rPr>
        <w:t>.</w:t>
      </w:r>
      <w:r w:rsidRPr="00FF65D6">
        <w:rPr>
          <w:lang w:val="fr-FR"/>
        </w:rPr>
        <w:t xml:space="preserve"> </w:t>
      </w:r>
    </w:p>
    <w:p w14:paraId="522729AE" w14:textId="77777777" w:rsidR="005C5C6A" w:rsidRPr="00FF65D6" w:rsidRDefault="005C5C6A" w:rsidP="00F34341">
      <w:pPr>
        <w:pStyle w:val="SingleTxtG"/>
        <w:rPr>
          <w:lang w:val="fr-FR"/>
        </w:rPr>
      </w:pPr>
      <w:r w:rsidRPr="00FF65D6">
        <w:rPr>
          <w:lang w:val="fr-FR"/>
        </w:rPr>
        <w:t>200</w:t>
      </w:r>
      <w:r w:rsidR="005C1799" w:rsidRPr="005C1799">
        <w:rPr>
          <w:lang w:val="fr-FR"/>
        </w:rPr>
        <w:t>.</w:t>
      </w:r>
      <w:r w:rsidRPr="00FF65D6">
        <w:rPr>
          <w:lang w:val="fr-FR"/>
        </w:rPr>
        <w:tab/>
        <w:t>Actuellement, des accords se dégagent sur les questions d</w:t>
      </w:r>
      <w:r w:rsidR="002127F6" w:rsidRPr="00FF65D6">
        <w:rPr>
          <w:lang w:val="fr-FR"/>
        </w:rPr>
        <w:t>’</w:t>
      </w:r>
      <w:r w:rsidRPr="00FF65D6">
        <w:rPr>
          <w:lang w:val="fr-FR"/>
        </w:rPr>
        <w:t>organisation pour créer des groupes de travail de ce type avec la Belgique, la Bulgarie, Chypre, la Croatie, l</w:t>
      </w:r>
      <w:r w:rsidR="002127F6" w:rsidRPr="00FF65D6">
        <w:rPr>
          <w:lang w:val="fr-FR"/>
        </w:rPr>
        <w:t>’</w:t>
      </w:r>
      <w:r w:rsidRPr="00FF65D6">
        <w:rPr>
          <w:lang w:val="fr-FR"/>
        </w:rPr>
        <w:t>Espagne, la France, la Pologne et la Slovaquie</w:t>
      </w:r>
      <w:r w:rsidR="005C1799" w:rsidRPr="005C1799">
        <w:rPr>
          <w:lang w:val="fr-FR"/>
        </w:rPr>
        <w:t>.</w:t>
      </w:r>
    </w:p>
    <w:p w14:paraId="4376D1AD" w14:textId="77777777" w:rsidR="005C5C6A" w:rsidRPr="00FF65D6" w:rsidRDefault="005C5C6A" w:rsidP="00030039">
      <w:pPr>
        <w:pStyle w:val="HChG"/>
        <w:rPr>
          <w:lang w:val="fr-FR"/>
        </w:rPr>
      </w:pPr>
      <w:bookmarkStart w:id="51" w:name="_Toc472961737"/>
      <w:r w:rsidRPr="00FF65D6">
        <w:rPr>
          <w:lang w:val="fr-FR"/>
        </w:rPr>
        <w:tab/>
        <w:t>VIII</w:t>
      </w:r>
      <w:r w:rsidR="005C1799" w:rsidRPr="005C1799">
        <w:rPr>
          <w:b w:val="0"/>
          <w:lang w:val="fr-FR"/>
        </w:rPr>
        <w:t>.</w:t>
      </w:r>
      <w:r w:rsidRPr="00FF65D6">
        <w:rPr>
          <w:lang w:val="fr-FR"/>
        </w:rPr>
        <w:tab/>
      </w:r>
      <w:r w:rsidRPr="00FF65D6">
        <w:rPr>
          <w:bCs/>
          <w:lang w:val="fr-FR"/>
        </w:rPr>
        <w:t>Données</w:t>
      </w:r>
      <w:bookmarkEnd w:id="51"/>
    </w:p>
    <w:p w14:paraId="4056AF0B" w14:textId="77777777" w:rsidR="005C5C6A" w:rsidRPr="00FF65D6" w:rsidRDefault="005C5C6A" w:rsidP="00F34341">
      <w:pPr>
        <w:pStyle w:val="SingleTxtG"/>
        <w:rPr>
          <w:lang w:val="fr-FR"/>
        </w:rPr>
      </w:pPr>
      <w:r w:rsidRPr="00FF65D6">
        <w:rPr>
          <w:lang w:val="fr-FR"/>
        </w:rPr>
        <w:t>201</w:t>
      </w:r>
      <w:r w:rsidR="005C1799" w:rsidRPr="005C1799">
        <w:rPr>
          <w:lang w:val="fr-FR"/>
        </w:rPr>
        <w:t>.</w:t>
      </w:r>
      <w:r w:rsidRPr="00FF65D6">
        <w:rPr>
          <w:lang w:val="fr-FR"/>
        </w:rPr>
        <w:tab/>
        <w:t xml:space="preserve">Le secrétariat du Conseil pour la lutte contre la traite, qui relève du Ministère géorgien de la </w:t>
      </w:r>
      <w:r w:rsidR="003801A3">
        <w:rPr>
          <w:lang w:val="fr-FR"/>
        </w:rPr>
        <w:t>j</w:t>
      </w:r>
      <w:r w:rsidRPr="00FF65D6">
        <w:rPr>
          <w:lang w:val="fr-FR"/>
        </w:rPr>
        <w:t>ustice, a intégré les données existantes dans la base de données unique qui se compose des sections suivantes</w:t>
      </w:r>
      <w:r w:rsidR="003B7618" w:rsidRPr="00FF65D6">
        <w:rPr>
          <w:lang w:val="fr-FR"/>
        </w:rPr>
        <w:t> :</w:t>
      </w:r>
    </w:p>
    <w:p w14:paraId="588600A0" w14:textId="77777777" w:rsidR="005C5C6A" w:rsidRPr="00FF65D6" w:rsidRDefault="005C5C6A" w:rsidP="00030039">
      <w:pPr>
        <w:pStyle w:val="SingleTxtG"/>
        <w:ind w:left="1701"/>
        <w:rPr>
          <w:lang w:val="fr-FR"/>
        </w:rPr>
      </w:pPr>
      <w:r w:rsidRPr="00FF65D6">
        <w:rPr>
          <w:lang w:val="fr-FR"/>
        </w:rPr>
        <w:t>1</w:t>
      </w:r>
      <w:r w:rsidR="005C1799" w:rsidRPr="005C1799">
        <w:rPr>
          <w:lang w:val="fr-FR"/>
        </w:rPr>
        <w:t>.</w:t>
      </w:r>
      <w:r w:rsidRPr="00FF65D6">
        <w:rPr>
          <w:lang w:val="fr-FR"/>
        </w:rPr>
        <w:tab/>
        <w:t xml:space="preserve">Les informations sur les auteurs présumés (personnes poursuivies et trafiquants condamnés) </w:t>
      </w:r>
      <w:r w:rsidR="00030039" w:rsidRPr="00FF65D6">
        <w:rPr>
          <w:lang w:val="fr-FR"/>
        </w:rPr>
        <w:t>− </w:t>
      </w:r>
      <w:r w:rsidRPr="00FF65D6">
        <w:rPr>
          <w:lang w:val="fr-FR"/>
        </w:rPr>
        <w:t>nombre, citoyenneté, âge, sexe, pour la période de 2010 à 2016 (10 octobre 2016)</w:t>
      </w:r>
      <w:r w:rsidR="003B7618" w:rsidRPr="00FF65D6">
        <w:rPr>
          <w:lang w:val="fr-FR"/>
        </w:rPr>
        <w:t> ;</w:t>
      </w:r>
    </w:p>
    <w:p w14:paraId="27D2ECD8" w14:textId="77777777" w:rsidR="005C5C6A" w:rsidRPr="00FF65D6" w:rsidRDefault="005C5C6A" w:rsidP="00030039">
      <w:pPr>
        <w:pStyle w:val="SingleTxtG"/>
        <w:ind w:left="1701"/>
        <w:rPr>
          <w:lang w:val="fr-FR"/>
        </w:rPr>
      </w:pPr>
      <w:r w:rsidRPr="00FF65D6">
        <w:rPr>
          <w:lang w:val="fr-FR"/>
        </w:rPr>
        <w:t>2</w:t>
      </w:r>
      <w:r w:rsidR="005C1799" w:rsidRPr="005C1799">
        <w:rPr>
          <w:lang w:val="fr-FR"/>
        </w:rPr>
        <w:t>.</w:t>
      </w:r>
      <w:r w:rsidRPr="00FF65D6">
        <w:rPr>
          <w:lang w:val="fr-FR"/>
        </w:rPr>
        <w:tab/>
        <w:t>Les informations sur les cas de traite d</w:t>
      </w:r>
      <w:r w:rsidR="002127F6" w:rsidRPr="00FF65D6">
        <w:rPr>
          <w:lang w:val="fr-FR"/>
        </w:rPr>
        <w:t>’</w:t>
      </w:r>
      <w:r w:rsidRPr="00FF65D6">
        <w:rPr>
          <w:lang w:val="fr-FR"/>
        </w:rPr>
        <w:t xml:space="preserve">êtres humains </w:t>
      </w:r>
      <w:r w:rsidR="00030039" w:rsidRPr="00FF65D6">
        <w:rPr>
          <w:lang w:val="fr-FR"/>
        </w:rPr>
        <w:t>− </w:t>
      </w:r>
      <w:r w:rsidRPr="00FF65D6">
        <w:rPr>
          <w:lang w:val="fr-FR"/>
        </w:rPr>
        <w:t>nombre d</w:t>
      </w:r>
      <w:r w:rsidR="002127F6" w:rsidRPr="00FF65D6">
        <w:rPr>
          <w:lang w:val="fr-FR"/>
        </w:rPr>
        <w:t>’</w:t>
      </w:r>
      <w:r w:rsidRPr="00FF65D6">
        <w:rPr>
          <w:lang w:val="fr-FR"/>
        </w:rPr>
        <w:t>enquêtes, de poursuites, d</w:t>
      </w:r>
      <w:r w:rsidR="002127F6" w:rsidRPr="00FF65D6">
        <w:rPr>
          <w:lang w:val="fr-FR"/>
        </w:rPr>
        <w:t>’</w:t>
      </w:r>
      <w:r w:rsidRPr="00FF65D6">
        <w:rPr>
          <w:lang w:val="fr-FR"/>
        </w:rPr>
        <w:t>affaires renvoyées devant les tribunaux et de condamnations ventilées par forme d</w:t>
      </w:r>
      <w:r w:rsidR="002127F6" w:rsidRPr="00FF65D6">
        <w:rPr>
          <w:lang w:val="fr-FR"/>
        </w:rPr>
        <w:t>’</w:t>
      </w:r>
      <w:r w:rsidRPr="00FF65D6">
        <w:rPr>
          <w:lang w:val="fr-FR"/>
        </w:rPr>
        <w:t>exploitation, pour la période de 2010 à 2016 (</w:t>
      </w:r>
      <w:r w:rsidR="00030039" w:rsidRPr="00FF65D6">
        <w:rPr>
          <w:lang w:val="fr-FR"/>
        </w:rPr>
        <w:t>10</w:t>
      </w:r>
      <w:r w:rsidR="00661E6F">
        <w:rPr>
          <w:lang w:val="fr-FR"/>
        </w:rPr>
        <w:t> </w:t>
      </w:r>
      <w:r w:rsidRPr="00FF65D6">
        <w:rPr>
          <w:lang w:val="fr-FR"/>
        </w:rPr>
        <w:t>octobre 2016)</w:t>
      </w:r>
      <w:r w:rsidR="003B7618" w:rsidRPr="00FF65D6">
        <w:rPr>
          <w:lang w:val="fr-FR"/>
        </w:rPr>
        <w:t> ;</w:t>
      </w:r>
    </w:p>
    <w:p w14:paraId="61D4D177" w14:textId="77777777" w:rsidR="005C5C6A" w:rsidRPr="00FF65D6" w:rsidRDefault="005C5C6A" w:rsidP="00030039">
      <w:pPr>
        <w:pStyle w:val="SingleTxtG"/>
        <w:ind w:left="1701"/>
        <w:rPr>
          <w:lang w:val="fr-FR"/>
        </w:rPr>
      </w:pPr>
      <w:r w:rsidRPr="00FF65D6">
        <w:rPr>
          <w:lang w:val="fr-FR"/>
        </w:rPr>
        <w:t>3</w:t>
      </w:r>
      <w:r w:rsidR="005C1799" w:rsidRPr="005C1799">
        <w:rPr>
          <w:lang w:val="fr-FR"/>
        </w:rPr>
        <w:t>.</w:t>
      </w:r>
      <w:r w:rsidRPr="00FF65D6">
        <w:rPr>
          <w:lang w:val="fr-FR"/>
        </w:rPr>
        <w:tab/>
        <w:t xml:space="preserve">Les informations sur les victimes de la traite (dont le statut de victime a été reconnu par les services de répression en vertu du Code de procédure pénale </w:t>
      </w:r>
      <w:r w:rsidR="00030039" w:rsidRPr="00FF65D6">
        <w:rPr>
          <w:lang w:val="fr-FR"/>
        </w:rPr>
        <w:t>− </w:t>
      </w:r>
      <w:r w:rsidRPr="00FF65D6">
        <w:rPr>
          <w:lang w:val="fr-FR"/>
        </w:rPr>
        <w:t>leur citoyenneté, sexe et âge, le type d</w:t>
      </w:r>
      <w:r w:rsidR="002127F6" w:rsidRPr="00FF65D6">
        <w:rPr>
          <w:lang w:val="fr-FR"/>
        </w:rPr>
        <w:t>’</w:t>
      </w:r>
      <w:r w:rsidRPr="00FF65D6">
        <w:rPr>
          <w:lang w:val="fr-FR"/>
        </w:rPr>
        <w:t>exploitation, le pays où la personne a été exploitée, le type de service fourni par le Fonds national (consultation juridique, représentation en justice, services médicaux, aide psychologique, hébergement, indemnisation) pour la période de 2010 à 2016 (</w:t>
      </w:r>
      <w:r w:rsidR="00030039" w:rsidRPr="00FF65D6">
        <w:rPr>
          <w:lang w:val="fr-FR"/>
        </w:rPr>
        <w:t xml:space="preserve">10 </w:t>
      </w:r>
      <w:r w:rsidRPr="00FF65D6">
        <w:rPr>
          <w:lang w:val="fr-FR"/>
        </w:rPr>
        <w:t>octobre 2016)</w:t>
      </w:r>
      <w:r w:rsidR="003B7618" w:rsidRPr="00FF65D6">
        <w:rPr>
          <w:lang w:val="fr-FR"/>
        </w:rPr>
        <w:t> ;</w:t>
      </w:r>
    </w:p>
    <w:p w14:paraId="3C74A882" w14:textId="77777777" w:rsidR="005C5C6A" w:rsidRPr="00FF65D6" w:rsidRDefault="005C5C6A" w:rsidP="00030039">
      <w:pPr>
        <w:pStyle w:val="SingleTxtG"/>
        <w:ind w:left="1701"/>
        <w:rPr>
          <w:lang w:val="fr-FR"/>
        </w:rPr>
      </w:pPr>
      <w:r w:rsidRPr="00FF65D6">
        <w:rPr>
          <w:lang w:val="fr-FR"/>
        </w:rPr>
        <w:t>4</w:t>
      </w:r>
      <w:r w:rsidR="005C1799" w:rsidRPr="005C1799">
        <w:rPr>
          <w:lang w:val="fr-FR"/>
        </w:rPr>
        <w:t>.</w:t>
      </w:r>
      <w:r w:rsidRPr="00FF65D6">
        <w:rPr>
          <w:lang w:val="fr-FR"/>
        </w:rPr>
        <w:tab/>
        <w:t xml:space="preserve">Les informations sur les victimes de la traite (dont le statut de victime a été reconnu par le groupe permanent relevant du Conseil interinstitutions, lorsque la personne refuse de coopérer avec les services de répression) </w:t>
      </w:r>
      <w:r w:rsidR="00030039" w:rsidRPr="00FF65D6">
        <w:rPr>
          <w:lang w:val="fr-FR"/>
        </w:rPr>
        <w:t>− </w:t>
      </w:r>
      <w:r w:rsidRPr="00FF65D6">
        <w:rPr>
          <w:lang w:val="fr-FR"/>
        </w:rPr>
        <w:t>leur citoyenneté, sexe et âge, le type d</w:t>
      </w:r>
      <w:r w:rsidR="002127F6" w:rsidRPr="00FF65D6">
        <w:rPr>
          <w:lang w:val="fr-FR"/>
        </w:rPr>
        <w:t>’</w:t>
      </w:r>
      <w:r w:rsidRPr="00FF65D6">
        <w:rPr>
          <w:lang w:val="fr-FR"/>
        </w:rPr>
        <w:t>exploitation, le pays où la personne a été exploitée, le type de service fourni par le Fonds national (consultation juridique, représentation en justice, services médicaux, aide psychologique, hébergement, indemnisation) pour la période de 2010 à 2016 (</w:t>
      </w:r>
      <w:r w:rsidR="00030039" w:rsidRPr="00FF65D6">
        <w:rPr>
          <w:lang w:val="fr-FR"/>
        </w:rPr>
        <w:t xml:space="preserve">10 </w:t>
      </w:r>
      <w:r w:rsidRPr="00FF65D6">
        <w:rPr>
          <w:lang w:val="fr-FR"/>
        </w:rPr>
        <w:t>octobre,2016)</w:t>
      </w:r>
      <w:r w:rsidR="003B7618" w:rsidRPr="00FF65D6">
        <w:rPr>
          <w:lang w:val="fr-FR"/>
        </w:rPr>
        <w:t> </w:t>
      </w:r>
      <w:r w:rsidRPr="00FF65D6">
        <w:rPr>
          <w:lang w:val="fr-FR"/>
        </w:rPr>
        <w:t>;</w:t>
      </w:r>
    </w:p>
    <w:p w14:paraId="62715ABE" w14:textId="77777777" w:rsidR="005C5C6A" w:rsidRPr="00FF65D6" w:rsidRDefault="005C5C6A" w:rsidP="00030039">
      <w:pPr>
        <w:pStyle w:val="SingleTxtG"/>
        <w:ind w:left="1701"/>
        <w:rPr>
          <w:lang w:val="fr-FR"/>
        </w:rPr>
      </w:pPr>
      <w:r w:rsidRPr="00FF65D6">
        <w:rPr>
          <w:lang w:val="fr-FR"/>
        </w:rPr>
        <w:t>5</w:t>
      </w:r>
      <w:r w:rsidR="005C1799" w:rsidRPr="005C1799">
        <w:rPr>
          <w:lang w:val="fr-FR"/>
        </w:rPr>
        <w:t>.</w:t>
      </w:r>
      <w:r w:rsidRPr="00FF65D6">
        <w:rPr>
          <w:lang w:val="fr-FR"/>
        </w:rPr>
        <w:tab/>
        <w:t>La coopération policière et la coopération dans le cadre de l</w:t>
      </w:r>
      <w:r w:rsidR="002127F6" w:rsidRPr="00FF65D6">
        <w:rPr>
          <w:lang w:val="fr-FR"/>
        </w:rPr>
        <w:t>’</w:t>
      </w:r>
      <w:r w:rsidRPr="00FF65D6">
        <w:rPr>
          <w:lang w:val="fr-FR"/>
        </w:rPr>
        <w:t xml:space="preserve">entraide judiciaire en matière pénale </w:t>
      </w:r>
      <w:r w:rsidR="00030039" w:rsidRPr="00FF65D6">
        <w:rPr>
          <w:lang w:val="fr-FR"/>
        </w:rPr>
        <w:t>− </w:t>
      </w:r>
      <w:r w:rsidR="00661E6F">
        <w:rPr>
          <w:lang w:val="fr-FR"/>
        </w:rPr>
        <w:t>d</w:t>
      </w:r>
      <w:r w:rsidRPr="00FF65D6">
        <w:rPr>
          <w:lang w:val="fr-FR"/>
        </w:rPr>
        <w:t>es statistiques ventilées, indiquant le nombre et les pays concernés par les demandes d</w:t>
      </w:r>
      <w:r w:rsidR="002127F6" w:rsidRPr="00FF65D6">
        <w:rPr>
          <w:lang w:val="fr-FR"/>
        </w:rPr>
        <w:t>’</w:t>
      </w:r>
      <w:r w:rsidRPr="00FF65D6">
        <w:rPr>
          <w:lang w:val="fr-FR"/>
        </w:rPr>
        <w:t>entraide judiciaire provenant d</w:t>
      </w:r>
      <w:r w:rsidR="002127F6" w:rsidRPr="00FF65D6">
        <w:rPr>
          <w:lang w:val="fr-FR"/>
        </w:rPr>
        <w:t>’</w:t>
      </w:r>
      <w:r w:rsidRPr="00FF65D6">
        <w:rPr>
          <w:lang w:val="fr-FR"/>
        </w:rPr>
        <w:t>un autre État ou adressées à un autre État et les demandes d</w:t>
      </w:r>
      <w:r w:rsidR="002127F6" w:rsidRPr="00FF65D6">
        <w:rPr>
          <w:lang w:val="fr-FR"/>
        </w:rPr>
        <w:t>’</w:t>
      </w:r>
      <w:r w:rsidRPr="00FF65D6">
        <w:rPr>
          <w:lang w:val="fr-FR"/>
        </w:rPr>
        <w:t>extradition, des statistiques ventilées indiquant le nombre, les pays concernés et les formes d</w:t>
      </w:r>
      <w:r w:rsidR="002127F6" w:rsidRPr="00FF65D6">
        <w:rPr>
          <w:lang w:val="fr-FR"/>
        </w:rPr>
        <w:t>’</w:t>
      </w:r>
      <w:r w:rsidRPr="00FF65D6">
        <w:rPr>
          <w:lang w:val="fr-FR"/>
        </w:rPr>
        <w:t>exploitation pour les demandes de coopération policière adressées à un autre État pendant la période 2010</w:t>
      </w:r>
      <w:r w:rsidR="00661E6F">
        <w:rPr>
          <w:lang w:val="fr-FR"/>
        </w:rPr>
        <w:t>-</w:t>
      </w:r>
      <w:r w:rsidRPr="00FF65D6">
        <w:rPr>
          <w:lang w:val="fr-FR"/>
        </w:rPr>
        <w:t>2016 (</w:t>
      </w:r>
      <w:r w:rsidR="00CA2C84" w:rsidRPr="00FF65D6">
        <w:rPr>
          <w:lang w:val="fr-FR"/>
        </w:rPr>
        <w:t xml:space="preserve">10 </w:t>
      </w:r>
      <w:r w:rsidRPr="00FF65D6">
        <w:rPr>
          <w:lang w:val="fr-FR"/>
        </w:rPr>
        <w:t>octobre 2016)</w:t>
      </w:r>
      <w:r w:rsidR="003B7618" w:rsidRPr="00FF65D6">
        <w:rPr>
          <w:lang w:val="fr-FR"/>
        </w:rPr>
        <w:t> </w:t>
      </w:r>
      <w:r w:rsidRPr="00FF65D6">
        <w:rPr>
          <w:lang w:val="fr-FR"/>
        </w:rPr>
        <w:t>;</w:t>
      </w:r>
    </w:p>
    <w:p w14:paraId="31B30ADC" w14:textId="77777777" w:rsidR="005C5C6A" w:rsidRPr="00FF65D6" w:rsidRDefault="00CA2C84" w:rsidP="00CA2C84">
      <w:pPr>
        <w:pStyle w:val="SingleTxtG"/>
        <w:ind w:left="1701"/>
        <w:rPr>
          <w:lang w:val="fr-FR"/>
        </w:rPr>
      </w:pPr>
      <w:r w:rsidRPr="00FF65D6">
        <w:rPr>
          <w:lang w:val="fr-FR"/>
        </w:rPr>
        <w:tab/>
      </w:r>
      <w:r w:rsidR="005C5C6A" w:rsidRPr="00FF65D6">
        <w:rPr>
          <w:lang w:val="fr-FR"/>
        </w:rPr>
        <w:t>a)</w:t>
      </w:r>
      <w:r w:rsidR="005C5C6A" w:rsidRPr="00FF65D6">
        <w:rPr>
          <w:lang w:val="fr-FR"/>
        </w:rPr>
        <w:tab/>
        <w:t>Le nombre d</w:t>
      </w:r>
      <w:r w:rsidR="002127F6" w:rsidRPr="00FF65D6">
        <w:rPr>
          <w:lang w:val="fr-FR"/>
        </w:rPr>
        <w:t>’</w:t>
      </w:r>
      <w:r w:rsidR="005C5C6A" w:rsidRPr="00FF65D6">
        <w:rPr>
          <w:lang w:val="fr-FR"/>
        </w:rPr>
        <w:t>enfants victimes de la traite</w:t>
      </w:r>
    </w:p>
    <w:tbl>
      <w:tblPr>
        <w:tblStyle w:val="GridTable6Colorful1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8"/>
        <w:gridCol w:w="1309"/>
        <w:gridCol w:w="992"/>
        <w:gridCol w:w="2410"/>
        <w:gridCol w:w="1417"/>
        <w:gridCol w:w="1558"/>
      </w:tblGrid>
      <w:tr w:rsidR="00CA2C84" w:rsidRPr="00FF65D6" w14:paraId="7485D061" w14:textId="77777777" w:rsidTr="00CA2C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8" w:type="dxa"/>
            <w:tcBorders>
              <w:top w:val="single" w:sz="4" w:space="0" w:color="auto"/>
              <w:bottom w:val="single" w:sz="12" w:space="0" w:color="auto"/>
            </w:tcBorders>
            <w:shd w:val="clear" w:color="auto" w:fill="auto"/>
            <w:vAlign w:val="bottom"/>
          </w:tcPr>
          <w:p w14:paraId="3CB4599D" w14:textId="77777777" w:rsidR="005C5C6A" w:rsidRPr="00FF65D6" w:rsidRDefault="005C5C6A" w:rsidP="00CA2C84">
            <w:pPr>
              <w:spacing w:before="80" w:after="80" w:line="200" w:lineRule="exact"/>
              <w:ind w:right="113"/>
              <w:rPr>
                <w:b w:val="0"/>
                <w:i/>
                <w:color w:val="auto"/>
                <w:sz w:val="16"/>
                <w:lang w:val="fr-FR"/>
              </w:rPr>
            </w:pPr>
            <w:r w:rsidRPr="00FF65D6">
              <w:rPr>
                <w:b w:val="0"/>
                <w:i/>
                <w:color w:val="auto"/>
                <w:sz w:val="16"/>
                <w:lang w:val="fr-FR"/>
              </w:rPr>
              <w:t>Année</w:t>
            </w:r>
          </w:p>
        </w:tc>
        <w:tc>
          <w:tcPr>
            <w:tcW w:w="1309" w:type="dxa"/>
            <w:tcBorders>
              <w:top w:val="single" w:sz="4" w:space="0" w:color="auto"/>
              <w:bottom w:val="single" w:sz="12" w:space="0" w:color="auto"/>
            </w:tcBorders>
            <w:shd w:val="clear" w:color="auto" w:fill="auto"/>
            <w:vAlign w:val="bottom"/>
          </w:tcPr>
          <w:p w14:paraId="6DDE9EA5" w14:textId="77777777" w:rsidR="005C5C6A" w:rsidRPr="00FF65D6" w:rsidRDefault="005C5C6A" w:rsidP="00CA2C84">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FF65D6">
              <w:rPr>
                <w:b w:val="0"/>
                <w:i/>
                <w:color w:val="auto"/>
                <w:sz w:val="16"/>
                <w:lang w:val="fr-FR"/>
              </w:rPr>
              <w:t>Citoyenneté</w:t>
            </w:r>
          </w:p>
        </w:tc>
        <w:tc>
          <w:tcPr>
            <w:tcW w:w="992" w:type="dxa"/>
            <w:tcBorders>
              <w:top w:val="single" w:sz="4" w:space="0" w:color="auto"/>
              <w:bottom w:val="single" w:sz="12" w:space="0" w:color="auto"/>
            </w:tcBorders>
            <w:shd w:val="clear" w:color="auto" w:fill="auto"/>
            <w:vAlign w:val="bottom"/>
          </w:tcPr>
          <w:p w14:paraId="10790C24" w14:textId="77777777" w:rsidR="005C5C6A" w:rsidRPr="00FF65D6" w:rsidRDefault="005C5C6A" w:rsidP="00CA2C84">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FF65D6">
              <w:rPr>
                <w:b w:val="0"/>
                <w:i/>
                <w:color w:val="auto"/>
                <w:sz w:val="16"/>
                <w:lang w:val="fr-FR"/>
              </w:rPr>
              <w:t>Sexe</w:t>
            </w:r>
          </w:p>
        </w:tc>
        <w:tc>
          <w:tcPr>
            <w:tcW w:w="2410" w:type="dxa"/>
            <w:tcBorders>
              <w:top w:val="single" w:sz="4" w:space="0" w:color="auto"/>
              <w:bottom w:val="single" w:sz="12" w:space="0" w:color="auto"/>
            </w:tcBorders>
            <w:shd w:val="clear" w:color="auto" w:fill="auto"/>
            <w:vAlign w:val="bottom"/>
          </w:tcPr>
          <w:p w14:paraId="0ED37FA6" w14:textId="77777777" w:rsidR="005C5C6A" w:rsidRPr="00FF65D6" w:rsidRDefault="005C5C6A" w:rsidP="00CA2C84">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FF65D6">
              <w:rPr>
                <w:b w:val="0"/>
                <w:i/>
                <w:color w:val="auto"/>
                <w:sz w:val="16"/>
                <w:lang w:val="fr-FR"/>
              </w:rPr>
              <w:t>Forme d</w:t>
            </w:r>
            <w:r w:rsidR="002127F6" w:rsidRPr="00FF65D6">
              <w:rPr>
                <w:b w:val="0"/>
                <w:i/>
                <w:color w:val="auto"/>
                <w:sz w:val="16"/>
                <w:lang w:val="fr-FR"/>
              </w:rPr>
              <w:t>’</w:t>
            </w:r>
            <w:r w:rsidRPr="00FF65D6">
              <w:rPr>
                <w:b w:val="0"/>
                <w:i/>
                <w:color w:val="auto"/>
                <w:sz w:val="16"/>
                <w:lang w:val="fr-FR"/>
              </w:rPr>
              <w:t>exploitation</w:t>
            </w:r>
          </w:p>
        </w:tc>
        <w:tc>
          <w:tcPr>
            <w:tcW w:w="1417" w:type="dxa"/>
            <w:tcBorders>
              <w:top w:val="single" w:sz="4" w:space="0" w:color="auto"/>
              <w:bottom w:val="single" w:sz="12" w:space="0" w:color="auto"/>
            </w:tcBorders>
            <w:shd w:val="clear" w:color="auto" w:fill="auto"/>
            <w:vAlign w:val="bottom"/>
          </w:tcPr>
          <w:p w14:paraId="62D4AA1E" w14:textId="77777777" w:rsidR="005C5C6A" w:rsidRPr="00FF65D6" w:rsidRDefault="005C5C6A" w:rsidP="00CA2C84">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FF65D6">
              <w:rPr>
                <w:b w:val="0"/>
                <w:i/>
                <w:color w:val="auto"/>
                <w:sz w:val="16"/>
                <w:lang w:val="fr-FR"/>
              </w:rPr>
              <w:t>Âge</w:t>
            </w:r>
          </w:p>
        </w:tc>
        <w:tc>
          <w:tcPr>
            <w:tcW w:w="1558" w:type="dxa"/>
            <w:tcBorders>
              <w:top w:val="single" w:sz="4" w:space="0" w:color="auto"/>
              <w:bottom w:val="single" w:sz="12" w:space="0" w:color="auto"/>
            </w:tcBorders>
            <w:shd w:val="clear" w:color="auto" w:fill="auto"/>
            <w:vAlign w:val="bottom"/>
          </w:tcPr>
          <w:p w14:paraId="138F1E30" w14:textId="77777777" w:rsidR="005C5C6A" w:rsidRPr="00FF65D6" w:rsidRDefault="005C5C6A" w:rsidP="00CA2C84">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FF65D6">
              <w:rPr>
                <w:b w:val="0"/>
                <w:i/>
                <w:color w:val="auto"/>
                <w:sz w:val="16"/>
                <w:lang w:val="fr-FR"/>
              </w:rPr>
              <w:t xml:space="preserve">Pays de destination </w:t>
            </w:r>
            <w:r w:rsidR="00CA2C84" w:rsidRPr="00FF65D6">
              <w:rPr>
                <w:b w:val="0"/>
                <w:i/>
                <w:color w:val="auto"/>
                <w:sz w:val="16"/>
                <w:lang w:val="fr-FR"/>
              </w:rPr>
              <w:br/>
            </w:r>
            <w:r w:rsidRPr="00FF65D6">
              <w:rPr>
                <w:b w:val="0"/>
                <w:i/>
                <w:color w:val="auto"/>
                <w:sz w:val="16"/>
                <w:lang w:val="fr-FR"/>
              </w:rPr>
              <w:t>de l</w:t>
            </w:r>
            <w:r w:rsidR="002127F6" w:rsidRPr="00FF65D6">
              <w:rPr>
                <w:b w:val="0"/>
                <w:i/>
                <w:color w:val="auto"/>
                <w:sz w:val="16"/>
                <w:lang w:val="fr-FR"/>
              </w:rPr>
              <w:t>’</w:t>
            </w:r>
            <w:r w:rsidRPr="00FF65D6">
              <w:rPr>
                <w:b w:val="0"/>
                <w:i/>
                <w:color w:val="auto"/>
                <w:sz w:val="16"/>
                <w:lang w:val="fr-FR"/>
              </w:rPr>
              <w:t>exploitation</w:t>
            </w:r>
          </w:p>
        </w:tc>
      </w:tr>
      <w:tr w:rsidR="00CA2C84" w:rsidRPr="00FF65D6" w14:paraId="0FD7977B" w14:textId="77777777" w:rsidTr="00CA2C84">
        <w:trPr>
          <w:cnfStyle w:val="100000000000" w:firstRow="1" w:lastRow="0" w:firstColumn="0" w:lastColumn="0" w:oddVBand="0" w:evenVBand="0" w:oddHBand="0" w:evenHBand="0" w:firstRowFirstColumn="0" w:firstRowLastColumn="0" w:lastRowFirstColumn="0" w:lastRowLastColumn="0"/>
          <w:trHeight w:hRule="exact" w:val="113"/>
          <w:tblHeader/>
        </w:trPr>
        <w:tc>
          <w:tcPr>
            <w:cnfStyle w:val="001000000000" w:firstRow="0" w:lastRow="0" w:firstColumn="1" w:lastColumn="0" w:oddVBand="0" w:evenVBand="0" w:oddHBand="0" w:evenHBand="0" w:firstRowFirstColumn="0" w:firstRowLastColumn="0" w:lastRowFirstColumn="0" w:lastRowLastColumn="0"/>
            <w:tcW w:w="818" w:type="dxa"/>
            <w:tcBorders>
              <w:top w:val="single" w:sz="12" w:space="0" w:color="auto"/>
              <w:bottom w:val="none" w:sz="0" w:space="0" w:color="auto"/>
            </w:tcBorders>
            <w:shd w:val="clear" w:color="auto" w:fill="auto"/>
          </w:tcPr>
          <w:p w14:paraId="4C981B3D" w14:textId="77777777" w:rsidR="00CA2C84" w:rsidRPr="00FF65D6" w:rsidRDefault="00CA2C84" w:rsidP="00CA2C84">
            <w:pPr>
              <w:spacing w:before="40" w:after="120"/>
              <w:ind w:right="113"/>
              <w:rPr>
                <w:color w:val="auto"/>
                <w:lang w:val="fr-FR"/>
              </w:rPr>
            </w:pPr>
          </w:p>
        </w:tc>
        <w:tc>
          <w:tcPr>
            <w:tcW w:w="1309" w:type="dxa"/>
            <w:tcBorders>
              <w:top w:val="single" w:sz="12" w:space="0" w:color="auto"/>
              <w:bottom w:val="none" w:sz="0" w:space="0" w:color="auto"/>
            </w:tcBorders>
            <w:shd w:val="clear" w:color="auto" w:fill="auto"/>
          </w:tcPr>
          <w:p w14:paraId="0259D2B3" w14:textId="77777777" w:rsidR="00CA2C84" w:rsidRPr="00FF65D6" w:rsidRDefault="00CA2C84" w:rsidP="00CA2C84">
            <w:pPr>
              <w:spacing w:before="40" w:after="120"/>
              <w:ind w:right="113"/>
              <w:cnfStyle w:val="100000000000" w:firstRow="1" w:lastRow="0" w:firstColumn="0" w:lastColumn="0" w:oddVBand="0" w:evenVBand="0" w:oddHBand="0" w:evenHBand="0" w:firstRowFirstColumn="0" w:firstRowLastColumn="0" w:lastRowFirstColumn="0" w:lastRowLastColumn="0"/>
              <w:rPr>
                <w:color w:val="auto"/>
                <w:lang w:val="fr-FR"/>
              </w:rPr>
            </w:pPr>
          </w:p>
        </w:tc>
        <w:tc>
          <w:tcPr>
            <w:tcW w:w="992" w:type="dxa"/>
            <w:tcBorders>
              <w:top w:val="single" w:sz="12" w:space="0" w:color="auto"/>
              <w:bottom w:val="none" w:sz="0" w:space="0" w:color="auto"/>
            </w:tcBorders>
            <w:shd w:val="clear" w:color="auto" w:fill="auto"/>
          </w:tcPr>
          <w:p w14:paraId="4AF4C0D8" w14:textId="77777777" w:rsidR="00CA2C84" w:rsidRPr="00FF65D6" w:rsidRDefault="00CA2C84" w:rsidP="00CA2C84">
            <w:pPr>
              <w:spacing w:before="40" w:after="120"/>
              <w:ind w:right="113"/>
              <w:cnfStyle w:val="100000000000" w:firstRow="1" w:lastRow="0" w:firstColumn="0" w:lastColumn="0" w:oddVBand="0" w:evenVBand="0" w:oddHBand="0" w:evenHBand="0" w:firstRowFirstColumn="0" w:firstRowLastColumn="0" w:lastRowFirstColumn="0" w:lastRowLastColumn="0"/>
              <w:rPr>
                <w:color w:val="auto"/>
                <w:lang w:val="fr-FR"/>
              </w:rPr>
            </w:pPr>
          </w:p>
        </w:tc>
        <w:tc>
          <w:tcPr>
            <w:tcW w:w="2410" w:type="dxa"/>
            <w:tcBorders>
              <w:top w:val="single" w:sz="12" w:space="0" w:color="auto"/>
              <w:bottom w:val="none" w:sz="0" w:space="0" w:color="auto"/>
            </w:tcBorders>
            <w:shd w:val="clear" w:color="auto" w:fill="auto"/>
          </w:tcPr>
          <w:p w14:paraId="2A96F191" w14:textId="77777777" w:rsidR="00CA2C84" w:rsidRPr="00FF65D6" w:rsidRDefault="00CA2C84" w:rsidP="00CA2C84">
            <w:pPr>
              <w:spacing w:before="40" w:after="120"/>
              <w:ind w:right="113"/>
              <w:cnfStyle w:val="100000000000" w:firstRow="1" w:lastRow="0" w:firstColumn="0" w:lastColumn="0" w:oddVBand="0" w:evenVBand="0" w:oddHBand="0" w:evenHBand="0" w:firstRowFirstColumn="0" w:firstRowLastColumn="0" w:lastRowFirstColumn="0" w:lastRowLastColumn="0"/>
              <w:rPr>
                <w:color w:val="auto"/>
                <w:lang w:val="fr-FR"/>
              </w:rPr>
            </w:pPr>
          </w:p>
        </w:tc>
        <w:tc>
          <w:tcPr>
            <w:tcW w:w="1417" w:type="dxa"/>
            <w:tcBorders>
              <w:top w:val="single" w:sz="12" w:space="0" w:color="auto"/>
              <w:bottom w:val="none" w:sz="0" w:space="0" w:color="auto"/>
            </w:tcBorders>
            <w:shd w:val="clear" w:color="auto" w:fill="auto"/>
          </w:tcPr>
          <w:p w14:paraId="7BBE2303" w14:textId="77777777" w:rsidR="00CA2C84" w:rsidRPr="00FF65D6" w:rsidRDefault="00CA2C84" w:rsidP="00CA2C84">
            <w:pPr>
              <w:spacing w:before="40" w:after="120"/>
              <w:ind w:right="113"/>
              <w:cnfStyle w:val="100000000000" w:firstRow="1" w:lastRow="0" w:firstColumn="0" w:lastColumn="0" w:oddVBand="0" w:evenVBand="0" w:oddHBand="0" w:evenHBand="0" w:firstRowFirstColumn="0" w:firstRowLastColumn="0" w:lastRowFirstColumn="0" w:lastRowLastColumn="0"/>
              <w:rPr>
                <w:color w:val="auto"/>
                <w:lang w:val="fr-FR"/>
              </w:rPr>
            </w:pPr>
          </w:p>
        </w:tc>
        <w:tc>
          <w:tcPr>
            <w:tcW w:w="1558" w:type="dxa"/>
            <w:tcBorders>
              <w:top w:val="single" w:sz="12" w:space="0" w:color="auto"/>
              <w:bottom w:val="none" w:sz="0" w:space="0" w:color="auto"/>
            </w:tcBorders>
            <w:shd w:val="clear" w:color="auto" w:fill="auto"/>
          </w:tcPr>
          <w:p w14:paraId="4852140A" w14:textId="77777777" w:rsidR="00CA2C84" w:rsidRPr="00FF65D6" w:rsidRDefault="00CA2C84" w:rsidP="00CA2C84">
            <w:pPr>
              <w:spacing w:before="40" w:after="120"/>
              <w:ind w:right="113"/>
              <w:cnfStyle w:val="100000000000" w:firstRow="1" w:lastRow="0" w:firstColumn="0" w:lastColumn="0" w:oddVBand="0" w:evenVBand="0" w:oddHBand="0" w:evenHBand="0" w:firstRowFirstColumn="0" w:firstRowLastColumn="0" w:lastRowFirstColumn="0" w:lastRowLastColumn="0"/>
              <w:rPr>
                <w:color w:val="auto"/>
                <w:lang w:val="fr-FR"/>
              </w:rPr>
            </w:pPr>
          </w:p>
        </w:tc>
      </w:tr>
      <w:tr w:rsidR="005C5C6A" w:rsidRPr="00FF65D6" w14:paraId="58D270FB" w14:textId="77777777" w:rsidTr="00CA2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shd w:val="clear" w:color="auto" w:fill="auto"/>
          </w:tcPr>
          <w:p w14:paraId="5CDB06F9" w14:textId="77777777" w:rsidR="005C5C6A" w:rsidRPr="00FF65D6" w:rsidRDefault="005C5C6A" w:rsidP="00CA2C84">
            <w:pPr>
              <w:spacing w:before="40" w:after="120"/>
              <w:ind w:right="113"/>
              <w:rPr>
                <w:b w:val="0"/>
                <w:color w:val="auto"/>
                <w:lang w:val="fr-FR"/>
              </w:rPr>
            </w:pPr>
            <w:r w:rsidRPr="00FF65D6">
              <w:rPr>
                <w:b w:val="0"/>
                <w:color w:val="auto"/>
                <w:lang w:val="fr-FR"/>
              </w:rPr>
              <w:t>2013</w:t>
            </w:r>
          </w:p>
        </w:tc>
        <w:tc>
          <w:tcPr>
            <w:tcW w:w="1309" w:type="dxa"/>
            <w:shd w:val="clear" w:color="auto" w:fill="auto"/>
          </w:tcPr>
          <w:p w14:paraId="59A76EA0"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géorgienne</w:t>
            </w:r>
          </w:p>
        </w:tc>
        <w:tc>
          <w:tcPr>
            <w:tcW w:w="992" w:type="dxa"/>
            <w:shd w:val="clear" w:color="auto" w:fill="auto"/>
          </w:tcPr>
          <w:p w14:paraId="074BC6BF"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féminin</w:t>
            </w:r>
          </w:p>
        </w:tc>
        <w:tc>
          <w:tcPr>
            <w:tcW w:w="2410" w:type="dxa"/>
            <w:shd w:val="clear" w:color="auto" w:fill="auto"/>
          </w:tcPr>
          <w:p w14:paraId="01143FF8"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sexuelle</w:t>
            </w:r>
          </w:p>
        </w:tc>
        <w:tc>
          <w:tcPr>
            <w:tcW w:w="1417" w:type="dxa"/>
            <w:shd w:val="clear" w:color="auto" w:fill="auto"/>
          </w:tcPr>
          <w:p w14:paraId="00E6B183"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12</w:t>
            </w:r>
          </w:p>
        </w:tc>
        <w:tc>
          <w:tcPr>
            <w:tcW w:w="1558" w:type="dxa"/>
            <w:shd w:val="clear" w:color="auto" w:fill="auto"/>
          </w:tcPr>
          <w:p w14:paraId="2D34ACB5"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Géorgie</w:t>
            </w:r>
          </w:p>
        </w:tc>
      </w:tr>
      <w:tr w:rsidR="005C5C6A" w:rsidRPr="00FF65D6" w14:paraId="33241F3C" w14:textId="77777777" w:rsidTr="00CA2C84">
        <w:tc>
          <w:tcPr>
            <w:cnfStyle w:val="001000000000" w:firstRow="0" w:lastRow="0" w:firstColumn="1" w:lastColumn="0" w:oddVBand="0" w:evenVBand="0" w:oddHBand="0" w:evenHBand="0" w:firstRowFirstColumn="0" w:firstRowLastColumn="0" w:lastRowFirstColumn="0" w:lastRowLastColumn="0"/>
            <w:tcW w:w="818" w:type="dxa"/>
            <w:shd w:val="clear" w:color="auto" w:fill="auto"/>
          </w:tcPr>
          <w:p w14:paraId="1C453AD8" w14:textId="77777777" w:rsidR="005C5C6A" w:rsidRPr="00FF65D6" w:rsidRDefault="005C5C6A" w:rsidP="00CA2C84">
            <w:pPr>
              <w:spacing w:before="40" w:after="120"/>
              <w:ind w:right="113"/>
              <w:rPr>
                <w:b w:val="0"/>
                <w:color w:val="auto"/>
                <w:lang w:val="fr-FR"/>
              </w:rPr>
            </w:pPr>
            <w:r w:rsidRPr="00FF65D6">
              <w:rPr>
                <w:b w:val="0"/>
                <w:color w:val="auto"/>
                <w:lang w:val="fr-FR"/>
              </w:rPr>
              <w:t>2014</w:t>
            </w:r>
          </w:p>
        </w:tc>
        <w:tc>
          <w:tcPr>
            <w:tcW w:w="1309" w:type="dxa"/>
            <w:shd w:val="clear" w:color="auto" w:fill="auto"/>
          </w:tcPr>
          <w:p w14:paraId="26EF309C"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kirghize</w:t>
            </w:r>
          </w:p>
        </w:tc>
        <w:tc>
          <w:tcPr>
            <w:tcW w:w="992" w:type="dxa"/>
            <w:shd w:val="clear" w:color="auto" w:fill="auto"/>
          </w:tcPr>
          <w:p w14:paraId="412896BB"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féminin</w:t>
            </w:r>
          </w:p>
        </w:tc>
        <w:tc>
          <w:tcPr>
            <w:tcW w:w="2410" w:type="dxa"/>
            <w:shd w:val="clear" w:color="auto" w:fill="auto"/>
          </w:tcPr>
          <w:p w14:paraId="4D2B5767"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sexuelle</w:t>
            </w:r>
          </w:p>
        </w:tc>
        <w:tc>
          <w:tcPr>
            <w:tcW w:w="1417" w:type="dxa"/>
            <w:shd w:val="clear" w:color="auto" w:fill="auto"/>
          </w:tcPr>
          <w:p w14:paraId="12C4F199"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17</w:t>
            </w:r>
          </w:p>
        </w:tc>
        <w:tc>
          <w:tcPr>
            <w:tcW w:w="1558" w:type="dxa"/>
            <w:shd w:val="clear" w:color="auto" w:fill="auto"/>
          </w:tcPr>
          <w:p w14:paraId="287532A1"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Géorgie</w:t>
            </w:r>
          </w:p>
        </w:tc>
      </w:tr>
      <w:tr w:rsidR="005C5C6A" w:rsidRPr="00FF65D6" w14:paraId="60F32586" w14:textId="77777777" w:rsidTr="00CA2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vMerge w:val="restart"/>
            <w:shd w:val="clear" w:color="auto" w:fill="auto"/>
          </w:tcPr>
          <w:p w14:paraId="0BCF04FC" w14:textId="77777777" w:rsidR="005C5C6A" w:rsidRPr="00FF65D6" w:rsidRDefault="005C5C6A" w:rsidP="00CA2C84">
            <w:pPr>
              <w:spacing w:before="40" w:after="120"/>
              <w:ind w:right="113"/>
              <w:rPr>
                <w:b w:val="0"/>
                <w:color w:val="auto"/>
                <w:lang w:val="fr-FR"/>
              </w:rPr>
            </w:pPr>
            <w:r w:rsidRPr="00FF65D6">
              <w:rPr>
                <w:b w:val="0"/>
                <w:color w:val="auto"/>
                <w:lang w:val="fr-FR"/>
              </w:rPr>
              <w:t>2015</w:t>
            </w:r>
          </w:p>
        </w:tc>
        <w:tc>
          <w:tcPr>
            <w:tcW w:w="1309" w:type="dxa"/>
            <w:shd w:val="clear" w:color="auto" w:fill="auto"/>
          </w:tcPr>
          <w:p w14:paraId="1FFEF644"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géorgienne</w:t>
            </w:r>
          </w:p>
        </w:tc>
        <w:tc>
          <w:tcPr>
            <w:tcW w:w="992" w:type="dxa"/>
            <w:shd w:val="clear" w:color="auto" w:fill="auto"/>
          </w:tcPr>
          <w:p w14:paraId="133A4375"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féminin</w:t>
            </w:r>
          </w:p>
        </w:tc>
        <w:tc>
          <w:tcPr>
            <w:tcW w:w="2410" w:type="dxa"/>
            <w:shd w:val="clear" w:color="auto" w:fill="auto"/>
          </w:tcPr>
          <w:p w14:paraId="3D3A8E2F"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achat et vente de mineurs</w:t>
            </w:r>
          </w:p>
        </w:tc>
        <w:tc>
          <w:tcPr>
            <w:tcW w:w="1417" w:type="dxa"/>
            <w:shd w:val="clear" w:color="auto" w:fill="auto"/>
          </w:tcPr>
          <w:p w14:paraId="0A6D8123"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nourrisson</w:t>
            </w:r>
          </w:p>
        </w:tc>
        <w:tc>
          <w:tcPr>
            <w:tcW w:w="1558" w:type="dxa"/>
            <w:shd w:val="clear" w:color="auto" w:fill="auto"/>
          </w:tcPr>
          <w:p w14:paraId="25FFC9F3"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Géorgie</w:t>
            </w:r>
          </w:p>
        </w:tc>
      </w:tr>
      <w:tr w:rsidR="005C5C6A" w:rsidRPr="00FF65D6" w14:paraId="05A14322" w14:textId="77777777" w:rsidTr="00CA2C84">
        <w:tc>
          <w:tcPr>
            <w:cnfStyle w:val="001000000000" w:firstRow="0" w:lastRow="0" w:firstColumn="1" w:lastColumn="0" w:oddVBand="0" w:evenVBand="0" w:oddHBand="0" w:evenHBand="0" w:firstRowFirstColumn="0" w:firstRowLastColumn="0" w:lastRowFirstColumn="0" w:lastRowLastColumn="0"/>
            <w:tcW w:w="818" w:type="dxa"/>
            <w:vMerge/>
            <w:tcBorders>
              <w:bottom w:val="single" w:sz="12" w:space="0" w:color="auto"/>
            </w:tcBorders>
            <w:shd w:val="clear" w:color="auto" w:fill="auto"/>
          </w:tcPr>
          <w:p w14:paraId="6AF372FF" w14:textId="77777777" w:rsidR="005C5C6A" w:rsidRPr="00FF65D6" w:rsidRDefault="005C5C6A" w:rsidP="00CA2C84">
            <w:pPr>
              <w:spacing w:before="40" w:after="120"/>
              <w:ind w:right="113"/>
              <w:rPr>
                <w:color w:val="auto"/>
                <w:lang w:val="fr-FR"/>
              </w:rPr>
            </w:pPr>
          </w:p>
        </w:tc>
        <w:tc>
          <w:tcPr>
            <w:tcW w:w="1309" w:type="dxa"/>
            <w:tcBorders>
              <w:bottom w:val="single" w:sz="12" w:space="0" w:color="auto"/>
            </w:tcBorders>
            <w:shd w:val="clear" w:color="auto" w:fill="auto"/>
          </w:tcPr>
          <w:p w14:paraId="188FA15E"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géorgienne</w:t>
            </w:r>
          </w:p>
        </w:tc>
        <w:tc>
          <w:tcPr>
            <w:tcW w:w="992" w:type="dxa"/>
            <w:tcBorders>
              <w:bottom w:val="single" w:sz="12" w:space="0" w:color="auto"/>
            </w:tcBorders>
            <w:shd w:val="clear" w:color="auto" w:fill="auto"/>
          </w:tcPr>
          <w:p w14:paraId="592E4905"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féminin</w:t>
            </w:r>
          </w:p>
        </w:tc>
        <w:tc>
          <w:tcPr>
            <w:tcW w:w="2410" w:type="dxa"/>
            <w:tcBorders>
              <w:bottom w:val="single" w:sz="12" w:space="0" w:color="auto"/>
            </w:tcBorders>
            <w:shd w:val="clear" w:color="auto" w:fill="auto"/>
          </w:tcPr>
          <w:p w14:paraId="5FB435A8"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achat et vente de mineurs</w:t>
            </w:r>
          </w:p>
        </w:tc>
        <w:tc>
          <w:tcPr>
            <w:tcW w:w="1417" w:type="dxa"/>
            <w:tcBorders>
              <w:bottom w:val="single" w:sz="12" w:space="0" w:color="auto"/>
            </w:tcBorders>
            <w:shd w:val="clear" w:color="auto" w:fill="auto"/>
          </w:tcPr>
          <w:p w14:paraId="1F7B5D01"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nourrisson</w:t>
            </w:r>
          </w:p>
        </w:tc>
        <w:tc>
          <w:tcPr>
            <w:tcW w:w="1558" w:type="dxa"/>
            <w:tcBorders>
              <w:bottom w:val="single" w:sz="12" w:space="0" w:color="auto"/>
            </w:tcBorders>
            <w:shd w:val="clear" w:color="auto" w:fill="auto"/>
          </w:tcPr>
          <w:p w14:paraId="5AABA336"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Géorgie</w:t>
            </w:r>
          </w:p>
        </w:tc>
      </w:tr>
    </w:tbl>
    <w:p w14:paraId="16993423" w14:textId="77777777" w:rsidR="005C5C6A" w:rsidRPr="00FF65D6" w:rsidRDefault="005C5C6A" w:rsidP="00CA2C84">
      <w:pPr>
        <w:pStyle w:val="SingleTxtG"/>
        <w:spacing w:before="240"/>
        <w:ind w:left="1701"/>
        <w:rPr>
          <w:lang w:val="fr-FR"/>
        </w:rPr>
      </w:pPr>
      <w:r w:rsidRPr="00FF65D6">
        <w:rPr>
          <w:lang w:val="fr-FR"/>
        </w:rPr>
        <w:t>b)</w:t>
      </w:r>
      <w:r w:rsidRPr="00FF65D6">
        <w:rPr>
          <w:lang w:val="fr-FR"/>
        </w:rPr>
        <w:tab/>
        <w:t>Nombre de cas de coopération policière sur des affaires de traite des êtres humains</w:t>
      </w:r>
    </w:p>
    <w:tbl>
      <w:tblPr>
        <w:tblStyle w:val="GridTable6Colorful12"/>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5"/>
        <w:gridCol w:w="2829"/>
        <w:gridCol w:w="3399"/>
        <w:gridCol w:w="1561"/>
      </w:tblGrid>
      <w:tr w:rsidR="005C5C6A" w:rsidRPr="00FF65D6" w14:paraId="131342A9" w14:textId="77777777" w:rsidTr="00CA2C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12" w:space="0" w:color="auto"/>
            </w:tcBorders>
            <w:shd w:val="clear" w:color="auto" w:fill="auto"/>
            <w:vAlign w:val="bottom"/>
          </w:tcPr>
          <w:p w14:paraId="0E71F2D1" w14:textId="77777777" w:rsidR="005C5C6A" w:rsidRPr="00FF65D6" w:rsidRDefault="005C5C6A" w:rsidP="00CA2C84">
            <w:pPr>
              <w:spacing w:before="80" w:after="80" w:line="200" w:lineRule="exact"/>
              <w:ind w:right="113"/>
              <w:rPr>
                <w:b w:val="0"/>
                <w:i/>
                <w:color w:val="auto"/>
                <w:sz w:val="16"/>
                <w:lang w:val="fr-FR"/>
              </w:rPr>
            </w:pPr>
            <w:r w:rsidRPr="00FF65D6">
              <w:rPr>
                <w:b w:val="0"/>
                <w:i/>
                <w:color w:val="auto"/>
                <w:sz w:val="16"/>
                <w:lang w:val="fr-FR"/>
              </w:rPr>
              <w:t>Année</w:t>
            </w:r>
          </w:p>
        </w:tc>
        <w:tc>
          <w:tcPr>
            <w:tcW w:w="2829" w:type="dxa"/>
            <w:tcBorders>
              <w:top w:val="single" w:sz="4" w:space="0" w:color="auto"/>
              <w:bottom w:val="single" w:sz="12" w:space="0" w:color="auto"/>
            </w:tcBorders>
            <w:shd w:val="clear" w:color="auto" w:fill="auto"/>
            <w:vAlign w:val="bottom"/>
          </w:tcPr>
          <w:p w14:paraId="447CF612" w14:textId="77777777" w:rsidR="005C5C6A" w:rsidRPr="00FF65D6" w:rsidRDefault="005C5C6A" w:rsidP="00CA2C84">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FF65D6">
              <w:rPr>
                <w:b w:val="0"/>
                <w:i/>
                <w:color w:val="auto"/>
                <w:sz w:val="16"/>
                <w:lang w:val="fr-FR"/>
              </w:rPr>
              <w:t>Pays</w:t>
            </w:r>
          </w:p>
        </w:tc>
        <w:tc>
          <w:tcPr>
            <w:tcW w:w="3399" w:type="dxa"/>
            <w:tcBorders>
              <w:top w:val="single" w:sz="4" w:space="0" w:color="auto"/>
              <w:bottom w:val="single" w:sz="12" w:space="0" w:color="auto"/>
            </w:tcBorders>
            <w:shd w:val="clear" w:color="auto" w:fill="auto"/>
            <w:vAlign w:val="bottom"/>
          </w:tcPr>
          <w:p w14:paraId="08F8E895" w14:textId="77777777" w:rsidR="005C5C6A" w:rsidRPr="00FF65D6" w:rsidRDefault="005C5C6A" w:rsidP="00CA2C84">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FF65D6">
              <w:rPr>
                <w:b w:val="0"/>
                <w:i/>
                <w:color w:val="auto"/>
                <w:sz w:val="16"/>
                <w:lang w:val="fr-FR"/>
              </w:rPr>
              <w:t>Forme d</w:t>
            </w:r>
            <w:r w:rsidR="002127F6" w:rsidRPr="00FF65D6">
              <w:rPr>
                <w:b w:val="0"/>
                <w:i/>
                <w:color w:val="auto"/>
                <w:sz w:val="16"/>
                <w:lang w:val="fr-FR"/>
              </w:rPr>
              <w:t>’</w:t>
            </w:r>
            <w:r w:rsidRPr="00FF65D6">
              <w:rPr>
                <w:b w:val="0"/>
                <w:i/>
                <w:color w:val="auto"/>
                <w:sz w:val="16"/>
                <w:lang w:val="fr-FR"/>
              </w:rPr>
              <w:t>exploitation</w:t>
            </w:r>
          </w:p>
        </w:tc>
        <w:tc>
          <w:tcPr>
            <w:tcW w:w="1561" w:type="dxa"/>
            <w:tcBorders>
              <w:top w:val="single" w:sz="4" w:space="0" w:color="auto"/>
              <w:bottom w:val="single" w:sz="12" w:space="0" w:color="auto"/>
            </w:tcBorders>
            <w:shd w:val="clear" w:color="auto" w:fill="auto"/>
            <w:vAlign w:val="bottom"/>
          </w:tcPr>
          <w:p w14:paraId="4FFF6003" w14:textId="77777777" w:rsidR="005C5C6A" w:rsidRPr="00FF65D6" w:rsidRDefault="005C5C6A" w:rsidP="00CA2C84">
            <w:pPr>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FF65D6">
              <w:rPr>
                <w:b w:val="0"/>
                <w:i/>
                <w:color w:val="auto"/>
                <w:sz w:val="16"/>
                <w:lang w:val="fr-FR"/>
              </w:rPr>
              <w:t>Nombre</w:t>
            </w:r>
          </w:p>
        </w:tc>
      </w:tr>
      <w:tr w:rsidR="00CA2C84" w:rsidRPr="00FF65D6" w14:paraId="16B72036" w14:textId="77777777" w:rsidTr="00CA2C84">
        <w:trPr>
          <w:cnfStyle w:val="100000000000" w:firstRow="1" w:lastRow="0" w:firstColumn="0" w:lastColumn="0" w:oddVBand="0" w:evenVBand="0" w:oddHBand="0" w:evenHBand="0" w:firstRowFirstColumn="0" w:firstRowLastColumn="0" w:lastRowFirstColumn="0" w:lastRowLastColumn="0"/>
          <w:trHeight w:hRule="exact" w:val="113"/>
          <w:tblHeader/>
        </w:trPr>
        <w:tc>
          <w:tcPr>
            <w:cnfStyle w:val="001000000000" w:firstRow="0" w:lastRow="0" w:firstColumn="1" w:lastColumn="0" w:oddVBand="0" w:evenVBand="0" w:oddHBand="0" w:evenHBand="0" w:firstRowFirstColumn="0" w:firstRowLastColumn="0" w:lastRowFirstColumn="0" w:lastRowLastColumn="0"/>
            <w:tcW w:w="715" w:type="dxa"/>
            <w:tcBorders>
              <w:top w:val="single" w:sz="12" w:space="0" w:color="auto"/>
              <w:bottom w:val="none" w:sz="0" w:space="0" w:color="auto"/>
            </w:tcBorders>
            <w:shd w:val="clear" w:color="auto" w:fill="auto"/>
          </w:tcPr>
          <w:p w14:paraId="64F112A0" w14:textId="77777777" w:rsidR="00CA2C84" w:rsidRPr="00FF65D6" w:rsidRDefault="00CA2C84" w:rsidP="00CA2C84">
            <w:pPr>
              <w:spacing w:before="40" w:after="120"/>
              <w:ind w:right="113"/>
              <w:rPr>
                <w:color w:val="auto"/>
                <w:lang w:val="fr-FR"/>
              </w:rPr>
            </w:pPr>
          </w:p>
        </w:tc>
        <w:tc>
          <w:tcPr>
            <w:tcW w:w="2829" w:type="dxa"/>
            <w:tcBorders>
              <w:top w:val="single" w:sz="12" w:space="0" w:color="auto"/>
              <w:bottom w:val="none" w:sz="0" w:space="0" w:color="auto"/>
            </w:tcBorders>
            <w:shd w:val="clear" w:color="auto" w:fill="auto"/>
          </w:tcPr>
          <w:p w14:paraId="0F647E09" w14:textId="77777777" w:rsidR="00CA2C84" w:rsidRPr="00FF65D6" w:rsidRDefault="00CA2C84" w:rsidP="00CA2C84">
            <w:pPr>
              <w:spacing w:before="40" w:after="120"/>
              <w:ind w:right="113"/>
              <w:cnfStyle w:val="100000000000" w:firstRow="1" w:lastRow="0" w:firstColumn="0" w:lastColumn="0" w:oddVBand="0" w:evenVBand="0" w:oddHBand="0" w:evenHBand="0" w:firstRowFirstColumn="0" w:firstRowLastColumn="0" w:lastRowFirstColumn="0" w:lastRowLastColumn="0"/>
              <w:rPr>
                <w:color w:val="auto"/>
                <w:lang w:val="fr-FR"/>
              </w:rPr>
            </w:pPr>
          </w:p>
        </w:tc>
        <w:tc>
          <w:tcPr>
            <w:tcW w:w="3399" w:type="dxa"/>
            <w:tcBorders>
              <w:top w:val="single" w:sz="12" w:space="0" w:color="auto"/>
              <w:bottom w:val="none" w:sz="0" w:space="0" w:color="auto"/>
            </w:tcBorders>
            <w:shd w:val="clear" w:color="auto" w:fill="auto"/>
          </w:tcPr>
          <w:p w14:paraId="1D43E70E" w14:textId="77777777" w:rsidR="00CA2C84" w:rsidRPr="00FF65D6" w:rsidRDefault="00CA2C84" w:rsidP="00CA2C84">
            <w:pPr>
              <w:spacing w:before="40" w:after="120"/>
              <w:ind w:right="113"/>
              <w:cnfStyle w:val="100000000000" w:firstRow="1" w:lastRow="0" w:firstColumn="0" w:lastColumn="0" w:oddVBand="0" w:evenVBand="0" w:oddHBand="0" w:evenHBand="0" w:firstRowFirstColumn="0" w:firstRowLastColumn="0" w:lastRowFirstColumn="0" w:lastRowLastColumn="0"/>
              <w:rPr>
                <w:color w:val="auto"/>
                <w:lang w:val="fr-FR"/>
              </w:rPr>
            </w:pPr>
          </w:p>
        </w:tc>
        <w:tc>
          <w:tcPr>
            <w:tcW w:w="1561" w:type="dxa"/>
            <w:tcBorders>
              <w:top w:val="single" w:sz="12" w:space="0" w:color="auto"/>
              <w:bottom w:val="none" w:sz="0" w:space="0" w:color="auto"/>
            </w:tcBorders>
            <w:shd w:val="clear" w:color="auto" w:fill="auto"/>
          </w:tcPr>
          <w:p w14:paraId="5103B803" w14:textId="77777777" w:rsidR="00CA2C84" w:rsidRPr="00FF65D6" w:rsidRDefault="00CA2C84" w:rsidP="00CA2C84">
            <w:pPr>
              <w:spacing w:before="40" w:after="120"/>
              <w:ind w:right="113"/>
              <w:cnfStyle w:val="100000000000" w:firstRow="1" w:lastRow="0" w:firstColumn="0" w:lastColumn="0" w:oddVBand="0" w:evenVBand="0" w:oddHBand="0" w:evenHBand="0" w:firstRowFirstColumn="0" w:firstRowLastColumn="0" w:lastRowFirstColumn="0" w:lastRowLastColumn="0"/>
              <w:rPr>
                <w:color w:val="auto"/>
                <w:lang w:val="fr-FR"/>
              </w:rPr>
            </w:pPr>
          </w:p>
        </w:tc>
      </w:tr>
      <w:tr w:rsidR="005C5C6A" w:rsidRPr="00FF65D6" w14:paraId="1AA4561C" w14:textId="77777777" w:rsidTr="00CA2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val="restart"/>
            <w:shd w:val="clear" w:color="auto" w:fill="auto"/>
          </w:tcPr>
          <w:p w14:paraId="0A5B7849" w14:textId="77777777" w:rsidR="005C5C6A" w:rsidRPr="00FF65D6" w:rsidRDefault="005C5C6A" w:rsidP="00CA2C84">
            <w:pPr>
              <w:spacing w:before="40" w:after="120"/>
              <w:ind w:right="113"/>
              <w:rPr>
                <w:b w:val="0"/>
                <w:color w:val="auto"/>
                <w:lang w:val="fr-FR"/>
              </w:rPr>
            </w:pPr>
            <w:r w:rsidRPr="00FF65D6">
              <w:rPr>
                <w:b w:val="0"/>
                <w:color w:val="auto"/>
                <w:lang w:val="fr-FR"/>
              </w:rPr>
              <w:t>2013</w:t>
            </w:r>
          </w:p>
        </w:tc>
        <w:tc>
          <w:tcPr>
            <w:tcW w:w="2829" w:type="dxa"/>
            <w:shd w:val="clear" w:color="auto" w:fill="auto"/>
          </w:tcPr>
          <w:p w14:paraId="722232A0"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Turquie</w:t>
            </w:r>
          </w:p>
        </w:tc>
        <w:tc>
          <w:tcPr>
            <w:tcW w:w="3399" w:type="dxa"/>
            <w:shd w:val="clear" w:color="auto" w:fill="auto"/>
          </w:tcPr>
          <w:p w14:paraId="24FD277A"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Exploitation du travail</w:t>
            </w:r>
          </w:p>
        </w:tc>
        <w:tc>
          <w:tcPr>
            <w:tcW w:w="1561" w:type="dxa"/>
            <w:shd w:val="clear" w:color="auto" w:fill="auto"/>
          </w:tcPr>
          <w:p w14:paraId="1EE036D5" w14:textId="77777777" w:rsidR="005C5C6A" w:rsidRPr="00FF65D6" w:rsidRDefault="005C5C6A" w:rsidP="00CA2C84">
            <w:pPr>
              <w:spacing w:before="40" w:after="120"/>
              <w:ind w:right="113"/>
              <w:jc w:val="right"/>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2</w:t>
            </w:r>
          </w:p>
        </w:tc>
      </w:tr>
      <w:tr w:rsidR="005C5C6A" w:rsidRPr="00FF65D6" w14:paraId="6A913338" w14:textId="77777777" w:rsidTr="00CA2C84">
        <w:tc>
          <w:tcPr>
            <w:cnfStyle w:val="001000000000" w:firstRow="0" w:lastRow="0" w:firstColumn="1" w:lastColumn="0" w:oddVBand="0" w:evenVBand="0" w:oddHBand="0" w:evenHBand="0" w:firstRowFirstColumn="0" w:firstRowLastColumn="0" w:lastRowFirstColumn="0" w:lastRowLastColumn="0"/>
            <w:tcW w:w="715" w:type="dxa"/>
            <w:vMerge/>
            <w:shd w:val="clear" w:color="auto" w:fill="auto"/>
          </w:tcPr>
          <w:p w14:paraId="2D8823A6" w14:textId="77777777" w:rsidR="005C5C6A" w:rsidRPr="00FF65D6" w:rsidRDefault="005C5C6A" w:rsidP="00CA2C84">
            <w:pPr>
              <w:spacing w:before="40" w:after="120"/>
              <w:ind w:right="113"/>
              <w:rPr>
                <w:b w:val="0"/>
                <w:color w:val="auto"/>
                <w:lang w:val="fr-FR"/>
              </w:rPr>
            </w:pPr>
          </w:p>
        </w:tc>
        <w:tc>
          <w:tcPr>
            <w:tcW w:w="2829" w:type="dxa"/>
            <w:shd w:val="clear" w:color="auto" w:fill="auto"/>
          </w:tcPr>
          <w:p w14:paraId="5ACC68FA"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Turquie</w:t>
            </w:r>
          </w:p>
        </w:tc>
        <w:tc>
          <w:tcPr>
            <w:tcW w:w="3399" w:type="dxa"/>
            <w:shd w:val="clear" w:color="auto" w:fill="auto"/>
          </w:tcPr>
          <w:p w14:paraId="6EE41835"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Exploitation sexuelle</w:t>
            </w:r>
          </w:p>
        </w:tc>
        <w:tc>
          <w:tcPr>
            <w:tcW w:w="1561" w:type="dxa"/>
            <w:shd w:val="clear" w:color="auto" w:fill="auto"/>
          </w:tcPr>
          <w:p w14:paraId="3F819DD8" w14:textId="77777777" w:rsidR="005C5C6A" w:rsidRPr="00FF65D6" w:rsidRDefault="005C5C6A" w:rsidP="00CA2C84">
            <w:pPr>
              <w:spacing w:before="40" w:after="120"/>
              <w:ind w:right="113"/>
              <w:jc w:val="right"/>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1</w:t>
            </w:r>
          </w:p>
        </w:tc>
      </w:tr>
      <w:tr w:rsidR="005C5C6A" w:rsidRPr="00FF65D6" w14:paraId="79644CBB" w14:textId="77777777" w:rsidTr="00CA2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shd w:val="clear" w:color="auto" w:fill="auto"/>
          </w:tcPr>
          <w:p w14:paraId="5F66DDAF" w14:textId="77777777" w:rsidR="005C5C6A" w:rsidRPr="00FF65D6" w:rsidRDefault="005C5C6A" w:rsidP="00CA2C84">
            <w:pPr>
              <w:spacing w:before="40" w:after="120"/>
              <w:ind w:right="113"/>
              <w:rPr>
                <w:b w:val="0"/>
                <w:color w:val="auto"/>
                <w:lang w:val="fr-FR"/>
              </w:rPr>
            </w:pPr>
          </w:p>
        </w:tc>
        <w:tc>
          <w:tcPr>
            <w:tcW w:w="2829" w:type="dxa"/>
            <w:shd w:val="clear" w:color="auto" w:fill="auto"/>
          </w:tcPr>
          <w:p w14:paraId="08536376"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Israël, Australie et États Unis d</w:t>
            </w:r>
            <w:r w:rsidR="002127F6" w:rsidRPr="00FF65D6">
              <w:rPr>
                <w:color w:val="auto"/>
                <w:lang w:val="fr-FR"/>
              </w:rPr>
              <w:t>’</w:t>
            </w:r>
            <w:r w:rsidRPr="00FF65D6">
              <w:rPr>
                <w:color w:val="auto"/>
                <w:lang w:val="fr-FR"/>
              </w:rPr>
              <w:t>Amérique</w:t>
            </w:r>
          </w:p>
        </w:tc>
        <w:tc>
          <w:tcPr>
            <w:tcW w:w="3399" w:type="dxa"/>
            <w:shd w:val="clear" w:color="auto" w:fill="auto"/>
          </w:tcPr>
          <w:p w14:paraId="021B5407"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Exploitation sexuelle</w:t>
            </w:r>
          </w:p>
        </w:tc>
        <w:tc>
          <w:tcPr>
            <w:tcW w:w="1561" w:type="dxa"/>
            <w:shd w:val="clear" w:color="auto" w:fill="auto"/>
          </w:tcPr>
          <w:p w14:paraId="6D733FD2" w14:textId="77777777" w:rsidR="005C5C6A" w:rsidRPr="00FF65D6" w:rsidRDefault="005C5C6A" w:rsidP="00CA2C84">
            <w:pPr>
              <w:spacing w:before="40" w:after="120"/>
              <w:ind w:right="113"/>
              <w:jc w:val="right"/>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1</w:t>
            </w:r>
          </w:p>
        </w:tc>
      </w:tr>
      <w:tr w:rsidR="005C5C6A" w:rsidRPr="00FF65D6" w14:paraId="663721F0" w14:textId="77777777" w:rsidTr="00CA2C84">
        <w:tc>
          <w:tcPr>
            <w:cnfStyle w:val="001000000000" w:firstRow="0" w:lastRow="0" w:firstColumn="1" w:lastColumn="0" w:oddVBand="0" w:evenVBand="0" w:oddHBand="0" w:evenHBand="0" w:firstRowFirstColumn="0" w:firstRowLastColumn="0" w:lastRowFirstColumn="0" w:lastRowLastColumn="0"/>
            <w:tcW w:w="715" w:type="dxa"/>
            <w:vMerge w:val="restart"/>
            <w:shd w:val="clear" w:color="auto" w:fill="auto"/>
          </w:tcPr>
          <w:p w14:paraId="17E09301" w14:textId="77777777" w:rsidR="005C5C6A" w:rsidRPr="00FF65D6" w:rsidRDefault="005C5C6A" w:rsidP="00CA2C84">
            <w:pPr>
              <w:spacing w:before="40" w:after="120"/>
              <w:ind w:right="113"/>
              <w:rPr>
                <w:b w:val="0"/>
                <w:color w:val="auto"/>
                <w:lang w:val="fr-FR"/>
              </w:rPr>
            </w:pPr>
            <w:r w:rsidRPr="00FF65D6">
              <w:rPr>
                <w:b w:val="0"/>
                <w:color w:val="auto"/>
                <w:lang w:val="fr-FR"/>
              </w:rPr>
              <w:t>2014</w:t>
            </w:r>
          </w:p>
        </w:tc>
        <w:tc>
          <w:tcPr>
            <w:tcW w:w="2829" w:type="dxa"/>
            <w:shd w:val="clear" w:color="auto" w:fill="auto"/>
          </w:tcPr>
          <w:p w14:paraId="1D744496"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Turquie</w:t>
            </w:r>
          </w:p>
        </w:tc>
        <w:tc>
          <w:tcPr>
            <w:tcW w:w="3399" w:type="dxa"/>
            <w:shd w:val="clear" w:color="auto" w:fill="auto"/>
          </w:tcPr>
          <w:p w14:paraId="10780350"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Exploitation du travail</w:t>
            </w:r>
          </w:p>
        </w:tc>
        <w:tc>
          <w:tcPr>
            <w:tcW w:w="1561" w:type="dxa"/>
            <w:shd w:val="clear" w:color="auto" w:fill="auto"/>
          </w:tcPr>
          <w:p w14:paraId="6723DF37" w14:textId="77777777" w:rsidR="005C5C6A" w:rsidRPr="00FF65D6" w:rsidRDefault="005C5C6A" w:rsidP="00CA2C84">
            <w:pPr>
              <w:spacing w:before="40" w:after="120"/>
              <w:ind w:right="113"/>
              <w:jc w:val="right"/>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5</w:t>
            </w:r>
          </w:p>
        </w:tc>
      </w:tr>
      <w:tr w:rsidR="005C5C6A" w:rsidRPr="00FF65D6" w14:paraId="60C0D587" w14:textId="77777777" w:rsidTr="00CA2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shd w:val="clear" w:color="auto" w:fill="auto"/>
          </w:tcPr>
          <w:p w14:paraId="6C1DCFAC" w14:textId="77777777" w:rsidR="005C5C6A" w:rsidRPr="00FF65D6" w:rsidRDefault="005C5C6A" w:rsidP="00CA2C84">
            <w:pPr>
              <w:spacing w:before="40" w:after="120"/>
              <w:ind w:right="113"/>
              <w:rPr>
                <w:b w:val="0"/>
                <w:color w:val="auto"/>
                <w:lang w:val="fr-FR"/>
              </w:rPr>
            </w:pPr>
          </w:p>
        </w:tc>
        <w:tc>
          <w:tcPr>
            <w:tcW w:w="2829" w:type="dxa"/>
            <w:shd w:val="clear" w:color="auto" w:fill="auto"/>
          </w:tcPr>
          <w:p w14:paraId="4EB4F15E"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Turquie</w:t>
            </w:r>
          </w:p>
        </w:tc>
        <w:tc>
          <w:tcPr>
            <w:tcW w:w="3399" w:type="dxa"/>
            <w:shd w:val="clear" w:color="auto" w:fill="auto"/>
          </w:tcPr>
          <w:p w14:paraId="0E9C94F8"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Exploitation sexuelle</w:t>
            </w:r>
          </w:p>
        </w:tc>
        <w:tc>
          <w:tcPr>
            <w:tcW w:w="1561" w:type="dxa"/>
            <w:shd w:val="clear" w:color="auto" w:fill="auto"/>
          </w:tcPr>
          <w:p w14:paraId="280B9E33" w14:textId="77777777" w:rsidR="005C5C6A" w:rsidRPr="00FF65D6" w:rsidRDefault="005C5C6A" w:rsidP="00CA2C84">
            <w:pPr>
              <w:spacing w:before="40" w:after="120"/>
              <w:ind w:right="113"/>
              <w:jc w:val="right"/>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1</w:t>
            </w:r>
          </w:p>
        </w:tc>
      </w:tr>
      <w:tr w:rsidR="005C5C6A" w:rsidRPr="00FF65D6" w14:paraId="2E70A88E" w14:textId="77777777" w:rsidTr="00CA2C84">
        <w:tc>
          <w:tcPr>
            <w:cnfStyle w:val="001000000000" w:firstRow="0" w:lastRow="0" w:firstColumn="1" w:lastColumn="0" w:oddVBand="0" w:evenVBand="0" w:oddHBand="0" w:evenHBand="0" w:firstRowFirstColumn="0" w:firstRowLastColumn="0" w:lastRowFirstColumn="0" w:lastRowLastColumn="0"/>
            <w:tcW w:w="715" w:type="dxa"/>
            <w:vMerge w:val="restart"/>
            <w:shd w:val="clear" w:color="auto" w:fill="auto"/>
          </w:tcPr>
          <w:p w14:paraId="60CC956D" w14:textId="77777777" w:rsidR="005C5C6A" w:rsidRPr="00FF65D6" w:rsidRDefault="005C5C6A" w:rsidP="00CA2C84">
            <w:pPr>
              <w:spacing w:before="40" w:after="120"/>
              <w:ind w:right="113"/>
              <w:rPr>
                <w:b w:val="0"/>
                <w:color w:val="auto"/>
                <w:lang w:val="fr-FR"/>
              </w:rPr>
            </w:pPr>
            <w:r w:rsidRPr="00FF65D6">
              <w:rPr>
                <w:b w:val="0"/>
                <w:color w:val="auto"/>
                <w:lang w:val="fr-FR"/>
              </w:rPr>
              <w:t>2015</w:t>
            </w:r>
          </w:p>
        </w:tc>
        <w:tc>
          <w:tcPr>
            <w:tcW w:w="2829" w:type="dxa"/>
            <w:shd w:val="clear" w:color="auto" w:fill="auto"/>
          </w:tcPr>
          <w:p w14:paraId="238D5A54"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Turquie</w:t>
            </w:r>
          </w:p>
        </w:tc>
        <w:tc>
          <w:tcPr>
            <w:tcW w:w="3399" w:type="dxa"/>
            <w:shd w:val="clear" w:color="auto" w:fill="auto"/>
          </w:tcPr>
          <w:p w14:paraId="00CF194B"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Exploitation du travail</w:t>
            </w:r>
          </w:p>
        </w:tc>
        <w:tc>
          <w:tcPr>
            <w:tcW w:w="1561" w:type="dxa"/>
            <w:shd w:val="clear" w:color="auto" w:fill="auto"/>
          </w:tcPr>
          <w:p w14:paraId="2409FE62" w14:textId="77777777" w:rsidR="005C5C6A" w:rsidRPr="00FF65D6" w:rsidRDefault="005C5C6A" w:rsidP="00CA2C84">
            <w:pPr>
              <w:spacing w:before="40" w:after="120"/>
              <w:ind w:right="113"/>
              <w:jc w:val="right"/>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1</w:t>
            </w:r>
          </w:p>
        </w:tc>
      </w:tr>
      <w:tr w:rsidR="005C5C6A" w:rsidRPr="00FF65D6" w14:paraId="161086D2" w14:textId="77777777" w:rsidTr="00CA2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shd w:val="clear" w:color="auto" w:fill="auto"/>
          </w:tcPr>
          <w:p w14:paraId="32FF2258" w14:textId="77777777" w:rsidR="005C5C6A" w:rsidRPr="00FF65D6" w:rsidRDefault="005C5C6A" w:rsidP="00CA2C84">
            <w:pPr>
              <w:spacing w:before="40" w:after="120"/>
              <w:ind w:right="113"/>
              <w:rPr>
                <w:b w:val="0"/>
                <w:color w:val="auto"/>
                <w:lang w:val="fr-FR"/>
              </w:rPr>
            </w:pPr>
          </w:p>
        </w:tc>
        <w:tc>
          <w:tcPr>
            <w:tcW w:w="2829" w:type="dxa"/>
            <w:shd w:val="clear" w:color="auto" w:fill="auto"/>
          </w:tcPr>
          <w:p w14:paraId="00D5687F"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Turquie</w:t>
            </w:r>
          </w:p>
        </w:tc>
        <w:tc>
          <w:tcPr>
            <w:tcW w:w="3399" w:type="dxa"/>
            <w:shd w:val="clear" w:color="auto" w:fill="auto"/>
          </w:tcPr>
          <w:p w14:paraId="161675CB"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Exploitation sexuelle</w:t>
            </w:r>
          </w:p>
        </w:tc>
        <w:tc>
          <w:tcPr>
            <w:tcW w:w="1561" w:type="dxa"/>
            <w:shd w:val="clear" w:color="auto" w:fill="auto"/>
          </w:tcPr>
          <w:p w14:paraId="76B19791" w14:textId="77777777" w:rsidR="005C5C6A" w:rsidRPr="00FF65D6" w:rsidRDefault="005C5C6A" w:rsidP="00CA2C84">
            <w:pPr>
              <w:spacing w:before="40" w:after="120"/>
              <w:ind w:right="113"/>
              <w:jc w:val="right"/>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2</w:t>
            </w:r>
          </w:p>
        </w:tc>
      </w:tr>
      <w:tr w:rsidR="005C5C6A" w:rsidRPr="00FF65D6" w14:paraId="2DAD18DA" w14:textId="77777777" w:rsidTr="00CA2C84">
        <w:tc>
          <w:tcPr>
            <w:cnfStyle w:val="001000000000" w:firstRow="0" w:lastRow="0" w:firstColumn="1" w:lastColumn="0" w:oddVBand="0" w:evenVBand="0" w:oddHBand="0" w:evenHBand="0" w:firstRowFirstColumn="0" w:firstRowLastColumn="0" w:lastRowFirstColumn="0" w:lastRowLastColumn="0"/>
            <w:tcW w:w="715" w:type="dxa"/>
            <w:vMerge/>
            <w:shd w:val="clear" w:color="auto" w:fill="auto"/>
          </w:tcPr>
          <w:p w14:paraId="1310E48F" w14:textId="77777777" w:rsidR="005C5C6A" w:rsidRPr="00FF65D6" w:rsidRDefault="005C5C6A" w:rsidP="00CA2C84">
            <w:pPr>
              <w:spacing w:before="40" w:after="120"/>
              <w:ind w:right="113"/>
              <w:rPr>
                <w:b w:val="0"/>
                <w:color w:val="auto"/>
                <w:lang w:val="fr-FR"/>
              </w:rPr>
            </w:pPr>
          </w:p>
        </w:tc>
        <w:tc>
          <w:tcPr>
            <w:tcW w:w="2829" w:type="dxa"/>
            <w:shd w:val="clear" w:color="auto" w:fill="auto"/>
          </w:tcPr>
          <w:p w14:paraId="0A1CF341"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République de Moldova</w:t>
            </w:r>
          </w:p>
        </w:tc>
        <w:tc>
          <w:tcPr>
            <w:tcW w:w="3399" w:type="dxa"/>
            <w:shd w:val="clear" w:color="auto" w:fill="auto"/>
          </w:tcPr>
          <w:p w14:paraId="13ACCC06"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Exploitation sexuelle</w:t>
            </w:r>
          </w:p>
        </w:tc>
        <w:tc>
          <w:tcPr>
            <w:tcW w:w="1561" w:type="dxa"/>
            <w:shd w:val="clear" w:color="auto" w:fill="auto"/>
          </w:tcPr>
          <w:p w14:paraId="671BB9A0" w14:textId="77777777" w:rsidR="005C5C6A" w:rsidRPr="00FF65D6" w:rsidRDefault="005C5C6A" w:rsidP="00CA2C84">
            <w:pPr>
              <w:spacing w:before="40" w:after="120"/>
              <w:ind w:right="113"/>
              <w:jc w:val="right"/>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1</w:t>
            </w:r>
          </w:p>
        </w:tc>
      </w:tr>
      <w:tr w:rsidR="005C5C6A" w:rsidRPr="00FF65D6" w14:paraId="7CB40DD6" w14:textId="77777777" w:rsidTr="00CA2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val="restart"/>
            <w:shd w:val="clear" w:color="auto" w:fill="auto"/>
          </w:tcPr>
          <w:p w14:paraId="649F21FC" w14:textId="77777777" w:rsidR="005C5C6A" w:rsidRPr="00FF65D6" w:rsidRDefault="005C5C6A" w:rsidP="00CA2C84">
            <w:pPr>
              <w:spacing w:before="40" w:after="120"/>
              <w:ind w:right="113"/>
              <w:rPr>
                <w:b w:val="0"/>
                <w:color w:val="auto"/>
                <w:lang w:val="fr-FR"/>
              </w:rPr>
            </w:pPr>
            <w:r w:rsidRPr="00FF65D6">
              <w:rPr>
                <w:b w:val="0"/>
                <w:color w:val="auto"/>
                <w:lang w:val="fr-FR"/>
              </w:rPr>
              <w:t>2016</w:t>
            </w:r>
          </w:p>
        </w:tc>
        <w:tc>
          <w:tcPr>
            <w:tcW w:w="2829" w:type="dxa"/>
            <w:shd w:val="clear" w:color="auto" w:fill="auto"/>
          </w:tcPr>
          <w:p w14:paraId="47E7A2A1"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Turquie</w:t>
            </w:r>
          </w:p>
        </w:tc>
        <w:tc>
          <w:tcPr>
            <w:tcW w:w="3399" w:type="dxa"/>
            <w:shd w:val="clear" w:color="auto" w:fill="auto"/>
          </w:tcPr>
          <w:p w14:paraId="1C56CB6A" w14:textId="77777777" w:rsidR="005C5C6A" w:rsidRPr="00FF65D6" w:rsidRDefault="005C5C6A" w:rsidP="00CA2C84">
            <w:pPr>
              <w:spacing w:before="40" w:after="120"/>
              <w:ind w:right="113"/>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Exploitation du travail</w:t>
            </w:r>
          </w:p>
        </w:tc>
        <w:tc>
          <w:tcPr>
            <w:tcW w:w="1561" w:type="dxa"/>
            <w:shd w:val="clear" w:color="auto" w:fill="auto"/>
          </w:tcPr>
          <w:p w14:paraId="48C65B94" w14:textId="77777777" w:rsidR="005C5C6A" w:rsidRPr="00FF65D6" w:rsidRDefault="005C5C6A" w:rsidP="00CA2C84">
            <w:pPr>
              <w:spacing w:before="40" w:after="120"/>
              <w:ind w:right="113"/>
              <w:jc w:val="right"/>
              <w:cnfStyle w:val="000000100000" w:firstRow="0" w:lastRow="0" w:firstColumn="0" w:lastColumn="0" w:oddVBand="0" w:evenVBand="0" w:oddHBand="1" w:evenHBand="0" w:firstRowFirstColumn="0" w:firstRowLastColumn="0" w:lastRowFirstColumn="0" w:lastRowLastColumn="0"/>
              <w:rPr>
                <w:color w:val="auto"/>
                <w:lang w:val="fr-FR"/>
              </w:rPr>
            </w:pPr>
            <w:r w:rsidRPr="00FF65D6">
              <w:rPr>
                <w:color w:val="auto"/>
                <w:lang w:val="fr-FR"/>
              </w:rPr>
              <w:t>1</w:t>
            </w:r>
          </w:p>
        </w:tc>
      </w:tr>
      <w:tr w:rsidR="005C5C6A" w:rsidRPr="00FF65D6" w14:paraId="359872A7" w14:textId="77777777" w:rsidTr="00CA2C84">
        <w:tc>
          <w:tcPr>
            <w:cnfStyle w:val="001000000000" w:firstRow="0" w:lastRow="0" w:firstColumn="1" w:lastColumn="0" w:oddVBand="0" w:evenVBand="0" w:oddHBand="0" w:evenHBand="0" w:firstRowFirstColumn="0" w:firstRowLastColumn="0" w:lastRowFirstColumn="0" w:lastRowLastColumn="0"/>
            <w:tcW w:w="715" w:type="dxa"/>
            <w:vMerge/>
            <w:tcBorders>
              <w:bottom w:val="single" w:sz="12" w:space="0" w:color="auto"/>
            </w:tcBorders>
            <w:shd w:val="clear" w:color="auto" w:fill="auto"/>
          </w:tcPr>
          <w:p w14:paraId="2283B91D" w14:textId="77777777" w:rsidR="005C5C6A" w:rsidRPr="00FF65D6" w:rsidRDefault="005C5C6A" w:rsidP="00CA2C84">
            <w:pPr>
              <w:spacing w:before="40" w:after="120"/>
              <w:ind w:right="113"/>
              <w:rPr>
                <w:color w:val="auto"/>
                <w:lang w:val="fr-FR"/>
              </w:rPr>
            </w:pPr>
          </w:p>
        </w:tc>
        <w:tc>
          <w:tcPr>
            <w:tcW w:w="2829" w:type="dxa"/>
            <w:tcBorders>
              <w:bottom w:val="single" w:sz="12" w:space="0" w:color="auto"/>
            </w:tcBorders>
            <w:shd w:val="clear" w:color="auto" w:fill="auto"/>
          </w:tcPr>
          <w:p w14:paraId="32615671"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Turquie</w:t>
            </w:r>
          </w:p>
        </w:tc>
        <w:tc>
          <w:tcPr>
            <w:tcW w:w="3399" w:type="dxa"/>
            <w:tcBorders>
              <w:bottom w:val="single" w:sz="12" w:space="0" w:color="auto"/>
            </w:tcBorders>
            <w:shd w:val="clear" w:color="auto" w:fill="auto"/>
          </w:tcPr>
          <w:p w14:paraId="5B3DFCC6" w14:textId="77777777" w:rsidR="005C5C6A" w:rsidRPr="00FF65D6" w:rsidRDefault="005C5C6A" w:rsidP="00CA2C84">
            <w:pPr>
              <w:spacing w:before="40" w:after="120"/>
              <w:ind w:right="113"/>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Exploitation du travail</w:t>
            </w:r>
          </w:p>
        </w:tc>
        <w:tc>
          <w:tcPr>
            <w:tcW w:w="1561" w:type="dxa"/>
            <w:tcBorders>
              <w:bottom w:val="single" w:sz="12" w:space="0" w:color="auto"/>
            </w:tcBorders>
            <w:shd w:val="clear" w:color="auto" w:fill="auto"/>
          </w:tcPr>
          <w:p w14:paraId="74171BF5" w14:textId="77777777" w:rsidR="005C5C6A" w:rsidRPr="00FF65D6" w:rsidRDefault="005C5C6A" w:rsidP="00CA2C84">
            <w:pPr>
              <w:spacing w:before="40" w:after="120"/>
              <w:ind w:right="113"/>
              <w:jc w:val="right"/>
              <w:cnfStyle w:val="000000000000" w:firstRow="0" w:lastRow="0" w:firstColumn="0" w:lastColumn="0" w:oddVBand="0" w:evenVBand="0" w:oddHBand="0" w:evenHBand="0" w:firstRowFirstColumn="0" w:firstRowLastColumn="0" w:lastRowFirstColumn="0" w:lastRowLastColumn="0"/>
              <w:rPr>
                <w:color w:val="auto"/>
                <w:lang w:val="fr-FR"/>
              </w:rPr>
            </w:pPr>
            <w:r w:rsidRPr="00FF65D6">
              <w:rPr>
                <w:color w:val="auto"/>
                <w:lang w:val="fr-FR"/>
              </w:rPr>
              <w:t>1</w:t>
            </w:r>
          </w:p>
        </w:tc>
      </w:tr>
    </w:tbl>
    <w:p w14:paraId="347332D5" w14:textId="77777777" w:rsidR="005C5C6A" w:rsidRPr="00FF65D6" w:rsidRDefault="005C5C6A" w:rsidP="00AD631E">
      <w:pPr>
        <w:pStyle w:val="SingleTxtG"/>
        <w:keepNext/>
        <w:keepLines/>
        <w:spacing w:before="240"/>
        <w:ind w:left="1701"/>
        <w:rPr>
          <w:lang w:val="fr-FR"/>
        </w:rPr>
      </w:pPr>
      <w:r w:rsidRPr="00FF65D6">
        <w:rPr>
          <w:lang w:val="fr-FR"/>
        </w:rPr>
        <w:t>c)</w:t>
      </w:r>
      <w:r w:rsidRPr="00FF65D6">
        <w:rPr>
          <w:lang w:val="fr-FR"/>
        </w:rPr>
        <w:tab/>
        <w:t>Nombre de cas d</w:t>
      </w:r>
      <w:r w:rsidR="002127F6" w:rsidRPr="00FF65D6">
        <w:rPr>
          <w:lang w:val="fr-FR"/>
        </w:rPr>
        <w:t>’</w:t>
      </w:r>
      <w:r w:rsidRPr="00FF65D6">
        <w:rPr>
          <w:lang w:val="fr-FR"/>
        </w:rPr>
        <w:t>entraide judiciaire et d</w:t>
      </w:r>
      <w:r w:rsidR="002127F6" w:rsidRPr="00FF65D6">
        <w:rPr>
          <w:lang w:val="fr-FR"/>
        </w:rPr>
        <w:t>’</w:t>
      </w:r>
      <w:r w:rsidRPr="00FF65D6">
        <w:rPr>
          <w:lang w:val="fr-FR"/>
        </w:rPr>
        <w:t>extraditions concernant des affaires de traite</w:t>
      </w:r>
    </w:p>
    <w:p w14:paraId="4271D7C4" w14:textId="77777777" w:rsidR="005C5C6A" w:rsidRPr="00FF65D6" w:rsidRDefault="005C5C6A" w:rsidP="00F34341">
      <w:pPr>
        <w:pStyle w:val="SingleTxtG"/>
        <w:rPr>
          <w:lang w:val="fr-FR"/>
        </w:rPr>
      </w:pPr>
      <w:r w:rsidRPr="00FF65D6">
        <w:rPr>
          <w:lang w:val="fr-FR"/>
        </w:rPr>
        <w:t>202</w:t>
      </w:r>
      <w:r w:rsidR="005C1799" w:rsidRPr="005C1799">
        <w:rPr>
          <w:lang w:val="fr-FR"/>
        </w:rPr>
        <w:t>.</w:t>
      </w:r>
      <w:r w:rsidRPr="00FF65D6">
        <w:rPr>
          <w:lang w:val="fr-FR"/>
        </w:rPr>
        <w:tab/>
        <w:t>En 2013, quatre demandes d</w:t>
      </w:r>
      <w:r w:rsidR="002127F6" w:rsidRPr="00FF65D6">
        <w:rPr>
          <w:lang w:val="fr-FR"/>
        </w:rPr>
        <w:t>’</w:t>
      </w:r>
      <w:r w:rsidRPr="00FF65D6">
        <w:rPr>
          <w:lang w:val="fr-FR"/>
        </w:rPr>
        <w:t>entraide judiciaire ont été présentées par Israël (demandes reçues et émises) et la Turquie (demandes émises) et une personne a été extradée vers la Turquie (demande reçue)</w:t>
      </w:r>
      <w:r w:rsidR="005C1799" w:rsidRPr="005C1799">
        <w:rPr>
          <w:lang w:val="fr-FR"/>
        </w:rPr>
        <w:t>.</w:t>
      </w:r>
    </w:p>
    <w:p w14:paraId="246F517F" w14:textId="77777777" w:rsidR="005C5C6A" w:rsidRPr="00FF65D6" w:rsidRDefault="005C5C6A" w:rsidP="00F34341">
      <w:pPr>
        <w:pStyle w:val="SingleTxtG"/>
        <w:rPr>
          <w:lang w:val="fr-FR"/>
        </w:rPr>
      </w:pPr>
      <w:r w:rsidRPr="00FF65D6">
        <w:rPr>
          <w:lang w:val="fr-FR"/>
        </w:rPr>
        <w:t>203</w:t>
      </w:r>
      <w:r w:rsidR="005C1799" w:rsidRPr="005C1799">
        <w:rPr>
          <w:lang w:val="fr-FR"/>
        </w:rPr>
        <w:t>.</w:t>
      </w:r>
      <w:r w:rsidRPr="00FF65D6">
        <w:rPr>
          <w:lang w:val="fr-FR"/>
        </w:rPr>
        <w:tab/>
        <w:t>En 2014, cinq demandes d</w:t>
      </w:r>
      <w:r w:rsidR="002127F6" w:rsidRPr="00FF65D6">
        <w:rPr>
          <w:lang w:val="fr-FR"/>
        </w:rPr>
        <w:t>’</w:t>
      </w:r>
      <w:r w:rsidRPr="00FF65D6">
        <w:rPr>
          <w:lang w:val="fr-FR"/>
        </w:rPr>
        <w:t>entraide judiciaire ont été reçues de l</w:t>
      </w:r>
      <w:r w:rsidR="002127F6" w:rsidRPr="00FF65D6">
        <w:rPr>
          <w:lang w:val="fr-FR"/>
        </w:rPr>
        <w:t>’</w:t>
      </w:r>
      <w:r w:rsidRPr="00FF65D6">
        <w:rPr>
          <w:lang w:val="fr-FR"/>
        </w:rPr>
        <w:t>Ouzbékistan et de la Turquie et deux demandes d</w:t>
      </w:r>
      <w:r w:rsidR="002127F6" w:rsidRPr="00FF65D6">
        <w:rPr>
          <w:lang w:val="fr-FR"/>
        </w:rPr>
        <w:t>’</w:t>
      </w:r>
      <w:r w:rsidRPr="00FF65D6">
        <w:rPr>
          <w:lang w:val="fr-FR"/>
        </w:rPr>
        <w:t>extradition des Pays-Bas et de la Turquie</w:t>
      </w:r>
      <w:r w:rsidR="005C1799" w:rsidRPr="005C1799">
        <w:rPr>
          <w:lang w:val="fr-FR"/>
        </w:rPr>
        <w:t>.</w:t>
      </w:r>
    </w:p>
    <w:p w14:paraId="5D964010" w14:textId="77777777" w:rsidR="005C5C6A" w:rsidRPr="00FF65D6" w:rsidRDefault="005C5C6A" w:rsidP="00F34341">
      <w:pPr>
        <w:pStyle w:val="SingleTxtG"/>
        <w:rPr>
          <w:lang w:val="fr-FR"/>
        </w:rPr>
      </w:pPr>
      <w:r w:rsidRPr="00FF65D6">
        <w:rPr>
          <w:lang w:val="fr-FR"/>
        </w:rPr>
        <w:t>204</w:t>
      </w:r>
      <w:r w:rsidR="005C1799" w:rsidRPr="005C1799">
        <w:rPr>
          <w:lang w:val="fr-FR"/>
        </w:rPr>
        <w:t>.</w:t>
      </w:r>
      <w:r w:rsidRPr="00FF65D6">
        <w:rPr>
          <w:lang w:val="fr-FR"/>
        </w:rPr>
        <w:tab/>
        <w:t>En 2015, huit demandes d</w:t>
      </w:r>
      <w:r w:rsidR="002127F6" w:rsidRPr="00FF65D6">
        <w:rPr>
          <w:lang w:val="fr-FR"/>
        </w:rPr>
        <w:t>’</w:t>
      </w:r>
      <w:r w:rsidRPr="00FF65D6">
        <w:rPr>
          <w:lang w:val="fr-FR"/>
        </w:rPr>
        <w:t>entraide judiciaire ont été reçues de l</w:t>
      </w:r>
      <w:r w:rsidR="002127F6" w:rsidRPr="00FF65D6">
        <w:rPr>
          <w:lang w:val="fr-FR"/>
        </w:rPr>
        <w:t>’</w:t>
      </w:r>
      <w:r w:rsidRPr="00FF65D6">
        <w:rPr>
          <w:lang w:val="fr-FR"/>
        </w:rPr>
        <w:t>Azerbaïdjan, de l</w:t>
      </w:r>
      <w:r w:rsidR="002127F6" w:rsidRPr="00FF65D6">
        <w:rPr>
          <w:lang w:val="fr-FR"/>
        </w:rPr>
        <w:t>’</w:t>
      </w:r>
      <w:r w:rsidRPr="00FF65D6">
        <w:rPr>
          <w:lang w:val="fr-FR"/>
        </w:rPr>
        <w:t>Ouzbékistan et de la Turquie et une demande d</w:t>
      </w:r>
      <w:r w:rsidR="002127F6" w:rsidRPr="00FF65D6">
        <w:rPr>
          <w:lang w:val="fr-FR"/>
        </w:rPr>
        <w:t>’</w:t>
      </w:r>
      <w:r w:rsidRPr="00FF65D6">
        <w:rPr>
          <w:lang w:val="fr-FR"/>
        </w:rPr>
        <w:t>extradition de la République de Moldova</w:t>
      </w:r>
      <w:r w:rsidR="005C1799" w:rsidRPr="005C1799">
        <w:rPr>
          <w:lang w:val="fr-FR"/>
        </w:rPr>
        <w:t>.</w:t>
      </w:r>
    </w:p>
    <w:p w14:paraId="6824983A" w14:textId="77777777" w:rsidR="005C5C6A" w:rsidRPr="00FF65D6" w:rsidRDefault="005C5C6A" w:rsidP="00F34341">
      <w:pPr>
        <w:pStyle w:val="SingleTxtG"/>
        <w:rPr>
          <w:lang w:val="fr-FR"/>
        </w:rPr>
      </w:pPr>
      <w:r w:rsidRPr="00FF65D6">
        <w:rPr>
          <w:lang w:val="fr-FR"/>
        </w:rPr>
        <w:t>205</w:t>
      </w:r>
      <w:r w:rsidR="005C1799" w:rsidRPr="005C1799">
        <w:rPr>
          <w:lang w:val="fr-FR"/>
        </w:rPr>
        <w:t>.</w:t>
      </w:r>
      <w:r w:rsidRPr="00FF65D6">
        <w:rPr>
          <w:lang w:val="fr-FR"/>
        </w:rPr>
        <w:tab/>
        <w:t>En 2016, huit demandes d</w:t>
      </w:r>
      <w:r w:rsidR="002127F6" w:rsidRPr="00FF65D6">
        <w:rPr>
          <w:lang w:val="fr-FR"/>
        </w:rPr>
        <w:t>’</w:t>
      </w:r>
      <w:r w:rsidRPr="00FF65D6">
        <w:rPr>
          <w:lang w:val="fr-FR"/>
        </w:rPr>
        <w:t>entraide judiciaire ont été reçues de la Turquie, dont deux sont en attente et six ont été exécutées et deux demandes d</w:t>
      </w:r>
      <w:r w:rsidR="002127F6" w:rsidRPr="00FF65D6">
        <w:rPr>
          <w:lang w:val="fr-FR"/>
        </w:rPr>
        <w:t>’</w:t>
      </w:r>
      <w:r w:rsidRPr="00FF65D6">
        <w:rPr>
          <w:lang w:val="fr-FR"/>
        </w:rPr>
        <w:t>entraide judiciaire ont été adressées par la Géorgie, une à la Lettonie (exécutée), l</w:t>
      </w:r>
      <w:r w:rsidR="002127F6" w:rsidRPr="00FF65D6">
        <w:rPr>
          <w:lang w:val="fr-FR"/>
        </w:rPr>
        <w:t>’</w:t>
      </w:r>
      <w:r w:rsidRPr="00FF65D6">
        <w:rPr>
          <w:lang w:val="fr-FR"/>
        </w:rPr>
        <w:t>autre à la Turquie (en attente)</w:t>
      </w:r>
      <w:r w:rsidR="005C1799" w:rsidRPr="005C1799">
        <w:rPr>
          <w:lang w:val="fr-FR"/>
        </w:rPr>
        <w:t>.</w:t>
      </w:r>
      <w:r w:rsidRPr="00FF65D6">
        <w:rPr>
          <w:lang w:val="fr-FR"/>
        </w:rPr>
        <w:t xml:space="preserve"> Au mois d</w:t>
      </w:r>
      <w:r w:rsidR="002127F6" w:rsidRPr="00FF65D6">
        <w:rPr>
          <w:lang w:val="fr-FR"/>
        </w:rPr>
        <w:t>’</w:t>
      </w:r>
      <w:r w:rsidRPr="00FF65D6">
        <w:rPr>
          <w:lang w:val="fr-FR"/>
        </w:rPr>
        <w:t>octobre 2016, aucune procédure d</w:t>
      </w:r>
      <w:r w:rsidR="002127F6" w:rsidRPr="00FF65D6">
        <w:rPr>
          <w:lang w:val="fr-FR"/>
        </w:rPr>
        <w:t>’</w:t>
      </w:r>
      <w:r w:rsidRPr="00FF65D6">
        <w:rPr>
          <w:lang w:val="fr-FR"/>
        </w:rPr>
        <w:t>extradition n</w:t>
      </w:r>
      <w:r w:rsidR="002127F6" w:rsidRPr="00FF65D6">
        <w:rPr>
          <w:lang w:val="fr-FR"/>
        </w:rPr>
        <w:t>’</w:t>
      </w:r>
      <w:r w:rsidRPr="00FF65D6">
        <w:rPr>
          <w:lang w:val="fr-FR"/>
        </w:rPr>
        <w:t>était en cours</w:t>
      </w:r>
      <w:r w:rsidR="005C1799" w:rsidRPr="005C1799">
        <w:rPr>
          <w:lang w:val="fr-FR"/>
        </w:rPr>
        <w:t>.</w:t>
      </w:r>
    </w:p>
    <w:p w14:paraId="5EF0D0EB" w14:textId="77777777" w:rsidR="005C5C6A" w:rsidRPr="00FF65D6" w:rsidRDefault="005C5C6A" w:rsidP="00CA2C84">
      <w:pPr>
        <w:pStyle w:val="H23G"/>
        <w:rPr>
          <w:lang w:val="fr-FR"/>
        </w:rPr>
      </w:pPr>
      <w:r w:rsidRPr="00FF65D6">
        <w:rPr>
          <w:lang w:val="fr-FR"/>
        </w:rPr>
        <w:tab/>
      </w:r>
      <w:r w:rsidRPr="00FF65D6">
        <w:rPr>
          <w:lang w:val="fr-FR"/>
        </w:rPr>
        <w:tab/>
        <w:t>Données statistiques pour les quatre dernières années, relatives aux enquêtes, aux poursuites et aux condamnations dans des affaires de traite d</w:t>
      </w:r>
      <w:r w:rsidR="002127F6" w:rsidRPr="00FF65D6">
        <w:rPr>
          <w:lang w:val="fr-FR"/>
        </w:rPr>
        <w:t>’</w:t>
      </w:r>
      <w:r w:rsidRPr="00FF65D6">
        <w:rPr>
          <w:lang w:val="fr-FR"/>
        </w:rPr>
        <w:t>êtres humains</w:t>
      </w:r>
    </w:p>
    <w:tbl>
      <w:tblPr>
        <w:tblW w:w="7370" w:type="dxa"/>
        <w:tblInd w:w="1134" w:type="dxa"/>
        <w:tblLayout w:type="fixed"/>
        <w:tblCellMar>
          <w:left w:w="0" w:type="dxa"/>
          <w:right w:w="0" w:type="dxa"/>
        </w:tblCellMar>
        <w:tblLook w:val="04A0" w:firstRow="1" w:lastRow="0" w:firstColumn="1" w:lastColumn="0" w:noHBand="0" w:noVBand="1"/>
      </w:tblPr>
      <w:tblGrid>
        <w:gridCol w:w="1412"/>
        <w:gridCol w:w="2699"/>
        <w:gridCol w:w="814"/>
        <w:gridCol w:w="815"/>
        <w:gridCol w:w="815"/>
        <w:gridCol w:w="815"/>
      </w:tblGrid>
      <w:tr w:rsidR="005C5C6A" w:rsidRPr="00FF65D6" w14:paraId="66E8BDE2" w14:textId="77777777" w:rsidTr="00CA2C84">
        <w:trPr>
          <w:tblHeader/>
        </w:trPr>
        <w:tc>
          <w:tcPr>
            <w:tcW w:w="4111" w:type="dxa"/>
            <w:gridSpan w:val="2"/>
            <w:tcBorders>
              <w:top w:val="single" w:sz="4" w:space="0" w:color="auto"/>
              <w:bottom w:val="single" w:sz="12" w:space="0" w:color="auto"/>
            </w:tcBorders>
            <w:shd w:val="clear" w:color="auto" w:fill="auto"/>
            <w:vAlign w:val="bottom"/>
          </w:tcPr>
          <w:p w14:paraId="578BBE22" w14:textId="77777777" w:rsidR="005C5C6A" w:rsidRPr="00FF65D6" w:rsidRDefault="005C5C6A" w:rsidP="00CA2C84">
            <w:pPr>
              <w:spacing w:before="80" w:after="80" w:line="200" w:lineRule="exact"/>
              <w:ind w:right="113"/>
              <w:rPr>
                <w:i/>
                <w:sz w:val="16"/>
                <w:lang w:val="fr-FR"/>
              </w:rPr>
            </w:pPr>
          </w:p>
        </w:tc>
        <w:tc>
          <w:tcPr>
            <w:tcW w:w="814" w:type="dxa"/>
            <w:tcBorders>
              <w:top w:val="single" w:sz="4" w:space="0" w:color="auto"/>
              <w:bottom w:val="single" w:sz="12" w:space="0" w:color="auto"/>
            </w:tcBorders>
            <w:shd w:val="clear" w:color="auto" w:fill="auto"/>
            <w:vAlign w:val="bottom"/>
          </w:tcPr>
          <w:p w14:paraId="2709F45F" w14:textId="77777777" w:rsidR="005C5C6A" w:rsidRPr="00FF65D6" w:rsidRDefault="005C5C6A" w:rsidP="00CA2C84">
            <w:pPr>
              <w:spacing w:before="80" w:after="80" w:line="200" w:lineRule="exact"/>
              <w:ind w:right="113"/>
              <w:jc w:val="right"/>
              <w:rPr>
                <w:i/>
                <w:sz w:val="16"/>
                <w:lang w:val="fr-FR"/>
              </w:rPr>
            </w:pPr>
            <w:r w:rsidRPr="00FF65D6">
              <w:rPr>
                <w:i/>
                <w:iCs/>
                <w:sz w:val="16"/>
                <w:lang w:val="fr-FR"/>
              </w:rPr>
              <w:t>2013</w:t>
            </w:r>
          </w:p>
        </w:tc>
        <w:tc>
          <w:tcPr>
            <w:tcW w:w="815" w:type="dxa"/>
            <w:tcBorders>
              <w:top w:val="single" w:sz="4" w:space="0" w:color="auto"/>
              <w:bottom w:val="single" w:sz="12" w:space="0" w:color="auto"/>
            </w:tcBorders>
            <w:shd w:val="clear" w:color="auto" w:fill="auto"/>
            <w:vAlign w:val="bottom"/>
          </w:tcPr>
          <w:p w14:paraId="43F0A811" w14:textId="77777777" w:rsidR="005C5C6A" w:rsidRPr="00FF65D6" w:rsidRDefault="005C5C6A" w:rsidP="00CA2C84">
            <w:pPr>
              <w:spacing w:before="80" w:after="80" w:line="200" w:lineRule="exact"/>
              <w:ind w:right="113"/>
              <w:jc w:val="right"/>
              <w:rPr>
                <w:i/>
                <w:sz w:val="16"/>
                <w:lang w:val="fr-FR"/>
              </w:rPr>
            </w:pPr>
            <w:r w:rsidRPr="00FF65D6">
              <w:rPr>
                <w:i/>
                <w:iCs/>
                <w:sz w:val="16"/>
                <w:lang w:val="fr-FR"/>
              </w:rPr>
              <w:t>2014</w:t>
            </w:r>
          </w:p>
        </w:tc>
        <w:tc>
          <w:tcPr>
            <w:tcW w:w="815" w:type="dxa"/>
            <w:tcBorders>
              <w:top w:val="single" w:sz="4" w:space="0" w:color="auto"/>
              <w:bottom w:val="single" w:sz="12" w:space="0" w:color="auto"/>
            </w:tcBorders>
            <w:shd w:val="clear" w:color="auto" w:fill="auto"/>
            <w:vAlign w:val="bottom"/>
          </w:tcPr>
          <w:p w14:paraId="026C7FED" w14:textId="77777777" w:rsidR="005C5C6A" w:rsidRPr="00FF65D6" w:rsidRDefault="005C5C6A" w:rsidP="00CA2C84">
            <w:pPr>
              <w:spacing w:before="80" w:after="80" w:line="200" w:lineRule="exact"/>
              <w:ind w:right="113"/>
              <w:jc w:val="right"/>
              <w:rPr>
                <w:i/>
                <w:sz w:val="16"/>
                <w:lang w:val="fr-FR"/>
              </w:rPr>
            </w:pPr>
            <w:r w:rsidRPr="00FF65D6">
              <w:rPr>
                <w:i/>
                <w:iCs/>
                <w:sz w:val="16"/>
                <w:lang w:val="fr-FR"/>
              </w:rPr>
              <w:t>2015</w:t>
            </w:r>
          </w:p>
        </w:tc>
        <w:tc>
          <w:tcPr>
            <w:tcW w:w="815" w:type="dxa"/>
            <w:tcBorders>
              <w:top w:val="single" w:sz="4" w:space="0" w:color="auto"/>
              <w:bottom w:val="single" w:sz="12" w:space="0" w:color="auto"/>
            </w:tcBorders>
            <w:shd w:val="clear" w:color="auto" w:fill="auto"/>
            <w:vAlign w:val="bottom"/>
          </w:tcPr>
          <w:p w14:paraId="17746238" w14:textId="77777777" w:rsidR="005C5C6A" w:rsidRPr="00FF65D6" w:rsidRDefault="005C5C6A" w:rsidP="00CA2C84">
            <w:pPr>
              <w:spacing w:before="80" w:after="80" w:line="200" w:lineRule="exact"/>
              <w:ind w:right="113"/>
              <w:jc w:val="right"/>
              <w:rPr>
                <w:i/>
                <w:sz w:val="16"/>
                <w:lang w:val="fr-FR"/>
              </w:rPr>
            </w:pPr>
            <w:r w:rsidRPr="00FF65D6">
              <w:rPr>
                <w:i/>
                <w:iCs/>
                <w:sz w:val="16"/>
                <w:lang w:val="fr-FR"/>
              </w:rPr>
              <w:t>2016</w:t>
            </w:r>
          </w:p>
        </w:tc>
      </w:tr>
      <w:tr w:rsidR="00CA2C84" w:rsidRPr="00FF65D6" w14:paraId="3DD01AE6" w14:textId="77777777" w:rsidTr="00CA2C84">
        <w:trPr>
          <w:trHeight w:hRule="exact" w:val="113"/>
          <w:tblHeader/>
        </w:trPr>
        <w:tc>
          <w:tcPr>
            <w:tcW w:w="4111" w:type="dxa"/>
            <w:gridSpan w:val="2"/>
            <w:tcBorders>
              <w:top w:val="single" w:sz="12" w:space="0" w:color="auto"/>
            </w:tcBorders>
            <w:shd w:val="clear" w:color="auto" w:fill="auto"/>
          </w:tcPr>
          <w:p w14:paraId="09C97925" w14:textId="77777777" w:rsidR="00CA2C84" w:rsidRPr="00FF65D6" w:rsidRDefault="00CA2C84" w:rsidP="00CA2C84">
            <w:pPr>
              <w:spacing w:before="40" w:after="120"/>
              <w:ind w:right="113"/>
              <w:rPr>
                <w:lang w:val="fr-FR"/>
              </w:rPr>
            </w:pPr>
          </w:p>
        </w:tc>
        <w:tc>
          <w:tcPr>
            <w:tcW w:w="814" w:type="dxa"/>
            <w:tcBorders>
              <w:top w:val="single" w:sz="12" w:space="0" w:color="auto"/>
            </w:tcBorders>
            <w:shd w:val="clear" w:color="auto" w:fill="auto"/>
          </w:tcPr>
          <w:p w14:paraId="11394574" w14:textId="77777777" w:rsidR="00CA2C84" w:rsidRPr="00FF65D6" w:rsidRDefault="00CA2C84" w:rsidP="00CA2C84">
            <w:pPr>
              <w:spacing w:before="40" w:after="120"/>
              <w:ind w:right="113"/>
              <w:jc w:val="right"/>
              <w:rPr>
                <w:iCs/>
                <w:lang w:val="fr-FR"/>
              </w:rPr>
            </w:pPr>
          </w:p>
        </w:tc>
        <w:tc>
          <w:tcPr>
            <w:tcW w:w="815" w:type="dxa"/>
            <w:tcBorders>
              <w:top w:val="single" w:sz="12" w:space="0" w:color="auto"/>
            </w:tcBorders>
            <w:shd w:val="clear" w:color="auto" w:fill="auto"/>
          </w:tcPr>
          <w:p w14:paraId="5D2A31C7" w14:textId="77777777" w:rsidR="00CA2C84" w:rsidRPr="00FF65D6" w:rsidRDefault="00CA2C84" w:rsidP="00CA2C84">
            <w:pPr>
              <w:spacing w:before="40" w:after="120"/>
              <w:ind w:right="113"/>
              <w:jc w:val="right"/>
              <w:rPr>
                <w:iCs/>
                <w:lang w:val="fr-FR"/>
              </w:rPr>
            </w:pPr>
          </w:p>
        </w:tc>
        <w:tc>
          <w:tcPr>
            <w:tcW w:w="815" w:type="dxa"/>
            <w:tcBorders>
              <w:top w:val="single" w:sz="12" w:space="0" w:color="auto"/>
            </w:tcBorders>
            <w:shd w:val="clear" w:color="auto" w:fill="auto"/>
          </w:tcPr>
          <w:p w14:paraId="36C499CD" w14:textId="77777777" w:rsidR="00CA2C84" w:rsidRPr="00FF65D6" w:rsidRDefault="00CA2C84" w:rsidP="00CA2C84">
            <w:pPr>
              <w:spacing w:before="40" w:after="120"/>
              <w:ind w:right="113"/>
              <w:jc w:val="right"/>
              <w:rPr>
                <w:iCs/>
                <w:lang w:val="fr-FR"/>
              </w:rPr>
            </w:pPr>
          </w:p>
        </w:tc>
        <w:tc>
          <w:tcPr>
            <w:tcW w:w="815" w:type="dxa"/>
            <w:tcBorders>
              <w:top w:val="single" w:sz="12" w:space="0" w:color="auto"/>
            </w:tcBorders>
            <w:shd w:val="clear" w:color="auto" w:fill="auto"/>
          </w:tcPr>
          <w:p w14:paraId="2F4D26A3" w14:textId="77777777" w:rsidR="00CA2C84" w:rsidRPr="00FF65D6" w:rsidRDefault="00CA2C84" w:rsidP="00CA2C84">
            <w:pPr>
              <w:spacing w:before="40" w:after="120"/>
              <w:ind w:right="113"/>
              <w:jc w:val="right"/>
              <w:rPr>
                <w:iCs/>
                <w:lang w:val="fr-FR"/>
              </w:rPr>
            </w:pPr>
          </w:p>
        </w:tc>
      </w:tr>
      <w:tr w:rsidR="005C5C6A" w:rsidRPr="00FF65D6" w14:paraId="4CE8C0ED" w14:textId="77777777" w:rsidTr="00CA2C84">
        <w:tc>
          <w:tcPr>
            <w:tcW w:w="1412" w:type="dxa"/>
            <w:vMerge w:val="restart"/>
            <w:shd w:val="clear" w:color="auto" w:fill="auto"/>
          </w:tcPr>
          <w:p w14:paraId="73A4C1AB" w14:textId="77777777" w:rsidR="005C5C6A" w:rsidRPr="00FF65D6" w:rsidRDefault="005C5C6A" w:rsidP="00CA2C84">
            <w:pPr>
              <w:spacing w:before="40" w:after="120"/>
              <w:ind w:right="113"/>
              <w:rPr>
                <w:lang w:val="fr-FR"/>
              </w:rPr>
            </w:pPr>
            <w:r w:rsidRPr="00FF65D6">
              <w:rPr>
                <w:lang w:val="fr-FR"/>
              </w:rPr>
              <w:t>Enquête</w:t>
            </w:r>
          </w:p>
        </w:tc>
        <w:tc>
          <w:tcPr>
            <w:tcW w:w="2699" w:type="dxa"/>
            <w:shd w:val="clear" w:color="auto" w:fill="auto"/>
          </w:tcPr>
          <w:p w14:paraId="12A6AE57" w14:textId="77777777" w:rsidR="005C5C6A" w:rsidRPr="00FF65D6" w:rsidRDefault="005C5C6A" w:rsidP="00CA2C84">
            <w:pPr>
              <w:spacing w:before="40" w:after="120"/>
              <w:ind w:right="113"/>
              <w:rPr>
                <w:lang w:val="fr-FR"/>
              </w:rPr>
            </w:pPr>
            <w:r w:rsidRPr="00FF65D6">
              <w:rPr>
                <w:lang w:val="fr-FR"/>
              </w:rPr>
              <w:t>Exploitation sexuelle</w:t>
            </w:r>
          </w:p>
        </w:tc>
        <w:tc>
          <w:tcPr>
            <w:tcW w:w="814" w:type="dxa"/>
            <w:shd w:val="clear" w:color="auto" w:fill="auto"/>
          </w:tcPr>
          <w:p w14:paraId="1F7B04C4" w14:textId="77777777" w:rsidR="005C5C6A" w:rsidRPr="00FF65D6" w:rsidRDefault="005C5C6A" w:rsidP="00CA2C84">
            <w:pPr>
              <w:spacing w:before="40" w:after="120"/>
              <w:ind w:right="113"/>
              <w:jc w:val="right"/>
              <w:rPr>
                <w:lang w:val="fr-FR"/>
              </w:rPr>
            </w:pPr>
            <w:r w:rsidRPr="00FF65D6">
              <w:rPr>
                <w:lang w:val="fr-FR"/>
              </w:rPr>
              <w:t>1</w:t>
            </w:r>
          </w:p>
        </w:tc>
        <w:tc>
          <w:tcPr>
            <w:tcW w:w="815" w:type="dxa"/>
            <w:shd w:val="clear" w:color="auto" w:fill="auto"/>
          </w:tcPr>
          <w:p w14:paraId="4D729FC8" w14:textId="77777777" w:rsidR="005C5C6A" w:rsidRPr="00FF65D6" w:rsidRDefault="005C5C6A" w:rsidP="00CA2C84">
            <w:pPr>
              <w:spacing w:before="40" w:after="120"/>
              <w:ind w:right="113"/>
              <w:jc w:val="right"/>
              <w:rPr>
                <w:lang w:val="fr-FR"/>
              </w:rPr>
            </w:pPr>
            <w:r w:rsidRPr="00FF65D6">
              <w:rPr>
                <w:lang w:val="fr-FR"/>
              </w:rPr>
              <w:t>2</w:t>
            </w:r>
          </w:p>
        </w:tc>
        <w:tc>
          <w:tcPr>
            <w:tcW w:w="815" w:type="dxa"/>
            <w:shd w:val="clear" w:color="auto" w:fill="auto"/>
          </w:tcPr>
          <w:p w14:paraId="4168878F"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622552DD" w14:textId="77777777" w:rsidR="005C5C6A" w:rsidRPr="00FF65D6" w:rsidRDefault="005C5C6A" w:rsidP="00CA2C84">
            <w:pPr>
              <w:spacing w:before="40" w:after="120"/>
              <w:ind w:right="113"/>
              <w:jc w:val="right"/>
              <w:rPr>
                <w:lang w:val="fr-FR"/>
              </w:rPr>
            </w:pPr>
            <w:r w:rsidRPr="00FF65D6">
              <w:rPr>
                <w:lang w:val="fr-FR"/>
              </w:rPr>
              <w:t>0</w:t>
            </w:r>
          </w:p>
        </w:tc>
      </w:tr>
      <w:tr w:rsidR="005C5C6A" w:rsidRPr="00FF65D6" w14:paraId="6A3E7505" w14:textId="77777777" w:rsidTr="00CA2C84">
        <w:tc>
          <w:tcPr>
            <w:tcW w:w="1412" w:type="dxa"/>
            <w:vMerge/>
            <w:shd w:val="clear" w:color="auto" w:fill="auto"/>
          </w:tcPr>
          <w:p w14:paraId="183E195E" w14:textId="77777777" w:rsidR="005C5C6A" w:rsidRPr="00FF65D6" w:rsidRDefault="005C5C6A" w:rsidP="00CA2C84">
            <w:pPr>
              <w:spacing w:before="40" w:after="120"/>
              <w:ind w:right="113"/>
              <w:rPr>
                <w:lang w:val="fr-FR"/>
              </w:rPr>
            </w:pPr>
          </w:p>
        </w:tc>
        <w:tc>
          <w:tcPr>
            <w:tcW w:w="2699" w:type="dxa"/>
            <w:shd w:val="clear" w:color="auto" w:fill="auto"/>
          </w:tcPr>
          <w:p w14:paraId="215FF9C0" w14:textId="77777777" w:rsidR="005C5C6A" w:rsidRPr="00FF65D6" w:rsidRDefault="005C5C6A" w:rsidP="00CA2C84">
            <w:pPr>
              <w:spacing w:before="40" w:after="120"/>
              <w:ind w:right="113"/>
              <w:rPr>
                <w:lang w:val="fr-FR"/>
              </w:rPr>
            </w:pPr>
            <w:r w:rsidRPr="00FF65D6">
              <w:rPr>
                <w:lang w:val="fr-FR"/>
              </w:rPr>
              <w:t>Exploitation du travail</w:t>
            </w:r>
          </w:p>
        </w:tc>
        <w:tc>
          <w:tcPr>
            <w:tcW w:w="814" w:type="dxa"/>
            <w:shd w:val="clear" w:color="auto" w:fill="auto"/>
          </w:tcPr>
          <w:p w14:paraId="79FD02FA" w14:textId="77777777" w:rsidR="005C5C6A" w:rsidRPr="00FF65D6" w:rsidRDefault="005C5C6A" w:rsidP="00CA2C84">
            <w:pPr>
              <w:spacing w:before="40" w:after="120"/>
              <w:ind w:right="113"/>
              <w:jc w:val="right"/>
              <w:rPr>
                <w:lang w:val="fr-FR"/>
              </w:rPr>
            </w:pPr>
            <w:r w:rsidRPr="00FF65D6">
              <w:rPr>
                <w:lang w:val="fr-FR"/>
              </w:rPr>
              <w:t>2</w:t>
            </w:r>
          </w:p>
        </w:tc>
        <w:tc>
          <w:tcPr>
            <w:tcW w:w="815" w:type="dxa"/>
            <w:shd w:val="clear" w:color="auto" w:fill="auto"/>
          </w:tcPr>
          <w:p w14:paraId="7A6834EA"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0AC2FE35" w14:textId="77777777" w:rsidR="005C5C6A" w:rsidRPr="00FF65D6" w:rsidRDefault="005C5C6A" w:rsidP="00CA2C84">
            <w:pPr>
              <w:spacing w:before="40" w:after="120"/>
              <w:ind w:right="113"/>
              <w:jc w:val="right"/>
              <w:rPr>
                <w:lang w:val="fr-FR"/>
              </w:rPr>
            </w:pPr>
            <w:r w:rsidRPr="00FF65D6">
              <w:rPr>
                <w:lang w:val="fr-FR"/>
              </w:rPr>
              <w:t>1</w:t>
            </w:r>
          </w:p>
        </w:tc>
        <w:tc>
          <w:tcPr>
            <w:tcW w:w="815" w:type="dxa"/>
            <w:shd w:val="clear" w:color="auto" w:fill="auto"/>
          </w:tcPr>
          <w:p w14:paraId="759EDAD8" w14:textId="77777777" w:rsidR="005C5C6A" w:rsidRPr="00FF65D6" w:rsidRDefault="005C5C6A" w:rsidP="00CA2C84">
            <w:pPr>
              <w:spacing w:before="40" w:after="120"/>
              <w:ind w:right="113"/>
              <w:jc w:val="right"/>
              <w:rPr>
                <w:lang w:val="fr-FR"/>
              </w:rPr>
            </w:pPr>
            <w:r w:rsidRPr="00FF65D6">
              <w:rPr>
                <w:lang w:val="fr-FR"/>
              </w:rPr>
              <w:t>1</w:t>
            </w:r>
          </w:p>
        </w:tc>
      </w:tr>
      <w:tr w:rsidR="005C5C6A" w:rsidRPr="00FF65D6" w14:paraId="138A0DF1" w14:textId="77777777" w:rsidTr="00CA2C84">
        <w:tc>
          <w:tcPr>
            <w:tcW w:w="1412" w:type="dxa"/>
            <w:vMerge/>
            <w:shd w:val="clear" w:color="auto" w:fill="auto"/>
          </w:tcPr>
          <w:p w14:paraId="791C3806" w14:textId="77777777" w:rsidR="005C5C6A" w:rsidRPr="00FF65D6" w:rsidRDefault="005C5C6A" w:rsidP="00CA2C84">
            <w:pPr>
              <w:spacing w:before="40" w:after="120"/>
              <w:ind w:right="113"/>
              <w:rPr>
                <w:lang w:val="fr-FR"/>
              </w:rPr>
            </w:pPr>
          </w:p>
        </w:tc>
        <w:tc>
          <w:tcPr>
            <w:tcW w:w="2699" w:type="dxa"/>
            <w:shd w:val="clear" w:color="auto" w:fill="auto"/>
          </w:tcPr>
          <w:p w14:paraId="4A9E3E02" w14:textId="77777777" w:rsidR="005C5C6A" w:rsidRPr="00FF65D6" w:rsidRDefault="005C5C6A" w:rsidP="00CA2C84">
            <w:pPr>
              <w:spacing w:before="40" w:after="120"/>
              <w:ind w:right="113"/>
              <w:rPr>
                <w:lang w:val="fr-FR"/>
              </w:rPr>
            </w:pPr>
            <w:r w:rsidRPr="00FF65D6">
              <w:rPr>
                <w:lang w:val="fr-FR"/>
              </w:rPr>
              <w:t>Achat/vente d</w:t>
            </w:r>
            <w:r w:rsidR="002127F6" w:rsidRPr="00FF65D6">
              <w:rPr>
                <w:lang w:val="fr-FR"/>
              </w:rPr>
              <w:t>’</w:t>
            </w:r>
            <w:r w:rsidRPr="00FF65D6">
              <w:rPr>
                <w:lang w:val="fr-FR"/>
              </w:rPr>
              <w:t>enfants</w:t>
            </w:r>
          </w:p>
        </w:tc>
        <w:tc>
          <w:tcPr>
            <w:tcW w:w="814" w:type="dxa"/>
            <w:shd w:val="clear" w:color="auto" w:fill="auto"/>
          </w:tcPr>
          <w:p w14:paraId="33BDA812"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0DE5901C"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3AD64648" w14:textId="77777777" w:rsidR="005C5C6A" w:rsidRPr="00FF65D6" w:rsidRDefault="005C5C6A" w:rsidP="00CA2C84">
            <w:pPr>
              <w:spacing w:before="40" w:after="120"/>
              <w:ind w:right="113"/>
              <w:jc w:val="right"/>
              <w:rPr>
                <w:lang w:val="fr-FR"/>
              </w:rPr>
            </w:pPr>
            <w:r w:rsidRPr="00FF65D6">
              <w:rPr>
                <w:lang w:val="fr-FR"/>
              </w:rPr>
              <w:t>1</w:t>
            </w:r>
          </w:p>
        </w:tc>
        <w:tc>
          <w:tcPr>
            <w:tcW w:w="815" w:type="dxa"/>
            <w:shd w:val="clear" w:color="auto" w:fill="auto"/>
          </w:tcPr>
          <w:p w14:paraId="49531644" w14:textId="77777777" w:rsidR="005C5C6A" w:rsidRPr="00FF65D6" w:rsidRDefault="005C5C6A" w:rsidP="00CA2C84">
            <w:pPr>
              <w:spacing w:before="40" w:after="120"/>
              <w:ind w:right="113"/>
              <w:jc w:val="right"/>
              <w:rPr>
                <w:lang w:val="fr-FR"/>
              </w:rPr>
            </w:pPr>
            <w:r w:rsidRPr="00FF65D6">
              <w:rPr>
                <w:lang w:val="fr-FR"/>
              </w:rPr>
              <w:t>1</w:t>
            </w:r>
          </w:p>
        </w:tc>
      </w:tr>
      <w:tr w:rsidR="005C5C6A" w:rsidRPr="00FF65D6" w14:paraId="31CE6846" w14:textId="77777777" w:rsidTr="00CA2C84">
        <w:tc>
          <w:tcPr>
            <w:tcW w:w="1412" w:type="dxa"/>
            <w:vMerge w:val="restart"/>
            <w:shd w:val="clear" w:color="auto" w:fill="auto"/>
          </w:tcPr>
          <w:p w14:paraId="324584DC" w14:textId="77777777" w:rsidR="005C5C6A" w:rsidRPr="00FF65D6" w:rsidRDefault="005C5C6A" w:rsidP="00CA2C84">
            <w:pPr>
              <w:spacing w:before="40" w:after="120"/>
              <w:ind w:right="113"/>
              <w:rPr>
                <w:lang w:val="fr-FR"/>
              </w:rPr>
            </w:pPr>
            <w:r w:rsidRPr="00FF65D6">
              <w:rPr>
                <w:lang w:val="fr-FR"/>
              </w:rPr>
              <w:t>Poursuites</w:t>
            </w:r>
          </w:p>
        </w:tc>
        <w:tc>
          <w:tcPr>
            <w:tcW w:w="2699" w:type="dxa"/>
            <w:shd w:val="clear" w:color="auto" w:fill="auto"/>
          </w:tcPr>
          <w:p w14:paraId="3006A924" w14:textId="77777777" w:rsidR="005C5C6A" w:rsidRPr="00FF65D6" w:rsidRDefault="005C5C6A" w:rsidP="00CA2C84">
            <w:pPr>
              <w:spacing w:before="40" w:after="120"/>
              <w:ind w:right="113"/>
              <w:rPr>
                <w:lang w:val="fr-FR"/>
              </w:rPr>
            </w:pPr>
            <w:r w:rsidRPr="00FF65D6">
              <w:rPr>
                <w:lang w:val="fr-FR"/>
              </w:rPr>
              <w:t>Exploitation sexuelle</w:t>
            </w:r>
          </w:p>
        </w:tc>
        <w:tc>
          <w:tcPr>
            <w:tcW w:w="814" w:type="dxa"/>
            <w:shd w:val="clear" w:color="auto" w:fill="auto"/>
          </w:tcPr>
          <w:p w14:paraId="0A938CEB" w14:textId="77777777" w:rsidR="005C5C6A" w:rsidRPr="00FF65D6" w:rsidRDefault="005C5C6A" w:rsidP="00CA2C84">
            <w:pPr>
              <w:spacing w:before="40" w:after="120"/>
              <w:ind w:right="113"/>
              <w:jc w:val="right"/>
              <w:rPr>
                <w:lang w:val="fr-FR"/>
              </w:rPr>
            </w:pPr>
            <w:r w:rsidRPr="00FF65D6">
              <w:rPr>
                <w:lang w:val="fr-FR"/>
              </w:rPr>
              <w:t>2</w:t>
            </w:r>
          </w:p>
        </w:tc>
        <w:tc>
          <w:tcPr>
            <w:tcW w:w="815" w:type="dxa"/>
            <w:shd w:val="clear" w:color="auto" w:fill="auto"/>
          </w:tcPr>
          <w:p w14:paraId="5991C7BF" w14:textId="77777777" w:rsidR="005C5C6A" w:rsidRPr="00FF65D6" w:rsidRDefault="005C5C6A" w:rsidP="00CA2C84">
            <w:pPr>
              <w:spacing w:before="40" w:after="120"/>
              <w:ind w:right="113"/>
              <w:jc w:val="right"/>
              <w:rPr>
                <w:lang w:val="fr-FR"/>
              </w:rPr>
            </w:pPr>
            <w:r w:rsidRPr="00FF65D6">
              <w:rPr>
                <w:lang w:val="fr-FR"/>
              </w:rPr>
              <w:t>1</w:t>
            </w:r>
          </w:p>
        </w:tc>
        <w:tc>
          <w:tcPr>
            <w:tcW w:w="815" w:type="dxa"/>
            <w:shd w:val="clear" w:color="auto" w:fill="auto"/>
          </w:tcPr>
          <w:p w14:paraId="48A8C2F4"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0D4BD8F2" w14:textId="77777777" w:rsidR="005C5C6A" w:rsidRPr="00FF65D6" w:rsidRDefault="005C5C6A" w:rsidP="00CA2C84">
            <w:pPr>
              <w:spacing w:before="40" w:after="120"/>
              <w:ind w:right="113"/>
              <w:jc w:val="right"/>
              <w:rPr>
                <w:lang w:val="fr-FR"/>
              </w:rPr>
            </w:pPr>
            <w:r w:rsidRPr="00FF65D6">
              <w:rPr>
                <w:lang w:val="fr-FR"/>
              </w:rPr>
              <w:t>0</w:t>
            </w:r>
          </w:p>
        </w:tc>
      </w:tr>
      <w:tr w:rsidR="005C5C6A" w:rsidRPr="00FF65D6" w14:paraId="02BA511F" w14:textId="77777777" w:rsidTr="00CA2C84">
        <w:tc>
          <w:tcPr>
            <w:tcW w:w="1412" w:type="dxa"/>
            <w:vMerge/>
            <w:shd w:val="clear" w:color="auto" w:fill="auto"/>
          </w:tcPr>
          <w:p w14:paraId="56830D49" w14:textId="77777777" w:rsidR="005C5C6A" w:rsidRPr="00FF65D6" w:rsidRDefault="005C5C6A" w:rsidP="00CA2C84">
            <w:pPr>
              <w:spacing w:before="40" w:after="120"/>
              <w:ind w:right="113"/>
              <w:rPr>
                <w:lang w:val="fr-FR"/>
              </w:rPr>
            </w:pPr>
          </w:p>
        </w:tc>
        <w:tc>
          <w:tcPr>
            <w:tcW w:w="2699" w:type="dxa"/>
            <w:shd w:val="clear" w:color="auto" w:fill="auto"/>
          </w:tcPr>
          <w:p w14:paraId="7CA18AC6" w14:textId="77777777" w:rsidR="005C5C6A" w:rsidRPr="00FF65D6" w:rsidRDefault="005C5C6A" w:rsidP="00CA2C84">
            <w:pPr>
              <w:spacing w:before="40" w:after="120"/>
              <w:ind w:right="113"/>
              <w:rPr>
                <w:lang w:val="fr-FR"/>
              </w:rPr>
            </w:pPr>
            <w:r w:rsidRPr="00FF65D6">
              <w:rPr>
                <w:lang w:val="fr-FR"/>
              </w:rPr>
              <w:t>Exploitation du travail</w:t>
            </w:r>
          </w:p>
        </w:tc>
        <w:tc>
          <w:tcPr>
            <w:tcW w:w="814" w:type="dxa"/>
            <w:shd w:val="clear" w:color="auto" w:fill="auto"/>
          </w:tcPr>
          <w:p w14:paraId="5C55C54A"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617E8F5B"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4F4E9057"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1404443B" w14:textId="77777777" w:rsidR="005C5C6A" w:rsidRPr="00FF65D6" w:rsidRDefault="005C5C6A" w:rsidP="00CA2C84">
            <w:pPr>
              <w:spacing w:before="40" w:after="120"/>
              <w:ind w:right="113"/>
              <w:jc w:val="right"/>
              <w:rPr>
                <w:lang w:val="fr-FR"/>
              </w:rPr>
            </w:pPr>
            <w:r w:rsidRPr="00FF65D6">
              <w:rPr>
                <w:lang w:val="fr-FR"/>
              </w:rPr>
              <w:t>0</w:t>
            </w:r>
          </w:p>
        </w:tc>
      </w:tr>
      <w:tr w:rsidR="005C5C6A" w:rsidRPr="00FF65D6" w14:paraId="04E4A81E" w14:textId="77777777" w:rsidTr="00CA2C84">
        <w:tc>
          <w:tcPr>
            <w:tcW w:w="1412" w:type="dxa"/>
            <w:vMerge/>
            <w:shd w:val="clear" w:color="auto" w:fill="auto"/>
          </w:tcPr>
          <w:p w14:paraId="40C6C2E4" w14:textId="77777777" w:rsidR="005C5C6A" w:rsidRPr="00FF65D6" w:rsidRDefault="005C5C6A" w:rsidP="00CA2C84">
            <w:pPr>
              <w:spacing w:before="40" w:after="120"/>
              <w:ind w:right="113"/>
              <w:rPr>
                <w:lang w:val="fr-FR"/>
              </w:rPr>
            </w:pPr>
          </w:p>
        </w:tc>
        <w:tc>
          <w:tcPr>
            <w:tcW w:w="2699" w:type="dxa"/>
            <w:shd w:val="clear" w:color="auto" w:fill="auto"/>
          </w:tcPr>
          <w:p w14:paraId="242F7A40" w14:textId="77777777" w:rsidR="005C5C6A" w:rsidRPr="00FF65D6" w:rsidRDefault="005C5C6A" w:rsidP="00CA2C84">
            <w:pPr>
              <w:spacing w:before="40" w:after="120"/>
              <w:ind w:right="113"/>
              <w:rPr>
                <w:lang w:val="fr-FR"/>
              </w:rPr>
            </w:pPr>
            <w:r w:rsidRPr="00FF65D6">
              <w:rPr>
                <w:lang w:val="fr-FR"/>
              </w:rPr>
              <w:t>Achat/vente d</w:t>
            </w:r>
            <w:r w:rsidR="002127F6" w:rsidRPr="00FF65D6">
              <w:rPr>
                <w:lang w:val="fr-FR"/>
              </w:rPr>
              <w:t>’</w:t>
            </w:r>
            <w:r w:rsidRPr="00FF65D6">
              <w:rPr>
                <w:lang w:val="fr-FR"/>
              </w:rPr>
              <w:t>enfants</w:t>
            </w:r>
          </w:p>
        </w:tc>
        <w:tc>
          <w:tcPr>
            <w:tcW w:w="814" w:type="dxa"/>
            <w:shd w:val="clear" w:color="auto" w:fill="auto"/>
          </w:tcPr>
          <w:p w14:paraId="4C71B66D"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417050E2"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0CDBCD6A" w14:textId="77777777" w:rsidR="005C5C6A" w:rsidRPr="00FF65D6" w:rsidRDefault="005C5C6A" w:rsidP="00CA2C84">
            <w:pPr>
              <w:spacing w:before="40" w:after="120"/>
              <w:ind w:right="113"/>
              <w:jc w:val="right"/>
              <w:rPr>
                <w:lang w:val="fr-FR"/>
              </w:rPr>
            </w:pPr>
            <w:r w:rsidRPr="00FF65D6">
              <w:rPr>
                <w:lang w:val="fr-FR"/>
              </w:rPr>
              <w:t>3</w:t>
            </w:r>
          </w:p>
        </w:tc>
        <w:tc>
          <w:tcPr>
            <w:tcW w:w="815" w:type="dxa"/>
            <w:shd w:val="clear" w:color="auto" w:fill="auto"/>
          </w:tcPr>
          <w:p w14:paraId="676410C8" w14:textId="77777777" w:rsidR="005C5C6A" w:rsidRPr="00FF65D6" w:rsidRDefault="005C5C6A" w:rsidP="00CA2C84">
            <w:pPr>
              <w:spacing w:before="40" w:after="120"/>
              <w:ind w:right="113"/>
              <w:jc w:val="right"/>
              <w:rPr>
                <w:lang w:val="fr-FR"/>
              </w:rPr>
            </w:pPr>
            <w:r w:rsidRPr="00FF65D6">
              <w:rPr>
                <w:lang w:val="fr-FR"/>
              </w:rPr>
              <w:t>0</w:t>
            </w:r>
          </w:p>
        </w:tc>
      </w:tr>
      <w:tr w:rsidR="005C5C6A" w:rsidRPr="00FF65D6" w14:paraId="663AAC42" w14:textId="77777777" w:rsidTr="00CA2C84">
        <w:tc>
          <w:tcPr>
            <w:tcW w:w="1412" w:type="dxa"/>
            <w:vMerge w:val="restart"/>
            <w:shd w:val="clear" w:color="auto" w:fill="auto"/>
          </w:tcPr>
          <w:p w14:paraId="53124A1C" w14:textId="77777777" w:rsidR="005C5C6A" w:rsidRPr="00FF65D6" w:rsidRDefault="005C5C6A" w:rsidP="00CA2C84">
            <w:pPr>
              <w:spacing w:before="40" w:after="120"/>
              <w:ind w:right="113"/>
              <w:rPr>
                <w:lang w:val="fr-FR"/>
              </w:rPr>
            </w:pPr>
            <w:r w:rsidRPr="00FF65D6">
              <w:rPr>
                <w:lang w:val="fr-FR"/>
              </w:rPr>
              <w:t>Condamnation</w:t>
            </w:r>
          </w:p>
        </w:tc>
        <w:tc>
          <w:tcPr>
            <w:tcW w:w="2699" w:type="dxa"/>
            <w:shd w:val="clear" w:color="auto" w:fill="auto"/>
          </w:tcPr>
          <w:p w14:paraId="7FB1EB63" w14:textId="77777777" w:rsidR="005C5C6A" w:rsidRPr="00FF65D6" w:rsidRDefault="005C5C6A" w:rsidP="00CA2C84">
            <w:pPr>
              <w:spacing w:before="40" w:after="120"/>
              <w:ind w:right="113"/>
              <w:rPr>
                <w:lang w:val="fr-FR"/>
              </w:rPr>
            </w:pPr>
            <w:r w:rsidRPr="00FF65D6">
              <w:rPr>
                <w:lang w:val="fr-FR"/>
              </w:rPr>
              <w:t>Exploitation sexuelle</w:t>
            </w:r>
          </w:p>
        </w:tc>
        <w:tc>
          <w:tcPr>
            <w:tcW w:w="814" w:type="dxa"/>
            <w:shd w:val="clear" w:color="auto" w:fill="auto"/>
          </w:tcPr>
          <w:p w14:paraId="67A01F49"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04DD2A23" w14:textId="77777777" w:rsidR="005C5C6A" w:rsidRPr="00FF65D6" w:rsidRDefault="005C5C6A" w:rsidP="00CA2C84">
            <w:pPr>
              <w:spacing w:before="40" w:after="120"/>
              <w:ind w:right="113"/>
              <w:jc w:val="right"/>
              <w:rPr>
                <w:lang w:val="fr-FR"/>
              </w:rPr>
            </w:pPr>
            <w:r w:rsidRPr="00FF65D6">
              <w:rPr>
                <w:lang w:val="fr-FR"/>
              </w:rPr>
              <w:t>1</w:t>
            </w:r>
          </w:p>
        </w:tc>
        <w:tc>
          <w:tcPr>
            <w:tcW w:w="815" w:type="dxa"/>
            <w:shd w:val="clear" w:color="auto" w:fill="auto"/>
          </w:tcPr>
          <w:p w14:paraId="33A6226F" w14:textId="77777777" w:rsidR="005C5C6A" w:rsidRPr="00FF65D6" w:rsidRDefault="005C5C6A" w:rsidP="00CA2C84">
            <w:pPr>
              <w:spacing w:before="40" w:after="120"/>
              <w:ind w:right="113"/>
              <w:jc w:val="right"/>
              <w:rPr>
                <w:lang w:val="fr-FR"/>
              </w:rPr>
            </w:pPr>
            <w:r w:rsidRPr="00FF65D6">
              <w:rPr>
                <w:lang w:val="fr-FR"/>
              </w:rPr>
              <w:t>1</w:t>
            </w:r>
          </w:p>
        </w:tc>
        <w:tc>
          <w:tcPr>
            <w:tcW w:w="815" w:type="dxa"/>
            <w:shd w:val="clear" w:color="auto" w:fill="auto"/>
          </w:tcPr>
          <w:p w14:paraId="0783CC20" w14:textId="77777777" w:rsidR="005C5C6A" w:rsidRPr="00FF65D6" w:rsidRDefault="005C5C6A" w:rsidP="00CA2C84">
            <w:pPr>
              <w:spacing w:before="40" w:after="120"/>
              <w:ind w:right="113"/>
              <w:jc w:val="right"/>
              <w:rPr>
                <w:lang w:val="fr-FR"/>
              </w:rPr>
            </w:pPr>
            <w:r w:rsidRPr="00FF65D6">
              <w:rPr>
                <w:lang w:val="fr-FR"/>
              </w:rPr>
              <w:t>0</w:t>
            </w:r>
          </w:p>
        </w:tc>
      </w:tr>
      <w:tr w:rsidR="005C5C6A" w:rsidRPr="00FF65D6" w14:paraId="3BE62A8A" w14:textId="77777777" w:rsidTr="00CA2C84">
        <w:tc>
          <w:tcPr>
            <w:tcW w:w="1412" w:type="dxa"/>
            <w:vMerge/>
            <w:shd w:val="clear" w:color="auto" w:fill="auto"/>
          </w:tcPr>
          <w:p w14:paraId="73EF4880" w14:textId="77777777" w:rsidR="005C5C6A" w:rsidRPr="00FF65D6" w:rsidRDefault="005C5C6A" w:rsidP="00CA2C84">
            <w:pPr>
              <w:spacing w:before="40" w:after="120"/>
              <w:ind w:right="113"/>
              <w:rPr>
                <w:lang w:val="fr-FR"/>
              </w:rPr>
            </w:pPr>
          </w:p>
        </w:tc>
        <w:tc>
          <w:tcPr>
            <w:tcW w:w="2699" w:type="dxa"/>
            <w:shd w:val="clear" w:color="auto" w:fill="auto"/>
          </w:tcPr>
          <w:p w14:paraId="3DBD3F40" w14:textId="77777777" w:rsidR="005C5C6A" w:rsidRPr="00FF65D6" w:rsidRDefault="005C5C6A" w:rsidP="00CA2C84">
            <w:pPr>
              <w:spacing w:before="40" w:after="120"/>
              <w:ind w:right="113"/>
              <w:rPr>
                <w:lang w:val="fr-FR"/>
              </w:rPr>
            </w:pPr>
            <w:r w:rsidRPr="00FF65D6">
              <w:rPr>
                <w:lang w:val="fr-FR"/>
              </w:rPr>
              <w:t>Exploitation du travail</w:t>
            </w:r>
          </w:p>
        </w:tc>
        <w:tc>
          <w:tcPr>
            <w:tcW w:w="814" w:type="dxa"/>
            <w:shd w:val="clear" w:color="auto" w:fill="auto"/>
          </w:tcPr>
          <w:p w14:paraId="203051B2"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78BACC2A"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3137516F"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323BD1A3" w14:textId="77777777" w:rsidR="005C5C6A" w:rsidRPr="00FF65D6" w:rsidRDefault="005C5C6A" w:rsidP="00CA2C84">
            <w:pPr>
              <w:spacing w:before="40" w:after="120"/>
              <w:ind w:right="113"/>
              <w:jc w:val="right"/>
              <w:rPr>
                <w:lang w:val="fr-FR"/>
              </w:rPr>
            </w:pPr>
            <w:r w:rsidRPr="00FF65D6">
              <w:rPr>
                <w:lang w:val="fr-FR"/>
              </w:rPr>
              <w:t>0</w:t>
            </w:r>
          </w:p>
        </w:tc>
      </w:tr>
      <w:tr w:rsidR="005C5C6A" w:rsidRPr="00FF65D6" w14:paraId="561BFB52" w14:textId="77777777" w:rsidTr="00CA2C84">
        <w:tc>
          <w:tcPr>
            <w:tcW w:w="1412" w:type="dxa"/>
            <w:vMerge/>
            <w:shd w:val="clear" w:color="auto" w:fill="auto"/>
          </w:tcPr>
          <w:p w14:paraId="07FABF30" w14:textId="77777777" w:rsidR="005C5C6A" w:rsidRPr="00FF65D6" w:rsidRDefault="005C5C6A" w:rsidP="00CA2C84">
            <w:pPr>
              <w:spacing w:before="40" w:after="120"/>
              <w:ind w:right="113"/>
              <w:rPr>
                <w:lang w:val="fr-FR"/>
              </w:rPr>
            </w:pPr>
          </w:p>
        </w:tc>
        <w:tc>
          <w:tcPr>
            <w:tcW w:w="2699" w:type="dxa"/>
            <w:shd w:val="clear" w:color="auto" w:fill="auto"/>
          </w:tcPr>
          <w:p w14:paraId="398539C1" w14:textId="77777777" w:rsidR="005C5C6A" w:rsidRPr="00FF65D6" w:rsidRDefault="005C5C6A" w:rsidP="00CA2C84">
            <w:pPr>
              <w:spacing w:before="40" w:after="120"/>
              <w:ind w:right="113"/>
              <w:rPr>
                <w:lang w:val="fr-FR"/>
              </w:rPr>
            </w:pPr>
            <w:r w:rsidRPr="00FF65D6">
              <w:rPr>
                <w:lang w:val="fr-FR"/>
              </w:rPr>
              <w:t>Achat/vente d</w:t>
            </w:r>
            <w:r w:rsidR="002127F6" w:rsidRPr="00FF65D6">
              <w:rPr>
                <w:lang w:val="fr-FR"/>
              </w:rPr>
              <w:t>’</w:t>
            </w:r>
            <w:r w:rsidRPr="00FF65D6">
              <w:rPr>
                <w:lang w:val="fr-FR"/>
              </w:rPr>
              <w:t>enfants</w:t>
            </w:r>
          </w:p>
        </w:tc>
        <w:tc>
          <w:tcPr>
            <w:tcW w:w="814" w:type="dxa"/>
            <w:shd w:val="clear" w:color="auto" w:fill="auto"/>
          </w:tcPr>
          <w:p w14:paraId="4705661F"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352B9844"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647D3CD8"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339429FF" w14:textId="77777777" w:rsidR="005C5C6A" w:rsidRPr="00FF65D6" w:rsidRDefault="005C5C6A" w:rsidP="00CA2C84">
            <w:pPr>
              <w:spacing w:before="40" w:after="120"/>
              <w:ind w:right="113"/>
              <w:jc w:val="right"/>
              <w:rPr>
                <w:lang w:val="fr-FR"/>
              </w:rPr>
            </w:pPr>
            <w:r w:rsidRPr="00FF65D6">
              <w:rPr>
                <w:lang w:val="fr-FR"/>
              </w:rPr>
              <w:t>1</w:t>
            </w:r>
          </w:p>
        </w:tc>
      </w:tr>
      <w:tr w:rsidR="005C5C6A" w:rsidRPr="00FF65D6" w14:paraId="30C2A67E" w14:textId="77777777" w:rsidTr="00CA2C84">
        <w:tc>
          <w:tcPr>
            <w:tcW w:w="1412" w:type="dxa"/>
            <w:vMerge w:val="restart"/>
            <w:shd w:val="clear" w:color="auto" w:fill="auto"/>
          </w:tcPr>
          <w:p w14:paraId="0A8550E9" w14:textId="77777777" w:rsidR="005C5C6A" w:rsidRPr="00FF65D6" w:rsidRDefault="005C5C6A" w:rsidP="00CA2C84">
            <w:pPr>
              <w:spacing w:before="40" w:after="120"/>
              <w:ind w:right="113"/>
              <w:rPr>
                <w:lang w:val="fr-FR"/>
              </w:rPr>
            </w:pPr>
            <w:r w:rsidRPr="00FF65D6">
              <w:rPr>
                <w:lang w:val="fr-FR"/>
              </w:rPr>
              <w:t>Personnes condamnées</w:t>
            </w:r>
          </w:p>
        </w:tc>
        <w:tc>
          <w:tcPr>
            <w:tcW w:w="2699" w:type="dxa"/>
            <w:shd w:val="clear" w:color="auto" w:fill="auto"/>
          </w:tcPr>
          <w:p w14:paraId="377D9F23" w14:textId="77777777" w:rsidR="005C5C6A" w:rsidRPr="00FF65D6" w:rsidRDefault="005C5C6A" w:rsidP="00CA2C84">
            <w:pPr>
              <w:spacing w:before="40" w:after="120"/>
              <w:ind w:right="113"/>
              <w:rPr>
                <w:lang w:val="fr-FR"/>
              </w:rPr>
            </w:pPr>
            <w:r w:rsidRPr="00FF65D6">
              <w:rPr>
                <w:lang w:val="fr-FR"/>
              </w:rPr>
              <w:t>Exploitation sexuelle</w:t>
            </w:r>
          </w:p>
        </w:tc>
        <w:tc>
          <w:tcPr>
            <w:tcW w:w="814" w:type="dxa"/>
            <w:shd w:val="clear" w:color="auto" w:fill="auto"/>
          </w:tcPr>
          <w:p w14:paraId="694EC6CC"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0E2D6C16" w14:textId="77777777" w:rsidR="005C5C6A" w:rsidRPr="00FF65D6" w:rsidRDefault="005C5C6A" w:rsidP="00CA2C84">
            <w:pPr>
              <w:spacing w:before="40" w:after="120"/>
              <w:ind w:right="113"/>
              <w:jc w:val="right"/>
              <w:rPr>
                <w:lang w:val="fr-FR"/>
              </w:rPr>
            </w:pPr>
            <w:r w:rsidRPr="00FF65D6">
              <w:rPr>
                <w:lang w:val="fr-FR"/>
              </w:rPr>
              <w:t>2</w:t>
            </w:r>
          </w:p>
        </w:tc>
        <w:tc>
          <w:tcPr>
            <w:tcW w:w="815" w:type="dxa"/>
            <w:shd w:val="clear" w:color="auto" w:fill="auto"/>
          </w:tcPr>
          <w:p w14:paraId="7F9831A6" w14:textId="77777777" w:rsidR="005C5C6A" w:rsidRPr="00FF65D6" w:rsidRDefault="005C5C6A" w:rsidP="00CA2C84">
            <w:pPr>
              <w:spacing w:before="40" w:after="120"/>
              <w:ind w:right="113"/>
              <w:jc w:val="right"/>
              <w:rPr>
                <w:lang w:val="fr-FR"/>
              </w:rPr>
            </w:pPr>
            <w:r w:rsidRPr="00FF65D6">
              <w:rPr>
                <w:lang w:val="fr-FR"/>
              </w:rPr>
              <w:t>1</w:t>
            </w:r>
          </w:p>
        </w:tc>
        <w:tc>
          <w:tcPr>
            <w:tcW w:w="815" w:type="dxa"/>
            <w:shd w:val="clear" w:color="auto" w:fill="auto"/>
          </w:tcPr>
          <w:p w14:paraId="0CB5AD36" w14:textId="77777777" w:rsidR="005C5C6A" w:rsidRPr="00FF65D6" w:rsidRDefault="005C5C6A" w:rsidP="00CA2C84">
            <w:pPr>
              <w:spacing w:before="40" w:after="120"/>
              <w:ind w:right="113"/>
              <w:jc w:val="right"/>
              <w:rPr>
                <w:lang w:val="fr-FR"/>
              </w:rPr>
            </w:pPr>
            <w:r w:rsidRPr="00FF65D6">
              <w:rPr>
                <w:lang w:val="fr-FR"/>
              </w:rPr>
              <w:t>0</w:t>
            </w:r>
          </w:p>
        </w:tc>
      </w:tr>
      <w:tr w:rsidR="005C5C6A" w:rsidRPr="00FF65D6" w14:paraId="4FB7B732" w14:textId="77777777" w:rsidTr="00CA2C84">
        <w:tc>
          <w:tcPr>
            <w:tcW w:w="1412" w:type="dxa"/>
            <w:vMerge/>
            <w:shd w:val="clear" w:color="auto" w:fill="auto"/>
          </w:tcPr>
          <w:p w14:paraId="3679FA41" w14:textId="77777777" w:rsidR="005C5C6A" w:rsidRPr="00FF65D6" w:rsidRDefault="005C5C6A" w:rsidP="00CA2C84">
            <w:pPr>
              <w:spacing w:before="40" w:after="120"/>
              <w:ind w:right="113"/>
              <w:rPr>
                <w:lang w:val="fr-FR"/>
              </w:rPr>
            </w:pPr>
          </w:p>
        </w:tc>
        <w:tc>
          <w:tcPr>
            <w:tcW w:w="2699" w:type="dxa"/>
            <w:shd w:val="clear" w:color="auto" w:fill="auto"/>
          </w:tcPr>
          <w:p w14:paraId="00825839" w14:textId="77777777" w:rsidR="005C5C6A" w:rsidRPr="00FF65D6" w:rsidRDefault="005C5C6A" w:rsidP="00CA2C84">
            <w:pPr>
              <w:spacing w:before="40" w:after="120"/>
              <w:ind w:right="113"/>
              <w:rPr>
                <w:lang w:val="fr-FR"/>
              </w:rPr>
            </w:pPr>
            <w:r w:rsidRPr="00FF65D6">
              <w:rPr>
                <w:lang w:val="fr-FR"/>
              </w:rPr>
              <w:t>Exploitation du travail</w:t>
            </w:r>
          </w:p>
        </w:tc>
        <w:tc>
          <w:tcPr>
            <w:tcW w:w="814" w:type="dxa"/>
            <w:shd w:val="clear" w:color="auto" w:fill="auto"/>
          </w:tcPr>
          <w:p w14:paraId="237F368F"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625CDA19"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1F27E7BC" w14:textId="77777777" w:rsidR="005C5C6A" w:rsidRPr="00FF65D6" w:rsidRDefault="005C5C6A" w:rsidP="00CA2C84">
            <w:pPr>
              <w:spacing w:before="40" w:after="120"/>
              <w:ind w:right="113"/>
              <w:jc w:val="right"/>
              <w:rPr>
                <w:lang w:val="fr-FR"/>
              </w:rPr>
            </w:pPr>
            <w:r w:rsidRPr="00FF65D6">
              <w:rPr>
                <w:lang w:val="fr-FR"/>
              </w:rPr>
              <w:t>0</w:t>
            </w:r>
          </w:p>
        </w:tc>
        <w:tc>
          <w:tcPr>
            <w:tcW w:w="815" w:type="dxa"/>
            <w:shd w:val="clear" w:color="auto" w:fill="auto"/>
          </w:tcPr>
          <w:p w14:paraId="58F1CFA4" w14:textId="77777777" w:rsidR="005C5C6A" w:rsidRPr="00FF65D6" w:rsidRDefault="005C5C6A" w:rsidP="00CA2C84">
            <w:pPr>
              <w:spacing w:before="40" w:after="120"/>
              <w:ind w:right="113"/>
              <w:jc w:val="right"/>
              <w:rPr>
                <w:lang w:val="fr-FR"/>
              </w:rPr>
            </w:pPr>
            <w:r w:rsidRPr="00FF65D6">
              <w:rPr>
                <w:lang w:val="fr-FR"/>
              </w:rPr>
              <w:t>0</w:t>
            </w:r>
          </w:p>
        </w:tc>
      </w:tr>
      <w:tr w:rsidR="005C5C6A" w:rsidRPr="00FF65D6" w14:paraId="0B568006" w14:textId="77777777" w:rsidTr="00CA2C84">
        <w:tc>
          <w:tcPr>
            <w:tcW w:w="1412" w:type="dxa"/>
            <w:vMerge/>
            <w:tcBorders>
              <w:bottom w:val="single" w:sz="12" w:space="0" w:color="auto"/>
            </w:tcBorders>
            <w:shd w:val="clear" w:color="auto" w:fill="auto"/>
          </w:tcPr>
          <w:p w14:paraId="55FBD33A" w14:textId="77777777" w:rsidR="005C5C6A" w:rsidRPr="00FF65D6" w:rsidRDefault="005C5C6A" w:rsidP="00CA2C84">
            <w:pPr>
              <w:spacing w:before="40" w:after="120"/>
              <w:ind w:right="113"/>
              <w:rPr>
                <w:lang w:val="fr-FR"/>
              </w:rPr>
            </w:pPr>
          </w:p>
        </w:tc>
        <w:tc>
          <w:tcPr>
            <w:tcW w:w="2699" w:type="dxa"/>
            <w:tcBorders>
              <w:bottom w:val="single" w:sz="12" w:space="0" w:color="auto"/>
            </w:tcBorders>
            <w:shd w:val="clear" w:color="auto" w:fill="auto"/>
          </w:tcPr>
          <w:p w14:paraId="38E33EA6" w14:textId="77777777" w:rsidR="005C5C6A" w:rsidRPr="00FF65D6" w:rsidRDefault="005C5C6A" w:rsidP="00CA2C84">
            <w:pPr>
              <w:spacing w:before="40" w:after="120"/>
              <w:ind w:right="113"/>
              <w:rPr>
                <w:lang w:val="fr-FR"/>
              </w:rPr>
            </w:pPr>
            <w:r w:rsidRPr="00FF65D6">
              <w:rPr>
                <w:lang w:val="fr-FR"/>
              </w:rPr>
              <w:t>Achat/vente d</w:t>
            </w:r>
            <w:r w:rsidR="002127F6" w:rsidRPr="00FF65D6">
              <w:rPr>
                <w:lang w:val="fr-FR"/>
              </w:rPr>
              <w:t>’</w:t>
            </w:r>
            <w:r w:rsidRPr="00FF65D6">
              <w:rPr>
                <w:lang w:val="fr-FR"/>
              </w:rPr>
              <w:t>enfants</w:t>
            </w:r>
          </w:p>
        </w:tc>
        <w:tc>
          <w:tcPr>
            <w:tcW w:w="814" w:type="dxa"/>
            <w:tcBorders>
              <w:bottom w:val="single" w:sz="12" w:space="0" w:color="auto"/>
            </w:tcBorders>
            <w:shd w:val="clear" w:color="auto" w:fill="auto"/>
          </w:tcPr>
          <w:p w14:paraId="00E73356" w14:textId="77777777" w:rsidR="005C5C6A" w:rsidRPr="00FF65D6" w:rsidRDefault="005C5C6A" w:rsidP="00CA2C84">
            <w:pPr>
              <w:spacing w:before="40" w:after="120"/>
              <w:ind w:right="113"/>
              <w:jc w:val="right"/>
              <w:rPr>
                <w:lang w:val="fr-FR"/>
              </w:rPr>
            </w:pPr>
            <w:r w:rsidRPr="00FF65D6">
              <w:rPr>
                <w:lang w:val="fr-FR"/>
              </w:rPr>
              <w:t>0</w:t>
            </w:r>
          </w:p>
        </w:tc>
        <w:tc>
          <w:tcPr>
            <w:tcW w:w="815" w:type="dxa"/>
            <w:tcBorders>
              <w:bottom w:val="single" w:sz="12" w:space="0" w:color="auto"/>
            </w:tcBorders>
            <w:shd w:val="clear" w:color="auto" w:fill="auto"/>
          </w:tcPr>
          <w:p w14:paraId="40A9133A" w14:textId="77777777" w:rsidR="005C5C6A" w:rsidRPr="00FF65D6" w:rsidRDefault="005C5C6A" w:rsidP="00CA2C84">
            <w:pPr>
              <w:spacing w:before="40" w:after="120"/>
              <w:ind w:right="113"/>
              <w:jc w:val="right"/>
              <w:rPr>
                <w:lang w:val="fr-FR"/>
              </w:rPr>
            </w:pPr>
            <w:r w:rsidRPr="00FF65D6">
              <w:rPr>
                <w:lang w:val="fr-FR"/>
              </w:rPr>
              <w:t>0</w:t>
            </w:r>
          </w:p>
        </w:tc>
        <w:tc>
          <w:tcPr>
            <w:tcW w:w="815" w:type="dxa"/>
            <w:tcBorders>
              <w:bottom w:val="single" w:sz="12" w:space="0" w:color="auto"/>
            </w:tcBorders>
            <w:shd w:val="clear" w:color="auto" w:fill="auto"/>
          </w:tcPr>
          <w:p w14:paraId="31537FA0" w14:textId="77777777" w:rsidR="005C5C6A" w:rsidRPr="00FF65D6" w:rsidRDefault="005C5C6A" w:rsidP="00CA2C84">
            <w:pPr>
              <w:spacing w:before="40" w:after="120"/>
              <w:ind w:right="113"/>
              <w:jc w:val="right"/>
              <w:rPr>
                <w:lang w:val="fr-FR"/>
              </w:rPr>
            </w:pPr>
            <w:r w:rsidRPr="00FF65D6">
              <w:rPr>
                <w:lang w:val="fr-FR"/>
              </w:rPr>
              <w:t>0</w:t>
            </w:r>
          </w:p>
        </w:tc>
        <w:tc>
          <w:tcPr>
            <w:tcW w:w="815" w:type="dxa"/>
            <w:tcBorders>
              <w:bottom w:val="single" w:sz="12" w:space="0" w:color="auto"/>
            </w:tcBorders>
            <w:shd w:val="clear" w:color="auto" w:fill="auto"/>
          </w:tcPr>
          <w:p w14:paraId="6B53DD1D" w14:textId="77777777" w:rsidR="005C5C6A" w:rsidRPr="00FF65D6" w:rsidRDefault="005C5C6A" w:rsidP="00CA2C84">
            <w:pPr>
              <w:spacing w:before="40" w:after="120"/>
              <w:ind w:right="113"/>
              <w:jc w:val="right"/>
              <w:rPr>
                <w:lang w:val="fr-FR"/>
              </w:rPr>
            </w:pPr>
            <w:r w:rsidRPr="00FF65D6">
              <w:rPr>
                <w:lang w:val="fr-FR"/>
              </w:rPr>
              <w:t>3</w:t>
            </w:r>
          </w:p>
        </w:tc>
      </w:tr>
    </w:tbl>
    <w:p w14:paraId="107A1B9B" w14:textId="77777777" w:rsidR="005C5C6A" w:rsidRPr="00FF65D6" w:rsidRDefault="005C5C6A" w:rsidP="00C46F2F">
      <w:pPr>
        <w:pStyle w:val="H23G"/>
        <w:rPr>
          <w:lang w:val="fr-FR"/>
        </w:rPr>
      </w:pPr>
      <w:r w:rsidRPr="00FF65D6">
        <w:rPr>
          <w:lang w:val="fr-FR"/>
        </w:rPr>
        <w:tab/>
      </w:r>
      <w:r w:rsidRPr="00FF65D6">
        <w:rPr>
          <w:lang w:val="fr-FR"/>
        </w:rPr>
        <w:tab/>
        <w:t>Statistiques relatives aux victimes mineures</w:t>
      </w:r>
    </w:p>
    <w:tbl>
      <w:tblPr>
        <w:tblW w:w="8504" w:type="dxa"/>
        <w:tblInd w:w="1134" w:type="dxa"/>
        <w:tblLayout w:type="fixed"/>
        <w:tblCellMar>
          <w:left w:w="0" w:type="dxa"/>
          <w:right w:w="0" w:type="dxa"/>
        </w:tblCellMar>
        <w:tblLook w:val="04A0" w:firstRow="1" w:lastRow="0" w:firstColumn="1" w:lastColumn="0" w:noHBand="0" w:noVBand="1"/>
      </w:tblPr>
      <w:tblGrid>
        <w:gridCol w:w="901"/>
        <w:gridCol w:w="1389"/>
        <w:gridCol w:w="1145"/>
        <w:gridCol w:w="2127"/>
        <w:gridCol w:w="1308"/>
        <w:gridCol w:w="1634"/>
      </w:tblGrid>
      <w:tr w:rsidR="005C5C6A" w:rsidRPr="00FF65D6" w14:paraId="3D76B030" w14:textId="77777777" w:rsidTr="00937001">
        <w:trPr>
          <w:tblHeader/>
        </w:trPr>
        <w:tc>
          <w:tcPr>
            <w:tcW w:w="781" w:type="dxa"/>
            <w:tcBorders>
              <w:top w:val="single" w:sz="4" w:space="0" w:color="auto"/>
              <w:bottom w:val="single" w:sz="12" w:space="0" w:color="auto"/>
            </w:tcBorders>
            <w:shd w:val="clear" w:color="auto" w:fill="auto"/>
            <w:vAlign w:val="bottom"/>
          </w:tcPr>
          <w:p w14:paraId="3781D057" w14:textId="77777777" w:rsidR="005C5C6A" w:rsidRPr="00FF65D6" w:rsidRDefault="005C5C6A" w:rsidP="00C46F2F">
            <w:pPr>
              <w:spacing w:before="80" w:after="80" w:line="200" w:lineRule="exact"/>
              <w:ind w:right="113"/>
              <w:rPr>
                <w:i/>
                <w:sz w:val="16"/>
                <w:lang w:val="fr-FR"/>
              </w:rPr>
            </w:pPr>
            <w:r w:rsidRPr="00FF65D6">
              <w:rPr>
                <w:i/>
                <w:sz w:val="16"/>
                <w:lang w:val="fr-FR"/>
              </w:rPr>
              <w:t>Année</w:t>
            </w:r>
          </w:p>
        </w:tc>
        <w:tc>
          <w:tcPr>
            <w:tcW w:w="1204" w:type="dxa"/>
            <w:tcBorders>
              <w:top w:val="single" w:sz="4" w:space="0" w:color="auto"/>
              <w:bottom w:val="single" w:sz="12" w:space="0" w:color="auto"/>
            </w:tcBorders>
            <w:shd w:val="clear" w:color="auto" w:fill="auto"/>
            <w:vAlign w:val="bottom"/>
          </w:tcPr>
          <w:p w14:paraId="0A227AF1" w14:textId="77777777" w:rsidR="005C5C6A" w:rsidRPr="00FF65D6" w:rsidRDefault="005C5C6A" w:rsidP="00C46F2F">
            <w:pPr>
              <w:spacing w:before="80" w:after="80" w:line="200" w:lineRule="exact"/>
              <w:ind w:right="113"/>
              <w:rPr>
                <w:i/>
                <w:sz w:val="16"/>
                <w:lang w:val="fr-FR"/>
              </w:rPr>
            </w:pPr>
            <w:r w:rsidRPr="00FF65D6">
              <w:rPr>
                <w:i/>
                <w:sz w:val="16"/>
                <w:lang w:val="fr-FR"/>
              </w:rPr>
              <w:t>Citoyenneté</w:t>
            </w:r>
          </w:p>
        </w:tc>
        <w:tc>
          <w:tcPr>
            <w:tcW w:w="992" w:type="dxa"/>
            <w:tcBorders>
              <w:top w:val="single" w:sz="4" w:space="0" w:color="auto"/>
              <w:bottom w:val="single" w:sz="12" w:space="0" w:color="auto"/>
            </w:tcBorders>
            <w:shd w:val="clear" w:color="auto" w:fill="auto"/>
            <w:vAlign w:val="bottom"/>
          </w:tcPr>
          <w:p w14:paraId="67D32127" w14:textId="77777777" w:rsidR="005C5C6A" w:rsidRPr="00FF65D6" w:rsidRDefault="005C5C6A" w:rsidP="00C46F2F">
            <w:pPr>
              <w:spacing w:before="80" w:after="80" w:line="200" w:lineRule="exact"/>
              <w:ind w:right="113"/>
              <w:rPr>
                <w:i/>
                <w:sz w:val="16"/>
                <w:lang w:val="fr-FR"/>
              </w:rPr>
            </w:pPr>
            <w:r w:rsidRPr="00FF65D6">
              <w:rPr>
                <w:i/>
                <w:sz w:val="16"/>
                <w:lang w:val="fr-FR"/>
              </w:rPr>
              <w:t>Sexe</w:t>
            </w:r>
          </w:p>
        </w:tc>
        <w:tc>
          <w:tcPr>
            <w:tcW w:w="1843" w:type="dxa"/>
            <w:tcBorders>
              <w:top w:val="single" w:sz="4" w:space="0" w:color="auto"/>
              <w:bottom w:val="single" w:sz="12" w:space="0" w:color="auto"/>
            </w:tcBorders>
            <w:shd w:val="clear" w:color="auto" w:fill="auto"/>
            <w:vAlign w:val="bottom"/>
          </w:tcPr>
          <w:p w14:paraId="29ABB873" w14:textId="77777777" w:rsidR="005C5C6A" w:rsidRPr="00FF65D6" w:rsidRDefault="005C5C6A" w:rsidP="00C46F2F">
            <w:pPr>
              <w:spacing w:before="80" w:after="80" w:line="200" w:lineRule="exact"/>
              <w:ind w:right="113"/>
              <w:rPr>
                <w:i/>
                <w:sz w:val="16"/>
                <w:lang w:val="fr-FR"/>
              </w:rPr>
            </w:pPr>
            <w:r w:rsidRPr="00FF65D6">
              <w:rPr>
                <w:i/>
                <w:sz w:val="16"/>
                <w:lang w:val="fr-FR"/>
              </w:rPr>
              <w:t>Forme d</w:t>
            </w:r>
            <w:r w:rsidR="002127F6" w:rsidRPr="00FF65D6">
              <w:rPr>
                <w:i/>
                <w:sz w:val="16"/>
                <w:lang w:val="fr-FR"/>
              </w:rPr>
              <w:t>’</w:t>
            </w:r>
            <w:r w:rsidRPr="00FF65D6">
              <w:rPr>
                <w:i/>
                <w:sz w:val="16"/>
                <w:lang w:val="fr-FR"/>
              </w:rPr>
              <w:t>exploitation</w:t>
            </w:r>
          </w:p>
        </w:tc>
        <w:tc>
          <w:tcPr>
            <w:tcW w:w="1134" w:type="dxa"/>
            <w:tcBorders>
              <w:top w:val="single" w:sz="4" w:space="0" w:color="auto"/>
              <w:bottom w:val="single" w:sz="12" w:space="0" w:color="auto"/>
            </w:tcBorders>
            <w:shd w:val="clear" w:color="auto" w:fill="auto"/>
            <w:vAlign w:val="bottom"/>
          </w:tcPr>
          <w:p w14:paraId="3BCFE11B" w14:textId="77777777" w:rsidR="005C5C6A" w:rsidRPr="00FF65D6" w:rsidRDefault="005C5C6A" w:rsidP="00C46F2F">
            <w:pPr>
              <w:spacing w:before="80" w:after="80" w:line="200" w:lineRule="exact"/>
              <w:ind w:right="113"/>
              <w:rPr>
                <w:i/>
                <w:sz w:val="16"/>
                <w:lang w:val="fr-FR"/>
              </w:rPr>
            </w:pPr>
            <w:r w:rsidRPr="00FF65D6">
              <w:rPr>
                <w:i/>
                <w:sz w:val="16"/>
                <w:lang w:val="fr-FR"/>
              </w:rPr>
              <w:t>Âge</w:t>
            </w:r>
          </w:p>
        </w:tc>
        <w:tc>
          <w:tcPr>
            <w:tcW w:w="1416" w:type="dxa"/>
            <w:tcBorders>
              <w:top w:val="single" w:sz="4" w:space="0" w:color="auto"/>
              <w:bottom w:val="single" w:sz="12" w:space="0" w:color="auto"/>
            </w:tcBorders>
            <w:shd w:val="clear" w:color="auto" w:fill="auto"/>
            <w:vAlign w:val="bottom"/>
          </w:tcPr>
          <w:p w14:paraId="30FB8DAB" w14:textId="77777777" w:rsidR="005C5C6A" w:rsidRPr="00FF65D6" w:rsidRDefault="005C5C6A" w:rsidP="00C46F2F">
            <w:pPr>
              <w:spacing w:before="80" w:after="80" w:line="200" w:lineRule="exact"/>
              <w:ind w:right="113"/>
              <w:rPr>
                <w:i/>
                <w:sz w:val="16"/>
                <w:lang w:val="fr-FR"/>
              </w:rPr>
            </w:pPr>
            <w:r w:rsidRPr="00FF65D6">
              <w:rPr>
                <w:i/>
                <w:sz w:val="16"/>
                <w:lang w:val="fr-FR"/>
              </w:rPr>
              <w:t xml:space="preserve">Pays de destination </w:t>
            </w:r>
            <w:r w:rsidR="00937001">
              <w:rPr>
                <w:i/>
                <w:sz w:val="16"/>
                <w:lang w:val="fr-FR"/>
              </w:rPr>
              <w:br/>
            </w:r>
            <w:r w:rsidRPr="00FF65D6">
              <w:rPr>
                <w:i/>
                <w:sz w:val="16"/>
                <w:lang w:val="fr-FR"/>
              </w:rPr>
              <w:t>de l</w:t>
            </w:r>
            <w:r w:rsidR="002127F6" w:rsidRPr="00FF65D6">
              <w:rPr>
                <w:i/>
                <w:sz w:val="16"/>
                <w:lang w:val="fr-FR"/>
              </w:rPr>
              <w:t>’</w:t>
            </w:r>
            <w:r w:rsidRPr="00FF65D6">
              <w:rPr>
                <w:i/>
                <w:sz w:val="16"/>
                <w:lang w:val="fr-FR"/>
              </w:rPr>
              <w:t>exploitation</w:t>
            </w:r>
          </w:p>
        </w:tc>
      </w:tr>
      <w:tr w:rsidR="00C46F2F" w:rsidRPr="00FF65D6" w14:paraId="0DA2C76F" w14:textId="77777777" w:rsidTr="00937001">
        <w:trPr>
          <w:trHeight w:hRule="exact" w:val="113"/>
          <w:tblHeader/>
        </w:trPr>
        <w:tc>
          <w:tcPr>
            <w:tcW w:w="781" w:type="dxa"/>
            <w:tcBorders>
              <w:top w:val="single" w:sz="12" w:space="0" w:color="auto"/>
            </w:tcBorders>
            <w:shd w:val="clear" w:color="auto" w:fill="auto"/>
          </w:tcPr>
          <w:p w14:paraId="0D51FDD4" w14:textId="77777777" w:rsidR="00C46F2F" w:rsidRPr="00FF65D6" w:rsidRDefault="00C46F2F" w:rsidP="00C46F2F">
            <w:pPr>
              <w:spacing w:before="40" w:after="120"/>
              <w:ind w:right="113"/>
              <w:rPr>
                <w:lang w:val="fr-FR"/>
              </w:rPr>
            </w:pPr>
          </w:p>
        </w:tc>
        <w:tc>
          <w:tcPr>
            <w:tcW w:w="1204" w:type="dxa"/>
            <w:tcBorders>
              <w:top w:val="single" w:sz="12" w:space="0" w:color="auto"/>
            </w:tcBorders>
            <w:shd w:val="clear" w:color="auto" w:fill="auto"/>
          </w:tcPr>
          <w:p w14:paraId="1D836012" w14:textId="77777777" w:rsidR="00C46F2F" w:rsidRPr="00FF65D6" w:rsidRDefault="00C46F2F" w:rsidP="00C46F2F">
            <w:pPr>
              <w:spacing w:before="40" w:after="120"/>
              <w:ind w:right="113"/>
              <w:rPr>
                <w:lang w:val="fr-FR"/>
              </w:rPr>
            </w:pPr>
          </w:p>
        </w:tc>
        <w:tc>
          <w:tcPr>
            <w:tcW w:w="992" w:type="dxa"/>
            <w:tcBorders>
              <w:top w:val="single" w:sz="12" w:space="0" w:color="auto"/>
            </w:tcBorders>
            <w:shd w:val="clear" w:color="auto" w:fill="auto"/>
          </w:tcPr>
          <w:p w14:paraId="540952E7" w14:textId="77777777" w:rsidR="00C46F2F" w:rsidRPr="00FF65D6" w:rsidRDefault="00C46F2F" w:rsidP="00C46F2F">
            <w:pPr>
              <w:spacing w:before="40" w:after="120"/>
              <w:ind w:right="113"/>
              <w:rPr>
                <w:lang w:val="fr-FR"/>
              </w:rPr>
            </w:pPr>
          </w:p>
        </w:tc>
        <w:tc>
          <w:tcPr>
            <w:tcW w:w="1843" w:type="dxa"/>
            <w:tcBorders>
              <w:top w:val="single" w:sz="12" w:space="0" w:color="auto"/>
            </w:tcBorders>
            <w:shd w:val="clear" w:color="auto" w:fill="auto"/>
          </w:tcPr>
          <w:p w14:paraId="04BE42E3" w14:textId="77777777" w:rsidR="00C46F2F" w:rsidRPr="00FF65D6" w:rsidRDefault="00C46F2F" w:rsidP="00C46F2F">
            <w:pPr>
              <w:spacing w:before="40" w:after="120"/>
              <w:ind w:right="113"/>
              <w:rPr>
                <w:lang w:val="fr-FR"/>
              </w:rPr>
            </w:pPr>
          </w:p>
        </w:tc>
        <w:tc>
          <w:tcPr>
            <w:tcW w:w="1134" w:type="dxa"/>
            <w:tcBorders>
              <w:top w:val="single" w:sz="12" w:space="0" w:color="auto"/>
            </w:tcBorders>
            <w:shd w:val="clear" w:color="auto" w:fill="auto"/>
          </w:tcPr>
          <w:p w14:paraId="12189F36" w14:textId="77777777" w:rsidR="00C46F2F" w:rsidRPr="00FF65D6" w:rsidRDefault="00C46F2F" w:rsidP="00C46F2F">
            <w:pPr>
              <w:spacing w:before="40" w:after="120"/>
              <w:ind w:right="113"/>
              <w:rPr>
                <w:lang w:val="fr-FR"/>
              </w:rPr>
            </w:pPr>
          </w:p>
        </w:tc>
        <w:tc>
          <w:tcPr>
            <w:tcW w:w="1416" w:type="dxa"/>
            <w:tcBorders>
              <w:top w:val="single" w:sz="12" w:space="0" w:color="auto"/>
            </w:tcBorders>
            <w:shd w:val="clear" w:color="auto" w:fill="auto"/>
          </w:tcPr>
          <w:p w14:paraId="55A09C8E" w14:textId="77777777" w:rsidR="00C46F2F" w:rsidRPr="00FF65D6" w:rsidRDefault="00C46F2F" w:rsidP="00C46F2F">
            <w:pPr>
              <w:spacing w:before="40" w:after="120"/>
              <w:ind w:right="113"/>
              <w:rPr>
                <w:lang w:val="fr-FR"/>
              </w:rPr>
            </w:pPr>
          </w:p>
        </w:tc>
      </w:tr>
      <w:tr w:rsidR="005C5C6A" w:rsidRPr="00FF65D6" w14:paraId="6C49A07F" w14:textId="77777777" w:rsidTr="00937001">
        <w:tc>
          <w:tcPr>
            <w:tcW w:w="781" w:type="dxa"/>
            <w:shd w:val="clear" w:color="auto" w:fill="auto"/>
          </w:tcPr>
          <w:p w14:paraId="38C9AA9E" w14:textId="77777777" w:rsidR="005C5C6A" w:rsidRPr="00FF65D6" w:rsidRDefault="005C5C6A" w:rsidP="00C46F2F">
            <w:pPr>
              <w:spacing w:before="40" w:after="120"/>
              <w:ind w:right="113"/>
              <w:rPr>
                <w:lang w:val="fr-FR"/>
              </w:rPr>
            </w:pPr>
            <w:r w:rsidRPr="00FF65D6">
              <w:rPr>
                <w:lang w:val="fr-FR"/>
              </w:rPr>
              <w:t>2013</w:t>
            </w:r>
          </w:p>
        </w:tc>
        <w:tc>
          <w:tcPr>
            <w:tcW w:w="1204" w:type="dxa"/>
            <w:shd w:val="clear" w:color="auto" w:fill="auto"/>
          </w:tcPr>
          <w:p w14:paraId="2BA33934" w14:textId="77777777" w:rsidR="005C5C6A" w:rsidRPr="00FF65D6" w:rsidRDefault="00661E6F" w:rsidP="00C46F2F">
            <w:pPr>
              <w:spacing w:before="40" w:after="120"/>
              <w:ind w:right="113"/>
              <w:rPr>
                <w:lang w:val="fr-FR"/>
              </w:rPr>
            </w:pPr>
            <w:r w:rsidRPr="00FF65D6">
              <w:rPr>
                <w:lang w:val="fr-FR"/>
              </w:rPr>
              <w:t>géorgienne</w:t>
            </w:r>
          </w:p>
        </w:tc>
        <w:tc>
          <w:tcPr>
            <w:tcW w:w="992" w:type="dxa"/>
            <w:shd w:val="clear" w:color="auto" w:fill="auto"/>
          </w:tcPr>
          <w:p w14:paraId="2FD65682" w14:textId="77777777" w:rsidR="005C5C6A" w:rsidRPr="00FF65D6" w:rsidRDefault="005C5C6A" w:rsidP="00C46F2F">
            <w:pPr>
              <w:spacing w:before="40" w:after="120"/>
              <w:ind w:right="113"/>
              <w:rPr>
                <w:lang w:val="fr-FR"/>
              </w:rPr>
            </w:pPr>
            <w:r w:rsidRPr="00FF65D6">
              <w:rPr>
                <w:lang w:val="fr-FR"/>
              </w:rPr>
              <w:t>féminin</w:t>
            </w:r>
          </w:p>
        </w:tc>
        <w:tc>
          <w:tcPr>
            <w:tcW w:w="1843" w:type="dxa"/>
            <w:shd w:val="clear" w:color="auto" w:fill="auto"/>
          </w:tcPr>
          <w:p w14:paraId="4CC1922A" w14:textId="77777777" w:rsidR="005C5C6A" w:rsidRPr="00FF65D6" w:rsidRDefault="005C5C6A" w:rsidP="00C46F2F">
            <w:pPr>
              <w:spacing w:before="40" w:after="120"/>
              <w:ind w:right="113"/>
              <w:rPr>
                <w:lang w:val="fr-FR"/>
              </w:rPr>
            </w:pPr>
            <w:r w:rsidRPr="00FF65D6">
              <w:rPr>
                <w:lang w:val="fr-FR"/>
              </w:rPr>
              <w:t>sexuelle</w:t>
            </w:r>
          </w:p>
        </w:tc>
        <w:tc>
          <w:tcPr>
            <w:tcW w:w="1134" w:type="dxa"/>
            <w:shd w:val="clear" w:color="auto" w:fill="auto"/>
          </w:tcPr>
          <w:p w14:paraId="39114666" w14:textId="77777777" w:rsidR="005C5C6A" w:rsidRPr="00FF65D6" w:rsidRDefault="005C5C6A" w:rsidP="00C46F2F">
            <w:pPr>
              <w:spacing w:before="40" w:after="120"/>
              <w:ind w:right="113"/>
              <w:rPr>
                <w:lang w:val="fr-FR"/>
              </w:rPr>
            </w:pPr>
            <w:r w:rsidRPr="00FF65D6">
              <w:rPr>
                <w:lang w:val="fr-FR"/>
              </w:rPr>
              <w:t>12</w:t>
            </w:r>
          </w:p>
        </w:tc>
        <w:tc>
          <w:tcPr>
            <w:tcW w:w="1416" w:type="dxa"/>
            <w:shd w:val="clear" w:color="auto" w:fill="auto"/>
          </w:tcPr>
          <w:p w14:paraId="66C69B88" w14:textId="77777777" w:rsidR="005C5C6A" w:rsidRPr="00FF65D6" w:rsidRDefault="005C5C6A" w:rsidP="00C46F2F">
            <w:pPr>
              <w:spacing w:before="40" w:after="120"/>
              <w:ind w:right="113"/>
              <w:rPr>
                <w:lang w:val="fr-FR"/>
              </w:rPr>
            </w:pPr>
            <w:r w:rsidRPr="00FF65D6">
              <w:rPr>
                <w:lang w:val="fr-FR"/>
              </w:rPr>
              <w:t>Géorgie</w:t>
            </w:r>
          </w:p>
        </w:tc>
      </w:tr>
      <w:tr w:rsidR="005C5C6A" w:rsidRPr="00FF65D6" w14:paraId="0850770D" w14:textId="77777777" w:rsidTr="00937001">
        <w:tc>
          <w:tcPr>
            <w:tcW w:w="781" w:type="dxa"/>
            <w:shd w:val="clear" w:color="auto" w:fill="auto"/>
          </w:tcPr>
          <w:p w14:paraId="5F9F1E26" w14:textId="77777777" w:rsidR="005C5C6A" w:rsidRPr="00FF65D6" w:rsidRDefault="005C5C6A" w:rsidP="00C46F2F">
            <w:pPr>
              <w:spacing w:before="40" w:after="120"/>
              <w:ind w:right="113"/>
              <w:rPr>
                <w:lang w:val="fr-FR"/>
              </w:rPr>
            </w:pPr>
            <w:r w:rsidRPr="00FF65D6">
              <w:rPr>
                <w:lang w:val="fr-FR"/>
              </w:rPr>
              <w:t>2014</w:t>
            </w:r>
          </w:p>
        </w:tc>
        <w:tc>
          <w:tcPr>
            <w:tcW w:w="1204" w:type="dxa"/>
            <w:shd w:val="clear" w:color="auto" w:fill="auto"/>
          </w:tcPr>
          <w:p w14:paraId="765474F0" w14:textId="77777777" w:rsidR="005C5C6A" w:rsidRPr="00FF65D6" w:rsidRDefault="00661E6F" w:rsidP="00C46F2F">
            <w:pPr>
              <w:spacing w:before="40" w:after="120"/>
              <w:ind w:right="113"/>
              <w:rPr>
                <w:lang w:val="fr-FR"/>
              </w:rPr>
            </w:pPr>
            <w:r w:rsidRPr="00FF65D6">
              <w:rPr>
                <w:lang w:val="fr-FR"/>
              </w:rPr>
              <w:t>kirghize</w:t>
            </w:r>
          </w:p>
        </w:tc>
        <w:tc>
          <w:tcPr>
            <w:tcW w:w="992" w:type="dxa"/>
            <w:shd w:val="clear" w:color="auto" w:fill="auto"/>
          </w:tcPr>
          <w:p w14:paraId="211712ED" w14:textId="77777777" w:rsidR="005C5C6A" w:rsidRPr="00FF65D6" w:rsidRDefault="005C5C6A" w:rsidP="00C46F2F">
            <w:pPr>
              <w:spacing w:before="40" w:after="120"/>
              <w:ind w:right="113"/>
              <w:rPr>
                <w:lang w:val="fr-FR"/>
              </w:rPr>
            </w:pPr>
            <w:r w:rsidRPr="00FF65D6">
              <w:rPr>
                <w:lang w:val="fr-FR"/>
              </w:rPr>
              <w:t>féminin</w:t>
            </w:r>
          </w:p>
        </w:tc>
        <w:tc>
          <w:tcPr>
            <w:tcW w:w="1843" w:type="dxa"/>
            <w:shd w:val="clear" w:color="auto" w:fill="auto"/>
          </w:tcPr>
          <w:p w14:paraId="0D3DCBC4" w14:textId="77777777" w:rsidR="005C5C6A" w:rsidRPr="00FF65D6" w:rsidRDefault="005C5C6A" w:rsidP="00C46F2F">
            <w:pPr>
              <w:spacing w:before="40" w:after="120"/>
              <w:ind w:right="113"/>
              <w:rPr>
                <w:lang w:val="fr-FR"/>
              </w:rPr>
            </w:pPr>
            <w:r w:rsidRPr="00FF65D6">
              <w:rPr>
                <w:lang w:val="fr-FR"/>
              </w:rPr>
              <w:t>sexuelle</w:t>
            </w:r>
          </w:p>
        </w:tc>
        <w:tc>
          <w:tcPr>
            <w:tcW w:w="1134" w:type="dxa"/>
            <w:shd w:val="clear" w:color="auto" w:fill="auto"/>
          </w:tcPr>
          <w:p w14:paraId="16BEE47D" w14:textId="77777777" w:rsidR="005C5C6A" w:rsidRPr="00FF65D6" w:rsidRDefault="005C5C6A" w:rsidP="00C46F2F">
            <w:pPr>
              <w:spacing w:before="40" w:after="120"/>
              <w:ind w:right="113"/>
              <w:rPr>
                <w:lang w:val="fr-FR"/>
              </w:rPr>
            </w:pPr>
            <w:r w:rsidRPr="00FF65D6">
              <w:rPr>
                <w:lang w:val="fr-FR"/>
              </w:rPr>
              <w:t>17</w:t>
            </w:r>
          </w:p>
        </w:tc>
        <w:tc>
          <w:tcPr>
            <w:tcW w:w="1416" w:type="dxa"/>
            <w:shd w:val="clear" w:color="auto" w:fill="auto"/>
          </w:tcPr>
          <w:p w14:paraId="3450516C" w14:textId="77777777" w:rsidR="005C5C6A" w:rsidRPr="00FF65D6" w:rsidRDefault="005C5C6A" w:rsidP="00C46F2F">
            <w:pPr>
              <w:spacing w:before="40" w:after="120"/>
              <w:ind w:right="113"/>
              <w:rPr>
                <w:lang w:val="fr-FR"/>
              </w:rPr>
            </w:pPr>
            <w:r w:rsidRPr="00FF65D6">
              <w:rPr>
                <w:lang w:val="fr-FR"/>
              </w:rPr>
              <w:t>Géorgie</w:t>
            </w:r>
          </w:p>
        </w:tc>
      </w:tr>
      <w:tr w:rsidR="005C5C6A" w:rsidRPr="00FF65D6" w14:paraId="414581F7" w14:textId="77777777" w:rsidTr="00937001">
        <w:tc>
          <w:tcPr>
            <w:tcW w:w="781" w:type="dxa"/>
            <w:tcBorders>
              <w:bottom w:val="single" w:sz="12" w:space="0" w:color="auto"/>
            </w:tcBorders>
            <w:shd w:val="clear" w:color="auto" w:fill="auto"/>
          </w:tcPr>
          <w:p w14:paraId="11F3E6E5" w14:textId="77777777" w:rsidR="005C5C6A" w:rsidRPr="00FF65D6" w:rsidRDefault="005C5C6A" w:rsidP="00C46F2F">
            <w:pPr>
              <w:spacing w:before="40" w:after="120"/>
              <w:ind w:right="113"/>
              <w:rPr>
                <w:lang w:val="fr-FR"/>
              </w:rPr>
            </w:pPr>
            <w:r w:rsidRPr="00FF65D6">
              <w:rPr>
                <w:lang w:val="fr-FR"/>
              </w:rPr>
              <w:t>2015</w:t>
            </w:r>
          </w:p>
        </w:tc>
        <w:tc>
          <w:tcPr>
            <w:tcW w:w="1204" w:type="dxa"/>
            <w:tcBorders>
              <w:bottom w:val="single" w:sz="12" w:space="0" w:color="auto"/>
            </w:tcBorders>
            <w:shd w:val="clear" w:color="auto" w:fill="auto"/>
          </w:tcPr>
          <w:p w14:paraId="54EDA95F" w14:textId="77777777" w:rsidR="005C5C6A" w:rsidRPr="00FF65D6" w:rsidRDefault="00661E6F" w:rsidP="00C46F2F">
            <w:pPr>
              <w:spacing w:before="40" w:after="120"/>
              <w:ind w:right="113"/>
              <w:rPr>
                <w:lang w:val="fr-FR"/>
              </w:rPr>
            </w:pPr>
            <w:r w:rsidRPr="00FF65D6">
              <w:rPr>
                <w:lang w:val="fr-FR"/>
              </w:rPr>
              <w:t>géorgienne</w:t>
            </w:r>
          </w:p>
        </w:tc>
        <w:tc>
          <w:tcPr>
            <w:tcW w:w="992" w:type="dxa"/>
            <w:tcBorders>
              <w:bottom w:val="single" w:sz="12" w:space="0" w:color="auto"/>
            </w:tcBorders>
            <w:shd w:val="clear" w:color="auto" w:fill="auto"/>
          </w:tcPr>
          <w:p w14:paraId="3C87749C" w14:textId="77777777" w:rsidR="005C5C6A" w:rsidRPr="00FF65D6" w:rsidRDefault="005C5C6A" w:rsidP="00C46F2F">
            <w:pPr>
              <w:spacing w:before="40" w:after="120"/>
              <w:ind w:right="113"/>
              <w:rPr>
                <w:lang w:val="fr-FR"/>
              </w:rPr>
            </w:pPr>
            <w:r w:rsidRPr="00FF65D6">
              <w:rPr>
                <w:lang w:val="fr-FR"/>
              </w:rPr>
              <w:t>féminin</w:t>
            </w:r>
          </w:p>
        </w:tc>
        <w:tc>
          <w:tcPr>
            <w:tcW w:w="1843" w:type="dxa"/>
            <w:tcBorders>
              <w:bottom w:val="single" w:sz="12" w:space="0" w:color="auto"/>
            </w:tcBorders>
            <w:shd w:val="clear" w:color="auto" w:fill="auto"/>
          </w:tcPr>
          <w:p w14:paraId="33914902" w14:textId="77777777" w:rsidR="005C5C6A" w:rsidRPr="00FF65D6" w:rsidRDefault="005C5C6A" w:rsidP="00C46F2F">
            <w:pPr>
              <w:spacing w:before="40" w:after="120"/>
              <w:ind w:right="113"/>
              <w:rPr>
                <w:lang w:val="fr-FR"/>
              </w:rPr>
            </w:pPr>
            <w:r w:rsidRPr="00FF65D6">
              <w:rPr>
                <w:lang w:val="fr-FR"/>
              </w:rPr>
              <w:t>achat et vente de mineurs</w:t>
            </w:r>
          </w:p>
        </w:tc>
        <w:tc>
          <w:tcPr>
            <w:tcW w:w="1134" w:type="dxa"/>
            <w:tcBorders>
              <w:bottom w:val="single" w:sz="12" w:space="0" w:color="auto"/>
            </w:tcBorders>
            <w:shd w:val="clear" w:color="auto" w:fill="auto"/>
          </w:tcPr>
          <w:p w14:paraId="67AA9E60" w14:textId="77777777" w:rsidR="005C5C6A" w:rsidRPr="0002014D" w:rsidRDefault="005C5C6A" w:rsidP="00C46F2F">
            <w:pPr>
              <w:spacing w:before="40" w:after="120"/>
              <w:ind w:right="113"/>
              <w:rPr>
                <w:spacing w:val="-4"/>
                <w:lang w:val="fr-FR"/>
              </w:rPr>
            </w:pPr>
            <w:r w:rsidRPr="0002014D">
              <w:rPr>
                <w:spacing w:val="-4"/>
                <w:lang w:val="fr-FR"/>
              </w:rPr>
              <w:t>2 nourrissons</w:t>
            </w:r>
          </w:p>
        </w:tc>
        <w:tc>
          <w:tcPr>
            <w:tcW w:w="1416" w:type="dxa"/>
            <w:tcBorders>
              <w:bottom w:val="single" w:sz="12" w:space="0" w:color="auto"/>
            </w:tcBorders>
            <w:shd w:val="clear" w:color="auto" w:fill="auto"/>
          </w:tcPr>
          <w:p w14:paraId="178AC21D" w14:textId="77777777" w:rsidR="005C5C6A" w:rsidRPr="00FF65D6" w:rsidRDefault="005C5C6A" w:rsidP="00C46F2F">
            <w:pPr>
              <w:spacing w:before="40" w:after="120"/>
              <w:ind w:right="113"/>
              <w:rPr>
                <w:lang w:val="fr-FR"/>
              </w:rPr>
            </w:pPr>
            <w:r w:rsidRPr="00FF65D6">
              <w:rPr>
                <w:lang w:val="fr-FR"/>
              </w:rPr>
              <w:t>Géorgie</w:t>
            </w:r>
          </w:p>
        </w:tc>
      </w:tr>
    </w:tbl>
    <w:p w14:paraId="2297B9BF" w14:textId="77777777" w:rsidR="005C5C6A" w:rsidRPr="00FF65D6" w:rsidRDefault="005C5C6A" w:rsidP="00AD631E">
      <w:pPr>
        <w:pStyle w:val="H23G"/>
        <w:rPr>
          <w:lang w:val="fr-FR"/>
        </w:rPr>
      </w:pPr>
      <w:r w:rsidRPr="00FF65D6">
        <w:rPr>
          <w:lang w:val="fr-FR"/>
        </w:rPr>
        <w:tab/>
      </w:r>
      <w:r w:rsidRPr="00FF65D6">
        <w:rPr>
          <w:lang w:val="fr-FR"/>
        </w:rPr>
        <w:tab/>
        <w:t>Centre d</w:t>
      </w:r>
      <w:r w:rsidR="002127F6" w:rsidRPr="00FF65D6">
        <w:rPr>
          <w:lang w:val="fr-FR"/>
        </w:rPr>
        <w:t>’</w:t>
      </w:r>
      <w:r w:rsidRPr="00FF65D6">
        <w:rPr>
          <w:lang w:val="fr-FR"/>
        </w:rPr>
        <w:t>hébergement à Tbilissi pour les victimes de la traite des êtres humains</w:t>
      </w:r>
    </w:p>
    <w:p w14:paraId="31BDA622" w14:textId="77777777" w:rsidR="005C5C6A" w:rsidRPr="00FF65D6" w:rsidRDefault="005C5C6A" w:rsidP="00AD631E">
      <w:pPr>
        <w:pStyle w:val="SingleTxtG"/>
        <w:keepNext/>
        <w:rPr>
          <w:lang w:val="fr-FR"/>
        </w:rPr>
      </w:pPr>
      <w:r w:rsidRPr="00FF65D6">
        <w:rPr>
          <w:lang w:val="fr-FR"/>
        </w:rPr>
        <w:t>206</w:t>
      </w:r>
      <w:r w:rsidR="005C1799" w:rsidRPr="005C1799">
        <w:rPr>
          <w:lang w:val="fr-FR"/>
        </w:rPr>
        <w:t>.</w:t>
      </w:r>
      <w:r w:rsidRPr="00FF65D6">
        <w:rPr>
          <w:lang w:val="fr-FR"/>
        </w:rPr>
        <w:tab/>
        <w:t xml:space="preserve">Une bénéficiaire </w:t>
      </w:r>
      <w:r w:rsidR="00C46F2F" w:rsidRPr="00FF65D6">
        <w:rPr>
          <w:lang w:val="fr-FR"/>
        </w:rPr>
        <w:t>− </w:t>
      </w:r>
      <w:r w:rsidRPr="00FF65D6">
        <w:rPr>
          <w:lang w:val="fr-FR"/>
        </w:rPr>
        <w:t>de sexe féminin, âgée de 12 ans, géorgienne, de nationalité géorgienne, mineure victime d</w:t>
      </w:r>
      <w:r w:rsidR="002127F6" w:rsidRPr="00FF65D6">
        <w:rPr>
          <w:lang w:val="fr-FR"/>
        </w:rPr>
        <w:t>’</w:t>
      </w:r>
      <w:r w:rsidRPr="00FF65D6">
        <w:rPr>
          <w:lang w:val="fr-FR"/>
        </w:rPr>
        <w:t>exploitation sexuelle (nature de l</w:t>
      </w:r>
      <w:r w:rsidR="002127F6" w:rsidRPr="00FF65D6">
        <w:rPr>
          <w:lang w:val="fr-FR"/>
        </w:rPr>
        <w:t>’</w:t>
      </w:r>
      <w:r w:rsidRPr="00FF65D6">
        <w:rPr>
          <w:lang w:val="fr-FR"/>
        </w:rPr>
        <w:t>infraction</w:t>
      </w:r>
      <w:r w:rsidR="003B7618" w:rsidRPr="00FF65D6">
        <w:rPr>
          <w:lang w:val="fr-FR"/>
        </w:rPr>
        <w:t> :</w:t>
      </w:r>
      <w:r w:rsidRPr="00FF65D6">
        <w:rPr>
          <w:lang w:val="fr-FR"/>
        </w:rPr>
        <w:t xml:space="preserve"> pornographie mettant en scène des enfants</w:t>
      </w:r>
      <w:r w:rsidR="00C46F2F" w:rsidRPr="00FF65D6">
        <w:rPr>
          <w:lang w:val="fr-FR"/>
        </w:rPr>
        <w:t> −</w:t>
      </w:r>
      <w:r w:rsidRPr="00FF65D6">
        <w:rPr>
          <w:lang w:val="fr-FR"/>
        </w:rPr>
        <w:t xml:space="preserve"> photographies et enregistrements vidéo diffusés sur des sites Internet)</w:t>
      </w:r>
      <w:r w:rsidR="005C1799" w:rsidRPr="005C1799">
        <w:rPr>
          <w:lang w:val="fr-FR"/>
        </w:rPr>
        <w:t>.</w:t>
      </w:r>
      <w:r w:rsidRPr="00FF65D6">
        <w:rPr>
          <w:lang w:val="fr-FR"/>
        </w:rPr>
        <w:t xml:space="preserve"> La victime mineure a été placée au centre d</w:t>
      </w:r>
      <w:r w:rsidR="002127F6" w:rsidRPr="00FF65D6">
        <w:rPr>
          <w:lang w:val="fr-FR"/>
        </w:rPr>
        <w:t>’</w:t>
      </w:r>
      <w:r w:rsidRPr="00FF65D6">
        <w:rPr>
          <w:lang w:val="fr-FR"/>
        </w:rPr>
        <w:t>accueil du Fonds national aux fins de protection, d</w:t>
      </w:r>
      <w:r w:rsidR="002127F6" w:rsidRPr="00FF65D6">
        <w:rPr>
          <w:lang w:val="fr-FR"/>
        </w:rPr>
        <w:t>’</w:t>
      </w:r>
      <w:r w:rsidRPr="00FF65D6">
        <w:rPr>
          <w:lang w:val="fr-FR"/>
        </w:rPr>
        <w:t>aide et de réadaptation</w:t>
      </w:r>
      <w:r w:rsidR="005C1799" w:rsidRPr="005C1799">
        <w:rPr>
          <w:lang w:val="fr-FR"/>
        </w:rPr>
        <w:t>.</w:t>
      </w:r>
      <w:r w:rsidRPr="00FF65D6">
        <w:rPr>
          <w:lang w:val="fr-FR"/>
        </w:rPr>
        <w:t xml:space="preserve"> Elle y a vécu pendant </w:t>
      </w:r>
      <w:r w:rsidR="003B7618" w:rsidRPr="00FF65D6">
        <w:rPr>
          <w:lang w:val="fr-FR"/>
        </w:rPr>
        <w:t>neuf</w:t>
      </w:r>
      <w:r w:rsidRPr="00FF65D6">
        <w:rPr>
          <w:lang w:val="fr-FR"/>
        </w:rPr>
        <w:t xml:space="preserve"> mois et a bénéficié des services ci-après</w:t>
      </w:r>
      <w:r w:rsidR="003B7618" w:rsidRPr="00FF65D6">
        <w:rPr>
          <w:lang w:val="fr-FR"/>
        </w:rPr>
        <w:t> :</w:t>
      </w:r>
      <w:r w:rsidRPr="00FF65D6">
        <w:rPr>
          <w:lang w:val="fr-FR"/>
        </w:rPr>
        <w:t xml:space="preserve"> </w:t>
      </w:r>
    </w:p>
    <w:p w14:paraId="539B46B5" w14:textId="77777777" w:rsidR="005C5C6A" w:rsidRPr="00FF65D6" w:rsidRDefault="005C5C6A" w:rsidP="003B7618">
      <w:pPr>
        <w:pStyle w:val="Bullet1G"/>
        <w:rPr>
          <w:lang w:val="fr-FR"/>
        </w:rPr>
      </w:pPr>
      <w:r w:rsidRPr="00FF65D6">
        <w:rPr>
          <w:u w:val="single"/>
          <w:lang w:val="fr-FR"/>
        </w:rPr>
        <w:t>Aide psychologique</w:t>
      </w:r>
      <w:r w:rsidR="003B7618" w:rsidRPr="00FF65D6">
        <w:rPr>
          <w:lang w:val="fr-FR"/>
        </w:rPr>
        <w:t> :</w:t>
      </w:r>
      <w:r w:rsidRPr="00FF65D6">
        <w:rPr>
          <w:lang w:val="fr-FR"/>
        </w:rPr>
        <w:t xml:space="preserve"> consultations privées et réadaptation</w:t>
      </w:r>
      <w:r w:rsidR="003B7618" w:rsidRPr="00FF65D6">
        <w:rPr>
          <w:lang w:val="fr-FR"/>
        </w:rPr>
        <w:t> ;</w:t>
      </w:r>
      <w:r w:rsidRPr="00FF65D6">
        <w:rPr>
          <w:lang w:val="fr-FR"/>
        </w:rPr>
        <w:t xml:space="preserve"> </w:t>
      </w:r>
    </w:p>
    <w:p w14:paraId="06F47E3A" w14:textId="77777777" w:rsidR="005C5C6A" w:rsidRPr="00FF65D6" w:rsidRDefault="005C5C6A" w:rsidP="003B7618">
      <w:pPr>
        <w:pStyle w:val="Bullet1G"/>
        <w:rPr>
          <w:lang w:val="fr-FR"/>
        </w:rPr>
      </w:pPr>
      <w:r w:rsidRPr="00FF65D6">
        <w:rPr>
          <w:u w:val="single"/>
          <w:lang w:val="fr-FR"/>
        </w:rPr>
        <w:t>Aide juridictionnelle</w:t>
      </w:r>
      <w:r w:rsidR="003B7618" w:rsidRPr="00FF65D6">
        <w:rPr>
          <w:lang w:val="fr-FR"/>
        </w:rPr>
        <w:t> :</w:t>
      </w:r>
      <w:r w:rsidRPr="00FF65D6">
        <w:rPr>
          <w:lang w:val="fr-FR"/>
        </w:rPr>
        <w:t xml:space="preserve"> un psychologue du centre d</w:t>
      </w:r>
      <w:r w:rsidR="002127F6" w:rsidRPr="00FF65D6">
        <w:rPr>
          <w:lang w:val="fr-FR"/>
        </w:rPr>
        <w:t>’</w:t>
      </w:r>
      <w:r w:rsidRPr="00FF65D6">
        <w:rPr>
          <w:lang w:val="fr-FR"/>
        </w:rPr>
        <w:t>hébergement a participé à la procédure d</w:t>
      </w:r>
      <w:r w:rsidR="002127F6" w:rsidRPr="00FF65D6">
        <w:rPr>
          <w:lang w:val="fr-FR"/>
        </w:rPr>
        <w:t>’</w:t>
      </w:r>
      <w:r w:rsidRPr="00FF65D6">
        <w:rPr>
          <w:lang w:val="fr-FR"/>
        </w:rPr>
        <w:t>enquête</w:t>
      </w:r>
      <w:r w:rsidR="005C1799" w:rsidRPr="005C1799">
        <w:rPr>
          <w:lang w:val="fr-FR"/>
        </w:rPr>
        <w:t>.</w:t>
      </w:r>
      <w:r w:rsidRPr="00FF65D6">
        <w:rPr>
          <w:lang w:val="fr-FR"/>
        </w:rPr>
        <w:t xml:space="preserve"> De plus, le Fonds a établi tous les documents nécessaires pour nommer un tuteur</w:t>
      </w:r>
      <w:r w:rsidR="003B7618" w:rsidRPr="00FF65D6">
        <w:rPr>
          <w:lang w:val="fr-FR"/>
        </w:rPr>
        <w:t> ;</w:t>
      </w:r>
      <w:r w:rsidRPr="00FF65D6">
        <w:rPr>
          <w:lang w:val="fr-FR"/>
        </w:rPr>
        <w:t xml:space="preserve"> </w:t>
      </w:r>
    </w:p>
    <w:p w14:paraId="6C9B1CD5" w14:textId="77777777" w:rsidR="005C5C6A" w:rsidRPr="00FF65D6" w:rsidRDefault="005C5C6A" w:rsidP="003B7618">
      <w:pPr>
        <w:pStyle w:val="Bullet1G"/>
        <w:rPr>
          <w:lang w:val="fr-FR"/>
        </w:rPr>
      </w:pPr>
      <w:r w:rsidRPr="00FF65D6">
        <w:rPr>
          <w:u w:val="single"/>
          <w:lang w:val="fr-FR"/>
        </w:rPr>
        <w:t>Aide médicale</w:t>
      </w:r>
      <w:r w:rsidR="003B7618" w:rsidRPr="00FF65D6">
        <w:rPr>
          <w:lang w:val="fr-FR"/>
        </w:rPr>
        <w:t> :</w:t>
      </w:r>
      <w:r w:rsidRPr="00FF65D6">
        <w:rPr>
          <w:lang w:val="fr-FR"/>
        </w:rPr>
        <w:t xml:space="preserve"> Un diagnostic de l</w:t>
      </w:r>
      <w:r w:rsidR="002127F6" w:rsidRPr="00FF65D6">
        <w:rPr>
          <w:lang w:val="fr-FR"/>
        </w:rPr>
        <w:t>’</w:t>
      </w:r>
      <w:r w:rsidRPr="00FF65D6">
        <w:rPr>
          <w:lang w:val="fr-FR"/>
        </w:rPr>
        <w:t>état de santé de la mineure a été effectué</w:t>
      </w:r>
      <w:r w:rsidR="003B7618" w:rsidRPr="00FF65D6">
        <w:rPr>
          <w:lang w:val="fr-FR"/>
        </w:rPr>
        <w:t> ;</w:t>
      </w:r>
      <w:r w:rsidRPr="00FF65D6">
        <w:rPr>
          <w:lang w:val="fr-FR"/>
        </w:rPr>
        <w:t xml:space="preserve"> les besoins médicaux ont été établis et des médicaments lui ont été dispensés</w:t>
      </w:r>
      <w:r w:rsidR="003B7618" w:rsidRPr="00FF65D6">
        <w:rPr>
          <w:lang w:val="fr-FR"/>
        </w:rPr>
        <w:t> ;</w:t>
      </w:r>
    </w:p>
    <w:p w14:paraId="15AE0633" w14:textId="77777777" w:rsidR="005C5C6A" w:rsidRPr="00FF65D6" w:rsidRDefault="005C5C6A" w:rsidP="003B7618">
      <w:pPr>
        <w:pStyle w:val="Bullet1G"/>
        <w:rPr>
          <w:lang w:val="fr-FR"/>
        </w:rPr>
      </w:pPr>
      <w:r w:rsidRPr="00FF65D6">
        <w:rPr>
          <w:u w:val="single"/>
          <w:lang w:val="fr-FR"/>
        </w:rPr>
        <w:t>Aide visant à apporter une solution aux problèmes sociaux</w:t>
      </w:r>
      <w:r w:rsidR="003B7618" w:rsidRPr="00FF65D6">
        <w:rPr>
          <w:lang w:val="fr-FR"/>
        </w:rPr>
        <w:t> :</w:t>
      </w:r>
      <w:r w:rsidRPr="00FF65D6">
        <w:rPr>
          <w:lang w:val="fr-FR"/>
        </w:rPr>
        <w:t xml:space="preserve"> après avoir quitté le centre, la mineure a été transférée au domicile du tuteur</w:t>
      </w:r>
      <w:r w:rsidR="005C1799" w:rsidRPr="005C1799">
        <w:rPr>
          <w:lang w:val="fr-FR"/>
        </w:rPr>
        <w:t>.</w:t>
      </w:r>
      <w:r w:rsidRPr="00FF65D6">
        <w:rPr>
          <w:lang w:val="fr-FR"/>
        </w:rPr>
        <w:t xml:space="preserve"> Le Fonds national l</w:t>
      </w:r>
      <w:r w:rsidR="002127F6" w:rsidRPr="00FF65D6">
        <w:rPr>
          <w:lang w:val="fr-FR"/>
        </w:rPr>
        <w:t>’</w:t>
      </w:r>
      <w:r w:rsidRPr="00FF65D6">
        <w:rPr>
          <w:lang w:val="fr-FR"/>
        </w:rPr>
        <w:t>a aidée à obtenir une éducation non formelle au centre d</w:t>
      </w:r>
      <w:r w:rsidR="002127F6" w:rsidRPr="00FF65D6">
        <w:rPr>
          <w:lang w:val="fr-FR"/>
        </w:rPr>
        <w:t>’</w:t>
      </w:r>
      <w:r w:rsidRPr="00FF65D6">
        <w:rPr>
          <w:lang w:val="fr-FR"/>
        </w:rPr>
        <w:t>hébergement, ce qui l</w:t>
      </w:r>
      <w:r w:rsidR="002127F6" w:rsidRPr="00FF65D6">
        <w:rPr>
          <w:lang w:val="fr-FR"/>
        </w:rPr>
        <w:t>’</w:t>
      </w:r>
      <w:r w:rsidRPr="00FF65D6">
        <w:rPr>
          <w:lang w:val="fr-FR"/>
        </w:rPr>
        <w:t>a aidée ensuite à entrer à l</w:t>
      </w:r>
      <w:r w:rsidR="002127F6" w:rsidRPr="00FF65D6">
        <w:rPr>
          <w:lang w:val="fr-FR"/>
        </w:rPr>
        <w:t>’</w:t>
      </w:r>
      <w:r w:rsidRPr="00FF65D6">
        <w:rPr>
          <w:lang w:val="fr-FR"/>
        </w:rPr>
        <w:t>école au niveau approprié</w:t>
      </w:r>
      <w:r w:rsidR="005C1799" w:rsidRPr="005C1799">
        <w:rPr>
          <w:lang w:val="fr-FR"/>
        </w:rPr>
        <w:t>.</w:t>
      </w:r>
      <w:r w:rsidRPr="00FF65D6">
        <w:rPr>
          <w:lang w:val="fr-FR"/>
        </w:rPr>
        <w:t xml:space="preserve"> La bénéficiaire a été indemnisée</w:t>
      </w:r>
      <w:r w:rsidR="005C1799" w:rsidRPr="005C1799">
        <w:rPr>
          <w:lang w:val="fr-FR"/>
        </w:rPr>
        <w:t>.</w:t>
      </w:r>
    </w:p>
    <w:p w14:paraId="50309EE1" w14:textId="77777777" w:rsidR="007341B7" w:rsidRPr="00FF65D6" w:rsidRDefault="005C5C6A" w:rsidP="003B7618">
      <w:pPr>
        <w:pStyle w:val="H23G"/>
        <w:rPr>
          <w:lang w:val="fr-FR"/>
        </w:rPr>
      </w:pPr>
      <w:r w:rsidRPr="00FF65D6">
        <w:rPr>
          <w:lang w:val="fr-FR"/>
        </w:rPr>
        <w:tab/>
      </w:r>
      <w:r w:rsidRPr="00FF65D6">
        <w:rPr>
          <w:lang w:val="fr-FR"/>
        </w:rPr>
        <w:tab/>
        <w:t>Statistiques relatives aux enlèvements d</w:t>
      </w:r>
      <w:r w:rsidR="002127F6" w:rsidRPr="00FF65D6">
        <w:rPr>
          <w:lang w:val="fr-FR"/>
        </w:rPr>
        <w:t>’</w:t>
      </w:r>
      <w:r w:rsidRPr="00FF65D6">
        <w:rPr>
          <w:lang w:val="fr-FR"/>
        </w:rPr>
        <w:t>enfant</w:t>
      </w:r>
    </w:p>
    <w:tbl>
      <w:tblPr>
        <w:tblStyle w:val="PlainTable511"/>
        <w:tblW w:w="8504" w:type="dxa"/>
        <w:tblInd w:w="1134" w:type="dxa"/>
        <w:tblLayout w:type="fixed"/>
        <w:tblCellMar>
          <w:left w:w="0" w:type="dxa"/>
          <w:right w:w="0" w:type="dxa"/>
        </w:tblCellMar>
        <w:tblLook w:val="04A0" w:firstRow="1" w:lastRow="0" w:firstColumn="1" w:lastColumn="0" w:noHBand="0" w:noVBand="1"/>
      </w:tblPr>
      <w:tblGrid>
        <w:gridCol w:w="707"/>
        <w:gridCol w:w="1986"/>
        <w:gridCol w:w="1559"/>
        <w:gridCol w:w="1276"/>
        <w:gridCol w:w="1342"/>
        <w:gridCol w:w="1634"/>
      </w:tblGrid>
      <w:tr w:rsidR="00F34341" w:rsidRPr="00FF65D6" w14:paraId="6FBA9453" w14:textId="77777777" w:rsidTr="003B761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tcBorders>
              <w:top w:val="single" w:sz="4" w:space="0" w:color="auto"/>
              <w:bottom w:val="single" w:sz="12" w:space="0" w:color="auto"/>
              <w:right w:val="none" w:sz="0" w:space="0" w:color="auto"/>
            </w:tcBorders>
            <w:shd w:val="clear" w:color="auto" w:fill="auto"/>
            <w:vAlign w:val="bottom"/>
          </w:tcPr>
          <w:p w14:paraId="744BFB19" w14:textId="77777777" w:rsidR="00F34341" w:rsidRPr="00FF65D6" w:rsidRDefault="00F34341" w:rsidP="003B7618">
            <w:pPr>
              <w:spacing w:before="80" w:after="80" w:line="200" w:lineRule="exact"/>
              <w:ind w:right="113"/>
              <w:jc w:val="left"/>
              <w:rPr>
                <w:sz w:val="16"/>
                <w:lang w:val="fr-FR"/>
              </w:rPr>
            </w:pPr>
            <w:r w:rsidRPr="00FF65D6">
              <w:rPr>
                <w:sz w:val="16"/>
                <w:lang w:val="fr-FR"/>
              </w:rPr>
              <w:t>Année</w:t>
            </w:r>
          </w:p>
        </w:tc>
        <w:tc>
          <w:tcPr>
            <w:tcW w:w="1986" w:type="dxa"/>
            <w:tcBorders>
              <w:top w:val="single" w:sz="4" w:space="0" w:color="auto"/>
              <w:bottom w:val="single" w:sz="12" w:space="0" w:color="auto"/>
            </w:tcBorders>
            <w:shd w:val="clear" w:color="auto" w:fill="auto"/>
            <w:vAlign w:val="bottom"/>
          </w:tcPr>
          <w:p w14:paraId="21ECD45C" w14:textId="77777777" w:rsidR="00F34341" w:rsidRPr="00FF65D6" w:rsidRDefault="00F34341" w:rsidP="003B7618">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fr-FR"/>
              </w:rPr>
            </w:pPr>
            <w:r w:rsidRPr="00FF65D6">
              <w:rPr>
                <w:sz w:val="16"/>
                <w:lang w:val="fr-FR"/>
              </w:rPr>
              <w:t>Citoyenneté</w:t>
            </w:r>
          </w:p>
        </w:tc>
        <w:tc>
          <w:tcPr>
            <w:tcW w:w="1559" w:type="dxa"/>
            <w:tcBorders>
              <w:top w:val="single" w:sz="4" w:space="0" w:color="auto"/>
              <w:bottom w:val="single" w:sz="12" w:space="0" w:color="auto"/>
            </w:tcBorders>
            <w:shd w:val="clear" w:color="auto" w:fill="auto"/>
            <w:vAlign w:val="bottom"/>
          </w:tcPr>
          <w:p w14:paraId="159BA504" w14:textId="77777777" w:rsidR="00F34341" w:rsidRPr="00FF65D6" w:rsidRDefault="00F34341" w:rsidP="003B7618">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fr-FR"/>
              </w:rPr>
            </w:pPr>
            <w:r w:rsidRPr="00FF65D6">
              <w:rPr>
                <w:sz w:val="16"/>
                <w:lang w:val="fr-FR"/>
              </w:rPr>
              <w:t>Sexe</w:t>
            </w:r>
          </w:p>
        </w:tc>
        <w:tc>
          <w:tcPr>
            <w:tcW w:w="1276" w:type="dxa"/>
            <w:tcBorders>
              <w:top w:val="single" w:sz="4" w:space="0" w:color="auto"/>
              <w:bottom w:val="single" w:sz="12" w:space="0" w:color="auto"/>
            </w:tcBorders>
            <w:shd w:val="clear" w:color="auto" w:fill="auto"/>
            <w:vAlign w:val="bottom"/>
          </w:tcPr>
          <w:p w14:paraId="0F164AE5" w14:textId="77777777" w:rsidR="00F34341" w:rsidRPr="00FF65D6" w:rsidRDefault="00F34341" w:rsidP="003B7618">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fr-FR"/>
              </w:rPr>
            </w:pPr>
            <w:r w:rsidRPr="00FF65D6">
              <w:rPr>
                <w:sz w:val="16"/>
                <w:lang w:val="fr-FR"/>
              </w:rPr>
              <w:t>Type de demande</w:t>
            </w:r>
          </w:p>
        </w:tc>
        <w:tc>
          <w:tcPr>
            <w:tcW w:w="1342" w:type="dxa"/>
            <w:tcBorders>
              <w:top w:val="single" w:sz="4" w:space="0" w:color="auto"/>
              <w:bottom w:val="single" w:sz="12" w:space="0" w:color="auto"/>
            </w:tcBorders>
            <w:shd w:val="clear" w:color="auto" w:fill="auto"/>
            <w:vAlign w:val="bottom"/>
          </w:tcPr>
          <w:p w14:paraId="6543EEC2" w14:textId="77777777" w:rsidR="00F34341" w:rsidRPr="00FF65D6" w:rsidRDefault="00F34341" w:rsidP="003B7618">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fr-FR"/>
              </w:rPr>
            </w:pPr>
            <w:r w:rsidRPr="00FF65D6">
              <w:rPr>
                <w:sz w:val="16"/>
                <w:lang w:val="fr-FR"/>
              </w:rPr>
              <w:t>Âge</w:t>
            </w:r>
          </w:p>
        </w:tc>
        <w:tc>
          <w:tcPr>
            <w:tcW w:w="1634" w:type="dxa"/>
            <w:tcBorders>
              <w:top w:val="single" w:sz="4" w:space="0" w:color="auto"/>
              <w:bottom w:val="single" w:sz="12" w:space="0" w:color="auto"/>
            </w:tcBorders>
            <w:shd w:val="clear" w:color="auto" w:fill="auto"/>
            <w:vAlign w:val="bottom"/>
          </w:tcPr>
          <w:p w14:paraId="7A2B71D3" w14:textId="77777777" w:rsidR="00F34341" w:rsidRPr="00FF65D6" w:rsidRDefault="00F34341" w:rsidP="003B7618">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sz w:val="16"/>
                <w:lang w:val="fr-FR"/>
              </w:rPr>
            </w:pPr>
            <w:r w:rsidRPr="00FF65D6">
              <w:rPr>
                <w:sz w:val="16"/>
                <w:lang w:val="fr-FR"/>
              </w:rPr>
              <w:t>Pays où se trouve l</w:t>
            </w:r>
            <w:r w:rsidR="002127F6" w:rsidRPr="00FF65D6">
              <w:rPr>
                <w:sz w:val="16"/>
                <w:lang w:val="fr-FR"/>
              </w:rPr>
              <w:t>’</w:t>
            </w:r>
            <w:r w:rsidRPr="00FF65D6">
              <w:rPr>
                <w:sz w:val="16"/>
                <w:lang w:val="fr-FR"/>
              </w:rPr>
              <w:t>enfant</w:t>
            </w:r>
          </w:p>
        </w:tc>
      </w:tr>
      <w:tr w:rsidR="003B7618" w:rsidRPr="00FF65D6" w14:paraId="5209C494" w14:textId="77777777" w:rsidTr="003B7618">
        <w:trPr>
          <w:cnfStyle w:val="100000000000" w:firstRow="1" w:lastRow="0" w:firstColumn="0" w:lastColumn="0" w:oddVBand="0" w:evenVBand="0" w:oddHBand="0" w:evenHBand="0" w:firstRowFirstColumn="0" w:firstRowLastColumn="0" w:lastRowFirstColumn="0" w:lastRowLastColumn="0"/>
          <w:trHeight w:hRule="exact" w:val="113"/>
          <w:tblHeader/>
        </w:trPr>
        <w:tc>
          <w:tcPr>
            <w:cnfStyle w:val="001000000100" w:firstRow="0" w:lastRow="0" w:firstColumn="1" w:lastColumn="0" w:oddVBand="0" w:evenVBand="0" w:oddHBand="0" w:evenHBand="0" w:firstRowFirstColumn="1" w:firstRowLastColumn="0" w:lastRowFirstColumn="0" w:lastRowLastColumn="0"/>
            <w:tcW w:w="708" w:type="dxa"/>
            <w:tcBorders>
              <w:top w:val="single" w:sz="12" w:space="0" w:color="auto"/>
              <w:bottom w:val="none" w:sz="0" w:space="0" w:color="auto"/>
            </w:tcBorders>
            <w:shd w:val="clear" w:color="auto" w:fill="auto"/>
          </w:tcPr>
          <w:p w14:paraId="63D92AE9" w14:textId="77777777" w:rsidR="003B7618" w:rsidRPr="00FF65D6" w:rsidRDefault="003B7618" w:rsidP="003B7618">
            <w:pPr>
              <w:spacing w:before="40" w:after="120"/>
              <w:ind w:right="113"/>
              <w:jc w:val="left"/>
              <w:rPr>
                <w:lang w:val="fr-FR"/>
              </w:rPr>
            </w:pPr>
          </w:p>
        </w:tc>
        <w:tc>
          <w:tcPr>
            <w:tcW w:w="1986" w:type="dxa"/>
            <w:tcBorders>
              <w:top w:val="single" w:sz="12" w:space="0" w:color="auto"/>
              <w:bottom w:val="none" w:sz="0" w:space="0" w:color="auto"/>
            </w:tcBorders>
            <w:shd w:val="clear" w:color="auto" w:fill="auto"/>
          </w:tcPr>
          <w:p w14:paraId="1D50291A" w14:textId="77777777" w:rsidR="003B7618" w:rsidRPr="00FF65D6" w:rsidRDefault="003B7618" w:rsidP="003B7618">
            <w:pPr>
              <w:spacing w:before="40" w:after="120"/>
              <w:ind w:right="113"/>
              <w:cnfStyle w:val="100000000000" w:firstRow="1" w:lastRow="0" w:firstColumn="0" w:lastColumn="0" w:oddVBand="0" w:evenVBand="0" w:oddHBand="0" w:evenHBand="0" w:firstRowFirstColumn="0" w:firstRowLastColumn="0" w:lastRowFirstColumn="0" w:lastRowLastColumn="0"/>
              <w:rPr>
                <w:lang w:val="fr-FR"/>
              </w:rPr>
            </w:pPr>
          </w:p>
        </w:tc>
        <w:tc>
          <w:tcPr>
            <w:tcW w:w="1559" w:type="dxa"/>
            <w:tcBorders>
              <w:top w:val="single" w:sz="12" w:space="0" w:color="auto"/>
              <w:bottom w:val="none" w:sz="0" w:space="0" w:color="auto"/>
            </w:tcBorders>
            <w:shd w:val="clear" w:color="auto" w:fill="auto"/>
          </w:tcPr>
          <w:p w14:paraId="274598F9" w14:textId="77777777" w:rsidR="003B7618" w:rsidRPr="00FF65D6" w:rsidRDefault="003B7618" w:rsidP="003B7618">
            <w:pPr>
              <w:spacing w:before="40" w:after="120"/>
              <w:ind w:right="113"/>
              <w:cnfStyle w:val="100000000000" w:firstRow="1" w:lastRow="0" w:firstColumn="0" w:lastColumn="0" w:oddVBand="0" w:evenVBand="0" w:oddHBand="0" w:evenHBand="0" w:firstRowFirstColumn="0" w:firstRowLastColumn="0" w:lastRowFirstColumn="0" w:lastRowLastColumn="0"/>
              <w:rPr>
                <w:lang w:val="fr-FR"/>
              </w:rPr>
            </w:pPr>
          </w:p>
        </w:tc>
        <w:tc>
          <w:tcPr>
            <w:tcW w:w="1276" w:type="dxa"/>
            <w:tcBorders>
              <w:top w:val="single" w:sz="12" w:space="0" w:color="auto"/>
              <w:bottom w:val="none" w:sz="0" w:space="0" w:color="auto"/>
            </w:tcBorders>
            <w:shd w:val="clear" w:color="auto" w:fill="auto"/>
          </w:tcPr>
          <w:p w14:paraId="340A49B8" w14:textId="77777777" w:rsidR="003B7618" w:rsidRPr="00FF65D6" w:rsidRDefault="003B7618" w:rsidP="003B7618">
            <w:pPr>
              <w:spacing w:before="40" w:after="120"/>
              <w:ind w:right="113"/>
              <w:cnfStyle w:val="100000000000" w:firstRow="1" w:lastRow="0" w:firstColumn="0" w:lastColumn="0" w:oddVBand="0" w:evenVBand="0" w:oddHBand="0" w:evenHBand="0" w:firstRowFirstColumn="0" w:firstRowLastColumn="0" w:lastRowFirstColumn="0" w:lastRowLastColumn="0"/>
              <w:rPr>
                <w:lang w:val="fr-FR"/>
              </w:rPr>
            </w:pPr>
          </w:p>
        </w:tc>
        <w:tc>
          <w:tcPr>
            <w:tcW w:w="1342" w:type="dxa"/>
            <w:tcBorders>
              <w:top w:val="single" w:sz="12" w:space="0" w:color="auto"/>
              <w:bottom w:val="none" w:sz="0" w:space="0" w:color="auto"/>
            </w:tcBorders>
            <w:shd w:val="clear" w:color="auto" w:fill="auto"/>
          </w:tcPr>
          <w:p w14:paraId="09BAF9B4" w14:textId="77777777" w:rsidR="003B7618" w:rsidRPr="00FF65D6" w:rsidRDefault="003B7618" w:rsidP="003B7618">
            <w:pPr>
              <w:spacing w:before="40" w:after="120"/>
              <w:ind w:right="113"/>
              <w:cnfStyle w:val="100000000000" w:firstRow="1" w:lastRow="0" w:firstColumn="0" w:lastColumn="0" w:oddVBand="0" w:evenVBand="0" w:oddHBand="0" w:evenHBand="0" w:firstRowFirstColumn="0" w:firstRowLastColumn="0" w:lastRowFirstColumn="0" w:lastRowLastColumn="0"/>
              <w:rPr>
                <w:lang w:val="fr-FR"/>
              </w:rPr>
            </w:pPr>
          </w:p>
        </w:tc>
        <w:tc>
          <w:tcPr>
            <w:tcW w:w="1634" w:type="dxa"/>
            <w:tcBorders>
              <w:top w:val="single" w:sz="12" w:space="0" w:color="auto"/>
              <w:bottom w:val="none" w:sz="0" w:space="0" w:color="auto"/>
            </w:tcBorders>
            <w:shd w:val="clear" w:color="auto" w:fill="auto"/>
          </w:tcPr>
          <w:p w14:paraId="650A2A68" w14:textId="77777777" w:rsidR="003B7618" w:rsidRPr="00FF65D6" w:rsidRDefault="003B7618" w:rsidP="003B7618">
            <w:pPr>
              <w:spacing w:before="40" w:after="120"/>
              <w:ind w:right="113"/>
              <w:cnfStyle w:val="100000000000" w:firstRow="1" w:lastRow="0" w:firstColumn="0" w:lastColumn="0" w:oddVBand="0" w:evenVBand="0" w:oddHBand="0" w:evenHBand="0" w:firstRowFirstColumn="0" w:firstRowLastColumn="0" w:lastRowFirstColumn="0" w:lastRowLastColumn="0"/>
              <w:rPr>
                <w:lang w:val="fr-FR"/>
              </w:rPr>
            </w:pPr>
          </w:p>
        </w:tc>
      </w:tr>
      <w:tr w:rsidR="00F34341" w:rsidRPr="00FF65D6" w14:paraId="078C95DE"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5BC731B6" w14:textId="77777777" w:rsidR="00F34341" w:rsidRPr="00FF65D6" w:rsidRDefault="00F34341" w:rsidP="003B7618">
            <w:pPr>
              <w:spacing w:before="40" w:after="120"/>
              <w:ind w:right="113"/>
              <w:jc w:val="left"/>
              <w:rPr>
                <w:i w:val="0"/>
                <w:lang w:val="fr-FR"/>
              </w:rPr>
            </w:pPr>
            <w:r w:rsidRPr="00FF65D6">
              <w:rPr>
                <w:i w:val="0"/>
                <w:lang w:val="fr-FR"/>
              </w:rPr>
              <w:t>2013</w:t>
            </w:r>
          </w:p>
        </w:tc>
        <w:tc>
          <w:tcPr>
            <w:tcW w:w="1986" w:type="dxa"/>
            <w:shd w:val="clear" w:color="auto" w:fill="auto"/>
          </w:tcPr>
          <w:p w14:paraId="03CB0C0E"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1F9A2F02"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féminin</w:t>
            </w:r>
          </w:p>
        </w:tc>
        <w:tc>
          <w:tcPr>
            <w:tcW w:w="1276" w:type="dxa"/>
            <w:shd w:val="clear" w:color="auto" w:fill="auto"/>
          </w:tcPr>
          <w:p w14:paraId="790A22DC"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émise</w:t>
            </w:r>
          </w:p>
        </w:tc>
        <w:tc>
          <w:tcPr>
            <w:tcW w:w="1342" w:type="dxa"/>
            <w:shd w:val="clear" w:color="auto" w:fill="auto"/>
          </w:tcPr>
          <w:p w14:paraId="14E84889"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9</w:t>
            </w:r>
          </w:p>
        </w:tc>
        <w:tc>
          <w:tcPr>
            <w:tcW w:w="1634" w:type="dxa"/>
            <w:shd w:val="clear" w:color="auto" w:fill="auto"/>
          </w:tcPr>
          <w:p w14:paraId="2E3377ED"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Italie</w:t>
            </w:r>
          </w:p>
        </w:tc>
      </w:tr>
      <w:tr w:rsidR="00F34341" w:rsidRPr="00FF65D6" w14:paraId="3E28173F"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375E262A" w14:textId="77777777" w:rsidR="00F34341" w:rsidRPr="00FF65D6" w:rsidRDefault="00F34341" w:rsidP="003B7618">
            <w:pPr>
              <w:spacing w:before="40" w:after="120"/>
              <w:ind w:right="113"/>
              <w:jc w:val="left"/>
              <w:rPr>
                <w:i w:val="0"/>
                <w:lang w:val="fr-FR"/>
              </w:rPr>
            </w:pPr>
            <w:r w:rsidRPr="00FF65D6">
              <w:rPr>
                <w:i w:val="0"/>
                <w:lang w:val="fr-FR"/>
              </w:rPr>
              <w:t>2013</w:t>
            </w:r>
          </w:p>
        </w:tc>
        <w:tc>
          <w:tcPr>
            <w:tcW w:w="1986" w:type="dxa"/>
            <w:shd w:val="clear" w:color="auto" w:fill="auto"/>
          </w:tcPr>
          <w:p w14:paraId="31EADBCC" w14:textId="77777777" w:rsidR="00F34341" w:rsidRPr="00FF65D6" w:rsidRDefault="00661E6F"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19FEDFFA"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féminin</w:t>
            </w:r>
          </w:p>
        </w:tc>
        <w:tc>
          <w:tcPr>
            <w:tcW w:w="1276" w:type="dxa"/>
            <w:shd w:val="clear" w:color="auto" w:fill="auto"/>
          </w:tcPr>
          <w:p w14:paraId="61E33C81"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émise</w:t>
            </w:r>
          </w:p>
        </w:tc>
        <w:tc>
          <w:tcPr>
            <w:tcW w:w="1342" w:type="dxa"/>
            <w:shd w:val="clear" w:color="auto" w:fill="auto"/>
          </w:tcPr>
          <w:p w14:paraId="65951407"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9</w:t>
            </w:r>
          </w:p>
        </w:tc>
        <w:tc>
          <w:tcPr>
            <w:tcW w:w="1634" w:type="dxa"/>
            <w:shd w:val="clear" w:color="auto" w:fill="auto"/>
          </w:tcPr>
          <w:p w14:paraId="232E315A"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Lettonie</w:t>
            </w:r>
          </w:p>
        </w:tc>
      </w:tr>
      <w:tr w:rsidR="00F34341" w:rsidRPr="00FF65D6" w14:paraId="791A0F8D"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2310A5A7" w14:textId="77777777" w:rsidR="00F34341" w:rsidRPr="00FF65D6" w:rsidRDefault="00F34341" w:rsidP="003B7618">
            <w:pPr>
              <w:spacing w:before="40" w:after="120"/>
              <w:ind w:right="113"/>
              <w:jc w:val="left"/>
              <w:rPr>
                <w:i w:val="0"/>
                <w:lang w:val="fr-FR"/>
              </w:rPr>
            </w:pPr>
            <w:r w:rsidRPr="00FF65D6">
              <w:rPr>
                <w:i w:val="0"/>
                <w:lang w:val="fr-FR"/>
              </w:rPr>
              <w:t>2014</w:t>
            </w:r>
          </w:p>
        </w:tc>
        <w:tc>
          <w:tcPr>
            <w:tcW w:w="1986" w:type="dxa"/>
            <w:shd w:val="clear" w:color="auto" w:fill="auto"/>
          </w:tcPr>
          <w:p w14:paraId="50AFC25F"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géorgienne</w:t>
            </w:r>
            <w:r w:rsidR="00F34341" w:rsidRPr="00FF65D6">
              <w:rPr>
                <w:lang w:val="fr-FR"/>
              </w:rPr>
              <w:t>/</w:t>
            </w:r>
            <w:r>
              <w:rPr>
                <w:lang w:val="fr-FR"/>
              </w:rPr>
              <w:t>a</w:t>
            </w:r>
            <w:r w:rsidR="00F34341" w:rsidRPr="00FF65D6">
              <w:rPr>
                <w:lang w:val="fr-FR"/>
              </w:rPr>
              <w:t>llem</w:t>
            </w:r>
            <w:r>
              <w:rPr>
                <w:lang w:val="fr-FR"/>
              </w:rPr>
              <w:t>ande</w:t>
            </w:r>
          </w:p>
        </w:tc>
        <w:tc>
          <w:tcPr>
            <w:tcW w:w="1559" w:type="dxa"/>
            <w:shd w:val="clear" w:color="auto" w:fill="auto"/>
          </w:tcPr>
          <w:p w14:paraId="01C09407"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féminin</w:t>
            </w:r>
          </w:p>
        </w:tc>
        <w:tc>
          <w:tcPr>
            <w:tcW w:w="1276" w:type="dxa"/>
            <w:shd w:val="clear" w:color="auto" w:fill="auto"/>
          </w:tcPr>
          <w:p w14:paraId="53FB7807"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reçue</w:t>
            </w:r>
          </w:p>
        </w:tc>
        <w:tc>
          <w:tcPr>
            <w:tcW w:w="1342" w:type="dxa"/>
            <w:shd w:val="clear" w:color="auto" w:fill="auto"/>
          </w:tcPr>
          <w:p w14:paraId="71389A2E"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6</w:t>
            </w:r>
          </w:p>
        </w:tc>
        <w:tc>
          <w:tcPr>
            <w:tcW w:w="1634" w:type="dxa"/>
            <w:shd w:val="clear" w:color="auto" w:fill="auto"/>
          </w:tcPr>
          <w:p w14:paraId="237FCE4C"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w:t>
            </w:r>
          </w:p>
        </w:tc>
      </w:tr>
      <w:tr w:rsidR="00F34341" w:rsidRPr="00FF65D6" w14:paraId="51D55FE4"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77D37B2C" w14:textId="77777777" w:rsidR="00F34341" w:rsidRPr="00FF65D6" w:rsidRDefault="00F34341" w:rsidP="003B7618">
            <w:pPr>
              <w:spacing w:before="40" w:after="120"/>
              <w:ind w:right="113"/>
              <w:jc w:val="left"/>
              <w:rPr>
                <w:i w:val="0"/>
                <w:lang w:val="fr-FR"/>
              </w:rPr>
            </w:pPr>
            <w:r w:rsidRPr="00FF65D6">
              <w:rPr>
                <w:i w:val="0"/>
                <w:lang w:val="fr-FR"/>
              </w:rPr>
              <w:t>2014</w:t>
            </w:r>
          </w:p>
        </w:tc>
        <w:tc>
          <w:tcPr>
            <w:tcW w:w="1986" w:type="dxa"/>
            <w:shd w:val="clear" w:color="auto" w:fill="auto"/>
          </w:tcPr>
          <w:p w14:paraId="07293702" w14:textId="77777777" w:rsidR="00F34341" w:rsidRPr="00FF65D6" w:rsidRDefault="0002014D"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Pr>
                <w:lang w:val="fr-FR"/>
              </w:rPr>
              <w:t>g</w:t>
            </w:r>
            <w:r w:rsidR="00661E6F" w:rsidRPr="00FF65D6">
              <w:rPr>
                <w:lang w:val="fr-FR"/>
              </w:rPr>
              <w:t>r</w:t>
            </w:r>
            <w:r w:rsidR="00661E6F">
              <w:rPr>
                <w:lang w:val="fr-FR"/>
              </w:rPr>
              <w:t>ecque</w:t>
            </w:r>
          </w:p>
        </w:tc>
        <w:tc>
          <w:tcPr>
            <w:tcW w:w="1559" w:type="dxa"/>
            <w:shd w:val="clear" w:color="auto" w:fill="auto"/>
          </w:tcPr>
          <w:p w14:paraId="532FEA1E"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masculin</w:t>
            </w:r>
          </w:p>
        </w:tc>
        <w:tc>
          <w:tcPr>
            <w:tcW w:w="1276" w:type="dxa"/>
            <w:shd w:val="clear" w:color="auto" w:fill="auto"/>
          </w:tcPr>
          <w:p w14:paraId="7035690C"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reçue</w:t>
            </w:r>
          </w:p>
        </w:tc>
        <w:tc>
          <w:tcPr>
            <w:tcW w:w="1342" w:type="dxa"/>
            <w:shd w:val="clear" w:color="auto" w:fill="auto"/>
          </w:tcPr>
          <w:p w14:paraId="4C0BDDA1"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4</w:t>
            </w:r>
          </w:p>
        </w:tc>
        <w:tc>
          <w:tcPr>
            <w:tcW w:w="1634" w:type="dxa"/>
            <w:shd w:val="clear" w:color="auto" w:fill="auto"/>
          </w:tcPr>
          <w:p w14:paraId="7E425575"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w:t>
            </w:r>
          </w:p>
        </w:tc>
      </w:tr>
      <w:tr w:rsidR="00F34341" w:rsidRPr="00FF65D6" w14:paraId="4F152551"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01CC875F" w14:textId="77777777" w:rsidR="00F34341" w:rsidRPr="00FF65D6" w:rsidRDefault="00F34341" w:rsidP="003B7618">
            <w:pPr>
              <w:spacing w:before="40" w:after="120"/>
              <w:ind w:right="113"/>
              <w:jc w:val="left"/>
              <w:rPr>
                <w:i w:val="0"/>
                <w:lang w:val="fr-FR"/>
              </w:rPr>
            </w:pPr>
            <w:r w:rsidRPr="00FF65D6">
              <w:rPr>
                <w:i w:val="0"/>
                <w:lang w:val="fr-FR"/>
              </w:rPr>
              <w:t>2014</w:t>
            </w:r>
          </w:p>
        </w:tc>
        <w:tc>
          <w:tcPr>
            <w:tcW w:w="1986" w:type="dxa"/>
            <w:shd w:val="clear" w:color="auto" w:fill="auto"/>
          </w:tcPr>
          <w:p w14:paraId="1E71FD50" w14:textId="77777777" w:rsidR="00F34341" w:rsidRPr="00661E6F"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spacing w:val="-4"/>
                <w:lang w:val="fr-FR"/>
              </w:rPr>
            </w:pPr>
            <w:r w:rsidRPr="00661E6F">
              <w:rPr>
                <w:spacing w:val="-4"/>
                <w:lang w:val="fr-FR"/>
              </w:rPr>
              <w:t>géorgienne</w:t>
            </w:r>
            <w:r w:rsidR="00F34341" w:rsidRPr="00661E6F">
              <w:rPr>
                <w:spacing w:val="-4"/>
                <w:lang w:val="fr-FR"/>
              </w:rPr>
              <w:t>/</w:t>
            </w:r>
            <w:r w:rsidRPr="00661E6F">
              <w:rPr>
                <w:spacing w:val="-4"/>
                <w:lang w:val="fr-FR"/>
              </w:rPr>
              <w:t>néerlandaise</w:t>
            </w:r>
          </w:p>
        </w:tc>
        <w:tc>
          <w:tcPr>
            <w:tcW w:w="1559" w:type="dxa"/>
            <w:shd w:val="clear" w:color="auto" w:fill="auto"/>
          </w:tcPr>
          <w:p w14:paraId="160FA994"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masculin</w:t>
            </w:r>
          </w:p>
        </w:tc>
        <w:tc>
          <w:tcPr>
            <w:tcW w:w="1276" w:type="dxa"/>
            <w:shd w:val="clear" w:color="auto" w:fill="auto"/>
          </w:tcPr>
          <w:p w14:paraId="71E95021"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reçue</w:t>
            </w:r>
          </w:p>
        </w:tc>
        <w:tc>
          <w:tcPr>
            <w:tcW w:w="1342" w:type="dxa"/>
            <w:shd w:val="clear" w:color="auto" w:fill="auto"/>
          </w:tcPr>
          <w:p w14:paraId="1EB3F920"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12</w:t>
            </w:r>
          </w:p>
        </w:tc>
        <w:tc>
          <w:tcPr>
            <w:tcW w:w="1634" w:type="dxa"/>
            <w:shd w:val="clear" w:color="auto" w:fill="auto"/>
          </w:tcPr>
          <w:p w14:paraId="79691345"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w:t>
            </w:r>
          </w:p>
        </w:tc>
      </w:tr>
      <w:tr w:rsidR="00F34341" w:rsidRPr="00FF65D6" w14:paraId="77B923EB"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794579F3" w14:textId="77777777" w:rsidR="00F34341" w:rsidRPr="00FF65D6" w:rsidRDefault="00F34341" w:rsidP="003B7618">
            <w:pPr>
              <w:spacing w:before="40" w:after="120"/>
              <w:ind w:right="113"/>
              <w:jc w:val="left"/>
              <w:rPr>
                <w:i w:val="0"/>
                <w:lang w:val="fr-FR"/>
              </w:rPr>
            </w:pPr>
            <w:r w:rsidRPr="00FF65D6">
              <w:rPr>
                <w:i w:val="0"/>
                <w:lang w:val="fr-FR"/>
              </w:rPr>
              <w:t>2015</w:t>
            </w:r>
          </w:p>
        </w:tc>
        <w:tc>
          <w:tcPr>
            <w:tcW w:w="1986" w:type="dxa"/>
            <w:shd w:val="clear" w:color="auto" w:fill="auto"/>
          </w:tcPr>
          <w:p w14:paraId="79646432" w14:textId="77777777" w:rsidR="00F34341" w:rsidRPr="00FF65D6" w:rsidRDefault="00661E6F"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géorgienne</w:t>
            </w:r>
            <w:r w:rsidR="00F34341" w:rsidRPr="00FF65D6">
              <w:rPr>
                <w:lang w:val="fr-FR"/>
              </w:rPr>
              <w:t>/</w:t>
            </w:r>
            <w:r>
              <w:rPr>
                <w:lang w:val="fr-FR"/>
              </w:rPr>
              <w:t>canadienne</w:t>
            </w:r>
          </w:p>
        </w:tc>
        <w:tc>
          <w:tcPr>
            <w:tcW w:w="1559" w:type="dxa"/>
            <w:shd w:val="clear" w:color="auto" w:fill="auto"/>
          </w:tcPr>
          <w:p w14:paraId="1B64DB5C"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masculin</w:t>
            </w:r>
          </w:p>
        </w:tc>
        <w:tc>
          <w:tcPr>
            <w:tcW w:w="1276" w:type="dxa"/>
            <w:shd w:val="clear" w:color="auto" w:fill="auto"/>
          </w:tcPr>
          <w:p w14:paraId="07402261"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reçue</w:t>
            </w:r>
          </w:p>
        </w:tc>
        <w:tc>
          <w:tcPr>
            <w:tcW w:w="1342" w:type="dxa"/>
            <w:shd w:val="clear" w:color="auto" w:fill="auto"/>
          </w:tcPr>
          <w:p w14:paraId="4273A16E"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3</w:t>
            </w:r>
          </w:p>
        </w:tc>
        <w:tc>
          <w:tcPr>
            <w:tcW w:w="1634" w:type="dxa"/>
            <w:shd w:val="clear" w:color="auto" w:fill="auto"/>
          </w:tcPr>
          <w:p w14:paraId="6904C9A8"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w:t>
            </w:r>
          </w:p>
        </w:tc>
      </w:tr>
      <w:tr w:rsidR="00F34341" w:rsidRPr="00FF65D6" w14:paraId="5AEEAF53"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14A3F22C" w14:textId="77777777" w:rsidR="00F34341" w:rsidRPr="00FF65D6" w:rsidRDefault="00F34341" w:rsidP="003B7618">
            <w:pPr>
              <w:spacing w:before="40" w:after="120"/>
              <w:ind w:right="113"/>
              <w:jc w:val="left"/>
              <w:rPr>
                <w:i w:val="0"/>
                <w:lang w:val="fr-FR"/>
              </w:rPr>
            </w:pPr>
            <w:r w:rsidRPr="00FF65D6">
              <w:rPr>
                <w:i w:val="0"/>
                <w:lang w:val="fr-FR"/>
              </w:rPr>
              <w:t>2015</w:t>
            </w:r>
          </w:p>
        </w:tc>
        <w:tc>
          <w:tcPr>
            <w:tcW w:w="1986" w:type="dxa"/>
            <w:shd w:val="clear" w:color="auto" w:fill="auto"/>
          </w:tcPr>
          <w:p w14:paraId="708E48F0"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géorgienn</w:t>
            </w:r>
            <w:r>
              <w:rPr>
                <w:lang w:val="fr-FR"/>
              </w:rPr>
              <w:t>e</w:t>
            </w:r>
          </w:p>
        </w:tc>
        <w:tc>
          <w:tcPr>
            <w:tcW w:w="1559" w:type="dxa"/>
            <w:shd w:val="clear" w:color="auto" w:fill="auto"/>
          </w:tcPr>
          <w:p w14:paraId="1D911FEB"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féminin</w:t>
            </w:r>
          </w:p>
        </w:tc>
        <w:tc>
          <w:tcPr>
            <w:tcW w:w="1276" w:type="dxa"/>
            <w:shd w:val="clear" w:color="auto" w:fill="auto"/>
          </w:tcPr>
          <w:p w14:paraId="6382303E"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émise</w:t>
            </w:r>
          </w:p>
        </w:tc>
        <w:tc>
          <w:tcPr>
            <w:tcW w:w="1342" w:type="dxa"/>
            <w:shd w:val="clear" w:color="auto" w:fill="auto"/>
          </w:tcPr>
          <w:p w14:paraId="1481AB5E"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4</w:t>
            </w:r>
          </w:p>
        </w:tc>
        <w:tc>
          <w:tcPr>
            <w:tcW w:w="1634" w:type="dxa"/>
            <w:shd w:val="clear" w:color="auto" w:fill="auto"/>
          </w:tcPr>
          <w:p w14:paraId="4D97FDC1"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Israël</w:t>
            </w:r>
          </w:p>
        </w:tc>
      </w:tr>
      <w:tr w:rsidR="00F34341" w:rsidRPr="00FF65D6" w14:paraId="7CD03409"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11C8F7AB" w14:textId="77777777" w:rsidR="00F34341" w:rsidRPr="00FF65D6" w:rsidRDefault="00F34341" w:rsidP="003B7618">
            <w:pPr>
              <w:spacing w:before="40" w:after="120"/>
              <w:ind w:right="113"/>
              <w:jc w:val="left"/>
              <w:rPr>
                <w:i w:val="0"/>
                <w:lang w:val="fr-FR"/>
              </w:rPr>
            </w:pPr>
            <w:r w:rsidRPr="00FF65D6">
              <w:rPr>
                <w:i w:val="0"/>
                <w:lang w:val="fr-FR"/>
              </w:rPr>
              <w:t>2015</w:t>
            </w:r>
          </w:p>
        </w:tc>
        <w:tc>
          <w:tcPr>
            <w:tcW w:w="1986" w:type="dxa"/>
            <w:shd w:val="clear" w:color="auto" w:fill="auto"/>
          </w:tcPr>
          <w:p w14:paraId="65D21FE7" w14:textId="77777777" w:rsidR="00F34341" w:rsidRPr="00FF65D6" w:rsidRDefault="00661E6F"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491ED761"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féminin et masculin</w:t>
            </w:r>
          </w:p>
        </w:tc>
        <w:tc>
          <w:tcPr>
            <w:tcW w:w="1276" w:type="dxa"/>
            <w:shd w:val="clear" w:color="auto" w:fill="auto"/>
          </w:tcPr>
          <w:p w14:paraId="3F3984BF"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reçue</w:t>
            </w:r>
          </w:p>
        </w:tc>
        <w:tc>
          <w:tcPr>
            <w:tcW w:w="1342" w:type="dxa"/>
            <w:shd w:val="clear" w:color="auto" w:fill="auto"/>
          </w:tcPr>
          <w:p w14:paraId="1CA66B6E"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2 et 4</w:t>
            </w:r>
          </w:p>
        </w:tc>
        <w:tc>
          <w:tcPr>
            <w:tcW w:w="1634" w:type="dxa"/>
            <w:shd w:val="clear" w:color="auto" w:fill="auto"/>
          </w:tcPr>
          <w:p w14:paraId="37741ED9"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w:t>
            </w:r>
          </w:p>
        </w:tc>
      </w:tr>
      <w:tr w:rsidR="00F34341" w:rsidRPr="00FF65D6" w14:paraId="269EEEAA"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5A6928DE" w14:textId="77777777" w:rsidR="00F34341" w:rsidRPr="00FF65D6" w:rsidRDefault="00F34341" w:rsidP="003B7618">
            <w:pPr>
              <w:spacing w:before="40" w:after="120"/>
              <w:ind w:right="113"/>
              <w:jc w:val="left"/>
              <w:rPr>
                <w:i w:val="0"/>
                <w:lang w:val="fr-FR"/>
              </w:rPr>
            </w:pPr>
            <w:r w:rsidRPr="00FF65D6">
              <w:rPr>
                <w:i w:val="0"/>
                <w:lang w:val="fr-FR"/>
              </w:rPr>
              <w:t>2015</w:t>
            </w:r>
          </w:p>
        </w:tc>
        <w:tc>
          <w:tcPr>
            <w:tcW w:w="1986" w:type="dxa"/>
            <w:shd w:val="clear" w:color="auto" w:fill="auto"/>
          </w:tcPr>
          <w:p w14:paraId="0F51A032"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Pr>
                <w:lang w:val="fr-FR"/>
              </w:rPr>
              <w:t>a</w:t>
            </w:r>
            <w:r w:rsidR="00F34341" w:rsidRPr="00FF65D6">
              <w:rPr>
                <w:lang w:val="fr-FR"/>
              </w:rPr>
              <w:t>rménie</w:t>
            </w:r>
            <w:r>
              <w:rPr>
                <w:lang w:val="fr-FR"/>
              </w:rPr>
              <w:t>nne</w:t>
            </w:r>
          </w:p>
        </w:tc>
        <w:tc>
          <w:tcPr>
            <w:tcW w:w="1559" w:type="dxa"/>
            <w:shd w:val="clear" w:color="auto" w:fill="auto"/>
          </w:tcPr>
          <w:p w14:paraId="497B65F2"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féminin (2)</w:t>
            </w:r>
          </w:p>
        </w:tc>
        <w:tc>
          <w:tcPr>
            <w:tcW w:w="1276" w:type="dxa"/>
            <w:shd w:val="clear" w:color="auto" w:fill="auto"/>
          </w:tcPr>
          <w:p w14:paraId="1E02CF34"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reçue</w:t>
            </w:r>
          </w:p>
        </w:tc>
        <w:tc>
          <w:tcPr>
            <w:tcW w:w="1342" w:type="dxa"/>
            <w:shd w:val="clear" w:color="auto" w:fill="auto"/>
          </w:tcPr>
          <w:p w14:paraId="6CD3D302"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7 et 10</w:t>
            </w:r>
          </w:p>
        </w:tc>
        <w:tc>
          <w:tcPr>
            <w:tcW w:w="1634" w:type="dxa"/>
            <w:shd w:val="clear" w:color="auto" w:fill="auto"/>
          </w:tcPr>
          <w:p w14:paraId="1552DAC2"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w:t>
            </w:r>
          </w:p>
        </w:tc>
      </w:tr>
      <w:tr w:rsidR="00F34341" w:rsidRPr="00FF65D6" w14:paraId="342D77D9"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3A36AD59" w14:textId="77777777" w:rsidR="00F34341" w:rsidRPr="00FF65D6" w:rsidRDefault="00F34341" w:rsidP="003B7618">
            <w:pPr>
              <w:spacing w:before="40" w:after="120"/>
              <w:ind w:right="113"/>
              <w:jc w:val="left"/>
              <w:rPr>
                <w:i w:val="0"/>
                <w:lang w:val="fr-FR"/>
              </w:rPr>
            </w:pPr>
            <w:r w:rsidRPr="00FF65D6">
              <w:rPr>
                <w:i w:val="0"/>
                <w:lang w:val="fr-FR"/>
              </w:rPr>
              <w:t>2015</w:t>
            </w:r>
          </w:p>
        </w:tc>
        <w:tc>
          <w:tcPr>
            <w:tcW w:w="1986" w:type="dxa"/>
            <w:shd w:val="clear" w:color="auto" w:fill="auto"/>
          </w:tcPr>
          <w:p w14:paraId="5EA51502" w14:textId="77777777" w:rsidR="00F34341" w:rsidRPr="00FF65D6" w:rsidRDefault="00661E6F"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Pr>
                <w:lang w:val="fr-FR"/>
              </w:rPr>
              <w:t>u</w:t>
            </w:r>
            <w:r w:rsidR="00F34341" w:rsidRPr="00FF65D6">
              <w:rPr>
                <w:lang w:val="fr-FR"/>
              </w:rPr>
              <w:t>krain</w:t>
            </w:r>
            <w:r>
              <w:rPr>
                <w:lang w:val="fr-FR"/>
              </w:rPr>
              <w:t>ienne</w:t>
            </w:r>
          </w:p>
        </w:tc>
        <w:tc>
          <w:tcPr>
            <w:tcW w:w="1559" w:type="dxa"/>
            <w:shd w:val="clear" w:color="auto" w:fill="auto"/>
          </w:tcPr>
          <w:p w14:paraId="7E23DA38"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masculin</w:t>
            </w:r>
          </w:p>
        </w:tc>
        <w:tc>
          <w:tcPr>
            <w:tcW w:w="1276" w:type="dxa"/>
            <w:shd w:val="clear" w:color="auto" w:fill="auto"/>
          </w:tcPr>
          <w:p w14:paraId="40779725"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reçue</w:t>
            </w:r>
          </w:p>
        </w:tc>
        <w:tc>
          <w:tcPr>
            <w:tcW w:w="1342" w:type="dxa"/>
            <w:shd w:val="clear" w:color="auto" w:fill="auto"/>
          </w:tcPr>
          <w:p w14:paraId="46EE4992"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3</w:t>
            </w:r>
          </w:p>
        </w:tc>
        <w:tc>
          <w:tcPr>
            <w:tcW w:w="1634" w:type="dxa"/>
            <w:shd w:val="clear" w:color="auto" w:fill="auto"/>
          </w:tcPr>
          <w:p w14:paraId="3E894BCB"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w:t>
            </w:r>
          </w:p>
        </w:tc>
      </w:tr>
      <w:tr w:rsidR="00F34341" w:rsidRPr="00FF65D6" w14:paraId="262D82C9"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4F5B9626" w14:textId="77777777" w:rsidR="00F34341" w:rsidRPr="00FF65D6" w:rsidRDefault="00F34341" w:rsidP="003B7618">
            <w:pPr>
              <w:spacing w:before="40" w:after="120"/>
              <w:ind w:right="113"/>
              <w:jc w:val="left"/>
              <w:rPr>
                <w:i w:val="0"/>
                <w:lang w:val="fr-FR"/>
              </w:rPr>
            </w:pPr>
            <w:r w:rsidRPr="00FF65D6">
              <w:rPr>
                <w:i w:val="0"/>
                <w:lang w:val="fr-FR"/>
              </w:rPr>
              <w:t>2015</w:t>
            </w:r>
          </w:p>
        </w:tc>
        <w:tc>
          <w:tcPr>
            <w:tcW w:w="1986" w:type="dxa"/>
            <w:shd w:val="clear" w:color="auto" w:fill="auto"/>
          </w:tcPr>
          <w:p w14:paraId="079C133D"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099AC010"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masculin (3)</w:t>
            </w:r>
          </w:p>
        </w:tc>
        <w:tc>
          <w:tcPr>
            <w:tcW w:w="1276" w:type="dxa"/>
            <w:shd w:val="clear" w:color="auto" w:fill="auto"/>
          </w:tcPr>
          <w:p w14:paraId="10C6E26F"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reçue</w:t>
            </w:r>
          </w:p>
        </w:tc>
        <w:tc>
          <w:tcPr>
            <w:tcW w:w="1342" w:type="dxa"/>
            <w:shd w:val="clear" w:color="auto" w:fill="auto"/>
          </w:tcPr>
          <w:p w14:paraId="38E96DC7"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4,</w:t>
            </w:r>
            <w:r w:rsidR="00937001">
              <w:rPr>
                <w:lang w:val="fr-FR"/>
              </w:rPr>
              <w:t xml:space="preserve"> </w:t>
            </w:r>
            <w:r w:rsidRPr="00FF65D6">
              <w:rPr>
                <w:lang w:val="fr-FR"/>
              </w:rPr>
              <w:t>8 et 10</w:t>
            </w:r>
          </w:p>
        </w:tc>
        <w:tc>
          <w:tcPr>
            <w:tcW w:w="1634" w:type="dxa"/>
            <w:shd w:val="clear" w:color="auto" w:fill="auto"/>
          </w:tcPr>
          <w:p w14:paraId="6E2540A2"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w:t>
            </w:r>
          </w:p>
        </w:tc>
      </w:tr>
      <w:tr w:rsidR="00F34341" w:rsidRPr="00FF65D6" w14:paraId="0D059366"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3AFF1D48" w14:textId="77777777" w:rsidR="00F34341" w:rsidRPr="00FF65D6" w:rsidRDefault="00F34341" w:rsidP="003B7618">
            <w:pPr>
              <w:spacing w:before="40" w:after="120"/>
              <w:ind w:right="113"/>
              <w:jc w:val="left"/>
              <w:rPr>
                <w:i w:val="0"/>
                <w:lang w:val="fr-FR"/>
              </w:rPr>
            </w:pPr>
            <w:r w:rsidRPr="00FF65D6">
              <w:rPr>
                <w:i w:val="0"/>
                <w:lang w:val="fr-FR"/>
              </w:rPr>
              <w:t xml:space="preserve">2015 </w:t>
            </w:r>
          </w:p>
        </w:tc>
        <w:tc>
          <w:tcPr>
            <w:tcW w:w="1986" w:type="dxa"/>
            <w:shd w:val="clear" w:color="auto" w:fill="auto"/>
          </w:tcPr>
          <w:p w14:paraId="681318D6" w14:textId="77777777" w:rsidR="00F34341" w:rsidRPr="00FF65D6" w:rsidRDefault="00661E6F"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3FACC719"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féminin</w:t>
            </w:r>
          </w:p>
        </w:tc>
        <w:tc>
          <w:tcPr>
            <w:tcW w:w="1276" w:type="dxa"/>
            <w:shd w:val="clear" w:color="auto" w:fill="auto"/>
          </w:tcPr>
          <w:p w14:paraId="625EDF80"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émise</w:t>
            </w:r>
          </w:p>
        </w:tc>
        <w:tc>
          <w:tcPr>
            <w:tcW w:w="1342" w:type="dxa"/>
            <w:shd w:val="clear" w:color="auto" w:fill="auto"/>
          </w:tcPr>
          <w:p w14:paraId="6CB10E09"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3</w:t>
            </w:r>
          </w:p>
        </w:tc>
        <w:tc>
          <w:tcPr>
            <w:tcW w:w="1634" w:type="dxa"/>
            <w:shd w:val="clear" w:color="auto" w:fill="auto"/>
          </w:tcPr>
          <w:p w14:paraId="5F74559F"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Turquie</w:t>
            </w:r>
          </w:p>
        </w:tc>
      </w:tr>
      <w:tr w:rsidR="00F34341" w:rsidRPr="00FF65D6" w14:paraId="60C4196A"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29F47358" w14:textId="77777777" w:rsidR="00F34341" w:rsidRPr="00FF65D6" w:rsidRDefault="00F34341" w:rsidP="003B7618">
            <w:pPr>
              <w:spacing w:before="40" w:after="120"/>
              <w:ind w:right="113"/>
              <w:jc w:val="left"/>
              <w:rPr>
                <w:i w:val="0"/>
                <w:lang w:val="fr-FR"/>
              </w:rPr>
            </w:pPr>
            <w:r w:rsidRPr="00FF65D6">
              <w:rPr>
                <w:i w:val="0"/>
                <w:lang w:val="fr-FR"/>
              </w:rPr>
              <w:t>2015</w:t>
            </w:r>
          </w:p>
        </w:tc>
        <w:tc>
          <w:tcPr>
            <w:tcW w:w="1986" w:type="dxa"/>
            <w:shd w:val="clear" w:color="auto" w:fill="auto"/>
          </w:tcPr>
          <w:p w14:paraId="21F9AECB"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02B36197"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masculin</w:t>
            </w:r>
          </w:p>
        </w:tc>
        <w:tc>
          <w:tcPr>
            <w:tcW w:w="1276" w:type="dxa"/>
            <w:shd w:val="clear" w:color="auto" w:fill="auto"/>
          </w:tcPr>
          <w:p w14:paraId="36B3880A"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émise</w:t>
            </w:r>
          </w:p>
        </w:tc>
        <w:tc>
          <w:tcPr>
            <w:tcW w:w="1342" w:type="dxa"/>
            <w:shd w:val="clear" w:color="auto" w:fill="auto"/>
          </w:tcPr>
          <w:p w14:paraId="2076CB97"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10</w:t>
            </w:r>
          </w:p>
        </w:tc>
        <w:tc>
          <w:tcPr>
            <w:tcW w:w="1634" w:type="dxa"/>
            <w:shd w:val="clear" w:color="auto" w:fill="auto"/>
          </w:tcPr>
          <w:p w14:paraId="086D362D"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Turquie/France</w:t>
            </w:r>
          </w:p>
        </w:tc>
      </w:tr>
      <w:tr w:rsidR="00F34341" w:rsidRPr="00FF65D6" w14:paraId="758756B4"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5E0FD2C5" w14:textId="77777777" w:rsidR="00F34341" w:rsidRPr="00FF65D6" w:rsidRDefault="00F34341" w:rsidP="003B7618">
            <w:pPr>
              <w:spacing w:before="40" w:after="120"/>
              <w:ind w:right="113"/>
              <w:jc w:val="left"/>
              <w:rPr>
                <w:i w:val="0"/>
                <w:lang w:val="fr-FR"/>
              </w:rPr>
            </w:pPr>
            <w:r w:rsidRPr="00FF65D6">
              <w:rPr>
                <w:i w:val="0"/>
                <w:lang w:val="fr-FR"/>
              </w:rPr>
              <w:t>2016</w:t>
            </w:r>
          </w:p>
        </w:tc>
        <w:tc>
          <w:tcPr>
            <w:tcW w:w="1986" w:type="dxa"/>
            <w:shd w:val="clear" w:color="auto" w:fill="auto"/>
          </w:tcPr>
          <w:p w14:paraId="2015B28D" w14:textId="77777777" w:rsidR="00F34341" w:rsidRPr="00FF65D6" w:rsidRDefault="00661E6F"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7B6F7CAC"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féminin</w:t>
            </w:r>
          </w:p>
        </w:tc>
        <w:tc>
          <w:tcPr>
            <w:tcW w:w="1276" w:type="dxa"/>
            <w:shd w:val="clear" w:color="auto" w:fill="auto"/>
          </w:tcPr>
          <w:p w14:paraId="7F0ECE30"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émise</w:t>
            </w:r>
          </w:p>
        </w:tc>
        <w:tc>
          <w:tcPr>
            <w:tcW w:w="1342" w:type="dxa"/>
            <w:shd w:val="clear" w:color="auto" w:fill="auto"/>
          </w:tcPr>
          <w:p w14:paraId="76090371"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4</w:t>
            </w:r>
          </w:p>
        </w:tc>
        <w:tc>
          <w:tcPr>
            <w:tcW w:w="1634" w:type="dxa"/>
            <w:shd w:val="clear" w:color="auto" w:fill="auto"/>
          </w:tcPr>
          <w:p w14:paraId="52D5F791"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Turquie</w:t>
            </w:r>
          </w:p>
        </w:tc>
      </w:tr>
      <w:tr w:rsidR="00F34341" w:rsidRPr="00FF65D6" w14:paraId="5C40CDAA"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64164035" w14:textId="77777777" w:rsidR="00F34341" w:rsidRPr="00FF65D6" w:rsidRDefault="00F34341" w:rsidP="003B7618">
            <w:pPr>
              <w:spacing w:before="40" w:after="120"/>
              <w:ind w:right="113"/>
              <w:jc w:val="left"/>
              <w:rPr>
                <w:i w:val="0"/>
                <w:lang w:val="fr-FR"/>
              </w:rPr>
            </w:pPr>
            <w:r w:rsidRPr="00FF65D6">
              <w:rPr>
                <w:i w:val="0"/>
                <w:lang w:val="fr-FR"/>
              </w:rPr>
              <w:t>2016</w:t>
            </w:r>
          </w:p>
        </w:tc>
        <w:tc>
          <w:tcPr>
            <w:tcW w:w="1986" w:type="dxa"/>
            <w:shd w:val="clear" w:color="auto" w:fill="auto"/>
          </w:tcPr>
          <w:p w14:paraId="44AA252B"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4E60BC62"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masculin</w:t>
            </w:r>
          </w:p>
        </w:tc>
        <w:tc>
          <w:tcPr>
            <w:tcW w:w="1276" w:type="dxa"/>
            <w:shd w:val="clear" w:color="auto" w:fill="auto"/>
          </w:tcPr>
          <w:p w14:paraId="7027ECAA"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émise</w:t>
            </w:r>
          </w:p>
        </w:tc>
        <w:tc>
          <w:tcPr>
            <w:tcW w:w="1342" w:type="dxa"/>
            <w:shd w:val="clear" w:color="auto" w:fill="auto"/>
          </w:tcPr>
          <w:p w14:paraId="46AF39A2"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10</w:t>
            </w:r>
          </w:p>
        </w:tc>
        <w:tc>
          <w:tcPr>
            <w:tcW w:w="1634" w:type="dxa"/>
            <w:shd w:val="clear" w:color="auto" w:fill="auto"/>
          </w:tcPr>
          <w:p w14:paraId="4B42C9B4"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Allemagne</w:t>
            </w:r>
          </w:p>
        </w:tc>
      </w:tr>
      <w:tr w:rsidR="00F34341" w:rsidRPr="00FF65D6" w14:paraId="0366B506"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3D1ED357" w14:textId="77777777" w:rsidR="00F34341" w:rsidRPr="00FF65D6" w:rsidRDefault="00F34341" w:rsidP="003B7618">
            <w:pPr>
              <w:spacing w:before="40" w:after="120"/>
              <w:ind w:right="113"/>
              <w:jc w:val="left"/>
              <w:rPr>
                <w:i w:val="0"/>
                <w:lang w:val="fr-FR"/>
              </w:rPr>
            </w:pPr>
            <w:r w:rsidRPr="00FF65D6">
              <w:rPr>
                <w:i w:val="0"/>
                <w:lang w:val="fr-FR"/>
              </w:rPr>
              <w:t>2016</w:t>
            </w:r>
          </w:p>
        </w:tc>
        <w:tc>
          <w:tcPr>
            <w:tcW w:w="1986" w:type="dxa"/>
            <w:shd w:val="clear" w:color="auto" w:fill="auto"/>
          </w:tcPr>
          <w:p w14:paraId="629E8F9D" w14:textId="77777777" w:rsidR="00F34341" w:rsidRPr="00FF65D6" w:rsidRDefault="00661E6F"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Pr>
                <w:lang w:val="fr-FR"/>
              </w:rPr>
              <w:t>a</w:t>
            </w:r>
            <w:r w:rsidR="00F34341" w:rsidRPr="00FF65D6">
              <w:rPr>
                <w:lang w:val="fr-FR"/>
              </w:rPr>
              <w:t>llema</w:t>
            </w:r>
            <w:r>
              <w:rPr>
                <w:lang w:val="fr-FR"/>
              </w:rPr>
              <w:t>nde</w:t>
            </w:r>
          </w:p>
        </w:tc>
        <w:tc>
          <w:tcPr>
            <w:tcW w:w="1559" w:type="dxa"/>
            <w:shd w:val="clear" w:color="auto" w:fill="auto"/>
          </w:tcPr>
          <w:p w14:paraId="77F86029"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féminin</w:t>
            </w:r>
          </w:p>
        </w:tc>
        <w:tc>
          <w:tcPr>
            <w:tcW w:w="1276" w:type="dxa"/>
            <w:shd w:val="clear" w:color="auto" w:fill="auto"/>
          </w:tcPr>
          <w:p w14:paraId="0E8DF4D7"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reçue</w:t>
            </w:r>
          </w:p>
        </w:tc>
        <w:tc>
          <w:tcPr>
            <w:tcW w:w="1342" w:type="dxa"/>
            <w:shd w:val="clear" w:color="auto" w:fill="auto"/>
          </w:tcPr>
          <w:p w14:paraId="76F69DF7"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4</w:t>
            </w:r>
          </w:p>
        </w:tc>
        <w:tc>
          <w:tcPr>
            <w:tcW w:w="1634" w:type="dxa"/>
            <w:shd w:val="clear" w:color="auto" w:fill="auto"/>
          </w:tcPr>
          <w:p w14:paraId="6E16FFF8"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w:t>
            </w:r>
          </w:p>
        </w:tc>
      </w:tr>
      <w:tr w:rsidR="00F34341" w:rsidRPr="00FF65D6" w14:paraId="2B43ADEA"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163B5843" w14:textId="77777777" w:rsidR="00F34341" w:rsidRPr="00FF65D6" w:rsidRDefault="00F34341" w:rsidP="003B7618">
            <w:pPr>
              <w:spacing w:before="40" w:after="120"/>
              <w:ind w:right="113"/>
              <w:jc w:val="left"/>
              <w:rPr>
                <w:i w:val="0"/>
                <w:lang w:val="fr-FR"/>
              </w:rPr>
            </w:pPr>
            <w:r w:rsidRPr="00FF65D6">
              <w:rPr>
                <w:i w:val="0"/>
                <w:lang w:val="fr-FR"/>
              </w:rPr>
              <w:t>2016</w:t>
            </w:r>
          </w:p>
        </w:tc>
        <w:tc>
          <w:tcPr>
            <w:tcW w:w="1986" w:type="dxa"/>
            <w:shd w:val="clear" w:color="auto" w:fill="auto"/>
          </w:tcPr>
          <w:p w14:paraId="7DB5B4D7"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Pr>
                <w:lang w:val="fr-FR"/>
              </w:rPr>
              <w:t>u</w:t>
            </w:r>
            <w:r w:rsidR="00F34341" w:rsidRPr="00FF65D6">
              <w:rPr>
                <w:lang w:val="fr-FR"/>
              </w:rPr>
              <w:t>krain</w:t>
            </w:r>
            <w:r>
              <w:rPr>
                <w:lang w:val="fr-FR"/>
              </w:rPr>
              <w:t>ienne</w:t>
            </w:r>
          </w:p>
        </w:tc>
        <w:tc>
          <w:tcPr>
            <w:tcW w:w="1559" w:type="dxa"/>
            <w:shd w:val="clear" w:color="auto" w:fill="auto"/>
          </w:tcPr>
          <w:p w14:paraId="3EE78647"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 xml:space="preserve">masculin </w:t>
            </w:r>
          </w:p>
        </w:tc>
        <w:tc>
          <w:tcPr>
            <w:tcW w:w="1276" w:type="dxa"/>
            <w:shd w:val="clear" w:color="auto" w:fill="auto"/>
          </w:tcPr>
          <w:p w14:paraId="53173A78"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émise</w:t>
            </w:r>
          </w:p>
        </w:tc>
        <w:tc>
          <w:tcPr>
            <w:tcW w:w="1342" w:type="dxa"/>
            <w:shd w:val="clear" w:color="auto" w:fill="auto"/>
          </w:tcPr>
          <w:p w14:paraId="3D2ADDEB"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6</w:t>
            </w:r>
          </w:p>
        </w:tc>
        <w:tc>
          <w:tcPr>
            <w:tcW w:w="1634" w:type="dxa"/>
            <w:shd w:val="clear" w:color="auto" w:fill="auto"/>
          </w:tcPr>
          <w:p w14:paraId="30904F6C"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w:t>
            </w:r>
          </w:p>
        </w:tc>
      </w:tr>
      <w:tr w:rsidR="00F34341" w:rsidRPr="00FF65D6" w14:paraId="7775CD7F"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5E73AF04" w14:textId="77777777" w:rsidR="00F34341" w:rsidRPr="00FF65D6" w:rsidRDefault="00F34341" w:rsidP="003B7618">
            <w:pPr>
              <w:spacing w:before="40" w:after="120"/>
              <w:ind w:right="113"/>
              <w:jc w:val="left"/>
              <w:rPr>
                <w:i w:val="0"/>
                <w:lang w:val="fr-FR"/>
              </w:rPr>
            </w:pPr>
            <w:r w:rsidRPr="00FF65D6">
              <w:rPr>
                <w:i w:val="0"/>
                <w:lang w:val="fr-FR"/>
              </w:rPr>
              <w:t>2016</w:t>
            </w:r>
          </w:p>
        </w:tc>
        <w:tc>
          <w:tcPr>
            <w:tcW w:w="1986" w:type="dxa"/>
            <w:shd w:val="clear" w:color="auto" w:fill="auto"/>
          </w:tcPr>
          <w:p w14:paraId="170E1176" w14:textId="77777777" w:rsidR="00F34341" w:rsidRPr="00FF65D6" w:rsidRDefault="00661E6F"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11C089A7"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féminin</w:t>
            </w:r>
          </w:p>
        </w:tc>
        <w:tc>
          <w:tcPr>
            <w:tcW w:w="1276" w:type="dxa"/>
            <w:shd w:val="clear" w:color="auto" w:fill="auto"/>
          </w:tcPr>
          <w:p w14:paraId="226D7E79"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émise</w:t>
            </w:r>
          </w:p>
        </w:tc>
        <w:tc>
          <w:tcPr>
            <w:tcW w:w="1342" w:type="dxa"/>
            <w:shd w:val="clear" w:color="auto" w:fill="auto"/>
          </w:tcPr>
          <w:p w14:paraId="5D99A147"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4</w:t>
            </w:r>
          </w:p>
        </w:tc>
        <w:tc>
          <w:tcPr>
            <w:tcW w:w="1634" w:type="dxa"/>
            <w:shd w:val="clear" w:color="auto" w:fill="auto"/>
          </w:tcPr>
          <w:p w14:paraId="69CCF8E8"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Turquie</w:t>
            </w:r>
          </w:p>
        </w:tc>
      </w:tr>
      <w:tr w:rsidR="00F34341" w:rsidRPr="00FF65D6" w14:paraId="12D3CC24"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7D596C95" w14:textId="77777777" w:rsidR="00F34341" w:rsidRPr="00FF65D6" w:rsidRDefault="00F34341" w:rsidP="003B7618">
            <w:pPr>
              <w:spacing w:before="40" w:after="120"/>
              <w:ind w:right="113"/>
              <w:jc w:val="left"/>
              <w:rPr>
                <w:i w:val="0"/>
                <w:lang w:val="fr-FR"/>
              </w:rPr>
            </w:pPr>
            <w:r w:rsidRPr="00FF65D6">
              <w:rPr>
                <w:i w:val="0"/>
                <w:lang w:val="fr-FR"/>
              </w:rPr>
              <w:t>2016</w:t>
            </w:r>
          </w:p>
        </w:tc>
        <w:tc>
          <w:tcPr>
            <w:tcW w:w="1986" w:type="dxa"/>
            <w:shd w:val="clear" w:color="auto" w:fill="auto"/>
          </w:tcPr>
          <w:p w14:paraId="6AA77C40"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Pr>
                <w:lang w:val="fr-FR"/>
              </w:rPr>
              <w:t>turque</w:t>
            </w:r>
          </w:p>
        </w:tc>
        <w:tc>
          <w:tcPr>
            <w:tcW w:w="1559" w:type="dxa"/>
            <w:shd w:val="clear" w:color="auto" w:fill="auto"/>
          </w:tcPr>
          <w:p w14:paraId="36568149"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masculin</w:t>
            </w:r>
          </w:p>
        </w:tc>
        <w:tc>
          <w:tcPr>
            <w:tcW w:w="1276" w:type="dxa"/>
            <w:shd w:val="clear" w:color="auto" w:fill="auto"/>
          </w:tcPr>
          <w:p w14:paraId="2FAAA5C9"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reçue</w:t>
            </w:r>
          </w:p>
        </w:tc>
        <w:tc>
          <w:tcPr>
            <w:tcW w:w="1342" w:type="dxa"/>
            <w:shd w:val="clear" w:color="auto" w:fill="auto"/>
          </w:tcPr>
          <w:p w14:paraId="40A6E8CF"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5</w:t>
            </w:r>
          </w:p>
        </w:tc>
        <w:tc>
          <w:tcPr>
            <w:tcW w:w="1634" w:type="dxa"/>
            <w:shd w:val="clear" w:color="auto" w:fill="auto"/>
          </w:tcPr>
          <w:p w14:paraId="5E3E3067"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w:t>
            </w:r>
          </w:p>
        </w:tc>
      </w:tr>
      <w:tr w:rsidR="00F34341" w:rsidRPr="00FF65D6" w14:paraId="51E7F671" w14:textId="77777777" w:rsidTr="003B7618">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14:paraId="624B4A0E" w14:textId="77777777" w:rsidR="00F34341" w:rsidRPr="00FF65D6" w:rsidRDefault="00F34341" w:rsidP="003B7618">
            <w:pPr>
              <w:spacing w:before="40" w:after="120"/>
              <w:ind w:right="113"/>
              <w:jc w:val="left"/>
              <w:rPr>
                <w:i w:val="0"/>
                <w:lang w:val="fr-FR"/>
              </w:rPr>
            </w:pPr>
            <w:r w:rsidRPr="00FF65D6">
              <w:rPr>
                <w:i w:val="0"/>
                <w:lang w:val="fr-FR"/>
              </w:rPr>
              <w:t>2016</w:t>
            </w:r>
          </w:p>
        </w:tc>
        <w:tc>
          <w:tcPr>
            <w:tcW w:w="1986" w:type="dxa"/>
            <w:shd w:val="clear" w:color="auto" w:fill="auto"/>
          </w:tcPr>
          <w:p w14:paraId="7D64F823" w14:textId="77777777" w:rsidR="00F34341" w:rsidRPr="00FF65D6" w:rsidRDefault="00661E6F"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géorgienne</w:t>
            </w:r>
          </w:p>
        </w:tc>
        <w:tc>
          <w:tcPr>
            <w:tcW w:w="1559" w:type="dxa"/>
            <w:shd w:val="clear" w:color="auto" w:fill="auto"/>
          </w:tcPr>
          <w:p w14:paraId="25905CFD"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féminin</w:t>
            </w:r>
          </w:p>
        </w:tc>
        <w:tc>
          <w:tcPr>
            <w:tcW w:w="1276" w:type="dxa"/>
            <w:shd w:val="clear" w:color="auto" w:fill="auto"/>
          </w:tcPr>
          <w:p w14:paraId="2E4C1C92"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reçue</w:t>
            </w:r>
          </w:p>
        </w:tc>
        <w:tc>
          <w:tcPr>
            <w:tcW w:w="1342" w:type="dxa"/>
            <w:shd w:val="clear" w:color="auto" w:fill="auto"/>
          </w:tcPr>
          <w:p w14:paraId="38F0CB88"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9</w:t>
            </w:r>
          </w:p>
        </w:tc>
        <w:tc>
          <w:tcPr>
            <w:tcW w:w="1634" w:type="dxa"/>
            <w:shd w:val="clear" w:color="auto" w:fill="auto"/>
          </w:tcPr>
          <w:p w14:paraId="08BCE69E" w14:textId="77777777" w:rsidR="00F34341" w:rsidRPr="00FF65D6" w:rsidRDefault="00F34341" w:rsidP="003B7618">
            <w:pPr>
              <w:spacing w:before="40" w:after="120"/>
              <w:ind w:right="113"/>
              <w:cnfStyle w:val="000000000000" w:firstRow="0" w:lastRow="0" w:firstColumn="0" w:lastColumn="0" w:oddVBand="0" w:evenVBand="0" w:oddHBand="0" w:evenHBand="0" w:firstRowFirstColumn="0" w:firstRowLastColumn="0" w:lastRowFirstColumn="0" w:lastRowLastColumn="0"/>
              <w:rPr>
                <w:lang w:val="fr-FR"/>
              </w:rPr>
            </w:pPr>
            <w:r w:rsidRPr="00FF65D6">
              <w:rPr>
                <w:lang w:val="fr-FR"/>
              </w:rPr>
              <w:t>Géorgie</w:t>
            </w:r>
          </w:p>
        </w:tc>
      </w:tr>
      <w:tr w:rsidR="00F34341" w:rsidRPr="003B7618" w14:paraId="15296F38" w14:textId="77777777" w:rsidTr="003B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bottom w:val="single" w:sz="12" w:space="0" w:color="auto"/>
              <w:right w:val="none" w:sz="0" w:space="0" w:color="auto"/>
            </w:tcBorders>
            <w:shd w:val="clear" w:color="auto" w:fill="auto"/>
          </w:tcPr>
          <w:p w14:paraId="4AE62BFC" w14:textId="77777777" w:rsidR="00F34341" w:rsidRPr="00FF65D6" w:rsidRDefault="00F34341" w:rsidP="003B7618">
            <w:pPr>
              <w:spacing w:before="40" w:after="120"/>
              <w:ind w:right="113"/>
              <w:jc w:val="left"/>
              <w:rPr>
                <w:i w:val="0"/>
                <w:lang w:val="fr-FR"/>
              </w:rPr>
            </w:pPr>
            <w:r w:rsidRPr="00FF65D6">
              <w:rPr>
                <w:i w:val="0"/>
                <w:lang w:val="fr-FR"/>
              </w:rPr>
              <w:t>2016</w:t>
            </w:r>
          </w:p>
        </w:tc>
        <w:tc>
          <w:tcPr>
            <w:tcW w:w="1986" w:type="dxa"/>
            <w:tcBorders>
              <w:bottom w:val="single" w:sz="12" w:space="0" w:color="auto"/>
            </w:tcBorders>
            <w:shd w:val="clear" w:color="auto" w:fill="auto"/>
          </w:tcPr>
          <w:p w14:paraId="7B3241B4" w14:textId="77777777" w:rsidR="00F34341" w:rsidRPr="00FF65D6" w:rsidRDefault="00661E6F"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Pr>
                <w:lang w:val="fr-FR"/>
              </w:rPr>
              <w:t>e</w:t>
            </w:r>
            <w:r w:rsidR="00F34341" w:rsidRPr="00FF65D6">
              <w:rPr>
                <w:lang w:val="fr-FR"/>
              </w:rPr>
              <w:t>stonie</w:t>
            </w:r>
            <w:r>
              <w:rPr>
                <w:lang w:val="fr-FR"/>
              </w:rPr>
              <w:t>nne</w:t>
            </w:r>
            <w:r w:rsidR="00F34341" w:rsidRPr="00FF65D6">
              <w:rPr>
                <w:lang w:val="fr-FR"/>
              </w:rPr>
              <w:t>/</w:t>
            </w:r>
            <w:r>
              <w:rPr>
                <w:lang w:val="fr-FR"/>
              </w:rPr>
              <w:t>américaine</w:t>
            </w:r>
          </w:p>
        </w:tc>
        <w:tc>
          <w:tcPr>
            <w:tcW w:w="1559" w:type="dxa"/>
            <w:tcBorders>
              <w:bottom w:val="single" w:sz="12" w:space="0" w:color="auto"/>
            </w:tcBorders>
            <w:shd w:val="clear" w:color="auto" w:fill="auto"/>
          </w:tcPr>
          <w:p w14:paraId="520F8A74"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féminin (5)</w:t>
            </w:r>
          </w:p>
        </w:tc>
        <w:tc>
          <w:tcPr>
            <w:tcW w:w="1276" w:type="dxa"/>
            <w:tcBorders>
              <w:bottom w:val="single" w:sz="12" w:space="0" w:color="auto"/>
            </w:tcBorders>
            <w:shd w:val="clear" w:color="auto" w:fill="auto"/>
          </w:tcPr>
          <w:p w14:paraId="393F6BEB"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reçue</w:t>
            </w:r>
          </w:p>
        </w:tc>
        <w:tc>
          <w:tcPr>
            <w:tcW w:w="1342" w:type="dxa"/>
            <w:tcBorders>
              <w:bottom w:val="single" w:sz="12" w:space="0" w:color="auto"/>
            </w:tcBorders>
            <w:shd w:val="clear" w:color="auto" w:fill="auto"/>
          </w:tcPr>
          <w:p w14:paraId="511BDFCD" w14:textId="77777777" w:rsidR="00F34341" w:rsidRPr="00FF65D6"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2, 3, 9, 10 et</w:t>
            </w:r>
            <w:r w:rsidR="00937001">
              <w:rPr>
                <w:lang w:val="fr-FR"/>
              </w:rPr>
              <w:t> </w:t>
            </w:r>
            <w:r w:rsidRPr="00FF65D6">
              <w:rPr>
                <w:lang w:val="fr-FR"/>
              </w:rPr>
              <w:t>13</w:t>
            </w:r>
          </w:p>
        </w:tc>
        <w:tc>
          <w:tcPr>
            <w:tcW w:w="1634" w:type="dxa"/>
            <w:tcBorders>
              <w:bottom w:val="single" w:sz="12" w:space="0" w:color="auto"/>
            </w:tcBorders>
            <w:shd w:val="clear" w:color="auto" w:fill="auto"/>
          </w:tcPr>
          <w:p w14:paraId="3565959D" w14:textId="77777777" w:rsidR="00F34341" w:rsidRPr="003B7618" w:rsidRDefault="00F34341" w:rsidP="003B7618">
            <w:pPr>
              <w:spacing w:before="40" w:after="120"/>
              <w:ind w:right="113"/>
              <w:cnfStyle w:val="000000100000" w:firstRow="0" w:lastRow="0" w:firstColumn="0" w:lastColumn="0" w:oddVBand="0" w:evenVBand="0" w:oddHBand="1" w:evenHBand="0" w:firstRowFirstColumn="0" w:firstRowLastColumn="0" w:lastRowFirstColumn="0" w:lastRowLastColumn="0"/>
              <w:rPr>
                <w:lang w:val="fr-FR"/>
              </w:rPr>
            </w:pPr>
            <w:r w:rsidRPr="00FF65D6">
              <w:rPr>
                <w:lang w:val="fr-FR"/>
              </w:rPr>
              <w:t>Géorgie</w:t>
            </w:r>
          </w:p>
        </w:tc>
      </w:tr>
    </w:tbl>
    <w:p w14:paraId="719C803F" w14:textId="77777777" w:rsidR="00F34341" w:rsidRPr="00F34341" w:rsidRDefault="00F34341" w:rsidP="00F34341">
      <w:pPr>
        <w:pStyle w:val="SingleTxtG"/>
        <w:spacing w:before="240" w:after="0"/>
        <w:jc w:val="center"/>
        <w:rPr>
          <w:u w:val="single"/>
        </w:rPr>
      </w:pPr>
      <w:r>
        <w:rPr>
          <w:u w:val="single"/>
        </w:rPr>
        <w:tab/>
      </w:r>
      <w:r>
        <w:rPr>
          <w:u w:val="single"/>
        </w:rPr>
        <w:tab/>
      </w:r>
      <w:r>
        <w:rPr>
          <w:u w:val="single"/>
        </w:rPr>
        <w:tab/>
      </w:r>
    </w:p>
    <w:sectPr w:rsidR="00F34341" w:rsidRPr="00F34341" w:rsidSect="00D37E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0F23" w14:textId="77777777" w:rsidR="001A4F09" w:rsidRDefault="001A4F09" w:rsidP="00F95C08">
      <w:pPr>
        <w:spacing w:line="240" w:lineRule="auto"/>
      </w:pPr>
    </w:p>
  </w:endnote>
  <w:endnote w:type="continuationSeparator" w:id="0">
    <w:p w14:paraId="01E1646B" w14:textId="77777777" w:rsidR="001A4F09" w:rsidRPr="00AC3823" w:rsidRDefault="001A4F09" w:rsidP="00AC3823">
      <w:pPr>
        <w:pStyle w:val="Pieddepage"/>
      </w:pPr>
    </w:p>
  </w:endnote>
  <w:endnote w:type="continuationNotice" w:id="1">
    <w:p w14:paraId="35BC7251" w14:textId="77777777" w:rsidR="001A4F09" w:rsidRDefault="001A4F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D079" w14:textId="77777777" w:rsidR="001A4F09" w:rsidRPr="00D37EB2" w:rsidRDefault="001A4F09" w:rsidP="00D37EB2">
    <w:pPr>
      <w:pStyle w:val="Pieddepage"/>
      <w:tabs>
        <w:tab w:val="right" w:pos="9638"/>
      </w:tabs>
    </w:pPr>
    <w:r w:rsidRPr="00D37EB2">
      <w:rPr>
        <w:b/>
        <w:sz w:val="18"/>
      </w:rPr>
      <w:fldChar w:fldCharType="begin"/>
    </w:r>
    <w:r w:rsidRPr="00D37EB2">
      <w:rPr>
        <w:b/>
        <w:sz w:val="18"/>
      </w:rPr>
      <w:instrText xml:space="preserve"> PAGE  \* MERGEFORMAT </w:instrText>
    </w:r>
    <w:r w:rsidRPr="00D37EB2">
      <w:rPr>
        <w:b/>
        <w:sz w:val="18"/>
      </w:rPr>
      <w:fldChar w:fldCharType="separate"/>
    </w:r>
    <w:r w:rsidRPr="00D37EB2">
      <w:rPr>
        <w:b/>
        <w:noProof/>
        <w:sz w:val="18"/>
      </w:rPr>
      <w:t>2</w:t>
    </w:r>
    <w:r w:rsidRPr="00D37EB2">
      <w:rPr>
        <w:b/>
        <w:sz w:val="18"/>
      </w:rPr>
      <w:fldChar w:fldCharType="end"/>
    </w:r>
    <w:r>
      <w:rPr>
        <w:b/>
        <w:sz w:val="18"/>
      </w:rPr>
      <w:tab/>
    </w:r>
    <w:r>
      <w:t>GE</w:t>
    </w:r>
    <w:r w:rsidR="00B11705" w:rsidRPr="00B11705">
      <w:t>.</w:t>
    </w:r>
    <w:r>
      <w:t>18-19767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CA5" w14:textId="77777777" w:rsidR="00973933" w:rsidRPr="00D37EB2" w:rsidRDefault="00973933" w:rsidP="00D37EB2">
    <w:pPr>
      <w:pStyle w:val="Pieddepage"/>
      <w:tabs>
        <w:tab w:val="right" w:pos="9638"/>
      </w:tabs>
      <w:rPr>
        <w:b/>
        <w:sz w:val="18"/>
      </w:rPr>
    </w:pPr>
    <w:r>
      <w:t>GE</w:t>
    </w:r>
    <w:r w:rsidR="005C1799" w:rsidRPr="005C1799">
      <w:t>.</w:t>
    </w:r>
    <w:r>
      <w:t>18-19767</w:t>
    </w:r>
    <w:r>
      <w:tab/>
    </w:r>
    <w:r w:rsidRPr="00D37EB2">
      <w:rPr>
        <w:b/>
        <w:sz w:val="18"/>
      </w:rPr>
      <w:fldChar w:fldCharType="begin"/>
    </w:r>
    <w:r w:rsidRPr="00D37EB2">
      <w:rPr>
        <w:b/>
        <w:sz w:val="18"/>
      </w:rPr>
      <w:instrText xml:space="preserve"> PAGE  \* MERGEFORMAT </w:instrText>
    </w:r>
    <w:r w:rsidRPr="00D37EB2">
      <w:rPr>
        <w:b/>
        <w:sz w:val="18"/>
      </w:rPr>
      <w:fldChar w:fldCharType="separate"/>
    </w:r>
    <w:r w:rsidRPr="00D37EB2">
      <w:rPr>
        <w:b/>
        <w:noProof/>
        <w:sz w:val="18"/>
      </w:rPr>
      <w:t>3</w:t>
    </w:r>
    <w:r w:rsidRPr="00D37E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AE1C" w14:textId="77777777" w:rsidR="001A4F09" w:rsidRPr="00D37EB2" w:rsidRDefault="001A4F09" w:rsidP="00D37EB2">
    <w:pPr>
      <w:pStyle w:val="Pieddepage"/>
      <w:spacing w:before="120"/>
      <w:rPr>
        <w:sz w:val="20"/>
      </w:rPr>
    </w:pPr>
    <w:r w:rsidRPr="005C1799">
      <w:rPr>
        <w:sz w:val="20"/>
      </w:rPr>
      <w:t>GE.</w:t>
    </w:r>
    <w:r w:rsidRPr="005C1799">
      <w:rPr>
        <w:noProof/>
        <w:lang w:eastAsia="fr-CH"/>
      </w:rPr>
      <w:drawing>
        <wp:anchor distT="0" distB="0" distL="114300" distR="114300" simplePos="0" relativeHeight="251660288" behindDoc="0" locked="0" layoutInCell="1" allowOverlap="0" wp14:anchorId="74B7A07A" wp14:editId="4394580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799">
      <w:rPr>
        <w:sz w:val="20"/>
      </w:rPr>
      <w:t>18-19767  (F)    250119    280219</w:t>
    </w:r>
    <w:r w:rsidRPr="005C1799">
      <w:rPr>
        <w:sz w:val="20"/>
      </w:rPr>
      <w:br/>
    </w:r>
    <w:r w:rsidRPr="005C1799">
      <w:rPr>
        <w:rFonts w:ascii="C39T30Lfz" w:hAnsi="C39T30Lfz"/>
        <w:sz w:val="56"/>
      </w:rPr>
      <w:t></w:t>
    </w:r>
    <w:r w:rsidRPr="005C1799">
      <w:rPr>
        <w:rFonts w:ascii="C39T30Lfz" w:hAnsi="C39T30Lfz"/>
        <w:sz w:val="56"/>
      </w:rPr>
      <w:t></w:t>
    </w:r>
    <w:r w:rsidRPr="005C1799">
      <w:rPr>
        <w:rFonts w:ascii="C39T30Lfz" w:hAnsi="C39T30Lfz"/>
        <w:sz w:val="56"/>
      </w:rPr>
      <w:t></w:t>
    </w:r>
    <w:r w:rsidRPr="005C1799">
      <w:rPr>
        <w:rFonts w:ascii="C39T30Lfz" w:hAnsi="C39T30Lfz"/>
        <w:sz w:val="56"/>
      </w:rPr>
      <w:t></w:t>
    </w:r>
    <w:r w:rsidRPr="005C1799">
      <w:rPr>
        <w:rFonts w:ascii="C39T30Lfz" w:hAnsi="C39T30Lfz"/>
        <w:sz w:val="56"/>
      </w:rPr>
      <w:t></w:t>
    </w:r>
    <w:r w:rsidRPr="005C1799">
      <w:rPr>
        <w:rFonts w:ascii="C39T30Lfz" w:hAnsi="C39T30Lfz"/>
        <w:sz w:val="56"/>
      </w:rPr>
      <w:t></w:t>
    </w:r>
    <w:r w:rsidRPr="005C1799">
      <w:rPr>
        <w:rFonts w:ascii="C39T30Lfz" w:hAnsi="C39T30Lfz"/>
        <w:sz w:val="56"/>
      </w:rPr>
      <w:t></w:t>
    </w:r>
    <w:r w:rsidRPr="005C1799">
      <w:rPr>
        <w:rFonts w:ascii="C39T30Lfz" w:hAnsi="C39T30Lfz"/>
        <w:sz w:val="56"/>
      </w:rPr>
      <w:t></w:t>
    </w:r>
    <w:r w:rsidRPr="005C1799">
      <w:rPr>
        <w:rFonts w:ascii="C39T30Lfz" w:hAnsi="C39T30Lfz"/>
        <w:sz w:val="56"/>
      </w:rPr>
      <w:t></w:t>
    </w:r>
    <w:r w:rsidRPr="005C1799">
      <w:rPr>
        <w:noProof/>
        <w:sz w:val="20"/>
      </w:rPr>
      <w:drawing>
        <wp:anchor distT="0" distB="0" distL="114300" distR="114300" simplePos="0" relativeHeight="251658240" behindDoc="0" locked="0" layoutInCell="1" allowOverlap="1" wp14:anchorId="2D024AE1" wp14:editId="4BFF6C02">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OPSC/GE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E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08C0" w14:textId="77777777" w:rsidR="001A4F09" w:rsidRPr="00AC3823" w:rsidRDefault="001A4F09" w:rsidP="00AC3823">
      <w:pPr>
        <w:pStyle w:val="Pieddepage"/>
        <w:tabs>
          <w:tab w:val="right" w:pos="2155"/>
        </w:tabs>
        <w:spacing w:after="80" w:line="240" w:lineRule="atLeast"/>
        <w:ind w:left="680"/>
        <w:rPr>
          <w:u w:val="single"/>
        </w:rPr>
      </w:pPr>
      <w:r>
        <w:rPr>
          <w:u w:val="single"/>
        </w:rPr>
        <w:tab/>
      </w:r>
    </w:p>
  </w:footnote>
  <w:footnote w:type="continuationSeparator" w:id="0">
    <w:p w14:paraId="6B9FDDF8" w14:textId="77777777" w:rsidR="001A4F09" w:rsidRPr="00AC3823" w:rsidRDefault="001A4F09" w:rsidP="00AC3823">
      <w:pPr>
        <w:pStyle w:val="Pieddepage"/>
        <w:tabs>
          <w:tab w:val="right" w:pos="2155"/>
        </w:tabs>
        <w:spacing w:after="80" w:line="240" w:lineRule="atLeast"/>
        <w:ind w:left="680"/>
        <w:rPr>
          <w:u w:val="single"/>
        </w:rPr>
      </w:pPr>
      <w:r>
        <w:rPr>
          <w:u w:val="single"/>
        </w:rPr>
        <w:tab/>
      </w:r>
    </w:p>
  </w:footnote>
  <w:footnote w:type="continuationNotice" w:id="1">
    <w:p w14:paraId="56F90AD7" w14:textId="77777777" w:rsidR="001A4F09" w:rsidRPr="00AC3823" w:rsidRDefault="001A4F09">
      <w:pPr>
        <w:spacing w:line="240" w:lineRule="auto"/>
        <w:rPr>
          <w:sz w:val="2"/>
          <w:szCs w:val="2"/>
        </w:rPr>
      </w:pPr>
    </w:p>
  </w:footnote>
  <w:footnote w:id="2">
    <w:p w14:paraId="20DF7380" w14:textId="77777777" w:rsidR="001A4F09" w:rsidRPr="005C1799" w:rsidRDefault="001A4F09">
      <w:pPr>
        <w:pStyle w:val="Notedebasdepage"/>
      </w:pPr>
      <w:r>
        <w:rPr>
          <w:rStyle w:val="Appelnotedebasdep"/>
        </w:rPr>
        <w:tab/>
      </w:r>
      <w:r w:rsidRPr="005C1799">
        <w:rPr>
          <w:rStyle w:val="Appelnotedebasdep"/>
          <w:sz w:val="20"/>
          <w:vertAlign w:val="baseline"/>
        </w:rPr>
        <w:t>*</w:t>
      </w:r>
      <w:r w:rsidRPr="005C1799">
        <w:rPr>
          <w:rStyle w:val="Appelnotedebasdep"/>
          <w:sz w:val="20"/>
          <w:vertAlign w:val="baseline"/>
        </w:rPr>
        <w:tab/>
      </w:r>
      <w:r w:rsidRPr="005C1799">
        <w:rPr>
          <w:lang w:val="fr-FR"/>
        </w:rPr>
        <w:t>La version originale du prés</w:t>
      </w:r>
      <w:bookmarkStart w:id="0" w:name="_GoBack"/>
      <w:bookmarkEnd w:id="0"/>
      <w:r w:rsidRPr="005C1799">
        <w:rPr>
          <w:lang w:val="fr-FR"/>
        </w:rPr>
        <w:t>ent document n’a pas été revue par les services d’édition.</w:t>
      </w:r>
    </w:p>
  </w:footnote>
  <w:footnote w:id="3">
    <w:p w14:paraId="375EC91F" w14:textId="77777777" w:rsidR="001A4F09" w:rsidRPr="005C1799" w:rsidRDefault="001A4F09" w:rsidP="005D46A0">
      <w:pPr>
        <w:pStyle w:val="Notedebasdepage"/>
        <w:rPr>
          <w:lang w:val="fr-FR"/>
        </w:rPr>
      </w:pPr>
      <w:r w:rsidRPr="005C1799">
        <w:rPr>
          <w:lang w:val="fr-FR"/>
        </w:rPr>
        <w:tab/>
      </w:r>
      <w:r w:rsidRPr="005C1799">
        <w:rPr>
          <w:rStyle w:val="Appelnotedebasdep"/>
        </w:rPr>
        <w:footnoteRef/>
      </w:r>
      <w:r w:rsidRPr="005C1799">
        <w:rPr>
          <w:lang w:val="fr-FR"/>
        </w:rPr>
        <w:tab/>
        <w:t>(CRC/OP/SA/1).</w:t>
      </w:r>
    </w:p>
  </w:footnote>
  <w:footnote w:id="4">
    <w:p w14:paraId="4A567903" w14:textId="77777777" w:rsidR="001A4F09" w:rsidRPr="005C1799" w:rsidRDefault="001A4F09" w:rsidP="005D46A0">
      <w:pPr>
        <w:pStyle w:val="Notedebasdepage"/>
        <w:rPr>
          <w:lang w:val="fr-FR"/>
        </w:rPr>
      </w:pPr>
      <w:r w:rsidRPr="005C1799">
        <w:rPr>
          <w:lang w:val="fr-FR"/>
        </w:rPr>
        <w:tab/>
      </w:r>
      <w:r w:rsidRPr="005C1799">
        <w:rPr>
          <w:rStyle w:val="Appelnotedebasdep"/>
        </w:rPr>
        <w:footnoteRef/>
      </w:r>
      <w:r w:rsidRPr="005C1799">
        <w:rPr>
          <w:lang w:val="fr-FR"/>
        </w:rPr>
        <w:tab/>
        <w:t>Art. 43 de la Constitution géorgienne (1995).</w:t>
      </w:r>
    </w:p>
  </w:footnote>
  <w:footnote w:id="5">
    <w:p w14:paraId="726D3E41" w14:textId="77777777" w:rsidR="001A4F09" w:rsidRPr="005C1799" w:rsidRDefault="001A4F09" w:rsidP="005D46A0">
      <w:pPr>
        <w:pStyle w:val="Notedebasdepage"/>
        <w:rPr>
          <w:lang w:val="fr-FR"/>
        </w:rPr>
      </w:pPr>
      <w:r w:rsidRPr="005C1799">
        <w:rPr>
          <w:lang w:val="fr-FR"/>
        </w:rPr>
        <w:tab/>
      </w:r>
      <w:r w:rsidRPr="005C1799">
        <w:rPr>
          <w:rStyle w:val="Appelnotedebasdep"/>
        </w:rPr>
        <w:footnoteRef/>
      </w:r>
      <w:r w:rsidRPr="005C1799">
        <w:rPr>
          <w:lang w:val="fr-FR"/>
        </w:rPr>
        <w:tab/>
        <w:t>Art. 4.1 de la loi organique de la Géorgie sur le Défenseur public de la Géorgie (1996).</w:t>
      </w:r>
    </w:p>
  </w:footnote>
  <w:footnote w:id="6">
    <w:p w14:paraId="63FA3F78" w14:textId="77777777" w:rsidR="001A4F09" w:rsidRPr="005C1799" w:rsidRDefault="001A4F09" w:rsidP="005D46A0">
      <w:pPr>
        <w:pStyle w:val="Notedebasdepage"/>
        <w:rPr>
          <w:lang w:val="fr-FR"/>
        </w:rPr>
      </w:pPr>
      <w:r w:rsidRPr="005C1799">
        <w:rPr>
          <w:lang w:val="fr-FR"/>
        </w:rPr>
        <w:tab/>
      </w:r>
      <w:r w:rsidRPr="005C1799">
        <w:rPr>
          <w:rStyle w:val="Appelnotedebasdep"/>
        </w:rPr>
        <w:footnoteRef/>
      </w:r>
      <w:r w:rsidRPr="005C1799">
        <w:rPr>
          <w:lang w:val="fr-FR"/>
        </w:rPr>
        <w:tab/>
        <w:t>Art. 12 de la loi organique de la Géorgie sur le Défenseur public de la Géorgie (1996).</w:t>
      </w:r>
    </w:p>
  </w:footnote>
  <w:footnote w:id="7">
    <w:p w14:paraId="1261C22D" w14:textId="77777777" w:rsidR="001A4F09" w:rsidRPr="005C1799" w:rsidRDefault="001A4F09" w:rsidP="005D46A0">
      <w:pPr>
        <w:pStyle w:val="Notedebasdepage"/>
        <w:rPr>
          <w:lang w:val="fr-FR"/>
        </w:rPr>
      </w:pPr>
      <w:r w:rsidRPr="005C1799">
        <w:rPr>
          <w:lang w:val="fr-FR"/>
        </w:rPr>
        <w:tab/>
      </w:r>
      <w:r w:rsidRPr="005C1799">
        <w:rPr>
          <w:rStyle w:val="Appelnotedebasdep"/>
        </w:rPr>
        <w:footnoteRef/>
      </w:r>
      <w:r w:rsidRPr="005C1799">
        <w:rPr>
          <w:lang w:val="fr-FR"/>
        </w:rPr>
        <w:tab/>
        <w:t>Art. 18 de la loi organique de la Géorgie sur le Défenseur public de la Géorgie (1996).</w:t>
      </w:r>
    </w:p>
  </w:footnote>
  <w:footnote w:id="8">
    <w:p w14:paraId="4B62FB2F" w14:textId="77777777" w:rsidR="001A4F09" w:rsidRPr="005C1799" w:rsidRDefault="001A4F09" w:rsidP="005D46A0">
      <w:pPr>
        <w:pStyle w:val="Notedebasdepage"/>
        <w:rPr>
          <w:lang w:val="fr-FR"/>
        </w:rPr>
      </w:pPr>
      <w:r w:rsidRPr="005C1799">
        <w:rPr>
          <w:lang w:val="fr-FR"/>
        </w:rPr>
        <w:tab/>
      </w:r>
      <w:r w:rsidRPr="005C1799">
        <w:rPr>
          <w:rStyle w:val="Appelnotedebasdep"/>
        </w:rPr>
        <w:footnoteRef/>
      </w:r>
      <w:r w:rsidRPr="005C1799">
        <w:rPr>
          <w:lang w:val="fr-FR"/>
        </w:rPr>
        <w:tab/>
        <w:t>Art. 21 de la loi organique de la Géorgie sur le Défenseur public de la Géorgie (1996).</w:t>
      </w:r>
    </w:p>
  </w:footnote>
  <w:footnote w:id="9">
    <w:p w14:paraId="2F4B14D0" w14:textId="77777777" w:rsidR="001A4F09" w:rsidRPr="005C1799" w:rsidRDefault="001A4F09" w:rsidP="005D46A0">
      <w:pPr>
        <w:pStyle w:val="Notedebasdepage"/>
        <w:rPr>
          <w:lang w:val="fr-FR"/>
        </w:rPr>
      </w:pPr>
      <w:r w:rsidRPr="005C1799">
        <w:rPr>
          <w:lang w:val="fr-FR"/>
        </w:rPr>
        <w:tab/>
      </w:r>
      <w:r w:rsidRPr="005C1799">
        <w:rPr>
          <w:rStyle w:val="Appelnotedebasdep"/>
        </w:rPr>
        <w:footnoteRef/>
      </w:r>
      <w:r w:rsidRPr="005C1799">
        <w:rPr>
          <w:lang w:val="fr-FR"/>
        </w:rPr>
        <w:tab/>
        <w:t>Art. 22 de la loi organique de la Géorgie sur le Défenseur public de la Géorgie (1996).</w:t>
      </w:r>
    </w:p>
  </w:footnote>
  <w:footnote w:id="10">
    <w:p w14:paraId="6E6A4820" w14:textId="77777777" w:rsidR="001A4F09" w:rsidRPr="005C1799" w:rsidRDefault="001A4F09" w:rsidP="005D46A0">
      <w:pPr>
        <w:pStyle w:val="Notedebasdepage"/>
        <w:rPr>
          <w:lang w:val="fr-FR"/>
        </w:rPr>
      </w:pPr>
      <w:r w:rsidRPr="005C1799">
        <w:rPr>
          <w:lang w:val="fr-FR"/>
        </w:rPr>
        <w:tab/>
      </w:r>
      <w:r w:rsidRPr="005C1799">
        <w:rPr>
          <w:rStyle w:val="Appelnotedebasdep"/>
        </w:rPr>
        <w:footnoteRef/>
      </w:r>
      <w:r w:rsidRPr="005C1799">
        <w:rPr>
          <w:lang w:val="fr-FR"/>
        </w:rPr>
        <w:tab/>
        <w:t>Code de la justice pour mineurs, art. 73.</w:t>
      </w:r>
    </w:p>
  </w:footnote>
  <w:footnote w:id="11">
    <w:p w14:paraId="7E5DE849" w14:textId="77777777" w:rsidR="001A4F09" w:rsidRPr="005D78DA" w:rsidRDefault="001A4F09" w:rsidP="005D46A0">
      <w:pPr>
        <w:pStyle w:val="Notedebasdepage"/>
        <w:rPr>
          <w:lang w:val="fr-FR"/>
        </w:rPr>
      </w:pPr>
      <w:r w:rsidRPr="005C1799">
        <w:rPr>
          <w:lang w:val="fr-FR"/>
        </w:rPr>
        <w:tab/>
      </w:r>
      <w:r w:rsidRPr="005C1799">
        <w:rPr>
          <w:rStyle w:val="Appelnotedebasdep"/>
        </w:rPr>
        <w:footnoteRef/>
      </w:r>
      <w:r w:rsidRPr="005C1799">
        <w:rPr>
          <w:lang w:val="fr-FR"/>
        </w:rPr>
        <w:tab/>
        <w:t>Informations statistiques qui représentent les données préliminaires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5690" w14:textId="27737EC8" w:rsidR="001A4F09" w:rsidRPr="00D37EB2" w:rsidRDefault="001A4F09">
    <w:pPr>
      <w:pStyle w:val="En-tte"/>
    </w:pPr>
    <w:fldSimple w:instr=" TITLE  \* MERGEFORMAT ">
      <w:r w:rsidR="00053CB1">
        <w:t>CRC/C/OPSC/GEO/1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2188" w14:textId="146E733C" w:rsidR="001A4F09" w:rsidRPr="00D37EB2" w:rsidRDefault="001A4F09" w:rsidP="00D37EB2">
    <w:pPr>
      <w:pStyle w:val="En-tte"/>
      <w:jc w:val="right"/>
    </w:pPr>
    <w:fldSimple w:instr=" TITLE  \* MERGEFORMAT ">
      <w:r w:rsidR="00053CB1">
        <w:t>CRC/C/OPSC/GEO/1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E3B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0071B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1"/>
  </w:num>
  <w:num w:numId="17">
    <w:abstractNumId w:val="20"/>
  </w:num>
  <w:num w:numId="18">
    <w:abstractNumId w:val="16"/>
  </w:num>
  <w:num w:numId="19">
    <w:abstractNumId w:val="11"/>
  </w:num>
  <w:num w:numId="20">
    <w:abstractNumId w:val="15"/>
  </w:num>
  <w:num w:numId="21">
    <w:abstractNumId w:val="13"/>
  </w:num>
  <w:num w:numId="22">
    <w:abstractNumId w:val="10"/>
  </w:num>
  <w:num w:numId="23">
    <w:abstractNumId w:val="18"/>
  </w:num>
  <w:num w:numId="24">
    <w:abstractNumId w:val="19"/>
  </w:num>
  <w:num w:numId="25">
    <w:abstractNumId w:val="14"/>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6D70"/>
    <w:rsid w:val="00006F64"/>
    <w:rsid w:val="00017F94"/>
    <w:rsid w:val="0002014D"/>
    <w:rsid w:val="00023842"/>
    <w:rsid w:val="00030039"/>
    <w:rsid w:val="000334F9"/>
    <w:rsid w:val="000354E9"/>
    <w:rsid w:val="00053CB1"/>
    <w:rsid w:val="00075FC6"/>
    <w:rsid w:val="0007796D"/>
    <w:rsid w:val="000B7790"/>
    <w:rsid w:val="000D64C3"/>
    <w:rsid w:val="00111F2F"/>
    <w:rsid w:val="00141627"/>
    <w:rsid w:val="0014365E"/>
    <w:rsid w:val="00151421"/>
    <w:rsid w:val="00163801"/>
    <w:rsid w:val="00176178"/>
    <w:rsid w:val="001A4F09"/>
    <w:rsid w:val="001D2A83"/>
    <w:rsid w:val="001E4AB0"/>
    <w:rsid w:val="001F525A"/>
    <w:rsid w:val="002127F6"/>
    <w:rsid w:val="00223272"/>
    <w:rsid w:val="00237BDB"/>
    <w:rsid w:val="0024316F"/>
    <w:rsid w:val="0024779E"/>
    <w:rsid w:val="002741BF"/>
    <w:rsid w:val="00282B51"/>
    <w:rsid w:val="00285D17"/>
    <w:rsid w:val="00291CB4"/>
    <w:rsid w:val="002D14A3"/>
    <w:rsid w:val="00311E81"/>
    <w:rsid w:val="00340ED0"/>
    <w:rsid w:val="003745E6"/>
    <w:rsid w:val="003801A3"/>
    <w:rsid w:val="003B7618"/>
    <w:rsid w:val="003C4BCE"/>
    <w:rsid w:val="003D3904"/>
    <w:rsid w:val="004147B2"/>
    <w:rsid w:val="00446FE5"/>
    <w:rsid w:val="00452396"/>
    <w:rsid w:val="00454D5A"/>
    <w:rsid w:val="00485B35"/>
    <w:rsid w:val="004C43D9"/>
    <w:rsid w:val="004D7A2C"/>
    <w:rsid w:val="004D7CE5"/>
    <w:rsid w:val="005505B7"/>
    <w:rsid w:val="00554F66"/>
    <w:rsid w:val="0055735A"/>
    <w:rsid w:val="00566D70"/>
    <w:rsid w:val="005717E7"/>
    <w:rsid w:val="00573BE5"/>
    <w:rsid w:val="00576456"/>
    <w:rsid w:val="00586ED3"/>
    <w:rsid w:val="00596AA9"/>
    <w:rsid w:val="005C1799"/>
    <w:rsid w:val="005C5C6A"/>
    <w:rsid w:val="005D46A0"/>
    <w:rsid w:val="005D499E"/>
    <w:rsid w:val="006460E6"/>
    <w:rsid w:val="00661E6F"/>
    <w:rsid w:val="006F2211"/>
    <w:rsid w:val="006F2B7A"/>
    <w:rsid w:val="0071601D"/>
    <w:rsid w:val="007341B7"/>
    <w:rsid w:val="00760CBC"/>
    <w:rsid w:val="007868EB"/>
    <w:rsid w:val="00797A16"/>
    <w:rsid w:val="007A62E6"/>
    <w:rsid w:val="007C057F"/>
    <w:rsid w:val="0080684C"/>
    <w:rsid w:val="00811619"/>
    <w:rsid w:val="00840413"/>
    <w:rsid w:val="0086166D"/>
    <w:rsid w:val="00871C75"/>
    <w:rsid w:val="008776DC"/>
    <w:rsid w:val="008A706A"/>
    <w:rsid w:val="008C54BD"/>
    <w:rsid w:val="008E079D"/>
    <w:rsid w:val="008E30DB"/>
    <w:rsid w:val="008F3CA0"/>
    <w:rsid w:val="00937001"/>
    <w:rsid w:val="009705C8"/>
    <w:rsid w:val="00973933"/>
    <w:rsid w:val="00A140E6"/>
    <w:rsid w:val="00A2504F"/>
    <w:rsid w:val="00A30353"/>
    <w:rsid w:val="00A813BD"/>
    <w:rsid w:val="00AA7CA7"/>
    <w:rsid w:val="00AC3823"/>
    <w:rsid w:val="00AD5A16"/>
    <w:rsid w:val="00AD631E"/>
    <w:rsid w:val="00AE323C"/>
    <w:rsid w:val="00B00181"/>
    <w:rsid w:val="00B06C8A"/>
    <w:rsid w:val="00B11705"/>
    <w:rsid w:val="00B24A9B"/>
    <w:rsid w:val="00B26DA8"/>
    <w:rsid w:val="00B765F7"/>
    <w:rsid w:val="00BA0CA9"/>
    <w:rsid w:val="00BE5F97"/>
    <w:rsid w:val="00C02897"/>
    <w:rsid w:val="00C36971"/>
    <w:rsid w:val="00C46F2F"/>
    <w:rsid w:val="00CA2C84"/>
    <w:rsid w:val="00CB48E5"/>
    <w:rsid w:val="00D31A51"/>
    <w:rsid w:val="00D3439C"/>
    <w:rsid w:val="00D37EB2"/>
    <w:rsid w:val="00DA3EAB"/>
    <w:rsid w:val="00DB1391"/>
    <w:rsid w:val="00DB1831"/>
    <w:rsid w:val="00DD3BFD"/>
    <w:rsid w:val="00DE322D"/>
    <w:rsid w:val="00DF6678"/>
    <w:rsid w:val="00E61BC8"/>
    <w:rsid w:val="00EC0D9C"/>
    <w:rsid w:val="00EE03CA"/>
    <w:rsid w:val="00EE4026"/>
    <w:rsid w:val="00F33173"/>
    <w:rsid w:val="00F34341"/>
    <w:rsid w:val="00F4136E"/>
    <w:rsid w:val="00F660DF"/>
    <w:rsid w:val="00F91DAC"/>
    <w:rsid w:val="00F95C08"/>
    <w:rsid w:val="00FA2FCA"/>
    <w:rsid w:val="00FF248D"/>
    <w:rsid w:val="00FF65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C08AD"/>
  <w15:docId w15:val="{6DC6E7F4-B2FC-4C4F-A9B7-1725D79F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link w:val="ftrefCharChar"/>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Titredulivre">
    <w:name w:val="Book Title"/>
    <w:basedOn w:val="Policepardfaut"/>
    <w:uiPriority w:val="33"/>
    <w:semiHidden/>
    <w:rsid w:val="00F34341"/>
    <w:rPr>
      <w:b/>
      <w:bCs/>
      <w:smallCaps/>
      <w:spacing w:val="5"/>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Footnotes refss"/>
    <w:basedOn w:val="Normal"/>
    <w:link w:val="Appelnotedebasdep"/>
    <w:rsid w:val="00F34341"/>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table" w:customStyle="1" w:styleId="PlainTable511">
    <w:name w:val="Plain Table 511"/>
    <w:basedOn w:val="TableauNormal"/>
    <w:uiPriority w:val="45"/>
    <w:rsid w:val="00F34341"/>
    <w:pPr>
      <w:spacing w:after="0" w:line="240" w:lineRule="auto"/>
    </w:pPr>
    <w:rPr>
      <w:rFonts w:ascii="Calibri" w:eastAsia="Calibri" w:hAnsi="Calibri" w:cs="Times New Roman"/>
      <w:lang w:val="en-US"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1">
    <w:name w:val="Grid Table 6 Colorful11"/>
    <w:basedOn w:val="TableauNormal"/>
    <w:uiPriority w:val="51"/>
    <w:rsid w:val="00F34341"/>
    <w:pPr>
      <w:spacing w:after="0" w:line="240" w:lineRule="auto"/>
    </w:pPr>
    <w:rPr>
      <w:rFonts w:ascii="Calibri" w:eastAsia="Calibri" w:hAnsi="Calibri" w:cs="Times New Roman"/>
      <w:color w:val="000000"/>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2">
    <w:name w:val="Grid Table 6 Colorful12"/>
    <w:basedOn w:val="TableauNormal"/>
    <w:uiPriority w:val="51"/>
    <w:rsid w:val="00F34341"/>
    <w:pPr>
      <w:spacing w:after="0" w:line="240" w:lineRule="auto"/>
    </w:pPr>
    <w:rPr>
      <w:rFonts w:ascii="Calibri" w:eastAsia="Calibri" w:hAnsi="Calibri" w:cs="Times New Roman"/>
      <w:color w:val="000000"/>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Marquedecommentaire">
    <w:name w:val="annotation reference"/>
    <w:basedOn w:val="Policepardfaut"/>
    <w:uiPriority w:val="99"/>
    <w:semiHidden/>
    <w:unhideWhenUsed/>
    <w:rsid w:val="00F34341"/>
    <w:rPr>
      <w:sz w:val="16"/>
      <w:szCs w:val="16"/>
    </w:rPr>
  </w:style>
  <w:style w:type="paragraph" w:styleId="Commentaire">
    <w:name w:val="annotation text"/>
    <w:basedOn w:val="Normal"/>
    <w:link w:val="CommentaireCar"/>
    <w:uiPriority w:val="99"/>
    <w:semiHidden/>
    <w:unhideWhenUsed/>
    <w:rsid w:val="00F34341"/>
    <w:pPr>
      <w:spacing w:line="240" w:lineRule="auto"/>
    </w:pPr>
  </w:style>
  <w:style w:type="character" w:customStyle="1" w:styleId="CommentaireCar">
    <w:name w:val="Commentaire Car"/>
    <w:basedOn w:val="Policepardfaut"/>
    <w:link w:val="Commentaire"/>
    <w:uiPriority w:val="99"/>
    <w:semiHidden/>
    <w:rsid w:val="00F34341"/>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F34341"/>
    <w:pPr>
      <w:kinsoku/>
      <w:overflowPunct/>
      <w:autoSpaceDE/>
      <w:autoSpaceDN/>
      <w:adjustRightInd/>
      <w:snapToGrid/>
      <w:spacing w:line="240" w:lineRule="auto"/>
    </w:pPr>
    <w:rPr>
      <w:rFonts w:eastAsia="Times New Roman"/>
      <w:b/>
      <w:bCs/>
      <w:lang w:val="en-GB"/>
    </w:rPr>
  </w:style>
  <w:style w:type="character" w:customStyle="1" w:styleId="ObjetducommentaireCar">
    <w:name w:val="Objet du commentaire Car"/>
    <w:basedOn w:val="CommentaireCar"/>
    <w:link w:val="Objetducommentaire"/>
    <w:uiPriority w:val="99"/>
    <w:semiHidden/>
    <w:rsid w:val="00F34341"/>
    <w:rPr>
      <w:rFonts w:ascii="Times New Roman" w:eastAsiaTheme="minorHAnsi" w:hAnsi="Times New Roman" w:cs="Times New Roman"/>
      <w:b/>
      <w:bCs/>
      <w:sz w:val="20"/>
      <w:szCs w:val="20"/>
      <w:lang w:val="en-GB" w:eastAsia="en-US"/>
    </w:rPr>
  </w:style>
  <w:style w:type="paragraph" w:styleId="Rvision">
    <w:name w:val="Revision"/>
    <w:hidden/>
    <w:uiPriority w:val="99"/>
    <w:semiHidden/>
    <w:rsid w:val="00F34341"/>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35</Pages>
  <Words>20521</Words>
  <Characters>112867</Characters>
  <Application>Microsoft Office Word</Application>
  <DocSecurity>0</DocSecurity>
  <Lines>940</Lines>
  <Paragraphs>266</Paragraphs>
  <ScaleCrop>false</ScaleCrop>
  <HeadingPairs>
    <vt:vector size="2" baseType="variant">
      <vt:variant>
        <vt:lpstr>Titre</vt:lpstr>
      </vt:variant>
      <vt:variant>
        <vt:i4>1</vt:i4>
      </vt:variant>
    </vt:vector>
  </HeadingPairs>
  <TitlesOfParts>
    <vt:vector size="1" baseType="lpstr">
      <vt:lpstr>CRC/C/OPSC/GEO/1</vt:lpstr>
    </vt:vector>
  </TitlesOfParts>
  <Company>DCM</Company>
  <LinksUpToDate>false</LinksUpToDate>
  <CharactersWithSpaces>133122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CRC/C/OPSC/GEO/1</dc:title>
  <dc:subject/>
  <dc:creator>Maud DARICHE</dc:creator>
  <cp:keywords/>
  <cp:lastModifiedBy>Maud Dariche</cp:lastModifiedBy>
  <cp:revision>3</cp:revision>
  <cp:lastPrinted>2019-02-28T10:18:00Z</cp:lastPrinted>
  <dcterms:created xsi:type="dcterms:W3CDTF">2019-02-28T10:18:00Z</dcterms:created>
  <dcterms:modified xsi:type="dcterms:W3CDTF">2019-02-28T10:19:00Z</dcterms:modified>
</cp:coreProperties>
</file>