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SimHei" w:hAnsi="Time New Roman" w:hint="eastAsia"/>
                <w:sz w:val="28"/>
              </w:rPr>
            </w:pPr>
            <w:r w:rsidRPr="0050687F">
              <w:rPr>
                <w:rFonts w:ascii="SimSun" w:eastAsia="SimHei" w:hAnsi="SimSun" w:cs="SimSun" w:hint="eastAsia"/>
                <w:sz w:val="28"/>
              </w:rPr>
              <w:t>联</w:t>
            </w:r>
            <w:r w:rsidRPr="0050687F">
              <w:rPr>
                <w:rFonts w:ascii="Time New Roman" w:eastAsia="SimHei" w:hAnsi="Time New Roman" w:hint="eastAsia"/>
                <w:sz w:val="28"/>
              </w:rPr>
              <w:t xml:space="preserve"> </w:t>
            </w:r>
            <w:r w:rsidRPr="0050687F">
              <w:rPr>
                <w:rFonts w:ascii="SimSun" w:eastAsia="SimHei" w:hAnsi="SimSun" w:cs="SimSun" w:hint="eastAsia"/>
                <w:sz w:val="28"/>
              </w:rPr>
              <w:t>合</w:t>
            </w:r>
            <w:r w:rsidRPr="0050687F">
              <w:rPr>
                <w:rFonts w:ascii="Time New Roman" w:eastAsia="SimHei" w:hAnsi="Time New Roman" w:hint="eastAsia"/>
                <w:sz w:val="28"/>
              </w:rPr>
              <w:t xml:space="preserve"> </w:t>
            </w:r>
            <w:r w:rsidRPr="0050687F">
              <w:rPr>
                <w:rFonts w:ascii="SimSun" w:eastAsia="SimHei" w:hAnsi="SimSun" w:cs="SimSun" w:hint="eastAsia"/>
                <w:sz w:val="28"/>
              </w:rPr>
              <w:t>国</w:t>
            </w:r>
          </w:p>
        </w:tc>
        <w:tc>
          <w:tcPr>
            <w:tcW w:w="6086" w:type="dxa"/>
            <w:gridSpan w:val="2"/>
            <w:tcBorders>
              <w:bottom w:val="single" w:sz="4" w:space="0" w:color="auto"/>
            </w:tcBorders>
            <w:vAlign w:val="bottom"/>
          </w:tcPr>
          <w:p w:rsidR="001D2C3F" w:rsidRPr="00804ED4" w:rsidRDefault="00804ED4" w:rsidP="00E4712C">
            <w:pPr>
              <w:spacing w:line="240" w:lineRule="atLeast"/>
              <w:jc w:val="right"/>
              <w:rPr>
                <w:sz w:val="20"/>
                <w:szCs w:val="21"/>
              </w:rPr>
            </w:pPr>
            <w:r w:rsidRPr="00804ED4">
              <w:rPr>
                <w:sz w:val="40"/>
                <w:szCs w:val="21"/>
              </w:rPr>
              <w:t>CRC</w:t>
            </w:r>
            <w:r>
              <w:rPr>
                <w:sz w:val="20"/>
                <w:szCs w:val="21"/>
              </w:rPr>
              <w:t>/C/OPSC/USA/CO/3-4</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5BCE5D88" wp14:editId="16E70B97">
                  <wp:extent cx="715010" cy="592455"/>
                  <wp:effectExtent l="0" t="0" r="8890" b="0"/>
                  <wp:docPr id="3" name="图片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SimHei"/>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1D2C3F" w:rsidRPr="0004600B" w:rsidRDefault="001D2C3F" w:rsidP="00E4712C">
            <w:pPr>
              <w:spacing w:before="240" w:line="240" w:lineRule="atLeast"/>
              <w:rPr>
                <w:sz w:val="20"/>
              </w:rPr>
            </w:pPr>
            <w:r w:rsidRPr="00F124C6">
              <w:rPr>
                <w:sz w:val="20"/>
              </w:rPr>
              <w:t xml:space="preserve">Distr.: </w:t>
            </w:r>
            <w:r w:rsidR="000716B1">
              <w:t>General</w:t>
            </w:r>
          </w:p>
          <w:p w:rsidR="001D2C3F" w:rsidRPr="00F124C6" w:rsidRDefault="000716B1" w:rsidP="00E4712C">
            <w:pPr>
              <w:spacing w:line="240" w:lineRule="atLeast"/>
              <w:rPr>
                <w:sz w:val="20"/>
              </w:rPr>
            </w:pPr>
            <w:r>
              <w:rPr>
                <w:sz w:val="20"/>
              </w:rPr>
              <w:t xml:space="preserve">12 </w:t>
            </w:r>
            <w:r w:rsidR="00EC0DE8" w:rsidRPr="00EC0DE8">
              <w:rPr>
                <w:sz w:val="20"/>
              </w:rPr>
              <w:t>July</w:t>
            </w:r>
            <w:r w:rsidR="00AB1CDF">
              <w:rPr>
                <w:sz w:val="20"/>
              </w:rPr>
              <w:t xml:space="preserve"> 201</w:t>
            </w:r>
            <w:r w:rsidR="0033398C">
              <w:rPr>
                <w:rFonts w:hint="eastAsia"/>
                <w:sz w:val="20"/>
              </w:rPr>
              <w:t>7</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1D2C3F" w:rsidRDefault="001D2C3F" w:rsidP="001D2C3F">
      <w:pPr>
        <w:spacing w:before="120"/>
        <w:rPr>
          <w:rFonts w:eastAsia="SimHei"/>
          <w:sz w:val="24"/>
          <w:szCs w:val="24"/>
        </w:rPr>
      </w:pPr>
      <w:r>
        <w:rPr>
          <w:rFonts w:eastAsia="SimHei" w:hint="eastAsia"/>
          <w:sz w:val="24"/>
          <w:szCs w:val="24"/>
        </w:rPr>
        <w:t>儿童权利委员会</w:t>
      </w:r>
    </w:p>
    <w:p w:rsidR="001D2C3F" w:rsidRPr="006465BF" w:rsidRDefault="001D2C3F" w:rsidP="001D2C3F">
      <w:pPr>
        <w:rPr>
          <w:rFonts w:eastAsia="SimHei"/>
          <w:szCs w:val="21"/>
        </w:rPr>
      </w:pPr>
    </w:p>
    <w:p w:rsidR="001D2C3F" w:rsidRPr="004D0EAE" w:rsidRDefault="001D2C3F" w:rsidP="004D0EAE">
      <w:pPr>
        <w:pStyle w:val="HChGC"/>
      </w:pPr>
      <w:r>
        <w:rPr>
          <w:rFonts w:hint="eastAsia"/>
        </w:rPr>
        <w:tab/>
      </w:r>
      <w:r>
        <w:rPr>
          <w:rFonts w:hint="eastAsia"/>
        </w:rPr>
        <w:tab/>
      </w:r>
      <w:r w:rsidR="004D0EAE" w:rsidRPr="004D0EAE">
        <w:rPr>
          <w:rFonts w:hint="eastAsia"/>
        </w:rPr>
        <w:t>关于美利坚合众国根据《儿童权利公约关于买卖儿童、儿童</w:t>
      </w:r>
      <w:r w:rsidR="004D0EAE" w:rsidRPr="00175354">
        <w:rPr>
          <w:rFonts w:hint="eastAsia"/>
          <w:spacing w:val="8"/>
        </w:rPr>
        <w:t>卖淫和儿童色情制品问题的任择议定书》第</w:t>
      </w:r>
      <w:r w:rsidR="004D0EAE" w:rsidRPr="00175354">
        <w:rPr>
          <w:rFonts w:hint="eastAsia"/>
          <w:spacing w:val="8"/>
        </w:rPr>
        <w:t>12</w:t>
      </w:r>
      <w:r w:rsidR="004D0EAE" w:rsidRPr="00175354">
        <w:rPr>
          <w:rFonts w:hint="eastAsia"/>
          <w:spacing w:val="8"/>
        </w:rPr>
        <w:t>条第</w:t>
      </w:r>
      <w:r w:rsidR="004D0EAE" w:rsidRPr="00175354">
        <w:rPr>
          <w:rFonts w:hint="eastAsia"/>
          <w:spacing w:val="8"/>
        </w:rPr>
        <w:t>1</w:t>
      </w:r>
      <w:r w:rsidR="004D0EAE" w:rsidRPr="00175354">
        <w:rPr>
          <w:rFonts w:hint="eastAsia"/>
          <w:spacing w:val="8"/>
        </w:rPr>
        <w:t>款</w:t>
      </w:r>
      <w:r w:rsidR="004D0EAE" w:rsidRPr="004D0EAE">
        <w:rPr>
          <w:rFonts w:hint="eastAsia"/>
        </w:rPr>
        <w:t>提交的第三和第四次合并报告的结论性意见</w:t>
      </w:r>
      <w:r w:rsidR="004D0EAE" w:rsidRPr="00DF6D27">
        <w:rPr>
          <w:rStyle w:val="FootnoteReference"/>
          <w:rFonts w:eastAsia="SimHei"/>
          <w:position w:val="6"/>
          <w:vertAlign w:val="baseline"/>
        </w:rPr>
        <w:footnoteReference w:customMarkFollows="1" w:id="2"/>
        <w:t>*</w:t>
      </w:r>
    </w:p>
    <w:p w:rsidR="00A51AD9" w:rsidRPr="00A51AD9" w:rsidRDefault="00A51AD9" w:rsidP="00D71173">
      <w:pPr>
        <w:pStyle w:val="HChGC"/>
        <w:rPr>
          <w:snapToGrid/>
        </w:rPr>
      </w:pPr>
      <w:r w:rsidRPr="00A51AD9">
        <w:rPr>
          <w:snapToGrid/>
        </w:rPr>
        <w:tab/>
      </w:r>
      <w:r w:rsidRPr="00A51AD9">
        <w:rPr>
          <w:rFonts w:ascii="SimHei" w:hAnsi="SimHei"/>
          <w:snapToGrid/>
        </w:rPr>
        <w:t>一</w:t>
      </w:r>
      <w:r w:rsidRPr="00A51AD9">
        <w:rPr>
          <w:snapToGrid/>
        </w:rPr>
        <w:t>.</w:t>
      </w:r>
      <w:r w:rsidRPr="00A51AD9">
        <w:rPr>
          <w:snapToGrid/>
        </w:rPr>
        <w:tab/>
      </w:r>
      <w:r w:rsidRPr="00A51AD9">
        <w:rPr>
          <w:rFonts w:ascii="SimHei" w:hAnsi="SimHei"/>
          <w:snapToGrid/>
        </w:rPr>
        <w:t>导言</w:t>
      </w:r>
    </w:p>
    <w:p w:rsidR="00A51AD9" w:rsidRPr="00A51AD9" w:rsidRDefault="00A51AD9" w:rsidP="00D71173">
      <w:pPr>
        <w:pStyle w:val="SingleTxtGC"/>
        <w:rPr>
          <w:snapToGrid/>
        </w:rPr>
      </w:pPr>
      <w:r w:rsidRPr="00A51AD9">
        <w:rPr>
          <w:snapToGrid/>
        </w:rPr>
        <w:t>1.</w:t>
      </w:r>
      <w:r w:rsidRPr="00A51AD9">
        <w:rPr>
          <w:snapToGrid/>
        </w:rPr>
        <w:tab/>
      </w:r>
      <w:r w:rsidRPr="00A51AD9">
        <w:rPr>
          <w:snapToGrid/>
        </w:rPr>
        <w:t>委员会在</w:t>
      </w:r>
      <w:r w:rsidRPr="00A51AD9">
        <w:rPr>
          <w:snapToGrid/>
        </w:rPr>
        <w:t>2017</w:t>
      </w:r>
      <w:r w:rsidRPr="00A51AD9">
        <w:rPr>
          <w:snapToGrid/>
        </w:rPr>
        <w:t>年</w:t>
      </w:r>
      <w:r w:rsidRPr="00A51AD9">
        <w:rPr>
          <w:snapToGrid/>
        </w:rPr>
        <w:t>5</w:t>
      </w:r>
      <w:r w:rsidRPr="00A51AD9">
        <w:rPr>
          <w:snapToGrid/>
        </w:rPr>
        <w:t>月</w:t>
      </w:r>
      <w:r w:rsidRPr="00A51AD9">
        <w:rPr>
          <w:snapToGrid/>
        </w:rPr>
        <w:t>16</w:t>
      </w:r>
      <w:r w:rsidRPr="00A51AD9">
        <w:rPr>
          <w:snapToGrid/>
        </w:rPr>
        <w:t>日举行的第</w:t>
      </w:r>
      <w:r w:rsidRPr="00A51AD9">
        <w:rPr>
          <w:snapToGrid/>
        </w:rPr>
        <w:t>2197</w:t>
      </w:r>
      <w:r w:rsidRPr="00A51AD9">
        <w:rPr>
          <w:snapToGrid/>
        </w:rPr>
        <w:t>次会议</w:t>
      </w:r>
      <w:r w:rsidRPr="00A51AD9">
        <w:rPr>
          <w:snapToGrid/>
        </w:rPr>
        <w:t>(</w:t>
      </w:r>
      <w:r w:rsidRPr="00A51AD9">
        <w:rPr>
          <w:snapToGrid/>
        </w:rPr>
        <w:t>见</w:t>
      </w:r>
      <w:r w:rsidRPr="00A51AD9">
        <w:rPr>
          <w:snapToGrid/>
        </w:rPr>
        <w:t>CRC/C/SR.2197)</w:t>
      </w:r>
      <w:r w:rsidRPr="00A51AD9">
        <w:rPr>
          <w:snapToGrid/>
        </w:rPr>
        <w:t>上审议了美利坚合众国的第三和第四次合并定期报告</w:t>
      </w:r>
      <w:r w:rsidRPr="00A51AD9">
        <w:rPr>
          <w:snapToGrid/>
        </w:rPr>
        <w:t>(CRC/C/OPSC/USA/3-4)</w:t>
      </w:r>
      <w:r w:rsidRPr="00A51AD9">
        <w:rPr>
          <w:snapToGrid/>
        </w:rPr>
        <w:t>，并在</w:t>
      </w:r>
      <w:r w:rsidRPr="00A51AD9">
        <w:rPr>
          <w:snapToGrid/>
        </w:rPr>
        <w:t>2017</w:t>
      </w:r>
      <w:r w:rsidRPr="00A51AD9">
        <w:rPr>
          <w:snapToGrid/>
        </w:rPr>
        <w:t>年</w:t>
      </w:r>
      <w:r w:rsidRPr="00A51AD9">
        <w:rPr>
          <w:snapToGrid/>
        </w:rPr>
        <w:t>6</w:t>
      </w:r>
      <w:r w:rsidRPr="00A51AD9">
        <w:rPr>
          <w:snapToGrid/>
        </w:rPr>
        <w:t>月</w:t>
      </w:r>
      <w:r w:rsidRPr="00A51AD9">
        <w:rPr>
          <w:snapToGrid/>
        </w:rPr>
        <w:t>2</w:t>
      </w:r>
      <w:r w:rsidRPr="00A51AD9">
        <w:rPr>
          <w:snapToGrid/>
        </w:rPr>
        <w:t>日举行的第</w:t>
      </w:r>
      <w:r w:rsidRPr="00A51AD9">
        <w:rPr>
          <w:snapToGrid/>
        </w:rPr>
        <w:t>2221</w:t>
      </w:r>
      <w:r w:rsidRPr="00A51AD9">
        <w:rPr>
          <w:snapToGrid/>
        </w:rPr>
        <w:t>次会议上通过了本结论性意见。</w:t>
      </w:r>
    </w:p>
    <w:p w:rsidR="00A51AD9" w:rsidRPr="00A51AD9" w:rsidRDefault="00A51AD9" w:rsidP="00D71173">
      <w:pPr>
        <w:pStyle w:val="SingleTxtGC"/>
        <w:rPr>
          <w:snapToGrid/>
        </w:rPr>
      </w:pPr>
      <w:r w:rsidRPr="00A51AD9">
        <w:rPr>
          <w:snapToGrid/>
        </w:rPr>
        <w:t>2.</w:t>
      </w:r>
      <w:r w:rsidRPr="00A51AD9">
        <w:rPr>
          <w:snapToGrid/>
        </w:rPr>
        <w:tab/>
      </w:r>
      <w:r w:rsidRPr="00A51AD9">
        <w:rPr>
          <w:snapToGrid/>
        </w:rPr>
        <w:t>委员会欢迎缔约国提交报告并对问题清单作出书面答复</w:t>
      </w:r>
      <w:r w:rsidRPr="00A51AD9">
        <w:rPr>
          <w:snapToGrid/>
        </w:rPr>
        <w:t>(CRC/C/OPSC/USA/</w:t>
      </w:r>
      <w:r w:rsidR="00D71173">
        <w:rPr>
          <w:snapToGrid/>
        </w:rPr>
        <w:t xml:space="preserve"> </w:t>
      </w:r>
      <w:r w:rsidRPr="00A51AD9">
        <w:rPr>
          <w:snapToGrid/>
        </w:rPr>
        <w:t>Q/3-4/Add.1)</w:t>
      </w:r>
      <w:r w:rsidRPr="00A51AD9">
        <w:rPr>
          <w:snapToGrid/>
        </w:rPr>
        <w:t>。委员会赞赏与缔约国多部门代表团开展了建设性对话。</w:t>
      </w:r>
    </w:p>
    <w:p w:rsidR="00A51AD9" w:rsidRPr="00A51AD9" w:rsidRDefault="00A51AD9" w:rsidP="00D71173">
      <w:pPr>
        <w:pStyle w:val="SingleTxtGC"/>
        <w:rPr>
          <w:snapToGrid/>
        </w:rPr>
      </w:pPr>
      <w:r w:rsidRPr="00A51AD9">
        <w:rPr>
          <w:snapToGrid/>
        </w:rPr>
        <w:t>3.</w:t>
      </w:r>
      <w:r w:rsidRPr="00A51AD9">
        <w:rPr>
          <w:snapToGrid/>
        </w:rPr>
        <w:tab/>
      </w:r>
      <w:r w:rsidRPr="00A51AD9">
        <w:rPr>
          <w:snapToGrid/>
        </w:rPr>
        <w:t>委员会提醒缔约国，在阅读本结论性意见时，应参考</w:t>
      </w:r>
      <w:r w:rsidRPr="00A51AD9">
        <w:rPr>
          <w:snapToGrid/>
        </w:rPr>
        <w:t>2017</w:t>
      </w:r>
      <w:r w:rsidRPr="00A51AD9">
        <w:rPr>
          <w:snapToGrid/>
        </w:rPr>
        <w:t>年</w:t>
      </w:r>
      <w:r w:rsidRPr="00A51AD9">
        <w:rPr>
          <w:snapToGrid/>
        </w:rPr>
        <w:t>6</w:t>
      </w:r>
      <w:r w:rsidRPr="00A51AD9">
        <w:rPr>
          <w:snapToGrid/>
        </w:rPr>
        <w:t>月</w:t>
      </w:r>
      <w:r w:rsidRPr="00A51AD9">
        <w:rPr>
          <w:snapToGrid/>
        </w:rPr>
        <w:t>2</w:t>
      </w:r>
      <w:r w:rsidRPr="00A51AD9">
        <w:rPr>
          <w:snapToGrid/>
        </w:rPr>
        <w:t>日通过的关于缔约国根据《公约关于儿童卷入武装冲突问题的任择议定书》提交的第三和第四次合并定期报告的结论性意见</w:t>
      </w:r>
      <w:r w:rsidRPr="00A51AD9">
        <w:rPr>
          <w:snapToGrid/>
        </w:rPr>
        <w:t>(CRC/C/OPAC/CO/3-4)</w:t>
      </w:r>
      <w:r w:rsidRPr="00A51AD9">
        <w:rPr>
          <w:snapToGrid/>
        </w:rPr>
        <w:t>。</w:t>
      </w:r>
    </w:p>
    <w:p w:rsidR="00A51AD9" w:rsidRPr="00A51AD9" w:rsidRDefault="00A51AD9" w:rsidP="00D71173">
      <w:pPr>
        <w:pStyle w:val="HChGC"/>
        <w:rPr>
          <w:snapToGrid/>
        </w:rPr>
      </w:pPr>
      <w:r w:rsidRPr="00A51AD9">
        <w:rPr>
          <w:snapToGrid/>
        </w:rPr>
        <w:tab/>
      </w:r>
      <w:r w:rsidRPr="00A51AD9">
        <w:rPr>
          <w:snapToGrid/>
        </w:rPr>
        <w:t>二</w:t>
      </w:r>
      <w:r w:rsidRPr="00A51AD9">
        <w:rPr>
          <w:snapToGrid/>
        </w:rPr>
        <w:t>.</w:t>
      </w:r>
      <w:r w:rsidRPr="00A51AD9">
        <w:rPr>
          <w:snapToGrid/>
        </w:rPr>
        <w:tab/>
      </w:r>
      <w:r w:rsidRPr="00A51AD9">
        <w:rPr>
          <w:snapToGrid/>
        </w:rPr>
        <w:t>一般性意见</w:t>
      </w:r>
    </w:p>
    <w:p w:rsidR="00A51AD9" w:rsidRPr="00A51AD9" w:rsidRDefault="00A51AD9" w:rsidP="00524858">
      <w:pPr>
        <w:pStyle w:val="H23GC"/>
      </w:pPr>
      <w:r w:rsidRPr="00A51AD9">
        <w:tab/>
      </w:r>
      <w:r w:rsidRPr="00A51AD9">
        <w:tab/>
      </w:r>
      <w:r w:rsidRPr="00A51AD9">
        <w:t>积极方面</w:t>
      </w:r>
    </w:p>
    <w:p w:rsidR="00A51AD9" w:rsidRPr="00A51AD9" w:rsidRDefault="00A51AD9" w:rsidP="00524858">
      <w:pPr>
        <w:pStyle w:val="SingleTxtGC"/>
        <w:rPr>
          <w:snapToGrid/>
        </w:rPr>
      </w:pPr>
      <w:r w:rsidRPr="00A51AD9">
        <w:rPr>
          <w:snapToGrid/>
        </w:rPr>
        <w:t>4.</w:t>
      </w:r>
      <w:r w:rsidRPr="00A51AD9">
        <w:rPr>
          <w:snapToGrid/>
        </w:rPr>
        <w:tab/>
      </w:r>
      <w:r w:rsidRPr="00165975">
        <w:rPr>
          <w:snapToGrid/>
          <w:spacing w:val="2"/>
        </w:rPr>
        <w:t>委员会欢迎缔约国在与落实《任择议定书》有关的领域采取</w:t>
      </w:r>
      <w:r w:rsidRPr="00165975">
        <w:rPr>
          <w:rFonts w:hint="eastAsia"/>
          <w:snapToGrid/>
          <w:spacing w:val="2"/>
        </w:rPr>
        <w:t>的</w:t>
      </w:r>
      <w:r w:rsidRPr="00165975">
        <w:rPr>
          <w:snapToGrid/>
          <w:spacing w:val="2"/>
        </w:rPr>
        <w:t>各种措施，包括</w:t>
      </w:r>
      <w:r w:rsidRPr="00A51AD9">
        <w:rPr>
          <w:snapToGrid/>
        </w:rPr>
        <w:t>：</w:t>
      </w:r>
    </w:p>
    <w:p w:rsidR="00A51AD9" w:rsidRPr="00A51AD9" w:rsidRDefault="00A51AD9" w:rsidP="00ED0A98">
      <w:pPr>
        <w:pStyle w:val="SingleTxtGC"/>
        <w:numPr>
          <w:ilvl w:val="0"/>
          <w:numId w:val="5"/>
        </w:numPr>
        <w:rPr>
          <w:snapToGrid/>
        </w:rPr>
      </w:pPr>
      <w:r w:rsidRPr="00A51AD9">
        <w:rPr>
          <w:snapToGrid/>
        </w:rPr>
        <w:t>于</w:t>
      </w:r>
      <w:r w:rsidRPr="00A51AD9">
        <w:rPr>
          <w:snapToGrid/>
        </w:rPr>
        <w:t>2015</w:t>
      </w:r>
      <w:r w:rsidRPr="00A51AD9">
        <w:rPr>
          <w:snapToGrid/>
        </w:rPr>
        <w:t>年</w:t>
      </w:r>
      <w:r w:rsidRPr="00A51AD9">
        <w:rPr>
          <w:snapToGrid/>
        </w:rPr>
        <w:t>5</w:t>
      </w:r>
      <w:r w:rsidRPr="00A51AD9">
        <w:rPr>
          <w:snapToGrid/>
        </w:rPr>
        <w:t>月</w:t>
      </w:r>
      <w:r w:rsidRPr="00A51AD9">
        <w:rPr>
          <w:snapToGrid/>
        </w:rPr>
        <w:t>29</w:t>
      </w:r>
      <w:r w:rsidRPr="00A51AD9">
        <w:rPr>
          <w:snapToGrid/>
        </w:rPr>
        <w:t>日颁布了《为贩运受害者伸张正义法》；</w:t>
      </w:r>
    </w:p>
    <w:p w:rsidR="00A51AD9" w:rsidRPr="00A51AD9" w:rsidRDefault="00A51AD9" w:rsidP="00ED0A98">
      <w:pPr>
        <w:pStyle w:val="SingleTxtGC"/>
        <w:numPr>
          <w:ilvl w:val="0"/>
          <w:numId w:val="5"/>
        </w:numPr>
        <w:rPr>
          <w:snapToGrid/>
        </w:rPr>
      </w:pPr>
      <w:r w:rsidRPr="00A51AD9">
        <w:rPr>
          <w:snapToGrid/>
        </w:rPr>
        <w:t>于</w:t>
      </w:r>
      <w:r w:rsidRPr="00A51AD9">
        <w:rPr>
          <w:snapToGrid/>
        </w:rPr>
        <w:t>2014</w:t>
      </w:r>
      <w:r w:rsidRPr="00A51AD9">
        <w:rPr>
          <w:snapToGrid/>
        </w:rPr>
        <w:t>年</w:t>
      </w:r>
      <w:r w:rsidRPr="00A51AD9">
        <w:rPr>
          <w:snapToGrid/>
        </w:rPr>
        <w:t>9</w:t>
      </w:r>
      <w:r w:rsidRPr="00A51AD9">
        <w:rPr>
          <w:snapToGrid/>
        </w:rPr>
        <w:t>月</w:t>
      </w:r>
      <w:r w:rsidRPr="00A51AD9">
        <w:rPr>
          <w:snapToGrid/>
        </w:rPr>
        <w:t>29</w:t>
      </w:r>
      <w:r w:rsidRPr="00A51AD9">
        <w:rPr>
          <w:snapToGrid/>
        </w:rPr>
        <w:t>日颁布了《防止性贩运及加强家庭法》；</w:t>
      </w:r>
    </w:p>
    <w:p w:rsidR="00A51AD9" w:rsidRPr="00A51AD9" w:rsidRDefault="00A51AD9" w:rsidP="00ED0A98">
      <w:pPr>
        <w:pStyle w:val="SingleTxtGC"/>
        <w:numPr>
          <w:ilvl w:val="0"/>
          <w:numId w:val="5"/>
        </w:numPr>
        <w:rPr>
          <w:snapToGrid/>
        </w:rPr>
      </w:pPr>
      <w:r w:rsidRPr="00A51AD9">
        <w:rPr>
          <w:snapToGrid/>
        </w:rPr>
        <w:t>于</w:t>
      </w:r>
      <w:r w:rsidRPr="00A51AD9">
        <w:rPr>
          <w:snapToGrid/>
        </w:rPr>
        <w:t>2013</w:t>
      </w:r>
      <w:r w:rsidRPr="00A51AD9">
        <w:rPr>
          <w:snapToGrid/>
        </w:rPr>
        <w:t>年</w:t>
      </w:r>
      <w:r w:rsidRPr="00A51AD9">
        <w:rPr>
          <w:snapToGrid/>
        </w:rPr>
        <w:t>3</w:t>
      </w:r>
      <w:r w:rsidRPr="00A51AD9">
        <w:rPr>
          <w:snapToGrid/>
        </w:rPr>
        <w:t>月</w:t>
      </w:r>
      <w:r w:rsidRPr="00A51AD9">
        <w:rPr>
          <w:snapToGrid/>
        </w:rPr>
        <w:t>7</w:t>
      </w:r>
      <w:r w:rsidRPr="00A51AD9">
        <w:rPr>
          <w:snapToGrid/>
        </w:rPr>
        <w:t>日颁布了《贩运受害者保护重新授权法》。</w:t>
      </w:r>
    </w:p>
    <w:p w:rsidR="00A51AD9" w:rsidRPr="00A51AD9" w:rsidRDefault="00A51AD9" w:rsidP="00ED0A98">
      <w:pPr>
        <w:pStyle w:val="SingleTxtGC"/>
        <w:rPr>
          <w:snapToGrid/>
        </w:rPr>
      </w:pPr>
      <w:r w:rsidRPr="00A51AD9">
        <w:rPr>
          <w:snapToGrid/>
        </w:rPr>
        <w:lastRenderedPageBreak/>
        <w:t>5.</w:t>
      </w:r>
      <w:r w:rsidRPr="00A51AD9">
        <w:rPr>
          <w:snapToGrid/>
        </w:rPr>
        <w:tab/>
      </w:r>
      <w:r w:rsidRPr="00A51AD9">
        <w:rPr>
          <w:snapToGrid/>
        </w:rPr>
        <w:t>委员会赞赏地注意到缔约国在设立机构和通过国家计划和方案以推动落实《任择议定书》方面所取得的进展，包括：</w:t>
      </w:r>
    </w:p>
    <w:p w:rsidR="00A51AD9" w:rsidRPr="00A51AD9" w:rsidRDefault="00A51AD9" w:rsidP="00ED0A98">
      <w:pPr>
        <w:pStyle w:val="SingleTxtGC"/>
        <w:numPr>
          <w:ilvl w:val="0"/>
          <w:numId w:val="7"/>
        </w:numPr>
        <w:rPr>
          <w:snapToGrid/>
        </w:rPr>
      </w:pPr>
      <w:r w:rsidRPr="00A51AD9">
        <w:rPr>
          <w:snapToGrid/>
        </w:rPr>
        <w:t>于</w:t>
      </w:r>
      <w:r w:rsidRPr="00A51AD9">
        <w:rPr>
          <w:snapToGrid/>
        </w:rPr>
        <w:t>2016</w:t>
      </w:r>
      <w:r w:rsidRPr="00A51AD9">
        <w:rPr>
          <w:snapToGrid/>
        </w:rPr>
        <w:t>年</w:t>
      </w:r>
      <w:r w:rsidRPr="00A51AD9">
        <w:rPr>
          <w:snapToGrid/>
        </w:rPr>
        <w:t>4</w:t>
      </w:r>
      <w:r w:rsidRPr="00A51AD9">
        <w:rPr>
          <w:snapToGrid/>
        </w:rPr>
        <w:t>月通过了《防止和禁止剥削儿童国家战略》；</w:t>
      </w:r>
    </w:p>
    <w:p w:rsidR="00A51AD9" w:rsidRPr="00A51AD9" w:rsidRDefault="00A51AD9" w:rsidP="00ED0A98">
      <w:pPr>
        <w:pStyle w:val="SingleTxtGC"/>
        <w:numPr>
          <w:ilvl w:val="0"/>
          <w:numId w:val="7"/>
        </w:numPr>
        <w:rPr>
          <w:snapToGrid/>
        </w:rPr>
      </w:pPr>
      <w:r w:rsidRPr="00A51AD9">
        <w:rPr>
          <w:snapToGrid/>
        </w:rPr>
        <w:t>于</w:t>
      </w:r>
      <w:r w:rsidRPr="00A51AD9">
        <w:rPr>
          <w:snapToGrid/>
        </w:rPr>
        <w:t>2015</w:t>
      </w:r>
      <w:r w:rsidRPr="00A51AD9">
        <w:rPr>
          <w:snapToGrid/>
        </w:rPr>
        <w:t>年在卫生与公众服务部儿童和家庭事务局下设立了人口贩运问题办公室；</w:t>
      </w:r>
    </w:p>
    <w:p w:rsidR="00A51AD9" w:rsidRPr="00A51AD9" w:rsidRDefault="00A51AD9" w:rsidP="00ED0A98">
      <w:pPr>
        <w:pStyle w:val="SingleTxtGC"/>
        <w:numPr>
          <w:ilvl w:val="0"/>
          <w:numId w:val="7"/>
        </w:numPr>
        <w:rPr>
          <w:snapToGrid/>
        </w:rPr>
      </w:pPr>
      <w:r w:rsidRPr="00A51AD9">
        <w:rPr>
          <w:snapToGrid/>
        </w:rPr>
        <w:t>通过了《</w:t>
      </w:r>
      <w:r w:rsidRPr="00A51AD9">
        <w:rPr>
          <w:snapToGrid/>
        </w:rPr>
        <w:t>2013-2017</w:t>
      </w:r>
      <w:r w:rsidRPr="00A51AD9">
        <w:rPr>
          <w:snapToGrid/>
        </w:rPr>
        <w:t>年关于向美利坚合众国人口贩运受害者提供服务的联邦战略行动计划》。</w:t>
      </w:r>
    </w:p>
    <w:p w:rsidR="00A51AD9" w:rsidRPr="00A51AD9" w:rsidRDefault="00A51AD9" w:rsidP="00ED0A98">
      <w:pPr>
        <w:pStyle w:val="HChGC"/>
        <w:rPr>
          <w:snapToGrid/>
        </w:rPr>
      </w:pPr>
      <w:r w:rsidRPr="00A51AD9">
        <w:rPr>
          <w:snapToGrid/>
        </w:rPr>
        <w:tab/>
      </w:r>
      <w:r w:rsidRPr="00A51AD9">
        <w:rPr>
          <w:rFonts w:ascii="SimHei" w:hAnsi="SimHei"/>
          <w:snapToGrid/>
        </w:rPr>
        <w:t>三</w:t>
      </w:r>
      <w:r w:rsidRPr="00A51AD9">
        <w:rPr>
          <w:snapToGrid/>
        </w:rPr>
        <w:t>.</w:t>
      </w:r>
      <w:r w:rsidRPr="00A51AD9">
        <w:rPr>
          <w:snapToGrid/>
        </w:rPr>
        <w:tab/>
      </w:r>
      <w:r w:rsidRPr="00A51AD9">
        <w:rPr>
          <w:rFonts w:ascii="SimHei" w:hAnsi="SimHei"/>
          <w:snapToGrid/>
        </w:rPr>
        <w:t>数据</w:t>
      </w:r>
    </w:p>
    <w:p w:rsidR="00A51AD9" w:rsidRPr="00A51AD9" w:rsidRDefault="00A51AD9" w:rsidP="00ED0A98">
      <w:pPr>
        <w:pStyle w:val="H23GC"/>
      </w:pPr>
      <w:r w:rsidRPr="00A51AD9">
        <w:tab/>
      </w:r>
      <w:r w:rsidRPr="00A51AD9">
        <w:tab/>
      </w:r>
      <w:r w:rsidRPr="00A51AD9">
        <w:t>数据收集</w:t>
      </w:r>
    </w:p>
    <w:p w:rsidR="00A51AD9" w:rsidRPr="00A51AD9" w:rsidRDefault="00A51AD9" w:rsidP="00ED0A98">
      <w:pPr>
        <w:pStyle w:val="SingleTxtGC"/>
        <w:rPr>
          <w:snapToGrid/>
        </w:rPr>
      </w:pPr>
      <w:r w:rsidRPr="00A51AD9">
        <w:rPr>
          <w:snapToGrid/>
        </w:rPr>
        <w:t>6.</w:t>
      </w:r>
      <w:r w:rsidRPr="00A51AD9">
        <w:rPr>
          <w:snapToGrid/>
        </w:rPr>
        <w:tab/>
      </w:r>
      <w:r w:rsidRPr="00A51AD9">
        <w:rPr>
          <w:snapToGrid/>
        </w:rPr>
        <w:t>委员会欢迎缔约国在联邦一级建立多种数据库，特别是网上犯罪数据库和以性剥削为目的的人口贩运受害者数据库。委员会注意到缔约国提供的资料，即缔约国的各种机构也收集涉及《任择议定书》的数据，州、领土、部落和地方政府在这一领域均具有管辖权</w:t>
      </w:r>
      <w:r w:rsidRPr="00A51AD9">
        <w:rPr>
          <w:rFonts w:hint="eastAsia"/>
          <w:snapToGrid/>
        </w:rPr>
        <w:t>，</w:t>
      </w:r>
      <w:r w:rsidRPr="00A51AD9">
        <w:rPr>
          <w:snapToGrid/>
        </w:rPr>
        <w:t>并且使用的数据系统和罪行定义存在</w:t>
      </w:r>
      <w:r w:rsidRPr="00A51AD9">
        <w:rPr>
          <w:rFonts w:hint="eastAsia"/>
          <w:snapToGrid/>
        </w:rPr>
        <w:t>差异</w:t>
      </w:r>
      <w:r w:rsidRPr="00A51AD9">
        <w:rPr>
          <w:snapToGrid/>
        </w:rPr>
        <w:t>。与此同时，委员会感到关切的是，现有的数据收集系统并未提供《任择议定书》涵盖的所有领域的可靠</w:t>
      </w:r>
      <w:r w:rsidRPr="00A51AD9">
        <w:rPr>
          <w:rFonts w:hint="eastAsia"/>
          <w:snapToGrid/>
        </w:rPr>
        <w:t>、</w:t>
      </w:r>
      <w:r w:rsidRPr="00A51AD9">
        <w:rPr>
          <w:snapToGrid/>
        </w:rPr>
        <w:t>完整的分类数据。在这方面，委员会重申以往结论性意见中就以下问题表示的</w:t>
      </w:r>
      <w:r w:rsidRPr="008D08CB">
        <w:t>关切</w:t>
      </w:r>
      <w:r w:rsidRPr="008D08CB">
        <w:t>(</w:t>
      </w:r>
      <w:r w:rsidRPr="008D08CB">
        <w:t>见</w:t>
      </w:r>
      <w:r w:rsidRPr="008D08CB">
        <w:t>CRC/C/OPSC/USA/CO/2</w:t>
      </w:r>
      <w:r w:rsidRPr="008D08CB">
        <w:t>，第</w:t>
      </w:r>
      <w:r w:rsidRPr="008D08CB">
        <w:t>7</w:t>
      </w:r>
      <w:r w:rsidRPr="008D08CB">
        <w:t>段</w:t>
      </w:r>
      <w:r w:rsidRPr="00A51AD9">
        <w:rPr>
          <w:snapToGrid/>
        </w:rPr>
        <w:t>)</w:t>
      </w:r>
      <w:r w:rsidRPr="00A51AD9">
        <w:rPr>
          <w:snapToGrid/>
        </w:rPr>
        <w:t>：</w:t>
      </w:r>
    </w:p>
    <w:p w:rsidR="00A51AD9" w:rsidRPr="00A51AD9" w:rsidRDefault="00A51AD9" w:rsidP="008D08CB">
      <w:pPr>
        <w:pStyle w:val="SingleTxtGC"/>
        <w:numPr>
          <w:ilvl w:val="0"/>
          <w:numId w:val="9"/>
        </w:numPr>
        <w:rPr>
          <w:snapToGrid/>
        </w:rPr>
      </w:pPr>
      <w:r w:rsidRPr="00A51AD9">
        <w:rPr>
          <w:snapToGrid/>
        </w:rPr>
        <w:t>建立关于买卖儿童</w:t>
      </w:r>
      <w:r w:rsidRPr="00A51AD9">
        <w:rPr>
          <w:rFonts w:hint="eastAsia"/>
          <w:snapToGrid/>
        </w:rPr>
        <w:t>、</w:t>
      </w:r>
      <w:r w:rsidRPr="00A51AD9">
        <w:rPr>
          <w:snapToGrid/>
        </w:rPr>
        <w:t>儿童卖淫和儿童色情制品问题的有效国家数据收集系统的工作缺乏进展，目前联邦、州和地方主管机关使用多种不同的数据系统，而新建的系统应能由各级政府共同使用；</w:t>
      </w:r>
    </w:p>
    <w:p w:rsidR="00A51AD9" w:rsidRPr="00A51AD9" w:rsidRDefault="00A51AD9" w:rsidP="008D08CB">
      <w:pPr>
        <w:pStyle w:val="SingleTxtGC"/>
        <w:numPr>
          <w:ilvl w:val="0"/>
          <w:numId w:val="9"/>
        </w:numPr>
        <w:rPr>
          <w:snapToGrid/>
        </w:rPr>
      </w:pPr>
      <w:r w:rsidRPr="00A51AD9">
        <w:rPr>
          <w:snapToGrid/>
        </w:rPr>
        <w:t>对于儿童和影响儿童的犯罪的根源，没有进行充分的研究以及基于实证的政策和方案分析，并且现有研究和分析都过多地关注以性剥削为目的的贩运，很少关注以强迫劳动为目的的买卖儿童行为和《任择议定书》所涵盖的其他罪行；</w:t>
      </w:r>
    </w:p>
    <w:p w:rsidR="00A51AD9" w:rsidRPr="00A51AD9" w:rsidRDefault="00A51AD9" w:rsidP="008D08CB">
      <w:pPr>
        <w:pStyle w:val="SingleTxtGC"/>
        <w:numPr>
          <w:ilvl w:val="0"/>
          <w:numId w:val="9"/>
        </w:numPr>
        <w:rPr>
          <w:snapToGrid/>
        </w:rPr>
      </w:pPr>
      <w:r w:rsidRPr="00A51AD9">
        <w:rPr>
          <w:rFonts w:hint="eastAsia"/>
          <w:snapToGrid/>
        </w:rPr>
        <w:t>缔约国</w:t>
      </w:r>
      <w:r w:rsidRPr="00A51AD9">
        <w:rPr>
          <w:snapToGrid/>
        </w:rPr>
        <w:t>在收集数据</w:t>
      </w:r>
      <w:r w:rsidRPr="00A51AD9">
        <w:rPr>
          <w:rFonts w:hint="eastAsia"/>
          <w:snapToGrid/>
        </w:rPr>
        <w:t>及</w:t>
      </w:r>
      <w:r w:rsidRPr="00A51AD9">
        <w:rPr>
          <w:snapToGrid/>
        </w:rPr>
        <w:t>分析性资料时，将多种侵害儿童的犯罪活动均视为了贩运，包括《任择议定书》所涵盖的罪行，由此产生了一些困难。这也导致国家、州、地方和国际各级在识别受害儿童以及确定适当战略以防止和打击此类犯罪方面</w:t>
      </w:r>
      <w:r w:rsidRPr="00A51AD9">
        <w:rPr>
          <w:rFonts w:hint="eastAsia"/>
          <w:snapToGrid/>
        </w:rPr>
        <w:t>存在</w:t>
      </w:r>
      <w:r w:rsidRPr="00A51AD9">
        <w:rPr>
          <w:snapToGrid/>
        </w:rPr>
        <w:t>误解和差异。</w:t>
      </w:r>
    </w:p>
    <w:p w:rsidR="00A51AD9" w:rsidRPr="00B9788F" w:rsidRDefault="00A51AD9" w:rsidP="008D08CB">
      <w:pPr>
        <w:pStyle w:val="SingleTxtGC"/>
        <w:rPr>
          <w:rFonts w:ascii="Time New Roman" w:eastAsia="SimHei" w:hAnsi="Time New Roman" w:hint="eastAsia"/>
          <w:snapToGrid/>
        </w:rPr>
      </w:pPr>
      <w:r w:rsidRPr="00B9788F">
        <w:rPr>
          <w:rFonts w:ascii="Time New Roman" w:eastAsia="SimHei" w:hAnsi="Time New Roman"/>
          <w:snapToGrid/>
        </w:rPr>
        <w:t>7.</w:t>
      </w:r>
      <w:r w:rsidRPr="00B9788F">
        <w:rPr>
          <w:rFonts w:ascii="Time New Roman" w:eastAsia="SimHei" w:hAnsi="Time New Roman"/>
          <w:snapToGrid/>
        </w:rPr>
        <w:tab/>
      </w:r>
      <w:r w:rsidRPr="00B9788F">
        <w:rPr>
          <w:rFonts w:ascii="Time New Roman" w:eastAsia="SimHei" w:hAnsi="Time New Roman"/>
          <w:snapToGrid/>
        </w:rPr>
        <w:t>委员会促请缔约国按照委员会以往结论性意见的建议</w:t>
      </w:r>
      <w:r w:rsidRPr="00B9788F">
        <w:rPr>
          <w:rFonts w:ascii="Time New Roman" w:eastAsia="SimHei" w:hAnsi="Time New Roman"/>
          <w:snapToGrid/>
        </w:rPr>
        <w:t>(</w:t>
      </w:r>
      <w:r w:rsidRPr="00B9788F">
        <w:rPr>
          <w:rFonts w:ascii="Time New Roman" w:eastAsia="SimHei" w:hAnsi="Time New Roman"/>
          <w:snapToGrid/>
        </w:rPr>
        <w:t>见</w:t>
      </w:r>
      <w:r w:rsidRPr="00B9788F">
        <w:rPr>
          <w:rFonts w:ascii="Time New Roman" w:eastAsia="SimHei" w:hAnsi="Time New Roman"/>
          <w:snapToGrid/>
        </w:rPr>
        <w:t>CRC/C/OPSC/USA/</w:t>
      </w:r>
      <w:r w:rsidR="008D08CB" w:rsidRPr="00B9788F">
        <w:rPr>
          <w:rFonts w:ascii="Time New Roman" w:eastAsia="SimHei" w:hAnsi="Time New Roman"/>
          <w:snapToGrid/>
        </w:rPr>
        <w:t xml:space="preserve"> </w:t>
      </w:r>
      <w:r w:rsidRPr="00B9788F">
        <w:rPr>
          <w:rFonts w:ascii="Time New Roman" w:eastAsia="SimHei" w:hAnsi="Time New Roman"/>
          <w:snapToGrid/>
        </w:rPr>
        <w:t>CO/2</w:t>
      </w:r>
      <w:r w:rsidRPr="00B9788F">
        <w:rPr>
          <w:rFonts w:ascii="Time New Roman" w:eastAsia="SimHei" w:hAnsi="Time New Roman"/>
          <w:snapToGrid/>
        </w:rPr>
        <w:t>，第</w:t>
      </w:r>
      <w:r w:rsidRPr="00B9788F">
        <w:rPr>
          <w:rFonts w:ascii="Time New Roman" w:eastAsia="SimHei" w:hAnsi="Time New Roman"/>
          <w:snapToGrid/>
        </w:rPr>
        <w:t>8</w:t>
      </w:r>
      <w:r w:rsidRPr="00B9788F">
        <w:rPr>
          <w:rFonts w:ascii="Time New Roman" w:eastAsia="SimHei" w:hAnsi="Time New Roman"/>
          <w:snapToGrid/>
        </w:rPr>
        <w:t>段</w:t>
      </w:r>
      <w:r w:rsidRPr="00B9788F">
        <w:rPr>
          <w:rFonts w:ascii="Time New Roman" w:eastAsia="SimHei" w:hAnsi="Time New Roman"/>
          <w:snapToGrid/>
        </w:rPr>
        <w:t>)</w:t>
      </w:r>
      <w:r w:rsidRPr="00B9788F">
        <w:rPr>
          <w:rFonts w:ascii="Time New Roman" w:eastAsia="SimHei" w:hAnsi="Time New Roman"/>
          <w:snapToGrid/>
        </w:rPr>
        <w:t>，加强努力，以：</w:t>
      </w:r>
    </w:p>
    <w:p w:rsidR="00A51AD9" w:rsidRPr="00B9788F" w:rsidRDefault="00A51AD9" w:rsidP="008D08CB">
      <w:pPr>
        <w:pStyle w:val="SingleTxtGC"/>
        <w:numPr>
          <w:ilvl w:val="0"/>
          <w:numId w:val="11"/>
        </w:numPr>
        <w:rPr>
          <w:rFonts w:ascii="Time New Roman" w:eastAsia="SimHei" w:hAnsi="Time New Roman" w:hint="eastAsia"/>
          <w:snapToGrid/>
        </w:rPr>
      </w:pPr>
      <w:r w:rsidRPr="00B9788F">
        <w:rPr>
          <w:rFonts w:ascii="Time New Roman" w:eastAsia="SimHei" w:hAnsi="Time New Roman"/>
          <w:snapToGrid/>
        </w:rPr>
        <w:t>制订并实施一个全面和有系统的数据收集系统，该系统也可用于分析、监测和影响评估工作，应涵盖《任择议定书》规定的所有领域，囊括美国本土的全部领土以及美国行使主权的岛屿地区和其他属地。委员会还建议，数据应按性别、年龄、国籍、族裔、社会经济背景、残疾和地理区域等项目分类，并应重点关注有遭受《任择议定书》所涵盖罪行侵害的特定风险的儿童，例如孤身</w:t>
      </w:r>
      <w:r w:rsidRPr="00B9788F">
        <w:rPr>
          <w:rFonts w:ascii="Time New Roman" w:eastAsia="SimHei" w:hAnsi="Time New Roman" w:hint="eastAsia"/>
          <w:snapToGrid/>
        </w:rPr>
        <w:t>外国</w:t>
      </w:r>
      <w:r w:rsidRPr="00B9788F">
        <w:rPr>
          <w:rFonts w:ascii="Time New Roman" w:eastAsia="SimHei" w:hAnsi="Time New Roman"/>
          <w:snapToGrid/>
        </w:rPr>
        <w:t>儿童、陪同移民家人的儿童、童工、无家可归儿童和街头儿童。委员会还建议缔约国设立联邦和州两级通用的数据收集指标；</w:t>
      </w:r>
    </w:p>
    <w:p w:rsidR="00A51AD9" w:rsidRPr="00B9788F" w:rsidRDefault="00A51AD9" w:rsidP="008D08CB">
      <w:pPr>
        <w:pStyle w:val="SingleTxtGC"/>
        <w:numPr>
          <w:ilvl w:val="0"/>
          <w:numId w:val="11"/>
        </w:numPr>
        <w:rPr>
          <w:rFonts w:ascii="Time New Roman" w:eastAsia="SimHei" w:hAnsi="Time New Roman" w:hint="eastAsia"/>
          <w:snapToGrid/>
        </w:rPr>
      </w:pPr>
      <w:r w:rsidRPr="00B9788F">
        <w:rPr>
          <w:rFonts w:ascii="Time New Roman" w:eastAsia="SimHei" w:hAnsi="Time New Roman"/>
          <w:snapToGrid/>
        </w:rPr>
        <w:lastRenderedPageBreak/>
        <w:t>支持和建立与非政府组织和学术中心的伙伴关系，深入研究影响儿童的犯罪的根源以及保护措施和方案的规模和影响，涵盖性剥削、</w:t>
      </w:r>
      <w:r w:rsidRPr="00B9788F">
        <w:rPr>
          <w:rFonts w:ascii="Time New Roman" w:eastAsia="SimHei" w:hAnsi="Time New Roman" w:hint="eastAsia"/>
          <w:snapToGrid/>
        </w:rPr>
        <w:t>劳动</w:t>
      </w:r>
      <w:r w:rsidRPr="00B9788F">
        <w:rPr>
          <w:rFonts w:ascii="Time New Roman" w:eastAsia="SimHei" w:hAnsi="Time New Roman"/>
          <w:snapToGrid/>
        </w:rPr>
        <w:t>剥削和其他影响儿童的情况，包括贫困和边缘化；</w:t>
      </w:r>
    </w:p>
    <w:p w:rsidR="00A51AD9" w:rsidRPr="00B9788F" w:rsidRDefault="00A51AD9" w:rsidP="008D08CB">
      <w:pPr>
        <w:pStyle w:val="SingleTxtGC"/>
        <w:numPr>
          <w:ilvl w:val="0"/>
          <w:numId w:val="11"/>
        </w:numPr>
        <w:rPr>
          <w:rFonts w:ascii="Time New Roman" w:eastAsia="SimHei" w:hAnsi="Time New Roman" w:hint="eastAsia"/>
          <w:snapToGrid/>
        </w:rPr>
      </w:pPr>
      <w:r w:rsidRPr="00B9788F">
        <w:rPr>
          <w:rFonts w:ascii="Time New Roman" w:eastAsia="SimHei" w:hAnsi="Time New Roman"/>
          <w:snapToGrid/>
        </w:rPr>
        <w:t>为了</w:t>
      </w:r>
      <w:r w:rsidRPr="00B9788F">
        <w:rPr>
          <w:rFonts w:ascii="Time New Roman" w:eastAsia="SimHei" w:hAnsi="Time New Roman" w:hint="eastAsia"/>
          <w:snapToGrid/>
        </w:rPr>
        <w:t>收集</w:t>
      </w:r>
      <w:r w:rsidRPr="00B9788F">
        <w:rPr>
          <w:rFonts w:ascii="Time New Roman" w:eastAsia="SimHei" w:hAnsi="Time New Roman"/>
          <w:snapToGrid/>
        </w:rPr>
        <w:t>数据</w:t>
      </w:r>
      <w:r w:rsidRPr="00B9788F">
        <w:rPr>
          <w:rFonts w:ascii="Time New Roman" w:eastAsia="SimHei" w:hAnsi="Time New Roman" w:hint="eastAsia"/>
          <w:snapToGrid/>
        </w:rPr>
        <w:t>并</w:t>
      </w:r>
      <w:r w:rsidRPr="00B9788F">
        <w:rPr>
          <w:rFonts w:ascii="Time New Roman" w:eastAsia="SimHei" w:hAnsi="Time New Roman"/>
          <w:snapToGrid/>
        </w:rPr>
        <w:t>规划和制订涵盖《任择议定书》所有领域的政策和方案，考虑按照《任择议定书》第</w:t>
      </w:r>
      <w:r w:rsidRPr="00B9788F">
        <w:rPr>
          <w:rFonts w:ascii="Time New Roman" w:eastAsia="SimHei" w:hAnsi="Time New Roman"/>
          <w:snapToGrid/>
        </w:rPr>
        <w:t>2</w:t>
      </w:r>
      <w:r w:rsidRPr="00B9788F">
        <w:rPr>
          <w:rFonts w:ascii="Time New Roman" w:eastAsia="SimHei" w:hAnsi="Time New Roman"/>
          <w:snapToGrid/>
        </w:rPr>
        <w:t>、第</w:t>
      </w:r>
      <w:r w:rsidRPr="00B9788F">
        <w:rPr>
          <w:rFonts w:ascii="Time New Roman" w:eastAsia="SimHei" w:hAnsi="Time New Roman"/>
          <w:snapToGrid/>
        </w:rPr>
        <w:t>3</w:t>
      </w:r>
      <w:r w:rsidRPr="00B9788F">
        <w:rPr>
          <w:rFonts w:ascii="Time New Roman" w:eastAsia="SimHei" w:hAnsi="Time New Roman"/>
          <w:snapToGrid/>
        </w:rPr>
        <w:t>和第</w:t>
      </w:r>
      <w:r w:rsidRPr="00B9788F">
        <w:rPr>
          <w:rFonts w:ascii="Time New Roman" w:eastAsia="SimHei" w:hAnsi="Time New Roman"/>
          <w:snapToGrid/>
        </w:rPr>
        <w:t>10</w:t>
      </w:r>
      <w:r w:rsidRPr="00B9788F">
        <w:rPr>
          <w:rFonts w:ascii="Time New Roman" w:eastAsia="SimHei" w:hAnsi="Time New Roman"/>
          <w:snapToGrid/>
        </w:rPr>
        <w:t>条的规定，对有关罪行的定义作出说明，将儿童与成年受害者区分对待，并确保联邦、州和地方各级的立法者、服务提供者、执法官员和广大公众以一致的方式使用这些定义。</w:t>
      </w:r>
    </w:p>
    <w:p w:rsidR="00A51AD9" w:rsidRPr="00A51AD9" w:rsidRDefault="00A51AD9" w:rsidP="008D08CB">
      <w:pPr>
        <w:pStyle w:val="HChGC"/>
        <w:rPr>
          <w:snapToGrid/>
        </w:rPr>
      </w:pPr>
      <w:r w:rsidRPr="00A51AD9">
        <w:rPr>
          <w:snapToGrid/>
        </w:rPr>
        <w:tab/>
      </w:r>
      <w:r w:rsidRPr="00A51AD9">
        <w:rPr>
          <w:snapToGrid/>
        </w:rPr>
        <w:t>四</w:t>
      </w:r>
      <w:r w:rsidRPr="00A51AD9">
        <w:rPr>
          <w:snapToGrid/>
        </w:rPr>
        <w:t>.</w:t>
      </w:r>
      <w:r w:rsidRPr="00A51AD9">
        <w:rPr>
          <w:snapToGrid/>
        </w:rPr>
        <w:tab/>
      </w:r>
      <w:r w:rsidRPr="00A51AD9">
        <w:rPr>
          <w:snapToGrid/>
        </w:rPr>
        <w:t>一般执行措施</w:t>
      </w:r>
    </w:p>
    <w:p w:rsidR="00A51AD9" w:rsidRPr="00A51AD9" w:rsidRDefault="00A51AD9" w:rsidP="00CB34F6">
      <w:pPr>
        <w:pStyle w:val="H1GC"/>
        <w:rPr>
          <w:snapToGrid/>
        </w:rPr>
      </w:pPr>
      <w:r w:rsidRPr="00A51AD9">
        <w:rPr>
          <w:snapToGrid/>
        </w:rPr>
        <w:tab/>
      </w:r>
      <w:r w:rsidRPr="00A51AD9">
        <w:rPr>
          <w:snapToGrid/>
        </w:rPr>
        <w:tab/>
      </w:r>
      <w:r w:rsidRPr="00A51AD9">
        <w:rPr>
          <w:snapToGrid/>
        </w:rPr>
        <w:t>《儿童权利公约》的一般原则</w:t>
      </w:r>
      <w:r w:rsidRPr="00A51AD9">
        <w:rPr>
          <w:snapToGrid/>
        </w:rPr>
        <w:t>(</w:t>
      </w:r>
      <w:r w:rsidRPr="00A51AD9">
        <w:rPr>
          <w:snapToGrid/>
        </w:rPr>
        <w:t>第</w:t>
      </w:r>
      <w:r w:rsidRPr="00A51AD9">
        <w:rPr>
          <w:snapToGrid/>
        </w:rPr>
        <w:t>2</w:t>
      </w:r>
      <w:r w:rsidRPr="00A51AD9">
        <w:rPr>
          <w:snapToGrid/>
        </w:rPr>
        <w:t>、第</w:t>
      </w:r>
      <w:r w:rsidRPr="00A51AD9">
        <w:rPr>
          <w:snapToGrid/>
        </w:rPr>
        <w:t>3</w:t>
      </w:r>
      <w:r w:rsidRPr="00A51AD9">
        <w:rPr>
          <w:snapToGrid/>
        </w:rPr>
        <w:t>、第</w:t>
      </w:r>
      <w:r w:rsidRPr="00A51AD9">
        <w:rPr>
          <w:snapToGrid/>
        </w:rPr>
        <w:t>6</w:t>
      </w:r>
      <w:r w:rsidRPr="00A51AD9">
        <w:rPr>
          <w:snapToGrid/>
        </w:rPr>
        <w:t>和第</w:t>
      </w:r>
      <w:r w:rsidRPr="00A51AD9">
        <w:rPr>
          <w:snapToGrid/>
        </w:rPr>
        <w:t>12</w:t>
      </w:r>
      <w:r w:rsidRPr="00A51AD9">
        <w:rPr>
          <w:snapToGrid/>
        </w:rPr>
        <w:t>条</w:t>
      </w:r>
      <w:r w:rsidRPr="00A51AD9">
        <w:rPr>
          <w:snapToGrid/>
        </w:rPr>
        <w:t>)</w:t>
      </w:r>
    </w:p>
    <w:p w:rsidR="00A51AD9" w:rsidRPr="00A51AD9" w:rsidRDefault="00A51AD9" w:rsidP="00CB34F6">
      <w:pPr>
        <w:pStyle w:val="H23GC"/>
      </w:pPr>
      <w:r w:rsidRPr="00A51AD9">
        <w:tab/>
      </w:r>
      <w:r w:rsidRPr="00A51AD9">
        <w:tab/>
      </w:r>
      <w:r w:rsidRPr="00A51AD9">
        <w:rPr>
          <w:rFonts w:ascii="SimHei" w:hAnsi="SimHei"/>
        </w:rPr>
        <w:t>立法</w:t>
      </w:r>
    </w:p>
    <w:p w:rsidR="00A51AD9" w:rsidRPr="00A51AD9" w:rsidRDefault="00A51AD9" w:rsidP="00CB34F6">
      <w:pPr>
        <w:pStyle w:val="SingleTxtGC"/>
        <w:rPr>
          <w:snapToGrid/>
        </w:rPr>
      </w:pPr>
      <w:r w:rsidRPr="00A51AD9">
        <w:rPr>
          <w:snapToGrid/>
        </w:rPr>
        <w:t>8.</w:t>
      </w:r>
      <w:r w:rsidRPr="00A51AD9">
        <w:rPr>
          <w:snapToGrid/>
        </w:rPr>
        <w:tab/>
      </w:r>
      <w:r w:rsidRPr="00A51AD9">
        <w:rPr>
          <w:snapToGrid/>
        </w:rPr>
        <w:t>委员会对本文件第</w:t>
      </w:r>
      <w:r w:rsidRPr="00A51AD9">
        <w:rPr>
          <w:snapToGrid/>
        </w:rPr>
        <w:t>4</w:t>
      </w:r>
      <w:r w:rsidRPr="00A51AD9">
        <w:rPr>
          <w:snapToGrid/>
        </w:rPr>
        <w:t>段提到的立法方面的进展表示欢迎，但感到关切的是，缔约国的法律过多地关注以性剥削为目的的人口贩运，没有充分应对涉及《任择议定书》第</w:t>
      </w:r>
      <w:r w:rsidRPr="00A51AD9">
        <w:rPr>
          <w:snapToGrid/>
        </w:rPr>
        <w:t>2</w:t>
      </w:r>
      <w:r w:rsidRPr="00A51AD9">
        <w:rPr>
          <w:snapToGrid/>
        </w:rPr>
        <w:t>和第</w:t>
      </w:r>
      <w:r w:rsidRPr="00A51AD9">
        <w:rPr>
          <w:snapToGrid/>
        </w:rPr>
        <w:t>3</w:t>
      </w:r>
      <w:r w:rsidRPr="00A51AD9">
        <w:rPr>
          <w:snapToGrid/>
        </w:rPr>
        <w:t>条所界定的买卖儿童的一些其他罪行。委员会还感到遗憾的是，在儿童年龄方面，联邦法律和州法律缺乏统一，各州之间也不一致。</w:t>
      </w:r>
    </w:p>
    <w:p w:rsidR="00A51AD9" w:rsidRPr="00B9788F" w:rsidRDefault="00A51AD9" w:rsidP="00CB34F6">
      <w:pPr>
        <w:pStyle w:val="SingleTxtGC"/>
        <w:rPr>
          <w:rFonts w:ascii="Time New Roman" w:eastAsia="SimHei" w:hAnsi="Time New Roman" w:hint="eastAsia"/>
          <w:snapToGrid/>
        </w:rPr>
      </w:pPr>
      <w:r w:rsidRPr="00B9788F">
        <w:rPr>
          <w:rFonts w:ascii="Time New Roman" w:eastAsia="SimHei" w:hAnsi="Time New Roman"/>
          <w:snapToGrid/>
        </w:rPr>
        <w:t>9.</w:t>
      </w:r>
      <w:r w:rsidRPr="00B9788F">
        <w:rPr>
          <w:rFonts w:ascii="Time New Roman" w:eastAsia="SimHei" w:hAnsi="Time New Roman"/>
          <w:snapToGrid/>
        </w:rPr>
        <w:tab/>
      </w:r>
      <w:r w:rsidRPr="00B9788F">
        <w:rPr>
          <w:rFonts w:ascii="Time New Roman" w:eastAsia="SimHei" w:hAnsi="Time New Roman"/>
          <w:snapToGrid/>
        </w:rPr>
        <w:t>委员会建议缔约国：</w:t>
      </w:r>
    </w:p>
    <w:p w:rsidR="00A51AD9" w:rsidRPr="00B9788F" w:rsidRDefault="00A51AD9" w:rsidP="00CB34F6">
      <w:pPr>
        <w:pStyle w:val="SingleTxtGC"/>
        <w:numPr>
          <w:ilvl w:val="0"/>
          <w:numId w:val="13"/>
        </w:numPr>
        <w:rPr>
          <w:rFonts w:ascii="Time New Roman" w:eastAsia="SimHei" w:hAnsi="Time New Roman" w:hint="eastAsia"/>
          <w:snapToGrid/>
        </w:rPr>
      </w:pPr>
      <w:r w:rsidRPr="00B9788F">
        <w:rPr>
          <w:rFonts w:ascii="Time New Roman" w:eastAsia="SimHei" w:hAnsi="Time New Roman"/>
          <w:snapToGrid/>
        </w:rPr>
        <w:t>至少确保将与人口贩运相近但不相同的买卖儿童的定义充分写入国内法，以妥善落实《任择议定书》所载的关于买卖的规定；</w:t>
      </w:r>
    </w:p>
    <w:p w:rsidR="00A51AD9" w:rsidRPr="00B9788F" w:rsidRDefault="00A51AD9" w:rsidP="00CB34F6">
      <w:pPr>
        <w:pStyle w:val="SingleTxtGC"/>
        <w:numPr>
          <w:ilvl w:val="0"/>
          <w:numId w:val="13"/>
        </w:numPr>
        <w:rPr>
          <w:rFonts w:ascii="Time New Roman" w:eastAsia="SimHei" w:hAnsi="Time New Roman" w:hint="eastAsia"/>
          <w:snapToGrid/>
        </w:rPr>
      </w:pPr>
      <w:r w:rsidRPr="00B9788F">
        <w:rPr>
          <w:rFonts w:ascii="Time New Roman" w:eastAsia="SimHei" w:hAnsi="Time New Roman"/>
          <w:snapToGrid/>
        </w:rPr>
        <w:t>确保联邦法律和州法律采用统一的儿童年龄，规定对儿童予以充分保护，直至年满</w:t>
      </w:r>
      <w:r w:rsidRPr="00B9788F">
        <w:rPr>
          <w:rFonts w:ascii="Time New Roman" w:eastAsia="SimHei" w:hAnsi="Time New Roman"/>
          <w:snapToGrid/>
        </w:rPr>
        <w:t>18</w:t>
      </w:r>
      <w:r w:rsidRPr="00B9788F">
        <w:rPr>
          <w:rFonts w:ascii="Time New Roman" w:eastAsia="SimHei" w:hAnsi="Time New Roman"/>
          <w:snapToGrid/>
        </w:rPr>
        <w:t>岁。</w:t>
      </w:r>
    </w:p>
    <w:p w:rsidR="00A51AD9" w:rsidRPr="00A51AD9" w:rsidRDefault="00A51AD9" w:rsidP="00CB34F6">
      <w:pPr>
        <w:pStyle w:val="H23GC"/>
      </w:pPr>
      <w:r w:rsidRPr="00A51AD9">
        <w:tab/>
      </w:r>
      <w:r w:rsidRPr="00A51AD9">
        <w:tab/>
      </w:r>
      <w:r w:rsidRPr="00A51AD9">
        <w:t>全面的政策和战略</w:t>
      </w:r>
    </w:p>
    <w:p w:rsidR="00A51AD9" w:rsidRPr="00A51AD9" w:rsidRDefault="00A51AD9" w:rsidP="00CB34F6">
      <w:pPr>
        <w:pStyle w:val="SingleTxtGC"/>
        <w:rPr>
          <w:snapToGrid/>
        </w:rPr>
      </w:pPr>
      <w:r w:rsidRPr="00A51AD9">
        <w:rPr>
          <w:snapToGrid/>
        </w:rPr>
        <w:t>10.</w:t>
      </w:r>
      <w:r w:rsidR="00CB34F6">
        <w:rPr>
          <w:snapToGrid/>
        </w:rPr>
        <w:t xml:space="preserve">  </w:t>
      </w:r>
      <w:r w:rsidRPr="00A51AD9">
        <w:rPr>
          <w:snapToGrid/>
        </w:rPr>
        <w:t>委员会欢迎缔约国为应对儿童剥削和人口贩运问题而采取的一系列战略和行动计划，但感到遗憾的是，没有一项全面的战略，涵盖《任择议定书》之下的所有领域，包括《任择议定书》第</w:t>
      </w:r>
      <w:r w:rsidRPr="00A51AD9">
        <w:rPr>
          <w:snapToGrid/>
        </w:rPr>
        <w:t>2</w:t>
      </w:r>
      <w:r w:rsidRPr="00A51AD9">
        <w:rPr>
          <w:snapToGrid/>
        </w:rPr>
        <w:t>和第</w:t>
      </w:r>
      <w:r w:rsidRPr="00A51AD9">
        <w:rPr>
          <w:snapToGrid/>
        </w:rPr>
        <w:t>3</w:t>
      </w:r>
      <w:r w:rsidRPr="00A51AD9">
        <w:rPr>
          <w:snapToGrid/>
        </w:rPr>
        <w:t>条述及的一切形式的买卖儿童行为，特别是以劳动剥削为目的买卖儿童、买卖器官和作为中介不正当地诱使同意以收养儿童的行为。</w:t>
      </w:r>
    </w:p>
    <w:p w:rsidR="00A51AD9" w:rsidRPr="00B9788F" w:rsidRDefault="00A51AD9" w:rsidP="00CB34F6">
      <w:pPr>
        <w:pStyle w:val="SingleTxtGC"/>
        <w:rPr>
          <w:rFonts w:ascii="Time New Roman" w:eastAsia="SimHei" w:hAnsi="Time New Roman" w:hint="eastAsia"/>
          <w:snapToGrid/>
        </w:rPr>
      </w:pPr>
      <w:r w:rsidRPr="00B9788F">
        <w:rPr>
          <w:rFonts w:ascii="Time New Roman" w:eastAsia="SimHei" w:hAnsi="Time New Roman"/>
          <w:snapToGrid/>
        </w:rPr>
        <w:t>11.</w:t>
      </w:r>
      <w:r w:rsidR="00CB34F6" w:rsidRPr="00B9788F">
        <w:rPr>
          <w:rFonts w:ascii="Time New Roman" w:eastAsia="SimHei" w:hAnsi="Time New Roman"/>
          <w:snapToGrid/>
        </w:rPr>
        <w:t xml:space="preserve">  </w:t>
      </w:r>
      <w:r w:rsidRPr="00B9788F">
        <w:rPr>
          <w:rFonts w:ascii="Time New Roman" w:eastAsia="SimHei" w:hAnsi="Time New Roman"/>
          <w:snapToGrid/>
        </w:rPr>
        <w:t>委员会建议缔约国制订一项旨在处理性剥削和贩运问题以及《任择议定书》涵盖的所有其他罪行的全面战略，并提供充足的人力、技术和财政资源用于执行这项战略。在此过程中，缔约国应按照《任择议定书》的规定，同时考虑到禁止对儿童商业性剥削世界大会的成果，特别注重防止、禁止有关罪行以及帮助受害儿童康复和重新融入社会。</w:t>
      </w:r>
    </w:p>
    <w:p w:rsidR="00A51AD9" w:rsidRPr="00A51AD9" w:rsidRDefault="00A51AD9" w:rsidP="00CB34F6">
      <w:pPr>
        <w:pStyle w:val="H23GC"/>
      </w:pPr>
      <w:r w:rsidRPr="00A51AD9">
        <w:tab/>
      </w:r>
      <w:r w:rsidRPr="00A51AD9">
        <w:tab/>
      </w:r>
      <w:r w:rsidRPr="00A51AD9">
        <w:t>协调和评估</w:t>
      </w:r>
    </w:p>
    <w:p w:rsidR="00A51AD9" w:rsidRPr="00A51AD9" w:rsidRDefault="00A51AD9" w:rsidP="00CB34F6">
      <w:pPr>
        <w:pStyle w:val="SingleTxtGC"/>
        <w:rPr>
          <w:snapToGrid/>
        </w:rPr>
      </w:pPr>
      <w:r w:rsidRPr="00A51AD9">
        <w:rPr>
          <w:snapToGrid/>
        </w:rPr>
        <w:t>12.</w:t>
      </w:r>
      <w:r w:rsidR="00CB34F6">
        <w:rPr>
          <w:snapToGrid/>
        </w:rPr>
        <w:t xml:space="preserve">  </w:t>
      </w:r>
      <w:r w:rsidRPr="00A51AD9">
        <w:rPr>
          <w:snapToGrid/>
        </w:rPr>
        <w:t>委员会欢迎缔约国在司法部副部长办公室内任命一名防止和禁止儿童剥削国家协调员。但委员会感到关切的是，国家协调员没有足够的职权，无法协调联邦、州和地方主管机关的活动，也无法与从事该领域工作的非政府组织进行协调。</w:t>
      </w:r>
    </w:p>
    <w:p w:rsidR="00A51AD9" w:rsidRPr="00B9788F" w:rsidRDefault="00A51AD9" w:rsidP="00CB34F6">
      <w:pPr>
        <w:pStyle w:val="SingleTxtGC"/>
        <w:rPr>
          <w:rFonts w:ascii="Time New Roman" w:eastAsia="SimHei" w:hAnsi="Time New Roman" w:hint="eastAsia"/>
          <w:snapToGrid/>
        </w:rPr>
      </w:pPr>
      <w:r w:rsidRPr="00B9788F">
        <w:rPr>
          <w:rFonts w:ascii="Time New Roman" w:eastAsia="SimHei" w:hAnsi="Time New Roman"/>
          <w:snapToGrid/>
        </w:rPr>
        <w:t>13.</w:t>
      </w:r>
      <w:r w:rsidR="00CB34F6" w:rsidRPr="00B9788F">
        <w:rPr>
          <w:rFonts w:ascii="Time New Roman" w:eastAsia="SimHei" w:hAnsi="Time New Roman"/>
          <w:snapToGrid/>
        </w:rPr>
        <w:t xml:space="preserve">  </w:t>
      </w:r>
      <w:r w:rsidRPr="00B9788F">
        <w:rPr>
          <w:rFonts w:ascii="Time New Roman" w:eastAsia="SimHei" w:hAnsi="Time New Roman"/>
          <w:snapToGrid/>
        </w:rPr>
        <w:t>委员会建议缔约国向国家协调员授予足够的职权并扩大其任务，以便在各州之间以及在联邦、州和地方各级从事《任择议定书》</w:t>
      </w:r>
      <w:r w:rsidRPr="00B9788F">
        <w:rPr>
          <w:rFonts w:ascii="Time New Roman" w:eastAsia="SimHei" w:hAnsi="Time New Roman" w:hint="eastAsia"/>
          <w:snapToGrid/>
        </w:rPr>
        <w:t>各项</w:t>
      </w:r>
      <w:r w:rsidRPr="00B9788F">
        <w:rPr>
          <w:rFonts w:ascii="Time New Roman" w:eastAsia="SimHei" w:hAnsi="Time New Roman"/>
          <w:snapToGrid/>
        </w:rPr>
        <w:t>规定落实工作的主管机关之间确立协调政策和机制。委员会还建议各级政府机构与从事该领域工作的非政府组织协调开展活动。</w:t>
      </w:r>
    </w:p>
    <w:p w:rsidR="00A51AD9" w:rsidRPr="00A51AD9" w:rsidRDefault="00A51AD9" w:rsidP="00CB34F6">
      <w:pPr>
        <w:pStyle w:val="H23GC"/>
      </w:pPr>
      <w:r w:rsidRPr="00A51AD9">
        <w:tab/>
      </w:r>
      <w:r w:rsidRPr="00A51AD9">
        <w:tab/>
      </w:r>
      <w:r w:rsidRPr="00A51AD9">
        <w:t>传播、提高认识</w:t>
      </w:r>
    </w:p>
    <w:p w:rsidR="00A51AD9" w:rsidRPr="00A51AD9" w:rsidRDefault="00A51AD9" w:rsidP="00F66446">
      <w:pPr>
        <w:pStyle w:val="SingleTxtGC"/>
        <w:rPr>
          <w:snapToGrid/>
        </w:rPr>
      </w:pPr>
      <w:r w:rsidRPr="00A51AD9">
        <w:rPr>
          <w:snapToGrid/>
        </w:rPr>
        <w:t>14.</w:t>
      </w:r>
      <w:r w:rsidR="00CB34F6">
        <w:rPr>
          <w:snapToGrid/>
        </w:rPr>
        <w:t xml:space="preserve">  </w:t>
      </w:r>
      <w:r w:rsidRPr="00F66446">
        <w:rPr>
          <w:snapToGrid/>
          <w:spacing w:val="-2"/>
        </w:rPr>
        <w:t>委员会欢迎缔约国不断努力通过各种活动提高人们的认识，包括国土安全部的蓝色行动和教育部</w:t>
      </w:r>
      <w:r w:rsidRPr="00A51AD9">
        <w:rPr>
          <w:snapToGrid/>
        </w:rPr>
        <w:t>的</w:t>
      </w:r>
      <w:r w:rsidRPr="00A51AD9">
        <w:rPr>
          <w:snapToGrid/>
        </w:rPr>
        <w:t>#WhatIWouldMiss</w:t>
      </w:r>
      <w:r w:rsidRPr="00A51AD9">
        <w:rPr>
          <w:snapToGrid/>
        </w:rPr>
        <w:t>社交媒体活动，等等。但委员会感到</w:t>
      </w:r>
      <w:r w:rsidRPr="00F66446">
        <w:rPr>
          <w:rFonts w:hint="eastAsia"/>
          <w:snapToGrid/>
          <w:spacing w:val="-2"/>
        </w:rPr>
        <w:t>关切</w:t>
      </w:r>
      <w:r w:rsidRPr="00F66446">
        <w:rPr>
          <w:snapToGrid/>
          <w:spacing w:val="-2"/>
        </w:rPr>
        <w:t>的是，这些活动主要关注人口贩运，忽视了《任择议定书》</w:t>
      </w:r>
      <w:r w:rsidRPr="00F66446">
        <w:rPr>
          <w:rFonts w:hint="eastAsia"/>
          <w:snapToGrid/>
          <w:spacing w:val="-2"/>
        </w:rPr>
        <w:t>所载</w:t>
      </w:r>
      <w:r w:rsidRPr="00F66446">
        <w:rPr>
          <w:snapToGrid/>
          <w:spacing w:val="-2"/>
        </w:rPr>
        <w:t>的其他罪行</w:t>
      </w:r>
      <w:r w:rsidRPr="00A51AD9">
        <w:rPr>
          <w:snapToGrid/>
        </w:rPr>
        <w:t>。</w:t>
      </w:r>
    </w:p>
    <w:p w:rsidR="00A51AD9" w:rsidRPr="00B9788F" w:rsidRDefault="00A51AD9" w:rsidP="007361B2">
      <w:pPr>
        <w:pStyle w:val="SingleTxtGC"/>
        <w:rPr>
          <w:rFonts w:ascii="Time New Roman" w:eastAsia="SimHei" w:hAnsi="Time New Roman" w:hint="eastAsia"/>
          <w:snapToGrid/>
        </w:rPr>
      </w:pPr>
      <w:r w:rsidRPr="00B9788F">
        <w:rPr>
          <w:rFonts w:ascii="Time New Roman" w:eastAsia="SimHei" w:hAnsi="Time New Roman"/>
          <w:snapToGrid/>
        </w:rPr>
        <w:t>15.</w:t>
      </w:r>
      <w:r w:rsidR="007361B2" w:rsidRPr="00B9788F">
        <w:rPr>
          <w:rFonts w:ascii="Time New Roman" w:eastAsia="SimHei" w:hAnsi="Time New Roman"/>
          <w:snapToGrid/>
        </w:rPr>
        <w:t xml:space="preserve">  </w:t>
      </w:r>
      <w:r w:rsidRPr="00B9788F">
        <w:rPr>
          <w:rFonts w:ascii="Time New Roman" w:eastAsia="SimHei" w:hAnsi="Time New Roman"/>
          <w:snapToGrid/>
        </w:rPr>
        <w:t>委员会重申以往结论性意见中的建议</w:t>
      </w:r>
      <w:r w:rsidRPr="00B9788F">
        <w:rPr>
          <w:rFonts w:ascii="Time New Roman" w:eastAsia="SimHei" w:hAnsi="Time New Roman"/>
          <w:snapToGrid/>
        </w:rPr>
        <w:t>(</w:t>
      </w:r>
      <w:r w:rsidRPr="00B9788F">
        <w:rPr>
          <w:rFonts w:ascii="Time New Roman" w:eastAsia="SimHei" w:hAnsi="Time New Roman"/>
          <w:snapToGrid/>
        </w:rPr>
        <w:t>见</w:t>
      </w:r>
      <w:r w:rsidRPr="00B9788F">
        <w:rPr>
          <w:rFonts w:ascii="Time New Roman" w:eastAsia="SimHei" w:hAnsi="Time New Roman"/>
          <w:snapToGrid/>
        </w:rPr>
        <w:t>CRC/C/OPSC/CO/2</w:t>
      </w:r>
      <w:r w:rsidRPr="00B9788F">
        <w:rPr>
          <w:rFonts w:ascii="Time New Roman" w:eastAsia="SimHei" w:hAnsi="Time New Roman"/>
          <w:snapToGrid/>
        </w:rPr>
        <w:t>，第</w:t>
      </w:r>
      <w:r w:rsidRPr="00B9788F">
        <w:rPr>
          <w:rFonts w:ascii="Time New Roman" w:eastAsia="SimHei" w:hAnsi="Time New Roman"/>
          <w:snapToGrid/>
        </w:rPr>
        <w:t>18</w:t>
      </w:r>
      <w:r w:rsidRPr="00B9788F">
        <w:rPr>
          <w:rFonts w:ascii="Time New Roman" w:eastAsia="SimHei" w:hAnsi="Time New Roman"/>
          <w:snapToGrid/>
        </w:rPr>
        <w:t>段</w:t>
      </w:r>
      <w:r w:rsidRPr="00B9788F">
        <w:rPr>
          <w:rFonts w:ascii="Time New Roman" w:eastAsia="SimHei" w:hAnsi="Time New Roman"/>
          <w:snapToGrid/>
        </w:rPr>
        <w:t>)</w:t>
      </w:r>
      <w:r w:rsidRPr="00B9788F">
        <w:rPr>
          <w:rFonts w:ascii="Time New Roman" w:eastAsia="SimHei" w:hAnsi="Time New Roman"/>
          <w:snapToGrid/>
        </w:rPr>
        <w:t>，建议缔约国：</w:t>
      </w:r>
    </w:p>
    <w:p w:rsidR="00A51AD9" w:rsidRPr="00B9788F" w:rsidRDefault="00A51AD9" w:rsidP="007361B2">
      <w:pPr>
        <w:pStyle w:val="SingleTxtGC"/>
        <w:numPr>
          <w:ilvl w:val="0"/>
          <w:numId w:val="15"/>
        </w:numPr>
        <w:rPr>
          <w:rFonts w:ascii="Time New Roman" w:eastAsia="SimHei" w:hAnsi="Time New Roman" w:hint="eastAsia"/>
          <w:snapToGrid/>
        </w:rPr>
      </w:pPr>
      <w:r w:rsidRPr="00B9788F">
        <w:rPr>
          <w:rFonts w:ascii="Time New Roman" w:eastAsia="SimHei" w:hAnsi="Time New Roman"/>
          <w:snapToGrid/>
        </w:rPr>
        <w:t>向公众特别是儿童及其家人广泛宣传《任择议定书》的所有规定，为此在国家和州两级制订和实施具体的长期提高认识方案，并使用专门为儿童编写的适当材料，将《任择议定书》的规定写入教育系统内所有各级学校课程；</w:t>
      </w:r>
    </w:p>
    <w:p w:rsidR="00A51AD9" w:rsidRPr="00B9788F" w:rsidRDefault="00A51AD9" w:rsidP="007361B2">
      <w:pPr>
        <w:pStyle w:val="SingleTxtGC"/>
        <w:numPr>
          <w:ilvl w:val="0"/>
          <w:numId w:val="15"/>
        </w:numPr>
        <w:rPr>
          <w:rFonts w:ascii="Time New Roman" w:eastAsia="SimHei" w:hAnsi="Time New Roman" w:hint="eastAsia"/>
          <w:snapToGrid/>
        </w:rPr>
      </w:pPr>
      <w:r w:rsidRPr="00B9788F">
        <w:rPr>
          <w:rFonts w:ascii="Time New Roman" w:eastAsia="SimHei" w:hAnsi="Time New Roman"/>
          <w:snapToGrid/>
        </w:rPr>
        <w:t>与民间社会和媒体合作，加强并提高广大公众对防止和打击《任择议定书》所载罪行的必要性的认识，重点关注特别容易受害的儿童及其父母，并鼓励社区参与，特别是鼓励包括受害男女童在内的儿童的参与。</w:t>
      </w:r>
    </w:p>
    <w:p w:rsidR="00A51AD9" w:rsidRPr="00A51AD9" w:rsidRDefault="00A51AD9" w:rsidP="007361B2">
      <w:pPr>
        <w:pStyle w:val="H23GC"/>
      </w:pPr>
      <w:r w:rsidRPr="00A51AD9">
        <w:tab/>
      </w:r>
      <w:r w:rsidRPr="00A51AD9">
        <w:tab/>
      </w:r>
      <w:r w:rsidRPr="00A51AD9">
        <w:rPr>
          <w:rFonts w:ascii="SimHei" w:hAnsi="SimHei"/>
        </w:rPr>
        <w:t>培训</w:t>
      </w:r>
    </w:p>
    <w:p w:rsidR="00A51AD9" w:rsidRPr="00B9788F" w:rsidRDefault="00A51AD9" w:rsidP="007361B2">
      <w:pPr>
        <w:pStyle w:val="SingleTxtGC"/>
        <w:rPr>
          <w:rFonts w:ascii="Time New Roman" w:eastAsia="SimHei" w:hAnsi="Time New Roman" w:hint="eastAsia"/>
          <w:snapToGrid/>
        </w:rPr>
      </w:pPr>
      <w:r w:rsidRPr="00B9788F">
        <w:rPr>
          <w:rFonts w:ascii="Time New Roman" w:eastAsia="SimHei" w:hAnsi="Time New Roman"/>
          <w:snapToGrid/>
        </w:rPr>
        <w:t>16.</w:t>
      </w:r>
      <w:r w:rsidR="007361B2" w:rsidRPr="00B9788F">
        <w:rPr>
          <w:rFonts w:ascii="Time New Roman" w:eastAsia="SimHei" w:hAnsi="Time New Roman"/>
          <w:snapToGrid/>
        </w:rPr>
        <w:t xml:space="preserve">  </w:t>
      </w:r>
      <w:r w:rsidRPr="00B9788F">
        <w:rPr>
          <w:rFonts w:ascii="Time New Roman" w:eastAsia="SimHei" w:hAnsi="Time New Roman"/>
          <w:snapToGrid/>
        </w:rPr>
        <w:t>缔约国提供的资料显示，该国向所有与儿童接触的人员和机构提供培训，</w:t>
      </w:r>
      <w:r w:rsidRPr="00B9788F">
        <w:rPr>
          <w:rFonts w:ascii="Time New Roman" w:eastAsia="SimHei" w:hAnsi="Time New Roman" w:hint="eastAsia"/>
          <w:snapToGrid/>
        </w:rPr>
        <w:t>培训内容</w:t>
      </w:r>
      <w:r w:rsidRPr="00B9788F">
        <w:rPr>
          <w:rFonts w:ascii="Time New Roman" w:eastAsia="SimHei" w:hAnsi="Time New Roman"/>
          <w:snapToGrid/>
        </w:rPr>
        <w:t>涉及《任择议定书》的所有相关领域，委员会对此表示欢迎，并建议缔约国在继续开展培训活动的同时，定期评估这些活动在防止《任择议定书》所载罪行和保护儿童方面的效力和影响。</w:t>
      </w:r>
    </w:p>
    <w:p w:rsidR="00A51AD9" w:rsidRPr="00A51AD9" w:rsidRDefault="00A51AD9" w:rsidP="007361B2">
      <w:pPr>
        <w:pStyle w:val="H23GC"/>
      </w:pPr>
      <w:r w:rsidRPr="00A51AD9">
        <w:tab/>
      </w:r>
      <w:r w:rsidRPr="00A51AD9">
        <w:tab/>
      </w:r>
      <w:r w:rsidRPr="00A51AD9">
        <w:t>资源分配</w:t>
      </w:r>
    </w:p>
    <w:p w:rsidR="00A51AD9" w:rsidRPr="00A51AD9" w:rsidRDefault="00A51AD9" w:rsidP="007361B2">
      <w:pPr>
        <w:pStyle w:val="SingleTxtGC"/>
        <w:rPr>
          <w:snapToGrid/>
        </w:rPr>
      </w:pPr>
      <w:r w:rsidRPr="00A51AD9">
        <w:rPr>
          <w:snapToGrid/>
        </w:rPr>
        <w:t>17.</w:t>
      </w:r>
      <w:r w:rsidR="007361B2">
        <w:rPr>
          <w:snapToGrid/>
        </w:rPr>
        <w:t xml:space="preserve">  </w:t>
      </w:r>
      <w:r w:rsidRPr="00A51AD9">
        <w:rPr>
          <w:snapToGrid/>
        </w:rPr>
        <w:t>委员会注意到缔约国提供</w:t>
      </w:r>
      <w:r w:rsidRPr="00A51AD9">
        <w:rPr>
          <w:rFonts w:hint="eastAsia"/>
          <w:snapToGrid/>
        </w:rPr>
        <w:t>的为</w:t>
      </w:r>
      <w:r w:rsidRPr="00A51AD9">
        <w:rPr>
          <w:snapToGrid/>
        </w:rPr>
        <w:t>落实《任择议定书》</w:t>
      </w:r>
      <w:r w:rsidRPr="00A51AD9">
        <w:rPr>
          <w:rFonts w:hint="eastAsia"/>
          <w:snapToGrid/>
        </w:rPr>
        <w:t>而开展的</w:t>
      </w:r>
      <w:r w:rsidRPr="00A51AD9">
        <w:rPr>
          <w:snapToGrid/>
        </w:rPr>
        <w:t>各种活动的预算拨款资料。但委员会感到遗憾的是，《任择议定书》所涵盖的一些领域，例如消灭对儿童性服务的需求这一领域，得到的预算拨款很少。委员会还感到关切的是，缔约国没有提供资料，说明对用于落实《任择议定书》的资源分配的效力、效率、公平和透明进行评价的情况。</w:t>
      </w:r>
    </w:p>
    <w:p w:rsidR="00A51AD9" w:rsidRPr="00B9788F" w:rsidRDefault="00A51AD9" w:rsidP="007361B2">
      <w:pPr>
        <w:pStyle w:val="SingleTxtGC"/>
        <w:rPr>
          <w:rFonts w:ascii="Time New Roman" w:eastAsia="SimHei" w:hAnsi="Time New Roman" w:hint="eastAsia"/>
          <w:snapToGrid/>
        </w:rPr>
      </w:pPr>
      <w:r w:rsidRPr="00B9788F">
        <w:rPr>
          <w:rFonts w:ascii="Time New Roman" w:eastAsia="SimHei" w:hAnsi="Time New Roman"/>
          <w:snapToGrid/>
        </w:rPr>
        <w:t>18.</w:t>
      </w:r>
      <w:r w:rsidR="007361B2" w:rsidRPr="00B9788F">
        <w:rPr>
          <w:rFonts w:ascii="Time New Roman" w:eastAsia="SimHei" w:hAnsi="Time New Roman"/>
          <w:snapToGrid/>
        </w:rPr>
        <w:t xml:space="preserve">  </w:t>
      </w:r>
      <w:r w:rsidRPr="00B9788F">
        <w:rPr>
          <w:rFonts w:ascii="Time New Roman" w:eastAsia="SimHei" w:hAnsi="Time New Roman"/>
          <w:snapToGrid/>
        </w:rPr>
        <w:t>委员会考虑到其关于实现儿童权利的公共预算编制的第</w:t>
      </w:r>
      <w:r w:rsidRPr="00B9788F">
        <w:rPr>
          <w:rFonts w:ascii="Time New Roman" w:eastAsia="SimHei" w:hAnsi="Time New Roman"/>
          <w:snapToGrid/>
        </w:rPr>
        <w:t>19</w:t>
      </w:r>
      <w:r w:rsidRPr="00B9788F">
        <w:rPr>
          <w:rFonts w:ascii="Time New Roman" w:eastAsia="SimHei" w:hAnsi="Time New Roman"/>
          <w:snapToGrid/>
        </w:rPr>
        <w:t>号一般性意见，建议缔约国提供足够的、可识别的预算拨款，用于落实《任择议定书》所涵盖的所有领域，并评估预算拨款对用于落实《任择议定书》的资源分配的效力、效率、公平和透明的影响。</w:t>
      </w:r>
    </w:p>
    <w:p w:rsidR="00A51AD9" w:rsidRPr="00A51AD9" w:rsidRDefault="00A51AD9" w:rsidP="007361B2">
      <w:pPr>
        <w:pStyle w:val="HChGC"/>
        <w:rPr>
          <w:snapToGrid/>
        </w:rPr>
      </w:pPr>
      <w:r w:rsidRPr="00A51AD9">
        <w:rPr>
          <w:snapToGrid/>
        </w:rPr>
        <w:tab/>
      </w:r>
      <w:r w:rsidRPr="00A51AD9">
        <w:rPr>
          <w:snapToGrid/>
        </w:rPr>
        <w:t>五</w:t>
      </w:r>
      <w:r w:rsidRPr="00A51AD9">
        <w:rPr>
          <w:snapToGrid/>
        </w:rPr>
        <w:t>.</w:t>
      </w:r>
      <w:r w:rsidRPr="00A51AD9">
        <w:rPr>
          <w:snapToGrid/>
        </w:rPr>
        <w:tab/>
      </w:r>
      <w:r w:rsidRPr="00A51AD9">
        <w:rPr>
          <w:snapToGrid/>
        </w:rPr>
        <w:t>防止买卖儿童、儿童卖淫和儿童色情制品问题</w:t>
      </w:r>
      <w:r w:rsidRPr="00A51AD9">
        <w:rPr>
          <w:snapToGrid/>
        </w:rPr>
        <w:t>(</w:t>
      </w:r>
      <w:r w:rsidRPr="00A51AD9">
        <w:rPr>
          <w:snapToGrid/>
        </w:rPr>
        <w:t>第</w:t>
      </w:r>
      <w:r w:rsidRPr="00A51AD9">
        <w:rPr>
          <w:snapToGrid/>
        </w:rPr>
        <w:t>9</w:t>
      </w:r>
      <w:r w:rsidRPr="00A51AD9">
        <w:rPr>
          <w:snapToGrid/>
        </w:rPr>
        <w:t>条第</w:t>
      </w:r>
      <w:r w:rsidRPr="00A51AD9">
        <w:rPr>
          <w:snapToGrid/>
        </w:rPr>
        <w:t>1</w:t>
      </w:r>
      <w:r w:rsidRPr="00A51AD9">
        <w:rPr>
          <w:snapToGrid/>
        </w:rPr>
        <w:t>和第</w:t>
      </w:r>
      <w:r w:rsidRPr="00A51AD9">
        <w:rPr>
          <w:snapToGrid/>
        </w:rPr>
        <w:t>2</w:t>
      </w:r>
      <w:r w:rsidRPr="00A51AD9">
        <w:rPr>
          <w:snapToGrid/>
        </w:rPr>
        <w:t>款</w:t>
      </w:r>
      <w:r w:rsidRPr="00A51AD9">
        <w:rPr>
          <w:snapToGrid/>
        </w:rPr>
        <w:t>)</w:t>
      </w:r>
    </w:p>
    <w:p w:rsidR="00A51AD9" w:rsidRPr="00A51AD9" w:rsidRDefault="00A51AD9" w:rsidP="007361B2">
      <w:pPr>
        <w:pStyle w:val="H23GC"/>
      </w:pPr>
      <w:r w:rsidRPr="00A51AD9">
        <w:tab/>
      </w:r>
      <w:r w:rsidRPr="00A51AD9">
        <w:tab/>
      </w:r>
      <w:r w:rsidRPr="00A51AD9">
        <w:t>为防止《议定书》所禁止的罪行而采取的措施</w:t>
      </w:r>
    </w:p>
    <w:p w:rsidR="00A51AD9" w:rsidRPr="00A51AD9" w:rsidRDefault="00A51AD9" w:rsidP="00E851B3">
      <w:pPr>
        <w:pStyle w:val="SingleTxtGC"/>
        <w:rPr>
          <w:snapToGrid/>
        </w:rPr>
      </w:pPr>
      <w:r w:rsidRPr="00A51AD9">
        <w:rPr>
          <w:snapToGrid/>
        </w:rPr>
        <w:t>19.</w:t>
      </w:r>
      <w:r w:rsidRPr="00A51AD9">
        <w:rPr>
          <w:snapToGrid/>
        </w:rPr>
        <w:tab/>
      </w:r>
      <w:r w:rsidRPr="00A51AD9">
        <w:rPr>
          <w:snapToGrid/>
        </w:rPr>
        <w:t>委员会注意到缔约国提供资料，介绍了该国为了防止《任择议定书》所载罪行而通过开展提高认识活动、研究问题根源、立法、举办论坛和其他方式所付出的努力</w:t>
      </w:r>
      <w:r w:rsidRPr="00A51AD9">
        <w:rPr>
          <w:snapToGrid/>
        </w:rPr>
        <w:t>(</w:t>
      </w:r>
      <w:r w:rsidRPr="00A51AD9">
        <w:rPr>
          <w:snapToGrid/>
        </w:rPr>
        <w:t>见缔约国报告第</w:t>
      </w:r>
      <w:r w:rsidRPr="00A51AD9">
        <w:rPr>
          <w:snapToGrid/>
        </w:rPr>
        <w:t>31-36</w:t>
      </w:r>
      <w:r w:rsidRPr="00A51AD9">
        <w:rPr>
          <w:snapToGrid/>
        </w:rPr>
        <w:t>段</w:t>
      </w:r>
      <w:r w:rsidRPr="00A51AD9">
        <w:rPr>
          <w:snapToGrid/>
        </w:rPr>
        <w:t>)</w:t>
      </w:r>
      <w:r w:rsidRPr="00A51AD9">
        <w:rPr>
          <w:snapToGrid/>
        </w:rPr>
        <w:t>。但委员会感到关切的是：</w:t>
      </w:r>
    </w:p>
    <w:p w:rsidR="00A51AD9" w:rsidRPr="00A51AD9" w:rsidRDefault="00A51AD9" w:rsidP="00E851B3">
      <w:pPr>
        <w:pStyle w:val="SingleTxtGC"/>
        <w:numPr>
          <w:ilvl w:val="0"/>
          <w:numId w:val="17"/>
        </w:numPr>
        <w:rPr>
          <w:snapToGrid/>
        </w:rPr>
      </w:pPr>
      <w:r w:rsidRPr="00A51AD9">
        <w:rPr>
          <w:snapToGrid/>
        </w:rPr>
        <w:t>预防措施过多地注重三级预防</w:t>
      </w:r>
      <w:r w:rsidRPr="00A51AD9">
        <w:rPr>
          <w:snapToGrid/>
        </w:rPr>
        <w:t>(</w:t>
      </w:r>
      <w:r w:rsidRPr="00A51AD9">
        <w:rPr>
          <w:snapToGrid/>
        </w:rPr>
        <w:t>即针对已知或怀疑受到犯罪侵害的儿童，在受害者已遭受性剥削或劳动剥削之后采取措施</w:t>
      </w:r>
      <w:r w:rsidRPr="00A51AD9">
        <w:rPr>
          <w:snapToGrid/>
        </w:rPr>
        <w:t>)</w:t>
      </w:r>
      <w:r w:rsidRPr="00A51AD9">
        <w:rPr>
          <w:snapToGrid/>
        </w:rPr>
        <w:t>，而没有充分注重二级预防</w:t>
      </w:r>
      <w:r w:rsidRPr="00A51AD9">
        <w:rPr>
          <w:snapToGrid/>
        </w:rPr>
        <w:t>(</w:t>
      </w:r>
      <w:r w:rsidRPr="00A51AD9">
        <w:rPr>
          <w:snapToGrid/>
        </w:rPr>
        <w:t>即在伤害发生之前进行早期干预</w:t>
      </w:r>
      <w:r w:rsidRPr="00A51AD9">
        <w:rPr>
          <w:snapToGrid/>
        </w:rPr>
        <w:t>)</w:t>
      </w:r>
      <w:r w:rsidRPr="00A51AD9">
        <w:rPr>
          <w:snapToGrid/>
        </w:rPr>
        <w:t>和一级预防</w:t>
      </w:r>
      <w:r w:rsidRPr="00A51AD9">
        <w:rPr>
          <w:snapToGrid/>
        </w:rPr>
        <w:t>(</w:t>
      </w:r>
      <w:r w:rsidRPr="00A51AD9">
        <w:rPr>
          <w:snapToGrid/>
        </w:rPr>
        <w:t>即保护儿童免于受害</w:t>
      </w:r>
      <w:r w:rsidRPr="00A51AD9">
        <w:rPr>
          <w:snapToGrid/>
        </w:rPr>
        <w:t>)</w:t>
      </w:r>
      <w:r w:rsidRPr="00A51AD9">
        <w:rPr>
          <w:snapToGrid/>
        </w:rPr>
        <w:t>；</w:t>
      </w:r>
    </w:p>
    <w:p w:rsidR="00A51AD9" w:rsidRPr="00A51AD9" w:rsidRDefault="00A51AD9" w:rsidP="00E851B3">
      <w:pPr>
        <w:pStyle w:val="SingleTxtGC"/>
        <w:numPr>
          <w:ilvl w:val="0"/>
          <w:numId w:val="17"/>
        </w:numPr>
        <w:rPr>
          <w:snapToGrid/>
        </w:rPr>
      </w:pPr>
      <w:r w:rsidRPr="00A51AD9">
        <w:rPr>
          <w:snapToGrid/>
        </w:rPr>
        <w:t>仍未付出足够努力来消灭对儿童性服务的需求，虽然现行法律规定应起诉购买儿童性服务的人员，但此类人员仍逍遥法外；</w:t>
      </w:r>
    </w:p>
    <w:p w:rsidR="00A51AD9" w:rsidRPr="00A51AD9" w:rsidRDefault="00A51AD9" w:rsidP="00E851B3">
      <w:pPr>
        <w:pStyle w:val="SingleTxtGC"/>
        <w:numPr>
          <w:ilvl w:val="0"/>
          <w:numId w:val="17"/>
        </w:numPr>
        <w:rPr>
          <w:snapToGrid/>
        </w:rPr>
      </w:pPr>
      <w:r w:rsidRPr="00A51AD9">
        <w:rPr>
          <w:snapToGrid/>
        </w:rPr>
        <w:t>虽然教育部作出了一些努力，但校内和校外并未就《任择议定书》所载罪行的风险开展足够的教育；</w:t>
      </w:r>
    </w:p>
    <w:p w:rsidR="00A51AD9" w:rsidRPr="00A51AD9" w:rsidRDefault="00A51AD9" w:rsidP="00E851B3">
      <w:pPr>
        <w:pStyle w:val="SingleTxtGC"/>
        <w:numPr>
          <w:ilvl w:val="0"/>
          <w:numId w:val="17"/>
        </w:numPr>
        <w:rPr>
          <w:snapToGrid/>
        </w:rPr>
      </w:pPr>
      <w:r w:rsidRPr="00A51AD9">
        <w:rPr>
          <w:snapToGrid/>
        </w:rPr>
        <w:t>仍然没有针对特别容易受到《任择议定书》所载罪行侵害的儿童开展足够的预防工作。这些儿童包括生活贫困的儿童；移民儿童；家庭处境困难的儿童；包括离家出走和无家可归的儿童；美洲土著儿童，特别是女童；易离家出走或遭到遗弃的男童；男女同性恋、双性恋和变性儿童；青春期少女；以及</w:t>
      </w:r>
      <w:r w:rsidRPr="00A51AD9">
        <w:rPr>
          <w:rFonts w:hint="eastAsia"/>
          <w:snapToGrid/>
        </w:rPr>
        <w:t>“</w:t>
      </w:r>
      <w:r w:rsidRPr="00A51AD9">
        <w:rPr>
          <w:snapToGrid/>
        </w:rPr>
        <w:t>系统内</w:t>
      </w:r>
      <w:r w:rsidRPr="00A51AD9">
        <w:rPr>
          <w:rFonts w:hint="eastAsia"/>
          <w:snapToGrid/>
        </w:rPr>
        <w:t>”</w:t>
      </w:r>
      <w:r w:rsidRPr="00A51AD9">
        <w:rPr>
          <w:snapToGrid/>
        </w:rPr>
        <w:t>儿童。</w:t>
      </w:r>
    </w:p>
    <w:p w:rsidR="00A51AD9" w:rsidRPr="00EC061B" w:rsidRDefault="00A51AD9" w:rsidP="00E851B3">
      <w:pPr>
        <w:pStyle w:val="SingleTxtGC"/>
        <w:rPr>
          <w:rFonts w:ascii="Time New Roman" w:eastAsia="SimHei" w:hAnsi="Time New Roman" w:hint="eastAsia"/>
          <w:snapToGrid/>
        </w:rPr>
      </w:pPr>
      <w:r w:rsidRPr="00EC061B">
        <w:rPr>
          <w:rFonts w:ascii="Time New Roman" w:eastAsia="SimHei" w:hAnsi="Time New Roman"/>
          <w:snapToGrid/>
        </w:rPr>
        <w:t>20.</w:t>
      </w:r>
      <w:r w:rsidR="00EC061B" w:rsidRPr="00EC061B">
        <w:rPr>
          <w:rFonts w:ascii="Time New Roman" w:eastAsia="SimHei" w:hAnsi="Time New Roman"/>
          <w:snapToGrid/>
        </w:rPr>
        <w:t xml:space="preserve">  </w:t>
      </w:r>
      <w:r w:rsidRPr="00EC061B">
        <w:rPr>
          <w:rFonts w:ascii="Time New Roman" w:eastAsia="SimHei" w:hAnsi="Time New Roman"/>
          <w:snapToGrid/>
        </w:rPr>
        <w:t>委员会促请缔约国：</w:t>
      </w:r>
    </w:p>
    <w:p w:rsidR="00A51AD9" w:rsidRPr="00EC061B" w:rsidRDefault="00A51AD9" w:rsidP="00E851B3">
      <w:pPr>
        <w:pStyle w:val="SingleTxtGC"/>
        <w:numPr>
          <w:ilvl w:val="0"/>
          <w:numId w:val="19"/>
        </w:numPr>
        <w:rPr>
          <w:rFonts w:ascii="Time New Roman" w:eastAsia="SimHei" w:hAnsi="Time New Roman" w:hint="eastAsia"/>
          <w:snapToGrid/>
        </w:rPr>
      </w:pPr>
      <w:r w:rsidRPr="00EC061B">
        <w:rPr>
          <w:rFonts w:ascii="Time New Roman" w:eastAsia="SimHei" w:hAnsi="Time New Roman"/>
          <w:snapToGrid/>
        </w:rPr>
        <w:t>优先采取一级和二级预防措施，并确保该国的预防战略不仅能对侵害事件作出</w:t>
      </w:r>
      <w:r w:rsidRPr="00EC061B">
        <w:rPr>
          <w:rFonts w:ascii="Time New Roman" w:eastAsia="SimHei" w:hAnsi="Time New Roman" w:hint="eastAsia"/>
          <w:snapToGrid/>
        </w:rPr>
        <w:t>反应</w:t>
      </w:r>
      <w:r w:rsidRPr="00EC061B">
        <w:rPr>
          <w:rFonts w:ascii="Time New Roman" w:eastAsia="SimHei" w:hAnsi="Time New Roman"/>
          <w:snapToGrid/>
        </w:rPr>
        <w:t>，还应旨在防止伤害的发生；</w:t>
      </w:r>
    </w:p>
    <w:p w:rsidR="00A51AD9" w:rsidRPr="00EC061B" w:rsidRDefault="00A51AD9" w:rsidP="00E851B3">
      <w:pPr>
        <w:pStyle w:val="SingleTxtGC"/>
        <w:numPr>
          <w:ilvl w:val="0"/>
          <w:numId w:val="19"/>
        </w:numPr>
        <w:rPr>
          <w:rFonts w:ascii="Time New Roman" w:eastAsia="SimHei" w:hAnsi="Time New Roman" w:hint="eastAsia"/>
          <w:snapToGrid/>
        </w:rPr>
      </w:pPr>
      <w:r w:rsidRPr="00EC061B">
        <w:rPr>
          <w:rFonts w:ascii="Time New Roman" w:eastAsia="SimHei" w:hAnsi="Time New Roman"/>
          <w:snapToGrid/>
        </w:rPr>
        <w:t>采取措施，改变人们对儿童卖淫和儿童色情制品问题的态度和看法，旨在消灭对儿童性服务的需求，并增强该国执法官员和司法机关的能力，增加对购买儿童性服务的人员的调查、起诉和惩罚；</w:t>
      </w:r>
    </w:p>
    <w:p w:rsidR="00A51AD9" w:rsidRPr="00EC061B" w:rsidRDefault="00A51AD9" w:rsidP="00E851B3">
      <w:pPr>
        <w:pStyle w:val="SingleTxtGC"/>
        <w:numPr>
          <w:ilvl w:val="0"/>
          <w:numId w:val="19"/>
        </w:numPr>
        <w:rPr>
          <w:rFonts w:ascii="Time New Roman" w:eastAsia="SimHei" w:hAnsi="Time New Roman" w:hint="eastAsia"/>
          <w:snapToGrid/>
        </w:rPr>
      </w:pPr>
      <w:r w:rsidRPr="00EC061B">
        <w:rPr>
          <w:rFonts w:ascii="Time New Roman" w:eastAsia="SimHei" w:hAnsi="Time New Roman"/>
          <w:snapToGrid/>
        </w:rPr>
        <w:t>加大努力，目标是在所有学校和校外设施内向儿童提供符合其年龄的教育，介绍《任择议定书》所载罪行的风险，包括为此向教育部提供更多的资源和支持用于实现这一目标；</w:t>
      </w:r>
    </w:p>
    <w:p w:rsidR="00A51AD9" w:rsidRPr="00EC061B" w:rsidRDefault="00A51AD9" w:rsidP="00E851B3">
      <w:pPr>
        <w:pStyle w:val="SingleTxtGC"/>
        <w:numPr>
          <w:ilvl w:val="0"/>
          <w:numId w:val="19"/>
        </w:numPr>
        <w:rPr>
          <w:rFonts w:ascii="Time New Roman" w:eastAsia="SimHei" w:hAnsi="Time New Roman" w:hint="eastAsia"/>
          <w:snapToGrid/>
        </w:rPr>
      </w:pPr>
      <w:r w:rsidRPr="00EC061B">
        <w:rPr>
          <w:rFonts w:ascii="Time New Roman" w:eastAsia="SimHei" w:hAnsi="Time New Roman"/>
          <w:snapToGrid/>
        </w:rPr>
        <w:t>加强努力，让弱势儿童了解有关信息并保护他们免遭《任择议定书》所载罪行的侵害，这些儿童包括生活贫困的儿童；移民儿童；家庭处境困难的儿童，包括离家出走和无家可归的儿童；美洲土著儿童，特别是女童；易离家出走或遭到遗弃的男童；男女同性恋、双性恋和变性儿童；青春期少女；以及</w:t>
      </w:r>
      <w:r w:rsidRPr="00EC061B">
        <w:rPr>
          <w:rFonts w:ascii="Time New Roman" w:eastAsia="SimHei" w:hAnsi="Time New Roman" w:hint="eastAsia"/>
          <w:snapToGrid/>
        </w:rPr>
        <w:t>“</w:t>
      </w:r>
      <w:r w:rsidRPr="00EC061B">
        <w:rPr>
          <w:rFonts w:ascii="Time New Roman" w:eastAsia="SimHei" w:hAnsi="Time New Roman"/>
          <w:snapToGrid/>
        </w:rPr>
        <w:t>系统内</w:t>
      </w:r>
      <w:r w:rsidRPr="00EC061B">
        <w:rPr>
          <w:rFonts w:ascii="Time New Roman" w:eastAsia="SimHei" w:hAnsi="Time New Roman" w:hint="eastAsia"/>
          <w:snapToGrid/>
        </w:rPr>
        <w:t>”</w:t>
      </w:r>
      <w:r w:rsidRPr="00EC061B">
        <w:rPr>
          <w:rFonts w:ascii="Time New Roman" w:eastAsia="SimHei" w:hAnsi="Time New Roman"/>
          <w:snapToGrid/>
        </w:rPr>
        <w:t>儿童。</w:t>
      </w:r>
    </w:p>
    <w:p w:rsidR="00A51AD9" w:rsidRPr="00A51AD9" w:rsidRDefault="00A51AD9" w:rsidP="00E851B3">
      <w:pPr>
        <w:pStyle w:val="H23GC"/>
      </w:pPr>
      <w:r w:rsidRPr="00A51AD9">
        <w:tab/>
      </w:r>
      <w:r w:rsidRPr="00A51AD9">
        <w:tab/>
      </w:r>
      <w:r w:rsidRPr="00A51AD9">
        <w:t>对儿童的经济剥削</w:t>
      </w:r>
    </w:p>
    <w:p w:rsidR="00A51AD9" w:rsidRPr="00A51AD9" w:rsidRDefault="00A51AD9" w:rsidP="00E851B3">
      <w:pPr>
        <w:pStyle w:val="SingleTxtGC"/>
        <w:rPr>
          <w:snapToGrid/>
        </w:rPr>
      </w:pPr>
      <w:r w:rsidRPr="00A51AD9">
        <w:rPr>
          <w:snapToGrid/>
        </w:rPr>
        <w:t>21.</w:t>
      </w:r>
      <w:r w:rsidRPr="00A51AD9">
        <w:rPr>
          <w:snapToGrid/>
        </w:rPr>
        <w:tab/>
      </w:r>
      <w:r w:rsidRPr="00A51AD9">
        <w:rPr>
          <w:snapToGrid/>
        </w:rPr>
        <w:t>委员会注意到缔约国提供的关于打击强迫和童工劳动的立法和其他努力的资料，但感到关切的是：</w:t>
      </w:r>
    </w:p>
    <w:p w:rsidR="00A51AD9" w:rsidRPr="00A51AD9" w:rsidRDefault="00A51AD9" w:rsidP="00E851B3">
      <w:pPr>
        <w:pStyle w:val="SingleTxtGC"/>
        <w:numPr>
          <w:ilvl w:val="0"/>
          <w:numId w:val="21"/>
        </w:numPr>
        <w:rPr>
          <w:snapToGrid/>
        </w:rPr>
      </w:pPr>
      <w:r w:rsidRPr="00A51AD9">
        <w:rPr>
          <w:snapToGrid/>
        </w:rPr>
        <w:t>缔约国涉及贩运问题的法律，包括《为贩运受害者伸张正义法》和《贩运受害者保护法》，主要针对的是</w:t>
      </w:r>
      <w:r w:rsidRPr="00A51AD9">
        <w:rPr>
          <w:rFonts w:hint="eastAsia"/>
          <w:snapToGrid/>
        </w:rPr>
        <w:t>出于</w:t>
      </w:r>
      <w:r w:rsidRPr="00A51AD9">
        <w:rPr>
          <w:snapToGrid/>
        </w:rPr>
        <w:t>性目的进行的贩运，没有充分针对以经济剥削为目的的贩运；</w:t>
      </w:r>
    </w:p>
    <w:p w:rsidR="00A51AD9" w:rsidRPr="00A51AD9" w:rsidRDefault="00A51AD9" w:rsidP="00E851B3">
      <w:pPr>
        <w:pStyle w:val="SingleTxtGC"/>
        <w:numPr>
          <w:ilvl w:val="0"/>
          <w:numId w:val="21"/>
        </w:numPr>
        <w:rPr>
          <w:snapToGrid/>
        </w:rPr>
      </w:pPr>
      <w:r w:rsidRPr="00A51AD9">
        <w:rPr>
          <w:snapToGrid/>
        </w:rPr>
        <w:t>打击贩运的法律规定，受害人应证明存在</w:t>
      </w:r>
      <w:r w:rsidRPr="00A51AD9">
        <w:rPr>
          <w:rFonts w:hint="eastAsia"/>
          <w:snapToGrid/>
        </w:rPr>
        <w:t>“</w:t>
      </w:r>
      <w:r w:rsidRPr="00A51AD9">
        <w:rPr>
          <w:snapToGrid/>
        </w:rPr>
        <w:t>暴力、欺诈或胁迫</w:t>
      </w:r>
      <w:r w:rsidRPr="00A51AD9">
        <w:rPr>
          <w:rFonts w:hint="eastAsia"/>
          <w:snapToGrid/>
        </w:rPr>
        <w:t>”</w:t>
      </w:r>
      <w:r w:rsidRPr="00A51AD9">
        <w:rPr>
          <w:snapToGrid/>
        </w:rPr>
        <w:t>，使童工劳动受害者背负了沉重的举证负担；</w:t>
      </w:r>
    </w:p>
    <w:p w:rsidR="00A51AD9" w:rsidRPr="00A51AD9" w:rsidRDefault="00A51AD9" w:rsidP="00E851B3">
      <w:pPr>
        <w:pStyle w:val="SingleTxtGC"/>
        <w:numPr>
          <w:ilvl w:val="0"/>
          <w:numId w:val="21"/>
        </w:numPr>
        <w:rPr>
          <w:snapToGrid/>
        </w:rPr>
      </w:pPr>
      <w:r w:rsidRPr="00A51AD9">
        <w:rPr>
          <w:snapToGrid/>
        </w:rPr>
        <w:t>对从事农业工作的</w:t>
      </w:r>
      <w:r w:rsidRPr="00A51AD9">
        <w:rPr>
          <w:snapToGrid/>
        </w:rPr>
        <w:t>14</w:t>
      </w:r>
      <w:r w:rsidRPr="00A51AD9">
        <w:rPr>
          <w:snapToGrid/>
        </w:rPr>
        <w:t>和</w:t>
      </w:r>
      <w:r w:rsidRPr="00A51AD9">
        <w:rPr>
          <w:snapToGrid/>
        </w:rPr>
        <w:t>15</w:t>
      </w:r>
      <w:r w:rsidRPr="00A51AD9">
        <w:rPr>
          <w:snapToGrid/>
        </w:rPr>
        <w:t>岁儿童的工作条件监管不足，包括没有要求征得父母同意，据报告这已导致多起严重侵犯儿童权利的事件，包括让儿童在危险条件下不限时工作，已相当于奴役；</w:t>
      </w:r>
    </w:p>
    <w:p w:rsidR="00A51AD9" w:rsidRPr="00A51AD9" w:rsidRDefault="00A51AD9" w:rsidP="00E851B3">
      <w:pPr>
        <w:pStyle w:val="SingleTxtGC"/>
        <w:numPr>
          <w:ilvl w:val="0"/>
          <w:numId w:val="21"/>
        </w:numPr>
        <w:rPr>
          <w:snapToGrid/>
        </w:rPr>
      </w:pPr>
      <w:r w:rsidRPr="00A51AD9">
        <w:rPr>
          <w:snapToGrid/>
        </w:rPr>
        <w:t>据报告，负责查明非法劳工行为的劳工部工资和工时司资源不足，</w:t>
      </w:r>
      <w:r w:rsidRPr="00A51AD9">
        <w:rPr>
          <w:rFonts w:hint="eastAsia"/>
          <w:snapToGrid/>
        </w:rPr>
        <w:t>并且</w:t>
      </w:r>
      <w:r w:rsidRPr="00A51AD9">
        <w:rPr>
          <w:snapToGrid/>
        </w:rPr>
        <w:t>没有</w:t>
      </w:r>
      <w:r w:rsidRPr="00A51AD9">
        <w:rPr>
          <w:rFonts w:hint="eastAsia"/>
          <w:snapToGrid/>
        </w:rPr>
        <w:t>将</w:t>
      </w:r>
      <w:r w:rsidRPr="00A51AD9">
        <w:rPr>
          <w:snapToGrid/>
        </w:rPr>
        <w:t>防止雇用童工行为</w:t>
      </w:r>
      <w:r w:rsidRPr="00A51AD9">
        <w:rPr>
          <w:rFonts w:hint="eastAsia"/>
          <w:snapToGrid/>
        </w:rPr>
        <w:t>作为优先事项</w:t>
      </w:r>
      <w:r w:rsidRPr="00A51AD9">
        <w:rPr>
          <w:snapToGrid/>
        </w:rPr>
        <w:t>；</w:t>
      </w:r>
    </w:p>
    <w:p w:rsidR="00A51AD9" w:rsidRPr="00A51AD9" w:rsidRDefault="00A51AD9" w:rsidP="00E851B3">
      <w:pPr>
        <w:pStyle w:val="SingleTxtGC"/>
        <w:numPr>
          <w:ilvl w:val="0"/>
          <w:numId w:val="21"/>
        </w:numPr>
        <w:rPr>
          <w:snapToGrid/>
        </w:rPr>
      </w:pPr>
      <w:r w:rsidRPr="00A51AD9">
        <w:rPr>
          <w:snapToGrid/>
        </w:rPr>
        <w:t>以经济剥削为目的的贩运的受害儿童识别工作存在局限，部分原因是与此类儿童接触的专业人员缺乏培训。</w:t>
      </w:r>
    </w:p>
    <w:p w:rsidR="00A51AD9" w:rsidRPr="00A51AD9" w:rsidRDefault="00A51AD9" w:rsidP="00E851B3">
      <w:pPr>
        <w:pStyle w:val="SingleTxtGC"/>
        <w:numPr>
          <w:ilvl w:val="0"/>
          <w:numId w:val="21"/>
        </w:numPr>
        <w:rPr>
          <w:snapToGrid/>
        </w:rPr>
      </w:pPr>
      <w:r w:rsidRPr="00A51AD9">
        <w:rPr>
          <w:snapToGrid/>
        </w:rPr>
        <w:t>缔约国缺乏以经济剥削为目的的贩运的受害儿童的相关数据；</w:t>
      </w:r>
    </w:p>
    <w:p w:rsidR="00A51AD9" w:rsidRPr="00A51AD9" w:rsidRDefault="00A51AD9" w:rsidP="00E851B3">
      <w:pPr>
        <w:pStyle w:val="SingleTxtGC"/>
        <w:numPr>
          <w:ilvl w:val="0"/>
          <w:numId w:val="21"/>
        </w:numPr>
        <w:rPr>
          <w:snapToGrid/>
        </w:rPr>
      </w:pPr>
      <w:r w:rsidRPr="00A51AD9">
        <w:rPr>
          <w:snapToGrid/>
        </w:rPr>
        <w:t>孤身移民儿童往往被贩运从事童工劳动，以偿付前往缔约国领土的费用。</w:t>
      </w:r>
    </w:p>
    <w:p w:rsidR="00A51AD9" w:rsidRPr="00EC061B" w:rsidRDefault="00A51AD9" w:rsidP="00E851B3">
      <w:pPr>
        <w:pStyle w:val="SingleTxtGC"/>
        <w:rPr>
          <w:rFonts w:ascii="Time New Roman" w:eastAsia="SimHei" w:hAnsi="Time New Roman" w:hint="eastAsia"/>
          <w:snapToGrid/>
        </w:rPr>
      </w:pPr>
      <w:r w:rsidRPr="00EC061B">
        <w:rPr>
          <w:rFonts w:ascii="Time New Roman" w:eastAsia="SimHei" w:hAnsi="Time New Roman"/>
          <w:snapToGrid/>
        </w:rPr>
        <w:t>22.</w:t>
      </w:r>
      <w:r w:rsidR="00E851B3" w:rsidRPr="00EC061B">
        <w:rPr>
          <w:rFonts w:ascii="Time New Roman" w:eastAsia="SimHei" w:hAnsi="Time New Roman"/>
          <w:snapToGrid/>
        </w:rPr>
        <w:t xml:space="preserve">  </w:t>
      </w:r>
      <w:r w:rsidRPr="00EC061B">
        <w:rPr>
          <w:rFonts w:ascii="Time New Roman" w:eastAsia="SimHei" w:hAnsi="Time New Roman"/>
          <w:snapToGrid/>
        </w:rPr>
        <w:t>委员会促请缔约国采取积极措施，防止以童工劳动为目的的儿童买卖，为此除其他外，应修订法律以涵盖与童工劳动有关的现代奴役形式，并确保始终由犯罪人来承担举证责任，被剥削的儿童在行为能力和成熟程度上都不足以对自己被卖之事表示同意，不应承担举证责任。此外，委员会还建议缔约国：</w:t>
      </w:r>
    </w:p>
    <w:p w:rsidR="00A51AD9" w:rsidRPr="00EC061B" w:rsidRDefault="00A51AD9" w:rsidP="00E851B3">
      <w:pPr>
        <w:pStyle w:val="SingleTxtGC"/>
        <w:numPr>
          <w:ilvl w:val="0"/>
          <w:numId w:val="23"/>
        </w:numPr>
        <w:rPr>
          <w:rFonts w:ascii="Time New Roman" w:eastAsia="SimHei" w:hAnsi="Time New Roman" w:hint="eastAsia"/>
          <w:snapToGrid/>
        </w:rPr>
      </w:pPr>
      <w:r w:rsidRPr="00EC061B">
        <w:rPr>
          <w:rFonts w:ascii="Time New Roman" w:eastAsia="SimHei" w:hAnsi="Time New Roman"/>
          <w:snapToGrid/>
        </w:rPr>
        <w:t>采用协调的战略并划拨专项预算，用于打击最恶劣形式的童工劳动，特别是在农业部门；</w:t>
      </w:r>
    </w:p>
    <w:p w:rsidR="00A51AD9" w:rsidRPr="00EC061B" w:rsidRDefault="00A51AD9" w:rsidP="00E851B3">
      <w:pPr>
        <w:pStyle w:val="SingleTxtGC"/>
        <w:numPr>
          <w:ilvl w:val="0"/>
          <w:numId w:val="23"/>
        </w:numPr>
        <w:rPr>
          <w:rFonts w:ascii="Time New Roman" w:eastAsia="SimHei" w:hAnsi="Time New Roman" w:hint="eastAsia"/>
          <w:snapToGrid/>
        </w:rPr>
      </w:pPr>
      <w:r w:rsidRPr="00EC061B">
        <w:rPr>
          <w:rFonts w:ascii="Time New Roman" w:eastAsia="SimHei" w:hAnsi="Time New Roman"/>
          <w:snapToGrid/>
        </w:rPr>
        <w:t>审查和修订联邦和州两级的法律，确保工作年龄不</w:t>
      </w:r>
      <w:r w:rsidRPr="00EC061B">
        <w:rPr>
          <w:rFonts w:ascii="Time New Roman" w:eastAsia="SimHei" w:hAnsi="Time New Roman" w:hint="eastAsia"/>
          <w:snapToGrid/>
        </w:rPr>
        <w:t>得</w:t>
      </w:r>
      <w:r w:rsidRPr="00EC061B">
        <w:rPr>
          <w:rFonts w:ascii="Time New Roman" w:eastAsia="SimHei" w:hAnsi="Time New Roman"/>
          <w:snapToGrid/>
        </w:rPr>
        <w:t>低于</w:t>
      </w:r>
      <w:r w:rsidRPr="00EC061B">
        <w:rPr>
          <w:rFonts w:ascii="Time New Roman" w:eastAsia="SimHei" w:hAnsi="Time New Roman"/>
          <w:snapToGrid/>
        </w:rPr>
        <w:t>16</w:t>
      </w:r>
      <w:r w:rsidRPr="00EC061B">
        <w:rPr>
          <w:rFonts w:ascii="Time New Roman" w:eastAsia="SimHei" w:hAnsi="Time New Roman"/>
          <w:snapToGrid/>
        </w:rPr>
        <w:t>岁的规定也适用于农业，不论</w:t>
      </w:r>
      <w:r w:rsidRPr="00EC061B">
        <w:rPr>
          <w:rFonts w:ascii="Time New Roman" w:eastAsia="SimHei" w:hAnsi="Time New Roman" w:hint="eastAsia"/>
          <w:snapToGrid/>
        </w:rPr>
        <w:t>有关儿童的</w:t>
      </w:r>
      <w:r w:rsidRPr="00EC061B">
        <w:rPr>
          <w:rFonts w:ascii="Time New Roman" w:eastAsia="SimHei" w:hAnsi="Time New Roman"/>
          <w:snapToGrid/>
        </w:rPr>
        <w:t>父母是否同意；</w:t>
      </w:r>
    </w:p>
    <w:p w:rsidR="00A51AD9" w:rsidRPr="00EC061B" w:rsidRDefault="00A51AD9" w:rsidP="00E851B3">
      <w:pPr>
        <w:pStyle w:val="SingleTxtGC"/>
        <w:numPr>
          <w:ilvl w:val="0"/>
          <w:numId w:val="23"/>
        </w:numPr>
        <w:rPr>
          <w:rFonts w:ascii="Time New Roman" w:eastAsia="SimHei" w:hAnsi="Time New Roman" w:hint="eastAsia"/>
          <w:snapToGrid/>
        </w:rPr>
      </w:pPr>
      <w:r w:rsidRPr="00EC061B">
        <w:rPr>
          <w:rFonts w:ascii="Time New Roman" w:eastAsia="SimHei" w:hAnsi="Time New Roman"/>
          <w:snapToGrid/>
        </w:rPr>
        <w:t>加强向劳工部，特别是向工资和工时司提供的人力、技术和财政资源，确保开展检查、监测、调停和调解工作，使儿童摆脱经济剥削，并帮助他们重新融入社会，充分享有自身的权利；</w:t>
      </w:r>
    </w:p>
    <w:p w:rsidR="00A51AD9" w:rsidRPr="00EC061B" w:rsidRDefault="00A51AD9" w:rsidP="00E851B3">
      <w:pPr>
        <w:pStyle w:val="SingleTxtGC"/>
        <w:numPr>
          <w:ilvl w:val="0"/>
          <w:numId w:val="23"/>
        </w:numPr>
        <w:rPr>
          <w:rFonts w:ascii="Time New Roman" w:eastAsia="SimHei" w:hAnsi="Time New Roman" w:hint="eastAsia"/>
          <w:snapToGrid/>
        </w:rPr>
      </w:pPr>
      <w:r w:rsidRPr="00EC061B">
        <w:rPr>
          <w:rFonts w:ascii="Time New Roman" w:eastAsia="SimHei" w:hAnsi="Time New Roman"/>
          <w:snapToGrid/>
        </w:rPr>
        <w:t>审查美国产业和企业在该国内外雇佣儿童的政策，提高有关标准，以防止最恶劣形式的童工劳动，包括在农业、某些制造业、儿童保育和服务部门防止此类现象；</w:t>
      </w:r>
    </w:p>
    <w:p w:rsidR="00A51AD9" w:rsidRPr="00EC061B" w:rsidRDefault="00A51AD9" w:rsidP="00E851B3">
      <w:pPr>
        <w:pStyle w:val="SingleTxtGC"/>
        <w:numPr>
          <w:ilvl w:val="0"/>
          <w:numId w:val="23"/>
        </w:numPr>
        <w:rPr>
          <w:rFonts w:ascii="Time New Roman" w:eastAsia="SimHei" w:hAnsi="Time New Roman" w:hint="eastAsia"/>
          <w:snapToGrid/>
        </w:rPr>
      </w:pPr>
      <w:r w:rsidRPr="00EC061B">
        <w:rPr>
          <w:rFonts w:ascii="Time New Roman" w:eastAsia="SimHei" w:hAnsi="Time New Roman"/>
          <w:snapToGrid/>
        </w:rPr>
        <w:t>收集关于儿童人数、性别、年龄和来源地、工作和生活条件及对儿童权利和发展的影响的数据，并完善童工劳动方面的档案记录；</w:t>
      </w:r>
    </w:p>
    <w:p w:rsidR="00A51AD9" w:rsidRPr="00EC061B" w:rsidRDefault="00A51AD9" w:rsidP="00E851B3">
      <w:pPr>
        <w:pStyle w:val="SingleTxtGC"/>
        <w:numPr>
          <w:ilvl w:val="0"/>
          <w:numId w:val="23"/>
        </w:numPr>
        <w:rPr>
          <w:rFonts w:ascii="Time New Roman" w:eastAsia="SimHei" w:hAnsi="Time New Roman" w:hint="eastAsia"/>
          <w:snapToGrid/>
        </w:rPr>
      </w:pPr>
      <w:r w:rsidRPr="00EC061B">
        <w:rPr>
          <w:rFonts w:ascii="Time New Roman" w:eastAsia="SimHei" w:hAnsi="Time New Roman"/>
          <w:snapToGrid/>
        </w:rPr>
        <w:t>确保童工劳动法律也具体关注那些被以相当于经济剥削的目的而带入或到达该国的孤身外国儿童；</w:t>
      </w:r>
    </w:p>
    <w:p w:rsidR="00A51AD9" w:rsidRPr="00EC061B" w:rsidRDefault="00A51AD9" w:rsidP="00E851B3">
      <w:pPr>
        <w:pStyle w:val="SingleTxtGC"/>
        <w:numPr>
          <w:ilvl w:val="0"/>
          <w:numId w:val="23"/>
        </w:numPr>
        <w:rPr>
          <w:rFonts w:ascii="Time New Roman" w:eastAsia="SimHei" w:hAnsi="Time New Roman" w:hint="eastAsia"/>
          <w:snapToGrid/>
        </w:rPr>
      </w:pPr>
      <w:r w:rsidRPr="00EC061B">
        <w:rPr>
          <w:rFonts w:ascii="Time New Roman" w:eastAsia="SimHei" w:hAnsi="Time New Roman"/>
          <w:snapToGrid/>
        </w:rPr>
        <w:t>考虑批准国际劳工组织</w:t>
      </w:r>
      <w:r w:rsidRPr="00EC061B">
        <w:rPr>
          <w:rFonts w:ascii="Time New Roman" w:eastAsia="SimHei" w:hAnsi="Time New Roman"/>
          <w:snapToGrid/>
        </w:rPr>
        <w:t>1973</w:t>
      </w:r>
      <w:r w:rsidRPr="00EC061B">
        <w:rPr>
          <w:rFonts w:ascii="Time New Roman" w:eastAsia="SimHei" w:hAnsi="Time New Roman"/>
          <w:snapToGrid/>
        </w:rPr>
        <w:t>年《最低年龄公约》</w:t>
      </w:r>
      <w:r w:rsidRPr="00EC061B">
        <w:rPr>
          <w:rFonts w:ascii="Time New Roman" w:eastAsia="SimHei" w:hAnsi="Time New Roman"/>
          <w:snapToGrid/>
        </w:rPr>
        <w:t>(</w:t>
      </w:r>
      <w:r w:rsidRPr="00EC061B">
        <w:rPr>
          <w:rFonts w:ascii="Time New Roman" w:eastAsia="SimHei" w:hAnsi="Time New Roman"/>
          <w:snapToGrid/>
        </w:rPr>
        <w:t>第</w:t>
      </w:r>
      <w:r w:rsidRPr="00EC061B">
        <w:rPr>
          <w:rFonts w:ascii="Time New Roman" w:eastAsia="SimHei" w:hAnsi="Time New Roman"/>
          <w:snapToGrid/>
        </w:rPr>
        <w:t>138</w:t>
      </w:r>
      <w:r w:rsidRPr="00EC061B">
        <w:rPr>
          <w:rFonts w:ascii="Time New Roman" w:eastAsia="SimHei" w:hAnsi="Time New Roman"/>
          <w:snapToGrid/>
        </w:rPr>
        <w:t>号</w:t>
      </w:r>
      <w:r w:rsidRPr="00EC061B">
        <w:rPr>
          <w:rFonts w:ascii="Time New Roman" w:eastAsia="SimHei" w:hAnsi="Time New Roman"/>
          <w:snapToGrid/>
        </w:rPr>
        <w:t>)</w:t>
      </w:r>
      <w:r w:rsidRPr="00EC061B">
        <w:rPr>
          <w:rFonts w:ascii="Time New Roman" w:eastAsia="SimHei" w:hAnsi="Time New Roman"/>
          <w:snapToGrid/>
        </w:rPr>
        <w:t>。</w:t>
      </w:r>
    </w:p>
    <w:p w:rsidR="00A51AD9" w:rsidRPr="00A51AD9" w:rsidRDefault="00A51AD9" w:rsidP="00E851B3">
      <w:pPr>
        <w:pStyle w:val="H23GC"/>
      </w:pPr>
      <w:r w:rsidRPr="00A51AD9">
        <w:tab/>
      </w:r>
      <w:r w:rsidRPr="00A51AD9">
        <w:tab/>
      </w:r>
      <w:r w:rsidRPr="00A51AD9">
        <w:rPr>
          <w:rFonts w:ascii="SimHei" w:hAnsi="SimHei"/>
        </w:rPr>
        <w:t>收养</w:t>
      </w:r>
    </w:p>
    <w:p w:rsidR="00A51AD9" w:rsidRPr="00EC061B" w:rsidRDefault="00A51AD9" w:rsidP="00E851B3">
      <w:pPr>
        <w:pStyle w:val="SingleTxtGC"/>
        <w:rPr>
          <w:rFonts w:ascii="Time New Roman" w:eastAsia="SimHei" w:hAnsi="Time New Roman" w:hint="eastAsia"/>
          <w:snapToGrid/>
        </w:rPr>
      </w:pPr>
      <w:r w:rsidRPr="00EC061B">
        <w:rPr>
          <w:rFonts w:ascii="Time New Roman" w:eastAsia="SimHei" w:hAnsi="Time New Roman"/>
          <w:snapToGrid/>
        </w:rPr>
        <w:t>23.</w:t>
      </w:r>
      <w:r w:rsidR="00E851B3" w:rsidRPr="00EC061B">
        <w:rPr>
          <w:rFonts w:ascii="Time New Roman" w:eastAsia="SimHei" w:hAnsi="Time New Roman"/>
          <w:snapToGrid/>
        </w:rPr>
        <w:t xml:space="preserve">  </w:t>
      </w:r>
      <w:r w:rsidRPr="00EC061B">
        <w:rPr>
          <w:rFonts w:ascii="Time New Roman" w:eastAsia="SimHei" w:hAnsi="Time New Roman"/>
          <w:snapToGrid/>
        </w:rPr>
        <w:t>委员会注意到，</w:t>
      </w:r>
      <w:r w:rsidRPr="00EC061B">
        <w:rPr>
          <w:rFonts w:ascii="Time New Roman" w:eastAsia="SimHei" w:hAnsi="Time New Roman"/>
          <w:snapToGrid/>
        </w:rPr>
        <w:t>2012</w:t>
      </w:r>
      <w:r w:rsidRPr="00EC061B">
        <w:rPr>
          <w:rFonts w:ascii="Time New Roman" w:eastAsia="SimHei" w:hAnsi="Time New Roman"/>
          <w:snapToGrid/>
        </w:rPr>
        <w:t>年《跨国收养通用认证法》</w:t>
      </w:r>
      <w:r w:rsidRPr="00EC061B">
        <w:rPr>
          <w:rFonts w:ascii="Time New Roman" w:eastAsia="SimHei" w:hAnsi="Time New Roman" w:hint="eastAsia"/>
          <w:snapToGrid/>
        </w:rPr>
        <w:t>将认证保障的覆盖范围</w:t>
      </w:r>
      <w:r w:rsidRPr="00EC061B">
        <w:rPr>
          <w:rFonts w:ascii="Time New Roman" w:eastAsia="SimHei" w:hAnsi="Time New Roman"/>
          <w:snapToGrid/>
        </w:rPr>
        <w:t>扩大</w:t>
      </w:r>
      <w:r w:rsidRPr="00EC061B">
        <w:rPr>
          <w:rFonts w:ascii="Time New Roman" w:eastAsia="SimHei" w:hAnsi="Time New Roman" w:hint="eastAsia"/>
          <w:snapToGrid/>
        </w:rPr>
        <w:t>至了</w:t>
      </w:r>
      <w:r w:rsidRPr="00EC061B">
        <w:rPr>
          <w:rFonts w:ascii="Time New Roman" w:eastAsia="SimHei" w:hAnsi="Time New Roman"/>
          <w:snapToGrid/>
        </w:rPr>
        <w:t>从《跨国收养方面保护儿童及合作海牙公约》非缔约国收养的儿童。在这方面，委员会建议缔约国：</w:t>
      </w:r>
    </w:p>
    <w:p w:rsidR="00A51AD9" w:rsidRPr="00EC061B" w:rsidRDefault="00A51AD9" w:rsidP="00E851B3">
      <w:pPr>
        <w:pStyle w:val="SingleTxtGC"/>
        <w:numPr>
          <w:ilvl w:val="0"/>
          <w:numId w:val="25"/>
        </w:numPr>
        <w:rPr>
          <w:rFonts w:ascii="Time New Roman" w:eastAsia="SimHei" w:hAnsi="Time New Roman" w:hint="eastAsia"/>
          <w:snapToGrid/>
        </w:rPr>
      </w:pPr>
      <w:r w:rsidRPr="00EC061B">
        <w:rPr>
          <w:rFonts w:ascii="Time New Roman" w:eastAsia="SimHei" w:hAnsi="Time New Roman"/>
          <w:snapToGrid/>
        </w:rPr>
        <w:t>确保该国的收养</w:t>
      </w:r>
      <w:r w:rsidRPr="00EC061B">
        <w:rPr>
          <w:rFonts w:ascii="Time New Roman" w:eastAsia="SimHei" w:hAnsi="Time New Roman" w:hint="eastAsia"/>
          <w:snapToGrid/>
        </w:rPr>
        <w:t>做法</w:t>
      </w:r>
      <w:r w:rsidRPr="00EC061B">
        <w:rPr>
          <w:rFonts w:ascii="Time New Roman" w:eastAsia="SimHei" w:hAnsi="Time New Roman"/>
          <w:snapToGrid/>
        </w:rPr>
        <w:t>排除任何发生《任择议定书》第</w:t>
      </w:r>
      <w:r w:rsidRPr="00EC061B">
        <w:rPr>
          <w:rFonts w:ascii="Time New Roman" w:eastAsia="SimHei" w:hAnsi="Time New Roman"/>
          <w:snapToGrid/>
        </w:rPr>
        <w:t>2</w:t>
      </w:r>
      <w:r w:rsidRPr="00EC061B">
        <w:rPr>
          <w:rFonts w:ascii="Time New Roman" w:eastAsia="SimHei" w:hAnsi="Time New Roman"/>
          <w:snapToGrid/>
        </w:rPr>
        <w:t>和第</w:t>
      </w:r>
      <w:r w:rsidRPr="00EC061B">
        <w:rPr>
          <w:rFonts w:ascii="Time New Roman" w:eastAsia="SimHei" w:hAnsi="Time New Roman"/>
          <w:snapToGrid/>
        </w:rPr>
        <w:t>3</w:t>
      </w:r>
      <w:r w:rsidRPr="00EC061B">
        <w:rPr>
          <w:rFonts w:ascii="Time New Roman" w:eastAsia="SimHei" w:hAnsi="Time New Roman"/>
          <w:snapToGrid/>
        </w:rPr>
        <w:t>条所禁止的买卖儿童现象的可能性，特别是应禁止收买生母以获取同意；</w:t>
      </w:r>
    </w:p>
    <w:p w:rsidR="00A51AD9" w:rsidRPr="00EC061B" w:rsidRDefault="00A51AD9" w:rsidP="00E851B3">
      <w:pPr>
        <w:pStyle w:val="SingleTxtGC"/>
        <w:numPr>
          <w:ilvl w:val="0"/>
          <w:numId w:val="25"/>
        </w:numPr>
        <w:rPr>
          <w:rFonts w:ascii="Time New Roman" w:eastAsia="SimHei" w:hAnsi="Time New Roman" w:hint="eastAsia"/>
          <w:snapToGrid/>
        </w:rPr>
      </w:pPr>
      <w:r w:rsidRPr="00EC061B">
        <w:rPr>
          <w:rFonts w:ascii="Time New Roman" w:eastAsia="SimHei" w:hAnsi="Time New Roman"/>
          <w:snapToGrid/>
        </w:rPr>
        <w:t>确保有效和有系统地认证和监测所有直接或作为中介参与收养事宜的个人和实体、考虑限制此类人员和实体的数量，并确保不会有任何一方通过收养过程获取经济利益；</w:t>
      </w:r>
    </w:p>
    <w:p w:rsidR="00A51AD9" w:rsidRPr="00EC061B" w:rsidRDefault="00A51AD9" w:rsidP="00E851B3">
      <w:pPr>
        <w:pStyle w:val="SingleTxtGC"/>
        <w:numPr>
          <w:ilvl w:val="0"/>
          <w:numId w:val="25"/>
        </w:numPr>
        <w:rPr>
          <w:rFonts w:ascii="Time New Roman" w:eastAsia="SimHei" w:hAnsi="Time New Roman" w:hint="eastAsia"/>
          <w:snapToGrid/>
        </w:rPr>
      </w:pPr>
      <w:r w:rsidRPr="00EC061B">
        <w:rPr>
          <w:rFonts w:ascii="Time New Roman" w:eastAsia="SimHei" w:hAnsi="Time New Roman"/>
          <w:snapToGrid/>
        </w:rPr>
        <w:t>充分、有效地落实《海牙公约》，遏止以国际收养为目的买卖儿童的事件；</w:t>
      </w:r>
    </w:p>
    <w:p w:rsidR="00A51AD9" w:rsidRPr="00EC061B" w:rsidRDefault="00A51AD9" w:rsidP="00E851B3">
      <w:pPr>
        <w:pStyle w:val="SingleTxtGC"/>
        <w:numPr>
          <w:ilvl w:val="0"/>
          <w:numId w:val="25"/>
        </w:numPr>
        <w:rPr>
          <w:rFonts w:ascii="Time New Roman" w:eastAsia="SimHei" w:hAnsi="Time New Roman" w:hint="eastAsia"/>
          <w:snapToGrid/>
        </w:rPr>
      </w:pPr>
      <w:r w:rsidRPr="00EC061B">
        <w:rPr>
          <w:rFonts w:ascii="Time New Roman" w:eastAsia="SimHei" w:hAnsi="Time New Roman"/>
          <w:snapToGrid/>
        </w:rPr>
        <w:t>对社会工作者和案件管理人员进行关于收养法律和法规的培训并进行监测。</w:t>
      </w:r>
    </w:p>
    <w:p w:rsidR="00A51AD9" w:rsidRPr="00A51AD9" w:rsidRDefault="00A51AD9" w:rsidP="00E851B3">
      <w:pPr>
        <w:pStyle w:val="H23GC"/>
      </w:pPr>
      <w:r w:rsidRPr="00A51AD9">
        <w:tab/>
      </w:r>
      <w:r w:rsidRPr="00A51AD9">
        <w:tab/>
      </w:r>
      <w:r w:rsidRPr="00A51AD9">
        <w:rPr>
          <w:rFonts w:ascii="SimHei" w:hAnsi="SimHei"/>
        </w:rPr>
        <w:t>代孕</w:t>
      </w:r>
    </w:p>
    <w:p w:rsidR="00A51AD9" w:rsidRPr="00A51AD9" w:rsidRDefault="00A51AD9" w:rsidP="00E851B3">
      <w:pPr>
        <w:pStyle w:val="SingleTxtGC"/>
        <w:rPr>
          <w:snapToGrid/>
        </w:rPr>
      </w:pPr>
      <w:r w:rsidRPr="00A51AD9">
        <w:rPr>
          <w:snapToGrid/>
        </w:rPr>
        <w:t>24.</w:t>
      </w:r>
      <w:r w:rsidR="00E851B3">
        <w:rPr>
          <w:snapToGrid/>
        </w:rPr>
        <w:t xml:space="preserve">  </w:t>
      </w:r>
      <w:r w:rsidRPr="00A51AD9">
        <w:rPr>
          <w:snapToGrid/>
        </w:rPr>
        <w:t>委员会注意到，代孕是一个复杂的领域，其所产生的许多问题并不属于《任择议定书》的范围，但委员会感到关切的是，缔约国内商业化使用代孕的现象十分普遍，在某些情况下可能导致买卖儿童行为。委员会尤为关切的是，有些情况下，对父母身份问题的认定只以孕前或出生前的合同为唯一决定依据。</w:t>
      </w:r>
    </w:p>
    <w:p w:rsidR="00A51AD9" w:rsidRPr="00EC061B" w:rsidRDefault="00A51AD9" w:rsidP="00E851B3">
      <w:pPr>
        <w:pStyle w:val="SingleTxtGC"/>
        <w:rPr>
          <w:rFonts w:ascii="Time New Roman" w:eastAsia="SimHei" w:hAnsi="Time New Roman" w:hint="eastAsia"/>
          <w:snapToGrid/>
        </w:rPr>
      </w:pPr>
      <w:r w:rsidRPr="00EC061B">
        <w:rPr>
          <w:rFonts w:ascii="Time New Roman" w:eastAsia="SimHei" w:hAnsi="Time New Roman"/>
          <w:snapToGrid/>
        </w:rPr>
        <w:t>25.</w:t>
      </w:r>
      <w:r w:rsidR="00E851B3" w:rsidRPr="00EC061B">
        <w:rPr>
          <w:rFonts w:ascii="Time New Roman" w:eastAsia="SimHei" w:hAnsi="Time New Roman"/>
          <w:snapToGrid/>
        </w:rPr>
        <w:t xml:space="preserve">  </w:t>
      </w:r>
      <w:r w:rsidRPr="00EC061B">
        <w:rPr>
          <w:rFonts w:ascii="Time New Roman" w:eastAsia="SimHei" w:hAnsi="Time New Roman"/>
          <w:snapToGrid/>
        </w:rPr>
        <w:t>委员会考虑到《任择议定书》第</w:t>
      </w:r>
      <w:r w:rsidRPr="00EC061B">
        <w:rPr>
          <w:rFonts w:ascii="Time New Roman" w:eastAsia="SimHei" w:hAnsi="Time New Roman"/>
          <w:snapToGrid/>
        </w:rPr>
        <w:t>1</w:t>
      </w:r>
      <w:r w:rsidRPr="00EC061B">
        <w:rPr>
          <w:rFonts w:ascii="Time New Roman" w:eastAsia="SimHei" w:hAnsi="Time New Roman"/>
          <w:snapToGrid/>
        </w:rPr>
        <w:t>和第</w:t>
      </w:r>
      <w:r w:rsidRPr="00EC061B">
        <w:rPr>
          <w:rFonts w:ascii="Time New Roman" w:eastAsia="SimHei" w:hAnsi="Time New Roman"/>
          <w:snapToGrid/>
        </w:rPr>
        <w:t>2</w:t>
      </w:r>
      <w:r w:rsidRPr="00EC061B">
        <w:rPr>
          <w:rFonts w:ascii="Time New Roman" w:eastAsia="SimHei" w:hAnsi="Time New Roman"/>
          <w:snapToGrid/>
        </w:rPr>
        <w:t>条，建议缔约国考虑</w:t>
      </w:r>
      <w:r w:rsidRPr="00EC061B">
        <w:rPr>
          <w:rFonts w:ascii="Time New Roman" w:eastAsia="SimHei" w:hAnsi="Time New Roman" w:hint="eastAsia"/>
          <w:snapToGrid/>
        </w:rPr>
        <w:t>可否</w:t>
      </w:r>
      <w:r w:rsidRPr="00EC061B">
        <w:rPr>
          <w:rFonts w:ascii="Time New Roman" w:eastAsia="SimHei" w:hAnsi="Time New Roman"/>
          <w:snapToGrid/>
        </w:rPr>
        <w:t>制订法律来应对在代孕情况下可能发生的、不属于《家庭法》管辖范围的买卖儿童问题。</w:t>
      </w:r>
    </w:p>
    <w:p w:rsidR="00A51AD9" w:rsidRPr="00A51AD9" w:rsidRDefault="00A51AD9" w:rsidP="00E851B3">
      <w:pPr>
        <w:pStyle w:val="H23GC"/>
      </w:pPr>
      <w:r w:rsidRPr="00A51AD9">
        <w:tab/>
      </w:r>
      <w:r w:rsidRPr="00A51AD9">
        <w:tab/>
      </w:r>
      <w:r w:rsidRPr="00A51AD9">
        <w:t>儿童色情旅游业</w:t>
      </w:r>
    </w:p>
    <w:p w:rsidR="00A51AD9" w:rsidRPr="00B4383C" w:rsidRDefault="00A51AD9" w:rsidP="00E851B3">
      <w:pPr>
        <w:pStyle w:val="SingleTxtGC"/>
        <w:rPr>
          <w:snapToGrid/>
        </w:rPr>
      </w:pPr>
      <w:r w:rsidRPr="00A51AD9">
        <w:rPr>
          <w:snapToGrid/>
        </w:rPr>
        <w:t>26.</w:t>
      </w:r>
      <w:r w:rsidR="00E851B3">
        <w:rPr>
          <w:snapToGrid/>
        </w:rPr>
        <w:t xml:space="preserve">  </w:t>
      </w:r>
      <w:r w:rsidRPr="00A51AD9">
        <w:rPr>
          <w:snapToGrid/>
        </w:rPr>
        <w:t>委员会欢迎缔约国在该国内外打击儿童色情旅游业的措施，包括移民与海关执法局和国土安全调查局的办事处采取的国际行动、蓝色闪电倡议、天使守望行动和最近于</w:t>
      </w:r>
      <w:r w:rsidRPr="00A51AD9">
        <w:rPr>
          <w:snapToGrid/>
        </w:rPr>
        <w:t>2016</w:t>
      </w:r>
      <w:r w:rsidRPr="00A51AD9">
        <w:rPr>
          <w:snapToGrid/>
        </w:rPr>
        <w:t>年</w:t>
      </w:r>
      <w:r w:rsidR="00916156">
        <w:rPr>
          <w:rFonts w:hint="eastAsia"/>
          <w:snapToGrid/>
        </w:rPr>
        <w:t>2</w:t>
      </w:r>
      <w:r w:rsidR="00916156">
        <w:rPr>
          <w:rFonts w:hint="eastAsia"/>
          <w:snapToGrid/>
        </w:rPr>
        <w:t>月</w:t>
      </w:r>
      <w:r w:rsidRPr="00A51AD9">
        <w:rPr>
          <w:snapToGrid/>
        </w:rPr>
        <w:t>颁布的《通过性犯罪者出行预先通报制度防止儿童剥削和其他性犯罪的国际梅根法》。委员会还注意到，</w:t>
      </w:r>
      <w:r w:rsidRPr="00A51AD9">
        <w:rPr>
          <w:snapToGrid/>
        </w:rPr>
        <w:t>2015</w:t>
      </w:r>
      <w:r w:rsidRPr="00A51AD9">
        <w:rPr>
          <w:snapToGrid/>
        </w:rPr>
        <w:t>年《为贩运受害者伸张正义法》规定，如果色情旅游者仅</w:t>
      </w:r>
      <w:r w:rsidRPr="00A51AD9">
        <w:rPr>
          <w:rFonts w:hint="eastAsia"/>
          <w:snapToGrid/>
        </w:rPr>
        <w:t>“</w:t>
      </w:r>
      <w:r w:rsidRPr="00A51AD9">
        <w:rPr>
          <w:snapToGrid/>
        </w:rPr>
        <w:t>有合理理由认为</w:t>
      </w:r>
      <w:r w:rsidRPr="00A51AD9">
        <w:rPr>
          <w:rFonts w:hint="eastAsia"/>
          <w:snapToGrid/>
        </w:rPr>
        <w:t>”</w:t>
      </w:r>
      <w:r w:rsidRPr="00A51AD9">
        <w:rPr>
          <w:snapToGrid/>
        </w:rPr>
        <w:t>受害者年满</w:t>
      </w:r>
      <w:r w:rsidRPr="00A51AD9">
        <w:rPr>
          <w:snapToGrid/>
        </w:rPr>
        <w:t>18</w:t>
      </w:r>
      <w:r w:rsidRPr="00A51AD9">
        <w:rPr>
          <w:snapToGrid/>
        </w:rPr>
        <w:t>岁，这不再足以构成合法辩护依据，而是必须有</w:t>
      </w:r>
      <w:r w:rsidRPr="00A51AD9">
        <w:rPr>
          <w:rFonts w:hint="eastAsia"/>
          <w:snapToGrid/>
        </w:rPr>
        <w:t>“</w:t>
      </w:r>
      <w:r w:rsidRPr="00A51AD9">
        <w:rPr>
          <w:snapToGrid/>
        </w:rPr>
        <w:t>明确和有说服力的证据</w:t>
      </w:r>
      <w:r w:rsidRPr="00A51AD9">
        <w:rPr>
          <w:rFonts w:hint="eastAsia"/>
          <w:snapToGrid/>
        </w:rPr>
        <w:t>”</w:t>
      </w:r>
      <w:r w:rsidRPr="00A51AD9">
        <w:rPr>
          <w:snapToGrid/>
        </w:rPr>
        <w:t>认定受害者年满</w:t>
      </w:r>
      <w:r w:rsidRPr="00A51AD9">
        <w:rPr>
          <w:snapToGrid/>
        </w:rPr>
        <w:t>18</w:t>
      </w:r>
      <w:r w:rsidRPr="00A51AD9">
        <w:rPr>
          <w:snapToGrid/>
        </w:rPr>
        <w:t>岁。但委员会感到关切的是，尽管标准已有所提高，但这种规定仍未绝对禁止对儿童的性剥削和虐待。委员会还感到关切的是，缔约国没有就该国禁止</w:t>
      </w:r>
      <w:r w:rsidRPr="00A51AD9">
        <w:rPr>
          <w:rFonts w:hint="eastAsia"/>
          <w:snapToGrid/>
        </w:rPr>
        <w:t>游客</w:t>
      </w:r>
      <w:r w:rsidRPr="00A51AD9">
        <w:rPr>
          <w:snapToGrid/>
        </w:rPr>
        <w:t>性剥削儿童的法律开展宣传教育。</w:t>
      </w:r>
    </w:p>
    <w:p w:rsidR="00A51AD9" w:rsidRPr="00EC061B" w:rsidRDefault="00A51AD9" w:rsidP="006725B6">
      <w:pPr>
        <w:pStyle w:val="SingleTxtGC"/>
        <w:rPr>
          <w:rFonts w:ascii="Time New Roman" w:eastAsia="SimHei" w:hAnsi="Time New Roman" w:hint="eastAsia"/>
          <w:snapToGrid/>
        </w:rPr>
      </w:pPr>
      <w:r w:rsidRPr="00EC061B">
        <w:rPr>
          <w:rFonts w:ascii="Time New Roman" w:eastAsia="SimHei" w:hAnsi="Time New Roman"/>
          <w:snapToGrid/>
        </w:rPr>
        <w:t>27.</w:t>
      </w:r>
      <w:r w:rsidR="006725B6" w:rsidRPr="00EC061B">
        <w:rPr>
          <w:rFonts w:ascii="Time New Roman" w:eastAsia="SimHei" w:hAnsi="Time New Roman"/>
          <w:snapToGrid/>
        </w:rPr>
        <w:t xml:space="preserve">  </w:t>
      </w:r>
      <w:r w:rsidRPr="00EC061B">
        <w:rPr>
          <w:rFonts w:ascii="Time New Roman" w:eastAsia="SimHei" w:hAnsi="Time New Roman"/>
          <w:snapToGrid/>
        </w:rPr>
        <w:t>委员会建议缔约国审查本国法律，对任何可能允许性剥削儿童者逃避法律责任的法律和法规进行修订，包括确保对于以性剥削儿童为目的而旅行的人员，不接受</w:t>
      </w:r>
      <w:r w:rsidRPr="00EC061B">
        <w:rPr>
          <w:rFonts w:ascii="Time New Roman" w:eastAsia="SimHei" w:hAnsi="Time New Roman" w:hint="eastAsia"/>
          <w:snapToGrid/>
        </w:rPr>
        <w:t>“</w:t>
      </w:r>
      <w:r w:rsidRPr="00EC061B">
        <w:rPr>
          <w:rFonts w:ascii="Time New Roman" w:eastAsia="SimHei" w:hAnsi="Time New Roman"/>
          <w:snapToGrid/>
        </w:rPr>
        <w:t>明确和有说服力的证据</w:t>
      </w:r>
      <w:r w:rsidRPr="00EC061B">
        <w:rPr>
          <w:rFonts w:ascii="Time New Roman" w:eastAsia="SimHei" w:hAnsi="Time New Roman" w:hint="eastAsia"/>
          <w:snapToGrid/>
        </w:rPr>
        <w:t>”</w:t>
      </w:r>
      <w:r w:rsidRPr="00EC061B">
        <w:rPr>
          <w:rFonts w:ascii="Time New Roman" w:eastAsia="SimHei" w:hAnsi="Time New Roman"/>
          <w:snapToGrid/>
        </w:rPr>
        <w:t>为合法辩护依据。委员会促请缔约国提高公众特别是游客的认识，并与旅游产业共同宣传儿童色情旅游业的不良影响，向旅行社和旅游机构广泛宣传世界旅游组织《全球旅游业道德守则》，并鼓励这些企业签署《保护儿童免受旅行和旅游中的性剥削行为守则》。</w:t>
      </w:r>
    </w:p>
    <w:p w:rsidR="00A51AD9" w:rsidRPr="00A51AD9" w:rsidRDefault="00A51AD9" w:rsidP="006725B6">
      <w:pPr>
        <w:pStyle w:val="HChGC"/>
        <w:rPr>
          <w:snapToGrid/>
        </w:rPr>
      </w:pPr>
      <w:r w:rsidRPr="00A51AD9">
        <w:rPr>
          <w:snapToGrid/>
        </w:rPr>
        <w:tab/>
      </w:r>
      <w:r w:rsidRPr="00A51AD9">
        <w:rPr>
          <w:snapToGrid/>
        </w:rPr>
        <w:t>六</w:t>
      </w:r>
      <w:r w:rsidRPr="00A51AD9">
        <w:rPr>
          <w:snapToGrid/>
        </w:rPr>
        <w:t>.</w:t>
      </w:r>
      <w:r w:rsidRPr="00A51AD9">
        <w:rPr>
          <w:snapToGrid/>
        </w:rPr>
        <w:tab/>
      </w:r>
      <w:r w:rsidRPr="00FB2D8E">
        <w:rPr>
          <w:snapToGrid/>
          <w:spacing w:val="4"/>
        </w:rPr>
        <w:t>禁止买卖儿童、儿童色情制品和儿童卖淫及相关事项</w:t>
      </w:r>
      <w:r w:rsidR="00FB2D8E">
        <w:rPr>
          <w:snapToGrid/>
          <w:spacing w:val="4"/>
        </w:rPr>
        <w:br/>
      </w:r>
      <w:r w:rsidRPr="00FB2D8E">
        <w:rPr>
          <w:snapToGrid/>
          <w:spacing w:val="4"/>
        </w:rPr>
        <w:t>(</w:t>
      </w:r>
      <w:r w:rsidRPr="00FB2D8E">
        <w:rPr>
          <w:snapToGrid/>
          <w:spacing w:val="4"/>
        </w:rPr>
        <w:t>第</w:t>
      </w:r>
      <w:r w:rsidRPr="00FB2D8E">
        <w:rPr>
          <w:snapToGrid/>
          <w:spacing w:val="4"/>
        </w:rPr>
        <w:t>3</w:t>
      </w:r>
      <w:r w:rsidRPr="00FB2D8E">
        <w:rPr>
          <w:snapToGrid/>
          <w:spacing w:val="4"/>
        </w:rPr>
        <w:t>条</w:t>
      </w:r>
      <w:r w:rsidRPr="00A51AD9">
        <w:rPr>
          <w:snapToGrid/>
        </w:rPr>
        <w:t>、第</w:t>
      </w:r>
      <w:r w:rsidRPr="00A51AD9">
        <w:rPr>
          <w:snapToGrid/>
        </w:rPr>
        <w:t>4</w:t>
      </w:r>
      <w:r w:rsidRPr="00A51AD9">
        <w:rPr>
          <w:snapToGrid/>
        </w:rPr>
        <w:t>条第</w:t>
      </w:r>
      <w:r w:rsidRPr="00A51AD9">
        <w:rPr>
          <w:snapToGrid/>
        </w:rPr>
        <w:t>2</w:t>
      </w:r>
      <w:r w:rsidRPr="00A51AD9">
        <w:rPr>
          <w:snapToGrid/>
        </w:rPr>
        <w:t>和第</w:t>
      </w:r>
      <w:r w:rsidRPr="00A51AD9">
        <w:rPr>
          <w:snapToGrid/>
        </w:rPr>
        <w:t>3</w:t>
      </w:r>
      <w:r w:rsidRPr="00A51AD9">
        <w:rPr>
          <w:snapToGrid/>
        </w:rPr>
        <w:t>款、第</w:t>
      </w:r>
      <w:r w:rsidRPr="00A51AD9">
        <w:rPr>
          <w:snapToGrid/>
        </w:rPr>
        <w:t>5</w:t>
      </w:r>
      <w:r w:rsidRPr="00A51AD9">
        <w:rPr>
          <w:snapToGrid/>
        </w:rPr>
        <w:t>至第</w:t>
      </w:r>
      <w:r w:rsidRPr="00A51AD9">
        <w:rPr>
          <w:snapToGrid/>
        </w:rPr>
        <w:t>7</w:t>
      </w:r>
      <w:r w:rsidRPr="00A51AD9">
        <w:rPr>
          <w:snapToGrid/>
        </w:rPr>
        <w:t>条</w:t>
      </w:r>
      <w:r w:rsidRPr="00A51AD9">
        <w:rPr>
          <w:snapToGrid/>
        </w:rPr>
        <w:t>)</w:t>
      </w:r>
    </w:p>
    <w:p w:rsidR="00A51AD9" w:rsidRPr="00A51AD9" w:rsidRDefault="00A51AD9" w:rsidP="006725B6">
      <w:pPr>
        <w:pStyle w:val="H23GC"/>
      </w:pPr>
      <w:r w:rsidRPr="00A51AD9">
        <w:tab/>
      </w:r>
      <w:r w:rsidRPr="00A51AD9">
        <w:tab/>
      </w:r>
      <w:r w:rsidRPr="00A51AD9">
        <w:t>现行刑事或刑罚法律和法规</w:t>
      </w:r>
    </w:p>
    <w:p w:rsidR="00A51AD9" w:rsidRPr="00A51AD9" w:rsidRDefault="00A51AD9" w:rsidP="006725B6">
      <w:pPr>
        <w:pStyle w:val="SingleTxtGC"/>
        <w:rPr>
          <w:snapToGrid/>
        </w:rPr>
      </w:pPr>
      <w:r w:rsidRPr="00A51AD9">
        <w:rPr>
          <w:snapToGrid/>
        </w:rPr>
        <w:t>28.</w:t>
      </w:r>
      <w:r w:rsidR="006725B6">
        <w:rPr>
          <w:snapToGrid/>
        </w:rPr>
        <w:t xml:space="preserve">  </w:t>
      </w:r>
      <w:r w:rsidRPr="00A51AD9">
        <w:rPr>
          <w:snapToGrid/>
        </w:rPr>
        <w:t>委员会对有更多州通过了安全港法律表示欢迎，但感到关切的是，缔约国的国内法仍未完全符合《任择议定书》。具体而言，委员会仍感关切的是：</w:t>
      </w:r>
    </w:p>
    <w:p w:rsidR="00A51AD9" w:rsidRPr="00A51AD9" w:rsidRDefault="00A51AD9" w:rsidP="006725B6">
      <w:pPr>
        <w:pStyle w:val="SingleTxtGC"/>
        <w:numPr>
          <w:ilvl w:val="0"/>
          <w:numId w:val="27"/>
        </w:numPr>
        <w:rPr>
          <w:snapToGrid/>
        </w:rPr>
      </w:pPr>
      <w:r w:rsidRPr="00A51AD9">
        <w:rPr>
          <w:snapToGrid/>
        </w:rPr>
        <w:t>联邦法律并未禁止买卖儿童行为本身，只禁止以儿童卖淫、儿童色情制品和收养等目的买卖儿童，而且并非所有的州都颁布了涉及买卖儿童问题的法律；</w:t>
      </w:r>
    </w:p>
    <w:p w:rsidR="00A51AD9" w:rsidRPr="00A51AD9" w:rsidRDefault="00A51AD9" w:rsidP="006725B6">
      <w:pPr>
        <w:pStyle w:val="SingleTxtGC"/>
        <w:numPr>
          <w:ilvl w:val="0"/>
          <w:numId w:val="27"/>
        </w:numPr>
        <w:rPr>
          <w:snapToGrid/>
        </w:rPr>
      </w:pPr>
      <w:r w:rsidRPr="00A51AD9">
        <w:rPr>
          <w:snapToGrid/>
        </w:rPr>
        <w:t>只有以图像形式显示儿童色情制品，方属于犯罪。</w:t>
      </w:r>
    </w:p>
    <w:p w:rsidR="00A51AD9" w:rsidRPr="00FB2D8E" w:rsidRDefault="00A51AD9" w:rsidP="006725B6">
      <w:pPr>
        <w:pStyle w:val="SingleTxtGC"/>
        <w:rPr>
          <w:rFonts w:ascii="Time New Roman" w:eastAsia="SimHei" w:hAnsi="Time New Roman" w:hint="eastAsia"/>
          <w:snapToGrid/>
        </w:rPr>
      </w:pPr>
      <w:r w:rsidRPr="00FB2D8E">
        <w:rPr>
          <w:rFonts w:ascii="Time New Roman" w:eastAsia="SimHei" w:hAnsi="Time New Roman"/>
          <w:snapToGrid/>
        </w:rPr>
        <w:t>29.</w:t>
      </w:r>
      <w:r w:rsidR="006725B6" w:rsidRPr="00FB2D8E">
        <w:rPr>
          <w:rFonts w:ascii="Time New Roman" w:eastAsia="SimHei" w:hAnsi="Time New Roman"/>
          <w:snapToGrid/>
        </w:rPr>
        <w:t xml:space="preserve">  </w:t>
      </w:r>
      <w:r w:rsidRPr="00FB2D8E">
        <w:rPr>
          <w:rFonts w:ascii="Time New Roman" w:eastAsia="SimHei" w:hAnsi="Time New Roman"/>
          <w:snapToGrid/>
        </w:rPr>
        <w:t>委员会重申以往结论性意见中的建议</w:t>
      </w:r>
      <w:r w:rsidRPr="00FB2D8E">
        <w:rPr>
          <w:rFonts w:ascii="Time New Roman" w:eastAsia="SimHei" w:hAnsi="Time New Roman"/>
          <w:snapToGrid/>
        </w:rPr>
        <w:t>(</w:t>
      </w:r>
      <w:r w:rsidRPr="00FB2D8E">
        <w:rPr>
          <w:rFonts w:ascii="Time New Roman" w:eastAsia="SimHei" w:hAnsi="Time New Roman"/>
          <w:snapToGrid/>
        </w:rPr>
        <w:t>见</w:t>
      </w:r>
      <w:r w:rsidRPr="00FB2D8E">
        <w:rPr>
          <w:rFonts w:ascii="Time New Roman" w:eastAsia="SimHei" w:hAnsi="Time New Roman"/>
          <w:snapToGrid/>
        </w:rPr>
        <w:t>CRC/CRC/C/OPSC/USA/CO/2</w:t>
      </w:r>
      <w:r w:rsidRPr="00FB2D8E">
        <w:rPr>
          <w:rFonts w:ascii="Time New Roman" w:eastAsia="SimHei" w:hAnsi="Time New Roman"/>
          <w:snapToGrid/>
        </w:rPr>
        <w:t>，第</w:t>
      </w:r>
      <w:r w:rsidRPr="00FB2D8E">
        <w:rPr>
          <w:rFonts w:ascii="Time New Roman" w:eastAsia="SimHei" w:hAnsi="Time New Roman"/>
          <w:snapToGrid/>
        </w:rPr>
        <w:t>34</w:t>
      </w:r>
      <w:r w:rsidRPr="00FB2D8E">
        <w:rPr>
          <w:rFonts w:ascii="Time New Roman" w:eastAsia="SimHei" w:hAnsi="Time New Roman"/>
          <w:snapToGrid/>
        </w:rPr>
        <w:t>段</w:t>
      </w:r>
      <w:r w:rsidRPr="00FB2D8E">
        <w:rPr>
          <w:rFonts w:ascii="Time New Roman" w:eastAsia="SimHei" w:hAnsi="Time New Roman"/>
          <w:snapToGrid/>
        </w:rPr>
        <w:t>)</w:t>
      </w:r>
      <w:r w:rsidRPr="00FB2D8E">
        <w:rPr>
          <w:rFonts w:ascii="Time New Roman" w:eastAsia="SimHei" w:hAnsi="Time New Roman"/>
          <w:snapToGrid/>
        </w:rPr>
        <w:t>，建议缔约国：</w:t>
      </w:r>
    </w:p>
    <w:p w:rsidR="00A51AD9" w:rsidRPr="00FB2D8E" w:rsidRDefault="00A51AD9" w:rsidP="006725B6">
      <w:pPr>
        <w:pStyle w:val="SingleTxtGC"/>
        <w:numPr>
          <w:ilvl w:val="0"/>
          <w:numId w:val="29"/>
        </w:numPr>
        <w:rPr>
          <w:rFonts w:ascii="Time New Roman" w:eastAsia="SimHei" w:hAnsi="Time New Roman" w:hint="eastAsia"/>
          <w:snapToGrid/>
        </w:rPr>
      </w:pPr>
      <w:r w:rsidRPr="00FB2D8E">
        <w:rPr>
          <w:rFonts w:ascii="Time New Roman" w:eastAsia="SimHei" w:hAnsi="Time New Roman"/>
          <w:snapToGrid/>
        </w:rPr>
        <w:t>按照《任择议定书》第</w:t>
      </w:r>
      <w:r w:rsidRPr="00FB2D8E">
        <w:rPr>
          <w:rFonts w:ascii="Time New Roman" w:eastAsia="SimHei" w:hAnsi="Time New Roman"/>
          <w:snapToGrid/>
        </w:rPr>
        <w:t>2</w:t>
      </w:r>
      <w:r w:rsidRPr="00FB2D8E">
        <w:rPr>
          <w:rFonts w:ascii="Time New Roman" w:eastAsia="SimHei" w:hAnsi="Time New Roman"/>
          <w:snapToGrid/>
        </w:rPr>
        <w:t>和第</w:t>
      </w:r>
      <w:r w:rsidRPr="00FB2D8E">
        <w:rPr>
          <w:rFonts w:ascii="Time New Roman" w:eastAsia="SimHei" w:hAnsi="Time New Roman"/>
          <w:snapToGrid/>
        </w:rPr>
        <w:t>3</w:t>
      </w:r>
      <w:r w:rsidRPr="00FB2D8E">
        <w:rPr>
          <w:rFonts w:ascii="Time New Roman" w:eastAsia="SimHei" w:hAnsi="Time New Roman"/>
          <w:snapToGrid/>
        </w:rPr>
        <w:t>条，在联邦一级和所有州均界定并明令禁止所有此类罪行，特别是制作非图像儿童色情制品的行为，无论犯罪人是否获得了经济报酬；</w:t>
      </w:r>
    </w:p>
    <w:p w:rsidR="00A51AD9" w:rsidRPr="00FB2D8E" w:rsidRDefault="00A51AD9" w:rsidP="006725B6">
      <w:pPr>
        <w:pStyle w:val="SingleTxtGC"/>
        <w:numPr>
          <w:ilvl w:val="0"/>
          <w:numId w:val="29"/>
        </w:numPr>
        <w:rPr>
          <w:rFonts w:ascii="Time New Roman" w:eastAsia="SimHei" w:hAnsi="Time New Roman" w:hint="eastAsia"/>
          <w:snapToGrid/>
        </w:rPr>
      </w:pPr>
      <w:r w:rsidRPr="00FB2D8E">
        <w:rPr>
          <w:rFonts w:ascii="Time New Roman" w:eastAsia="SimHei" w:hAnsi="Time New Roman"/>
          <w:snapToGrid/>
        </w:rPr>
        <w:t>在联邦和州两级，对《任择议定书》所载的所有罪行予以适当惩处，处罚手段应考虑到这些罪行的严重性；</w:t>
      </w:r>
    </w:p>
    <w:p w:rsidR="00A51AD9" w:rsidRPr="00FB2D8E" w:rsidRDefault="00A51AD9" w:rsidP="006725B6">
      <w:pPr>
        <w:pStyle w:val="SingleTxtGC"/>
        <w:numPr>
          <w:ilvl w:val="0"/>
          <w:numId w:val="29"/>
        </w:numPr>
        <w:rPr>
          <w:rFonts w:ascii="Time New Roman" w:eastAsia="SimHei" w:hAnsi="Time New Roman" w:hint="eastAsia"/>
          <w:snapToGrid/>
        </w:rPr>
      </w:pPr>
      <w:r w:rsidRPr="00FB2D8E">
        <w:rPr>
          <w:rFonts w:ascii="Time New Roman" w:eastAsia="SimHei" w:hAnsi="Time New Roman"/>
          <w:snapToGrid/>
        </w:rPr>
        <w:t>确保凡是企图犯下以及共谋或参与《任择议定书》所涵盖罪行的，均会依《任择议定书》第</w:t>
      </w:r>
      <w:r w:rsidRPr="00FB2D8E">
        <w:rPr>
          <w:rFonts w:ascii="Time New Roman" w:eastAsia="SimHei" w:hAnsi="Time New Roman"/>
          <w:snapToGrid/>
        </w:rPr>
        <w:t>3</w:t>
      </w:r>
      <w:r w:rsidRPr="00FB2D8E">
        <w:rPr>
          <w:rFonts w:ascii="Time New Roman" w:eastAsia="SimHei" w:hAnsi="Time New Roman"/>
          <w:snapToGrid/>
        </w:rPr>
        <w:t>条第</w:t>
      </w:r>
      <w:r w:rsidRPr="00FB2D8E">
        <w:rPr>
          <w:rFonts w:ascii="Time New Roman" w:eastAsia="SimHei" w:hAnsi="Time New Roman"/>
          <w:snapToGrid/>
        </w:rPr>
        <w:t>2</w:t>
      </w:r>
      <w:r w:rsidRPr="00FB2D8E">
        <w:rPr>
          <w:rFonts w:ascii="Time New Roman" w:eastAsia="SimHei" w:hAnsi="Time New Roman"/>
          <w:snapToGrid/>
        </w:rPr>
        <w:t>款受到惩处。</w:t>
      </w:r>
    </w:p>
    <w:p w:rsidR="00A51AD9" w:rsidRPr="00A51AD9" w:rsidRDefault="00A51AD9" w:rsidP="006725B6">
      <w:pPr>
        <w:pStyle w:val="H23GC"/>
      </w:pPr>
      <w:r w:rsidRPr="00A51AD9">
        <w:tab/>
      </w:r>
      <w:r w:rsidRPr="00A51AD9">
        <w:tab/>
      </w:r>
      <w:r w:rsidRPr="00A51AD9">
        <w:t>买卖器官</w:t>
      </w:r>
    </w:p>
    <w:p w:rsidR="00A51AD9" w:rsidRPr="00A51AD9" w:rsidRDefault="00A51AD9" w:rsidP="006725B6">
      <w:pPr>
        <w:pStyle w:val="SingleTxtGC"/>
        <w:rPr>
          <w:snapToGrid/>
        </w:rPr>
      </w:pPr>
      <w:r w:rsidRPr="00A51AD9">
        <w:rPr>
          <w:snapToGrid/>
        </w:rPr>
        <w:t>30.</w:t>
      </w:r>
      <w:r w:rsidR="006725B6">
        <w:rPr>
          <w:snapToGrid/>
        </w:rPr>
        <w:t xml:space="preserve">  </w:t>
      </w:r>
      <w:r w:rsidRPr="00A51AD9">
        <w:rPr>
          <w:snapToGrid/>
        </w:rPr>
        <w:t>委员会感到遗憾的是，缔约国尚未批准《反对掠夺式器官贩运战略法》。缔约国在其报告第</w:t>
      </w:r>
      <w:r w:rsidRPr="00A51AD9">
        <w:rPr>
          <w:snapToGrid/>
        </w:rPr>
        <w:t>68</w:t>
      </w:r>
      <w:r w:rsidRPr="00A51AD9">
        <w:rPr>
          <w:snapToGrid/>
        </w:rPr>
        <w:t>段中指出，虽然并非所有州法律都将买卖器官本身视为刑事罪，但《任择议定书》所禁止的行为一定属于某个多个州刑事法规的范围，对此，委员会感到关切的是，美国没有明令禁止以儿童器官移植牟利为目的买卖</w:t>
      </w:r>
      <w:r w:rsidRPr="00A51AD9">
        <w:rPr>
          <w:rFonts w:hint="eastAsia"/>
          <w:snapToGrid/>
        </w:rPr>
        <w:t>或企图买卖</w:t>
      </w:r>
      <w:r w:rsidRPr="00A51AD9">
        <w:rPr>
          <w:snapToGrid/>
        </w:rPr>
        <w:t>儿童的行为，可能降低这种罪行的严重性、有损规定的惩罚。</w:t>
      </w:r>
    </w:p>
    <w:p w:rsidR="00A51AD9" w:rsidRPr="00FB2D8E" w:rsidRDefault="00A51AD9" w:rsidP="006725B6">
      <w:pPr>
        <w:pStyle w:val="SingleTxtGC"/>
        <w:rPr>
          <w:rFonts w:ascii="Time New Roman" w:eastAsia="SimHei" w:hAnsi="Time New Roman" w:hint="eastAsia"/>
          <w:snapToGrid/>
        </w:rPr>
      </w:pPr>
      <w:r w:rsidRPr="00FB2D8E">
        <w:rPr>
          <w:rFonts w:ascii="Time New Roman" w:eastAsia="SimHei" w:hAnsi="Time New Roman"/>
          <w:snapToGrid/>
        </w:rPr>
        <w:t>31.</w:t>
      </w:r>
      <w:r w:rsidR="006725B6" w:rsidRPr="00FB2D8E">
        <w:rPr>
          <w:rFonts w:ascii="Time New Roman" w:eastAsia="SimHei" w:hAnsi="Time New Roman"/>
          <w:snapToGrid/>
        </w:rPr>
        <w:t xml:space="preserve">  </w:t>
      </w:r>
      <w:r w:rsidRPr="00FB2D8E">
        <w:rPr>
          <w:rFonts w:ascii="Time New Roman" w:eastAsia="SimHei" w:hAnsi="Time New Roman"/>
          <w:snapToGrid/>
        </w:rPr>
        <w:t>委员会建议缔约国重新制订并批准一项打击器官贩运的全面战略，并审查该国法律，旨在明令禁止以儿童器官移植牟利为目的买卖儿童</w:t>
      </w:r>
      <w:r w:rsidRPr="00FB2D8E">
        <w:rPr>
          <w:rFonts w:ascii="Time New Roman" w:eastAsia="SimHei" w:hAnsi="Time New Roman" w:hint="eastAsia"/>
          <w:snapToGrid/>
        </w:rPr>
        <w:t>，或者企图从事、</w:t>
      </w:r>
      <w:r w:rsidRPr="00FB2D8E">
        <w:rPr>
          <w:rFonts w:ascii="Time New Roman" w:eastAsia="SimHei" w:hAnsi="Time New Roman"/>
          <w:snapToGrid/>
        </w:rPr>
        <w:t>共谋和参与此类</w:t>
      </w:r>
      <w:r w:rsidRPr="00FB2D8E">
        <w:rPr>
          <w:rFonts w:ascii="Time New Roman" w:eastAsia="SimHei" w:hAnsi="Time New Roman" w:hint="eastAsia"/>
          <w:snapToGrid/>
        </w:rPr>
        <w:t>罪行的行为</w:t>
      </w:r>
      <w:r w:rsidRPr="00FB2D8E">
        <w:rPr>
          <w:rFonts w:ascii="Time New Roman" w:eastAsia="SimHei" w:hAnsi="Time New Roman"/>
          <w:snapToGrid/>
        </w:rPr>
        <w:t>。委员会还建议，对这种罪行规定的惩罚手段应与罪行严重性相称。</w:t>
      </w:r>
    </w:p>
    <w:p w:rsidR="00A51AD9" w:rsidRPr="00A51AD9" w:rsidRDefault="00A51AD9" w:rsidP="006725B6">
      <w:pPr>
        <w:pStyle w:val="H23GC"/>
      </w:pPr>
      <w:r w:rsidRPr="00A51AD9">
        <w:tab/>
      </w:r>
      <w:r w:rsidRPr="00A51AD9">
        <w:tab/>
      </w:r>
      <w:r w:rsidRPr="00A51AD9">
        <w:t>域外管辖权</w:t>
      </w:r>
    </w:p>
    <w:p w:rsidR="00A51AD9" w:rsidRPr="00A51AD9" w:rsidRDefault="00A51AD9" w:rsidP="006725B6">
      <w:pPr>
        <w:pStyle w:val="SingleTxtGC"/>
        <w:rPr>
          <w:snapToGrid/>
        </w:rPr>
      </w:pPr>
      <w:r w:rsidRPr="00A51AD9">
        <w:rPr>
          <w:snapToGrid/>
        </w:rPr>
        <w:t>32.</w:t>
      </w:r>
      <w:r w:rsidR="006725B6">
        <w:rPr>
          <w:snapToGrid/>
        </w:rPr>
        <w:t xml:space="preserve">  </w:t>
      </w:r>
      <w:r w:rsidRPr="00A51AD9">
        <w:rPr>
          <w:snapToGrid/>
        </w:rPr>
        <w:t>委员会重申其先前的关切</w:t>
      </w:r>
      <w:r w:rsidRPr="00A51AD9">
        <w:rPr>
          <w:snapToGrid/>
        </w:rPr>
        <w:t>(</w:t>
      </w:r>
      <w:r w:rsidRPr="00A51AD9">
        <w:rPr>
          <w:snapToGrid/>
        </w:rPr>
        <w:t>见</w:t>
      </w:r>
      <w:r w:rsidRPr="00A51AD9">
        <w:rPr>
          <w:snapToGrid/>
        </w:rPr>
        <w:t>CRC/C/OPSC/USA/CO/2</w:t>
      </w:r>
      <w:r w:rsidRPr="00A51AD9">
        <w:rPr>
          <w:snapToGrid/>
        </w:rPr>
        <w:t>，第</w:t>
      </w:r>
      <w:r w:rsidRPr="00A51AD9">
        <w:rPr>
          <w:snapToGrid/>
        </w:rPr>
        <w:t>39</w:t>
      </w:r>
      <w:r w:rsidRPr="00A51AD9">
        <w:rPr>
          <w:snapToGrid/>
        </w:rPr>
        <w:t>段</w:t>
      </w:r>
      <w:r w:rsidRPr="00A51AD9">
        <w:rPr>
          <w:snapToGrid/>
        </w:rPr>
        <w:t>)</w:t>
      </w:r>
      <w:r w:rsidRPr="00A51AD9">
        <w:rPr>
          <w:snapToGrid/>
        </w:rPr>
        <w:t>，即缔约国基于犯罪人国籍的域外管辖权并未包括《任择议定书》涵盖的所有罪行。</w:t>
      </w:r>
    </w:p>
    <w:p w:rsidR="00A51AD9" w:rsidRPr="00FB2D8E" w:rsidRDefault="00A51AD9" w:rsidP="006725B6">
      <w:pPr>
        <w:pStyle w:val="SingleTxtGC"/>
        <w:rPr>
          <w:rFonts w:ascii="Time New Roman" w:eastAsia="SimHei" w:hAnsi="Time New Roman" w:hint="eastAsia"/>
          <w:snapToGrid/>
        </w:rPr>
      </w:pPr>
      <w:r w:rsidRPr="00FB2D8E">
        <w:rPr>
          <w:rFonts w:ascii="Time New Roman" w:eastAsia="SimHei" w:hAnsi="Time New Roman"/>
          <w:snapToGrid/>
        </w:rPr>
        <w:t>33.</w:t>
      </w:r>
      <w:r w:rsidR="006725B6" w:rsidRPr="00FB2D8E">
        <w:rPr>
          <w:rFonts w:ascii="Time New Roman" w:eastAsia="SimHei" w:hAnsi="Time New Roman"/>
          <w:snapToGrid/>
        </w:rPr>
        <w:t xml:space="preserve">  </w:t>
      </w:r>
      <w:r w:rsidRPr="00FB2D8E">
        <w:rPr>
          <w:rFonts w:ascii="Time New Roman" w:eastAsia="SimHei" w:hAnsi="Time New Roman"/>
          <w:snapToGrid/>
        </w:rPr>
        <w:t>委员会重申其先前的建议</w:t>
      </w:r>
      <w:r w:rsidRPr="00FB2D8E">
        <w:rPr>
          <w:rFonts w:ascii="Time New Roman" w:eastAsia="SimHei" w:hAnsi="Time New Roman"/>
          <w:snapToGrid/>
        </w:rPr>
        <w:t>(</w:t>
      </w:r>
      <w:r w:rsidRPr="00FB2D8E">
        <w:rPr>
          <w:rFonts w:ascii="Time New Roman" w:eastAsia="SimHei" w:hAnsi="Time New Roman"/>
          <w:snapToGrid/>
        </w:rPr>
        <w:t>见</w:t>
      </w:r>
      <w:r w:rsidRPr="00FB2D8E">
        <w:rPr>
          <w:rFonts w:ascii="Time New Roman" w:eastAsia="SimHei" w:hAnsi="Time New Roman"/>
          <w:snapToGrid/>
        </w:rPr>
        <w:t>CRC/C/OPSC/USA/CO/2</w:t>
      </w:r>
      <w:r w:rsidRPr="00FB2D8E">
        <w:rPr>
          <w:rFonts w:ascii="Time New Roman" w:eastAsia="SimHei" w:hAnsi="Time New Roman"/>
          <w:snapToGrid/>
        </w:rPr>
        <w:t>，第</w:t>
      </w:r>
      <w:r w:rsidRPr="00FB2D8E">
        <w:rPr>
          <w:rFonts w:ascii="Time New Roman" w:eastAsia="SimHei" w:hAnsi="Time New Roman"/>
          <w:snapToGrid/>
        </w:rPr>
        <w:t>40</w:t>
      </w:r>
      <w:r w:rsidRPr="00FB2D8E">
        <w:rPr>
          <w:rFonts w:ascii="Time New Roman" w:eastAsia="SimHei" w:hAnsi="Time New Roman"/>
          <w:snapToGrid/>
        </w:rPr>
        <w:t>段</w:t>
      </w:r>
      <w:r w:rsidRPr="00FB2D8E">
        <w:rPr>
          <w:rFonts w:ascii="Time New Roman" w:eastAsia="SimHei" w:hAnsi="Time New Roman"/>
          <w:snapToGrid/>
        </w:rPr>
        <w:t>)</w:t>
      </w:r>
      <w:r w:rsidRPr="00FB2D8E">
        <w:rPr>
          <w:rFonts w:ascii="Time New Roman" w:eastAsia="SimHei" w:hAnsi="Time New Roman"/>
          <w:snapToGrid/>
        </w:rPr>
        <w:t>，即缔约国应确立对《任择议定书》第</w:t>
      </w:r>
      <w:r w:rsidRPr="00FB2D8E">
        <w:rPr>
          <w:rFonts w:ascii="Time New Roman" w:eastAsia="SimHei" w:hAnsi="Time New Roman"/>
          <w:snapToGrid/>
        </w:rPr>
        <w:t>4</w:t>
      </w:r>
      <w:r w:rsidRPr="00FB2D8E">
        <w:rPr>
          <w:rFonts w:ascii="Time New Roman" w:eastAsia="SimHei" w:hAnsi="Time New Roman"/>
          <w:snapToGrid/>
        </w:rPr>
        <w:t>条所列所有案件的司法管辖权，以加强起诉和惩处涉及买卖儿童、儿童卖淫，儿童色情制品和儿童色情旅游业的行为责任人的框架。</w:t>
      </w:r>
    </w:p>
    <w:p w:rsidR="00A51AD9" w:rsidRPr="00A51AD9" w:rsidRDefault="00A51AD9" w:rsidP="006725B6">
      <w:pPr>
        <w:pStyle w:val="H23GC"/>
      </w:pPr>
      <w:r w:rsidRPr="00A51AD9">
        <w:tab/>
      </w:r>
      <w:r w:rsidRPr="00A51AD9">
        <w:tab/>
      </w:r>
      <w:r w:rsidRPr="00A51AD9">
        <w:rPr>
          <w:rFonts w:ascii="SimHei" w:hAnsi="SimHei"/>
        </w:rPr>
        <w:t>引渡</w:t>
      </w:r>
    </w:p>
    <w:p w:rsidR="00A51AD9" w:rsidRPr="00A51AD9" w:rsidRDefault="00A51AD9" w:rsidP="006725B6">
      <w:pPr>
        <w:pStyle w:val="SingleTxtGC"/>
        <w:rPr>
          <w:snapToGrid/>
        </w:rPr>
      </w:pPr>
      <w:r w:rsidRPr="00A51AD9">
        <w:rPr>
          <w:snapToGrid/>
        </w:rPr>
        <w:t>34.</w:t>
      </w:r>
      <w:r w:rsidR="006725B6">
        <w:rPr>
          <w:snapToGrid/>
        </w:rPr>
        <w:t xml:space="preserve">  </w:t>
      </w:r>
      <w:r w:rsidRPr="00A51AD9">
        <w:rPr>
          <w:snapToGrid/>
        </w:rPr>
        <w:t>委员会仍感关切的是，与缔约国签订引渡协定的国家如果没有批准《任择议定书》，则缔约国认为《任择议定书》所禁止的罪行不属于引渡协定的范畴，而如果其他国家与缔约国之间没有双边协定，则即便该国已经批准《任择议定书》，缔约国也不能作出引渡裁决。委员会还感到关切的是，缔约国</w:t>
      </w:r>
      <w:r w:rsidRPr="00A51AD9">
        <w:rPr>
          <w:rFonts w:hint="eastAsia"/>
          <w:snapToGrid/>
        </w:rPr>
        <w:t>仍在所有情况下均要求</w:t>
      </w:r>
      <w:r w:rsidRPr="00A51AD9">
        <w:rPr>
          <w:snapToGrid/>
        </w:rPr>
        <w:t>满足双重犯罪条件。</w:t>
      </w:r>
    </w:p>
    <w:p w:rsidR="00A51AD9" w:rsidRPr="00FB2D8E" w:rsidRDefault="00A51AD9" w:rsidP="006725B6">
      <w:pPr>
        <w:pStyle w:val="SingleTxtGC"/>
        <w:rPr>
          <w:rFonts w:ascii="Time New Roman" w:eastAsia="SimHei" w:hAnsi="Time New Roman" w:hint="eastAsia"/>
          <w:snapToGrid/>
        </w:rPr>
      </w:pPr>
      <w:r w:rsidRPr="00FB2D8E">
        <w:rPr>
          <w:rFonts w:ascii="Time New Roman" w:eastAsia="SimHei" w:hAnsi="Time New Roman"/>
          <w:snapToGrid/>
        </w:rPr>
        <w:t>35.</w:t>
      </w:r>
      <w:r w:rsidR="006725B6" w:rsidRPr="00FB2D8E">
        <w:rPr>
          <w:rFonts w:ascii="Time New Roman" w:eastAsia="SimHei" w:hAnsi="Time New Roman"/>
          <w:snapToGrid/>
        </w:rPr>
        <w:t xml:space="preserve">  </w:t>
      </w:r>
      <w:r w:rsidRPr="00FB2D8E">
        <w:rPr>
          <w:rFonts w:ascii="Time New Roman" w:eastAsia="SimHei" w:hAnsi="Time New Roman"/>
          <w:snapToGrid/>
        </w:rPr>
        <w:t>委员会还建议缔约国对《任择议定书》所涵盖罪行的引渡取消双重犯罪的要求，并考虑在与无双边引渡条约关系的其他有关国家处理此类罪行时将《任择议定书》作为引渡的法律依据。</w:t>
      </w:r>
    </w:p>
    <w:p w:rsidR="00A51AD9" w:rsidRPr="00A51AD9" w:rsidRDefault="00A51AD9" w:rsidP="006725B6">
      <w:pPr>
        <w:pStyle w:val="HChGC"/>
        <w:rPr>
          <w:snapToGrid/>
        </w:rPr>
      </w:pPr>
      <w:r w:rsidRPr="00A51AD9">
        <w:rPr>
          <w:snapToGrid/>
        </w:rPr>
        <w:tab/>
      </w:r>
      <w:r w:rsidRPr="00A51AD9">
        <w:rPr>
          <w:snapToGrid/>
        </w:rPr>
        <w:t>七</w:t>
      </w:r>
      <w:r w:rsidRPr="00A51AD9">
        <w:rPr>
          <w:snapToGrid/>
        </w:rPr>
        <w:t>.</w:t>
      </w:r>
      <w:r w:rsidRPr="00A51AD9">
        <w:rPr>
          <w:snapToGrid/>
        </w:rPr>
        <w:tab/>
      </w:r>
      <w:r w:rsidRPr="00A51AD9">
        <w:rPr>
          <w:snapToGrid/>
        </w:rPr>
        <w:t>保护受害儿童的权利</w:t>
      </w:r>
      <w:r w:rsidRPr="00A51AD9">
        <w:rPr>
          <w:snapToGrid/>
        </w:rPr>
        <w:t>(</w:t>
      </w:r>
      <w:r w:rsidRPr="00A51AD9">
        <w:rPr>
          <w:snapToGrid/>
        </w:rPr>
        <w:t>第</w:t>
      </w:r>
      <w:r w:rsidRPr="00A51AD9">
        <w:rPr>
          <w:snapToGrid/>
        </w:rPr>
        <w:t>8</w:t>
      </w:r>
      <w:r w:rsidRPr="00A51AD9">
        <w:rPr>
          <w:snapToGrid/>
        </w:rPr>
        <w:t>条和第</w:t>
      </w:r>
      <w:r w:rsidRPr="00A51AD9">
        <w:rPr>
          <w:snapToGrid/>
        </w:rPr>
        <w:t>9</w:t>
      </w:r>
      <w:r w:rsidRPr="00A51AD9">
        <w:rPr>
          <w:snapToGrid/>
        </w:rPr>
        <w:t>条第</w:t>
      </w:r>
      <w:r w:rsidRPr="00A51AD9">
        <w:rPr>
          <w:snapToGrid/>
        </w:rPr>
        <w:t>3</w:t>
      </w:r>
      <w:r w:rsidRPr="00A51AD9">
        <w:rPr>
          <w:snapToGrid/>
        </w:rPr>
        <w:t>和第</w:t>
      </w:r>
      <w:r w:rsidRPr="00A51AD9">
        <w:rPr>
          <w:snapToGrid/>
        </w:rPr>
        <w:t>4</w:t>
      </w:r>
      <w:r w:rsidRPr="00A51AD9">
        <w:rPr>
          <w:snapToGrid/>
        </w:rPr>
        <w:t>款</w:t>
      </w:r>
      <w:r w:rsidRPr="00A51AD9">
        <w:rPr>
          <w:snapToGrid/>
        </w:rPr>
        <w:t>)</w:t>
      </w:r>
    </w:p>
    <w:p w:rsidR="00A51AD9" w:rsidRPr="00A51AD9" w:rsidRDefault="00A51AD9" w:rsidP="006725B6">
      <w:pPr>
        <w:pStyle w:val="H23GC"/>
      </w:pPr>
      <w:r w:rsidRPr="00A51AD9">
        <w:tab/>
      </w:r>
      <w:r w:rsidRPr="00A51AD9">
        <w:tab/>
      </w:r>
      <w:r w:rsidRPr="00A51AD9">
        <w:t>为保护《任择议定书》所禁止罪行的受害儿童的权利和利益而采取的措施</w:t>
      </w:r>
    </w:p>
    <w:p w:rsidR="00A51AD9" w:rsidRPr="00A51AD9" w:rsidRDefault="00A51AD9" w:rsidP="006725B6">
      <w:pPr>
        <w:pStyle w:val="SingleTxtGC"/>
        <w:rPr>
          <w:snapToGrid/>
        </w:rPr>
      </w:pPr>
      <w:r w:rsidRPr="00A51AD9">
        <w:rPr>
          <w:snapToGrid/>
        </w:rPr>
        <w:t>36.</w:t>
      </w:r>
      <w:r w:rsidR="006725B6">
        <w:rPr>
          <w:snapToGrid/>
        </w:rPr>
        <w:t xml:space="preserve">  </w:t>
      </w:r>
      <w:r w:rsidRPr="00A51AD9">
        <w:rPr>
          <w:snapToGrid/>
        </w:rPr>
        <w:t>委员会注意到缔约国通过《贩运受害者保护法》、《为贩运受害者伸张正义法》和《社会保障法》作出的帮助人口贩运受害者的努力，但委员会感到关切的是，这些法律以及缔约国实施的政策和程序并未规定对贩运的受害儿童提供专门服务，因此没有满足这种儿童的特殊需求。此外，法律和政策只针对以性剥削为目的的贩运，没有述及其他罪行的受害者的需求和服务。委员会还感到关切的是：</w:t>
      </w:r>
    </w:p>
    <w:p w:rsidR="00A51AD9" w:rsidRPr="00A51AD9" w:rsidRDefault="00A51AD9" w:rsidP="006725B6">
      <w:pPr>
        <w:pStyle w:val="SingleTxtGC"/>
        <w:numPr>
          <w:ilvl w:val="0"/>
          <w:numId w:val="31"/>
        </w:numPr>
        <w:rPr>
          <w:snapToGrid/>
        </w:rPr>
      </w:pPr>
      <w:r w:rsidRPr="00A51AD9">
        <w:rPr>
          <w:snapToGrid/>
        </w:rPr>
        <w:t>缺少庇护所、有关服务资金不足，导致对受害儿童安置不当，甚至会将他们送回不安全的家庭环境；</w:t>
      </w:r>
    </w:p>
    <w:p w:rsidR="00A51AD9" w:rsidRPr="00A51AD9" w:rsidRDefault="00A51AD9" w:rsidP="006725B6">
      <w:pPr>
        <w:pStyle w:val="SingleTxtGC"/>
        <w:numPr>
          <w:ilvl w:val="0"/>
          <w:numId w:val="31"/>
        </w:numPr>
        <w:rPr>
          <w:snapToGrid/>
        </w:rPr>
      </w:pPr>
      <w:r w:rsidRPr="00A51AD9">
        <w:rPr>
          <w:snapToGrid/>
        </w:rPr>
        <w:t>在大部分没有通过保护受害儿童免遭逮捕的安全港法律的州，儿童仍会因卖淫而被依法逮捕、拘留和起诉。即便是在已经通过此类法律的州，由于法律上的空白和不足，仍然存在逮捕和起诉受害儿童的现象；</w:t>
      </w:r>
    </w:p>
    <w:p w:rsidR="00A51AD9" w:rsidRPr="00A51AD9" w:rsidRDefault="00A51AD9" w:rsidP="006725B6">
      <w:pPr>
        <w:pStyle w:val="SingleTxtGC"/>
        <w:numPr>
          <w:ilvl w:val="0"/>
          <w:numId w:val="31"/>
        </w:numPr>
        <w:rPr>
          <w:snapToGrid/>
        </w:rPr>
      </w:pPr>
      <w:r w:rsidRPr="00A51AD9">
        <w:rPr>
          <w:snapToGrid/>
        </w:rPr>
        <w:t>对于同意卖淫的剥削受害儿童，缔约国不予提供服务，因此导致此类儿童得不到保护以及重返社会和康复服务；</w:t>
      </w:r>
    </w:p>
    <w:p w:rsidR="00A51AD9" w:rsidRPr="00A51AD9" w:rsidRDefault="00A51AD9" w:rsidP="006725B6">
      <w:pPr>
        <w:pStyle w:val="SingleTxtGC"/>
        <w:numPr>
          <w:ilvl w:val="0"/>
          <w:numId w:val="31"/>
        </w:numPr>
        <w:rPr>
          <w:snapToGrid/>
        </w:rPr>
      </w:pPr>
      <w:r w:rsidRPr="00A51AD9">
        <w:rPr>
          <w:snapToGrid/>
        </w:rPr>
        <w:t>在向儿童色情制品受害者提供有针对性的服务方面，特别是提供身心康复和恢复服务方面进展有限，而且缔约国没有专门负责此类服务的部门或机构；</w:t>
      </w:r>
    </w:p>
    <w:p w:rsidR="00A51AD9" w:rsidRPr="00A51AD9" w:rsidRDefault="00A51AD9" w:rsidP="006725B6">
      <w:pPr>
        <w:pStyle w:val="SingleTxtGC"/>
        <w:numPr>
          <w:ilvl w:val="0"/>
          <w:numId w:val="31"/>
        </w:numPr>
        <w:rPr>
          <w:snapToGrid/>
        </w:rPr>
      </w:pPr>
      <w:r w:rsidRPr="00A51AD9">
        <w:rPr>
          <w:snapToGrid/>
        </w:rPr>
        <w:t>儿童色情制品的受害者得不到律师代理，也没有鼓励这些受害者寻求赔偿或补偿的机制；</w:t>
      </w:r>
    </w:p>
    <w:p w:rsidR="00A51AD9" w:rsidRPr="00A51AD9" w:rsidRDefault="00A51AD9" w:rsidP="006725B6">
      <w:pPr>
        <w:pStyle w:val="SingleTxtGC"/>
        <w:numPr>
          <w:ilvl w:val="0"/>
          <w:numId w:val="31"/>
        </w:numPr>
        <w:rPr>
          <w:snapToGrid/>
        </w:rPr>
      </w:pPr>
      <w:r w:rsidRPr="00A51AD9">
        <w:rPr>
          <w:snapToGrid/>
        </w:rPr>
        <w:t>对于非政府组织向性剥削受害儿童提供的服务，缔约国没有予以充分的支持、监测和评估。</w:t>
      </w:r>
    </w:p>
    <w:p w:rsidR="00A51AD9" w:rsidRPr="00732F5E" w:rsidRDefault="00A51AD9" w:rsidP="006725B6">
      <w:pPr>
        <w:pStyle w:val="SingleTxtGC"/>
        <w:rPr>
          <w:rFonts w:ascii="Time New Roman" w:eastAsia="SimHei" w:hAnsi="Time New Roman" w:hint="eastAsia"/>
          <w:snapToGrid/>
        </w:rPr>
      </w:pPr>
      <w:r w:rsidRPr="00732F5E">
        <w:rPr>
          <w:rFonts w:ascii="Time New Roman" w:eastAsia="SimHei" w:hAnsi="Time New Roman"/>
          <w:snapToGrid/>
        </w:rPr>
        <w:t>37.</w:t>
      </w:r>
      <w:r w:rsidR="006725B6" w:rsidRPr="00732F5E">
        <w:rPr>
          <w:rFonts w:ascii="Time New Roman" w:eastAsia="SimHei" w:hAnsi="Time New Roman"/>
          <w:snapToGrid/>
        </w:rPr>
        <w:t xml:space="preserve">  </w:t>
      </w:r>
      <w:r w:rsidRPr="00732F5E">
        <w:rPr>
          <w:rFonts w:ascii="Time New Roman" w:eastAsia="SimHei" w:hAnsi="Time New Roman"/>
          <w:snapToGrid/>
        </w:rPr>
        <w:t>委员会考虑到《任择议定书》第</w:t>
      </w:r>
      <w:r w:rsidRPr="00732F5E">
        <w:rPr>
          <w:rFonts w:ascii="Time New Roman" w:eastAsia="SimHei" w:hAnsi="Time New Roman"/>
          <w:snapToGrid/>
        </w:rPr>
        <w:t>9</w:t>
      </w:r>
      <w:r w:rsidRPr="00732F5E">
        <w:rPr>
          <w:rFonts w:ascii="Time New Roman" w:eastAsia="SimHei" w:hAnsi="Time New Roman"/>
          <w:snapToGrid/>
        </w:rPr>
        <w:t>条第</w:t>
      </w:r>
      <w:r w:rsidRPr="00732F5E">
        <w:rPr>
          <w:rFonts w:ascii="Time New Roman" w:eastAsia="SimHei" w:hAnsi="Time New Roman"/>
          <w:snapToGrid/>
        </w:rPr>
        <w:t>3</w:t>
      </w:r>
      <w:r w:rsidRPr="00732F5E">
        <w:rPr>
          <w:rFonts w:ascii="Time New Roman" w:eastAsia="SimHei" w:hAnsi="Time New Roman"/>
          <w:snapToGrid/>
        </w:rPr>
        <w:t>款，建议缔约国：</w:t>
      </w:r>
    </w:p>
    <w:p w:rsidR="00A51AD9" w:rsidRPr="00732F5E" w:rsidRDefault="00A51AD9" w:rsidP="006725B6">
      <w:pPr>
        <w:pStyle w:val="SingleTxtGC"/>
        <w:numPr>
          <w:ilvl w:val="0"/>
          <w:numId w:val="33"/>
        </w:numPr>
        <w:rPr>
          <w:rFonts w:ascii="Time New Roman" w:eastAsia="SimHei" w:hAnsi="Time New Roman" w:hint="eastAsia"/>
          <w:snapToGrid/>
        </w:rPr>
      </w:pPr>
      <w:r w:rsidRPr="00732F5E">
        <w:rPr>
          <w:rFonts w:ascii="Time New Roman" w:eastAsia="SimHei" w:hAnsi="Time New Roman"/>
          <w:snapToGrid/>
        </w:rPr>
        <w:t>审查并修订该国的法律、政策和程序，将有关罪行的成年和儿童受害者区分对待，并向《任择议定书》所载所有罪行的受害儿童提供专门服务；</w:t>
      </w:r>
    </w:p>
    <w:p w:rsidR="00A51AD9" w:rsidRPr="00732F5E" w:rsidRDefault="00A51AD9" w:rsidP="006725B6">
      <w:pPr>
        <w:pStyle w:val="SingleTxtGC"/>
        <w:numPr>
          <w:ilvl w:val="0"/>
          <w:numId w:val="33"/>
        </w:numPr>
        <w:rPr>
          <w:rFonts w:ascii="Time New Roman" w:eastAsia="SimHei" w:hAnsi="Time New Roman" w:hint="eastAsia"/>
          <w:snapToGrid/>
        </w:rPr>
      </w:pPr>
      <w:r w:rsidRPr="00732F5E">
        <w:rPr>
          <w:rFonts w:ascii="Time New Roman" w:eastAsia="SimHei" w:hAnsi="Time New Roman"/>
          <w:snapToGrid/>
        </w:rPr>
        <w:t>在法律上和实践中不再将儿童参与卖淫视为刑事罪，确保各州关于卖淫的法律均不允许逮捕和拘留受到性剥削的儿童，并确保缔约国全境各地都将受害儿童的保护年龄上限定为</w:t>
      </w:r>
      <w:r w:rsidRPr="00732F5E">
        <w:rPr>
          <w:rFonts w:ascii="Time New Roman" w:eastAsia="SimHei" w:hAnsi="Time New Roman"/>
          <w:snapToGrid/>
        </w:rPr>
        <w:t>18</w:t>
      </w:r>
      <w:r w:rsidRPr="00732F5E">
        <w:rPr>
          <w:rFonts w:ascii="Time New Roman" w:eastAsia="SimHei" w:hAnsi="Time New Roman"/>
          <w:snapToGrid/>
        </w:rPr>
        <w:t>岁；</w:t>
      </w:r>
    </w:p>
    <w:p w:rsidR="00A51AD9" w:rsidRPr="00732F5E" w:rsidRDefault="00A51AD9" w:rsidP="006725B6">
      <w:pPr>
        <w:pStyle w:val="SingleTxtGC"/>
        <w:numPr>
          <w:ilvl w:val="0"/>
          <w:numId w:val="33"/>
        </w:numPr>
        <w:rPr>
          <w:rFonts w:ascii="Time New Roman" w:eastAsia="SimHei" w:hAnsi="Time New Roman" w:hint="eastAsia"/>
          <w:snapToGrid/>
        </w:rPr>
      </w:pPr>
      <w:r w:rsidRPr="00732F5E">
        <w:rPr>
          <w:rFonts w:ascii="Time New Roman" w:eastAsia="SimHei" w:hAnsi="Time New Roman"/>
          <w:snapToGrid/>
        </w:rPr>
        <w:t>在所有尚未通过安全港法律的州通过此类法律，以确保卖淫儿童受到保护</w:t>
      </w:r>
      <w:r w:rsidRPr="00732F5E">
        <w:rPr>
          <w:rFonts w:ascii="Time New Roman" w:eastAsia="SimHei" w:hAnsi="Time New Roman" w:hint="eastAsia"/>
          <w:snapToGrid/>
        </w:rPr>
        <w:t>、</w:t>
      </w:r>
      <w:r w:rsidRPr="00732F5E">
        <w:rPr>
          <w:rFonts w:ascii="Time New Roman" w:eastAsia="SimHei" w:hAnsi="Time New Roman"/>
          <w:snapToGrid/>
        </w:rPr>
        <w:t>不会遭到逮捕或拘留，并提供培训和资金以宣传和</w:t>
      </w:r>
      <w:r w:rsidRPr="00732F5E">
        <w:rPr>
          <w:rFonts w:ascii="Time New Roman" w:eastAsia="SimHei" w:hAnsi="Time New Roman" w:hint="eastAsia"/>
          <w:snapToGrid/>
        </w:rPr>
        <w:t>适用</w:t>
      </w:r>
      <w:r w:rsidRPr="00732F5E">
        <w:rPr>
          <w:rFonts w:ascii="Time New Roman" w:eastAsia="SimHei" w:hAnsi="Time New Roman"/>
          <w:snapToGrid/>
        </w:rPr>
        <w:t>此类法律；</w:t>
      </w:r>
    </w:p>
    <w:p w:rsidR="00A51AD9" w:rsidRPr="00732F5E" w:rsidRDefault="00A51AD9" w:rsidP="006725B6">
      <w:pPr>
        <w:pStyle w:val="SingleTxtGC"/>
        <w:numPr>
          <w:ilvl w:val="0"/>
          <w:numId w:val="33"/>
        </w:numPr>
        <w:rPr>
          <w:rFonts w:ascii="Time New Roman" w:eastAsia="SimHei" w:hAnsi="Time New Roman" w:hint="eastAsia"/>
          <w:snapToGrid/>
        </w:rPr>
      </w:pPr>
      <w:r w:rsidRPr="00732F5E">
        <w:rPr>
          <w:rFonts w:ascii="Time New Roman" w:eastAsia="SimHei" w:hAnsi="Time New Roman"/>
          <w:snapToGrid/>
        </w:rPr>
        <w:t>考虑通过类似的安全港法律，面向被胁迫或强迫参与通过犯罪行为以经济和非经济报酬换取儿童服务的其他形式犯罪活动的儿童；</w:t>
      </w:r>
    </w:p>
    <w:p w:rsidR="00A51AD9" w:rsidRPr="00732F5E" w:rsidRDefault="00A51AD9" w:rsidP="006725B6">
      <w:pPr>
        <w:pStyle w:val="SingleTxtGC"/>
        <w:numPr>
          <w:ilvl w:val="0"/>
          <w:numId w:val="33"/>
        </w:numPr>
        <w:rPr>
          <w:rFonts w:ascii="Time New Roman" w:eastAsia="SimHei" w:hAnsi="Time New Roman" w:hint="eastAsia"/>
          <w:snapToGrid/>
        </w:rPr>
      </w:pPr>
      <w:r w:rsidRPr="00732F5E">
        <w:rPr>
          <w:rFonts w:ascii="Time New Roman" w:eastAsia="SimHei" w:hAnsi="Time New Roman"/>
          <w:snapToGrid/>
        </w:rPr>
        <w:t>划拨更多资源</w:t>
      </w:r>
      <w:r w:rsidRPr="00732F5E">
        <w:rPr>
          <w:rFonts w:ascii="Time New Roman" w:eastAsia="SimHei" w:hAnsi="Time New Roman" w:hint="eastAsia"/>
          <w:snapToGrid/>
        </w:rPr>
        <w:t>用于有针对地向</w:t>
      </w:r>
      <w:r w:rsidRPr="00732F5E">
        <w:rPr>
          <w:rFonts w:ascii="Time New Roman" w:eastAsia="SimHei" w:hAnsi="Time New Roman"/>
          <w:snapToGrid/>
        </w:rPr>
        <w:t>《任择议定书》所载罪行</w:t>
      </w:r>
      <w:r w:rsidRPr="00732F5E">
        <w:rPr>
          <w:rFonts w:ascii="Time New Roman" w:eastAsia="SimHei" w:hAnsi="Time New Roman" w:hint="eastAsia"/>
          <w:snapToGrid/>
        </w:rPr>
        <w:t>的</w:t>
      </w:r>
      <w:r w:rsidRPr="00732F5E">
        <w:rPr>
          <w:rFonts w:ascii="Time New Roman" w:eastAsia="SimHei" w:hAnsi="Time New Roman"/>
          <w:snapToGrid/>
        </w:rPr>
        <w:t>受害儿童</w:t>
      </w:r>
      <w:r w:rsidRPr="00732F5E">
        <w:rPr>
          <w:rFonts w:ascii="Time New Roman" w:eastAsia="SimHei" w:hAnsi="Time New Roman" w:hint="eastAsia"/>
          <w:snapToGrid/>
        </w:rPr>
        <w:t>提供</w:t>
      </w:r>
      <w:r w:rsidRPr="00732F5E">
        <w:rPr>
          <w:rFonts w:ascii="Time New Roman" w:eastAsia="SimHei" w:hAnsi="Time New Roman"/>
          <w:snapToGrid/>
        </w:rPr>
        <w:t>服务</w:t>
      </w:r>
      <w:r w:rsidRPr="00732F5E">
        <w:rPr>
          <w:rFonts w:ascii="Time New Roman" w:eastAsia="SimHei" w:hAnsi="Time New Roman" w:hint="eastAsia"/>
          <w:snapToGrid/>
        </w:rPr>
        <w:t>，</w:t>
      </w:r>
      <w:r w:rsidRPr="00732F5E">
        <w:rPr>
          <w:rFonts w:ascii="Time New Roman" w:eastAsia="SimHei" w:hAnsi="Time New Roman"/>
          <w:snapToGrid/>
        </w:rPr>
        <w:t>并确保具备充足和适当的庇护所，既能提供紧急救济，又能提供长期服务，特别是在适当情况下应确保受害儿童实现家庭团聚，或者将他们安置在家庭环境中以便实现全面的身心康复；</w:t>
      </w:r>
    </w:p>
    <w:p w:rsidR="00A51AD9" w:rsidRPr="00732F5E" w:rsidRDefault="00A51AD9" w:rsidP="006725B6">
      <w:pPr>
        <w:pStyle w:val="SingleTxtGC"/>
        <w:numPr>
          <w:ilvl w:val="0"/>
          <w:numId w:val="33"/>
        </w:numPr>
        <w:rPr>
          <w:rFonts w:ascii="Time New Roman" w:eastAsia="SimHei" w:hAnsi="Time New Roman" w:hint="eastAsia"/>
          <w:snapToGrid/>
        </w:rPr>
      </w:pPr>
      <w:r w:rsidRPr="00732F5E">
        <w:rPr>
          <w:rFonts w:ascii="Time New Roman" w:eastAsia="SimHei" w:hAnsi="Time New Roman"/>
          <w:snapToGrid/>
        </w:rPr>
        <w:t>在整个刑事和司法进程中都向受害儿童提供律师，</w:t>
      </w:r>
      <w:r w:rsidRPr="00732F5E">
        <w:rPr>
          <w:rFonts w:ascii="Time New Roman" w:eastAsia="SimHei" w:hAnsi="Time New Roman" w:hint="eastAsia"/>
          <w:snapToGrid/>
        </w:rPr>
        <w:t>负责</w:t>
      </w:r>
      <w:r w:rsidRPr="00732F5E">
        <w:rPr>
          <w:rFonts w:ascii="Time New Roman" w:eastAsia="SimHei" w:hAnsi="Time New Roman"/>
          <w:snapToGrid/>
        </w:rPr>
        <w:t>维护这名儿童的利益并代表其寻求赔偿和适足补偿；</w:t>
      </w:r>
    </w:p>
    <w:p w:rsidR="00A51AD9" w:rsidRPr="00732F5E" w:rsidRDefault="00A51AD9" w:rsidP="006725B6">
      <w:pPr>
        <w:pStyle w:val="SingleTxtGC"/>
        <w:numPr>
          <w:ilvl w:val="0"/>
          <w:numId w:val="33"/>
        </w:numPr>
        <w:rPr>
          <w:rFonts w:ascii="Time New Roman" w:eastAsia="SimHei" w:hAnsi="Time New Roman" w:hint="eastAsia"/>
          <w:snapToGrid/>
        </w:rPr>
      </w:pPr>
      <w:r w:rsidRPr="00732F5E">
        <w:rPr>
          <w:rFonts w:ascii="Time New Roman" w:eastAsia="SimHei" w:hAnsi="Time New Roman"/>
          <w:snapToGrid/>
        </w:rPr>
        <w:t>帮扶向《任择议定书》所载所有罪行的受害儿童提供服务的非政府组织，并定期监测和评估向此类受害儿童提供的服务。</w:t>
      </w:r>
    </w:p>
    <w:p w:rsidR="00A51AD9" w:rsidRPr="00A51AD9" w:rsidRDefault="00A51AD9" w:rsidP="006725B6">
      <w:pPr>
        <w:pStyle w:val="H23GC"/>
      </w:pPr>
      <w:r w:rsidRPr="00A51AD9">
        <w:tab/>
      </w:r>
      <w:r w:rsidRPr="00A51AD9">
        <w:tab/>
      </w:r>
      <w:r w:rsidRPr="00A51AD9">
        <w:t>孤身外国儿童、寻求庇护者、难民和移民</w:t>
      </w:r>
    </w:p>
    <w:p w:rsidR="00A51AD9" w:rsidRPr="00A51AD9" w:rsidRDefault="00A51AD9" w:rsidP="006725B6">
      <w:pPr>
        <w:pStyle w:val="SingleTxtGC"/>
        <w:rPr>
          <w:snapToGrid/>
        </w:rPr>
      </w:pPr>
      <w:r w:rsidRPr="00A51AD9">
        <w:rPr>
          <w:snapToGrid/>
        </w:rPr>
        <w:t>38.</w:t>
      </w:r>
      <w:r w:rsidR="006725B6">
        <w:rPr>
          <w:snapToGrid/>
        </w:rPr>
        <w:t xml:space="preserve">  </w:t>
      </w:r>
      <w:r w:rsidRPr="00A51AD9">
        <w:rPr>
          <w:snapToGrid/>
        </w:rPr>
        <w:t>委员会注意到近年来到达缔约国边境的孤身儿童人数大幅增加，并欢迎缔约国为应对这一情况而采取的措施，包括《中美洲未成年人方案》和《孤身未成年难民方案》。但委员会感到关切的是：</w:t>
      </w:r>
    </w:p>
    <w:p w:rsidR="00A51AD9" w:rsidRPr="00A51AD9" w:rsidRDefault="00A51AD9" w:rsidP="006725B6">
      <w:pPr>
        <w:pStyle w:val="SingleTxtGC"/>
        <w:numPr>
          <w:ilvl w:val="0"/>
          <w:numId w:val="35"/>
        </w:numPr>
        <w:rPr>
          <w:snapToGrid/>
        </w:rPr>
      </w:pPr>
      <w:r w:rsidRPr="00A51AD9">
        <w:rPr>
          <w:snapToGrid/>
        </w:rPr>
        <w:t>尽管《贩运受害者保护重新授权法》规定了保障措施，但据报告海关和边防人员仍将许多贩运受害儿童或有可能被贩运的儿童遣返回了墨西哥；</w:t>
      </w:r>
    </w:p>
    <w:p w:rsidR="00A51AD9" w:rsidRPr="00A51AD9" w:rsidRDefault="00A51AD9" w:rsidP="006725B6">
      <w:pPr>
        <w:pStyle w:val="SingleTxtGC"/>
        <w:numPr>
          <w:ilvl w:val="0"/>
          <w:numId w:val="35"/>
        </w:numPr>
        <w:rPr>
          <w:snapToGrid/>
        </w:rPr>
      </w:pPr>
      <w:r w:rsidRPr="00A51AD9">
        <w:rPr>
          <w:snapToGrid/>
        </w:rPr>
        <w:t>《中美洲未成年人方案》仅适用于父母当前在缔约国拥有合法身份的儿童，而且并未以儿童的保护需求为基础；</w:t>
      </w:r>
    </w:p>
    <w:p w:rsidR="00A51AD9" w:rsidRPr="00A51AD9" w:rsidRDefault="00A51AD9" w:rsidP="006725B6">
      <w:pPr>
        <w:pStyle w:val="SingleTxtGC"/>
        <w:numPr>
          <w:ilvl w:val="0"/>
          <w:numId w:val="35"/>
        </w:numPr>
        <w:rPr>
          <w:snapToGrid/>
        </w:rPr>
      </w:pPr>
      <w:r w:rsidRPr="00A51AD9">
        <w:rPr>
          <w:snapToGrid/>
        </w:rPr>
        <w:t>虽然按照《贩运受害者保护重新授权法》的设想，孤身儿童应由律师代理，但大部分儿童在驱逐程序中都没有代理律师；</w:t>
      </w:r>
    </w:p>
    <w:p w:rsidR="00A51AD9" w:rsidRPr="00A51AD9" w:rsidRDefault="00A51AD9" w:rsidP="006725B6">
      <w:pPr>
        <w:pStyle w:val="SingleTxtGC"/>
        <w:numPr>
          <w:ilvl w:val="0"/>
          <w:numId w:val="35"/>
        </w:numPr>
        <w:rPr>
          <w:snapToGrid/>
        </w:rPr>
      </w:pPr>
      <w:r w:rsidRPr="00A51AD9">
        <w:rPr>
          <w:snapToGrid/>
        </w:rPr>
        <w:t>缔约国的简化移交程序允许不经妥善背景</w:t>
      </w:r>
      <w:r w:rsidRPr="00A51AD9">
        <w:rPr>
          <w:rFonts w:hint="eastAsia"/>
          <w:snapToGrid/>
        </w:rPr>
        <w:t>核查</w:t>
      </w:r>
      <w:r w:rsidRPr="00A51AD9">
        <w:rPr>
          <w:snapToGrid/>
        </w:rPr>
        <w:t>就将孤身儿童移交助养人，据报告，这种程序已经导致了许多起儿童被助养人贩运和剥削的案件。</w:t>
      </w:r>
    </w:p>
    <w:p w:rsidR="00A51AD9" w:rsidRPr="00732F5E" w:rsidRDefault="00A51AD9" w:rsidP="006725B6">
      <w:pPr>
        <w:pStyle w:val="SingleTxtGC"/>
        <w:rPr>
          <w:rFonts w:ascii="Time New Roman" w:eastAsia="SimHei" w:hAnsi="Time New Roman" w:hint="eastAsia"/>
          <w:snapToGrid/>
        </w:rPr>
      </w:pPr>
      <w:r w:rsidRPr="00732F5E">
        <w:rPr>
          <w:rFonts w:ascii="Time New Roman" w:eastAsia="SimHei" w:hAnsi="Time New Roman"/>
          <w:snapToGrid/>
        </w:rPr>
        <w:t>39.</w:t>
      </w:r>
      <w:r w:rsidR="006725B6" w:rsidRPr="00732F5E">
        <w:rPr>
          <w:rFonts w:ascii="Time New Roman" w:eastAsia="SimHei" w:hAnsi="Time New Roman"/>
          <w:snapToGrid/>
        </w:rPr>
        <w:t xml:space="preserve">  </w:t>
      </w:r>
      <w:r w:rsidRPr="00732F5E">
        <w:rPr>
          <w:rFonts w:ascii="Time New Roman" w:eastAsia="SimHei" w:hAnsi="Time New Roman"/>
          <w:snapToGrid/>
        </w:rPr>
        <w:t>委员会建议缔约国：</w:t>
      </w:r>
    </w:p>
    <w:p w:rsidR="00A51AD9" w:rsidRPr="00732F5E" w:rsidRDefault="00A51AD9" w:rsidP="006725B6">
      <w:pPr>
        <w:pStyle w:val="SingleTxtGC"/>
        <w:numPr>
          <w:ilvl w:val="0"/>
          <w:numId w:val="37"/>
        </w:numPr>
        <w:rPr>
          <w:rFonts w:ascii="Time New Roman" w:eastAsia="SimHei" w:hAnsi="Time New Roman" w:hint="eastAsia"/>
          <w:snapToGrid/>
        </w:rPr>
      </w:pPr>
      <w:r w:rsidRPr="00732F5E">
        <w:rPr>
          <w:rFonts w:ascii="Time New Roman" w:eastAsia="SimHei" w:hAnsi="Time New Roman"/>
          <w:snapToGrid/>
        </w:rPr>
        <w:t>继续培训海关和边防人员，以识别、发现和保护受到或可能受到《任择议定书》所载罪行侵害的儿童，并建立机制，用于开展监测筛选和与儿童进行谈话；</w:t>
      </w:r>
    </w:p>
    <w:p w:rsidR="00A51AD9" w:rsidRPr="00732F5E" w:rsidRDefault="00A51AD9" w:rsidP="006725B6">
      <w:pPr>
        <w:pStyle w:val="SingleTxtGC"/>
        <w:numPr>
          <w:ilvl w:val="0"/>
          <w:numId w:val="37"/>
        </w:numPr>
        <w:rPr>
          <w:rFonts w:ascii="Time New Roman" w:eastAsia="SimHei" w:hAnsi="Time New Roman" w:hint="eastAsia"/>
          <w:snapToGrid/>
        </w:rPr>
      </w:pPr>
      <w:r w:rsidRPr="00732F5E">
        <w:rPr>
          <w:rFonts w:ascii="Time New Roman" w:eastAsia="SimHei" w:hAnsi="Time New Roman"/>
          <w:snapToGrid/>
        </w:rPr>
        <w:t>审查并扩大该国的《中美洲未成年人方案》，规定只要儿童的父母中有一方</w:t>
      </w:r>
      <w:r w:rsidRPr="00732F5E">
        <w:rPr>
          <w:rFonts w:ascii="Time New Roman" w:eastAsia="SimHei" w:hAnsi="Time New Roman"/>
          <w:snapToGrid/>
        </w:rPr>
        <w:t>(</w:t>
      </w:r>
      <w:r w:rsidRPr="00732F5E">
        <w:rPr>
          <w:rFonts w:ascii="Time New Roman" w:eastAsia="SimHei" w:hAnsi="Time New Roman"/>
          <w:snapToGrid/>
        </w:rPr>
        <w:t>无论是否具有合法身份</w:t>
      </w:r>
      <w:r w:rsidRPr="00732F5E">
        <w:rPr>
          <w:rFonts w:ascii="Time New Roman" w:eastAsia="SimHei" w:hAnsi="Time New Roman"/>
          <w:snapToGrid/>
        </w:rPr>
        <w:t>)</w:t>
      </w:r>
      <w:r w:rsidRPr="00732F5E">
        <w:rPr>
          <w:rFonts w:ascii="Time New Roman" w:eastAsia="SimHei" w:hAnsi="Time New Roman"/>
          <w:snapToGrid/>
        </w:rPr>
        <w:t>或有成年近亲位于美国境内，有关儿童都可入境美国，以便降低他们遭受《任择议定书》所载罪行侵害的危险；</w:t>
      </w:r>
    </w:p>
    <w:p w:rsidR="00A51AD9" w:rsidRPr="00732F5E" w:rsidRDefault="00A51AD9" w:rsidP="006725B6">
      <w:pPr>
        <w:pStyle w:val="SingleTxtGC"/>
        <w:numPr>
          <w:ilvl w:val="0"/>
          <w:numId w:val="37"/>
        </w:numPr>
        <w:rPr>
          <w:rFonts w:ascii="Time New Roman" w:eastAsia="SimHei" w:hAnsi="Time New Roman" w:hint="eastAsia"/>
          <w:snapToGrid/>
        </w:rPr>
      </w:pPr>
      <w:r w:rsidRPr="00732F5E">
        <w:rPr>
          <w:rFonts w:ascii="Time New Roman" w:eastAsia="SimHei" w:hAnsi="Time New Roman"/>
          <w:snapToGrid/>
        </w:rPr>
        <w:t>让所有孤身儿童都能获得法律咨询，以便对驱逐提出质疑或提交保护申请；</w:t>
      </w:r>
    </w:p>
    <w:p w:rsidR="00A51AD9" w:rsidRPr="00732F5E" w:rsidRDefault="00A51AD9" w:rsidP="006725B6">
      <w:pPr>
        <w:pStyle w:val="SingleTxtGC"/>
        <w:numPr>
          <w:ilvl w:val="0"/>
          <w:numId w:val="37"/>
        </w:numPr>
        <w:rPr>
          <w:rFonts w:ascii="Time New Roman" w:eastAsia="SimHei" w:hAnsi="Time New Roman" w:hint="eastAsia"/>
          <w:snapToGrid/>
        </w:rPr>
      </w:pPr>
      <w:r w:rsidRPr="00732F5E">
        <w:rPr>
          <w:rFonts w:ascii="Time New Roman" w:eastAsia="SimHei" w:hAnsi="Time New Roman"/>
          <w:snapToGrid/>
        </w:rPr>
        <w:t>确保对包括助养人在内的所有请求监护或照管孤身儿童的人员都进行仔细的背景核查，并有系统地监测这些儿童的生活和保育条件。</w:t>
      </w:r>
    </w:p>
    <w:p w:rsidR="00A51AD9" w:rsidRPr="00A51AD9" w:rsidRDefault="00A51AD9" w:rsidP="006725B6">
      <w:pPr>
        <w:pStyle w:val="H23GC"/>
      </w:pPr>
      <w:r w:rsidRPr="00A51AD9">
        <w:tab/>
      </w:r>
      <w:r w:rsidRPr="00A51AD9">
        <w:tab/>
      </w:r>
      <w:r w:rsidRPr="00A51AD9">
        <w:t>刑事司法系统保护措施</w:t>
      </w:r>
    </w:p>
    <w:p w:rsidR="00A51AD9" w:rsidRPr="00A51AD9" w:rsidRDefault="00A51AD9" w:rsidP="006725B6">
      <w:pPr>
        <w:pStyle w:val="SingleTxtGC"/>
        <w:rPr>
          <w:snapToGrid/>
        </w:rPr>
      </w:pPr>
      <w:r w:rsidRPr="00A51AD9">
        <w:rPr>
          <w:snapToGrid/>
        </w:rPr>
        <w:t>40.</w:t>
      </w:r>
      <w:r w:rsidR="006725B6">
        <w:rPr>
          <w:snapToGrid/>
        </w:rPr>
        <w:t xml:space="preserve">  </w:t>
      </w:r>
      <w:r w:rsidRPr="00A51AD9">
        <w:rPr>
          <w:snapToGrid/>
        </w:rPr>
        <w:t>委员会对缔约国在国家报告和问题清单答复中提到的一系列培训举措表示欢迎，这些培训面向司法机关，目的是让司法人员认识到儿童剥削受害者的特殊需求。但委员会仍感关切的是，儿童常常被要求在公开开庭时当着贩运者或皮条客的面作证。</w:t>
      </w:r>
    </w:p>
    <w:p w:rsidR="00A51AD9" w:rsidRPr="00732F5E" w:rsidRDefault="00A51AD9" w:rsidP="006725B6">
      <w:pPr>
        <w:pStyle w:val="SingleTxtGC"/>
        <w:rPr>
          <w:rFonts w:ascii="Time New Roman" w:eastAsia="SimHei" w:hAnsi="Time New Roman" w:hint="eastAsia"/>
          <w:snapToGrid/>
        </w:rPr>
      </w:pPr>
      <w:r w:rsidRPr="00732F5E">
        <w:rPr>
          <w:rFonts w:ascii="Time New Roman" w:eastAsia="SimHei" w:hAnsi="Time New Roman"/>
          <w:snapToGrid/>
        </w:rPr>
        <w:t>41.</w:t>
      </w:r>
      <w:r w:rsidR="006725B6" w:rsidRPr="00732F5E">
        <w:rPr>
          <w:rFonts w:ascii="Time New Roman" w:eastAsia="SimHei" w:hAnsi="Time New Roman"/>
          <w:snapToGrid/>
        </w:rPr>
        <w:t xml:space="preserve">  </w:t>
      </w:r>
      <w:r w:rsidRPr="00732F5E">
        <w:rPr>
          <w:rFonts w:ascii="Time New Roman" w:eastAsia="SimHei" w:hAnsi="Time New Roman"/>
          <w:snapToGrid/>
        </w:rPr>
        <w:t>委员会建议缔约国继续实施并加强面向司法机关、检察官和执法人员的培训方案，介绍关爱儿童的司法程序以及受害者和证人</w:t>
      </w:r>
      <w:r w:rsidRPr="00732F5E">
        <w:rPr>
          <w:rFonts w:ascii="Time New Roman" w:eastAsia="SimHei" w:hAnsi="Time New Roman" w:hint="eastAsia"/>
          <w:snapToGrid/>
        </w:rPr>
        <w:t>的</w:t>
      </w:r>
      <w:r w:rsidRPr="00732F5E">
        <w:rPr>
          <w:rFonts w:ascii="Time New Roman" w:eastAsia="SimHei" w:hAnsi="Time New Roman"/>
          <w:snapToGrid/>
        </w:rPr>
        <w:t>保护标准，同时在整个诉讼进程中都考虑到儿童的最大利益。委员会还建议缔约国通过录像或其他手段使用受害儿童</w:t>
      </w:r>
      <w:r w:rsidRPr="00732F5E">
        <w:rPr>
          <w:rFonts w:ascii="Time New Roman" w:eastAsia="SimHei" w:hAnsi="Time New Roman"/>
          <w:snapToGrid/>
        </w:rPr>
        <w:t>/</w:t>
      </w:r>
      <w:r w:rsidRPr="00732F5E">
        <w:rPr>
          <w:rFonts w:ascii="Time New Roman" w:eastAsia="SimHei" w:hAnsi="Time New Roman"/>
          <w:snapToGrid/>
        </w:rPr>
        <w:t>儿童证人的证词，以避免儿童再次受到伤害，还建议缔约国查明并进一步发展联邦和州两级的最佳做法。</w:t>
      </w:r>
    </w:p>
    <w:p w:rsidR="00A51AD9" w:rsidRPr="00A51AD9" w:rsidRDefault="00A51AD9" w:rsidP="006725B6">
      <w:pPr>
        <w:pStyle w:val="HChGC"/>
        <w:rPr>
          <w:snapToGrid/>
        </w:rPr>
      </w:pPr>
      <w:r w:rsidRPr="00A51AD9">
        <w:rPr>
          <w:snapToGrid/>
        </w:rPr>
        <w:tab/>
      </w:r>
      <w:r w:rsidRPr="00A51AD9">
        <w:rPr>
          <w:snapToGrid/>
        </w:rPr>
        <w:t>八</w:t>
      </w:r>
      <w:r w:rsidRPr="00A51AD9">
        <w:rPr>
          <w:snapToGrid/>
        </w:rPr>
        <w:t>.</w:t>
      </w:r>
      <w:r w:rsidRPr="00A51AD9">
        <w:rPr>
          <w:snapToGrid/>
        </w:rPr>
        <w:tab/>
      </w:r>
      <w:r w:rsidRPr="00A51AD9">
        <w:rPr>
          <w:snapToGrid/>
        </w:rPr>
        <w:t>国际援助与合作</w:t>
      </w:r>
      <w:r w:rsidRPr="00A51AD9">
        <w:rPr>
          <w:snapToGrid/>
        </w:rPr>
        <w:t>(</w:t>
      </w:r>
      <w:r w:rsidRPr="00A51AD9">
        <w:rPr>
          <w:snapToGrid/>
        </w:rPr>
        <w:t>第</w:t>
      </w:r>
      <w:r w:rsidRPr="00A51AD9">
        <w:rPr>
          <w:snapToGrid/>
        </w:rPr>
        <w:t>10</w:t>
      </w:r>
      <w:r w:rsidRPr="00A51AD9">
        <w:rPr>
          <w:snapToGrid/>
        </w:rPr>
        <w:t>条</w:t>
      </w:r>
      <w:r w:rsidRPr="00A51AD9">
        <w:rPr>
          <w:snapToGrid/>
        </w:rPr>
        <w:t>)</w:t>
      </w:r>
    </w:p>
    <w:p w:rsidR="00A51AD9" w:rsidRPr="00A51AD9" w:rsidRDefault="00A51AD9" w:rsidP="006725B6">
      <w:pPr>
        <w:pStyle w:val="H23GC"/>
      </w:pPr>
      <w:r w:rsidRPr="00A51AD9">
        <w:tab/>
      </w:r>
      <w:r w:rsidRPr="00A51AD9">
        <w:tab/>
      </w:r>
      <w:r w:rsidRPr="00A51AD9">
        <w:t>多边、双边和区域协定</w:t>
      </w:r>
    </w:p>
    <w:p w:rsidR="00A51AD9" w:rsidRPr="00732F5E" w:rsidRDefault="00A51AD9" w:rsidP="006725B6">
      <w:pPr>
        <w:pStyle w:val="SingleTxtGC"/>
        <w:rPr>
          <w:rFonts w:ascii="Time New Roman" w:eastAsia="SimHei" w:hAnsi="Time New Roman" w:hint="eastAsia"/>
          <w:snapToGrid/>
        </w:rPr>
      </w:pPr>
      <w:r w:rsidRPr="00732F5E">
        <w:rPr>
          <w:rFonts w:ascii="Time New Roman" w:eastAsia="SimHei" w:hAnsi="Time New Roman"/>
          <w:snapToGrid/>
        </w:rPr>
        <w:t>42.</w:t>
      </w:r>
      <w:r w:rsidR="006725B6" w:rsidRPr="00732F5E">
        <w:rPr>
          <w:rFonts w:ascii="Time New Roman" w:eastAsia="SimHei" w:hAnsi="Time New Roman"/>
          <w:snapToGrid/>
        </w:rPr>
        <w:t xml:space="preserve">  </w:t>
      </w:r>
      <w:r w:rsidRPr="00732F5E">
        <w:rPr>
          <w:rFonts w:ascii="Time New Roman" w:eastAsia="SimHei" w:hAnsi="Time New Roman"/>
          <w:snapToGrid/>
        </w:rPr>
        <w:t>委员会参照《任择议定书》第</w:t>
      </w:r>
      <w:r w:rsidRPr="00732F5E">
        <w:rPr>
          <w:rFonts w:ascii="Time New Roman" w:eastAsia="SimHei" w:hAnsi="Time New Roman"/>
          <w:snapToGrid/>
        </w:rPr>
        <w:t>10</w:t>
      </w:r>
      <w:r w:rsidRPr="00732F5E">
        <w:rPr>
          <w:rFonts w:ascii="Time New Roman" w:eastAsia="SimHei" w:hAnsi="Time New Roman"/>
          <w:snapToGrid/>
        </w:rPr>
        <w:t>条第</w:t>
      </w:r>
      <w:r w:rsidRPr="00732F5E">
        <w:rPr>
          <w:rFonts w:ascii="Time New Roman" w:eastAsia="SimHei" w:hAnsi="Time New Roman"/>
          <w:snapToGrid/>
        </w:rPr>
        <w:t>1</w:t>
      </w:r>
      <w:r w:rsidRPr="00732F5E">
        <w:rPr>
          <w:rFonts w:ascii="Time New Roman" w:eastAsia="SimHei" w:hAnsi="Time New Roman"/>
          <w:snapToGrid/>
        </w:rPr>
        <w:t>款，鼓励缔约国继续通过多边、区域和双边安排加强国际合作，特别是与周边国家的合作，包括加强协调实施此类安排的程序和机制，以便改善防止、侦察和调查《任择议定书》所述罪行的工作，以及起诉和惩治此类罪行责任者的工作。</w:t>
      </w:r>
    </w:p>
    <w:p w:rsidR="00A51AD9" w:rsidRPr="00A51AD9" w:rsidRDefault="00A51AD9" w:rsidP="006725B6">
      <w:pPr>
        <w:pStyle w:val="HChGC"/>
        <w:rPr>
          <w:snapToGrid/>
        </w:rPr>
      </w:pPr>
      <w:r w:rsidRPr="00A51AD9">
        <w:rPr>
          <w:snapToGrid/>
        </w:rPr>
        <w:tab/>
      </w:r>
      <w:r w:rsidRPr="00A51AD9">
        <w:rPr>
          <w:snapToGrid/>
        </w:rPr>
        <w:t>九</w:t>
      </w:r>
      <w:r w:rsidRPr="00A51AD9">
        <w:rPr>
          <w:snapToGrid/>
        </w:rPr>
        <w:t>.</w:t>
      </w:r>
      <w:r w:rsidRPr="00A51AD9">
        <w:rPr>
          <w:snapToGrid/>
        </w:rPr>
        <w:tab/>
      </w:r>
      <w:r w:rsidRPr="00A51AD9">
        <w:rPr>
          <w:snapToGrid/>
        </w:rPr>
        <w:t>批准《关于设定来文程序的任择议定书》</w:t>
      </w:r>
    </w:p>
    <w:p w:rsidR="00A51AD9" w:rsidRPr="00732F5E" w:rsidRDefault="00A51AD9" w:rsidP="006725B6">
      <w:pPr>
        <w:pStyle w:val="SingleTxtGC"/>
        <w:rPr>
          <w:rFonts w:ascii="Time New Roman" w:eastAsia="SimHei" w:hAnsi="Time New Roman" w:hint="eastAsia"/>
          <w:snapToGrid/>
        </w:rPr>
      </w:pPr>
      <w:r w:rsidRPr="00732F5E">
        <w:rPr>
          <w:rFonts w:ascii="Time New Roman" w:eastAsia="SimHei" w:hAnsi="Time New Roman"/>
          <w:snapToGrid/>
        </w:rPr>
        <w:t>43.</w:t>
      </w:r>
      <w:r w:rsidR="006725B6" w:rsidRPr="00732F5E">
        <w:rPr>
          <w:rFonts w:ascii="Time New Roman" w:eastAsia="SimHei" w:hAnsi="Time New Roman"/>
          <w:snapToGrid/>
        </w:rPr>
        <w:t xml:space="preserve">  </w:t>
      </w:r>
      <w:r w:rsidRPr="00732F5E">
        <w:rPr>
          <w:rFonts w:ascii="Time New Roman" w:eastAsia="SimHei" w:hAnsi="Time New Roman"/>
          <w:snapToGrid/>
        </w:rPr>
        <w:t>委员会建议缔约国批准《儿童权利公约关于设定来文程序的任择议定书》，以进一步加强儿童权利的落实。</w:t>
      </w:r>
    </w:p>
    <w:p w:rsidR="00A51AD9" w:rsidRPr="00A51AD9" w:rsidRDefault="00A51AD9" w:rsidP="006725B6">
      <w:pPr>
        <w:pStyle w:val="HChGC"/>
        <w:rPr>
          <w:snapToGrid/>
        </w:rPr>
      </w:pPr>
      <w:r w:rsidRPr="00A51AD9">
        <w:rPr>
          <w:snapToGrid/>
        </w:rPr>
        <w:tab/>
      </w:r>
      <w:r w:rsidRPr="00A51AD9">
        <w:rPr>
          <w:snapToGrid/>
        </w:rPr>
        <w:t>十</w:t>
      </w:r>
      <w:r w:rsidRPr="00A51AD9">
        <w:rPr>
          <w:snapToGrid/>
        </w:rPr>
        <w:t>.</w:t>
      </w:r>
      <w:r w:rsidRPr="00A51AD9">
        <w:rPr>
          <w:snapToGrid/>
        </w:rPr>
        <w:tab/>
      </w:r>
      <w:r w:rsidRPr="00A51AD9">
        <w:rPr>
          <w:snapToGrid/>
        </w:rPr>
        <w:t>实施和报告</w:t>
      </w:r>
    </w:p>
    <w:p w:rsidR="00A51AD9" w:rsidRPr="00A51AD9" w:rsidRDefault="00A51AD9" w:rsidP="006725B6">
      <w:pPr>
        <w:pStyle w:val="H1GC"/>
        <w:rPr>
          <w:snapToGrid/>
        </w:rPr>
      </w:pPr>
      <w:r w:rsidRPr="00A51AD9">
        <w:rPr>
          <w:snapToGrid/>
        </w:rPr>
        <w:tab/>
        <w:t>A.</w:t>
      </w:r>
      <w:r w:rsidRPr="00A51AD9">
        <w:rPr>
          <w:snapToGrid/>
        </w:rPr>
        <w:tab/>
      </w:r>
      <w:r w:rsidRPr="00A51AD9">
        <w:rPr>
          <w:snapToGrid/>
        </w:rPr>
        <w:t>后续落实和传播</w:t>
      </w:r>
    </w:p>
    <w:p w:rsidR="00A51AD9" w:rsidRPr="00732F5E" w:rsidRDefault="00A51AD9" w:rsidP="006725B6">
      <w:pPr>
        <w:pStyle w:val="SingleTxtGC"/>
        <w:rPr>
          <w:rFonts w:ascii="Time New Roman" w:eastAsia="SimHei" w:hAnsi="Time New Roman" w:hint="eastAsia"/>
          <w:snapToGrid/>
        </w:rPr>
      </w:pPr>
      <w:r w:rsidRPr="00732F5E">
        <w:rPr>
          <w:rFonts w:ascii="Time New Roman" w:eastAsia="SimHei" w:hAnsi="Time New Roman"/>
          <w:snapToGrid/>
        </w:rPr>
        <w:t>44.</w:t>
      </w:r>
      <w:r w:rsidR="00E85721" w:rsidRPr="00732F5E">
        <w:rPr>
          <w:rFonts w:ascii="Time New Roman" w:eastAsia="SimHei" w:hAnsi="Time New Roman"/>
          <w:snapToGrid/>
        </w:rPr>
        <w:t xml:space="preserve">  </w:t>
      </w:r>
      <w:r w:rsidRPr="00732F5E">
        <w:rPr>
          <w:rFonts w:ascii="Time New Roman" w:eastAsia="SimHei" w:hAnsi="Time New Roman"/>
          <w:snapToGrid/>
        </w:rPr>
        <w:t>委员会建议缔约国采取一切适当措施，确保本结论性意见所载建议得到充分落实，包括将这些建议转发总统、国会、内阁成员、各行政部门、机构和司法机关，供其适当考虑并采取进一步行动。</w:t>
      </w:r>
    </w:p>
    <w:p w:rsidR="00A51AD9" w:rsidRPr="00732F5E" w:rsidRDefault="00A51AD9" w:rsidP="00E85721">
      <w:pPr>
        <w:pStyle w:val="SingleTxtGC"/>
        <w:rPr>
          <w:rFonts w:ascii="Time New Roman" w:eastAsia="SimHei" w:hAnsi="Time New Roman" w:hint="eastAsia"/>
          <w:snapToGrid/>
        </w:rPr>
      </w:pPr>
      <w:r w:rsidRPr="00732F5E">
        <w:rPr>
          <w:rFonts w:ascii="Time New Roman" w:eastAsia="SimHei" w:hAnsi="Time New Roman"/>
          <w:snapToGrid/>
        </w:rPr>
        <w:t>45.</w:t>
      </w:r>
      <w:r w:rsidR="00E85721" w:rsidRPr="00732F5E">
        <w:rPr>
          <w:rFonts w:ascii="Time New Roman" w:eastAsia="SimHei" w:hAnsi="Time New Roman"/>
          <w:snapToGrid/>
        </w:rPr>
        <w:t xml:space="preserve">  </w:t>
      </w:r>
      <w:r w:rsidRPr="00732F5E">
        <w:rPr>
          <w:rFonts w:ascii="Time New Roman" w:eastAsia="SimHei" w:hAnsi="Time New Roman"/>
          <w:snapToGrid/>
        </w:rPr>
        <w:t>委员会建议缔约国通过互联网等各种方式，向广大公众、民间社会组织、青年团体、专业团体和儿童广泛传播缔约国提交的报告和对问题清单的书面答复以及本结论性意见，以促进公众对《任择议定书》及其实施和监测情况的讨论和了解。</w:t>
      </w:r>
    </w:p>
    <w:p w:rsidR="00A51AD9" w:rsidRPr="00A51AD9" w:rsidRDefault="00A51AD9" w:rsidP="00E85721">
      <w:pPr>
        <w:pStyle w:val="H1GC"/>
        <w:rPr>
          <w:snapToGrid/>
        </w:rPr>
      </w:pPr>
      <w:r w:rsidRPr="00A51AD9">
        <w:rPr>
          <w:snapToGrid/>
        </w:rPr>
        <w:tab/>
        <w:t>B.</w:t>
      </w:r>
      <w:r w:rsidRPr="00A51AD9">
        <w:rPr>
          <w:snapToGrid/>
        </w:rPr>
        <w:tab/>
      </w:r>
      <w:r w:rsidRPr="00A51AD9">
        <w:rPr>
          <w:snapToGrid/>
        </w:rPr>
        <w:t>下次定期报告</w:t>
      </w:r>
      <w:bookmarkStart w:id="0" w:name="_GoBack"/>
      <w:bookmarkEnd w:id="0"/>
    </w:p>
    <w:p w:rsidR="00A51AD9" w:rsidRDefault="00A51AD9" w:rsidP="00E85721">
      <w:pPr>
        <w:pStyle w:val="SingleTxtGC"/>
        <w:rPr>
          <w:rFonts w:ascii="Time New Roman" w:eastAsia="SimHei" w:hAnsi="Time New Roman"/>
          <w:snapToGrid/>
        </w:rPr>
      </w:pPr>
      <w:r w:rsidRPr="00732F5E">
        <w:rPr>
          <w:rFonts w:ascii="Time New Roman" w:eastAsia="SimHei" w:hAnsi="Time New Roman"/>
          <w:snapToGrid/>
        </w:rPr>
        <w:t>46.</w:t>
      </w:r>
      <w:r w:rsidR="00E85721" w:rsidRPr="00732F5E">
        <w:rPr>
          <w:rFonts w:ascii="Time New Roman" w:eastAsia="SimHei" w:hAnsi="Time New Roman"/>
          <w:snapToGrid/>
        </w:rPr>
        <w:t xml:space="preserve">  </w:t>
      </w:r>
      <w:r w:rsidRPr="00732F5E">
        <w:rPr>
          <w:rFonts w:ascii="Time New Roman" w:eastAsia="SimHei" w:hAnsi="Time New Roman"/>
          <w:snapToGrid/>
        </w:rPr>
        <w:t>委员会根据《任择议定书》第</w:t>
      </w:r>
      <w:r w:rsidRPr="00732F5E">
        <w:rPr>
          <w:rFonts w:ascii="Time New Roman" w:eastAsia="SimHei" w:hAnsi="Time New Roman"/>
          <w:snapToGrid/>
        </w:rPr>
        <w:t>12</w:t>
      </w:r>
      <w:r w:rsidRPr="00732F5E">
        <w:rPr>
          <w:rFonts w:ascii="Time New Roman" w:eastAsia="SimHei" w:hAnsi="Time New Roman"/>
          <w:snapToGrid/>
        </w:rPr>
        <w:t>条第</w:t>
      </w:r>
      <w:r w:rsidRPr="00732F5E">
        <w:rPr>
          <w:rFonts w:ascii="Time New Roman" w:eastAsia="SimHei" w:hAnsi="Time New Roman"/>
          <w:snapToGrid/>
        </w:rPr>
        <w:t>2</w:t>
      </w:r>
      <w:r w:rsidRPr="00732F5E">
        <w:rPr>
          <w:rFonts w:ascii="Time New Roman" w:eastAsia="SimHei" w:hAnsi="Time New Roman"/>
          <w:snapToGrid/>
        </w:rPr>
        <w:t>款，请缔约国在应于</w:t>
      </w:r>
      <w:r w:rsidRPr="00732F5E">
        <w:rPr>
          <w:rFonts w:ascii="Time New Roman" w:eastAsia="SimHei" w:hAnsi="Time New Roman"/>
          <w:snapToGrid/>
        </w:rPr>
        <w:t>2022</w:t>
      </w:r>
      <w:r w:rsidRPr="00732F5E">
        <w:rPr>
          <w:rFonts w:ascii="Time New Roman" w:eastAsia="SimHei" w:hAnsi="Time New Roman"/>
          <w:snapToGrid/>
        </w:rPr>
        <w:t>年</w:t>
      </w:r>
      <w:r w:rsidRPr="00732F5E">
        <w:rPr>
          <w:rFonts w:ascii="Time New Roman" w:eastAsia="SimHei" w:hAnsi="Time New Roman"/>
          <w:snapToGrid/>
        </w:rPr>
        <w:t>1</w:t>
      </w:r>
      <w:r w:rsidRPr="00732F5E">
        <w:rPr>
          <w:rFonts w:ascii="Time New Roman" w:eastAsia="SimHei" w:hAnsi="Time New Roman"/>
          <w:snapToGrid/>
        </w:rPr>
        <w:t>月</w:t>
      </w:r>
      <w:r w:rsidRPr="00732F5E">
        <w:rPr>
          <w:rFonts w:ascii="Time New Roman" w:eastAsia="SimHei" w:hAnsi="Time New Roman"/>
          <w:snapToGrid/>
        </w:rPr>
        <w:t>23</w:t>
      </w:r>
      <w:r w:rsidRPr="00732F5E">
        <w:rPr>
          <w:rFonts w:ascii="Time New Roman" w:eastAsia="SimHei" w:hAnsi="Time New Roman"/>
          <w:snapToGrid/>
        </w:rPr>
        <w:t>日提交的下次定期报告中进一步说明《任择议定书》和本结论性意见的落实情况。</w:t>
      </w:r>
    </w:p>
    <w:p w:rsidR="00C35D84" w:rsidRPr="00732F5E" w:rsidRDefault="00C35D84" w:rsidP="00E85721">
      <w:pPr>
        <w:pStyle w:val="SingleTxtGC"/>
        <w:rPr>
          <w:rFonts w:ascii="Time New Roman" w:eastAsia="SimHei" w:hAnsi="Time New Roman"/>
          <w:snapToGrid/>
        </w:rPr>
      </w:pPr>
    </w:p>
    <w:p w:rsidR="00556652" w:rsidRPr="002D6A9C" w:rsidRDefault="0055665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D2C3F" w:rsidRPr="00A51AD9" w:rsidRDefault="001D2C3F" w:rsidP="00DF6D27">
      <w:pPr>
        <w:pStyle w:val="SingleTxtGC"/>
      </w:pPr>
    </w:p>
    <w:sectPr w:rsidR="001D2C3F" w:rsidRPr="00A51AD9"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26" w:rsidRPr="000D319F" w:rsidRDefault="005C3826" w:rsidP="000D319F">
      <w:pPr>
        <w:pStyle w:val="Footer"/>
        <w:spacing w:after="240"/>
        <w:ind w:left="907"/>
        <w:rPr>
          <w:rFonts w:asciiTheme="majorBidi" w:eastAsia="SimSun" w:hAnsiTheme="majorBidi" w:cstheme="majorBidi"/>
          <w:sz w:val="21"/>
          <w:szCs w:val="21"/>
          <w:lang w:val="en-US"/>
        </w:rPr>
      </w:pPr>
    </w:p>
    <w:p w:rsidR="005C3826" w:rsidRPr="000D319F" w:rsidRDefault="005C3826"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C3826" w:rsidRPr="000D319F" w:rsidRDefault="005C3826" w:rsidP="000D319F">
      <w:pPr>
        <w:pStyle w:val="Footer"/>
      </w:pPr>
    </w:p>
  </w:endnote>
  <w:endnote w:type="continuationNotice" w:id="1">
    <w:p w:rsidR="005C3826" w:rsidRDefault="005C38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04ED4" w:rsidRDefault="00804ED4" w:rsidP="00804ED4">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22ABD">
      <w:rPr>
        <w:rStyle w:val="PageNumber"/>
        <w:noProof/>
      </w:rPr>
      <w:t>10</w:t>
    </w:r>
    <w:r>
      <w:rPr>
        <w:rStyle w:val="PageNumber"/>
      </w:rPr>
      <w:fldChar w:fldCharType="end"/>
    </w:r>
    <w:r>
      <w:rPr>
        <w:rStyle w:val="PageNumber"/>
      </w:rPr>
      <w:tab/>
    </w:r>
    <w:r w:rsidRPr="00804ED4">
      <w:rPr>
        <w:rStyle w:val="PageNumber"/>
        <w:b w:val="0"/>
        <w:snapToGrid w:val="0"/>
        <w:sz w:val="16"/>
      </w:rPr>
      <w:t>GE.17-11580</w:t>
    </w:r>
    <w:r w:rsidR="00C35D84">
      <w:rPr>
        <w:rStyle w:val="PageNumber"/>
        <w:b w:val="0"/>
        <w:snapToGrid w:val="0"/>
        <w:sz w:val="16"/>
      </w:rPr>
      <w:t xml:space="preserve">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04ED4" w:rsidRDefault="00804ED4" w:rsidP="00804ED4">
    <w:pPr>
      <w:pStyle w:val="Footer"/>
      <w:tabs>
        <w:tab w:val="clear" w:pos="431"/>
        <w:tab w:val="right" w:pos="9638"/>
      </w:tabs>
      <w:rPr>
        <w:rStyle w:val="PageNumber"/>
      </w:rPr>
    </w:pPr>
    <w:r>
      <w:t>GE.17-11580</w:t>
    </w:r>
    <w:r w:rsidR="00C35D84">
      <w:t xml:space="preserve"> (EXT)</w:t>
    </w:r>
    <w:r>
      <w:tab/>
    </w:r>
    <w:r>
      <w:rPr>
        <w:rStyle w:val="PageNumber"/>
      </w:rPr>
      <w:fldChar w:fldCharType="begin"/>
    </w:r>
    <w:r>
      <w:rPr>
        <w:rStyle w:val="PageNumber"/>
      </w:rPr>
      <w:instrText xml:space="preserve"> PAGE  \* MERGEFORMAT </w:instrText>
    </w:r>
    <w:r>
      <w:rPr>
        <w:rStyle w:val="PageNumber"/>
      </w:rPr>
      <w:fldChar w:fldCharType="separate"/>
    </w:r>
    <w:r w:rsidR="00022ABD">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B1CDF" w:rsidRDefault="00804ED4" w:rsidP="00487939">
    <w:pPr>
      <w:pStyle w:val="Footer"/>
      <w:tabs>
        <w:tab w:val="left" w:pos="1701"/>
        <w:tab w:val="left" w:pos="2552"/>
        <w:tab w:val="left" w:pos="8448"/>
      </w:tabs>
      <w:spacing w:before="360"/>
      <w:rPr>
        <w:rFonts w:eastAsiaTheme="minorEastAsia"/>
        <w:b/>
        <w:sz w:val="21"/>
        <w:lang w:eastAsia="zh-CN"/>
      </w:rPr>
    </w:pPr>
    <w:r>
      <w:rPr>
        <w:sz w:val="20"/>
        <w:lang w:eastAsia="zh-CN"/>
      </w:rPr>
      <w:t>GE.17-11580</w:t>
    </w:r>
    <w:r w:rsidR="00C35D84">
      <w:rPr>
        <w:sz w:val="20"/>
        <w:lang w:eastAsia="zh-CN"/>
      </w:rPr>
      <w:t xml:space="preserve"> (EXT</w:t>
    </w:r>
    <w:r w:rsidR="00731A42" w:rsidRPr="00EE277A">
      <w:rPr>
        <w:sz w:val="20"/>
        <w:lang w:eastAsia="zh-CN"/>
      </w:rPr>
      <w:t>)</w:t>
    </w:r>
  </w:p>
  <w:p w:rsidR="00056632" w:rsidRPr="00487939" w:rsidRDefault="00804ED4" w:rsidP="00487939">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RC/C/OPSC/USA/CO/3-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USA/CO/3-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F8919AD" wp14:editId="79AAEBF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826" w:rsidRPr="000157B1" w:rsidRDefault="005C3826"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C3826" w:rsidRPr="000157B1" w:rsidRDefault="005C3826"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C3826" w:rsidRDefault="005C3826"/>
  </w:footnote>
  <w:footnote w:id="2">
    <w:p w:rsidR="004D0EAE" w:rsidRDefault="004D0EAE" w:rsidP="00ED0A98">
      <w:pPr>
        <w:pStyle w:val="FootnoteText"/>
        <w:tabs>
          <w:tab w:val="clear" w:pos="1021"/>
          <w:tab w:val="right" w:pos="1020"/>
        </w:tabs>
      </w:pPr>
      <w:r>
        <w:rPr>
          <w:rStyle w:val="FootnoteReference"/>
          <w:rFonts w:eastAsia="SimSun"/>
        </w:rPr>
        <w:tab/>
      </w:r>
      <w:r w:rsidRPr="00DF6D27">
        <w:rPr>
          <w:rStyle w:val="FootnoteReference"/>
          <w:rFonts w:eastAsia="SimSun"/>
          <w:vertAlign w:val="baseline"/>
        </w:rPr>
        <w:t>*</w:t>
      </w:r>
      <w:r>
        <w:tab/>
      </w:r>
      <w:r w:rsidR="00DF6D27" w:rsidRPr="00DF6D27">
        <w:rPr>
          <w:rFonts w:hint="eastAsia"/>
        </w:rPr>
        <w:t>委员会第七十五届会议</w:t>
      </w:r>
      <w:r w:rsidR="00DF6D27" w:rsidRPr="00DF6D27">
        <w:rPr>
          <w:rFonts w:hint="eastAsia"/>
        </w:rPr>
        <w:t>(2017</w:t>
      </w:r>
      <w:r w:rsidR="00DF6D27" w:rsidRPr="00DF6D27">
        <w:rPr>
          <w:rFonts w:hint="eastAsia"/>
        </w:rPr>
        <w:t>年</w:t>
      </w:r>
      <w:r w:rsidR="00DF6D27" w:rsidRPr="00DF6D27">
        <w:rPr>
          <w:rFonts w:hint="eastAsia"/>
        </w:rPr>
        <w:t>5</w:t>
      </w:r>
      <w:r w:rsidR="00DF6D27" w:rsidRPr="00DF6D27">
        <w:rPr>
          <w:rFonts w:hint="eastAsia"/>
        </w:rPr>
        <w:t>月</w:t>
      </w:r>
      <w:r w:rsidR="00DF6D27" w:rsidRPr="00DF6D27">
        <w:rPr>
          <w:rFonts w:hint="eastAsia"/>
        </w:rPr>
        <w:t>15</w:t>
      </w:r>
      <w:r w:rsidR="00DF6D27" w:rsidRPr="00DF6D27">
        <w:rPr>
          <w:rFonts w:hint="eastAsia"/>
        </w:rPr>
        <w:t>日至</w:t>
      </w:r>
      <w:r w:rsidR="00DF6D27" w:rsidRPr="00DF6D27">
        <w:rPr>
          <w:rFonts w:hint="eastAsia"/>
        </w:rPr>
        <w:t>6</w:t>
      </w:r>
      <w:r w:rsidR="00DF6D27" w:rsidRPr="00DF6D27">
        <w:rPr>
          <w:rFonts w:hint="eastAsia"/>
        </w:rPr>
        <w:t>月</w:t>
      </w:r>
      <w:r w:rsidR="00DF6D27" w:rsidRPr="00DF6D27">
        <w:rPr>
          <w:rFonts w:hint="eastAsia"/>
        </w:rPr>
        <w:t>2</w:t>
      </w:r>
      <w:r w:rsidR="00DF6D27" w:rsidRPr="00DF6D27">
        <w:rPr>
          <w:rFonts w:hint="eastAsia"/>
        </w:rPr>
        <w:t>日</w:t>
      </w:r>
      <w:r w:rsidR="00DF6D27" w:rsidRPr="00DF6D27">
        <w:rPr>
          <w:rFonts w:hint="eastAsia"/>
        </w:rPr>
        <w:t>)</w:t>
      </w:r>
      <w:r w:rsidR="00DF6D27" w:rsidRPr="00DF6D27">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804ED4" w:rsidP="00804ED4">
    <w:pPr>
      <w:pStyle w:val="Header"/>
    </w:pPr>
    <w:r>
      <w:t>CRC/C/OPSC/USA/CO/3-4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804ED4" w:rsidP="00804ED4">
    <w:pPr>
      <w:pStyle w:val="Header"/>
      <w:jc w:val="right"/>
    </w:pPr>
    <w:r>
      <w:t>CRC/C/OPSC/USA/CO/3-4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6D2D0D"/>
    <w:multiLevelType w:val="hybridMultilevel"/>
    <w:tmpl w:val="CBA638B2"/>
    <w:lvl w:ilvl="0" w:tplc="12DE15C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0CDC1458"/>
    <w:multiLevelType w:val="hybridMultilevel"/>
    <w:tmpl w:val="72FEDEC0"/>
    <w:lvl w:ilvl="0" w:tplc="0B8EBB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9C3638"/>
    <w:multiLevelType w:val="hybridMultilevel"/>
    <w:tmpl w:val="65A8735E"/>
    <w:lvl w:ilvl="0" w:tplc="1D883A7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15:restartNumberingAfterBreak="0">
    <w:nsid w:val="116E5F27"/>
    <w:multiLevelType w:val="hybridMultilevel"/>
    <w:tmpl w:val="8618A796"/>
    <w:lvl w:ilvl="0" w:tplc="A7829AE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2550FA"/>
    <w:multiLevelType w:val="hybridMultilevel"/>
    <w:tmpl w:val="BC861920"/>
    <w:lvl w:ilvl="0" w:tplc="4C082E1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7C380D"/>
    <w:multiLevelType w:val="hybridMultilevel"/>
    <w:tmpl w:val="CBF065FA"/>
    <w:lvl w:ilvl="0" w:tplc="7EA8971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15:restartNumberingAfterBreak="0">
    <w:nsid w:val="1CA76A0F"/>
    <w:multiLevelType w:val="hybridMultilevel"/>
    <w:tmpl w:val="7700BD96"/>
    <w:lvl w:ilvl="0" w:tplc="1B725A4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0" w15:restartNumberingAfterBreak="0">
    <w:nsid w:val="1ED341C4"/>
    <w:multiLevelType w:val="hybridMultilevel"/>
    <w:tmpl w:val="8DA45C54"/>
    <w:lvl w:ilvl="0" w:tplc="E03035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B7FE2"/>
    <w:multiLevelType w:val="hybridMultilevel"/>
    <w:tmpl w:val="0AA6C454"/>
    <w:lvl w:ilvl="0" w:tplc="ED8E13F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298F7CC0"/>
    <w:multiLevelType w:val="hybridMultilevel"/>
    <w:tmpl w:val="6C58F4CC"/>
    <w:lvl w:ilvl="0" w:tplc="A05EB8E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A638B"/>
    <w:multiLevelType w:val="hybridMultilevel"/>
    <w:tmpl w:val="1A08158E"/>
    <w:lvl w:ilvl="0" w:tplc="710E89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E66A4D"/>
    <w:multiLevelType w:val="hybridMultilevel"/>
    <w:tmpl w:val="E86AC7F8"/>
    <w:lvl w:ilvl="0" w:tplc="9C200CB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5" w15:restartNumberingAfterBreak="0">
    <w:nsid w:val="35496BF0"/>
    <w:multiLevelType w:val="hybridMultilevel"/>
    <w:tmpl w:val="C3344240"/>
    <w:lvl w:ilvl="0" w:tplc="50B251E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37F26E7E"/>
    <w:multiLevelType w:val="hybridMultilevel"/>
    <w:tmpl w:val="51AEEC2E"/>
    <w:lvl w:ilvl="0" w:tplc="453091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8583C4F"/>
    <w:multiLevelType w:val="hybridMultilevel"/>
    <w:tmpl w:val="DE6EBFEC"/>
    <w:lvl w:ilvl="0" w:tplc="7284CA5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15:restartNumberingAfterBreak="0">
    <w:nsid w:val="3C29418B"/>
    <w:multiLevelType w:val="hybridMultilevel"/>
    <w:tmpl w:val="6E52A126"/>
    <w:lvl w:ilvl="0" w:tplc="1A92BE1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C5C5961"/>
    <w:multiLevelType w:val="hybridMultilevel"/>
    <w:tmpl w:val="2D9C18F6"/>
    <w:lvl w:ilvl="0" w:tplc="440E468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DBE6B84"/>
    <w:multiLevelType w:val="hybridMultilevel"/>
    <w:tmpl w:val="DD2EB06A"/>
    <w:lvl w:ilvl="0" w:tplc="778CAAF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EC71A12"/>
    <w:multiLevelType w:val="hybridMultilevel"/>
    <w:tmpl w:val="CFEC1F5C"/>
    <w:lvl w:ilvl="0" w:tplc="3CFAA8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2FB60A9"/>
    <w:multiLevelType w:val="hybridMultilevel"/>
    <w:tmpl w:val="6F440942"/>
    <w:lvl w:ilvl="0" w:tplc="ACB651D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3" w15:restartNumberingAfterBreak="0">
    <w:nsid w:val="470310E9"/>
    <w:multiLevelType w:val="hybridMultilevel"/>
    <w:tmpl w:val="A0C67064"/>
    <w:lvl w:ilvl="0" w:tplc="5F18AEA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4" w15:restartNumberingAfterBreak="0">
    <w:nsid w:val="4AB07751"/>
    <w:multiLevelType w:val="hybridMultilevel"/>
    <w:tmpl w:val="F00829A2"/>
    <w:lvl w:ilvl="0" w:tplc="89CCDB1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15:restartNumberingAfterBreak="0">
    <w:nsid w:val="4FB93B74"/>
    <w:multiLevelType w:val="hybridMultilevel"/>
    <w:tmpl w:val="2F36B9B8"/>
    <w:lvl w:ilvl="0" w:tplc="3544E3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D3009F"/>
    <w:multiLevelType w:val="hybridMultilevel"/>
    <w:tmpl w:val="E786BBCC"/>
    <w:lvl w:ilvl="0" w:tplc="0374CB4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3B80110"/>
    <w:multiLevelType w:val="hybridMultilevel"/>
    <w:tmpl w:val="D674B0F4"/>
    <w:lvl w:ilvl="0" w:tplc="04C2D9D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9AD0122"/>
    <w:multiLevelType w:val="hybridMultilevel"/>
    <w:tmpl w:val="30CED520"/>
    <w:lvl w:ilvl="0" w:tplc="29B6A2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02E7ED9"/>
    <w:multiLevelType w:val="hybridMultilevel"/>
    <w:tmpl w:val="D30E622E"/>
    <w:lvl w:ilvl="0" w:tplc="5720DF5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0" w15:restartNumberingAfterBreak="0">
    <w:nsid w:val="61E96AA8"/>
    <w:multiLevelType w:val="hybridMultilevel"/>
    <w:tmpl w:val="FA342080"/>
    <w:lvl w:ilvl="0" w:tplc="EB62A0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2AA4CEA"/>
    <w:multiLevelType w:val="hybridMultilevel"/>
    <w:tmpl w:val="DFCE60C2"/>
    <w:lvl w:ilvl="0" w:tplc="2BA6CC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B02B98"/>
    <w:multiLevelType w:val="hybridMultilevel"/>
    <w:tmpl w:val="4D8A0964"/>
    <w:lvl w:ilvl="0" w:tplc="8EFE4E5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2672764"/>
    <w:multiLevelType w:val="hybridMultilevel"/>
    <w:tmpl w:val="D910DBAC"/>
    <w:lvl w:ilvl="0" w:tplc="070C9D2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4B50478"/>
    <w:multiLevelType w:val="hybridMultilevel"/>
    <w:tmpl w:val="9B98911E"/>
    <w:lvl w:ilvl="0" w:tplc="6A78FD1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6" w15:restartNumberingAfterBreak="0">
    <w:nsid w:val="75936149"/>
    <w:multiLevelType w:val="hybridMultilevel"/>
    <w:tmpl w:val="B61498BC"/>
    <w:lvl w:ilvl="0" w:tplc="7B40C57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7" w15:restartNumberingAfterBreak="0">
    <w:nsid w:val="7FC7402A"/>
    <w:multiLevelType w:val="hybridMultilevel"/>
    <w:tmpl w:val="4AECB978"/>
    <w:lvl w:ilvl="0" w:tplc="92C0481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5"/>
  </w:num>
  <w:num w:numId="2">
    <w:abstractNumId w:val="32"/>
  </w:num>
  <w:num w:numId="3">
    <w:abstractNumId w:val="7"/>
  </w:num>
  <w:num w:numId="4">
    <w:abstractNumId w:val="0"/>
  </w:num>
  <w:num w:numId="5">
    <w:abstractNumId w:val="25"/>
  </w:num>
  <w:num w:numId="6">
    <w:abstractNumId w:val="9"/>
  </w:num>
  <w:num w:numId="7">
    <w:abstractNumId w:val="19"/>
  </w:num>
  <w:num w:numId="8">
    <w:abstractNumId w:val="3"/>
  </w:num>
  <w:num w:numId="9">
    <w:abstractNumId w:val="28"/>
  </w:num>
  <w:num w:numId="10">
    <w:abstractNumId w:val="29"/>
  </w:num>
  <w:num w:numId="11">
    <w:abstractNumId w:val="27"/>
  </w:num>
  <w:num w:numId="12">
    <w:abstractNumId w:val="8"/>
  </w:num>
  <w:num w:numId="13">
    <w:abstractNumId w:val="30"/>
  </w:num>
  <w:num w:numId="14">
    <w:abstractNumId w:val="4"/>
  </w:num>
  <w:num w:numId="15">
    <w:abstractNumId w:val="13"/>
  </w:num>
  <w:num w:numId="16">
    <w:abstractNumId w:val="17"/>
  </w:num>
  <w:num w:numId="17">
    <w:abstractNumId w:val="34"/>
  </w:num>
  <w:num w:numId="18">
    <w:abstractNumId w:val="36"/>
  </w:num>
  <w:num w:numId="19">
    <w:abstractNumId w:val="10"/>
  </w:num>
  <w:num w:numId="20">
    <w:abstractNumId w:val="15"/>
  </w:num>
  <w:num w:numId="21">
    <w:abstractNumId w:val="2"/>
  </w:num>
  <w:num w:numId="22">
    <w:abstractNumId w:val="37"/>
  </w:num>
  <w:num w:numId="23">
    <w:abstractNumId w:val="12"/>
  </w:num>
  <w:num w:numId="24">
    <w:abstractNumId w:val="35"/>
  </w:num>
  <w:num w:numId="25">
    <w:abstractNumId w:val="33"/>
  </w:num>
  <w:num w:numId="26">
    <w:abstractNumId w:val="22"/>
  </w:num>
  <w:num w:numId="27">
    <w:abstractNumId w:val="26"/>
  </w:num>
  <w:num w:numId="28">
    <w:abstractNumId w:val="1"/>
  </w:num>
  <w:num w:numId="29">
    <w:abstractNumId w:val="20"/>
  </w:num>
  <w:num w:numId="30">
    <w:abstractNumId w:val="11"/>
  </w:num>
  <w:num w:numId="31">
    <w:abstractNumId w:val="16"/>
  </w:num>
  <w:num w:numId="32">
    <w:abstractNumId w:val="6"/>
  </w:num>
  <w:num w:numId="33">
    <w:abstractNumId w:val="21"/>
  </w:num>
  <w:num w:numId="34">
    <w:abstractNumId w:val="14"/>
  </w:num>
  <w:num w:numId="35">
    <w:abstractNumId w:val="31"/>
  </w:num>
  <w:num w:numId="36">
    <w:abstractNumId w:val="23"/>
  </w:num>
  <w:num w:numId="37">
    <w:abstractNumId w:val="1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26"/>
    <w:rsid w:val="00011483"/>
    <w:rsid w:val="00022ABD"/>
    <w:rsid w:val="000716B1"/>
    <w:rsid w:val="000D319F"/>
    <w:rsid w:val="000E4D0E"/>
    <w:rsid w:val="00144B69"/>
    <w:rsid w:val="00153E86"/>
    <w:rsid w:val="00165177"/>
    <w:rsid w:val="00165975"/>
    <w:rsid w:val="00175354"/>
    <w:rsid w:val="001B1BD1"/>
    <w:rsid w:val="001C3EF2"/>
    <w:rsid w:val="001D17F6"/>
    <w:rsid w:val="001D2C3F"/>
    <w:rsid w:val="00204B42"/>
    <w:rsid w:val="002231C3"/>
    <w:rsid w:val="0024417F"/>
    <w:rsid w:val="00250F8D"/>
    <w:rsid w:val="002C34DC"/>
    <w:rsid w:val="002E1C97"/>
    <w:rsid w:val="002F5834"/>
    <w:rsid w:val="00326EBF"/>
    <w:rsid w:val="00327FE4"/>
    <w:rsid w:val="0033398C"/>
    <w:rsid w:val="00392F6C"/>
    <w:rsid w:val="003D7D4D"/>
    <w:rsid w:val="0040295A"/>
    <w:rsid w:val="00413D23"/>
    <w:rsid w:val="00427F63"/>
    <w:rsid w:val="0049656F"/>
    <w:rsid w:val="004A17D1"/>
    <w:rsid w:val="004C4A0A"/>
    <w:rsid w:val="004D0EAE"/>
    <w:rsid w:val="00524858"/>
    <w:rsid w:val="00543EBA"/>
    <w:rsid w:val="00553FC8"/>
    <w:rsid w:val="00556652"/>
    <w:rsid w:val="005C3826"/>
    <w:rsid w:val="005E403A"/>
    <w:rsid w:val="006223E4"/>
    <w:rsid w:val="006725B6"/>
    <w:rsid w:val="00680656"/>
    <w:rsid w:val="006B1119"/>
    <w:rsid w:val="006E3E46"/>
    <w:rsid w:val="006E71B1"/>
    <w:rsid w:val="00705D89"/>
    <w:rsid w:val="00731A42"/>
    <w:rsid w:val="00732F5E"/>
    <w:rsid w:val="007361B2"/>
    <w:rsid w:val="00767E69"/>
    <w:rsid w:val="0077079A"/>
    <w:rsid w:val="007A5599"/>
    <w:rsid w:val="00804ED4"/>
    <w:rsid w:val="00856233"/>
    <w:rsid w:val="00860F27"/>
    <w:rsid w:val="008B0560"/>
    <w:rsid w:val="008B2BFA"/>
    <w:rsid w:val="008D08CB"/>
    <w:rsid w:val="008D2FB3"/>
    <w:rsid w:val="00916156"/>
    <w:rsid w:val="0091630D"/>
    <w:rsid w:val="00936F03"/>
    <w:rsid w:val="00943B69"/>
    <w:rsid w:val="00944CB3"/>
    <w:rsid w:val="009B09D7"/>
    <w:rsid w:val="009B664D"/>
    <w:rsid w:val="009D35ED"/>
    <w:rsid w:val="00A03CB6"/>
    <w:rsid w:val="00A1364C"/>
    <w:rsid w:val="00A21076"/>
    <w:rsid w:val="00A3739A"/>
    <w:rsid w:val="00A51AD9"/>
    <w:rsid w:val="00A52DAF"/>
    <w:rsid w:val="00A84072"/>
    <w:rsid w:val="00AB1CDF"/>
    <w:rsid w:val="00AD6913"/>
    <w:rsid w:val="00B16570"/>
    <w:rsid w:val="00B4383C"/>
    <w:rsid w:val="00B53320"/>
    <w:rsid w:val="00B9788F"/>
    <w:rsid w:val="00BC6522"/>
    <w:rsid w:val="00BD2C00"/>
    <w:rsid w:val="00C121D5"/>
    <w:rsid w:val="00C17349"/>
    <w:rsid w:val="00C31783"/>
    <w:rsid w:val="00C351AA"/>
    <w:rsid w:val="00C35D84"/>
    <w:rsid w:val="00C7253F"/>
    <w:rsid w:val="00C83089"/>
    <w:rsid w:val="00CB34F6"/>
    <w:rsid w:val="00D26A05"/>
    <w:rsid w:val="00D71173"/>
    <w:rsid w:val="00D90863"/>
    <w:rsid w:val="00D97B98"/>
    <w:rsid w:val="00DA25C1"/>
    <w:rsid w:val="00DB1671"/>
    <w:rsid w:val="00DB54E5"/>
    <w:rsid w:val="00DC671F"/>
    <w:rsid w:val="00DE4DA7"/>
    <w:rsid w:val="00DF6D27"/>
    <w:rsid w:val="00E33B38"/>
    <w:rsid w:val="00E4712C"/>
    <w:rsid w:val="00E47FE5"/>
    <w:rsid w:val="00E574AF"/>
    <w:rsid w:val="00E60DB0"/>
    <w:rsid w:val="00E851B3"/>
    <w:rsid w:val="00E85721"/>
    <w:rsid w:val="00EC061B"/>
    <w:rsid w:val="00EC0DE8"/>
    <w:rsid w:val="00ED0A98"/>
    <w:rsid w:val="00F66446"/>
    <w:rsid w:val="00F714DA"/>
    <w:rsid w:val="00F90004"/>
    <w:rsid w:val="00FB2D8E"/>
    <w:rsid w:val="00FB456B"/>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87248"/>
  <w15:docId w15:val="{0E114006-5FBC-42FF-B286-D9BD2FDE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C"/>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basedOn w:val="Normal"/>
    <w:link w:val="FootnoteTextChar"/>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FootnoteTextChar">
    <w:name w:val="Footnote Text Char"/>
    <w:basedOn w:val="DefaultParagraphFont"/>
    <w:link w:val="FootnoteText"/>
    <w:rsid w:val="0091630D"/>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3">
    <w:name w:val="目录页次"/>
    <w:basedOn w:val="Normal"/>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4">
    <w:name w:val="缩进正文"/>
    <w:basedOn w:val="Normal"/>
    <w:qFormat/>
    <w:rsid w:val="0091630D"/>
    <w:pPr>
      <w:tabs>
        <w:tab w:val="left" w:pos="1134"/>
        <w:tab w:val="left" w:pos="1565"/>
        <w:tab w:val="left" w:pos="1996"/>
        <w:tab w:val="left" w:pos="2427"/>
      </w:tabs>
      <w:spacing w:after="120"/>
      <w:ind w:left="1565" w:right="1134"/>
    </w:pPr>
    <w:rPr>
      <w:szCs w:val="21"/>
    </w:rPr>
  </w:style>
  <w:style w:type="paragraph" w:styleId="EndnoteText">
    <w:name w:val="endnote text"/>
    <w:basedOn w:val="FootnoteText"/>
    <w:link w:val="EndnoteTextChar"/>
    <w:qFormat/>
    <w:rsid w:val="0091630D"/>
    <w:pPr>
      <w:keepLines w:val="0"/>
      <w:spacing w:after="0"/>
    </w:pPr>
  </w:style>
  <w:style w:type="character" w:customStyle="1" w:styleId="EndnoteTextChar">
    <w:name w:val="Endnote Text Char"/>
    <w:basedOn w:val="DefaultParagraphFont"/>
    <w:link w:val="EndnoteText"/>
    <w:rsid w:val="0091630D"/>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2C34DC"/>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2C34DC"/>
    <w:rPr>
      <w:rFonts w:eastAsia="Times New Roman"/>
      <w:snapToGrid w:val="0"/>
      <w:sz w:val="16"/>
      <w:szCs w:val="16"/>
      <w:lang w:val="en-GB" w:eastAsia="en-US"/>
    </w:rPr>
  </w:style>
  <w:style w:type="character" w:styleId="PageNumber">
    <w:name w:val="page number"/>
    <w:basedOn w:val="DefaultParagraphFont"/>
    <w:qFormat/>
    <w:rsid w:val="002C34DC"/>
    <w:rPr>
      <w:rFonts w:ascii="Times New Roman" w:hAnsi="Times New Roman"/>
      <w:b/>
      <w:i w:val="0"/>
      <w:snapToGrid w:val="0"/>
      <w:spacing w:val="0"/>
      <w:kern w:val="0"/>
      <w:sz w:val="18"/>
      <w14:cntxtAlts w14:val="0"/>
    </w:rPr>
  </w:style>
  <w:style w:type="paragraph" w:styleId="Header">
    <w:name w:val="header"/>
    <w:basedOn w:val="Normal"/>
    <w:link w:val="HeaderChar"/>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2C34DC"/>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Caption">
    <w:name w:val="caption"/>
    <w:basedOn w:val="Normal"/>
    <w:next w:val="Normal"/>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Heading">
    <w:name w:val="TOC Heading"/>
    <w:basedOn w:val="Heading1"/>
    <w:next w:val="Normal"/>
    <w:uiPriority w:val="39"/>
    <w:semiHidden/>
    <w:qFormat/>
    <w:rsid w:val="008B0560"/>
    <w:pPr>
      <w:outlineLvl w:val="9"/>
    </w:pPr>
  </w:style>
  <w:style w:type="paragraph" w:styleId="BalloonText">
    <w:name w:val="Balloon Text"/>
    <w:basedOn w:val="Normal"/>
    <w:link w:val="BalloonTextChar"/>
    <w:uiPriority w:val="99"/>
    <w:semiHidden/>
    <w:rsid w:val="009B09D7"/>
    <w:rPr>
      <w:sz w:val="18"/>
      <w:szCs w:val="18"/>
    </w:rPr>
  </w:style>
  <w:style w:type="character" w:customStyle="1" w:styleId="BalloonTextChar">
    <w:name w:val="Balloon Text Char"/>
    <w:basedOn w:val="DefaultParagraphFont"/>
    <w:link w:val="BalloonText"/>
    <w:uiPriority w:val="99"/>
    <w:semiHidden/>
    <w:rsid w:val="00153E86"/>
    <w:rPr>
      <w:rFonts w:ascii="Times New Roman" w:eastAsia="SimSun" w:hAnsi="Times New Roman" w:cs="Times New Roman"/>
      <w:snapToGrid w:val="0"/>
      <w:sz w:val="18"/>
      <w:szCs w:val="18"/>
    </w:rPr>
  </w:style>
  <w:style w:type="character" w:styleId="PlaceholderText">
    <w:name w:val="Placeholder Text"/>
    <w:basedOn w:val="DefaultParagraphFont"/>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hen\Word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1615-5CA3-4A5F-80B6-78180B46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1711580</vt:lpstr>
    </vt:vector>
  </TitlesOfParts>
  <Company>DCM</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1711580</dc:title>
  <dc:subject>CRC/C/OPSC/USA/CO/3-4</dc:subject>
  <dc:creator>nie</dc:creator>
  <cp:keywords/>
  <dc:description/>
  <cp:lastModifiedBy>Weixiu Yang</cp:lastModifiedBy>
  <cp:revision>3</cp:revision>
  <cp:lastPrinted>2017-12-04T10:48:00Z</cp:lastPrinted>
  <dcterms:created xsi:type="dcterms:W3CDTF">2017-12-04T10:48:00Z</dcterms:created>
  <dcterms:modified xsi:type="dcterms:W3CDTF">2017-12-04T10:48:00Z</dcterms:modified>
</cp:coreProperties>
</file>