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192462" w:rsidRDefault="00192462" w:rsidP="00E4712C">
            <w:pPr>
              <w:spacing w:line="240" w:lineRule="atLeast"/>
              <w:jc w:val="right"/>
              <w:rPr>
                <w:sz w:val="20"/>
                <w:szCs w:val="21"/>
              </w:rPr>
            </w:pPr>
            <w:r>
              <w:rPr>
                <w:sz w:val="40"/>
                <w:szCs w:val="21"/>
              </w:rPr>
              <w:t>CRC</w:t>
            </w:r>
            <w:r>
              <w:rPr>
                <w:sz w:val="20"/>
                <w:szCs w:val="21"/>
              </w:rPr>
              <w:t>/C/OPSC/MWI/CO/1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24F7E212" wp14:editId="54A882B6">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92462" w:rsidP="00192462">
            <w:pPr>
              <w:spacing w:before="240" w:line="240" w:lineRule="atLeast"/>
              <w:rPr>
                <w:sz w:val="20"/>
              </w:rPr>
            </w:pPr>
            <w:r>
              <w:rPr>
                <w:sz w:val="20"/>
              </w:rPr>
              <w:t>Distr.: General</w:t>
            </w:r>
          </w:p>
          <w:p w:rsidR="001D2C3F" w:rsidRPr="00F124C6" w:rsidRDefault="00192462" w:rsidP="00E4712C">
            <w:pPr>
              <w:spacing w:line="240" w:lineRule="atLeast"/>
              <w:rPr>
                <w:sz w:val="20"/>
              </w:rPr>
            </w:pPr>
            <w:r>
              <w:rPr>
                <w:sz w:val="20"/>
              </w:rPr>
              <w:t>15 March</w:t>
            </w:r>
            <w:r w:rsidR="00AB1CDF">
              <w:rPr>
                <w:sz w:val="20"/>
              </w:rPr>
              <w:t xml:space="preserve"> </w:t>
            </w:r>
            <w:r>
              <w:rPr>
                <w:sz w:val="20"/>
              </w:rPr>
              <w:t>2</w:t>
            </w:r>
            <w:r w:rsidR="00AB1CDF">
              <w:rPr>
                <w:sz w:val="20"/>
              </w:rPr>
              <w:t>0</w:t>
            </w:r>
            <w:r>
              <w:rPr>
                <w:sz w:val="20"/>
              </w:rPr>
              <w:t>1</w:t>
            </w:r>
            <w:r>
              <w:rPr>
                <w:rFonts w:hint="eastAsia"/>
                <w:sz w:val="20"/>
              </w:rPr>
              <w:t>7</w:t>
            </w:r>
          </w:p>
          <w:p w:rsidR="001D2C3F" w:rsidRPr="00F124C6" w:rsidRDefault="00192462" w:rsidP="00E4712C">
            <w:pPr>
              <w:spacing w:line="240" w:lineRule="atLeast"/>
              <w:rPr>
                <w:sz w:val="20"/>
              </w:rPr>
            </w:pPr>
            <w:r>
              <w:rPr>
                <w:sz w:val="20"/>
              </w:rPr>
              <w:t>Chinese</w:t>
            </w:r>
            <w:r w:rsidR="001D2C3F" w:rsidRPr="00F124C6">
              <w:rPr>
                <w:sz w:val="20"/>
              </w:rPr>
              <w:t xml:space="preserve"> </w:t>
            </w:r>
          </w:p>
          <w:p w:rsidR="001D2C3F" w:rsidRPr="00F124C6" w:rsidRDefault="00192462"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92462" w:rsidRDefault="00192462" w:rsidP="001D2C3F">
      <w:pPr>
        <w:spacing w:before="120"/>
        <w:rPr>
          <w:rFonts w:eastAsia="黑体"/>
          <w:sz w:val="24"/>
          <w:szCs w:val="24"/>
        </w:rPr>
      </w:pPr>
    </w:p>
    <w:p w:rsidR="00192462" w:rsidRDefault="00192462" w:rsidP="00237A8C">
      <w:pPr>
        <w:pStyle w:val="HChGC"/>
        <w:spacing w:after="360"/>
        <w:rPr>
          <w:bCs/>
          <w:sz w:val="20"/>
        </w:rPr>
      </w:pPr>
      <w:r>
        <w:tab/>
      </w:r>
      <w:r>
        <w:tab/>
      </w:r>
      <w:r>
        <w:rPr>
          <w:lang w:val="zh-CN"/>
        </w:rPr>
        <w:t>关于马拉维根据</w:t>
      </w:r>
      <w:r w:rsidRPr="00192462">
        <w:rPr>
          <w:spacing w:val="-2"/>
          <w:lang w:val="zh-CN"/>
        </w:rPr>
        <w:t>《儿童权利公约关于买卖儿童、儿童卖淫和儿童色情制品问题的任择议定书》第</w:t>
      </w:r>
      <w:r>
        <w:rPr>
          <w:spacing w:val="-2"/>
          <w:lang w:val="zh-CN"/>
        </w:rPr>
        <w:t>12</w:t>
      </w:r>
      <w:r w:rsidRPr="00192462">
        <w:rPr>
          <w:spacing w:val="-2"/>
          <w:lang w:val="zh-CN"/>
        </w:rPr>
        <w:t>条第</w:t>
      </w:r>
      <w:r>
        <w:rPr>
          <w:spacing w:val="-2"/>
          <w:lang w:val="zh-CN"/>
        </w:rPr>
        <w:t>1</w:t>
      </w:r>
      <w:r w:rsidRPr="00192462">
        <w:rPr>
          <w:spacing w:val="-2"/>
          <w:lang w:val="zh-CN"/>
        </w:rPr>
        <w:t>款提交的报告</w:t>
      </w:r>
      <w:r>
        <w:rPr>
          <w:lang w:val="zh-CN"/>
        </w:rPr>
        <w:t>的结论性意见</w:t>
      </w:r>
      <w:r w:rsidRPr="00DC16FC">
        <w:rPr>
          <w:bCs/>
          <w:lang w:val="zh-CN"/>
        </w:rPr>
        <w:footnoteReference w:customMarkFollows="1" w:id="2"/>
        <w:t>*</w:t>
      </w:r>
    </w:p>
    <w:p w:rsidR="00192462" w:rsidRDefault="00192462" w:rsidP="00DC16FC">
      <w:pPr>
        <w:pStyle w:val="SingleTxtGC"/>
      </w:pPr>
      <w:r>
        <w:rPr>
          <w:rFonts w:hint="eastAsia"/>
        </w:rPr>
        <w:t xml:space="preserve">1. </w:t>
      </w:r>
      <w:r>
        <w:t xml:space="preserve"> </w:t>
      </w:r>
      <w:r>
        <w:rPr>
          <w:rFonts w:hint="eastAsia"/>
        </w:rPr>
        <w:t>委员会在</w:t>
      </w:r>
      <w:r>
        <w:rPr>
          <w:rFonts w:hint="eastAsia"/>
        </w:rPr>
        <w:t>2017</w:t>
      </w:r>
      <w:r>
        <w:rPr>
          <w:rFonts w:hint="eastAsia"/>
        </w:rPr>
        <w:t>年</w:t>
      </w:r>
      <w:r>
        <w:rPr>
          <w:rFonts w:hint="eastAsia"/>
        </w:rPr>
        <w:t>1</w:t>
      </w:r>
      <w:r>
        <w:rPr>
          <w:rFonts w:hint="eastAsia"/>
        </w:rPr>
        <w:t>月</w:t>
      </w:r>
      <w:r>
        <w:rPr>
          <w:rFonts w:hint="eastAsia"/>
        </w:rPr>
        <w:t>30</w:t>
      </w:r>
      <w:r>
        <w:rPr>
          <w:rFonts w:hint="eastAsia"/>
        </w:rPr>
        <w:t>日和</w:t>
      </w:r>
      <w:r>
        <w:rPr>
          <w:rFonts w:hint="eastAsia"/>
        </w:rPr>
        <w:t>31</w:t>
      </w:r>
      <w:r>
        <w:rPr>
          <w:rFonts w:hint="eastAsia"/>
        </w:rPr>
        <w:t>日举行的第</w:t>
      </w:r>
      <w:r>
        <w:rPr>
          <w:rFonts w:hint="eastAsia"/>
        </w:rPr>
        <w:t>2185</w:t>
      </w:r>
      <w:r>
        <w:rPr>
          <w:rFonts w:hint="eastAsia"/>
        </w:rPr>
        <w:t>次和第</w:t>
      </w:r>
      <w:r>
        <w:rPr>
          <w:rFonts w:hint="eastAsia"/>
        </w:rPr>
        <w:t>2186</w:t>
      </w:r>
      <w:r>
        <w:rPr>
          <w:rFonts w:hint="eastAsia"/>
        </w:rPr>
        <w:t>次会议</w:t>
      </w:r>
      <w:r>
        <w:rPr>
          <w:rFonts w:hint="eastAsia"/>
        </w:rPr>
        <w:t>(</w:t>
      </w:r>
      <w:r>
        <w:rPr>
          <w:rFonts w:hint="eastAsia"/>
        </w:rPr>
        <w:t>见</w:t>
      </w:r>
      <w:r>
        <w:rPr>
          <w:rFonts w:hint="eastAsia"/>
        </w:rPr>
        <w:t>CRC/C/SR</w:t>
      </w:r>
      <w:r w:rsidR="00DC16FC">
        <w:rPr>
          <w:rFonts w:hint="eastAsia"/>
        </w:rPr>
        <w:t>.</w:t>
      </w:r>
      <w:r>
        <w:rPr>
          <w:rFonts w:hint="eastAsia"/>
        </w:rPr>
        <w:t>2185</w:t>
      </w:r>
      <w:r>
        <w:rPr>
          <w:rFonts w:hint="eastAsia"/>
        </w:rPr>
        <w:t>和</w:t>
      </w:r>
      <w:r>
        <w:rPr>
          <w:rFonts w:hint="eastAsia"/>
        </w:rPr>
        <w:t>2186)</w:t>
      </w:r>
      <w:r>
        <w:rPr>
          <w:rFonts w:hint="eastAsia"/>
        </w:rPr>
        <w:t>上审议了马拉维的报告</w:t>
      </w:r>
      <w:r>
        <w:rPr>
          <w:rFonts w:hint="eastAsia"/>
        </w:rPr>
        <w:t>(CRC/C/OPSC/MWI/1)</w:t>
      </w:r>
      <w:r>
        <w:rPr>
          <w:rFonts w:hint="eastAsia"/>
        </w:rPr>
        <w:t>，并在</w:t>
      </w:r>
      <w:r w:rsidRPr="00237A8C">
        <w:rPr>
          <w:rFonts w:hint="eastAsia"/>
          <w:spacing w:val="4"/>
        </w:rPr>
        <w:t>2017</w:t>
      </w:r>
      <w:r w:rsidRPr="00237A8C">
        <w:rPr>
          <w:rFonts w:hint="eastAsia"/>
          <w:spacing w:val="4"/>
        </w:rPr>
        <w:t>年</w:t>
      </w:r>
      <w:r w:rsidRPr="00237A8C">
        <w:rPr>
          <w:rFonts w:hint="eastAsia"/>
          <w:spacing w:val="4"/>
        </w:rPr>
        <w:t>2</w:t>
      </w:r>
      <w:r w:rsidRPr="00237A8C">
        <w:rPr>
          <w:rFonts w:hint="eastAsia"/>
          <w:spacing w:val="4"/>
        </w:rPr>
        <w:t>月</w:t>
      </w:r>
      <w:r w:rsidRPr="00237A8C">
        <w:rPr>
          <w:rFonts w:hint="eastAsia"/>
          <w:spacing w:val="4"/>
        </w:rPr>
        <w:t>3</w:t>
      </w:r>
      <w:r w:rsidRPr="00237A8C">
        <w:rPr>
          <w:rFonts w:hint="eastAsia"/>
          <w:spacing w:val="4"/>
        </w:rPr>
        <w:t>日举行的第</w:t>
      </w:r>
      <w:r w:rsidRPr="00237A8C">
        <w:rPr>
          <w:rFonts w:hint="eastAsia"/>
          <w:spacing w:val="4"/>
        </w:rPr>
        <w:t>2193</w:t>
      </w:r>
      <w:r w:rsidRPr="00237A8C">
        <w:rPr>
          <w:rFonts w:hint="eastAsia"/>
          <w:spacing w:val="4"/>
        </w:rPr>
        <w:t>次会议</w:t>
      </w:r>
      <w:r w:rsidRPr="00237A8C">
        <w:rPr>
          <w:rFonts w:hint="eastAsia"/>
          <w:spacing w:val="4"/>
        </w:rPr>
        <w:t>(</w:t>
      </w:r>
      <w:r w:rsidRPr="00237A8C">
        <w:rPr>
          <w:rFonts w:hint="eastAsia"/>
          <w:spacing w:val="4"/>
        </w:rPr>
        <w:t>见</w:t>
      </w:r>
      <w:r w:rsidRPr="00237A8C">
        <w:rPr>
          <w:rFonts w:hint="eastAsia"/>
          <w:spacing w:val="4"/>
        </w:rPr>
        <w:t>CRC/C/SR.2193)</w:t>
      </w:r>
      <w:r w:rsidRPr="00237A8C">
        <w:rPr>
          <w:rFonts w:hint="eastAsia"/>
          <w:spacing w:val="4"/>
        </w:rPr>
        <w:t>上通过了本结论性意</w:t>
      </w:r>
      <w:r>
        <w:rPr>
          <w:rFonts w:hint="eastAsia"/>
        </w:rPr>
        <w:t>见。</w:t>
      </w:r>
    </w:p>
    <w:p w:rsidR="00192462" w:rsidRDefault="00192462" w:rsidP="00192462">
      <w:pPr>
        <w:pStyle w:val="HMGC"/>
      </w:pPr>
      <w:r>
        <w:rPr>
          <w:rFonts w:hint="eastAsia"/>
        </w:rPr>
        <w:tab/>
      </w:r>
      <w:r>
        <w:rPr>
          <w:rFonts w:hint="eastAsia"/>
        </w:rPr>
        <w:t>一</w:t>
      </w:r>
      <w:r>
        <w:t>.</w:t>
      </w:r>
      <w:r>
        <w:rPr>
          <w:rFonts w:hint="eastAsia"/>
        </w:rPr>
        <w:tab/>
      </w:r>
      <w:r>
        <w:rPr>
          <w:rFonts w:hint="eastAsia"/>
        </w:rPr>
        <w:t>导言</w:t>
      </w:r>
    </w:p>
    <w:p w:rsidR="00192462" w:rsidRDefault="00192462" w:rsidP="00192462">
      <w:pPr>
        <w:pStyle w:val="SingleTxtGC"/>
      </w:pPr>
      <w:r>
        <w:rPr>
          <w:rFonts w:hint="eastAsia"/>
        </w:rPr>
        <w:t xml:space="preserve">2.  </w:t>
      </w:r>
      <w:r>
        <w:rPr>
          <w:rFonts w:hint="eastAsia"/>
        </w:rPr>
        <w:t>委员会欢迎缔约国提交了报告并对问题清单作出书面答复</w:t>
      </w:r>
      <w:r>
        <w:rPr>
          <w:rFonts w:hint="eastAsia"/>
        </w:rPr>
        <w:t>(CRC/C/OPSC/MWI/Q/1/Add</w:t>
      </w:r>
      <w:r w:rsidR="00C243A6">
        <w:rPr>
          <w:rFonts w:hint="eastAsia"/>
        </w:rPr>
        <w:t>.</w:t>
      </w:r>
      <w:r>
        <w:rPr>
          <w:rFonts w:hint="eastAsia"/>
        </w:rPr>
        <w:t>1)</w:t>
      </w:r>
      <w:r>
        <w:rPr>
          <w:rFonts w:hint="eastAsia"/>
        </w:rPr>
        <w:t>，答复于对话当天收到。委员会赞赏与缔约国高级别多部门代表团进行的建设性对话。</w:t>
      </w:r>
    </w:p>
    <w:p w:rsidR="00192462" w:rsidRDefault="00192462" w:rsidP="00192462">
      <w:pPr>
        <w:pStyle w:val="SingleTxtGC"/>
      </w:pPr>
      <w:r>
        <w:rPr>
          <w:rFonts w:hint="eastAsia"/>
        </w:rPr>
        <w:t xml:space="preserve">3.  </w:t>
      </w:r>
      <w:r>
        <w:rPr>
          <w:rFonts w:hint="eastAsia"/>
        </w:rPr>
        <w:t>委员会提醒缔约国，本结论性意见应结合</w:t>
      </w:r>
      <w:r>
        <w:rPr>
          <w:rFonts w:hint="eastAsia"/>
        </w:rPr>
        <w:t>2017</w:t>
      </w:r>
      <w:r>
        <w:rPr>
          <w:rFonts w:hint="eastAsia"/>
        </w:rPr>
        <w:t>年</w:t>
      </w:r>
      <w:r>
        <w:rPr>
          <w:rFonts w:hint="eastAsia"/>
        </w:rPr>
        <w:t>2</w:t>
      </w:r>
      <w:r>
        <w:rPr>
          <w:rFonts w:hint="eastAsia"/>
        </w:rPr>
        <w:t>月</w:t>
      </w:r>
      <w:r>
        <w:rPr>
          <w:rFonts w:hint="eastAsia"/>
        </w:rPr>
        <w:t>3</w:t>
      </w:r>
      <w:r>
        <w:rPr>
          <w:rFonts w:hint="eastAsia"/>
        </w:rPr>
        <w:t>日通过的关于缔约国根据《公约》提交的第三次至第五次合并定期报告</w:t>
      </w:r>
      <w:r>
        <w:rPr>
          <w:rFonts w:hint="eastAsia"/>
        </w:rPr>
        <w:t>(CRC/C/MWI/CO/3-5)</w:t>
      </w:r>
      <w:r>
        <w:rPr>
          <w:rFonts w:hint="eastAsia"/>
        </w:rPr>
        <w:t>的结论性意见，以及同一天通过的关于缔约国根据《关于儿童卷入武装冲突问题任择议定书》提交的报告</w:t>
      </w:r>
      <w:r>
        <w:rPr>
          <w:rFonts w:hint="eastAsia"/>
        </w:rPr>
        <w:t>(CRC/C/OPAC/MWI/CO/1)</w:t>
      </w:r>
      <w:r>
        <w:rPr>
          <w:rFonts w:hint="eastAsia"/>
        </w:rPr>
        <w:t>的结论性意见一并阅读。</w:t>
      </w:r>
    </w:p>
    <w:p w:rsidR="00192462" w:rsidRDefault="00192462" w:rsidP="00192462">
      <w:pPr>
        <w:pStyle w:val="HChGC"/>
      </w:pPr>
      <w:r>
        <w:rPr>
          <w:rFonts w:hint="eastAsia"/>
        </w:rPr>
        <w:tab/>
      </w:r>
      <w:r>
        <w:rPr>
          <w:rFonts w:hint="eastAsia"/>
        </w:rPr>
        <w:t>二</w:t>
      </w:r>
      <w:r>
        <w:t>.</w:t>
      </w:r>
      <w:r>
        <w:rPr>
          <w:rFonts w:hint="eastAsia"/>
        </w:rPr>
        <w:tab/>
      </w:r>
      <w:r>
        <w:rPr>
          <w:rFonts w:hint="eastAsia"/>
        </w:rPr>
        <w:t>一般性意见</w:t>
      </w:r>
    </w:p>
    <w:p w:rsidR="00192462" w:rsidRDefault="00192462" w:rsidP="00192462">
      <w:pPr>
        <w:pStyle w:val="H23GC"/>
      </w:pPr>
      <w:r>
        <w:rPr>
          <w:rFonts w:hint="eastAsia"/>
        </w:rPr>
        <w:tab/>
      </w:r>
      <w:r>
        <w:rPr>
          <w:rFonts w:hint="eastAsia"/>
        </w:rPr>
        <w:tab/>
      </w:r>
      <w:r>
        <w:rPr>
          <w:rFonts w:hint="eastAsia"/>
        </w:rPr>
        <w:t>积极方面</w:t>
      </w:r>
    </w:p>
    <w:p w:rsidR="00192462" w:rsidRDefault="00192462" w:rsidP="00192462">
      <w:pPr>
        <w:pStyle w:val="SingleTxtGC"/>
      </w:pPr>
      <w:r>
        <w:rPr>
          <w:rFonts w:hint="eastAsia"/>
        </w:rPr>
        <w:t xml:space="preserve">4.  </w:t>
      </w:r>
      <w:r>
        <w:rPr>
          <w:rFonts w:hint="eastAsia"/>
        </w:rPr>
        <w:t>委员会欢迎缔约国在执行《任择议定书》的相关领域采取的各项措施，包括通过了：</w:t>
      </w:r>
    </w:p>
    <w:p w:rsidR="00192462" w:rsidRDefault="00192462">
      <w:pPr>
        <w:tabs>
          <w:tab w:val="clear" w:pos="431"/>
        </w:tabs>
        <w:overflowPunct/>
        <w:adjustRightInd/>
        <w:snapToGrid/>
        <w:spacing w:line="240" w:lineRule="auto"/>
        <w:jc w:val="left"/>
      </w:pPr>
      <w:r>
        <w:br w:type="page"/>
      </w:r>
    </w:p>
    <w:p w:rsidR="00192462" w:rsidRDefault="00192462" w:rsidP="00192462">
      <w:pPr>
        <w:pStyle w:val="SingleTxtGC"/>
        <w:numPr>
          <w:ilvl w:val="0"/>
          <w:numId w:val="5"/>
        </w:numPr>
      </w:pPr>
      <w:r>
        <w:rPr>
          <w:rFonts w:hint="eastAsia"/>
        </w:rPr>
        <w:lastRenderedPageBreak/>
        <w:t>(a)2015</w:t>
      </w:r>
      <w:r>
        <w:rPr>
          <w:rFonts w:hint="eastAsia"/>
        </w:rPr>
        <w:t>年《打击贩运人口法》，将贩运儿童定为刑事罪，并对照料和保护受害人作出规定；</w:t>
      </w:r>
    </w:p>
    <w:p w:rsidR="00192462" w:rsidRDefault="00192462" w:rsidP="00192462">
      <w:pPr>
        <w:pStyle w:val="SingleTxtGC"/>
        <w:numPr>
          <w:ilvl w:val="0"/>
          <w:numId w:val="5"/>
        </w:numPr>
      </w:pPr>
      <w:r>
        <w:rPr>
          <w:rFonts w:hint="eastAsia"/>
        </w:rPr>
        <w:t>(b)2015</w:t>
      </w:r>
      <w:r>
        <w:rPr>
          <w:rFonts w:hint="eastAsia"/>
        </w:rPr>
        <w:t>年开始实施的《国家登记法》，规定必须普遍进行出生登记；</w:t>
      </w:r>
    </w:p>
    <w:p w:rsidR="00192462" w:rsidRDefault="00192462" w:rsidP="00192462">
      <w:pPr>
        <w:pStyle w:val="SingleTxtGC"/>
        <w:numPr>
          <w:ilvl w:val="0"/>
          <w:numId w:val="5"/>
        </w:numPr>
      </w:pPr>
      <w:r>
        <w:rPr>
          <w:rFonts w:hint="eastAsia"/>
        </w:rPr>
        <w:t>(c)2011</w:t>
      </w:r>
      <w:r>
        <w:rPr>
          <w:rFonts w:hint="eastAsia"/>
        </w:rPr>
        <w:t>年《刑法</w:t>
      </w:r>
      <w:r>
        <w:rPr>
          <w:rFonts w:hint="eastAsia"/>
        </w:rPr>
        <w:t>(</w:t>
      </w:r>
      <w:r>
        <w:rPr>
          <w:rFonts w:hint="eastAsia"/>
        </w:rPr>
        <w:t>修正案</w:t>
      </w:r>
      <w:r>
        <w:rPr>
          <w:rFonts w:hint="eastAsia"/>
        </w:rPr>
        <w:t>)</w:t>
      </w:r>
      <w:r>
        <w:rPr>
          <w:rFonts w:hint="eastAsia"/>
        </w:rPr>
        <w:t>》，增加了关于危害儿童的道德罪的章节。</w:t>
      </w:r>
    </w:p>
    <w:p w:rsidR="00192462" w:rsidRDefault="00192462" w:rsidP="00192462">
      <w:pPr>
        <w:pStyle w:val="HChGC"/>
      </w:pPr>
      <w:r>
        <w:rPr>
          <w:rFonts w:hint="eastAsia"/>
        </w:rPr>
        <w:tab/>
      </w:r>
      <w:r>
        <w:rPr>
          <w:rFonts w:hint="eastAsia"/>
        </w:rPr>
        <w:t>三</w:t>
      </w:r>
      <w:r>
        <w:t>.</w:t>
      </w:r>
      <w:r>
        <w:rPr>
          <w:rFonts w:hint="eastAsia"/>
        </w:rPr>
        <w:tab/>
      </w:r>
      <w:r>
        <w:rPr>
          <w:rFonts w:hint="eastAsia"/>
        </w:rPr>
        <w:t>数据收集</w:t>
      </w:r>
    </w:p>
    <w:p w:rsidR="00192462" w:rsidRDefault="00192462" w:rsidP="00192462">
      <w:pPr>
        <w:pStyle w:val="SingleTxtGC"/>
      </w:pPr>
      <w:r>
        <w:rPr>
          <w:rFonts w:hint="eastAsia"/>
        </w:rPr>
        <w:t xml:space="preserve">5.  </w:t>
      </w:r>
      <w:r>
        <w:rPr>
          <w:rFonts w:hint="eastAsia"/>
        </w:rPr>
        <w:t>委员会注意到缔约国努力通过警方记录和综合信息管理系统收集数据。然而，委员会感到关切的是，缔约国缺乏一个全面的数据收集系统和涵盖《任择议定书》所列全部罪行的分类统计资料，这限制了缔约国监测和评估《任择议定书》所列罪行的能力。</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6.  </w:t>
      </w:r>
      <w:r w:rsidRPr="00122C87">
        <w:rPr>
          <w:rFonts w:ascii="Time New Roman" w:eastAsia="黑体" w:hAnsi="Time New Roman" w:hint="eastAsia"/>
        </w:rPr>
        <w:t>委员会建议缔约国加紧努力，建立和落实全面、协调、有效的数据系统，对《任择议定书》涵盖的所有领域，包括儿童卖淫、儿童色情制品和儿童色情旅游，进行数据收集、分析、监测和影响评估。数据资料应该按照性别、年龄、国籍和族裔、地区和社会经济状况进行分类，尤其关注易受《任择议定书》所列罪行伤害的儿童。</w:t>
      </w:r>
    </w:p>
    <w:p w:rsidR="00192462" w:rsidRDefault="00192462" w:rsidP="00192462">
      <w:pPr>
        <w:pStyle w:val="HChGC"/>
      </w:pPr>
      <w:r>
        <w:rPr>
          <w:rFonts w:hint="eastAsia"/>
        </w:rPr>
        <w:tab/>
      </w:r>
      <w:r>
        <w:rPr>
          <w:rFonts w:hint="eastAsia"/>
        </w:rPr>
        <w:t>四</w:t>
      </w:r>
      <w:r>
        <w:t>.</w:t>
      </w:r>
      <w:r>
        <w:rPr>
          <w:rFonts w:hint="eastAsia"/>
        </w:rPr>
        <w:tab/>
      </w:r>
      <w:r>
        <w:rPr>
          <w:rFonts w:hint="eastAsia"/>
        </w:rPr>
        <w:t>一般执行措施</w:t>
      </w:r>
    </w:p>
    <w:p w:rsidR="00192462" w:rsidRDefault="00192462" w:rsidP="00192462">
      <w:pPr>
        <w:pStyle w:val="H23GC"/>
      </w:pPr>
      <w:r>
        <w:rPr>
          <w:rFonts w:hint="eastAsia"/>
        </w:rPr>
        <w:tab/>
      </w:r>
      <w:r>
        <w:rPr>
          <w:rFonts w:hint="eastAsia"/>
        </w:rPr>
        <w:tab/>
      </w:r>
      <w:r>
        <w:rPr>
          <w:rFonts w:hint="eastAsia"/>
        </w:rPr>
        <w:t>立法</w:t>
      </w:r>
    </w:p>
    <w:p w:rsidR="00192462" w:rsidRDefault="00192462" w:rsidP="00192462">
      <w:pPr>
        <w:pStyle w:val="SingleTxtGC"/>
      </w:pPr>
      <w:r>
        <w:rPr>
          <w:rFonts w:hint="eastAsia"/>
        </w:rPr>
        <w:t xml:space="preserve">7.  </w:t>
      </w:r>
      <w:r>
        <w:rPr>
          <w:rFonts w:hint="eastAsia"/>
        </w:rPr>
        <w:t>委员会注意到，缔约国根据《任择议定书》通过了几项立法。但是，委员会感到关切的是，缔约国的立法既没有界定《任择议定书》第</w:t>
      </w:r>
      <w:r>
        <w:rPr>
          <w:rFonts w:hint="eastAsia"/>
        </w:rPr>
        <w:t>2</w:t>
      </w:r>
      <w:r>
        <w:rPr>
          <w:rFonts w:hint="eastAsia"/>
        </w:rPr>
        <w:t>条和第</w:t>
      </w:r>
      <w:r>
        <w:rPr>
          <w:rFonts w:hint="eastAsia"/>
        </w:rPr>
        <w:t>3</w:t>
      </w:r>
      <w:r>
        <w:rPr>
          <w:rFonts w:hint="eastAsia"/>
        </w:rPr>
        <w:t>条所载一切形式买卖儿童的罪行，也未将其定为刑事罪，这项罪行与贩运人口相似但不相同。</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8.  </w:t>
      </w:r>
      <w:r w:rsidRPr="00122C87">
        <w:rPr>
          <w:rFonts w:ascii="Time New Roman" w:eastAsia="黑体" w:hAnsi="Time New Roman" w:hint="eastAsia"/>
        </w:rPr>
        <w:t>委员会建议缔约国明确界定一切形式买卖儿童和儿童色情制品问题并将之定为刑事罪。</w:t>
      </w:r>
    </w:p>
    <w:p w:rsidR="00192462" w:rsidRDefault="00192462" w:rsidP="00192462">
      <w:pPr>
        <w:pStyle w:val="H23GC"/>
      </w:pPr>
      <w:r>
        <w:rPr>
          <w:rFonts w:hint="eastAsia"/>
        </w:rPr>
        <w:tab/>
      </w:r>
      <w:r>
        <w:rPr>
          <w:rFonts w:hint="eastAsia"/>
        </w:rPr>
        <w:tab/>
      </w:r>
      <w:r>
        <w:rPr>
          <w:rFonts w:hint="eastAsia"/>
        </w:rPr>
        <w:t>综合政策和战略</w:t>
      </w:r>
    </w:p>
    <w:p w:rsidR="00192462" w:rsidRDefault="00192462" w:rsidP="00192462">
      <w:pPr>
        <w:pStyle w:val="SingleTxtGC"/>
      </w:pPr>
      <w:r>
        <w:rPr>
          <w:rFonts w:hint="eastAsia"/>
        </w:rPr>
        <w:t xml:space="preserve">9.  </w:t>
      </w:r>
      <w:r>
        <w:rPr>
          <w:rFonts w:hint="eastAsia"/>
        </w:rPr>
        <w:t>委员会注意到缔约国通过了《</w:t>
      </w:r>
      <w:r>
        <w:rPr>
          <w:rFonts w:hint="eastAsia"/>
        </w:rPr>
        <w:t>2015-2019</w:t>
      </w:r>
      <w:r>
        <w:rPr>
          <w:rFonts w:hint="eastAsia"/>
        </w:rPr>
        <w:t>年弱势儿童国家行动计划》，但委员会感到关切的是，有关一项包括和处理消除买卖儿童、儿童卖淫和儿童色情制品问题的国家儿童行动计划的资料不充分。</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10.  </w:t>
      </w:r>
      <w:r w:rsidRPr="00122C87">
        <w:rPr>
          <w:rFonts w:ascii="Time New Roman" w:eastAsia="黑体" w:hAnsi="Time New Roman" w:hint="eastAsia"/>
        </w:rPr>
        <w:t>委员会建议缔约国将打击买卖儿童、儿童卖淫和儿童色情制品问题纳入《</w:t>
      </w:r>
      <w:r w:rsidRPr="00122C87">
        <w:rPr>
          <w:rFonts w:ascii="Time New Roman" w:eastAsia="黑体" w:hAnsi="Time New Roman" w:hint="eastAsia"/>
        </w:rPr>
        <w:t>2015-2019</w:t>
      </w:r>
      <w:r w:rsidRPr="00122C87">
        <w:rPr>
          <w:rFonts w:ascii="Time New Roman" w:eastAsia="黑体" w:hAnsi="Time New Roman" w:hint="eastAsia"/>
        </w:rPr>
        <w:t>年弱势儿童国家行动计划》，并为执行该计划提供适当的人力技术和财政资源。缔约国应考虑到禁止对儿童商业色情剥削世界大会的成果。</w:t>
      </w:r>
    </w:p>
    <w:p w:rsidR="00192462" w:rsidRDefault="00192462" w:rsidP="00192462">
      <w:pPr>
        <w:pStyle w:val="H23GC"/>
      </w:pPr>
      <w:r>
        <w:rPr>
          <w:rFonts w:hint="eastAsia"/>
        </w:rPr>
        <w:tab/>
      </w:r>
      <w:r>
        <w:rPr>
          <w:rFonts w:hint="eastAsia"/>
        </w:rPr>
        <w:tab/>
      </w:r>
      <w:r>
        <w:rPr>
          <w:rFonts w:hint="eastAsia"/>
        </w:rPr>
        <w:t>协调和评估</w:t>
      </w:r>
    </w:p>
    <w:p w:rsidR="00192462" w:rsidRDefault="00192462" w:rsidP="00192462">
      <w:pPr>
        <w:pStyle w:val="SingleTxtGC"/>
      </w:pPr>
      <w:r>
        <w:rPr>
          <w:rFonts w:hint="eastAsia"/>
        </w:rPr>
        <w:t xml:space="preserve">11.  </w:t>
      </w:r>
      <w:r>
        <w:rPr>
          <w:rFonts w:hint="eastAsia"/>
        </w:rPr>
        <w:t>委员会注意到，社会性别、儿童和社会福利部负责政策制定并监督有关儿童的所有事项。然而，委员会感到关切的是，该部缺乏能力和资源，以有效履行其职责，协调和执行《任择议定书》规定的保护儿童的各项法律。</w:t>
      </w:r>
    </w:p>
    <w:p w:rsidR="00192462" w:rsidRPr="00122C87" w:rsidRDefault="00192462" w:rsidP="00DC16FC">
      <w:pPr>
        <w:pStyle w:val="SingleTxtGC"/>
        <w:rPr>
          <w:rFonts w:ascii="Time New Roman" w:eastAsia="黑体" w:hAnsi="Time New Roman" w:hint="eastAsia"/>
        </w:rPr>
      </w:pPr>
      <w:r w:rsidRPr="00122C87">
        <w:rPr>
          <w:rFonts w:ascii="Time New Roman" w:eastAsia="黑体" w:hAnsi="Time New Roman" w:hint="eastAsia"/>
        </w:rPr>
        <w:t xml:space="preserve">12.  </w:t>
      </w:r>
      <w:r w:rsidRPr="00122C87">
        <w:rPr>
          <w:rFonts w:ascii="Time New Roman" w:eastAsia="黑体" w:hAnsi="Time New Roman" w:hint="eastAsia"/>
        </w:rPr>
        <w:t>关于根据《公约》作出的结论性意见第</w:t>
      </w:r>
      <w:r w:rsidRPr="00122C87">
        <w:rPr>
          <w:rFonts w:ascii="Time New Roman" w:eastAsia="黑体" w:hAnsi="Time New Roman" w:hint="eastAsia"/>
        </w:rPr>
        <w:t>7</w:t>
      </w:r>
      <w:r w:rsidRPr="00122C87">
        <w:rPr>
          <w:rFonts w:ascii="Time New Roman" w:eastAsia="黑体" w:hAnsi="Time New Roman" w:hint="eastAsia"/>
        </w:rPr>
        <w:t>段和第</w:t>
      </w:r>
      <w:r w:rsidRPr="00122C87">
        <w:rPr>
          <w:rFonts w:ascii="Time New Roman" w:eastAsia="黑体" w:hAnsi="Time New Roman" w:hint="eastAsia"/>
        </w:rPr>
        <w:t>8</w:t>
      </w:r>
      <w:r w:rsidRPr="00122C87">
        <w:rPr>
          <w:rFonts w:ascii="Time New Roman" w:eastAsia="黑体" w:hAnsi="Time New Roman" w:hint="eastAsia"/>
        </w:rPr>
        <w:t>段，委员会建议缔约国确保社会性别、儿童和社会福利部与国家技术工作组之间更好地协调制定和执行</w:t>
      </w:r>
      <w:r w:rsidRPr="00122C87">
        <w:rPr>
          <w:rFonts w:ascii="Time New Roman" w:eastAsia="黑体" w:hAnsi="Time New Roman" w:hint="eastAsia"/>
        </w:rPr>
        <w:lastRenderedPageBreak/>
        <w:t>儿童权利政策，为该部分配足够的资源，提供领导力和有效的全面监督，监测和评估各部委以及中央到地方各级政府根据《公约》及其《任择议定书》执行的关于儿童权利的活动。</w:t>
      </w:r>
    </w:p>
    <w:p w:rsidR="00192462" w:rsidRDefault="00192462" w:rsidP="00192462">
      <w:pPr>
        <w:pStyle w:val="H23GC"/>
      </w:pPr>
      <w:r>
        <w:rPr>
          <w:rFonts w:hint="eastAsia"/>
        </w:rPr>
        <w:tab/>
      </w:r>
      <w:r>
        <w:rPr>
          <w:rFonts w:hint="eastAsia"/>
        </w:rPr>
        <w:tab/>
      </w:r>
      <w:r>
        <w:rPr>
          <w:rFonts w:hint="eastAsia"/>
        </w:rPr>
        <w:t>传播和提高认识</w:t>
      </w:r>
    </w:p>
    <w:p w:rsidR="00192462" w:rsidRDefault="00192462" w:rsidP="00192462">
      <w:pPr>
        <w:pStyle w:val="SingleTxtGC"/>
      </w:pPr>
      <w:r>
        <w:rPr>
          <w:rFonts w:hint="eastAsia"/>
        </w:rPr>
        <w:t xml:space="preserve">13.  </w:t>
      </w:r>
      <w:r>
        <w:rPr>
          <w:rFonts w:hint="eastAsia"/>
        </w:rPr>
        <w:t>委员会注意到，马拉维人权委员会参与了传播国际人权文书，社会性别、儿童和社会福利部提供了关于《儿童照料、保护与司法法》、《打击贩运人口法》和《任择议定书》的培训。然而，委员会仍然感到关切的是，在传播和提高对《任择议定书》所涵盖问题的认识方面努力不足。</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14.  </w:t>
      </w:r>
      <w:r w:rsidRPr="00122C87">
        <w:rPr>
          <w:rFonts w:ascii="Time New Roman" w:eastAsia="黑体" w:hAnsi="Time New Roman" w:hint="eastAsia"/>
        </w:rPr>
        <w:t>委员会建议缔约国加强努力，向公众广泛宣传《任择议定书》的所有条款。在这方面，缔约国应：</w:t>
      </w:r>
    </w:p>
    <w:p w:rsidR="00192462" w:rsidRPr="00122C87" w:rsidRDefault="00192462" w:rsidP="00192462">
      <w:pPr>
        <w:pStyle w:val="SingleTxtGC"/>
        <w:numPr>
          <w:ilvl w:val="0"/>
          <w:numId w:val="6"/>
        </w:numPr>
        <w:rPr>
          <w:rFonts w:ascii="Time New Roman" w:eastAsia="黑体" w:hAnsi="Time New Roman" w:hint="eastAsia"/>
        </w:rPr>
      </w:pPr>
      <w:r w:rsidRPr="00122C87">
        <w:rPr>
          <w:rFonts w:ascii="Time New Roman" w:eastAsia="黑体" w:hAnsi="Time New Roman" w:hint="eastAsia"/>
        </w:rPr>
        <w:t>制订和执行具体、全面和长期的提高认识方案，侧重于国家、区域和地方各级针对《任择议定书》所列所有罪行的预防措施、援助方案和报告机制，包括与媒体合作实施；</w:t>
      </w:r>
    </w:p>
    <w:p w:rsidR="00192462" w:rsidRPr="00711245" w:rsidRDefault="00192462" w:rsidP="00192462">
      <w:pPr>
        <w:pStyle w:val="SingleTxtGC"/>
        <w:numPr>
          <w:ilvl w:val="0"/>
          <w:numId w:val="6"/>
        </w:numPr>
        <w:rPr>
          <w:rFonts w:ascii="Time New Roman" w:eastAsia="黑体" w:hAnsi="Time New Roman" w:hint="eastAsia"/>
          <w:spacing w:val="4"/>
        </w:rPr>
      </w:pPr>
      <w:r w:rsidRPr="00711245">
        <w:rPr>
          <w:rFonts w:ascii="Time New Roman" w:eastAsia="黑体" w:hAnsi="Time New Roman" w:hint="eastAsia"/>
          <w:spacing w:val="4"/>
        </w:rPr>
        <w:t>确保有效监测和评估已通过的方案，以期查明纠正行动可能存在的缺陷；</w:t>
      </w:r>
    </w:p>
    <w:p w:rsidR="00192462" w:rsidRPr="00122C87" w:rsidRDefault="00192462" w:rsidP="00192462">
      <w:pPr>
        <w:pStyle w:val="SingleTxtGC"/>
        <w:numPr>
          <w:ilvl w:val="0"/>
          <w:numId w:val="6"/>
        </w:numPr>
        <w:rPr>
          <w:rFonts w:ascii="Time New Roman" w:eastAsia="黑体" w:hAnsi="Time New Roman" w:hint="eastAsia"/>
        </w:rPr>
      </w:pPr>
      <w:r w:rsidRPr="00122C87">
        <w:rPr>
          <w:rFonts w:ascii="Time New Roman" w:eastAsia="黑体" w:hAnsi="Time New Roman" w:hint="eastAsia"/>
        </w:rPr>
        <w:t>确保与《任择议定书》条款有关的问题被纳入教育系统各级学校课程，使用专门为儿童设计的适当教学材料。</w:t>
      </w:r>
    </w:p>
    <w:p w:rsidR="00192462" w:rsidRDefault="00192462" w:rsidP="00192462">
      <w:pPr>
        <w:pStyle w:val="H23GC"/>
      </w:pPr>
      <w:r>
        <w:rPr>
          <w:rFonts w:hint="eastAsia"/>
        </w:rPr>
        <w:tab/>
      </w:r>
      <w:r>
        <w:rPr>
          <w:rFonts w:hint="eastAsia"/>
        </w:rPr>
        <w:tab/>
      </w:r>
      <w:r>
        <w:rPr>
          <w:rFonts w:hint="eastAsia"/>
        </w:rPr>
        <w:t>培训</w:t>
      </w:r>
    </w:p>
    <w:p w:rsidR="00192462" w:rsidRDefault="00192462" w:rsidP="00192462">
      <w:pPr>
        <w:pStyle w:val="SingleTxtGC"/>
      </w:pPr>
      <w:r>
        <w:rPr>
          <w:rFonts w:hint="eastAsia"/>
        </w:rPr>
        <w:t xml:space="preserve">15.  </w:t>
      </w:r>
      <w:r>
        <w:rPr>
          <w:rFonts w:hint="eastAsia"/>
        </w:rPr>
        <w:t>委员会注意到缔约国提供的关于社会性别、儿童和社会福利部不同培训活动的资料，并编制了一份关于实施《儿童照料、保护和司法法》的人员培训手册。然而，委员会感到关切的是，缔约国所采取的措施不成体系，没有充分涵盖《任择议定书》列出的所有罪行。委员会还感到关切的是，并非所有负责执行《任择议定书》的主要行为者都接受了关于《任择议定书》的系统的培训，特别是法官、执法官员、检察官、关于贩运儿童问题的社会工作者和调查人员，以及移民官员。</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16.  </w:t>
      </w:r>
      <w:r w:rsidRPr="00122C87">
        <w:rPr>
          <w:rFonts w:ascii="Time New Roman" w:eastAsia="黑体" w:hAnsi="Time New Roman" w:hint="eastAsia"/>
        </w:rPr>
        <w:t>委员会建议缔约国扩大并进一步加强其培训活动。在这方面，缔约国应确保此类活动是系统的且涉及多学科，涵盖《任择议定书》规定的所有领域，并向所有从事儿童工作的专业人员提供，包括法官、执法官员、检察官、社会工作者、调查人员和移民官员。</w:t>
      </w:r>
    </w:p>
    <w:p w:rsidR="00192462" w:rsidRDefault="00192462" w:rsidP="00192462">
      <w:pPr>
        <w:pStyle w:val="H23GC"/>
      </w:pPr>
      <w:r>
        <w:rPr>
          <w:rFonts w:hint="eastAsia"/>
        </w:rPr>
        <w:tab/>
      </w:r>
      <w:r>
        <w:rPr>
          <w:rFonts w:hint="eastAsia"/>
        </w:rPr>
        <w:tab/>
      </w:r>
      <w:r>
        <w:rPr>
          <w:rFonts w:hint="eastAsia"/>
        </w:rPr>
        <w:t>资源分配</w:t>
      </w:r>
    </w:p>
    <w:p w:rsidR="00192462" w:rsidRDefault="00192462" w:rsidP="00192462">
      <w:pPr>
        <w:pStyle w:val="SingleTxtGC"/>
      </w:pPr>
      <w:r>
        <w:rPr>
          <w:rFonts w:hint="eastAsia"/>
        </w:rPr>
        <w:t xml:space="preserve">17.  </w:t>
      </w:r>
      <w:r>
        <w:rPr>
          <w:rFonts w:hint="eastAsia"/>
        </w:rPr>
        <w:t>委员会注意到缔约国的预算限制。然而，委员会感到关切的是，提供给社会性别、儿童和社会福利部的资源不足以使其有效执行方案和实施《任择议定书》相关活动。</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18.  </w:t>
      </w:r>
      <w:r w:rsidRPr="00122C87">
        <w:rPr>
          <w:rFonts w:ascii="Time New Roman" w:eastAsia="黑体" w:hAnsi="Time New Roman" w:hint="eastAsia"/>
        </w:rPr>
        <w:t>委员会建议缔约国确保划拨充分的专项资源，确保有效执行《任择议定书》的所有领域。委员会还建议社会性别、儿童和社会福利部人手充足，以有效实施保护、预防和应对活动。</w:t>
      </w:r>
    </w:p>
    <w:p w:rsidR="00192462" w:rsidRDefault="00192462" w:rsidP="00192462">
      <w:pPr>
        <w:pStyle w:val="HChGC"/>
      </w:pPr>
      <w:r>
        <w:lastRenderedPageBreak/>
        <w:tab/>
      </w:r>
      <w:r>
        <w:rPr>
          <w:rFonts w:hint="eastAsia"/>
        </w:rPr>
        <w:t>五</w:t>
      </w:r>
      <w:r>
        <w:t>.</w:t>
      </w:r>
      <w:r>
        <w:rPr>
          <w:rFonts w:hint="eastAsia"/>
        </w:rPr>
        <w:tab/>
      </w:r>
      <w:r>
        <w:rPr>
          <w:rFonts w:hint="eastAsia"/>
        </w:rPr>
        <w:t>防止买卖儿童、儿童卖淫和儿童色情制品</w:t>
      </w:r>
      <w:r>
        <w:rPr>
          <w:rFonts w:hint="eastAsia"/>
        </w:rPr>
        <w:t>(</w:t>
      </w:r>
      <w:r>
        <w:rPr>
          <w:rFonts w:hint="eastAsia"/>
        </w:rPr>
        <w:t>第</w:t>
      </w:r>
      <w:r>
        <w:rPr>
          <w:rFonts w:hint="eastAsia"/>
        </w:rPr>
        <w:t>9</w:t>
      </w:r>
      <w:r>
        <w:rPr>
          <w:rFonts w:hint="eastAsia"/>
        </w:rPr>
        <w:t>条第</w:t>
      </w:r>
      <w:r>
        <w:rPr>
          <w:rFonts w:hint="eastAsia"/>
        </w:rPr>
        <w:t>1</w:t>
      </w:r>
      <w:r>
        <w:rPr>
          <w:rFonts w:hint="eastAsia"/>
        </w:rPr>
        <w:t>款和第</w:t>
      </w:r>
      <w:r>
        <w:rPr>
          <w:rFonts w:hint="eastAsia"/>
        </w:rPr>
        <w:t>2</w:t>
      </w:r>
      <w:r>
        <w:rPr>
          <w:rFonts w:hint="eastAsia"/>
        </w:rPr>
        <w:t>款</w:t>
      </w:r>
      <w:r w:rsidR="00B44A5C">
        <w:rPr>
          <w:rFonts w:hint="eastAsia"/>
        </w:rPr>
        <w:t>)</w:t>
      </w:r>
    </w:p>
    <w:p w:rsidR="00192462" w:rsidRDefault="00192462" w:rsidP="00192462">
      <w:pPr>
        <w:pStyle w:val="H23GC"/>
      </w:pPr>
      <w:r>
        <w:rPr>
          <w:rFonts w:hint="eastAsia"/>
        </w:rPr>
        <w:tab/>
      </w:r>
      <w:r>
        <w:rPr>
          <w:rFonts w:hint="eastAsia"/>
        </w:rPr>
        <w:tab/>
      </w:r>
      <w:r>
        <w:rPr>
          <w:rFonts w:hint="eastAsia"/>
        </w:rPr>
        <w:t>为防止发生《任择议定书》所禁止的罪行而采取的措施</w:t>
      </w:r>
    </w:p>
    <w:p w:rsidR="00192462" w:rsidRDefault="00192462" w:rsidP="00192462">
      <w:pPr>
        <w:pStyle w:val="SingleTxtGC"/>
      </w:pPr>
      <w:r>
        <w:rPr>
          <w:rFonts w:hint="eastAsia"/>
        </w:rPr>
        <w:t xml:space="preserve">19.  </w:t>
      </w:r>
      <w:r>
        <w:rPr>
          <w:rFonts w:hint="eastAsia"/>
        </w:rPr>
        <w:t>委员会注意到缔约国为建立社区儿童保护机制所作的努力，例如设立社区和警察局受害人支助单位。然而，委员会感到关切的是：</w:t>
      </w:r>
    </w:p>
    <w:p w:rsidR="00192462" w:rsidRDefault="00192462" w:rsidP="00192462">
      <w:pPr>
        <w:pStyle w:val="SingleTxtGC"/>
        <w:numPr>
          <w:ilvl w:val="0"/>
          <w:numId w:val="8"/>
        </w:numPr>
      </w:pPr>
      <w:r>
        <w:rPr>
          <w:rFonts w:hint="eastAsia"/>
        </w:rPr>
        <w:t>这些支助单位由于支助有限和人力资源缺口而无法有效运作；</w:t>
      </w:r>
    </w:p>
    <w:p w:rsidR="00192462" w:rsidRDefault="00192462" w:rsidP="00192462">
      <w:pPr>
        <w:pStyle w:val="SingleTxtGC"/>
        <w:numPr>
          <w:ilvl w:val="0"/>
          <w:numId w:val="8"/>
        </w:numPr>
      </w:pPr>
      <w:r>
        <w:rPr>
          <w:rFonts w:hint="eastAsia"/>
        </w:rPr>
        <w:t>尚未建立全国打击贩运人口协调委员会以及用于照料和保护儿童的安全院和安全场所；</w:t>
      </w:r>
    </w:p>
    <w:p w:rsidR="00192462" w:rsidRDefault="00192462" w:rsidP="00192462">
      <w:pPr>
        <w:pStyle w:val="SingleTxtGC"/>
        <w:numPr>
          <w:ilvl w:val="0"/>
          <w:numId w:val="8"/>
        </w:numPr>
      </w:pPr>
      <w:r>
        <w:rPr>
          <w:rFonts w:hint="eastAsia"/>
        </w:rPr>
        <w:t>缔约国未能履行社会现金转移方案的共同支付义务，该方案旨在保护</w:t>
      </w:r>
      <w:r w:rsidRPr="00B44A5C">
        <w:rPr>
          <w:rFonts w:hint="eastAsia"/>
          <w:spacing w:val="2"/>
        </w:rPr>
        <w:t>儿童以及减少极端贫困和饥饿，正是这些因素使儿童面临贩运、买卖和卖淫的风</w:t>
      </w:r>
      <w:r>
        <w:rPr>
          <w:rFonts w:hint="eastAsia"/>
        </w:rPr>
        <w:t>险；</w:t>
      </w:r>
    </w:p>
    <w:p w:rsidR="00192462" w:rsidRDefault="00192462" w:rsidP="00192462">
      <w:pPr>
        <w:pStyle w:val="SingleTxtGC"/>
        <w:numPr>
          <w:ilvl w:val="0"/>
          <w:numId w:val="8"/>
        </w:numPr>
      </w:pPr>
      <w:r>
        <w:rPr>
          <w:rFonts w:hint="eastAsia"/>
        </w:rPr>
        <w:t>在产妇出院之前，对儿童进行出生登记的可能性有限，宣传和执行《国家登记法》的进展缓慢；</w:t>
      </w:r>
    </w:p>
    <w:p w:rsidR="00192462" w:rsidRDefault="00192462" w:rsidP="00192462">
      <w:pPr>
        <w:pStyle w:val="SingleTxtGC"/>
        <w:numPr>
          <w:ilvl w:val="0"/>
          <w:numId w:val="8"/>
        </w:numPr>
      </w:pPr>
      <w:r>
        <w:rPr>
          <w:rFonts w:hint="eastAsia"/>
        </w:rPr>
        <w:t>仍然存在被称为“</w:t>
      </w:r>
      <w:r>
        <w:rPr>
          <w:rFonts w:hint="eastAsia"/>
        </w:rPr>
        <w:t>kupimbira</w:t>
      </w:r>
      <w:r>
        <w:rPr>
          <w:rFonts w:hint="eastAsia"/>
        </w:rPr>
        <w:t>”和“</w:t>
      </w:r>
      <w:r>
        <w:rPr>
          <w:rFonts w:hint="eastAsia"/>
        </w:rPr>
        <w:t>kutomera</w:t>
      </w:r>
      <w:r>
        <w:rPr>
          <w:rFonts w:hint="eastAsia"/>
        </w:rPr>
        <w:t>”的做法，即女童被用于抵债或被买卖陷入强迫婚姻；</w:t>
      </w:r>
    </w:p>
    <w:p w:rsidR="00192462" w:rsidRDefault="00192462" w:rsidP="00192462">
      <w:pPr>
        <w:pStyle w:val="SingleTxtGC"/>
        <w:numPr>
          <w:ilvl w:val="0"/>
          <w:numId w:val="8"/>
        </w:numPr>
      </w:pPr>
      <w:r>
        <w:rPr>
          <w:rFonts w:hint="eastAsia"/>
        </w:rPr>
        <w:t>现有儿童保护制度内的转交和后续制度不够完善，不足以查明有可能成为《任择议定书》所列罪行受害人的儿童；</w:t>
      </w:r>
    </w:p>
    <w:p w:rsidR="00192462" w:rsidRDefault="00192462" w:rsidP="00192462">
      <w:pPr>
        <w:pStyle w:val="SingleTxtGC"/>
        <w:numPr>
          <w:ilvl w:val="0"/>
          <w:numId w:val="8"/>
        </w:numPr>
      </w:pPr>
      <w:r>
        <w:rPr>
          <w:rFonts w:hint="eastAsia"/>
        </w:rPr>
        <w:t>关于保护弱势儿童所做努力的资料有限，包括寻求庇护儿童和难民儿童、无人陪伴的移民儿童和无证儿童。</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20.  </w:t>
      </w:r>
      <w:r w:rsidRPr="00122C87">
        <w:rPr>
          <w:rFonts w:ascii="Time New Roman" w:eastAsia="黑体" w:hAnsi="Time New Roman" w:hint="eastAsia"/>
        </w:rPr>
        <w:t>委员会建议缔约国加强其预防措施，以涵盖《任择议定书》的所有领域，特别是：</w:t>
      </w:r>
    </w:p>
    <w:p w:rsidR="00192462" w:rsidRPr="00122C87" w:rsidRDefault="00192462" w:rsidP="00192462">
      <w:pPr>
        <w:pStyle w:val="SingleTxtGC"/>
        <w:numPr>
          <w:ilvl w:val="0"/>
          <w:numId w:val="10"/>
        </w:numPr>
        <w:rPr>
          <w:rFonts w:ascii="Time New Roman" w:eastAsia="黑体" w:hAnsi="Time New Roman" w:hint="eastAsia"/>
        </w:rPr>
      </w:pPr>
      <w:r w:rsidRPr="00122C87">
        <w:rPr>
          <w:rFonts w:ascii="Time New Roman" w:eastAsia="黑体" w:hAnsi="Time New Roman" w:hint="eastAsia"/>
        </w:rPr>
        <w:t>向社区和警察局的受害人支助单位提供充足的资源，特别是完成了社区儿童保护工作人员的招募并由政府向他们支付薪金；</w:t>
      </w:r>
    </w:p>
    <w:p w:rsidR="00192462" w:rsidRPr="00122C87" w:rsidRDefault="00192462" w:rsidP="00192462">
      <w:pPr>
        <w:pStyle w:val="SingleTxtGC"/>
        <w:numPr>
          <w:ilvl w:val="0"/>
          <w:numId w:val="10"/>
        </w:numPr>
        <w:rPr>
          <w:rFonts w:ascii="Time New Roman" w:eastAsia="黑体" w:hAnsi="Time New Roman" w:hint="eastAsia"/>
        </w:rPr>
      </w:pPr>
      <w:r w:rsidRPr="00122C87">
        <w:rPr>
          <w:rFonts w:ascii="Time New Roman" w:eastAsia="黑体" w:hAnsi="Time New Roman" w:hint="eastAsia"/>
        </w:rPr>
        <w:t>加快建立和运作全国打击贩运人口协调委员会以及用于照料和保护儿童的安全院和安全场所；</w:t>
      </w:r>
    </w:p>
    <w:p w:rsidR="00192462" w:rsidRPr="00B44A5C" w:rsidRDefault="00192462" w:rsidP="00192462">
      <w:pPr>
        <w:pStyle w:val="SingleTxtGC"/>
        <w:numPr>
          <w:ilvl w:val="0"/>
          <w:numId w:val="10"/>
        </w:numPr>
        <w:rPr>
          <w:rFonts w:ascii="Time New Roman" w:eastAsia="黑体" w:hAnsi="Time New Roman" w:hint="eastAsia"/>
          <w:spacing w:val="8"/>
        </w:rPr>
      </w:pPr>
      <w:r w:rsidRPr="00B44A5C">
        <w:rPr>
          <w:rFonts w:ascii="Time New Roman" w:eastAsia="黑体" w:hAnsi="Time New Roman" w:hint="eastAsia"/>
          <w:spacing w:val="8"/>
        </w:rPr>
        <w:t>按社会现金转移方案商定的方式共同资助，以确保持续的捐助方支助；</w:t>
      </w:r>
    </w:p>
    <w:p w:rsidR="00192462" w:rsidRPr="00122C87" w:rsidRDefault="00192462" w:rsidP="00192462">
      <w:pPr>
        <w:pStyle w:val="SingleTxtGC"/>
        <w:numPr>
          <w:ilvl w:val="0"/>
          <w:numId w:val="10"/>
        </w:numPr>
        <w:rPr>
          <w:rFonts w:ascii="Time New Roman" w:eastAsia="黑体" w:hAnsi="Time New Roman" w:hint="eastAsia"/>
        </w:rPr>
      </w:pPr>
      <w:r w:rsidRPr="00122C87">
        <w:rPr>
          <w:rFonts w:ascii="Time New Roman" w:eastAsia="黑体" w:hAnsi="Time New Roman" w:hint="eastAsia"/>
        </w:rPr>
        <w:t>关于根据《公约》作出的结论性意见第</w:t>
      </w:r>
      <w:r w:rsidRPr="00122C87">
        <w:rPr>
          <w:rFonts w:ascii="Time New Roman" w:eastAsia="黑体" w:hAnsi="Time New Roman" w:hint="eastAsia"/>
        </w:rPr>
        <w:t>18</w:t>
      </w:r>
      <w:r w:rsidRPr="00122C87">
        <w:rPr>
          <w:rFonts w:ascii="Time New Roman" w:eastAsia="黑体" w:hAnsi="Time New Roman" w:hint="eastAsia"/>
        </w:rPr>
        <w:t>段，加快在卫生设施中扩大出生登记，使用流动登记结构，以及在传统当局一级设立登记处，以确保所有人可进行出生登记；</w:t>
      </w:r>
    </w:p>
    <w:p w:rsidR="00192462" w:rsidRPr="00122C87" w:rsidRDefault="00192462" w:rsidP="00192462">
      <w:pPr>
        <w:pStyle w:val="SingleTxtGC"/>
        <w:numPr>
          <w:ilvl w:val="0"/>
          <w:numId w:val="10"/>
        </w:numPr>
        <w:rPr>
          <w:rFonts w:ascii="Time New Roman" w:eastAsia="黑体" w:hAnsi="Time New Roman" w:hint="eastAsia"/>
        </w:rPr>
      </w:pPr>
      <w:r w:rsidRPr="00122C87">
        <w:rPr>
          <w:rFonts w:ascii="Time New Roman" w:eastAsia="黑体" w:hAnsi="Time New Roman" w:hint="eastAsia"/>
        </w:rPr>
        <w:t>采取一切必要措施消除有害习俗，如</w:t>
      </w:r>
      <w:r w:rsidRPr="00122C87">
        <w:rPr>
          <w:rFonts w:ascii="Time New Roman" w:eastAsia="黑体" w:hAnsi="Time New Roman" w:hint="eastAsia"/>
        </w:rPr>
        <w:t>kupimbira</w:t>
      </w:r>
      <w:r w:rsidRPr="00122C87">
        <w:rPr>
          <w:rFonts w:ascii="Time New Roman" w:eastAsia="黑体" w:hAnsi="Time New Roman" w:hint="eastAsia"/>
        </w:rPr>
        <w:t>和</w:t>
      </w:r>
      <w:r w:rsidRPr="00122C87">
        <w:rPr>
          <w:rFonts w:ascii="Time New Roman" w:eastAsia="黑体" w:hAnsi="Time New Roman" w:hint="eastAsia"/>
        </w:rPr>
        <w:t>kutomera</w:t>
      </w:r>
      <w:r w:rsidRPr="00122C87">
        <w:rPr>
          <w:rFonts w:ascii="Time New Roman" w:eastAsia="黑体" w:hAnsi="Time New Roman" w:hint="eastAsia"/>
        </w:rPr>
        <w:t>；</w:t>
      </w:r>
    </w:p>
    <w:p w:rsidR="00192462" w:rsidRPr="00122C87" w:rsidRDefault="00192462" w:rsidP="00192462">
      <w:pPr>
        <w:pStyle w:val="SingleTxtGC"/>
        <w:numPr>
          <w:ilvl w:val="0"/>
          <w:numId w:val="10"/>
        </w:numPr>
        <w:rPr>
          <w:rFonts w:ascii="Time New Roman" w:eastAsia="黑体" w:hAnsi="Time New Roman" w:hint="eastAsia"/>
        </w:rPr>
      </w:pPr>
      <w:r w:rsidRPr="00122C87">
        <w:rPr>
          <w:rFonts w:ascii="Time New Roman" w:eastAsia="黑体" w:hAnsi="Time New Roman" w:hint="eastAsia"/>
        </w:rPr>
        <w:t>加强有可能成为《任择议定书》所列罪行受害人的儿童的转交和后续程序、专门的查明机制以及程序，特别是在处境不利的儿童，如移民儿童和难民儿童、街头儿童、白化病儿童、儿童家庭工人和来自经济弱势家庭的儿童，并加强预防方案和保护潜在受害人，特别是女童；</w:t>
      </w:r>
    </w:p>
    <w:p w:rsidR="00192462" w:rsidRPr="00122C87" w:rsidRDefault="00192462" w:rsidP="00192462">
      <w:pPr>
        <w:pStyle w:val="SingleTxtGC"/>
        <w:numPr>
          <w:ilvl w:val="0"/>
          <w:numId w:val="10"/>
        </w:numPr>
        <w:rPr>
          <w:rFonts w:ascii="Time New Roman" w:eastAsia="黑体" w:hAnsi="Time New Roman" w:hint="eastAsia"/>
        </w:rPr>
      </w:pPr>
      <w:r w:rsidRPr="00122C87">
        <w:rPr>
          <w:rFonts w:ascii="Time New Roman" w:eastAsia="黑体" w:hAnsi="Time New Roman" w:hint="eastAsia"/>
        </w:rPr>
        <w:t>加强努力，确保预防工作也针对处境不利的儿童，包括寻求庇护儿童和难民儿童、无人陪伴的移民儿童和无证儿童。</w:t>
      </w:r>
    </w:p>
    <w:p w:rsidR="00192462" w:rsidRDefault="00192462" w:rsidP="00192462">
      <w:pPr>
        <w:pStyle w:val="H23GC"/>
      </w:pPr>
      <w:r>
        <w:rPr>
          <w:rFonts w:hint="eastAsia"/>
        </w:rPr>
        <w:lastRenderedPageBreak/>
        <w:tab/>
      </w:r>
      <w:r>
        <w:rPr>
          <w:rFonts w:hint="eastAsia"/>
        </w:rPr>
        <w:tab/>
      </w:r>
      <w:r>
        <w:rPr>
          <w:rFonts w:hint="eastAsia"/>
        </w:rPr>
        <w:t>收养</w:t>
      </w:r>
    </w:p>
    <w:p w:rsidR="00192462" w:rsidRDefault="00192462" w:rsidP="00192462">
      <w:pPr>
        <w:pStyle w:val="SingleTxtGC"/>
      </w:pPr>
      <w:r>
        <w:rPr>
          <w:rFonts w:hint="eastAsia"/>
        </w:rPr>
        <w:t xml:space="preserve">21.  </w:t>
      </w:r>
      <w:r>
        <w:rPr>
          <w:rFonts w:hint="eastAsia"/>
        </w:rPr>
        <w:t>委员会注意到，法律委员会完成了对《收养法》的审查，缔约国正在为收养问题的所有利益攸关方制定准则。然而，委员会感到关切的是，在通过经修订的《收养法》方面没有任何进展。</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22.  </w:t>
      </w:r>
      <w:r w:rsidRPr="00122C87">
        <w:rPr>
          <w:rFonts w:ascii="Time New Roman" w:eastAsia="黑体" w:hAnsi="Time New Roman" w:hint="eastAsia"/>
        </w:rPr>
        <w:t>关于根据《公约》作出的结论性意见第</w:t>
      </w:r>
      <w:r w:rsidRPr="00122C87">
        <w:rPr>
          <w:rFonts w:ascii="Time New Roman" w:eastAsia="黑体" w:hAnsi="Time New Roman" w:hint="eastAsia"/>
        </w:rPr>
        <w:t>30</w:t>
      </w:r>
      <w:r w:rsidRPr="00122C87">
        <w:rPr>
          <w:rFonts w:ascii="Time New Roman" w:eastAsia="黑体" w:hAnsi="Time New Roman" w:hint="eastAsia"/>
        </w:rPr>
        <w:t>段，委员会建议缔约国尽快通过修订的《收养法》，在收养问题上为所有利益攸关方敲定准则，提高对收养程序和条例的认识，促进并鼓励正式的国内收养。委员会还建议缔约国加强努力，确保所有收养行为完全符合《儿童权利公约》、《跨国收养方面保护儿童及合作海牙公约》以及其他相关国际文书的原则和规定。</w:t>
      </w:r>
    </w:p>
    <w:p w:rsidR="00192462" w:rsidRDefault="00192462" w:rsidP="00192462">
      <w:pPr>
        <w:pStyle w:val="H23GC"/>
      </w:pPr>
      <w:r>
        <w:rPr>
          <w:rFonts w:hint="eastAsia"/>
        </w:rPr>
        <w:tab/>
      </w:r>
      <w:r>
        <w:rPr>
          <w:rFonts w:hint="eastAsia"/>
        </w:rPr>
        <w:tab/>
      </w:r>
      <w:r>
        <w:rPr>
          <w:rFonts w:hint="eastAsia"/>
        </w:rPr>
        <w:t>儿童色情旅游业</w:t>
      </w:r>
    </w:p>
    <w:p w:rsidR="00192462" w:rsidRDefault="00192462" w:rsidP="00192462">
      <w:pPr>
        <w:pStyle w:val="SingleTxtGC"/>
      </w:pPr>
      <w:r>
        <w:rPr>
          <w:rFonts w:hint="eastAsia"/>
        </w:rPr>
        <w:t xml:space="preserve">23.  </w:t>
      </w:r>
      <w:r>
        <w:rPr>
          <w:rFonts w:hint="eastAsia"/>
        </w:rPr>
        <w:t>委员会感到关切的是，有报告称马拉维湖度假胜地发生儿童色情旅游案</w:t>
      </w:r>
      <w:r w:rsidRPr="00DC16FC">
        <w:rPr>
          <w:rFonts w:hint="eastAsia"/>
          <w:spacing w:val="4"/>
        </w:rPr>
        <w:t>件，缔约国在其报告</w:t>
      </w:r>
      <w:r w:rsidRPr="00DC16FC">
        <w:rPr>
          <w:rFonts w:hint="eastAsia"/>
          <w:spacing w:val="4"/>
        </w:rPr>
        <w:t>(</w:t>
      </w:r>
      <w:r w:rsidRPr="00DC16FC">
        <w:rPr>
          <w:rFonts w:hint="eastAsia"/>
          <w:spacing w:val="4"/>
        </w:rPr>
        <w:t>见</w:t>
      </w:r>
      <w:r w:rsidRPr="00DC16FC">
        <w:rPr>
          <w:rFonts w:hint="eastAsia"/>
          <w:spacing w:val="4"/>
        </w:rPr>
        <w:t xml:space="preserve">CRC/C/OPSC/MWI/1, </w:t>
      </w:r>
      <w:r w:rsidRPr="00DC16FC">
        <w:rPr>
          <w:rFonts w:hint="eastAsia"/>
          <w:spacing w:val="4"/>
        </w:rPr>
        <w:t>第</w:t>
      </w:r>
      <w:r w:rsidRPr="00DC16FC">
        <w:rPr>
          <w:rFonts w:hint="eastAsia"/>
          <w:spacing w:val="4"/>
        </w:rPr>
        <w:t>31</w:t>
      </w:r>
      <w:r w:rsidRPr="00DC16FC">
        <w:rPr>
          <w:rFonts w:hint="eastAsia"/>
          <w:spacing w:val="4"/>
        </w:rPr>
        <w:t>段和第</w:t>
      </w:r>
      <w:r w:rsidRPr="00DC16FC">
        <w:rPr>
          <w:rFonts w:hint="eastAsia"/>
          <w:spacing w:val="4"/>
        </w:rPr>
        <w:t>32</w:t>
      </w:r>
      <w:r w:rsidRPr="00DC16FC">
        <w:rPr>
          <w:rFonts w:hint="eastAsia"/>
          <w:spacing w:val="4"/>
        </w:rPr>
        <w:t>段</w:t>
      </w:r>
      <w:r w:rsidRPr="00DC16FC">
        <w:rPr>
          <w:rFonts w:hint="eastAsia"/>
          <w:spacing w:val="4"/>
        </w:rPr>
        <w:t>)</w:t>
      </w:r>
      <w:r w:rsidRPr="00DC16FC">
        <w:rPr>
          <w:rFonts w:hint="eastAsia"/>
          <w:spacing w:val="4"/>
        </w:rPr>
        <w:t>中对此予以承</w:t>
      </w:r>
      <w:r>
        <w:rPr>
          <w:rFonts w:hint="eastAsia"/>
        </w:rPr>
        <w:t>认。</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24.  </w:t>
      </w:r>
      <w:r w:rsidRPr="00122C87">
        <w:rPr>
          <w:rFonts w:ascii="Time New Roman" w:eastAsia="黑体" w:hAnsi="Time New Roman" w:hint="eastAsia"/>
        </w:rPr>
        <w:t>委员会敦促缔约国对旅游业宣传儿童色情旅游的有害影响，在旅行社和旅游机构中广泛宣传世界旅游组织的《全球旅游业道德守则》，并鼓励这些企业签署《保护儿童免受旅行和旅游中的性剥削行为守则》。委员会还敦促缔约国毫无例外地对犯罪者实施严厉惩罚。</w:t>
      </w:r>
    </w:p>
    <w:p w:rsidR="00192462" w:rsidRDefault="00192462" w:rsidP="00DC16FC">
      <w:pPr>
        <w:pStyle w:val="H23GC"/>
        <w:spacing w:after="240"/>
      </w:pPr>
      <w:r>
        <w:rPr>
          <w:rFonts w:hint="eastAsia"/>
        </w:rPr>
        <w:tab/>
      </w:r>
      <w:r>
        <w:rPr>
          <w:rFonts w:hint="eastAsia"/>
        </w:rPr>
        <w:tab/>
      </w:r>
      <w:r>
        <w:rPr>
          <w:rFonts w:hint="eastAsia"/>
        </w:rPr>
        <w:t>为防止和处理网络儿童性剥削和性虐待的措施</w:t>
      </w:r>
    </w:p>
    <w:p w:rsidR="00192462" w:rsidRDefault="00192462" w:rsidP="00192462">
      <w:pPr>
        <w:pStyle w:val="SingleTxtGC"/>
      </w:pPr>
      <w:r>
        <w:rPr>
          <w:rFonts w:hint="eastAsia"/>
        </w:rPr>
        <w:t xml:space="preserve">25.  </w:t>
      </w:r>
      <w:r>
        <w:rPr>
          <w:rFonts w:hint="eastAsia"/>
        </w:rPr>
        <w:t>委员会感到关切的是，缔约国没有防止网络儿童性剥削和虐待的政策。</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26.  </w:t>
      </w:r>
      <w:r w:rsidRPr="00122C87">
        <w:rPr>
          <w:rFonts w:ascii="Time New Roman" w:eastAsia="黑体" w:hAnsi="Time New Roman" w:hint="eastAsia"/>
        </w:rPr>
        <w:t>根据人权理事会关于“儿童权利：信息和通信技术与对儿童的性剥削”的第</w:t>
      </w:r>
      <w:r w:rsidRPr="00122C87">
        <w:rPr>
          <w:rFonts w:ascii="Time New Roman" w:eastAsia="黑体" w:hAnsi="Time New Roman" w:hint="eastAsia"/>
        </w:rPr>
        <w:t>31/7</w:t>
      </w:r>
      <w:r w:rsidRPr="00122C87">
        <w:rPr>
          <w:rFonts w:ascii="Time New Roman" w:eastAsia="黑体" w:hAnsi="Time New Roman" w:hint="eastAsia"/>
        </w:rPr>
        <w:t>号决议、</w:t>
      </w:r>
      <w:r w:rsidRPr="00122C87">
        <w:rPr>
          <w:rFonts w:ascii="Time New Roman" w:eastAsia="黑体" w:hAnsi="Time New Roman" w:hint="eastAsia"/>
        </w:rPr>
        <w:t>2014</w:t>
      </w:r>
      <w:r w:rsidRPr="00122C87">
        <w:rPr>
          <w:rFonts w:ascii="Time New Roman" w:eastAsia="黑体" w:hAnsi="Time New Roman" w:hint="eastAsia"/>
        </w:rPr>
        <w:t>年和</w:t>
      </w:r>
      <w:r w:rsidRPr="00122C87">
        <w:rPr>
          <w:rFonts w:ascii="Time New Roman" w:eastAsia="黑体" w:hAnsi="Time New Roman" w:hint="eastAsia"/>
        </w:rPr>
        <w:t>2015</w:t>
      </w:r>
      <w:r w:rsidRPr="00122C87">
        <w:rPr>
          <w:rFonts w:ascii="Time New Roman" w:eastAsia="黑体" w:hAnsi="Time New Roman" w:hint="eastAsia"/>
        </w:rPr>
        <w:t>年“我们保护”首脑会议的成果，委员会建议缔约国通过一项战略以防止网络儿童性剥削和性虐待，包括公众教育方案以提高公众认识、关于网上行为和安全的强制性学校教育以及在线儿童性剥削和性虐待犯罪的知识和报告，并让儿童参与制定政策和做法。</w:t>
      </w:r>
    </w:p>
    <w:p w:rsidR="00192462" w:rsidRDefault="00192462" w:rsidP="00192462">
      <w:pPr>
        <w:pStyle w:val="HChGC"/>
      </w:pPr>
      <w:r>
        <w:tab/>
      </w:r>
      <w:r>
        <w:rPr>
          <w:rFonts w:hint="eastAsia"/>
        </w:rPr>
        <w:t>六</w:t>
      </w:r>
      <w:r>
        <w:t>.</w:t>
      </w:r>
      <w:r>
        <w:tab/>
      </w:r>
      <w:r w:rsidRPr="00192462">
        <w:rPr>
          <w:rFonts w:hint="eastAsia"/>
          <w:spacing w:val="-8"/>
        </w:rPr>
        <w:t>禁止买卖儿童、儿童卖淫和儿童色情制品及相关事项</w:t>
      </w:r>
      <w:r w:rsidRPr="00192462">
        <w:rPr>
          <w:rFonts w:hint="eastAsia"/>
          <w:spacing w:val="-8"/>
        </w:rPr>
        <w:t>(</w:t>
      </w:r>
      <w:r w:rsidRPr="00192462">
        <w:rPr>
          <w:rFonts w:hint="eastAsia"/>
          <w:spacing w:val="-8"/>
        </w:rPr>
        <w:t>第</w:t>
      </w:r>
      <w:r w:rsidRPr="00192462">
        <w:rPr>
          <w:rFonts w:hint="eastAsia"/>
          <w:spacing w:val="-8"/>
        </w:rPr>
        <w:t>3</w:t>
      </w:r>
      <w:r w:rsidRPr="00192462">
        <w:rPr>
          <w:rFonts w:hint="eastAsia"/>
          <w:spacing w:val="-8"/>
        </w:rPr>
        <w:t>条、</w:t>
      </w:r>
      <w:r>
        <w:rPr>
          <w:rFonts w:hint="eastAsia"/>
        </w:rPr>
        <w:t>第</w:t>
      </w:r>
      <w:r>
        <w:rPr>
          <w:rFonts w:hint="eastAsia"/>
        </w:rPr>
        <w:t>4</w:t>
      </w:r>
      <w:r>
        <w:rPr>
          <w:rFonts w:hint="eastAsia"/>
        </w:rPr>
        <w:t>条第</w:t>
      </w:r>
      <w:r>
        <w:rPr>
          <w:rFonts w:hint="eastAsia"/>
        </w:rPr>
        <w:t>2</w:t>
      </w:r>
      <w:r>
        <w:rPr>
          <w:rFonts w:hint="eastAsia"/>
        </w:rPr>
        <w:t>款和第</w:t>
      </w:r>
      <w:r>
        <w:rPr>
          <w:rFonts w:hint="eastAsia"/>
        </w:rPr>
        <w:t>3</w:t>
      </w:r>
      <w:r>
        <w:rPr>
          <w:rFonts w:hint="eastAsia"/>
        </w:rPr>
        <w:t>款、第</w:t>
      </w:r>
      <w:r>
        <w:rPr>
          <w:rFonts w:hint="eastAsia"/>
        </w:rPr>
        <w:t>5</w:t>
      </w:r>
      <w:r>
        <w:rPr>
          <w:rFonts w:hint="eastAsia"/>
        </w:rPr>
        <w:t>至第</w:t>
      </w:r>
      <w:r>
        <w:rPr>
          <w:rFonts w:hint="eastAsia"/>
        </w:rPr>
        <w:t>7</w:t>
      </w:r>
      <w:r>
        <w:rPr>
          <w:rFonts w:hint="eastAsia"/>
        </w:rPr>
        <w:t>条</w:t>
      </w:r>
      <w:r>
        <w:rPr>
          <w:rFonts w:hint="eastAsia"/>
        </w:rPr>
        <w:t>)</w:t>
      </w:r>
    </w:p>
    <w:p w:rsidR="00192462" w:rsidRDefault="00192462" w:rsidP="00192462">
      <w:pPr>
        <w:pStyle w:val="H23GC"/>
      </w:pPr>
      <w:r>
        <w:rPr>
          <w:rFonts w:hint="eastAsia"/>
        </w:rPr>
        <w:tab/>
      </w:r>
      <w:r>
        <w:rPr>
          <w:rFonts w:hint="eastAsia"/>
        </w:rPr>
        <w:tab/>
      </w:r>
      <w:r>
        <w:rPr>
          <w:rFonts w:hint="eastAsia"/>
        </w:rPr>
        <w:t>现有刑事法和刑事条例</w:t>
      </w:r>
    </w:p>
    <w:p w:rsidR="00192462" w:rsidRDefault="00192462" w:rsidP="00192462">
      <w:pPr>
        <w:pStyle w:val="SingleTxtGC"/>
      </w:pPr>
      <w:r>
        <w:rPr>
          <w:rFonts w:hint="eastAsia"/>
        </w:rPr>
        <w:t xml:space="preserve">27.  </w:t>
      </w:r>
      <w:r>
        <w:rPr>
          <w:rFonts w:hint="eastAsia"/>
        </w:rPr>
        <w:t>委员会欢迎缔约国对</w:t>
      </w:r>
      <w:r>
        <w:rPr>
          <w:rFonts w:hint="eastAsia"/>
        </w:rPr>
        <w:t>2011</w:t>
      </w:r>
      <w:r>
        <w:rPr>
          <w:rFonts w:hint="eastAsia"/>
        </w:rPr>
        <w:t>年《刑法</w:t>
      </w:r>
      <w:r>
        <w:rPr>
          <w:rFonts w:hint="eastAsia"/>
        </w:rPr>
        <w:t>(</w:t>
      </w:r>
      <w:r>
        <w:rPr>
          <w:rFonts w:hint="eastAsia"/>
        </w:rPr>
        <w:t>修正案</w:t>
      </w:r>
      <w:r>
        <w:rPr>
          <w:rFonts w:hint="eastAsia"/>
        </w:rPr>
        <w:t>)</w:t>
      </w:r>
      <w:r>
        <w:rPr>
          <w:rFonts w:hint="eastAsia"/>
        </w:rPr>
        <w:t>》作出的修正，以更好地反映《任择议定书》的规定。然而，委员会感到关切的是，《刑法》并未界定所有形式的贩卖儿童行为并将其定为刑事罪。</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28.  </w:t>
      </w:r>
      <w:r w:rsidRPr="00122C87">
        <w:rPr>
          <w:rFonts w:ascii="Time New Roman" w:eastAsia="黑体" w:hAnsi="Time New Roman" w:hint="eastAsia"/>
        </w:rPr>
        <w:t>委员会建议缔约国按照《任择议定书》第</w:t>
      </w:r>
      <w:r w:rsidRPr="00122C87">
        <w:rPr>
          <w:rFonts w:ascii="Time New Roman" w:eastAsia="黑体" w:hAnsi="Time New Roman" w:hint="eastAsia"/>
        </w:rPr>
        <w:t>2</w:t>
      </w:r>
      <w:r w:rsidRPr="00122C87">
        <w:rPr>
          <w:rFonts w:ascii="Time New Roman" w:eastAsia="黑体" w:hAnsi="Time New Roman" w:hint="eastAsia"/>
        </w:rPr>
        <w:t>条和第</w:t>
      </w:r>
      <w:r w:rsidRPr="00122C87">
        <w:rPr>
          <w:rFonts w:ascii="Time New Roman" w:eastAsia="黑体" w:hAnsi="Time New Roman" w:hint="eastAsia"/>
        </w:rPr>
        <w:t>3</w:t>
      </w:r>
      <w:r w:rsidRPr="00122C87">
        <w:rPr>
          <w:rFonts w:ascii="Time New Roman" w:eastAsia="黑体" w:hAnsi="Time New Roman" w:hint="eastAsia"/>
        </w:rPr>
        <w:t>条定义“买卖儿童”并将其定为刑事罪，并且不将该定义局限于贩运儿童案件。缔约国尤其应明确定义下列行为并将这些行为定为刑事罪：</w:t>
      </w:r>
    </w:p>
    <w:p w:rsidR="00192462" w:rsidRPr="00122C87" w:rsidRDefault="00192462" w:rsidP="00192462">
      <w:pPr>
        <w:pStyle w:val="SingleTxtGC"/>
        <w:numPr>
          <w:ilvl w:val="0"/>
          <w:numId w:val="12"/>
        </w:numPr>
        <w:rPr>
          <w:rFonts w:ascii="Time New Roman" w:eastAsia="黑体" w:hAnsi="Time New Roman" w:hint="eastAsia"/>
        </w:rPr>
      </w:pPr>
      <w:r w:rsidRPr="00122C87">
        <w:rPr>
          <w:rFonts w:ascii="Time New Roman" w:eastAsia="黑体" w:hAnsi="Time New Roman" w:hint="eastAsia"/>
        </w:rPr>
        <w:t>通过非法收养买卖儿童；</w:t>
      </w:r>
    </w:p>
    <w:p w:rsidR="00192462" w:rsidRPr="00122C87" w:rsidRDefault="00192462" w:rsidP="00192462">
      <w:pPr>
        <w:pStyle w:val="SingleTxtGC"/>
        <w:numPr>
          <w:ilvl w:val="0"/>
          <w:numId w:val="12"/>
        </w:numPr>
        <w:rPr>
          <w:rFonts w:ascii="Time New Roman" w:eastAsia="黑体" w:hAnsi="Time New Roman" w:hint="eastAsia"/>
        </w:rPr>
      </w:pPr>
      <w:r w:rsidRPr="00122C87">
        <w:rPr>
          <w:rFonts w:ascii="Time New Roman" w:eastAsia="黑体" w:hAnsi="Time New Roman" w:hint="eastAsia"/>
        </w:rPr>
        <w:t>为谋利而转移儿童器官；</w:t>
      </w:r>
    </w:p>
    <w:p w:rsidR="00192462" w:rsidRPr="00122C87" w:rsidRDefault="00192462" w:rsidP="00192462">
      <w:pPr>
        <w:pStyle w:val="SingleTxtGC"/>
        <w:numPr>
          <w:ilvl w:val="0"/>
          <w:numId w:val="12"/>
        </w:numPr>
        <w:rPr>
          <w:rFonts w:ascii="Time New Roman" w:eastAsia="黑体" w:hAnsi="Time New Roman" w:hint="eastAsia"/>
        </w:rPr>
      </w:pPr>
      <w:r w:rsidRPr="00122C87">
        <w:rPr>
          <w:rFonts w:ascii="Time New Roman" w:eastAsia="黑体" w:hAnsi="Time New Roman" w:hint="eastAsia"/>
        </w:rPr>
        <w:t>使儿童从事强迫劳动。</w:t>
      </w:r>
    </w:p>
    <w:p w:rsidR="00192462" w:rsidRDefault="00192462" w:rsidP="00192462">
      <w:pPr>
        <w:pStyle w:val="SingleTxtGC"/>
      </w:pPr>
      <w:r>
        <w:rPr>
          <w:rFonts w:hint="eastAsia"/>
        </w:rPr>
        <w:lastRenderedPageBreak/>
        <w:t xml:space="preserve">29.  </w:t>
      </w:r>
      <w:r>
        <w:rPr>
          <w:rFonts w:hint="eastAsia"/>
        </w:rPr>
        <w:t>委员会感到关切的是，缔约国没有明确禁止儿童色情制品，《审查法》没有涵盖电子媒体和互联网，而这些是传播色情材料最常见的模式。</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30.  </w:t>
      </w:r>
      <w:r w:rsidRPr="00122C87">
        <w:rPr>
          <w:rFonts w:ascii="Time New Roman" w:eastAsia="黑体" w:hAnsi="Time New Roman" w:hint="eastAsia"/>
        </w:rPr>
        <w:t>委员会建议缔约国根据《任择议定书》第</w:t>
      </w:r>
      <w:r w:rsidRPr="00122C87">
        <w:rPr>
          <w:rFonts w:ascii="Time New Roman" w:eastAsia="黑体" w:hAnsi="Time New Roman" w:hint="eastAsia"/>
        </w:rPr>
        <w:t>2</w:t>
      </w:r>
      <w:r w:rsidRPr="00122C87">
        <w:rPr>
          <w:rFonts w:ascii="Time New Roman" w:eastAsia="黑体" w:hAnsi="Time New Roman" w:hint="eastAsia"/>
        </w:rPr>
        <w:t>条</w:t>
      </w:r>
      <w:r w:rsidRPr="00122C87">
        <w:rPr>
          <w:rFonts w:ascii="Time New Roman" w:eastAsia="黑体" w:hAnsi="Time New Roman" w:hint="eastAsia"/>
        </w:rPr>
        <w:t>(c)</w:t>
      </w:r>
      <w:r w:rsidRPr="00122C87">
        <w:rPr>
          <w:rFonts w:ascii="Time New Roman" w:eastAsia="黑体" w:hAnsi="Time New Roman" w:hint="eastAsia"/>
        </w:rPr>
        <w:t>项以及第</w:t>
      </w:r>
      <w:r w:rsidRPr="00122C87">
        <w:rPr>
          <w:rFonts w:ascii="Time New Roman" w:eastAsia="黑体" w:hAnsi="Time New Roman" w:hint="eastAsia"/>
        </w:rPr>
        <w:t>3</w:t>
      </w:r>
      <w:r w:rsidRPr="00122C87">
        <w:rPr>
          <w:rFonts w:ascii="Time New Roman" w:eastAsia="黑体" w:hAnsi="Time New Roman" w:hint="eastAsia"/>
        </w:rPr>
        <w:t>条</w:t>
      </w:r>
      <w:r w:rsidRPr="00122C87">
        <w:rPr>
          <w:rFonts w:ascii="Time New Roman" w:eastAsia="黑体" w:hAnsi="Time New Roman" w:hint="eastAsia"/>
        </w:rPr>
        <w:t>(b)</w:t>
      </w:r>
      <w:r w:rsidRPr="00122C87">
        <w:rPr>
          <w:rFonts w:ascii="Time New Roman" w:eastAsia="黑体" w:hAnsi="Time New Roman" w:hint="eastAsia"/>
        </w:rPr>
        <w:t>项和</w:t>
      </w:r>
      <w:r w:rsidRPr="00122C87">
        <w:rPr>
          <w:rFonts w:ascii="Time New Roman" w:eastAsia="黑体" w:hAnsi="Time New Roman" w:hint="eastAsia"/>
        </w:rPr>
        <w:t>(c)</w:t>
      </w:r>
      <w:r w:rsidRPr="00122C87">
        <w:rPr>
          <w:rFonts w:ascii="Time New Roman" w:eastAsia="黑体" w:hAnsi="Time New Roman" w:hint="eastAsia"/>
        </w:rPr>
        <w:t>项修订《刑法》和《审查法》，将儿童色情制品犯罪行为明确定为刑事罪，包括使用电子媒体和互联网传播儿童色情制品的行为。</w:t>
      </w:r>
    </w:p>
    <w:p w:rsidR="00192462" w:rsidRDefault="00192462" w:rsidP="00192462">
      <w:pPr>
        <w:pStyle w:val="H23GC"/>
      </w:pPr>
      <w:r>
        <w:rPr>
          <w:rFonts w:hint="eastAsia"/>
        </w:rPr>
        <w:tab/>
      </w:r>
      <w:r>
        <w:rPr>
          <w:rFonts w:hint="eastAsia"/>
        </w:rPr>
        <w:tab/>
      </w:r>
      <w:r>
        <w:rPr>
          <w:rFonts w:hint="eastAsia"/>
        </w:rPr>
        <w:t>有罪不罚</w:t>
      </w:r>
    </w:p>
    <w:p w:rsidR="00192462" w:rsidRDefault="00192462" w:rsidP="00192462">
      <w:pPr>
        <w:pStyle w:val="SingleTxtGC"/>
      </w:pPr>
      <w:r>
        <w:rPr>
          <w:rFonts w:hint="eastAsia"/>
        </w:rPr>
        <w:t xml:space="preserve">31.  </w:t>
      </w:r>
      <w:r>
        <w:rPr>
          <w:rFonts w:hint="eastAsia"/>
        </w:rPr>
        <w:t>委员会深感关切的是，关于得到适当调查的案件数量以及被起诉和判刑的犯罪者人数的资料不充分。</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32.  </w:t>
      </w:r>
      <w:r w:rsidRPr="00122C87">
        <w:rPr>
          <w:rFonts w:ascii="Time New Roman" w:eastAsia="黑体" w:hAnsi="Time New Roman" w:hint="eastAsia"/>
        </w:rPr>
        <w:t>委员会建议缔约国采取一切必要措施，确保所有买卖儿童、儿童卖淫和儿童色情制品案件均得到有效调查，并对犯罪者进行起诉，根据罪行严重程度给予适当的制裁。</w:t>
      </w:r>
    </w:p>
    <w:p w:rsidR="00192462" w:rsidRDefault="00192462" w:rsidP="00192462">
      <w:pPr>
        <w:pStyle w:val="H23GC"/>
      </w:pPr>
      <w:r>
        <w:rPr>
          <w:rFonts w:hint="eastAsia"/>
        </w:rPr>
        <w:tab/>
      </w:r>
      <w:r>
        <w:rPr>
          <w:rFonts w:hint="eastAsia"/>
        </w:rPr>
        <w:tab/>
      </w:r>
      <w:r>
        <w:rPr>
          <w:rFonts w:hint="eastAsia"/>
        </w:rPr>
        <w:t>法人的责任</w:t>
      </w:r>
    </w:p>
    <w:p w:rsidR="00192462" w:rsidRDefault="00192462" w:rsidP="00192462">
      <w:pPr>
        <w:pStyle w:val="SingleTxtGC"/>
      </w:pPr>
      <w:r>
        <w:rPr>
          <w:rFonts w:hint="eastAsia"/>
        </w:rPr>
        <w:t xml:space="preserve">33.  </w:t>
      </w:r>
      <w:r>
        <w:rPr>
          <w:rFonts w:hint="eastAsia"/>
        </w:rPr>
        <w:t>委员会欢迎缔约国将法人的责任列入《贩运人口法》。然而，委员会感到关切的是，该法没有涵盖《任择议定书》所列所有罪行，而且缺乏法律规范劳工招聘机构的行为。</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34.  </w:t>
      </w:r>
      <w:r w:rsidRPr="00122C87">
        <w:rPr>
          <w:rFonts w:ascii="Time New Roman" w:eastAsia="黑体" w:hAnsi="Time New Roman" w:hint="eastAsia"/>
        </w:rPr>
        <w:t>委员会建议缔约国在其刑法和贩运人口立法中明确纳入参与《任择议定书》所列任何罪行的法人的责任，并制定法律规范劳动招聘机构的行为，包括设立与所犯罪行严重程度相称的法律制裁。</w:t>
      </w:r>
    </w:p>
    <w:p w:rsidR="00192462" w:rsidRDefault="00192462" w:rsidP="00192462">
      <w:pPr>
        <w:pStyle w:val="H23GC"/>
      </w:pPr>
      <w:r>
        <w:rPr>
          <w:rFonts w:hint="eastAsia"/>
        </w:rPr>
        <w:tab/>
      </w:r>
      <w:r>
        <w:rPr>
          <w:rFonts w:hint="eastAsia"/>
        </w:rPr>
        <w:tab/>
      </w:r>
      <w:r>
        <w:rPr>
          <w:rFonts w:hint="eastAsia"/>
        </w:rPr>
        <w:t>域外管辖权和引渡</w:t>
      </w:r>
    </w:p>
    <w:p w:rsidR="00192462" w:rsidRDefault="00192462" w:rsidP="00192462">
      <w:pPr>
        <w:pStyle w:val="SingleTxtGC"/>
      </w:pPr>
      <w:r>
        <w:rPr>
          <w:rFonts w:hint="eastAsia"/>
        </w:rPr>
        <w:t xml:space="preserve">35.  </w:t>
      </w:r>
      <w:r>
        <w:rPr>
          <w:rFonts w:hint="eastAsia"/>
        </w:rPr>
        <w:t>委员会感到关切的是，没有关于对《任择议定书》所列罪行行使域外管辖权和引渡权的立法。</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36.  </w:t>
      </w:r>
      <w:r w:rsidRPr="00122C87">
        <w:rPr>
          <w:rFonts w:ascii="Time New Roman" w:eastAsia="黑体" w:hAnsi="Time New Roman" w:hint="eastAsia"/>
        </w:rPr>
        <w:t>委员会建议缔约国采取一切必要步骤，确保国内立法使缔约国能够对《任择议定书》所列罪行确立和行使域外管辖权。委员会还建议缔约国在今后所有引渡条约中列入这些罪行，并在没有任何引渡条约的情况下考虑使用《任择议定书》作为引渡的依据。</w:t>
      </w:r>
    </w:p>
    <w:p w:rsidR="00192462" w:rsidRDefault="00192462" w:rsidP="00192462">
      <w:pPr>
        <w:pStyle w:val="HChGC"/>
      </w:pPr>
      <w:r>
        <w:rPr>
          <w:rFonts w:hint="eastAsia"/>
        </w:rPr>
        <w:tab/>
      </w:r>
      <w:r>
        <w:rPr>
          <w:rFonts w:hint="eastAsia"/>
        </w:rPr>
        <w:t>七</w:t>
      </w:r>
      <w:r>
        <w:t>.</w:t>
      </w:r>
      <w:r>
        <w:rPr>
          <w:rFonts w:hint="eastAsia"/>
        </w:rPr>
        <w:tab/>
      </w:r>
      <w:r>
        <w:rPr>
          <w:rFonts w:hint="eastAsia"/>
        </w:rPr>
        <w:t>保护受害儿童的权利</w:t>
      </w:r>
      <w:r>
        <w:rPr>
          <w:rFonts w:hint="eastAsia"/>
        </w:rPr>
        <w:t>(</w:t>
      </w:r>
      <w:r>
        <w:rPr>
          <w:rFonts w:hint="eastAsia"/>
        </w:rPr>
        <w:t>第</w:t>
      </w:r>
      <w:r>
        <w:rPr>
          <w:rFonts w:hint="eastAsia"/>
        </w:rPr>
        <w:t>8</w:t>
      </w:r>
      <w:r>
        <w:rPr>
          <w:rFonts w:hint="eastAsia"/>
        </w:rPr>
        <w:t>条以及第</w:t>
      </w:r>
      <w:r>
        <w:rPr>
          <w:rFonts w:hint="eastAsia"/>
        </w:rPr>
        <w:t>9</w:t>
      </w:r>
      <w:r>
        <w:rPr>
          <w:rFonts w:hint="eastAsia"/>
        </w:rPr>
        <w:t>条第</w:t>
      </w:r>
      <w:r>
        <w:rPr>
          <w:rFonts w:hint="eastAsia"/>
        </w:rPr>
        <w:t>3</w:t>
      </w:r>
      <w:r>
        <w:rPr>
          <w:rFonts w:hint="eastAsia"/>
        </w:rPr>
        <w:t>款和第</w:t>
      </w:r>
      <w:r>
        <w:rPr>
          <w:rFonts w:hint="eastAsia"/>
        </w:rPr>
        <w:t>4</w:t>
      </w:r>
      <w:r>
        <w:rPr>
          <w:rFonts w:hint="eastAsia"/>
        </w:rPr>
        <w:t>款</w:t>
      </w:r>
      <w:r>
        <w:rPr>
          <w:rFonts w:hint="eastAsia"/>
        </w:rPr>
        <w:t>)</w:t>
      </w:r>
    </w:p>
    <w:p w:rsidR="00192462" w:rsidRDefault="00192462" w:rsidP="00192462">
      <w:pPr>
        <w:pStyle w:val="H23GC"/>
      </w:pPr>
      <w:r>
        <w:rPr>
          <w:rFonts w:hint="eastAsia"/>
        </w:rPr>
        <w:tab/>
      </w:r>
      <w:r>
        <w:rPr>
          <w:rFonts w:hint="eastAsia"/>
        </w:rPr>
        <w:tab/>
      </w:r>
      <w:r>
        <w:rPr>
          <w:rFonts w:hint="eastAsia"/>
        </w:rPr>
        <w:t>为保护《任择议定书》所列罪行的受害儿童而采取的措施</w:t>
      </w:r>
    </w:p>
    <w:p w:rsidR="00192462" w:rsidRDefault="00192462" w:rsidP="00192462">
      <w:pPr>
        <w:pStyle w:val="SingleTxtGC"/>
      </w:pPr>
      <w:r>
        <w:rPr>
          <w:rFonts w:hint="eastAsia"/>
        </w:rPr>
        <w:t xml:space="preserve">37.  </w:t>
      </w:r>
      <w:r>
        <w:rPr>
          <w:rFonts w:hint="eastAsia"/>
        </w:rPr>
        <w:t>委员会注意到缔约国作出了努力，但仍感到关切的是：</w:t>
      </w:r>
    </w:p>
    <w:p w:rsidR="00192462" w:rsidRDefault="00192462" w:rsidP="00192462">
      <w:pPr>
        <w:pStyle w:val="SingleTxtGC"/>
        <w:numPr>
          <w:ilvl w:val="0"/>
          <w:numId w:val="14"/>
        </w:numPr>
      </w:pPr>
      <w:r>
        <w:rPr>
          <w:rFonts w:hint="eastAsia"/>
        </w:rPr>
        <w:t>用于查明儿童色情、儿童卖淫和买卖儿童</w:t>
      </w:r>
      <w:r>
        <w:rPr>
          <w:rFonts w:hint="eastAsia"/>
        </w:rPr>
        <w:t>(</w:t>
      </w:r>
      <w:r>
        <w:rPr>
          <w:rFonts w:hint="eastAsia"/>
        </w:rPr>
        <w:t>包括贩运儿童</w:t>
      </w:r>
      <w:r>
        <w:rPr>
          <w:rFonts w:hint="eastAsia"/>
        </w:rPr>
        <w:t>)</w:t>
      </w:r>
      <w:r>
        <w:rPr>
          <w:rFonts w:hint="eastAsia"/>
        </w:rPr>
        <w:t>行为受害人的制度不够完善，效率低下；</w:t>
      </w:r>
    </w:p>
    <w:p w:rsidR="00192462" w:rsidRDefault="00192462" w:rsidP="00192462">
      <w:pPr>
        <w:pStyle w:val="SingleTxtGC"/>
        <w:numPr>
          <w:ilvl w:val="0"/>
          <w:numId w:val="14"/>
        </w:numPr>
      </w:pPr>
      <w:r>
        <w:rPr>
          <w:rFonts w:hint="eastAsia"/>
        </w:rPr>
        <w:t>执法、边境和移民当局缺乏具体程序，以系统地查明在边境或任何其他地点的受害儿童，并为他们提供适当的服务，特别是转交和保护；</w:t>
      </w:r>
    </w:p>
    <w:p w:rsidR="00192462" w:rsidRDefault="00192462" w:rsidP="00192462">
      <w:pPr>
        <w:pStyle w:val="SingleTxtGC"/>
        <w:numPr>
          <w:ilvl w:val="0"/>
          <w:numId w:val="14"/>
        </w:numPr>
      </w:pPr>
      <w:r>
        <w:rPr>
          <w:rFonts w:hint="eastAsia"/>
        </w:rPr>
        <w:t>执法人员将《任择议定书》所列罪行的受害儿童视为罪犯；</w:t>
      </w:r>
    </w:p>
    <w:p w:rsidR="00192462" w:rsidRDefault="00192462" w:rsidP="00192462">
      <w:pPr>
        <w:pStyle w:val="SingleTxtGC"/>
        <w:numPr>
          <w:ilvl w:val="0"/>
          <w:numId w:val="14"/>
        </w:numPr>
      </w:pPr>
      <w:r>
        <w:rPr>
          <w:rFonts w:hint="eastAsia"/>
        </w:rPr>
        <w:t>尽管法律规定了相关赔偿，但由于支助有限，《任择议定书》所列罪行的受害儿童事实上无法就其遭受的罪行寻求赔偿。</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lastRenderedPageBreak/>
        <w:t xml:space="preserve">38.  </w:t>
      </w:r>
      <w:r w:rsidRPr="00122C87">
        <w:rPr>
          <w:rFonts w:ascii="Time New Roman" w:eastAsia="黑体" w:hAnsi="Time New Roman" w:hint="eastAsia"/>
        </w:rPr>
        <w:t>参照《任择议定书》第</w:t>
      </w:r>
      <w:r w:rsidRPr="00122C87">
        <w:rPr>
          <w:rFonts w:ascii="Time New Roman" w:eastAsia="黑体" w:hAnsi="Time New Roman" w:hint="eastAsia"/>
        </w:rPr>
        <w:t>9</w:t>
      </w:r>
      <w:r w:rsidRPr="00122C87">
        <w:rPr>
          <w:rFonts w:ascii="Time New Roman" w:eastAsia="黑体" w:hAnsi="Time New Roman" w:hint="eastAsia"/>
        </w:rPr>
        <w:t>条第</w:t>
      </w:r>
      <w:r w:rsidRPr="00122C87">
        <w:rPr>
          <w:rFonts w:ascii="Time New Roman" w:eastAsia="黑体" w:hAnsi="Time New Roman" w:hint="eastAsia"/>
        </w:rPr>
        <w:t>3</w:t>
      </w:r>
      <w:r w:rsidRPr="00122C87">
        <w:rPr>
          <w:rFonts w:ascii="Time New Roman" w:eastAsia="黑体" w:hAnsi="Time New Roman" w:hint="eastAsia"/>
        </w:rPr>
        <w:t>款，委员会建议缔约国：</w:t>
      </w:r>
    </w:p>
    <w:p w:rsidR="00192462" w:rsidRPr="00122C87" w:rsidRDefault="00192462" w:rsidP="000E32CB">
      <w:pPr>
        <w:pStyle w:val="SingleTxtGC"/>
        <w:numPr>
          <w:ilvl w:val="0"/>
          <w:numId w:val="16"/>
        </w:numPr>
        <w:rPr>
          <w:rFonts w:ascii="Time New Roman" w:eastAsia="黑体" w:hAnsi="Time New Roman" w:hint="eastAsia"/>
        </w:rPr>
      </w:pPr>
      <w:r w:rsidRPr="00122C87">
        <w:rPr>
          <w:rFonts w:ascii="Time New Roman" w:eastAsia="黑体" w:hAnsi="Time New Roman" w:hint="eastAsia"/>
        </w:rPr>
        <w:t>为尽早发现并识别《任择议定书》所列罪行的受害儿童建立机制和程序，并确保负责这种识别工作的人员均接受关于儿童权利、儿童保护和适合儿童的面谈技巧方面的培训，包括执法官员、边境和移民当局、法官、检察官、社会工作者医务人员；</w:t>
      </w:r>
    </w:p>
    <w:p w:rsidR="00192462" w:rsidRPr="00122C87" w:rsidRDefault="00192462" w:rsidP="000E32CB">
      <w:pPr>
        <w:pStyle w:val="SingleTxtGC"/>
        <w:numPr>
          <w:ilvl w:val="0"/>
          <w:numId w:val="16"/>
        </w:numPr>
        <w:rPr>
          <w:rFonts w:ascii="Time New Roman" w:eastAsia="黑体" w:hAnsi="Time New Roman" w:hint="eastAsia"/>
        </w:rPr>
      </w:pPr>
      <w:r w:rsidRPr="00122C87">
        <w:rPr>
          <w:rFonts w:ascii="Time New Roman" w:eastAsia="黑体" w:hAnsi="Time New Roman" w:hint="eastAsia"/>
        </w:rPr>
        <w:t>确保《任择议定书》所列罪行的受害儿童不因相关罪行而遭受相关待遇或制裁，并得到适当支助；</w:t>
      </w:r>
    </w:p>
    <w:p w:rsidR="00192462" w:rsidRPr="00122C87" w:rsidRDefault="00192462" w:rsidP="000E32CB">
      <w:pPr>
        <w:pStyle w:val="SingleTxtGC"/>
        <w:numPr>
          <w:ilvl w:val="0"/>
          <w:numId w:val="16"/>
        </w:numPr>
        <w:rPr>
          <w:rFonts w:ascii="Time New Roman" w:eastAsia="黑体" w:hAnsi="Time New Roman" w:hint="eastAsia"/>
        </w:rPr>
      </w:pPr>
      <w:r w:rsidRPr="00122C87">
        <w:rPr>
          <w:rFonts w:ascii="Time New Roman" w:eastAsia="黑体" w:hAnsi="Time New Roman" w:hint="eastAsia"/>
        </w:rPr>
        <w:t>为所有儿童提供免费或有补贴的法律援助和支助儿童心理学家和社会工作者，并确保他们能够使用对儿童和性别问题敏感的申诉机制和适当程序，不受歧视地寻求赔偿和补偿。</w:t>
      </w:r>
    </w:p>
    <w:p w:rsidR="00192462" w:rsidRDefault="00192462" w:rsidP="00DC16FC">
      <w:pPr>
        <w:pStyle w:val="H23GC"/>
        <w:spacing w:after="240"/>
      </w:pPr>
      <w:r>
        <w:rPr>
          <w:rFonts w:hint="eastAsia"/>
        </w:rPr>
        <w:tab/>
      </w:r>
      <w:r>
        <w:rPr>
          <w:rFonts w:hint="eastAsia"/>
        </w:rPr>
        <w:tab/>
      </w:r>
      <w:r>
        <w:rPr>
          <w:rFonts w:hint="eastAsia"/>
        </w:rPr>
        <w:t>受害人康复和重返社会</w:t>
      </w:r>
    </w:p>
    <w:p w:rsidR="00192462" w:rsidRDefault="00192462" w:rsidP="00192462">
      <w:pPr>
        <w:pStyle w:val="SingleTxtGC"/>
      </w:pPr>
      <w:r>
        <w:rPr>
          <w:rFonts w:hint="eastAsia"/>
        </w:rPr>
        <w:t xml:space="preserve">39.  </w:t>
      </w:r>
      <w:r>
        <w:rPr>
          <w:rFonts w:hint="eastAsia"/>
        </w:rPr>
        <w:t>委员会注意到，缔约国在利隆圭设立了贩运人口受害人社会康复中心。然而，委员会感到关切的是，该中心资金不足，缺乏长期支助且不适合受害儿童，导致部分儿童重返被贩运之地或再次被贩运。</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40.  </w:t>
      </w:r>
      <w:r w:rsidRPr="00122C87">
        <w:rPr>
          <w:rFonts w:ascii="Time New Roman" w:eastAsia="黑体" w:hAnsi="Time New Roman" w:hint="eastAsia"/>
        </w:rPr>
        <w:t>委员会建议，缔约国根据《任择议定书》第</w:t>
      </w:r>
      <w:r w:rsidRPr="00122C87">
        <w:rPr>
          <w:rFonts w:ascii="Time New Roman" w:eastAsia="黑体" w:hAnsi="Time New Roman" w:hint="eastAsia"/>
        </w:rPr>
        <w:t>9</w:t>
      </w:r>
      <w:r w:rsidRPr="00122C87">
        <w:rPr>
          <w:rFonts w:ascii="Time New Roman" w:eastAsia="黑体" w:hAnsi="Time New Roman" w:hint="eastAsia"/>
        </w:rPr>
        <w:t>条第</w:t>
      </w:r>
      <w:r w:rsidRPr="00122C87">
        <w:rPr>
          <w:rFonts w:ascii="Time New Roman" w:eastAsia="黑体" w:hAnsi="Time New Roman" w:hint="eastAsia"/>
        </w:rPr>
        <w:t>3</w:t>
      </w:r>
      <w:r w:rsidRPr="00122C87">
        <w:rPr>
          <w:rFonts w:ascii="Time New Roman" w:eastAsia="黑体" w:hAnsi="Time New Roman" w:hint="eastAsia"/>
        </w:rPr>
        <w:t>款，向利隆圭的社会康复中心以及任何类似机构提供适当的人力、财政和技术资源，并促进他们的身心康复和真正重返社会。</w:t>
      </w:r>
    </w:p>
    <w:p w:rsidR="00192462" w:rsidRDefault="00192462" w:rsidP="000E32CB">
      <w:pPr>
        <w:pStyle w:val="HChGC"/>
      </w:pPr>
      <w:r>
        <w:rPr>
          <w:rFonts w:hint="eastAsia"/>
        </w:rPr>
        <w:tab/>
      </w:r>
      <w:r>
        <w:rPr>
          <w:rFonts w:hint="eastAsia"/>
        </w:rPr>
        <w:t>八</w:t>
      </w:r>
      <w:r w:rsidR="000E32CB">
        <w:t>.</w:t>
      </w:r>
      <w:r>
        <w:rPr>
          <w:rFonts w:hint="eastAsia"/>
        </w:rPr>
        <w:tab/>
      </w:r>
      <w:r>
        <w:rPr>
          <w:rFonts w:hint="eastAsia"/>
        </w:rPr>
        <w:t>国际援助与合作</w:t>
      </w:r>
      <w:r>
        <w:rPr>
          <w:rFonts w:hint="eastAsia"/>
        </w:rPr>
        <w:t>(</w:t>
      </w:r>
      <w:r>
        <w:rPr>
          <w:rFonts w:hint="eastAsia"/>
        </w:rPr>
        <w:t>第</w:t>
      </w:r>
      <w:r>
        <w:rPr>
          <w:rFonts w:hint="eastAsia"/>
        </w:rPr>
        <w:t>10</w:t>
      </w:r>
      <w:r>
        <w:rPr>
          <w:rFonts w:hint="eastAsia"/>
        </w:rPr>
        <w:t>条</w:t>
      </w:r>
      <w:r>
        <w:rPr>
          <w:rFonts w:hint="eastAsia"/>
        </w:rPr>
        <w:t>)</w:t>
      </w:r>
    </w:p>
    <w:p w:rsidR="00192462" w:rsidRDefault="00192462" w:rsidP="00DC16FC">
      <w:pPr>
        <w:pStyle w:val="H23GC"/>
        <w:spacing w:after="240"/>
      </w:pPr>
      <w:r>
        <w:rPr>
          <w:rFonts w:hint="eastAsia"/>
        </w:rPr>
        <w:tab/>
      </w:r>
      <w:r>
        <w:rPr>
          <w:rFonts w:hint="eastAsia"/>
        </w:rPr>
        <w:tab/>
      </w:r>
      <w:r>
        <w:rPr>
          <w:rFonts w:hint="eastAsia"/>
        </w:rPr>
        <w:t>多边、双边和区域协定</w:t>
      </w:r>
    </w:p>
    <w:p w:rsidR="00192462" w:rsidRDefault="00192462" w:rsidP="00192462">
      <w:pPr>
        <w:pStyle w:val="SingleTxtGC"/>
      </w:pPr>
      <w:r>
        <w:rPr>
          <w:rFonts w:hint="eastAsia"/>
        </w:rPr>
        <w:t xml:space="preserve">41.  </w:t>
      </w:r>
      <w:r>
        <w:rPr>
          <w:rFonts w:hint="eastAsia"/>
        </w:rPr>
        <w:t>参照《任择议定书》第</w:t>
      </w:r>
      <w:r>
        <w:rPr>
          <w:rFonts w:hint="eastAsia"/>
        </w:rPr>
        <w:t>10</w:t>
      </w:r>
      <w:r>
        <w:rPr>
          <w:rFonts w:hint="eastAsia"/>
        </w:rPr>
        <w:t>条第</w:t>
      </w:r>
      <w:r>
        <w:rPr>
          <w:rFonts w:hint="eastAsia"/>
        </w:rPr>
        <w:t>1</w:t>
      </w:r>
      <w:r>
        <w:rPr>
          <w:rFonts w:hint="eastAsia"/>
        </w:rPr>
        <w:t>款，委员会鼓励缔约国继续通过多边、区域和双边安排加强国际合作，特别是与邻国的合作，包括加强实施这种安排的程序和协调机制，以改进对《任择议定书》所列任何罪行的责任人的防范、侦查、调查、起诉及惩罚。</w:t>
      </w:r>
    </w:p>
    <w:p w:rsidR="00192462" w:rsidRDefault="00192462" w:rsidP="000E32CB">
      <w:pPr>
        <w:pStyle w:val="HChGC"/>
      </w:pPr>
      <w:r>
        <w:rPr>
          <w:rFonts w:hint="eastAsia"/>
        </w:rPr>
        <w:tab/>
      </w:r>
      <w:r>
        <w:rPr>
          <w:rFonts w:hint="eastAsia"/>
        </w:rPr>
        <w:t>九</w:t>
      </w:r>
      <w:r w:rsidR="000E32CB">
        <w:t>.</w:t>
      </w:r>
      <w:r>
        <w:rPr>
          <w:rFonts w:hint="eastAsia"/>
        </w:rPr>
        <w:tab/>
      </w:r>
      <w:r>
        <w:rPr>
          <w:rFonts w:hint="eastAsia"/>
        </w:rPr>
        <w:t>后续行动和传播</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42.  </w:t>
      </w:r>
      <w:r w:rsidRPr="00122C87">
        <w:rPr>
          <w:rFonts w:ascii="Time New Roman" w:eastAsia="黑体" w:hAnsi="Time New Roman" w:hint="eastAsia"/>
        </w:rPr>
        <w:t>委员会建议缔约国采取一切适当措施，确保本结论性意见所载各项建议得到充分执行，特别是将其转交给相关政府部门、议会以及国家和地方当局，以供适当审议和采取进一步行动。</w:t>
      </w:r>
    </w:p>
    <w:p w:rsidR="00192462" w:rsidRPr="00122C87" w:rsidRDefault="00192462" w:rsidP="00192462">
      <w:pPr>
        <w:pStyle w:val="SingleTxtGC"/>
        <w:rPr>
          <w:rFonts w:ascii="Time New Roman" w:eastAsia="黑体" w:hAnsi="Time New Roman" w:hint="eastAsia"/>
        </w:rPr>
      </w:pPr>
      <w:r w:rsidRPr="00122C87">
        <w:rPr>
          <w:rFonts w:ascii="Time New Roman" w:eastAsia="黑体" w:hAnsi="Time New Roman" w:hint="eastAsia"/>
        </w:rPr>
        <w:t xml:space="preserve">43.  </w:t>
      </w:r>
      <w:r w:rsidRPr="00122C87">
        <w:rPr>
          <w:rFonts w:ascii="Time New Roman" w:eastAsia="黑体" w:hAnsi="Time New Roman" w:hint="eastAsia"/>
        </w:rPr>
        <w:t>委员会建议缔约国通过</w:t>
      </w:r>
      <w:r w:rsidRPr="00122C87">
        <w:rPr>
          <w:rFonts w:ascii="Time New Roman" w:eastAsia="黑体" w:hAnsi="Time New Roman" w:hint="eastAsia"/>
        </w:rPr>
        <w:t>(</w:t>
      </w:r>
      <w:r w:rsidRPr="00122C87">
        <w:rPr>
          <w:rFonts w:ascii="Time New Roman" w:eastAsia="黑体" w:hAnsi="Time New Roman" w:hint="eastAsia"/>
        </w:rPr>
        <w:t>但不限于</w:t>
      </w:r>
      <w:r w:rsidRPr="00122C87">
        <w:rPr>
          <w:rFonts w:ascii="Time New Roman" w:eastAsia="黑体" w:hAnsi="Time New Roman" w:hint="eastAsia"/>
        </w:rPr>
        <w:t>)</w:t>
      </w:r>
      <w:r w:rsidRPr="00122C87">
        <w:rPr>
          <w:rFonts w:ascii="Time New Roman" w:eastAsia="黑体" w:hAnsi="Time New Roman" w:hint="eastAsia"/>
        </w:rPr>
        <w:t>互联网等渠道，向广大公众、民间社会组织、青年团体、专业群体和儿童广泛宣传缔约国提交的报告、对问题清单的书面答复以及本结论性意见，以就《任择议定书》开展讨论，并提高对《任择议定书》及其执行和监测工作的认识。</w:t>
      </w:r>
    </w:p>
    <w:p w:rsidR="00192462" w:rsidRPr="00122C87" w:rsidRDefault="00192462" w:rsidP="000E32CB">
      <w:pPr>
        <w:pStyle w:val="HChGC"/>
        <w:rPr>
          <w:rFonts w:ascii="Time New Roman" w:hAnsi="Time New Roman" w:hint="eastAsia"/>
        </w:rPr>
      </w:pPr>
      <w:r w:rsidRPr="00122C87">
        <w:rPr>
          <w:rFonts w:ascii="Time New Roman" w:hAnsi="Time New Roman" w:hint="eastAsia"/>
        </w:rPr>
        <w:lastRenderedPageBreak/>
        <w:tab/>
      </w:r>
      <w:r w:rsidRPr="00122C87">
        <w:rPr>
          <w:rFonts w:ascii="Time New Roman" w:hAnsi="Time New Roman" w:hint="eastAsia"/>
        </w:rPr>
        <w:t>十</w:t>
      </w:r>
      <w:r w:rsidR="000E32CB" w:rsidRPr="00122C87">
        <w:rPr>
          <w:rFonts w:ascii="Time New Roman" w:hAnsi="Time New Roman"/>
        </w:rPr>
        <w:t>.</w:t>
      </w:r>
      <w:r w:rsidRPr="00122C87">
        <w:rPr>
          <w:rFonts w:ascii="Time New Roman" w:hAnsi="Time New Roman" w:hint="eastAsia"/>
        </w:rPr>
        <w:tab/>
      </w:r>
      <w:r w:rsidRPr="00122C87">
        <w:rPr>
          <w:rFonts w:ascii="Time New Roman" w:hAnsi="Time New Roman" w:hint="eastAsia"/>
        </w:rPr>
        <w:t>下次报告</w:t>
      </w:r>
    </w:p>
    <w:p w:rsidR="00192462" w:rsidRPr="00122C87" w:rsidRDefault="00192462" w:rsidP="0055206D">
      <w:pPr>
        <w:pStyle w:val="SingleTxtGC"/>
        <w:rPr>
          <w:rFonts w:ascii="Time New Roman" w:eastAsia="黑体" w:hAnsi="Time New Roman" w:hint="eastAsia"/>
        </w:rPr>
      </w:pPr>
      <w:r w:rsidRPr="00122C87">
        <w:rPr>
          <w:rFonts w:ascii="Time New Roman" w:eastAsia="黑体" w:hAnsi="Time New Roman" w:hint="eastAsia"/>
        </w:rPr>
        <w:t xml:space="preserve">44.  </w:t>
      </w:r>
      <w:r w:rsidRPr="00122C87">
        <w:rPr>
          <w:rFonts w:ascii="Time New Roman" w:eastAsia="黑体" w:hAnsi="Time New Roman" w:hint="eastAsia"/>
        </w:rPr>
        <w:t>根据《任择议定书》第</w:t>
      </w:r>
      <w:r w:rsidRPr="00122C87">
        <w:rPr>
          <w:rFonts w:ascii="Time New Roman" w:eastAsia="黑体" w:hAnsi="Time New Roman" w:hint="eastAsia"/>
        </w:rPr>
        <w:t>12</w:t>
      </w:r>
      <w:r w:rsidRPr="00122C87">
        <w:rPr>
          <w:rFonts w:ascii="Time New Roman" w:eastAsia="黑体" w:hAnsi="Time New Roman" w:hint="eastAsia"/>
        </w:rPr>
        <w:t>条第</w:t>
      </w:r>
      <w:r w:rsidRPr="00122C87">
        <w:rPr>
          <w:rFonts w:ascii="Time New Roman" w:eastAsia="黑体" w:hAnsi="Time New Roman" w:hint="eastAsia"/>
        </w:rPr>
        <w:t>2</w:t>
      </w:r>
      <w:r w:rsidRPr="00122C87">
        <w:rPr>
          <w:rFonts w:ascii="Time New Roman" w:eastAsia="黑体" w:hAnsi="Time New Roman" w:hint="eastAsia"/>
        </w:rPr>
        <w:t>款，委员会请缔约国在根据《儿童权利公约》第</w:t>
      </w:r>
      <w:r w:rsidRPr="00122C87">
        <w:rPr>
          <w:rFonts w:ascii="Time New Roman" w:eastAsia="黑体" w:hAnsi="Time New Roman" w:hint="eastAsia"/>
        </w:rPr>
        <w:t>44</w:t>
      </w:r>
      <w:r w:rsidRPr="00122C87">
        <w:rPr>
          <w:rFonts w:ascii="Time New Roman" w:eastAsia="黑体" w:hAnsi="Time New Roman" w:hint="eastAsia"/>
        </w:rPr>
        <w:t>条提交的下一次定期报告中列入更多资料，说明《任择议定书》的执行情况。</w:t>
      </w:r>
    </w:p>
    <w:p w:rsidR="000E32CB" w:rsidRPr="00122C87" w:rsidRDefault="000E32CB">
      <w:pPr>
        <w:spacing w:before="240"/>
        <w:jc w:val="center"/>
        <w:rPr>
          <w:rFonts w:ascii="Time New Roman" w:eastAsia="黑体" w:hAnsi="Time New Roman" w:hint="eastAsia"/>
          <w:u w:val="single"/>
        </w:rPr>
      </w:pPr>
      <w:r w:rsidRPr="00122C87">
        <w:rPr>
          <w:rFonts w:ascii="Time New Roman" w:eastAsia="黑体" w:hAnsi="Time New Roman" w:hint="eastAsia"/>
          <w:u w:val="single"/>
        </w:rPr>
        <w:tab/>
      </w:r>
      <w:r w:rsidRPr="00122C87">
        <w:rPr>
          <w:rFonts w:ascii="Time New Roman" w:eastAsia="黑体" w:hAnsi="Time New Roman" w:hint="eastAsia"/>
          <w:u w:val="single"/>
        </w:rPr>
        <w:tab/>
      </w:r>
      <w:r w:rsidRPr="00122C87">
        <w:rPr>
          <w:rFonts w:ascii="Time New Roman" w:eastAsia="黑体" w:hAnsi="Time New Roman" w:hint="eastAsia"/>
          <w:u w:val="single"/>
        </w:rPr>
        <w:tab/>
      </w:r>
      <w:r w:rsidRPr="00122C87">
        <w:rPr>
          <w:rFonts w:ascii="Time New Roman" w:eastAsia="黑体" w:hAnsi="Time New Roman"/>
          <w:u w:val="single"/>
        </w:rPr>
        <w:tab/>
      </w:r>
    </w:p>
    <w:p w:rsidR="00192462" w:rsidRPr="00122C87" w:rsidRDefault="00192462" w:rsidP="00192462">
      <w:pPr>
        <w:pStyle w:val="SingleTxtGC"/>
        <w:rPr>
          <w:rFonts w:ascii="Time New Roman" w:eastAsia="黑体" w:hAnsi="Time New Roman" w:hint="eastAsia"/>
        </w:rPr>
      </w:pPr>
    </w:p>
    <w:sectPr w:rsidR="00192462" w:rsidRPr="00122C87"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A7" w:rsidRPr="000D319F" w:rsidRDefault="009B0DA7" w:rsidP="000D319F">
      <w:pPr>
        <w:pStyle w:val="ae"/>
        <w:spacing w:after="240"/>
        <w:ind w:left="907"/>
        <w:rPr>
          <w:rFonts w:asciiTheme="majorBidi" w:eastAsia="宋体" w:hAnsiTheme="majorBidi" w:cstheme="majorBidi"/>
          <w:sz w:val="21"/>
          <w:szCs w:val="21"/>
          <w:lang w:val="en-US"/>
        </w:rPr>
      </w:pPr>
    </w:p>
    <w:p w:rsidR="009B0DA7" w:rsidRPr="000D319F" w:rsidRDefault="009B0DA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B0DA7" w:rsidRPr="000D319F" w:rsidRDefault="009B0DA7" w:rsidP="000D319F">
      <w:pPr>
        <w:pStyle w:val="ae"/>
      </w:pPr>
    </w:p>
  </w:endnote>
  <w:endnote w:type="continuationNotice" w:id="1">
    <w:p w:rsidR="009B0DA7" w:rsidRDefault="009B0D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92462" w:rsidRDefault="00192462" w:rsidP="0019246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56A2B">
      <w:rPr>
        <w:rStyle w:val="af"/>
        <w:noProof/>
      </w:rPr>
      <w:t>8</w:t>
    </w:r>
    <w:r>
      <w:rPr>
        <w:rStyle w:val="af"/>
      </w:rPr>
      <w:fldChar w:fldCharType="end"/>
    </w:r>
    <w:r>
      <w:rPr>
        <w:rStyle w:val="af"/>
      </w:rPr>
      <w:tab/>
    </w:r>
    <w:r w:rsidRPr="00192462">
      <w:rPr>
        <w:rStyle w:val="af"/>
        <w:b w:val="0"/>
        <w:snapToGrid w:val="0"/>
        <w:sz w:val="16"/>
      </w:rPr>
      <w:t>GE.17-04168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92462" w:rsidRDefault="00192462" w:rsidP="00192462">
    <w:pPr>
      <w:pStyle w:val="ae"/>
      <w:tabs>
        <w:tab w:val="clear" w:pos="431"/>
        <w:tab w:val="right" w:pos="9638"/>
      </w:tabs>
      <w:rPr>
        <w:rStyle w:val="af"/>
      </w:rPr>
    </w:pPr>
    <w:r>
      <w:t>GE.17-04168</w:t>
    </w:r>
    <w:r>
      <w:tab/>
    </w:r>
    <w:r>
      <w:rPr>
        <w:rStyle w:val="af"/>
      </w:rPr>
      <w:fldChar w:fldCharType="begin"/>
    </w:r>
    <w:r>
      <w:rPr>
        <w:rStyle w:val="af"/>
      </w:rPr>
      <w:instrText xml:space="preserve"> PAGE  \* MERGEFORMAT </w:instrText>
    </w:r>
    <w:r>
      <w:rPr>
        <w:rStyle w:val="af"/>
      </w:rPr>
      <w:fldChar w:fldCharType="separate"/>
    </w:r>
    <w:r w:rsidR="00556A2B">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192462" w:rsidP="00192462">
    <w:pPr>
      <w:pStyle w:val="ae"/>
      <w:tabs>
        <w:tab w:val="left" w:pos="1701"/>
        <w:tab w:val="left" w:pos="2552"/>
        <w:tab w:val="left" w:pos="8448"/>
      </w:tabs>
      <w:spacing w:before="360"/>
      <w:rPr>
        <w:rFonts w:eastAsiaTheme="minorEastAsia"/>
        <w:b/>
        <w:sz w:val="21"/>
        <w:lang w:eastAsia="zh-CN"/>
      </w:rPr>
    </w:pPr>
    <w:r>
      <w:rPr>
        <w:sz w:val="20"/>
        <w:lang w:eastAsia="zh-CN"/>
      </w:rPr>
      <w:t>GE.17-04168</w:t>
    </w:r>
    <w:r w:rsidR="00731A42" w:rsidRPr="00EE277A">
      <w:rPr>
        <w:sz w:val="20"/>
        <w:lang w:eastAsia="zh-CN"/>
      </w:rPr>
      <w:t xml:space="preserve"> (C)</w:t>
    </w:r>
    <w:r w:rsidR="00AB1CDF">
      <w:rPr>
        <w:sz w:val="20"/>
        <w:lang w:eastAsia="zh-CN"/>
      </w:rPr>
      <w:tab/>
    </w:r>
    <w:r>
      <w:rPr>
        <w:sz w:val="20"/>
        <w:lang w:eastAsia="zh-CN"/>
      </w:rPr>
      <w:t>2</w:t>
    </w:r>
    <w:r w:rsidR="00AB1CDF">
      <w:rPr>
        <w:sz w:val="20"/>
        <w:lang w:eastAsia="zh-CN"/>
      </w:rPr>
      <w:t>00</w:t>
    </w:r>
    <w:r>
      <w:rPr>
        <w:sz w:val="20"/>
        <w:lang w:eastAsia="zh-CN"/>
      </w:rPr>
      <w:t>3</w:t>
    </w:r>
    <w:r w:rsidR="00AB1CDF">
      <w:rPr>
        <w:sz w:val="20"/>
        <w:lang w:eastAsia="zh-CN"/>
      </w:rPr>
      <w:t>1</w:t>
    </w:r>
    <w:r w:rsidR="0033398C">
      <w:rPr>
        <w:rFonts w:eastAsiaTheme="minorEastAsia" w:hint="eastAsia"/>
        <w:sz w:val="20"/>
        <w:lang w:eastAsia="zh-CN"/>
      </w:rPr>
      <w:t>7</w:t>
    </w:r>
    <w:r w:rsidR="00731A42">
      <w:rPr>
        <w:sz w:val="20"/>
        <w:lang w:eastAsia="zh-CN"/>
      </w:rPr>
      <w:tab/>
    </w:r>
    <w:r>
      <w:rPr>
        <w:sz w:val="20"/>
        <w:lang w:eastAsia="zh-CN"/>
      </w:rPr>
      <w:t>1</w:t>
    </w:r>
    <w:r w:rsidR="00731A42">
      <w:rPr>
        <w:sz w:val="20"/>
        <w:lang w:eastAsia="zh-CN"/>
      </w:rPr>
      <w:t>00</w:t>
    </w:r>
    <w:r>
      <w:rPr>
        <w:sz w:val="20"/>
        <w:lang w:eastAsia="zh-CN"/>
      </w:rPr>
      <w:t>4</w:t>
    </w:r>
    <w:r w:rsidR="00731A42">
      <w:rPr>
        <w:sz w:val="20"/>
        <w:lang w:eastAsia="zh-CN"/>
      </w:rPr>
      <w:t>1</w:t>
    </w:r>
    <w:r w:rsidR="0033398C">
      <w:rPr>
        <w:rFonts w:eastAsiaTheme="minorEastAsia" w:hint="eastAsia"/>
        <w:sz w:val="20"/>
        <w:lang w:eastAsia="zh-CN"/>
      </w:rPr>
      <w:t>7</w:t>
    </w:r>
  </w:p>
  <w:p w:rsidR="00056632" w:rsidRPr="00487939" w:rsidRDefault="00192462"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D02D640" wp14:editId="40E201D5">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OPSC/MWI/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MWI/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96D2524" wp14:editId="2B36AAF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A7" w:rsidRPr="000157B1" w:rsidRDefault="009B0DA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B0DA7" w:rsidRPr="000157B1" w:rsidRDefault="009B0DA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B0DA7" w:rsidRDefault="009B0DA7"/>
  </w:footnote>
  <w:footnote w:id="2">
    <w:p w:rsidR="00192462" w:rsidRPr="004A3EBC" w:rsidRDefault="00192462" w:rsidP="00192462">
      <w:pPr>
        <w:pStyle w:val="a6"/>
      </w:pPr>
      <w:r>
        <w:rPr>
          <w:lang w:val="zh-CN"/>
        </w:rPr>
        <w:tab/>
      </w:r>
      <w:r w:rsidRPr="00237A8C">
        <w:rPr>
          <w:sz w:val="21"/>
          <w:szCs w:val="21"/>
          <w:lang w:val="zh-CN"/>
        </w:rPr>
        <w:t>*</w:t>
      </w:r>
      <w:r>
        <w:tab/>
      </w:r>
      <w:r>
        <w:rPr>
          <w:lang w:val="zh-CN"/>
        </w:rPr>
        <w:t>委员会第七十四届会议</w:t>
      </w:r>
      <w:r>
        <w:rPr>
          <w:lang w:val="zh-CN"/>
        </w:rPr>
        <w:t>(2017</w:t>
      </w:r>
      <w:r>
        <w:rPr>
          <w:lang w:val="zh-CN"/>
        </w:rPr>
        <w:t>年</w:t>
      </w:r>
      <w:r>
        <w:rPr>
          <w:lang w:val="zh-CN"/>
        </w:rPr>
        <w:t>1</w:t>
      </w:r>
      <w:r>
        <w:rPr>
          <w:lang w:val="zh-CN"/>
        </w:rPr>
        <w:t>月</w:t>
      </w:r>
      <w:r>
        <w:rPr>
          <w:lang w:val="zh-CN"/>
        </w:rPr>
        <w:t>16</w:t>
      </w:r>
      <w:r>
        <w:rPr>
          <w:lang w:val="zh-CN"/>
        </w:rPr>
        <w:t>日至</w:t>
      </w:r>
      <w:r>
        <w:rPr>
          <w:lang w:val="zh-CN"/>
        </w:rPr>
        <w:t>2</w:t>
      </w:r>
      <w:r>
        <w:rPr>
          <w:lang w:val="zh-CN"/>
        </w:rPr>
        <w:t>月</w:t>
      </w:r>
      <w:r>
        <w:rPr>
          <w:lang w:val="zh-CN"/>
        </w:rPr>
        <w:t>3</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92462" w:rsidP="00192462">
    <w:pPr>
      <w:pStyle w:val="af0"/>
    </w:pPr>
    <w:r>
      <w:t>CRC/C/OPSC/MWI/CO/1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92462" w:rsidP="00192462">
    <w:pPr>
      <w:pStyle w:val="af0"/>
      <w:jc w:val="right"/>
    </w:pPr>
    <w:r>
      <w:t>CRC/C/OPSC/MWI/CO/1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22676E"/>
    <w:multiLevelType w:val="hybridMultilevel"/>
    <w:tmpl w:val="49104C26"/>
    <w:lvl w:ilvl="0" w:tplc="CBDC50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A05C07"/>
    <w:multiLevelType w:val="hybridMultilevel"/>
    <w:tmpl w:val="727223A2"/>
    <w:lvl w:ilvl="0" w:tplc="5D2CEE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64E4A37"/>
    <w:multiLevelType w:val="hybridMultilevel"/>
    <w:tmpl w:val="AD9E2990"/>
    <w:lvl w:ilvl="0" w:tplc="0F7EA7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F33DCD"/>
    <w:multiLevelType w:val="hybridMultilevel"/>
    <w:tmpl w:val="DF56A78A"/>
    <w:lvl w:ilvl="0" w:tplc="3610649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F91A65"/>
    <w:multiLevelType w:val="hybridMultilevel"/>
    <w:tmpl w:val="622EDDE8"/>
    <w:lvl w:ilvl="0" w:tplc="40AC7C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A26649"/>
    <w:multiLevelType w:val="hybridMultilevel"/>
    <w:tmpl w:val="22D487FE"/>
    <w:lvl w:ilvl="0" w:tplc="708C44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58325E"/>
    <w:multiLevelType w:val="hybridMultilevel"/>
    <w:tmpl w:val="B79EC95C"/>
    <w:lvl w:ilvl="0" w:tplc="75E2DD8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515432"/>
    <w:multiLevelType w:val="hybridMultilevel"/>
    <w:tmpl w:val="B358CD5C"/>
    <w:lvl w:ilvl="0" w:tplc="7354F5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FF316D"/>
    <w:multiLevelType w:val="hybridMultilevel"/>
    <w:tmpl w:val="9E5A8EF4"/>
    <w:lvl w:ilvl="0" w:tplc="ABE88D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9AC2EFE"/>
    <w:multiLevelType w:val="hybridMultilevel"/>
    <w:tmpl w:val="292270BC"/>
    <w:lvl w:ilvl="0" w:tplc="E188C1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3F24A9"/>
    <w:multiLevelType w:val="hybridMultilevel"/>
    <w:tmpl w:val="B7C0DEA2"/>
    <w:lvl w:ilvl="0" w:tplc="5A0007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F6633D"/>
    <w:multiLevelType w:val="hybridMultilevel"/>
    <w:tmpl w:val="A9C439D2"/>
    <w:lvl w:ilvl="0" w:tplc="827C77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D94163"/>
    <w:multiLevelType w:val="hybridMultilevel"/>
    <w:tmpl w:val="80D4E138"/>
    <w:lvl w:ilvl="0" w:tplc="F37ED7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4"/>
  </w:num>
  <w:num w:numId="4">
    <w:abstractNumId w:val="0"/>
  </w:num>
  <w:num w:numId="5">
    <w:abstractNumId w:val="13"/>
  </w:num>
  <w:num w:numId="6">
    <w:abstractNumId w:val="11"/>
  </w:num>
  <w:num w:numId="7">
    <w:abstractNumId w:val="6"/>
  </w:num>
  <w:num w:numId="8">
    <w:abstractNumId w:val="1"/>
  </w:num>
  <w:num w:numId="9">
    <w:abstractNumId w:val="7"/>
  </w:num>
  <w:num w:numId="10">
    <w:abstractNumId w:val="15"/>
  </w:num>
  <w:num w:numId="11">
    <w:abstractNumId w:val="2"/>
  </w:num>
  <w:num w:numId="12">
    <w:abstractNumId w:val="16"/>
  </w:num>
  <w:num w:numId="13">
    <w:abstractNumId w:val="9"/>
  </w:num>
  <w:num w:numId="14">
    <w:abstractNumId w:val="10"/>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A7"/>
    <w:rsid w:val="00011483"/>
    <w:rsid w:val="000D319F"/>
    <w:rsid w:val="000E32CB"/>
    <w:rsid w:val="000E4D0E"/>
    <w:rsid w:val="00116A4C"/>
    <w:rsid w:val="00122C87"/>
    <w:rsid w:val="00144B69"/>
    <w:rsid w:val="00153E86"/>
    <w:rsid w:val="00165177"/>
    <w:rsid w:val="00192462"/>
    <w:rsid w:val="001B1BD1"/>
    <w:rsid w:val="001C3EF2"/>
    <w:rsid w:val="001D17F6"/>
    <w:rsid w:val="001D2C3F"/>
    <w:rsid w:val="00204B42"/>
    <w:rsid w:val="002231C3"/>
    <w:rsid w:val="00237A8C"/>
    <w:rsid w:val="0024417F"/>
    <w:rsid w:val="00250F8D"/>
    <w:rsid w:val="002C34DC"/>
    <w:rsid w:val="002E1C97"/>
    <w:rsid w:val="002F5834"/>
    <w:rsid w:val="00326EBF"/>
    <w:rsid w:val="00327FE4"/>
    <w:rsid w:val="0033398C"/>
    <w:rsid w:val="00392F6C"/>
    <w:rsid w:val="003D7D4D"/>
    <w:rsid w:val="00413D23"/>
    <w:rsid w:val="00427F63"/>
    <w:rsid w:val="004A17D1"/>
    <w:rsid w:val="004C4A0A"/>
    <w:rsid w:val="004E4EAF"/>
    <w:rsid w:val="00543EBA"/>
    <w:rsid w:val="0055206D"/>
    <w:rsid w:val="00556A2B"/>
    <w:rsid w:val="005E403A"/>
    <w:rsid w:val="006223E4"/>
    <w:rsid w:val="00680656"/>
    <w:rsid w:val="006B1119"/>
    <w:rsid w:val="006E3E46"/>
    <w:rsid w:val="006E71B1"/>
    <w:rsid w:val="00705D89"/>
    <w:rsid w:val="00711245"/>
    <w:rsid w:val="00731A42"/>
    <w:rsid w:val="00734722"/>
    <w:rsid w:val="00767E69"/>
    <w:rsid w:val="0077079A"/>
    <w:rsid w:val="007A5599"/>
    <w:rsid w:val="00850A89"/>
    <w:rsid w:val="00856233"/>
    <w:rsid w:val="00860F27"/>
    <w:rsid w:val="00893A0E"/>
    <w:rsid w:val="008B0560"/>
    <w:rsid w:val="008B2BFA"/>
    <w:rsid w:val="008D2FB3"/>
    <w:rsid w:val="0091630D"/>
    <w:rsid w:val="00936F03"/>
    <w:rsid w:val="00943B69"/>
    <w:rsid w:val="00944CB3"/>
    <w:rsid w:val="009B09D7"/>
    <w:rsid w:val="009B0DA7"/>
    <w:rsid w:val="009B664D"/>
    <w:rsid w:val="009D35ED"/>
    <w:rsid w:val="00A03CB6"/>
    <w:rsid w:val="00A1364C"/>
    <w:rsid w:val="00A21076"/>
    <w:rsid w:val="00A3739A"/>
    <w:rsid w:val="00A52DAF"/>
    <w:rsid w:val="00A65ED7"/>
    <w:rsid w:val="00A84072"/>
    <w:rsid w:val="00AB1CDF"/>
    <w:rsid w:val="00AD6913"/>
    <w:rsid w:val="00B16570"/>
    <w:rsid w:val="00B44A5C"/>
    <w:rsid w:val="00B53320"/>
    <w:rsid w:val="00BC6522"/>
    <w:rsid w:val="00C121D5"/>
    <w:rsid w:val="00C17349"/>
    <w:rsid w:val="00C243A6"/>
    <w:rsid w:val="00C351AA"/>
    <w:rsid w:val="00C7253F"/>
    <w:rsid w:val="00C83089"/>
    <w:rsid w:val="00D26A05"/>
    <w:rsid w:val="00D97B98"/>
    <w:rsid w:val="00DA25C1"/>
    <w:rsid w:val="00DC16FC"/>
    <w:rsid w:val="00DC671F"/>
    <w:rsid w:val="00DE4DA7"/>
    <w:rsid w:val="00E33B38"/>
    <w:rsid w:val="00E4712C"/>
    <w:rsid w:val="00E47FE5"/>
    <w:rsid w:val="00E574AF"/>
    <w:rsid w:val="00E60DB0"/>
    <w:rsid w:val="00E865F9"/>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A66-1770-4301-9AB1-C74E2378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5644</Words>
  <Characters>6076</Characters>
  <Application>Microsoft Office Word</Application>
  <DocSecurity>0</DocSecurity>
  <Lines>247</Lines>
  <Paragraphs>111</Paragraphs>
  <ScaleCrop>false</ScaleCrop>
  <Company>DCM</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1704168</dc:title>
  <dc:subject>CRC/C/OPSC/MWI/CO/1</dc:subject>
  <dc:creator>tian</dc:creator>
  <cp:keywords/>
  <dc:description/>
  <cp:lastModifiedBy>Tian H.</cp:lastModifiedBy>
  <cp:revision>2</cp:revision>
  <cp:lastPrinted>2014-05-09T11:28:00Z</cp:lastPrinted>
  <dcterms:created xsi:type="dcterms:W3CDTF">2017-04-10T14:15:00Z</dcterms:created>
  <dcterms:modified xsi:type="dcterms:W3CDTF">2017-04-10T14:15:00Z</dcterms:modified>
</cp:coreProperties>
</file>