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7724B" w:rsidP="00AC0031">
            <w:pPr>
              <w:bidi w:val="0"/>
              <w:spacing w:after="20"/>
              <w:jc w:val="left"/>
              <w:rPr>
                <w:szCs w:val="20"/>
              </w:rPr>
            </w:pPr>
            <w:r w:rsidRPr="002454D3">
              <w:rPr>
                <w:sz w:val="40"/>
                <w:szCs w:val="40"/>
              </w:rPr>
              <w:t>CRC</w:t>
            </w:r>
            <w:r w:rsidR="00E03B07" w:rsidRPr="00662394">
              <w:t>/</w:t>
            </w:r>
            <w:r w:rsidR="00662394" w:rsidRPr="00662394">
              <w:t>C/OPSC/EST/CO/1</w:t>
            </w:r>
          </w:p>
        </w:tc>
      </w:tr>
      <w:tr w:rsidR="00257225" w:rsidRPr="00DB767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03B07" w:rsidRDefault="00AC0031" w:rsidP="00E03B07">
            <w:pPr>
              <w:bidi w:val="0"/>
              <w:spacing w:before="240" w:line="240" w:lineRule="exact"/>
              <w:jc w:val="left"/>
              <w:rPr>
                <w:rStyle w:val="FootnoteReference"/>
                <w:rFonts w:hint="cs"/>
                <w:rtl/>
              </w:rPr>
            </w:pPr>
            <w:r>
              <w:t xml:space="preserve">Distr.: </w:t>
            </w:r>
            <w:r w:rsidR="00E03B07">
              <w:t>General</w:t>
            </w:r>
          </w:p>
          <w:p w:rsidR="00AC0031" w:rsidRDefault="00101630" w:rsidP="00E03B07">
            <w:pPr>
              <w:bidi w:val="0"/>
              <w:spacing w:line="240" w:lineRule="exact"/>
              <w:jc w:val="left"/>
            </w:pPr>
            <w:r w:rsidRPr="00101630">
              <w:t>5 March</w:t>
            </w:r>
            <w:r>
              <w:t xml:space="preserve"> </w:t>
            </w:r>
            <w:r w:rsidR="00E03B07">
              <w:t>2010</w:t>
            </w:r>
          </w:p>
          <w:p w:rsidR="00AC0031" w:rsidRDefault="00AC0031" w:rsidP="00BA32A9">
            <w:pPr>
              <w:bidi w:val="0"/>
              <w:spacing w:line="240" w:lineRule="exact"/>
              <w:jc w:val="left"/>
            </w:pPr>
            <w:r>
              <w:t>Arabic</w:t>
            </w:r>
          </w:p>
          <w:p w:rsidR="00257225" w:rsidRPr="008B4BC6" w:rsidRDefault="00AC0031" w:rsidP="00BA32A9">
            <w:pPr>
              <w:bidi w:val="0"/>
              <w:spacing w:line="240" w:lineRule="exact"/>
              <w:jc w:val="left"/>
            </w:pPr>
            <w:r>
              <w:t>Original: English</w:t>
            </w:r>
          </w:p>
        </w:tc>
      </w:tr>
    </w:tbl>
    <w:p w:rsidR="008B4BC6" w:rsidRPr="00AC0031" w:rsidRDefault="00231E54" w:rsidP="00231E54">
      <w:pPr>
        <w:spacing w:before="120" w:line="380" w:lineRule="exact"/>
        <w:rPr>
          <w:rFonts w:hint="cs"/>
          <w:b/>
          <w:bCs/>
          <w:sz w:val="36"/>
          <w:szCs w:val="36"/>
          <w:rtl/>
        </w:rPr>
      </w:pPr>
      <w:r w:rsidRPr="00231E54">
        <w:rPr>
          <w:rFonts w:hint="cs"/>
          <w:b/>
          <w:bCs/>
          <w:sz w:val="36"/>
          <w:szCs w:val="36"/>
          <w:rtl/>
        </w:rPr>
        <w:t>لجنة حقوق الطفل</w:t>
      </w:r>
      <w:r w:rsidRPr="00AC0031">
        <w:rPr>
          <w:rFonts w:hint="cs"/>
          <w:b/>
          <w:bCs/>
          <w:sz w:val="36"/>
          <w:szCs w:val="36"/>
          <w:rtl/>
        </w:rPr>
        <w:t xml:space="preserve"> </w:t>
      </w:r>
    </w:p>
    <w:p w:rsidR="00AC0031" w:rsidRDefault="00AC0031" w:rsidP="00231E54">
      <w:pPr>
        <w:spacing w:line="380" w:lineRule="exact"/>
        <w:rPr>
          <w:rFonts w:hint="cs"/>
          <w:b/>
          <w:bCs/>
          <w:rtl/>
        </w:rPr>
      </w:pPr>
      <w:r w:rsidRPr="00AC0031">
        <w:rPr>
          <w:rFonts w:hint="cs"/>
          <w:b/>
          <w:bCs/>
          <w:rtl/>
        </w:rPr>
        <w:t xml:space="preserve">الدورة </w:t>
      </w:r>
      <w:r w:rsidR="00101FA0">
        <w:rPr>
          <w:rFonts w:hint="cs"/>
          <w:b/>
          <w:bCs/>
          <w:rtl/>
        </w:rPr>
        <w:t xml:space="preserve">الثالثة </w:t>
      </w:r>
      <w:r w:rsidR="00231E54">
        <w:rPr>
          <w:rFonts w:hint="cs"/>
          <w:b/>
          <w:bCs/>
          <w:rtl/>
        </w:rPr>
        <w:t>والخمسون</w:t>
      </w:r>
    </w:p>
    <w:p w:rsidR="00101FA0" w:rsidRPr="00101FA0" w:rsidRDefault="00231E54" w:rsidP="00231E54">
      <w:pPr>
        <w:spacing w:line="380" w:lineRule="exact"/>
        <w:rPr>
          <w:rFonts w:hint="cs"/>
          <w:rtl/>
        </w:rPr>
      </w:pPr>
      <w:r>
        <w:rPr>
          <w:rFonts w:hint="cs"/>
          <w:rtl/>
        </w:rPr>
        <w:t>11-29 كانون الثاني/يناير 2010</w:t>
      </w:r>
    </w:p>
    <w:p w:rsidR="00AC0031" w:rsidRPr="00AC0031" w:rsidRDefault="00A1335D" w:rsidP="0073699D">
      <w:pPr>
        <w:pStyle w:val="HChGA"/>
        <w:jc w:val="left"/>
        <w:rPr>
          <w:rFonts w:hint="cs"/>
          <w:rtl/>
        </w:rPr>
      </w:pPr>
      <w:r>
        <w:tab/>
      </w:r>
      <w:r>
        <w:tab/>
      </w:r>
      <w:r w:rsidR="00231E54" w:rsidRPr="00231E54">
        <w:rPr>
          <w:rtl/>
        </w:rPr>
        <w:t xml:space="preserve">النظر </w:t>
      </w:r>
      <w:r w:rsidR="0073699D" w:rsidRPr="0073699D">
        <w:rPr>
          <w:rtl/>
        </w:rPr>
        <w:t>في التقارير المقدمة من الدول الأطراف بموجب الفقرة 1 من</w:t>
      </w:r>
      <w:r w:rsidR="0073699D" w:rsidRPr="0073699D">
        <w:rPr>
          <w:rFonts w:hint="cs"/>
          <w:rtl/>
        </w:rPr>
        <w:t xml:space="preserve"> </w:t>
      </w:r>
      <w:r w:rsidR="0073699D" w:rsidRPr="0073699D">
        <w:rPr>
          <w:rtl/>
        </w:rPr>
        <w:t>المادة 12 من البروتوكول الاختياري لاتفاقية حقوق الطفل المتعلق</w:t>
      </w:r>
      <w:r w:rsidR="0073699D" w:rsidRPr="0073699D">
        <w:rPr>
          <w:rFonts w:hint="cs"/>
          <w:rtl/>
        </w:rPr>
        <w:t xml:space="preserve"> </w:t>
      </w:r>
      <w:r w:rsidR="0073699D" w:rsidRPr="0073699D">
        <w:rPr>
          <w:rtl/>
        </w:rPr>
        <w:t>ببيع الأطفال وبغاء الأطفال واستغلال الأطفال في المواد الإباحية</w:t>
      </w:r>
    </w:p>
    <w:p w:rsidR="003105A8" w:rsidRDefault="00A1335D" w:rsidP="009E4ACB">
      <w:pPr>
        <w:pStyle w:val="H1GA"/>
        <w:rPr>
          <w:rFonts w:hint="cs"/>
          <w:rtl/>
        </w:rPr>
      </w:pPr>
      <w:r>
        <w:tab/>
      </w:r>
      <w:r>
        <w:tab/>
      </w:r>
      <w:r w:rsidRPr="00935DB1">
        <w:rPr>
          <w:rtl/>
        </w:rPr>
        <w:t xml:space="preserve">الملاحظات الختامية: </w:t>
      </w:r>
      <w:r w:rsidR="00CA770A" w:rsidRPr="00CA770A">
        <w:rPr>
          <w:rFonts w:hint="cs"/>
          <w:rtl/>
        </w:rPr>
        <w:t>إستونيا</w:t>
      </w:r>
    </w:p>
    <w:p w:rsidR="00EF5148" w:rsidRPr="00CE5B60" w:rsidRDefault="00EF5148" w:rsidP="00CE5B60">
      <w:pPr>
        <w:pStyle w:val="SingleTxtGA"/>
        <w:rPr>
          <w:rFonts w:hint="cs"/>
        </w:rPr>
      </w:pPr>
      <w:r w:rsidRPr="00CE5B60">
        <w:rPr>
          <w:rtl/>
        </w:rPr>
        <w:t>1</w:t>
      </w:r>
      <w:r w:rsidRPr="00CE5B60">
        <w:rPr>
          <w:rFonts w:hint="cs"/>
          <w:rtl/>
        </w:rPr>
        <w:t>-</w:t>
      </w:r>
      <w:r w:rsidRPr="00CE5B60">
        <w:tab/>
      </w:r>
      <w:r w:rsidR="00CE5B60" w:rsidRPr="00CE5B60">
        <w:rPr>
          <w:rFonts w:hint="cs"/>
          <w:sz w:val="22"/>
          <w:rtl/>
        </w:rPr>
        <w:t>نظرت اللجنة في التقرير الأولي لإستونيا (</w:t>
      </w:r>
      <w:r w:rsidR="00CE5B60" w:rsidRPr="00CE5B60">
        <w:rPr>
          <w:szCs w:val="22"/>
        </w:rPr>
        <w:t>CRC/C/OPSC/EST/1</w:t>
      </w:r>
      <w:r w:rsidR="00CE5B60" w:rsidRPr="00CE5B60">
        <w:rPr>
          <w:rFonts w:hint="cs"/>
          <w:sz w:val="22"/>
          <w:rtl/>
        </w:rPr>
        <w:t xml:space="preserve">) في جلستها 1462 (انظر </w:t>
      </w:r>
      <w:r w:rsidR="00CE5B60" w:rsidRPr="00CE5B60">
        <w:rPr>
          <w:szCs w:val="22"/>
        </w:rPr>
        <w:t>CRC/C/SR.1462</w:t>
      </w:r>
      <w:r w:rsidR="00CE5B60" w:rsidRPr="00CE5B60">
        <w:rPr>
          <w:rFonts w:hint="cs"/>
          <w:sz w:val="22"/>
          <w:rtl/>
        </w:rPr>
        <w:t>)، المعقودة في 13 كانون الثاني/يناير 2010، واعتمدت في جلستها 1501، المعقودة في 29 كانون الثاني/يناير 2010 الملاحظات الختامية التالية</w:t>
      </w:r>
      <w:r w:rsidRPr="00CE5B60">
        <w:rPr>
          <w:rFonts w:hint="cs"/>
          <w:rtl/>
        </w:rPr>
        <w:t xml:space="preserve"> </w:t>
      </w:r>
    </w:p>
    <w:p w:rsidR="00EF5148" w:rsidRPr="00935DB1" w:rsidRDefault="00CE5B60" w:rsidP="009E4ACB">
      <w:pPr>
        <w:pStyle w:val="H1GA"/>
      </w:pPr>
      <w:r>
        <w:rPr>
          <w:rFonts w:hint="cs"/>
          <w:rtl/>
        </w:rPr>
        <w:tab/>
      </w:r>
      <w:r w:rsidR="007E2D36">
        <w:rPr>
          <w:rFonts w:hint="cs"/>
          <w:rtl/>
        </w:rPr>
        <w:tab/>
      </w:r>
      <w:r w:rsidR="00EF5148" w:rsidRPr="00935DB1">
        <w:rPr>
          <w:rtl/>
        </w:rPr>
        <w:t>مقدمة</w:t>
      </w:r>
    </w:p>
    <w:p w:rsidR="003156AA" w:rsidRPr="001B0BF4" w:rsidRDefault="003156AA" w:rsidP="009E4ACB">
      <w:pPr>
        <w:pStyle w:val="SingleTxtGA"/>
        <w:rPr>
          <w:rFonts w:hint="cs"/>
          <w:rtl/>
        </w:rPr>
      </w:pPr>
      <w:r w:rsidRPr="001B0BF4">
        <w:rPr>
          <w:rFonts w:hint="cs"/>
          <w:rtl/>
        </w:rPr>
        <w:t>2-</w:t>
      </w:r>
      <w:r w:rsidRPr="001B0BF4">
        <w:rPr>
          <w:rFonts w:hint="cs"/>
          <w:rtl/>
        </w:rPr>
        <w:tab/>
      </w:r>
      <w:r>
        <w:rPr>
          <w:rFonts w:hint="cs"/>
          <w:rtl/>
        </w:rPr>
        <w:t>ترحب اللجنة بتقديم الدولة الطرف تقريرها الأولي بموجب البروتوكول الاختياري</w:t>
      </w:r>
      <w:r w:rsidRPr="00CF501F">
        <w:rPr>
          <w:rtl/>
        </w:rPr>
        <w:t xml:space="preserve"> المتعلق ببيع الأطفال وبغاء الأطفال واستغلال الأطفال في المواد الإباحية</w:t>
      </w:r>
      <w:r>
        <w:rPr>
          <w:rFonts w:hint="cs"/>
          <w:rtl/>
        </w:rPr>
        <w:t>، فضلا عن ردودها الخطية على قائمة المسائل التي وضعتها اللجنة (</w:t>
      </w:r>
      <w:r w:rsidRPr="00CF501F">
        <w:rPr>
          <w:szCs w:val="22"/>
        </w:rPr>
        <w:t>CRC/C/OPSC/EST/Q/1</w:t>
      </w:r>
      <w:r>
        <w:rPr>
          <w:rFonts w:hint="cs"/>
          <w:rtl/>
        </w:rPr>
        <w:t xml:space="preserve"> و</w:t>
      </w:r>
      <w:r>
        <w:rPr>
          <w:lang w:val="en-CA"/>
        </w:rPr>
        <w:t>Add.1</w:t>
      </w:r>
      <w:r>
        <w:rPr>
          <w:rFonts w:hint="cs"/>
          <w:rtl/>
        </w:rPr>
        <w:t>). والمقدمة في الموعد المحدد. و</w:t>
      </w:r>
      <w:r w:rsidRPr="001B0BF4">
        <w:rPr>
          <w:rFonts w:hint="cs"/>
          <w:rtl/>
        </w:rPr>
        <w:t xml:space="preserve">تقدر اللجنة الحوار المثمر والبناء الذي دار مع وفد الدولة الطرف </w:t>
      </w:r>
      <w:r>
        <w:rPr>
          <w:rFonts w:hint="cs"/>
          <w:rtl/>
        </w:rPr>
        <w:t>الكبير والمتعدد القطاعات</w:t>
      </w:r>
      <w:r w:rsidRPr="001B0BF4">
        <w:rPr>
          <w:rFonts w:hint="cs"/>
          <w:rtl/>
        </w:rPr>
        <w:t xml:space="preserve">، والذي ألقى الضوء على عزم الدولة تنفيذ أحكام البروتوكول الاختياري كجزء من التزام إستونيا الأوسع نطاقا بحقوق الأطفال بصفة عامة. </w:t>
      </w:r>
    </w:p>
    <w:p w:rsidR="003156AA" w:rsidRPr="00E30BC3" w:rsidRDefault="009E4ACB" w:rsidP="00E30BC3">
      <w:pPr>
        <w:pStyle w:val="H1GA"/>
        <w:rPr>
          <w:rFonts w:hint="cs"/>
          <w:rtl/>
        </w:rPr>
      </w:pPr>
      <w:r>
        <w:rPr>
          <w:rtl/>
        </w:rPr>
        <w:br w:type="page"/>
      </w:r>
      <w:r w:rsidR="00E30BC3">
        <w:rPr>
          <w:rFonts w:hint="cs"/>
          <w:rtl/>
        </w:rPr>
        <w:tab/>
      </w:r>
      <w:r w:rsidR="003156AA" w:rsidRPr="00E30BC3">
        <w:rPr>
          <w:rFonts w:hint="cs"/>
          <w:rtl/>
        </w:rPr>
        <w:t>أولا</w:t>
      </w:r>
      <w:r w:rsidR="006A2076">
        <w:rPr>
          <w:rFonts w:hint="cs"/>
          <w:rtl/>
        </w:rPr>
        <w:t>ً</w:t>
      </w:r>
      <w:r w:rsidR="003156AA" w:rsidRPr="00E30BC3">
        <w:rPr>
          <w:rFonts w:hint="cs"/>
          <w:rtl/>
        </w:rPr>
        <w:t>-</w:t>
      </w:r>
      <w:r w:rsidR="00E30BC3">
        <w:rPr>
          <w:rFonts w:hint="cs"/>
          <w:rtl/>
        </w:rPr>
        <w:tab/>
      </w:r>
      <w:r w:rsidR="003156AA" w:rsidRPr="00E30BC3">
        <w:rPr>
          <w:rFonts w:hint="cs"/>
          <w:rtl/>
        </w:rPr>
        <w:t>ملاحظات عامة</w:t>
      </w:r>
    </w:p>
    <w:p w:rsidR="003156AA" w:rsidRPr="00BD5DF7" w:rsidRDefault="00B36014" w:rsidP="00B36014">
      <w:pPr>
        <w:pStyle w:val="H23GA"/>
        <w:rPr>
          <w:rFonts w:hint="cs"/>
          <w:rtl/>
        </w:rPr>
      </w:pPr>
      <w:r>
        <w:rPr>
          <w:rFonts w:hint="cs"/>
          <w:rtl/>
        </w:rPr>
        <w:tab/>
      </w:r>
      <w:r>
        <w:rPr>
          <w:rFonts w:hint="cs"/>
          <w:rtl/>
        </w:rPr>
        <w:tab/>
      </w:r>
      <w:r w:rsidR="003156AA" w:rsidRPr="00BD5DF7">
        <w:rPr>
          <w:rFonts w:hint="cs"/>
          <w:rtl/>
        </w:rPr>
        <w:t>الجوانب الإيجابية</w:t>
      </w:r>
    </w:p>
    <w:p w:rsidR="003156AA" w:rsidRDefault="003156AA" w:rsidP="00B36014">
      <w:pPr>
        <w:pStyle w:val="SingleTxtGA"/>
        <w:rPr>
          <w:rFonts w:hint="cs"/>
          <w:rtl/>
        </w:rPr>
      </w:pPr>
      <w:r>
        <w:rPr>
          <w:rFonts w:hint="cs"/>
          <w:rtl/>
        </w:rPr>
        <w:t>3-</w:t>
      </w:r>
      <w:r>
        <w:rPr>
          <w:rFonts w:hint="cs"/>
          <w:rtl/>
        </w:rPr>
        <w:tab/>
      </w:r>
      <w:r w:rsidRPr="00BD5DF7">
        <w:rPr>
          <w:rFonts w:hint="cs"/>
          <w:rtl/>
        </w:rPr>
        <w:t xml:space="preserve">تلاحظ اللجنة </w:t>
      </w:r>
      <w:r>
        <w:rPr>
          <w:rFonts w:hint="cs"/>
          <w:rtl/>
        </w:rPr>
        <w:t>مع ال</w:t>
      </w:r>
      <w:r w:rsidRPr="00BD5DF7">
        <w:rPr>
          <w:rFonts w:hint="cs"/>
          <w:rtl/>
        </w:rPr>
        <w:t>تقدير اتخاذ التدابير التشريعية والتدابير الأخرى التالية</w:t>
      </w:r>
      <w:r>
        <w:rPr>
          <w:rFonts w:hint="cs"/>
          <w:rtl/>
        </w:rPr>
        <w:t>:</w:t>
      </w:r>
      <w:r w:rsidRPr="001B0BF4">
        <w:rPr>
          <w:rFonts w:hint="cs"/>
          <w:rtl/>
        </w:rPr>
        <w:t xml:space="preserve"> </w:t>
      </w:r>
    </w:p>
    <w:p w:rsidR="003156AA" w:rsidRPr="00BD5DF7" w:rsidRDefault="00735374" w:rsidP="00B36014">
      <w:pPr>
        <w:pStyle w:val="SingleTxtGA"/>
        <w:rPr>
          <w:rFonts w:hint="cs"/>
          <w:rtl/>
        </w:rPr>
      </w:pPr>
      <w:r>
        <w:rPr>
          <w:rFonts w:hint="cs"/>
          <w:rtl/>
        </w:rPr>
        <w:tab/>
      </w:r>
      <w:r w:rsidR="003156AA" w:rsidRPr="00BD5DF7">
        <w:rPr>
          <w:rFonts w:hint="cs"/>
          <w:rtl/>
        </w:rPr>
        <w:t>(أ)</w:t>
      </w:r>
      <w:r w:rsidR="003156AA" w:rsidRPr="00BD5DF7">
        <w:rPr>
          <w:rFonts w:hint="cs"/>
          <w:rtl/>
        </w:rPr>
        <w:tab/>
        <w:t xml:space="preserve">زيادة اهتمام </w:t>
      </w:r>
      <w:r w:rsidR="003156AA">
        <w:rPr>
          <w:rFonts w:hint="cs"/>
          <w:rtl/>
        </w:rPr>
        <w:t>الريجيكوغو (</w:t>
      </w:r>
      <w:r w:rsidR="003156AA" w:rsidRPr="00BD5DF7">
        <w:rPr>
          <w:rFonts w:hint="cs"/>
          <w:rtl/>
        </w:rPr>
        <w:t>البرلمان</w:t>
      </w:r>
      <w:r w:rsidR="003156AA">
        <w:rPr>
          <w:rFonts w:hint="cs"/>
          <w:rtl/>
        </w:rPr>
        <w:t>)</w:t>
      </w:r>
      <w:r w:rsidR="003156AA" w:rsidRPr="00BD5DF7">
        <w:rPr>
          <w:rFonts w:hint="cs"/>
          <w:rtl/>
        </w:rPr>
        <w:t xml:space="preserve"> بالكشف عن الجرائم المرتكبة ضد الأطفال وتنقيح وتعديل القانون الجنائي وقانون الإجراءات الجنائية في السنوات الأخيرة؛</w:t>
      </w:r>
    </w:p>
    <w:p w:rsidR="003156AA" w:rsidRPr="00BD5DF7" w:rsidRDefault="00735374" w:rsidP="00B36014">
      <w:pPr>
        <w:pStyle w:val="SingleTxtGA"/>
        <w:rPr>
          <w:rFonts w:hint="cs"/>
          <w:rtl/>
        </w:rPr>
      </w:pPr>
      <w:r>
        <w:rPr>
          <w:rFonts w:hint="cs"/>
          <w:rtl/>
        </w:rPr>
        <w:tab/>
      </w:r>
      <w:r w:rsidR="003156AA" w:rsidRPr="00BD5DF7">
        <w:rPr>
          <w:rFonts w:hint="cs"/>
          <w:rtl/>
        </w:rPr>
        <w:t>(ب)</w:t>
      </w:r>
      <w:r w:rsidR="003156AA" w:rsidRPr="00BD5DF7">
        <w:rPr>
          <w:rFonts w:hint="cs"/>
          <w:rtl/>
        </w:rPr>
        <w:tab/>
        <w:t>إدخال خدمات حماية الطفل في كل مر</w:t>
      </w:r>
      <w:r w:rsidR="003156AA">
        <w:rPr>
          <w:rFonts w:hint="cs"/>
          <w:rtl/>
        </w:rPr>
        <w:t>ا</w:t>
      </w:r>
      <w:r w:rsidR="003156AA" w:rsidRPr="00BD5DF7">
        <w:rPr>
          <w:rFonts w:hint="cs"/>
          <w:rtl/>
        </w:rPr>
        <w:t xml:space="preserve">كز </w:t>
      </w:r>
      <w:r w:rsidR="003156AA">
        <w:rPr>
          <w:rFonts w:hint="cs"/>
          <w:rtl/>
        </w:rPr>
        <w:t>ال</w:t>
      </w:r>
      <w:r w:rsidR="003156AA" w:rsidRPr="00BD5DF7">
        <w:rPr>
          <w:rFonts w:hint="cs"/>
          <w:rtl/>
        </w:rPr>
        <w:t xml:space="preserve">شرطة </w:t>
      </w:r>
      <w:r w:rsidR="003156AA">
        <w:rPr>
          <w:rFonts w:hint="cs"/>
          <w:rtl/>
        </w:rPr>
        <w:t>ب</w:t>
      </w:r>
      <w:r w:rsidR="003156AA" w:rsidRPr="00BD5DF7">
        <w:rPr>
          <w:rFonts w:hint="cs"/>
          <w:rtl/>
        </w:rPr>
        <w:t>إستونيا ابتداء من عام 2010؛</w:t>
      </w:r>
    </w:p>
    <w:p w:rsidR="003156AA" w:rsidRPr="00BD5DF7" w:rsidRDefault="00735374" w:rsidP="00B36014">
      <w:pPr>
        <w:pStyle w:val="SingleTxtGA"/>
        <w:rPr>
          <w:rFonts w:hint="cs"/>
          <w:rtl/>
        </w:rPr>
      </w:pPr>
      <w:r>
        <w:rPr>
          <w:rFonts w:hint="cs"/>
          <w:rtl/>
        </w:rPr>
        <w:tab/>
      </w:r>
      <w:r w:rsidR="003156AA" w:rsidRPr="00BD5DF7">
        <w:rPr>
          <w:rFonts w:hint="cs"/>
          <w:rtl/>
        </w:rPr>
        <w:t>(ج)</w:t>
      </w:r>
      <w:r w:rsidR="003156AA" w:rsidRPr="00BD5DF7">
        <w:rPr>
          <w:rFonts w:hint="cs"/>
          <w:rtl/>
        </w:rPr>
        <w:tab/>
        <w:t>مشاركة إستونيا ا</w:t>
      </w:r>
      <w:r w:rsidR="003156AA">
        <w:rPr>
          <w:rFonts w:hint="cs"/>
          <w:rtl/>
        </w:rPr>
        <w:t>لإيجابي</w:t>
      </w:r>
      <w:r w:rsidR="003156AA" w:rsidRPr="00BD5DF7">
        <w:rPr>
          <w:rFonts w:hint="cs"/>
          <w:rtl/>
        </w:rPr>
        <w:t>ة على الصعد الدولي</w:t>
      </w:r>
      <w:r w:rsidR="003156AA">
        <w:rPr>
          <w:rFonts w:hint="cs"/>
          <w:rtl/>
        </w:rPr>
        <w:t>ة</w:t>
      </w:r>
      <w:r w:rsidR="003156AA" w:rsidRPr="00BD5DF7">
        <w:rPr>
          <w:rFonts w:hint="cs"/>
          <w:rtl/>
        </w:rPr>
        <w:t xml:space="preserve"> والإقليمي</w:t>
      </w:r>
      <w:r w:rsidR="003156AA">
        <w:rPr>
          <w:rFonts w:hint="cs"/>
          <w:rtl/>
        </w:rPr>
        <w:t>ة</w:t>
      </w:r>
      <w:r w:rsidR="003156AA" w:rsidRPr="00BD5DF7">
        <w:rPr>
          <w:rFonts w:hint="cs"/>
          <w:rtl/>
        </w:rPr>
        <w:t xml:space="preserve"> ودون الإقليمي</w:t>
      </w:r>
      <w:r w:rsidR="003156AA">
        <w:rPr>
          <w:rFonts w:hint="cs"/>
          <w:rtl/>
        </w:rPr>
        <w:t>ة</w:t>
      </w:r>
      <w:r w:rsidR="003156AA" w:rsidRPr="00BD5DF7">
        <w:rPr>
          <w:rFonts w:hint="cs"/>
          <w:rtl/>
        </w:rPr>
        <w:t xml:space="preserve"> في منتديات بشأن مكافحة الاتجار بالأطفال والجرائم </w:t>
      </w:r>
      <w:r w:rsidR="003156AA">
        <w:rPr>
          <w:rFonts w:hint="cs"/>
          <w:rtl/>
        </w:rPr>
        <w:t>الإلكترونية</w:t>
      </w:r>
      <w:r w:rsidR="003156AA" w:rsidRPr="00F974E3">
        <w:rPr>
          <w:rFonts w:hint="cs"/>
          <w:rtl/>
        </w:rPr>
        <w:t xml:space="preserve"> </w:t>
      </w:r>
      <w:r w:rsidR="003156AA" w:rsidRPr="00BD5DF7">
        <w:rPr>
          <w:rFonts w:hint="cs"/>
          <w:rtl/>
        </w:rPr>
        <w:t>واستغلال الأطفال في المواد الإباحية على الانترنت بصفة خاصة.</w:t>
      </w:r>
    </w:p>
    <w:p w:rsidR="003156AA" w:rsidRPr="001B0BF4" w:rsidRDefault="003156AA" w:rsidP="00B36014">
      <w:pPr>
        <w:pStyle w:val="SingleTxtGA"/>
        <w:rPr>
          <w:rFonts w:hint="cs"/>
          <w:rtl/>
        </w:rPr>
      </w:pPr>
      <w:r w:rsidRPr="001B0BF4">
        <w:rPr>
          <w:rFonts w:hint="cs"/>
          <w:rtl/>
        </w:rPr>
        <w:t>4-</w:t>
      </w:r>
      <w:r w:rsidRPr="001B0BF4">
        <w:rPr>
          <w:rFonts w:hint="cs"/>
          <w:rtl/>
        </w:rPr>
        <w:tab/>
        <w:t xml:space="preserve">كما تلاحظ اللجنة </w:t>
      </w:r>
      <w:r>
        <w:rPr>
          <w:rFonts w:hint="cs"/>
          <w:rtl/>
        </w:rPr>
        <w:t xml:space="preserve">مع التقدير </w:t>
      </w:r>
      <w:r w:rsidRPr="001B0BF4">
        <w:rPr>
          <w:rFonts w:hint="cs"/>
          <w:rtl/>
        </w:rPr>
        <w:t>تصديق الدولة الطرف على:</w:t>
      </w:r>
    </w:p>
    <w:p w:rsidR="003156AA" w:rsidRDefault="00735374" w:rsidP="00B36014">
      <w:pPr>
        <w:pStyle w:val="SingleTxtGA"/>
        <w:rPr>
          <w:rFonts w:hint="cs"/>
          <w:rtl/>
        </w:rPr>
      </w:pPr>
      <w:r>
        <w:rPr>
          <w:rFonts w:hint="cs"/>
          <w:rtl/>
        </w:rPr>
        <w:tab/>
      </w:r>
      <w:r w:rsidR="003156AA">
        <w:rPr>
          <w:rFonts w:hint="cs"/>
          <w:rtl/>
        </w:rPr>
        <w:t>(أ)</w:t>
      </w:r>
      <w:r w:rsidR="003156AA">
        <w:rPr>
          <w:rFonts w:hint="cs"/>
          <w:rtl/>
        </w:rPr>
        <w:tab/>
      </w:r>
      <w:r w:rsidR="003156AA" w:rsidRPr="00BD5DF7">
        <w:rPr>
          <w:rFonts w:hint="cs"/>
          <w:rtl/>
        </w:rPr>
        <w:t>اتفاقية الحد الأدنى لسن العمل لعام 1973 (رقم 138)</w:t>
      </w:r>
      <w:r w:rsidR="003156AA">
        <w:rPr>
          <w:rFonts w:hint="cs"/>
          <w:rtl/>
        </w:rPr>
        <w:t xml:space="preserve"> لمنظمة العمل الدولية في عام 2007؛</w:t>
      </w:r>
    </w:p>
    <w:p w:rsidR="003156AA" w:rsidRDefault="00735374" w:rsidP="00B36014">
      <w:pPr>
        <w:pStyle w:val="SingleTxtGA"/>
        <w:rPr>
          <w:rFonts w:hint="cs"/>
          <w:rtl/>
        </w:rPr>
      </w:pPr>
      <w:r>
        <w:rPr>
          <w:rFonts w:hint="cs"/>
          <w:rtl/>
        </w:rPr>
        <w:tab/>
      </w:r>
      <w:r w:rsidR="003156AA">
        <w:rPr>
          <w:rFonts w:hint="cs"/>
          <w:rtl/>
        </w:rPr>
        <w:t>(ب)</w:t>
      </w:r>
      <w:r w:rsidR="003156AA">
        <w:rPr>
          <w:rFonts w:hint="cs"/>
          <w:rtl/>
        </w:rPr>
        <w:tab/>
      </w:r>
      <w:r w:rsidR="003156AA" w:rsidRPr="0039350B">
        <w:rPr>
          <w:rFonts w:hint="cs"/>
          <w:rtl/>
        </w:rPr>
        <w:t>الاتفاقية الأوروبية المتعلقة بتعويض ضحايا الجرائم العنيفة</w:t>
      </w:r>
      <w:r w:rsidR="003156AA">
        <w:rPr>
          <w:rFonts w:hint="cs"/>
          <w:rtl/>
        </w:rPr>
        <w:t>،</w:t>
      </w:r>
      <w:r w:rsidR="003156AA" w:rsidRPr="0039350B">
        <w:rPr>
          <w:rFonts w:hint="cs"/>
          <w:rtl/>
        </w:rPr>
        <w:t xml:space="preserve"> </w:t>
      </w:r>
      <w:r w:rsidR="003156AA">
        <w:rPr>
          <w:rFonts w:hint="cs"/>
          <w:rtl/>
        </w:rPr>
        <w:t>في كانون الثاني/يناير 2006؛</w:t>
      </w:r>
    </w:p>
    <w:p w:rsidR="003156AA" w:rsidRPr="00F974E3" w:rsidRDefault="00735374" w:rsidP="00B36014">
      <w:pPr>
        <w:pStyle w:val="SingleTxtGA"/>
        <w:rPr>
          <w:rFonts w:hint="cs"/>
          <w:rtl/>
        </w:rPr>
      </w:pPr>
      <w:r>
        <w:rPr>
          <w:rFonts w:hint="cs"/>
          <w:rtl/>
        </w:rPr>
        <w:tab/>
      </w:r>
      <w:r w:rsidR="003156AA">
        <w:rPr>
          <w:rFonts w:hint="cs"/>
          <w:rtl/>
        </w:rPr>
        <w:t>(ج)</w:t>
      </w:r>
      <w:r w:rsidR="003156AA">
        <w:rPr>
          <w:rFonts w:hint="cs"/>
          <w:rtl/>
        </w:rPr>
        <w:tab/>
      </w:r>
      <w:r w:rsidR="003156AA" w:rsidRPr="00F974E3">
        <w:rPr>
          <w:rFonts w:hint="cs"/>
          <w:rtl/>
        </w:rPr>
        <w:t xml:space="preserve">اتفاقية الأمم المتحدة لمكافحة الجريمة المنظمة عبر الوطنية، في شباط/فبراير 2003، والبروتوكول الملحق بها المتعلق </w:t>
      </w:r>
      <w:r w:rsidR="003156AA">
        <w:rPr>
          <w:rFonts w:hint="cs"/>
          <w:rtl/>
        </w:rPr>
        <w:t>ب</w:t>
      </w:r>
      <w:r w:rsidR="003156AA" w:rsidRPr="00F974E3">
        <w:rPr>
          <w:rFonts w:hint="cs"/>
          <w:rtl/>
        </w:rPr>
        <w:t>منع وقمع الاتجار بالأشخاص،</w:t>
      </w:r>
      <w:r w:rsidR="003156AA" w:rsidRPr="00F974E3">
        <w:t> </w:t>
      </w:r>
      <w:r w:rsidR="003156AA" w:rsidRPr="00F974E3">
        <w:rPr>
          <w:rFonts w:hint="cs"/>
          <w:rtl/>
        </w:rPr>
        <w:t>وخاصة النساء والأطفال</w:t>
      </w:r>
      <w:r w:rsidR="003156AA">
        <w:rPr>
          <w:rFonts w:hint="cs"/>
          <w:rtl/>
        </w:rPr>
        <w:t xml:space="preserve"> والمعاقبة عليه</w:t>
      </w:r>
      <w:r w:rsidR="003156AA" w:rsidRPr="00F974E3">
        <w:rPr>
          <w:rFonts w:hint="cs"/>
          <w:rtl/>
        </w:rPr>
        <w:t>، في أيار/مايو 2004؛</w:t>
      </w:r>
    </w:p>
    <w:p w:rsidR="003156AA" w:rsidRPr="00BD5DF7" w:rsidRDefault="003156AA" w:rsidP="00B36014">
      <w:pPr>
        <w:pStyle w:val="SingleTxtGA"/>
        <w:rPr>
          <w:rFonts w:hint="cs"/>
          <w:rtl/>
        </w:rPr>
      </w:pPr>
      <w:r w:rsidRPr="00F974E3">
        <w:rPr>
          <w:rFonts w:hint="cs"/>
          <w:rtl/>
        </w:rPr>
        <w:t>(د)</w:t>
      </w:r>
      <w:r w:rsidRPr="00F974E3">
        <w:rPr>
          <w:rFonts w:hint="cs"/>
          <w:rtl/>
        </w:rPr>
        <w:tab/>
        <w:t xml:space="preserve">اتفاقية مجلس أوروبا بشأن الجرائم </w:t>
      </w:r>
      <w:r>
        <w:rPr>
          <w:rFonts w:hint="cs"/>
          <w:rtl/>
        </w:rPr>
        <w:t>الإلكترونية</w:t>
      </w:r>
      <w:r w:rsidRPr="00F974E3">
        <w:rPr>
          <w:rFonts w:hint="cs"/>
          <w:rtl/>
        </w:rPr>
        <w:t xml:space="preserve"> في </w:t>
      </w:r>
      <w:r>
        <w:rPr>
          <w:rFonts w:hint="cs"/>
          <w:rtl/>
        </w:rPr>
        <w:t>تشرين الثاني/نوفمبر</w:t>
      </w:r>
      <w:r w:rsidRPr="00F974E3">
        <w:rPr>
          <w:rFonts w:hint="cs"/>
          <w:rtl/>
        </w:rPr>
        <w:t xml:space="preserve"> 2001.</w:t>
      </w:r>
    </w:p>
    <w:p w:rsidR="003156AA" w:rsidRPr="00735374" w:rsidRDefault="00735374" w:rsidP="00735374">
      <w:pPr>
        <w:pStyle w:val="H1GA"/>
        <w:rPr>
          <w:rFonts w:hint="cs"/>
          <w:rtl/>
        </w:rPr>
      </w:pPr>
      <w:r>
        <w:rPr>
          <w:rFonts w:hint="cs"/>
          <w:rtl/>
        </w:rPr>
        <w:tab/>
      </w:r>
      <w:r w:rsidR="003156AA" w:rsidRPr="00735374">
        <w:rPr>
          <w:rFonts w:hint="cs"/>
          <w:rtl/>
        </w:rPr>
        <w:t>ثانيا</w:t>
      </w:r>
      <w:r w:rsidR="006A2076">
        <w:rPr>
          <w:rFonts w:hint="cs"/>
          <w:rtl/>
        </w:rPr>
        <w:t>ً</w:t>
      </w:r>
      <w:r w:rsidR="003156AA" w:rsidRPr="00735374">
        <w:rPr>
          <w:rFonts w:hint="cs"/>
          <w:rtl/>
        </w:rPr>
        <w:t>-</w:t>
      </w:r>
      <w:r>
        <w:rPr>
          <w:rFonts w:hint="cs"/>
          <w:rtl/>
        </w:rPr>
        <w:tab/>
      </w:r>
      <w:r w:rsidR="003156AA" w:rsidRPr="00735374">
        <w:rPr>
          <w:rFonts w:hint="cs"/>
          <w:rtl/>
        </w:rPr>
        <w:t>البيانات</w:t>
      </w:r>
    </w:p>
    <w:p w:rsidR="003156AA" w:rsidRPr="00735374" w:rsidRDefault="00735374" w:rsidP="00735374">
      <w:pPr>
        <w:pStyle w:val="H23GA"/>
        <w:rPr>
          <w:rFonts w:hint="cs"/>
          <w:rtl/>
        </w:rPr>
      </w:pPr>
      <w:r>
        <w:rPr>
          <w:rFonts w:hint="cs"/>
          <w:rtl/>
        </w:rPr>
        <w:tab/>
      </w:r>
      <w:r>
        <w:rPr>
          <w:rFonts w:hint="cs"/>
          <w:rtl/>
        </w:rPr>
        <w:tab/>
      </w:r>
      <w:r w:rsidR="003156AA" w:rsidRPr="00735374">
        <w:rPr>
          <w:rFonts w:hint="cs"/>
          <w:rtl/>
        </w:rPr>
        <w:t>جمع البيانات</w:t>
      </w:r>
    </w:p>
    <w:p w:rsidR="003156AA" w:rsidRPr="001B0BF4" w:rsidRDefault="003156AA" w:rsidP="00510B0A">
      <w:pPr>
        <w:pStyle w:val="SingleTxtGA"/>
        <w:rPr>
          <w:rFonts w:hint="cs"/>
          <w:rtl/>
        </w:rPr>
      </w:pPr>
      <w:r w:rsidRPr="001B0BF4">
        <w:rPr>
          <w:rFonts w:hint="cs"/>
          <w:rtl/>
        </w:rPr>
        <w:t>5-</w:t>
      </w:r>
      <w:r w:rsidRPr="001B0BF4">
        <w:rPr>
          <w:rFonts w:hint="cs"/>
          <w:rtl/>
        </w:rPr>
        <w:tab/>
        <w:t>في حين ترحب اللجنة بالبيانات الواردة في تقرير الدولة الطرف والردود على قائمة المسائل</w:t>
      </w:r>
      <w:r>
        <w:rPr>
          <w:rFonts w:hint="cs"/>
          <w:rtl/>
        </w:rPr>
        <w:t xml:space="preserve"> التي وضعتها اللجنة</w:t>
      </w:r>
      <w:r w:rsidRPr="001B0BF4">
        <w:rPr>
          <w:rFonts w:hint="cs"/>
          <w:rtl/>
        </w:rPr>
        <w:t>، وخاصة بشأن عدد المحاكمات والإدانات المتعلقة بالجرائم ذات الصلة بالبروتوكول الاختياري، فإنها تأسف لعدم وجود آلية منهجية لجمع البيانات وتحليلها ورصدها في جميع المجالات المشمولة بالبروتوكول الاختياري. وفي حين تلاحظ اللجنة البحوث المضطلع بها، بما في ذلك دراسة استقصائية عن مدى الإيذاء الجنسي بين المراهقين وا</w:t>
      </w:r>
      <w:r>
        <w:rPr>
          <w:rFonts w:hint="cs"/>
          <w:rtl/>
        </w:rPr>
        <w:t>لاتجاهات</w:t>
      </w:r>
      <w:r w:rsidRPr="001B0BF4">
        <w:rPr>
          <w:rFonts w:hint="cs"/>
          <w:rtl/>
        </w:rPr>
        <w:t xml:space="preserve"> نحو ذلك، فإنها تأسف لعدم وجود بحوث عن المجالات </w:t>
      </w:r>
      <w:r>
        <w:rPr>
          <w:rFonts w:hint="cs"/>
          <w:rtl/>
        </w:rPr>
        <w:t xml:space="preserve">المحددة </w:t>
      </w:r>
      <w:r w:rsidRPr="001B0BF4">
        <w:rPr>
          <w:rFonts w:hint="cs"/>
          <w:rtl/>
        </w:rPr>
        <w:t>التي يغطيها البروتوكول الاختياري وخاصة بشأن السياحة بدافع ممارسة الجنس مع الأطفال.</w:t>
      </w:r>
    </w:p>
    <w:p w:rsidR="003156AA" w:rsidRPr="001B0BF4" w:rsidRDefault="003156AA" w:rsidP="00510B0A">
      <w:pPr>
        <w:pStyle w:val="SingleTxtGA"/>
        <w:rPr>
          <w:rFonts w:hint="cs"/>
          <w:rtl/>
        </w:rPr>
      </w:pPr>
      <w:r w:rsidRPr="001B0BF4">
        <w:rPr>
          <w:rFonts w:hint="cs"/>
          <w:rtl/>
        </w:rPr>
        <w:t>6-</w:t>
      </w:r>
      <w:r w:rsidRPr="001B0BF4">
        <w:rPr>
          <w:rFonts w:hint="cs"/>
          <w:rtl/>
        </w:rPr>
        <w:tab/>
        <w:t>وتوصي اللجنة بأن تضع و</w:t>
      </w:r>
      <w:r>
        <w:rPr>
          <w:rFonts w:hint="cs"/>
          <w:rtl/>
        </w:rPr>
        <w:t xml:space="preserve">أن </w:t>
      </w:r>
      <w:r w:rsidRPr="001B0BF4">
        <w:rPr>
          <w:rFonts w:hint="cs"/>
          <w:rtl/>
        </w:rPr>
        <w:t xml:space="preserve">تنفذ الدولة الطرف آلية شاملة ومنهجية لجمع البيانات وتحليلها ورصدها لجميع المجالات التي يغطيها البروتوكول الاختياري. وينبغي تصنيف هذه البيانات </w:t>
      </w:r>
      <w:r>
        <w:rPr>
          <w:rFonts w:hint="cs"/>
          <w:rtl/>
        </w:rPr>
        <w:t xml:space="preserve">حسب </w:t>
      </w:r>
      <w:r w:rsidRPr="001B0BF4">
        <w:rPr>
          <w:rFonts w:hint="cs"/>
          <w:rtl/>
        </w:rPr>
        <w:t>جملة أمور من</w:t>
      </w:r>
      <w:r>
        <w:rPr>
          <w:rFonts w:hint="cs"/>
          <w:rtl/>
        </w:rPr>
        <w:t>ها</w:t>
      </w:r>
      <w:r w:rsidRPr="001B0BF4">
        <w:rPr>
          <w:rFonts w:hint="cs"/>
          <w:rtl/>
        </w:rPr>
        <w:t xml:space="preserve"> طبيعة الجريمة والسن والجنس والجنسية والأصل الوطني والإثني والمن</w:t>
      </w:r>
      <w:r>
        <w:rPr>
          <w:rFonts w:hint="cs"/>
          <w:rtl/>
        </w:rPr>
        <w:t>ا</w:t>
      </w:r>
      <w:r w:rsidRPr="001B0BF4">
        <w:rPr>
          <w:rFonts w:hint="cs"/>
          <w:rtl/>
        </w:rPr>
        <w:t>طق الحضرية/الريفية مع الاهتمام بصفة خاصة بأكثر مجموعات الأطفال</w:t>
      </w:r>
      <w:r>
        <w:rPr>
          <w:rFonts w:hint="cs"/>
          <w:rtl/>
        </w:rPr>
        <w:t xml:space="preserve"> ضعفا</w:t>
      </w:r>
      <w:r w:rsidRPr="001B0BF4">
        <w:rPr>
          <w:rFonts w:hint="cs"/>
          <w:rtl/>
        </w:rPr>
        <w:t xml:space="preserve">. كما توصي اللجنة بأن تضطلع الدولة الطرف بدراسات لتحديد </w:t>
      </w:r>
      <w:r>
        <w:rPr>
          <w:rFonts w:hint="cs"/>
          <w:rtl/>
        </w:rPr>
        <w:t xml:space="preserve">مدى </w:t>
      </w:r>
      <w:r w:rsidRPr="001B0BF4">
        <w:rPr>
          <w:rFonts w:hint="cs"/>
          <w:rtl/>
        </w:rPr>
        <w:t>انتشار السياحة بدافع ممارسة الجنس مع الأطفال والممارسات الأخرى المحظورة بموجب البروتوكول الاختياري.</w:t>
      </w:r>
    </w:p>
    <w:p w:rsidR="003156AA" w:rsidRPr="009C7302" w:rsidRDefault="009C7302" w:rsidP="009C7302">
      <w:pPr>
        <w:pStyle w:val="H1GA"/>
        <w:rPr>
          <w:rFonts w:hint="cs"/>
          <w:rtl/>
        </w:rPr>
      </w:pPr>
      <w:r>
        <w:rPr>
          <w:rFonts w:hint="cs"/>
          <w:rtl/>
        </w:rPr>
        <w:tab/>
      </w:r>
      <w:r w:rsidR="003156AA" w:rsidRPr="009C7302">
        <w:rPr>
          <w:rFonts w:hint="cs"/>
          <w:rtl/>
        </w:rPr>
        <w:t>ثالثا</w:t>
      </w:r>
      <w:r w:rsidR="006A2076">
        <w:rPr>
          <w:rFonts w:hint="cs"/>
          <w:rtl/>
        </w:rPr>
        <w:t>ً</w:t>
      </w:r>
      <w:r w:rsidR="003156AA" w:rsidRPr="009C7302">
        <w:rPr>
          <w:rFonts w:hint="cs"/>
          <w:rtl/>
        </w:rPr>
        <w:t>-</w:t>
      </w:r>
      <w:r w:rsidRPr="009C7302">
        <w:rPr>
          <w:rFonts w:hint="cs"/>
          <w:rtl/>
        </w:rPr>
        <w:tab/>
      </w:r>
      <w:r w:rsidR="003156AA" w:rsidRPr="009C7302">
        <w:rPr>
          <w:rFonts w:hint="cs"/>
          <w:rtl/>
        </w:rPr>
        <w:t>تدابير التنفيذ العامة</w:t>
      </w:r>
    </w:p>
    <w:p w:rsidR="003156AA" w:rsidRPr="009C7302" w:rsidRDefault="009C7302" w:rsidP="009C7302">
      <w:pPr>
        <w:pStyle w:val="H23GA"/>
        <w:rPr>
          <w:rFonts w:hint="cs"/>
          <w:rtl/>
        </w:rPr>
      </w:pPr>
      <w:r>
        <w:rPr>
          <w:rFonts w:hint="cs"/>
          <w:rtl/>
        </w:rPr>
        <w:tab/>
      </w:r>
      <w:r>
        <w:rPr>
          <w:rFonts w:hint="cs"/>
          <w:rtl/>
        </w:rPr>
        <w:tab/>
      </w:r>
      <w:r w:rsidR="003156AA" w:rsidRPr="009C7302">
        <w:rPr>
          <w:rFonts w:hint="cs"/>
          <w:rtl/>
        </w:rPr>
        <w:t>المبادئ العامة لاتفاقية حقوق الطفل (المواد 2 و3 و6 و12)</w:t>
      </w:r>
    </w:p>
    <w:p w:rsidR="003156AA" w:rsidRPr="001B0BF4" w:rsidRDefault="003156AA" w:rsidP="009C7302">
      <w:pPr>
        <w:pStyle w:val="SingleTxtGA"/>
        <w:rPr>
          <w:rFonts w:hint="cs"/>
          <w:rtl/>
        </w:rPr>
      </w:pPr>
      <w:r w:rsidRPr="001B0BF4">
        <w:rPr>
          <w:rFonts w:hint="cs"/>
          <w:rtl/>
        </w:rPr>
        <w:t>7-</w:t>
      </w:r>
      <w:r w:rsidRPr="001B0BF4">
        <w:rPr>
          <w:rFonts w:hint="cs"/>
          <w:rtl/>
        </w:rPr>
        <w:tab/>
        <w:t xml:space="preserve">في حين تلاحظ اللجنة </w:t>
      </w:r>
      <w:r>
        <w:rPr>
          <w:rFonts w:hint="cs"/>
          <w:rtl/>
        </w:rPr>
        <w:t xml:space="preserve">أن </w:t>
      </w:r>
      <w:r w:rsidRPr="001B0BF4">
        <w:rPr>
          <w:rFonts w:hint="cs"/>
          <w:rtl/>
        </w:rPr>
        <w:t>المبادئ العامة للاتفاقية</w:t>
      </w:r>
      <w:r>
        <w:rPr>
          <w:rFonts w:hint="cs"/>
          <w:rtl/>
        </w:rPr>
        <w:t xml:space="preserve"> أخذت في الحسبان</w:t>
      </w:r>
      <w:r w:rsidRPr="001B0BF4">
        <w:rPr>
          <w:rFonts w:hint="cs"/>
          <w:rtl/>
        </w:rPr>
        <w:t xml:space="preserve"> في تصميم وتطبيق تدابير التنفيذ التي اعتمدتها الدولة الطرف بموجب البروتوكول الاختياري، مثلا في نص قانون حماية الطفل، فإن</w:t>
      </w:r>
      <w:r>
        <w:rPr>
          <w:rFonts w:hint="cs"/>
          <w:rtl/>
        </w:rPr>
        <w:t>ها</w:t>
      </w:r>
      <w:r w:rsidRPr="001B0BF4">
        <w:rPr>
          <w:rFonts w:hint="cs"/>
          <w:rtl/>
        </w:rPr>
        <w:t xml:space="preserve"> تشعر بالقلق من أن مصالح الطفل الفضلى ليست من الاعتبارات </w:t>
      </w:r>
      <w:r>
        <w:rPr>
          <w:rFonts w:hint="cs"/>
          <w:rtl/>
        </w:rPr>
        <w:t xml:space="preserve">الأساسية </w:t>
      </w:r>
      <w:r w:rsidRPr="001B0BF4">
        <w:rPr>
          <w:rFonts w:hint="cs"/>
          <w:rtl/>
        </w:rPr>
        <w:t>في تطبيق جميع جوانب إجراءات العدالة الجنائية.</w:t>
      </w:r>
    </w:p>
    <w:p w:rsidR="003156AA" w:rsidRPr="001B0BF4" w:rsidRDefault="003156AA" w:rsidP="009C7302">
      <w:pPr>
        <w:pStyle w:val="SingleTxtGA"/>
        <w:rPr>
          <w:rFonts w:hint="cs"/>
          <w:rtl/>
        </w:rPr>
      </w:pPr>
      <w:r w:rsidRPr="001B0BF4">
        <w:rPr>
          <w:rFonts w:hint="cs"/>
          <w:rtl/>
        </w:rPr>
        <w:t>8-</w:t>
      </w:r>
      <w:r w:rsidRPr="001B0BF4">
        <w:rPr>
          <w:rFonts w:hint="cs"/>
          <w:rtl/>
        </w:rPr>
        <w:tab/>
      </w:r>
      <w:r>
        <w:rPr>
          <w:rFonts w:hint="cs"/>
          <w:b/>
          <w:bCs/>
          <w:rtl/>
        </w:rPr>
        <w:t>وت</w:t>
      </w:r>
      <w:r w:rsidRPr="007D64EF">
        <w:rPr>
          <w:rFonts w:hint="cs"/>
          <w:b/>
          <w:bCs/>
          <w:rtl/>
        </w:rPr>
        <w:t xml:space="preserve">وصي اللجنة بإدراج المبادئ العامة لاتفاقية حقوق الطفل، ولا سيما مبدأ </w:t>
      </w:r>
      <w:r>
        <w:rPr>
          <w:rFonts w:hint="cs"/>
          <w:b/>
          <w:bCs/>
          <w:rtl/>
        </w:rPr>
        <w:t>مصالح الطفل الفضلى</w:t>
      </w:r>
      <w:r w:rsidRPr="007D64EF">
        <w:rPr>
          <w:rFonts w:hint="cs"/>
          <w:b/>
          <w:bCs/>
          <w:rtl/>
        </w:rPr>
        <w:t>، في جميع التدابير التي تتخذها الدولة الطرف لتنفيذ أحكام البروتوكول الاختياري، بما في ذلك الإجراءات القضائية</w:t>
      </w:r>
      <w:r>
        <w:rPr>
          <w:rFonts w:hint="cs"/>
          <w:b/>
          <w:bCs/>
          <w:rtl/>
        </w:rPr>
        <w:t xml:space="preserve"> </w:t>
      </w:r>
      <w:r w:rsidRPr="007D64EF">
        <w:rPr>
          <w:rFonts w:hint="cs"/>
          <w:b/>
          <w:bCs/>
          <w:rtl/>
        </w:rPr>
        <w:t>أو الإدارية.</w:t>
      </w:r>
      <w:r w:rsidRPr="001B0BF4">
        <w:rPr>
          <w:rFonts w:hint="cs"/>
          <w:rtl/>
        </w:rPr>
        <w:t xml:space="preserve"> </w:t>
      </w:r>
    </w:p>
    <w:p w:rsidR="003156AA" w:rsidRPr="00803CDD" w:rsidRDefault="00FD68B8" w:rsidP="00FD68B8">
      <w:pPr>
        <w:pStyle w:val="H23GA"/>
        <w:rPr>
          <w:rFonts w:hint="cs"/>
          <w:rtl/>
        </w:rPr>
      </w:pPr>
      <w:r>
        <w:rPr>
          <w:rFonts w:hint="cs"/>
          <w:rtl/>
        </w:rPr>
        <w:tab/>
      </w:r>
      <w:r>
        <w:rPr>
          <w:rFonts w:hint="cs"/>
          <w:rtl/>
        </w:rPr>
        <w:tab/>
      </w:r>
      <w:r w:rsidR="003156AA" w:rsidRPr="00803CDD">
        <w:rPr>
          <w:rFonts w:hint="cs"/>
          <w:rtl/>
        </w:rPr>
        <w:t xml:space="preserve">التشريعات </w:t>
      </w:r>
    </w:p>
    <w:p w:rsidR="003156AA" w:rsidRPr="001B0BF4" w:rsidRDefault="003156AA" w:rsidP="009C7302">
      <w:pPr>
        <w:pStyle w:val="SingleTxtGA"/>
        <w:rPr>
          <w:rFonts w:hint="cs"/>
          <w:rtl/>
        </w:rPr>
      </w:pPr>
      <w:r w:rsidRPr="001B0BF4">
        <w:rPr>
          <w:rFonts w:hint="cs"/>
          <w:rtl/>
        </w:rPr>
        <w:t>9-</w:t>
      </w:r>
      <w:r w:rsidRPr="001B0BF4">
        <w:rPr>
          <w:rFonts w:hint="cs"/>
          <w:rtl/>
        </w:rPr>
        <w:tab/>
        <w:t>تلاحظ اللجنة مع التقدير إشارة الدولة الطرف إلى معاقبة مرتكبي الممارسات</w:t>
      </w:r>
      <w:r>
        <w:rPr>
          <w:rFonts w:hint="cs"/>
          <w:rtl/>
        </w:rPr>
        <w:t xml:space="preserve"> المنصوص عليها</w:t>
      </w:r>
      <w:r w:rsidRPr="001B0BF4">
        <w:rPr>
          <w:rFonts w:hint="cs"/>
          <w:rtl/>
        </w:rPr>
        <w:t xml:space="preserve"> بموجب البروتوكول الاختياري وفقا للقانون الج</w:t>
      </w:r>
      <w:r>
        <w:rPr>
          <w:rFonts w:hint="cs"/>
          <w:rtl/>
        </w:rPr>
        <w:t>ز</w:t>
      </w:r>
      <w:r w:rsidRPr="001B0BF4">
        <w:rPr>
          <w:rFonts w:hint="cs"/>
          <w:rtl/>
        </w:rPr>
        <w:t xml:space="preserve">ائي مع اتخاذ الإجراءات ذات الصلة بموجب قانون </w:t>
      </w:r>
      <w:r>
        <w:rPr>
          <w:rFonts w:hint="cs"/>
          <w:rtl/>
        </w:rPr>
        <w:t>ا</w:t>
      </w:r>
      <w:r w:rsidRPr="001B0BF4">
        <w:rPr>
          <w:rFonts w:hint="cs"/>
          <w:rtl/>
        </w:rPr>
        <w:t>لإجراءات الجنائية</w:t>
      </w:r>
      <w:r>
        <w:rPr>
          <w:rFonts w:hint="cs"/>
          <w:rtl/>
        </w:rPr>
        <w:t xml:space="preserve"> القائم</w:t>
      </w:r>
      <w:r w:rsidRPr="001B0BF4">
        <w:rPr>
          <w:rFonts w:hint="cs"/>
          <w:rtl/>
        </w:rPr>
        <w:t xml:space="preserve">. وتلاحظ اللجنة أيضا </w:t>
      </w:r>
      <w:r>
        <w:rPr>
          <w:rFonts w:hint="cs"/>
          <w:rtl/>
        </w:rPr>
        <w:t xml:space="preserve">أن </w:t>
      </w:r>
      <w:r w:rsidRPr="001B0BF4">
        <w:rPr>
          <w:rFonts w:hint="cs"/>
          <w:rtl/>
        </w:rPr>
        <w:t>مشروع تعديل</w:t>
      </w:r>
      <w:r>
        <w:rPr>
          <w:rFonts w:hint="cs"/>
          <w:rtl/>
        </w:rPr>
        <w:t>ات</w:t>
      </w:r>
      <w:r w:rsidRPr="001B0BF4">
        <w:rPr>
          <w:rFonts w:hint="cs"/>
          <w:rtl/>
        </w:rPr>
        <w:t xml:space="preserve"> على القانون الج</w:t>
      </w:r>
      <w:r>
        <w:rPr>
          <w:rFonts w:hint="cs"/>
          <w:rtl/>
        </w:rPr>
        <w:t>ز</w:t>
      </w:r>
      <w:r w:rsidRPr="001B0BF4">
        <w:rPr>
          <w:rFonts w:hint="cs"/>
          <w:rtl/>
        </w:rPr>
        <w:t xml:space="preserve">ائي </w:t>
      </w:r>
      <w:r>
        <w:rPr>
          <w:rFonts w:hint="cs"/>
          <w:rtl/>
        </w:rPr>
        <w:t xml:space="preserve">معروض أمام الريجيكوغو </w:t>
      </w:r>
      <w:r w:rsidRPr="001B0BF4">
        <w:rPr>
          <w:rFonts w:hint="cs"/>
          <w:rtl/>
        </w:rPr>
        <w:t xml:space="preserve">من شأنه أن </w:t>
      </w:r>
      <w:r>
        <w:rPr>
          <w:rFonts w:hint="cs"/>
          <w:rtl/>
        </w:rPr>
        <w:t xml:space="preserve">يجعل </w:t>
      </w:r>
      <w:r w:rsidRPr="001B0BF4">
        <w:rPr>
          <w:rFonts w:hint="cs"/>
          <w:rtl/>
        </w:rPr>
        <w:t>تشريعات</w:t>
      </w:r>
      <w:r>
        <w:rPr>
          <w:rFonts w:hint="cs"/>
          <w:rtl/>
        </w:rPr>
        <w:t xml:space="preserve"> البلد</w:t>
      </w:r>
      <w:r w:rsidRPr="001B0BF4">
        <w:rPr>
          <w:rFonts w:hint="cs"/>
          <w:rtl/>
        </w:rPr>
        <w:t xml:space="preserve"> </w:t>
      </w:r>
      <w:r>
        <w:rPr>
          <w:rFonts w:hint="cs"/>
          <w:rtl/>
        </w:rPr>
        <w:t>أقرب للامتثال الكامل ل</w:t>
      </w:r>
      <w:r w:rsidRPr="001B0BF4">
        <w:rPr>
          <w:rFonts w:hint="cs"/>
          <w:rtl/>
        </w:rPr>
        <w:t>أحكام البروتوكول الاختياري. وعلى الرغم من ذلك</w:t>
      </w:r>
      <w:r>
        <w:rPr>
          <w:rFonts w:hint="cs"/>
          <w:rtl/>
        </w:rPr>
        <w:t>،</w:t>
      </w:r>
      <w:r w:rsidRPr="001B0BF4">
        <w:rPr>
          <w:rFonts w:hint="cs"/>
          <w:rtl/>
        </w:rPr>
        <w:t xml:space="preserve"> تشعر اللجنة بالقلق إزاء </w:t>
      </w:r>
      <w:r>
        <w:rPr>
          <w:rFonts w:hint="cs"/>
          <w:rtl/>
        </w:rPr>
        <w:t>المواء</w:t>
      </w:r>
      <w:r w:rsidRPr="001B0BF4">
        <w:rPr>
          <w:rFonts w:hint="cs"/>
          <w:rtl/>
        </w:rPr>
        <w:t xml:space="preserve">مة </w:t>
      </w:r>
      <w:r>
        <w:rPr>
          <w:rFonts w:hint="cs"/>
          <w:rtl/>
        </w:rPr>
        <w:t>ال</w:t>
      </w:r>
      <w:r w:rsidRPr="001B0BF4">
        <w:rPr>
          <w:rFonts w:hint="cs"/>
          <w:rtl/>
        </w:rPr>
        <w:t>محدودة بين التشريعات الوطنية، وخاصة القانون الج</w:t>
      </w:r>
      <w:r>
        <w:rPr>
          <w:rFonts w:hint="cs"/>
          <w:rtl/>
        </w:rPr>
        <w:t>ز</w:t>
      </w:r>
      <w:r w:rsidRPr="001B0BF4">
        <w:rPr>
          <w:rFonts w:hint="cs"/>
          <w:rtl/>
        </w:rPr>
        <w:t>ائي</w:t>
      </w:r>
      <w:r>
        <w:rPr>
          <w:rFonts w:hint="cs"/>
          <w:rtl/>
        </w:rPr>
        <w:t>،</w:t>
      </w:r>
      <w:r w:rsidRPr="001B0BF4">
        <w:rPr>
          <w:rFonts w:hint="cs"/>
          <w:rtl/>
        </w:rPr>
        <w:t xml:space="preserve"> وأحكام البروتوكول الاختياري.</w:t>
      </w:r>
    </w:p>
    <w:p w:rsidR="003156AA" w:rsidRPr="001B0BF4" w:rsidRDefault="003156AA" w:rsidP="009C7302">
      <w:pPr>
        <w:pStyle w:val="SingleTxtGA"/>
        <w:rPr>
          <w:rFonts w:hint="cs"/>
          <w:rtl/>
        </w:rPr>
      </w:pPr>
      <w:r w:rsidRPr="001B0BF4">
        <w:rPr>
          <w:rFonts w:hint="cs"/>
          <w:rtl/>
        </w:rPr>
        <w:t>10-</w:t>
      </w:r>
      <w:r w:rsidRPr="001B0BF4">
        <w:rPr>
          <w:rFonts w:hint="cs"/>
          <w:rtl/>
        </w:rPr>
        <w:tab/>
      </w:r>
      <w:r>
        <w:rPr>
          <w:rFonts w:hint="cs"/>
          <w:b/>
          <w:bCs/>
          <w:rtl/>
        </w:rPr>
        <w:t>وت</w:t>
      </w:r>
      <w:r w:rsidRPr="00803CDD">
        <w:rPr>
          <w:rFonts w:hint="cs"/>
          <w:b/>
          <w:bCs/>
          <w:rtl/>
        </w:rPr>
        <w:t>وصي اللجنة بأن تواصل الدولة الطرف و</w:t>
      </w:r>
      <w:r>
        <w:rPr>
          <w:rFonts w:hint="cs"/>
          <w:b/>
          <w:bCs/>
          <w:rtl/>
        </w:rPr>
        <w:t xml:space="preserve">أن </w:t>
      </w:r>
      <w:r w:rsidRPr="00803CDD">
        <w:rPr>
          <w:rFonts w:hint="cs"/>
          <w:b/>
          <w:bCs/>
          <w:rtl/>
        </w:rPr>
        <w:t>تكمل عملية مواءمة تشريعاتها الوطنية مع البروتوكول الاختياري من أجل تنفيذ جميع الأحكام الواردة فيه</w:t>
      </w:r>
      <w:r>
        <w:rPr>
          <w:rFonts w:hint="cs"/>
          <w:b/>
          <w:bCs/>
          <w:rtl/>
        </w:rPr>
        <w:t xml:space="preserve"> بصورة ملائمة</w:t>
      </w:r>
      <w:r w:rsidRPr="00803CDD">
        <w:rPr>
          <w:rFonts w:hint="cs"/>
          <w:b/>
          <w:bCs/>
          <w:rtl/>
        </w:rPr>
        <w:t xml:space="preserve">، </w:t>
      </w:r>
      <w:r>
        <w:rPr>
          <w:rFonts w:hint="cs"/>
          <w:b/>
          <w:bCs/>
          <w:rtl/>
        </w:rPr>
        <w:t xml:space="preserve">وفيما يتعلق بالقانون الجزائي، أن تضمن </w:t>
      </w:r>
      <w:r w:rsidRPr="00803CDD">
        <w:rPr>
          <w:rFonts w:hint="cs"/>
          <w:b/>
          <w:bCs/>
          <w:rtl/>
        </w:rPr>
        <w:t>الإشارة بشكل صريح إلى جميع الأ</w:t>
      </w:r>
      <w:r>
        <w:rPr>
          <w:rFonts w:hint="cs"/>
          <w:b/>
          <w:bCs/>
          <w:rtl/>
        </w:rPr>
        <w:t>ف</w:t>
      </w:r>
      <w:r w:rsidRPr="00803CDD">
        <w:rPr>
          <w:rFonts w:hint="cs"/>
          <w:b/>
          <w:bCs/>
          <w:rtl/>
        </w:rPr>
        <w:t>عال والأنشطة التي تشكل جرائم بموجب البروتوكول الاختياري.</w:t>
      </w:r>
    </w:p>
    <w:p w:rsidR="003156AA" w:rsidRPr="00803CDD" w:rsidRDefault="00FD68B8" w:rsidP="00FD68B8">
      <w:pPr>
        <w:pStyle w:val="H23GA"/>
        <w:rPr>
          <w:rFonts w:hint="cs"/>
          <w:rtl/>
        </w:rPr>
      </w:pPr>
      <w:r>
        <w:rPr>
          <w:rFonts w:hint="cs"/>
          <w:rtl/>
        </w:rPr>
        <w:tab/>
      </w:r>
      <w:r>
        <w:rPr>
          <w:rFonts w:hint="cs"/>
          <w:rtl/>
        </w:rPr>
        <w:tab/>
      </w:r>
      <w:r w:rsidR="003156AA" w:rsidRPr="00803CDD">
        <w:rPr>
          <w:rFonts w:hint="cs"/>
          <w:rtl/>
        </w:rPr>
        <w:t>خطة العمل الوطنية</w:t>
      </w:r>
    </w:p>
    <w:p w:rsidR="003156AA" w:rsidRPr="001B0BF4" w:rsidRDefault="003156AA" w:rsidP="009C7302">
      <w:pPr>
        <w:pStyle w:val="SingleTxtGA"/>
        <w:rPr>
          <w:rFonts w:hint="cs"/>
          <w:rtl/>
        </w:rPr>
      </w:pPr>
      <w:r w:rsidRPr="001B0BF4">
        <w:rPr>
          <w:rFonts w:hint="cs"/>
          <w:rtl/>
        </w:rPr>
        <w:t>11-</w:t>
      </w:r>
      <w:r w:rsidRPr="001B0BF4">
        <w:rPr>
          <w:rFonts w:hint="cs"/>
          <w:rtl/>
        </w:rPr>
        <w:tab/>
        <w:t xml:space="preserve">ترحب اللجنة بصياغة عدد من تدابير السياسات العامة، بما في ذلك </w:t>
      </w:r>
      <w:r>
        <w:rPr>
          <w:rFonts w:hint="cs"/>
          <w:rtl/>
        </w:rPr>
        <w:t>استراتيج</w:t>
      </w:r>
      <w:r w:rsidRPr="001B0BF4">
        <w:rPr>
          <w:rFonts w:hint="cs"/>
          <w:rtl/>
        </w:rPr>
        <w:t>ية 2004-2008 لضمان حقوق الطفل (ال</w:t>
      </w:r>
      <w:r>
        <w:rPr>
          <w:rFonts w:hint="cs"/>
          <w:rtl/>
        </w:rPr>
        <w:t>استراتيج</w:t>
      </w:r>
      <w:r w:rsidRPr="001B0BF4">
        <w:rPr>
          <w:rFonts w:hint="cs"/>
          <w:rtl/>
        </w:rPr>
        <w:t>ية) وخطة التنمية للفترة 2006-2009 لمكافحة الاتجار بالبشر، فضلا عن خطة التنمية لمكافحة العنف لفترة 2010-2014 التي تتضمن قسما فرعيا بشأن العنف ضد الأطفال. غير أن اللجنة تأسف لعدم وجود خطة عمل محددة تغطي بصورة شاملة جميع المجالات التي يتناولها البروتوكول الاختياري.</w:t>
      </w:r>
    </w:p>
    <w:p w:rsidR="003156AA" w:rsidRPr="003A769B" w:rsidRDefault="003156AA" w:rsidP="009C7302">
      <w:pPr>
        <w:pStyle w:val="SingleTxtGA"/>
        <w:rPr>
          <w:rFonts w:hint="cs"/>
          <w:b/>
          <w:bCs/>
          <w:rtl/>
        </w:rPr>
      </w:pPr>
      <w:r w:rsidRPr="001B0BF4">
        <w:rPr>
          <w:rFonts w:hint="cs"/>
          <w:rtl/>
        </w:rPr>
        <w:t>12-</w:t>
      </w:r>
      <w:r w:rsidRPr="001B0BF4">
        <w:rPr>
          <w:rFonts w:hint="cs"/>
          <w:rtl/>
        </w:rPr>
        <w:tab/>
      </w:r>
      <w:r>
        <w:rPr>
          <w:rFonts w:hint="cs"/>
          <w:b/>
          <w:bCs/>
          <w:rtl/>
        </w:rPr>
        <w:t>وت</w:t>
      </w:r>
      <w:r w:rsidRPr="003A769B">
        <w:rPr>
          <w:rFonts w:hint="cs"/>
          <w:b/>
          <w:bCs/>
          <w:rtl/>
        </w:rPr>
        <w:t xml:space="preserve">وصي اللجنة بأن تضع الدولة الطرف، بالتشاور والتعاون مع جميع </w:t>
      </w:r>
      <w:r>
        <w:rPr>
          <w:rFonts w:hint="cs"/>
          <w:b/>
          <w:bCs/>
          <w:rtl/>
        </w:rPr>
        <w:t>أصحاب المصلحة المعنيين</w:t>
      </w:r>
      <w:r w:rsidRPr="003A769B">
        <w:rPr>
          <w:rFonts w:hint="cs"/>
          <w:b/>
          <w:bCs/>
          <w:rtl/>
        </w:rPr>
        <w:t xml:space="preserve">، خطة عمل وطنية ترمي إلى </w:t>
      </w:r>
      <w:r>
        <w:rPr>
          <w:rFonts w:hint="cs"/>
          <w:b/>
          <w:bCs/>
          <w:rtl/>
        </w:rPr>
        <w:t>مكافحة</w:t>
      </w:r>
      <w:r w:rsidRPr="003A769B">
        <w:rPr>
          <w:rFonts w:hint="cs"/>
          <w:b/>
          <w:bCs/>
          <w:rtl/>
        </w:rPr>
        <w:t xml:space="preserve"> بيع الأطفال وبغاء الأطفال واستغلال الأطفال في المواد الإباحية، </w:t>
      </w:r>
      <w:r>
        <w:rPr>
          <w:rFonts w:hint="cs"/>
          <w:b/>
          <w:bCs/>
          <w:rtl/>
        </w:rPr>
        <w:t xml:space="preserve">وأن تتضمن الخطة آلية متابعة. </w:t>
      </w:r>
      <w:r w:rsidRPr="003A769B">
        <w:rPr>
          <w:rFonts w:hint="cs"/>
          <w:b/>
          <w:bCs/>
          <w:rtl/>
        </w:rPr>
        <w:t>وتُدعى الدولة الطرف، عند القيام بذلك، إلى توجيه اهتمام خاص إلى تنفيذ جميع أحكام البروتوكول الاختياري، مع مراعاة الإعلان وبرنامج العمل والالتزام العالمي المعتمدة في المؤتمرات العالمية الأول والثاني والثالث لمكافحة الاستغلال الجنسي للأطفال والمعقودة في ستوكهول</w:t>
      </w:r>
      <w:r w:rsidRPr="003A769B">
        <w:rPr>
          <w:rFonts w:hint="eastAsia"/>
          <w:b/>
          <w:bCs/>
          <w:rtl/>
        </w:rPr>
        <w:t>م</w:t>
      </w:r>
      <w:r w:rsidRPr="003A769B">
        <w:rPr>
          <w:rFonts w:hint="cs"/>
          <w:b/>
          <w:bCs/>
          <w:rtl/>
        </w:rPr>
        <w:t xml:space="preserve"> ويوكوهاما وريو دي جانيرو في الأعوام 1996 و2001 و2008 على التوالي.</w:t>
      </w:r>
    </w:p>
    <w:p w:rsidR="003156AA" w:rsidRPr="003A769B" w:rsidRDefault="00FD68B8" w:rsidP="00FD68B8">
      <w:pPr>
        <w:pStyle w:val="H23GA"/>
        <w:rPr>
          <w:rFonts w:hint="cs"/>
          <w:rtl/>
        </w:rPr>
      </w:pPr>
      <w:r>
        <w:rPr>
          <w:rFonts w:hint="cs"/>
          <w:rtl/>
        </w:rPr>
        <w:tab/>
      </w:r>
      <w:r>
        <w:rPr>
          <w:rFonts w:hint="cs"/>
          <w:rtl/>
        </w:rPr>
        <w:tab/>
      </w:r>
      <w:r w:rsidR="003156AA" w:rsidRPr="003A769B">
        <w:rPr>
          <w:rFonts w:hint="cs"/>
          <w:rtl/>
        </w:rPr>
        <w:t xml:space="preserve">التنسيق والتقييم </w:t>
      </w:r>
    </w:p>
    <w:p w:rsidR="003156AA" w:rsidRPr="001B0BF4" w:rsidRDefault="003156AA" w:rsidP="009C7302">
      <w:pPr>
        <w:pStyle w:val="SingleTxtGA"/>
        <w:rPr>
          <w:rFonts w:hint="cs"/>
          <w:rtl/>
        </w:rPr>
      </w:pPr>
      <w:r w:rsidRPr="001B0BF4">
        <w:rPr>
          <w:rFonts w:hint="cs"/>
          <w:rtl/>
        </w:rPr>
        <w:t>13-</w:t>
      </w:r>
      <w:r w:rsidRPr="001B0BF4">
        <w:rPr>
          <w:rFonts w:hint="cs"/>
          <w:rtl/>
        </w:rPr>
        <w:tab/>
        <w:t>تشعر اللجنة بالقلق من أن الفريق العامل المشترك بين الوزارات والمعين لتنفيذ ال</w:t>
      </w:r>
      <w:r>
        <w:rPr>
          <w:rFonts w:hint="cs"/>
          <w:rtl/>
        </w:rPr>
        <w:t>استراتيج</w:t>
      </w:r>
      <w:r w:rsidRPr="001B0BF4">
        <w:rPr>
          <w:rFonts w:hint="cs"/>
          <w:rtl/>
        </w:rPr>
        <w:t xml:space="preserve">ية لا يقيم أثر الأنشطة. وفي ضوء </w:t>
      </w:r>
      <w:r>
        <w:rPr>
          <w:rFonts w:hint="cs"/>
          <w:rtl/>
        </w:rPr>
        <w:t>ال</w:t>
      </w:r>
      <w:r w:rsidRPr="001B0BF4">
        <w:rPr>
          <w:rFonts w:hint="cs"/>
          <w:rtl/>
        </w:rPr>
        <w:t xml:space="preserve">قيود </w:t>
      </w:r>
      <w:r>
        <w:rPr>
          <w:rFonts w:hint="cs"/>
          <w:rtl/>
        </w:rPr>
        <w:t xml:space="preserve">التي تواجهها </w:t>
      </w:r>
      <w:r w:rsidRPr="001B0BF4">
        <w:rPr>
          <w:rFonts w:hint="cs"/>
          <w:rtl/>
        </w:rPr>
        <w:t xml:space="preserve">الدولة الطرف </w:t>
      </w:r>
      <w:r>
        <w:rPr>
          <w:rFonts w:hint="cs"/>
          <w:rtl/>
        </w:rPr>
        <w:t>فيما يتعلق ب</w:t>
      </w:r>
      <w:r w:rsidRPr="001B0BF4">
        <w:rPr>
          <w:rFonts w:hint="cs"/>
          <w:rtl/>
        </w:rPr>
        <w:t>توسيع نطاق الإدارة العامة، فإن اللجنة ترحب بصفة خاصة بإنشاء إدارة مستقلة مؤخرا معنية بسياسات الطفل والأسرة في وزارة الشؤون الاجتماعية، و</w:t>
      </w:r>
      <w:r>
        <w:rPr>
          <w:rFonts w:hint="cs"/>
          <w:rtl/>
        </w:rPr>
        <w:t xml:space="preserve">من </w:t>
      </w:r>
      <w:r w:rsidRPr="001B0BF4">
        <w:rPr>
          <w:rFonts w:hint="cs"/>
          <w:rtl/>
        </w:rPr>
        <w:t>المقرر أن تبدأ أعمالها في نفس توقيت النظر في هذه الوثيقة. وتلاحظ اللجنة أن هذه الإدارة كلفت بصياغة خطة لت</w:t>
      </w:r>
      <w:r>
        <w:rPr>
          <w:rFonts w:hint="cs"/>
          <w:rtl/>
        </w:rPr>
        <w:t>طوير</w:t>
      </w:r>
      <w:r w:rsidRPr="001B0BF4">
        <w:rPr>
          <w:rFonts w:hint="cs"/>
          <w:rtl/>
        </w:rPr>
        <w:t xml:space="preserve"> السياسات المتعلقة بالأطفال والأسرة وتحسين قانون حماية الأطفال وتشجيع تعليم </w:t>
      </w:r>
      <w:r>
        <w:rPr>
          <w:rFonts w:hint="cs"/>
          <w:rtl/>
        </w:rPr>
        <w:t xml:space="preserve">الرعاية الأبوية </w:t>
      </w:r>
      <w:r w:rsidRPr="001B0BF4">
        <w:rPr>
          <w:rFonts w:hint="cs"/>
          <w:rtl/>
        </w:rPr>
        <w:t>ومنع العنف ضد الأطفال. غير أن اللجنة تشعر بالقلق من أن هذه الإدارة قد لا يكون لها مستوى من السلطة والموارد والقدرات اللازمة لضمان التعاون الكامل بين جميع السلطات وال</w:t>
      </w:r>
      <w:r>
        <w:rPr>
          <w:rFonts w:hint="cs"/>
          <w:rtl/>
        </w:rPr>
        <w:t>دوائر الحكومية</w:t>
      </w:r>
      <w:r w:rsidRPr="001B0BF4">
        <w:rPr>
          <w:rFonts w:hint="cs"/>
          <w:rtl/>
        </w:rPr>
        <w:t xml:space="preserve"> الوطنية المعنية بتنفيذ البروتوكول الاختياري، بما في ذلك إدارتي الشرطة والعدالة. </w:t>
      </w:r>
    </w:p>
    <w:p w:rsidR="003156AA" w:rsidRPr="001B0BF4" w:rsidRDefault="003156AA" w:rsidP="009C7302">
      <w:pPr>
        <w:pStyle w:val="SingleTxtGA"/>
        <w:rPr>
          <w:rFonts w:hint="cs"/>
          <w:rtl/>
        </w:rPr>
      </w:pPr>
      <w:r w:rsidRPr="001B0BF4">
        <w:rPr>
          <w:rFonts w:hint="cs"/>
          <w:rtl/>
        </w:rPr>
        <w:t>14-</w:t>
      </w:r>
      <w:r w:rsidRPr="001B0BF4">
        <w:rPr>
          <w:rFonts w:hint="cs"/>
          <w:rtl/>
        </w:rPr>
        <w:tab/>
      </w:r>
      <w:r w:rsidRPr="00AD3375">
        <w:rPr>
          <w:rFonts w:hint="cs"/>
          <w:b/>
          <w:bCs/>
          <w:rtl/>
        </w:rPr>
        <w:t>وتشجع اللجنة الدولة الطرف على ضمان تزويد الإدارة المعنية بالسياسات المتعلقة بالأطفال والأسرة في وزارة الشؤون الاجتماعية بالسلطات والموارد البشرية والتقنية والمالية اللازمة لأداء ولايتها مثل إنشاء آلية للتنسيق بين الوزارات والوكالات وال</w:t>
      </w:r>
      <w:r>
        <w:rPr>
          <w:rFonts w:hint="cs"/>
          <w:b/>
          <w:bCs/>
          <w:rtl/>
        </w:rPr>
        <w:t>دوائر الحكومية</w:t>
      </w:r>
      <w:r w:rsidRPr="00AD3375">
        <w:rPr>
          <w:rFonts w:hint="cs"/>
          <w:b/>
          <w:bCs/>
          <w:rtl/>
        </w:rPr>
        <w:t>، بما في ذلك وزارة العدل ووزارة الشؤون الداخلية ومجلس الشرطة وبين السلطات الوطنية والمحلية في جميع المجالات المتعلقة بتنفيذ البروتوكول الاختياري. وينبغي استكمال التدابير بآليات للتقييم الدوري.</w:t>
      </w:r>
      <w:r w:rsidRPr="001B0BF4">
        <w:rPr>
          <w:rFonts w:hint="cs"/>
          <w:rtl/>
        </w:rPr>
        <w:t xml:space="preserve"> </w:t>
      </w:r>
    </w:p>
    <w:p w:rsidR="003156AA" w:rsidRPr="006D2BA1" w:rsidRDefault="00D8574D" w:rsidP="00FD68B8">
      <w:pPr>
        <w:pStyle w:val="H23GA"/>
        <w:rPr>
          <w:rFonts w:hint="cs"/>
          <w:rtl/>
        </w:rPr>
      </w:pPr>
      <w:r>
        <w:rPr>
          <w:rtl/>
        </w:rPr>
        <w:br w:type="page"/>
      </w:r>
      <w:r w:rsidR="00FD68B8">
        <w:rPr>
          <w:rFonts w:hint="cs"/>
          <w:rtl/>
        </w:rPr>
        <w:tab/>
      </w:r>
      <w:r w:rsidR="00FD68B8">
        <w:rPr>
          <w:rFonts w:hint="cs"/>
          <w:rtl/>
        </w:rPr>
        <w:tab/>
      </w:r>
      <w:r w:rsidR="003156AA" w:rsidRPr="006D2BA1">
        <w:rPr>
          <w:rFonts w:hint="cs"/>
          <w:rtl/>
        </w:rPr>
        <w:t>النشر والتدريب</w:t>
      </w:r>
    </w:p>
    <w:p w:rsidR="003156AA" w:rsidRPr="001B0BF4" w:rsidRDefault="003156AA" w:rsidP="009C7302">
      <w:pPr>
        <w:pStyle w:val="SingleTxtGA"/>
        <w:rPr>
          <w:rFonts w:hint="cs"/>
          <w:rtl/>
        </w:rPr>
      </w:pPr>
      <w:r w:rsidRPr="001B0BF4">
        <w:rPr>
          <w:rFonts w:hint="cs"/>
          <w:rtl/>
        </w:rPr>
        <w:t>15-</w:t>
      </w:r>
      <w:r w:rsidRPr="001B0BF4">
        <w:rPr>
          <w:rFonts w:hint="cs"/>
          <w:rtl/>
        </w:rPr>
        <w:tab/>
        <w:t xml:space="preserve">ترحب اللجنة بالجهود العديدة التي تضطلع بها الدولة الطرف لتدريب المهنيين في المجالات ذات الصلة بالبروتوكول الاختياري، بما في ذلك </w:t>
      </w:r>
      <w:r>
        <w:rPr>
          <w:rFonts w:hint="cs"/>
          <w:rtl/>
        </w:rPr>
        <w:t>أمور منها</w:t>
      </w:r>
      <w:r w:rsidRPr="001B0BF4">
        <w:rPr>
          <w:rFonts w:hint="cs"/>
          <w:rtl/>
        </w:rPr>
        <w:t>، تدريب الأخصائيين الاجتماعيين على التعامل مع الأطفال الذين تعرضوا إلى إيذاء جنسي أو تم الاتجار بهم والاضطلاع بحملات وقائية بشأن السياحة بدافع ممارسة الجنس مع الأطفال واستغلال الأطفال في المواد الإباحية على الانترنت و</w:t>
      </w:r>
      <w:r>
        <w:rPr>
          <w:rFonts w:hint="cs"/>
          <w:rtl/>
        </w:rPr>
        <w:t xml:space="preserve">تنظيم </w:t>
      </w:r>
      <w:r w:rsidRPr="001B0BF4">
        <w:rPr>
          <w:rFonts w:hint="cs"/>
          <w:rtl/>
        </w:rPr>
        <w:t xml:space="preserve">حلقات دراسية ومسابقة </w:t>
      </w:r>
      <w:r>
        <w:rPr>
          <w:rFonts w:hint="cs"/>
          <w:rtl/>
        </w:rPr>
        <w:t xml:space="preserve">لإعداد </w:t>
      </w:r>
      <w:r w:rsidRPr="001B0BF4">
        <w:rPr>
          <w:rFonts w:hint="cs"/>
          <w:rtl/>
        </w:rPr>
        <w:t>تقرير عن الوقاية من الاتجار بالبشر وآثاره. وعلى الرغم من ذلك</w:t>
      </w:r>
      <w:r>
        <w:rPr>
          <w:rFonts w:hint="cs"/>
          <w:rtl/>
        </w:rPr>
        <w:t>،</w:t>
      </w:r>
      <w:r w:rsidRPr="001B0BF4">
        <w:rPr>
          <w:rFonts w:hint="cs"/>
          <w:rtl/>
        </w:rPr>
        <w:t xml:space="preserve"> تشعر اللجنة بالقلق إزاء السلوكيات الاجتماعية المتعلقة بالممارسات المحظورة بموجب البروتوكول الاختياري، وخاصة </w:t>
      </w:r>
      <w:r>
        <w:rPr>
          <w:rFonts w:hint="cs"/>
          <w:rtl/>
        </w:rPr>
        <w:t>اتجاها</w:t>
      </w:r>
      <w:r w:rsidRPr="001B0BF4">
        <w:rPr>
          <w:rFonts w:hint="cs"/>
          <w:rtl/>
        </w:rPr>
        <w:t>ت التسا</w:t>
      </w:r>
      <w:r>
        <w:rPr>
          <w:rFonts w:hint="cs"/>
          <w:rtl/>
        </w:rPr>
        <w:t>هل</w:t>
      </w:r>
      <w:r w:rsidRPr="001B0BF4">
        <w:rPr>
          <w:rFonts w:hint="cs"/>
          <w:rtl/>
        </w:rPr>
        <w:t xml:space="preserve"> النسبي بين الأطفال </w:t>
      </w:r>
      <w:r>
        <w:rPr>
          <w:rFonts w:hint="cs"/>
          <w:rtl/>
        </w:rPr>
        <w:t xml:space="preserve">بصدد </w:t>
      </w:r>
      <w:r w:rsidRPr="001B0BF4">
        <w:rPr>
          <w:rFonts w:hint="cs"/>
          <w:rtl/>
        </w:rPr>
        <w:t>بغاء الأطفال واستغلال الأطفال في المواد الإباحية.</w:t>
      </w:r>
    </w:p>
    <w:p w:rsidR="003156AA" w:rsidRPr="001B0BF4" w:rsidRDefault="003156AA" w:rsidP="009C7302">
      <w:pPr>
        <w:pStyle w:val="SingleTxtGA"/>
        <w:rPr>
          <w:rFonts w:hint="cs"/>
          <w:rtl/>
        </w:rPr>
      </w:pPr>
      <w:r w:rsidRPr="001B0BF4">
        <w:rPr>
          <w:rFonts w:hint="cs"/>
          <w:rtl/>
        </w:rPr>
        <w:t>16-</w:t>
      </w:r>
      <w:r w:rsidRPr="001B0BF4">
        <w:rPr>
          <w:rFonts w:hint="cs"/>
          <w:rtl/>
        </w:rPr>
        <w:tab/>
        <w:t>وتشاطر اللجنة قلق المقرر</w:t>
      </w:r>
      <w:r>
        <w:rPr>
          <w:rFonts w:hint="cs"/>
          <w:rtl/>
        </w:rPr>
        <w:t>ة</w:t>
      </w:r>
      <w:r w:rsidRPr="001B0BF4">
        <w:rPr>
          <w:rFonts w:hint="cs"/>
          <w:rtl/>
        </w:rPr>
        <w:t xml:space="preserve"> الخاص</w:t>
      </w:r>
      <w:r>
        <w:rPr>
          <w:rFonts w:hint="cs"/>
          <w:rtl/>
        </w:rPr>
        <w:t>ة</w:t>
      </w:r>
      <w:r w:rsidRPr="001B0BF4">
        <w:rPr>
          <w:rFonts w:hint="cs"/>
          <w:rtl/>
        </w:rPr>
        <w:t xml:space="preserve"> المعنية ببيع الأطفال </w:t>
      </w:r>
      <w:r>
        <w:rPr>
          <w:rFonts w:hint="cs"/>
          <w:rtl/>
        </w:rPr>
        <w:t>و</w:t>
      </w:r>
      <w:r w:rsidRPr="001B0BF4">
        <w:rPr>
          <w:rFonts w:hint="cs"/>
          <w:rtl/>
        </w:rPr>
        <w:t xml:space="preserve">بغاء </w:t>
      </w:r>
      <w:r>
        <w:rPr>
          <w:rFonts w:hint="cs"/>
          <w:rtl/>
        </w:rPr>
        <w:t xml:space="preserve">الأطفال </w:t>
      </w:r>
      <w:r w:rsidRPr="001B0BF4">
        <w:rPr>
          <w:rFonts w:hint="cs"/>
          <w:rtl/>
        </w:rPr>
        <w:t xml:space="preserve">واستغلال الأطفال في المواد الإباحية (الفقرتان 24 و25 من </w:t>
      </w:r>
      <w:r w:rsidRPr="00AF3F9F">
        <w:rPr>
          <w:szCs w:val="22"/>
        </w:rPr>
        <w:t>A/HRC/12/23/Add.2</w:t>
      </w:r>
      <w:r w:rsidRPr="001B0BF4">
        <w:rPr>
          <w:rFonts w:hint="cs"/>
          <w:rtl/>
        </w:rPr>
        <w:t xml:space="preserve">) إزاء </w:t>
      </w:r>
      <w:r>
        <w:rPr>
          <w:rFonts w:hint="cs"/>
          <w:rtl/>
        </w:rPr>
        <w:t>عدم اعتراف</w:t>
      </w:r>
      <w:r w:rsidRPr="001B0BF4">
        <w:rPr>
          <w:rFonts w:hint="cs"/>
          <w:rtl/>
        </w:rPr>
        <w:t xml:space="preserve"> موظف</w:t>
      </w:r>
      <w:r>
        <w:rPr>
          <w:rFonts w:hint="cs"/>
          <w:rtl/>
        </w:rPr>
        <w:t>ي</w:t>
      </w:r>
      <w:r w:rsidRPr="001B0BF4">
        <w:rPr>
          <w:rFonts w:hint="cs"/>
          <w:rtl/>
        </w:rPr>
        <w:t xml:space="preserve"> إنفاذ القوانين بقضايا الأطفال الذين يقدمون خدمات جنسية مقابل سلع استهلاكية بوصفه</w:t>
      </w:r>
      <w:r>
        <w:rPr>
          <w:rFonts w:hint="cs"/>
          <w:rtl/>
        </w:rPr>
        <w:t>ا</w:t>
      </w:r>
      <w:r w:rsidRPr="001B0BF4">
        <w:rPr>
          <w:rFonts w:hint="cs"/>
          <w:rtl/>
        </w:rPr>
        <w:t xml:space="preserve"> استغلالا جنسيا للأطفال. </w:t>
      </w:r>
    </w:p>
    <w:p w:rsidR="003156AA" w:rsidRPr="006D2BA1" w:rsidRDefault="003156AA" w:rsidP="009C7302">
      <w:pPr>
        <w:pStyle w:val="SingleTxtGA"/>
        <w:rPr>
          <w:rFonts w:hint="cs"/>
          <w:b/>
          <w:bCs/>
          <w:rtl/>
        </w:rPr>
      </w:pPr>
      <w:r w:rsidRPr="001B0BF4">
        <w:rPr>
          <w:rFonts w:hint="cs"/>
          <w:rtl/>
        </w:rPr>
        <w:t>17-</w:t>
      </w:r>
      <w:r w:rsidRPr="001B0BF4">
        <w:rPr>
          <w:rFonts w:hint="cs"/>
          <w:rtl/>
        </w:rPr>
        <w:tab/>
      </w:r>
      <w:r w:rsidRPr="006D2BA1">
        <w:rPr>
          <w:rFonts w:hint="cs"/>
          <w:b/>
          <w:bCs/>
          <w:rtl/>
        </w:rPr>
        <w:t>وت</w:t>
      </w:r>
      <w:r>
        <w:rPr>
          <w:rFonts w:hint="cs"/>
          <w:b/>
          <w:bCs/>
          <w:rtl/>
        </w:rPr>
        <w:t>وص</w:t>
      </w:r>
      <w:r w:rsidRPr="006D2BA1">
        <w:rPr>
          <w:rFonts w:hint="cs"/>
          <w:b/>
          <w:bCs/>
          <w:rtl/>
        </w:rPr>
        <w:t>ي اللجنة الدولة الطرف بما يلي:</w:t>
      </w:r>
    </w:p>
    <w:p w:rsidR="003156AA" w:rsidRPr="006D2BA1" w:rsidRDefault="0059135B" w:rsidP="009C7302">
      <w:pPr>
        <w:pStyle w:val="SingleTxtGA"/>
        <w:rPr>
          <w:rFonts w:hint="cs"/>
          <w:b/>
          <w:bCs/>
          <w:rtl/>
        </w:rPr>
      </w:pPr>
      <w:r>
        <w:rPr>
          <w:rFonts w:hint="cs"/>
          <w:b/>
          <w:bCs/>
          <w:rtl/>
        </w:rPr>
        <w:tab/>
      </w:r>
      <w:r w:rsidR="003156AA" w:rsidRPr="006D2BA1">
        <w:rPr>
          <w:rFonts w:hint="cs"/>
          <w:b/>
          <w:bCs/>
          <w:rtl/>
        </w:rPr>
        <w:t>(أ)</w:t>
      </w:r>
      <w:r w:rsidR="003156AA" w:rsidRPr="006D2BA1">
        <w:rPr>
          <w:rFonts w:hint="cs"/>
          <w:b/>
          <w:bCs/>
          <w:rtl/>
        </w:rPr>
        <w:tab/>
        <w:t xml:space="preserve">في ضوء الفقرة 2 من المادة 9، </w:t>
      </w:r>
      <w:r w:rsidR="003156AA">
        <w:rPr>
          <w:rFonts w:hint="cs"/>
          <w:b/>
          <w:bCs/>
          <w:rtl/>
        </w:rPr>
        <w:t xml:space="preserve">توسيع نطاق </w:t>
      </w:r>
      <w:r w:rsidR="003156AA" w:rsidRPr="006D2BA1">
        <w:rPr>
          <w:rFonts w:hint="cs"/>
          <w:b/>
          <w:bCs/>
          <w:rtl/>
        </w:rPr>
        <w:t xml:space="preserve">التوعية بأحكام البروتوكول الاختياري </w:t>
      </w:r>
      <w:r w:rsidR="003156AA">
        <w:rPr>
          <w:rFonts w:hint="cs"/>
          <w:b/>
          <w:bCs/>
          <w:rtl/>
        </w:rPr>
        <w:t xml:space="preserve">بين </w:t>
      </w:r>
      <w:r w:rsidR="003156AA" w:rsidRPr="006D2BA1">
        <w:rPr>
          <w:rFonts w:hint="cs"/>
          <w:b/>
          <w:bCs/>
          <w:rtl/>
        </w:rPr>
        <w:t>عامة الجمهور عموما والأطفال، بمن فيهم الأطفال المنتمون إلى المجتمعات ال</w:t>
      </w:r>
      <w:r w:rsidR="003156AA">
        <w:rPr>
          <w:rFonts w:hint="cs"/>
          <w:b/>
          <w:bCs/>
          <w:rtl/>
        </w:rPr>
        <w:t>ناطق</w:t>
      </w:r>
      <w:r w:rsidR="003156AA" w:rsidRPr="006D2BA1">
        <w:rPr>
          <w:rFonts w:hint="cs"/>
          <w:b/>
          <w:bCs/>
          <w:rtl/>
        </w:rPr>
        <w:t>ة باللغة الروسية وأسرهم من خلال جملة أمور منها وسائل الإعلام والمناهج الدراسية بالمدارس وحملات التوعية طويلة الأجل بمختلف اللغات وبطريقة مبسطة؛</w:t>
      </w:r>
    </w:p>
    <w:p w:rsidR="003156AA" w:rsidRPr="001B0BF4" w:rsidRDefault="0059135B" w:rsidP="009C7302">
      <w:pPr>
        <w:pStyle w:val="SingleTxtGA"/>
        <w:rPr>
          <w:rFonts w:hint="cs"/>
          <w:rtl/>
        </w:rPr>
      </w:pPr>
      <w:r>
        <w:rPr>
          <w:rFonts w:hint="cs"/>
          <w:b/>
          <w:bCs/>
          <w:rtl/>
        </w:rPr>
        <w:tab/>
      </w:r>
      <w:r w:rsidR="003156AA" w:rsidRPr="006D2BA1">
        <w:rPr>
          <w:rFonts w:hint="cs"/>
          <w:b/>
          <w:bCs/>
          <w:rtl/>
        </w:rPr>
        <w:t>(ب)</w:t>
      </w:r>
      <w:r w:rsidR="003156AA" w:rsidRPr="006D2BA1">
        <w:rPr>
          <w:rFonts w:hint="cs"/>
          <w:b/>
          <w:bCs/>
          <w:rtl/>
        </w:rPr>
        <w:tab/>
        <w:t>مواصلة وتعزيز التعليم والتدريب المنهجي</w:t>
      </w:r>
      <w:r w:rsidR="003156AA">
        <w:rPr>
          <w:rFonts w:hint="cs"/>
          <w:b/>
          <w:bCs/>
          <w:rtl/>
        </w:rPr>
        <w:t>ي</w:t>
      </w:r>
      <w:r w:rsidR="003156AA" w:rsidRPr="006D2BA1">
        <w:rPr>
          <w:rFonts w:hint="cs"/>
          <w:b/>
          <w:bCs/>
          <w:rtl/>
        </w:rPr>
        <w:t xml:space="preserve">ن بشأن أحكام البروتوكول الاختياري لكافة المجموعات المهنية التي تعمل مع الأطفال ضحايا الجرائم المشمولة بالبروتوكول، وخاصة </w:t>
      </w:r>
      <w:r w:rsidR="003156AA">
        <w:rPr>
          <w:rFonts w:hint="cs"/>
          <w:b/>
          <w:bCs/>
          <w:rtl/>
        </w:rPr>
        <w:t xml:space="preserve">وليس حصرا </w:t>
      </w:r>
      <w:r w:rsidR="003156AA" w:rsidRPr="006D2BA1">
        <w:rPr>
          <w:rFonts w:hint="cs"/>
          <w:b/>
          <w:bCs/>
          <w:rtl/>
        </w:rPr>
        <w:t>موظفي إنفاذ القوانين</w:t>
      </w:r>
      <w:r w:rsidR="003156AA" w:rsidRPr="001B0BF4">
        <w:rPr>
          <w:rFonts w:hint="cs"/>
          <w:rtl/>
        </w:rPr>
        <w:t>.</w:t>
      </w:r>
    </w:p>
    <w:p w:rsidR="003156AA" w:rsidRPr="001B0BF4" w:rsidRDefault="003156AA" w:rsidP="009C7302">
      <w:pPr>
        <w:pStyle w:val="SingleTxtGA"/>
        <w:rPr>
          <w:rFonts w:hint="cs"/>
          <w:rtl/>
        </w:rPr>
      </w:pPr>
      <w:r w:rsidRPr="001B0BF4">
        <w:rPr>
          <w:rFonts w:hint="cs"/>
          <w:rtl/>
        </w:rPr>
        <w:t>18-</w:t>
      </w:r>
      <w:r w:rsidRPr="001B0BF4">
        <w:rPr>
          <w:rFonts w:hint="cs"/>
          <w:rtl/>
        </w:rPr>
        <w:tab/>
      </w:r>
      <w:r w:rsidRPr="006D2BA1">
        <w:rPr>
          <w:rFonts w:hint="cs"/>
          <w:b/>
          <w:bCs/>
          <w:rtl/>
        </w:rPr>
        <w:t>وتؤكد اللجنة من جديد رأي المقرر</w:t>
      </w:r>
      <w:r>
        <w:rPr>
          <w:rFonts w:hint="cs"/>
          <w:b/>
          <w:bCs/>
          <w:rtl/>
        </w:rPr>
        <w:t>ة</w:t>
      </w:r>
      <w:r w:rsidRPr="006D2BA1">
        <w:rPr>
          <w:rFonts w:hint="cs"/>
          <w:b/>
          <w:bCs/>
          <w:rtl/>
        </w:rPr>
        <w:t xml:space="preserve"> الخاص</w:t>
      </w:r>
      <w:r>
        <w:rPr>
          <w:rFonts w:hint="cs"/>
          <w:b/>
          <w:bCs/>
          <w:rtl/>
        </w:rPr>
        <w:t>ة</w:t>
      </w:r>
      <w:r w:rsidRPr="006D2BA1">
        <w:rPr>
          <w:rFonts w:hint="cs"/>
          <w:b/>
          <w:bCs/>
          <w:rtl/>
        </w:rPr>
        <w:t xml:space="preserve"> </w:t>
      </w:r>
      <w:r>
        <w:rPr>
          <w:rFonts w:hint="cs"/>
          <w:b/>
          <w:bCs/>
          <w:rtl/>
        </w:rPr>
        <w:t xml:space="preserve">بضرورة </w:t>
      </w:r>
      <w:r w:rsidRPr="006D2BA1">
        <w:rPr>
          <w:rFonts w:hint="cs"/>
          <w:b/>
          <w:bCs/>
          <w:rtl/>
        </w:rPr>
        <w:t xml:space="preserve">مواصلة تدريب ضباط الشرطة بشأن التشريعات والسياسات المتعلقة بحماية الأطفال لتمكينهم من تحديد قضايا الاستغلال الجنسي للأطفال والتدخل بصورة صحيحة (الفقرة 25 من </w:t>
      </w:r>
      <w:r w:rsidRPr="006D2BA1">
        <w:rPr>
          <w:b/>
          <w:bCs/>
          <w:szCs w:val="22"/>
        </w:rPr>
        <w:t>A/HRC/12/23/Add.2</w:t>
      </w:r>
      <w:r w:rsidRPr="006D2BA1">
        <w:rPr>
          <w:rFonts w:hint="cs"/>
          <w:b/>
          <w:bCs/>
          <w:rtl/>
        </w:rPr>
        <w:t>).</w:t>
      </w:r>
    </w:p>
    <w:p w:rsidR="003156AA" w:rsidRPr="006D2BA1" w:rsidRDefault="0059135B" w:rsidP="0059135B">
      <w:pPr>
        <w:pStyle w:val="H23GA"/>
        <w:rPr>
          <w:rFonts w:hint="cs"/>
          <w:rtl/>
        </w:rPr>
      </w:pPr>
      <w:r>
        <w:rPr>
          <w:rFonts w:hint="cs"/>
          <w:rtl/>
        </w:rPr>
        <w:tab/>
      </w:r>
      <w:r>
        <w:rPr>
          <w:rFonts w:hint="cs"/>
          <w:rtl/>
        </w:rPr>
        <w:tab/>
      </w:r>
      <w:r w:rsidR="003156AA" w:rsidRPr="006D2BA1">
        <w:rPr>
          <w:rFonts w:hint="cs"/>
          <w:rtl/>
        </w:rPr>
        <w:t>تخصيص الموارد</w:t>
      </w:r>
    </w:p>
    <w:p w:rsidR="003156AA" w:rsidRPr="001B0BF4" w:rsidRDefault="003156AA" w:rsidP="0059135B">
      <w:pPr>
        <w:pStyle w:val="SingleTxtGA"/>
        <w:rPr>
          <w:rFonts w:hint="cs"/>
          <w:rtl/>
        </w:rPr>
      </w:pPr>
      <w:r w:rsidRPr="001B0BF4">
        <w:rPr>
          <w:rFonts w:hint="cs"/>
          <w:rtl/>
        </w:rPr>
        <w:t>19-</w:t>
      </w:r>
      <w:r w:rsidRPr="001B0BF4">
        <w:rPr>
          <w:rFonts w:hint="cs"/>
          <w:rtl/>
        </w:rPr>
        <w:tab/>
        <w:t xml:space="preserve">تلاحظ اللجنة مع التقدير إنه بالرغم من التخفيضات العامة في </w:t>
      </w:r>
      <w:r>
        <w:rPr>
          <w:rFonts w:hint="cs"/>
          <w:rtl/>
        </w:rPr>
        <w:t>م</w:t>
      </w:r>
      <w:r w:rsidRPr="001B0BF4">
        <w:rPr>
          <w:rFonts w:hint="cs"/>
          <w:rtl/>
        </w:rPr>
        <w:t xml:space="preserve">يزانية </w:t>
      </w:r>
      <w:r>
        <w:rPr>
          <w:rFonts w:hint="cs"/>
          <w:rtl/>
        </w:rPr>
        <w:t>ا</w:t>
      </w:r>
      <w:r w:rsidRPr="001B0BF4">
        <w:rPr>
          <w:rFonts w:hint="cs"/>
          <w:rtl/>
        </w:rPr>
        <w:t>لإدارة</w:t>
      </w:r>
      <w:r>
        <w:rPr>
          <w:rFonts w:hint="cs"/>
          <w:rtl/>
        </w:rPr>
        <w:t xml:space="preserve"> الحكومية،</w:t>
      </w:r>
      <w:r w:rsidRPr="001B0BF4">
        <w:rPr>
          <w:rFonts w:hint="cs"/>
          <w:rtl/>
        </w:rPr>
        <w:t xml:space="preserve"> والتي </w:t>
      </w:r>
      <w:r>
        <w:rPr>
          <w:rFonts w:hint="cs"/>
          <w:rtl/>
        </w:rPr>
        <w:t>تمثل شرطا ل</w:t>
      </w:r>
      <w:r w:rsidRPr="001B0BF4">
        <w:rPr>
          <w:rFonts w:hint="cs"/>
          <w:rtl/>
        </w:rPr>
        <w:t xml:space="preserve">دخول إستونيا منطقة اليورو، فإن الدولة الطرف قد خصصت موارد لإنشاء وتشغيل إدارة جديدة بشأن السياسات المتعلقة بالطفل والأسرة في وزارة الشؤون الاجتماعية. وعلى الرغم من ذلك تأسف اللجنة لاستمرار بعض مواطن القلق، بما في ذلك عدم كفاية الميزانية والقدرات والموارد المتاحة </w:t>
      </w:r>
      <w:r>
        <w:rPr>
          <w:rFonts w:hint="cs"/>
          <w:rtl/>
        </w:rPr>
        <w:t xml:space="preserve">لموظفي الخدمة المدنية </w:t>
      </w:r>
      <w:r w:rsidRPr="001B0BF4">
        <w:rPr>
          <w:rFonts w:hint="cs"/>
          <w:rtl/>
        </w:rPr>
        <w:t xml:space="preserve">على الصعيد المحلي لتوفير إمكانية وصول حقيقية للضحايا </w:t>
      </w:r>
      <w:r>
        <w:rPr>
          <w:rFonts w:hint="cs"/>
          <w:rtl/>
        </w:rPr>
        <w:t xml:space="preserve">إلى </w:t>
      </w:r>
      <w:r w:rsidRPr="001B0BF4">
        <w:rPr>
          <w:rFonts w:hint="cs"/>
          <w:rtl/>
        </w:rPr>
        <w:t>العدالة، حسبما أشير إلى ذلك في تقرير المقررة الخاصة بشأن بيع الأطفال وبغاء الأطفال واستغلال الأطفال في المواد الإباحية عقب زيارتها لإستونيا في تشرين الأول/أكتوبر 2008 (</w:t>
      </w:r>
      <w:r w:rsidRPr="006D2BA1">
        <w:rPr>
          <w:szCs w:val="22"/>
        </w:rPr>
        <w:t>A/HRC/12/23/Add.2</w:t>
      </w:r>
      <w:r w:rsidRPr="001B0BF4">
        <w:rPr>
          <w:rFonts w:hint="cs"/>
          <w:rtl/>
        </w:rPr>
        <w:t xml:space="preserve">). </w:t>
      </w:r>
    </w:p>
    <w:p w:rsidR="003156AA" w:rsidRPr="00490749" w:rsidRDefault="003156AA" w:rsidP="0059135B">
      <w:pPr>
        <w:pStyle w:val="SingleTxtGA"/>
        <w:rPr>
          <w:rFonts w:hint="cs"/>
          <w:b/>
          <w:bCs/>
          <w:rtl/>
        </w:rPr>
      </w:pPr>
      <w:r w:rsidRPr="001B0BF4">
        <w:rPr>
          <w:rFonts w:hint="cs"/>
          <w:rtl/>
        </w:rPr>
        <w:t>20-</w:t>
      </w:r>
      <w:r w:rsidRPr="001B0BF4">
        <w:rPr>
          <w:rFonts w:hint="cs"/>
          <w:rtl/>
        </w:rPr>
        <w:tab/>
      </w:r>
      <w:r>
        <w:rPr>
          <w:rFonts w:hint="cs"/>
          <w:b/>
          <w:bCs/>
          <w:rtl/>
        </w:rPr>
        <w:t>وت</w:t>
      </w:r>
      <w:r w:rsidRPr="00490749">
        <w:rPr>
          <w:rFonts w:hint="cs"/>
          <w:b/>
          <w:bCs/>
          <w:rtl/>
        </w:rPr>
        <w:t xml:space="preserve">وصي اللجنة الدولة الطرف بالقيام، عند تخطيط ميزانيتها الوطنية، بتخصيص موارد مالية، </w:t>
      </w:r>
      <w:r>
        <w:rPr>
          <w:rFonts w:hint="cs"/>
          <w:b/>
          <w:bCs/>
          <w:rtl/>
        </w:rPr>
        <w:t xml:space="preserve">بصورة محددة </w:t>
      </w:r>
      <w:r w:rsidRPr="00490749">
        <w:rPr>
          <w:rFonts w:hint="cs"/>
          <w:b/>
          <w:bCs/>
          <w:rtl/>
        </w:rPr>
        <w:t>لتنفيذ البروتوكول الاختياري. وبصفة خاصة، توصي اللجنة الدولة الطرف بما يلي:</w:t>
      </w:r>
    </w:p>
    <w:p w:rsidR="003156AA" w:rsidRPr="006D2BA1" w:rsidRDefault="00D845F1" w:rsidP="0059135B">
      <w:pPr>
        <w:pStyle w:val="SingleTxtGA"/>
        <w:rPr>
          <w:rFonts w:hint="cs"/>
          <w:b/>
          <w:bCs/>
          <w:rtl/>
        </w:rPr>
      </w:pPr>
      <w:r>
        <w:rPr>
          <w:rFonts w:hint="cs"/>
          <w:b/>
          <w:bCs/>
          <w:rtl/>
        </w:rPr>
        <w:tab/>
      </w:r>
      <w:r w:rsidR="003156AA" w:rsidRPr="006D2BA1">
        <w:rPr>
          <w:rFonts w:hint="cs"/>
          <w:b/>
          <w:bCs/>
          <w:rtl/>
        </w:rPr>
        <w:t>(أ)</w:t>
      </w:r>
      <w:r w:rsidR="003156AA" w:rsidRPr="006D2BA1">
        <w:rPr>
          <w:rFonts w:hint="cs"/>
          <w:b/>
          <w:bCs/>
          <w:rtl/>
        </w:rPr>
        <w:tab/>
        <w:t>تخصيص موارد بشرية ومالية لضمان التنفيذ الكامل للبروتوكول الاختياري في إقليمها بأكمله، وخاصة في</w:t>
      </w:r>
      <w:r w:rsidR="003156AA">
        <w:rPr>
          <w:rFonts w:hint="cs"/>
          <w:b/>
          <w:bCs/>
          <w:rtl/>
        </w:rPr>
        <w:t xml:space="preserve"> كل وحدة من</w:t>
      </w:r>
      <w:r w:rsidR="003156AA" w:rsidRPr="006D2BA1">
        <w:rPr>
          <w:rFonts w:hint="cs"/>
          <w:b/>
          <w:bCs/>
          <w:rtl/>
        </w:rPr>
        <w:t xml:space="preserve"> وحدات الشرطة الإقليمية البالغة 17 وحدة، وإيلاء الأولوية ال</w:t>
      </w:r>
      <w:r w:rsidR="003156AA">
        <w:rPr>
          <w:rFonts w:hint="cs"/>
          <w:b/>
          <w:bCs/>
          <w:rtl/>
        </w:rPr>
        <w:t>استراتيج</w:t>
      </w:r>
      <w:r w:rsidR="003156AA" w:rsidRPr="006D2BA1">
        <w:rPr>
          <w:rFonts w:hint="cs"/>
          <w:b/>
          <w:bCs/>
          <w:rtl/>
        </w:rPr>
        <w:t>ية لتدريب الموارد البشرية وتخصصها؛</w:t>
      </w:r>
    </w:p>
    <w:p w:rsidR="003156AA" w:rsidRPr="006D2BA1" w:rsidRDefault="00D845F1" w:rsidP="0059135B">
      <w:pPr>
        <w:pStyle w:val="SingleTxtGA"/>
        <w:rPr>
          <w:rFonts w:hint="cs"/>
          <w:b/>
          <w:bCs/>
          <w:rtl/>
        </w:rPr>
      </w:pPr>
      <w:r>
        <w:rPr>
          <w:rFonts w:hint="cs"/>
          <w:b/>
          <w:bCs/>
          <w:rtl/>
        </w:rPr>
        <w:tab/>
      </w:r>
      <w:r w:rsidR="003156AA" w:rsidRPr="006D2BA1">
        <w:rPr>
          <w:rFonts w:hint="cs"/>
          <w:b/>
          <w:bCs/>
          <w:rtl/>
        </w:rPr>
        <w:t>(ب)</w:t>
      </w:r>
      <w:r w:rsidR="003156AA" w:rsidRPr="006D2BA1">
        <w:rPr>
          <w:rFonts w:hint="cs"/>
          <w:b/>
          <w:bCs/>
          <w:rtl/>
        </w:rPr>
        <w:tab/>
        <w:t xml:space="preserve">تعزيز القدرات البشرية والتقنية والمالية </w:t>
      </w:r>
      <w:r w:rsidR="003156AA">
        <w:rPr>
          <w:rFonts w:hint="cs"/>
          <w:b/>
          <w:bCs/>
          <w:rtl/>
        </w:rPr>
        <w:t>ل</w:t>
      </w:r>
      <w:r w:rsidR="003156AA" w:rsidRPr="006D2BA1">
        <w:rPr>
          <w:rFonts w:hint="cs"/>
          <w:b/>
          <w:bCs/>
          <w:rtl/>
        </w:rPr>
        <w:t>لشرطة من أجل إجراء تحقيقات جنائية بشأن استغلال الأطفال في المواد الإباحية على الانترنت، مع مراعاة التحديات الخاصة التي تمثلها هذه الجريمة المعقدة والعالمية؛</w:t>
      </w:r>
    </w:p>
    <w:p w:rsidR="003156AA" w:rsidRPr="006D2BA1" w:rsidRDefault="00D845F1" w:rsidP="0059135B">
      <w:pPr>
        <w:pStyle w:val="SingleTxtGA"/>
        <w:rPr>
          <w:rFonts w:hint="cs"/>
          <w:b/>
          <w:bCs/>
          <w:rtl/>
        </w:rPr>
      </w:pPr>
      <w:r>
        <w:rPr>
          <w:rFonts w:hint="cs"/>
          <w:b/>
          <w:bCs/>
          <w:rtl/>
        </w:rPr>
        <w:tab/>
      </w:r>
      <w:r w:rsidR="003156AA" w:rsidRPr="006D2BA1">
        <w:rPr>
          <w:rFonts w:hint="cs"/>
          <w:b/>
          <w:bCs/>
          <w:rtl/>
        </w:rPr>
        <w:t>(ج)</w:t>
      </w:r>
      <w:r w:rsidR="003156AA" w:rsidRPr="006D2BA1">
        <w:rPr>
          <w:rFonts w:hint="cs"/>
          <w:b/>
          <w:bCs/>
          <w:rtl/>
        </w:rPr>
        <w:tab/>
        <w:t>زيادة الموارد البشرية والمالية المتاحة للخدمات الاجتماعية بغية رفع عدد العاملين في مجال حماية الأطفال ليقابل احتياجات فرادى السلطات المحلية ورفع معدل العمال المعنيين بحماية الأطفال المخصصين لكل 1000 طفل.</w:t>
      </w:r>
    </w:p>
    <w:p w:rsidR="003156AA" w:rsidRPr="006D2BA1" w:rsidRDefault="00D845F1" w:rsidP="00D845F1">
      <w:pPr>
        <w:pStyle w:val="H23GA"/>
        <w:rPr>
          <w:rFonts w:hint="cs"/>
          <w:rtl/>
        </w:rPr>
      </w:pPr>
      <w:r>
        <w:rPr>
          <w:rFonts w:hint="cs"/>
          <w:rtl/>
        </w:rPr>
        <w:tab/>
      </w:r>
      <w:r>
        <w:rPr>
          <w:rFonts w:hint="cs"/>
          <w:rtl/>
        </w:rPr>
        <w:tab/>
      </w:r>
      <w:r w:rsidR="003156AA" w:rsidRPr="006D2BA1">
        <w:rPr>
          <w:rFonts w:hint="cs"/>
          <w:rtl/>
        </w:rPr>
        <w:t>الرصد المستقل</w:t>
      </w:r>
    </w:p>
    <w:p w:rsidR="003156AA" w:rsidRPr="001B0BF4" w:rsidRDefault="003156AA" w:rsidP="0059135B">
      <w:pPr>
        <w:pStyle w:val="SingleTxtGA"/>
        <w:rPr>
          <w:rFonts w:hint="cs"/>
          <w:rtl/>
        </w:rPr>
      </w:pPr>
      <w:r w:rsidRPr="001B0BF4">
        <w:rPr>
          <w:rFonts w:hint="cs"/>
          <w:rtl/>
        </w:rPr>
        <w:t>21-</w:t>
      </w:r>
      <w:r w:rsidRPr="001B0BF4">
        <w:rPr>
          <w:rFonts w:hint="cs"/>
          <w:rtl/>
        </w:rPr>
        <w:tab/>
        <w:t xml:space="preserve">تلاحظ اللجنة المعلومات التي تفيد </w:t>
      </w:r>
      <w:r>
        <w:rPr>
          <w:rFonts w:hint="cs"/>
          <w:rtl/>
        </w:rPr>
        <w:t>بتفويض</w:t>
      </w:r>
      <w:r w:rsidRPr="001B0BF4">
        <w:rPr>
          <w:rFonts w:hint="cs"/>
          <w:rtl/>
        </w:rPr>
        <w:t xml:space="preserve"> مهمة رصد حقوق الأطفال </w:t>
      </w:r>
      <w:r>
        <w:rPr>
          <w:rFonts w:hint="cs"/>
          <w:rtl/>
        </w:rPr>
        <w:t>عمليا</w:t>
      </w:r>
      <w:r w:rsidRPr="001B0BF4">
        <w:rPr>
          <w:rFonts w:hint="cs"/>
          <w:rtl/>
        </w:rPr>
        <w:t xml:space="preserve"> </w:t>
      </w:r>
      <w:r>
        <w:rPr>
          <w:rFonts w:hint="cs"/>
          <w:rtl/>
        </w:rPr>
        <w:t xml:space="preserve">إلى </w:t>
      </w:r>
      <w:r w:rsidRPr="001B0BF4">
        <w:rPr>
          <w:rFonts w:hint="cs"/>
          <w:rtl/>
        </w:rPr>
        <w:t>وحدة في</w:t>
      </w:r>
      <w:r>
        <w:rPr>
          <w:rFonts w:hint="cs"/>
          <w:rtl/>
        </w:rPr>
        <w:t xml:space="preserve"> نطاق</w:t>
      </w:r>
      <w:r w:rsidRPr="001B0BF4">
        <w:rPr>
          <w:rFonts w:hint="cs"/>
          <w:rtl/>
        </w:rPr>
        <w:t xml:space="preserve"> مؤسسة وزارة العدل </w:t>
      </w:r>
      <w:r>
        <w:rPr>
          <w:rFonts w:hint="cs"/>
          <w:rtl/>
        </w:rPr>
        <w:t>وتكليفها بالعمل</w:t>
      </w:r>
      <w:r w:rsidRPr="001B0BF4">
        <w:rPr>
          <w:rFonts w:hint="cs"/>
          <w:rtl/>
        </w:rPr>
        <w:t xml:space="preserve"> كأمين مظالم. وفي حين تلاحظ اللجنة </w:t>
      </w:r>
      <w:r>
        <w:rPr>
          <w:rFonts w:hint="cs"/>
          <w:rtl/>
        </w:rPr>
        <w:t xml:space="preserve">أنه يجوز أن تتلقي وزارة العدل </w:t>
      </w:r>
      <w:r w:rsidRPr="001B0BF4">
        <w:rPr>
          <w:rFonts w:hint="cs"/>
          <w:rtl/>
        </w:rPr>
        <w:t>شكاوى مباشرة من الأطفال، فإن</w:t>
      </w:r>
      <w:r>
        <w:rPr>
          <w:rFonts w:hint="cs"/>
          <w:rtl/>
        </w:rPr>
        <w:t xml:space="preserve">ها </w:t>
      </w:r>
      <w:r w:rsidRPr="001B0BF4">
        <w:rPr>
          <w:rFonts w:hint="cs"/>
          <w:rtl/>
        </w:rPr>
        <w:t xml:space="preserve">تشعر بالقلق إزاء </w:t>
      </w:r>
      <w:r>
        <w:rPr>
          <w:rFonts w:hint="cs"/>
          <w:rtl/>
        </w:rPr>
        <w:t xml:space="preserve">مسألة </w:t>
      </w:r>
      <w:r w:rsidRPr="001B0BF4">
        <w:rPr>
          <w:rFonts w:hint="cs"/>
          <w:rtl/>
        </w:rPr>
        <w:t>الامتثال لمبادئ باريس وتأسف للانخفاض الكبير جدا في عدد الشكاوى المقدمة من الأطفال. وتحيط اللجنة علما بالمناقشات الحالية في الدولة الطرف بشأن احتمال إنشاء مكتب أمين مظالم معني بالأطفال.</w:t>
      </w:r>
    </w:p>
    <w:p w:rsidR="003156AA" w:rsidRPr="001B0BF4" w:rsidRDefault="003156AA" w:rsidP="0059135B">
      <w:pPr>
        <w:pStyle w:val="SingleTxtGA"/>
        <w:rPr>
          <w:rFonts w:hint="cs"/>
          <w:rtl/>
        </w:rPr>
      </w:pPr>
      <w:r w:rsidRPr="001B0BF4">
        <w:rPr>
          <w:rFonts w:hint="cs"/>
          <w:rtl/>
        </w:rPr>
        <w:t>22-</w:t>
      </w:r>
      <w:r w:rsidRPr="001B0BF4">
        <w:rPr>
          <w:rFonts w:hint="cs"/>
          <w:rtl/>
        </w:rPr>
        <w:tab/>
      </w:r>
      <w:r>
        <w:rPr>
          <w:rFonts w:hint="cs"/>
          <w:b/>
          <w:bCs/>
          <w:rtl/>
        </w:rPr>
        <w:t>وت</w:t>
      </w:r>
      <w:r w:rsidRPr="00490749">
        <w:rPr>
          <w:rFonts w:hint="cs"/>
          <w:b/>
          <w:bCs/>
          <w:rtl/>
        </w:rPr>
        <w:t>وصي اللجنة الدولة الطرف</w:t>
      </w:r>
      <w:r>
        <w:rPr>
          <w:rFonts w:hint="cs"/>
          <w:b/>
          <w:bCs/>
          <w:rtl/>
        </w:rPr>
        <w:t xml:space="preserve"> بأن يكون المكتب</w:t>
      </w:r>
      <w:r w:rsidRPr="00490749">
        <w:rPr>
          <w:rFonts w:hint="cs"/>
          <w:b/>
          <w:bCs/>
          <w:rtl/>
        </w:rPr>
        <w:t xml:space="preserve"> </w:t>
      </w:r>
      <w:r>
        <w:rPr>
          <w:rFonts w:hint="cs"/>
          <w:b/>
          <w:bCs/>
          <w:rtl/>
        </w:rPr>
        <w:t xml:space="preserve">الحالي التابع لوزارة العدل متاح الوصول إليه ومعروفا للأطفال وممثليهم على الصعيدين الوطني والمحلي، وبما يتوافق مع مبادئي </w:t>
      </w:r>
      <w:r w:rsidRPr="00490749">
        <w:rPr>
          <w:rFonts w:hint="cs"/>
          <w:b/>
          <w:bCs/>
          <w:rtl/>
        </w:rPr>
        <w:t>باريس ومراعاة التعليق العام رقم 2</w:t>
      </w:r>
      <w:r>
        <w:rPr>
          <w:rFonts w:hint="cs"/>
          <w:b/>
          <w:bCs/>
          <w:rtl/>
        </w:rPr>
        <w:t xml:space="preserve"> </w:t>
      </w:r>
      <w:r w:rsidRPr="00490749">
        <w:rPr>
          <w:rFonts w:hint="cs"/>
          <w:b/>
          <w:bCs/>
          <w:rtl/>
        </w:rPr>
        <w:t xml:space="preserve">(2002) بشأن دور مؤسسات حقوق الإنسان الوطنية المستقلة. </w:t>
      </w:r>
      <w:r>
        <w:rPr>
          <w:rFonts w:hint="cs"/>
          <w:b/>
          <w:bCs/>
          <w:rtl/>
        </w:rPr>
        <w:t>وكإجراء بديل، تشجع اللجنة الدولة الطرف على مواصلة وإكمال الخطط الرامية إلى إنشاء مكتب أمين المظالم المعني بالأطفال. وبالإضافة إلى تقلي الشكاوى، يكون</w:t>
      </w:r>
      <w:r w:rsidRPr="00490749">
        <w:rPr>
          <w:rFonts w:hint="cs"/>
          <w:b/>
          <w:bCs/>
          <w:rtl/>
        </w:rPr>
        <w:t xml:space="preserve"> مكتب أمين المظالم </w:t>
      </w:r>
      <w:r>
        <w:rPr>
          <w:rFonts w:hint="cs"/>
          <w:b/>
          <w:bCs/>
          <w:rtl/>
        </w:rPr>
        <w:t xml:space="preserve">مسؤولا عن </w:t>
      </w:r>
      <w:r w:rsidRPr="00490749">
        <w:rPr>
          <w:rFonts w:hint="cs"/>
          <w:b/>
          <w:bCs/>
          <w:rtl/>
        </w:rPr>
        <w:t xml:space="preserve">رصد تنفيذ الاتفاقية </w:t>
      </w:r>
      <w:r>
        <w:rPr>
          <w:rFonts w:hint="cs"/>
          <w:b/>
          <w:bCs/>
          <w:rtl/>
        </w:rPr>
        <w:t xml:space="preserve">والبروتوكول الاختياري </w:t>
      </w:r>
      <w:r w:rsidRPr="00490749">
        <w:rPr>
          <w:rFonts w:hint="cs"/>
          <w:b/>
          <w:bCs/>
          <w:rtl/>
        </w:rPr>
        <w:t>وتعزيزه</w:t>
      </w:r>
      <w:r>
        <w:rPr>
          <w:rFonts w:hint="cs"/>
          <w:b/>
          <w:bCs/>
          <w:rtl/>
        </w:rPr>
        <w:t>م</w:t>
      </w:r>
      <w:r w:rsidRPr="00490749">
        <w:rPr>
          <w:rFonts w:hint="cs"/>
          <w:b/>
          <w:bCs/>
          <w:rtl/>
        </w:rPr>
        <w:t xml:space="preserve">ا، </w:t>
      </w:r>
      <w:r>
        <w:rPr>
          <w:rFonts w:hint="cs"/>
          <w:b/>
          <w:bCs/>
          <w:rtl/>
        </w:rPr>
        <w:t>وأن يكون مزودا بالموارد البشرية والمالية الكافية لأداء ولايته</w:t>
      </w:r>
      <w:r w:rsidRPr="00490749">
        <w:rPr>
          <w:rFonts w:hint="cs"/>
          <w:b/>
          <w:bCs/>
          <w:rtl/>
        </w:rPr>
        <w:t>.</w:t>
      </w:r>
    </w:p>
    <w:p w:rsidR="003156AA" w:rsidRPr="00D845F1" w:rsidRDefault="00D845F1" w:rsidP="00D845F1">
      <w:pPr>
        <w:pStyle w:val="H23GA"/>
        <w:rPr>
          <w:rFonts w:hint="cs"/>
          <w:rtl/>
        </w:rPr>
      </w:pPr>
      <w:r>
        <w:rPr>
          <w:rFonts w:hint="cs"/>
          <w:rtl/>
        </w:rPr>
        <w:tab/>
      </w:r>
      <w:r>
        <w:rPr>
          <w:rFonts w:hint="cs"/>
          <w:rtl/>
        </w:rPr>
        <w:tab/>
      </w:r>
      <w:r w:rsidR="003156AA" w:rsidRPr="00D845F1">
        <w:rPr>
          <w:rFonts w:hint="cs"/>
          <w:rtl/>
        </w:rPr>
        <w:t>المجتمع المدني</w:t>
      </w:r>
    </w:p>
    <w:p w:rsidR="003156AA" w:rsidRPr="001B0BF4" w:rsidRDefault="003156AA" w:rsidP="00D845F1">
      <w:pPr>
        <w:pStyle w:val="SingleTxtGA"/>
        <w:rPr>
          <w:rFonts w:hint="cs"/>
          <w:rtl/>
        </w:rPr>
      </w:pPr>
      <w:r w:rsidRPr="001B0BF4">
        <w:rPr>
          <w:rFonts w:hint="cs"/>
          <w:rtl/>
        </w:rPr>
        <w:t>23-</w:t>
      </w:r>
      <w:r w:rsidRPr="001B0BF4">
        <w:rPr>
          <w:rFonts w:hint="cs"/>
          <w:rtl/>
        </w:rPr>
        <w:tab/>
        <w:t>في حين تقدر اللجنة التعاون مع المجتمع الدولي في تنفيذ البروتوكول الاختياري، بما في ذلك إدماج التعليقات المقدمة من المجتمع المدني في التقرير الأولي، فإن اللجنة تأسف لانخفاض مستوى ا</w:t>
      </w:r>
      <w:r>
        <w:rPr>
          <w:rFonts w:hint="cs"/>
          <w:rtl/>
        </w:rPr>
        <w:t>نخراط</w:t>
      </w:r>
      <w:r w:rsidRPr="001B0BF4">
        <w:rPr>
          <w:rFonts w:hint="cs"/>
          <w:rtl/>
        </w:rPr>
        <w:t xml:space="preserve"> ومشاركة المجتمع الدولي في جميع المجالات المتعلقة بتنفيذ البروتوكول الاختياري.</w:t>
      </w:r>
    </w:p>
    <w:p w:rsidR="003156AA" w:rsidRPr="00AD3375" w:rsidRDefault="003156AA" w:rsidP="00D845F1">
      <w:pPr>
        <w:pStyle w:val="SingleTxtGA"/>
        <w:rPr>
          <w:rFonts w:hint="cs"/>
          <w:b/>
          <w:bCs/>
          <w:rtl/>
        </w:rPr>
      </w:pPr>
      <w:r w:rsidRPr="001B0BF4">
        <w:rPr>
          <w:rFonts w:hint="cs"/>
          <w:rtl/>
        </w:rPr>
        <w:t>24-</w:t>
      </w:r>
      <w:r w:rsidRPr="001B0BF4">
        <w:rPr>
          <w:rFonts w:hint="cs"/>
          <w:rtl/>
        </w:rPr>
        <w:tab/>
      </w:r>
      <w:r w:rsidRPr="00AD3375">
        <w:rPr>
          <w:rFonts w:hint="cs"/>
          <w:b/>
          <w:bCs/>
          <w:rtl/>
        </w:rPr>
        <w:t xml:space="preserve">وتشجع اللجنة الدولة الطرف على مواصلة وتعزيز تعاونها مع المجتمع المدني في جميع المسائل التي يغطيها البروتوكول الاختياري، عن طريق دعم المنظمات غير الحكومية في جهودها الرامية </w:t>
      </w:r>
      <w:r>
        <w:rPr>
          <w:rFonts w:hint="cs"/>
          <w:b/>
          <w:bCs/>
          <w:rtl/>
        </w:rPr>
        <w:t xml:space="preserve">إلى </w:t>
      </w:r>
      <w:r w:rsidRPr="00AD3375">
        <w:rPr>
          <w:rFonts w:hint="cs"/>
          <w:b/>
          <w:bCs/>
          <w:rtl/>
        </w:rPr>
        <w:t xml:space="preserve">توفير خدمات ملائمة </w:t>
      </w:r>
      <w:r>
        <w:rPr>
          <w:rFonts w:hint="cs"/>
          <w:b/>
          <w:bCs/>
          <w:rtl/>
        </w:rPr>
        <w:t>ل</w:t>
      </w:r>
      <w:r w:rsidRPr="00AD3375">
        <w:rPr>
          <w:rFonts w:hint="cs"/>
          <w:b/>
          <w:bCs/>
          <w:rtl/>
        </w:rPr>
        <w:t xml:space="preserve">لأطفال </w:t>
      </w:r>
      <w:r>
        <w:rPr>
          <w:rFonts w:hint="cs"/>
          <w:b/>
          <w:bCs/>
          <w:rtl/>
        </w:rPr>
        <w:t>ا</w:t>
      </w:r>
      <w:r w:rsidRPr="00AD3375">
        <w:rPr>
          <w:rFonts w:hint="cs"/>
          <w:b/>
          <w:bCs/>
          <w:rtl/>
        </w:rPr>
        <w:t xml:space="preserve">لضحايا، </w:t>
      </w:r>
      <w:r>
        <w:rPr>
          <w:rFonts w:hint="cs"/>
          <w:b/>
          <w:bCs/>
          <w:rtl/>
        </w:rPr>
        <w:t>و</w:t>
      </w:r>
      <w:r w:rsidRPr="00AD3375">
        <w:rPr>
          <w:rFonts w:hint="cs"/>
          <w:b/>
          <w:bCs/>
          <w:rtl/>
        </w:rPr>
        <w:t>أيضا توسيع دور المنظمات غير الحكومية في إعداد ورصد السياسات والخدمات.</w:t>
      </w:r>
    </w:p>
    <w:p w:rsidR="003156AA" w:rsidRPr="00D845F1" w:rsidRDefault="00D845F1" w:rsidP="00D845F1">
      <w:pPr>
        <w:pStyle w:val="H1GA"/>
        <w:rPr>
          <w:rFonts w:hint="cs"/>
          <w:rtl/>
        </w:rPr>
      </w:pPr>
      <w:r>
        <w:rPr>
          <w:rFonts w:hint="cs"/>
          <w:rtl/>
        </w:rPr>
        <w:tab/>
      </w:r>
      <w:r w:rsidR="003156AA" w:rsidRPr="00D845F1">
        <w:rPr>
          <w:rFonts w:hint="cs"/>
          <w:rtl/>
        </w:rPr>
        <w:t>رابعا</w:t>
      </w:r>
      <w:r>
        <w:rPr>
          <w:rFonts w:hint="cs"/>
          <w:rtl/>
        </w:rPr>
        <w:t>ً</w:t>
      </w:r>
      <w:r w:rsidR="003156AA" w:rsidRPr="00D845F1">
        <w:rPr>
          <w:rFonts w:hint="cs"/>
          <w:rtl/>
        </w:rPr>
        <w:t>-</w:t>
      </w:r>
      <w:r>
        <w:rPr>
          <w:rFonts w:hint="cs"/>
          <w:rtl/>
        </w:rPr>
        <w:tab/>
      </w:r>
      <w:r w:rsidR="003156AA" w:rsidRPr="00D845F1">
        <w:rPr>
          <w:rFonts w:hint="cs"/>
          <w:rtl/>
        </w:rPr>
        <w:t>منع بيع الأطفال وبغاء الأطفال واستغلال الأطفال في المواد الإباحية (الفقرتان 1 و2 من المادة 9)</w:t>
      </w:r>
    </w:p>
    <w:p w:rsidR="003156AA" w:rsidRPr="008A2CE4" w:rsidRDefault="00D845F1" w:rsidP="00D845F1">
      <w:pPr>
        <w:pStyle w:val="H23GA"/>
        <w:rPr>
          <w:rFonts w:hint="cs"/>
          <w:rtl/>
        </w:rPr>
      </w:pPr>
      <w:r>
        <w:rPr>
          <w:rFonts w:hint="cs"/>
          <w:rtl/>
        </w:rPr>
        <w:tab/>
      </w:r>
      <w:r>
        <w:rPr>
          <w:rFonts w:hint="cs"/>
          <w:rtl/>
        </w:rPr>
        <w:tab/>
      </w:r>
      <w:r w:rsidR="003156AA" w:rsidRPr="008A2CE4">
        <w:rPr>
          <w:rFonts w:hint="cs"/>
          <w:rtl/>
        </w:rPr>
        <w:t>التدابير المعتمدة لمنع الجرائم المشار إليها في البروتوكول</w:t>
      </w:r>
    </w:p>
    <w:p w:rsidR="003156AA" w:rsidRPr="001B0BF4" w:rsidRDefault="003156AA" w:rsidP="00AF19BE">
      <w:pPr>
        <w:pStyle w:val="SingleTxtGA"/>
        <w:rPr>
          <w:rFonts w:hint="cs"/>
          <w:rtl/>
        </w:rPr>
      </w:pPr>
      <w:r w:rsidRPr="001B0BF4">
        <w:rPr>
          <w:rFonts w:hint="cs"/>
          <w:rtl/>
        </w:rPr>
        <w:t>25-</w:t>
      </w:r>
      <w:r w:rsidRPr="001B0BF4">
        <w:rPr>
          <w:rFonts w:hint="cs"/>
          <w:rtl/>
        </w:rPr>
        <w:tab/>
        <w:t>تلاحظ اللجنة مع التقدير العديد من المبادرات في الدولة الطرف التي تهدف إلى منع الممارسات المنصوص عليها بموجب البروتوكول الاختياري، بما في ذلك إدخال جزاءات أكثر تناسب</w:t>
      </w:r>
      <w:r>
        <w:rPr>
          <w:rFonts w:hint="cs"/>
          <w:rtl/>
        </w:rPr>
        <w:t>ا مع</w:t>
      </w:r>
      <w:r w:rsidRPr="001B0BF4">
        <w:rPr>
          <w:rFonts w:hint="cs"/>
          <w:rtl/>
        </w:rPr>
        <w:t xml:space="preserve"> </w:t>
      </w:r>
      <w:r>
        <w:rPr>
          <w:rFonts w:hint="cs"/>
          <w:rtl/>
        </w:rPr>
        <w:t>ا</w:t>
      </w:r>
      <w:r w:rsidRPr="001B0BF4">
        <w:rPr>
          <w:rFonts w:hint="cs"/>
          <w:rtl/>
        </w:rPr>
        <w:t xml:space="preserve">لجرائم الجنسية المرتكبة ضد الأطفال، وإمكانية إصدار أوامر تقييد ووضع قيود على العمل مع الأطفال. وترحب اللجنة بصفة خاصة بالتدابير التي أدخلت لمنع استخدام الانترنت </w:t>
      </w:r>
      <w:r>
        <w:rPr>
          <w:rFonts w:hint="cs"/>
          <w:rtl/>
        </w:rPr>
        <w:t>لارتكاب</w:t>
      </w:r>
      <w:r w:rsidRPr="001B0BF4">
        <w:rPr>
          <w:rFonts w:hint="cs"/>
          <w:rtl/>
        </w:rPr>
        <w:t xml:space="preserve"> الجرائم المحظورة بموجب البروتوكول الاختياري، بما في ذلك إعداد مشروع </w:t>
      </w:r>
      <w:r>
        <w:rPr>
          <w:rFonts w:hint="cs"/>
          <w:rtl/>
        </w:rPr>
        <w:t xml:space="preserve">قانون </w:t>
      </w:r>
      <w:r w:rsidRPr="001B0BF4">
        <w:rPr>
          <w:rFonts w:hint="cs"/>
          <w:rtl/>
        </w:rPr>
        <w:t xml:space="preserve">لحظر </w:t>
      </w:r>
      <w:r>
        <w:rPr>
          <w:rFonts w:hint="cs"/>
          <w:rtl/>
        </w:rPr>
        <w:t>عمليات إعداد الأطفال</w:t>
      </w:r>
      <w:r w:rsidRPr="001B0BF4">
        <w:rPr>
          <w:rFonts w:hint="cs"/>
          <w:rtl/>
        </w:rPr>
        <w:t xml:space="preserve"> </w:t>
      </w:r>
      <w:r>
        <w:rPr>
          <w:rFonts w:hint="cs"/>
          <w:rtl/>
        </w:rPr>
        <w:t xml:space="preserve">وإعداد مشروع طلب للحصول </w:t>
      </w:r>
      <w:r w:rsidRPr="001B0BF4">
        <w:rPr>
          <w:rFonts w:hint="cs"/>
          <w:rtl/>
        </w:rPr>
        <w:t>على دعم من الاتحاد الأوروب</w:t>
      </w:r>
      <w:r w:rsidRPr="001B0BF4">
        <w:rPr>
          <w:rFonts w:hint="eastAsia"/>
          <w:rtl/>
        </w:rPr>
        <w:t>ي</w:t>
      </w:r>
      <w:r w:rsidRPr="001B0BF4">
        <w:rPr>
          <w:rFonts w:hint="cs"/>
          <w:rtl/>
        </w:rPr>
        <w:t xml:space="preserve"> لفتح قنوات للإبلاغ عن المحتوى غير الملائم على الانترنت وتقديم المشورة؛ وتزويد الشرطة بالوسائل اللازمة لرصد استغلال الأطفال في المواد الإباحية على الانترنت والتعامل معه. وعلى الرغم من ذلك، تشعر اللجنة بالقلق من أن التدابير التي تهدف إلى منع الممارسات بموجب البروتوكول الاختياري لا تستهدف </w:t>
      </w:r>
      <w:r>
        <w:rPr>
          <w:rFonts w:hint="cs"/>
          <w:rtl/>
        </w:rPr>
        <w:t>تحديدا</w:t>
      </w:r>
      <w:r w:rsidRPr="001B0BF4">
        <w:rPr>
          <w:rFonts w:hint="cs"/>
          <w:rtl/>
        </w:rPr>
        <w:t xml:space="preserve"> الأطفال الضعفاء والأطفال المهجورين من قبل آباء مهاجرين والأطفال </w:t>
      </w:r>
      <w:r>
        <w:rPr>
          <w:rFonts w:hint="cs"/>
          <w:rtl/>
        </w:rPr>
        <w:t>الناطقين ب</w:t>
      </w:r>
      <w:r w:rsidRPr="001B0BF4">
        <w:rPr>
          <w:rFonts w:hint="cs"/>
          <w:rtl/>
        </w:rPr>
        <w:t>اللغة الروسية.</w:t>
      </w:r>
    </w:p>
    <w:p w:rsidR="003156AA" w:rsidRPr="001B0BF4" w:rsidRDefault="003156AA" w:rsidP="00AF19BE">
      <w:pPr>
        <w:pStyle w:val="SingleTxtGA"/>
        <w:rPr>
          <w:rFonts w:hint="cs"/>
          <w:rtl/>
        </w:rPr>
      </w:pPr>
      <w:r w:rsidRPr="001B0BF4">
        <w:rPr>
          <w:rFonts w:hint="cs"/>
          <w:rtl/>
        </w:rPr>
        <w:t>26-</w:t>
      </w:r>
      <w:r w:rsidRPr="001B0BF4">
        <w:rPr>
          <w:rFonts w:hint="cs"/>
          <w:rtl/>
        </w:rPr>
        <w:tab/>
      </w:r>
      <w:r w:rsidRPr="00AD3375">
        <w:rPr>
          <w:rFonts w:hint="cs"/>
          <w:b/>
          <w:bCs/>
          <w:rtl/>
        </w:rPr>
        <w:t>وتوصي اللجنة بأن تواصل و</w:t>
      </w:r>
      <w:r>
        <w:rPr>
          <w:rFonts w:hint="cs"/>
          <w:b/>
          <w:bCs/>
          <w:rtl/>
        </w:rPr>
        <w:t xml:space="preserve">أن </w:t>
      </w:r>
      <w:r w:rsidRPr="00AD3375">
        <w:rPr>
          <w:rFonts w:hint="cs"/>
          <w:b/>
          <w:bCs/>
          <w:rtl/>
        </w:rPr>
        <w:t xml:space="preserve">تعزز الدولة الطرف تدابير منع بيع الأطفال وبغاء الأطفال واستغلال الأطفال في المواد الإباحية، بما في ذلك في ضوء تغير طبيعة التفاعلات على الانترنت وأن تولي المزيد من الاهتمام بتحديد وحماية الأطفال المعرضين بصفة خاصة لهذه الممارسات. وينبغي </w:t>
      </w:r>
      <w:r>
        <w:rPr>
          <w:rFonts w:hint="cs"/>
          <w:b/>
          <w:bCs/>
          <w:rtl/>
        </w:rPr>
        <w:t>وضع ت</w:t>
      </w:r>
      <w:r w:rsidRPr="00AD3375">
        <w:rPr>
          <w:rFonts w:hint="cs"/>
          <w:b/>
          <w:bCs/>
          <w:rtl/>
        </w:rPr>
        <w:t xml:space="preserve">دابير </w:t>
      </w:r>
      <w:r>
        <w:rPr>
          <w:rFonts w:hint="cs"/>
          <w:b/>
          <w:bCs/>
          <w:rtl/>
        </w:rPr>
        <w:t>تتناسب مع</w:t>
      </w:r>
      <w:r w:rsidRPr="00AD3375">
        <w:rPr>
          <w:rFonts w:hint="cs"/>
          <w:b/>
          <w:bCs/>
          <w:rtl/>
        </w:rPr>
        <w:t xml:space="preserve"> </w:t>
      </w:r>
      <w:r>
        <w:rPr>
          <w:rFonts w:hint="cs"/>
          <w:b/>
          <w:bCs/>
          <w:rtl/>
        </w:rPr>
        <w:t>ال</w:t>
      </w:r>
      <w:r w:rsidRPr="00AD3375">
        <w:rPr>
          <w:rFonts w:hint="cs"/>
          <w:b/>
          <w:bCs/>
          <w:rtl/>
        </w:rPr>
        <w:t xml:space="preserve">احتياجات </w:t>
      </w:r>
      <w:r>
        <w:rPr>
          <w:rFonts w:hint="cs"/>
          <w:b/>
          <w:bCs/>
          <w:rtl/>
        </w:rPr>
        <w:t>اللغوية ل</w:t>
      </w:r>
      <w:r w:rsidRPr="00AD3375">
        <w:rPr>
          <w:rFonts w:hint="cs"/>
          <w:b/>
          <w:bCs/>
          <w:rtl/>
        </w:rPr>
        <w:t>لمجتمعات ال</w:t>
      </w:r>
      <w:r>
        <w:rPr>
          <w:rFonts w:hint="cs"/>
          <w:b/>
          <w:bCs/>
          <w:rtl/>
        </w:rPr>
        <w:t>ناطقة</w:t>
      </w:r>
      <w:r w:rsidRPr="00AD3375">
        <w:rPr>
          <w:rFonts w:hint="cs"/>
          <w:b/>
          <w:bCs/>
          <w:rtl/>
        </w:rPr>
        <w:t xml:space="preserve"> باللغة الروسية.</w:t>
      </w:r>
      <w:r w:rsidRPr="001B0BF4">
        <w:rPr>
          <w:rFonts w:hint="cs"/>
          <w:rtl/>
        </w:rPr>
        <w:t xml:space="preserve"> </w:t>
      </w:r>
    </w:p>
    <w:p w:rsidR="003156AA" w:rsidRPr="001B0BF4" w:rsidRDefault="003156AA" w:rsidP="00AF19BE">
      <w:pPr>
        <w:pStyle w:val="SingleTxtGA"/>
        <w:rPr>
          <w:rFonts w:hint="cs"/>
          <w:rtl/>
        </w:rPr>
      </w:pPr>
      <w:r w:rsidRPr="001B0BF4">
        <w:rPr>
          <w:rFonts w:hint="cs"/>
          <w:rtl/>
        </w:rPr>
        <w:t>27-</w:t>
      </w:r>
      <w:r w:rsidRPr="001B0BF4">
        <w:rPr>
          <w:rFonts w:hint="cs"/>
          <w:rtl/>
        </w:rPr>
        <w:tab/>
        <w:t xml:space="preserve">وفي حين تلاحظ اللجنة المعلومات التي تفيد بأن الدولة الطرف </w:t>
      </w:r>
      <w:r>
        <w:rPr>
          <w:rFonts w:hint="cs"/>
          <w:rtl/>
        </w:rPr>
        <w:t>قدمت دعما ل</w:t>
      </w:r>
      <w:r w:rsidRPr="001B0BF4">
        <w:rPr>
          <w:rFonts w:hint="cs"/>
          <w:rtl/>
        </w:rPr>
        <w:t>أنشطة نظمها المجتمع المدني للتوعية بشأن السياحة بدافع ممارسة الجنس مع الأطفال، فإنها تأسف لعدم وجود اهتمام كاف بهذه المسألة وعدم وجود معلومات كافية بشأنها.</w:t>
      </w:r>
    </w:p>
    <w:p w:rsidR="003156AA" w:rsidRPr="001B0BF4" w:rsidRDefault="003156AA" w:rsidP="00AF19BE">
      <w:pPr>
        <w:pStyle w:val="SingleTxtGA"/>
        <w:rPr>
          <w:rFonts w:hint="cs"/>
          <w:rtl/>
        </w:rPr>
      </w:pPr>
      <w:r w:rsidRPr="001B0BF4">
        <w:rPr>
          <w:rFonts w:hint="cs"/>
          <w:rtl/>
        </w:rPr>
        <w:t>28-</w:t>
      </w:r>
      <w:r w:rsidRPr="001B0BF4">
        <w:rPr>
          <w:rFonts w:hint="cs"/>
          <w:rtl/>
        </w:rPr>
        <w:tab/>
      </w:r>
      <w:r w:rsidRPr="00AD3375">
        <w:rPr>
          <w:rFonts w:hint="cs"/>
          <w:b/>
          <w:bCs/>
          <w:rtl/>
        </w:rPr>
        <w:t xml:space="preserve">وتوصي اللجنة بأن تتخذ الدولة الطرف تدابير لمنع السياحة بدافع ممارسة الجنس مع الأطفال، بما في ذلك إجراء دراسات وجمع معلومات عن الحالات المعروفة لتحديد مداها وأسبابها الجذرية، فضلا عن التوعية فيما بين عامة الجمهور. كما ينبغي أن تعزز الدولة الطرف، من خلال السلطات المعنية، التعاون مع صناعة السياحة والمنظمات غير الحكومية والمجتمع المدني من أجل تعزيز السياحة المسؤولة، بما في ذلك من خلال نشر مدونة </w:t>
      </w:r>
      <w:r>
        <w:rPr>
          <w:rFonts w:hint="cs"/>
          <w:b/>
          <w:bCs/>
          <w:rtl/>
        </w:rPr>
        <w:t xml:space="preserve">السلوك </w:t>
      </w:r>
      <w:r w:rsidRPr="00AD3375">
        <w:rPr>
          <w:rFonts w:hint="cs"/>
          <w:b/>
          <w:bCs/>
          <w:rtl/>
        </w:rPr>
        <w:t xml:space="preserve">لمنظمة السياحة العالمية بشأن حماية الأطفال من الاستغلال الجنسي في السفر والسياحة </w:t>
      </w:r>
      <w:r>
        <w:rPr>
          <w:rFonts w:hint="cs"/>
          <w:b/>
          <w:bCs/>
          <w:rtl/>
        </w:rPr>
        <w:t>على</w:t>
      </w:r>
      <w:r w:rsidRPr="00AD3375">
        <w:rPr>
          <w:rFonts w:hint="cs"/>
          <w:b/>
          <w:bCs/>
          <w:rtl/>
        </w:rPr>
        <w:t xml:space="preserve"> جميع الشركاء المعنيين. </w:t>
      </w:r>
    </w:p>
    <w:p w:rsidR="003156AA" w:rsidRPr="008E0818" w:rsidRDefault="008E0818" w:rsidP="008E0818">
      <w:pPr>
        <w:pStyle w:val="H1GA"/>
        <w:rPr>
          <w:rFonts w:hint="cs"/>
          <w:rtl/>
        </w:rPr>
      </w:pPr>
      <w:r>
        <w:rPr>
          <w:rFonts w:hint="cs"/>
          <w:rtl/>
        </w:rPr>
        <w:tab/>
      </w:r>
      <w:r w:rsidR="003156AA" w:rsidRPr="008E0818">
        <w:rPr>
          <w:rFonts w:hint="cs"/>
          <w:rtl/>
        </w:rPr>
        <w:t>خامسا</w:t>
      </w:r>
      <w:r w:rsidRPr="008E0818">
        <w:rPr>
          <w:rFonts w:hint="cs"/>
          <w:rtl/>
        </w:rPr>
        <w:t>ً</w:t>
      </w:r>
      <w:r w:rsidR="003156AA" w:rsidRPr="008E0818">
        <w:rPr>
          <w:rFonts w:hint="cs"/>
          <w:rtl/>
        </w:rPr>
        <w:t>-</w:t>
      </w:r>
      <w:r w:rsidRPr="008E0818">
        <w:rPr>
          <w:rFonts w:hint="cs"/>
          <w:rtl/>
        </w:rPr>
        <w:tab/>
      </w:r>
      <w:r w:rsidR="003156AA" w:rsidRPr="008E0818">
        <w:rPr>
          <w:rFonts w:hint="cs"/>
          <w:rtl/>
        </w:rPr>
        <w:t>حظر بيع الأطفال، واستغلال الأطفال في المواد الإباحية، وبغاء الأطفال (المادة 3، والفقرتان 2و3 من المادة 4، والمواد 5-7)</w:t>
      </w:r>
    </w:p>
    <w:p w:rsidR="003156AA" w:rsidRPr="008E0818" w:rsidRDefault="008E0818" w:rsidP="008E0818">
      <w:pPr>
        <w:pStyle w:val="H23GA"/>
        <w:rPr>
          <w:rFonts w:hint="cs"/>
          <w:rtl/>
        </w:rPr>
      </w:pPr>
      <w:r>
        <w:rPr>
          <w:rFonts w:hint="cs"/>
          <w:rtl/>
        </w:rPr>
        <w:tab/>
      </w:r>
      <w:r>
        <w:rPr>
          <w:rFonts w:hint="cs"/>
          <w:rtl/>
        </w:rPr>
        <w:tab/>
      </w:r>
      <w:r w:rsidR="003156AA" w:rsidRPr="008E0818">
        <w:rPr>
          <w:rFonts w:hint="cs"/>
          <w:rtl/>
        </w:rPr>
        <w:t>القوانين والأنظمة الجنائية أو قوانين وأنظمة العقوبات السارية</w:t>
      </w:r>
      <w:r w:rsidR="003156AA" w:rsidRPr="008E0818">
        <w:t> </w:t>
      </w:r>
    </w:p>
    <w:p w:rsidR="003156AA" w:rsidRPr="001B0BF4" w:rsidRDefault="003156AA" w:rsidP="004317E4">
      <w:pPr>
        <w:pStyle w:val="SingleTxtGA"/>
        <w:rPr>
          <w:rFonts w:hint="cs"/>
          <w:rtl/>
        </w:rPr>
      </w:pPr>
      <w:r w:rsidRPr="001B0BF4">
        <w:rPr>
          <w:rFonts w:hint="cs"/>
          <w:rtl/>
        </w:rPr>
        <w:t>29-</w:t>
      </w:r>
      <w:r w:rsidRPr="001B0BF4">
        <w:rPr>
          <w:rFonts w:hint="cs"/>
          <w:rtl/>
        </w:rPr>
        <w:tab/>
        <w:t>تشعر اللجنة بالقلق إزاء عدم التجريم الكامل لكافة الجرائم المنصوص عليها بموجب البروتوكول الاختياري وفقا للماد</w:t>
      </w:r>
      <w:r>
        <w:rPr>
          <w:rFonts w:hint="cs"/>
          <w:rtl/>
        </w:rPr>
        <w:t>تين</w:t>
      </w:r>
      <w:r w:rsidRPr="001B0BF4">
        <w:rPr>
          <w:rFonts w:hint="cs"/>
          <w:rtl/>
        </w:rPr>
        <w:t xml:space="preserve"> 2 و3 من البروتوكول الاختياري، بما في ذلك</w:t>
      </w:r>
      <w:r>
        <w:rPr>
          <w:rFonts w:hint="cs"/>
          <w:rtl/>
        </w:rPr>
        <w:t>،</w:t>
      </w:r>
      <w:r w:rsidRPr="001B0BF4">
        <w:rPr>
          <w:rFonts w:hint="cs"/>
          <w:rtl/>
        </w:rPr>
        <w:t xml:space="preserve"> جملة أمور منها</w:t>
      </w:r>
      <w:r>
        <w:rPr>
          <w:rFonts w:hint="cs"/>
          <w:rtl/>
        </w:rPr>
        <w:t>،</w:t>
      </w:r>
      <w:r w:rsidRPr="001B0BF4">
        <w:rPr>
          <w:rFonts w:hint="cs"/>
          <w:rtl/>
        </w:rPr>
        <w:t xml:space="preserve"> البيع بغرض نقل الأعضاء لتحقيق الربح والاستغلال في </w:t>
      </w:r>
      <w:r>
        <w:rPr>
          <w:rFonts w:hint="cs"/>
          <w:rtl/>
        </w:rPr>
        <w:t>العمل</w:t>
      </w:r>
      <w:r w:rsidRPr="001B0BF4">
        <w:rPr>
          <w:rFonts w:hint="cs"/>
          <w:rtl/>
        </w:rPr>
        <w:t xml:space="preserve"> الق</w:t>
      </w:r>
      <w:r>
        <w:rPr>
          <w:rFonts w:hint="cs"/>
          <w:rtl/>
        </w:rPr>
        <w:t>س</w:t>
      </w:r>
      <w:r w:rsidRPr="001B0BF4">
        <w:rPr>
          <w:rFonts w:hint="cs"/>
          <w:rtl/>
        </w:rPr>
        <w:t>ري. كما تأسف اللجنة لعدم وجود تعريف لجريمة بيع الطفل في المادة 173 من القانون الجنائي. وتشعر اللجنة بالقلق أيضا من أن الحد الأقصى لسن الحماية بالنسبة لعدد من الجرائم المنصوص عليها حاليا بموجب القانون الج</w:t>
      </w:r>
      <w:r>
        <w:rPr>
          <w:rFonts w:hint="cs"/>
          <w:rtl/>
        </w:rPr>
        <w:t>ز</w:t>
      </w:r>
      <w:r w:rsidRPr="001B0BF4">
        <w:rPr>
          <w:rFonts w:hint="cs"/>
          <w:rtl/>
        </w:rPr>
        <w:t xml:space="preserve">ائي </w:t>
      </w:r>
      <w:r>
        <w:rPr>
          <w:rFonts w:hint="cs"/>
          <w:rtl/>
        </w:rPr>
        <w:t xml:space="preserve">هو </w:t>
      </w:r>
      <w:r w:rsidRPr="001B0BF4">
        <w:rPr>
          <w:rFonts w:hint="cs"/>
          <w:rtl/>
        </w:rPr>
        <w:t xml:space="preserve">14 سنة، </w:t>
      </w:r>
      <w:r>
        <w:rPr>
          <w:rFonts w:hint="cs"/>
          <w:rtl/>
        </w:rPr>
        <w:t>وهي</w:t>
      </w:r>
      <w:r w:rsidRPr="001B0BF4">
        <w:rPr>
          <w:rFonts w:hint="cs"/>
          <w:rtl/>
        </w:rPr>
        <w:t xml:space="preserve"> ممارسة الجنس مع طفل (المادة 145)، </w:t>
      </w:r>
      <w:r>
        <w:rPr>
          <w:rFonts w:hint="cs"/>
          <w:rtl/>
        </w:rPr>
        <w:t xml:space="preserve">وإشباع الرغبة الجنسية مع طفل </w:t>
      </w:r>
      <w:r w:rsidRPr="001B0BF4">
        <w:rPr>
          <w:rFonts w:hint="cs"/>
          <w:rtl/>
        </w:rPr>
        <w:t xml:space="preserve">(المادة 146) وسرقة الطفل (المادة 172) واستخدام الأحداث في </w:t>
      </w:r>
      <w:r>
        <w:rPr>
          <w:rFonts w:hint="cs"/>
          <w:rtl/>
        </w:rPr>
        <w:t xml:space="preserve">إنتاج </w:t>
      </w:r>
      <w:r w:rsidRPr="001B0BF4">
        <w:rPr>
          <w:rFonts w:hint="cs"/>
          <w:rtl/>
        </w:rPr>
        <w:t xml:space="preserve">المواد </w:t>
      </w:r>
      <w:r>
        <w:rPr>
          <w:rFonts w:hint="cs"/>
          <w:rtl/>
        </w:rPr>
        <w:t xml:space="preserve">المثيرة </w:t>
      </w:r>
      <w:r w:rsidRPr="001B0BF4">
        <w:rPr>
          <w:rFonts w:hint="cs"/>
          <w:rtl/>
        </w:rPr>
        <w:t>جنسي</w:t>
      </w:r>
      <w:r>
        <w:rPr>
          <w:rFonts w:hint="cs"/>
          <w:rtl/>
        </w:rPr>
        <w:t>ا</w:t>
      </w:r>
      <w:r w:rsidRPr="001B0BF4">
        <w:rPr>
          <w:rFonts w:hint="cs"/>
          <w:rtl/>
        </w:rPr>
        <w:t xml:space="preserve"> (المادة 177). وفي هذا الصدد</w:t>
      </w:r>
      <w:r>
        <w:rPr>
          <w:rFonts w:hint="cs"/>
          <w:rtl/>
        </w:rPr>
        <w:t>،</w:t>
      </w:r>
      <w:r w:rsidRPr="001B0BF4">
        <w:rPr>
          <w:rFonts w:hint="cs"/>
          <w:rtl/>
        </w:rPr>
        <w:t xml:space="preserve"> وفي ضوء السن المنخفض نسبيا البالغ 14 سنة، فإن اللجنة تشعر بقلق بالغ إزاء احتمال عدم حماية الأطفال الذين يزيد عمرهم عن 14 سنة.</w:t>
      </w:r>
    </w:p>
    <w:p w:rsidR="003156AA" w:rsidRPr="001B0BF4" w:rsidRDefault="003156AA" w:rsidP="004317E4">
      <w:pPr>
        <w:pStyle w:val="SingleTxtGA"/>
        <w:rPr>
          <w:rFonts w:hint="cs"/>
          <w:rtl/>
        </w:rPr>
      </w:pPr>
      <w:r w:rsidRPr="001B0BF4">
        <w:rPr>
          <w:rFonts w:hint="cs"/>
          <w:rtl/>
        </w:rPr>
        <w:t>30-</w:t>
      </w:r>
      <w:r w:rsidRPr="001B0BF4">
        <w:rPr>
          <w:rFonts w:hint="cs"/>
          <w:rtl/>
        </w:rPr>
        <w:tab/>
      </w:r>
      <w:r w:rsidRPr="00AD3375">
        <w:rPr>
          <w:rFonts w:hint="cs"/>
          <w:b/>
          <w:bCs/>
          <w:rtl/>
        </w:rPr>
        <w:t xml:space="preserve">وتوصي اللجنة بأن تضمن الدولة الطرف، بما في ذلك من خلال </w:t>
      </w:r>
      <w:r>
        <w:rPr>
          <w:rFonts w:hint="cs"/>
          <w:b/>
          <w:bCs/>
          <w:rtl/>
        </w:rPr>
        <w:t xml:space="preserve">إجراء ما يلزم من </w:t>
      </w:r>
      <w:r w:rsidRPr="00AD3375">
        <w:rPr>
          <w:rFonts w:hint="cs"/>
          <w:b/>
          <w:bCs/>
          <w:rtl/>
        </w:rPr>
        <w:t>تعديلات، إدراج تعريف البيع في التشريعات ذات الصلة وفقا للمادتين 2</w:t>
      </w:r>
      <w:r>
        <w:rPr>
          <w:rFonts w:hint="cs"/>
          <w:b/>
          <w:bCs/>
          <w:rtl/>
        </w:rPr>
        <w:t xml:space="preserve"> و</w:t>
      </w:r>
      <w:r w:rsidRPr="00AD3375">
        <w:rPr>
          <w:rFonts w:hint="cs"/>
          <w:b/>
          <w:bCs/>
          <w:rtl/>
        </w:rPr>
        <w:t xml:space="preserve">3 من البروتوكول الاختياري. كما توصي اللجنة بأن تنظر الدولة الطرف في التشريعات بغية ضمان حظر </w:t>
      </w:r>
      <w:r>
        <w:rPr>
          <w:rFonts w:hint="cs"/>
          <w:b/>
          <w:bCs/>
          <w:rtl/>
        </w:rPr>
        <w:t>ا</w:t>
      </w:r>
      <w:r w:rsidRPr="00AD3375">
        <w:rPr>
          <w:rFonts w:hint="cs"/>
          <w:b/>
          <w:bCs/>
          <w:rtl/>
        </w:rPr>
        <w:t xml:space="preserve">لجرائم </w:t>
      </w:r>
      <w:r>
        <w:rPr>
          <w:rFonts w:hint="cs"/>
          <w:b/>
          <w:bCs/>
          <w:rtl/>
        </w:rPr>
        <w:t xml:space="preserve">حظرا تاما </w:t>
      </w:r>
      <w:r w:rsidRPr="00AD3375">
        <w:rPr>
          <w:rFonts w:hint="cs"/>
          <w:b/>
          <w:bCs/>
          <w:rtl/>
        </w:rPr>
        <w:t xml:space="preserve">وفقا للمادتين 2 و3 </w:t>
      </w:r>
      <w:r>
        <w:rPr>
          <w:rFonts w:hint="cs"/>
          <w:b/>
          <w:bCs/>
          <w:rtl/>
        </w:rPr>
        <w:t xml:space="preserve">من البروتوكول الاختياري </w:t>
      </w:r>
      <w:r w:rsidRPr="00AD3375">
        <w:rPr>
          <w:rFonts w:hint="cs"/>
          <w:b/>
          <w:bCs/>
          <w:rtl/>
        </w:rPr>
        <w:t xml:space="preserve">ورفع الحد الأقصى لسن الحماية إلى 18 سنة لجميع الجرائم المنصوص عليها بموجب البروتوكول الاختياري، بغض النظر سن </w:t>
      </w:r>
      <w:r>
        <w:rPr>
          <w:rFonts w:hint="cs"/>
          <w:b/>
          <w:bCs/>
          <w:rtl/>
        </w:rPr>
        <w:t>ممارسة الجنس بالتراضي</w:t>
      </w:r>
      <w:r w:rsidRPr="00AD3375">
        <w:rPr>
          <w:rFonts w:hint="cs"/>
          <w:b/>
          <w:bCs/>
          <w:rtl/>
        </w:rPr>
        <w:t>.</w:t>
      </w:r>
      <w:r w:rsidRPr="001B0BF4">
        <w:rPr>
          <w:rFonts w:hint="cs"/>
          <w:rtl/>
        </w:rPr>
        <w:t xml:space="preserve"> </w:t>
      </w:r>
    </w:p>
    <w:p w:rsidR="003156AA" w:rsidRPr="001B0BF4" w:rsidRDefault="003156AA" w:rsidP="004317E4">
      <w:pPr>
        <w:pStyle w:val="SingleTxtGA"/>
        <w:rPr>
          <w:rFonts w:hint="cs"/>
          <w:rtl/>
        </w:rPr>
      </w:pPr>
      <w:r w:rsidRPr="001B0BF4">
        <w:rPr>
          <w:rFonts w:hint="cs"/>
          <w:rtl/>
        </w:rPr>
        <w:t>31-</w:t>
      </w:r>
      <w:r w:rsidRPr="001B0BF4">
        <w:rPr>
          <w:rFonts w:hint="cs"/>
          <w:rtl/>
        </w:rPr>
        <w:tab/>
        <w:t xml:space="preserve">وتشعر اللجنة بالقلق إزاء احتمال تطبيق عقوبات </w:t>
      </w:r>
      <w:r>
        <w:rPr>
          <w:rFonts w:hint="cs"/>
          <w:rtl/>
        </w:rPr>
        <w:t>مالية بصدد ا</w:t>
      </w:r>
      <w:r w:rsidRPr="001B0BF4">
        <w:rPr>
          <w:rFonts w:hint="cs"/>
          <w:rtl/>
        </w:rPr>
        <w:t xml:space="preserve">لجرائم المنصوص عليها بموجب البروتوكول، بما في ذلك بغاء الأطفال واستغلال الأطفال في المواد الإباحية والتي ترى اللجنة </w:t>
      </w:r>
      <w:r>
        <w:rPr>
          <w:rFonts w:hint="cs"/>
          <w:rtl/>
        </w:rPr>
        <w:t>أنها</w:t>
      </w:r>
      <w:r w:rsidRPr="001B0BF4">
        <w:rPr>
          <w:rFonts w:hint="cs"/>
          <w:rtl/>
        </w:rPr>
        <w:t xml:space="preserve"> عقوبات </w:t>
      </w:r>
      <w:r>
        <w:rPr>
          <w:rFonts w:hint="cs"/>
          <w:rtl/>
        </w:rPr>
        <w:t xml:space="preserve">ليست قاسية </w:t>
      </w:r>
      <w:r w:rsidRPr="001B0BF4">
        <w:rPr>
          <w:rFonts w:hint="cs"/>
          <w:rtl/>
        </w:rPr>
        <w:t xml:space="preserve">ورادعة بما فيها الكفاية. كما تشعر اللجنة بالقلق من أن الجرائم التي تتناول استغلال الأطفال في المواد الإباحية حسب تعريفها في المادتين 177 و178 من القانون الجنائي تفرق بين المواد الإباحية والمواد </w:t>
      </w:r>
      <w:r>
        <w:rPr>
          <w:rFonts w:hint="cs"/>
          <w:rtl/>
        </w:rPr>
        <w:t xml:space="preserve">المثيرة </w:t>
      </w:r>
      <w:r w:rsidRPr="001B0BF4">
        <w:rPr>
          <w:rFonts w:hint="cs"/>
          <w:rtl/>
        </w:rPr>
        <w:t>جنسي</w:t>
      </w:r>
      <w:r>
        <w:rPr>
          <w:rFonts w:hint="cs"/>
          <w:rtl/>
        </w:rPr>
        <w:t>ا</w:t>
      </w:r>
      <w:r w:rsidRPr="001B0BF4">
        <w:rPr>
          <w:rFonts w:hint="cs"/>
          <w:rtl/>
        </w:rPr>
        <w:t xml:space="preserve">، أي </w:t>
      </w:r>
      <w:r>
        <w:rPr>
          <w:rFonts w:hint="cs"/>
          <w:rtl/>
        </w:rPr>
        <w:t>السماح</w:t>
      </w:r>
      <w:r w:rsidRPr="001B0BF4">
        <w:rPr>
          <w:rFonts w:hint="cs"/>
          <w:rtl/>
        </w:rPr>
        <w:t xml:space="preserve"> باستخدام الأطفال الذين تزيد أعمارهم عن 14 سنة في </w:t>
      </w:r>
      <w:r>
        <w:rPr>
          <w:rFonts w:hint="cs"/>
          <w:rtl/>
        </w:rPr>
        <w:t>إنتاج</w:t>
      </w:r>
      <w:r w:rsidRPr="001B0BF4">
        <w:rPr>
          <w:rFonts w:hint="cs"/>
          <w:rtl/>
        </w:rPr>
        <w:t xml:space="preserve"> الصور والأفلام </w:t>
      </w:r>
      <w:r>
        <w:rPr>
          <w:rFonts w:hint="cs"/>
          <w:rtl/>
        </w:rPr>
        <w:t xml:space="preserve">المثيرة </w:t>
      </w:r>
      <w:r w:rsidRPr="001B0BF4">
        <w:rPr>
          <w:rFonts w:hint="cs"/>
          <w:rtl/>
        </w:rPr>
        <w:t>جنسي</w:t>
      </w:r>
      <w:r>
        <w:rPr>
          <w:rFonts w:hint="cs"/>
          <w:rtl/>
        </w:rPr>
        <w:t>ا</w:t>
      </w:r>
      <w:r w:rsidRPr="001B0BF4">
        <w:rPr>
          <w:rFonts w:hint="cs"/>
          <w:rtl/>
        </w:rPr>
        <w:t xml:space="preserve"> وغيرها من الأعمال </w:t>
      </w:r>
      <w:r>
        <w:rPr>
          <w:rFonts w:hint="cs"/>
          <w:rtl/>
        </w:rPr>
        <w:t xml:space="preserve">المثيرة </w:t>
      </w:r>
      <w:r w:rsidRPr="001B0BF4">
        <w:rPr>
          <w:rFonts w:hint="cs"/>
          <w:rtl/>
        </w:rPr>
        <w:t>جنسي</w:t>
      </w:r>
      <w:r>
        <w:rPr>
          <w:rFonts w:hint="cs"/>
          <w:rtl/>
        </w:rPr>
        <w:t>ا</w:t>
      </w:r>
      <w:r w:rsidRPr="001B0BF4">
        <w:rPr>
          <w:rFonts w:hint="cs"/>
          <w:rtl/>
        </w:rPr>
        <w:t xml:space="preserve">. </w:t>
      </w:r>
    </w:p>
    <w:p w:rsidR="003156AA" w:rsidRPr="00AD3375" w:rsidRDefault="003156AA" w:rsidP="004317E4">
      <w:pPr>
        <w:pStyle w:val="SingleTxtGA"/>
        <w:rPr>
          <w:rFonts w:hint="cs"/>
          <w:b/>
          <w:bCs/>
          <w:rtl/>
        </w:rPr>
      </w:pPr>
      <w:r w:rsidRPr="001B0BF4">
        <w:rPr>
          <w:rFonts w:hint="cs"/>
          <w:rtl/>
        </w:rPr>
        <w:t>32-</w:t>
      </w:r>
      <w:r w:rsidRPr="001B0BF4">
        <w:rPr>
          <w:rFonts w:hint="cs"/>
          <w:rtl/>
        </w:rPr>
        <w:tab/>
      </w:r>
      <w:r w:rsidRPr="00AD3375">
        <w:rPr>
          <w:rFonts w:hint="cs"/>
          <w:b/>
          <w:bCs/>
          <w:rtl/>
        </w:rPr>
        <w:t xml:space="preserve">وتوصي اللجنة بأن تضمن الدولة الطرف، من خلال استعراض التشريعات ذات الصلة والممارسات المتبعة، معاقبة مرتكبي جميع الجرائم المنصوص عليها بموجب البروتوكول الاختياري بعقوبات ملائمة وفقا للفقرة 3 من المادة 3. كما توصي اللجنة بأن توسع الدولة الطرف نطاق الحماية ضد استخدام الأشخاص دون 18 سنة في </w:t>
      </w:r>
      <w:r>
        <w:rPr>
          <w:rFonts w:hint="cs"/>
          <w:b/>
          <w:bCs/>
          <w:rtl/>
        </w:rPr>
        <w:t xml:space="preserve">إنتاج </w:t>
      </w:r>
      <w:r w:rsidRPr="00AD3375">
        <w:rPr>
          <w:rFonts w:hint="cs"/>
          <w:b/>
          <w:bCs/>
          <w:rtl/>
        </w:rPr>
        <w:t>الأعمال ال</w:t>
      </w:r>
      <w:r>
        <w:rPr>
          <w:rFonts w:hint="cs"/>
          <w:b/>
          <w:bCs/>
          <w:rtl/>
        </w:rPr>
        <w:t xml:space="preserve">مثيرة </w:t>
      </w:r>
      <w:r w:rsidRPr="00AD3375">
        <w:rPr>
          <w:rFonts w:hint="cs"/>
          <w:b/>
          <w:bCs/>
          <w:rtl/>
        </w:rPr>
        <w:t>جنسي</w:t>
      </w:r>
      <w:r>
        <w:rPr>
          <w:rFonts w:hint="cs"/>
          <w:b/>
          <w:bCs/>
          <w:rtl/>
        </w:rPr>
        <w:t>ا</w:t>
      </w:r>
      <w:r w:rsidRPr="00AD3375">
        <w:rPr>
          <w:rFonts w:hint="cs"/>
          <w:b/>
          <w:bCs/>
          <w:rtl/>
        </w:rPr>
        <w:t>.</w:t>
      </w:r>
    </w:p>
    <w:p w:rsidR="003156AA" w:rsidRPr="00AD3375" w:rsidRDefault="003156AA" w:rsidP="004317E4">
      <w:pPr>
        <w:pStyle w:val="SingleTxtGA"/>
        <w:rPr>
          <w:rFonts w:hint="cs"/>
          <w:b/>
          <w:bCs/>
          <w:rtl/>
        </w:rPr>
      </w:pPr>
      <w:r w:rsidRPr="001B0BF4">
        <w:rPr>
          <w:rFonts w:hint="cs"/>
          <w:rtl/>
        </w:rPr>
        <w:t>33-</w:t>
      </w:r>
      <w:r w:rsidRPr="001B0BF4">
        <w:rPr>
          <w:rFonts w:hint="cs"/>
          <w:rtl/>
        </w:rPr>
        <w:tab/>
      </w:r>
      <w:r w:rsidRPr="00AD3375">
        <w:rPr>
          <w:rFonts w:hint="cs"/>
          <w:b/>
          <w:bCs/>
          <w:rtl/>
        </w:rPr>
        <w:t xml:space="preserve">وفي حين ترحب اللجنة بالأنشطة العديدة التي تتصدى لخطر إيذاء الأطفال من خلال </w:t>
      </w:r>
      <w:r>
        <w:rPr>
          <w:rFonts w:hint="cs"/>
          <w:b/>
          <w:bCs/>
          <w:rtl/>
        </w:rPr>
        <w:t>ال</w:t>
      </w:r>
      <w:r w:rsidRPr="00AD3375">
        <w:rPr>
          <w:rFonts w:hint="cs"/>
          <w:b/>
          <w:bCs/>
          <w:rtl/>
        </w:rPr>
        <w:t xml:space="preserve">تكنولوجيات </w:t>
      </w:r>
      <w:r>
        <w:rPr>
          <w:rFonts w:hint="cs"/>
          <w:b/>
          <w:bCs/>
          <w:rtl/>
        </w:rPr>
        <w:t>ال</w:t>
      </w:r>
      <w:r w:rsidRPr="00AD3375">
        <w:rPr>
          <w:rFonts w:hint="cs"/>
          <w:b/>
          <w:bCs/>
          <w:rtl/>
        </w:rPr>
        <w:t xml:space="preserve">جديدة، بما في ذلك الانترنت، فإنها توصي بأن تنظر الدولة الطرف كذلك في اعتماد تشريعات محددة </w:t>
      </w:r>
      <w:r>
        <w:rPr>
          <w:rFonts w:hint="cs"/>
          <w:b/>
          <w:bCs/>
          <w:rtl/>
        </w:rPr>
        <w:t xml:space="preserve">بشأن </w:t>
      </w:r>
      <w:r w:rsidRPr="00AD3375">
        <w:rPr>
          <w:rFonts w:hint="cs"/>
          <w:b/>
          <w:bCs/>
          <w:rtl/>
        </w:rPr>
        <w:t xml:space="preserve">فرض التزامات على مقدمي خدمات الانترنت بغية حظر </w:t>
      </w:r>
      <w:r>
        <w:rPr>
          <w:rFonts w:hint="cs"/>
          <w:b/>
          <w:bCs/>
          <w:rtl/>
        </w:rPr>
        <w:t>استغلال</w:t>
      </w:r>
      <w:r w:rsidRPr="00AD3375">
        <w:rPr>
          <w:rFonts w:hint="cs"/>
          <w:b/>
          <w:bCs/>
          <w:rtl/>
        </w:rPr>
        <w:t xml:space="preserve"> الأطفال </w:t>
      </w:r>
      <w:r>
        <w:rPr>
          <w:rFonts w:hint="cs"/>
          <w:b/>
          <w:bCs/>
          <w:rtl/>
        </w:rPr>
        <w:t xml:space="preserve">في المواد الإباحية </w:t>
      </w:r>
      <w:r w:rsidRPr="00AD3375">
        <w:rPr>
          <w:rFonts w:hint="cs"/>
          <w:b/>
          <w:bCs/>
          <w:rtl/>
        </w:rPr>
        <w:t>على الانترنت.</w:t>
      </w:r>
    </w:p>
    <w:p w:rsidR="003156AA" w:rsidRPr="004030B8" w:rsidRDefault="00F23A4D" w:rsidP="00F23A4D">
      <w:pPr>
        <w:pStyle w:val="H23GA"/>
        <w:rPr>
          <w:rFonts w:hint="cs"/>
          <w:rtl/>
        </w:rPr>
      </w:pPr>
      <w:r>
        <w:rPr>
          <w:rFonts w:hint="cs"/>
          <w:rtl/>
        </w:rPr>
        <w:tab/>
      </w:r>
      <w:r>
        <w:rPr>
          <w:rFonts w:hint="cs"/>
          <w:rtl/>
        </w:rPr>
        <w:tab/>
      </w:r>
      <w:r w:rsidR="003156AA" w:rsidRPr="004030B8">
        <w:rPr>
          <w:rFonts w:hint="cs"/>
          <w:rtl/>
        </w:rPr>
        <w:t>الجوانب القانونية للتبني</w:t>
      </w:r>
    </w:p>
    <w:p w:rsidR="003156AA" w:rsidRPr="004030B8" w:rsidRDefault="003156AA" w:rsidP="004317E4">
      <w:pPr>
        <w:pStyle w:val="SingleTxtGA"/>
        <w:rPr>
          <w:rFonts w:hint="cs"/>
          <w:rtl/>
        </w:rPr>
      </w:pPr>
      <w:r>
        <w:rPr>
          <w:rFonts w:hint="cs"/>
          <w:rtl/>
        </w:rPr>
        <w:t>34</w:t>
      </w:r>
      <w:r w:rsidRPr="004030B8">
        <w:rPr>
          <w:rFonts w:hint="cs"/>
          <w:rtl/>
        </w:rPr>
        <w:t>-</w:t>
      </w:r>
      <w:r w:rsidRPr="004030B8">
        <w:rPr>
          <w:rFonts w:hint="cs"/>
          <w:rtl/>
        </w:rPr>
        <w:tab/>
        <w:t xml:space="preserve">بينما تلاحظ اللجنة التشريعات السارية المتعلقة بالتبني في </w:t>
      </w:r>
      <w:r>
        <w:rPr>
          <w:rFonts w:hint="cs"/>
          <w:rtl/>
        </w:rPr>
        <w:t>إستونيا</w:t>
      </w:r>
      <w:r w:rsidRPr="004030B8">
        <w:rPr>
          <w:rFonts w:hint="cs"/>
          <w:rtl/>
        </w:rPr>
        <w:t>، فإنها تأسف لأن الحضّ غير اللائق على قبول التبني، على النحو المنصوص عليه في الفقرة 1(أ)‘2‘ من المادة 3 من البروتوكول الاختياري، غير مشمول بالتشريعات الجنائية للدولة الطرف.</w:t>
      </w:r>
    </w:p>
    <w:p w:rsidR="003156AA" w:rsidRPr="004030B8" w:rsidRDefault="003156AA" w:rsidP="00F23A4D">
      <w:pPr>
        <w:pStyle w:val="SingleTxtGA"/>
        <w:rPr>
          <w:rFonts w:hint="cs"/>
          <w:rtl/>
        </w:rPr>
      </w:pPr>
      <w:r>
        <w:rPr>
          <w:rFonts w:hint="cs"/>
          <w:rtl/>
        </w:rPr>
        <w:t>35</w:t>
      </w:r>
      <w:r w:rsidRPr="004030B8">
        <w:rPr>
          <w:rFonts w:hint="cs"/>
          <w:rtl/>
        </w:rPr>
        <w:t>-</w:t>
      </w:r>
      <w:r w:rsidRPr="004030B8">
        <w:rPr>
          <w:rFonts w:hint="cs"/>
          <w:rtl/>
        </w:rPr>
        <w:tab/>
      </w:r>
      <w:r w:rsidRPr="00AD3375">
        <w:rPr>
          <w:rFonts w:hint="cs"/>
          <w:b/>
          <w:bCs/>
          <w:rtl/>
        </w:rPr>
        <w:t>وتوصي اللجنة الدولة الطرف بأن تتخذ جميع التدابير الضرورية لضمان إدراج تعريف الحضّ غير اللائق على قبول التبني في التشريعات، على النحو المنصوص عليه في الفقرة 1(أ)‘2‘ من المادة 3 من البروتوكول الاختياري.</w:t>
      </w:r>
    </w:p>
    <w:p w:rsidR="003156AA" w:rsidRPr="006D5E57" w:rsidRDefault="006D5E57" w:rsidP="006D5E57">
      <w:pPr>
        <w:pStyle w:val="H23GA"/>
        <w:rPr>
          <w:rFonts w:hint="cs"/>
          <w:rtl/>
        </w:rPr>
      </w:pPr>
      <w:r>
        <w:rPr>
          <w:rFonts w:hint="cs"/>
          <w:rtl/>
        </w:rPr>
        <w:tab/>
      </w:r>
      <w:r>
        <w:rPr>
          <w:rFonts w:hint="cs"/>
          <w:rtl/>
        </w:rPr>
        <w:tab/>
      </w:r>
      <w:r w:rsidR="003156AA" w:rsidRPr="006D5E57">
        <w:rPr>
          <w:rFonts w:hint="cs"/>
          <w:rtl/>
        </w:rPr>
        <w:t>قانون التقادم</w:t>
      </w:r>
    </w:p>
    <w:p w:rsidR="003156AA" w:rsidRPr="00AD3375" w:rsidRDefault="003156AA" w:rsidP="004317E4">
      <w:pPr>
        <w:pStyle w:val="SingleTxtGA"/>
        <w:rPr>
          <w:rFonts w:hint="cs"/>
          <w:b/>
          <w:bCs/>
          <w:rtl/>
        </w:rPr>
      </w:pPr>
      <w:r w:rsidRPr="001B0BF4">
        <w:rPr>
          <w:rFonts w:hint="cs"/>
          <w:rtl/>
        </w:rPr>
        <w:t>36-</w:t>
      </w:r>
      <w:r w:rsidRPr="001B0BF4">
        <w:rPr>
          <w:rFonts w:hint="cs"/>
          <w:rtl/>
        </w:rPr>
        <w:tab/>
      </w:r>
      <w:r w:rsidRPr="00AD3375">
        <w:rPr>
          <w:rFonts w:hint="cs"/>
          <w:b/>
          <w:bCs/>
          <w:rtl/>
        </w:rPr>
        <w:t xml:space="preserve">ترحب اللجنة بأنه يجوز قطع فترة التقادم للجرائم في إستونيا حتى يصل الضحية إلى سن 18 سنة </w:t>
      </w:r>
      <w:r>
        <w:rPr>
          <w:rFonts w:hint="cs"/>
          <w:b/>
          <w:bCs/>
          <w:rtl/>
        </w:rPr>
        <w:t xml:space="preserve">في حالة الجرائم ضد حق الشخص في تقرير مصيره الجنسي (المادة 81 من القانون الجزائي)، </w:t>
      </w:r>
      <w:r w:rsidRPr="00AD3375">
        <w:rPr>
          <w:rFonts w:hint="cs"/>
          <w:b/>
          <w:bCs/>
          <w:rtl/>
        </w:rPr>
        <w:t>وتوصي بأن يوسع نطاقها لتشمل جميع الجرائم المنصوص عليها بموجب البروتوكول.</w:t>
      </w:r>
    </w:p>
    <w:p w:rsidR="003156AA" w:rsidRPr="001B0BF4" w:rsidRDefault="002E0AC3" w:rsidP="00B17DFF">
      <w:pPr>
        <w:pStyle w:val="H23GA"/>
        <w:rPr>
          <w:rFonts w:hint="cs"/>
          <w:rtl/>
        </w:rPr>
      </w:pPr>
      <w:r>
        <w:rPr>
          <w:rtl/>
        </w:rPr>
        <w:br w:type="page"/>
      </w:r>
      <w:r w:rsidR="00B17DFF">
        <w:rPr>
          <w:rFonts w:hint="cs"/>
          <w:rtl/>
        </w:rPr>
        <w:tab/>
      </w:r>
      <w:r w:rsidR="00B17DFF">
        <w:rPr>
          <w:rFonts w:hint="cs"/>
          <w:rtl/>
        </w:rPr>
        <w:tab/>
      </w:r>
      <w:r w:rsidR="003156AA" w:rsidRPr="00AD3375">
        <w:rPr>
          <w:rFonts w:hint="cs"/>
          <w:rtl/>
        </w:rPr>
        <w:t>الولاية القضائية والترحيل</w:t>
      </w:r>
    </w:p>
    <w:p w:rsidR="003156AA" w:rsidRPr="001B0BF4" w:rsidRDefault="003156AA" w:rsidP="004317E4">
      <w:pPr>
        <w:pStyle w:val="SingleTxtGA"/>
        <w:rPr>
          <w:rFonts w:hint="cs"/>
          <w:rtl/>
        </w:rPr>
      </w:pPr>
      <w:r w:rsidRPr="001B0BF4">
        <w:rPr>
          <w:rFonts w:hint="cs"/>
          <w:rtl/>
        </w:rPr>
        <w:t>37-</w:t>
      </w:r>
      <w:r w:rsidRPr="001B0BF4">
        <w:rPr>
          <w:rFonts w:hint="cs"/>
          <w:rtl/>
        </w:rPr>
        <w:tab/>
        <w:t xml:space="preserve">تشعر اللجنة بالقلق من شرط </w:t>
      </w:r>
      <w:r>
        <w:rPr>
          <w:rFonts w:hint="cs"/>
          <w:rtl/>
        </w:rPr>
        <w:t xml:space="preserve">أن </w:t>
      </w:r>
      <w:r w:rsidRPr="001B0BF4">
        <w:rPr>
          <w:rFonts w:hint="cs"/>
          <w:rtl/>
        </w:rPr>
        <w:t xml:space="preserve">ازدواج الجريمة الذي تطبقه الدولة الطرف على الجرائم التي يزعم ارتكابها خارج الحدود </w:t>
      </w:r>
      <w:r>
        <w:rPr>
          <w:rFonts w:hint="cs"/>
          <w:rtl/>
        </w:rPr>
        <w:t>ي</w:t>
      </w:r>
      <w:r w:rsidRPr="001B0BF4">
        <w:rPr>
          <w:rFonts w:hint="cs"/>
          <w:rtl/>
        </w:rPr>
        <w:t>قيد احتمال المحاكمة عن الجرائم المبينة في المواد 1 و2 و3 من البروتوكول الاختياري وبالت</w:t>
      </w:r>
      <w:r>
        <w:rPr>
          <w:rFonts w:hint="cs"/>
          <w:rtl/>
        </w:rPr>
        <w:t>الي يقيد</w:t>
      </w:r>
      <w:r w:rsidRPr="001B0BF4">
        <w:rPr>
          <w:rFonts w:hint="cs"/>
          <w:rtl/>
        </w:rPr>
        <w:t xml:space="preserve"> حماية الأطفال ضد هذه الجرائم.</w:t>
      </w:r>
    </w:p>
    <w:p w:rsidR="003156AA" w:rsidRPr="001B0BF4" w:rsidRDefault="003156AA" w:rsidP="004317E4">
      <w:pPr>
        <w:pStyle w:val="SingleTxtGA"/>
        <w:rPr>
          <w:rFonts w:hint="cs"/>
          <w:rtl/>
        </w:rPr>
      </w:pPr>
      <w:r w:rsidRPr="001B0BF4">
        <w:rPr>
          <w:rFonts w:hint="cs"/>
          <w:rtl/>
        </w:rPr>
        <w:t>38-</w:t>
      </w:r>
      <w:r w:rsidRPr="001B0BF4">
        <w:rPr>
          <w:rFonts w:hint="cs"/>
          <w:rtl/>
        </w:rPr>
        <w:tab/>
      </w:r>
      <w:r w:rsidRPr="00AD3375">
        <w:rPr>
          <w:rFonts w:hint="cs"/>
          <w:b/>
          <w:bCs/>
          <w:rtl/>
        </w:rPr>
        <w:t>وتوصي اللجنة بأن تنظر الدولة الطرف في اتخاذ تدابير لإلغاء شرط ازدواجية الجريمة لإجراء محاكمة محلية و/أو ترحيل الأشخاص المتهمين بارتكاب جرائم بالخارج.</w:t>
      </w:r>
      <w:r w:rsidRPr="001B0BF4">
        <w:rPr>
          <w:rFonts w:hint="cs"/>
          <w:rtl/>
        </w:rPr>
        <w:t xml:space="preserve"> </w:t>
      </w:r>
    </w:p>
    <w:p w:rsidR="003156AA" w:rsidRPr="00B17DFF" w:rsidRDefault="00B17DFF" w:rsidP="00B17DFF">
      <w:pPr>
        <w:pStyle w:val="H1GA"/>
        <w:rPr>
          <w:rFonts w:hint="cs"/>
          <w:rtl/>
        </w:rPr>
      </w:pPr>
      <w:r>
        <w:rPr>
          <w:rFonts w:hint="cs"/>
          <w:rtl/>
        </w:rPr>
        <w:tab/>
      </w:r>
      <w:r w:rsidR="003156AA" w:rsidRPr="00B17DFF">
        <w:rPr>
          <w:rFonts w:hint="cs"/>
          <w:rtl/>
        </w:rPr>
        <w:t>سادسا</w:t>
      </w:r>
      <w:r>
        <w:rPr>
          <w:rFonts w:hint="cs"/>
          <w:rtl/>
        </w:rPr>
        <w:t>ً</w:t>
      </w:r>
      <w:r w:rsidR="003156AA" w:rsidRPr="00B17DFF">
        <w:rPr>
          <w:rFonts w:hint="cs"/>
          <w:rtl/>
        </w:rPr>
        <w:t>-</w:t>
      </w:r>
      <w:r>
        <w:rPr>
          <w:rFonts w:hint="cs"/>
          <w:rtl/>
        </w:rPr>
        <w:tab/>
      </w:r>
      <w:r w:rsidR="003156AA" w:rsidRPr="00B17DFF">
        <w:rPr>
          <w:rFonts w:hint="cs"/>
          <w:rtl/>
        </w:rPr>
        <w:t>حماية حقوق الأطفال الضحايا (المادة 8 والفقرتان 3 و4 من المادة 9)</w:t>
      </w:r>
    </w:p>
    <w:p w:rsidR="003156AA" w:rsidRPr="00D84A35" w:rsidRDefault="00B17DFF" w:rsidP="00B17DFF">
      <w:pPr>
        <w:pStyle w:val="H23GA"/>
        <w:jc w:val="left"/>
        <w:rPr>
          <w:rFonts w:hint="cs"/>
          <w:rtl/>
        </w:rPr>
      </w:pPr>
      <w:r>
        <w:rPr>
          <w:rFonts w:hint="cs"/>
          <w:rtl/>
        </w:rPr>
        <w:tab/>
      </w:r>
      <w:r>
        <w:rPr>
          <w:rFonts w:hint="cs"/>
          <w:rtl/>
        </w:rPr>
        <w:tab/>
      </w:r>
      <w:r w:rsidR="003156AA" w:rsidRPr="00D84A35">
        <w:rPr>
          <w:rFonts w:hint="cs"/>
          <w:rtl/>
        </w:rPr>
        <w:t xml:space="preserve">التدابير المتخذة لحماية حقوق ومصالح الأطفال ضحايا الجرائم المحظورة بموجب البروتوكول </w:t>
      </w:r>
    </w:p>
    <w:p w:rsidR="003156AA" w:rsidRPr="001B0BF4" w:rsidRDefault="003156AA" w:rsidP="00B17DFF">
      <w:pPr>
        <w:pStyle w:val="SingleTxtGA"/>
        <w:rPr>
          <w:rFonts w:hint="cs"/>
          <w:rtl/>
        </w:rPr>
      </w:pPr>
      <w:r w:rsidRPr="001B0BF4">
        <w:rPr>
          <w:rFonts w:hint="cs"/>
          <w:rtl/>
        </w:rPr>
        <w:t>39-</w:t>
      </w:r>
      <w:r w:rsidRPr="001B0BF4">
        <w:rPr>
          <w:rFonts w:hint="cs"/>
          <w:rtl/>
        </w:rPr>
        <w:tab/>
        <w:t xml:space="preserve">تلاحظ اللجنة مع الارتياح العديد من التدابير المعتمدة لحماية حقوق ومصالح الأطفال الضحايا، بما في ذلك تدريب المهنيين العاملين مع الأطفال المستغلين جنسيا أو الذين </w:t>
      </w:r>
      <w:r>
        <w:rPr>
          <w:rFonts w:hint="cs"/>
          <w:rtl/>
        </w:rPr>
        <w:t>يتاجر</w:t>
      </w:r>
      <w:r w:rsidRPr="001B0BF4">
        <w:rPr>
          <w:rFonts w:hint="cs"/>
          <w:rtl/>
        </w:rPr>
        <w:t xml:space="preserve"> بهم وتعزيز مركزين متخصصين للأطفال المستغلين جنسيا. وعلى الرغم من ذلك</w:t>
      </w:r>
      <w:r>
        <w:rPr>
          <w:rFonts w:hint="cs"/>
          <w:rtl/>
        </w:rPr>
        <w:t>،</w:t>
      </w:r>
      <w:r w:rsidRPr="001B0BF4">
        <w:rPr>
          <w:rFonts w:hint="cs"/>
          <w:rtl/>
        </w:rPr>
        <w:t xml:space="preserve"> تأسف اللجنة لعدم وجود نهج شامل لتحديد وحماية الأطفال ضحايا الجرائم المنصوص عليها بموجب البروتوكول الاختياري، وخاصة الفجوات في تقاسم المعلومات بين الشرطة ودوائر الخدمات الاجتماعية. كما تشعر اللجنة بالقلق إزاء عدم وجود معلومات عن الأنشطة التي تهدف </w:t>
      </w:r>
      <w:r>
        <w:rPr>
          <w:rFonts w:hint="cs"/>
          <w:rtl/>
        </w:rPr>
        <w:t xml:space="preserve">إلى </w:t>
      </w:r>
      <w:r w:rsidRPr="001B0BF4">
        <w:rPr>
          <w:rFonts w:hint="cs"/>
          <w:rtl/>
        </w:rPr>
        <w:t>وصم الأطفال الضحايا وتهميشهم وإزاء الحالات التي تفشي فيها وسائل الإعلام معلومات قد تؤدي إلى تحديد شخصية ال</w:t>
      </w:r>
      <w:r>
        <w:rPr>
          <w:rFonts w:hint="cs"/>
          <w:rtl/>
        </w:rPr>
        <w:t>أ</w:t>
      </w:r>
      <w:r w:rsidRPr="001B0BF4">
        <w:rPr>
          <w:rFonts w:hint="cs"/>
          <w:rtl/>
        </w:rPr>
        <w:t>طف</w:t>
      </w:r>
      <w:r>
        <w:rPr>
          <w:rFonts w:hint="cs"/>
          <w:rtl/>
        </w:rPr>
        <w:t>ا</w:t>
      </w:r>
      <w:r w:rsidRPr="001B0BF4">
        <w:rPr>
          <w:rFonts w:hint="cs"/>
          <w:rtl/>
        </w:rPr>
        <w:t>ل الضح</w:t>
      </w:r>
      <w:r>
        <w:rPr>
          <w:rFonts w:hint="cs"/>
          <w:rtl/>
        </w:rPr>
        <w:t>ا</w:t>
      </w:r>
      <w:r w:rsidRPr="001B0BF4">
        <w:rPr>
          <w:rFonts w:hint="cs"/>
          <w:rtl/>
        </w:rPr>
        <w:t>ي</w:t>
      </w:r>
      <w:r>
        <w:rPr>
          <w:rFonts w:hint="cs"/>
          <w:rtl/>
        </w:rPr>
        <w:t>ا</w:t>
      </w:r>
      <w:r w:rsidRPr="001B0BF4">
        <w:rPr>
          <w:rFonts w:hint="cs"/>
          <w:rtl/>
        </w:rPr>
        <w:t>.</w:t>
      </w:r>
    </w:p>
    <w:p w:rsidR="003156AA" w:rsidRPr="001B0BF4" w:rsidRDefault="003156AA" w:rsidP="00B17DFF">
      <w:pPr>
        <w:pStyle w:val="SingleTxtGA"/>
        <w:rPr>
          <w:rFonts w:hint="cs"/>
          <w:rtl/>
        </w:rPr>
      </w:pPr>
      <w:r w:rsidRPr="001B0BF4">
        <w:rPr>
          <w:rFonts w:hint="cs"/>
          <w:rtl/>
        </w:rPr>
        <w:t>40-</w:t>
      </w:r>
      <w:r w:rsidRPr="001B0BF4">
        <w:rPr>
          <w:rFonts w:hint="cs"/>
          <w:rtl/>
        </w:rPr>
        <w:tab/>
      </w:r>
      <w:r w:rsidRPr="00AD3375">
        <w:rPr>
          <w:rFonts w:hint="cs"/>
          <w:b/>
          <w:bCs/>
          <w:rtl/>
        </w:rPr>
        <w:t xml:space="preserve">وتوصي اللجنة بأن تضع الدولة الطرف سياسة </w:t>
      </w:r>
      <w:r>
        <w:rPr>
          <w:rFonts w:hint="cs"/>
          <w:b/>
          <w:bCs/>
          <w:rtl/>
        </w:rPr>
        <w:t>على الصعيد القطري</w:t>
      </w:r>
      <w:r w:rsidRPr="00AD3375">
        <w:rPr>
          <w:rFonts w:hint="cs"/>
          <w:b/>
          <w:bCs/>
          <w:rtl/>
        </w:rPr>
        <w:t xml:space="preserve"> بشأن التنسيق والرعاية والدعم للأطفال ضحايا الممارسات المنصوص عليها بموجب البروتوكول الاختياري، بما في ذلك عن طريق زيادة التعاون وتقاسم المعلومات بين الشرطة ودوائر الخدمات الاجتماعية. وتوصي اللجنة بأن تضع الدولة الطرف إجراءات رسمية لتحديد الضحايا فيما بين السكان الضعفاء. وتذكر اللجنة الدولة الطرف بأنه لا ينبغي اعتبار الأطفال ضحايا الجرائم المنصوص عليها بموجب البروتوكول الاختياري كمجرمين أو معاقبتهم وأنه ينبغي منع وصمهم وتهميشهم اجتماعيا. كما توصي اللجنة الدولة الطرف بأن تحمي سرية وهوية الأطفال الضحايا والشهود وفقا للفقرة 1 (ﻫ) من المادة 8 من البروتوكول الاختياري وأن تتخذ تدابير وفقا للقانون الوطني وعن طريق </w:t>
      </w:r>
      <w:r>
        <w:rPr>
          <w:rFonts w:hint="cs"/>
          <w:b/>
          <w:bCs/>
          <w:rtl/>
        </w:rPr>
        <w:t>مشاركة</w:t>
      </w:r>
      <w:r w:rsidRPr="00AD3375">
        <w:rPr>
          <w:rFonts w:hint="cs"/>
          <w:b/>
          <w:bCs/>
          <w:rtl/>
        </w:rPr>
        <w:t xml:space="preserve"> وسائل الإعلام لتجنب نشر المعلومات التي قد تؤدي إلى تحديد هويتهم بطريقة غير ملائمة.</w:t>
      </w:r>
      <w:r w:rsidRPr="001B0BF4">
        <w:rPr>
          <w:rFonts w:hint="cs"/>
          <w:rtl/>
        </w:rPr>
        <w:t xml:space="preserve"> </w:t>
      </w:r>
    </w:p>
    <w:p w:rsidR="003156AA" w:rsidRPr="00B92A81" w:rsidRDefault="00C94F42" w:rsidP="002E0AC3">
      <w:pPr>
        <w:pStyle w:val="H23GA"/>
        <w:rPr>
          <w:rFonts w:hint="cs"/>
          <w:rtl/>
        </w:rPr>
      </w:pPr>
      <w:r>
        <w:rPr>
          <w:rtl/>
        </w:rPr>
        <w:br w:type="page"/>
      </w:r>
      <w:r w:rsidR="002E0AC3">
        <w:rPr>
          <w:rFonts w:hint="cs"/>
          <w:rtl/>
        </w:rPr>
        <w:tab/>
      </w:r>
      <w:r w:rsidR="002E0AC3">
        <w:rPr>
          <w:rFonts w:hint="cs"/>
          <w:rtl/>
        </w:rPr>
        <w:tab/>
      </w:r>
      <w:r w:rsidR="003156AA" w:rsidRPr="00B92A81">
        <w:rPr>
          <w:rFonts w:hint="cs"/>
          <w:rtl/>
        </w:rPr>
        <w:t>تدابير حماية نظام العدالة الجنائية</w:t>
      </w:r>
    </w:p>
    <w:p w:rsidR="003156AA" w:rsidRPr="001B0BF4" w:rsidRDefault="003156AA" w:rsidP="00B17DFF">
      <w:pPr>
        <w:pStyle w:val="SingleTxtGA"/>
        <w:rPr>
          <w:rFonts w:hint="cs"/>
          <w:rtl/>
        </w:rPr>
      </w:pPr>
      <w:r w:rsidRPr="001B0BF4">
        <w:rPr>
          <w:rFonts w:hint="cs"/>
          <w:rtl/>
        </w:rPr>
        <w:t>41-</w:t>
      </w:r>
      <w:r w:rsidRPr="001B0BF4">
        <w:rPr>
          <w:rFonts w:hint="cs"/>
          <w:rtl/>
        </w:rPr>
        <w:tab/>
        <w:t xml:space="preserve">ترحب اللجنة بالتدابير القائمة لحماية حقوق ومصالح الأطفال الضحايا والشهود في إجراءات العدالة الجنائية، بما في ذلك توافر غرف لإجراء مقابلات شخصية خاصة مع الأطفال الضحايا وإمكانية </w:t>
      </w:r>
      <w:r>
        <w:rPr>
          <w:rFonts w:hint="cs"/>
          <w:rtl/>
        </w:rPr>
        <w:t xml:space="preserve">عقد </w:t>
      </w:r>
      <w:r w:rsidRPr="001B0BF4">
        <w:rPr>
          <w:rFonts w:hint="cs"/>
          <w:rtl/>
        </w:rPr>
        <w:t xml:space="preserve">جلسات الاستماع في أماكن مغلقة. كما تلاحظ اللجنة عزم الدولة الطرف على تعديل قانون الإجراءات الجنائية من أجل عدة أمور من بينها تمكين الأطفال الشهود والضحايا </w:t>
      </w:r>
      <w:r>
        <w:rPr>
          <w:rFonts w:hint="cs"/>
          <w:rtl/>
        </w:rPr>
        <w:t xml:space="preserve">من الاستماع إليهم </w:t>
      </w:r>
      <w:r w:rsidRPr="001B0BF4">
        <w:rPr>
          <w:rFonts w:hint="cs"/>
          <w:rtl/>
        </w:rPr>
        <w:t>عبر وصلات بالفيديو وتحديد عدد المقابلات الشخصية. غير أن اللجنة تشعر بالقلق من أن الإجراء القائم حاليا للتعامل مع الضحايا من الأطفال لا يوفر قدرا مماثلا من الحماية للأطفال البالغين 14 سنة وأكثر.</w:t>
      </w:r>
    </w:p>
    <w:p w:rsidR="003156AA" w:rsidRPr="00AD3375" w:rsidRDefault="003156AA" w:rsidP="00B17DFF">
      <w:pPr>
        <w:pStyle w:val="SingleTxtGA"/>
        <w:rPr>
          <w:rFonts w:hint="cs"/>
          <w:b/>
          <w:bCs/>
          <w:rtl/>
        </w:rPr>
      </w:pPr>
      <w:r w:rsidRPr="001B0BF4">
        <w:rPr>
          <w:rFonts w:hint="cs"/>
          <w:rtl/>
        </w:rPr>
        <w:t>42-</w:t>
      </w:r>
      <w:r w:rsidRPr="001B0BF4">
        <w:rPr>
          <w:rFonts w:hint="cs"/>
          <w:rtl/>
        </w:rPr>
        <w:tab/>
      </w:r>
      <w:r w:rsidRPr="00AD3375">
        <w:rPr>
          <w:rFonts w:hint="cs"/>
          <w:b/>
          <w:bCs/>
          <w:rtl/>
        </w:rPr>
        <w:t>وتوصي اللجنة بأن تواصل وتعزز الدولة الطرف التدابير لحماية حقوق ومصالح الأطفال الضحايا والشهود ل</w:t>
      </w:r>
      <w:r>
        <w:rPr>
          <w:rFonts w:hint="cs"/>
          <w:b/>
          <w:bCs/>
          <w:rtl/>
        </w:rPr>
        <w:t xml:space="preserve">تشمل </w:t>
      </w:r>
      <w:r w:rsidRPr="00AD3375">
        <w:rPr>
          <w:rFonts w:hint="cs"/>
          <w:b/>
          <w:bCs/>
          <w:rtl/>
        </w:rPr>
        <w:t>جميع الأطفال حتى سن 18</w:t>
      </w:r>
      <w:r w:rsidR="00D417CF">
        <w:rPr>
          <w:rFonts w:hint="cs"/>
          <w:b/>
          <w:bCs/>
          <w:rtl/>
        </w:rPr>
        <w:t xml:space="preserve"> </w:t>
      </w:r>
      <w:r w:rsidRPr="00AD3375">
        <w:rPr>
          <w:rFonts w:hint="cs"/>
          <w:b/>
          <w:bCs/>
          <w:rtl/>
        </w:rPr>
        <w:t xml:space="preserve">سنة، وبصفة خاصة </w:t>
      </w:r>
      <w:r>
        <w:rPr>
          <w:rFonts w:hint="cs"/>
          <w:b/>
          <w:bCs/>
          <w:rtl/>
        </w:rPr>
        <w:t>عن طريق عدة أمور من بينها</w:t>
      </w:r>
      <w:r w:rsidRPr="00AD3375">
        <w:rPr>
          <w:rFonts w:hint="cs"/>
          <w:b/>
          <w:bCs/>
          <w:rtl/>
        </w:rPr>
        <w:t xml:space="preserve"> تعجيل </w:t>
      </w:r>
      <w:r>
        <w:rPr>
          <w:rFonts w:hint="cs"/>
          <w:b/>
          <w:bCs/>
          <w:rtl/>
        </w:rPr>
        <w:t xml:space="preserve">إجراء </w:t>
      </w:r>
      <w:r w:rsidRPr="00AD3375">
        <w:rPr>
          <w:rFonts w:hint="cs"/>
          <w:b/>
          <w:bCs/>
          <w:rtl/>
        </w:rPr>
        <w:t>التعديلات المقترحة على قانون الإجراءات الجنائية من أجل تمكين الشهود والضحايا من الأطفال</w:t>
      </w:r>
      <w:r>
        <w:rPr>
          <w:rFonts w:hint="cs"/>
          <w:b/>
          <w:bCs/>
          <w:rtl/>
        </w:rPr>
        <w:t xml:space="preserve"> من الاستماع إليهم</w:t>
      </w:r>
      <w:r w:rsidRPr="00AD3375">
        <w:rPr>
          <w:rFonts w:hint="cs"/>
          <w:b/>
          <w:bCs/>
          <w:rtl/>
        </w:rPr>
        <w:t xml:space="preserve"> عبر وصلات بالفيديو وتحديد عدد المقابلات الشخصية، وفقا للفقرة 1 من المادة 8 من البروتوكول الاختياري ومبادئ الأمم المتحدة التوجيهية بشأن </w:t>
      </w:r>
      <w:r w:rsidRPr="00AD3375">
        <w:rPr>
          <w:b/>
          <w:bCs/>
          <w:rtl/>
        </w:rPr>
        <w:t>العدالة في الأمور المتعلقة بالأطفال ضحايا الجريمة والشهود عليها</w:t>
      </w:r>
      <w:r w:rsidRPr="00AD3375">
        <w:rPr>
          <w:rFonts w:hint="cs"/>
          <w:b/>
          <w:bCs/>
          <w:rtl/>
        </w:rPr>
        <w:t xml:space="preserve"> (قرار المجلس الاقتصادي والاجتماعي 2005/20).</w:t>
      </w:r>
    </w:p>
    <w:p w:rsidR="003156AA" w:rsidRPr="00B92A81" w:rsidRDefault="00C13B53" w:rsidP="00C13B53">
      <w:pPr>
        <w:pStyle w:val="H23GA"/>
        <w:rPr>
          <w:rFonts w:hint="cs"/>
          <w:rtl/>
        </w:rPr>
      </w:pPr>
      <w:r>
        <w:rPr>
          <w:rFonts w:hint="cs"/>
          <w:rtl/>
        </w:rPr>
        <w:tab/>
      </w:r>
      <w:r>
        <w:rPr>
          <w:rFonts w:hint="cs"/>
          <w:rtl/>
        </w:rPr>
        <w:tab/>
      </w:r>
      <w:r w:rsidR="003156AA" w:rsidRPr="00B92A81">
        <w:rPr>
          <w:rFonts w:hint="cs"/>
          <w:rtl/>
        </w:rPr>
        <w:t>تعافي الضحايا وإدماجهم</w:t>
      </w:r>
    </w:p>
    <w:p w:rsidR="003156AA" w:rsidRPr="001B0BF4" w:rsidRDefault="003156AA" w:rsidP="00B17DFF">
      <w:pPr>
        <w:pStyle w:val="SingleTxtGA"/>
        <w:rPr>
          <w:rFonts w:hint="cs"/>
          <w:rtl/>
        </w:rPr>
      </w:pPr>
      <w:r w:rsidRPr="001B0BF4">
        <w:rPr>
          <w:rFonts w:hint="cs"/>
          <w:rtl/>
        </w:rPr>
        <w:t>43-</w:t>
      </w:r>
      <w:r w:rsidRPr="001B0BF4">
        <w:rPr>
          <w:rFonts w:hint="cs"/>
          <w:rtl/>
        </w:rPr>
        <w:tab/>
        <w:t xml:space="preserve">في حين تلاحظ اللجنة مع التقدير التدابير العديدة الموضوعة لحماية الضحايا من الأطفال، فإنها تأسف لاستمرار وجود فجوات، وخاصة فيما يتعلق بتوافر المساعدة النفسية للضحايا من الأطفال، فضلا عن خدمات اجتماعية لإعادة الإدماج. </w:t>
      </w:r>
    </w:p>
    <w:p w:rsidR="003156AA" w:rsidRPr="00AD3375" w:rsidRDefault="003156AA" w:rsidP="00B17DFF">
      <w:pPr>
        <w:pStyle w:val="SingleTxtGA"/>
        <w:rPr>
          <w:rFonts w:hint="cs"/>
          <w:b/>
          <w:bCs/>
          <w:rtl/>
        </w:rPr>
      </w:pPr>
      <w:r w:rsidRPr="001B0BF4">
        <w:rPr>
          <w:rFonts w:hint="cs"/>
          <w:rtl/>
        </w:rPr>
        <w:t>44-</w:t>
      </w:r>
      <w:r w:rsidRPr="001B0BF4">
        <w:rPr>
          <w:rFonts w:hint="cs"/>
          <w:rtl/>
        </w:rPr>
        <w:tab/>
      </w:r>
      <w:r w:rsidRPr="00AD3375">
        <w:rPr>
          <w:rFonts w:hint="cs"/>
          <w:b/>
          <w:bCs/>
          <w:rtl/>
        </w:rPr>
        <w:t>وتوصي اللجنة بأن تواصل الدولة الطرف تعزيز التدابير لضمان</w:t>
      </w:r>
      <w:r>
        <w:rPr>
          <w:rFonts w:hint="cs"/>
          <w:b/>
          <w:bCs/>
          <w:rtl/>
        </w:rPr>
        <w:t xml:space="preserve"> تقديم</w:t>
      </w:r>
      <w:r w:rsidRPr="00AD3375">
        <w:rPr>
          <w:rFonts w:hint="cs"/>
          <w:b/>
          <w:bCs/>
          <w:rtl/>
        </w:rPr>
        <w:t xml:space="preserve"> المساعدة الملائمة لضحايا الجرائم المنصوص عليها بموجب البروتوكول الاختياري، بما في ذلك إعادة إدماجه</w:t>
      </w:r>
      <w:r>
        <w:rPr>
          <w:rFonts w:hint="cs"/>
          <w:b/>
          <w:bCs/>
          <w:rtl/>
        </w:rPr>
        <w:t>م</w:t>
      </w:r>
      <w:r w:rsidRPr="00AD3375">
        <w:rPr>
          <w:rFonts w:hint="cs"/>
          <w:b/>
          <w:bCs/>
          <w:rtl/>
        </w:rPr>
        <w:t xml:space="preserve"> اجتماعيا وتعافيهم البدني والنفسي</w:t>
      </w:r>
      <w:r w:rsidRPr="00F63A86">
        <w:rPr>
          <w:rFonts w:hint="cs"/>
          <w:b/>
          <w:bCs/>
          <w:rtl/>
        </w:rPr>
        <w:t xml:space="preserve"> </w:t>
      </w:r>
      <w:r w:rsidRPr="00AD3375">
        <w:rPr>
          <w:rFonts w:hint="cs"/>
          <w:b/>
          <w:bCs/>
          <w:rtl/>
        </w:rPr>
        <w:t xml:space="preserve">بصورة كاملة. وبصفة خاصة، توصي اللجنة الدولة الطرف (أ) بمواصلة </w:t>
      </w:r>
      <w:r>
        <w:rPr>
          <w:rFonts w:hint="cs"/>
          <w:b/>
          <w:bCs/>
          <w:rtl/>
        </w:rPr>
        <w:t>تطوير خدمات صحية متخصصة و</w:t>
      </w:r>
      <w:r w:rsidRPr="00AD3375">
        <w:rPr>
          <w:rFonts w:hint="cs"/>
          <w:b/>
          <w:bCs/>
          <w:rtl/>
        </w:rPr>
        <w:t xml:space="preserve">رعاية نفسية </w:t>
      </w:r>
      <w:r>
        <w:rPr>
          <w:rFonts w:hint="cs"/>
          <w:b/>
          <w:bCs/>
          <w:rtl/>
        </w:rPr>
        <w:t>ل</w:t>
      </w:r>
      <w:r w:rsidRPr="00AD3375">
        <w:rPr>
          <w:rFonts w:hint="cs"/>
          <w:b/>
          <w:bCs/>
          <w:rtl/>
        </w:rPr>
        <w:t xml:space="preserve">لأطفال </w:t>
      </w:r>
      <w:r>
        <w:rPr>
          <w:rFonts w:hint="cs"/>
          <w:b/>
          <w:bCs/>
          <w:rtl/>
        </w:rPr>
        <w:t>ا</w:t>
      </w:r>
      <w:r w:rsidRPr="00AD3375">
        <w:rPr>
          <w:rFonts w:hint="cs"/>
          <w:b/>
          <w:bCs/>
          <w:rtl/>
        </w:rPr>
        <w:t xml:space="preserve">لضحايا، بما في ذلك عن طريق </w:t>
      </w:r>
      <w:r>
        <w:rPr>
          <w:rFonts w:hint="cs"/>
          <w:b/>
          <w:bCs/>
          <w:rtl/>
        </w:rPr>
        <w:t xml:space="preserve">ضمان </w:t>
      </w:r>
      <w:r w:rsidRPr="00AD3375">
        <w:rPr>
          <w:rFonts w:hint="cs"/>
          <w:b/>
          <w:bCs/>
          <w:rtl/>
        </w:rPr>
        <w:t xml:space="preserve">إمكانية الوصول إلى </w:t>
      </w:r>
      <w:r>
        <w:rPr>
          <w:rFonts w:hint="cs"/>
          <w:b/>
          <w:bCs/>
          <w:rtl/>
        </w:rPr>
        <w:t>الأخصائيين</w:t>
      </w:r>
      <w:r w:rsidRPr="00AD3375">
        <w:rPr>
          <w:rFonts w:hint="cs"/>
          <w:b/>
          <w:bCs/>
          <w:rtl/>
        </w:rPr>
        <w:t xml:space="preserve"> المعنيين بالصحة العقلية للأطفال </w:t>
      </w:r>
      <w:r>
        <w:rPr>
          <w:rFonts w:hint="cs"/>
          <w:b/>
          <w:bCs/>
          <w:rtl/>
        </w:rPr>
        <w:t>وتوافرهم في جميع أنحاء البلد، و</w:t>
      </w:r>
      <w:r w:rsidRPr="00AD3375">
        <w:rPr>
          <w:rFonts w:hint="cs"/>
          <w:b/>
          <w:bCs/>
          <w:rtl/>
        </w:rPr>
        <w:t xml:space="preserve">(ب) تطوير </w:t>
      </w:r>
      <w:r>
        <w:rPr>
          <w:rFonts w:hint="cs"/>
          <w:b/>
          <w:bCs/>
          <w:rtl/>
        </w:rPr>
        <w:t xml:space="preserve">الطب النفسي </w:t>
      </w:r>
      <w:r w:rsidRPr="00AD3375">
        <w:rPr>
          <w:rFonts w:hint="cs"/>
          <w:b/>
          <w:bCs/>
          <w:rtl/>
        </w:rPr>
        <w:t xml:space="preserve">للمراهقين </w:t>
      </w:r>
      <w:r>
        <w:rPr>
          <w:rFonts w:hint="cs"/>
          <w:b/>
          <w:bCs/>
          <w:rtl/>
        </w:rPr>
        <w:t>ك</w:t>
      </w:r>
      <w:r w:rsidRPr="00AD3375">
        <w:rPr>
          <w:rFonts w:hint="cs"/>
          <w:b/>
          <w:bCs/>
          <w:rtl/>
        </w:rPr>
        <w:t>تخصص طبي مستقل</w:t>
      </w:r>
      <w:r>
        <w:rPr>
          <w:rFonts w:hint="cs"/>
          <w:b/>
          <w:bCs/>
          <w:rtl/>
        </w:rPr>
        <w:t>،</w:t>
      </w:r>
      <w:r w:rsidRPr="00AD3375">
        <w:rPr>
          <w:rFonts w:hint="cs"/>
          <w:b/>
          <w:bCs/>
          <w:rtl/>
        </w:rPr>
        <w:t xml:space="preserve"> مع مراعاة أهمية هذه المجموعة المهنية في عملية التقييم والاستشارة والمعالجة والتعافي </w:t>
      </w:r>
      <w:r>
        <w:rPr>
          <w:rFonts w:hint="cs"/>
          <w:b/>
          <w:bCs/>
          <w:rtl/>
        </w:rPr>
        <w:t>للأطفال ا</w:t>
      </w:r>
      <w:r w:rsidRPr="00AD3375">
        <w:rPr>
          <w:rFonts w:hint="cs"/>
          <w:b/>
          <w:bCs/>
          <w:rtl/>
        </w:rPr>
        <w:t>لضحايا</w:t>
      </w:r>
      <w:r>
        <w:rPr>
          <w:rFonts w:hint="cs"/>
          <w:b/>
          <w:bCs/>
          <w:rtl/>
        </w:rPr>
        <w:t>،</w:t>
      </w:r>
      <w:r w:rsidRPr="00AD3375">
        <w:rPr>
          <w:rFonts w:hint="cs"/>
          <w:b/>
          <w:bCs/>
          <w:rtl/>
        </w:rPr>
        <w:t xml:space="preserve"> </w:t>
      </w:r>
      <w:r>
        <w:rPr>
          <w:rFonts w:hint="cs"/>
          <w:b/>
          <w:bCs/>
          <w:rtl/>
        </w:rPr>
        <w:t>و</w:t>
      </w:r>
      <w:r w:rsidRPr="00AD3375">
        <w:rPr>
          <w:rFonts w:hint="cs"/>
          <w:b/>
          <w:bCs/>
          <w:rtl/>
        </w:rPr>
        <w:t>(ج) زيادة توافر الخدمات الاجتماعية.</w:t>
      </w:r>
    </w:p>
    <w:p w:rsidR="003156AA" w:rsidRPr="001B0BF4" w:rsidRDefault="003156AA" w:rsidP="00B17DFF">
      <w:pPr>
        <w:pStyle w:val="SingleTxtGA"/>
        <w:rPr>
          <w:rFonts w:hint="cs"/>
          <w:rtl/>
        </w:rPr>
      </w:pPr>
      <w:r w:rsidRPr="001B0BF4">
        <w:rPr>
          <w:rFonts w:hint="cs"/>
          <w:rtl/>
        </w:rPr>
        <w:t>45-</w:t>
      </w:r>
      <w:r w:rsidRPr="001B0BF4">
        <w:rPr>
          <w:rFonts w:hint="cs"/>
          <w:rtl/>
        </w:rPr>
        <w:tab/>
      </w:r>
      <w:r w:rsidRPr="00AD3375">
        <w:rPr>
          <w:rFonts w:hint="cs"/>
          <w:b/>
          <w:bCs/>
          <w:rtl/>
        </w:rPr>
        <w:t xml:space="preserve">كما توصي </w:t>
      </w:r>
      <w:r>
        <w:rPr>
          <w:rFonts w:hint="cs"/>
          <w:b/>
          <w:bCs/>
          <w:rtl/>
        </w:rPr>
        <w:t>بأن</w:t>
      </w:r>
      <w:r w:rsidRPr="00FD1FCC">
        <w:rPr>
          <w:rFonts w:hint="cs"/>
          <w:b/>
          <w:bCs/>
          <w:rtl/>
        </w:rPr>
        <w:t xml:space="preserve"> </w:t>
      </w:r>
      <w:r>
        <w:rPr>
          <w:rFonts w:hint="cs"/>
          <w:b/>
          <w:bCs/>
          <w:rtl/>
        </w:rPr>
        <w:t>تضمن الدولة الطرف</w:t>
      </w:r>
      <w:r w:rsidRPr="00FD1FCC">
        <w:rPr>
          <w:rFonts w:hint="cs"/>
          <w:b/>
          <w:bCs/>
          <w:rtl/>
        </w:rPr>
        <w:t xml:space="preserve"> لجميع الأطفال الضحايا إمكانية الاستفادة، دونما تمييز،</w:t>
      </w:r>
      <w:r>
        <w:rPr>
          <w:rFonts w:hint="cs"/>
          <w:b/>
          <w:bCs/>
          <w:rtl/>
        </w:rPr>
        <w:t xml:space="preserve"> </w:t>
      </w:r>
      <w:r w:rsidRPr="00FD1FCC">
        <w:rPr>
          <w:rFonts w:hint="cs"/>
          <w:b/>
          <w:bCs/>
          <w:rtl/>
        </w:rPr>
        <w:t xml:space="preserve">من إجراءات مناسبة لالتماس التعويض عن الأضرار التي يلحقها بهم المسؤولون </w:t>
      </w:r>
      <w:r>
        <w:rPr>
          <w:rFonts w:hint="cs"/>
          <w:b/>
          <w:bCs/>
          <w:rtl/>
        </w:rPr>
        <w:t xml:space="preserve">عنها </w:t>
      </w:r>
      <w:r w:rsidRPr="00FD1FCC">
        <w:rPr>
          <w:rFonts w:hint="cs"/>
          <w:b/>
          <w:bCs/>
          <w:rtl/>
        </w:rPr>
        <w:t>قانونا، وفقا للفقرة 4 من المادة 9 من البروتوكول الاختياري.</w:t>
      </w:r>
    </w:p>
    <w:p w:rsidR="003156AA" w:rsidRPr="00B17DFF" w:rsidRDefault="00B17DFF" w:rsidP="00B17DFF">
      <w:pPr>
        <w:pStyle w:val="H1GA"/>
        <w:rPr>
          <w:rFonts w:hint="cs"/>
          <w:rtl/>
        </w:rPr>
      </w:pPr>
      <w:r>
        <w:rPr>
          <w:rFonts w:hint="cs"/>
          <w:rtl/>
        </w:rPr>
        <w:tab/>
      </w:r>
      <w:r w:rsidR="003156AA" w:rsidRPr="00B17DFF">
        <w:rPr>
          <w:rFonts w:hint="cs"/>
          <w:rtl/>
        </w:rPr>
        <w:t>سابعا</w:t>
      </w:r>
      <w:r>
        <w:rPr>
          <w:rFonts w:hint="cs"/>
          <w:rtl/>
        </w:rPr>
        <w:t>ً</w:t>
      </w:r>
      <w:r w:rsidR="003156AA" w:rsidRPr="00B17DFF">
        <w:rPr>
          <w:rFonts w:hint="cs"/>
          <w:rtl/>
        </w:rPr>
        <w:t>-</w:t>
      </w:r>
      <w:r>
        <w:rPr>
          <w:rFonts w:hint="cs"/>
          <w:rtl/>
        </w:rPr>
        <w:tab/>
      </w:r>
      <w:r w:rsidR="003156AA" w:rsidRPr="00B17DFF">
        <w:rPr>
          <w:rFonts w:hint="cs"/>
          <w:rtl/>
        </w:rPr>
        <w:t>المساعدة والتعاون الدوليان</w:t>
      </w:r>
    </w:p>
    <w:p w:rsidR="003156AA" w:rsidRPr="00AD3375" w:rsidRDefault="00B17DFF" w:rsidP="00B17DFF">
      <w:pPr>
        <w:pStyle w:val="H23GA"/>
        <w:rPr>
          <w:rFonts w:hint="cs"/>
          <w:rtl/>
        </w:rPr>
      </w:pPr>
      <w:r>
        <w:rPr>
          <w:rFonts w:hint="cs"/>
          <w:rtl/>
        </w:rPr>
        <w:tab/>
      </w:r>
      <w:r>
        <w:rPr>
          <w:rFonts w:hint="cs"/>
          <w:rtl/>
        </w:rPr>
        <w:tab/>
      </w:r>
      <w:r w:rsidR="003156AA" w:rsidRPr="00AD3375">
        <w:rPr>
          <w:rFonts w:hint="cs"/>
          <w:rtl/>
        </w:rPr>
        <w:t>التعاون الدولي</w:t>
      </w:r>
    </w:p>
    <w:p w:rsidR="003156AA" w:rsidRPr="001B0BF4" w:rsidRDefault="003156AA" w:rsidP="00C13B53">
      <w:pPr>
        <w:pStyle w:val="SingleTxtGA"/>
        <w:rPr>
          <w:rFonts w:hint="cs"/>
          <w:rtl/>
        </w:rPr>
      </w:pPr>
      <w:r w:rsidRPr="001B0BF4">
        <w:rPr>
          <w:rFonts w:hint="cs"/>
          <w:rtl/>
        </w:rPr>
        <w:t>46-</w:t>
      </w:r>
      <w:r w:rsidRPr="001B0BF4">
        <w:rPr>
          <w:rFonts w:hint="cs"/>
          <w:rtl/>
        </w:rPr>
        <w:tab/>
      </w:r>
      <w:r w:rsidRPr="00C13B53">
        <w:rPr>
          <w:rFonts w:hint="cs"/>
          <w:b/>
          <w:bCs/>
          <w:rtl/>
        </w:rPr>
        <w:t>في ضوء الفقرة 1 من المادة 10، تشجع اللجنة الدولة الطرف على مواصلة تعزيز التعاون الدولي من خلال ترتيبات متعددة الأطراف وإقليمية وثنائية، وخاصة مع البلدان المجاورة، بما في ذلك عن طريق تعزيز إجراءات وآليات تنسيق تنفيذ مثل هذه الترتيبات بغية تحسين الوقاية والكشف عن المسؤولين عن أي جريمة من الجرائم المنصوص عليها بموجب البروتوكول الاختياري والتحقيق معهم ومحاكمتهم ومعاقبتهم.</w:t>
      </w:r>
    </w:p>
    <w:p w:rsidR="003156AA" w:rsidRPr="00C13B53" w:rsidRDefault="00C13B53" w:rsidP="00C13B53">
      <w:pPr>
        <w:pStyle w:val="H23GA"/>
        <w:rPr>
          <w:rFonts w:hint="cs"/>
          <w:rtl/>
        </w:rPr>
      </w:pPr>
      <w:r>
        <w:rPr>
          <w:rFonts w:hint="cs"/>
          <w:rtl/>
        </w:rPr>
        <w:tab/>
      </w:r>
      <w:r>
        <w:rPr>
          <w:rFonts w:hint="cs"/>
          <w:rtl/>
        </w:rPr>
        <w:tab/>
      </w:r>
      <w:r w:rsidR="003156AA" w:rsidRPr="00C13B53">
        <w:rPr>
          <w:rFonts w:hint="cs"/>
          <w:rtl/>
        </w:rPr>
        <w:t>الأحكام القانونية الأخرى</w:t>
      </w:r>
    </w:p>
    <w:p w:rsidR="003156AA" w:rsidRPr="00C13B53" w:rsidRDefault="003156AA" w:rsidP="00C13B53">
      <w:pPr>
        <w:pStyle w:val="SingleTxtGA"/>
        <w:rPr>
          <w:rFonts w:hint="cs"/>
          <w:b/>
          <w:bCs/>
          <w:rtl/>
        </w:rPr>
      </w:pPr>
      <w:r w:rsidRPr="001B0BF4">
        <w:rPr>
          <w:rFonts w:hint="cs"/>
          <w:rtl/>
        </w:rPr>
        <w:t>47-</w:t>
      </w:r>
      <w:r w:rsidRPr="001B0BF4">
        <w:rPr>
          <w:rFonts w:hint="cs"/>
          <w:rtl/>
        </w:rPr>
        <w:tab/>
      </w:r>
      <w:r w:rsidRPr="00C13B53">
        <w:rPr>
          <w:rFonts w:hint="cs"/>
          <w:b/>
          <w:bCs/>
          <w:rtl/>
        </w:rPr>
        <w:t>تشجع اللجنة الدولة الطرف على التصديق على اتفاقية حقوق الأشخاص ذوي الإعاقة والبروتوكول الاختياري بشأن اشتراك الأطفال في النزاعات المسلحة الذي وقعت عليه بالفعل. وبالإضافة إلى ذلك، تشجع اللجنة الدولة الطرف على التصديق، حسبما أشار إلى ذلك الوفد، على اتفاقية مجلس أوروبا بشأن مكافحة الاتجار في البشر والاتفاقية المتعلقة بحماية الأطفال ضد الاستغلال الجنسي والإيذاء الجنسي، التي وقعت عليها الدولة الطرف في عام 2008.</w:t>
      </w:r>
    </w:p>
    <w:p w:rsidR="003156AA" w:rsidRPr="00C13B53" w:rsidRDefault="00C13B53" w:rsidP="00C13B53">
      <w:pPr>
        <w:pStyle w:val="H1GA"/>
        <w:rPr>
          <w:rFonts w:hint="cs"/>
          <w:rtl/>
        </w:rPr>
      </w:pPr>
      <w:r>
        <w:rPr>
          <w:rFonts w:hint="cs"/>
          <w:rtl/>
        </w:rPr>
        <w:tab/>
      </w:r>
      <w:r w:rsidR="003156AA" w:rsidRPr="00C13B53">
        <w:rPr>
          <w:rFonts w:hint="cs"/>
          <w:rtl/>
        </w:rPr>
        <w:t>ثامنا</w:t>
      </w:r>
      <w:r>
        <w:rPr>
          <w:rFonts w:hint="cs"/>
          <w:rtl/>
        </w:rPr>
        <w:t>ً-</w:t>
      </w:r>
      <w:r>
        <w:rPr>
          <w:rFonts w:hint="cs"/>
          <w:rtl/>
        </w:rPr>
        <w:tab/>
      </w:r>
      <w:r w:rsidR="003156AA" w:rsidRPr="00C13B53">
        <w:rPr>
          <w:rFonts w:hint="cs"/>
          <w:rtl/>
        </w:rPr>
        <w:t>المتابعة والنشر</w:t>
      </w:r>
    </w:p>
    <w:p w:rsidR="003156AA" w:rsidRPr="0017575A" w:rsidRDefault="00C13B53" w:rsidP="00C13B53">
      <w:pPr>
        <w:pStyle w:val="H23GA"/>
        <w:rPr>
          <w:rFonts w:hint="cs"/>
          <w:rtl/>
        </w:rPr>
      </w:pPr>
      <w:r>
        <w:rPr>
          <w:rFonts w:hint="cs"/>
          <w:rtl/>
        </w:rPr>
        <w:tab/>
      </w:r>
      <w:r>
        <w:rPr>
          <w:rFonts w:hint="cs"/>
          <w:rtl/>
        </w:rPr>
        <w:tab/>
      </w:r>
      <w:r w:rsidR="003156AA" w:rsidRPr="0017575A">
        <w:rPr>
          <w:rFonts w:hint="cs"/>
          <w:rtl/>
        </w:rPr>
        <w:t>المتابعة</w:t>
      </w:r>
    </w:p>
    <w:p w:rsidR="003156AA" w:rsidRPr="00BC01B3" w:rsidRDefault="003156AA" w:rsidP="00C13B53">
      <w:pPr>
        <w:pStyle w:val="SingleTxtGA"/>
        <w:rPr>
          <w:rFonts w:hint="cs"/>
          <w:rtl/>
        </w:rPr>
      </w:pPr>
      <w:r>
        <w:rPr>
          <w:rFonts w:hint="cs"/>
          <w:rtl/>
        </w:rPr>
        <w:t>48</w:t>
      </w:r>
      <w:r w:rsidRPr="0017575A">
        <w:rPr>
          <w:rFonts w:hint="cs"/>
          <w:rtl/>
        </w:rPr>
        <w:t>-</w:t>
      </w:r>
      <w:r w:rsidRPr="0017575A">
        <w:rPr>
          <w:rFonts w:hint="cs"/>
          <w:rtl/>
        </w:rPr>
        <w:tab/>
      </w:r>
      <w:r w:rsidRPr="00C13B53">
        <w:rPr>
          <w:rFonts w:hint="cs"/>
          <w:b/>
          <w:bCs/>
          <w:rtl/>
        </w:rPr>
        <w:t xml:space="preserve">توصي اللجنة بأن تتخذ الدولة الطرف جميع التدابير المناسبة لضمان تنفيذ هذه التوصيات تنفيذا كاملا، بطرق من بينها إحالتها إلى الوزارات الحكومية ذات الصلة، وإلى </w:t>
      </w:r>
      <w:r w:rsidRPr="00C13B53">
        <w:rPr>
          <w:b/>
          <w:bCs/>
          <w:rtl/>
        </w:rPr>
        <w:t>الري</w:t>
      </w:r>
      <w:r w:rsidRPr="00C13B53">
        <w:rPr>
          <w:rFonts w:hint="cs"/>
          <w:b/>
          <w:bCs/>
          <w:rtl/>
        </w:rPr>
        <w:t>ج</w:t>
      </w:r>
      <w:r w:rsidRPr="00C13B53">
        <w:rPr>
          <w:b/>
          <w:bCs/>
          <w:rtl/>
        </w:rPr>
        <w:t xml:space="preserve">يكوغو </w:t>
      </w:r>
      <w:r w:rsidRPr="00C13B53">
        <w:rPr>
          <w:rFonts w:hint="cs"/>
          <w:b/>
          <w:bCs/>
          <w:rtl/>
        </w:rPr>
        <w:t>والسلطات الوطنية والمحلية للنظر فيها على النحو الملائم واتخاذ المزيد من الإجراءات بشأنها.</w:t>
      </w:r>
    </w:p>
    <w:p w:rsidR="003156AA" w:rsidRPr="00C13B53" w:rsidRDefault="00C13B53" w:rsidP="00C13B53">
      <w:pPr>
        <w:pStyle w:val="H23GA"/>
        <w:rPr>
          <w:rFonts w:hint="cs"/>
          <w:rtl/>
        </w:rPr>
      </w:pPr>
      <w:r>
        <w:rPr>
          <w:rFonts w:hint="cs"/>
          <w:rtl/>
        </w:rPr>
        <w:tab/>
      </w:r>
      <w:r>
        <w:rPr>
          <w:rFonts w:hint="cs"/>
          <w:rtl/>
        </w:rPr>
        <w:tab/>
      </w:r>
      <w:r w:rsidR="003156AA" w:rsidRPr="00C13B53">
        <w:rPr>
          <w:rFonts w:hint="cs"/>
          <w:rtl/>
        </w:rPr>
        <w:t>النشر</w:t>
      </w:r>
    </w:p>
    <w:p w:rsidR="003156AA" w:rsidRPr="0017575A" w:rsidRDefault="003156AA" w:rsidP="00C13B53">
      <w:pPr>
        <w:pStyle w:val="SingleTxtGA"/>
        <w:rPr>
          <w:rFonts w:hint="cs"/>
          <w:rtl/>
        </w:rPr>
      </w:pPr>
      <w:r>
        <w:rPr>
          <w:rFonts w:hint="cs"/>
          <w:rtl/>
        </w:rPr>
        <w:t>49</w:t>
      </w:r>
      <w:r w:rsidRPr="0017575A">
        <w:rPr>
          <w:rFonts w:hint="cs"/>
          <w:rtl/>
        </w:rPr>
        <w:t>-</w:t>
      </w:r>
      <w:r w:rsidRPr="0017575A">
        <w:rPr>
          <w:rFonts w:hint="cs"/>
          <w:rtl/>
        </w:rPr>
        <w:tab/>
      </w:r>
      <w:r w:rsidRPr="00C13B53">
        <w:rPr>
          <w:rFonts w:hint="cs"/>
          <w:b/>
          <w:bCs/>
          <w:rtl/>
        </w:rPr>
        <w:t>توصي اللجنة بأن يتاح التقرير والردود الخطية المقدمة من الدولة الطرف والتوصيات ذات الصلة (الملاحظات الختامية) التي اعتمدتها اللجنة على نطاق واسع، بما في ذلك عن طريق الانترنت (على سبيل المثال لا</w:t>
      </w:r>
      <w:r w:rsidRPr="00C13B53">
        <w:rPr>
          <w:rFonts w:hint="eastAsia"/>
          <w:b/>
          <w:bCs/>
          <w:rtl/>
        </w:rPr>
        <w:t> </w:t>
      </w:r>
      <w:r w:rsidRPr="00C13B53">
        <w:rPr>
          <w:rFonts w:hint="cs"/>
          <w:b/>
          <w:bCs/>
          <w:rtl/>
        </w:rPr>
        <w:t>الحصر)، لعامة الجمهور، ومنظمات المجتمع المدني، ووسائل الإعلام، ومجموعات الشباب، والفئات المهنية والأطفال بهدف إثارة النقاش حول البروتوكول الاختياري وزيادة الوعي به، وتنفيذ أحكامه ورصد تطبيقه. وبالإضافة إلى ذلك، توصي بأن تجعل الدولة الطرف البروتوكول الاختياري معروفا على نطاق واسع لدى الأطفال وآباؤهم من خلال جملة أمور منها المناهج الدراسية والتثقي</w:t>
      </w:r>
      <w:r w:rsidRPr="00C13B53">
        <w:rPr>
          <w:rFonts w:hint="eastAsia"/>
          <w:b/>
          <w:bCs/>
          <w:rtl/>
        </w:rPr>
        <w:t>ف</w:t>
      </w:r>
      <w:r w:rsidRPr="00C13B53">
        <w:rPr>
          <w:rFonts w:hint="cs"/>
          <w:b/>
          <w:bCs/>
          <w:rtl/>
        </w:rPr>
        <w:t xml:space="preserve"> في ميدان حقوق الإنسان.</w:t>
      </w:r>
    </w:p>
    <w:p w:rsidR="003156AA" w:rsidRPr="00C13B53" w:rsidRDefault="00C13B53" w:rsidP="00C13B53">
      <w:pPr>
        <w:pStyle w:val="H1GA"/>
        <w:rPr>
          <w:rFonts w:hint="cs"/>
          <w:rtl/>
        </w:rPr>
      </w:pPr>
      <w:r>
        <w:rPr>
          <w:rFonts w:hint="cs"/>
          <w:rtl/>
        </w:rPr>
        <w:tab/>
      </w:r>
      <w:r w:rsidR="003156AA" w:rsidRPr="00C13B53">
        <w:rPr>
          <w:rFonts w:hint="cs"/>
          <w:rtl/>
        </w:rPr>
        <w:t>تاسعا</w:t>
      </w:r>
      <w:r>
        <w:rPr>
          <w:rFonts w:hint="cs"/>
          <w:rtl/>
        </w:rPr>
        <w:t>ً</w:t>
      </w:r>
      <w:r w:rsidR="003156AA" w:rsidRPr="00C13B53">
        <w:rPr>
          <w:rFonts w:hint="cs"/>
          <w:rtl/>
        </w:rPr>
        <w:t>-</w:t>
      </w:r>
      <w:r w:rsidR="003156AA" w:rsidRPr="00C13B53">
        <w:rPr>
          <w:rFonts w:hint="cs"/>
          <w:rtl/>
        </w:rPr>
        <w:tab/>
        <w:t>التقرير القادم</w:t>
      </w:r>
    </w:p>
    <w:p w:rsidR="007E2D36" w:rsidRPr="00C13B53" w:rsidRDefault="003156AA" w:rsidP="003156AA">
      <w:pPr>
        <w:pStyle w:val="SingleTxtGA"/>
        <w:rPr>
          <w:rFonts w:hint="cs"/>
          <w:b/>
          <w:bCs/>
          <w:rtl/>
        </w:rPr>
      </w:pPr>
      <w:r w:rsidRPr="00C13B53">
        <w:rPr>
          <w:rFonts w:hint="cs"/>
          <w:b/>
          <w:bCs/>
          <w:spacing w:val="6"/>
          <w:sz w:val="22"/>
          <w:rtl/>
        </w:rPr>
        <w:t>50-</w:t>
      </w:r>
      <w:r w:rsidRPr="00C13B53">
        <w:rPr>
          <w:rFonts w:hint="cs"/>
          <w:b/>
          <w:bCs/>
          <w:spacing w:val="6"/>
          <w:sz w:val="22"/>
          <w:rtl/>
        </w:rPr>
        <w:tab/>
        <w:t>تطلب اللجنة إلى الدولة الطرف، وفقا للفقرة 2 من المادة 12، أن تدرج معلومات إضافية بشأن تنفيذ البروتوكول الاختياري في تقريرها الدوري القادم في إطار اتفاقية حقوق الطفل، وفقا للمادة 44 من الاتفاقية.</w:t>
      </w:r>
      <w:r w:rsidR="007E2D36" w:rsidRPr="00C13B53">
        <w:rPr>
          <w:rFonts w:hint="cs"/>
          <w:b/>
          <w:bCs/>
          <w:rtl/>
        </w:rPr>
        <w:t xml:space="preserve"> </w:t>
      </w:r>
    </w:p>
    <w:p w:rsidR="00E71A16" w:rsidRPr="00B556C3" w:rsidRDefault="00E71A16" w:rsidP="00E71A16">
      <w:pPr>
        <w:spacing w:before="120"/>
        <w:jc w:val="center"/>
        <w:rPr>
          <w:rFonts w:hint="cs"/>
          <w:u w:val="single"/>
          <w:rtl/>
        </w:rPr>
      </w:pPr>
      <w:r>
        <w:rPr>
          <w:u w:val="single"/>
          <w:rtl/>
        </w:rPr>
        <w:tab/>
      </w:r>
      <w:r>
        <w:rPr>
          <w:u w:val="single"/>
          <w:rtl/>
        </w:rPr>
        <w:tab/>
      </w:r>
      <w:r>
        <w:rPr>
          <w:u w:val="single"/>
          <w:rtl/>
        </w:rPr>
        <w:tab/>
      </w:r>
    </w:p>
    <w:sectPr w:rsidR="00E71A16" w:rsidRPr="00B556C3" w:rsidSect="00715F45">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00" w:rsidRPr="00FE6865" w:rsidRDefault="00325D00" w:rsidP="00FE6865">
      <w:pPr>
        <w:pStyle w:val="Footer"/>
      </w:pPr>
    </w:p>
  </w:endnote>
  <w:endnote w:type="continuationSeparator" w:id="0">
    <w:p w:rsidR="00325D00" w:rsidRDefault="0032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38" w:rsidRPr="006854A6" w:rsidRDefault="00500C9E" w:rsidP="00CA3480">
    <w:pPr>
      <w:pStyle w:val="Footer"/>
      <w:tabs>
        <w:tab w:val="right" w:pos="9598"/>
      </w:tabs>
      <w:rPr>
        <w:szCs w:val="16"/>
      </w:rPr>
    </w:pPr>
    <w:r w:rsidRPr="00500C9E">
      <w:rPr>
        <w:szCs w:val="16"/>
      </w:rPr>
      <w:t>GE.</w:t>
    </w:r>
    <w:r w:rsidR="009E3D21" w:rsidRPr="009E3D21">
      <w:rPr>
        <w:szCs w:val="16"/>
      </w:rPr>
      <w:t>10-</w:t>
    </w:r>
    <w:r w:rsidR="00CA3480" w:rsidRPr="00CA3480">
      <w:rPr>
        <w:szCs w:val="16"/>
      </w:rPr>
      <w:t>41083    (EXT)</w:t>
    </w:r>
    <w:r w:rsidR="006854A6">
      <w:rPr>
        <w:szCs w:val="16"/>
      </w:rPr>
      <w:tab/>
    </w:r>
    <w:r>
      <w:rPr>
        <w:rStyle w:val="PageNumber"/>
      </w:rPr>
      <w:fldChar w:fldCharType="begin"/>
    </w:r>
    <w:r>
      <w:rPr>
        <w:rStyle w:val="PageNumber"/>
      </w:rPr>
      <w:instrText xml:space="preserve"> PAGE </w:instrText>
    </w:r>
    <w:r>
      <w:rPr>
        <w:rStyle w:val="PageNumber"/>
      </w:rPr>
      <w:fldChar w:fldCharType="separate"/>
    </w:r>
    <w:r w:rsidR="002454D3">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38" w:rsidRPr="006854A6" w:rsidRDefault="00500C9E" w:rsidP="007966AF">
    <w:pPr>
      <w:pStyle w:val="Footer"/>
      <w:tabs>
        <w:tab w:val="right" w:pos="9598"/>
      </w:tabs>
      <w:rPr>
        <w:bCs/>
        <w:szCs w:val="16"/>
      </w:rPr>
    </w:pPr>
    <w:r>
      <w:rPr>
        <w:rStyle w:val="PageNumber"/>
      </w:rPr>
      <w:fldChar w:fldCharType="begin"/>
    </w:r>
    <w:r>
      <w:rPr>
        <w:rStyle w:val="PageNumber"/>
      </w:rPr>
      <w:instrText xml:space="preserve"> PAGE </w:instrText>
    </w:r>
    <w:r>
      <w:rPr>
        <w:rStyle w:val="PageNumber"/>
      </w:rPr>
      <w:fldChar w:fldCharType="separate"/>
    </w:r>
    <w:r w:rsidR="002454D3">
      <w:rPr>
        <w:rStyle w:val="PageNumber"/>
        <w:noProof/>
      </w:rPr>
      <w:t>13</w:t>
    </w:r>
    <w:r>
      <w:rPr>
        <w:rStyle w:val="PageNumber"/>
      </w:rPr>
      <w:fldChar w:fldCharType="end"/>
    </w:r>
    <w:r w:rsidR="006854A6">
      <w:rPr>
        <w:bCs/>
        <w:sz w:val="20"/>
        <w:szCs w:val="20"/>
      </w:rPr>
      <w:tab/>
    </w:r>
    <w:r w:rsidRPr="006854A6">
      <w:rPr>
        <w:szCs w:val="16"/>
      </w:rPr>
      <w:t>GE.</w:t>
    </w:r>
    <w:r w:rsidR="009E3D21" w:rsidRPr="009E3D21">
      <w:rPr>
        <w:szCs w:val="16"/>
      </w:rPr>
      <w:t>10-</w:t>
    </w:r>
    <w:r w:rsidR="007966AF" w:rsidRPr="00CA3480">
      <w:rPr>
        <w:szCs w:val="16"/>
      </w:rPr>
      <w:t>41083    (EXT)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38" w:rsidRPr="00231E54" w:rsidRDefault="00461438" w:rsidP="00CA3480">
    <w:pPr>
      <w:pStyle w:val="Footer"/>
      <w:jc w:val="right"/>
      <w:rPr>
        <w:sz w:val="20"/>
        <w:szCs w:val="20"/>
      </w:rPr>
    </w:pPr>
    <w:r w:rsidRPr="00231E5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52.55pt;width:91.5pt;height:25.5pt;z-index:-1;mso-position-vertical-relative:page" wrapcoords="-177 0 -177 20965 21600 20965 21600 0 -177 0" o:allowincell="f">
          <v:imagedata r:id="rId1" o:title="PleaseRecycleArabic"/>
          <w10:wrap type="square" anchory="page"/>
        </v:shape>
      </w:pict>
    </w:r>
    <w:r w:rsidRPr="00E63928">
      <w:rPr>
        <w:sz w:val="20"/>
        <w:szCs w:val="20"/>
      </w:rPr>
      <w:t>GE.</w:t>
    </w:r>
    <w:r w:rsidR="007966AF">
      <w:rPr>
        <w:sz w:val="20"/>
        <w:szCs w:val="20"/>
      </w:rPr>
      <w:t>10-</w:t>
    </w:r>
    <w:r w:rsidR="00CA3480" w:rsidRPr="00CA3480">
      <w:rPr>
        <w:sz w:val="20"/>
        <w:szCs w:val="20"/>
      </w:rPr>
      <w:t>41083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00" w:rsidRDefault="00325D00" w:rsidP="007E4686">
      <w:pPr>
        <w:pStyle w:val="Footer"/>
        <w:bidi/>
        <w:spacing w:after="80" w:line="200" w:lineRule="exact"/>
        <w:ind w:left="680"/>
      </w:pPr>
      <w:r>
        <w:rPr>
          <w:rFonts w:hint="cs"/>
          <w:rtl/>
        </w:rPr>
        <w:t>__________</w:t>
      </w:r>
    </w:p>
  </w:footnote>
  <w:footnote w:type="continuationSeparator" w:id="0">
    <w:p w:rsidR="00325D00" w:rsidRDefault="00325D00"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38" w:rsidRPr="00AC0031" w:rsidRDefault="00D0246C" w:rsidP="00D0246C">
    <w:pPr>
      <w:pStyle w:val="Header"/>
      <w:jc w:val="right"/>
    </w:pPr>
    <w:r w:rsidRPr="00D0246C">
      <w:t>C</w:t>
    </w:r>
    <w:r w:rsidR="002454D3">
      <w:t>RC</w:t>
    </w:r>
    <w:r w:rsidRPr="00D0246C">
      <w:t>/</w:t>
    </w:r>
    <w:r w:rsidR="002454D3">
      <w:t>C/</w:t>
    </w:r>
    <w:r w:rsidRPr="00D0246C">
      <w:t>OPSC/EST/CO/1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38" w:rsidRPr="00AC0031" w:rsidRDefault="00D0246C" w:rsidP="00D0246C">
    <w:pPr>
      <w:pStyle w:val="Header"/>
      <w:jc w:val="left"/>
    </w:pPr>
    <w:r w:rsidRPr="00D0246C">
      <w:t>C</w:t>
    </w:r>
    <w:r w:rsidR="002454D3">
      <w:t>RC/C</w:t>
    </w:r>
    <w:r w:rsidRPr="00D0246C">
      <w:t>/OPSC/EST/CO/1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38" w:rsidRDefault="0046143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style="mso-next-textbox:#_x0000_s2053" inset="0,0,0,0">
            <w:txbxContent>
              <w:p w:rsidR="00461438" w:rsidRPr="008F6743" w:rsidRDefault="00461438" w:rsidP="003208A9">
                <w:pPr>
                  <w:spacing w:before="120" w:line="600" w:lineRule="exact"/>
                  <w:suppressOverlap/>
                  <w:jc w:val="left"/>
                  <w:rPr>
                    <w:rFonts w:hint="cs"/>
                    <w:sz w:val="60"/>
                    <w:szCs w:val="60"/>
                  </w:rPr>
                </w:pPr>
                <w:r w:rsidRPr="008F6743">
                  <w:rPr>
                    <w:b/>
                    <w:bCs/>
                    <w:sz w:val="60"/>
                    <w:szCs w:val="60"/>
                    <w:rtl/>
                  </w:rPr>
                  <w:t>ا</w:t>
                </w:r>
                <w:r>
                  <w:rPr>
                    <w:rFonts w:hint="cs"/>
                    <w:b/>
                    <w:bCs/>
                    <w:sz w:val="60"/>
                    <w:szCs w:val="60"/>
                    <w:rtl/>
                  </w:rPr>
                  <w:t xml:space="preserve">تفاقية </w:t>
                </w:r>
                <w:r w:rsidRPr="0077724B">
                  <w:rPr>
                    <w:b/>
                    <w:bCs/>
                    <w:sz w:val="60"/>
                    <w:szCs w:val="60"/>
                    <w:rtl/>
                  </w:rPr>
                  <w:t>ح</w:t>
                </w:r>
                <w:r w:rsidR="003156AA">
                  <w:rPr>
                    <w:rFonts w:hint="cs"/>
                    <w:b/>
                    <w:bCs/>
                    <w:sz w:val="60"/>
                    <w:szCs w:val="60"/>
                    <w:rtl/>
                  </w:rPr>
                  <w:t>ـ</w:t>
                </w:r>
                <w:r w:rsidR="003208A9">
                  <w:rPr>
                    <w:rFonts w:hint="cs"/>
                    <w:b/>
                    <w:bCs/>
                    <w:sz w:val="60"/>
                    <w:szCs w:val="60"/>
                    <w:rtl/>
                  </w:rPr>
                  <w:t>ق</w:t>
                </w:r>
                <w:r w:rsidRPr="0077724B">
                  <w:rPr>
                    <w:b/>
                    <w:bCs/>
                    <w:sz w:val="60"/>
                    <w:szCs w:val="60"/>
                    <w:rtl/>
                  </w:rPr>
                  <w:t xml:space="preserve">وق </w:t>
                </w:r>
                <w:r>
                  <w:rPr>
                    <w:rFonts w:hint="cs"/>
                    <w:b/>
                    <w:bCs/>
                    <w:sz w:val="60"/>
                    <w:szCs w:val="60"/>
                    <w:rtl/>
                  </w:rPr>
                  <w:br/>
                </w:r>
                <w:r w:rsidRPr="0077724B">
                  <w:rPr>
                    <w:b/>
                    <w:bCs/>
                    <w:sz w:val="60"/>
                    <w:szCs w:val="60"/>
                    <w:rtl/>
                  </w:rPr>
                  <w:t>الطف</w:t>
                </w:r>
                <w:r>
                  <w:rPr>
                    <w:rFonts w:hint="cs"/>
                    <w:b/>
                    <w:bCs/>
                    <w:sz w:val="60"/>
                    <w:szCs w:val="60"/>
                    <w:rtl/>
                  </w:rPr>
                  <w:t>ــ</w:t>
                </w:r>
                <w:r w:rsidRPr="0077724B">
                  <w:rPr>
                    <w:b/>
                    <w:bCs/>
                    <w:sz w:val="60"/>
                    <w:szCs w:val="60"/>
                    <w:rtl/>
                  </w:rPr>
                  <w:t>ل</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B0C5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D138A"/>
    <w:multiLevelType w:val="hybridMultilevel"/>
    <w:tmpl w:val="76344600"/>
    <w:lvl w:ilvl="0" w:tplc="85521E9A">
      <w:start w:val="1"/>
      <w:numFmt w:val="decimal"/>
      <w:lvlRestart w:val="0"/>
      <w:pStyle w:val="SingleTxtG"/>
      <w:lvlText w:val="(%1)"/>
      <w:lvlJc w:val="left"/>
      <w:pPr>
        <w:tabs>
          <w:tab w:val="num" w:pos="72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851AF4"/>
    <w:multiLevelType w:val="hybridMultilevel"/>
    <w:tmpl w:val="DAE891C4"/>
    <w:lvl w:ilvl="0" w:tplc="810655FA">
      <w:start w:val="1"/>
      <w:numFmt w:val="bullet"/>
      <w:pStyle w:val="Bullet1GA"/>
      <w:lvlText w:val=""/>
      <w:lvlJc w:val="left"/>
      <w:pPr>
        <w:tabs>
          <w:tab w:val="num" w:pos="2017"/>
        </w:tabs>
        <w:ind w:left="2017" w:hanging="397"/>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4">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B3F49C6"/>
    <w:multiLevelType w:val="singleLevel"/>
    <w:tmpl w:val="E94C9216"/>
    <w:lvl w:ilvl="0">
      <w:start w:val="1"/>
      <w:numFmt w:val="lowerRoman"/>
      <w:pStyle w:val="BodyText3"/>
      <w:lvlText w:val="(%1)"/>
      <w:lvlJc w:val="right"/>
      <w:pPr>
        <w:tabs>
          <w:tab w:val="num" w:pos="516"/>
        </w:tabs>
        <w:ind w:left="516" w:hanging="516"/>
      </w:pPr>
    </w:lvl>
  </w:abstractNum>
  <w:abstractNum w:abstractNumId="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nsid w:val="5A786EF6"/>
    <w:multiLevelType w:val="hybridMultilevel"/>
    <w:tmpl w:val="D6062AF4"/>
    <w:lvl w:ilvl="0" w:tplc="FFFFFFFF">
      <w:start w:val="1"/>
      <w:numFmt w:val="lowerLetter"/>
      <w:lvlText w:val="%1)"/>
      <w:lvlJc w:val="left"/>
      <w:pPr>
        <w:tabs>
          <w:tab w:val="num" w:pos="683"/>
        </w:tabs>
        <w:ind w:left="683" w:hanging="284"/>
      </w:pPr>
      <w:rPr>
        <w:rFonts w:cs="Times New Roman" w:hint="default"/>
        <w:b/>
        <w:bCs/>
      </w:rPr>
    </w:lvl>
    <w:lvl w:ilvl="1" w:tplc="FFFFFFFF">
      <w:start w:val="1"/>
      <w:numFmt w:val="lowerLetter"/>
      <w:lvlText w:val="%2."/>
      <w:lvlJc w:val="left"/>
      <w:pPr>
        <w:tabs>
          <w:tab w:val="num" w:pos="1839"/>
        </w:tabs>
        <w:ind w:left="1839" w:hanging="360"/>
      </w:pPr>
      <w:rPr>
        <w:rFonts w:cs="Times New Roman"/>
      </w:rPr>
    </w:lvl>
    <w:lvl w:ilvl="2" w:tplc="FFFFFFFF">
      <w:start w:val="7"/>
      <w:numFmt w:val="decimal"/>
      <w:lvlText w:val="%3."/>
      <w:lvlJc w:val="left"/>
      <w:pPr>
        <w:tabs>
          <w:tab w:val="num" w:pos="3600"/>
        </w:tabs>
        <w:ind w:left="3600" w:hanging="360"/>
      </w:pPr>
      <w:rPr>
        <w:rFonts w:cs="Times New Roman" w:hint="default"/>
      </w:rPr>
    </w:lvl>
    <w:lvl w:ilvl="3" w:tplc="FFFFFFFF">
      <w:start w:val="1"/>
      <w:numFmt w:val="decimal"/>
      <w:lvlText w:val="%4."/>
      <w:lvlJc w:val="left"/>
      <w:pPr>
        <w:tabs>
          <w:tab w:val="num" w:pos="3279"/>
        </w:tabs>
        <w:ind w:left="3279" w:hanging="360"/>
      </w:pPr>
      <w:rPr>
        <w:rFonts w:cs="Times New Roman"/>
      </w:rPr>
    </w:lvl>
    <w:lvl w:ilvl="4" w:tplc="FFFFFFFF" w:tentative="1">
      <w:start w:val="1"/>
      <w:numFmt w:val="lowerLetter"/>
      <w:lvlText w:val="%5."/>
      <w:lvlJc w:val="left"/>
      <w:pPr>
        <w:tabs>
          <w:tab w:val="num" w:pos="3999"/>
        </w:tabs>
        <w:ind w:left="3999" w:hanging="360"/>
      </w:pPr>
      <w:rPr>
        <w:rFonts w:cs="Times New Roman"/>
      </w:rPr>
    </w:lvl>
    <w:lvl w:ilvl="5" w:tplc="FFFFFFFF" w:tentative="1">
      <w:start w:val="1"/>
      <w:numFmt w:val="lowerRoman"/>
      <w:lvlText w:val="%6."/>
      <w:lvlJc w:val="right"/>
      <w:pPr>
        <w:tabs>
          <w:tab w:val="num" w:pos="4719"/>
        </w:tabs>
        <w:ind w:left="4719" w:hanging="180"/>
      </w:pPr>
      <w:rPr>
        <w:rFonts w:cs="Times New Roman"/>
      </w:rPr>
    </w:lvl>
    <w:lvl w:ilvl="6" w:tplc="FFFFFFFF" w:tentative="1">
      <w:start w:val="1"/>
      <w:numFmt w:val="decimal"/>
      <w:lvlText w:val="%7."/>
      <w:lvlJc w:val="left"/>
      <w:pPr>
        <w:tabs>
          <w:tab w:val="num" w:pos="5439"/>
        </w:tabs>
        <w:ind w:left="5439" w:hanging="360"/>
      </w:pPr>
      <w:rPr>
        <w:rFonts w:cs="Times New Roman"/>
      </w:rPr>
    </w:lvl>
    <w:lvl w:ilvl="7" w:tplc="FFFFFFFF" w:tentative="1">
      <w:start w:val="1"/>
      <w:numFmt w:val="lowerLetter"/>
      <w:lvlText w:val="%8."/>
      <w:lvlJc w:val="left"/>
      <w:pPr>
        <w:tabs>
          <w:tab w:val="num" w:pos="6159"/>
        </w:tabs>
        <w:ind w:left="6159" w:hanging="360"/>
      </w:pPr>
      <w:rPr>
        <w:rFonts w:cs="Times New Roman"/>
      </w:rPr>
    </w:lvl>
    <w:lvl w:ilvl="8" w:tplc="FFFFFFFF" w:tentative="1">
      <w:start w:val="1"/>
      <w:numFmt w:val="lowerRoman"/>
      <w:lvlText w:val="%9."/>
      <w:lvlJc w:val="right"/>
      <w:pPr>
        <w:tabs>
          <w:tab w:val="num" w:pos="6879"/>
        </w:tabs>
        <w:ind w:left="6879" w:hanging="180"/>
      </w:pPr>
      <w:rPr>
        <w:rFonts w:cs="Times New Roman"/>
      </w:rPr>
    </w:lvl>
  </w:abstractNum>
  <w:abstractNum w:abstractNumId="1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5"/>
  </w:num>
  <w:num w:numId="3">
    <w:abstractNumId w:val="10"/>
  </w:num>
  <w:num w:numId="4">
    <w:abstractNumId w:val="8"/>
  </w:num>
  <w:num w:numId="5">
    <w:abstractNumId w:val="7"/>
  </w:num>
  <w:num w:numId="6">
    <w:abstractNumId w:val="7"/>
  </w:num>
  <w:num w:numId="7">
    <w:abstractNumId w:val="4"/>
  </w:num>
  <w:num w:numId="8">
    <w:abstractNumId w:val="11"/>
  </w:num>
  <w:num w:numId="9">
    <w:abstractNumId w:val="8"/>
  </w:num>
  <w:num w:numId="10">
    <w:abstractNumId w:val="3"/>
  </w:num>
  <w:num w:numId="11">
    <w:abstractNumId w:val="0"/>
  </w:num>
  <w:num w:numId="12">
    <w:abstractNumId w:val="1"/>
  </w:num>
  <w:num w:numId="13">
    <w:abstractNumId w:val="2"/>
  </w:num>
  <w:num w:numId="14">
    <w:abstractNumId w:val="6"/>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numFmt w:val="chicago"/>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476"/>
    <w:rsid w:val="0000381E"/>
    <w:rsid w:val="00003A06"/>
    <w:rsid w:val="00003E92"/>
    <w:rsid w:val="00004104"/>
    <w:rsid w:val="00004982"/>
    <w:rsid w:val="000125EC"/>
    <w:rsid w:val="00013119"/>
    <w:rsid w:val="00014C6D"/>
    <w:rsid w:val="00015D9F"/>
    <w:rsid w:val="000206CE"/>
    <w:rsid w:val="00020A56"/>
    <w:rsid w:val="00021CB1"/>
    <w:rsid w:val="00033642"/>
    <w:rsid w:val="00040E25"/>
    <w:rsid w:val="00042149"/>
    <w:rsid w:val="000454C7"/>
    <w:rsid w:val="0004748B"/>
    <w:rsid w:val="000510B7"/>
    <w:rsid w:val="00053786"/>
    <w:rsid w:val="000538F4"/>
    <w:rsid w:val="0005541D"/>
    <w:rsid w:val="00055839"/>
    <w:rsid w:val="000622B2"/>
    <w:rsid w:val="000648EA"/>
    <w:rsid w:val="0006641A"/>
    <w:rsid w:val="0007089A"/>
    <w:rsid w:val="000715EE"/>
    <w:rsid w:val="0007198E"/>
    <w:rsid w:val="00073FDF"/>
    <w:rsid w:val="00074470"/>
    <w:rsid w:val="000759AC"/>
    <w:rsid w:val="000803A7"/>
    <w:rsid w:val="000822E2"/>
    <w:rsid w:val="00083623"/>
    <w:rsid w:val="00084955"/>
    <w:rsid w:val="00090951"/>
    <w:rsid w:val="00091178"/>
    <w:rsid w:val="00092A45"/>
    <w:rsid w:val="00095237"/>
    <w:rsid w:val="000957C8"/>
    <w:rsid w:val="00097049"/>
    <w:rsid w:val="000A043B"/>
    <w:rsid w:val="000A04D5"/>
    <w:rsid w:val="000A4B0A"/>
    <w:rsid w:val="000B517D"/>
    <w:rsid w:val="000B52F2"/>
    <w:rsid w:val="000C0CE9"/>
    <w:rsid w:val="000C2ACF"/>
    <w:rsid w:val="000C47C1"/>
    <w:rsid w:val="000C5892"/>
    <w:rsid w:val="000C6DB3"/>
    <w:rsid w:val="000D0EAE"/>
    <w:rsid w:val="000D3AFC"/>
    <w:rsid w:val="000D5380"/>
    <w:rsid w:val="000D6654"/>
    <w:rsid w:val="000D6F20"/>
    <w:rsid w:val="000D7106"/>
    <w:rsid w:val="000E103D"/>
    <w:rsid w:val="000E637B"/>
    <w:rsid w:val="000E7D1A"/>
    <w:rsid w:val="000F0264"/>
    <w:rsid w:val="000F2EBF"/>
    <w:rsid w:val="000F3A9F"/>
    <w:rsid w:val="000F4246"/>
    <w:rsid w:val="000F4A33"/>
    <w:rsid w:val="000F5FF6"/>
    <w:rsid w:val="000F799F"/>
    <w:rsid w:val="000F7A14"/>
    <w:rsid w:val="00101630"/>
    <w:rsid w:val="00101FA0"/>
    <w:rsid w:val="001022B5"/>
    <w:rsid w:val="001040DC"/>
    <w:rsid w:val="00105B66"/>
    <w:rsid w:val="001060BA"/>
    <w:rsid w:val="00107022"/>
    <w:rsid w:val="00113287"/>
    <w:rsid w:val="0011358C"/>
    <w:rsid w:val="001138EF"/>
    <w:rsid w:val="00113FA5"/>
    <w:rsid w:val="001145F0"/>
    <w:rsid w:val="0011467F"/>
    <w:rsid w:val="00117A89"/>
    <w:rsid w:val="00125064"/>
    <w:rsid w:val="00125D01"/>
    <w:rsid w:val="00131494"/>
    <w:rsid w:val="00134147"/>
    <w:rsid w:val="00136E75"/>
    <w:rsid w:val="00140DBA"/>
    <w:rsid w:val="00143426"/>
    <w:rsid w:val="001455A0"/>
    <w:rsid w:val="00145D5E"/>
    <w:rsid w:val="00151024"/>
    <w:rsid w:val="00153C40"/>
    <w:rsid w:val="00155B21"/>
    <w:rsid w:val="00155D2C"/>
    <w:rsid w:val="00157052"/>
    <w:rsid w:val="001602A3"/>
    <w:rsid w:val="00160CD0"/>
    <w:rsid w:val="00171073"/>
    <w:rsid w:val="0017109C"/>
    <w:rsid w:val="001724DC"/>
    <w:rsid w:val="00173676"/>
    <w:rsid w:val="00175834"/>
    <w:rsid w:val="00181F86"/>
    <w:rsid w:val="00182E96"/>
    <w:rsid w:val="00183D4A"/>
    <w:rsid w:val="001866A9"/>
    <w:rsid w:val="001879C6"/>
    <w:rsid w:val="001A5161"/>
    <w:rsid w:val="001A51A7"/>
    <w:rsid w:val="001A5B39"/>
    <w:rsid w:val="001A60BD"/>
    <w:rsid w:val="001A6D1D"/>
    <w:rsid w:val="001B1F60"/>
    <w:rsid w:val="001B6A5D"/>
    <w:rsid w:val="001C453E"/>
    <w:rsid w:val="001C6D53"/>
    <w:rsid w:val="001D0CEC"/>
    <w:rsid w:val="001D4474"/>
    <w:rsid w:val="001D7518"/>
    <w:rsid w:val="001E1A32"/>
    <w:rsid w:val="001E2319"/>
    <w:rsid w:val="001E48F5"/>
    <w:rsid w:val="001F7719"/>
    <w:rsid w:val="00202FE6"/>
    <w:rsid w:val="00206492"/>
    <w:rsid w:val="002105B3"/>
    <w:rsid w:val="0021110E"/>
    <w:rsid w:val="002129FD"/>
    <w:rsid w:val="002208FF"/>
    <w:rsid w:val="00223C46"/>
    <w:rsid w:val="002258AA"/>
    <w:rsid w:val="00225B26"/>
    <w:rsid w:val="00226B42"/>
    <w:rsid w:val="00227193"/>
    <w:rsid w:val="00227DE5"/>
    <w:rsid w:val="00231E54"/>
    <w:rsid w:val="00232277"/>
    <w:rsid w:val="00234F3C"/>
    <w:rsid w:val="00235B19"/>
    <w:rsid w:val="00235FC8"/>
    <w:rsid w:val="0023736D"/>
    <w:rsid w:val="002374FB"/>
    <w:rsid w:val="0024024F"/>
    <w:rsid w:val="0024465D"/>
    <w:rsid w:val="002454D3"/>
    <w:rsid w:val="00246CAC"/>
    <w:rsid w:val="002470C2"/>
    <w:rsid w:val="00247C5C"/>
    <w:rsid w:val="00250848"/>
    <w:rsid w:val="002511EB"/>
    <w:rsid w:val="0025161C"/>
    <w:rsid w:val="00256ECB"/>
    <w:rsid w:val="00257225"/>
    <w:rsid w:val="00272342"/>
    <w:rsid w:val="00274C15"/>
    <w:rsid w:val="0027503D"/>
    <w:rsid w:val="002751D4"/>
    <w:rsid w:val="0027636F"/>
    <w:rsid w:val="0028035B"/>
    <w:rsid w:val="00281A60"/>
    <w:rsid w:val="002849AA"/>
    <w:rsid w:val="00284AD4"/>
    <w:rsid w:val="00287309"/>
    <w:rsid w:val="00287B24"/>
    <w:rsid w:val="00290140"/>
    <w:rsid w:val="0029372D"/>
    <w:rsid w:val="002975B5"/>
    <w:rsid w:val="002A0AB3"/>
    <w:rsid w:val="002A0D55"/>
    <w:rsid w:val="002B11C0"/>
    <w:rsid w:val="002B1B0C"/>
    <w:rsid w:val="002B6C47"/>
    <w:rsid w:val="002C3D08"/>
    <w:rsid w:val="002D119F"/>
    <w:rsid w:val="002D3B16"/>
    <w:rsid w:val="002E031E"/>
    <w:rsid w:val="002E0AC3"/>
    <w:rsid w:val="002E1295"/>
    <w:rsid w:val="002E2044"/>
    <w:rsid w:val="002E2569"/>
    <w:rsid w:val="002E393C"/>
    <w:rsid w:val="002E4F6C"/>
    <w:rsid w:val="002F24E8"/>
    <w:rsid w:val="002F33AF"/>
    <w:rsid w:val="002F3FCB"/>
    <w:rsid w:val="003054D4"/>
    <w:rsid w:val="00305B30"/>
    <w:rsid w:val="00306728"/>
    <w:rsid w:val="00310160"/>
    <w:rsid w:val="003105A8"/>
    <w:rsid w:val="003156AA"/>
    <w:rsid w:val="003208A9"/>
    <w:rsid w:val="00324368"/>
    <w:rsid w:val="00325D00"/>
    <w:rsid w:val="00326F2F"/>
    <w:rsid w:val="00327FF6"/>
    <w:rsid w:val="0033173C"/>
    <w:rsid w:val="003347AC"/>
    <w:rsid w:val="003351EB"/>
    <w:rsid w:val="003379DE"/>
    <w:rsid w:val="0034004D"/>
    <w:rsid w:val="00340BF4"/>
    <w:rsid w:val="00341A8C"/>
    <w:rsid w:val="00344FE2"/>
    <w:rsid w:val="00345CDE"/>
    <w:rsid w:val="0034691B"/>
    <w:rsid w:val="0035138C"/>
    <w:rsid w:val="003519E6"/>
    <w:rsid w:val="00354FED"/>
    <w:rsid w:val="00355F81"/>
    <w:rsid w:val="00356529"/>
    <w:rsid w:val="00356B43"/>
    <w:rsid w:val="00357475"/>
    <w:rsid w:val="00364F8B"/>
    <w:rsid w:val="0036500A"/>
    <w:rsid w:val="00376749"/>
    <w:rsid w:val="00376AA0"/>
    <w:rsid w:val="00381851"/>
    <w:rsid w:val="00383362"/>
    <w:rsid w:val="003846BF"/>
    <w:rsid w:val="0038718C"/>
    <w:rsid w:val="003908C1"/>
    <w:rsid w:val="003A3B80"/>
    <w:rsid w:val="003A5939"/>
    <w:rsid w:val="003A76D0"/>
    <w:rsid w:val="003A7AFF"/>
    <w:rsid w:val="003B0F2D"/>
    <w:rsid w:val="003B4356"/>
    <w:rsid w:val="003B6764"/>
    <w:rsid w:val="003C04EC"/>
    <w:rsid w:val="003C444C"/>
    <w:rsid w:val="003C4554"/>
    <w:rsid w:val="003C5A77"/>
    <w:rsid w:val="003C7B49"/>
    <w:rsid w:val="003D0611"/>
    <w:rsid w:val="003D5972"/>
    <w:rsid w:val="003E443E"/>
    <w:rsid w:val="003F08A8"/>
    <w:rsid w:val="003F20F0"/>
    <w:rsid w:val="003F2520"/>
    <w:rsid w:val="003F7C26"/>
    <w:rsid w:val="00403AAB"/>
    <w:rsid w:val="00410DCA"/>
    <w:rsid w:val="0041205C"/>
    <w:rsid w:val="00412E33"/>
    <w:rsid w:val="0042066C"/>
    <w:rsid w:val="004250E3"/>
    <w:rsid w:val="004317E4"/>
    <w:rsid w:val="00435DFE"/>
    <w:rsid w:val="00436B0F"/>
    <w:rsid w:val="0043735F"/>
    <w:rsid w:val="00445214"/>
    <w:rsid w:val="00447EFE"/>
    <w:rsid w:val="00461294"/>
    <w:rsid w:val="00461438"/>
    <w:rsid w:val="00466FD8"/>
    <w:rsid w:val="00470AFB"/>
    <w:rsid w:val="00470B98"/>
    <w:rsid w:val="00470F72"/>
    <w:rsid w:val="00472A81"/>
    <w:rsid w:val="00480AC1"/>
    <w:rsid w:val="00481670"/>
    <w:rsid w:val="00482703"/>
    <w:rsid w:val="0048302A"/>
    <w:rsid w:val="004870FB"/>
    <w:rsid w:val="00490E9B"/>
    <w:rsid w:val="00490EC1"/>
    <w:rsid w:val="004946DE"/>
    <w:rsid w:val="004A20A6"/>
    <w:rsid w:val="004B2C92"/>
    <w:rsid w:val="004B3823"/>
    <w:rsid w:val="004B524A"/>
    <w:rsid w:val="004B5CBA"/>
    <w:rsid w:val="004C3055"/>
    <w:rsid w:val="004C3ED1"/>
    <w:rsid w:val="004D2910"/>
    <w:rsid w:val="004D515E"/>
    <w:rsid w:val="004D6A3A"/>
    <w:rsid w:val="004D7A19"/>
    <w:rsid w:val="004E1FA6"/>
    <w:rsid w:val="004E2DEC"/>
    <w:rsid w:val="004E3683"/>
    <w:rsid w:val="004E796A"/>
    <w:rsid w:val="004E7FFE"/>
    <w:rsid w:val="004F2446"/>
    <w:rsid w:val="004F4AD7"/>
    <w:rsid w:val="004F5EBD"/>
    <w:rsid w:val="004F62A5"/>
    <w:rsid w:val="00500C9E"/>
    <w:rsid w:val="00501949"/>
    <w:rsid w:val="0050607D"/>
    <w:rsid w:val="00507D76"/>
    <w:rsid w:val="00510B0A"/>
    <w:rsid w:val="0051350E"/>
    <w:rsid w:val="00516688"/>
    <w:rsid w:val="00520F75"/>
    <w:rsid w:val="00521985"/>
    <w:rsid w:val="00532DA2"/>
    <w:rsid w:val="00537AFA"/>
    <w:rsid w:val="00540BE9"/>
    <w:rsid w:val="00542113"/>
    <w:rsid w:val="00544523"/>
    <w:rsid w:val="00557CD3"/>
    <w:rsid w:val="00564837"/>
    <w:rsid w:val="00567669"/>
    <w:rsid w:val="00571432"/>
    <w:rsid w:val="005732A2"/>
    <w:rsid w:val="005762A5"/>
    <w:rsid w:val="00581FB5"/>
    <w:rsid w:val="00590BA3"/>
    <w:rsid w:val="0059135B"/>
    <w:rsid w:val="00592206"/>
    <w:rsid w:val="0059439F"/>
    <w:rsid w:val="005968DA"/>
    <w:rsid w:val="005A209E"/>
    <w:rsid w:val="005A3685"/>
    <w:rsid w:val="005A75CB"/>
    <w:rsid w:val="005B2F8F"/>
    <w:rsid w:val="005B46D9"/>
    <w:rsid w:val="005B785A"/>
    <w:rsid w:val="005B7AE0"/>
    <w:rsid w:val="005C21E9"/>
    <w:rsid w:val="005C48A5"/>
    <w:rsid w:val="005C6AE6"/>
    <w:rsid w:val="005C7F5C"/>
    <w:rsid w:val="005D1ED5"/>
    <w:rsid w:val="005D2AB7"/>
    <w:rsid w:val="005D465F"/>
    <w:rsid w:val="005D6C2C"/>
    <w:rsid w:val="005E0BBE"/>
    <w:rsid w:val="005E0D96"/>
    <w:rsid w:val="005E23F5"/>
    <w:rsid w:val="005E31F9"/>
    <w:rsid w:val="005F146F"/>
    <w:rsid w:val="005F5B42"/>
    <w:rsid w:val="005F69F4"/>
    <w:rsid w:val="005F71B6"/>
    <w:rsid w:val="005F7AE8"/>
    <w:rsid w:val="006017DD"/>
    <w:rsid w:val="00604CF9"/>
    <w:rsid w:val="00606AED"/>
    <w:rsid w:val="00606F2A"/>
    <w:rsid w:val="006109D6"/>
    <w:rsid w:val="00610A71"/>
    <w:rsid w:val="00610C36"/>
    <w:rsid w:val="006129B0"/>
    <w:rsid w:val="00614061"/>
    <w:rsid w:val="00616057"/>
    <w:rsid w:val="00617571"/>
    <w:rsid w:val="00620B42"/>
    <w:rsid w:val="00640A20"/>
    <w:rsid w:val="00640E14"/>
    <w:rsid w:val="00641669"/>
    <w:rsid w:val="0064261F"/>
    <w:rsid w:val="00643D11"/>
    <w:rsid w:val="0064503E"/>
    <w:rsid w:val="006459D7"/>
    <w:rsid w:val="0064613D"/>
    <w:rsid w:val="00650CE8"/>
    <w:rsid w:val="00653562"/>
    <w:rsid w:val="00654786"/>
    <w:rsid w:val="00655176"/>
    <w:rsid w:val="00660FD4"/>
    <w:rsid w:val="00662394"/>
    <w:rsid w:val="00665BE4"/>
    <w:rsid w:val="00672F02"/>
    <w:rsid w:val="00674A51"/>
    <w:rsid w:val="00681B5C"/>
    <w:rsid w:val="0068388E"/>
    <w:rsid w:val="00683AC2"/>
    <w:rsid w:val="006841DF"/>
    <w:rsid w:val="00684679"/>
    <w:rsid w:val="00685481"/>
    <w:rsid w:val="006854A6"/>
    <w:rsid w:val="00686042"/>
    <w:rsid w:val="00686D59"/>
    <w:rsid w:val="00686EFE"/>
    <w:rsid w:val="00692533"/>
    <w:rsid w:val="00694A89"/>
    <w:rsid w:val="006959DB"/>
    <w:rsid w:val="00695EDB"/>
    <w:rsid w:val="006A2076"/>
    <w:rsid w:val="006A4425"/>
    <w:rsid w:val="006B00A4"/>
    <w:rsid w:val="006B45D2"/>
    <w:rsid w:val="006B4669"/>
    <w:rsid w:val="006B5D86"/>
    <w:rsid w:val="006B7BAE"/>
    <w:rsid w:val="006C20AE"/>
    <w:rsid w:val="006C3C65"/>
    <w:rsid w:val="006D3177"/>
    <w:rsid w:val="006D3CFA"/>
    <w:rsid w:val="006D41D6"/>
    <w:rsid w:val="006D4912"/>
    <w:rsid w:val="006D5E57"/>
    <w:rsid w:val="006E7885"/>
    <w:rsid w:val="006E7E3A"/>
    <w:rsid w:val="006F422F"/>
    <w:rsid w:val="006F65E8"/>
    <w:rsid w:val="006F6BF8"/>
    <w:rsid w:val="0070206B"/>
    <w:rsid w:val="0070358B"/>
    <w:rsid w:val="00704AEC"/>
    <w:rsid w:val="00707BDF"/>
    <w:rsid w:val="00710727"/>
    <w:rsid w:val="007155DA"/>
    <w:rsid w:val="00715F45"/>
    <w:rsid w:val="00722FB8"/>
    <w:rsid w:val="0072597C"/>
    <w:rsid w:val="0072608F"/>
    <w:rsid w:val="00727BC3"/>
    <w:rsid w:val="00731815"/>
    <w:rsid w:val="00731B84"/>
    <w:rsid w:val="00732B1D"/>
    <w:rsid w:val="0073429E"/>
    <w:rsid w:val="00734AE7"/>
    <w:rsid w:val="00735374"/>
    <w:rsid w:val="0073699D"/>
    <w:rsid w:val="007378D6"/>
    <w:rsid w:val="007446D8"/>
    <w:rsid w:val="007456FD"/>
    <w:rsid w:val="00746F9E"/>
    <w:rsid w:val="00760F10"/>
    <w:rsid w:val="00761DDD"/>
    <w:rsid w:val="007640DE"/>
    <w:rsid w:val="00766F94"/>
    <w:rsid w:val="007702FB"/>
    <w:rsid w:val="00770A53"/>
    <w:rsid w:val="00777213"/>
    <w:rsid w:val="0077724B"/>
    <w:rsid w:val="00780D54"/>
    <w:rsid w:val="00783285"/>
    <w:rsid w:val="00783F38"/>
    <w:rsid w:val="0079344E"/>
    <w:rsid w:val="00793682"/>
    <w:rsid w:val="007966AF"/>
    <w:rsid w:val="007A574F"/>
    <w:rsid w:val="007A5F7B"/>
    <w:rsid w:val="007B4CA2"/>
    <w:rsid w:val="007B50F1"/>
    <w:rsid w:val="007B7DD5"/>
    <w:rsid w:val="007C2499"/>
    <w:rsid w:val="007C5240"/>
    <w:rsid w:val="007D00A5"/>
    <w:rsid w:val="007E197F"/>
    <w:rsid w:val="007E2786"/>
    <w:rsid w:val="007E2D36"/>
    <w:rsid w:val="007E318C"/>
    <w:rsid w:val="007E4122"/>
    <w:rsid w:val="007E4686"/>
    <w:rsid w:val="007F1BEC"/>
    <w:rsid w:val="007F22B2"/>
    <w:rsid w:val="007F6373"/>
    <w:rsid w:val="007F68C4"/>
    <w:rsid w:val="00801170"/>
    <w:rsid w:val="00801D74"/>
    <w:rsid w:val="00804B57"/>
    <w:rsid w:val="008050FE"/>
    <w:rsid w:val="0081252F"/>
    <w:rsid w:val="0081329F"/>
    <w:rsid w:val="008153DE"/>
    <w:rsid w:val="00816483"/>
    <w:rsid w:val="00816D06"/>
    <w:rsid w:val="0081753F"/>
    <w:rsid w:val="00822E75"/>
    <w:rsid w:val="008255D4"/>
    <w:rsid w:val="008260BC"/>
    <w:rsid w:val="00833E15"/>
    <w:rsid w:val="00834872"/>
    <w:rsid w:val="008377C9"/>
    <w:rsid w:val="00842F4E"/>
    <w:rsid w:val="00843A97"/>
    <w:rsid w:val="0084548F"/>
    <w:rsid w:val="00852A10"/>
    <w:rsid w:val="00853484"/>
    <w:rsid w:val="00855ED5"/>
    <w:rsid w:val="00862634"/>
    <w:rsid w:val="00862D61"/>
    <w:rsid w:val="00865DC4"/>
    <w:rsid w:val="00866C59"/>
    <w:rsid w:val="008711E9"/>
    <w:rsid w:val="00873F96"/>
    <w:rsid w:val="00876A46"/>
    <w:rsid w:val="00877306"/>
    <w:rsid w:val="00877626"/>
    <w:rsid w:val="00885524"/>
    <w:rsid w:val="00887ADF"/>
    <w:rsid w:val="008960AA"/>
    <w:rsid w:val="008A0850"/>
    <w:rsid w:val="008A6242"/>
    <w:rsid w:val="008A66C5"/>
    <w:rsid w:val="008A6F75"/>
    <w:rsid w:val="008A7CC5"/>
    <w:rsid w:val="008B4BC6"/>
    <w:rsid w:val="008B7424"/>
    <w:rsid w:val="008C02EC"/>
    <w:rsid w:val="008C075A"/>
    <w:rsid w:val="008D06C9"/>
    <w:rsid w:val="008D68CB"/>
    <w:rsid w:val="008D72DE"/>
    <w:rsid w:val="008E0818"/>
    <w:rsid w:val="008F03E7"/>
    <w:rsid w:val="008F6743"/>
    <w:rsid w:val="009015AB"/>
    <w:rsid w:val="00901E57"/>
    <w:rsid w:val="009028A3"/>
    <w:rsid w:val="0090422D"/>
    <w:rsid w:val="00905416"/>
    <w:rsid w:val="00905C5E"/>
    <w:rsid w:val="009070DF"/>
    <w:rsid w:val="00914303"/>
    <w:rsid w:val="00917211"/>
    <w:rsid w:val="00920199"/>
    <w:rsid w:val="009218DB"/>
    <w:rsid w:val="00922667"/>
    <w:rsid w:val="009229EE"/>
    <w:rsid w:val="00925B79"/>
    <w:rsid w:val="00932EC3"/>
    <w:rsid w:val="00935F0E"/>
    <w:rsid w:val="00937616"/>
    <w:rsid w:val="0094720F"/>
    <w:rsid w:val="00947E9D"/>
    <w:rsid w:val="00950CF6"/>
    <w:rsid w:val="00951376"/>
    <w:rsid w:val="0095208F"/>
    <w:rsid w:val="009529D0"/>
    <w:rsid w:val="0096064B"/>
    <w:rsid w:val="00964979"/>
    <w:rsid w:val="00967355"/>
    <w:rsid w:val="00967AC2"/>
    <w:rsid w:val="0097042B"/>
    <w:rsid w:val="00974BB9"/>
    <w:rsid w:val="00975FEC"/>
    <w:rsid w:val="00977B3F"/>
    <w:rsid w:val="009814AE"/>
    <w:rsid w:val="00982C01"/>
    <w:rsid w:val="009901D3"/>
    <w:rsid w:val="00991D06"/>
    <w:rsid w:val="009927AB"/>
    <w:rsid w:val="00996BBE"/>
    <w:rsid w:val="00997983"/>
    <w:rsid w:val="009A1859"/>
    <w:rsid w:val="009A45F6"/>
    <w:rsid w:val="009A7172"/>
    <w:rsid w:val="009B277B"/>
    <w:rsid w:val="009B2C03"/>
    <w:rsid w:val="009B3319"/>
    <w:rsid w:val="009B4360"/>
    <w:rsid w:val="009B6F73"/>
    <w:rsid w:val="009C1C46"/>
    <w:rsid w:val="009C5152"/>
    <w:rsid w:val="009C7302"/>
    <w:rsid w:val="009D01DE"/>
    <w:rsid w:val="009D03F2"/>
    <w:rsid w:val="009D17B9"/>
    <w:rsid w:val="009D1DD5"/>
    <w:rsid w:val="009D3084"/>
    <w:rsid w:val="009E3BB6"/>
    <w:rsid w:val="009E3D21"/>
    <w:rsid w:val="009E4ACB"/>
    <w:rsid w:val="009E6D01"/>
    <w:rsid w:val="009F1859"/>
    <w:rsid w:val="009F2F02"/>
    <w:rsid w:val="009F4308"/>
    <w:rsid w:val="009F6F96"/>
    <w:rsid w:val="009F722C"/>
    <w:rsid w:val="009F7908"/>
    <w:rsid w:val="00A008B1"/>
    <w:rsid w:val="00A0144F"/>
    <w:rsid w:val="00A03297"/>
    <w:rsid w:val="00A0412C"/>
    <w:rsid w:val="00A1335D"/>
    <w:rsid w:val="00A217E6"/>
    <w:rsid w:val="00A22B32"/>
    <w:rsid w:val="00A25E60"/>
    <w:rsid w:val="00A26157"/>
    <w:rsid w:val="00A265C3"/>
    <w:rsid w:val="00A3014E"/>
    <w:rsid w:val="00A3517C"/>
    <w:rsid w:val="00A41D15"/>
    <w:rsid w:val="00A41E86"/>
    <w:rsid w:val="00A43F9A"/>
    <w:rsid w:val="00A44C1C"/>
    <w:rsid w:val="00A44FDE"/>
    <w:rsid w:val="00A4703C"/>
    <w:rsid w:val="00A47358"/>
    <w:rsid w:val="00A53F38"/>
    <w:rsid w:val="00A53FDD"/>
    <w:rsid w:val="00A543D4"/>
    <w:rsid w:val="00A57CFC"/>
    <w:rsid w:val="00A60EA4"/>
    <w:rsid w:val="00A618B2"/>
    <w:rsid w:val="00A71B20"/>
    <w:rsid w:val="00A72338"/>
    <w:rsid w:val="00A829D7"/>
    <w:rsid w:val="00A84F00"/>
    <w:rsid w:val="00A87D23"/>
    <w:rsid w:val="00AA18F8"/>
    <w:rsid w:val="00AA4E69"/>
    <w:rsid w:val="00AA68A6"/>
    <w:rsid w:val="00AA7857"/>
    <w:rsid w:val="00AB030A"/>
    <w:rsid w:val="00AB063C"/>
    <w:rsid w:val="00AB3B99"/>
    <w:rsid w:val="00AB7FA9"/>
    <w:rsid w:val="00AC0031"/>
    <w:rsid w:val="00AC0278"/>
    <w:rsid w:val="00AC22EA"/>
    <w:rsid w:val="00AC309B"/>
    <w:rsid w:val="00AC3CA8"/>
    <w:rsid w:val="00AC6B57"/>
    <w:rsid w:val="00AD0014"/>
    <w:rsid w:val="00AD3147"/>
    <w:rsid w:val="00AD3672"/>
    <w:rsid w:val="00AD4CF2"/>
    <w:rsid w:val="00AE0DE8"/>
    <w:rsid w:val="00AE1143"/>
    <w:rsid w:val="00AE2084"/>
    <w:rsid w:val="00AE3DD2"/>
    <w:rsid w:val="00AE503F"/>
    <w:rsid w:val="00AF0BBA"/>
    <w:rsid w:val="00AF19BE"/>
    <w:rsid w:val="00B01206"/>
    <w:rsid w:val="00B0248B"/>
    <w:rsid w:val="00B047FE"/>
    <w:rsid w:val="00B15255"/>
    <w:rsid w:val="00B15A6B"/>
    <w:rsid w:val="00B1623C"/>
    <w:rsid w:val="00B17DFF"/>
    <w:rsid w:val="00B21CFD"/>
    <w:rsid w:val="00B22EFB"/>
    <w:rsid w:val="00B231C6"/>
    <w:rsid w:val="00B24D8C"/>
    <w:rsid w:val="00B24F86"/>
    <w:rsid w:val="00B25159"/>
    <w:rsid w:val="00B2653B"/>
    <w:rsid w:val="00B303B9"/>
    <w:rsid w:val="00B30468"/>
    <w:rsid w:val="00B30B35"/>
    <w:rsid w:val="00B33A31"/>
    <w:rsid w:val="00B36014"/>
    <w:rsid w:val="00B374F5"/>
    <w:rsid w:val="00B44E31"/>
    <w:rsid w:val="00B51F47"/>
    <w:rsid w:val="00B60BBF"/>
    <w:rsid w:val="00B64F6A"/>
    <w:rsid w:val="00B81BC8"/>
    <w:rsid w:val="00B84876"/>
    <w:rsid w:val="00B85414"/>
    <w:rsid w:val="00B8589F"/>
    <w:rsid w:val="00B85B2A"/>
    <w:rsid w:val="00B85DDF"/>
    <w:rsid w:val="00B8667B"/>
    <w:rsid w:val="00B86687"/>
    <w:rsid w:val="00B87019"/>
    <w:rsid w:val="00B87906"/>
    <w:rsid w:val="00B91EA7"/>
    <w:rsid w:val="00B92ABB"/>
    <w:rsid w:val="00B955A2"/>
    <w:rsid w:val="00BA1DDF"/>
    <w:rsid w:val="00BA28D4"/>
    <w:rsid w:val="00BA32A9"/>
    <w:rsid w:val="00BA3BB9"/>
    <w:rsid w:val="00BA41EB"/>
    <w:rsid w:val="00BA4F7E"/>
    <w:rsid w:val="00BA6775"/>
    <w:rsid w:val="00BA7006"/>
    <w:rsid w:val="00BA7A65"/>
    <w:rsid w:val="00BB259D"/>
    <w:rsid w:val="00BB2C41"/>
    <w:rsid w:val="00BB3A95"/>
    <w:rsid w:val="00BB3CBA"/>
    <w:rsid w:val="00BB7DEA"/>
    <w:rsid w:val="00BC25F4"/>
    <w:rsid w:val="00BC55C8"/>
    <w:rsid w:val="00BC5C10"/>
    <w:rsid w:val="00BC5C7F"/>
    <w:rsid w:val="00BD6BEA"/>
    <w:rsid w:val="00BD6E13"/>
    <w:rsid w:val="00BE14B9"/>
    <w:rsid w:val="00BE1C39"/>
    <w:rsid w:val="00BE2964"/>
    <w:rsid w:val="00BE76C9"/>
    <w:rsid w:val="00BF562E"/>
    <w:rsid w:val="00BF63B2"/>
    <w:rsid w:val="00C004D5"/>
    <w:rsid w:val="00C070CB"/>
    <w:rsid w:val="00C13B53"/>
    <w:rsid w:val="00C13E83"/>
    <w:rsid w:val="00C21623"/>
    <w:rsid w:val="00C21A1D"/>
    <w:rsid w:val="00C24B37"/>
    <w:rsid w:val="00C24FBD"/>
    <w:rsid w:val="00C26951"/>
    <w:rsid w:val="00C27F3E"/>
    <w:rsid w:val="00C3012E"/>
    <w:rsid w:val="00C30865"/>
    <w:rsid w:val="00C3317C"/>
    <w:rsid w:val="00C36E09"/>
    <w:rsid w:val="00C40F47"/>
    <w:rsid w:val="00C41750"/>
    <w:rsid w:val="00C41F03"/>
    <w:rsid w:val="00C42FCB"/>
    <w:rsid w:val="00C43110"/>
    <w:rsid w:val="00C4385B"/>
    <w:rsid w:val="00C43C72"/>
    <w:rsid w:val="00C4562A"/>
    <w:rsid w:val="00C45D62"/>
    <w:rsid w:val="00C473BA"/>
    <w:rsid w:val="00C54451"/>
    <w:rsid w:val="00C611ED"/>
    <w:rsid w:val="00C62E3D"/>
    <w:rsid w:val="00C6471D"/>
    <w:rsid w:val="00C6490A"/>
    <w:rsid w:val="00C64FE1"/>
    <w:rsid w:val="00C6502E"/>
    <w:rsid w:val="00C65663"/>
    <w:rsid w:val="00C7054E"/>
    <w:rsid w:val="00C70D98"/>
    <w:rsid w:val="00C726D2"/>
    <w:rsid w:val="00C74296"/>
    <w:rsid w:val="00C752CC"/>
    <w:rsid w:val="00C75965"/>
    <w:rsid w:val="00C76035"/>
    <w:rsid w:val="00C82471"/>
    <w:rsid w:val="00C8345E"/>
    <w:rsid w:val="00C8362A"/>
    <w:rsid w:val="00C8391C"/>
    <w:rsid w:val="00C861AA"/>
    <w:rsid w:val="00C8719F"/>
    <w:rsid w:val="00C94F42"/>
    <w:rsid w:val="00C96CFD"/>
    <w:rsid w:val="00C97CBD"/>
    <w:rsid w:val="00CA188E"/>
    <w:rsid w:val="00CA3480"/>
    <w:rsid w:val="00CA3A6A"/>
    <w:rsid w:val="00CA5C81"/>
    <w:rsid w:val="00CA5F7C"/>
    <w:rsid w:val="00CA770A"/>
    <w:rsid w:val="00CB498C"/>
    <w:rsid w:val="00CB6423"/>
    <w:rsid w:val="00CC47F5"/>
    <w:rsid w:val="00CD69CF"/>
    <w:rsid w:val="00CE0D79"/>
    <w:rsid w:val="00CE2EBE"/>
    <w:rsid w:val="00CE404F"/>
    <w:rsid w:val="00CE5032"/>
    <w:rsid w:val="00CE5B60"/>
    <w:rsid w:val="00CF5F5A"/>
    <w:rsid w:val="00CF693C"/>
    <w:rsid w:val="00D0060C"/>
    <w:rsid w:val="00D00689"/>
    <w:rsid w:val="00D0246C"/>
    <w:rsid w:val="00D04BC9"/>
    <w:rsid w:val="00D0578F"/>
    <w:rsid w:val="00D07771"/>
    <w:rsid w:val="00D15674"/>
    <w:rsid w:val="00D15792"/>
    <w:rsid w:val="00D17BD0"/>
    <w:rsid w:val="00D214F1"/>
    <w:rsid w:val="00D21D3A"/>
    <w:rsid w:val="00D247A7"/>
    <w:rsid w:val="00D253C2"/>
    <w:rsid w:val="00D26278"/>
    <w:rsid w:val="00D31AA1"/>
    <w:rsid w:val="00D31CC1"/>
    <w:rsid w:val="00D35108"/>
    <w:rsid w:val="00D37814"/>
    <w:rsid w:val="00D378B6"/>
    <w:rsid w:val="00D417CF"/>
    <w:rsid w:val="00D429D4"/>
    <w:rsid w:val="00D51067"/>
    <w:rsid w:val="00D56B3A"/>
    <w:rsid w:val="00D60B3A"/>
    <w:rsid w:val="00D62ACF"/>
    <w:rsid w:val="00D67549"/>
    <w:rsid w:val="00D6787F"/>
    <w:rsid w:val="00D73E16"/>
    <w:rsid w:val="00D754FB"/>
    <w:rsid w:val="00D75657"/>
    <w:rsid w:val="00D76FF6"/>
    <w:rsid w:val="00D778DF"/>
    <w:rsid w:val="00D8346E"/>
    <w:rsid w:val="00D845F1"/>
    <w:rsid w:val="00D84C79"/>
    <w:rsid w:val="00D85046"/>
    <w:rsid w:val="00D8574D"/>
    <w:rsid w:val="00D85C21"/>
    <w:rsid w:val="00D86A7C"/>
    <w:rsid w:val="00D960AD"/>
    <w:rsid w:val="00D96853"/>
    <w:rsid w:val="00DA0E0E"/>
    <w:rsid w:val="00DA343D"/>
    <w:rsid w:val="00DA3459"/>
    <w:rsid w:val="00DA6121"/>
    <w:rsid w:val="00DA6239"/>
    <w:rsid w:val="00DA7A84"/>
    <w:rsid w:val="00DB0885"/>
    <w:rsid w:val="00DB0C39"/>
    <w:rsid w:val="00DB1C47"/>
    <w:rsid w:val="00DB22A9"/>
    <w:rsid w:val="00DB298F"/>
    <w:rsid w:val="00DB330F"/>
    <w:rsid w:val="00DB42AD"/>
    <w:rsid w:val="00DB69AA"/>
    <w:rsid w:val="00DB7679"/>
    <w:rsid w:val="00DC11DF"/>
    <w:rsid w:val="00DC3058"/>
    <w:rsid w:val="00DC58DA"/>
    <w:rsid w:val="00DC7355"/>
    <w:rsid w:val="00DD0D33"/>
    <w:rsid w:val="00DD3B6D"/>
    <w:rsid w:val="00DE120B"/>
    <w:rsid w:val="00DE6D70"/>
    <w:rsid w:val="00DF1702"/>
    <w:rsid w:val="00DF4145"/>
    <w:rsid w:val="00DF4DD8"/>
    <w:rsid w:val="00DF668E"/>
    <w:rsid w:val="00E003DE"/>
    <w:rsid w:val="00E009D7"/>
    <w:rsid w:val="00E0156E"/>
    <w:rsid w:val="00E03B07"/>
    <w:rsid w:val="00E04826"/>
    <w:rsid w:val="00E11BA9"/>
    <w:rsid w:val="00E11ED1"/>
    <w:rsid w:val="00E142D0"/>
    <w:rsid w:val="00E14D2B"/>
    <w:rsid w:val="00E14E38"/>
    <w:rsid w:val="00E20DBA"/>
    <w:rsid w:val="00E23BE7"/>
    <w:rsid w:val="00E278A9"/>
    <w:rsid w:val="00E30BC3"/>
    <w:rsid w:val="00E32993"/>
    <w:rsid w:val="00E37E91"/>
    <w:rsid w:val="00E50D16"/>
    <w:rsid w:val="00E55555"/>
    <w:rsid w:val="00E63928"/>
    <w:rsid w:val="00E64C5C"/>
    <w:rsid w:val="00E6524A"/>
    <w:rsid w:val="00E65579"/>
    <w:rsid w:val="00E660D6"/>
    <w:rsid w:val="00E6621C"/>
    <w:rsid w:val="00E6632C"/>
    <w:rsid w:val="00E70CCB"/>
    <w:rsid w:val="00E71A16"/>
    <w:rsid w:val="00E72933"/>
    <w:rsid w:val="00E72A00"/>
    <w:rsid w:val="00E7314A"/>
    <w:rsid w:val="00E749BD"/>
    <w:rsid w:val="00E771AB"/>
    <w:rsid w:val="00E77A3F"/>
    <w:rsid w:val="00E8101A"/>
    <w:rsid w:val="00E83A0F"/>
    <w:rsid w:val="00E875DB"/>
    <w:rsid w:val="00E92F06"/>
    <w:rsid w:val="00E95113"/>
    <w:rsid w:val="00EA0707"/>
    <w:rsid w:val="00EA0F18"/>
    <w:rsid w:val="00EA41C4"/>
    <w:rsid w:val="00EA796F"/>
    <w:rsid w:val="00EA7B0C"/>
    <w:rsid w:val="00EB077B"/>
    <w:rsid w:val="00EB316C"/>
    <w:rsid w:val="00EB4508"/>
    <w:rsid w:val="00EB6350"/>
    <w:rsid w:val="00EC2366"/>
    <w:rsid w:val="00EC50B9"/>
    <w:rsid w:val="00EC7BAC"/>
    <w:rsid w:val="00ED1B59"/>
    <w:rsid w:val="00ED25E2"/>
    <w:rsid w:val="00ED26A0"/>
    <w:rsid w:val="00ED26C4"/>
    <w:rsid w:val="00ED425D"/>
    <w:rsid w:val="00ED665D"/>
    <w:rsid w:val="00EE2732"/>
    <w:rsid w:val="00EE28CE"/>
    <w:rsid w:val="00EE3703"/>
    <w:rsid w:val="00EE3BFB"/>
    <w:rsid w:val="00EF0337"/>
    <w:rsid w:val="00EF0C53"/>
    <w:rsid w:val="00EF1049"/>
    <w:rsid w:val="00EF1114"/>
    <w:rsid w:val="00EF3608"/>
    <w:rsid w:val="00EF5148"/>
    <w:rsid w:val="00EF78FD"/>
    <w:rsid w:val="00F00F22"/>
    <w:rsid w:val="00F02F8F"/>
    <w:rsid w:val="00F0420B"/>
    <w:rsid w:val="00F04714"/>
    <w:rsid w:val="00F04BFE"/>
    <w:rsid w:val="00F05BE4"/>
    <w:rsid w:val="00F06BAD"/>
    <w:rsid w:val="00F15761"/>
    <w:rsid w:val="00F15875"/>
    <w:rsid w:val="00F1727A"/>
    <w:rsid w:val="00F21888"/>
    <w:rsid w:val="00F23A4D"/>
    <w:rsid w:val="00F256FE"/>
    <w:rsid w:val="00F2635E"/>
    <w:rsid w:val="00F271F7"/>
    <w:rsid w:val="00F31C91"/>
    <w:rsid w:val="00F328AB"/>
    <w:rsid w:val="00F3382A"/>
    <w:rsid w:val="00F34764"/>
    <w:rsid w:val="00F34AF5"/>
    <w:rsid w:val="00F3721A"/>
    <w:rsid w:val="00F37DA5"/>
    <w:rsid w:val="00F44AA5"/>
    <w:rsid w:val="00F44D37"/>
    <w:rsid w:val="00F45221"/>
    <w:rsid w:val="00F463FD"/>
    <w:rsid w:val="00F50759"/>
    <w:rsid w:val="00F514B9"/>
    <w:rsid w:val="00F54B8B"/>
    <w:rsid w:val="00F54E3C"/>
    <w:rsid w:val="00F558C5"/>
    <w:rsid w:val="00F61D89"/>
    <w:rsid w:val="00F621A9"/>
    <w:rsid w:val="00F6424C"/>
    <w:rsid w:val="00F6760A"/>
    <w:rsid w:val="00F72DB3"/>
    <w:rsid w:val="00F73C8E"/>
    <w:rsid w:val="00F75B90"/>
    <w:rsid w:val="00F8126F"/>
    <w:rsid w:val="00F81A96"/>
    <w:rsid w:val="00F8300A"/>
    <w:rsid w:val="00F833C4"/>
    <w:rsid w:val="00F87402"/>
    <w:rsid w:val="00F874BD"/>
    <w:rsid w:val="00F91753"/>
    <w:rsid w:val="00F931B1"/>
    <w:rsid w:val="00F94E3D"/>
    <w:rsid w:val="00FA0A4B"/>
    <w:rsid w:val="00FA2D92"/>
    <w:rsid w:val="00FA36E0"/>
    <w:rsid w:val="00FB1D0B"/>
    <w:rsid w:val="00FB267F"/>
    <w:rsid w:val="00FB2718"/>
    <w:rsid w:val="00FC57AF"/>
    <w:rsid w:val="00FC5BBF"/>
    <w:rsid w:val="00FC5DB3"/>
    <w:rsid w:val="00FC6476"/>
    <w:rsid w:val="00FD648B"/>
    <w:rsid w:val="00FD68B8"/>
    <w:rsid w:val="00FD6BA6"/>
    <w:rsid w:val="00FD6C18"/>
    <w:rsid w:val="00FE0F2E"/>
    <w:rsid w:val="00FE3683"/>
    <w:rsid w:val="00FE44D4"/>
    <w:rsid w:val="00FE55A3"/>
    <w:rsid w:val="00FE5865"/>
    <w:rsid w:val="00FE6865"/>
    <w:rsid w:val="00FE7EFF"/>
    <w:rsid w:val="00FF2162"/>
    <w:rsid w:val="00FF4B38"/>
    <w:rsid w:val="00FF6E29"/>
    <w:rsid w:val="00FF71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EF5148"/>
    <w:pPr>
      <w:suppressAutoHyphens/>
      <w:bidi w:val="0"/>
      <w:spacing w:line="240" w:lineRule="auto"/>
      <w:jc w:val="left"/>
      <w:outlineLvl w:val="3"/>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link w:val="H4GAChar"/>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10"/>
      </w:numPr>
      <w:suppressAutoHyphens/>
      <w:bidi w:val="0"/>
      <w:spacing w:after="120" w:line="380" w:lineRule="exact"/>
      <w:ind w:right="1247"/>
    </w:pPr>
  </w:style>
  <w:style w:type="paragraph" w:customStyle="1" w:styleId="Bullet2GA">
    <w:name w:val="_Bullet 2_GA"/>
    <w:basedOn w:val="Normal"/>
    <w:rsid w:val="009D1DD5"/>
    <w:pPr>
      <w:numPr>
        <w:numId w:val="9"/>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6"/>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 Char1,Footnote Text Char Char,Footnote Text Char,FOOTNOTES,fn,single space"/>
    <w:basedOn w:val="Normal"/>
    <w:link w:val="FootnoteTextChar2"/>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7"/>
      </w:numPr>
      <w:suppressAutoHyphens/>
      <w:bidi w:val="0"/>
      <w:spacing w:after="120" w:line="380" w:lineRule="exact"/>
      <w:ind w:right="1247"/>
    </w:pPr>
  </w:style>
  <w:style w:type="paragraph" w:customStyle="1" w:styleId="Roman2GA">
    <w:name w:val="_Roman 2_GA"/>
    <w:basedOn w:val="Normal"/>
    <w:next w:val="Normal"/>
    <w:rsid w:val="005F71B6"/>
    <w:pPr>
      <w:numPr>
        <w:numId w:val="8"/>
      </w:numPr>
      <w:spacing w:after="120" w:line="380" w:lineRule="exact"/>
      <w:ind w:right="1247"/>
    </w:pPr>
  </w:style>
  <w:style w:type="numbering" w:styleId="111111">
    <w:name w:val="Outline List 2"/>
    <w:basedOn w:val="NoList"/>
    <w:semiHidden/>
    <w:rsid w:val="005732A2"/>
    <w:pPr>
      <w:numPr>
        <w:numId w:val="2"/>
      </w:numPr>
    </w:pPr>
  </w:style>
  <w:style w:type="numbering" w:styleId="1ai">
    <w:name w:val="Outline List 1"/>
    <w:basedOn w:val="NoList"/>
    <w:semiHidden/>
    <w:rsid w:val="005732A2"/>
    <w:pPr>
      <w:numPr>
        <w:numId w:val="3"/>
      </w:numPr>
    </w:pPr>
  </w:style>
  <w:style w:type="character" w:styleId="EndnoteReference">
    <w:name w:val="endnote reference"/>
    <w:aliases w:val="1_G"/>
    <w:semiHidden/>
    <w:rsid w:val="00FE6865"/>
    <w:rPr>
      <w:vertAlign w:val="superscript"/>
    </w:rPr>
  </w:style>
  <w:style w:type="character" w:customStyle="1" w:styleId="H4GAChar">
    <w:name w:val="_ H_4_GA Char"/>
    <w:link w:val="H4GA"/>
    <w:rsid w:val="002F24E8"/>
    <w:rPr>
      <w:rFonts w:cs="Traditional Arabic"/>
      <w:i/>
      <w:iCs/>
      <w:szCs w:val="30"/>
      <w:lang w:val="en-US" w:eastAsia="en-US" w:bidi="ar-SA"/>
    </w:rPr>
  </w:style>
  <w:style w:type="paragraph" w:styleId="ListBullet">
    <w:name w:val="List Bullet"/>
    <w:basedOn w:val="Normal"/>
    <w:rsid w:val="00D778DF"/>
    <w:pPr>
      <w:numPr>
        <w:numId w:val="11"/>
      </w:numPr>
    </w:pPr>
  </w:style>
  <w:style w:type="paragraph" w:customStyle="1" w:styleId="SingleTxtG">
    <w:name w:val="_ Single Txt_G"/>
    <w:basedOn w:val="Normal"/>
    <w:rsid w:val="00EF5148"/>
    <w:pPr>
      <w:numPr>
        <w:numId w:val="12"/>
      </w:numPr>
      <w:tabs>
        <w:tab w:val="clear" w:pos="720"/>
      </w:tabs>
      <w:suppressAutoHyphens/>
      <w:bidi w:val="0"/>
      <w:spacing w:after="120"/>
      <w:ind w:left="1134" w:right="1134"/>
      <w:jc w:val="both"/>
    </w:pPr>
    <w:rPr>
      <w:rFonts w:cs="Times New Roman"/>
      <w:b/>
      <w:bCs/>
      <w:szCs w:val="20"/>
      <w:lang w:val="en-GB"/>
    </w:rPr>
  </w:style>
  <w:style w:type="character" w:customStyle="1" w:styleId="Heading3Char">
    <w:name w:val="Heading 3 Char"/>
    <w:link w:val="Heading3"/>
    <w:rsid w:val="00EF5148"/>
    <w:rPr>
      <w:rFonts w:ascii="Arial" w:hAnsi="Arial" w:cs="Arial"/>
      <w:b/>
      <w:bCs/>
      <w:sz w:val="26"/>
      <w:szCs w:val="26"/>
      <w:lang w:val="en-US" w:eastAsia="en-US" w:bidi="ar-SA"/>
    </w:rPr>
  </w:style>
  <w:style w:type="character" w:customStyle="1" w:styleId="FootnoteTextChar2">
    <w:name w:val="Footnote Text Char2"/>
    <w:aliases w:val="5_G Char,Footnote Text Char1 Char,Footnote Text Char Char Char,Footnote Text Char Char1,FOOTNOTES Char,fn Char,single space Char"/>
    <w:link w:val="FootnoteText"/>
    <w:rsid w:val="00EF5148"/>
    <w:rPr>
      <w:rFonts w:cs="Traditional Arabic"/>
      <w:lang w:val="en-US" w:eastAsia="en-US" w:bidi="ar-SA"/>
    </w:rPr>
  </w:style>
  <w:style w:type="paragraph" w:customStyle="1" w:styleId="HMG">
    <w:name w:val="_ H __M_G"/>
    <w:basedOn w:val="Normal"/>
    <w:next w:val="Normal"/>
    <w:rsid w:val="00EF5148"/>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EF5148"/>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EF5148"/>
    <w:rPr>
      <w:color w:val="auto"/>
      <w:u w:val="none"/>
    </w:rPr>
  </w:style>
  <w:style w:type="paragraph" w:customStyle="1" w:styleId="SMG">
    <w:name w:val="__S_M_G"/>
    <w:basedOn w:val="Normal"/>
    <w:next w:val="Normal"/>
    <w:rsid w:val="00EF5148"/>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EF5148"/>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EF5148"/>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EF5148"/>
    <w:pPr>
      <w:keepNext/>
      <w:keepLines/>
      <w:numPr>
        <w:numId w:val="13"/>
      </w:numPr>
      <w:tabs>
        <w:tab w:val="clear" w:pos="1701"/>
      </w:tabs>
      <w:suppressAutoHyphens/>
      <w:bidi w:val="0"/>
      <w:spacing w:before="240" w:after="240" w:line="420" w:lineRule="exact"/>
      <w:ind w:left="1134" w:right="1134" w:firstLine="0"/>
      <w:jc w:val="left"/>
    </w:pPr>
    <w:rPr>
      <w:rFonts w:cs="Times New Roman"/>
      <w:b/>
      <w:sz w:val="40"/>
      <w:szCs w:val="20"/>
      <w:lang w:val="en-GB"/>
    </w:rPr>
  </w:style>
  <w:style w:type="paragraph" w:customStyle="1" w:styleId="Bullet1G">
    <w:name w:val="_Bullet 1_G"/>
    <w:basedOn w:val="Normal"/>
    <w:rsid w:val="00EF5148"/>
    <w:pPr>
      <w:numPr>
        <w:numId w:val="4"/>
      </w:numPr>
      <w:suppressAutoHyphens/>
      <w:bidi w:val="0"/>
      <w:spacing w:after="120"/>
      <w:ind w:right="1134"/>
      <w:jc w:val="both"/>
    </w:pPr>
    <w:rPr>
      <w:rFonts w:cs="Times New Roman"/>
      <w:szCs w:val="20"/>
      <w:lang w:val="en-GB"/>
    </w:rPr>
  </w:style>
  <w:style w:type="paragraph" w:customStyle="1" w:styleId="Bullet2G">
    <w:name w:val="_Bullet 2_G"/>
    <w:basedOn w:val="Normal"/>
    <w:rsid w:val="00EF5148"/>
    <w:pPr>
      <w:numPr>
        <w:numId w:val="5"/>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EF5148"/>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link w:val="H23GChar"/>
    <w:rsid w:val="00EF5148"/>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character" w:customStyle="1" w:styleId="H23GChar">
    <w:name w:val="_ H_2/3_G Char"/>
    <w:link w:val="H23G"/>
    <w:rsid w:val="00EF5148"/>
    <w:rPr>
      <w:b/>
      <w:lang w:val="en-GB" w:eastAsia="en-US" w:bidi="ar-SA"/>
    </w:rPr>
  </w:style>
  <w:style w:type="paragraph" w:customStyle="1" w:styleId="H4G">
    <w:name w:val="_ H_4_G"/>
    <w:basedOn w:val="Normal"/>
    <w:next w:val="Normal"/>
    <w:rsid w:val="00EF5148"/>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EF5148"/>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BodyText">
    <w:name w:val="Body Text"/>
    <w:basedOn w:val="Normal"/>
    <w:rsid w:val="00EF5148"/>
    <w:pPr>
      <w:numPr>
        <w:numId w:val="1"/>
      </w:numPr>
      <w:bidi w:val="0"/>
      <w:spacing w:line="240" w:lineRule="auto"/>
      <w:ind w:left="0" w:firstLine="0"/>
      <w:jc w:val="both"/>
    </w:pPr>
    <w:rPr>
      <w:rFonts w:cs="Times New Roman"/>
      <w:sz w:val="24"/>
      <w:szCs w:val="24"/>
    </w:rPr>
  </w:style>
  <w:style w:type="paragraph" w:styleId="BodyText3">
    <w:name w:val="Body Text 3"/>
    <w:basedOn w:val="Normal"/>
    <w:rsid w:val="00EF5148"/>
    <w:pPr>
      <w:numPr>
        <w:numId w:val="14"/>
      </w:numPr>
      <w:tabs>
        <w:tab w:val="clear" w:pos="516"/>
      </w:tabs>
      <w:bidi w:val="0"/>
      <w:spacing w:after="120" w:line="240" w:lineRule="auto"/>
      <w:ind w:left="0" w:firstLine="0"/>
      <w:jc w:val="left"/>
    </w:pPr>
    <w:rPr>
      <w:rFonts w:eastAsia="SimSun" w:cs="Times New Roman"/>
      <w:sz w:val="16"/>
      <w:szCs w:val="16"/>
      <w:lang w:eastAsia="zh-CN"/>
    </w:rPr>
  </w:style>
  <w:style w:type="character" w:styleId="Strong">
    <w:name w:val="Strong"/>
    <w:qFormat/>
    <w:rsid w:val="00EF5148"/>
    <w:rPr>
      <w:b/>
      <w:bCs/>
    </w:rPr>
  </w:style>
  <w:style w:type="paragraph" w:customStyle="1" w:styleId="Default">
    <w:name w:val="Default"/>
    <w:rsid w:val="00EF5148"/>
    <w:pPr>
      <w:autoSpaceDE w:val="0"/>
      <w:autoSpaceDN w:val="0"/>
      <w:adjustRightInd w:val="0"/>
    </w:pPr>
    <w:rPr>
      <w:rFonts w:eastAsia="SimSun"/>
      <w:color w:val="000000"/>
      <w:sz w:val="24"/>
      <w:szCs w:val="24"/>
      <w:lang w:val="en-US" w:eastAsia="zh-CN"/>
    </w:rPr>
  </w:style>
  <w:style w:type="character" w:customStyle="1" w:styleId="SingleTxtGACar">
    <w:name w:val="_ Single Txt_GA Car"/>
    <w:link w:val="SingleTxtGA"/>
    <w:rsid w:val="007E2D36"/>
    <w:rPr>
      <w:rFonts w:cs="Traditional Arabic"/>
      <w:szCs w:val="30"/>
      <w:lang w:val="en-US" w:eastAsia="en-US" w:bidi="ar-SA"/>
    </w:rPr>
  </w:style>
  <w:style w:type="character" w:customStyle="1" w:styleId="H23GACar">
    <w:name w:val="_ H_2/3_GA Car"/>
    <w:link w:val="H23GA"/>
    <w:rsid w:val="004E7FFE"/>
    <w:rPr>
      <w:rFonts w:cs="Traditional Arabic"/>
      <w:b/>
      <w:bCs/>
      <w:szCs w:val="30"/>
      <w:lang w:val="en-US" w:eastAsia="ar-SA" w:bidi="ar-SA"/>
    </w:rPr>
  </w:style>
  <w:style w:type="character" w:customStyle="1" w:styleId="H1GACar">
    <w:name w:val="_ H_1_GA Car"/>
    <w:link w:val="H1GA"/>
    <w:rsid w:val="00357475"/>
    <w:rPr>
      <w:rFonts w:cs="Traditional Arabic"/>
      <w:b/>
      <w:bCs/>
      <w:sz w:val="24"/>
      <w:szCs w:val="34"/>
      <w:lang w:val="en-US" w:eastAsia="en-US" w:bidi="ar-SA"/>
    </w:rPr>
  </w:style>
  <w:style w:type="paragraph" w:customStyle="1" w:styleId="123">
    <w:name w:val="1.2.3"/>
    <w:basedOn w:val="Normal"/>
    <w:rsid w:val="003156AA"/>
    <w:pPr>
      <w:widowControl w:val="0"/>
      <w:tabs>
        <w:tab w:val="num" w:pos="360"/>
      </w:tabs>
      <w:bidi w:val="0"/>
      <w:spacing w:line="240" w:lineRule="auto"/>
      <w:ind w:left="360" w:hanging="720"/>
      <w:jc w:val="both"/>
    </w:pPr>
    <w:rPr>
      <w:rFonts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36</TotalTime>
  <Pages>1</Pages>
  <Words>3440</Words>
  <Characters>19610</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CCPR/C/SR.2653</vt:lpstr>
    </vt:vector>
  </TitlesOfParts>
  <Company>CSD</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CCPR/C/SR.2653</dc:title>
  <dc:subject>SABET</dc:subject>
  <dc:creator>HAMOUDA</dc:creator>
  <cp:keywords/>
  <dc:description/>
  <cp:lastModifiedBy>DCM</cp:lastModifiedBy>
  <cp:revision>37</cp:revision>
  <cp:lastPrinted>2010-05-01T08:23:00Z</cp:lastPrinted>
  <dcterms:created xsi:type="dcterms:W3CDTF">2010-07-06T19:45:00Z</dcterms:created>
  <dcterms:modified xsi:type="dcterms:W3CDTF">2010-07-07T13:14:00Z</dcterms:modified>
</cp:coreProperties>
</file>