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41" w:rsidRDefault="00D37A41" w:rsidP="005B600A">
      <w:pPr>
        <w:rPr>
          <w:b/>
          <w:bCs/>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144"/>
      </w:tblGrid>
      <w:tr w:rsidR="007B3125" w:rsidTr="003B4EDC">
        <w:tblPrEx>
          <w:tblCellMar>
            <w:top w:w="0" w:type="dxa"/>
            <w:bottom w:w="0" w:type="dxa"/>
          </w:tblCellMar>
        </w:tblPrEx>
        <w:tc>
          <w:tcPr>
            <w:tcW w:w="1560" w:type="dxa"/>
            <w:tcBorders>
              <w:top w:val="nil"/>
              <w:left w:val="nil"/>
              <w:bottom w:val="single" w:sz="4" w:space="0" w:color="auto"/>
              <w:right w:val="nil"/>
            </w:tcBorders>
          </w:tcPr>
          <w:p w:rsidR="007B3125" w:rsidRDefault="007B3125" w:rsidP="003B4EDC">
            <w:pPr>
              <w:spacing w:before="240"/>
              <w:rPr>
                <w:rFonts w:ascii="Univers" w:hAnsi="Univers"/>
                <w:b/>
                <w:sz w:val="16"/>
              </w:rPr>
            </w:pPr>
            <w:r w:rsidRPr="00AB7A4C">
              <w:rPr>
                <w:rFonts w:ascii="Univers" w:hAnsi="Univers"/>
                <w:b/>
                <w:sz w:val="28"/>
              </w:rPr>
              <w:t>UNITED</w:t>
            </w:r>
            <w:r w:rsidRPr="00AB7A4C">
              <w:rPr>
                <w:rFonts w:ascii="Univers" w:hAnsi="Univers"/>
                <w:b/>
                <w:sz w:val="28"/>
              </w:rPr>
              <w:br/>
              <w:t>NATIONS</w:t>
            </w:r>
          </w:p>
        </w:tc>
        <w:tc>
          <w:tcPr>
            <w:tcW w:w="4536" w:type="dxa"/>
            <w:tcBorders>
              <w:top w:val="nil"/>
              <w:left w:val="nil"/>
              <w:bottom w:val="single" w:sz="4" w:space="0" w:color="auto"/>
              <w:right w:val="nil"/>
            </w:tcBorders>
          </w:tcPr>
          <w:p w:rsidR="007B3125" w:rsidRPr="007B3125" w:rsidRDefault="007B3125" w:rsidP="003B4EDC">
            <w:pPr>
              <w:rPr>
                <w:b/>
                <w:bCs/>
                <w:color w:val="FF0000"/>
                <w:sz w:val="28"/>
                <w:szCs w:val="28"/>
              </w:rPr>
            </w:pPr>
          </w:p>
        </w:tc>
        <w:tc>
          <w:tcPr>
            <w:tcW w:w="3144" w:type="dxa"/>
            <w:tcBorders>
              <w:top w:val="nil"/>
              <w:left w:val="nil"/>
              <w:bottom w:val="single" w:sz="4" w:space="0" w:color="auto"/>
              <w:right w:val="nil"/>
            </w:tcBorders>
            <w:vAlign w:val="bottom"/>
          </w:tcPr>
          <w:p w:rsidR="007B3125" w:rsidRDefault="007B3125" w:rsidP="003B4EDC">
            <w:pPr>
              <w:jc w:val="right"/>
              <w:rPr>
                <w:rFonts w:ascii="Univers" w:hAnsi="Univers"/>
                <w:b/>
                <w:sz w:val="72"/>
              </w:rPr>
            </w:pPr>
            <w:r w:rsidRPr="00AB7A4C">
              <w:rPr>
                <w:rFonts w:ascii="Univers" w:hAnsi="Univers"/>
                <w:b/>
                <w:sz w:val="72"/>
              </w:rPr>
              <w:t>CCPR</w:t>
            </w:r>
          </w:p>
        </w:tc>
      </w:tr>
      <w:bookmarkStart w:id="0" w:name="_MON_992683081"/>
      <w:bookmarkStart w:id="1" w:name="_MON_1114341848"/>
      <w:bookmarkStart w:id="2" w:name="_MON_1224661717"/>
      <w:bookmarkEnd w:id="0"/>
      <w:bookmarkEnd w:id="1"/>
      <w:bookmarkEnd w:id="2"/>
      <w:tr w:rsidR="007B3125" w:rsidTr="003B4EDC">
        <w:tblPrEx>
          <w:tblCellMar>
            <w:top w:w="0" w:type="dxa"/>
            <w:bottom w:w="0" w:type="dxa"/>
          </w:tblCellMar>
        </w:tblPrEx>
        <w:tc>
          <w:tcPr>
            <w:tcW w:w="1560" w:type="dxa"/>
            <w:tcBorders>
              <w:top w:val="single" w:sz="4" w:space="0" w:color="auto"/>
              <w:left w:val="nil"/>
              <w:bottom w:val="single" w:sz="36" w:space="0" w:color="auto"/>
              <w:right w:val="nil"/>
            </w:tcBorders>
          </w:tcPr>
          <w:p w:rsidR="007B3125" w:rsidRDefault="007B3125" w:rsidP="003B4EDC">
            <w:r w:rsidRPr="00AB7A4C">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o:ole="" fillcolor="window">
                  <v:imagedata r:id="rId7" o:title=""/>
                </v:shape>
                <o:OLEObject Type="Embed" ProgID="Word.Picture.8" ShapeID="_x0000_i1025" DrawAspect="Content" ObjectID="_1392974285" r:id="rId8"/>
              </w:object>
            </w:r>
          </w:p>
        </w:tc>
        <w:tc>
          <w:tcPr>
            <w:tcW w:w="4536" w:type="dxa"/>
            <w:tcBorders>
              <w:top w:val="single" w:sz="4" w:space="0" w:color="auto"/>
              <w:left w:val="nil"/>
              <w:bottom w:val="single" w:sz="36" w:space="0" w:color="auto"/>
              <w:right w:val="nil"/>
            </w:tcBorders>
          </w:tcPr>
          <w:p w:rsidR="007B3125" w:rsidRPr="00AB7A4C" w:rsidRDefault="007B3125" w:rsidP="003B4EDC">
            <w:pPr>
              <w:spacing w:before="360"/>
              <w:rPr>
                <w:rFonts w:ascii="Univers (W1)" w:hAnsi="Univers (W1)"/>
                <w:sz w:val="32"/>
              </w:rPr>
            </w:pPr>
            <w:r w:rsidRPr="00AB7A4C">
              <w:rPr>
                <w:rFonts w:ascii="Univers" w:hAnsi="Univers"/>
                <w:b/>
                <w:sz w:val="36"/>
              </w:rPr>
              <w:t>International covenant</w:t>
            </w:r>
            <w:r w:rsidRPr="00AB7A4C">
              <w:rPr>
                <w:rFonts w:ascii="Univers" w:hAnsi="Univers"/>
                <w:b/>
                <w:sz w:val="36"/>
              </w:rPr>
              <w:br/>
              <w:t>on civil and</w:t>
            </w:r>
            <w:r w:rsidRPr="00AB7A4C">
              <w:rPr>
                <w:rFonts w:ascii="Univers" w:hAnsi="Univers"/>
                <w:b/>
                <w:sz w:val="36"/>
              </w:rPr>
              <w:br/>
              <w:t>political rights</w:t>
            </w:r>
          </w:p>
          <w:p w:rsidR="007B3125" w:rsidRDefault="007B3125" w:rsidP="003B4EDC">
            <w:pPr>
              <w:spacing w:before="360"/>
              <w:rPr>
                <w:rFonts w:ascii="Univers" w:hAnsi="Univers"/>
                <w:sz w:val="32"/>
              </w:rPr>
            </w:pPr>
          </w:p>
        </w:tc>
        <w:tc>
          <w:tcPr>
            <w:tcW w:w="3144" w:type="dxa"/>
            <w:tcBorders>
              <w:top w:val="single" w:sz="4" w:space="0" w:color="auto"/>
              <w:left w:val="nil"/>
              <w:bottom w:val="single" w:sz="36" w:space="0" w:color="auto"/>
              <w:right w:val="nil"/>
            </w:tcBorders>
          </w:tcPr>
          <w:p w:rsidR="007B3125" w:rsidRDefault="007B3125" w:rsidP="003B4EDC"/>
          <w:p w:rsidR="007B3125" w:rsidRDefault="007B3125" w:rsidP="003B4EDC">
            <w:pPr>
              <w:tabs>
                <w:tab w:val="left" w:pos="3144"/>
              </w:tabs>
            </w:pPr>
            <w:r w:rsidRPr="004D0EA3">
              <w:t>Distr.</w:t>
            </w:r>
            <w:r w:rsidRPr="004D0EA3">
              <w:br/>
            </w:r>
            <w:r>
              <w:t>GENERAL</w:t>
            </w:r>
          </w:p>
          <w:p w:rsidR="007B3125" w:rsidRPr="004D0EA3" w:rsidRDefault="007B3125" w:rsidP="003B4EDC">
            <w:pPr>
              <w:tabs>
                <w:tab w:val="left" w:pos="3144"/>
              </w:tabs>
            </w:pPr>
          </w:p>
          <w:p w:rsidR="007B3125" w:rsidRDefault="007B3125" w:rsidP="00244B0B">
            <w:r w:rsidRPr="004D0EA3">
              <w:rPr>
                <w:color w:val="000000"/>
              </w:rPr>
              <w:t>CCPR/C/</w:t>
            </w:r>
            <w:r>
              <w:rPr>
                <w:color w:val="000000"/>
              </w:rPr>
              <w:t>CHE/CO/3</w:t>
            </w:r>
            <w:r w:rsidRPr="004D0EA3">
              <w:br/>
            </w:r>
            <w:r w:rsidR="004A44F1">
              <w:t xml:space="preserve">3 </w:t>
            </w:r>
            <w:r w:rsidR="00137005">
              <w:t xml:space="preserve">November </w:t>
            </w:r>
            <w:r>
              <w:t>2009</w:t>
            </w:r>
          </w:p>
          <w:p w:rsidR="007B3125" w:rsidRPr="004D0EA3" w:rsidRDefault="007B3125" w:rsidP="003B4EDC"/>
          <w:p w:rsidR="007B3125" w:rsidRDefault="007B3125" w:rsidP="003B4EDC">
            <w:r w:rsidRPr="004D0EA3">
              <w:t xml:space="preserve">Original: </w:t>
            </w:r>
            <w:fldSimple w:instr=" FILLIN &quot;Orig. Lang.&quot; \* MERGEFORMAT ">
              <w:r w:rsidRPr="004D0EA3">
                <w:t>ENGLISH</w:t>
              </w:r>
            </w:fldSimple>
          </w:p>
        </w:tc>
      </w:tr>
    </w:tbl>
    <w:p w:rsidR="007B3125" w:rsidRDefault="007B3125" w:rsidP="005B600A">
      <w:pPr>
        <w:rPr>
          <w:b/>
          <w:bCs/>
        </w:rPr>
      </w:pPr>
    </w:p>
    <w:p w:rsidR="00D37A41" w:rsidRDefault="00D37A41" w:rsidP="005B600A">
      <w:pPr>
        <w:rPr>
          <w:b/>
          <w:bCs/>
        </w:rPr>
      </w:pPr>
    </w:p>
    <w:p w:rsidR="00850732" w:rsidRPr="005B600A" w:rsidRDefault="00850732" w:rsidP="00577305">
      <w:pPr>
        <w:spacing w:after="480"/>
      </w:pPr>
      <w:r w:rsidRPr="005B600A">
        <w:t>HUMAN RIGHTS COMMITTEE</w:t>
      </w:r>
      <w:r w:rsidRPr="005B600A">
        <w:br/>
        <w:t>Ninety-s</w:t>
      </w:r>
      <w:r w:rsidR="00D705E7">
        <w:t>eventh</w:t>
      </w:r>
      <w:r w:rsidRPr="005B600A">
        <w:t xml:space="preserve"> session</w:t>
      </w:r>
      <w:r w:rsidRPr="005B600A">
        <w:br/>
      </w:r>
      <w:smartTag w:uri="urn:schemas-microsoft-com:office:smarttags" w:element="place">
        <w:smartTag w:uri="urn:schemas-microsoft-com:office:smarttags" w:element="City">
          <w:r w:rsidRPr="005B600A">
            <w:t>Geneva</w:t>
          </w:r>
        </w:smartTag>
      </w:smartTag>
      <w:r w:rsidRPr="005B600A">
        <w:t xml:space="preserve">, </w:t>
      </w:r>
      <w:r w:rsidR="00D705E7">
        <w:t>12-30 October</w:t>
      </w:r>
      <w:r w:rsidRPr="005B600A">
        <w:t xml:space="preserve"> 2009</w:t>
      </w:r>
    </w:p>
    <w:p w:rsidR="00850732" w:rsidRDefault="00850732" w:rsidP="00577305">
      <w:pPr>
        <w:pStyle w:val="Heading1"/>
        <w:spacing w:after="0"/>
      </w:pPr>
      <w:r>
        <w:t>CONSIDERATION OF REPORTS SUBMITTED BY STATES PARTIES</w:t>
      </w:r>
      <w:r>
        <w:br/>
        <w:t>UNDER ARTICLE 40 OF THE COVENANT</w:t>
      </w:r>
    </w:p>
    <w:p w:rsidR="00850732" w:rsidRDefault="00850732">
      <w:pPr>
        <w:rPr>
          <w:lang w:eastAsia="en-US"/>
        </w:rPr>
      </w:pPr>
    </w:p>
    <w:p w:rsidR="00231887" w:rsidRDefault="00231887">
      <w:pPr>
        <w:pStyle w:val="Heading2"/>
        <w:spacing w:after="0"/>
      </w:pPr>
    </w:p>
    <w:p w:rsidR="00EC30B2" w:rsidRPr="00EC30B2" w:rsidRDefault="00EC30B2" w:rsidP="00EC30B2">
      <w:pPr>
        <w:jc w:val="center"/>
        <w:rPr>
          <w:b/>
          <w:bCs/>
          <w:lang w:eastAsia="en-US"/>
        </w:rPr>
      </w:pPr>
    </w:p>
    <w:p w:rsidR="00850732" w:rsidRDefault="00850732">
      <w:pPr>
        <w:pStyle w:val="Heading2"/>
        <w:spacing w:after="0"/>
      </w:pPr>
      <w:r>
        <w:t>Concluding observations of the Human Rights Committee</w:t>
      </w:r>
    </w:p>
    <w:p w:rsidR="00850732" w:rsidRDefault="00850732">
      <w:pPr>
        <w:rPr>
          <w:lang w:eastAsia="en-US"/>
        </w:rPr>
      </w:pPr>
    </w:p>
    <w:p w:rsidR="0063662B" w:rsidRDefault="0063662B">
      <w:pPr>
        <w:pStyle w:val="Heading1"/>
        <w:spacing w:after="0"/>
      </w:pPr>
    </w:p>
    <w:p w:rsidR="00850732" w:rsidRDefault="00D705E7">
      <w:pPr>
        <w:pStyle w:val="Heading1"/>
        <w:spacing w:after="0"/>
      </w:pPr>
      <w:smartTag w:uri="urn:schemas-microsoft-com:office:smarttags" w:element="place">
        <w:smartTag w:uri="urn:schemas-microsoft-com:office:smarttags" w:element="country-region">
          <w:r>
            <w:t>switzerland</w:t>
          </w:r>
        </w:smartTag>
      </w:smartTag>
    </w:p>
    <w:p w:rsidR="00850732" w:rsidRDefault="00850732">
      <w:pPr>
        <w:rPr>
          <w:lang w:eastAsia="en-US"/>
        </w:rPr>
      </w:pPr>
    </w:p>
    <w:p w:rsidR="00850732" w:rsidRDefault="00850732" w:rsidP="008E6E22">
      <w:pPr>
        <w:numPr>
          <w:ilvl w:val="0"/>
          <w:numId w:val="1"/>
        </w:numPr>
        <w:tabs>
          <w:tab w:val="clear" w:pos="360"/>
          <w:tab w:val="num" w:pos="0"/>
        </w:tabs>
        <w:autoSpaceDE w:val="0"/>
        <w:autoSpaceDN w:val="0"/>
        <w:adjustRightInd w:val="0"/>
        <w:ind w:left="0" w:firstLine="0"/>
        <w:jc w:val="both"/>
      </w:pPr>
      <w:r>
        <w:rPr>
          <w:rFonts w:ascii="Times New" w:hAnsi="Times New"/>
        </w:rPr>
        <w:t xml:space="preserve">The Committee considered the </w:t>
      </w:r>
      <w:r w:rsidR="00693B70">
        <w:rPr>
          <w:rFonts w:ascii="Times New" w:hAnsi="Times New"/>
        </w:rPr>
        <w:t>third</w:t>
      </w:r>
      <w:r>
        <w:rPr>
          <w:rFonts w:ascii="Times New" w:hAnsi="Times New"/>
        </w:rPr>
        <w:t xml:space="preserve"> periodic report submitted by </w:t>
      </w:r>
      <w:r w:rsidR="00693B70">
        <w:rPr>
          <w:rFonts w:ascii="Times New" w:hAnsi="Times New"/>
        </w:rPr>
        <w:t>Switzerland</w:t>
      </w:r>
      <w:r>
        <w:rPr>
          <w:rFonts w:ascii="Times New" w:hAnsi="Times New"/>
        </w:rPr>
        <w:t xml:space="preserve"> (CCPR/C/</w:t>
      </w:r>
      <w:r w:rsidR="00C23AFF">
        <w:rPr>
          <w:rFonts w:ascii="Times New" w:hAnsi="Times New"/>
        </w:rPr>
        <w:t>CH</w:t>
      </w:r>
      <w:r w:rsidR="004361ED">
        <w:rPr>
          <w:rFonts w:ascii="Times New" w:hAnsi="Times New"/>
        </w:rPr>
        <w:t>E</w:t>
      </w:r>
      <w:r w:rsidR="00C23AFF">
        <w:rPr>
          <w:rFonts w:ascii="Times New" w:hAnsi="Times New"/>
        </w:rPr>
        <w:t>/3</w:t>
      </w:r>
      <w:r>
        <w:rPr>
          <w:rFonts w:ascii="Times New" w:hAnsi="Times New"/>
        </w:rPr>
        <w:t>) at its 2</w:t>
      </w:r>
      <w:r w:rsidR="008E6E22">
        <w:rPr>
          <w:rFonts w:ascii="Times New" w:hAnsi="Times New"/>
        </w:rPr>
        <w:t>6</w:t>
      </w:r>
      <w:r w:rsidR="00693B70">
        <w:rPr>
          <w:rFonts w:ascii="Times New" w:hAnsi="Times New"/>
        </w:rPr>
        <w:t>57</w:t>
      </w:r>
      <w:r w:rsidR="003E610D">
        <w:rPr>
          <w:rFonts w:ascii="Times New" w:hAnsi="Times New"/>
        </w:rPr>
        <w:t>th</w:t>
      </w:r>
      <w:r>
        <w:rPr>
          <w:rFonts w:ascii="Times New" w:hAnsi="Times New"/>
        </w:rPr>
        <w:t xml:space="preserve"> and 2</w:t>
      </w:r>
      <w:r w:rsidR="008E6E22">
        <w:rPr>
          <w:rFonts w:ascii="Times New" w:hAnsi="Times New"/>
        </w:rPr>
        <w:t>6</w:t>
      </w:r>
      <w:r w:rsidR="00693B70">
        <w:rPr>
          <w:rFonts w:ascii="Times New" w:hAnsi="Times New"/>
        </w:rPr>
        <w:t>58</w:t>
      </w:r>
      <w:r w:rsidR="003E610D">
        <w:rPr>
          <w:rFonts w:ascii="Times New" w:hAnsi="Times New"/>
        </w:rPr>
        <w:t>th</w:t>
      </w:r>
      <w:r w:rsidR="00693B70">
        <w:rPr>
          <w:rFonts w:ascii="Times New" w:hAnsi="Times New"/>
        </w:rPr>
        <w:t xml:space="preserve"> </w:t>
      </w:r>
      <w:r>
        <w:rPr>
          <w:rFonts w:ascii="Times New" w:hAnsi="Times New"/>
        </w:rPr>
        <w:t>meetings, held on 1</w:t>
      </w:r>
      <w:r w:rsidR="00693B70">
        <w:rPr>
          <w:rFonts w:ascii="Times New" w:hAnsi="Times New"/>
        </w:rPr>
        <w:t>2</w:t>
      </w:r>
      <w:r>
        <w:rPr>
          <w:rFonts w:ascii="Times New" w:hAnsi="Times New"/>
        </w:rPr>
        <w:t xml:space="preserve"> and 1</w:t>
      </w:r>
      <w:r w:rsidR="00693B70">
        <w:rPr>
          <w:rFonts w:ascii="Times New" w:hAnsi="Times New"/>
        </w:rPr>
        <w:t>3</w:t>
      </w:r>
      <w:r>
        <w:rPr>
          <w:rFonts w:ascii="Times New" w:hAnsi="Times New"/>
        </w:rPr>
        <w:t xml:space="preserve"> </w:t>
      </w:r>
      <w:r w:rsidR="00693B70">
        <w:rPr>
          <w:rFonts w:ascii="Times New" w:hAnsi="Times New"/>
        </w:rPr>
        <w:t xml:space="preserve">October </w:t>
      </w:r>
      <w:r>
        <w:rPr>
          <w:rFonts w:ascii="Times New" w:hAnsi="Times New"/>
        </w:rPr>
        <w:t>2009</w:t>
      </w:r>
      <w:r w:rsidR="00C23AFF">
        <w:rPr>
          <w:rFonts w:ascii="Times New" w:hAnsi="Times New"/>
        </w:rPr>
        <w:t xml:space="preserve"> (CCPR/C/SR.2</w:t>
      </w:r>
      <w:r w:rsidR="008E6E22">
        <w:rPr>
          <w:rFonts w:ascii="Times New" w:hAnsi="Times New"/>
        </w:rPr>
        <w:t>6</w:t>
      </w:r>
      <w:r w:rsidR="00C23AFF">
        <w:rPr>
          <w:rFonts w:ascii="Times New" w:hAnsi="Times New"/>
        </w:rPr>
        <w:t>57 and CCPR/C/SR.2</w:t>
      </w:r>
      <w:r w:rsidR="008E6E22">
        <w:rPr>
          <w:rFonts w:ascii="Times New" w:hAnsi="Times New"/>
        </w:rPr>
        <w:t>6</w:t>
      </w:r>
      <w:r w:rsidR="00C23AFF">
        <w:rPr>
          <w:rFonts w:ascii="Times New" w:hAnsi="Times New"/>
        </w:rPr>
        <w:t>58)</w:t>
      </w:r>
      <w:r>
        <w:rPr>
          <w:rFonts w:ascii="Times New" w:hAnsi="Times New"/>
        </w:rPr>
        <w:t>, and adopted the following concluding observations at its 2</w:t>
      </w:r>
      <w:r w:rsidR="008E6E22">
        <w:rPr>
          <w:rFonts w:ascii="Times New" w:hAnsi="Times New"/>
        </w:rPr>
        <w:t>6</w:t>
      </w:r>
      <w:r w:rsidR="00693B70">
        <w:rPr>
          <w:rFonts w:ascii="Times New" w:hAnsi="Times New"/>
        </w:rPr>
        <w:t>79</w:t>
      </w:r>
      <w:r w:rsidR="003E610D">
        <w:rPr>
          <w:rFonts w:ascii="Times New" w:hAnsi="Times New"/>
        </w:rPr>
        <w:t>th</w:t>
      </w:r>
      <w:r>
        <w:rPr>
          <w:rFonts w:ascii="Times New" w:hAnsi="Times New"/>
        </w:rPr>
        <w:t xml:space="preserve"> meeting</w:t>
      </w:r>
      <w:r w:rsidR="00C23AFF">
        <w:rPr>
          <w:rFonts w:ascii="Times New" w:hAnsi="Times New"/>
        </w:rPr>
        <w:t xml:space="preserve"> (CCPR/C/SR.2</w:t>
      </w:r>
      <w:r w:rsidR="008E6E22">
        <w:rPr>
          <w:rFonts w:ascii="Times New" w:hAnsi="Times New"/>
        </w:rPr>
        <w:t>6</w:t>
      </w:r>
      <w:r w:rsidR="00C23AFF">
        <w:rPr>
          <w:rFonts w:ascii="Times New" w:hAnsi="Times New"/>
        </w:rPr>
        <w:t>79)</w:t>
      </w:r>
      <w:r>
        <w:rPr>
          <w:rFonts w:ascii="Times New" w:hAnsi="Times New"/>
        </w:rPr>
        <w:t xml:space="preserve">, held on </w:t>
      </w:r>
      <w:r w:rsidR="00693B70">
        <w:rPr>
          <w:rFonts w:ascii="Times New" w:hAnsi="Times New"/>
        </w:rPr>
        <w:t>27</w:t>
      </w:r>
      <w:r>
        <w:rPr>
          <w:rFonts w:ascii="Times New" w:hAnsi="Times New"/>
        </w:rPr>
        <w:t xml:space="preserve"> </w:t>
      </w:r>
      <w:r w:rsidR="00693B70">
        <w:rPr>
          <w:rFonts w:ascii="Times New" w:hAnsi="Times New"/>
        </w:rPr>
        <w:t xml:space="preserve">October </w:t>
      </w:r>
      <w:r>
        <w:rPr>
          <w:rFonts w:ascii="Times New" w:hAnsi="Times New"/>
        </w:rPr>
        <w:t>2009</w:t>
      </w:r>
      <w:r>
        <w:t>.</w:t>
      </w:r>
    </w:p>
    <w:p w:rsidR="00850732" w:rsidRDefault="00850732">
      <w:pPr>
        <w:pStyle w:val="Heading2"/>
        <w:spacing w:after="0"/>
        <w:jc w:val="both"/>
      </w:pPr>
    </w:p>
    <w:p w:rsidR="00850732" w:rsidRDefault="00850732" w:rsidP="00D75DF9">
      <w:pPr>
        <w:pStyle w:val="Heading2"/>
        <w:numPr>
          <w:ilvl w:val="1"/>
          <w:numId w:val="1"/>
        </w:numPr>
        <w:tabs>
          <w:tab w:val="clear" w:pos="1080"/>
          <w:tab w:val="num" w:pos="0"/>
        </w:tabs>
        <w:spacing w:after="0"/>
        <w:ind w:left="0" w:firstLine="0"/>
      </w:pPr>
      <w:r>
        <w:t>Introduction</w:t>
      </w:r>
    </w:p>
    <w:p w:rsidR="00850732" w:rsidRDefault="00850732">
      <w:pPr>
        <w:ind w:left="1080"/>
        <w:rPr>
          <w:lang w:eastAsia="en-US"/>
        </w:rPr>
      </w:pPr>
    </w:p>
    <w:p w:rsidR="00850732" w:rsidRDefault="004A3327" w:rsidP="00F15AF6">
      <w:pPr>
        <w:jc w:val="both"/>
        <w:rPr>
          <w:b/>
          <w:color w:val="000000"/>
          <w:lang w:val="en-US"/>
        </w:rPr>
      </w:pPr>
      <w:r>
        <w:t>2.</w:t>
      </w:r>
      <w:r>
        <w:tab/>
      </w:r>
      <w:r w:rsidR="00850732">
        <w:t xml:space="preserve">The Committee welcomes the </w:t>
      </w:r>
      <w:r w:rsidR="006D12BD">
        <w:t xml:space="preserve">timely submission of the third report of </w:t>
      </w:r>
      <w:smartTag w:uri="urn:schemas-microsoft-com:office:smarttags" w:element="place">
        <w:smartTag w:uri="urn:schemas-microsoft-com:office:smarttags" w:element="country-region">
          <w:r w:rsidR="006D12BD">
            <w:t>Switzerland</w:t>
          </w:r>
        </w:smartTag>
      </w:smartTag>
      <w:r w:rsidR="006D12BD">
        <w:t xml:space="preserve"> </w:t>
      </w:r>
      <w:r w:rsidR="00850732">
        <w:t xml:space="preserve">which gives detailed information on measures adopted by the State party and on its forthcoming plans to further implement the Covenant. The Committee </w:t>
      </w:r>
      <w:r w:rsidR="006D12BD">
        <w:t>is also grateful to the State party for the written replies submitted in advance in response to the Committee’s written questions</w:t>
      </w:r>
      <w:r w:rsidR="004110C0">
        <w:t xml:space="preserve"> (</w:t>
      </w:r>
      <w:r w:rsidR="004110C0" w:rsidRPr="004110C0">
        <w:t>CCPR/C/CHE/Q/3/Add.1</w:t>
      </w:r>
      <w:r w:rsidR="004110C0">
        <w:t>)</w:t>
      </w:r>
      <w:r w:rsidR="003E610D">
        <w:t>,</w:t>
      </w:r>
      <w:r w:rsidR="006D12BD">
        <w:t xml:space="preserve"> as well as additional detailed information provided </w:t>
      </w:r>
      <w:r w:rsidR="00972495">
        <w:t xml:space="preserve">orally </w:t>
      </w:r>
      <w:r w:rsidR="007F368A">
        <w:t xml:space="preserve">by the delegation </w:t>
      </w:r>
      <w:r w:rsidR="006D12BD">
        <w:t xml:space="preserve">during the </w:t>
      </w:r>
      <w:r w:rsidR="00CE0D3C">
        <w:t>consideration of the report</w:t>
      </w:r>
      <w:r w:rsidR="00306D4D">
        <w:t>, and the supplementary written information</w:t>
      </w:r>
      <w:r w:rsidR="00CE0D3C">
        <w:t xml:space="preserve">. </w:t>
      </w:r>
      <w:r w:rsidR="007F368A">
        <w:t xml:space="preserve"> </w:t>
      </w:r>
      <w:r w:rsidR="00850732">
        <w:t xml:space="preserve"> </w:t>
      </w:r>
    </w:p>
    <w:p w:rsidR="00850732" w:rsidRDefault="00850732" w:rsidP="00F15AF6">
      <w:pPr>
        <w:pStyle w:val="Heading2"/>
        <w:spacing w:after="0"/>
        <w:jc w:val="both"/>
        <w:rPr>
          <w:lang w:val="en-US"/>
        </w:rPr>
      </w:pPr>
    </w:p>
    <w:p w:rsidR="00850732" w:rsidRDefault="00850732" w:rsidP="00F15AF6">
      <w:pPr>
        <w:pStyle w:val="Heading2"/>
        <w:spacing w:after="0"/>
      </w:pPr>
      <w:r>
        <w:t xml:space="preserve">B.  </w:t>
      </w:r>
      <w:r w:rsidR="00D75DF9">
        <w:tab/>
      </w:r>
      <w:r>
        <w:t>Positive aspects</w:t>
      </w:r>
    </w:p>
    <w:p w:rsidR="00850732" w:rsidRDefault="00850732" w:rsidP="00F15AF6">
      <w:pPr>
        <w:jc w:val="both"/>
      </w:pPr>
    </w:p>
    <w:p w:rsidR="00850732" w:rsidRDefault="004A3327" w:rsidP="00F15AF6">
      <w:pPr>
        <w:jc w:val="both"/>
      </w:pPr>
      <w:r>
        <w:t>3.</w:t>
      </w:r>
      <w:r>
        <w:tab/>
      </w:r>
      <w:r w:rsidR="00850732">
        <w:t>The Committee</w:t>
      </w:r>
      <w:r w:rsidR="00374D99">
        <w:t xml:space="preserve">, which notes the sustained attention paid by the </w:t>
      </w:r>
      <w:r w:rsidR="00193280">
        <w:t>State</w:t>
      </w:r>
      <w:r w:rsidR="00374D99">
        <w:t xml:space="preserve"> party to the protection of human rights,</w:t>
      </w:r>
      <w:r w:rsidR="00850732">
        <w:t xml:space="preserve"> </w:t>
      </w:r>
      <w:r w:rsidR="00306D4D">
        <w:t xml:space="preserve">generally </w:t>
      </w:r>
      <w:r w:rsidR="00850732">
        <w:t>welcomes the following</w:t>
      </w:r>
      <w:r w:rsidR="00850732" w:rsidRPr="00634968">
        <w:t xml:space="preserve"> </w:t>
      </w:r>
      <w:r w:rsidR="00850732">
        <w:t>legislative and other measures:</w:t>
      </w:r>
    </w:p>
    <w:p w:rsidR="00850732" w:rsidRDefault="00850732">
      <w:pPr>
        <w:ind w:left="720"/>
        <w:jc w:val="both"/>
      </w:pPr>
    </w:p>
    <w:p w:rsidR="00850732" w:rsidRPr="00CB4A6E" w:rsidRDefault="005D5DBC" w:rsidP="003E610D">
      <w:pPr>
        <w:numPr>
          <w:ilvl w:val="0"/>
          <w:numId w:val="6"/>
        </w:numPr>
        <w:tabs>
          <w:tab w:val="clear" w:pos="720"/>
        </w:tabs>
        <w:autoSpaceDE w:val="0"/>
        <w:autoSpaceDN w:val="0"/>
        <w:adjustRightInd w:val="0"/>
        <w:ind w:left="0" w:firstLine="720"/>
        <w:jc w:val="both"/>
        <w:rPr>
          <w:lang w:val="en-US"/>
        </w:rPr>
      </w:pPr>
      <w:r>
        <w:rPr>
          <w:lang w:val="en-US"/>
        </w:rPr>
        <w:t>T</w:t>
      </w:r>
      <w:r w:rsidR="00C23AFF">
        <w:rPr>
          <w:lang w:val="en-US"/>
        </w:rPr>
        <w:t xml:space="preserve">he adoption </w:t>
      </w:r>
      <w:r w:rsidR="00B70948">
        <w:rPr>
          <w:lang w:val="en-US"/>
        </w:rPr>
        <w:t>in 200</w:t>
      </w:r>
      <w:r w:rsidR="008363E2">
        <w:rPr>
          <w:lang w:val="en-US"/>
        </w:rPr>
        <w:t>7</w:t>
      </w:r>
      <w:r w:rsidR="00B70948">
        <w:rPr>
          <w:lang w:val="en-US"/>
        </w:rPr>
        <w:t xml:space="preserve"> </w:t>
      </w:r>
      <w:r w:rsidR="00C23AFF">
        <w:rPr>
          <w:lang w:val="en-US"/>
        </w:rPr>
        <w:t xml:space="preserve">of the </w:t>
      </w:r>
      <w:r>
        <w:rPr>
          <w:lang w:val="en-US"/>
        </w:rPr>
        <w:t xml:space="preserve">Federal </w:t>
      </w:r>
      <w:r w:rsidR="00C23AFF">
        <w:rPr>
          <w:lang w:val="en-US"/>
        </w:rPr>
        <w:t xml:space="preserve">Criminal Code of </w:t>
      </w:r>
      <w:r>
        <w:rPr>
          <w:lang w:val="en-US"/>
        </w:rPr>
        <w:t>P</w:t>
      </w:r>
      <w:r w:rsidR="00C23AFF">
        <w:rPr>
          <w:lang w:val="en-US"/>
        </w:rPr>
        <w:t xml:space="preserve">rocedure </w:t>
      </w:r>
      <w:r w:rsidR="00B70948">
        <w:rPr>
          <w:lang w:val="en-US"/>
        </w:rPr>
        <w:t xml:space="preserve">and </w:t>
      </w:r>
      <w:r w:rsidR="00D03B0B">
        <w:t xml:space="preserve">the </w:t>
      </w:r>
      <w:r w:rsidR="008363E2">
        <w:t>Swiss Code of Juvenile Criminal Procedure</w:t>
      </w:r>
      <w:r w:rsidR="00B70948">
        <w:t xml:space="preserve">, both due to </w:t>
      </w:r>
      <w:r w:rsidR="00D03B0B">
        <w:t xml:space="preserve">enter into force in 2011; </w:t>
      </w:r>
    </w:p>
    <w:p w:rsidR="00CB4A6E" w:rsidRDefault="00CB4A6E" w:rsidP="00CB4A6E">
      <w:pPr>
        <w:autoSpaceDE w:val="0"/>
        <w:autoSpaceDN w:val="0"/>
        <w:adjustRightInd w:val="0"/>
        <w:jc w:val="both"/>
        <w:rPr>
          <w:lang w:val="en-US"/>
        </w:rPr>
      </w:pPr>
    </w:p>
    <w:p w:rsidR="00850732" w:rsidRPr="00CB4A6E" w:rsidRDefault="005D5DBC" w:rsidP="003E610D">
      <w:pPr>
        <w:numPr>
          <w:ilvl w:val="0"/>
          <w:numId w:val="6"/>
        </w:numPr>
        <w:tabs>
          <w:tab w:val="clear" w:pos="720"/>
        </w:tabs>
        <w:autoSpaceDE w:val="0"/>
        <w:autoSpaceDN w:val="0"/>
        <w:adjustRightInd w:val="0"/>
        <w:ind w:left="0" w:firstLine="720"/>
        <w:jc w:val="both"/>
        <w:rPr>
          <w:lang w:val="en-US"/>
        </w:rPr>
      </w:pPr>
      <w:r>
        <w:t>T</w:t>
      </w:r>
      <w:r w:rsidR="00850732">
        <w:t xml:space="preserve">he </w:t>
      </w:r>
      <w:r w:rsidR="00CB7F1F">
        <w:t xml:space="preserve">revision of the </w:t>
      </w:r>
      <w:r>
        <w:t>F</w:t>
      </w:r>
      <w:r w:rsidR="00CB7F1F">
        <w:t xml:space="preserve">ederal </w:t>
      </w:r>
      <w:r>
        <w:t>L</w:t>
      </w:r>
      <w:r w:rsidR="00CB7F1F">
        <w:t xml:space="preserve">aw on </w:t>
      </w:r>
      <w:r>
        <w:t>C</w:t>
      </w:r>
      <w:r w:rsidR="00CB7F1F">
        <w:t xml:space="preserve">ompensation </w:t>
      </w:r>
      <w:r w:rsidR="00B70948">
        <w:t>for</w:t>
      </w:r>
      <w:r w:rsidR="00CB7F1F">
        <w:t xml:space="preserve"> </w:t>
      </w:r>
      <w:r>
        <w:t>V</w:t>
      </w:r>
      <w:r w:rsidR="00CB7F1F">
        <w:t xml:space="preserve">ictims of </w:t>
      </w:r>
      <w:r>
        <w:t>O</w:t>
      </w:r>
      <w:r w:rsidR="00CB7F1F">
        <w:t xml:space="preserve">ffences (LAVI) which entered into force in 2009; </w:t>
      </w:r>
    </w:p>
    <w:p w:rsidR="00CB4A6E" w:rsidRDefault="00CB4A6E" w:rsidP="00CB4A6E">
      <w:pPr>
        <w:autoSpaceDE w:val="0"/>
        <w:autoSpaceDN w:val="0"/>
        <w:adjustRightInd w:val="0"/>
        <w:jc w:val="both"/>
        <w:rPr>
          <w:lang w:val="en-US"/>
        </w:rPr>
      </w:pPr>
    </w:p>
    <w:p w:rsidR="00CB7F1F" w:rsidRPr="00CB7F1F" w:rsidRDefault="005D5DBC" w:rsidP="003E610D">
      <w:pPr>
        <w:numPr>
          <w:ilvl w:val="0"/>
          <w:numId w:val="6"/>
        </w:numPr>
        <w:tabs>
          <w:tab w:val="clear" w:pos="720"/>
        </w:tabs>
        <w:autoSpaceDE w:val="0"/>
        <w:autoSpaceDN w:val="0"/>
        <w:adjustRightInd w:val="0"/>
        <w:ind w:left="0" w:firstLine="720"/>
        <w:jc w:val="both"/>
        <w:rPr>
          <w:lang w:val="en-US"/>
        </w:rPr>
      </w:pPr>
      <w:r>
        <w:t>T</w:t>
      </w:r>
      <w:r w:rsidR="00850732">
        <w:t xml:space="preserve">he </w:t>
      </w:r>
      <w:r w:rsidR="00CB7F1F">
        <w:t>revision of the Constitution</w:t>
      </w:r>
      <w:r w:rsidR="00B70948">
        <w:t xml:space="preserve"> </w:t>
      </w:r>
      <w:r w:rsidR="00972495">
        <w:t xml:space="preserve">in order </w:t>
      </w:r>
      <w:r w:rsidR="00B70948">
        <w:t xml:space="preserve">to reinforce </w:t>
      </w:r>
      <w:r w:rsidR="00CB7F1F">
        <w:t>guarantee</w:t>
      </w:r>
      <w:r>
        <w:t>s</w:t>
      </w:r>
      <w:r w:rsidR="00B70948">
        <w:t xml:space="preserve"> </w:t>
      </w:r>
      <w:r>
        <w:t xml:space="preserve">regarding </w:t>
      </w:r>
      <w:r w:rsidR="00CB7F1F">
        <w:t xml:space="preserve">access to </w:t>
      </w:r>
      <w:r>
        <w:t xml:space="preserve">justice and </w:t>
      </w:r>
      <w:r w:rsidR="00CB7F1F">
        <w:t>the independence</w:t>
      </w:r>
      <w:r w:rsidR="00B70948">
        <w:t xml:space="preserve"> of the judiciary</w:t>
      </w:r>
      <w:r w:rsidR="006D6999">
        <w:t>;</w:t>
      </w:r>
      <w:r>
        <w:t xml:space="preserve"> </w:t>
      </w:r>
    </w:p>
    <w:p w:rsidR="00CB7F1F" w:rsidRDefault="00CB7F1F" w:rsidP="00CB7F1F">
      <w:pPr>
        <w:autoSpaceDE w:val="0"/>
        <w:autoSpaceDN w:val="0"/>
        <w:adjustRightInd w:val="0"/>
        <w:jc w:val="both"/>
      </w:pPr>
    </w:p>
    <w:p w:rsidR="004734FF" w:rsidRPr="007E5B80" w:rsidRDefault="005D5DBC" w:rsidP="003E610D">
      <w:pPr>
        <w:numPr>
          <w:ilvl w:val="0"/>
          <w:numId w:val="6"/>
        </w:numPr>
        <w:tabs>
          <w:tab w:val="clear" w:pos="720"/>
        </w:tabs>
        <w:autoSpaceDE w:val="0"/>
        <w:autoSpaceDN w:val="0"/>
        <w:adjustRightInd w:val="0"/>
        <w:ind w:left="0" w:firstLine="720"/>
        <w:jc w:val="both"/>
        <w:rPr>
          <w:lang w:val="en-US"/>
        </w:rPr>
      </w:pPr>
      <w:r>
        <w:t>T</w:t>
      </w:r>
      <w:r w:rsidR="00F23C4D">
        <w:t xml:space="preserve">he adoption </w:t>
      </w:r>
      <w:r w:rsidR="00B968D2">
        <w:t xml:space="preserve">in 2002 of </w:t>
      </w:r>
      <w:r w:rsidR="00BE3521">
        <w:t xml:space="preserve">the </w:t>
      </w:r>
      <w:r>
        <w:t>F</w:t>
      </w:r>
      <w:r w:rsidR="00F23C4D">
        <w:t xml:space="preserve">ederal </w:t>
      </w:r>
      <w:r>
        <w:t>L</w:t>
      </w:r>
      <w:r w:rsidR="00F23C4D">
        <w:t xml:space="preserve">aw on </w:t>
      </w:r>
      <w:r w:rsidR="00BE3521">
        <w:t xml:space="preserve">the </w:t>
      </w:r>
      <w:r w:rsidR="00176869">
        <w:t>E</w:t>
      </w:r>
      <w:r w:rsidR="00F23C4D">
        <w:t xml:space="preserve">limination of </w:t>
      </w:r>
      <w:r w:rsidR="00176869">
        <w:t>D</w:t>
      </w:r>
      <w:r w:rsidR="00B968D2">
        <w:t xml:space="preserve">iscrimination </w:t>
      </w:r>
      <w:r w:rsidR="00CB7F1F">
        <w:t xml:space="preserve">against </w:t>
      </w:r>
      <w:r w:rsidR="00176869">
        <w:t>P</w:t>
      </w:r>
      <w:r w:rsidR="00F23C4D">
        <w:t xml:space="preserve">ersons with </w:t>
      </w:r>
      <w:r w:rsidR="00176869">
        <w:t>D</w:t>
      </w:r>
      <w:r w:rsidR="00F23C4D">
        <w:t>isabilities</w:t>
      </w:r>
      <w:r w:rsidR="00B968D2">
        <w:t xml:space="preserve">, </w:t>
      </w:r>
      <w:r w:rsidR="00972495">
        <w:t xml:space="preserve">which </w:t>
      </w:r>
      <w:r w:rsidR="00B968D2">
        <w:t xml:space="preserve">entered into force in </w:t>
      </w:r>
      <w:r w:rsidR="007676BE">
        <w:t xml:space="preserve">January </w:t>
      </w:r>
      <w:r w:rsidR="00B968D2">
        <w:t>200</w:t>
      </w:r>
      <w:r w:rsidR="007676BE">
        <w:t>4</w:t>
      </w:r>
      <w:r w:rsidR="004734FF">
        <w:t>;</w:t>
      </w:r>
    </w:p>
    <w:p w:rsidR="007E5B80" w:rsidRDefault="007E5B80" w:rsidP="007E5B80">
      <w:pPr>
        <w:autoSpaceDE w:val="0"/>
        <w:autoSpaceDN w:val="0"/>
        <w:adjustRightInd w:val="0"/>
        <w:jc w:val="both"/>
        <w:rPr>
          <w:lang w:val="en-US"/>
        </w:rPr>
      </w:pPr>
    </w:p>
    <w:p w:rsidR="004907B0" w:rsidRPr="007E5B80" w:rsidRDefault="00B442F1" w:rsidP="003E610D">
      <w:pPr>
        <w:numPr>
          <w:ilvl w:val="0"/>
          <w:numId w:val="6"/>
        </w:numPr>
        <w:tabs>
          <w:tab w:val="clear" w:pos="720"/>
        </w:tabs>
        <w:autoSpaceDE w:val="0"/>
        <w:autoSpaceDN w:val="0"/>
        <w:adjustRightInd w:val="0"/>
        <w:ind w:left="0" w:firstLine="720"/>
        <w:jc w:val="both"/>
        <w:rPr>
          <w:lang w:val="en-US"/>
        </w:rPr>
      </w:pPr>
      <w:r w:rsidRPr="00B442F1">
        <w:t xml:space="preserve">The </w:t>
      </w:r>
      <w:r>
        <w:t xml:space="preserve">Act </w:t>
      </w:r>
      <w:r w:rsidR="00C30FBF">
        <w:t xml:space="preserve">on </w:t>
      </w:r>
      <w:r>
        <w:t xml:space="preserve">the </w:t>
      </w:r>
      <w:r w:rsidR="003E610D">
        <w:t>U</w:t>
      </w:r>
      <w:r>
        <w:t xml:space="preserve">se of </w:t>
      </w:r>
      <w:r w:rsidR="003E610D">
        <w:t>F</w:t>
      </w:r>
      <w:r>
        <w:t xml:space="preserve">orce and </w:t>
      </w:r>
      <w:r w:rsidR="003E610D">
        <w:t>P</w:t>
      </w:r>
      <w:r>
        <w:t xml:space="preserve">olice </w:t>
      </w:r>
      <w:r w:rsidR="003E610D">
        <w:t>M</w:t>
      </w:r>
      <w:r>
        <w:t>easures of 20 March 2008;</w:t>
      </w:r>
      <w:r w:rsidR="007E613C">
        <w:t xml:space="preserve"> </w:t>
      </w:r>
    </w:p>
    <w:p w:rsidR="004907B0" w:rsidRDefault="004907B0" w:rsidP="004734FF">
      <w:pPr>
        <w:autoSpaceDE w:val="0"/>
        <w:autoSpaceDN w:val="0"/>
        <w:adjustRightInd w:val="0"/>
        <w:jc w:val="both"/>
      </w:pPr>
    </w:p>
    <w:p w:rsidR="00B968D2" w:rsidRPr="00B968D2" w:rsidRDefault="004734FF" w:rsidP="00E232F7">
      <w:pPr>
        <w:numPr>
          <w:ilvl w:val="0"/>
          <w:numId w:val="6"/>
        </w:numPr>
        <w:tabs>
          <w:tab w:val="clear" w:pos="720"/>
        </w:tabs>
        <w:autoSpaceDE w:val="0"/>
        <w:autoSpaceDN w:val="0"/>
        <w:adjustRightInd w:val="0"/>
        <w:ind w:left="0" w:firstLine="720"/>
        <w:jc w:val="both"/>
        <w:rPr>
          <w:lang w:val="en-US"/>
        </w:rPr>
      </w:pPr>
      <w:r>
        <w:t xml:space="preserve">The withdrawal of reservations to articles </w:t>
      </w:r>
      <w:r w:rsidR="00B144DF">
        <w:t>10</w:t>
      </w:r>
      <w:r w:rsidR="003E610D">
        <w:t>, paragraph</w:t>
      </w:r>
      <w:r w:rsidR="00B144DF">
        <w:t xml:space="preserve"> 2 </w:t>
      </w:r>
      <w:r w:rsidR="00E232F7">
        <w:t>(</w:t>
      </w:r>
      <w:r w:rsidR="00B144DF" w:rsidRPr="003E610D">
        <w:t>b</w:t>
      </w:r>
      <w:r w:rsidR="00B144DF">
        <w:t>), 14</w:t>
      </w:r>
      <w:r w:rsidR="003E610D">
        <w:t xml:space="preserve">, paragraphs </w:t>
      </w:r>
      <w:r w:rsidR="00B144DF">
        <w:t xml:space="preserve">1, 3 </w:t>
      </w:r>
      <w:r w:rsidR="00E232F7">
        <w:t>(</w:t>
      </w:r>
      <w:r w:rsidR="00B144DF" w:rsidRPr="003E610D">
        <w:t>d</w:t>
      </w:r>
      <w:r w:rsidR="00E232F7">
        <w:t>) and</w:t>
      </w:r>
      <w:r w:rsidR="00B144DF" w:rsidRPr="003E610D">
        <w:t xml:space="preserve"> </w:t>
      </w:r>
      <w:r w:rsidR="00E232F7">
        <w:t>(</w:t>
      </w:r>
      <w:r w:rsidR="00B144DF" w:rsidRPr="003E610D">
        <w:t>f</w:t>
      </w:r>
      <w:r w:rsidR="00B144DF">
        <w:t>) and 5 of the Covenant.</w:t>
      </w:r>
    </w:p>
    <w:p w:rsidR="00850732" w:rsidRDefault="00850732">
      <w:pPr>
        <w:autoSpaceDE w:val="0"/>
        <w:autoSpaceDN w:val="0"/>
        <w:adjustRightInd w:val="0"/>
        <w:ind w:left="720"/>
      </w:pPr>
    </w:p>
    <w:p w:rsidR="00850732" w:rsidRDefault="00850732">
      <w:pPr>
        <w:pStyle w:val="Heading2"/>
        <w:spacing w:after="0"/>
      </w:pPr>
      <w:r>
        <w:t xml:space="preserve">C.  </w:t>
      </w:r>
      <w:r w:rsidR="00D75DF9">
        <w:tab/>
      </w:r>
      <w:r>
        <w:t>Principal matters of concern and recommendations</w:t>
      </w:r>
    </w:p>
    <w:p w:rsidR="00850732" w:rsidRDefault="00850732">
      <w:pPr>
        <w:jc w:val="both"/>
      </w:pPr>
    </w:p>
    <w:p w:rsidR="00850732" w:rsidRDefault="004A3327" w:rsidP="00E232F7">
      <w:pPr>
        <w:jc w:val="both"/>
      </w:pPr>
      <w:r>
        <w:t>4.</w:t>
      </w:r>
      <w:r>
        <w:tab/>
      </w:r>
      <w:r w:rsidR="00B64E2F">
        <w:t>T</w:t>
      </w:r>
      <w:r w:rsidR="00850732">
        <w:t>he Committee</w:t>
      </w:r>
      <w:r w:rsidR="00085359">
        <w:t xml:space="preserve"> is concerned </w:t>
      </w:r>
      <w:r w:rsidR="00B237A7">
        <w:t>that the State party maintains reservations to articles 12</w:t>
      </w:r>
      <w:r w:rsidR="00E232F7">
        <w:t>, paragraph</w:t>
      </w:r>
      <w:r w:rsidR="00B237A7">
        <w:t xml:space="preserve"> 1, 20</w:t>
      </w:r>
      <w:r w:rsidR="00E232F7">
        <w:t xml:space="preserve">, paragraph </w:t>
      </w:r>
      <w:r w:rsidR="00B237A7">
        <w:t>1, 25</w:t>
      </w:r>
      <w:r w:rsidR="00E232F7">
        <w:t xml:space="preserve"> </w:t>
      </w:r>
      <w:r w:rsidR="00B237A7">
        <w:t xml:space="preserve">(b) and 26. </w:t>
      </w:r>
      <w:r w:rsidR="00850732">
        <w:t xml:space="preserve">With regard to the reservation to article </w:t>
      </w:r>
      <w:r w:rsidR="00B237A7">
        <w:t>26</w:t>
      </w:r>
      <w:r w:rsidR="003A4C98">
        <w:t xml:space="preserve"> of the Covenant</w:t>
      </w:r>
      <w:r w:rsidR="00850732">
        <w:t xml:space="preserve">, the Committee takes note of the State party’s </w:t>
      </w:r>
      <w:r w:rsidR="0072181C">
        <w:t>com</w:t>
      </w:r>
      <w:r w:rsidR="00850732">
        <w:t>ment that</w:t>
      </w:r>
      <w:r w:rsidR="0072181C">
        <w:t xml:space="preserve"> it </w:t>
      </w:r>
      <w:r w:rsidR="00BB625C">
        <w:t>may review its</w:t>
      </w:r>
      <w:r w:rsidR="0072181C">
        <w:t xml:space="preserve"> </w:t>
      </w:r>
      <w:r w:rsidR="00BB625C">
        <w:t>position and</w:t>
      </w:r>
      <w:r w:rsidR="00BE3521">
        <w:t xml:space="preserve"> </w:t>
      </w:r>
      <w:r w:rsidR="00BB625C">
        <w:t>consider withdrawing</w:t>
      </w:r>
      <w:r w:rsidR="0072181C">
        <w:t xml:space="preserve"> </w:t>
      </w:r>
      <w:r w:rsidR="003A4C98">
        <w:t xml:space="preserve">this reservation </w:t>
      </w:r>
      <w:r w:rsidR="00BB625C">
        <w:t>following ratification</w:t>
      </w:r>
      <w:r w:rsidR="00C044F8">
        <w:t xml:space="preserve"> of Protocol 14 to the European Convention of </w:t>
      </w:r>
      <w:r w:rsidR="0072181C">
        <w:t>H</w:t>
      </w:r>
      <w:r w:rsidR="00C044F8">
        <w:t xml:space="preserve">uman </w:t>
      </w:r>
      <w:r w:rsidR="0072181C">
        <w:t>R</w:t>
      </w:r>
      <w:r w:rsidR="00C044F8">
        <w:t>ights</w:t>
      </w:r>
      <w:r w:rsidR="0072181C">
        <w:t>.</w:t>
      </w:r>
      <w:r w:rsidR="00C044F8">
        <w:t xml:space="preserve"> </w:t>
      </w:r>
    </w:p>
    <w:p w:rsidR="00850732" w:rsidRDefault="00850732">
      <w:pPr>
        <w:jc w:val="both"/>
      </w:pPr>
    </w:p>
    <w:p w:rsidR="00850732" w:rsidRDefault="00850732" w:rsidP="00886787">
      <w:pPr>
        <w:ind w:left="720"/>
        <w:jc w:val="both"/>
        <w:rPr>
          <w:b/>
        </w:rPr>
      </w:pPr>
      <w:r>
        <w:rPr>
          <w:b/>
        </w:rPr>
        <w:t xml:space="preserve">The State party should </w:t>
      </w:r>
      <w:r w:rsidR="00507638">
        <w:rPr>
          <w:b/>
        </w:rPr>
        <w:t xml:space="preserve">consider </w:t>
      </w:r>
      <w:r>
        <w:rPr>
          <w:b/>
        </w:rPr>
        <w:t>withdraw</w:t>
      </w:r>
      <w:r w:rsidR="00507638">
        <w:rPr>
          <w:b/>
        </w:rPr>
        <w:t>ing</w:t>
      </w:r>
      <w:r>
        <w:rPr>
          <w:b/>
        </w:rPr>
        <w:t xml:space="preserve"> its </w:t>
      </w:r>
      <w:r w:rsidR="003A4C98">
        <w:rPr>
          <w:b/>
        </w:rPr>
        <w:t xml:space="preserve">remaining </w:t>
      </w:r>
      <w:r>
        <w:rPr>
          <w:b/>
        </w:rPr>
        <w:t>reservation</w:t>
      </w:r>
      <w:r w:rsidR="00507638">
        <w:rPr>
          <w:b/>
        </w:rPr>
        <w:t>s</w:t>
      </w:r>
      <w:r w:rsidR="003A4C98">
        <w:rPr>
          <w:b/>
        </w:rPr>
        <w:t xml:space="preserve"> to the Covenant</w:t>
      </w:r>
      <w:r w:rsidR="00886787">
        <w:rPr>
          <w:b/>
        </w:rPr>
        <w:t>.</w:t>
      </w:r>
      <w:r w:rsidR="00886787">
        <w:rPr>
          <w:b/>
          <w:strike/>
        </w:rPr>
        <w:t xml:space="preserve"> </w:t>
      </w:r>
    </w:p>
    <w:p w:rsidR="00850732" w:rsidRDefault="00850732">
      <w:pPr>
        <w:jc w:val="both"/>
      </w:pPr>
    </w:p>
    <w:p w:rsidR="00850732" w:rsidRDefault="004A3327" w:rsidP="00AD44B1">
      <w:pPr>
        <w:jc w:val="both"/>
      </w:pPr>
      <w:r>
        <w:t>5.</w:t>
      </w:r>
      <w:r>
        <w:tab/>
      </w:r>
      <w:r w:rsidR="003C24ED">
        <w:t xml:space="preserve">The Committee is concerned about </w:t>
      </w:r>
      <w:r w:rsidR="00696221">
        <w:t xml:space="preserve">the </w:t>
      </w:r>
      <w:r w:rsidR="003C24ED">
        <w:t>information provided in the r</w:t>
      </w:r>
      <w:r w:rsidR="00AC0060">
        <w:t>eplies to the list of issue</w:t>
      </w:r>
      <w:r w:rsidR="00E232F7">
        <w:t>s,</w:t>
      </w:r>
      <w:r w:rsidR="003C24ED">
        <w:t xml:space="preserve"> and </w:t>
      </w:r>
      <w:r w:rsidR="0048623E">
        <w:t xml:space="preserve">confirmed by </w:t>
      </w:r>
      <w:r w:rsidR="003C24ED">
        <w:t>the delegation</w:t>
      </w:r>
      <w:r w:rsidR="00E232F7">
        <w:t>,</w:t>
      </w:r>
      <w:r w:rsidR="003C24ED">
        <w:t xml:space="preserve"> that because </w:t>
      </w:r>
      <w:r w:rsidR="00DA66BA">
        <w:t>individuals</w:t>
      </w:r>
      <w:r w:rsidR="003C24ED">
        <w:t xml:space="preserve"> under the jurisdiction of the State party </w:t>
      </w:r>
      <w:r w:rsidR="00BE3521">
        <w:t xml:space="preserve">may </w:t>
      </w:r>
      <w:r w:rsidR="003C24ED">
        <w:t>have recourse to the European Court of Human Rights, the State party does</w:t>
      </w:r>
      <w:r w:rsidR="00DA66BA">
        <w:t xml:space="preserve"> no</w:t>
      </w:r>
      <w:r w:rsidR="003C24ED">
        <w:t xml:space="preserve">t need to accede to the Optional </w:t>
      </w:r>
      <w:r w:rsidR="00972495">
        <w:t>P</w:t>
      </w:r>
      <w:r w:rsidR="003C24ED">
        <w:t>rotocol</w:t>
      </w:r>
      <w:r w:rsidR="00E232F7">
        <w:t xml:space="preserve"> to the Covenant</w:t>
      </w:r>
      <w:r w:rsidR="003C24ED">
        <w:t xml:space="preserve">. </w:t>
      </w:r>
      <w:r w:rsidR="00DA66BA">
        <w:t>T</w:t>
      </w:r>
      <w:r w:rsidR="00E5447D">
        <w:t>he Committee notes</w:t>
      </w:r>
      <w:r w:rsidR="00DA66BA">
        <w:t>, however,</w:t>
      </w:r>
      <w:r w:rsidR="00E5447D">
        <w:t xml:space="preserve"> the </w:t>
      </w:r>
      <w:r w:rsidR="003C24ED">
        <w:t>comment</w:t>
      </w:r>
      <w:r w:rsidR="00E5447D">
        <w:t xml:space="preserve"> by the delegation </w:t>
      </w:r>
      <w:r w:rsidR="005070DD">
        <w:t>that there is no legal obstacle</w:t>
      </w:r>
      <w:r w:rsidR="00E5447D">
        <w:t xml:space="preserve"> </w:t>
      </w:r>
      <w:r w:rsidR="005070DD">
        <w:t xml:space="preserve">to the accession of the State </w:t>
      </w:r>
      <w:r w:rsidR="00E232F7">
        <w:t>p</w:t>
      </w:r>
      <w:r w:rsidR="00DA66BA">
        <w:t xml:space="preserve">arty </w:t>
      </w:r>
      <w:r w:rsidR="005070DD">
        <w:t xml:space="preserve">to the Optional </w:t>
      </w:r>
      <w:r w:rsidR="00972495">
        <w:t>P</w:t>
      </w:r>
      <w:r w:rsidR="005070DD">
        <w:t>rotocol.</w:t>
      </w:r>
      <w:r w:rsidR="00886787">
        <w:t xml:space="preserve"> (art. 2)</w:t>
      </w:r>
      <w:r w:rsidR="005070DD">
        <w:t xml:space="preserve"> </w:t>
      </w:r>
    </w:p>
    <w:p w:rsidR="00850732" w:rsidRDefault="00850732">
      <w:pPr>
        <w:ind w:left="360"/>
        <w:jc w:val="both"/>
      </w:pPr>
    </w:p>
    <w:p w:rsidR="00850732" w:rsidRDefault="00850732" w:rsidP="009A0557">
      <w:pPr>
        <w:pStyle w:val="BodyTextIndent"/>
        <w:spacing w:after="0"/>
        <w:jc w:val="both"/>
        <w:rPr>
          <w:b/>
        </w:rPr>
      </w:pPr>
      <w:r>
        <w:rPr>
          <w:b/>
        </w:rPr>
        <w:t xml:space="preserve">The State party should </w:t>
      </w:r>
      <w:r w:rsidR="005070DD">
        <w:rPr>
          <w:b/>
        </w:rPr>
        <w:t xml:space="preserve">consider acceding to the Optional </w:t>
      </w:r>
      <w:r w:rsidR="00972495">
        <w:rPr>
          <w:b/>
        </w:rPr>
        <w:t>P</w:t>
      </w:r>
      <w:r w:rsidR="005070DD">
        <w:rPr>
          <w:b/>
        </w:rPr>
        <w:t xml:space="preserve">rotocol </w:t>
      </w:r>
      <w:r w:rsidR="00E232F7">
        <w:rPr>
          <w:b/>
        </w:rPr>
        <w:t xml:space="preserve">to the Covenant </w:t>
      </w:r>
      <w:r w:rsidR="005070DD">
        <w:rPr>
          <w:b/>
        </w:rPr>
        <w:t xml:space="preserve">in order to </w:t>
      </w:r>
      <w:r w:rsidR="003C24ED">
        <w:rPr>
          <w:b/>
        </w:rPr>
        <w:t xml:space="preserve">enhance the protection of human rights </w:t>
      </w:r>
      <w:r w:rsidR="00972495">
        <w:rPr>
          <w:b/>
        </w:rPr>
        <w:t>for</w:t>
      </w:r>
      <w:r w:rsidR="003C24ED">
        <w:rPr>
          <w:b/>
        </w:rPr>
        <w:t xml:space="preserve"> persons </w:t>
      </w:r>
      <w:r w:rsidR="00972495">
        <w:rPr>
          <w:b/>
        </w:rPr>
        <w:t>subject to</w:t>
      </w:r>
      <w:r w:rsidR="003C24ED">
        <w:rPr>
          <w:b/>
        </w:rPr>
        <w:t xml:space="preserve"> its jurisdiction.</w:t>
      </w:r>
      <w:r w:rsidR="005070DD">
        <w:rPr>
          <w:b/>
        </w:rPr>
        <w:t xml:space="preserve"> </w:t>
      </w:r>
    </w:p>
    <w:p w:rsidR="00850732" w:rsidRDefault="00850732">
      <w:pPr>
        <w:pStyle w:val="BodyTextIndent"/>
        <w:spacing w:after="0"/>
        <w:jc w:val="both"/>
        <w:rPr>
          <w:b/>
        </w:rPr>
      </w:pPr>
    </w:p>
    <w:p w:rsidR="00136996" w:rsidRDefault="004A3327" w:rsidP="00F15AF6">
      <w:pPr>
        <w:jc w:val="both"/>
      </w:pPr>
      <w:r>
        <w:t>6.</w:t>
      </w:r>
      <w:r>
        <w:tab/>
      </w:r>
      <w:r w:rsidR="00136996">
        <w:t xml:space="preserve">The Committee reiterates its concern that the application of the State party’s obligations under the Covenant in all parts of its territory may be hampered by the </w:t>
      </w:r>
      <w:r w:rsidR="00911731">
        <w:t xml:space="preserve">particular </w:t>
      </w:r>
      <w:r w:rsidR="00136996">
        <w:t>federal structure of the State party.  It reminds the State party that under article 50 of the Covenant the provisions of the Covenant “shall extend to all parts of federal States without any limitations or exceptions.</w:t>
      </w:r>
      <w:r w:rsidR="00E232F7">
        <w:t>”</w:t>
      </w:r>
      <w:r w:rsidR="00C47418">
        <w:t xml:space="preserve"> (art. 2</w:t>
      </w:r>
      <w:r w:rsidR="00886787">
        <w:t>)</w:t>
      </w:r>
    </w:p>
    <w:p w:rsidR="00850732" w:rsidRDefault="00850732">
      <w:pPr>
        <w:pStyle w:val="BodyTextIndent"/>
        <w:spacing w:after="0"/>
        <w:jc w:val="both"/>
      </w:pPr>
    </w:p>
    <w:p w:rsidR="00850732" w:rsidRDefault="00D23FB9" w:rsidP="00911731">
      <w:pPr>
        <w:ind w:left="720"/>
        <w:jc w:val="both"/>
      </w:pPr>
      <w:r>
        <w:rPr>
          <w:b/>
        </w:rPr>
        <w:t xml:space="preserve">The State party should take measures to ensure that the authorities in all cantons and </w:t>
      </w:r>
      <w:r w:rsidR="009A0557">
        <w:rPr>
          <w:b/>
        </w:rPr>
        <w:t>municipalities</w:t>
      </w:r>
      <w:r>
        <w:rPr>
          <w:b/>
        </w:rPr>
        <w:t xml:space="preserve"> are aware of the rights set out in the Covenant and of their duty to</w:t>
      </w:r>
      <w:r w:rsidR="00136996">
        <w:rPr>
          <w:b/>
        </w:rPr>
        <w:t xml:space="preserve"> </w:t>
      </w:r>
      <w:r w:rsidR="00911731">
        <w:rPr>
          <w:b/>
        </w:rPr>
        <w:t xml:space="preserve">effectively </w:t>
      </w:r>
      <w:r w:rsidR="00136996">
        <w:rPr>
          <w:b/>
        </w:rPr>
        <w:t>ensure their implementation</w:t>
      </w:r>
      <w:r>
        <w:rPr>
          <w:b/>
        </w:rPr>
        <w:t xml:space="preserve">, including </w:t>
      </w:r>
      <w:r w:rsidR="00911731">
        <w:rPr>
          <w:b/>
        </w:rPr>
        <w:t xml:space="preserve">in </w:t>
      </w:r>
      <w:r>
        <w:rPr>
          <w:b/>
        </w:rPr>
        <w:t>cantonal courts</w:t>
      </w:r>
      <w:r w:rsidR="00911731">
        <w:rPr>
          <w:b/>
        </w:rPr>
        <w:t>.</w:t>
      </w:r>
      <w:r w:rsidR="00911731">
        <w:rPr>
          <w:b/>
          <w:bCs/>
        </w:rPr>
        <w:t xml:space="preserve"> </w:t>
      </w:r>
    </w:p>
    <w:p w:rsidR="00D23FB9" w:rsidRDefault="00D23FB9">
      <w:pPr>
        <w:ind w:left="720"/>
        <w:jc w:val="both"/>
      </w:pPr>
    </w:p>
    <w:p w:rsidR="00850732" w:rsidRDefault="009A0557" w:rsidP="00AD44B1">
      <w:pPr>
        <w:numPr>
          <w:ilvl w:val="0"/>
          <w:numId w:val="29"/>
        </w:numPr>
        <w:tabs>
          <w:tab w:val="clear" w:pos="1080"/>
          <w:tab w:val="num" w:pos="0"/>
        </w:tabs>
        <w:ind w:left="0" w:firstLine="0"/>
        <w:jc w:val="both"/>
      </w:pPr>
      <w:r>
        <w:t xml:space="preserve">The </w:t>
      </w:r>
      <w:r w:rsidR="009378F8">
        <w:t xml:space="preserve">Committee is concerned that the State party has not </w:t>
      </w:r>
      <w:r w:rsidR="00136996">
        <w:t xml:space="preserve">yet </w:t>
      </w:r>
      <w:r w:rsidR="009378F8">
        <w:t>establish</w:t>
      </w:r>
      <w:r>
        <w:t>ed</w:t>
      </w:r>
      <w:r w:rsidR="009378F8">
        <w:t xml:space="preserve"> a national institution, with broad competence in the area of human rights, in accordance with the Paris Principles (General Assembly </w:t>
      </w:r>
      <w:r w:rsidR="00E232F7">
        <w:t>r</w:t>
      </w:r>
      <w:r w:rsidR="009378F8">
        <w:t xml:space="preserve">esolution 48/134). </w:t>
      </w:r>
      <w:r>
        <w:t xml:space="preserve">The </w:t>
      </w:r>
      <w:r w:rsidR="00D518ED">
        <w:t xml:space="preserve">Committee notes the information provided by the State party on </w:t>
      </w:r>
      <w:r>
        <w:t xml:space="preserve">the </w:t>
      </w:r>
      <w:r w:rsidR="00D518ED">
        <w:t xml:space="preserve">decision, after broad consultation, to conduct </w:t>
      </w:r>
      <w:r w:rsidR="00F6366E">
        <w:t>a pilot project creating “</w:t>
      </w:r>
      <w:r w:rsidR="00EF087F">
        <w:t xml:space="preserve">a </w:t>
      </w:r>
      <w:r w:rsidR="00E232F7">
        <w:t>s</w:t>
      </w:r>
      <w:r w:rsidR="00EF087F">
        <w:t xml:space="preserve">pecialized </w:t>
      </w:r>
      <w:r w:rsidR="00E232F7">
        <w:t>c</w:t>
      </w:r>
      <w:r w:rsidR="00EF087F">
        <w:t>ent</w:t>
      </w:r>
      <w:r w:rsidR="005B1A8E">
        <w:t>re</w:t>
      </w:r>
      <w:r w:rsidR="00EF087F">
        <w:t xml:space="preserve"> on human rights” </w:t>
      </w:r>
      <w:r w:rsidR="00F6366E">
        <w:t>wit</w:t>
      </w:r>
      <w:r w:rsidR="00DE1718">
        <w:t>hi</w:t>
      </w:r>
      <w:r w:rsidR="00EF087F">
        <w:t>n</w:t>
      </w:r>
      <w:r w:rsidR="00DE1718">
        <w:t xml:space="preserve"> universities for a five</w:t>
      </w:r>
      <w:r w:rsidR="00E232F7">
        <w:t>-</w:t>
      </w:r>
      <w:r w:rsidR="00F6366E">
        <w:t>year period</w:t>
      </w:r>
      <w:r w:rsidR="009378F8">
        <w:t xml:space="preserve">, but reminds the State party that </w:t>
      </w:r>
      <w:r w:rsidR="00EF087F">
        <w:t>universities can only carry out a small part of th</w:t>
      </w:r>
      <w:r>
        <w:t>e</w:t>
      </w:r>
      <w:r w:rsidR="00EF087F">
        <w:t xml:space="preserve"> mandate</w:t>
      </w:r>
      <w:r>
        <w:t xml:space="preserve"> of a national human rights institution</w:t>
      </w:r>
      <w:r w:rsidR="00EF087F">
        <w:t xml:space="preserve">. </w:t>
      </w:r>
      <w:r w:rsidR="00886787">
        <w:t>(art. 2)</w:t>
      </w:r>
    </w:p>
    <w:p w:rsidR="00C47418" w:rsidRDefault="00C47418" w:rsidP="00C47418">
      <w:pPr>
        <w:ind w:left="360"/>
        <w:jc w:val="both"/>
      </w:pPr>
    </w:p>
    <w:p w:rsidR="00C47418" w:rsidRDefault="00C47418" w:rsidP="00C47418">
      <w:pPr>
        <w:ind w:left="720"/>
        <w:jc w:val="both"/>
        <w:rPr>
          <w:b/>
        </w:rPr>
      </w:pPr>
      <w:r>
        <w:rPr>
          <w:b/>
        </w:rPr>
        <w:t xml:space="preserve">The State party should establish a national human rights institution with a broad human rights mandate, and provide it with adequate financial and human resources, in conformity with the Paris Principles. </w:t>
      </w:r>
    </w:p>
    <w:p w:rsidR="00C47418" w:rsidRDefault="00C47418" w:rsidP="00C47418">
      <w:pPr>
        <w:ind w:left="360"/>
        <w:jc w:val="both"/>
      </w:pPr>
    </w:p>
    <w:p w:rsidR="00B35A34" w:rsidRDefault="00634968" w:rsidP="00AD44B1">
      <w:pPr>
        <w:numPr>
          <w:ilvl w:val="0"/>
          <w:numId w:val="29"/>
        </w:numPr>
        <w:tabs>
          <w:tab w:val="clear" w:pos="1080"/>
          <w:tab w:val="num" w:pos="0"/>
        </w:tabs>
        <w:ind w:left="0" w:firstLine="0"/>
        <w:jc w:val="both"/>
        <w:rPr>
          <w:bCs/>
        </w:rPr>
      </w:pPr>
      <w:r>
        <w:rPr>
          <w:bCs/>
        </w:rPr>
        <w:t xml:space="preserve">The Committee is concerned about the referendum initiative </w:t>
      </w:r>
      <w:r w:rsidRPr="00634968">
        <w:rPr>
          <w:bCs/>
        </w:rPr>
        <w:t>aim</w:t>
      </w:r>
      <w:r w:rsidR="00E232F7">
        <w:rPr>
          <w:bCs/>
        </w:rPr>
        <w:t>ed</w:t>
      </w:r>
      <w:r w:rsidRPr="00634968">
        <w:rPr>
          <w:bCs/>
        </w:rPr>
        <w:t xml:space="preserve"> at prohibiting the construction of minarets </w:t>
      </w:r>
      <w:r>
        <w:rPr>
          <w:bCs/>
        </w:rPr>
        <w:t>and about the discriminatory adverti</w:t>
      </w:r>
      <w:r w:rsidR="00A161AE">
        <w:rPr>
          <w:bCs/>
        </w:rPr>
        <w:t>s</w:t>
      </w:r>
      <w:r>
        <w:rPr>
          <w:bCs/>
        </w:rPr>
        <w:t>ing campaign which accompan</w:t>
      </w:r>
      <w:r w:rsidR="00A161AE">
        <w:rPr>
          <w:bCs/>
        </w:rPr>
        <w:t>ies</w:t>
      </w:r>
      <w:r>
        <w:rPr>
          <w:bCs/>
        </w:rPr>
        <w:t xml:space="preserve"> it. It notes that </w:t>
      </w:r>
      <w:r w:rsidR="000C70BF">
        <w:rPr>
          <w:bCs/>
        </w:rPr>
        <w:t xml:space="preserve">the State party </w:t>
      </w:r>
      <w:r>
        <w:rPr>
          <w:bCs/>
        </w:rPr>
        <w:t>does not support this referendum initiative which, if adopted, would bring the State party in</w:t>
      </w:r>
      <w:r w:rsidR="00A161AE">
        <w:rPr>
          <w:bCs/>
        </w:rPr>
        <w:t>to</w:t>
      </w:r>
      <w:r>
        <w:rPr>
          <w:bCs/>
        </w:rPr>
        <w:t xml:space="preserve"> non-compliance with its obligations under the Covenant. </w:t>
      </w:r>
      <w:r w:rsidR="000C70BF">
        <w:rPr>
          <w:bCs/>
        </w:rPr>
        <w:t xml:space="preserve">(arts. </w:t>
      </w:r>
      <w:r w:rsidR="00C47418">
        <w:rPr>
          <w:bCs/>
        </w:rPr>
        <w:t xml:space="preserve">2, </w:t>
      </w:r>
      <w:r w:rsidR="000C70BF">
        <w:rPr>
          <w:bCs/>
        </w:rPr>
        <w:t>18, 20)</w:t>
      </w:r>
    </w:p>
    <w:p w:rsidR="00C47418" w:rsidRDefault="00C47418" w:rsidP="00C47418">
      <w:pPr>
        <w:jc w:val="both"/>
        <w:rPr>
          <w:bCs/>
        </w:rPr>
      </w:pPr>
    </w:p>
    <w:p w:rsidR="00C47418" w:rsidRDefault="00C47418" w:rsidP="002E38EA">
      <w:pPr>
        <w:ind w:left="720"/>
        <w:jc w:val="both"/>
        <w:rPr>
          <w:bCs/>
        </w:rPr>
      </w:pPr>
      <w:r>
        <w:rPr>
          <w:b/>
        </w:rPr>
        <w:t>The State party should strenuously ensure respect of freedom of religion and firmly combat incitement to discrimination, hostility and violence.</w:t>
      </w:r>
    </w:p>
    <w:p w:rsidR="00C47418" w:rsidRDefault="00C47418" w:rsidP="00C47418">
      <w:pPr>
        <w:jc w:val="both"/>
        <w:rPr>
          <w:bCs/>
        </w:rPr>
      </w:pPr>
    </w:p>
    <w:p w:rsidR="00612625" w:rsidRDefault="00612625" w:rsidP="00AD44B1">
      <w:pPr>
        <w:numPr>
          <w:ilvl w:val="0"/>
          <w:numId w:val="29"/>
        </w:numPr>
        <w:tabs>
          <w:tab w:val="clear" w:pos="1080"/>
          <w:tab w:val="num" w:pos="0"/>
        </w:tabs>
        <w:ind w:left="0" w:firstLine="0"/>
        <w:jc w:val="both"/>
        <w:rPr>
          <w:bCs/>
        </w:rPr>
      </w:pPr>
      <w:r>
        <w:rPr>
          <w:bCs/>
        </w:rPr>
        <w:t>The Committee is concerned about the sharp rise in apparent anti-</w:t>
      </w:r>
      <w:r w:rsidR="00A161AE">
        <w:rPr>
          <w:bCs/>
        </w:rPr>
        <w:t>S</w:t>
      </w:r>
      <w:r>
        <w:rPr>
          <w:bCs/>
        </w:rPr>
        <w:t>emitic incidents occurring in the State party, including stone throwing and verbal threats that disrupted a meeting at the Kempinsk</w:t>
      </w:r>
      <w:r w:rsidR="00A161AE">
        <w:rPr>
          <w:bCs/>
        </w:rPr>
        <w:t>i</w:t>
      </w:r>
      <w:r>
        <w:rPr>
          <w:bCs/>
        </w:rPr>
        <w:t xml:space="preserve"> Hotel </w:t>
      </w:r>
      <w:r w:rsidR="00242B2D">
        <w:rPr>
          <w:bCs/>
        </w:rPr>
        <w:t xml:space="preserve">in </w:t>
      </w:r>
      <w:smartTag w:uri="urn:schemas-microsoft-com:office:smarttags" w:element="City">
        <w:r w:rsidR="00242B2D">
          <w:rPr>
            <w:bCs/>
          </w:rPr>
          <w:t>Geneva</w:t>
        </w:r>
      </w:smartTag>
      <w:r w:rsidR="00242B2D">
        <w:rPr>
          <w:bCs/>
        </w:rPr>
        <w:t xml:space="preserve"> </w:t>
      </w:r>
      <w:r>
        <w:rPr>
          <w:bCs/>
        </w:rPr>
        <w:t xml:space="preserve">on March 2, </w:t>
      </w:r>
      <w:r w:rsidR="00A161AE">
        <w:rPr>
          <w:bCs/>
        </w:rPr>
        <w:t>2009 and</w:t>
      </w:r>
      <w:r>
        <w:rPr>
          <w:bCs/>
        </w:rPr>
        <w:t xml:space="preserve"> the arson fire that destroyed the largest synagogue </w:t>
      </w:r>
      <w:r w:rsidR="00A161AE">
        <w:rPr>
          <w:bCs/>
        </w:rPr>
        <w:t xml:space="preserve">in </w:t>
      </w:r>
      <w:smartTag w:uri="urn:schemas-microsoft-com:office:smarttags" w:element="place">
        <w:smartTag w:uri="urn:schemas-microsoft-com:office:smarttags" w:element="City">
          <w:r>
            <w:rPr>
              <w:bCs/>
            </w:rPr>
            <w:t>Geneva</w:t>
          </w:r>
        </w:smartTag>
      </w:smartTag>
      <w:r>
        <w:rPr>
          <w:bCs/>
        </w:rPr>
        <w:t xml:space="preserve"> in 2007. The Committee is also concerned at reports that the police in </w:t>
      </w:r>
      <w:smartTag w:uri="urn:schemas-microsoft-com:office:smarttags" w:element="place">
        <w:smartTag w:uri="urn:schemas-microsoft-com:office:smarttags" w:element="City">
          <w:r>
            <w:rPr>
              <w:bCs/>
            </w:rPr>
            <w:t>Geneva</w:t>
          </w:r>
        </w:smartTag>
      </w:smartTag>
      <w:r>
        <w:rPr>
          <w:bCs/>
        </w:rPr>
        <w:t xml:space="preserve"> have not fully investigated the pattern of these incidents. (arts </w:t>
      </w:r>
      <w:r w:rsidR="00325CC9">
        <w:rPr>
          <w:bCs/>
        </w:rPr>
        <w:t xml:space="preserve">2, </w:t>
      </w:r>
      <w:r>
        <w:rPr>
          <w:bCs/>
        </w:rPr>
        <w:t xml:space="preserve">18, </w:t>
      </w:r>
      <w:r w:rsidR="00C47418">
        <w:rPr>
          <w:bCs/>
        </w:rPr>
        <w:t xml:space="preserve">20, </w:t>
      </w:r>
      <w:r>
        <w:rPr>
          <w:bCs/>
        </w:rPr>
        <w:t xml:space="preserve">26) </w:t>
      </w:r>
    </w:p>
    <w:p w:rsidR="00C47418" w:rsidRDefault="00C47418" w:rsidP="00C47418">
      <w:pPr>
        <w:ind w:left="360"/>
        <w:jc w:val="both"/>
        <w:rPr>
          <w:bCs/>
        </w:rPr>
      </w:pPr>
    </w:p>
    <w:p w:rsidR="00C47418" w:rsidRDefault="00C47418" w:rsidP="00C47418">
      <w:pPr>
        <w:ind w:left="720"/>
        <w:jc w:val="both"/>
        <w:rPr>
          <w:b/>
        </w:rPr>
      </w:pPr>
      <w:r w:rsidRPr="00660628">
        <w:rPr>
          <w:b/>
        </w:rPr>
        <w:t xml:space="preserve">The State party should </w:t>
      </w:r>
      <w:r>
        <w:rPr>
          <w:b/>
        </w:rPr>
        <w:t xml:space="preserve">effectively </w:t>
      </w:r>
      <w:r w:rsidRPr="00660628">
        <w:rPr>
          <w:b/>
        </w:rPr>
        <w:t>investigate any and all threats of violence against minority religious communities, including the Jewish community.</w:t>
      </w:r>
      <w:r>
        <w:rPr>
          <w:b/>
        </w:rPr>
        <w:t xml:space="preserve"> </w:t>
      </w:r>
    </w:p>
    <w:p w:rsidR="00C47418" w:rsidRDefault="00C47418" w:rsidP="00C47418">
      <w:pPr>
        <w:ind w:left="360"/>
        <w:jc w:val="both"/>
        <w:rPr>
          <w:bCs/>
        </w:rPr>
      </w:pPr>
    </w:p>
    <w:p w:rsidR="00886787" w:rsidRPr="00C47418" w:rsidRDefault="00886787" w:rsidP="00AD44B1">
      <w:pPr>
        <w:numPr>
          <w:ilvl w:val="0"/>
          <w:numId w:val="29"/>
        </w:numPr>
        <w:tabs>
          <w:tab w:val="clear" w:pos="1080"/>
          <w:tab w:val="num" w:pos="0"/>
        </w:tabs>
        <w:ind w:left="0" w:firstLine="0"/>
        <w:jc w:val="both"/>
        <w:rPr>
          <w:bCs/>
        </w:rPr>
      </w:pPr>
      <w:r>
        <w:t xml:space="preserve">The Committee regrets that the Federal Commission against Racism does not have a mandate to initiate legal action on complaints of racial discrimination and incitement to racial hatred. (art. 2, 20, 26)   </w:t>
      </w:r>
    </w:p>
    <w:p w:rsidR="00C47418" w:rsidRDefault="00C47418" w:rsidP="00C47418">
      <w:pPr>
        <w:ind w:left="360"/>
        <w:jc w:val="both"/>
      </w:pPr>
    </w:p>
    <w:p w:rsidR="00C47418" w:rsidRDefault="00C47418" w:rsidP="00C47418">
      <w:pPr>
        <w:ind w:left="720"/>
        <w:jc w:val="both"/>
        <w:rPr>
          <w:b/>
        </w:rPr>
      </w:pPr>
      <w:r>
        <w:rPr>
          <w:b/>
        </w:rPr>
        <w:t>The State party should consider, as previously recommended by the Committee, reinforcing the mandate of the Federal Commission against Racism to investigate all cases of racial discrimination and incitement to national, racial or religious hatred</w:t>
      </w:r>
      <w:r w:rsidR="00A161AE">
        <w:rPr>
          <w:b/>
        </w:rPr>
        <w:t>,</w:t>
      </w:r>
      <w:r>
        <w:rPr>
          <w:b/>
        </w:rPr>
        <w:t xml:space="preserve"> or create an independent mechanism with competence to initiate legal action in such cases. Furthermore, the State party should strengthen its efforts to promote tolerance and cultural dialogue among the population.</w:t>
      </w:r>
    </w:p>
    <w:p w:rsidR="00C47418" w:rsidRPr="00C47418" w:rsidRDefault="00C47418" w:rsidP="00C47418">
      <w:pPr>
        <w:ind w:left="360"/>
        <w:jc w:val="both"/>
        <w:rPr>
          <w:bCs/>
        </w:rPr>
      </w:pPr>
    </w:p>
    <w:p w:rsidR="00546CDC" w:rsidRPr="00C47418" w:rsidRDefault="00546CDC" w:rsidP="00AD44B1">
      <w:pPr>
        <w:numPr>
          <w:ilvl w:val="0"/>
          <w:numId w:val="29"/>
        </w:numPr>
        <w:tabs>
          <w:tab w:val="clear" w:pos="1080"/>
          <w:tab w:val="num" w:pos="0"/>
        </w:tabs>
        <w:ind w:left="0" w:firstLine="0"/>
        <w:jc w:val="both"/>
        <w:rPr>
          <w:bCs/>
        </w:rPr>
      </w:pPr>
      <w:r w:rsidRPr="005C496A">
        <w:rPr>
          <w:bCs/>
          <w:lang w:val="en-US"/>
        </w:rPr>
        <w:t xml:space="preserve">The Committee is concerned about the continuing </w:t>
      </w:r>
      <w:r w:rsidR="00BF37AA" w:rsidRPr="005C496A">
        <w:rPr>
          <w:bCs/>
          <w:lang w:val="en-US"/>
        </w:rPr>
        <w:t xml:space="preserve">incidence </w:t>
      </w:r>
      <w:r w:rsidR="000F7F62" w:rsidRPr="005C496A">
        <w:rPr>
          <w:bCs/>
          <w:lang w:val="en-US"/>
        </w:rPr>
        <w:t xml:space="preserve">of </w:t>
      </w:r>
      <w:r w:rsidR="00DD1688" w:rsidRPr="005C496A">
        <w:rPr>
          <w:bCs/>
          <w:lang w:val="en-US"/>
        </w:rPr>
        <w:t>violence against women, including domestic violence</w:t>
      </w:r>
      <w:r w:rsidR="000F7F62" w:rsidRPr="005C496A">
        <w:rPr>
          <w:bCs/>
          <w:lang w:val="en-US"/>
        </w:rPr>
        <w:t>,</w:t>
      </w:r>
      <w:r w:rsidR="00DD1688" w:rsidRPr="005C496A">
        <w:rPr>
          <w:bCs/>
          <w:lang w:val="en-US"/>
        </w:rPr>
        <w:t xml:space="preserve"> as well as about </w:t>
      </w:r>
      <w:r w:rsidR="000F7F62" w:rsidRPr="005C496A">
        <w:rPr>
          <w:bCs/>
          <w:lang w:val="en-US"/>
        </w:rPr>
        <w:t xml:space="preserve">the </w:t>
      </w:r>
      <w:r w:rsidR="00DD1688" w:rsidRPr="005C496A">
        <w:rPr>
          <w:bCs/>
          <w:lang w:val="en-US"/>
        </w:rPr>
        <w:t xml:space="preserve">absence of comprehensive </w:t>
      </w:r>
      <w:r w:rsidR="000F7F62" w:rsidRPr="005C496A">
        <w:rPr>
          <w:bCs/>
          <w:lang w:val="en-US"/>
        </w:rPr>
        <w:t>legislation</w:t>
      </w:r>
      <w:r w:rsidR="00DD1688" w:rsidRPr="005C496A">
        <w:rPr>
          <w:bCs/>
          <w:lang w:val="en-US"/>
        </w:rPr>
        <w:t xml:space="preserve"> on this matter</w:t>
      </w:r>
      <w:r w:rsidRPr="005C496A">
        <w:rPr>
          <w:bCs/>
          <w:lang w:val="en-US"/>
        </w:rPr>
        <w:t xml:space="preserve">. </w:t>
      </w:r>
      <w:r w:rsidR="00DD1688" w:rsidRPr="005C496A">
        <w:rPr>
          <w:bCs/>
          <w:lang w:val="en-US"/>
        </w:rPr>
        <w:t>The Committee</w:t>
      </w:r>
      <w:r w:rsidRPr="005C496A">
        <w:rPr>
          <w:bCs/>
          <w:lang w:val="en-US"/>
        </w:rPr>
        <w:t xml:space="preserve"> is particularly concerned that </w:t>
      </w:r>
      <w:r w:rsidR="0049726E" w:rsidRPr="005C496A">
        <w:rPr>
          <w:bCs/>
          <w:lang w:val="en-US"/>
        </w:rPr>
        <w:t xml:space="preserve">the requirements of article 50 of the new Federal Law on Foreign Nationals, in particular the proof of </w:t>
      </w:r>
      <w:r w:rsidR="00E800DC" w:rsidRPr="005C496A">
        <w:rPr>
          <w:bCs/>
          <w:lang w:val="en-US"/>
        </w:rPr>
        <w:t xml:space="preserve">difficulty </w:t>
      </w:r>
      <w:r w:rsidR="00A161AE">
        <w:rPr>
          <w:bCs/>
          <w:lang w:val="en-US"/>
        </w:rPr>
        <w:t>in</w:t>
      </w:r>
      <w:r w:rsidR="00A161AE" w:rsidRPr="005C496A">
        <w:rPr>
          <w:bCs/>
          <w:lang w:val="en-US"/>
        </w:rPr>
        <w:t xml:space="preserve"> </w:t>
      </w:r>
      <w:r w:rsidR="00E800DC" w:rsidRPr="005C496A">
        <w:rPr>
          <w:bCs/>
          <w:lang w:val="en-US"/>
        </w:rPr>
        <w:t>reintegrat</w:t>
      </w:r>
      <w:r w:rsidR="00A161AE">
        <w:rPr>
          <w:bCs/>
          <w:lang w:val="en-US"/>
        </w:rPr>
        <w:t>ing</w:t>
      </w:r>
      <w:r w:rsidR="00E800DC" w:rsidRPr="005C496A">
        <w:rPr>
          <w:bCs/>
          <w:lang w:val="en-US"/>
        </w:rPr>
        <w:t xml:space="preserve"> </w:t>
      </w:r>
      <w:r w:rsidR="0049726E" w:rsidRPr="005C496A">
        <w:rPr>
          <w:bCs/>
          <w:lang w:val="en-US"/>
        </w:rPr>
        <w:t xml:space="preserve">in </w:t>
      </w:r>
      <w:r w:rsidR="00E800DC" w:rsidRPr="005C496A">
        <w:rPr>
          <w:bCs/>
          <w:lang w:val="en-US"/>
        </w:rPr>
        <w:t xml:space="preserve">the </w:t>
      </w:r>
      <w:r w:rsidR="0049726E" w:rsidRPr="005C496A">
        <w:rPr>
          <w:bCs/>
          <w:lang w:val="en-US"/>
        </w:rPr>
        <w:t xml:space="preserve">country of origin, create </w:t>
      </w:r>
      <w:r w:rsidR="00E800DC" w:rsidRPr="005C496A">
        <w:rPr>
          <w:bCs/>
          <w:lang w:val="en-US"/>
        </w:rPr>
        <w:t xml:space="preserve">problems </w:t>
      </w:r>
      <w:r w:rsidR="0049726E" w:rsidRPr="005C496A">
        <w:rPr>
          <w:bCs/>
          <w:lang w:val="en-US"/>
        </w:rPr>
        <w:t xml:space="preserve">for </w:t>
      </w:r>
      <w:r w:rsidR="000F7F62" w:rsidRPr="005C496A">
        <w:rPr>
          <w:bCs/>
          <w:lang w:val="en-US"/>
        </w:rPr>
        <w:t xml:space="preserve">foreign women </w:t>
      </w:r>
      <w:r w:rsidR="003B523E" w:rsidRPr="005C496A">
        <w:rPr>
          <w:bCs/>
          <w:lang w:val="en-US"/>
        </w:rPr>
        <w:t xml:space="preserve">who have been </w:t>
      </w:r>
      <w:r w:rsidR="000F7F62" w:rsidRPr="005C496A">
        <w:rPr>
          <w:bCs/>
          <w:lang w:val="en-US"/>
        </w:rPr>
        <w:t xml:space="preserve">married </w:t>
      </w:r>
      <w:r w:rsidR="003B523E" w:rsidRPr="005C496A">
        <w:rPr>
          <w:bCs/>
          <w:lang w:val="en-US"/>
        </w:rPr>
        <w:t xml:space="preserve">for less than three years </w:t>
      </w:r>
      <w:r w:rsidR="000F7F62" w:rsidRPr="005C496A">
        <w:rPr>
          <w:bCs/>
          <w:lang w:val="en-US"/>
        </w:rPr>
        <w:t>to a Swiss nation</w:t>
      </w:r>
      <w:r w:rsidR="0008597D" w:rsidRPr="005C496A">
        <w:rPr>
          <w:bCs/>
          <w:lang w:val="en-US"/>
        </w:rPr>
        <w:t xml:space="preserve">al or a foreigner with </w:t>
      </w:r>
      <w:r w:rsidR="00A161AE">
        <w:rPr>
          <w:bCs/>
          <w:lang w:val="en-US"/>
        </w:rPr>
        <w:t xml:space="preserve">a </w:t>
      </w:r>
      <w:r w:rsidR="0008597D" w:rsidRPr="005C496A">
        <w:rPr>
          <w:bCs/>
          <w:lang w:val="en-US"/>
        </w:rPr>
        <w:t>residency</w:t>
      </w:r>
      <w:r w:rsidR="000F7F62" w:rsidRPr="005C496A">
        <w:rPr>
          <w:bCs/>
          <w:lang w:val="en-US"/>
        </w:rPr>
        <w:t xml:space="preserve"> permit </w:t>
      </w:r>
      <w:r w:rsidR="003B523E" w:rsidRPr="005C496A">
        <w:rPr>
          <w:bCs/>
          <w:lang w:val="en-US"/>
        </w:rPr>
        <w:t xml:space="preserve">and </w:t>
      </w:r>
      <w:r w:rsidR="000F7F62" w:rsidRPr="005C496A">
        <w:rPr>
          <w:bCs/>
          <w:lang w:val="en-US"/>
        </w:rPr>
        <w:t xml:space="preserve">who are victims of domestic violence, </w:t>
      </w:r>
      <w:r w:rsidR="00A161AE">
        <w:rPr>
          <w:bCs/>
          <w:lang w:val="en-US"/>
        </w:rPr>
        <w:t>in</w:t>
      </w:r>
      <w:r w:rsidR="00A161AE" w:rsidRPr="005C496A">
        <w:rPr>
          <w:bCs/>
          <w:lang w:val="en-US"/>
        </w:rPr>
        <w:t xml:space="preserve"> </w:t>
      </w:r>
      <w:r w:rsidR="000F7F62" w:rsidRPr="005C496A">
        <w:rPr>
          <w:bCs/>
          <w:lang w:val="en-US"/>
        </w:rPr>
        <w:t>acquir</w:t>
      </w:r>
      <w:r w:rsidR="00A161AE">
        <w:rPr>
          <w:bCs/>
          <w:lang w:val="en-US"/>
        </w:rPr>
        <w:t>ing</w:t>
      </w:r>
      <w:r w:rsidR="000F7F62" w:rsidRPr="005C496A">
        <w:rPr>
          <w:bCs/>
          <w:lang w:val="en-US"/>
        </w:rPr>
        <w:t xml:space="preserve"> or renew</w:t>
      </w:r>
      <w:r w:rsidR="00A161AE">
        <w:rPr>
          <w:bCs/>
          <w:lang w:val="en-US"/>
        </w:rPr>
        <w:t>ing</w:t>
      </w:r>
      <w:r w:rsidR="000F7F62" w:rsidRPr="005C496A">
        <w:rPr>
          <w:bCs/>
          <w:lang w:val="en-US"/>
        </w:rPr>
        <w:t xml:space="preserve"> </w:t>
      </w:r>
      <w:r w:rsidR="00BB625C" w:rsidRPr="005C496A">
        <w:rPr>
          <w:bCs/>
          <w:lang w:val="en-US"/>
        </w:rPr>
        <w:t>their</w:t>
      </w:r>
      <w:r w:rsidR="003B523E" w:rsidRPr="005C496A">
        <w:rPr>
          <w:bCs/>
          <w:lang w:val="en-US"/>
        </w:rPr>
        <w:t xml:space="preserve"> </w:t>
      </w:r>
      <w:r w:rsidR="000F7F62" w:rsidRPr="005C496A">
        <w:rPr>
          <w:bCs/>
          <w:lang w:val="en-US"/>
        </w:rPr>
        <w:t>residency permit</w:t>
      </w:r>
      <w:r w:rsidR="0049726E" w:rsidRPr="005C496A">
        <w:rPr>
          <w:bCs/>
          <w:lang w:val="en-US"/>
        </w:rPr>
        <w:t xml:space="preserve">. </w:t>
      </w:r>
      <w:r w:rsidR="000F7F62" w:rsidRPr="005C496A">
        <w:rPr>
          <w:bCs/>
          <w:lang w:val="en-US"/>
        </w:rPr>
        <w:t>T</w:t>
      </w:r>
      <w:r w:rsidR="0008597D" w:rsidRPr="005C496A">
        <w:rPr>
          <w:bCs/>
          <w:lang w:val="en-US"/>
        </w:rPr>
        <w:t xml:space="preserve">hese requirements </w:t>
      </w:r>
      <w:r w:rsidR="00DD1688" w:rsidRPr="005C496A">
        <w:rPr>
          <w:bCs/>
          <w:lang w:val="en-US"/>
        </w:rPr>
        <w:t xml:space="preserve">may </w:t>
      </w:r>
      <w:r w:rsidR="0049726E" w:rsidRPr="005C496A">
        <w:rPr>
          <w:bCs/>
          <w:lang w:val="en-US"/>
        </w:rPr>
        <w:t xml:space="preserve">also </w:t>
      </w:r>
      <w:r w:rsidR="00DD1688" w:rsidRPr="005C496A">
        <w:rPr>
          <w:bCs/>
          <w:lang w:val="en-US"/>
        </w:rPr>
        <w:t>prevent victims from leaving abus</w:t>
      </w:r>
      <w:r w:rsidR="00E800DC" w:rsidRPr="005C496A">
        <w:rPr>
          <w:bCs/>
          <w:lang w:val="en-US"/>
        </w:rPr>
        <w:t>ive</w:t>
      </w:r>
      <w:r w:rsidR="00DD1688" w:rsidRPr="005C496A">
        <w:rPr>
          <w:bCs/>
          <w:lang w:val="en-US"/>
        </w:rPr>
        <w:t xml:space="preserve"> relationships and from seeking assistance. </w:t>
      </w:r>
      <w:r w:rsidRPr="005C496A">
        <w:rPr>
          <w:bCs/>
          <w:lang w:val="en-US"/>
        </w:rPr>
        <w:t>(art. 2, 3, 23</w:t>
      </w:r>
      <w:r w:rsidR="00C47418">
        <w:rPr>
          <w:bCs/>
          <w:lang w:val="en-US"/>
        </w:rPr>
        <w:t xml:space="preserve">, </w:t>
      </w:r>
      <w:r w:rsidRPr="005C496A">
        <w:rPr>
          <w:bCs/>
          <w:lang w:val="en-US"/>
        </w:rPr>
        <w:t>26)</w:t>
      </w:r>
    </w:p>
    <w:p w:rsidR="00C47418" w:rsidRDefault="00C47418" w:rsidP="00C47418">
      <w:pPr>
        <w:ind w:left="360"/>
        <w:jc w:val="both"/>
        <w:rPr>
          <w:bCs/>
          <w:lang w:val="en-US"/>
        </w:rPr>
      </w:pPr>
    </w:p>
    <w:p w:rsidR="00C47418" w:rsidRDefault="00C47418" w:rsidP="00A161AE">
      <w:pPr>
        <w:ind w:left="720"/>
        <w:jc w:val="both"/>
        <w:rPr>
          <w:bCs/>
          <w:lang w:val="en-US"/>
        </w:rPr>
      </w:pPr>
      <w:r w:rsidRPr="00EF087F">
        <w:rPr>
          <w:b/>
          <w:bCs/>
          <w:lang w:val="en-US"/>
        </w:rPr>
        <w:t xml:space="preserve">The State party should </w:t>
      </w:r>
      <w:r>
        <w:rPr>
          <w:b/>
          <w:bCs/>
          <w:lang w:val="en-US"/>
        </w:rPr>
        <w:t>intensify its efforts to address the issue of violence against women, including by enacting comprehensive legislation against domestic violence and sanction</w:t>
      </w:r>
      <w:r w:rsidR="00A161AE">
        <w:rPr>
          <w:b/>
          <w:bCs/>
          <w:lang w:val="en-US"/>
        </w:rPr>
        <w:t>ing</w:t>
      </w:r>
      <w:r>
        <w:rPr>
          <w:b/>
          <w:bCs/>
          <w:lang w:val="en-US"/>
        </w:rPr>
        <w:t xml:space="preserve"> all forms of violence against women, as well as to ensure that victims have access to immediate means of redress and protection. It should prosecute and punish those responsible. It should also review its </w:t>
      </w:r>
      <w:r w:rsidRPr="00EF087F">
        <w:rPr>
          <w:b/>
          <w:bCs/>
          <w:lang w:val="en-US"/>
        </w:rPr>
        <w:t xml:space="preserve">legislation </w:t>
      </w:r>
      <w:r>
        <w:rPr>
          <w:b/>
          <w:bCs/>
          <w:lang w:val="en-US"/>
        </w:rPr>
        <w:t xml:space="preserve">on </w:t>
      </w:r>
      <w:r w:rsidRPr="00EF087F">
        <w:rPr>
          <w:b/>
          <w:bCs/>
          <w:lang w:val="en-US"/>
        </w:rPr>
        <w:t>residence permit</w:t>
      </w:r>
      <w:r>
        <w:rPr>
          <w:b/>
          <w:bCs/>
          <w:lang w:val="en-US"/>
        </w:rPr>
        <w:t>s to avoid the application of the law having the effect, in practice, of forcing women to remain in abusive relationships.</w:t>
      </w:r>
    </w:p>
    <w:p w:rsidR="00C47418" w:rsidRPr="00C47418" w:rsidRDefault="00C47418" w:rsidP="00C47418">
      <w:pPr>
        <w:ind w:left="360"/>
        <w:jc w:val="both"/>
        <w:rPr>
          <w:bCs/>
        </w:rPr>
      </w:pPr>
    </w:p>
    <w:p w:rsidR="00850732" w:rsidRPr="00C47418" w:rsidRDefault="002F2AC9" w:rsidP="00AD44B1">
      <w:pPr>
        <w:numPr>
          <w:ilvl w:val="0"/>
          <w:numId w:val="29"/>
        </w:numPr>
        <w:tabs>
          <w:tab w:val="clear" w:pos="1080"/>
          <w:tab w:val="num" w:pos="0"/>
        </w:tabs>
        <w:ind w:left="0" w:firstLine="0"/>
        <w:jc w:val="both"/>
        <w:rPr>
          <w:bCs/>
        </w:rPr>
      </w:pPr>
      <w:r w:rsidRPr="005C496A">
        <w:t xml:space="preserve">The Committee </w:t>
      </w:r>
      <w:r w:rsidR="00911731" w:rsidRPr="005C496A">
        <w:t xml:space="preserve">is concerned at the high </w:t>
      </w:r>
      <w:r w:rsidR="00E800DC" w:rsidRPr="005C496A">
        <w:t xml:space="preserve">incidence </w:t>
      </w:r>
      <w:r w:rsidR="00911731" w:rsidRPr="005C496A">
        <w:t>of firearms-related suicides in the State party. In this regard, it is concerned that those serving</w:t>
      </w:r>
      <w:r w:rsidR="00E800DC" w:rsidRPr="005C496A">
        <w:t xml:space="preserve"> in the army normal</w:t>
      </w:r>
      <w:r w:rsidR="00A161AE">
        <w:t>l</w:t>
      </w:r>
      <w:r w:rsidR="00E800DC" w:rsidRPr="005C496A">
        <w:t>y store their</w:t>
      </w:r>
      <w:r w:rsidR="00911731" w:rsidRPr="005C496A">
        <w:t xml:space="preserve"> </w:t>
      </w:r>
      <w:r w:rsidR="00B40BBB" w:rsidRPr="005C496A">
        <w:t xml:space="preserve">service </w:t>
      </w:r>
      <w:r w:rsidR="00911731" w:rsidRPr="005C496A">
        <w:t xml:space="preserve">weapons at home. It welcomes the recent decision to store all </w:t>
      </w:r>
      <w:r w:rsidR="00B40BBB" w:rsidRPr="005C496A">
        <w:t xml:space="preserve">service </w:t>
      </w:r>
      <w:r w:rsidR="00911731" w:rsidRPr="005C496A">
        <w:t xml:space="preserve">ammunition at military sites. </w:t>
      </w:r>
      <w:r w:rsidR="003A0F1F" w:rsidRPr="005C496A">
        <w:t>(art. 6)</w:t>
      </w:r>
      <w:r w:rsidR="00BF7E10" w:rsidRPr="005C496A" w:rsidDel="00BF7E10">
        <w:t xml:space="preserve"> </w:t>
      </w:r>
    </w:p>
    <w:p w:rsidR="00C47418" w:rsidRDefault="00C47418" w:rsidP="00C47418">
      <w:pPr>
        <w:ind w:left="360"/>
        <w:jc w:val="both"/>
      </w:pPr>
    </w:p>
    <w:p w:rsidR="00C47418" w:rsidRDefault="00C47418" w:rsidP="002E38EA">
      <w:pPr>
        <w:ind w:left="720"/>
        <w:jc w:val="both"/>
      </w:pPr>
      <w:r>
        <w:rPr>
          <w:b/>
        </w:rPr>
        <w:t>The State party should review its legislation and practices in order to restrict the conditions of access to, and legitimate use of, firearms and should cease the storage of service firearms in the homes of those who serve in the armed forces. In addition, the State party should create a national registry of privately owned firearms.</w:t>
      </w:r>
    </w:p>
    <w:p w:rsidR="00C47418" w:rsidRDefault="00C47418" w:rsidP="00C47418">
      <w:pPr>
        <w:ind w:left="360"/>
        <w:jc w:val="both"/>
        <w:rPr>
          <w:bCs/>
        </w:rPr>
      </w:pPr>
    </w:p>
    <w:p w:rsidR="00C3641D" w:rsidRPr="00C47418" w:rsidRDefault="00E60D5C" w:rsidP="00AD44B1">
      <w:pPr>
        <w:numPr>
          <w:ilvl w:val="0"/>
          <w:numId w:val="29"/>
        </w:numPr>
        <w:tabs>
          <w:tab w:val="clear" w:pos="1080"/>
          <w:tab w:val="num" w:pos="0"/>
        </w:tabs>
        <w:ind w:left="0" w:firstLine="0"/>
        <w:jc w:val="both"/>
        <w:rPr>
          <w:bCs/>
        </w:rPr>
      </w:pPr>
      <w:r>
        <w:t xml:space="preserve">While noting </w:t>
      </w:r>
      <w:r w:rsidR="002C07E7">
        <w:t xml:space="preserve">that under article 115 of </w:t>
      </w:r>
      <w:r w:rsidR="00E559B4">
        <w:t xml:space="preserve">the </w:t>
      </w:r>
      <w:r w:rsidR="002C07E7">
        <w:t>Penal Code, “a person who, acting from a selfish motive, incites persons to commit suicide or provide</w:t>
      </w:r>
      <w:r w:rsidR="00E426AC">
        <w:t>s</w:t>
      </w:r>
      <w:r w:rsidR="002C07E7">
        <w:t xml:space="preserve"> such person</w:t>
      </w:r>
      <w:r w:rsidR="00017F48">
        <w:t>s</w:t>
      </w:r>
      <w:r w:rsidR="002C07E7">
        <w:t xml:space="preserve"> with assistance with a view to suicide shall be sentenced”</w:t>
      </w:r>
      <w:r w:rsidR="00E559B4">
        <w:t>,</w:t>
      </w:r>
      <w:r w:rsidR="00634968">
        <w:t xml:space="preserve"> </w:t>
      </w:r>
      <w:r w:rsidR="00E559B4">
        <w:t>t</w:t>
      </w:r>
      <w:r w:rsidR="002C07E7">
        <w:t xml:space="preserve">he Committee is concerned </w:t>
      </w:r>
      <w:r w:rsidR="00017F48">
        <w:t xml:space="preserve">about the lack of </w:t>
      </w:r>
      <w:r w:rsidR="008B35D4">
        <w:t>independent</w:t>
      </w:r>
      <w:r w:rsidR="00B22519">
        <w:t xml:space="preserve"> or</w:t>
      </w:r>
      <w:r w:rsidR="008B35D4">
        <w:t xml:space="preserve"> </w:t>
      </w:r>
      <w:r w:rsidR="00FB2D15">
        <w:t xml:space="preserve">judicial oversight to determine </w:t>
      </w:r>
      <w:r w:rsidR="002F2AC9">
        <w:t xml:space="preserve">that </w:t>
      </w:r>
      <w:r w:rsidR="004D74D7">
        <w:t>a person</w:t>
      </w:r>
      <w:r w:rsidR="002C07E7">
        <w:t xml:space="preserve"> seeking assistance to </w:t>
      </w:r>
      <w:r w:rsidR="00017F48">
        <w:t xml:space="preserve">commit </w:t>
      </w:r>
      <w:r w:rsidR="002C07E7">
        <w:t xml:space="preserve">suicide </w:t>
      </w:r>
      <w:r w:rsidR="00FB2D15">
        <w:t>is operating with full free and informed consent</w:t>
      </w:r>
      <w:r w:rsidR="00972280">
        <w:t xml:space="preserve"> </w:t>
      </w:r>
      <w:r w:rsidR="002F2AC9">
        <w:t>(art. 6)</w:t>
      </w:r>
    </w:p>
    <w:p w:rsidR="00C47418" w:rsidRDefault="00C47418" w:rsidP="00C47418">
      <w:pPr>
        <w:ind w:left="360"/>
        <w:jc w:val="both"/>
      </w:pPr>
    </w:p>
    <w:p w:rsidR="00C47418" w:rsidRDefault="00C47418" w:rsidP="002E38EA">
      <w:pPr>
        <w:ind w:left="720"/>
        <w:jc w:val="both"/>
        <w:rPr>
          <w:b/>
        </w:rPr>
      </w:pPr>
      <w:r>
        <w:rPr>
          <w:b/>
        </w:rPr>
        <w:t xml:space="preserve">The State party should consider amending its legislation in order to ensure independent or judicial oversight to determine that a person who is seeking assistance for suicide is acting with full free and informed consent. </w:t>
      </w:r>
    </w:p>
    <w:p w:rsidR="00C47418" w:rsidRPr="00C47418" w:rsidRDefault="00C47418" w:rsidP="00C47418">
      <w:pPr>
        <w:ind w:left="360"/>
        <w:jc w:val="both"/>
        <w:rPr>
          <w:bCs/>
        </w:rPr>
      </w:pPr>
    </w:p>
    <w:p w:rsidR="00CF5111" w:rsidRDefault="00CF5111" w:rsidP="00AD44B1">
      <w:pPr>
        <w:numPr>
          <w:ilvl w:val="0"/>
          <w:numId w:val="29"/>
        </w:numPr>
        <w:tabs>
          <w:tab w:val="clear" w:pos="1080"/>
          <w:tab w:val="num" w:pos="0"/>
        </w:tabs>
        <w:ind w:left="0" w:firstLine="0"/>
        <w:jc w:val="both"/>
      </w:pPr>
      <w:r>
        <w:t>The Committee is concerned about reports o</w:t>
      </w:r>
      <w:r w:rsidR="00CF1873">
        <w:t>f</w:t>
      </w:r>
      <w:r>
        <w:t xml:space="preserve"> police brutality </w:t>
      </w:r>
      <w:r w:rsidR="00017F48">
        <w:t xml:space="preserve">against </w:t>
      </w:r>
      <w:r>
        <w:t xml:space="preserve">persons </w:t>
      </w:r>
      <w:r w:rsidR="00443EF2">
        <w:t>during arrest or detention</w:t>
      </w:r>
      <w:r>
        <w:t>, in</w:t>
      </w:r>
      <w:r w:rsidR="00197FC3">
        <w:t xml:space="preserve"> particular</w:t>
      </w:r>
      <w:r>
        <w:t xml:space="preserve"> </w:t>
      </w:r>
      <w:r w:rsidR="00C345B6">
        <w:t>against</w:t>
      </w:r>
      <w:r w:rsidR="00D6631C">
        <w:t xml:space="preserve"> </w:t>
      </w:r>
      <w:r>
        <w:t>asylum-seekers and migrants. It remains concerned about the lack</w:t>
      </w:r>
      <w:r w:rsidR="00197FC3">
        <w:t xml:space="preserve"> </w:t>
      </w:r>
      <w:r w:rsidR="00C345B6">
        <w:t xml:space="preserve">in most cantons </w:t>
      </w:r>
      <w:r>
        <w:t>of independent mechanisms</w:t>
      </w:r>
      <w:r w:rsidR="00197FC3">
        <w:t xml:space="preserve"> to</w:t>
      </w:r>
      <w:r>
        <w:t xml:space="preserve"> investigat</w:t>
      </w:r>
      <w:r w:rsidR="00197FC3">
        <w:t>e</w:t>
      </w:r>
      <w:r>
        <w:t xml:space="preserve"> complaints lodged against the police. In this regard, the Committee reiterates that </w:t>
      </w:r>
      <w:r w:rsidR="00197FC3">
        <w:t xml:space="preserve">the possibility </w:t>
      </w:r>
      <w:r w:rsidR="00E559B4">
        <w:t xml:space="preserve">of </w:t>
      </w:r>
      <w:r w:rsidR="00443EF2">
        <w:t>fil</w:t>
      </w:r>
      <w:r w:rsidR="00E559B4">
        <w:t>ing</w:t>
      </w:r>
      <w:r w:rsidR="00197FC3">
        <w:t xml:space="preserve"> a</w:t>
      </w:r>
      <w:r w:rsidR="00443EF2">
        <w:t xml:space="preserve"> complaint before </w:t>
      </w:r>
      <w:r w:rsidR="00197FC3">
        <w:t xml:space="preserve">a </w:t>
      </w:r>
      <w:r w:rsidR="00443EF2">
        <w:t xml:space="preserve">court </w:t>
      </w:r>
      <w:r w:rsidR="00C345B6">
        <w:t xml:space="preserve">should not </w:t>
      </w:r>
      <w:r w:rsidR="00197FC3">
        <w:t xml:space="preserve">preclude </w:t>
      </w:r>
      <w:r w:rsidR="00443EF2">
        <w:t xml:space="preserve">the creation of </w:t>
      </w:r>
      <w:r>
        <w:t>such mechanisms.</w:t>
      </w:r>
      <w:r w:rsidR="000E33AA">
        <w:t xml:space="preserve"> </w:t>
      </w:r>
      <w:r w:rsidR="007E613C">
        <w:t xml:space="preserve">The Committee is also concerned with the generally low rate of minorities in the police force, despite the high percentage of minorities in the population at large. </w:t>
      </w:r>
      <w:r w:rsidR="000E33AA">
        <w:t>(art. 7)</w:t>
      </w:r>
    </w:p>
    <w:p w:rsidR="001869ED" w:rsidRDefault="001869ED" w:rsidP="001869ED">
      <w:pPr>
        <w:ind w:left="360"/>
        <w:jc w:val="both"/>
      </w:pPr>
    </w:p>
    <w:p w:rsidR="001869ED" w:rsidRDefault="001869ED" w:rsidP="001869ED">
      <w:pPr>
        <w:autoSpaceDE w:val="0"/>
        <w:autoSpaceDN w:val="0"/>
        <w:adjustRightInd w:val="0"/>
        <w:ind w:left="720"/>
        <w:jc w:val="both"/>
        <w:rPr>
          <w:b/>
          <w:lang w:val="en-US"/>
        </w:rPr>
      </w:pPr>
      <w:r>
        <w:rPr>
          <w:b/>
          <w:lang w:val="en-US"/>
        </w:rPr>
        <w:t>The State party should ensure that all cantons create an independent mechanism with authority to receive and effectively investigate all complaints of excessive use of force, ill-treatment or other abuses by the police. All perpetrators should be prosecuted and punished, and victims compensated. The State party should create a national statistical database on complaints lodged against the police. The State party should also increase efforts to ensure that minorities are adequately represented in the police forces.</w:t>
      </w:r>
    </w:p>
    <w:p w:rsidR="001869ED" w:rsidRPr="001869ED" w:rsidRDefault="001869ED" w:rsidP="001869ED">
      <w:pPr>
        <w:ind w:left="360"/>
        <w:jc w:val="both"/>
        <w:rPr>
          <w:lang w:val="en-US"/>
        </w:rPr>
      </w:pPr>
    </w:p>
    <w:p w:rsidR="00850732" w:rsidRDefault="004B1BA5" w:rsidP="00AD44B1">
      <w:pPr>
        <w:numPr>
          <w:ilvl w:val="0"/>
          <w:numId w:val="29"/>
        </w:numPr>
        <w:tabs>
          <w:tab w:val="clear" w:pos="1080"/>
          <w:tab w:val="num" w:pos="0"/>
        </w:tabs>
        <w:ind w:left="0" w:firstLine="0"/>
        <w:jc w:val="both"/>
      </w:pPr>
      <w:r>
        <w:t xml:space="preserve">The Committee </w:t>
      </w:r>
      <w:r w:rsidR="00017F48">
        <w:t>notes with concern that the forc</w:t>
      </w:r>
      <w:r w:rsidR="00E559B4">
        <w:t>ible</w:t>
      </w:r>
      <w:r w:rsidR="00017F48">
        <w:t xml:space="preserve"> removal of foreigners, which lies within the competence of cantons, </w:t>
      </w:r>
      <w:r w:rsidR="00C345B6">
        <w:t>does not</w:t>
      </w:r>
      <w:r w:rsidR="00017F48">
        <w:t xml:space="preserve"> take place in </w:t>
      </w:r>
      <w:r w:rsidR="00BC1924">
        <w:t xml:space="preserve">the presence of </w:t>
      </w:r>
      <w:r>
        <w:t>independent observers.</w:t>
      </w:r>
      <w:r w:rsidR="00BC1924">
        <w:t xml:space="preserve"> </w:t>
      </w:r>
      <w:r>
        <w:t>(art</w:t>
      </w:r>
      <w:r w:rsidR="00972280">
        <w:t>s</w:t>
      </w:r>
      <w:r>
        <w:t>.</w:t>
      </w:r>
      <w:r w:rsidR="00012724">
        <w:t xml:space="preserve"> 7</w:t>
      </w:r>
      <w:r w:rsidR="001869ED">
        <w:t>, 13</w:t>
      </w:r>
      <w:r>
        <w:t>)</w:t>
      </w:r>
      <w:r w:rsidR="00012724">
        <w:t xml:space="preserve"> </w:t>
      </w:r>
    </w:p>
    <w:p w:rsidR="001869ED" w:rsidRDefault="001869ED" w:rsidP="001869ED">
      <w:pPr>
        <w:ind w:left="360"/>
        <w:jc w:val="both"/>
      </w:pPr>
    </w:p>
    <w:p w:rsidR="001869ED" w:rsidRDefault="001869ED" w:rsidP="00287AD9">
      <w:pPr>
        <w:ind w:left="720"/>
        <w:jc w:val="both"/>
      </w:pPr>
      <w:r>
        <w:rPr>
          <w:b/>
        </w:rPr>
        <w:t>The State party should allow the presence of independent observers during the forcible removal of foreigners.</w:t>
      </w:r>
    </w:p>
    <w:p w:rsidR="001869ED" w:rsidRDefault="001869ED" w:rsidP="001869ED">
      <w:pPr>
        <w:ind w:left="360"/>
        <w:jc w:val="both"/>
      </w:pPr>
    </w:p>
    <w:p w:rsidR="00D07CC9" w:rsidRDefault="00ED7BA1" w:rsidP="00AD44B1">
      <w:pPr>
        <w:numPr>
          <w:ilvl w:val="0"/>
          <w:numId w:val="29"/>
        </w:numPr>
        <w:tabs>
          <w:tab w:val="clear" w:pos="1080"/>
          <w:tab w:val="num" w:pos="0"/>
        </w:tabs>
        <w:ind w:left="0" w:firstLine="0"/>
        <w:jc w:val="both"/>
      </w:pPr>
      <w:r>
        <w:t>The Committee notes that the Administrative Federal Tribunal</w:t>
      </w:r>
      <w:r w:rsidR="00E02E74">
        <w:t xml:space="preserve"> </w:t>
      </w:r>
      <w:r>
        <w:t>has revise</w:t>
      </w:r>
      <w:r w:rsidR="006059D0">
        <w:t>d</w:t>
      </w:r>
      <w:r>
        <w:t xml:space="preserve"> its jurisprudence to recognize that persecution </w:t>
      </w:r>
      <w:r w:rsidR="00E02E74">
        <w:t xml:space="preserve">by non-State actors </w:t>
      </w:r>
      <w:r>
        <w:t xml:space="preserve">may </w:t>
      </w:r>
      <w:r w:rsidR="00D10FD2">
        <w:t xml:space="preserve">constitute a </w:t>
      </w:r>
      <w:r>
        <w:t xml:space="preserve">ground for </w:t>
      </w:r>
      <w:r w:rsidR="00E02E74">
        <w:t xml:space="preserve">granting </w:t>
      </w:r>
      <w:r>
        <w:t>asylum.</w:t>
      </w:r>
      <w:r w:rsidR="00E02E74">
        <w:t xml:space="preserve"> T</w:t>
      </w:r>
      <w:r>
        <w:t>he Committee is concerned</w:t>
      </w:r>
      <w:r w:rsidR="00E02E74">
        <w:t>, however,</w:t>
      </w:r>
      <w:r>
        <w:t xml:space="preserve"> about reports </w:t>
      </w:r>
      <w:r w:rsidR="00E02E74">
        <w:t xml:space="preserve">of </w:t>
      </w:r>
      <w:r w:rsidR="00D10FD2">
        <w:t>expulsion</w:t>
      </w:r>
      <w:r w:rsidR="00017F48">
        <w:t>s</w:t>
      </w:r>
      <w:r w:rsidR="00D10FD2">
        <w:t xml:space="preserve"> </w:t>
      </w:r>
      <w:r>
        <w:t xml:space="preserve">regardless </w:t>
      </w:r>
      <w:r w:rsidR="00D10FD2">
        <w:t xml:space="preserve">of </w:t>
      </w:r>
      <w:r w:rsidR="00852EA1">
        <w:t xml:space="preserve">the </w:t>
      </w:r>
      <w:r w:rsidR="009A11E2">
        <w:t xml:space="preserve">stated </w:t>
      </w:r>
      <w:r w:rsidR="00E02E74">
        <w:t xml:space="preserve">inability of </w:t>
      </w:r>
      <w:r w:rsidR="00017F48">
        <w:t xml:space="preserve">the </w:t>
      </w:r>
      <w:r w:rsidR="00E559B4">
        <w:t xml:space="preserve">expelled </w:t>
      </w:r>
      <w:r w:rsidR="00E02E74">
        <w:t>persons’ countries of origin</w:t>
      </w:r>
      <w:r w:rsidR="00852EA1">
        <w:t xml:space="preserve"> to grant them protection</w:t>
      </w:r>
      <w:r w:rsidR="00B766E3">
        <w:t xml:space="preserve"> against non-State actors</w:t>
      </w:r>
      <w:r w:rsidR="00852EA1">
        <w:t xml:space="preserve">. </w:t>
      </w:r>
      <w:r>
        <w:t>(art</w:t>
      </w:r>
      <w:r w:rsidR="00972280">
        <w:t>s</w:t>
      </w:r>
      <w:r>
        <w:t>. 7</w:t>
      </w:r>
      <w:r w:rsidR="001869ED">
        <w:t>,</w:t>
      </w:r>
      <w:r w:rsidR="00E86861">
        <w:t xml:space="preserve"> 13)</w:t>
      </w:r>
    </w:p>
    <w:p w:rsidR="00242B2D" w:rsidRDefault="00242B2D" w:rsidP="00242B2D">
      <w:pPr>
        <w:ind w:left="360"/>
        <w:jc w:val="both"/>
      </w:pPr>
    </w:p>
    <w:p w:rsidR="001869ED" w:rsidRDefault="001869ED" w:rsidP="00287AD9">
      <w:pPr>
        <w:ind w:left="720"/>
        <w:jc w:val="both"/>
      </w:pPr>
      <w:r>
        <w:rPr>
          <w:b/>
        </w:rPr>
        <w:t xml:space="preserve">The State party should fully comply with the principle of non-refoulement for persons subjected to persecution by non-State actors and ensure the application of the jurisprudence of the Administrative Federal Tribunal in this regard. </w:t>
      </w:r>
    </w:p>
    <w:p w:rsidR="001869ED" w:rsidRDefault="001869ED" w:rsidP="001869ED">
      <w:pPr>
        <w:ind w:left="360"/>
        <w:jc w:val="both"/>
      </w:pPr>
    </w:p>
    <w:p w:rsidR="00850732" w:rsidRDefault="00634234" w:rsidP="00AD44B1">
      <w:pPr>
        <w:numPr>
          <w:ilvl w:val="0"/>
          <w:numId w:val="29"/>
        </w:numPr>
        <w:tabs>
          <w:tab w:val="clear" w:pos="1080"/>
          <w:tab w:val="num" w:pos="0"/>
        </w:tabs>
        <w:ind w:left="0" w:firstLine="0"/>
        <w:jc w:val="both"/>
      </w:pPr>
      <w:r>
        <w:t>The Committee notes the efforts made by the State party to improve living conditions and overcome overcrowding in prisons,</w:t>
      </w:r>
      <w:r w:rsidR="006059D0">
        <w:t xml:space="preserve"> </w:t>
      </w:r>
      <w:r w:rsidR="002644E7">
        <w:t xml:space="preserve">such as </w:t>
      </w:r>
      <w:r w:rsidR="00D10FD2">
        <w:t xml:space="preserve">the </w:t>
      </w:r>
      <w:r w:rsidR="00460183">
        <w:t xml:space="preserve">planned </w:t>
      </w:r>
      <w:r w:rsidR="002644E7">
        <w:t>construction of new prisons</w:t>
      </w:r>
      <w:r w:rsidR="00460183">
        <w:t xml:space="preserve">. </w:t>
      </w:r>
      <w:r w:rsidR="002644E7">
        <w:t xml:space="preserve">The Committee is concerned </w:t>
      </w:r>
      <w:r w:rsidR="006059D0">
        <w:t xml:space="preserve">about </w:t>
      </w:r>
      <w:r w:rsidR="002644E7">
        <w:t xml:space="preserve">the </w:t>
      </w:r>
      <w:r w:rsidR="00460183">
        <w:t xml:space="preserve">persistent </w:t>
      </w:r>
      <w:r w:rsidR="002644E7">
        <w:t>ina</w:t>
      </w:r>
      <w:r w:rsidR="009A11E2">
        <w:t>dequate</w:t>
      </w:r>
      <w:r w:rsidR="002644E7">
        <w:t xml:space="preserve"> living conditions in </w:t>
      </w:r>
      <w:r w:rsidR="00460183">
        <w:t xml:space="preserve">some facilities </w:t>
      </w:r>
      <w:r w:rsidR="002644E7">
        <w:t>and in particular the overcrowding in Champ-Dollon</w:t>
      </w:r>
      <w:r w:rsidR="00460183">
        <w:t xml:space="preserve"> Prison</w:t>
      </w:r>
      <w:r w:rsidR="002644E7">
        <w:t>. (art. 10)</w:t>
      </w:r>
      <w:r w:rsidR="00012724">
        <w:t xml:space="preserve"> </w:t>
      </w:r>
    </w:p>
    <w:p w:rsidR="001869ED" w:rsidRDefault="001869ED" w:rsidP="001869ED">
      <w:pPr>
        <w:ind w:left="360"/>
        <w:jc w:val="both"/>
      </w:pPr>
    </w:p>
    <w:p w:rsidR="001869ED" w:rsidRDefault="001869ED" w:rsidP="001869ED">
      <w:pPr>
        <w:ind w:left="720"/>
        <w:jc w:val="both"/>
        <w:rPr>
          <w:b/>
        </w:rPr>
      </w:pPr>
      <w:r>
        <w:rPr>
          <w:b/>
        </w:rPr>
        <w:t xml:space="preserve">The State should reinforce its efforts to improve the living conditions in prisons in all cantons and to urgently resolve the issue of overcrowding, in particular in the Champ-Dollon Prison. </w:t>
      </w:r>
    </w:p>
    <w:p w:rsidR="001869ED" w:rsidRDefault="001869ED" w:rsidP="001869ED">
      <w:pPr>
        <w:ind w:left="360"/>
        <w:jc w:val="both"/>
      </w:pPr>
    </w:p>
    <w:p w:rsidR="00850732" w:rsidRDefault="00732DDA" w:rsidP="00AD44B1">
      <w:pPr>
        <w:numPr>
          <w:ilvl w:val="0"/>
          <w:numId w:val="29"/>
        </w:numPr>
        <w:tabs>
          <w:tab w:val="clear" w:pos="1080"/>
          <w:tab w:val="num" w:pos="0"/>
        </w:tabs>
        <w:ind w:left="0" w:firstLine="0"/>
        <w:jc w:val="both"/>
      </w:pPr>
      <w:r>
        <w:t xml:space="preserve">The Committee takes note of </w:t>
      </w:r>
      <w:r w:rsidR="009A11E2">
        <w:t xml:space="preserve">the </w:t>
      </w:r>
      <w:r>
        <w:t xml:space="preserve">information that </w:t>
      </w:r>
      <w:r w:rsidR="00AF6667">
        <w:t>asylum-seekers are duly informed o</w:t>
      </w:r>
      <w:r w:rsidR="0067468B">
        <w:t>f</w:t>
      </w:r>
      <w:r w:rsidR="00AF6667">
        <w:t xml:space="preserve"> their right to legal assistance and that </w:t>
      </w:r>
      <w:r>
        <w:t xml:space="preserve">free legal assistance is provided </w:t>
      </w:r>
      <w:r w:rsidR="00AF6667">
        <w:t xml:space="preserve">during the ordinary </w:t>
      </w:r>
      <w:r w:rsidR="009A11E2">
        <w:t xml:space="preserve">asylum </w:t>
      </w:r>
      <w:r w:rsidR="00AF6667">
        <w:t>procedure. It is concerned</w:t>
      </w:r>
      <w:r w:rsidR="00BF37AA">
        <w:t xml:space="preserve">, however, </w:t>
      </w:r>
      <w:r w:rsidR="00AF6667">
        <w:t xml:space="preserve">that </w:t>
      </w:r>
      <w:r w:rsidR="00104672">
        <w:t xml:space="preserve">free </w:t>
      </w:r>
      <w:r w:rsidR="00AF6667">
        <w:t xml:space="preserve">legal assistance </w:t>
      </w:r>
      <w:r w:rsidR="00104672">
        <w:t xml:space="preserve">may be subject to </w:t>
      </w:r>
      <w:r w:rsidR="0067468B">
        <w:t xml:space="preserve">restrictive </w:t>
      </w:r>
      <w:r w:rsidR="00104672">
        <w:t xml:space="preserve">conditions when asylum-seekers file </w:t>
      </w:r>
      <w:r w:rsidR="009A11E2">
        <w:t xml:space="preserve">an </w:t>
      </w:r>
      <w:r w:rsidR="00104672">
        <w:t xml:space="preserve">application in the framework of </w:t>
      </w:r>
      <w:r w:rsidR="00AF6667">
        <w:t xml:space="preserve">the extraordinary procedure. </w:t>
      </w:r>
      <w:r w:rsidR="00FD515A">
        <w:t>(art. 1</w:t>
      </w:r>
      <w:r w:rsidR="001869ED">
        <w:t>3</w:t>
      </w:r>
      <w:r w:rsidR="00FD515A">
        <w:t>)</w:t>
      </w:r>
      <w:r w:rsidR="00BB56E8">
        <w:t xml:space="preserve"> </w:t>
      </w:r>
    </w:p>
    <w:p w:rsidR="002E38EA" w:rsidRDefault="002E38EA" w:rsidP="002E38EA">
      <w:pPr>
        <w:ind w:left="360"/>
        <w:jc w:val="both"/>
      </w:pPr>
    </w:p>
    <w:p w:rsidR="001869ED" w:rsidRDefault="001869ED" w:rsidP="001869ED">
      <w:pPr>
        <w:ind w:left="720"/>
        <w:jc w:val="both"/>
        <w:rPr>
          <w:b/>
        </w:rPr>
      </w:pPr>
      <w:r>
        <w:rPr>
          <w:b/>
        </w:rPr>
        <w:t>The State party should review its legislation in order to grant free legal assistance to asylum-seekers during all asylum procedures, whether ordinary or extraordinary.</w:t>
      </w:r>
    </w:p>
    <w:p w:rsidR="001869ED" w:rsidRDefault="001869ED" w:rsidP="001869ED">
      <w:pPr>
        <w:ind w:left="360"/>
        <w:jc w:val="both"/>
      </w:pPr>
    </w:p>
    <w:p w:rsidR="00104672" w:rsidRPr="001869ED" w:rsidRDefault="0067468B" w:rsidP="00AD44B1">
      <w:pPr>
        <w:numPr>
          <w:ilvl w:val="0"/>
          <w:numId w:val="29"/>
        </w:numPr>
        <w:tabs>
          <w:tab w:val="clear" w:pos="1080"/>
          <w:tab w:val="num" w:pos="0"/>
        </w:tabs>
        <w:ind w:left="0" w:firstLine="0"/>
        <w:jc w:val="both"/>
      </w:pPr>
      <w:r>
        <w:t xml:space="preserve">While </w:t>
      </w:r>
      <w:r w:rsidR="00FB46B0">
        <w:t>not</w:t>
      </w:r>
      <w:r>
        <w:t>ing</w:t>
      </w:r>
      <w:r w:rsidR="00FB46B0">
        <w:rPr>
          <w:lang w:val="en-US"/>
        </w:rPr>
        <w:t xml:space="preserve"> that urgent assistance is granted to persons whose asylum application has been rejected</w:t>
      </w:r>
      <w:r>
        <w:rPr>
          <w:lang w:val="en-US"/>
        </w:rPr>
        <w:t>,</w:t>
      </w:r>
      <w:r w:rsidR="00FB46B0">
        <w:rPr>
          <w:lang w:val="en-US"/>
        </w:rPr>
        <w:t xml:space="preserve"> </w:t>
      </w:r>
      <w:r>
        <w:rPr>
          <w:lang w:val="en-US"/>
        </w:rPr>
        <w:t>t</w:t>
      </w:r>
      <w:r w:rsidR="00FB46B0">
        <w:rPr>
          <w:lang w:val="en-US"/>
        </w:rPr>
        <w:t xml:space="preserve">he </w:t>
      </w:r>
      <w:r w:rsidR="00104672">
        <w:rPr>
          <w:lang w:val="en-US"/>
        </w:rPr>
        <w:t>Committee is concerned</w:t>
      </w:r>
      <w:r>
        <w:rPr>
          <w:lang w:val="en-US"/>
        </w:rPr>
        <w:t xml:space="preserve"> </w:t>
      </w:r>
      <w:r w:rsidR="00104672">
        <w:rPr>
          <w:lang w:val="en-US"/>
        </w:rPr>
        <w:t xml:space="preserve">about reports </w:t>
      </w:r>
      <w:r>
        <w:rPr>
          <w:lang w:val="en-US"/>
        </w:rPr>
        <w:t>according to which</w:t>
      </w:r>
      <w:r w:rsidR="00104672">
        <w:rPr>
          <w:lang w:val="en-US"/>
        </w:rPr>
        <w:t xml:space="preserve"> </w:t>
      </w:r>
      <w:r>
        <w:rPr>
          <w:lang w:val="en-US"/>
        </w:rPr>
        <w:t>their living</w:t>
      </w:r>
      <w:r w:rsidR="00104672">
        <w:rPr>
          <w:lang w:val="en-US"/>
        </w:rPr>
        <w:t xml:space="preserve"> conditions</w:t>
      </w:r>
      <w:r>
        <w:rPr>
          <w:lang w:val="en-US"/>
        </w:rPr>
        <w:t xml:space="preserve"> are inadequate and they </w:t>
      </w:r>
      <w:r w:rsidR="00FB46B0">
        <w:rPr>
          <w:lang w:val="en-US"/>
        </w:rPr>
        <w:t xml:space="preserve">no longer benefit from </w:t>
      </w:r>
      <w:r w:rsidR="00104672">
        <w:rPr>
          <w:lang w:val="en-US"/>
        </w:rPr>
        <w:t>health insurance</w:t>
      </w:r>
      <w:r w:rsidR="00FB46B0">
        <w:rPr>
          <w:lang w:val="en-US"/>
        </w:rPr>
        <w:t xml:space="preserve"> </w:t>
      </w:r>
      <w:r w:rsidR="00104672">
        <w:rPr>
          <w:lang w:val="en-US"/>
        </w:rPr>
        <w:t>(LAMAL Law)</w:t>
      </w:r>
      <w:r w:rsidR="00972280">
        <w:rPr>
          <w:lang w:val="en-US"/>
        </w:rPr>
        <w:t>, thereby restrict</w:t>
      </w:r>
      <w:r w:rsidR="00612625">
        <w:rPr>
          <w:lang w:val="en-US"/>
        </w:rPr>
        <w:t>ing</w:t>
      </w:r>
      <w:r w:rsidR="00972280">
        <w:rPr>
          <w:lang w:val="en-US"/>
        </w:rPr>
        <w:t xml:space="preserve"> their access to health care</w:t>
      </w:r>
      <w:r w:rsidR="00104672">
        <w:rPr>
          <w:lang w:val="en-US"/>
        </w:rPr>
        <w:t xml:space="preserve">. (arts. </w:t>
      </w:r>
      <w:r w:rsidR="001869ED">
        <w:rPr>
          <w:lang w:val="en-US"/>
        </w:rPr>
        <w:t>13</w:t>
      </w:r>
      <w:r w:rsidR="00104672">
        <w:rPr>
          <w:lang w:val="en-US"/>
        </w:rPr>
        <w:t xml:space="preserve">, 17) </w:t>
      </w:r>
    </w:p>
    <w:p w:rsidR="001869ED" w:rsidRDefault="001869ED" w:rsidP="001869ED">
      <w:pPr>
        <w:ind w:left="360"/>
        <w:jc w:val="both"/>
        <w:rPr>
          <w:lang w:val="en-US"/>
        </w:rPr>
      </w:pPr>
    </w:p>
    <w:p w:rsidR="001869ED" w:rsidRDefault="001869ED" w:rsidP="00287AD9">
      <w:pPr>
        <w:ind w:left="720"/>
        <w:jc w:val="both"/>
        <w:rPr>
          <w:b/>
          <w:bCs/>
        </w:rPr>
      </w:pPr>
      <w:r w:rsidRPr="001869ED">
        <w:rPr>
          <w:b/>
          <w:bCs/>
        </w:rPr>
        <w:t>The State party should protect the fundamental rights of persons whose asylum application has been rejected and provide them with an adequate standard of living and health care.</w:t>
      </w:r>
    </w:p>
    <w:p w:rsidR="00E559B4" w:rsidRDefault="00996CD4" w:rsidP="00AD44B1">
      <w:pPr>
        <w:numPr>
          <w:ilvl w:val="0"/>
          <w:numId w:val="29"/>
        </w:numPr>
        <w:tabs>
          <w:tab w:val="clear" w:pos="1080"/>
          <w:tab w:val="num" w:pos="0"/>
        </w:tabs>
        <w:ind w:left="0" w:firstLine="0"/>
        <w:jc w:val="both"/>
      </w:pPr>
      <w:r>
        <w:t>The Committee is concerned at the reluctance of the State party to compensate or otherwise make reparation for forcible castrations and sterilizations conducted between 1960 and 1987.</w:t>
      </w:r>
      <w:r w:rsidR="00E559B4">
        <w:t xml:space="preserve"> </w:t>
      </w:r>
      <w:r>
        <w:t>(arts. 2, 7)</w:t>
      </w:r>
    </w:p>
    <w:p w:rsidR="00996CD4" w:rsidRDefault="00996CD4" w:rsidP="00E559B4">
      <w:pPr>
        <w:jc w:val="both"/>
      </w:pPr>
      <w:r>
        <w:t xml:space="preserve"> </w:t>
      </w:r>
    </w:p>
    <w:p w:rsidR="00996CD4" w:rsidRDefault="00996CD4" w:rsidP="00996CD4">
      <w:pPr>
        <w:autoSpaceDE w:val="0"/>
        <w:autoSpaceDN w:val="0"/>
        <w:adjustRightInd w:val="0"/>
        <w:ind w:left="720"/>
        <w:jc w:val="both"/>
        <w:rPr>
          <w:b/>
          <w:lang w:val="en-US"/>
        </w:rPr>
      </w:pPr>
      <w:r>
        <w:rPr>
          <w:b/>
          <w:lang w:val="en-US"/>
        </w:rPr>
        <w:t>The State party should repair this past injustice through forms of reparation, including non-financial means, such as public apology.</w:t>
      </w:r>
    </w:p>
    <w:p w:rsidR="00996CD4" w:rsidRDefault="00996CD4" w:rsidP="00996CD4">
      <w:pPr>
        <w:ind w:left="360"/>
        <w:jc w:val="both"/>
      </w:pPr>
    </w:p>
    <w:p w:rsidR="005C496A" w:rsidRPr="00996CD4" w:rsidRDefault="005C496A" w:rsidP="00AD44B1">
      <w:pPr>
        <w:numPr>
          <w:ilvl w:val="0"/>
          <w:numId w:val="29"/>
        </w:numPr>
        <w:tabs>
          <w:tab w:val="clear" w:pos="1080"/>
          <w:tab w:val="num" w:pos="0"/>
        </w:tabs>
        <w:ind w:left="0" w:firstLine="0"/>
        <w:jc w:val="both"/>
        <w:rPr>
          <w:b/>
          <w:lang w:val="en-US"/>
        </w:rPr>
      </w:pPr>
      <w:r>
        <w:rPr>
          <w:bCs/>
        </w:rPr>
        <w:t xml:space="preserve">The Committee notes with concern the modification of the Civil Code of 12 June 2009, which prohibits marriage or partnership </w:t>
      </w:r>
      <w:r w:rsidR="00E559B4">
        <w:rPr>
          <w:bCs/>
        </w:rPr>
        <w:t>with</w:t>
      </w:r>
      <w:r>
        <w:rPr>
          <w:bCs/>
        </w:rPr>
        <w:t xml:space="preserve"> a person with no regular residence status in </w:t>
      </w:r>
      <w:smartTag w:uri="urn:schemas-microsoft-com:office:smarttags" w:element="place">
        <w:smartTag w:uri="urn:schemas-microsoft-com:office:smarttags" w:element="country-region">
          <w:r>
            <w:rPr>
              <w:bCs/>
            </w:rPr>
            <w:t>Switzerland</w:t>
          </w:r>
        </w:smartTag>
      </w:smartTag>
      <w:r>
        <w:rPr>
          <w:bCs/>
        </w:rPr>
        <w:t xml:space="preserve">. This new provision goes beyond mere regulation of the right to marry and found a family consecrated in 23 of the Covenant (arts. 2, </w:t>
      </w:r>
      <w:r w:rsidR="00996CD4">
        <w:rPr>
          <w:bCs/>
        </w:rPr>
        <w:t xml:space="preserve">17, </w:t>
      </w:r>
      <w:r>
        <w:rPr>
          <w:bCs/>
        </w:rPr>
        <w:t>23, 26)</w:t>
      </w:r>
    </w:p>
    <w:p w:rsidR="00996CD4" w:rsidRPr="00996CD4" w:rsidRDefault="00996CD4" w:rsidP="00996CD4">
      <w:pPr>
        <w:ind w:left="360"/>
        <w:jc w:val="both"/>
        <w:rPr>
          <w:b/>
          <w:lang w:val="en-US"/>
        </w:rPr>
      </w:pPr>
    </w:p>
    <w:p w:rsidR="00996CD4" w:rsidRDefault="00996CD4" w:rsidP="00996CD4">
      <w:pPr>
        <w:autoSpaceDE w:val="0"/>
        <w:autoSpaceDN w:val="0"/>
        <w:adjustRightInd w:val="0"/>
        <w:ind w:left="720"/>
        <w:jc w:val="both"/>
        <w:rPr>
          <w:b/>
        </w:rPr>
      </w:pPr>
      <w:r w:rsidRPr="00435052">
        <w:rPr>
          <w:b/>
        </w:rPr>
        <w:t xml:space="preserve">The State party should urgently review its </w:t>
      </w:r>
      <w:r>
        <w:rPr>
          <w:b/>
        </w:rPr>
        <w:t xml:space="preserve">applicable </w:t>
      </w:r>
      <w:r w:rsidRPr="00435052">
        <w:rPr>
          <w:b/>
        </w:rPr>
        <w:t>legislation so as to make it consistent with the Covenant.</w:t>
      </w:r>
      <w:r>
        <w:rPr>
          <w:b/>
        </w:rPr>
        <w:t xml:space="preserve"> </w:t>
      </w:r>
    </w:p>
    <w:p w:rsidR="00996CD4" w:rsidRPr="00996CD4" w:rsidRDefault="00996CD4" w:rsidP="00996CD4">
      <w:pPr>
        <w:ind w:left="360"/>
        <w:jc w:val="both"/>
        <w:rPr>
          <w:b/>
        </w:rPr>
      </w:pPr>
    </w:p>
    <w:p w:rsidR="00850732" w:rsidRDefault="00850732" w:rsidP="00E559B4">
      <w:pPr>
        <w:numPr>
          <w:ilvl w:val="0"/>
          <w:numId w:val="29"/>
        </w:numPr>
        <w:tabs>
          <w:tab w:val="clear" w:pos="1080"/>
          <w:tab w:val="num" w:pos="0"/>
        </w:tabs>
        <w:ind w:left="0" w:firstLine="0"/>
        <w:jc w:val="both"/>
      </w:pPr>
      <w:r>
        <w:t xml:space="preserve">The </w:t>
      </w:r>
      <w:r w:rsidR="00EC30B2">
        <w:t xml:space="preserve">State party should widely </w:t>
      </w:r>
      <w:r w:rsidR="00CE49B3">
        <w:t>disseminate in its official languages</w:t>
      </w:r>
      <w:r w:rsidR="00EC30B2">
        <w:t xml:space="preserve"> the text of its third report, the written answers it has provided to the list of issues drawn up by the Committee and</w:t>
      </w:r>
      <w:r w:rsidR="008E752F">
        <w:t xml:space="preserve"> these </w:t>
      </w:r>
      <w:r w:rsidR="00E559B4">
        <w:t>c</w:t>
      </w:r>
      <w:r w:rsidR="00EC30B2">
        <w:t xml:space="preserve">oncluding </w:t>
      </w:r>
      <w:r w:rsidR="00E559B4">
        <w:t>o</w:t>
      </w:r>
      <w:r w:rsidR="00EC30B2">
        <w:t xml:space="preserve">bservations. </w:t>
      </w:r>
    </w:p>
    <w:p w:rsidR="00242B2D" w:rsidRDefault="00242B2D" w:rsidP="002E38EA">
      <w:pPr>
        <w:tabs>
          <w:tab w:val="num" w:pos="0"/>
        </w:tabs>
        <w:jc w:val="both"/>
      </w:pPr>
    </w:p>
    <w:p w:rsidR="00850732" w:rsidRDefault="00850732" w:rsidP="00E559B4">
      <w:pPr>
        <w:numPr>
          <w:ilvl w:val="0"/>
          <w:numId w:val="29"/>
        </w:numPr>
        <w:tabs>
          <w:tab w:val="clear" w:pos="1080"/>
          <w:tab w:val="num" w:pos="0"/>
        </w:tabs>
        <w:ind w:left="0" w:firstLine="0"/>
        <w:jc w:val="both"/>
      </w:pPr>
      <w:r>
        <w:t>In accordance with rule 71, paragraph 5, of the Committee’s rules of procedure, the State party should provide, within one year, information on the current situation and on its implementation of the recommendations given in paragraphs</w:t>
      </w:r>
      <w:r w:rsidRPr="00325CC9">
        <w:t xml:space="preserve"> </w:t>
      </w:r>
      <w:r w:rsidR="00325CC9">
        <w:t xml:space="preserve">10, 14 and 18 </w:t>
      </w:r>
      <w:r>
        <w:t>above.</w:t>
      </w:r>
    </w:p>
    <w:p w:rsidR="00996CD4" w:rsidRDefault="00996CD4" w:rsidP="002E38EA">
      <w:pPr>
        <w:tabs>
          <w:tab w:val="num" w:pos="0"/>
        </w:tabs>
        <w:jc w:val="both"/>
      </w:pPr>
    </w:p>
    <w:p w:rsidR="00850732" w:rsidRDefault="00850732" w:rsidP="002E38EA">
      <w:pPr>
        <w:numPr>
          <w:ilvl w:val="0"/>
          <w:numId w:val="29"/>
        </w:numPr>
        <w:tabs>
          <w:tab w:val="clear" w:pos="1080"/>
          <w:tab w:val="num" w:pos="0"/>
        </w:tabs>
        <w:ind w:left="0" w:firstLine="0"/>
        <w:jc w:val="both"/>
      </w:pPr>
      <w:r>
        <w:t>The Committee requests the State party, in its next periodic report</w:t>
      </w:r>
      <w:r w:rsidR="00E559B4">
        <w:t>,</w:t>
      </w:r>
      <w:r>
        <w:t xml:space="preserve"> due to be submitted</w:t>
      </w:r>
      <w:r w:rsidR="00972280">
        <w:t xml:space="preserve"> 2015</w:t>
      </w:r>
      <w:r>
        <w:t xml:space="preserve">, to provide information on action taken to implement the remaining recommendations and on its compliance with the Covenant as a whole. </w:t>
      </w:r>
      <w:r w:rsidR="00CE49B3">
        <w:t xml:space="preserve"> </w:t>
      </w:r>
    </w:p>
    <w:p w:rsidR="00612625" w:rsidRDefault="00612625" w:rsidP="00612625">
      <w:pPr>
        <w:tabs>
          <w:tab w:val="num" w:pos="0"/>
        </w:tabs>
        <w:jc w:val="both"/>
      </w:pPr>
    </w:p>
    <w:p w:rsidR="00850732" w:rsidRDefault="00850732">
      <w:pPr>
        <w:jc w:val="center"/>
      </w:pPr>
      <w:r>
        <w:t>-----</w:t>
      </w:r>
    </w:p>
    <w:p w:rsidR="00850732" w:rsidRDefault="00850732">
      <w:pPr>
        <w:jc w:val="both"/>
      </w:pPr>
    </w:p>
    <w:sectPr w:rsidR="00850732" w:rsidSect="00E062AA">
      <w:headerReference w:type="even" r:id="rId9"/>
      <w:headerReference w:type="default" r:id="rId10"/>
      <w:footerReference w:type="first" r:id="rId11"/>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A3" w:rsidRDefault="00FD1CA3">
      <w:r>
        <w:separator/>
      </w:r>
    </w:p>
  </w:endnote>
  <w:endnote w:type="continuationSeparator" w:id="0">
    <w:p w:rsidR="00FD1CA3" w:rsidRDefault="00FD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45" w:rsidRDefault="00DF7C45">
    <w:pPr>
      <w:pStyle w:val="Footer"/>
    </w:pPr>
    <w:r>
      <w:t>GE.09-</w:t>
    </w:r>
    <w:r w:rsidR="00776CFA">
      <w:t>45928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A3" w:rsidRDefault="00FD1CA3">
      <w:r>
        <w:separator/>
      </w:r>
    </w:p>
  </w:footnote>
  <w:footnote w:type="continuationSeparator" w:id="0">
    <w:p w:rsidR="00FD1CA3" w:rsidRDefault="00FD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25" w:rsidRDefault="00D37A41" w:rsidP="007B3125">
    <w:pPr>
      <w:rPr>
        <w:color w:val="000000"/>
      </w:rPr>
    </w:pPr>
    <w:r w:rsidRPr="004D0EA3">
      <w:rPr>
        <w:color w:val="000000"/>
      </w:rPr>
      <w:t>CCPR/C/</w:t>
    </w:r>
    <w:r>
      <w:rPr>
        <w:color w:val="000000"/>
      </w:rPr>
      <w:t>CHE/CO/3</w:t>
    </w:r>
  </w:p>
  <w:p w:rsidR="00E02E74" w:rsidRDefault="00E02E74" w:rsidP="007B3125">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6CFA">
      <w:rPr>
        <w:rStyle w:val="PageNumber"/>
        <w:noProof/>
      </w:rPr>
      <w:t>6</w:t>
    </w:r>
    <w:r>
      <w:rPr>
        <w:rStyle w:val="PageNumber"/>
      </w:rPr>
      <w:fldChar w:fldCharType="end"/>
    </w:r>
  </w:p>
  <w:p w:rsidR="00D37A41" w:rsidRDefault="00D37A41" w:rsidP="005B60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74" w:rsidRDefault="00D37A41" w:rsidP="007B3125">
    <w:pPr>
      <w:ind w:right="120"/>
      <w:jc w:val="right"/>
    </w:pPr>
    <w:r w:rsidRPr="004D0EA3">
      <w:rPr>
        <w:color w:val="000000"/>
      </w:rPr>
      <w:t>CCPR/C/</w:t>
    </w:r>
    <w:r>
      <w:rPr>
        <w:color w:val="000000"/>
      </w:rPr>
      <w:t>CHE/CO/3</w:t>
    </w:r>
  </w:p>
  <w:p w:rsidR="00E02E74" w:rsidRDefault="00D37A41" w:rsidP="00D37A41">
    <w:pPr>
      <w:pStyle w:val="Header"/>
      <w:ind w:right="480"/>
      <w:jc w:val="center"/>
      <w:rPr>
        <w:rStyle w:val="PageNumber"/>
      </w:rPr>
    </w:pPr>
    <w:r>
      <w:rPr>
        <w:rStyle w:val="PageNumber"/>
      </w:rPr>
      <w:t xml:space="preserve">                                                                                     </w:t>
    </w:r>
    <w:r w:rsidR="007B3125">
      <w:rPr>
        <w:rStyle w:val="PageNumber"/>
      </w:rPr>
      <w:t xml:space="preserve">                    </w:t>
    </w:r>
    <w:r>
      <w:rPr>
        <w:rStyle w:val="PageNumber"/>
      </w:rPr>
      <w:t xml:space="preserve"> </w:t>
    </w:r>
    <w:r w:rsidR="00E02E74">
      <w:rPr>
        <w:rStyle w:val="PageNumber"/>
      </w:rPr>
      <w:t xml:space="preserve">page </w:t>
    </w:r>
    <w:r w:rsidR="00E02E74">
      <w:rPr>
        <w:rStyle w:val="PageNumber"/>
      </w:rPr>
      <w:fldChar w:fldCharType="begin"/>
    </w:r>
    <w:r w:rsidR="00E02E74">
      <w:rPr>
        <w:rStyle w:val="PageNumber"/>
      </w:rPr>
      <w:instrText xml:space="preserve"> PAGE </w:instrText>
    </w:r>
    <w:r w:rsidR="00E02E74">
      <w:rPr>
        <w:rStyle w:val="PageNumber"/>
      </w:rPr>
      <w:fldChar w:fldCharType="separate"/>
    </w:r>
    <w:r w:rsidR="00776CFA">
      <w:rPr>
        <w:rStyle w:val="PageNumber"/>
        <w:noProof/>
      </w:rPr>
      <w:t>5</w:t>
    </w:r>
    <w:r w:rsidR="00E02E74">
      <w:rPr>
        <w:rStyle w:val="PageNumber"/>
      </w:rPr>
      <w:fldChar w:fldCharType="end"/>
    </w:r>
  </w:p>
  <w:p w:rsidR="00D37A41" w:rsidRDefault="00D37A41" w:rsidP="00D37A41">
    <w:pPr>
      <w:pStyle w:val="Header"/>
      <w:ind w:right="48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47B"/>
    <w:multiLevelType w:val="hybridMultilevel"/>
    <w:tmpl w:val="EABE03B6"/>
    <w:lvl w:ilvl="0" w:tplc="F9EA3D80">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23838"/>
    <w:multiLevelType w:val="hybridMultilevel"/>
    <w:tmpl w:val="EB52709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36A7F5F"/>
    <w:multiLevelType w:val="hybridMultilevel"/>
    <w:tmpl w:val="808C1A0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16D10DEF"/>
    <w:multiLevelType w:val="hybridMultilevel"/>
    <w:tmpl w:val="6DBEA7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1B3506"/>
    <w:multiLevelType w:val="hybridMultilevel"/>
    <w:tmpl w:val="A7222B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246987"/>
    <w:multiLevelType w:val="multilevel"/>
    <w:tmpl w:val="7658A7AE"/>
    <w:lvl w:ilvl="0">
      <w:start w:val="7"/>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072D6B"/>
    <w:multiLevelType w:val="hybridMultilevel"/>
    <w:tmpl w:val="38BE570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EBE77DC"/>
    <w:multiLevelType w:val="hybridMultilevel"/>
    <w:tmpl w:val="16C84F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18E56FB"/>
    <w:multiLevelType w:val="hybridMultilevel"/>
    <w:tmpl w:val="6C6CDB9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2A05F84"/>
    <w:multiLevelType w:val="hybridMultilevel"/>
    <w:tmpl w:val="06DA244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3947ECC"/>
    <w:multiLevelType w:val="hybridMultilevel"/>
    <w:tmpl w:val="B56A41EA"/>
    <w:lvl w:ilvl="0" w:tplc="02AE22E4">
      <w:start w:val="7"/>
      <w:numFmt w:val="decimal"/>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223672"/>
    <w:multiLevelType w:val="hybridMultilevel"/>
    <w:tmpl w:val="9CECB0F2"/>
    <w:lvl w:ilvl="0" w:tplc="F9EA3D8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217468"/>
    <w:multiLevelType w:val="hybridMultilevel"/>
    <w:tmpl w:val="01F20A8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451E5C40"/>
    <w:multiLevelType w:val="hybridMultilevel"/>
    <w:tmpl w:val="910C0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58E179E"/>
    <w:multiLevelType w:val="hybridMultilevel"/>
    <w:tmpl w:val="7A22FB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C8C5355"/>
    <w:multiLevelType w:val="hybridMultilevel"/>
    <w:tmpl w:val="3AF65EC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F442A77"/>
    <w:multiLevelType w:val="hybridMultilevel"/>
    <w:tmpl w:val="32C4EA22"/>
    <w:lvl w:ilvl="0" w:tplc="2C46CE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0870EB0"/>
    <w:multiLevelType w:val="multilevel"/>
    <w:tmpl w:val="3AF65EC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0C13391"/>
    <w:multiLevelType w:val="hybridMultilevel"/>
    <w:tmpl w:val="E3F81FA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1446F8E"/>
    <w:multiLevelType w:val="hybridMultilevel"/>
    <w:tmpl w:val="A3126A1E"/>
    <w:lvl w:ilvl="0">
      <w:start w:val="1"/>
      <w:numFmt w:val="decimal"/>
      <w:lvlText w:val="%1."/>
      <w:lvlJc w:val="left"/>
      <w:pPr>
        <w:tabs>
          <w:tab w:val="num" w:pos="360"/>
        </w:tabs>
        <w:ind w:left="360" w:hanging="360"/>
      </w:pPr>
      <w:rPr>
        <w:b w:val="0"/>
        <w:bCs/>
        <w:i w:val="0"/>
        <w:iCs/>
        <w:sz w:val="24"/>
        <w:szCs w:val="24"/>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i w:val="0"/>
        <w:iCs/>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5A083CB5"/>
    <w:multiLevelType w:val="hybridMultilevel"/>
    <w:tmpl w:val="20D6F7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C3D5F49"/>
    <w:multiLevelType w:val="hybridMultilevel"/>
    <w:tmpl w:val="9092BF2C"/>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2">
    <w:nsid w:val="636F704E"/>
    <w:multiLevelType w:val="hybridMultilevel"/>
    <w:tmpl w:val="62A820D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4C65302"/>
    <w:multiLevelType w:val="hybridMultilevel"/>
    <w:tmpl w:val="8898CF1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6647078C"/>
    <w:multiLevelType w:val="hybridMultilevel"/>
    <w:tmpl w:val="74A67A9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687B7491"/>
    <w:multiLevelType w:val="multilevel"/>
    <w:tmpl w:val="808C1A0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6AD5372A"/>
    <w:multiLevelType w:val="hybridMultilevel"/>
    <w:tmpl w:val="FF26200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C4E36BE"/>
    <w:multiLevelType w:val="hybridMultilevel"/>
    <w:tmpl w:val="A370B1AE"/>
    <w:lvl w:ilvl="0">
      <w:start w:val="2"/>
      <w:numFmt w:val="lowerLetter"/>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16D3AA6"/>
    <w:multiLevelType w:val="hybridMultilevel"/>
    <w:tmpl w:val="29BA353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F2C04A7"/>
    <w:multiLevelType w:val="hybridMultilevel"/>
    <w:tmpl w:val="03E24074"/>
    <w:lvl w:ilvl="0" w:tplc="F9EA3D8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6"/>
  </w:num>
  <w:num w:numId="3">
    <w:abstractNumId w:val="27"/>
  </w:num>
  <w:num w:numId="4">
    <w:abstractNumId w:val="18"/>
  </w:num>
  <w:num w:numId="5">
    <w:abstractNumId w:val="22"/>
  </w:num>
  <w:num w:numId="6">
    <w:abstractNumId w:val="28"/>
  </w:num>
  <w:num w:numId="7">
    <w:abstractNumId w:val="21"/>
  </w:num>
  <w:num w:numId="8">
    <w:abstractNumId w:val="24"/>
  </w:num>
  <w:num w:numId="9">
    <w:abstractNumId w:val="23"/>
  </w:num>
  <w:num w:numId="10">
    <w:abstractNumId w:val="1"/>
  </w:num>
  <w:num w:numId="11">
    <w:abstractNumId w:val="15"/>
  </w:num>
  <w:num w:numId="12">
    <w:abstractNumId w:val="17"/>
  </w:num>
  <w:num w:numId="13">
    <w:abstractNumId w:val="6"/>
  </w:num>
  <w:num w:numId="14">
    <w:abstractNumId w:val="2"/>
  </w:num>
  <w:num w:numId="15">
    <w:abstractNumId w:val="25"/>
  </w:num>
  <w:num w:numId="16">
    <w:abstractNumId w:val="8"/>
  </w:num>
  <w:num w:numId="17">
    <w:abstractNumId w:val="9"/>
  </w:num>
  <w:num w:numId="18">
    <w:abstractNumId w:val="20"/>
  </w:num>
  <w:num w:numId="19">
    <w:abstractNumId w:val="7"/>
  </w:num>
  <w:num w:numId="20">
    <w:abstractNumId w:val="12"/>
  </w:num>
  <w:num w:numId="21">
    <w:abstractNumId w:val="16"/>
  </w:num>
  <w:num w:numId="22">
    <w:abstractNumId w:val="0"/>
  </w:num>
  <w:num w:numId="23">
    <w:abstractNumId w:val="29"/>
  </w:num>
  <w:num w:numId="24">
    <w:abstractNumId w:val="11"/>
  </w:num>
  <w:num w:numId="25">
    <w:abstractNumId w:val="13"/>
  </w:num>
  <w:num w:numId="26">
    <w:abstractNumId w:val="3"/>
  </w:num>
  <w:num w:numId="27">
    <w:abstractNumId w:val="14"/>
  </w:num>
  <w:num w:numId="28">
    <w:abstractNumId w:val="4"/>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2D5"/>
    <w:rsid w:val="00001D3A"/>
    <w:rsid w:val="00012724"/>
    <w:rsid w:val="000157B8"/>
    <w:rsid w:val="00017F48"/>
    <w:rsid w:val="00043E1C"/>
    <w:rsid w:val="0005263E"/>
    <w:rsid w:val="00076502"/>
    <w:rsid w:val="00081227"/>
    <w:rsid w:val="00085359"/>
    <w:rsid w:val="0008597D"/>
    <w:rsid w:val="000A5187"/>
    <w:rsid w:val="000C70BF"/>
    <w:rsid w:val="000D4C2E"/>
    <w:rsid w:val="000E16DA"/>
    <w:rsid w:val="000E33AA"/>
    <w:rsid w:val="000F6CCE"/>
    <w:rsid w:val="000F7F62"/>
    <w:rsid w:val="00104672"/>
    <w:rsid w:val="0013061C"/>
    <w:rsid w:val="00136996"/>
    <w:rsid w:val="00137005"/>
    <w:rsid w:val="001375CB"/>
    <w:rsid w:val="00147A4D"/>
    <w:rsid w:val="00150F14"/>
    <w:rsid w:val="001625AA"/>
    <w:rsid w:val="00176869"/>
    <w:rsid w:val="0018179F"/>
    <w:rsid w:val="001869ED"/>
    <w:rsid w:val="00193280"/>
    <w:rsid w:val="00195D0D"/>
    <w:rsid w:val="00197FC3"/>
    <w:rsid w:val="001B1876"/>
    <w:rsid w:val="001C5D1C"/>
    <w:rsid w:val="001D09B8"/>
    <w:rsid w:val="001D09C9"/>
    <w:rsid w:val="001D69BA"/>
    <w:rsid w:val="001E16CA"/>
    <w:rsid w:val="001F0260"/>
    <w:rsid w:val="00202D36"/>
    <w:rsid w:val="002077D7"/>
    <w:rsid w:val="002148CE"/>
    <w:rsid w:val="002220B4"/>
    <w:rsid w:val="00231887"/>
    <w:rsid w:val="0024134D"/>
    <w:rsid w:val="00242999"/>
    <w:rsid w:val="00242B2D"/>
    <w:rsid w:val="002440E9"/>
    <w:rsid w:val="00244B0B"/>
    <w:rsid w:val="00257E1C"/>
    <w:rsid w:val="002644E7"/>
    <w:rsid w:val="00265796"/>
    <w:rsid w:val="002734A7"/>
    <w:rsid w:val="00276D72"/>
    <w:rsid w:val="00286E8A"/>
    <w:rsid w:val="00287AD9"/>
    <w:rsid w:val="002A71B4"/>
    <w:rsid w:val="002B0096"/>
    <w:rsid w:val="002C07E7"/>
    <w:rsid w:val="002D33F1"/>
    <w:rsid w:val="002E38EA"/>
    <w:rsid w:val="002F06F6"/>
    <w:rsid w:val="002F2AC9"/>
    <w:rsid w:val="002F4631"/>
    <w:rsid w:val="002F7EC9"/>
    <w:rsid w:val="00305E45"/>
    <w:rsid w:val="00306D4D"/>
    <w:rsid w:val="00307796"/>
    <w:rsid w:val="00325CC9"/>
    <w:rsid w:val="00326C30"/>
    <w:rsid w:val="003320A0"/>
    <w:rsid w:val="00360B40"/>
    <w:rsid w:val="00374D99"/>
    <w:rsid w:val="003A0F1F"/>
    <w:rsid w:val="003A4C98"/>
    <w:rsid w:val="003B4E4E"/>
    <w:rsid w:val="003B4EDC"/>
    <w:rsid w:val="003B523E"/>
    <w:rsid w:val="003C24ED"/>
    <w:rsid w:val="003E10AD"/>
    <w:rsid w:val="003E610D"/>
    <w:rsid w:val="003F171E"/>
    <w:rsid w:val="004110C0"/>
    <w:rsid w:val="00415A08"/>
    <w:rsid w:val="0043170B"/>
    <w:rsid w:val="00435052"/>
    <w:rsid w:val="004361ED"/>
    <w:rsid w:val="00437874"/>
    <w:rsid w:val="00443EF2"/>
    <w:rsid w:val="0045377E"/>
    <w:rsid w:val="00460183"/>
    <w:rsid w:val="00460948"/>
    <w:rsid w:val="0046335B"/>
    <w:rsid w:val="004734FF"/>
    <w:rsid w:val="0048623E"/>
    <w:rsid w:val="004907B0"/>
    <w:rsid w:val="00490C27"/>
    <w:rsid w:val="0049726E"/>
    <w:rsid w:val="004A3327"/>
    <w:rsid w:val="004A44F1"/>
    <w:rsid w:val="004B1BA5"/>
    <w:rsid w:val="004D74D7"/>
    <w:rsid w:val="005070DD"/>
    <w:rsid w:val="00507638"/>
    <w:rsid w:val="00512368"/>
    <w:rsid w:val="005277DC"/>
    <w:rsid w:val="00535A5C"/>
    <w:rsid w:val="0054589A"/>
    <w:rsid w:val="00546CDC"/>
    <w:rsid w:val="00572E50"/>
    <w:rsid w:val="00577305"/>
    <w:rsid w:val="00580807"/>
    <w:rsid w:val="00585E56"/>
    <w:rsid w:val="00593248"/>
    <w:rsid w:val="00596562"/>
    <w:rsid w:val="005A6555"/>
    <w:rsid w:val="005A759A"/>
    <w:rsid w:val="005B1A8E"/>
    <w:rsid w:val="005B3377"/>
    <w:rsid w:val="005B5663"/>
    <w:rsid w:val="005B600A"/>
    <w:rsid w:val="005B6E9C"/>
    <w:rsid w:val="005C3353"/>
    <w:rsid w:val="005C496A"/>
    <w:rsid w:val="005D5DBC"/>
    <w:rsid w:val="005D74C2"/>
    <w:rsid w:val="005E3D54"/>
    <w:rsid w:val="005E3D7F"/>
    <w:rsid w:val="006059D0"/>
    <w:rsid w:val="00612625"/>
    <w:rsid w:val="006136F9"/>
    <w:rsid w:val="00634234"/>
    <w:rsid w:val="00634968"/>
    <w:rsid w:val="0063662B"/>
    <w:rsid w:val="0064368C"/>
    <w:rsid w:val="00647145"/>
    <w:rsid w:val="00647F52"/>
    <w:rsid w:val="0065036A"/>
    <w:rsid w:val="00660628"/>
    <w:rsid w:val="00664E41"/>
    <w:rsid w:val="00664F02"/>
    <w:rsid w:val="0067468B"/>
    <w:rsid w:val="006750AA"/>
    <w:rsid w:val="00676B84"/>
    <w:rsid w:val="00693B70"/>
    <w:rsid w:val="00696221"/>
    <w:rsid w:val="00696CF7"/>
    <w:rsid w:val="006A1D63"/>
    <w:rsid w:val="006B7D40"/>
    <w:rsid w:val="006D08E8"/>
    <w:rsid w:val="006D0D1B"/>
    <w:rsid w:val="006D12BD"/>
    <w:rsid w:val="006D6999"/>
    <w:rsid w:val="006E32D5"/>
    <w:rsid w:val="007037DE"/>
    <w:rsid w:val="00710BE5"/>
    <w:rsid w:val="0072181C"/>
    <w:rsid w:val="007264A0"/>
    <w:rsid w:val="00730038"/>
    <w:rsid w:val="00732DDA"/>
    <w:rsid w:val="0073569E"/>
    <w:rsid w:val="00743045"/>
    <w:rsid w:val="007676BE"/>
    <w:rsid w:val="00774A83"/>
    <w:rsid w:val="00776CFA"/>
    <w:rsid w:val="007B3125"/>
    <w:rsid w:val="007E5B80"/>
    <w:rsid w:val="007E613C"/>
    <w:rsid w:val="007F368A"/>
    <w:rsid w:val="00803D9F"/>
    <w:rsid w:val="008156F8"/>
    <w:rsid w:val="00821914"/>
    <w:rsid w:val="008363E2"/>
    <w:rsid w:val="008406DC"/>
    <w:rsid w:val="00843E3D"/>
    <w:rsid w:val="00850732"/>
    <w:rsid w:val="00852EA1"/>
    <w:rsid w:val="0085475C"/>
    <w:rsid w:val="00876CFE"/>
    <w:rsid w:val="00881F90"/>
    <w:rsid w:val="00886787"/>
    <w:rsid w:val="008A52C3"/>
    <w:rsid w:val="008B35D4"/>
    <w:rsid w:val="008E570E"/>
    <w:rsid w:val="008E6E22"/>
    <w:rsid w:val="008E7377"/>
    <w:rsid w:val="008E752F"/>
    <w:rsid w:val="00911731"/>
    <w:rsid w:val="00914CA5"/>
    <w:rsid w:val="009378F8"/>
    <w:rsid w:val="00951301"/>
    <w:rsid w:val="009539C1"/>
    <w:rsid w:val="00962E12"/>
    <w:rsid w:val="00965CC4"/>
    <w:rsid w:val="00971026"/>
    <w:rsid w:val="00972280"/>
    <w:rsid w:val="00972495"/>
    <w:rsid w:val="00973D75"/>
    <w:rsid w:val="00981A3F"/>
    <w:rsid w:val="00982DBA"/>
    <w:rsid w:val="00996CD4"/>
    <w:rsid w:val="009A0557"/>
    <w:rsid w:val="009A11E2"/>
    <w:rsid w:val="009A509C"/>
    <w:rsid w:val="009E0153"/>
    <w:rsid w:val="00A161AE"/>
    <w:rsid w:val="00A31BF2"/>
    <w:rsid w:val="00A57763"/>
    <w:rsid w:val="00A70D2A"/>
    <w:rsid w:val="00A86284"/>
    <w:rsid w:val="00A86E5A"/>
    <w:rsid w:val="00A97803"/>
    <w:rsid w:val="00AA43CB"/>
    <w:rsid w:val="00AC0060"/>
    <w:rsid w:val="00AD44B1"/>
    <w:rsid w:val="00AE2382"/>
    <w:rsid w:val="00AE63F9"/>
    <w:rsid w:val="00AF6667"/>
    <w:rsid w:val="00B0237B"/>
    <w:rsid w:val="00B0454B"/>
    <w:rsid w:val="00B144DF"/>
    <w:rsid w:val="00B16571"/>
    <w:rsid w:val="00B22519"/>
    <w:rsid w:val="00B237A7"/>
    <w:rsid w:val="00B35A34"/>
    <w:rsid w:val="00B40BBB"/>
    <w:rsid w:val="00B438E5"/>
    <w:rsid w:val="00B442F1"/>
    <w:rsid w:val="00B44C7B"/>
    <w:rsid w:val="00B556B9"/>
    <w:rsid w:val="00B64E2F"/>
    <w:rsid w:val="00B70948"/>
    <w:rsid w:val="00B74693"/>
    <w:rsid w:val="00B766E3"/>
    <w:rsid w:val="00B81E34"/>
    <w:rsid w:val="00B968D2"/>
    <w:rsid w:val="00BA6E2D"/>
    <w:rsid w:val="00BB1D64"/>
    <w:rsid w:val="00BB4470"/>
    <w:rsid w:val="00BB56E8"/>
    <w:rsid w:val="00BB625C"/>
    <w:rsid w:val="00BC1924"/>
    <w:rsid w:val="00BD0087"/>
    <w:rsid w:val="00BE253F"/>
    <w:rsid w:val="00BE3521"/>
    <w:rsid w:val="00BE7EB6"/>
    <w:rsid w:val="00BF37AA"/>
    <w:rsid w:val="00BF7E10"/>
    <w:rsid w:val="00C044F8"/>
    <w:rsid w:val="00C11A39"/>
    <w:rsid w:val="00C1413E"/>
    <w:rsid w:val="00C15401"/>
    <w:rsid w:val="00C23AFF"/>
    <w:rsid w:val="00C30FBF"/>
    <w:rsid w:val="00C345B6"/>
    <w:rsid w:val="00C3641D"/>
    <w:rsid w:val="00C417BB"/>
    <w:rsid w:val="00C464C6"/>
    <w:rsid w:val="00C47418"/>
    <w:rsid w:val="00C56CA0"/>
    <w:rsid w:val="00C5797C"/>
    <w:rsid w:val="00C67EBE"/>
    <w:rsid w:val="00C7675E"/>
    <w:rsid w:val="00C847BB"/>
    <w:rsid w:val="00C9203A"/>
    <w:rsid w:val="00C93DB7"/>
    <w:rsid w:val="00CA42D3"/>
    <w:rsid w:val="00CA7472"/>
    <w:rsid w:val="00CB3B08"/>
    <w:rsid w:val="00CB3B98"/>
    <w:rsid w:val="00CB4A6E"/>
    <w:rsid w:val="00CB7F1F"/>
    <w:rsid w:val="00CC4963"/>
    <w:rsid w:val="00CC60C2"/>
    <w:rsid w:val="00CE0D3C"/>
    <w:rsid w:val="00CE49B3"/>
    <w:rsid w:val="00CE6D16"/>
    <w:rsid w:val="00CE7AD4"/>
    <w:rsid w:val="00CF1873"/>
    <w:rsid w:val="00CF5111"/>
    <w:rsid w:val="00CF70F3"/>
    <w:rsid w:val="00D03B0B"/>
    <w:rsid w:val="00D07CC9"/>
    <w:rsid w:val="00D10FD2"/>
    <w:rsid w:val="00D223DF"/>
    <w:rsid w:val="00D23FB9"/>
    <w:rsid w:val="00D328E2"/>
    <w:rsid w:val="00D37A41"/>
    <w:rsid w:val="00D41A77"/>
    <w:rsid w:val="00D465BF"/>
    <w:rsid w:val="00D518ED"/>
    <w:rsid w:val="00D528C0"/>
    <w:rsid w:val="00D54EA3"/>
    <w:rsid w:val="00D564E6"/>
    <w:rsid w:val="00D64DDB"/>
    <w:rsid w:val="00D6631C"/>
    <w:rsid w:val="00D705E7"/>
    <w:rsid w:val="00D75DF9"/>
    <w:rsid w:val="00D804DC"/>
    <w:rsid w:val="00DA033B"/>
    <w:rsid w:val="00DA1C3D"/>
    <w:rsid w:val="00DA66BA"/>
    <w:rsid w:val="00DC2B57"/>
    <w:rsid w:val="00DC7A74"/>
    <w:rsid w:val="00DD1688"/>
    <w:rsid w:val="00DD796C"/>
    <w:rsid w:val="00DE095E"/>
    <w:rsid w:val="00DE1718"/>
    <w:rsid w:val="00DE5C75"/>
    <w:rsid w:val="00DF7C45"/>
    <w:rsid w:val="00E02E74"/>
    <w:rsid w:val="00E062AA"/>
    <w:rsid w:val="00E15D38"/>
    <w:rsid w:val="00E232F7"/>
    <w:rsid w:val="00E30A47"/>
    <w:rsid w:val="00E426AC"/>
    <w:rsid w:val="00E46619"/>
    <w:rsid w:val="00E5447D"/>
    <w:rsid w:val="00E559B4"/>
    <w:rsid w:val="00E60D5C"/>
    <w:rsid w:val="00E800DC"/>
    <w:rsid w:val="00E86861"/>
    <w:rsid w:val="00E94B39"/>
    <w:rsid w:val="00EA2402"/>
    <w:rsid w:val="00EA365B"/>
    <w:rsid w:val="00EC30B2"/>
    <w:rsid w:val="00ED1C2D"/>
    <w:rsid w:val="00ED4097"/>
    <w:rsid w:val="00ED7BA1"/>
    <w:rsid w:val="00EE01EB"/>
    <w:rsid w:val="00EF087F"/>
    <w:rsid w:val="00EF2080"/>
    <w:rsid w:val="00EF24FA"/>
    <w:rsid w:val="00EF48F9"/>
    <w:rsid w:val="00F15AF6"/>
    <w:rsid w:val="00F20A40"/>
    <w:rsid w:val="00F23C4D"/>
    <w:rsid w:val="00F24181"/>
    <w:rsid w:val="00F24B9C"/>
    <w:rsid w:val="00F50C2D"/>
    <w:rsid w:val="00F527CA"/>
    <w:rsid w:val="00F55FF1"/>
    <w:rsid w:val="00F63216"/>
    <w:rsid w:val="00F6366E"/>
    <w:rsid w:val="00F93402"/>
    <w:rsid w:val="00F94DEE"/>
    <w:rsid w:val="00FB2D15"/>
    <w:rsid w:val="00FB46B0"/>
    <w:rsid w:val="00FD0730"/>
    <w:rsid w:val="00FD1CA3"/>
    <w:rsid w:val="00FD515A"/>
    <w:rsid w:val="00FD5C07"/>
    <w:rsid w:val="00FF45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qFormat/>
    <w:pPr>
      <w:keepNext/>
      <w:spacing w:after="240"/>
      <w:jc w:val="center"/>
      <w:outlineLvl w:val="0"/>
    </w:pPr>
    <w:rPr>
      <w:rFonts w:eastAsia="Times New Roman"/>
      <w:b/>
      <w:bCs/>
      <w:caps/>
      <w:lang w:eastAsia="en-US"/>
    </w:rPr>
  </w:style>
  <w:style w:type="paragraph" w:styleId="Heading2">
    <w:name w:val="heading 2"/>
    <w:basedOn w:val="Normal"/>
    <w:next w:val="Normal"/>
    <w:qFormat/>
    <w:pPr>
      <w:keepNext/>
      <w:spacing w:after="240"/>
      <w:jc w:val="center"/>
      <w:outlineLvl w:val="1"/>
    </w:pPr>
    <w:rPr>
      <w:rFonts w:eastAsia="Times New Roman"/>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alloonText">
    <w:name w:val="Balloon Text"/>
    <w:basedOn w:val="Normal"/>
    <w:rPr>
      <w:rFonts w:ascii="Lucida Grande" w:hAnsi="Lucida Grande"/>
      <w:sz w:val="18"/>
      <w:szCs w:val="18"/>
    </w:rPr>
  </w:style>
  <w:style w:type="character" w:customStyle="1" w:styleId="CharChar">
    <w:name w:val=" Char Char"/>
    <w:rPr>
      <w:rFonts w:ascii="Lucida Grande" w:hAnsi="Lucida Grande"/>
      <w:noProof w:val="0"/>
      <w:sz w:val="18"/>
      <w:szCs w:val="18"/>
      <w:lang w:val="en-GB" w:eastAsia="zh-CN"/>
    </w:rPr>
  </w:style>
  <w:style w:type="paragraph" w:styleId="BodyTextIndent">
    <w:name w:val="Body Text Indent"/>
    <w:basedOn w:val="Normal"/>
    <w:pPr>
      <w:spacing w:after="240"/>
      <w:ind w:left="720"/>
    </w:pPr>
    <w:rPr>
      <w:rFonts w:eastAsia="Times New Roman"/>
      <w:lang w:eastAsia="en-US"/>
    </w:rPr>
  </w:style>
  <w:style w:type="character" w:customStyle="1" w:styleId="Gedruktetekst">
    <w:name w:val="Gedrukte tekst"/>
    <w:rPr>
      <w:i/>
      <w:i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2">
    <w:name w:val="Body Text Indent 2"/>
    <w:basedOn w:val="Normal"/>
    <w:pPr>
      <w:tabs>
        <w:tab w:val="left" w:pos="0"/>
      </w:tabs>
      <w:autoSpaceDE w:val="0"/>
      <w:autoSpaceDN w:val="0"/>
      <w:adjustRightInd w:val="0"/>
      <w:ind w:left="720"/>
      <w:jc w:val="both"/>
    </w:pPr>
    <w:rPr>
      <w:b/>
      <w:bCs/>
      <w:lang w:val="en-US"/>
    </w:rPr>
  </w:style>
  <w:style w:type="paragraph" w:styleId="Header">
    <w:name w:val="header"/>
    <w:basedOn w:val="Normal"/>
    <w:rsid w:val="00A31BF2"/>
    <w:pPr>
      <w:tabs>
        <w:tab w:val="center" w:pos="4320"/>
        <w:tab w:val="right" w:pos="8640"/>
      </w:tabs>
    </w:pPr>
  </w:style>
  <w:style w:type="character" w:styleId="PageNumber">
    <w:name w:val="page number"/>
    <w:basedOn w:val="DefaultParagraphFont"/>
    <w:rsid w:val="00A31BF2"/>
  </w:style>
  <w:style w:type="paragraph" w:styleId="Footer">
    <w:name w:val="footer"/>
    <w:basedOn w:val="Normal"/>
    <w:rsid w:val="00A31BF2"/>
    <w:pPr>
      <w:tabs>
        <w:tab w:val="center" w:pos="4320"/>
        <w:tab w:val="right" w:pos="8640"/>
      </w:tabs>
    </w:pPr>
  </w:style>
  <w:style w:type="character" w:customStyle="1" w:styleId="mw-formatted-date">
    <w:name w:val="mw-formatted-date"/>
    <w:basedOn w:val="DefaultParagraphFont"/>
    <w:rsid w:val="008406DC"/>
  </w:style>
  <w:style w:type="character" w:styleId="FollowedHyperlink">
    <w:name w:val="FollowedHyperlink"/>
    <w:rsid w:val="00F15A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2167</Words>
  <Characters>12352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2</cp:revision>
  <cp:lastPrinted>2009-11-03T13:01:00Z</cp:lastPrinted>
  <dcterms:created xsi:type="dcterms:W3CDTF">2009-11-04T15:37:00Z</dcterms:created>
  <dcterms:modified xsi:type="dcterms:W3CDTF">2009-11-04T15:37:00Z</dcterms:modified>
</cp:coreProperties>
</file>