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trPr>
          <w:trHeight w:hRule="exact" w:val="851"/>
        </w:trPr>
        <w:tc>
          <w:tcPr>
            <w:tcW w:w="1276" w:type="dxa"/>
            <w:tcBorders>
              <w:bottom w:val="single" w:sz="4" w:space="0" w:color="auto"/>
            </w:tcBorders>
          </w:tcPr>
          <w:p w:rsidR="00AC2729" w:rsidRPr="00A2235E" w:rsidRDefault="00AC2729" w:rsidP="003A4201">
            <w:pPr>
              <w:rPr>
                <w:rStyle w:val="Accentuation"/>
              </w:rPr>
            </w:pPr>
          </w:p>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C2729" w:rsidRPr="00DB58B5" w:rsidRDefault="0036691E" w:rsidP="00EF4C31">
            <w:pPr>
              <w:jc w:val="right"/>
            </w:pPr>
            <w:r w:rsidRPr="0036691E">
              <w:rPr>
                <w:sz w:val="40"/>
              </w:rPr>
              <w:t>CAT</w:t>
            </w:r>
            <w:r>
              <w:t>/O</w:t>
            </w:r>
            <w:r w:rsidR="002803B4">
              <w:t>P</w:t>
            </w:r>
            <w:r w:rsidR="00C60528">
              <w:t>/</w:t>
            </w:r>
            <w:r w:rsidR="00EB6243">
              <w:t>TGO</w:t>
            </w:r>
            <w:r w:rsidR="00C60528">
              <w:t>/1</w:t>
            </w:r>
          </w:p>
        </w:tc>
      </w:tr>
      <w:tr w:rsidR="00AC2729" w:rsidRPr="00DB58B5">
        <w:trPr>
          <w:trHeight w:hRule="exact" w:val="2835"/>
        </w:trPr>
        <w:tc>
          <w:tcPr>
            <w:tcW w:w="1276" w:type="dxa"/>
            <w:tcBorders>
              <w:top w:val="single" w:sz="4" w:space="0" w:color="auto"/>
              <w:bottom w:val="single" w:sz="12" w:space="0" w:color="auto"/>
            </w:tcBorders>
          </w:tcPr>
          <w:p w:rsidR="00AC2729" w:rsidRPr="00DB58B5" w:rsidRDefault="00FD024C" w:rsidP="003A4201">
            <w:pPr>
              <w:spacing w:before="120"/>
              <w:jc w:val="center"/>
            </w:pPr>
            <w:r>
              <w:rPr>
                <w:noProof/>
                <w:lang w:eastAsia="fr-CH"/>
              </w:rPr>
              <w:drawing>
                <wp:inline distT="0" distB="0" distL="0" distR="0" wp14:anchorId="084B2CE0" wp14:editId="470554A2">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C2729" w:rsidRPr="0089028E" w:rsidRDefault="00500233" w:rsidP="003A4201">
            <w:pPr>
              <w:spacing w:before="120" w:line="380" w:lineRule="exact"/>
              <w:rPr>
                <w:b/>
                <w:sz w:val="34"/>
                <w:szCs w:val="34"/>
              </w:rPr>
            </w:pPr>
            <w:r w:rsidRPr="006C75F6">
              <w:rPr>
                <w:b/>
                <w:sz w:val="34"/>
                <w:szCs w:val="34"/>
              </w:rPr>
              <w:t>Protocole facultatif se rapportant</w:t>
            </w:r>
            <w:r>
              <w:rPr>
                <w:b/>
                <w:sz w:val="34"/>
                <w:szCs w:val="34"/>
              </w:rPr>
              <w:br/>
            </w:r>
            <w:r w:rsidRPr="006C75F6">
              <w:rPr>
                <w:b/>
                <w:sz w:val="34"/>
                <w:szCs w:val="34"/>
              </w:rPr>
              <w:t>à la</w:t>
            </w:r>
            <w:r w:rsidR="00A83183" w:rsidRPr="0027083C">
              <w:rPr>
                <w:b/>
                <w:sz w:val="34"/>
                <w:szCs w:val="34"/>
              </w:rPr>
              <w:t xml:space="preserve"> </w:t>
            </w: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500233" w:rsidRPr="00B01366" w:rsidRDefault="00500233" w:rsidP="00500233">
            <w:pPr>
              <w:spacing w:before="240"/>
            </w:pPr>
            <w:proofErr w:type="spellStart"/>
            <w:r w:rsidRPr="00B01366">
              <w:t>Distr</w:t>
            </w:r>
            <w:proofErr w:type="spellEnd"/>
            <w:r w:rsidRPr="00B01366">
              <w:t>. générale</w:t>
            </w:r>
          </w:p>
          <w:p w:rsidR="00500233" w:rsidRDefault="007357CB" w:rsidP="00292E9D">
            <w:pPr>
              <w:spacing w:line="240" w:lineRule="exact"/>
            </w:pPr>
            <w:r>
              <w:t>2</w:t>
            </w:r>
            <w:r w:rsidR="009F68F6">
              <w:t>8</w:t>
            </w:r>
            <w:r w:rsidR="00BC4156">
              <w:t xml:space="preserve"> avril</w:t>
            </w:r>
            <w:r w:rsidR="00500233" w:rsidRPr="000F5D67">
              <w:t xml:space="preserve"> 2017</w:t>
            </w:r>
          </w:p>
          <w:p w:rsidR="00E144D5" w:rsidRPr="00C906B4" w:rsidRDefault="00E144D5" w:rsidP="00292E9D">
            <w:pPr>
              <w:spacing w:line="240" w:lineRule="exact"/>
            </w:pPr>
          </w:p>
          <w:p w:rsidR="00500233" w:rsidRPr="000F5D67" w:rsidRDefault="00500233" w:rsidP="00500233">
            <w:pPr>
              <w:spacing w:line="240" w:lineRule="exact"/>
            </w:pPr>
            <w:r w:rsidRPr="00B01366">
              <w:t>Original</w:t>
            </w:r>
            <w:r w:rsidR="00BC4156">
              <w:t> </w:t>
            </w:r>
            <w:r w:rsidRPr="00B01366">
              <w:t xml:space="preserve">: </w:t>
            </w:r>
            <w:r w:rsidRPr="000F5D67">
              <w:t xml:space="preserve">français </w:t>
            </w:r>
          </w:p>
          <w:p w:rsidR="00AC2729" w:rsidRPr="00DB58B5" w:rsidRDefault="00C43D19" w:rsidP="00EF4C31">
            <w:pPr>
              <w:spacing w:line="240" w:lineRule="exact"/>
            </w:pPr>
            <w:r>
              <w:t>A</w:t>
            </w:r>
            <w:r w:rsidR="00500233" w:rsidRPr="000F5D67">
              <w:t>nglais</w:t>
            </w:r>
            <w:r w:rsidR="00500233" w:rsidRPr="00B01366">
              <w:t xml:space="preserve">, </w:t>
            </w:r>
            <w:r w:rsidR="00500233" w:rsidRPr="000F5D67">
              <w:t xml:space="preserve">espagnol </w:t>
            </w:r>
            <w:r w:rsidR="003D390E">
              <w:t xml:space="preserve">et </w:t>
            </w:r>
            <w:r w:rsidR="003D390E" w:rsidRPr="00C9720C">
              <w:t xml:space="preserve">français </w:t>
            </w:r>
            <w:r w:rsidR="00500233" w:rsidRPr="00B01366">
              <w:t>seulement</w:t>
            </w:r>
          </w:p>
        </w:tc>
      </w:tr>
    </w:tbl>
    <w:p w:rsidR="00500233" w:rsidRPr="00F45E00" w:rsidRDefault="00500233" w:rsidP="00500233">
      <w:pPr>
        <w:spacing w:before="120" w:line="240" w:lineRule="exact"/>
        <w:rPr>
          <w:b/>
          <w:sz w:val="24"/>
          <w:szCs w:val="24"/>
        </w:rPr>
      </w:pPr>
      <w:r w:rsidRPr="00F45E00">
        <w:rPr>
          <w:b/>
          <w:sz w:val="24"/>
          <w:szCs w:val="24"/>
        </w:rPr>
        <w:t xml:space="preserve">Sous-Comité pour la prévention de la torture et autres peines </w:t>
      </w:r>
      <w:r>
        <w:rPr>
          <w:b/>
          <w:sz w:val="24"/>
          <w:szCs w:val="24"/>
        </w:rPr>
        <w:br/>
      </w:r>
      <w:r w:rsidRPr="00F45E00">
        <w:rPr>
          <w:b/>
          <w:sz w:val="24"/>
          <w:szCs w:val="24"/>
        </w:rPr>
        <w:t xml:space="preserve">ou traitements cruels, inhumains ou dégradants </w:t>
      </w:r>
    </w:p>
    <w:p w:rsidR="00EF4C31" w:rsidRDefault="006611D7" w:rsidP="00500233">
      <w:pPr>
        <w:pStyle w:val="HChG"/>
      </w:pPr>
      <w:r>
        <w:tab/>
      </w:r>
      <w:r w:rsidR="001A4213">
        <w:tab/>
      </w:r>
      <w:r w:rsidR="00EF4C31" w:rsidRPr="00500233">
        <w:t>Visite au</w:t>
      </w:r>
      <w:r w:rsidR="00F5056F" w:rsidRPr="00500233">
        <w:t xml:space="preserve"> </w:t>
      </w:r>
      <w:r w:rsidR="00EF4C31" w:rsidRPr="00500233">
        <w:t xml:space="preserve">Togo </w:t>
      </w:r>
      <w:r w:rsidR="00A60175">
        <w:t xml:space="preserve">menée </w:t>
      </w:r>
      <w:r w:rsidR="00EF4C31" w:rsidRPr="00500233">
        <w:t>du 1</w:t>
      </w:r>
      <w:r w:rsidR="00DE24F6" w:rsidRPr="000F5D67">
        <w:rPr>
          <w:vertAlign w:val="superscript"/>
        </w:rPr>
        <w:t>er</w:t>
      </w:r>
      <w:r w:rsidR="00EF4C31" w:rsidRPr="00500233">
        <w:t xml:space="preserve"> au 10 décembre 2014</w:t>
      </w:r>
      <w:r w:rsidR="006A5083">
        <w:t> </w:t>
      </w:r>
      <w:r w:rsidR="00EF4C31" w:rsidRPr="00500233">
        <w:t>: observations et recommandations adressées à l’État partie</w:t>
      </w:r>
    </w:p>
    <w:p w:rsidR="00EF4C31" w:rsidRPr="00EF4C31" w:rsidRDefault="00EF4C31" w:rsidP="000F5D67">
      <w:pPr>
        <w:rPr>
          <w:b/>
          <w:sz w:val="28"/>
        </w:rPr>
      </w:pPr>
      <w:r>
        <w:rPr>
          <w:b/>
          <w:sz w:val="28"/>
        </w:rPr>
        <w:tab/>
      </w:r>
      <w:r>
        <w:rPr>
          <w:b/>
          <w:sz w:val="28"/>
        </w:rPr>
        <w:tab/>
      </w:r>
      <w:r w:rsidRPr="000F5D67">
        <w:rPr>
          <w:rFonts w:eastAsia="Calibri"/>
          <w:b/>
          <w:sz w:val="24"/>
        </w:rPr>
        <w:t>Rapport établi par le Sous-Comité</w:t>
      </w:r>
      <w:r w:rsidRPr="000F5D67">
        <w:footnoteReference w:customMarkFollows="1" w:id="2"/>
        <w:t>*</w:t>
      </w:r>
      <w:r w:rsidRPr="000F5D67">
        <w:rPr>
          <w:position w:val="4"/>
        </w:rPr>
        <w:t>,</w:t>
      </w:r>
      <w:r w:rsidRPr="000F5D67">
        <w:t xml:space="preserve"> </w:t>
      </w:r>
      <w:r w:rsidR="00E92C29" w:rsidRPr="000F5D67">
        <w:rPr>
          <w:rStyle w:val="Appelnotedebasdep"/>
          <w:sz w:val="20"/>
          <w:vertAlign w:val="baseline"/>
        </w:rPr>
        <w:footnoteReference w:customMarkFollows="1" w:id="3"/>
        <w:t>**</w:t>
      </w:r>
      <w:r w:rsidR="00E92C29">
        <w:t xml:space="preserve"> </w:t>
      </w:r>
    </w:p>
    <w:p w:rsidR="00EF4C31" w:rsidRPr="00EF4C31" w:rsidRDefault="00EF4C31" w:rsidP="000F5D67"/>
    <w:p w:rsidR="00821311" w:rsidRDefault="00C60528" w:rsidP="001A4213">
      <w:pPr>
        <w:pStyle w:val="HChG"/>
      </w:pPr>
      <w:r>
        <w:br w:type="page"/>
      </w:r>
    </w:p>
    <w:p w:rsidR="00821311" w:rsidRDefault="00821311" w:rsidP="00821311">
      <w:pPr>
        <w:spacing w:after="120"/>
        <w:rPr>
          <w:sz w:val="28"/>
        </w:rPr>
      </w:pPr>
      <w:r>
        <w:rPr>
          <w:sz w:val="28"/>
        </w:rPr>
        <w:lastRenderedPageBreak/>
        <w:t>Table des matières</w:t>
      </w:r>
    </w:p>
    <w:p w:rsidR="00821311" w:rsidRDefault="00821311" w:rsidP="00821311">
      <w:pPr>
        <w:tabs>
          <w:tab w:val="right" w:pos="9638"/>
        </w:tabs>
        <w:spacing w:after="120"/>
        <w:ind w:left="283"/>
        <w:rPr>
          <w:sz w:val="18"/>
        </w:rPr>
      </w:pPr>
      <w:r>
        <w:rPr>
          <w:i/>
          <w:sz w:val="18"/>
        </w:rPr>
        <w:tab/>
        <w:t>Page</w:t>
      </w:r>
    </w:p>
    <w:p w:rsidR="00D96654" w:rsidRDefault="00D96654" w:rsidP="000F5D67">
      <w:pPr>
        <w:tabs>
          <w:tab w:val="right" w:pos="850"/>
          <w:tab w:val="left" w:pos="1134"/>
          <w:tab w:val="left" w:pos="1559"/>
          <w:tab w:val="left" w:pos="1984"/>
          <w:tab w:val="left" w:leader="dot" w:pos="8929"/>
          <w:tab w:val="right" w:pos="9638"/>
        </w:tabs>
        <w:spacing w:after="120"/>
      </w:pPr>
      <w:r>
        <w:tab/>
        <w:t>I.</w:t>
      </w:r>
      <w:r>
        <w:tab/>
      </w:r>
      <w:r w:rsidRPr="0082326B">
        <w:t>Introduction</w:t>
      </w:r>
      <w:r>
        <w:tab/>
      </w:r>
      <w:r w:rsidR="00BB5E2E">
        <w:tab/>
        <w:t>3</w:t>
      </w:r>
    </w:p>
    <w:p w:rsidR="00D96654" w:rsidRPr="004B1E89" w:rsidRDefault="00D96654" w:rsidP="000F5D67">
      <w:pPr>
        <w:tabs>
          <w:tab w:val="right" w:pos="850"/>
          <w:tab w:val="left" w:pos="1134"/>
          <w:tab w:val="left" w:pos="1559"/>
          <w:tab w:val="left" w:pos="1984"/>
          <w:tab w:val="left" w:leader="dot" w:pos="8929"/>
          <w:tab w:val="right" w:pos="9638"/>
        </w:tabs>
        <w:spacing w:after="120"/>
      </w:pPr>
      <w:r w:rsidRPr="004B1E89">
        <w:tab/>
        <w:t>II.</w:t>
      </w:r>
      <w:r w:rsidRPr="004B1E89">
        <w:tab/>
        <w:t>Facilitation de la visite et coopération</w:t>
      </w:r>
      <w:r>
        <w:tab/>
      </w:r>
      <w:r w:rsidR="00BB5E2E">
        <w:tab/>
        <w:t>3</w:t>
      </w:r>
    </w:p>
    <w:p w:rsidR="00D96654" w:rsidRPr="004B1E89" w:rsidRDefault="00D96654" w:rsidP="000F5D67">
      <w:pPr>
        <w:tabs>
          <w:tab w:val="right" w:pos="850"/>
          <w:tab w:val="left" w:pos="1134"/>
          <w:tab w:val="left" w:pos="1559"/>
          <w:tab w:val="left" w:pos="1984"/>
          <w:tab w:val="left" w:leader="dot" w:pos="8929"/>
          <w:tab w:val="right" w:pos="9638"/>
        </w:tabs>
        <w:spacing w:after="120"/>
      </w:pPr>
      <w:r w:rsidRPr="004B1E89">
        <w:tab/>
        <w:t>III.</w:t>
      </w:r>
      <w:r w:rsidRPr="004B1E89">
        <w:tab/>
        <w:t>Principaux défis et recommandations</w:t>
      </w:r>
      <w:r>
        <w:tab/>
      </w:r>
      <w:r w:rsidR="00811377">
        <w:tab/>
        <w:t>4</w:t>
      </w:r>
    </w:p>
    <w:p w:rsidR="00D96654" w:rsidRPr="004B1E89" w:rsidRDefault="00D96654" w:rsidP="000F5D67">
      <w:pPr>
        <w:tabs>
          <w:tab w:val="right" w:pos="850"/>
          <w:tab w:val="left" w:pos="1134"/>
          <w:tab w:val="left" w:pos="1559"/>
          <w:tab w:val="left" w:pos="1984"/>
          <w:tab w:val="left" w:leader="dot" w:pos="8929"/>
          <w:tab w:val="right" w:pos="9638"/>
        </w:tabs>
        <w:spacing w:after="120"/>
      </w:pPr>
      <w:r>
        <w:tab/>
      </w:r>
      <w:r w:rsidRPr="004B1E89">
        <w:tab/>
        <w:t>A.</w:t>
      </w:r>
      <w:r w:rsidRPr="004B1E89">
        <w:tab/>
        <w:t>Allégations de torture et de mauvais traitements</w:t>
      </w:r>
      <w:r>
        <w:tab/>
      </w:r>
      <w:r w:rsidR="00811377">
        <w:tab/>
        <w:t>4</w:t>
      </w:r>
    </w:p>
    <w:p w:rsidR="00D96654" w:rsidRPr="005334DB" w:rsidRDefault="00D96654" w:rsidP="000F5D67">
      <w:pPr>
        <w:tabs>
          <w:tab w:val="right" w:pos="850"/>
          <w:tab w:val="left" w:pos="1134"/>
          <w:tab w:val="left" w:pos="1559"/>
          <w:tab w:val="left" w:pos="1984"/>
          <w:tab w:val="left" w:leader="dot" w:pos="8929"/>
          <w:tab w:val="right" w:pos="9638"/>
        </w:tabs>
        <w:spacing w:after="120"/>
      </w:pPr>
      <w:r>
        <w:tab/>
      </w:r>
      <w:r>
        <w:tab/>
        <w:t>B.</w:t>
      </w:r>
      <w:r w:rsidRPr="005334DB">
        <w:tab/>
        <w:t>Conditions de détention</w:t>
      </w:r>
      <w:r>
        <w:tab/>
      </w:r>
      <w:r w:rsidR="00811377">
        <w:tab/>
        <w:t>5</w:t>
      </w:r>
    </w:p>
    <w:p w:rsidR="00D96654" w:rsidRPr="00EF0E2A" w:rsidRDefault="00D96654" w:rsidP="000F5D67">
      <w:pPr>
        <w:tabs>
          <w:tab w:val="right" w:pos="850"/>
          <w:tab w:val="left" w:pos="1134"/>
          <w:tab w:val="left" w:pos="1559"/>
          <w:tab w:val="left" w:pos="1984"/>
          <w:tab w:val="left" w:leader="dot" w:pos="8929"/>
          <w:tab w:val="right" w:pos="9638"/>
        </w:tabs>
        <w:spacing w:after="120"/>
      </w:pPr>
      <w:r>
        <w:tab/>
      </w:r>
      <w:r>
        <w:tab/>
      </w:r>
      <w:r w:rsidRPr="00EF0E2A">
        <w:t>C</w:t>
      </w:r>
      <w:r>
        <w:t>.</w:t>
      </w:r>
      <w:r w:rsidRPr="00EF0E2A">
        <w:tab/>
        <w:t>Santé</w:t>
      </w:r>
      <w:r>
        <w:tab/>
      </w:r>
      <w:r w:rsidR="00811377">
        <w:tab/>
      </w:r>
      <w:r w:rsidR="00D52B50">
        <w:t>8</w:t>
      </w:r>
    </w:p>
    <w:p w:rsidR="00D96654" w:rsidRPr="004B1E89" w:rsidRDefault="00D96654" w:rsidP="000F5D67">
      <w:pPr>
        <w:tabs>
          <w:tab w:val="right" w:pos="850"/>
          <w:tab w:val="left" w:pos="1134"/>
          <w:tab w:val="left" w:pos="1559"/>
          <w:tab w:val="left" w:pos="1984"/>
          <w:tab w:val="left" w:leader="dot" w:pos="8929"/>
          <w:tab w:val="right" w:pos="9638"/>
        </w:tabs>
        <w:spacing w:after="120"/>
      </w:pPr>
      <w:r>
        <w:tab/>
      </w:r>
      <w:r w:rsidRPr="004B1E89">
        <w:tab/>
        <w:t>D.</w:t>
      </w:r>
      <w:r w:rsidRPr="004B1E89">
        <w:tab/>
        <w:t>Garanties fondamentales</w:t>
      </w:r>
      <w:r>
        <w:tab/>
      </w:r>
      <w:r w:rsidR="00811377">
        <w:tab/>
        <w:t>1</w:t>
      </w:r>
      <w:r w:rsidR="00D52B50">
        <w:t>0</w:t>
      </w:r>
    </w:p>
    <w:p w:rsidR="00D96654" w:rsidRPr="0082289C" w:rsidRDefault="00D96654" w:rsidP="000F5D67">
      <w:pPr>
        <w:tabs>
          <w:tab w:val="right" w:pos="850"/>
          <w:tab w:val="left" w:pos="1134"/>
          <w:tab w:val="left" w:pos="1559"/>
          <w:tab w:val="left" w:pos="1984"/>
          <w:tab w:val="left" w:leader="dot" w:pos="8929"/>
          <w:tab w:val="right" w:pos="9638"/>
        </w:tabs>
        <w:spacing w:after="120"/>
      </w:pPr>
      <w:r>
        <w:tab/>
      </w:r>
      <w:r>
        <w:tab/>
      </w:r>
      <w:r w:rsidRPr="0082289C">
        <w:t>E.</w:t>
      </w:r>
      <w:r w:rsidRPr="0082289C">
        <w:tab/>
        <w:t>Mineurs en conflit avec la loi</w:t>
      </w:r>
      <w:r w:rsidRPr="0082289C">
        <w:tab/>
      </w:r>
      <w:r w:rsidR="00811377">
        <w:tab/>
        <w:t>1</w:t>
      </w:r>
      <w:r w:rsidR="00D52B50">
        <w:t>3</w:t>
      </w:r>
    </w:p>
    <w:p w:rsidR="00D96654" w:rsidRPr="0082289C" w:rsidRDefault="00D96654" w:rsidP="000F5D67">
      <w:pPr>
        <w:tabs>
          <w:tab w:val="right" w:pos="850"/>
          <w:tab w:val="left" w:pos="1134"/>
          <w:tab w:val="left" w:pos="1559"/>
          <w:tab w:val="left" w:pos="1984"/>
          <w:tab w:val="left" w:leader="dot" w:pos="8929"/>
          <w:tab w:val="right" w:pos="9638"/>
        </w:tabs>
        <w:spacing w:after="120"/>
      </w:pPr>
      <w:r>
        <w:tab/>
      </w:r>
      <w:r w:rsidRPr="0082289C">
        <w:t>IV.</w:t>
      </w:r>
      <w:r w:rsidRPr="0082289C">
        <w:tab/>
        <w:t>Cadre juridique et administration de la justice</w:t>
      </w:r>
      <w:r>
        <w:tab/>
      </w:r>
      <w:r w:rsidR="00811377">
        <w:tab/>
        <w:t>1</w:t>
      </w:r>
      <w:r w:rsidR="00D52B50">
        <w:t>5</w:t>
      </w:r>
    </w:p>
    <w:p w:rsidR="00D96654" w:rsidRPr="004B1E89" w:rsidRDefault="00D96654" w:rsidP="000F5D67">
      <w:pPr>
        <w:tabs>
          <w:tab w:val="right" w:pos="850"/>
          <w:tab w:val="left" w:pos="1134"/>
          <w:tab w:val="left" w:pos="1559"/>
          <w:tab w:val="left" w:pos="1984"/>
          <w:tab w:val="left" w:leader="dot" w:pos="8929"/>
          <w:tab w:val="right" w:pos="9638"/>
        </w:tabs>
        <w:spacing w:after="120"/>
      </w:pPr>
      <w:r w:rsidRPr="004B1E89">
        <w:tab/>
        <w:t>V.</w:t>
      </w:r>
      <w:r w:rsidRPr="004B1E89">
        <w:tab/>
        <w:t xml:space="preserve">Mécanisme </w:t>
      </w:r>
      <w:r w:rsidR="00145C70">
        <w:t>n</w:t>
      </w:r>
      <w:r w:rsidR="00145C70" w:rsidRPr="004B1E89">
        <w:t xml:space="preserve">ational </w:t>
      </w:r>
      <w:r w:rsidRPr="004B1E89">
        <w:t xml:space="preserve">de </w:t>
      </w:r>
      <w:r w:rsidR="00145C70">
        <w:t>p</w:t>
      </w:r>
      <w:r w:rsidR="00145C70" w:rsidRPr="004B1E89">
        <w:t>révention</w:t>
      </w:r>
      <w:r>
        <w:tab/>
      </w:r>
      <w:r w:rsidR="00811377">
        <w:tab/>
        <w:t>1</w:t>
      </w:r>
      <w:r w:rsidR="00D52B50">
        <w:t>6</w:t>
      </w:r>
    </w:p>
    <w:p w:rsidR="00D96654" w:rsidRPr="0082289C" w:rsidRDefault="00D96654" w:rsidP="000F5D67">
      <w:pPr>
        <w:tabs>
          <w:tab w:val="right" w:pos="850"/>
          <w:tab w:val="left" w:pos="1134"/>
          <w:tab w:val="left" w:pos="1559"/>
          <w:tab w:val="left" w:pos="1984"/>
          <w:tab w:val="left" w:leader="dot" w:pos="8929"/>
          <w:tab w:val="right" w:pos="9638"/>
        </w:tabs>
        <w:spacing w:after="120"/>
      </w:pPr>
      <w:r>
        <w:tab/>
      </w:r>
      <w:r w:rsidRPr="0082289C">
        <w:t>VI</w:t>
      </w:r>
      <w:r>
        <w:t>.</w:t>
      </w:r>
      <w:r>
        <w:tab/>
      </w:r>
      <w:r w:rsidRPr="0082289C">
        <w:t>Répercussions de la visite et conclusion</w:t>
      </w:r>
      <w:r>
        <w:tab/>
      </w:r>
      <w:r w:rsidR="00811377">
        <w:tab/>
      </w:r>
      <w:r w:rsidR="00AE2845">
        <w:t>1</w:t>
      </w:r>
      <w:r w:rsidR="00D52B50">
        <w:t>7</w:t>
      </w:r>
    </w:p>
    <w:p w:rsidR="00CC2453" w:rsidRDefault="00D96654" w:rsidP="0077526F">
      <w:pPr>
        <w:tabs>
          <w:tab w:val="right" w:pos="850"/>
          <w:tab w:val="left" w:pos="1134"/>
          <w:tab w:val="left" w:pos="1559"/>
          <w:tab w:val="left" w:pos="1984"/>
          <w:tab w:val="left" w:leader="dot" w:pos="7654"/>
          <w:tab w:val="right" w:pos="8929"/>
          <w:tab w:val="right" w:pos="9638"/>
        </w:tabs>
        <w:spacing w:after="120"/>
      </w:pPr>
      <w:r>
        <w:tab/>
      </w:r>
      <w:r w:rsidRPr="00D96654">
        <w:t>Annexe</w:t>
      </w:r>
      <w:r>
        <w:tab/>
      </w:r>
    </w:p>
    <w:p w:rsidR="0069597D" w:rsidRPr="00D96654" w:rsidRDefault="00F24C2C" w:rsidP="000F5D67">
      <w:pPr>
        <w:tabs>
          <w:tab w:val="right" w:pos="850"/>
          <w:tab w:val="left" w:pos="1134"/>
          <w:tab w:val="left" w:pos="1559"/>
          <w:tab w:val="left" w:pos="1984"/>
          <w:tab w:val="left" w:leader="dot" w:pos="8929"/>
          <w:tab w:val="right" w:pos="9638"/>
        </w:tabs>
        <w:spacing w:after="120"/>
      </w:pPr>
      <w:r>
        <w:tab/>
      </w:r>
      <w:r>
        <w:tab/>
        <w:t>Lieux de privation de liberté visités et personnes rencontrées par le Sous-Comité</w:t>
      </w:r>
      <w:r w:rsidR="00D96654">
        <w:tab/>
      </w:r>
      <w:r w:rsidR="00811377">
        <w:tab/>
      </w:r>
      <w:r w:rsidR="00D52B50">
        <w:t>18</w:t>
      </w:r>
    </w:p>
    <w:p w:rsidR="0082326B" w:rsidRDefault="00D26C3B" w:rsidP="004B1E89">
      <w:pPr>
        <w:pStyle w:val="HChG"/>
      </w:pPr>
      <w:r>
        <w:br w:type="page"/>
      </w:r>
      <w:r w:rsidR="004B1E89">
        <w:lastRenderedPageBreak/>
        <w:tab/>
        <w:t>I.</w:t>
      </w:r>
      <w:r w:rsidR="004B1E89">
        <w:tab/>
      </w:r>
      <w:r w:rsidR="0082326B" w:rsidRPr="0082326B">
        <w:t>Introduction</w:t>
      </w:r>
    </w:p>
    <w:p w:rsidR="008526ED" w:rsidRPr="004B1E89" w:rsidRDefault="008526ED" w:rsidP="001E4146">
      <w:pPr>
        <w:pStyle w:val="SingleTxtG"/>
      </w:pPr>
      <w:r w:rsidRPr="004B1E89">
        <w:t>1.</w:t>
      </w:r>
      <w:r w:rsidRPr="004B1E89">
        <w:tab/>
        <w:t xml:space="preserve">Le Sous-comité pour la prévention de la torture et autres peines ou traitements cruels, inhumains ou dégradants (ci-après </w:t>
      </w:r>
      <w:r w:rsidR="00586ECB" w:rsidRPr="004B1E89">
        <w:t>«</w:t>
      </w:r>
      <w:r w:rsidR="00586ECB">
        <w:t> le Sous-Comité </w:t>
      </w:r>
      <w:r w:rsidR="00586ECB" w:rsidRPr="004B1E89">
        <w:t>»</w:t>
      </w:r>
      <w:r w:rsidRPr="004B1E89">
        <w:t>) a effectué sa première visite régulière au Togo du 1</w:t>
      </w:r>
      <w:r w:rsidR="00586ECB" w:rsidRPr="000F5D67">
        <w:rPr>
          <w:vertAlign w:val="superscript"/>
        </w:rPr>
        <w:t>er</w:t>
      </w:r>
      <w:r w:rsidRPr="004B1E89">
        <w:t xml:space="preserve"> au 10 décembre 2014, en vertu des dispositions du Protocole facultatif </w:t>
      </w:r>
      <w:r w:rsidR="00AC3A3A">
        <w:t xml:space="preserve">se rapportant </w:t>
      </w:r>
      <w:r w:rsidRPr="004B1E89">
        <w:t xml:space="preserve">à la Convention contre la torture et autres peines ou traitements cruels, inhumains ou dégradants (ci-après </w:t>
      </w:r>
      <w:r w:rsidR="00C15805" w:rsidRPr="004B1E89">
        <w:t>«</w:t>
      </w:r>
      <w:r w:rsidR="00C15805">
        <w:t xml:space="preserve"> le </w:t>
      </w:r>
      <w:r w:rsidRPr="004B1E89">
        <w:t>Protocole facultatif</w:t>
      </w:r>
      <w:r w:rsidR="00C15805">
        <w:t> </w:t>
      </w:r>
      <w:r w:rsidR="00C15805" w:rsidRPr="004B1E89">
        <w:t>»</w:t>
      </w:r>
      <w:r w:rsidRPr="004B1E89">
        <w:t xml:space="preserve">). Lors de la visite, la délégation s’est entretenue avec les autorités togolaises, </w:t>
      </w:r>
      <w:r w:rsidR="00AC3A3A">
        <w:t>dont</w:t>
      </w:r>
      <w:r w:rsidRPr="004B1E89">
        <w:t xml:space="preserve"> le Premier Ministre</w:t>
      </w:r>
      <w:r w:rsidR="00AC3A3A">
        <w:t>,</w:t>
      </w:r>
      <w:r w:rsidRPr="004B1E89">
        <w:t xml:space="preserve"> </w:t>
      </w:r>
      <w:proofErr w:type="spellStart"/>
      <w:r w:rsidRPr="004B1E89">
        <w:t>Arthème</w:t>
      </w:r>
      <w:proofErr w:type="spellEnd"/>
      <w:r w:rsidRPr="004B1E89">
        <w:t xml:space="preserve"> </w:t>
      </w:r>
      <w:proofErr w:type="spellStart"/>
      <w:r w:rsidRPr="004B1E89">
        <w:t>Ahoomey-Zunu</w:t>
      </w:r>
      <w:proofErr w:type="spellEnd"/>
      <w:r w:rsidRPr="004B1E89">
        <w:t xml:space="preserve">, avec la Commission nationale des droits de l’homme et </w:t>
      </w:r>
      <w:r w:rsidR="0003692E">
        <w:t xml:space="preserve">avec </w:t>
      </w:r>
      <w:r w:rsidRPr="004B1E89">
        <w:t xml:space="preserve">des représentants de la société civile. </w:t>
      </w:r>
    </w:p>
    <w:p w:rsidR="008526ED" w:rsidRPr="004B1E89" w:rsidRDefault="008526ED" w:rsidP="00F87BFD">
      <w:pPr>
        <w:pStyle w:val="SingleTxtG"/>
      </w:pPr>
      <w:r w:rsidRPr="004B1E89">
        <w:t>2.</w:t>
      </w:r>
      <w:r w:rsidRPr="004B1E89">
        <w:tab/>
        <w:t xml:space="preserve">Le </w:t>
      </w:r>
      <w:r w:rsidR="002B6ABC">
        <w:t>Sous-Comité</w:t>
      </w:r>
      <w:r w:rsidRPr="004B1E89">
        <w:t xml:space="preserve"> </w:t>
      </w:r>
      <w:r w:rsidR="002B6ABC">
        <w:t>s</w:t>
      </w:r>
      <w:r w:rsidR="002B6ABC" w:rsidRPr="00926DC8">
        <w:t>’</w:t>
      </w:r>
      <w:r w:rsidR="002B6ABC">
        <w:t>est rendu</w:t>
      </w:r>
      <w:r w:rsidRPr="004B1E89">
        <w:t xml:space="preserve"> dans 25 lieux de privation de liberté</w:t>
      </w:r>
      <w:r w:rsidR="00A2124B">
        <w:t>, situés</w:t>
      </w:r>
      <w:r w:rsidRPr="004B1E89">
        <w:t xml:space="preserve"> dans les villes de Lomé, Atakpamé, Kara, Mango, Tsévié, </w:t>
      </w:r>
      <w:proofErr w:type="spellStart"/>
      <w:r w:rsidRPr="004B1E89">
        <w:t>Notsé</w:t>
      </w:r>
      <w:proofErr w:type="spellEnd"/>
      <w:r w:rsidRPr="004B1E89">
        <w:t xml:space="preserve"> et Aného, notamment </w:t>
      </w:r>
      <w:r w:rsidR="00A46D1F">
        <w:t>d</w:t>
      </w:r>
      <w:r w:rsidRPr="004B1E89">
        <w:t xml:space="preserve">es commissariats de police et </w:t>
      </w:r>
      <w:r w:rsidR="00A46D1F">
        <w:t>d</w:t>
      </w:r>
      <w:r w:rsidRPr="004B1E89">
        <w:t xml:space="preserve">es gendarmeries, </w:t>
      </w:r>
      <w:r w:rsidR="00A46D1F">
        <w:t>d</w:t>
      </w:r>
      <w:r w:rsidRPr="004B1E89">
        <w:t xml:space="preserve">es prisons, </w:t>
      </w:r>
      <w:r w:rsidR="00A46D1F">
        <w:t>d</w:t>
      </w:r>
      <w:r w:rsidRPr="004B1E89">
        <w:t>es camps militaires, l’hôpital psychiatrique d</w:t>
      </w:r>
      <w:r w:rsidR="00A5318F" w:rsidRPr="00926DC8">
        <w:t>’</w:t>
      </w:r>
      <w:r w:rsidRPr="004B1E89">
        <w:t xml:space="preserve">Aného, </w:t>
      </w:r>
      <w:r w:rsidR="00C167D1" w:rsidRPr="004B1E89">
        <w:t>l’</w:t>
      </w:r>
      <w:r w:rsidR="00C167D1">
        <w:t>u</w:t>
      </w:r>
      <w:r w:rsidR="00C167D1" w:rsidRPr="004B1E89">
        <w:t xml:space="preserve">nité </w:t>
      </w:r>
      <w:r w:rsidR="00C862E9">
        <w:t>du</w:t>
      </w:r>
      <w:r w:rsidR="00C862E9" w:rsidRPr="004B1E89">
        <w:t xml:space="preserve"> </w:t>
      </w:r>
      <w:proofErr w:type="spellStart"/>
      <w:r w:rsidRPr="004B1E89">
        <w:t>Cabano</w:t>
      </w:r>
      <w:proofErr w:type="spellEnd"/>
      <w:r w:rsidRPr="004B1E89">
        <w:t xml:space="preserve"> du </w:t>
      </w:r>
      <w:r w:rsidR="00C167D1">
        <w:t>c</w:t>
      </w:r>
      <w:r w:rsidR="00C167D1" w:rsidRPr="004B1E89">
        <w:t xml:space="preserve">entre </w:t>
      </w:r>
      <w:r w:rsidRPr="004B1E89">
        <w:t xml:space="preserve">hospitalier </w:t>
      </w:r>
      <w:r w:rsidR="00A5318F">
        <w:t>u</w:t>
      </w:r>
      <w:r w:rsidR="00A5318F" w:rsidRPr="004B1E89">
        <w:t xml:space="preserve">niversitaire </w:t>
      </w:r>
      <w:proofErr w:type="spellStart"/>
      <w:r w:rsidRPr="004B1E89">
        <w:t>Sylvanus</w:t>
      </w:r>
      <w:proofErr w:type="spellEnd"/>
      <w:r w:rsidRPr="004B1E89">
        <w:t xml:space="preserve"> </w:t>
      </w:r>
      <w:proofErr w:type="spellStart"/>
      <w:r w:rsidRPr="004B1E89">
        <w:t>Olympio</w:t>
      </w:r>
      <w:proofErr w:type="spellEnd"/>
      <w:r w:rsidRPr="004B1E89">
        <w:t xml:space="preserve"> de Lomé et la </w:t>
      </w:r>
      <w:r w:rsidR="00C167D1">
        <w:t>b</w:t>
      </w:r>
      <w:r w:rsidR="00C167D1" w:rsidRPr="004B1E89">
        <w:t xml:space="preserve">rigade </w:t>
      </w:r>
      <w:r w:rsidRPr="004B1E89">
        <w:t xml:space="preserve">des </w:t>
      </w:r>
      <w:r w:rsidR="00C167D1">
        <w:t>m</w:t>
      </w:r>
      <w:r w:rsidR="00C167D1" w:rsidRPr="004B1E89">
        <w:t xml:space="preserve">ineurs </w:t>
      </w:r>
      <w:r w:rsidRPr="004B1E89">
        <w:t xml:space="preserve">à Lomé. Les visites effectuées </w:t>
      </w:r>
      <w:r w:rsidR="006502F5" w:rsidRPr="004B1E89">
        <w:t xml:space="preserve">dans </w:t>
      </w:r>
      <w:r w:rsidRPr="004B1E89">
        <w:t xml:space="preserve">cinq régions </w:t>
      </w:r>
      <w:r w:rsidR="00FC4F43">
        <w:t xml:space="preserve">différentes </w:t>
      </w:r>
      <w:r w:rsidRPr="004B1E89">
        <w:t xml:space="preserve">ont permis à la délégation d’avoir une </w:t>
      </w:r>
      <w:r w:rsidR="00890571">
        <w:t>vue d</w:t>
      </w:r>
      <w:r w:rsidR="00890571" w:rsidRPr="00926DC8">
        <w:t>’</w:t>
      </w:r>
      <w:r w:rsidR="00890571">
        <w:t xml:space="preserve">ensemble </w:t>
      </w:r>
      <w:r w:rsidRPr="004B1E89">
        <w:t>représentati</w:t>
      </w:r>
      <w:r w:rsidR="00890571">
        <w:t>ve</w:t>
      </w:r>
      <w:r w:rsidRPr="004B1E89">
        <w:t xml:space="preserve"> de la réalité </w:t>
      </w:r>
      <w:r w:rsidR="00890571">
        <w:t>du</w:t>
      </w:r>
      <w:r w:rsidRPr="004B1E89">
        <w:t xml:space="preserve"> pays, ce qui </w:t>
      </w:r>
      <w:r w:rsidR="00035410">
        <w:t xml:space="preserve">lui </w:t>
      </w:r>
      <w:r w:rsidRPr="004B1E89">
        <w:t xml:space="preserve">a permis </w:t>
      </w:r>
      <w:r w:rsidR="006502F5" w:rsidRPr="004B1E89">
        <w:t xml:space="preserve">de conclure </w:t>
      </w:r>
      <w:r w:rsidRPr="004B1E89">
        <w:t>que la situation des personnes privées de liberté</w:t>
      </w:r>
      <w:r w:rsidR="006502F5" w:rsidRPr="004B1E89">
        <w:t xml:space="preserve"> au Togo</w:t>
      </w:r>
      <w:r w:rsidRPr="004B1E89">
        <w:t xml:space="preserve"> </w:t>
      </w:r>
      <w:r w:rsidR="00035410">
        <w:t>était</w:t>
      </w:r>
      <w:r w:rsidR="00035410" w:rsidRPr="004B1E89">
        <w:t xml:space="preserve"> </w:t>
      </w:r>
      <w:r w:rsidRPr="004B1E89">
        <w:t>extrême</w:t>
      </w:r>
      <w:r w:rsidR="00A5318F">
        <w:t>ment</w:t>
      </w:r>
      <w:r w:rsidRPr="004B1E89">
        <w:t xml:space="preserve"> préoccupa</w:t>
      </w:r>
      <w:r w:rsidR="00A5318F">
        <w:t>nte</w:t>
      </w:r>
      <w:r w:rsidRPr="004B1E89">
        <w:t xml:space="preserve">. </w:t>
      </w:r>
    </w:p>
    <w:p w:rsidR="008526ED" w:rsidRPr="004B1E89" w:rsidRDefault="008526ED" w:rsidP="004151E1">
      <w:pPr>
        <w:pStyle w:val="SingleTxtG"/>
      </w:pPr>
      <w:r w:rsidRPr="004B1E89">
        <w:t>3.</w:t>
      </w:r>
      <w:r w:rsidRPr="004B1E89">
        <w:tab/>
        <w:t xml:space="preserve">La délégation était composée des membres suivants du </w:t>
      </w:r>
      <w:r w:rsidR="00E80F2D">
        <w:t>Sous-Comité</w:t>
      </w:r>
      <w:r w:rsidRPr="004B1E89">
        <w:t xml:space="preserve"> : Fortuné </w:t>
      </w:r>
      <w:proofErr w:type="spellStart"/>
      <w:r w:rsidRPr="004B1E89">
        <w:t>Gaetan</w:t>
      </w:r>
      <w:proofErr w:type="spellEnd"/>
      <w:r w:rsidRPr="004B1E89">
        <w:t xml:space="preserve"> </w:t>
      </w:r>
      <w:proofErr w:type="spellStart"/>
      <w:r w:rsidRPr="004B1E89">
        <w:t>Zongo</w:t>
      </w:r>
      <w:proofErr w:type="spellEnd"/>
      <w:r w:rsidRPr="004B1E89">
        <w:t xml:space="preserve"> (chef de la délégation), Paul </w:t>
      </w:r>
      <w:proofErr w:type="spellStart"/>
      <w:r w:rsidRPr="004B1E89">
        <w:t>Lam</w:t>
      </w:r>
      <w:proofErr w:type="spellEnd"/>
      <w:r w:rsidRPr="004B1E89">
        <w:t xml:space="preserve"> Shang </w:t>
      </w:r>
      <w:proofErr w:type="spellStart"/>
      <w:r w:rsidRPr="004B1E89">
        <w:t>Leen</w:t>
      </w:r>
      <w:proofErr w:type="spellEnd"/>
      <w:r w:rsidRPr="004B1E89">
        <w:t>, Victor Madrigal-</w:t>
      </w:r>
      <w:proofErr w:type="spellStart"/>
      <w:r w:rsidRPr="004B1E89">
        <w:t>Borloz</w:t>
      </w:r>
      <w:proofErr w:type="spellEnd"/>
      <w:r w:rsidRPr="004B1E89">
        <w:t xml:space="preserve"> et Catherine </w:t>
      </w:r>
      <w:proofErr w:type="spellStart"/>
      <w:r w:rsidRPr="004B1E89">
        <w:t>Paulet</w:t>
      </w:r>
      <w:proofErr w:type="spellEnd"/>
      <w:r w:rsidRPr="004B1E89">
        <w:t xml:space="preserve">. Les membres du </w:t>
      </w:r>
      <w:r w:rsidR="004151E1">
        <w:t>Sous-Comité</w:t>
      </w:r>
      <w:r w:rsidRPr="004B1E89">
        <w:t xml:space="preserve"> ont bénéficié de l’assistance de cinq membres du personnel du Haut-Commissariat des Nations Unies aux droits de l’homme, dont deux agents de sécurité.</w:t>
      </w:r>
    </w:p>
    <w:p w:rsidR="008526ED" w:rsidRPr="004B1E89" w:rsidRDefault="008526ED" w:rsidP="001E4146">
      <w:pPr>
        <w:pStyle w:val="SingleTxtG"/>
      </w:pPr>
      <w:r w:rsidRPr="004B1E89">
        <w:t>4.</w:t>
      </w:r>
      <w:r w:rsidRPr="004B1E89">
        <w:tab/>
      </w:r>
      <w:r w:rsidR="00037AA9">
        <w:t>À</w:t>
      </w:r>
      <w:r w:rsidR="00037AA9" w:rsidRPr="004B1E89">
        <w:t xml:space="preserve"> </w:t>
      </w:r>
      <w:r w:rsidRPr="004B1E89">
        <w:t xml:space="preserve">l’issue de la visite, </w:t>
      </w:r>
      <w:r w:rsidR="00E80F2D">
        <w:t xml:space="preserve">le 10 décembre, </w:t>
      </w:r>
      <w:r w:rsidRPr="004B1E89">
        <w:t xml:space="preserve">le </w:t>
      </w:r>
      <w:r w:rsidR="00E80F2D">
        <w:t>Sous-Comité</w:t>
      </w:r>
      <w:r w:rsidRPr="004B1E89">
        <w:t xml:space="preserve"> a présenté oralement aux autorités togolaises ses observations préliminaires et confidentielles. Dans le présent rapport, </w:t>
      </w:r>
      <w:r w:rsidR="00E80F2D">
        <w:t>il</w:t>
      </w:r>
      <w:r w:rsidRPr="004B1E89">
        <w:t xml:space="preserve"> expose ses conclusions et recommandations concernant la prévention de la torture et des mauvais traitements à l’encontre des personnes privées de liberté dans l’</w:t>
      </w:r>
      <w:r w:rsidR="00B36B0D">
        <w:t>État</w:t>
      </w:r>
      <w:r w:rsidRPr="004B1E89">
        <w:t xml:space="preserve"> partie. L’expression «</w:t>
      </w:r>
      <w:r w:rsidR="00E80F2D">
        <w:t> </w:t>
      </w:r>
      <w:r w:rsidRPr="004B1E89">
        <w:t>mauvais traitements</w:t>
      </w:r>
      <w:r w:rsidR="00E80F2D">
        <w:t> </w:t>
      </w:r>
      <w:r w:rsidRPr="004B1E89">
        <w:t xml:space="preserve">» est utilisée au sens générique et vise toutes les formes de peines ou traitements cruels, inhumains ou dégradants. </w:t>
      </w:r>
    </w:p>
    <w:p w:rsidR="008526ED" w:rsidRPr="00082EC0" w:rsidRDefault="008526ED" w:rsidP="00080AC1">
      <w:pPr>
        <w:pStyle w:val="SingleTxtG"/>
        <w:rPr>
          <w:b/>
        </w:rPr>
      </w:pPr>
      <w:r w:rsidRPr="000F5D67">
        <w:rPr>
          <w:bCs/>
        </w:rPr>
        <w:t>5.</w:t>
      </w:r>
      <w:r w:rsidRPr="000F5D67">
        <w:rPr>
          <w:bCs/>
        </w:rPr>
        <w:tab/>
      </w:r>
      <w:r w:rsidRPr="00082EC0">
        <w:rPr>
          <w:b/>
        </w:rPr>
        <w:t xml:space="preserve">Le </w:t>
      </w:r>
      <w:r w:rsidR="00080AC1" w:rsidRPr="000F5D67">
        <w:rPr>
          <w:b/>
          <w:bCs/>
        </w:rPr>
        <w:t>Sous-Comité</w:t>
      </w:r>
      <w:r w:rsidRPr="00082EC0">
        <w:rPr>
          <w:b/>
        </w:rPr>
        <w:t xml:space="preserve"> demande aux autorités togolaises de lui rendre pleinement compte, dans les six mois qui suivront la transmission du présent rapport, des mesures qui auront été prises pour donner suite aux recommandations formulées. </w:t>
      </w:r>
    </w:p>
    <w:p w:rsidR="008526ED" w:rsidRPr="00082EC0" w:rsidRDefault="008526ED" w:rsidP="001E4146">
      <w:pPr>
        <w:pStyle w:val="SingleTxtG"/>
        <w:rPr>
          <w:b/>
        </w:rPr>
      </w:pPr>
      <w:r w:rsidRPr="000F5D67">
        <w:rPr>
          <w:bCs/>
        </w:rPr>
        <w:t>6.</w:t>
      </w:r>
      <w:r w:rsidRPr="000F5D67">
        <w:rPr>
          <w:bCs/>
        </w:rPr>
        <w:tab/>
      </w:r>
      <w:r w:rsidRPr="00082EC0">
        <w:rPr>
          <w:b/>
        </w:rPr>
        <w:t xml:space="preserve">Le rapport du </w:t>
      </w:r>
      <w:r w:rsidR="00080AC1" w:rsidRPr="00C9720C">
        <w:rPr>
          <w:b/>
          <w:bCs/>
        </w:rPr>
        <w:t>Sous-Comité</w:t>
      </w:r>
      <w:r w:rsidRPr="00082EC0">
        <w:rPr>
          <w:b/>
        </w:rPr>
        <w:t xml:space="preserve"> demeurera confidentiel jusqu’à ce que les autorités togolaises décident de le rendre public, en conformité avec </w:t>
      </w:r>
      <w:r w:rsidR="008A079E">
        <w:rPr>
          <w:b/>
        </w:rPr>
        <w:t xml:space="preserve">le paragraphe 2 de </w:t>
      </w:r>
      <w:r w:rsidRPr="00082EC0">
        <w:rPr>
          <w:b/>
        </w:rPr>
        <w:t xml:space="preserve">l’article 16 du Protocole facultatif. Le </w:t>
      </w:r>
      <w:r w:rsidR="00080AC1" w:rsidRPr="00C9720C">
        <w:rPr>
          <w:b/>
          <w:bCs/>
        </w:rPr>
        <w:t>Sous-Comité</w:t>
      </w:r>
      <w:r w:rsidRPr="00082EC0">
        <w:rPr>
          <w:b/>
        </w:rPr>
        <w:t xml:space="preserve"> tient à </w:t>
      </w:r>
      <w:r w:rsidR="00D02BD8">
        <w:rPr>
          <w:b/>
        </w:rPr>
        <w:t>attirer</w:t>
      </w:r>
      <w:r w:rsidRPr="00082EC0">
        <w:rPr>
          <w:b/>
        </w:rPr>
        <w:t xml:space="preserve"> l’attention de </w:t>
      </w:r>
      <w:r w:rsidR="00B36B0D" w:rsidRPr="00082EC0">
        <w:rPr>
          <w:b/>
        </w:rPr>
        <w:t>l’</w:t>
      </w:r>
      <w:r w:rsidR="00B36B0D">
        <w:rPr>
          <w:b/>
        </w:rPr>
        <w:t>É</w:t>
      </w:r>
      <w:r w:rsidR="00B36B0D" w:rsidRPr="00082EC0">
        <w:rPr>
          <w:b/>
        </w:rPr>
        <w:t xml:space="preserve">tat </w:t>
      </w:r>
      <w:r w:rsidRPr="00082EC0">
        <w:rPr>
          <w:b/>
        </w:rPr>
        <w:t xml:space="preserve">partie sur la possibilité de solliciter un financement du Fonds spécial établi conformément à l’article 26 du Protocole facultatif pour des projets spécifiques visant à mettre en œuvre les recommandations contenues dans le présent rapport, à la condition que ce dernier ait été rendu public. </w:t>
      </w:r>
    </w:p>
    <w:p w:rsidR="008526ED" w:rsidRPr="00082EC0" w:rsidRDefault="008526ED" w:rsidP="00080AC1">
      <w:pPr>
        <w:pStyle w:val="SingleTxtG"/>
        <w:rPr>
          <w:b/>
        </w:rPr>
      </w:pPr>
      <w:r w:rsidRPr="000F5D67">
        <w:rPr>
          <w:bCs/>
        </w:rPr>
        <w:t>7.</w:t>
      </w:r>
      <w:r w:rsidRPr="000F5D67">
        <w:rPr>
          <w:bCs/>
        </w:rPr>
        <w:tab/>
      </w:r>
      <w:r w:rsidRPr="00082EC0">
        <w:rPr>
          <w:b/>
        </w:rPr>
        <w:t xml:space="preserve">Le </w:t>
      </w:r>
      <w:r w:rsidR="00080AC1" w:rsidRPr="00C9720C">
        <w:rPr>
          <w:b/>
          <w:bCs/>
        </w:rPr>
        <w:t>Sous-Comité</w:t>
      </w:r>
      <w:r w:rsidRPr="00082EC0">
        <w:rPr>
          <w:b/>
        </w:rPr>
        <w:t xml:space="preserve"> recommande au Togo d’envisager la publication du présent rapport conformément au paragraphe 2 de l’article 16 du Protocole facultatif.</w:t>
      </w:r>
    </w:p>
    <w:p w:rsidR="008526ED" w:rsidRPr="00082EC0" w:rsidRDefault="008526ED" w:rsidP="001E4146">
      <w:pPr>
        <w:pStyle w:val="SingleTxtG"/>
      </w:pPr>
      <w:r>
        <w:t>8.</w:t>
      </w:r>
      <w:r>
        <w:tab/>
      </w:r>
      <w:r w:rsidRPr="00082EC0">
        <w:t xml:space="preserve">Le </w:t>
      </w:r>
      <w:r w:rsidR="00080AC1">
        <w:t>Sous-Comité</w:t>
      </w:r>
      <w:r w:rsidRPr="00082EC0">
        <w:t xml:space="preserve"> regrette le retard considérable intervenu dans la présentation à </w:t>
      </w:r>
      <w:r w:rsidR="00B36B0D" w:rsidRPr="00082EC0">
        <w:t>l’</w:t>
      </w:r>
      <w:r w:rsidR="00B36B0D">
        <w:t>É</w:t>
      </w:r>
      <w:r w:rsidR="00B36B0D" w:rsidRPr="00082EC0">
        <w:t xml:space="preserve">tat </w:t>
      </w:r>
      <w:r w:rsidRPr="00082EC0">
        <w:t>parti</w:t>
      </w:r>
      <w:r w:rsidR="00206C13">
        <w:t>e</w:t>
      </w:r>
      <w:r w:rsidRPr="00082EC0">
        <w:t xml:space="preserve"> du présent rapport. </w:t>
      </w:r>
    </w:p>
    <w:p w:rsidR="0044102B" w:rsidRPr="004B1E89" w:rsidRDefault="0044102B" w:rsidP="004B1E89">
      <w:pPr>
        <w:pStyle w:val="HChG"/>
      </w:pPr>
      <w:r w:rsidRPr="004B1E89">
        <w:tab/>
        <w:t>II.</w:t>
      </w:r>
      <w:r w:rsidRPr="004B1E89">
        <w:tab/>
      </w:r>
      <w:r w:rsidR="008526ED" w:rsidRPr="004B1E89">
        <w:t>Facilitation de la visite et coopération</w:t>
      </w:r>
    </w:p>
    <w:p w:rsidR="008526ED" w:rsidRPr="004B1E89" w:rsidRDefault="008526ED" w:rsidP="00A53378">
      <w:pPr>
        <w:pStyle w:val="SingleTxtG"/>
      </w:pPr>
      <w:r>
        <w:t>9.</w:t>
      </w:r>
      <w:r>
        <w:tab/>
      </w:r>
      <w:r w:rsidRPr="008526ED">
        <w:t xml:space="preserve">Le </w:t>
      </w:r>
      <w:r w:rsidR="00080AC1">
        <w:t>Sous-Comité</w:t>
      </w:r>
      <w:r w:rsidRPr="008526ED">
        <w:t xml:space="preserve"> souhaite exprimer sa gratitude aux autorités togolaises pour les réunions de haut niveau </w:t>
      </w:r>
      <w:r w:rsidR="0066666B">
        <w:t xml:space="preserve">tenues au cours de sa visite </w:t>
      </w:r>
      <w:r w:rsidRPr="008526ED">
        <w:t xml:space="preserve">et </w:t>
      </w:r>
      <w:r w:rsidR="0066666B">
        <w:t xml:space="preserve">pour les </w:t>
      </w:r>
      <w:r w:rsidRPr="008526ED">
        <w:t xml:space="preserve">informations fournies. Il est toutefois à </w:t>
      </w:r>
      <w:r w:rsidRPr="004B1E89">
        <w:t xml:space="preserve">noter que la plupart des documents sollicités, tels que le projet de loi du Code </w:t>
      </w:r>
      <w:r w:rsidR="00404BB3">
        <w:t>p</w:t>
      </w:r>
      <w:r w:rsidR="00404BB3" w:rsidRPr="004B1E89">
        <w:t>énal</w:t>
      </w:r>
      <w:r w:rsidRPr="004B1E89">
        <w:t xml:space="preserve">, l’avant-projet de loi pour le </w:t>
      </w:r>
      <w:r w:rsidR="00145C70">
        <w:t>m</w:t>
      </w:r>
      <w:r w:rsidR="00145C70" w:rsidRPr="004B1E89">
        <w:t xml:space="preserve">écanisme </w:t>
      </w:r>
      <w:r w:rsidR="00145C70">
        <w:t>n</w:t>
      </w:r>
      <w:r w:rsidR="00145C70" w:rsidRPr="004B1E89">
        <w:t xml:space="preserve">ational </w:t>
      </w:r>
      <w:r w:rsidRPr="004B1E89">
        <w:t xml:space="preserve">de </w:t>
      </w:r>
      <w:r w:rsidR="00145C70">
        <w:t>p</w:t>
      </w:r>
      <w:r w:rsidR="00145C70" w:rsidRPr="004B1E89">
        <w:t xml:space="preserve">révention </w:t>
      </w:r>
      <w:r w:rsidRPr="004B1E89">
        <w:t xml:space="preserve">et les pouvoirs </w:t>
      </w:r>
      <w:r w:rsidR="0066666B" w:rsidRPr="004B1E89">
        <w:t>n’</w:t>
      </w:r>
      <w:r w:rsidRPr="004B1E89">
        <w:t xml:space="preserve">ont été transmis </w:t>
      </w:r>
      <w:r w:rsidR="0066666B" w:rsidRPr="004B1E89">
        <w:t xml:space="preserve">que pendant les </w:t>
      </w:r>
      <w:r w:rsidRPr="004B1E89">
        <w:t xml:space="preserve">réunions </w:t>
      </w:r>
      <w:r w:rsidR="0066666B" w:rsidRPr="004B1E89">
        <w:t xml:space="preserve">au cours de </w:t>
      </w:r>
      <w:r w:rsidRPr="004B1E89">
        <w:t xml:space="preserve">la visite. </w:t>
      </w:r>
      <w:r w:rsidR="00A53378">
        <w:t>L</w:t>
      </w:r>
      <w:r w:rsidRPr="004B1E89">
        <w:t xml:space="preserve">a délégation </w:t>
      </w:r>
      <w:r w:rsidR="00A53378">
        <w:t>n</w:t>
      </w:r>
      <w:r w:rsidR="00A53378" w:rsidRPr="00926DC8">
        <w:t>’</w:t>
      </w:r>
      <w:r w:rsidR="00A53378">
        <w:t xml:space="preserve">a donc pas pu </w:t>
      </w:r>
      <w:r w:rsidRPr="004B1E89">
        <w:t>e</w:t>
      </w:r>
      <w:r w:rsidR="0066666B" w:rsidRPr="004B1E89">
        <w:t>n</w:t>
      </w:r>
      <w:r w:rsidRPr="004B1E89">
        <w:t xml:space="preserve"> prendre connaissance </w:t>
      </w:r>
      <w:r w:rsidR="0066666B" w:rsidRPr="004B1E89">
        <w:t xml:space="preserve">auparavant pour les intégrer dans les éléments pris en compte afin de </w:t>
      </w:r>
      <w:r w:rsidRPr="004B1E89">
        <w:t xml:space="preserve">préparer sa visite. </w:t>
      </w:r>
    </w:p>
    <w:p w:rsidR="008526ED" w:rsidRPr="004B1E89" w:rsidRDefault="008526ED" w:rsidP="00885E76">
      <w:pPr>
        <w:pStyle w:val="SingleTxtG"/>
      </w:pPr>
      <w:r w:rsidRPr="004B1E89">
        <w:lastRenderedPageBreak/>
        <w:t>10.</w:t>
      </w:r>
      <w:r w:rsidRPr="004B1E89">
        <w:tab/>
        <w:t xml:space="preserve">Le </w:t>
      </w:r>
      <w:r w:rsidR="00080AC1">
        <w:t>Sous-Comité</w:t>
      </w:r>
      <w:r w:rsidRPr="004B1E89">
        <w:t xml:space="preserve"> tient à remercier les autorités togolaises de leur coopération lors de la visite. L’accès aux lieux de privation de liberté a été facilité dans tous les cas. L</w:t>
      </w:r>
      <w:r w:rsidR="001A6BD5">
        <w:t>a </w:t>
      </w:r>
      <w:r w:rsidRPr="004B1E89">
        <w:t xml:space="preserve">coopération du personnel impliqué a été constructive. Cependant, le </w:t>
      </w:r>
      <w:r w:rsidR="00080AC1">
        <w:t>Sous-Comité</w:t>
      </w:r>
      <w:r w:rsidRPr="004B1E89">
        <w:t xml:space="preserve"> regrette </w:t>
      </w:r>
      <w:r w:rsidR="00735E3B">
        <w:t>d</w:t>
      </w:r>
      <w:r w:rsidR="00735E3B" w:rsidRPr="00926DC8">
        <w:t>’</w:t>
      </w:r>
      <w:r w:rsidR="007326EF" w:rsidRPr="004B1E89">
        <w:t>avoir</w:t>
      </w:r>
      <w:r w:rsidRPr="004B1E89">
        <w:t xml:space="preserve"> dû attendre plus d’une heure pour obtenir l’accès à l’Agence </w:t>
      </w:r>
      <w:r w:rsidR="002B1D84">
        <w:t>n</w:t>
      </w:r>
      <w:r w:rsidR="002B1D84" w:rsidRPr="004B1E89">
        <w:t xml:space="preserve">ationale </w:t>
      </w:r>
      <w:r w:rsidRPr="004B1E89">
        <w:t xml:space="preserve">de </w:t>
      </w:r>
      <w:r w:rsidR="002B1D84">
        <w:t>r</w:t>
      </w:r>
      <w:r w:rsidR="002B1D84" w:rsidRPr="004B1E89">
        <w:t xml:space="preserve">enseignement </w:t>
      </w:r>
      <w:r w:rsidRPr="004B1E89">
        <w:t xml:space="preserve">de Lomé et à la </w:t>
      </w:r>
      <w:r w:rsidR="002B1D84">
        <w:t>g</w:t>
      </w:r>
      <w:r w:rsidR="002B1D84" w:rsidRPr="004B1E89">
        <w:t xml:space="preserve">endarmerie </w:t>
      </w:r>
      <w:r w:rsidR="002B1D84">
        <w:t>c</w:t>
      </w:r>
      <w:r w:rsidR="002B1D84" w:rsidRPr="004B1E89">
        <w:t xml:space="preserve">entrale </w:t>
      </w:r>
      <w:r w:rsidRPr="004B1E89">
        <w:t xml:space="preserve">de Kara, ce qui </w:t>
      </w:r>
      <w:r w:rsidR="007326EF" w:rsidRPr="004B1E89">
        <w:t xml:space="preserve">a </w:t>
      </w:r>
      <w:r w:rsidR="00735E3B">
        <w:t>perturbé</w:t>
      </w:r>
      <w:r w:rsidR="00735E3B" w:rsidRPr="004B1E89">
        <w:t xml:space="preserve"> </w:t>
      </w:r>
      <w:r w:rsidRPr="004B1E89">
        <w:t xml:space="preserve">son programme de visites. </w:t>
      </w:r>
    </w:p>
    <w:p w:rsidR="008526ED" w:rsidRPr="004B1E89" w:rsidRDefault="008526ED" w:rsidP="00080AC1">
      <w:pPr>
        <w:pStyle w:val="SingleTxtG"/>
      </w:pPr>
      <w:r w:rsidRPr="004B1E89">
        <w:t>11.</w:t>
      </w:r>
      <w:r w:rsidRPr="004B1E89">
        <w:tab/>
        <w:t xml:space="preserve">Le </w:t>
      </w:r>
      <w:r w:rsidR="00080AC1">
        <w:t>Sous-Comité</w:t>
      </w:r>
      <w:r w:rsidRPr="004B1E89">
        <w:t xml:space="preserve"> note avec satisfaction le dialogue franc et constructif engagé avec les autorités lors du compte rendu de la mission et prend acte de l’engagement au plus haut niveau des pouvoirs publics pour remédier aux carences constatées. </w:t>
      </w:r>
    </w:p>
    <w:p w:rsidR="008526ED" w:rsidRPr="004B1E89" w:rsidRDefault="008526ED" w:rsidP="001E4146">
      <w:pPr>
        <w:pStyle w:val="SingleTxtG"/>
      </w:pPr>
      <w:r w:rsidRPr="004B1E89">
        <w:t>12.</w:t>
      </w:r>
      <w:r w:rsidRPr="004B1E89">
        <w:tab/>
        <w:t xml:space="preserve">Le </w:t>
      </w:r>
      <w:r w:rsidR="00080AC1">
        <w:t>Sous-Comité</w:t>
      </w:r>
      <w:r w:rsidRPr="004B1E89">
        <w:t xml:space="preserve"> souhaite remercier vivement le Bureau du Haut-Commissariat aux </w:t>
      </w:r>
      <w:r w:rsidR="00080AC1">
        <w:t>d</w:t>
      </w:r>
      <w:r w:rsidR="00080AC1" w:rsidRPr="004B1E89">
        <w:t xml:space="preserve">roits </w:t>
      </w:r>
      <w:r w:rsidRPr="004B1E89">
        <w:t xml:space="preserve">de </w:t>
      </w:r>
      <w:r w:rsidR="00080AC1" w:rsidRPr="004B1E89">
        <w:t>l’</w:t>
      </w:r>
      <w:r w:rsidR="00080AC1">
        <w:t>h</w:t>
      </w:r>
      <w:r w:rsidR="00080AC1" w:rsidRPr="004B1E89">
        <w:t xml:space="preserve">omme </w:t>
      </w:r>
      <w:r w:rsidRPr="004B1E89">
        <w:t>au Togo</w:t>
      </w:r>
      <w:r w:rsidR="001D5FD7">
        <w:t>,</w:t>
      </w:r>
      <w:r w:rsidRPr="004B1E89">
        <w:t xml:space="preserve"> et en particulier </w:t>
      </w:r>
      <w:proofErr w:type="spellStart"/>
      <w:r w:rsidRPr="004B1E89">
        <w:t>Ige</w:t>
      </w:r>
      <w:proofErr w:type="spellEnd"/>
      <w:r w:rsidRPr="004B1E89">
        <w:t xml:space="preserve"> </w:t>
      </w:r>
      <w:proofErr w:type="spellStart"/>
      <w:r w:rsidRPr="004B1E89">
        <w:t>Olatokumbo</w:t>
      </w:r>
      <w:proofErr w:type="spellEnd"/>
      <w:r w:rsidR="00885E76">
        <w:t>,</w:t>
      </w:r>
      <w:r w:rsidRPr="004B1E89">
        <w:t xml:space="preserve"> pour l’assistance fournie et la contribution au bon déroulement de la visite. </w:t>
      </w:r>
    </w:p>
    <w:p w:rsidR="008526ED" w:rsidRPr="004B1E89" w:rsidRDefault="0082326B" w:rsidP="004B1E89">
      <w:pPr>
        <w:pStyle w:val="HChG"/>
      </w:pPr>
      <w:r w:rsidRPr="004B1E89">
        <w:tab/>
        <w:t>III.</w:t>
      </w:r>
      <w:r w:rsidRPr="004B1E89">
        <w:tab/>
      </w:r>
      <w:r w:rsidR="008526ED" w:rsidRPr="004B1E89">
        <w:t>Principaux défis et recommandations</w:t>
      </w:r>
    </w:p>
    <w:p w:rsidR="008526ED" w:rsidRPr="008526ED" w:rsidRDefault="008526ED" w:rsidP="00C4716E">
      <w:pPr>
        <w:pStyle w:val="SingleTxtG"/>
      </w:pPr>
      <w:r>
        <w:t>13.</w:t>
      </w:r>
      <w:r>
        <w:tab/>
      </w:r>
      <w:r w:rsidRPr="008526ED">
        <w:t xml:space="preserve">Le </w:t>
      </w:r>
      <w:r w:rsidR="00D162AC">
        <w:t>Sous-Comité</w:t>
      </w:r>
      <w:r w:rsidRPr="008526ED">
        <w:t xml:space="preserve"> note des développements positifs dans les politiques, programmes et initiatives de l’</w:t>
      </w:r>
      <w:r w:rsidR="00B36B0D">
        <w:t>État</w:t>
      </w:r>
      <w:r w:rsidRPr="008526ED">
        <w:t xml:space="preserve"> partie, en particulier la </w:t>
      </w:r>
      <w:r w:rsidR="00D162AC">
        <w:t>r</w:t>
      </w:r>
      <w:r w:rsidR="00D162AC" w:rsidRPr="008526ED">
        <w:t xml:space="preserve">éforme </w:t>
      </w:r>
      <w:r w:rsidRPr="008526ED">
        <w:t xml:space="preserve">de l’Agence </w:t>
      </w:r>
      <w:r w:rsidR="00D162AC">
        <w:t>n</w:t>
      </w:r>
      <w:r w:rsidR="00D162AC" w:rsidRPr="008526ED">
        <w:t xml:space="preserve">ationale </w:t>
      </w:r>
      <w:r w:rsidRPr="008526ED">
        <w:t xml:space="preserve">de </w:t>
      </w:r>
      <w:r w:rsidR="00D162AC">
        <w:t>r</w:t>
      </w:r>
      <w:r w:rsidR="00D162AC" w:rsidRPr="008526ED">
        <w:t>enseignement</w:t>
      </w:r>
      <w:r w:rsidRPr="008526ED">
        <w:t xml:space="preserve">, la formation du corps de surveillants de prison, la formation de nouveaux </w:t>
      </w:r>
      <w:r w:rsidR="005A4C85">
        <w:t>o</w:t>
      </w:r>
      <w:r w:rsidR="005A4C85" w:rsidRPr="008526ED">
        <w:t xml:space="preserve">fficiers </w:t>
      </w:r>
      <w:r w:rsidRPr="008526ED">
        <w:t xml:space="preserve">de </w:t>
      </w:r>
      <w:r w:rsidR="00D162AC">
        <w:t>p</w:t>
      </w:r>
      <w:r w:rsidR="00D162AC" w:rsidRPr="008526ED">
        <w:t xml:space="preserve">olice </w:t>
      </w:r>
      <w:r w:rsidR="00D162AC">
        <w:t>j</w:t>
      </w:r>
      <w:r w:rsidR="00D162AC" w:rsidRPr="008526ED">
        <w:t>udiciaire</w:t>
      </w:r>
      <w:r w:rsidRPr="008526ED">
        <w:t>, ainsi que l’engagement de la réforme du système de</w:t>
      </w:r>
      <w:r w:rsidR="00D85C55" w:rsidRPr="00D85C55">
        <w:t xml:space="preserve"> </w:t>
      </w:r>
      <w:r w:rsidRPr="008526ED">
        <w:t xml:space="preserve">santé. </w:t>
      </w:r>
    </w:p>
    <w:p w:rsidR="008526ED" w:rsidRDefault="008526ED" w:rsidP="00C4716E">
      <w:pPr>
        <w:pStyle w:val="SingleTxtG"/>
      </w:pPr>
      <w:r>
        <w:t>14.</w:t>
      </w:r>
      <w:r>
        <w:tab/>
      </w:r>
      <w:r w:rsidRPr="008526ED">
        <w:t xml:space="preserve">Néanmoins, le </w:t>
      </w:r>
      <w:r w:rsidR="00D162AC">
        <w:t>Sous-Comité</w:t>
      </w:r>
      <w:r w:rsidRPr="008526ED">
        <w:t xml:space="preserve"> constate qu’en raison d</w:t>
      </w:r>
      <w:r w:rsidR="00291E10">
        <w:t>e l</w:t>
      </w:r>
      <w:r w:rsidRPr="008526ED">
        <w:t xml:space="preserve">’insuffisance de ces mesures, la torture et </w:t>
      </w:r>
      <w:r w:rsidR="007326EF">
        <w:t xml:space="preserve">les </w:t>
      </w:r>
      <w:r w:rsidRPr="008526ED">
        <w:t xml:space="preserve">mauvais traitements demeurent répandus, favorisés principalement par un certain nombre de problèmes structurels et systémiques préoccupants liés aux conditions de détention précaires, </w:t>
      </w:r>
      <w:r w:rsidR="00291E10">
        <w:t xml:space="preserve">à </w:t>
      </w:r>
      <w:r w:rsidRPr="008526ED">
        <w:t xml:space="preserve">de graves carences dans la </w:t>
      </w:r>
      <w:r w:rsidR="005A4C85">
        <w:t>fourniture</w:t>
      </w:r>
      <w:r w:rsidR="005A4C85" w:rsidRPr="008526ED">
        <w:t xml:space="preserve"> </w:t>
      </w:r>
      <w:r w:rsidRPr="008526ED">
        <w:t xml:space="preserve">des services de santé, </w:t>
      </w:r>
      <w:r w:rsidR="00291E10">
        <w:t>au</w:t>
      </w:r>
      <w:r w:rsidR="007326EF">
        <w:t xml:space="preserve"> </w:t>
      </w:r>
      <w:r w:rsidRPr="008526ED">
        <w:t>faible respect de</w:t>
      </w:r>
      <w:r w:rsidR="007326EF">
        <w:t>s</w:t>
      </w:r>
      <w:r w:rsidRPr="008526ED">
        <w:t xml:space="preserve"> garanties fondamentales </w:t>
      </w:r>
      <w:r w:rsidR="00291E10">
        <w:t xml:space="preserve">et à </w:t>
      </w:r>
      <w:r w:rsidRPr="008526ED">
        <w:t xml:space="preserve">l’impunité. </w:t>
      </w:r>
    </w:p>
    <w:p w:rsidR="008526ED" w:rsidRPr="004B1E89" w:rsidRDefault="008526ED" w:rsidP="004B1E89">
      <w:pPr>
        <w:pStyle w:val="H1G"/>
      </w:pPr>
      <w:r w:rsidRPr="004B1E89">
        <w:tab/>
        <w:t>A.</w:t>
      </w:r>
      <w:r w:rsidRPr="004B1E89">
        <w:tab/>
        <w:t xml:space="preserve">Allégations de torture et de mauvais traitements </w:t>
      </w:r>
    </w:p>
    <w:p w:rsidR="008526ED" w:rsidRPr="008526ED" w:rsidRDefault="008526ED" w:rsidP="001E4146">
      <w:pPr>
        <w:pStyle w:val="H23G"/>
      </w:pPr>
      <w:r>
        <w:tab/>
      </w:r>
      <w:r w:rsidR="005334DB">
        <w:t>1.</w:t>
      </w:r>
      <w:r>
        <w:tab/>
      </w:r>
      <w:r w:rsidRPr="008526ED">
        <w:t xml:space="preserve">Police et </w:t>
      </w:r>
      <w:r w:rsidR="001F5FC7">
        <w:t>g</w:t>
      </w:r>
      <w:r w:rsidR="001F5FC7" w:rsidRPr="008526ED">
        <w:t>endarmerie</w:t>
      </w:r>
    </w:p>
    <w:p w:rsidR="008526ED" w:rsidRPr="004B1E89" w:rsidRDefault="008526ED" w:rsidP="00B863DB">
      <w:pPr>
        <w:pStyle w:val="SingleTxtG"/>
      </w:pPr>
      <w:r w:rsidRPr="004B1E89">
        <w:t>15.</w:t>
      </w:r>
      <w:r w:rsidRPr="004B1E89">
        <w:tab/>
        <w:t xml:space="preserve">Au cours des entretiens réalisés avec les personnes privées de liberté, le </w:t>
      </w:r>
      <w:r w:rsidR="0062248F">
        <w:t>Sous-Comité</w:t>
      </w:r>
      <w:r w:rsidRPr="004B1E89">
        <w:t xml:space="preserve"> a reçu des allégations de torture et de mauvais traitement</w:t>
      </w:r>
      <w:r w:rsidR="00F01714">
        <w:t>s</w:t>
      </w:r>
      <w:r w:rsidRPr="004B1E89">
        <w:t xml:space="preserve"> de personnes gardées à vue dans les commissariats de police et les postes de gendarmerie </w:t>
      </w:r>
      <w:r w:rsidR="00730775">
        <w:t xml:space="preserve">pratiqués </w:t>
      </w:r>
      <w:r w:rsidRPr="004B1E89">
        <w:t xml:space="preserve">pour obtenir des aveux et/ou punir les actes commis. Les allégations se réfèrent à des tabassages sévères, avec utilisation de bâtons et de cordelettes. Il a aussi été fait référence à des menaces d’égorgement avec une machette afin d’obtenir </w:t>
      </w:r>
      <w:r w:rsidR="00730775">
        <w:t>d</w:t>
      </w:r>
      <w:r w:rsidRPr="004B1E89">
        <w:t>es aveux.</w:t>
      </w:r>
    </w:p>
    <w:p w:rsidR="008526ED" w:rsidRPr="004B1E89" w:rsidRDefault="008526ED" w:rsidP="00C4716E">
      <w:pPr>
        <w:pStyle w:val="SingleTxtG"/>
      </w:pPr>
      <w:r w:rsidRPr="004B1E89">
        <w:t>16.</w:t>
      </w:r>
      <w:r w:rsidRPr="004B1E89">
        <w:tab/>
        <w:t xml:space="preserve">Le </w:t>
      </w:r>
      <w:r w:rsidR="0062248F">
        <w:t>Sous-Comité</w:t>
      </w:r>
      <w:r w:rsidRPr="004B1E89">
        <w:t xml:space="preserve"> </w:t>
      </w:r>
      <w:r w:rsidR="002600A6">
        <w:t>relève</w:t>
      </w:r>
      <w:r w:rsidR="002600A6" w:rsidRPr="004B1E89">
        <w:t xml:space="preserve"> </w:t>
      </w:r>
      <w:r w:rsidRPr="004B1E89">
        <w:t xml:space="preserve">que dans les bureaux servant de lieux d’interrogatoire de quatre des commissariats visités, la </w:t>
      </w:r>
      <w:r w:rsidR="002B748E">
        <w:t>d</w:t>
      </w:r>
      <w:r w:rsidR="002B748E" w:rsidRPr="004B1E89">
        <w:t xml:space="preserve">élégation </w:t>
      </w:r>
      <w:r w:rsidRPr="004B1E89">
        <w:t xml:space="preserve">a trouvé des instruments tels que </w:t>
      </w:r>
      <w:r w:rsidR="00730775">
        <w:t xml:space="preserve">des </w:t>
      </w:r>
      <w:r w:rsidRPr="004B1E89">
        <w:t>machettes, bâtons, matraques, couteaux, coupe-coupe</w:t>
      </w:r>
      <w:r w:rsidR="00730775">
        <w:t xml:space="preserve"> et</w:t>
      </w:r>
      <w:r w:rsidR="00730775" w:rsidRPr="004B1E89">
        <w:t xml:space="preserve"> </w:t>
      </w:r>
      <w:r w:rsidRPr="004B1E89">
        <w:t xml:space="preserve">pinces. </w:t>
      </w:r>
      <w:r w:rsidR="002B748E">
        <w:t>Il</w:t>
      </w:r>
      <w:r w:rsidRPr="004B1E89">
        <w:t xml:space="preserve"> souligne que de tels instruments susceptibles d’être utilisés pour infliger de la torture et des mauvais traitements ne doivent jamais être entreposés dans des locaux utilisés pour l</w:t>
      </w:r>
      <w:r w:rsidR="002B748E" w:rsidRPr="00926DC8">
        <w:t>’</w:t>
      </w:r>
      <w:r w:rsidRPr="004B1E89">
        <w:t xml:space="preserve">interrogatoire des suspects. S’ils ont été saisis au cours d’une enquête, ils doivent impérativement être archivés comme preuve, scellés et faire </w:t>
      </w:r>
      <w:r w:rsidR="00730775">
        <w:t>l</w:t>
      </w:r>
      <w:r w:rsidR="00730775" w:rsidRPr="00926DC8">
        <w:t>’</w:t>
      </w:r>
      <w:r w:rsidRPr="004B1E89">
        <w:t>objet d’un inventaire, dans le strict respect des règles d’administration de la preuve pénale.</w:t>
      </w:r>
    </w:p>
    <w:p w:rsidR="008526ED" w:rsidRPr="008526ED" w:rsidRDefault="005334DB" w:rsidP="002B748E">
      <w:pPr>
        <w:pStyle w:val="SingleTxtG"/>
      </w:pPr>
      <w:r>
        <w:t>17.</w:t>
      </w:r>
      <w:r>
        <w:tab/>
      </w:r>
      <w:r w:rsidR="007326EF">
        <w:t>L</w:t>
      </w:r>
      <w:r w:rsidR="008526ED" w:rsidRPr="008526ED">
        <w:t xml:space="preserve">ors </w:t>
      </w:r>
      <w:r w:rsidR="007326EF">
        <w:t>de la</w:t>
      </w:r>
      <w:r w:rsidR="007326EF" w:rsidRPr="008526ED">
        <w:t xml:space="preserve"> </w:t>
      </w:r>
      <w:r w:rsidR="008526ED" w:rsidRPr="008526ED">
        <w:t>visite</w:t>
      </w:r>
      <w:r w:rsidR="007326EF">
        <w:t xml:space="preserve"> de l’une des gendarmeries, le </w:t>
      </w:r>
      <w:r w:rsidR="002B748E">
        <w:t>Sous-Comité</w:t>
      </w:r>
      <w:r w:rsidR="007326EF">
        <w:t xml:space="preserve"> a constaté</w:t>
      </w:r>
      <w:r w:rsidR="008526ED" w:rsidRPr="008526ED">
        <w:t xml:space="preserve"> que les personnes gardées à vue étaient nues, mesure présentée comme destinée à les protéger des risques suicidaires. Le </w:t>
      </w:r>
      <w:r w:rsidR="002B748E">
        <w:t>Sous-Comité</w:t>
      </w:r>
      <w:r w:rsidR="008526ED" w:rsidRPr="008526ED">
        <w:t xml:space="preserve"> souligne que ce traitement est contraire au principe du respect de la dignité humaine. </w:t>
      </w:r>
    </w:p>
    <w:p w:rsidR="008526ED" w:rsidRPr="008526ED" w:rsidRDefault="005334DB" w:rsidP="00C4716E">
      <w:pPr>
        <w:pStyle w:val="SingleTxtG"/>
        <w:rPr>
          <w:b/>
        </w:rPr>
      </w:pPr>
      <w:r w:rsidRPr="000F5D67">
        <w:rPr>
          <w:bCs/>
        </w:rPr>
        <w:t>18.</w:t>
      </w:r>
      <w:r w:rsidRPr="000F5D67">
        <w:rPr>
          <w:bCs/>
        </w:rPr>
        <w:tab/>
      </w:r>
      <w:r w:rsidR="008526ED" w:rsidRPr="008526ED">
        <w:rPr>
          <w:b/>
        </w:rPr>
        <w:t xml:space="preserve">Le </w:t>
      </w:r>
      <w:r w:rsidR="002B748E" w:rsidRPr="00C9720C">
        <w:rPr>
          <w:b/>
          <w:bCs/>
        </w:rPr>
        <w:t>Sous-Comité</w:t>
      </w:r>
      <w:r w:rsidR="008526ED" w:rsidRPr="008526ED">
        <w:rPr>
          <w:b/>
        </w:rPr>
        <w:t xml:space="preserve"> recommande que le personnel de police et les agents pénitentiaires reçoivent périodiquement des instructions claires et catégoriques rappelant </w:t>
      </w:r>
      <w:r w:rsidR="007962FC">
        <w:rPr>
          <w:b/>
        </w:rPr>
        <w:t xml:space="preserve">que </w:t>
      </w:r>
      <w:r w:rsidR="008526ED" w:rsidRPr="008526ED">
        <w:rPr>
          <w:b/>
        </w:rPr>
        <w:t xml:space="preserve">l’interdiction de toute forme de torture et de mauvais traitements </w:t>
      </w:r>
      <w:r w:rsidR="007962FC">
        <w:rPr>
          <w:b/>
        </w:rPr>
        <w:t xml:space="preserve">est </w:t>
      </w:r>
      <w:r w:rsidR="007962FC" w:rsidRPr="008526ED">
        <w:rPr>
          <w:b/>
        </w:rPr>
        <w:t xml:space="preserve">absolue et impérative </w:t>
      </w:r>
      <w:r w:rsidR="008526ED" w:rsidRPr="008526ED">
        <w:rPr>
          <w:b/>
        </w:rPr>
        <w:t xml:space="preserve">et qu’il </w:t>
      </w:r>
      <w:r w:rsidR="007962FC">
        <w:rPr>
          <w:b/>
        </w:rPr>
        <w:t>doit être</w:t>
      </w:r>
      <w:r w:rsidR="008526ED" w:rsidRPr="008526ED">
        <w:rPr>
          <w:b/>
        </w:rPr>
        <w:t xml:space="preserve"> procédé</w:t>
      </w:r>
      <w:r w:rsidR="007326EF">
        <w:rPr>
          <w:b/>
        </w:rPr>
        <w:t xml:space="preserve"> systématiquement et</w:t>
      </w:r>
      <w:r w:rsidR="008526ED" w:rsidRPr="008526ED">
        <w:rPr>
          <w:b/>
        </w:rPr>
        <w:t xml:space="preserve"> sans délai à une enquête impartiale chaque fois qu’il existe des motifs raisonnables de croire que des tortures ou mauvais traitements ont été commis. </w:t>
      </w:r>
      <w:r w:rsidR="00D02BD8">
        <w:rPr>
          <w:b/>
        </w:rPr>
        <w:t xml:space="preserve">Le </w:t>
      </w:r>
      <w:r w:rsidR="00404BB3">
        <w:rPr>
          <w:b/>
        </w:rPr>
        <w:t xml:space="preserve">Code </w:t>
      </w:r>
      <w:r w:rsidR="00D02BD8">
        <w:rPr>
          <w:b/>
        </w:rPr>
        <w:t xml:space="preserve">de procédure </w:t>
      </w:r>
      <w:r w:rsidR="00BE60E7">
        <w:rPr>
          <w:b/>
        </w:rPr>
        <w:t xml:space="preserve">pénale </w:t>
      </w:r>
      <w:r w:rsidR="00D02BD8">
        <w:rPr>
          <w:b/>
        </w:rPr>
        <w:t xml:space="preserve">doit rendre </w:t>
      </w:r>
      <w:r w:rsidR="00DB126E">
        <w:rPr>
          <w:b/>
        </w:rPr>
        <w:t>i</w:t>
      </w:r>
      <w:r w:rsidR="00FF0E90">
        <w:rPr>
          <w:b/>
        </w:rPr>
        <w:t>rreceva</w:t>
      </w:r>
      <w:r w:rsidR="00DB126E">
        <w:rPr>
          <w:b/>
        </w:rPr>
        <w:t>ble</w:t>
      </w:r>
      <w:r w:rsidR="00BE60E7">
        <w:rPr>
          <w:b/>
        </w:rPr>
        <w:t>s</w:t>
      </w:r>
      <w:r w:rsidR="00DB126E">
        <w:rPr>
          <w:b/>
        </w:rPr>
        <w:t xml:space="preserve"> </w:t>
      </w:r>
      <w:r w:rsidR="00D85C55" w:rsidRPr="007B13C0">
        <w:rPr>
          <w:b/>
        </w:rPr>
        <w:t>l</w:t>
      </w:r>
      <w:r w:rsidR="008526ED" w:rsidRPr="007B13C0">
        <w:rPr>
          <w:b/>
        </w:rPr>
        <w:t>es déclarations</w:t>
      </w:r>
      <w:r w:rsidR="008526ED" w:rsidRPr="008526ED">
        <w:rPr>
          <w:b/>
        </w:rPr>
        <w:t xml:space="preserve"> obtenues </w:t>
      </w:r>
      <w:r w:rsidR="007326EF">
        <w:rPr>
          <w:b/>
        </w:rPr>
        <w:t>sous</w:t>
      </w:r>
      <w:r w:rsidR="007326EF" w:rsidRPr="008526ED">
        <w:rPr>
          <w:b/>
        </w:rPr>
        <w:t xml:space="preserve"> </w:t>
      </w:r>
      <w:r w:rsidR="008526ED" w:rsidRPr="008526ED">
        <w:rPr>
          <w:b/>
        </w:rPr>
        <w:t>la tort</w:t>
      </w:r>
      <w:r w:rsidR="007B13C0">
        <w:rPr>
          <w:b/>
        </w:rPr>
        <w:t>ure,</w:t>
      </w:r>
      <w:r w:rsidR="00DB126E">
        <w:rPr>
          <w:b/>
        </w:rPr>
        <w:t xml:space="preserve"> </w:t>
      </w:r>
      <w:r w:rsidR="007B13C0">
        <w:rPr>
          <w:b/>
        </w:rPr>
        <w:t>et contraindre</w:t>
      </w:r>
      <w:r w:rsidR="00DB126E">
        <w:rPr>
          <w:b/>
        </w:rPr>
        <w:t xml:space="preserve"> les </w:t>
      </w:r>
      <w:r w:rsidR="00DB126E">
        <w:rPr>
          <w:b/>
        </w:rPr>
        <w:lastRenderedPageBreak/>
        <w:t>magistrats</w:t>
      </w:r>
      <w:r w:rsidR="008526ED" w:rsidRPr="008526ED">
        <w:rPr>
          <w:b/>
        </w:rPr>
        <w:t xml:space="preserve"> </w:t>
      </w:r>
      <w:r w:rsidR="00D85C55">
        <w:rPr>
          <w:b/>
        </w:rPr>
        <w:t xml:space="preserve">à </w:t>
      </w:r>
      <w:r w:rsidR="008526ED" w:rsidRPr="008526ED">
        <w:rPr>
          <w:b/>
        </w:rPr>
        <w:t xml:space="preserve">ouvrir une enquête chaque fois que </w:t>
      </w:r>
      <w:r w:rsidR="00D85C55">
        <w:rPr>
          <w:b/>
        </w:rPr>
        <w:t>d</w:t>
      </w:r>
      <w:r w:rsidR="008526ED" w:rsidRPr="008526ED">
        <w:rPr>
          <w:b/>
        </w:rPr>
        <w:t>es allégations sont portées à leur connaissance</w:t>
      </w:r>
      <w:r w:rsidR="009A16F7">
        <w:rPr>
          <w:b/>
        </w:rPr>
        <w:t xml:space="preserve"> et </w:t>
      </w:r>
      <w:r w:rsidR="00D85C55">
        <w:rPr>
          <w:b/>
        </w:rPr>
        <w:t>à poursuivre</w:t>
      </w:r>
      <w:r w:rsidR="009A16F7">
        <w:rPr>
          <w:b/>
        </w:rPr>
        <w:t xml:space="preserve"> les auteurs de torture ou </w:t>
      </w:r>
      <w:r w:rsidR="00BE60E7">
        <w:rPr>
          <w:b/>
        </w:rPr>
        <w:t xml:space="preserve">de </w:t>
      </w:r>
      <w:r w:rsidR="009A16F7">
        <w:rPr>
          <w:b/>
        </w:rPr>
        <w:t>mauvais traitements</w:t>
      </w:r>
      <w:r w:rsidR="008526ED" w:rsidRPr="008526ED">
        <w:rPr>
          <w:b/>
        </w:rPr>
        <w:t xml:space="preserve">. </w:t>
      </w:r>
    </w:p>
    <w:p w:rsidR="005334DB" w:rsidRPr="004B1E89" w:rsidRDefault="005334DB" w:rsidP="004B1E89">
      <w:pPr>
        <w:pStyle w:val="H23G"/>
      </w:pPr>
      <w:r w:rsidRPr="004B1E89">
        <w:tab/>
        <w:t>2.</w:t>
      </w:r>
      <w:r w:rsidRPr="004B1E89">
        <w:tab/>
        <w:t>Prisons</w:t>
      </w:r>
    </w:p>
    <w:p w:rsidR="005334DB" w:rsidRPr="005334DB" w:rsidRDefault="005334DB" w:rsidP="00B863DB">
      <w:pPr>
        <w:pStyle w:val="SingleTxtG"/>
      </w:pPr>
      <w:r>
        <w:t>19.</w:t>
      </w:r>
      <w:r>
        <w:tab/>
      </w:r>
      <w:r w:rsidRPr="005334DB">
        <w:t xml:space="preserve">En ce qui concerne les prisons, le </w:t>
      </w:r>
      <w:r w:rsidR="002B748E">
        <w:t>Sous-Comité</w:t>
      </w:r>
      <w:r w:rsidRPr="005334DB">
        <w:t xml:space="preserve"> a reçu des allégations de mauvais traitements résult</w:t>
      </w:r>
      <w:r w:rsidR="007B13C0">
        <w:t>a</w:t>
      </w:r>
      <w:r w:rsidRPr="005334DB">
        <w:t xml:space="preserve">nt le plus souvent de mesures disciplinaires appliquées par d’autres détenus faisant partie de l’administration interne et généralement infligés comme punition pour </w:t>
      </w:r>
      <w:r w:rsidR="004F676F">
        <w:t xml:space="preserve">des </w:t>
      </w:r>
      <w:r w:rsidRPr="005334DB">
        <w:t>vols, bagarres</w:t>
      </w:r>
      <w:r w:rsidR="004F676F">
        <w:t xml:space="preserve"> ou</w:t>
      </w:r>
      <w:r w:rsidR="004F676F" w:rsidRPr="005334DB">
        <w:t xml:space="preserve"> </w:t>
      </w:r>
      <w:r w:rsidRPr="005334DB">
        <w:t>tentatives d’évasion</w:t>
      </w:r>
      <w:r w:rsidR="007326EF">
        <w:t>,</w:t>
      </w:r>
      <w:r w:rsidRPr="005334DB">
        <w:t xml:space="preserve"> </w:t>
      </w:r>
      <w:r w:rsidR="004F676F">
        <w:t>par exemple</w:t>
      </w:r>
      <w:r w:rsidRPr="005334DB">
        <w:t xml:space="preserve">. </w:t>
      </w:r>
      <w:r w:rsidR="00E86574">
        <w:t>Ces punitions</w:t>
      </w:r>
      <w:r w:rsidR="00E86574" w:rsidRPr="005334DB">
        <w:t xml:space="preserve"> </w:t>
      </w:r>
      <w:r w:rsidRPr="005334DB">
        <w:t>prennent des formes diverses</w:t>
      </w:r>
      <w:r w:rsidR="007B13C0">
        <w:t>, telles que</w:t>
      </w:r>
      <w:r w:rsidR="002B748E">
        <w:t xml:space="preserve"> </w:t>
      </w:r>
      <w:r w:rsidRPr="005334DB">
        <w:t xml:space="preserve">l’isolement de la personne </w:t>
      </w:r>
      <w:r w:rsidR="006E34FA">
        <w:t>au « </w:t>
      </w:r>
      <w:r w:rsidRPr="005334DB">
        <w:t>cachot</w:t>
      </w:r>
      <w:r w:rsidR="006E34FA">
        <w:t> »</w:t>
      </w:r>
      <w:r w:rsidRPr="005334DB">
        <w:t xml:space="preserve"> sans accès aux commodités, parfois pendant plusieurs jours</w:t>
      </w:r>
      <w:r w:rsidR="00E86574">
        <w:t>,</w:t>
      </w:r>
      <w:r w:rsidRPr="005334DB">
        <w:t xml:space="preserve"> des tabassages </w:t>
      </w:r>
      <w:r w:rsidR="00E86574">
        <w:t>ou un</w:t>
      </w:r>
      <w:r w:rsidR="00E86574" w:rsidRPr="005334DB">
        <w:t xml:space="preserve"> </w:t>
      </w:r>
      <w:r w:rsidRPr="005334DB">
        <w:t xml:space="preserve">isolement prolongé. </w:t>
      </w:r>
    </w:p>
    <w:p w:rsidR="005334DB" w:rsidRPr="005334DB" w:rsidRDefault="005334DB" w:rsidP="00C4716E">
      <w:pPr>
        <w:pStyle w:val="SingleTxtG"/>
        <w:rPr>
          <w:b/>
        </w:rPr>
      </w:pPr>
      <w:r w:rsidRPr="000F5D67">
        <w:rPr>
          <w:bCs/>
        </w:rPr>
        <w:t>20.</w:t>
      </w:r>
      <w:r w:rsidRPr="000F5D67">
        <w:rPr>
          <w:bCs/>
        </w:rPr>
        <w:tab/>
      </w:r>
      <w:r w:rsidRPr="005334DB">
        <w:rPr>
          <w:b/>
        </w:rPr>
        <w:t xml:space="preserve">Le </w:t>
      </w:r>
      <w:r w:rsidR="002B748E" w:rsidRPr="00C9720C">
        <w:rPr>
          <w:b/>
          <w:bCs/>
        </w:rPr>
        <w:t>Sous-Comité</w:t>
      </w:r>
      <w:r w:rsidRPr="005334DB">
        <w:rPr>
          <w:b/>
        </w:rPr>
        <w:t xml:space="preserve"> recommande </w:t>
      </w:r>
      <w:r w:rsidR="007326EF">
        <w:rPr>
          <w:b/>
        </w:rPr>
        <w:t xml:space="preserve">à </w:t>
      </w:r>
      <w:r w:rsidRPr="005334DB">
        <w:rPr>
          <w:b/>
        </w:rPr>
        <w:t>l’</w:t>
      </w:r>
      <w:r w:rsidR="00B36B0D">
        <w:rPr>
          <w:b/>
        </w:rPr>
        <w:t>État</w:t>
      </w:r>
      <w:r w:rsidRPr="005334DB">
        <w:rPr>
          <w:b/>
        </w:rPr>
        <w:t xml:space="preserve"> partie </w:t>
      </w:r>
      <w:r w:rsidR="00D7535D">
        <w:rPr>
          <w:b/>
        </w:rPr>
        <w:t>d’instaurer</w:t>
      </w:r>
      <w:r w:rsidRPr="005334DB">
        <w:rPr>
          <w:b/>
        </w:rPr>
        <w:t xml:space="preserve"> un mécanisme </w:t>
      </w:r>
      <w:r w:rsidR="00D7535D">
        <w:rPr>
          <w:b/>
        </w:rPr>
        <w:t xml:space="preserve">permettant à toute personne détenue de porter plainte pour torture ou mauvais traitement et d’inclure l’inspection de ces plaintes dans les mécanismes de visite instaurés. Le </w:t>
      </w:r>
      <w:r w:rsidR="002B748E" w:rsidRPr="00C9720C">
        <w:rPr>
          <w:b/>
          <w:bCs/>
        </w:rPr>
        <w:t>Sous-Comité</w:t>
      </w:r>
      <w:r w:rsidR="00D7535D">
        <w:rPr>
          <w:b/>
        </w:rPr>
        <w:t xml:space="preserve"> recommande également que le mécanisme mis en place </w:t>
      </w:r>
      <w:r w:rsidR="000C4465">
        <w:rPr>
          <w:b/>
        </w:rPr>
        <w:t xml:space="preserve">prévoit une enquête </w:t>
      </w:r>
      <w:r w:rsidR="00D7535D">
        <w:rPr>
          <w:b/>
        </w:rPr>
        <w:t xml:space="preserve">indépendante et impartiale </w:t>
      </w:r>
      <w:r w:rsidR="000C4465">
        <w:rPr>
          <w:b/>
        </w:rPr>
        <w:t xml:space="preserve">pour </w:t>
      </w:r>
      <w:r w:rsidR="00D7535D">
        <w:rPr>
          <w:b/>
        </w:rPr>
        <w:t>toute</w:t>
      </w:r>
      <w:r w:rsidR="0076045C">
        <w:rPr>
          <w:b/>
        </w:rPr>
        <w:t>s</w:t>
      </w:r>
      <w:r w:rsidR="00D7535D">
        <w:rPr>
          <w:b/>
        </w:rPr>
        <w:t xml:space="preserve"> </w:t>
      </w:r>
      <w:r w:rsidR="0076045C">
        <w:rPr>
          <w:b/>
        </w:rPr>
        <w:t>ces plaintes</w:t>
      </w:r>
      <w:r w:rsidR="003D0743">
        <w:rPr>
          <w:b/>
        </w:rPr>
        <w:t xml:space="preserve"> dans un délai raisonnable</w:t>
      </w:r>
      <w:r w:rsidRPr="005334DB">
        <w:rPr>
          <w:b/>
        </w:rPr>
        <w:t xml:space="preserve">, conformément aux articles 12 et 13 de la Convention contre la </w:t>
      </w:r>
      <w:r w:rsidR="002B748E">
        <w:rPr>
          <w:b/>
        </w:rPr>
        <w:t>t</w:t>
      </w:r>
      <w:r w:rsidR="002B748E" w:rsidRPr="005334DB">
        <w:rPr>
          <w:b/>
        </w:rPr>
        <w:t>orture</w:t>
      </w:r>
      <w:r w:rsidRPr="005334DB">
        <w:rPr>
          <w:b/>
        </w:rPr>
        <w:t>.</w:t>
      </w:r>
      <w:r w:rsidR="00D7535D" w:rsidRPr="005334DB">
        <w:rPr>
          <w:b/>
        </w:rPr>
        <w:t xml:space="preserve"> </w:t>
      </w:r>
    </w:p>
    <w:p w:rsidR="005334DB" w:rsidRPr="005334DB" w:rsidRDefault="005334DB" w:rsidP="005334DB">
      <w:pPr>
        <w:pStyle w:val="H1G"/>
      </w:pPr>
      <w:r>
        <w:tab/>
        <w:t>B.</w:t>
      </w:r>
      <w:r w:rsidRPr="005334DB">
        <w:tab/>
        <w:t>Conditions de détention</w:t>
      </w:r>
    </w:p>
    <w:p w:rsidR="005334DB" w:rsidRPr="005334DB" w:rsidRDefault="005334DB" w:rsidP="005334DB">
      <w:pPr>
        <w:pStyle w:val="H23G"/>
      </w:pPr>
      <w:r>
        <w:tab/>
        <w:t>1.</w:t>
      </w:r>
      <w:r>
        <w:tab/>
      </w:r>
      <w:r w:rsidRPr="005334DB">
        <w:t>Dans les prisons</w:t>
      </w:r>
    </w:p>
    <w:p w:rsidR="005334DB" w:rsidRPr="005334DB" w:rsidRDefault="005334DB" w:rsidP="00C4716E">
      <w:pPr>
        <w:pStyle w:val="SingleTxtG"/>
      </w:pPr>
      <w:r>
        <w:t>21.</w:t>
      </w:r>
      <w:r>
        <w:tab/>
      </w:r>
      <w:r w:rsidRPr="005334DB">
        <w:t>Les visites réalisées ont permis à la délégation de constater que les conditions de détention dans les prisons, connues de toutes les autorités compétentes</w:t>
      </w:r>
      <w:r w:rsidR="006044E2">
        <w:t>, notamment</w:t>
      </w:r>
      <w:r w:rsidRPr="005334DB">
        <w:t xml:space="preserve"> </w:t>
      </w:r>
      <w:r w:rsidR="005C3E62">
        <w:t>depuis le</w:t>
      </w:r>
      <w:r w:rsidR="005C3E62" w:rsidRPr="005334DB">
        <w:t xml:space="preserve"> </w:t>
      </w:r>
      <w:r w:rsidRPr="005334DB">
        <w:t xml:space="preserve">rapport présenté en 2007 par le Rapporteur </w:t>
      </w:r>
      <w:r w:rsidR="002B748E">
        <w:t>s</w:t>
      </w:r>
      <w:r w:rsidR="002B748E" w:rsidRPr="005334DB">
        <w:t xml:space="preserve">pécial </w:t>
      </w:r>
      <w:r w:rsidRPr="005334DB">
        <w:t xml:space="preserve">sur la </w:t>
      </w:r>
      <w:r w:rsidR="002B748E">
        <w:t>t</w:t>
      </w:r>
      <w:r w:rsidR="002B748E" w:rsidRPr="005334DB">
        <w:t>orture</w:t>
      </w:r>
      <w:r w:rsidR="00FD008C">
        <w:t xml:space="preserve"> et autres peines ou traitements cruels, inhumains ou dégradants (</w:t>
      </w:r>
      <w:r w:rsidR="00FD008C" w:rsidRPr="00777485">
        <w:t>A/HRC/7/3/Add</w:t>
      </w:r>
      <w:r w:rsidR="00FD008C">
        <w:t>.5)</w:t>
      </w:r>
      <w:r w:rsidRPr="005334DB">
        <w:t>, restent les mêmes. Le</w:t>
      </w:r>
      <w:r w:rsidR="005E44F2">
        <w:t> </w:t>
      </w:r>
      <w:r w:rsidR="002B748E">
        <w:t>Sous-Comité</w:t>
      </w:r>
      <w:r w:rsidRPr="005334DB">
        <w:t xml:space="preserve"> considère que ces conditions correspondent à un traitement inhumain et dégradant, certaines pouvant </w:t>
      </w:r>
      <w:r w:rsidR="006044E2">
        <w:t xml:space="preserve">même </w:t>
      </w:r>
      <w:r w:rsidRPr="005334DB">
        <w:t xml:space="preserve">être assimilées à un acte de torture dans la mesure où les autorités compétentes en sont pleinement informées. </w:t>
      </w:r>
    </w:p>
    <w:p w:rsidR="005334DB" w:rsidRPr="005334DB" w:rsidRDefault="005334DB">
      <w:pPr>
        <w:pStyle w:val="SingleTxtG"/>
      </w:pPr>
      <w:r>
        <w:t>22.</w:t>
      </w:r>
      <w:r>
        <w:tab/>
      </w:r>
      <w:r w:rsidRPr="005334DB">
        <w:t xml:space="preserve">Dans tous les établissements visités, la délégation a constaté </w:t>
      </w:r>
      <w:r w:rsidR="005C3E62">
        <w:t>d</w:t>
      </w:r>
      <w:r w:rsidRPr="005334DB">
        <w:t xml:space="preserve">es conditions de détention déplorables. Les établissements, vétustes, datent de l’ère coloniale. Ils </w:t>
      </w:r>
      <w:r w:rsidR="005C3E62">
        <w:t>sont</w:t>
      </w:r>
      <w:r w:rsidR="005C3E62" w:rsidRPr="005334DB">
        <w:t xml:space="preserve"> </w:t>
      </w:r>
      <w:r w:rsidRPr="005334DB">
        <w:t xml:space="preserve">mal entretenus et totalement inadéquats pour servir de lieux de privation de liberté. Les cellules </w:t>
      </w:r>
      <w:r w:rsidR="007A78E1">
        <w:t>s</w:t>
      </w:r>
      <w:r w:rsidR="005C3E62">
        <w:t>ont</w:t>
      </w:r>
      <w:r w:rsidRPr="005334DB">
        <w:t>, dans la plupart des cas, très peu ventil</w:t>
      </w:r>
      <w:r w:rsidR="007A78E1">
        <w:t>ées</w:t>
      </w:r>
      <w:r w:rsidRPr="005334DB">
        <w:t xml:space="preserve"> et, de ce fait, la température </w:t>
      </w:r>
      <w:r w:rsidR="005C3E62">
        <w:t>peut</w:t>
      </w:r>
      <w:r w:rsidR="005C3E62" w:rsidRPr="005334DB">
        <w:t xml:space="preserve"> </w:t>
      </w:r>
      <w:r w:rsidRPr="005334DB">
        <w:t>y être extrêmement élevée</w:t>
      </w:r>
      <w:r w:rsidR="005C3E62">
        <w:t>, atteignant plus de 40</w:t>
      </w:r>
      <w:r w:rsidR="002B748E">
        <w:t> °</w:t>
      </w:r>
      <w:r w:rsidR="005C3E62">
        <w:t>C dans certains cas</w:t>
      </w:r>
      <w:r w:rsidRPr="005334DB">
        <w:t xml:space="preserve">. L’éclairage des cellules </w:t>
      </w:r>
      <w:r w:rsidR="007A78E1">
        <w:t>est</w:t>
      </w:r>
      <w:r w:rsidR="007A78E1" w:rsidRPr="005334DB">
        <w:t xml:space="preserve"> </w:t>
      </w:r>
      <w:r w:rsidRPr="005334DB">
        <w:t>souvent défaillant, ou même inexistant, comme à Mango où la</w:t>
      </w:r>
      <w:r w:rsidR="00B67DE7">
        <w:t xml:space="preserve"> prison n’a pas d’électricité.</w:t>
      </w:r>
    </w:p>
    <w:p w:rsidR="00B67DE7" w:rsidRDefault="005334DB">
      <w:pPr>
        <w:pStyle w:val="SingleTxtG"/>
      </w:pPr>
      <w:r>
        <w:t>23.</w:t>
      </w:r>
      <w:r>
        <w:tab/>
      </w:r>
      <w:r w:rsidRPr="005334DB">
        <w:t xml:space="preserve">Les installations sanitaires, latrines et douches étaient dans la majorité </w:t>
      </w:r>
      <w:r w:rsidR="00F84710">
        <w:t xml:space="preserve">des cas </w:t>
      </w:r>
      <w:r w:rsidRPr="005334DB">
        <w:t>délabré</w:t>
      </w:r>
      <w:r w:rsidR="005605DA">
        <w:t>e</w:t>
      </w:r>
      <w:r w:rsidRPr="005334DB">
        <w:t xml:space="preserve">s et sales. L’état des cellules dépend de l’initiative des détenus et de leur accès à des produits d’entretien par l’intermédiaire de leurs visiteurs. Aucun produit d’hygiène personnelle </w:t>
      </w:r>
      <w:r w:rsidR="005605DA">
        <w:t>n’est</w:t>
      </w:r>
      <w:r w:rsidR="005605DA" w:rsidRPr="005334DB">
        <w:t xml:space="preserve"> </w:t>
      </w:r>
      <w:r w:rsidRPr="005334DB">
        <w:t xml:space="preserve">distribué aux détenus par l’administration pénitentiaire. Les détenus </w:t>
      </w:r>
      <w:r w:rsidR="005605DA">
        <w:t>doivent</w:t>
      </w:r>
      <w:r w:rsidR="005605DA" w:rsidRPr="005334DB">
        <w:t xml:space="preserve"> </w:t>
      </w:r>
      <w:r w:rsidRPr="005334DB">
        <w:t xml:space="preserve">compter sur leur famille pour s’approvisionner. S’ils ne </w:t>
      </w:r>
      <w:r w:rsidR="005605DA">
        <w:t>reçoivent</w:t>
      </w:r>
      <w:r w:rsidR="005605DA" w:rsidRPr="005334DB">
        <w:t xml:space="preserve"> </w:t>
      </w:r>
      <w:r w:rsidRPr="005334DB">
        <w:t xml:space="preserve">pas de visites, ils </w:t>
      </w:r>
      <w:r w:rsidR="005605DA">
        <w:t>doivent</w:t>
      </w:r>
      <w:r w:rsidR="005605DA" w:rsidRPr="005334DB">
        <w:t xml:space="preserve"> </w:t>
      </w:r>
      <w:r w:rsidRPr="005334DB">
        <w:t>demander de l’aide aux codétenus ou acheter les produits aux chefs de cour.</w:t>
      </w:r>
    </w:p>
    <w:p w:rsidR="00B67DE7" w:rsidRPr="004B1E89" w:rsidRDefault="00B67DE7" w:rsidP="004B1E89">
      <w:pPr>
        <w:pStyle w:val="SingleTxtG"/>
      </w:pPr>
      <w:r w:rsidRPr="004B1E89">
        <w:t>24.</w:t>
      </w:r>
      <w:r w:rsidR="00BC12FC" w:rsidRPr="004B1E89">
        <w:tab/>
      </w:r>
      <w:r w:rsidRPr="004B1E89">
        <w:t>Les prisons n’ont pas de moyen de transport adéquat pour permettre l’extraction judiciaire des détenus chaque fois que cela est nécessaire, même en cas d’urgence, médicale</w:t>
      </w:r>
      <w:r w:rsidR="00BC12FC" w:rsidRPr="004B1E89">
        <w:t xml:space="preserve"> par exemple.</w:t>
      </w:r>
    </w:p>
    <w:p w:rsidR="00BC12FC" w:rsidRPr="004B1E89" w:rsidRDefault="005334DB" w:rsidP="001E4146">
      <w:pPr>
        <w:pStyle w:val="SingleTxtG"/>
      </w:pPr>
      <w:r w:rsidRPr="004B1E89">
        <w:t>2</w:t>
      </w:r>
      <w:r w:rsidR="00BC12FC" w:rsidRPr="004B1E89">
        <w:t>5</w:t>
      </w:r>
      <w:r w:rsidRPr="004B1E89">
        <w:t>.</w:t>
      </w:r>
      <w:r w:rsidRPr="004B1E89">
        <w:tab/>
        <w:t xml:space="preserve">Toutes les prisons </w:t>
      </w:r>
      <w:r w:rsidR="005605DA" w:rsidRPr="004B1E89">
        <w:t xml:space="preserve">ont </w:t>
      </w:r>
      <w:r w:rsidRPr="004B1E89">
        <w:t xml:space="preserve">des cellules disciplinaires, souvent sales, délabrées et rarement en usage. </w:t>
      </w:r>
      <w:r w:rsidR="002B748E">
        <w:t>À</w:t>
      </w:r>
      <w:r w:rsidR="002B748E" w:rsidRPr="004B1E89">
        <w:t xml:space="preserve"> </w:t>
      </w:r>
      <w:proofErr w:type="spellStart"/>
      <w:r w:rsidRPr="004B1E89">
        <w:t>Notsé</w:t>
      </w:r>
      <w:proofErr w:type="spellEnd"/>
      <w:r w:rsidRPr="004B1E89">
        <w:t>, les trois cellules disciplinaires (1,19</w:t>
      </w:r>
      <w:r w:rsidR="002B748E">
        <w:t> </w:t>
      </w:r>
      <w:r w:rsidRPr="004B1E89">
        <w:t xml:space="preserve">m </w:t>
      </w:r>
      <w:r w:rsidR="0081073E">
        <w:t>par</w:t>
      </w:r>
      <w:r w:rsidR="0081073E" w:rsidRPr="004B1E89">
        <w:t xml:space="preserve"> </w:t>
      </w:r>
      <w:r w:rsidRPr="004B1E89">
        <w:t>1,4</w:t>
      </w:r>
      <w:r w:rsidR="005E44F2">
        <w:t> </w:t>
      </w:r>
      <w:r w:rsidRPr="004B1E89">
        <w:t>m) et le couloir qui y mène (0,768</w:t>
      </w:r>
      <w:r w:rsidR="0081073E">
        <w:t> </w:t>
      </w:r>
      <w:r w:rsidRPr="004B1E89">
        <w:t xml:space="preserve">m </w:t>
      </w:r>
      <w:r w:rsidR="0081073E">
        <w:t>par</w:t>
      </w:r>
      <w:r w:rsidR="0081073E" w:rsidRPr="004B1E89">
        <w:t xml:space="preserve"> </w:t>
      </w:r>
      <w:r w:rsidRPr="004B1E89">
        <w:t>2,60</w:t>
      </w:r>
      <w:r w:rsidR="0081073E">
        <w:t> </w:t>
      </w:r>
      <w:r w:rsidRPr="004B1E89">
        <w:t xml:space="preserve">m) </w:t>
      </w:r>
      <w:r w:rsidR="005605DA" w:rsidRPr="004B1E89">
        <w:t xml:space="preserve">sont </w:t>
      </w:r>
      <w:r w:rsidRPr="004B1E89">
        <w:t>occupés comme cellules de détention</w:t>
      </w:r>
      <w:r w:rsidR="00E43B8B">
        <w:t> ; ils</w:t>
      </w:r>
      <w:r w:rsidRPr="004B1E89">
        <w:t xml:space="preserve"> abrita</w:t>
      </w:r>
      <w:r w:rsidR="00E43B8B">
        <w:t>ie</w:t>
      </w:r>
      <w:r w:rsidRPr="004B1E89">
        <w:t>nt 13</w:t>
      </w:r>
      <w:r w:rsidR="005E44F2">
        <w:t> </w:t>
      </w:r>
      <w:r w:rsidRPr="004B1E89">
        <w:t xml:space="preserve">personnes le jour de la visite. </w:t>
      </w:r>
    </w:p>
    <w:p w:rsidR="005334DB" w:rsidRPr="004B1E89" w:rsidRDefault="00BC12FC" w:rsidP="004B1E89">
      <w:pPr>
        <w:pStyle w:val="SingleTxtG"/>
      </w:pPr>
      <w:r w:rsidRPr="004B1E89">
        <w:t>26</w:t>
      </w:r>
      <w:r w:rsidR="005334DB" w:rsidRPr="004B1E89">
        <w:t>.</w:t>
      </w:r>
      <w:r w:rsidR="005334DB" w:rsidRPr="004B1E89">
        <w:tab/>
        <w:t xml:space="preserve">En ce qui concerne l’alimentation, l’administration pénitentiaire </w:t>
      </w:r>
      <w:r w:rsidR="005605DA" w:rsidRPr="004B1E89">
        <w:t xml:space="preserve">sert </w:t>
      </w:r>
      <w:r w:rsidR="005334DB" w:rsidRPr="004B1E89">
        <w:t>un repas par jour aux détenus, toujours composé de p</w:t>
      </w:r>
      <w:r w:rsidR="00674A6E">
        <w:t>â</w:t>
      </w:r>
      <w:r w:rsidR="005334DB" w:rsidRPr="004B1E89">
        <w:t xml:space="preserve">te de maïs ou de haricots secs avec de la sauce. Pour avoir davantage, les détenus </w:t>
      </w:r>
      <w:r w:rsidR="005605DA" w:rsidRPr="004B1E89">
        <w:t xml:space="preserve">doivent </w:t>
      </w:r>
      <w:r w:rsidR="005334DB" w:rsidRPr="004B1E89">
        <w:t>compter sur leurs familles. La situation des personnes défavorisées, souvent appelé</w:t>
      </w:r>
      <w:r w:rsidR="006A2E56">
        <w:t>e</w:t>
      </w:r>
      <w:r w:rsidR="005334DB" w:rsidRPr="004B1E89">
        <w:t>s les «</w:t>
      </w:r>
      <w:r w:rsidR="002B748E">
        <w:t> </w:t>
      </w:r>
      <w:r w:rsidR="005334DB" w:rsidRPr="004B1E89">
        <w:t>sans</w:t>
      </w:r>
      <w:r w:rsidR="006A2E56">
        <w:t>-</w:t>
      </w:r>
      <w:r w:rsidR="005334DB" w:rsidRPr="004B1E89">
        <w:t>visites</w:t>
      </w:r>
      <w:r w:rsidR="002B748E">
        <w:t> </w:t>
      </w:r>
      <w:r w:rsidR="005334DB" w:rsidRPr="004B1E89">
        <w:t>», est particulièrement préoccupante</w:t>
      </w:r>
      <w:r w:rsidRPr="004B1E89">
        <w:t>.</w:t>
      </w:r>
    </w:p>
    <w:p w:rsidR="00BC12FC" w:rsidRPr="005334DB" w:rsidRDefault="00E569CE" w:rsidP="00C4716E">
      <w:pPr>
        <w:pStyle w:val="SingleTxtG"/>
        <w:ind w:left="1122"/>
        <w:rPr>
          <w:b/>
        </w:rPr>
      </w:pPr>
      <w:r w:rsidRPr="000F5D67">
        <w:rPr>
          <w:bCs/>
        </w:rPr>
        <w:t>27</w:t>
      </w:r>
      <w:r w:rsidR="005334DB" w:rsidRPr="000F5D67">
        <w:rPr>
          <w:bCs/>
        </w:rPr>
        <w:t>.</w:t>
      </w:r>
      <w:r w:rsidR="005334DB" w:rsidRPr="000F5D67">
        <w:rPr>
          <w:bCs/>
        </w:rPr>
        <w:tab/>
      </w:r>
      <w:r w:rsidR="00BC12FC" w:rsidRPr="005334DB">
        <w:rPr>
          <w:b/>
        </w:rPr>
        <w:t xml:space="preserve">Le </w:t>
      </w:r>
      <w:r w:rsidR="00934DDB" w:rsidRPr="00C9720C">
        <w:rPr>
          <w:b/>
          <w:bCs/>
        </w:rPr>
        <w:t>Sous-Comité</w:t>
      </w:r>
      <w:r w:rsidR="00BC12FC" w:rsidRPr="005334DB">
        <w:rPr>
          <w:b/>
        </w:rPr>
        <w:t xml:space="preserve"> réitère les recommandations formulées par le Comité contre la </w:t>
      </w:r>
      <w:r w:rsidR="00934DDB">
        <w:rPr>
          <w:b/>
        </w:rPr>
        <w:t>t</w:t>
      </w:r>
      <w:r w:rsidR="00934DDB" w:rsidRPr="005334DB">
        <w:rPr>
          <w:b/>
        </w:rPr>
        <w:t xml:space="preserve">orture </w:t>
      </w:r>
      <w:r w:rsidR="00BC12FC" w:rsidRPr="005334DB">
        <w:rPr>
          <w:b/>
        </w:rPr>
        <w:t xml:space="preserve">en 2012 </w:t>
      </w:r>
      <w:r w:rsidR="000450E6">
        <w:rPr>
          <w:b/>
        </w:rPr>
        <w:t xml:space="preserve">(CAT/C/TGO/CO/2) </w:t>
      </w:r>
      <w:r w:rsidR="00BC12FC" w:rsidRPr="005334DB">
        <w:rPr>
          <w:b/>
        </w:rPr>
        <w:t xml:space="preserve">et par le Rapporteur </w:t>
      </w:r>
      <w:r w:rsidR="00934DDB">
        <w:rPr>
          <w:b/>
        </w:rPr>
        <w:t>s</w:t>
      </w:r>
      <w:r w:rsidR="00934DDB" w:rsidRPr="005334DB">
        <w:rPr>
          <w:b/>
        </w:rPr>
        <w:t xml:space="preserve">pécial </w:t>
      </w:r>
      <w:r w:rsidR="00BC12FC" w:rsidRPr="005334DB">
        <w:rPr>
          <w:b/>
        </w:rPr>
        <w:t xml:space="preserve">en 2007 </w:t>
      </w:r>
      <w:r w:rsidR="0020280A">
        <w:rPr>
          <w:b/>
        </w:rPr>
        <w:t xml:space="preserve">(A/HRC/7/3/Add.5) </w:t>
      </w:r>
      <w:r w:rsidR="00BC12FC" w:rsidRPr="005334DB">
        <w:rPr>
          <w:b/>
        </w:rPr>
        <w:t>et invite l’</w:t>
      </w:r>
      <w:r w:rsidR="00B36B0D">
        <w:rPr>
          <w:b/>
        </w:rPr>
        <w:t>État</w:t>
      </w:r>
      <w:r w:rsidR="00BC12FC" w:rsidRPr="005334DB">
        <w:rPr>
          <w:b/>
        </w:rPr>
        <w:t xml:space="preserve"> partie à les mettre en œuvre. En ce sens, </w:t>
      </w:r>
      <w:r w:rsidR="00BC12FC">
        <w:rPr>
          <w:b/>
        </w:rPr>
        <w:t xml:space="preserve">même si le </w:t>
      </w:r>
      <w:r w:rsidR="00934DDB" w:rsidRPr="00C9720C">
        <w:rPr>
          <w:b/>
          <w:bCs/>
        </w:rPr>
        <w:lastRenderedPageBreak/>
        <w:t>Sous-Comité</w:t>
      </w:r>
      <w:r w:rsidR="00BC12FC">
        <w:rPr>
          <w:b/>
        </w:rPr>
        <w:t xml:space="preserve"> recommande de finaliser la construction du nouvel établissement qui était en cours au moment de sa visite, </w:t>
      </w:r>
      <w:r w:rsidR="006F4303">
        <w:rPr>
          <w:b/>
        </w:rPr>
        <w:t>il</w:t>
      </w:r>
      <w:r w:rsidR="00BC12FC" w:rsidRPr="005334DB">
        <w:rPr>
          <w:b/>
        </w:rPr>
        <w:t xml:space="preserve"> invite</w:t>
      </w:r>
      <w:r w:rsidR="00BC12FC">
        <w:rPr>
          <w:b/>
        </w:rPr>
        <w:t xml:space="preserve"> </w:t>
      </w:r>
      <w:r w:rsidR="00BC12FC" w:rsidRPr="005334DB">
        <w:rPr>
          <w:b/>
        </w:rPr>
        <w:t>l’</w:t>
      </w:r>
      <w:r w:rsidR="00B36B0D">
        <w:rPr>
          <w:b/>
        </w:rPr>
        <w:t>État</w:t>
      </w:r>
      <w:r w:rsidR="00BC12FC" w:rsidRPr="005334DB">
        <w:rPr>
          <w:b/>
        </w:rPr>
        <w:t xml:space="preserve"> partie à </w:t>
      </w:r>
      <w:r w:rsidR="00BC12FC">
        <w:rPr>
          <w:b/>
        </w:rPr>
        <w:t>prendre des</w:t>
      </w:r>
      <w:r w:rsidR="00BC12FC" w:rsidRPr="005334DB">
        <w:rPr>
          <w:b/>
        </w:rPr>
        <w:t xml:space="preserve"> mesures immédiates </w:t>
      </w:r>
      <w:r w:rsidR="00BC12FC">
        <w:rPr>
          <w:b/>
        </w:rPr>
        <w:t xml:space="preserve">pour </w:t>
      </w:r>
      <w:r w:rsidR="00AE5D56">
        <w:rPr>
          <w:b/>
        </w:rPr>
        <w:t>s</w:t>
      </w:r>
      <w:r w:rsidR="00AE5D56" w:rsidRPr="00AE5D56">
        <w:rPr>
          <w:b/>
        </w:rPr>
        <w:t>’</w:t>
      </w:r>
      <w:r w:rsidR="00BC12FC">
        <w:rPr>
          <w:b/>
        </w:rPr>
        <w:t>assurer que</w:t>
      </w:r>
      <w:r w:rsidR="00BC12FC" w:rsidRPr="005334DB">
        <w:rPr>
          <w:b/>
        </w:rPr>
        <w:t xml:space="preserve"> les conditions de vie de toutes les personnes privées de liberté </w:t>
      </w:r>
      <w:r w:rsidR="00BC12FC">
        <w:rPr>
          <w:b/>
        </w:rPr>
        <w:t xml:space="preserve">sont mises </w:t>
      </w:r>
      <w:r w:rsidR="00BC12FC" w:rsidRPr="005334DB">
        <w:rPr>
          <w:b/>
        </w:rPr>
        <w:t xml:space="preserve">en conformité avec les </w:t>
      </w:r>
      <w:r w:rsidR="00231C49">
        <w:rPr>
          <w:b/>
        </w:rPr>
        <w:t>normes</w:t>
      </w:r>
      <w:r w:rsidR="00231C49" w:rsidRPr="005334DB">
        <w:rPr>
          <w:b/>
        </w:rPr>
        <w:t xml:space="preserve"> internationa</w:t>
      </w:r>
      <w:r w:rsidR="00231C49">
        <w:rPr>
          <w:b/>
        </w:rPr>
        <w:t>les</w:t>
      </w:r>
      <w:r w:rsidR="00BC12FC" w:rsidRPr="005334DB">
        <w:rPr>
          <w:b/>
        </w:rPr>
        <w:t>, tel</w:t>
      </w:r>
      <w:r w:rsidR="00231C49">
        <w:rPr>
          <w:b/>
        </w:rPr>
        <w:t>le</w:t>
      </w:r>
      <w:r w:rsidR="00BC12FC" w:rsidRPr="005334DB">
        <w:rPr>
          <w:b/>
        </w:rPr>
        <w:t>s que l</w:t>
      </w:r>
      <w:r w:rsidR="00231C49" w:rsidRPr="00231C49">
        <w:rPr>
          <w:b/>
        </w:rPr>
        <w:t>’</w:t>
      </w:r>
      <w:r w:rsidR="008E36E4">
        <w:rPr>
          <w:b/>
        </w:rPr>
        <w:t>E</w:t>
      </w:r>
      <w:r w:rsidR="00231C49">
        <w:rPr>
          <w:b/>
        </w:rPr>
        <w:t>nsemble de r</w:t>
      </w:r>
      <w:r w:rsidR="00BC12FC" w:rsidRPr="005334DB">
        <w:rPr>
          <w:b/>
        </w:rPr>
        <w:t xml:space="preserve">ègles </w:t>
      </w:r>
      <w:r w:rsidR="00231C49">
        <w:rPr>
          <w:b/>
        </w:rPr>
        <w:t>m</w:t>
      </w:r>
      <w:r w:rsidR="00231C49" w:rsidRPr="005334DB">
        <w:rPr>
          <w:b/>
        </w:rPr>
        <w:t xml:space="preserve">inima </w:t>
      </w:r>
      <w:r w:rsidR="00BC12FC" w:rsidRPr="005334DB">
        <w:rPr>
          <w:b/>
        </w:rPr>
        <w:t xml:space="preserve">des Nations Unies </w:t>
      </w:r>
      <w:r w:rsidR="00231C49">
        <w:rPr>
          <w:b/>
        </w:rPr>
        <w:t>pour</w:t>
      </w:r>
      <w:r w:rsidR="00231C49" w:rsidRPr="005334DB">
        <w:rPr>
          <w:b/>
        </w:rPr>
        <w:t xml:space="preserve"> </w:t>
      </w:r>
      <w:r w:rsidR="00BC12FC" w:rsidRPr="005334DB">
        <w:rPr>
          <w:b/>
        </w:rPr>
        <w:t xml:space="preserve">le </w:t>
      </w:r>
      <w:r w:rsidR="00231C49">
        <w:rPr>
          <w:b/>
        </w:rPr>
        <w:t>t</w:t>
      </w:r>
      <w:r w:rsidR="00231C49" w:rsidRPr="005334DB">
        <w:rPr>
          <w:b/>
        </w:rPr>
        <w:t xml:space="preserve">raitement </w:t>
      </w:r>
      <w:r w:rsidR="00BC12FC" w:rsidRPr="005334DB">
        <w:rPr>
          <w:b/>
        </w:rPr>
        <w:t xml:space="preserve">des </w:t>
      </w:r>
      <w:r w:rsidR="006F05D7">
        <w:rPr>
          <w:b/>
        </w:rPr>
        <w:t>détenus</w:t>
      </w:r>
      <w:r w:rsidR="00BC12FC">
        <w:rPr>
          <w:b/>
        </w:rPr>
        <w:t>, plutôt que de multiplier la construction de nouveaux établissements pénitentiaires.</w:t>
      </w:r>
    </w:p>
    <w:p w:rsidR="005334DB" w:rsidRPr="005334DB" w:rsidRDefault="00E569CE">
      <w:pPr>
        <w:pStyle w:val="SingleTxtG"/>
      </w:pPr>
      <w:r>
        <w:t>28</w:t>
      </w:r>
      <w:r w:rsidR="005334DB">
        <w:t>.</w:t>
      </w:r>
      <w:r w:rsidR="005334DB">
        <w:tab/>
      </w:r>
      <w:r w:rsidR="005334DB" w:rsidRPr="005334DB">
        <w:t xml:space="preserve">Le régime des visites </w:t>
      </w:r>
      <w:r w:rsidR="005605DA">
        <w:t>varie</w:t>
      </w:r>
      <w:r w:rsidR="005605DA" w:rsidRPr="005334DB">
        <w:t xml:space="preserve"> </w:t>
      </w:r>
      <w:r w:rsidR="005334DB" w:rsidRPr="005334DB">
        <w:t xml:space="preserve">d’un centre de détention à l’autre en termes d’horaires et de conditions. Il </w:t>
      </w:r>
      <w:r w:rsidR="005605DA">
        <w:t>n’existe</w:t>
      </w:r>
      <w:r w:rsidR="005605DA" w:rsidRPr="005334DB">
        <w:t xml:space="preserve"> </w:t>
      </w:r>
      <w:r w:rsidR="005334DB" w:rsidRPr="005334DB">
        <w:t xml:space="preserve">pas de réglementation uniforme en la matière. La plupart des prisons ont établi le paiement d’un droit </w:t>
      </w:r>
      <w:r w:rsidR="005605DA">
        <w:t>d’</w:t>
      </w:r>
      <w:r w:rsidR="005605DA" w:rsidRPr="005334DB">
        <w:t>entr</w:t>
      </w:r>
      <w:r w:rsidR="005605DA">
        <w:t>ée</w:t>
      </w:r>
      <w:r w:rsidR="005605DA" w:rsidRPr="005334DB">
        <w:t xml:space="preserve"> </w:t>
      </w:r>
      <w:r w:rsidR="005334DB" w:rsidRPr="005334DB">
        <w:t>(</w:t>
      </w:r>
      <w:r w:rsidR="00934DDB">
        <w:t xml:space="preserve">à </w:t>
      </w:r>
      <w:r w:rsidR="005334DB" w:rsidRPr="005334DB">
        <w:t xml:space="preserve">Lomé et </w:t>
      </w:r>
      <w:proofErr w:type="spellStart"/>
      <w:r w:rsidR="005334DB" w:rsidRPr="005334DB">
        <w:t>Notsé</w:t>
      </w:r>
      <w:proofErr w:type="spellEnd"/>
      <w:r w:rsidR="00934DDB">
        <w:t>,</w:t>
      </w:r>
      <w:r w:rsidR="005334DB" w:rsidRPr="005334DB">
        <w:t xml:space="preserve"> par exemple), ce qui </w:t>
      </w:r>
      <w:r w:rsidR="005605DA">
        <w:t>empêche</w:t>
      </w:r>
      <w:r w:rsidR="005605DA" w:rsidRPr="005334DB">
        <w:t xml:space="preserve"> </w:t>
      </w:r>
      <w:r w:rsidR="005334DB" w:rsidRPr="005334DB">
        <w:t xml:space="preserve">les familles les plus défavorisées </w:t>
      </w:r>
      <w:r w:rsidR="00B2623C">
        <w:t>de</w:t>
      </w:r>
      <w:r w:rsidR="00B2623C" w:rsidRPr="005334DB">
        <w:t xml:space="preserve"> </w:t>
      </w:r>
      <w:r w:rsidR="005334DB" w:rsidRPr="005334DB">
        <w:t>rendre visite</w:t>
      </w:r>
      <w:r w:rsidR="00B2623C">
        <w:t xml:space="preserve"> à leur proche</w:t>
      </w:r>
      <w:r w:rsidR="005334DB" w:rsidRPr="005334DB">
        <w:t xml:space="preserve">. </w:t>
      </w:r>
    </w:p>
    <w:p w:rsidR="005334DB" w:rsidRPr="005334DB" w:rsidRDefault="00E569CE" w:rsidP="00934DDB">
      <w:pPr>
        <w:pStyle w:val="SingleTxtG"/>
        <w:rPr>
          <w:b/>
        </w:rPr>
      </w:pPr>
      <w:r w:rsidRPr="000F5D67">
        <w:rPr>
          <w:bCs/>
        </w:rPr>
        <w:t>29</w:t>
      </w:r>
      <w:r w:rsidR="005334DB" w:rsidRPr="000F5D67">
        <w:rPr>
          <w:bCs/>
        </w:rPr>
        <w:t>.</w:t>
      </w:r>
      <w:r w:rsidR="005334DB" w:rsidRPr="000F5D67">
        <w:rPr>
          <w:bCs/>
        </w:rPr>
        <w:tab/>
      </w:r>
      <w:r w:rsidR="005334DB" w:rsidRPr="005334DB">
        <w:rPr>
          <w:b/>
        </w:rPr>
        <w:t xml:space="preserve">Le </w:t>
      </w:r>
      <w:r w:rsidR="00934DDB" w:rsidRPr="00C9720C">
        <w:rPr>
          <w:b/>
          <w:bCs/>
        </w:rPr>
        <w:t>Sous-Comité</w:t>
      </w:r>
      <w:r w:rsidR="005334DB" w:rsidRPr="005334DB">
        <w:rPr>
          <w:b/>
        </w:rPr>
        <w:t xml:space="preserve"> exhorte les autorités togolaises à faire respecter le droit fondamental du détenu de communiquer avec </w:t>
      </w:r>
      <w:r w:rsidR="005605DA">
        <w:rPr>
          <w:b/>
        </w:rPr>
        <w:t>s</w:t>
      </w:r>
      <w:r w:rsidR="005334DB" w:rsidRPr="005334DB">
        <w:rPr>
          <w:b/>
        </w:rPr>
        <w:t>a famille et de recevoir des visites</w:t>
      </w:r>
      <w:r w:rsidR="005334DB" w:rsidRPr="000F5D67">
        <w:rPr>
          <w:rStyle w:val="Appelnotedebasdep"/>
        </w:rPr>
        <w:footnoteReference w:id="4"/>
      </w:r>
      <w:r w:rsidR="005334DB" w:rsidRPr="005334DB">
        <w:rPr>
          <w:b/>
        </w:rPr>
        <w:t xml:space="preserve">, en particulier des membres de sa famille, sans paiement de frais. </w:t>
      </w:r>
    </w:p>
    <w:p w:rsidR="005334DB" w:rsidRPr="005334DB" w:rsidRDefault="004B1E89" w:rsidP="004B1E89">
      <w:pPr>
        <w:pStyle w:val="H4G"/>
      </w:pPr>
      <w:r>
        <w:tab/>
      </w:r>
      <w:r>
        <w:tab/>
      </w:r>
      <w:r w:rsidR="005334DB" w:rsidRPr="005334DB">
        <w:t>Surpopulation carcérale</w:t>
      </w:r>
    </w:p>
    <w:p w:rsidR="005334DB" w:rsidRPr="00C67416" w:rsidRDefault="00E569CE">
      <w:pPr>
        <w:pStyle w:val="SingleTxtG"/>
      </w:pPr>
      <w:r>
        <w:t>30</w:t>
      </w:r>
      <w:r w:rsidR="005334DB">
        <w:t>.</w:t>
      </w:r>
      <w:r w:rsidR="005334DB">
        <w:tab/>
      </w:r>
      <w:r w:rsidR="005334DB" w:rsidRPr="005334DB">
        <w:t xml:space="preserve">La surpopulation carcérale est une préoccupation majeure du </w:t>
      </w:r>
      <w:r w:rsidR="00BB6B40">
        <w:t>Sous-Comité</w:t>
      </w:r>
      <w:r w:rsidR="005334DB" w:rsidRPr="005334DB">
        <w:t xml:space="preserve">, qui </w:t>
      </w:r>
      <w:r w:rsidR="005E56C0">
        <w:t>concerne</w:t>
      </w:r>
      <w:r w:rsidR="005E56C0" w:rsidRPr="005334DB">
        <w:t xml:space="preserve"> </w:t>
      </w:r>
      <w:r w:rsidR="005334DB" w:rsidRPr="005334DB">
        <w:t>l’ensemble des conditions de détention. Les taux d’incarcération atteignaient 250</w:t>
      </w:r>
      <w:r w:rsidR="00F56690">
        <w:t> </w:t>
      </w:r>
      <w:r w:rsidR="005334DB" w:rsidRPr="005334DB">
        <w:t xml:space="preserve">% à </w:t>
      </w:r>
      <w:proofErr w:type="spellStart"/>
      <w:r w:rsidR="005334DB" w:rsidRPr="005334DB">
        <w:t>Notsé</w:t>
      </w:r>
      <w:proofErr w:type="spellEnd"/>
      <w:r w:rsidR="005334DB" w:rsidRPr="005334DB">
        <w:t>, 300</w:t>
      </w:r>
      <w:r w:rsidR="00F56690">
        <w:t> </w:t>
      </w:r>
      <w:r w:rsidR="005334DB" w:rsidRPr="005334DB">
        <w:t>% à Lomé et 400</w:t>
      </w:r>
      <w:r w:rsidR="00F56690">
        <w:t> </w:t>
      </w:r>
      <w:r w:rsidR="005334DB" w:rsidRPr="005334DB">
        <w:t xml:space="preserve">% à Atakpamé. La </w:t>
      </w:r>
      <w:r w:rsidR="00BB6B40">
        <w:t>d</w:t>
      </w:r>
      <w:r w:rsidR="00BB6B40" w:rsidRPr="005334DB">
        <w:t xml:space="preserve">élégation </w:t>
      </w:r>
      <w:r w:rsidR="005334DB" w:rsidRPr="005334DB">
        <w:t xml:space="preserve">a été témoin de la situation de certains détenus à Lomé, </w:t>
      </w:r>
      <w:proofErr w:type="spellStart"/>
      <w:r w:rsidR="005334DB" w:rsidRPr="005334DB">
        <w:t>Notsé</w:t>
      </w:r>
      <w:proofErr w:type="spellEnd"/>
      <w:r w:rsidR="005334DB" w:rsidRPr="005334DB">
        <w:t xml:space="preserve"> ou Tsévié par exemple, qui disposent d’un espace de 0,30</w:t>
      </w:r>
      <w:r w:rsidR="00056548">
        <w:t> </w:t>
      </w:r>
      <w:r w:rsidR="005334DB" w:rsidRPr="005334DB">
        <w:t>m</w:t>
      </w:r>
      <w:r w:rsidR="005334DB" w:rsidRPr="000F5D67">
        <w:rPr>
          <w:vertAlign w:val="superscript"/>
        </w:rPr>
        <w:t>2</w:t>
      </w:r>
      <w:r w:rsidR="005334DB" w:rsidRPr="005334DB">
        <w:t xml:space="preserve"> maximum pour dormir. Dans ces circonstances, nombre</w:t>
      </w:r>
      <w:r w:rsidR="003B6FBE">
        <w:t xml:space="preserve"> d</w:t>
      </w:r>
      <w:r w:rsidR="003B6FBE" w:rsidRPr="00926DC8">
        <w:t>’</w:t>
      </w:r>
      <w:r w:rsidR="003B6FBE">
        <w:t>entre e</w:t>
      </w:r>
      <w:r w:rsidR="005334DB" w:rsidRPr="005334DB">
        <w:t xml:space="preserve">ux </w:t>
      </w:r>
      <w:r w:rsidR="00960299">
        <w:t>doivent</w:t>
      </w:r>
      <w:r w:rsidR="00960299" w:rsidRPr="005334DB">
        <w:t xml:space="preserve"> </w:t>
      </w:r>
      <w:r w:rsidR="005334DB" w:rsidRPr="005334DB">
        <w:t xml:space="preserve">rester assis ou debout toute la nuit et ne </w:t>
      </w:r>
      <w:r w:rsidR="00960299">
        <w:t>peuvent</w:t>
      </w:r>
      <w:r w:rsidR="00960299" w:rsidRPr="005334DB">
        <w:t xml:space="preserve"> </w:t>
      </w:r>
      <w:r w:rsidR="005334DB" w:rsidRPr="005334DB">
        <w:t xml:space="preserve">évidemment pas dormir. Dans les autres prisons, les détenus </w:t>
      </w:r>
      <w:r w:rsidR="00960299">
        <w:t>dorment</w:t>
      </w:r>
      <w:r w:rsidR="00960299" w:rsidRPr="005334DB">
        <w:t xml:space="preserve"> </w:t>
      </w:r>
      <w:r w:rsidR="005334DB" w:rsidRPr="005334DB">
        <w:t>à même le sol ou</w:t>
      </w:r>
      <w:r w:rsidR="003B6FBE">
        <w:t>,</w:t>
      </w:r>
      <w:r w:rsidR="005334DB" w:rsidRPr="005334DB">
        <w:t xml:space="preserve"> au mieux, sur de simples nattes. Cette situation est </w:t>
      </w:r>
      <w:r w:rsidR="00BC12FC">
        <w:t>notamment</w:t>
      </w:r>
      <w:r w:rsidR="00262E4A">
        <w:t xml:space="preserve"> </w:t>
      </w:r>
      <w:r w:rsidR="005334DB" w:rsidRPr="005334DB">
        <w:t xml:space="preserve">liée au nombre particulièrement élevé de personnes en détention provisoire, </w:t>
      </w:r>
      <w:r w:rsidR="003B6FBE">
        <w:t>qui dure</w:t>
      </w:r>
      <w:r w:rsidR="003B6FBE" w:rsidRPr="005334DB">
        <w:t xml:space="preserve"> </w:t>
      </w:r>
      <w:r w:rsidR="005334DB" w:rsidRPr="005334DB">
        <w:t xml:space="preserve">parfois plusieurs années pour des délits mineurs. Le </w:t>
      </w:r>
      <w:r w:rsidR="00BB6B40">
        <w:t>Sous-Comité</w:t>
      </w:r>
      <w:r w:rsidR="005334DB" w:rsidRPr="005334DB">
        <w:t xml:space="preserve"> considère qu’un tel taux de surpopulation équivaut à un traitement cruel, inhumain </w:t>
      </w:r>
      <w:r w:rsidR="0046285F">
        <w:t>ou</w:t>
      </w:r>
      <w:r w:rsidR="0046285F" w:rsidRPr="005334DB">
        <w:t xml:space="preserve"> </w:t>
      </w:r>
      <w:r w:rsidR="005334DB" w:rsidRPr="005334DB">
        <w:t xml:space="preserve">dégradant, </w:t>
      </w:r>
      <w:r w:rsidR="00BC12FC">
        <w:t xml:space="preserve">voire </w:t>
      </w:r>
      <w:r w:rsidR="005334DB" w:rsidRPr="00A90911">
        <w:t>à une forme de torture</w:t>
      </w:r>
      <w:r w:rsidR="005334DB" w:rsidRPr="005334DB">
        <w:t xml:space="preserve"> lorsqu’il se prolonge et qu’il se conjugue avec </w:t>
      </w:r>
      <w:r w:rsidR="000F6359">
        <w:t xml:space="preserve">une </w:t>
      </w:r>
      <w:r w:rsidR="000F6359" w:rsidRPr="005334DB">
        <w:t xml:space="preserve">absence </w:t>
      </w:r>
      <w:r w:rsidR="005334DB" w:rsidRPr="005334DB">
        <w:t>de conditions matérielles minimu</w:t>
      </w:r>
      <w:r w:rsidR="00A90911">
        <w:t>m</w:t>
      </w:r>
      <w:r w:rsidR="004D4034">
        <w:t>s</w:t>
      </w:r>
      <w:r w:rsidR="00A90911">
        <w:t xml:space="preserve"> acceptables, au vu et au su des </w:t>
      </w:r>
      <w:r w:rsidR="004340E2" w:rsidRPr="00A90911">
        <w:t>autorités</w:t>
      </w:r>
      <w:r w:rsidR="00A90911" w:rsidRPr="00A90911">
        <w:t xml:space="preserve"> étatiques</w:t>
      </w:r>
      <w:r w:rsidR="00A90911" w:rsidRPr="000F5D67">
        <w:rPr>
          <w:bCs/>
        </w:rPr>
        <w:t>.</w:t>
      </w:r>
    </w:p>
    <w:p w:rsidR="005334DB" w:rsidRPr="005334DB" w:rsidRDefault="005334DB">
      <w:pPr>
        <w:pStyle w:val="SingleTxtG"/>
      </w:pPr>
      <w:r>
        <w:t>3</w:t>
      </w:r>
      <w:r w:rsidR="00E569CE">
        <w:t>1</w:t>
      </w:r>
      <w:r>
        <w:t>.</w:t>
      </w:r>
      <w:r>
        <w:tab/>
      </w:r>
      <w:r w:rsidRPr="005334DB">
        <w:t>La surpopulation carcérale est d’autant plus intolérable que</w:t>
      </w:r>
      <w:r w:rsidR="000F6359">
        <w:t>,</w:t>
      </w:r>
      <w:r w:rsidRPr="005334DB">
        <w:t xml:space="preserve"> dans tous les établissements visités, il existe à la fois des cellules avec des niveaux de surpopulation atterrants et des cellules contenant un nombre </w:t>
      </w:r>
      <w:r w:rsidR="004340E2">
        <w:t xml:space="preserve">moindre </w:t>
      </w:r>
      <w:r w:rsidRPr="005334DB">
        <w:t xml:space="preserve">de détenus sur la base du paiement d’une certaine somme au </w:t>
      </w:r>
      <w:r w:rsidR="000F6359">
        <w:t>c</w:t>
      </w:r>
      <w:r w:rsidR="000F6359" w:rsidRPr="005334DB">
        <w:t xml:space="preserve">hef </w:t>
      </w:r>
      <w:r w:rsidRPr="005334DB">
        <w:t xml:space="preserve">de cour et au </w:t>
      </w:r>
      <w:r w:rsidR="000F6359">
        <w:t>c</w:t>
      </w:r>
      <w:r w:rsidR="000F6359" w:rsidRPr="005334DB">
        <w:t xml:space="preserve">omité </w:t>
      </w:r>
      <w:r w:rsidRPr="005334DB">
        <w:t>interne</w:t>
      </w:r>
      <w:r w:rsidR="00761A5C">
        <w:t>. Il existe aussi</w:t>
      </w:r>
      <w:r w:rsidRPr="005334DB">
        <w:t xml:space="preserve"> des espaces immenses réservés à une seule personne en raison de son profil politique. L’affectation des détenus dans les cellules offrant de moins mauvaises conditions ne se fait donc pas sur des critères objectifs et officiels. Cet état de promiscuité, allié à l’arbitraire de l’attribution des cellules, exacerbe les tensions entre les détenus</w:t>
      </w:r>
      <w:r w:rsidR="00761A5C">
        <w:t>, mais aussi</w:t>
      </w:r>
      <w:r w:rsidRPr="005334DB">
        <w:t xml:space="preserve"> entre les détenus et le personnel. </w:t>
      </w:r>
    </w:p>
    <w:p w:rsidR="005334DB" w:rsidRPr="00111A5F" w:rsidRDefault="005334DB">
      <w:pPr>
        <w:pStyle w:val="SingleTxtG"/>
        <w:rPr>
          <w:b/>
        </w:rPr>
      </w:pPr>
      <w:r w:rsidRPr="000F5D67">
        <w:rPr>
          <w:bCs/>
        </w:rPr>
        <w:t>3</w:t>
      </w:r>
      <w:r w:rsidR="00E569CE" w:rsidRPr="000F5D67">
        <w:rPr>
          <w:bCs/>
        </w:rPr>
        <w:t>2</w:t>
      </w:r>
      <w:r w:rsidRPr="000F5D67">
        <w:rPr>
          <w:bCs/>
        </w:rPr>
        <w:t>.</w:t>
      </w:r>
      <w:r w:rsidRPr="000F5D67">
        <w:rPr>
          <w:bCs/>
        </w:rPr>
        <w:tab/>
      </w:r>
      <w:r w:rsidR="004340E2">
        <w:rPr>
          <w:b/>
        </w:rPr>
        <w:t xml:space="preserve">Pour réduire de façon significative le problème majeur de la surpopulation </w:t>
      </w:r>
      <w:r w:rsidR="0094258B">
        <w:rPr>
          <w:b/>
        </w:rPr>
        <w:t>carcérale</w:t>
      </w:r>
      <w:r w:rsidR="004340E2">
        <w:rPr>
          <w:b/>
        </w:rPr>
        <w:t xml:space="preserve">, le </w:t>
      </w:r>
      <w:r w:rsidR="00056548" w:rsidRPr="00C9720C">
        <w:rPr>
          <w:b/>
          <w:bCs/>
        </w:rPr>
        <w:t>Sous-Comité</w:t>
      </w:r>
      <w:r w:rsidR="004340E2">
        <w:rPr>
          <w:b/>
        </w:rPr>
        <w:t xml:space="preserve"> recommande à l’</w:t>
      </w:r>
      <w:r w:rsidR="00B36B0D">
        <w:rPr>
          <w:b/>
        </w:rPr>
        <w:t>État</w:t>
      </w:r>
      <w:r w:rsidR="00A90911">
        <w:rPr>
          <w:b/>
        </w:rPr>
        <w:t xml:space="preserve"> partie</w:t>
      </w:r>
      <w:r w:rsidR="004340E2">
        <w:rPr>
          <w:b/>
        </w:rPr>
        <w:t xml:space="preserve"> d</w:t>
      </w:r>
      <w:r w:rsidR="00F65305">
        <w:rPr>
          <w:b/>
        </w:rPr>
        <w:t>e prendre</w:t>
      </w:r>
      <w:r w:rsidR="004340E2">
        <w:rPr>
          <w:b/>
        </w:rPr>
        <w:t xml:space="preserve"> sans délai des </w:t>
      </w:r>
      <w:r w:rsidR="00F65305">
        <w:rPr>
          <w:b/>
        </w:rPr>
        <w:t xml:space="preserve">mesures </w:t>
      </w:r>
      <w:r w:rsidR="004340E2">
        <w:rPr>
          <w:b/>
        </w:rPr>
        <w:t>structurelles :</w:t>
      </w:r>
    </w:p>
    <w:p w:rsidR="005334DB" w:rsidRPr="00255DA0" w:rsidRDefault="00255DA0">
      <w:pPr>
        <w:pStyle w:val="SingleTxtG"/>
        <w:ind w:firstLine="567"/>
        <w:rPr>
          <w:b/>
        </w:rPr>
      </w:pPr>
      <w:r w:rsidRPr="00255DA0">
        <w:rPr>
          <w:b/>
        </w:rPr>
        <w:t>a)</w:t>
      </w:r>
      <w:r w:rsidRPr="00255DA0">
        <w:rPr>
          <w:b/>
        </w:rPr>
        <w:tab/>
      </w:r>
      <w:r w:rsidR="00F65305">
        <w:rPr>
          <w:b/>
        </w:rPr>
        <w:t>Recours à</w:t>
      </w:r>
      <w:r w:rsidR="005334DB" w:rsidRPr="00255DA0">
        <w:rPr>
          <w:b/>
        </w:rPr>
        <w:t xml:space="preserve"> la détention provisoire uniquement pour les délits les plus graves et les crimes et recours systématique à des mesures </w:t>
      </w:r>
      <w:r w:rsidR="00F65305">
        <w:rPr>
          <w:b/>
        </w:rPr>
        <w:t>de substitution</w:t>
      </w:r>
      <w:r w:rsidR="005334DB" w:rsidRPr="00255DA0">
        <w:rPr>
          <w:b/>
        </w:rPr>
        <w:t xml:space="preserve"> à la privation de liberté dans les autres cas, en accord avec les Règles minima des Nations Unies pour l</w:t>
      </w:r>
      <w:r w:rsidR="0094258B" w:rsidRPr="0094258B">
        <w:rPr>
          <w:b/>
        </w:rPr>
        <w:t>’</w:t>
      </w:r>
      <w:r w:rsidR="005334DB" w:rsidRPr="00255DA0">
        <w:rPr>
          <w:b/>
        </w:rPr>
        <w:t>élaboration de mesures non privatives de liberté (Règles de Tokyo)</w:t>
      </w:r>
      <w:r w:rsidR="00B56CAC">
        <w:rPr>
          <w:b/>
        </w:rPr>
        <w:t> ;</w:t>
      </w:r>
    </w:p>
    <w:p w:rsidR="00255DA0" w:rsidRPr="00255DA0" w:rsidRDefault="00255DA0" w:rsidP="00056548">
      <w:pPr>
        <w:pStyle w:val="SingleTxtG"/>
        <w:ind w:firstLine="567"/>
        <w:rPr>
          <w:b/>
        </w:rPr>
      </w:pPr>
      <w:r w:rsidRPr="00255DA0">
        <w:rPr>
          <w:b/>
        </w:rPr>
        <w:t>b)</w:t>
      </w:r>
      <w:r w:rsidRPr="00255DA0">
        <w:rPr>
          <w:b/>
        </w:rPr>
        <w:tab/>
      </w:r>
      <w:r w:rsidR="00761A5C">
        <w:rPr>
          <w:b/>
        </w:rPr>
        <w:t>S</w:t>
      </w:r>
      <w:r w:rsidRPr="00255DA0">
        <w:rPr>
          <w:b/>
        </w:rPr>
        <w:t xml:space="preserve">uivi judiciaire des personnes en détention provisoire, afin d’éviter que </w:t>
      </w:r>
      <w:r w:rsidR="0094258B">
        <w:rPr>
          <w:b/>
        </w:rPr>
        <w:t>l</w:t>
      </w:r>
      <w:r w:rsidRPr="00255DA0">
        <w:rPr>
          <w:b/>
        </w:rPr>
        <w:t xml:space="preserve">a durée </w:t>
      </w:r>
      <w:r w:rsidR="0094258B">
        <w:rPr>
          <w:b/>
        </w:rPr>
        <w:t xml:space="preserve">de cette détention </w:t>
      </w:r>
      <w:r w:rsidRPr="00255DA0">
        <w:rPr>
          <w:b/>
        </w:rPr>
        <w:t xml:space="preserve">n’excède </w:t>
      </w:r>
      <w:r w:rsidR="00E80B25">
        <w:rPr>
          <w:b/>
        </w:rPr>
        <w:t>les délais légaux</w:t>
      </w:r>
      <w:r w:rsidR="00A90911">
        <w:rPr>
          <w:b/>
        </w:rPr>
        <w:t xml:space="preserve">. </w:t>
      </w:r>
      <w:r w:rsidR="004340E2">
        <w:rPr>
          <w:b/>
        </w:rPr>
        <w:t xml:space="preserve">Dans cette perspective, le </w:t>
      </w:r>
      <w:r w:rsidR="00056548" w:rsidRPr="00C9720C">
        <w:rPr>
          <w:b/>
          <w:bCs/>
        </w:rPr>
        <w:t>Sous-Comité</w:t>
      </w:r>
      <w:r w:rsidR="00A90911">
        <w:rPr>
          <w:b/>
        </w:rPr>
        <w:t xml:space="preserve"> </w:t>
      </w:r>
      <w:r w:rsidR="004340E2">
        <w:rPr>
          <w:b/>
        </w:rPr>
        <w:t xml:space="preserve">recommande </w:t>
      </w:r>
      <w:r w:rsidRPr="00255DA0">
        <w:rPr>
          <w:b/>
        </w:rPr>
        <w:t>la révision immédiate de tous les dossiers des détenus en détention provisoire. En outre, les personnes jugées devraient aussi bénéficier d’un suivi judiciaire continu afin de garantir le respect de la durée de la privation de liberté</w:t>
      </w:r>
      <w:r w:rsidR="003F2C0B">
        <w:rPr>
          <w:b/>
        </w:rPr>
        <w:t> ;</w:t>
      </w:r>
    </w:p>
    <w:p w:rsidR="00255DA0" w:rsidRPr="00255DA0" w:rsidRDefault="00255DA0" w:rsidP="00255DA0">
      <w:pPr>
        <w:pStyle w:val="SingleTxtG"/>
        <w:ind w:firstLine="567"/>
        <w:rPr>
          <w:b/>
        </w:rPr>
      </w:pPr>
      <w:r w:rsidRPr="00255DA0">
        <w:rPr>
          <w:b/>
        </w:rPr>
        <w:lastRenderedPageBreak/>
        <w:t>c)</w:t>
      </w:r>
      <w:r w:rsidRPr="00255DA0">
        <w:rPr>
          <w:b/>
        </w:rPr>
        <w:tab/>
      </w:r>
      <w:r w:rsidR="00761A5C">
        <w:rPr>
          <w:b/>
        </w:rPr>
        <w:t>L</w:t>
      </w:r>
      <w:r w:rsidRPr="00255DA0">
        <w:rPr>
          <w:b/>
        </w:rPr>
        <w:t xml:space="preserve">ibération </w:t>
      </w:r>
      <w:r w:rsidR="00723A46">
        <w:rPr>
          <w:b/>
        </w:rPr>
        <w:t>imméd</w:t>
      </w:r>
      <w:r w:rsidR="00A90911">
        <w:rPr>
          <w:b/>
        </w:rPr>
        <w:t>ia</w:t>
      </w:r>
      <w:r w:rsidR="00723A46">
        <w:rPr>
          <w:b/>
        </w:rPr>
        <w:t xml:space="preserve">te </w:t>
      </w:r>
      <w:r w:rsidRPr="00255DA0">
        <w:rPr>
          <w:b/>
        </w:rPr>
        <w:t xml:space="preserve">de toute personne </w:t>
      </w:r>
      <w:r w:rsidR="000C70ED">
        <w:rPr>
          <w:b/>
        </w:rPr>
        <w:t xml:space="preserve">se trouvant </w:t>
      </w:r>
      <w:r w:rsidRPr="00255DA0">
        <w:rPr>
          <w:b/>
        </w:rPr>
        <w:t>en détention provisoire depuis une période égale ou supérieure à la peine maximale encourue pour l’infraction ayant motivé la détention.</w:t>
      </w:r>
    </w:p>
    <w:p w:rsidR="005334DB" w:rsidRPr="00A90911" w:rsidRDefault="004B1E89" w:rsidP="004B1E89">
      <w:pPr>
        <w:pStyle w:val="H4G"/>
      </w:pPr>
      <w:r>
        <w:tab/>
      </w:r>
      <w:r>
        <w:tab/>
      </w:r>
      <w:r w:rsidR="005334DB" w:rsidRPr="00A90911">
        <w:t>Activités des détenus</w:t>
      </w:r>
    </w:p>
    <w:p w:rsidR="005334DB" w:rsidRPr="00EF0E2A" w:rsidRDefault="00EF0E2A" w:rsidP="000A3923">
      <w:pPr>
        <w:pStyle w:val="SingleTxtG"/>
      </w:pPr>
      <w:r>
        <w:t>3</w:t>
      </w:r>
      <w:r w:rsidR="00E569CE">
        <w:t>3</w:t>
      </w:r>
      <w:r>
        <w:t>.</w:t>
      </w:r>
      <w:r>
        <w:tab/>
      </w:r>
      <w:r w:rsidR="005334DB" w:rsidRPr="00EF0E2A">
        <w:t xml:space="preserve">La plupart des détenus ne bénéficiaient d’aucune forme d’activité physique ou intellectuelle organisée, que ce soit loisir, travail, formation professionnelle ou éducation. </w:t>
      </w:r>
      <w:r w:rsidR="00761A5C">
        <w:t>Les seules activités disponibles</w:t>
      </w:r>
      <w:r w:rsidR="00761A5C" w:rsidRPr="00EF0E2A">
        <w:t xml:space="preserve"> </w:t>
      </w:r>
      <w:r w:rsidR="00761A5C">
        <w:t>dépendent</w:t>
      </w:r>
      <w:r w:rsidR="005334DB" w:rsidRPr="00EF0E2A">
        <w:t xml:space="preserve"> d’initiatives ponctuelles et </w:t>
      </w:r>
      <w:r w:rsidR="00761A5C">
        <w:t>sont</w:t>
      </w:r>
      <w:r w:rsidR="00761A5C" w:rsidRPr="00EF0E2A">
        <w:t xml:space="preserve"> </w:t>
      </w:r>
      <w:r w:rsidR="005334DB" w:rsidRPr="00EF0E2A">
        <w:t xml:space="preserve">accessibles en vertu de critères variables d’une prison à l’autre. Selon les témoignages recueillis, les détenus </w:t>
      </w:r>
      <w:r w:rsidR="00761A5C">
        <w:t>doivent parfois</w:t>
      </w:r>
      <w:r w:rsidR="00761A5C" w:rsidRPr="00EF0E2A">
        <w:t xml:space="preserve"> </w:t>
      </w:r>
      <w:r w:rsidR="005334DB" w:rsidRPr="00EF0E2A">
        <w:t>acheter le droit de partici</w:t>
      </w:r>
      <w:r w:rsidR="00A90911">
        <w:t xml:space="preserve">per aux activités. Les produits des travaux </w:t>
      </w:r>
      <w:r w:rsidR="000B4D1D">
        <w:t>artisanaux et de la terre</w:t>
      </w:r>
      <w:r w:rsidR="00A90911">
        <w:t xml:space="preserve"> </w:t>
      </w:r>
      <w:r w:rsidR="00761A5C">
        <w:t>réalisé</w:t>
      </w:r>
      <w:r w:rsidR="000B4D1D">
        <w:t>s</w:t>
      </w:r>
      <w:r w:rsidR="00761A5C">
        <w:t xml:space="preserve"> au sein de certaines prisons</w:t>
      </w:r>
      <w:r w:rsidR="005334DB" w:rsidRPr="00EF0E2A">
        <w:t xml:space="preserve"> </w:t>
      </w:r>
      <w:r w:rsidR="00761A5C">
        <w:t>sont</w:t>
      </w:r>
      <w:r w:rsidR="00761A5C" w:rsidRPr="00EF0E2A">
        <w:t xml:space="preserve"> </w:t>
      </w:r>
      <w:r w:rsidR="005334DB" w:rsidRPr="00EF0E2A">
        <w:t>vendus à d’autres détenus</w:t>
      </w:r>
      <w:r w:rsidR="000E70F5">
        <w:t xml:space="preserve"> ou </w:t>
      </w:r>
      <w:r w:rsidR="00384615">
        <w:t xml:space="preserve">à des </w:t>
      </w:r>
      <w:r w:rsidR="000E70F5">
        <w:t>visiteurs</w:t>
      </w:r>
      <w:r w:rsidR="005334DB" w:rsidRPr="00EF0E2A">
        <w:t xml:space="preserve">. Le </w:t>
      </w:r>
      <w:r w:rsidR="000A3923">
        <w:t>Sous-Comité</w:t>
      </w:r>
      <w:r w:rsidR="005334DB" w:rsidRPr="00EF0E2A">
        <w:t xml:space="preserve"> est particulièrement préoccupé par la situation des personnes condamnées à de longues peines qui, au lieu d’avoir un accès facilité aux activités internes en raison de leur situation, </w:t>
      </w:r>
      <w:r w:rsidR="00761A5C">
        <w:t>en sont exclu</w:t>
      </w:r>
      <w:r w:rsidR="00384615">
        <w:t>e</w:t>
      </w:r>
      <w:r w:rsidR="00761A5C">
        <w:t>s</w:t>
      </w:r>
      <w:r w:rsidR="005334DB" w:rsidRPr="00EF0E2A">
        <w:t xml:space="preserve"> p</w:t>
      </w:r>
      <w:r w:rsidR="00A90911">
        <w:t>our des « motifs de sécurité ».</w:t>
      </w:r>
    </w:p>
    <w:p w:rsidR="005334DB" w:rsidRPr="00E569CE" w:rsidRDefault="00EF0E2A" w:rsidP="00A657AD">
      <w:pPr>
        <w:pStyle w:val="SingleTxtG"/>
        <w:rPr>
          <w:b/>
        </w:rPr>
      </w:pPr>
      <w:r w:rsidRPr="000F5D67">
        <w:rPr>
          <w:bCs/>
        </w:rPr>
        <w:t>34.</w:t>
      </w:r>
      <w:r w:rsidRPr="000F5D67">
        <w:rPr>
          <w:bCs/>
        </w:rPr>
        <w:tab/>
      </w:r>
      <w:r w:rsidR="005334DB" w:rsidRPr="00F467F3">
        <w:rPr>
          <w:b/>
        </w:rPr>
        <w:t>L</w:t>
      </w:r>
      <w:r w:rsidR="003A307A" w:rsidRPr="00F467F3">
        <w:rPr>
          <w:b/>
        </w:rPr>
        <w:t xml:space="preserve">e </w:t>
      </w:r>
      <w:r w:rsidR="000A3923" w:rsidRPr="00C9720C">
        <w:rPr>
          <w:b/>
          <w:bCs/>
        </w:rPr>
        <w:t>Sous-Comité</w:t>
      </w:r>
      <w:r w:rsidR="003A307A" w:rsidRPr="00F467F3">
        <w:rPr>
          <w:b/>
        </w:rPr>
        <w:t xml:space="preserve"> recommande à l</w:t>
      </w:r>
      <w:r w:rsidR="005334DB" w:rsidRPr="00F467F3">
        <w:rPr>
          <w:b/>
        </w:rPr>
        <w:t>’</w:t>
      </w:r>
      <w:r w:rsidR="00B36B0D">
        <w:rPr>
          <w:b/>
        </w:rPr>
        <w:t>État</w:t>
      </w:r>
      <w:r w:rsidR="005334DB" w:rsidRPr="00F467F3">
        <w:rPr>
          <w:b/>
        </w:rPr>
        <w:t xml:space="preserve"> partie </w:t>
      </w:r>
      <w:r w:rsidR="003A307A" w:rsidRPr="00F467F3">
        <w:rPr>
          <w:b/>
        </w:rPr>
        <w:t xml:space="preserve">de </w:t>
      </w:r>
      <w:r w:rsidR="005334DB" w:rsidRPr="00F467F3">
        <w:rPr>
          <w:b/>
        </w:rPr>
        <w:t xml:space="preserve">s’assurer qu’un minimum d’activités </w:t>
      </w:r>
      <w:r w:rsidR="00570EDE">
        <w:rPr>
          <w:b/>
        </w:rPr>
        <w:t>sont</w:t>
      </w:r>
      <w:r w:rsidR="00570EDE" w:rsidRPr="00F467F3">
        <w:rPr>
          <w:b/>
        </w:rPr>
        <w:t xml:space="preserve"> </w:t>
      </w:r>
      <w:r w:rsidR="0094258B">
        <w:rPr>
          <w:b/>
        </w:rPr>
        <w:t>proposé</w:t>
      </w:r>
      <w:r w:rsidR="00570EDE">
        <w:rPr>
          <w:b/>
        </w:rPr>
        <w:t>es</w:t>
      </w:r>
      <w:r w:rsidR="0094258B" w:rsidRPr="00F467F3">
        <w:rPr>
          <w:b/>
        </w:rPr>
        <w:t xml:space="preserve"> </w:t>
      </w:r>
      <w:r w:rsidR="005334DB" w:rsidRPr="00F467F3">
        <w:rPr>
          <w:b/>
        </w:rPr>
        <w:t>aux détenus, en accord avec l</w:t>
      </w:r>
      <w:r w:rsidR="00A657AD" w:rsidRPr="00A657AD">
        <w:rPr>
          <w:b/>
        </w:rPr>
        <w:t>’</w:t>
      </w:r>
      <w:r w:rsidR="00A657AD">
        <w:rPr>
          <w:b/>
        </w:rPr>
        <w:t>Ensemble de r</w:t>
      </w:r>
      <w:r w:rsidR="005334DB" w:rsidRPr="00F467F3">
        <w:rPr>
          <w:b/>
        </w:rPr>
        <w:t>ègles minima pour le traitement des détenus</w:t>
      </w:r>
      <w:r w:rsidR="00E569CE">
        <w:rPr>
          <w:b/>
        </w:rPr>
        <w:t>, y compris pour les détenus condamnés à de longues peines</w:t>
      </w:r>
      <w:r w:rsidR="005334DB" w:rsidRPr="00F467F3">
        <w:rPr>
          <w:b/>
        </w:rPr>
        <w:t>. L’</w:t>
      </w:r>
      <w:r w:rsidR="00B36B0D">
        <w:rPr>
          <w:b/>
        </w:rPr>
        <w:t>État</w:t>
      </w:r>
      <w:r w:rsidR="005334DB" w:rsidRPr="00F467F3">
        <w:rPr>
          <w:b/>
        </w:rPr>
        <w:t xml:space="preserve"> </w:t>
      </w:r>
      <w:r w:rsidR="000A3923">
        <w:rPr>
          <w:b/>
        </w:rPr>
        <w:t xml:space="preserve">partie </w:t>
      </w:r>
      <w:r w:rsidR="005334DB" w:rsidRPr="00F467F3">
        <w:rPr>
          <w:b/>
        </w:rPr>
        <w:t>doit encourager le travail des détenus dans une optique de formation et de réinsertion et garantir que les détenus soient raisonnablement rémunérés pour leur travail</w:t>
      </w:r>
      <w:r w:rsidR="005334DB" w:rsidRPr="00E569CE">
        <w:rPr>
          <w:b/>
        </w:rPr>
        <w:t>.</w:t>
      </w:r>
    </w:p>
    <w:p w:rsidR="009111CF" w:rsidRDefault="004B1E89" w:rsidP="004B1E89">
      <w:pPr>
        <w:pStyle w:val="H4G"/>
      </w:pPr>
      <w:r>
        <w:tab/>
      </w:r>
      <w:r>
        <w:tab/>
      </w:r>
      <w:r w:rsidR="009111CF" w:rsidRPr="00E569CE">
        <w:t>Régime carcéral</w:t>
      </w:r>
    </w:p>
    <w:p w:rsidR="00E569CE" w:rsidRDefault="009111CF" w:rsidP="00E569CE">
      <w:pPr>
        <w:pStyle w:val="SingleTxtG"/>
      </w:pPr>
      <w:r>
        <w:t>35.</w:t>
      </w:r>
      <w:r>
        <w:tab/>
      </w:r>
      <w:r w:rsidR="00E569CE" w:rsidRPr="00E569CE">
        <w:t xml:space="preserve">Les prévenus, déférés et condamnés (y compris à de longues peines) restent mélangés indistinctement dans </w:t>
      </w:r>
      <w:r w:rsidR="00A67F9D">
        <w:t>d</w:t>
      </w:r>
      <w:r w:rsidR="00E569CE" w:rsidRPr="00E569CE">
        <w:t>es cellules surpeuplées et sont soumis au même régime.</w:t>
      </w:r>
    </w:p>
    <w:p w:rsidR="009111CF" w:rsidRDefault="00E569CE" w:rsidP="00C4716E">
      <w:pPr>
        <w:pStyle w:val="SingleTxtG"/>
        <w:rPr>
          <w:lang w:val="fr-FR"/>
        </w:rPr>
      </w:pPr>
      <w:r>
        <w:t>36.</w:t>
      </w:r>
      <w:r>
        <w:tab/>
      </w:r>
      <w:r w:rsidR="009111CF" w:rsidRPr="00EF0E2A">
        <w:t>Le régime de détention est géré par les détenus auxquels l’autorité pénitentiaire remet le contrôle de la vie interne des centres de détention. Il en résulte un fonctionnement arbitraire qui</w:t>
      </w:r>
      <w:r w:rsidR="009111CF" w:rsidRPr="00050B32">
        <w:t xml:space="preserve"> n’est géré par aucun règlement intérieur commun et varie donc d’une prison à l’autre. Des « privilèges » peuvent ainsi être monnayés : la possibilité de ne pas être assigné dans une cellule surpeuplée, de dormir dans la meilleure partie de la cellule, d’utiliser le téléphone portable d’un gardien</w:t>
      </w:r>
      <w:r w:rsidR="00A67F9D">
        <w:t xml:space="preserve"> ou</w:t>
      </w:r>
      <w:r w:rsidR="00A67F9D" w:rsidRPr="00050B32">
        <w:t xml:space="preserve"> </w:t>
      </w:r>
      <w:r w:rsidR="009111CF" w:rsidRPr="00050B32">
        <w:t>d’acheter des cigarettes, du papier toilette et des produits d’hygiène. Les montants indiqués par les détenus varient entre les établissements visités, mais l</w:t>
      </w:r>
      <w:r w:rsidR="003B20FA">
        <w:t>a</w:t>
      </w:r>
      <w:r w:rsidR="009111CF" w:rsidRPr="00050B32">
        <w:t xml:space="preserve"> pratique est généralisée et se convertit facilement en mécanisme de pression et même de corruption dans certains cas.</w:t>
      </w:r>
    </w:p>
    <w:p w:rsidR="009111CF" w:rsidRPr="00A92F74" w:rsidRDefault="00E569CE" w:rsidP="00C4716E">
      <w:pPr>
        <w:pStyle w:val="SingleTxtG"/>
        <w:rPr>
          <w:b/>
        </w:rPr>
      </w:pPr>
      <w:r w:rsidRPr="000F5D67">
        <w:rPr>
          <w:bCs/>
        </w:rPr>
        <w:t>37</w:t>
      </w:r>
      <w:r w:rsidR="009111CF" w:rsidRPr="000F5D67">
        <w:rPr>
          <w:bCs/>
        </w:rPr>
        <w:t>.</w:t>
      </w:r>
      <w:r w:rsidR="009111CF" w:rsidRPr="000F5D67">
        <w:rPr>
          <w:bCs/>
        </w:rPr>
        <w:tab/>
      </w:r>
      <w:r w:rsidR="009111CF" w:rsidRPr="00A92F74">
        <w:rPr>
          <w:b/>
        </w:rPr>
        <w:t>L’</w:t>
      </w:r>
      <w:r w:rsidR="00B36B0D">
        <w:rPr>
          <w:b/>
        </w:rPr>
        <w:t>État</w:t>
      </w:r>
      <w:r w:rsidR="009111CF" w:rsidRPr="00A92F74">
        <w:rPr>
          <w:b/>
        </w:rPr>
        <w:t xml:space="preserve"> partie devrait </w:t>
      </w:r>
      <w:r w:rsidR="00D851DD">
        <w:rPr>
          <w:b/>
        </w:rPr>
        <w:t>de</w:t>
      </w:r>
      <w:r w:rsidR="00D851DD" w:rsidRPr="00A92F74">
        <w:rPr>
          <w:b/>
        </w:rPr>
        <w:t xml:space="preserve"> </w:t>
      </w:r>
      <w:r w:rsidR="009111CF" w:rsidRPr="00A92F74">
        <w:rPr>
          <w:b/>
        </w:rPr>
        <w:t xml:space="preserve">toute urgence adopter un règlement intérieur </w:t>
      </w:r>
      <w:r w:rsidR="00D851DD">
        <w:rPr>
          <w:b/>
        </w:rPr>
        <w:t>pour</w:t>
      </w:r>
      <w:r w:rsidR="00D851DD" w:rsidRPr="00A92F74">
        <w:rPr>
          <w:b/>
        </w:rPr>
        <w:t xml:space="preserve"> </w:t>
      </w:r>
      <w:r w:rsidR="009111CF" w:rsidRPr="00A92F74">
        <w:rPr>
          <w:b/>
        </w:rPr>
        <w:t xml:space="preserve">tous les centres de détention qui soit conforme aux </w:t>
      </w:r>
      <w:r w:rsidR="00D851DD">
        <w:rPr>
          <w:b/>
        </w:rPr>
        <w:t>normes</w:t>
      </w:r>
      <w:r w:rsidR="00D851DD" w:rsidRPr="00A92F74">
        <w:rPr>
          <w:b/>
        </w:rPr>
        <w:t xml:space="preserve"> internationa</w:t>
      </w:r>
      <w:r w:rsidR="00D851DD">
        <w:rPr>
          <w:b/>
        </w:rPr>
        <w:t>les</w:t>
      </w:r>
      <w:r w:rsidR="00D851DD" w:rsidRPr="00A92F74">
        <w:rPr>
          <w:b/>
        </w:rPr>
        <w:t xml:space="preserve"> </w:t>
      </w:r>
      <w:r w:rsidR="009111CF" w:rsidRPr="00A92F74">
        <w:rPr>
          <w:b/>
        </w:rPr>
        <w:t>établi</w:t>
      </w:r>
      <w:r w:rsidR="00D851DD">
        <w:rPr>
          <w:b/>
        </w:rPr>
        <w:t>e</w:t>
      </w:r>
      <w:r w:rsidR="009111CF" w:rsidRPr="00A92F74">
        <w:rPr>
          <w:b/>
        </w:rPr>
        <w:t xml:space="preserve">s en la matière. </w:t>
      </w:r>
      <w:r w:rsidR="0096602F">
        <w:rPr>
          <w:b/>
        </w:rPr>
        <w:t>Il</w:t>
      </w:r>
      <w:r w:rsidR="009111CF" w:rsidRPr="00A92F74">
        <w:rPr>
          <w:b/>
        </w:rPr>
        <w:t xml:space="preserve"> devrait également éradiquer toutes les formes de corruption qui peuvent </w:t>
      </w:r>
      <w:r w:rsidR="009711E4">
        <w:rPr>
          <w:b/>
        </w:rPr>
        <w:t>découler</w:t>
      </w:r>
      <w:r w:rsidR="009711E4" w:rsidRPr="00A92F74">
        <w:rPr>
          <w:b/>
        </w:rPr>
        <w:t xml:space="preserve"> </w:t>
      </w:r>
      <w:r w:rsidR="009111CF" w:rsidRPr="00A92F74">
        <w:rPr>
          <w:b/>
        </w:rPr>
        <w:t>des pratiques instaurées, en sanctionner les auteurs</w:t>
      </w:r>
      <w:r>
        <w:rPr>
          <w:b/>
        </w:rPr>
        <w:t>,</w:t>
      </w:r>
      <w:r w:rsidR="009111CF" w:rsidRPr="00A92F74">
        <w:rPr>
          <w:b/>
        </w:rPr>
        <w:t xml:space="preserve"> et informer systématiquement les détenus et leurs familles de leurs droits.</w:t>
      </w:r>
    </w:p>
    <w:p w:rsidR="009111CF" w:rsidRPr="00637983" w:rsidRDefault="004B1E89" w:rsidP="004B1E89">
      <w:pPr>
        <w:pStyle w:val="H4G"/>
      </w:pPr>
      <w:r>
        <w:tab/>
      </w:r>
      <w:r>
        <w:tab/>
      </w:r>
      <w:r w:rsidR="009111CF" w:rsidRPr="00637983">
        <w:t xml:space="preserve">Gestion interne </w:t>
      </w:r>
    </w:p>
    <w:p w:rsidR="009111CF" w:rsidRPr="00050B32" w:rsidRDefault="00E569CE">
      <w:pPr>
        <w:pStyle w:val="SingleTxtG"/>
      </w:pPr>
      <w:r>
        <w:t>38</w:t>
      </w:r>
      <w:r w:rsidR="009111CF">
        <w:t>.</w:t>
      </w:r>
      <w:r w:rsidR="009111CF">
        <w:tab/>
      </w:r>
      <w:r w:rsidR="009111CF" w:rsidRPr="00050B32">
        <w:t xml:space="preserve">Dans tous les établissements visités, la gestion interne de la prison est </w:t>
      </w:r>
      <w:r w:rsidR="00E84150">
        <w:t>confiée</w:t>
      </w:r>
      <w:r w:rsidR="00E84150" w:rsidRPr="00050B32">
        <w:t xml:space="preserve"> </w:t>
      </w:r>
      <w:r w:rsidR="009111CF" w:rsidRPr="00050B32">
        <w:t>aux détenus eux-mêmes, selon un système hiérarchique bien établi de chefs de cellules et d</w:t>
      </w:r>
      <w:r w:rsidR="001B3DCC">
        <w:t>e</w:t>
      </w:r>
      <w:r w:rsidR="009111CF" w:rsidRPr="00050B32">
        <w:t xml:space="preserve"> chef de cour bénéficiant d’adjoints. Dans certains établissements, les gardes ne sont pas </w:t>
      </w:r>
      <w:r w:rsidR="002B104F">
        <w:t xml:space="preserve">même </w:t>
      </w:r>
      <w:r w:rsidR="009111CF" w:rsidRPr="00050B32">
        <w:t xml:space="preserve">présents au sein de la prison, ils restent à l’extérieur et ce sont uniquement des détenus qui gèrent la vie quotidienne, </w:t>
      </w:r>
      <w:r w:rsidR="009111CF" w:rsidRPr="00E569CE">
        <w:t xml:space="preserve">y compris l’accès </w:t>
      </w:r>
      <w:r w:rsidR="009111CF" w:rsidRPr="00050B32">
        <w:t>aux différentes cellules. De ce fait, les chefs de chambres et le chef de cour de chaque prison bénéficient de privilèges étendus quant à leur régime de détention.</w:t>
      </w:r>
    </w:p>
    <w:p w:rsidR="009111CF" w:rsidRPr="00EF0E2A" w:rsidRDefault="00E569CE" w:rsidP="0071504F">
      <w:pPr>
        <w:pStyle w:val="SingleTxtG"/>
      </w:pPr>
      <w:r>
        <w:t>39</w:t>
      </w:r>
      <w:r w:rsidR="009111CF">
        <w:t>.</w:t>
      </w:r>
      <w:r w:rsidR="009111CF">
        <w:tab/>
      </w:r>
      <w:r w:rsidR="009111CF" w:rsidRPr="00050B32">
        <w:t>L</w:t>
      </w:r>
      <w:r>
        <w:t xml:space="preserve">e </w:t>
      </w:r>
      <w:r w:rsidR="000A3923">
        <w:t>Sous-Comité</w:t>
      </w:r>
      <w:r>
        <w:t xml:space="preserve"> a observé que l</w:t>
      </w:r>
      <w:r w:rsidR="009111CF" w:rsidRPr="00050B32">
        <w:t>’absence de surveillance de la part des autorités pénitentiaires implique que</w:t>
      </w:r>
      <w:r w:rsidR="00637278">
        <w:t xml:space="preserve"> ce sont </w:t>
      </w:r>
      <w:r w:rsidR="009111CF" w:rsidRPr="00050B32">
        <w:t xml:space="preserve">les détenus les plus forts ou les plus riches </w:t>
      </w:r>
      <w:r w:rsidR="00637278">
        <w:t xml:space="preserve">qui </w:t>
      </w:r>
      <w:r w:rsidR="009111CF" w:rsidRPr="00050B32">
        <w:t xml:space="preserve">détiennent le pouvoir et l’exercent de manière arbitraire sur les plus faibles et les plus pauvres. Ce système d’autogestion implique </w:t>
      </w:r>
      <w:r w:rsidR="00637278">
        <w:t xml:space="preserve">généralement </w:t>
      </w:r>
      <w:r w:rsidR="009111CF" w:rsidRPr="00050B32">
        <w:t>que tout rapport entre le détenu et l’</w:t>
      </w:r>
      <w:r w:rsidR="00317039">
        <w:t>a</w:t>
      </w:r>
      <w:r w:rsidR="009111CF" w:rsidRPr="00050B32">
        <w:t xml:space="preserve">dministration pénitentiaire passe, et </w:t>
      </w:r>
      <w:r w:rsidR="005B11B6">
        <w:t xml:space="preserve">est </w:t>
      </w:r>
      <w:r w:rsidR="009111CF" w:rsidRPr="00050B32">
        <w:t xml:space="preserve">filtré, par les chefs de cellules et le chef de cour, empêchant toute possibilité de plainte d’un détenu à </w:t>
      </w:r>
      <w:r w:rsidR="00E144D5">
        <w:t>l’encontre de ces derniers. De </w:t>
      </w:r>
      <w:r w:rsidR="009111CF" w:rsidRPr="00050B32">
        <w:t>plus, souvent</w:t>
      </w:r>
      <w:r w:rsidR="001362DD">
        <w:t>,</w:t>
      </w:r>
      <w:r w:rsidR="009111CF" w:rsidRPr="00050B32">
        <w:t xml:space="preserve"> la discipline et les sanctions disciplinaires sont directement gérées par les détenus, ce qui est une source d’abus</w:t>
      </w:r>
      <w:r w:rsidR="009111CF" w:rsidRPr="00050B32">
        <w:rPr>
          <w:bCs/>
        </w:rPr>
        <w:t>, de mauvais traitements</w:t>
      </w:r>
      <w:r w:rsidR="009111CF" w:rsidRPr="00050B32">
        <w:t xml:space="preserve"> et de corruption, alors que ce domaine doit toujours rester</w:t>
      </w:r>
      <w:r w:rsidR="009111CF">
        <w:t xml:space="preserve"> </w:t>
      </w:r>
      <w:r w:rsidR="00637278">
        <w:t xml:space="preserve">de </w:t>
      </w:r>
      <w:r w:rsidR="009111CF" w:rsidRPr="00EF0E2A">
        <w:t xml:space="preserve">la compétence des autorités pénitentiaires, avec toutes les </w:t>
      </w:r>
      <w:r w:rsidR="009111CF" w:rsidRPr="00EF0E2A">
        <w:lastRenderedPageBreak/>
        <w:t>garanties afférentes</w:t>
      </w:r>
      <w:r w:rsidR="0071504F">
        <w:t>,</w:t>
      </w:r>
      <w:r w:rsidR="009111CF" w:rsidRPr="00EF0E2A">
        <w:t xml:space="preserve"> comme la transparence et l’enregistrement des sanctions ainsi que la possibilité pour les détenus de les contester.</w:t>
      </w:r>
    </w:p>
    <w:p w:rsidR="009111CF" w:rsidRPr="00EF0E2A" w:rsidRDefault="00053464" w:rsidP="009111CF">
      <w:pPr>
        <w:pStyle w:val="SingleTxtG"/>
      </w:pPr>
      <w:r>
        <w:t>40</w:t>
      </w:r>
      <w:r w:rsidR="009111CF">
        <w:t>.</w:t>
      </w:r>
      <w:r w:rsidR="009111CF">
        <w:tab/>
      </w:r>
      <w:r w:rsidR="009111CF" w:rsidRPr="00EF0E2A">
        <w:t>Un certain degré d’autogestion par les détenus eux-mêmes peut certes s’avérer bénéfique s’il ne se substitue pas aux responsabilités incombant à l’administration pénitentiaire en général et au régisseur en particulier. Cependant, un système d’autogestion sans surveillance des autorités pénitentiaires n’est pas acceptable.</w:t>
      </w:r>
    </w:p>
    <w:p w:rsidR="009111CF" w:rsidRPr="00EF0E2A" w:rsidRDefault="00053464" w:rsidP="000A3923">
      <w:pPr>
        <w:pStyle w:val="SingleTxtG"/>
      </w:pPr>
      <w:r w:rsidRPr="000F5D67">
        <w:rPr>
          <w:bCs/>
          <w:lang w:val="fr-FR"/>
        </w:rPr>
        <w:t>41</w:t>
      </w:r>
      <w:r w:rsidR="009111CF" w:rsidRPr="000F5D67">
        <w:rPr>
          <w:bCs/>
          <w:lang w:val="fr-FR"/>
        </w:rPr>
        <w:t>.</w:t>
      </w:r>
      <w:r w:rsidR="009111CF" w:rsidRPr="000F5D67">
        <w:rPr>
          <w:bCs/>
          <w:lang w:val="fr-FR"/>
        </w:rPr>
        <w:tab/>
      </w:r>
      <w:r w:rsidR="00E569CE" w:rsidRPr="00E569CE">
        <w:rPr>
          <w:b/>
          <w:lang w:val="fr-FR"/>
        </w:rPr>
        <w:t>L</w:t>
      </w:r>
      <w:r w:rsidR="009111CF" w:rsidRPr="00EF0E2A">
        <w:rPr>
          <w:b/>
          <w:lang w:val="fr-FR"/>
        </w:rPr>
        <w:t xml:space="preserve">e </w:t>
      </w:r>
      <w:r w:rsidR="000A3923" w:rsidRPr="00C9720C">
        <w:rPr>
          <w:b/>
          <w:bCs/>
        </w:rPr>
        <w:t>Sous-Comité</w:t>
      </w:r>
      <w:r w:rsidR="009111CF" w:rsidRPr="00EF0E2A">
        <w:rPr>
          <w:b/>
          <w:lang w:val="fr-FR"/>
        </w:rPr>
        <w:t xml:space="preserve"> recommande </w:t>
      </w:r>
      <w:r w:rsidR="00E569CE">
        <w:rPr>
          <w:b/>
          <w:lang w:val="fr-FR"/>
        </w:rPr>
        <w:t>qu’aucune autorité d’ordre disciplinaire ne soit octroyée à des personnes ne faisant pas partie de l’administration pénitentiaire, laquelle doit exercer toute tâche fondée sur l’exercice d’un pouvoir régalien en vertu d’</w:t>
      </w:r>
      <w:r w:rsidR="009111CF" w:rsidRPr="00EF0E2A">
        <w:rPr>
          <w:b/>
          <w:lang w:val="fr-FR"/>
        </w:rPr>
        <w:t>une procédure claire et efficace</w:t>
      </w:r>
      <w:r w:rsidR="00BE0732">
        <w:rPr>
          <w:b/>
          <w:lang w:val="fr-FR"/>
        </w:rPr>
        <w:t xml:space="preserve">. </w:t>
      </w:r>
    </w:p>
    <w:p w:rsidR="009111CF" w:rsidRPr="004B1E89" w:rsidRDefault="009111CF" w:rsidP="004B1E89">
      <w:pPr>
        <w:pStyle w:val="H23G"/>
      </w:pPr>
      <w:r w:rsidRPr="004B1E89">
        <w:tab/>
        <w:t>2.</w:t>
      </w:r>
      <w:r w:rsidRPr="004B1E89">
        <w:tab/>
        <w:t>Dans les gendarmeries</w:t>
      </w:r>
      <w:r w:rsidR="00E961A0">
        <w:t xml:space="preserve"> </w:t>
      </w:r>
      <w:r w:rsidRPr="004B1E89">
        <w:t>et les commissariats</w:t>
      </w:r>
    </w:p>
    <w:p w:rsidR="001A3221" w:rsidRDefault="00053464" w:rsidP="009111CF">
      <w:pPr>
        <w:pStyle w:val="SingleTxtG"/>
        <w:rPr>
          <w:b/>
          <w:i/>
        </w:rPr>
      </w:pPr>
      <w:r>
        <w:t>42</w:t>
      </w:r>
      <w:r w:rsidR="009111CF">
        <w:t>.</w:t>
      </w:r>
      <w:r w:rsidR="009111CF">
        <w:tab/>
      </w:r>
      <w:r w:rsidR="009111CF" w:rsidRPr="00EF0E2A">
        <w:t xml:space="preserve">La délégation a observé que les cellules des commissariats et des gendarmeries </w:t>
      </w:r>
      <w:r w:rsidR="00A92F74">
        <w:t>sont</w:t>
      </w:r>
      <w:r w:rsidR="00E02052">
        <w:t xml:space="preserve"> insalubres</w:t>
      </w:r>
      <w:r w:rsidR="00C302C2">
        <w:t>. Elles sont</w:t>
      </w:r>
      <w:r w:rsidR="00A92F74" w:rsidRPr="00EF0E2A">
        <w:t xml:space="preserve"> </w:t>
      </w:r>
      <w:r w:rsidR="009111CF" w:rsidRPr="00EF0E2A">
        <w:t xml:space="preserve">parfois totalement privées de lumière du jour et la plupart </w:t>
      </w:r>
      <w:r w:rsidR="00A92F74">
        <w:t>ont</w:t>
      </w:r>
      <w:r w:rsidR="00A92F74" w:rsidRPr="00EF0E2A">
        <w:t xml:space="preserve"> </w:t>
      </w:r>
      <w:r w:rsidR="009111CF" w:rsidRPr="00EF0E2A">
        <w:t xml:space="preserve">un éclairage défaillant. Dans les commissariats et </w:t>
      </w:r>
      <w:r w:rsidR="00C302C2">
        <w:t xml:space="preserve">les </w:t>
      </w:r>
      <w:r w:rsidR="009111CF" w:rsidRPr="00EF0E2A">
        <w:t xml:space="preserve">gendarmeries, les détenus </w:t>
      </w:r>
      <w:r w:rsidR="00A92F74">
        <w:t>ne sont</w:t>
      </w:r>
      <w:r w:rsidR="00A92F74" w:rsidRPr="00EF0E2A">
        <w:t xml:space="preserve"> </w:t>
      </w:r>
      <w:r w:rsidR="009111CF" w:rsidRPr="00EF0E2A">
        <w:t xml:space="preserve">pas nourris. Ils </w:t>
      </w:r>
      <w:r w:rsidR="00A92F74">
        <w:t>doivent</w:t>
      </w:r>
      <w:r w:rsidR="00A92F74" w:rsidRPr="00EF0E2A">
        <w:t xml:space="preserve"> </w:t>
      </w:r>
      <w:r w:rsidR="009111CF" w:rsidRPr="00EF0E2A">
        <w:t>donner de l’argent aux policiers ou gendarmes pour qu’ils puissent leur acheter de la nourriture et de l’eau. Dans ce contexte, la situation des personnes sans famille et sans ressource est particulièrement préoccupante.</w:t>
      </w:r>
      <w:r w:rsidR="00637278" w:rsidRPr="00637278">
        <w:rPr>
          <w:b/>
          <w:i/>
        </w:rPr>
        <w:t xml:space="preserve"> </w:t>
      </w:r>
    </w:p>
    <w:p w:rsidR="009111CF" w:rsidRPr="00EF0E2A" w:rsidRDefault="00053464" w:rsidP="001E4146">
      <w:pPr>
        <w:pStyle w:val="SingleTxtG"/>
      </w:pPr>
      <w:r>
        <w:t>43</w:t>
      </w:r>
      <w:r w:rsidR="009111CF">
        <w:t>.</w:t>
      </w:r>
      <w:r w:rsidR="009111CF">
        <w:tab/>
      </w:r>
      <w:r w:rsidR="00B36B0D">
        <w:t>À</w:t>
      </w:r>
      <w:r w:rsidR="00B36B0D" w:rsidRPr="00EF0E2A">
        <w:t xml:space="preserve"> </w:t>
      </w:r>
      <w:r w:rsidR="009111CF" w:rsidRPr="00EF0E2A">
        <w:t xml:space="preserve">la police comme à la gendarmerie, il n’y </w:t>
      </w:r>
      <w:r w:rsidR="00A92F74">
        <w:t>a</w:t>
      </w:r>
      <w:r w:rsidR="00A92F74" w:rsidRPr="00EF0E2A">
        <w:t xml:space="preserve"> </w:t>
      </w:r>
      <w:r w:rsidR="009111CF" w:rsidRPr="00EF0E2A">
        <w:t xml:space="preserve">en général par de cellule pour les femmes qui </w:t>
      </w:r>
      <w:r w:rsidR="00A92F74">
        <w:t>doivent</w:t>
      </w:r>
      <w:r w:rsidR="00A92F74" w:rsidRPr="00EF0E2A">
        <w:t xml:space="preserve"> </w:t>
      </w:r>
      <w:r w:rsidR="009111CF" w:rsidRPr="00EF0E2A">
        <w:t xml:space="preserve">rester dans le couloir, sous la surveillance de policiers ou de gendarmes, même de nuit. Aucune cellule </w:t>
      </w:r>
      <w:r w:rsidR="00A92F74" w:rsidRPr="00EF0E2A">
        <w:t>n’</w:t>
      </w:r>
      <w:r w:rsidR="00A92F74">
        <w:t>est</w:t>
      </w:r>
      <w:r w:rsidR="00A92F74" w:rsidRPr="00EF0E2A">
        <w:t xml:space="preserve"> </w:t>
      </w:r>
      <w:r w:rsidR="009111CF" w:rsidRPr="00EF0E2A">
        <w:t xml:space="preserve">prévue pour les mineurs, qui sont détenus dans les mêmes cellules que les adultes au cours de la garde à vue. </w:t>
      </w:r>
    </w:p>
    <w:p w:rsidR="009111CF" w:rsidRPr="00EF0E2A" w:rsidRDefault="00053464" w:rsidP="00A657AD">
      <w:pPr>
        <w:pStyle w:val="SingleTxtG"/>
        <w:rPr>
          <w:b/>
        </w:rPr>
      </w:pPr>
      <w:r w:rsidRPr="000F5D67">
        <w:rPr>
          <w:bCs/>
        </w:rPr>
        <w:t>44</w:t>
      </w:r>
      <w:r w:rsidR="009111CF" w:rsidRPr="000F5D67">
        <w:rPr>
          <w:bCs/>
        </w:rPr>
        <w:t>.</w:t>
      </w:r>
      <w:r w:rsidR="009111CF" w:rsidRPr="000F5D67">
        <w:rPr>
          <w:bCs/>
        </w:rPr>
        <w:tab/>
      </w:r>
      <w:r w:rsidR="009111CF" w:rsidRPr="00EF0E2A">
        <w:rPr>
          <w:b/>
        </w:rPr>
        <w:t xml:space="preserve">Le </w:t>
      </w:r>
      <w:r w:rsidR="000A3923" w:rsidRPr="00C9720C">
        <w:rPr>
          <w:b/>
          <w:bCs/>
        </w:rPr>
        <w:t>Sous-Comité</w:t>
      </w:r>
      <w:r w:rsidR="009111CF" w:rsidRPr="00EF0E2A">
        <w:rPr>
          <w:b/>
        </w:rPr>
        <w:t xml:space="preserve"> recommande à l’</w:t>
      </w:r>
      <w:r w:rsidR="00B36B0D">
        <w:rPr>
          <w:b/>
        </w:rPr>
        <w:t>État</w:t>
      </w:r>
      <w:r w:rsidR="009111CF" w:rsidRPr="00EF0E2A">
        <w:rPr>
          <w:b/>
        </w:rPr>
        <w:t xml:space="preserve"> partie </w:t>
      </w:r>
      <w:r w:rsidR="001A3221">
        <w:rPr>
          <w:b/>
        </w:rPr>
        <w:t>d’assurer la conformité d</w:t>
      </w:r>
      <w:r w:rsidR="009111CF" w:rsidRPr="00EF0E2A">
        <w:rPr>
          <w:b/>
        </w:rPr>
        <w:t xml:space="preserve">es conditions matérielles </w:t>
      </w:r>
      <w:r w:rsidR="001A3221">
        <w:rPr>
          <w:b/>
        </w:rPr>
        <w:t>d</w:t>
      </w:r>
      <w:r w:rsidR="009111CF" w:rsidRPr="00EF0E2A">
        <w:rPr>
          <w:b/>
        </w:rPr>
        <w:t xml:space="preserve">es gendarmeries et </w:t>
      </w:r>
      <w:r w:rsidR="001A3221">
        <w:rPr>
          <w:b/>
        </w:rPr>
        <w:t>d</w:t>
      </w:r>
      <w:r w:rsidR="009111CF" w:rsidRPr="00EF0E2A">
        <w:rPr>
          <w:b/>
        </w:rPr>
        <w:t xml:space="preserve">es commissariats </w:t>
      </w:r>
      <w:r w:rsidR="001A3221">
        <w:rPr>
          <w:b/>
        </w:rPr>
        <w:t>avec</w:t>
      </w:r>
      <w:r w:rsidR="009111CF" w:rsidRPr="00EF0E2A">
        <w:rPr>
          <w:b/>
        </w:rPr>
        <w:t xml:space="preserve"> </w:t>
      </w:r>
      <w:r w:rsidR="001A3221">
        <w:rPr>
          <w:b/>
        </w:rPr>
        <w:t xml:space="preserve">les </w:t>
      </w:r>
      <w:r w:rsidR="009111CF" w:rsidRPr="00EF0E2A">
        <w:rPr>
          <w:b/>
        </w:rPr>
        <w:t>normes internationales</w:t>
      </w:r>
      <w:r w:rsidR="001A3221">
        <w:rPr>
          <w:b/>
        </w:rPr>
        <w:t xml:space="preserve"> applicables en la matière</w:t>
      </w:r>
      <w:r w:rsidR="009111CF" w:rsidRPr="00EF0E2A">
        <w:rPr>
          <w:b/>
        </w:rPr>
        <w:t xml:space="preserve"> et </w:t>
      </w:r>
      <w:r w:rsidR="00A657AD">
        <w:rPr>
          <w:b/>
        </w:rPr>
        <w:t>avec</w:t>
      </w:r>
      <w:r w:rsidR="00A657AD" w:rsidRPr="00EF0E2A">
        <w:rPr>
          <w:b/>
        </w:rPr>
        <w:t xml:space="preserve"> </w:t>
      </w:r>
      <w:r w:rsidR="009111CF" w:rsidRPr="00EF0E2A">
        <w:rPr>
          <w:b/>
        </w:rPr>
        <w:t>l’Ensemble de règles minima pour le traitement des détenus</w:t>
      </w:r>
      <w:r w:rsidR="001A3221">
        <w:rPr>
          <w:b/>
        </w:rPr>
        <w:t xml:space="preserve">. En ce sens, </w:t>
      </w:r>
      <w:r w:rsidR="000A3923">
        <w:rPr>
          <w:b/>
        </w:rPr>
        <w:t>il</w:t>
      </w:r>
      <w:r w:rsidR="001A3221">
        <w:rPr>
          <w:b/>
        </w:rPr>
        <w:t xml:space="preserve"> recommande à l’</w:t>
      </w:r>
      <w:r w:rsidR="00B36B0D">
        <w:rPr>
          <w:b/>
        </w:rPr>
        <w:t>État</w:t>
      </w:r>
      <w:r w:rsidR="001A3221">
        <w:rPr>
          <w:b/>
        </w:rPr>
        <w:t xml:space="preserve"> partie</w:t>
      </w:r>
      <w:r w:rsidR="009111CF" w:rsidRPr="00EF0E2A">
        <w:rPr>
          <w:b/>
        </w:rPr>
        <w:t xml:space="preserve"> de </w:t>
      </w:r>
      <w:r w:rsidR="00EE1B9D">
        <w:rPr>
          <w:b/>
        </w:rPr>
        <w:t xml:space="preserve">veiller </w:t>
      </w:r>
      <w:r w:rsidR="001A3221">
        <w:rPr>
          <w:b/>
        </w:rPr>
        <w:t>en particulier</w:t>
      </w:r>
      <w:r w:rsidR="009111CF" w:rsidRPr="00EF0E2A">
        <w:rPr>
          <w:b/>
        </w:rPr>
        <w:t xml:space="preserve"> </w:t>
      </w:r>
      <w:r w:rsidR="00EE1B9D">
        <w:rPr>
          <w:b/>
        </w:rPr>
        <w:t xml:space="preserve">à ce </w:t>
      </w:r>
      <w:r w:rsidR="009111CF" w:rsidRPr="00EF0E2A">
        <w:rPr>
          <w:b/>
        </w:rPr>
        <w:t>que</w:t>
      </w:r>
      <w:r w:rsidR="000A3923">
        <w:rPr>
          <w:b/>
        </w:rPr>
        <w:t xml:space="preserve"> </w:t>
      </w:r>
      <w:r w:rsidR="009111CF" w:rsidRPr="00EF0E2A">
        <w:rPr>
          <w:b/>
        </w:rPr>
        <w:t>les conditions d’hygiène, d’éclairage et de ventilation so</w:t>
      </w:r>
      <w:r w:rsidR="00A92F74">
        <w:rPr>
          <w:b/>
        </w:rPr>
        <w:t>ie</w:t>
      </w:r>
      <w:r w:rsidR="009111CF" w:rsidRPr="00EF0E2A">
        <w:rPr>
          <w:b/>
        </w:rPr>
        <w:t>nt satisfaisantes</w:t>
      </w:r>
      <w:r w:rsidR="00365471">
        <w:rPr>
          <w:b/>
        </w:rPr>
        <w:t>,</w:t>
      </w:r>
      <w:r w:rsidR="009111CF" w:rsidRPr="00EF0E2A">
        <w:rPr>
          <w:b/>
        </w:rPr>
        <w:t xml:space="preserve"> que les détenus </w:t>
      </w:r>
      <w:r w:rsidR="00A92F74">
        <w:rPr>
          <w:b/>
        </w:rPr>
        <w:t>aient</w:t>
      </w:r>
      <w:r w:rsidR="00A92F74" w:rsidRPr="00EF0E2A">
        <w:rPr>
          <w:b/>
        </w:rPr>
        <w:t xml:space="preserve"> </w:t>
      </w:r>
      <w:r w:rsidR="009111CF" w:rsidRPr="00EF0E2A">
        <w:rPr>
          <w:b/>
        </w:rPr>
        <w:t xml:space="preserve">accès à l’eau potable et disposent d’une nourriture adéquate en quantité et en qualité, que le personnel de surveillance </w:t>
      </w:r>
      <w:r w:rsidR="00A92F74">
        <w:rPr>
          <w:b/>
        </w:rPr>
        <w:t>soit</w:t>
      </w:r>
      <w:r w:rsidR="00A92F74" w:rsidRPr="00EF0E2A">
        <w:rPr>
          <w:b/>
        </w:rPr>
        <w:t xml:space="preserve"> </w:t>
      </w:r>
      <w:r w:rsidR="009111CF" w:rsidRPr="00EF0E2A">
        <w:rPr>
          <w:b/>
        </w:rPr>
        <w:t xml:space="preserve">composé de personnes des deux sexes et que </w:t>
      </w:r>
      <w:r w:rsidR="00A92F74">
        <w:rPr>
          <w:b/>
        </w:rPr>
        <w:t>d</w:t>
      </w:r>
      <w:r w:rsidR="00A92F74" w:rsidRPr="00EF0E2A">
        <w:rPr>
          <w:b/>
        </w:rPr>
        <w:t xml:space="preserve">es </w:t>
      </w:r>
      <w:r w:rsidR="009111CF" w:rsidRPr="00EF0E2A">
        <w:rPr>
          <w:b/>
        </w:rPr>
        <w:t>cellules séparées so</w:t>
      </w:r>
      <w:r w:rsidR="00A92F74">
        <w:rPr>
          <w:b/>
        </w:rPr>
        <w:t>ie</w:t>
      </w:r>
      <w:r w:rsidR="009111CF" w:rsidRPr="00EF0E2A">
        <w:rPr>
          <w:b/>
        </w:rPr>
        <w:t xml:space="preserve">nt </w:t>
      </w:r>
      <w:r w:rsidR="00365471">
        <w:rPr>
          <w:b/>
        </w:rPr>
        <w:t>prévues</w:t>
      </w:r>
      <w:r w:rsidR="00365471" w:rsidRPr="00EF0E2A">
        <w:rPr>
          <w:b/>
        </w:rPr>
        <w:t xml:space="preserve"> </w:t>
      </w:r>
      <w:r w:rsidR="009111CF" w:rsidRPr="00EF0E2A">
        <w:rPr>
          <w:b/>
        </w:rPr>
        <w:t xml:space="preserve">pour </w:t>
      </w:r>
      <w:r w:rsidR="00A92F74">
        <w:rPr>
          <w:b/>
        </w:rPr>
        <w:t xml:space="preserve">les </w:t>
      </w:r>
      <w:r w:rsidR="009111CF" w:rsidRPr="00EF0E2A">
        <w:rPr>
          <w:b/>
        </w:rPr>
        <w:t xml:space="preserve">femmes et </w:t>
      </w:r>
      <w:r w:rsidR="00A92F74">
        <w:rPr>
          <w:b/>
        </w:rPr>
        <w:t>les</w:t>
      </w:r>
      <w:r w:rsidR="00A92F74" w:rsidRPr="00EF0E2A">
        <w:rPr>
          <w:b/>
        </w:rPr>
        <w:t xml:space="preserve"> </w:t>
      </w:r>
      <w:r w:rsidR="009111CF" w:rsidRPr="00EF0E2A">
        <w:rPr>
          <w:b/>
        </w:rPr>
        <w:t xml:space="preserve">mineurs. </w:t>
      </w:r>
    </w:p>
    <w:p w:rsidR="009111CF" w:rsidRPr="00EF0E2A" w:rsidRDefault="009111CF" w:rsidP="009111CF">
      <w:pPr>
        <w:pStyle w:val="H1G"/>
      </w:pPr>
      <w:r>
        <w:tab/>
      </w:r>
      <w:r w:rsidRPr="00EF0E2A">
        <w:t>C</w:t>
      </w:r>
      <w:r>
        <w:t>.</w:t>
      </w:r>
      <w:r w:rsidRPr="00EF0E2A">
        <w:tab/>
        <w:t>Santé</w:t>
      </w:r>
    </w:p>
    <w:p w:rsidR="009111CF" w:rsidRPr="00EF0E2A" w:rsidRDefault="004B1E89" w:rsidP="004B1E89">
      <w:pPr>
        <w:pStyle w:val="H4G"/>
      </w:pPr>
      <w:r>
        <w:tab/>
      </w:r>
      <w:r>
        <w:tab/>
      </w:r>
      <w:r w:rsidR="009111CF" w:rsidRPr="00EF0E2A">
        <w:t xml:space="preserve">La situation sanitaire en milieu carcéral et le </w:t>
      </w:r>
      <w:proofErr w:type="spellStart"/>
      <w:r w:rsidR="009111CF" w:rsidRPr="00EF0E2A">
        <w:t>Cabano</w:t>
      </w:r>
      <w:proofErr w:type="spellEnd"/>
    </w:p>
    <w:p w:rsidR="009111CF" w:rsidRPr="00EF0E2A" w:rsidRDefault="00053464" w:rsidP="00F87BFD">
      <w:pPr>
        <w:pStyle w:val="SingleTxtG"/>
      </w:pPr>
      <w:r>
        <w:t>45</w:t>
      </w:r>
      <w:r w:rsidR="009111CF">
        <w:t>.</w:t>
      </w:r>
      <w:r w:rsidR="009111CF">
        <w:tab/>
      </w:r>
      <w:r w:rsidR="009111CF" w:rsidRPr="00EF0E2A">
        <w:t xml:space="preserve">Lors de sa visite, le </w:t>
      </w:r>
      <w:r w:rsidR="008250C5">
        <w:t>Sous-Comité</w:t>
      </w:r>
      <w:r w:rsidR="009111CF" w:rsidRPr="00EF0E2A">
        <w:t xml:space="preserve"> a observé que la situation sanitaire dans les prisons togolaises </w:t>
      </w:r>
      <w:r w:rsidR="00F9388F">
        <w:t>était</w:t>
      </w:r>
      <w:r w:rsidR="00F9388F" w:rsidRPr="00EF0E2A">
        <w:t xml:space="preserve"> </w:t>
      </w:r>
      <w:r w:rsidR="009111CF" w:rsidRPr="00EF0E2A">
        <w:t xml:space="preserve">alarmante. La surpopulation carcérale et l’extrême promiscuité qu’elle entraîne </w:t>
      </w:r>
      <w:r w:rsidR="00D126BB">
        <w:t>font</w:t>
      </w:r>
      <w:r w:rsidR="009111CF" w:rsidRPr="00EF0E2A">
        <w:t xml:space="preserve"> le lit d’épidémies de gale, de dysenterie</w:t>
      </w:r>
      <w:r w:rsidR="00F9388F">
        <w:t xml:space="preserve"> et</w:t>
      </w:r>
      <w:r w:rsidR="00F9388F" w:rsidRPr="00EF0E2A">
        <w:t xml:space="preserve"> </w:t>
      </w:r>
      <w:r w:rsidR="009111CF" w:rsidRPr="00EF0E2A">
        <w:t>d’infections pulmonaires</w:t>
      </w:r>
      <w:r w:rsidR="00F9388F">
        <w:t>,</w:t>
      </w:r>
      <w:r w:rsidR="009111CF" w:rsidRPr="00EF0E2A">
        <w:t xml:space="preserve"> à quoi s’ajoutent tuberculose, VIH</w:t>
      </w:r>
      <w:r w:rsidR="00F9388F">
        <w:t xml:space="preserve"> et</w:t>
      </w:r>
      <w:r w:rsidR="00F9388F" w:rsidRPr="00EF0E2A">
        <w:t xml:space="preserve"> </w:t>
      </w:r>
      <w:r w:rsidR="009111CF" w:rsidRPr="00EF0E2A">
        <w:t xml:space="preserve">hépatites, sans compter l’impact psychologique de </w:t>
      </w:r>
      <w:r w:rsidR="00F9388F">
        <w:t>ces</w:t>
      </w:r>
      <w:r w:rsidR="00F9388F" w:rsidRPr="00EF0E2A">
        <w:t xml:space="preserve"> </w:t>
      </w:r>
      <w:r w:rsidR="009111CF" w:rsidRPr="00EF0E2A">
        <w:t>conditions de vie et la fréquence des violences entre détenus. Dans la prison de Lomé, la délégation a été informée que plus de 60</w:t>
      </w:r>
      <w:r w:rsidR="00F56690">
        <w:t> </w:t>
      </w:r>
      <w:r w:rsidR="009111CF" w:rsidRPr="00EF0E2A">
        <w:t xml:space="preserve">% des détenus </w:t>
      </w:r>
      <w:r w:rsidR="00C05672">
        <w:t xml:space="preserve">étaient </w:t>
      </w:r>
      <w:r w:rsidR="009111CF" w:rsidRPr="00EF0E2A">
        <w:t xml:space="preserve">impaludés et qu’un détenu sur cinq </w:t>
      </w:r>
      <w:r w:rsidR="00C05672">
        <w:t xml:space="preserve">était </w:t>
      </w:r>
      <w:r w:rsidR="009111CF" w:rsidRPr="00EF0E2A">
        <w:t xml:space="preserve">atteint de la gale. </w:t>
      </w:r>
    </w:p>
    <w:p w:rsidR="00C05672" w:rsidRDefault="00053464" w:rsidP="00F87BFD">
      <w:pPr>
        <w:pStyle w:val="SingleTxtG"/>
      </w:pPr>
      <w:r>
        <w:t>46</w:t>
      </w:r>
      <w:r w:rsidR="009111CF" w:rsidRPr="00EF0E2A">
        <w:t>.</w:t>
      </w:r>
      <w:r w:rsidR="009111CF">
        <w:tab/>
      </w:r>
      <w:r w:rsidR="009111CF" w:rsidRPr="00EF0E2A">
        <w:t xml:space="preserve">Le </w:t>
      </w:r>
      <w:r w:rsidR="008250C5">
        <w:t>Sous-Comité</w:t>
      </w:r>
      <w:r w:rsidR="009111CF" w:rsidRPr="00EF0E2A">
        <w:t xml:space="preserve"> a aussi constaté que les détenus ne bénéfici</w:t>
      </w:r>
      <w:r w:rsidR="00EE29E0">
        <w:t>ai</w:t>
      </w:r>
      <w:r w:rsidR="009111CF" w:rsidRPr="00EF0E2A">
        <w:t>ent pas d’un examen médical d’entrée et</w:t>
      </w:r>
      <w:r w:rsidR="00EE29E0">
        <w:t xml:space="preserve"> que</w:t>
      </w:r>
      <w:r w:rsidR="009111CF" w:rsidRPr="00EF0E2A">
        <w:t xml:space="preserve"> l’accès aux soins </w:t>
      </w:r>
      <w:r w:rsidR="00EE29E0" w:rsidRPr="00EF0E2A">
        <w:t>n’</w:t>
      </w:r>
      <w:r w:rsidR="00EE29E0">
        <w:t>était</w:t>
      </w:r>
      <w:r w:rsidR="00EE29E0" w:rsidRPr="00EF0E2A">
        <w:t xml:space="preserve"> </w:t>
      </w:r>
      <w:r w:rsidR="009111CF" w:rsidRPr="00EF0E2A">
        <w:t xml:space="preserve">pas garanti. </w:t>
      </w:r>
      <w:r w:rsidR="008250C5">
        <w:t>À</w:t>
      </w:r>
      <w:r w:rsidR="008250C5" w:rsidRPr="00EF0E2A">
        <w:t xml:space="preserve"> </w:t>
      </w:r>
      <w:r w:rsidR="009111CF" w:rsidRPr="00EF0E2A">
        <w:t>l’exception –</w:t>
      </w:r>
      <w:r w:rsidR="00EE29E0">
        <w:t> </w:t>
      </w:r>
      <w:r w:rsidR="009111CF" w:rsidRPr="00EF0E2A">
        <w:t>relative</w:t>
      </w:r>
      <w:r w:rsidR="00EE29E0">
        <w:t> </w:t>
      </w:r>
      <w:r w:rsidR="009111CF" w:rsidRPr="00EF0E2A">
        <w:t xml:space="preserve">– de Lomé, aucune des infirmeries des prisons visitées ne </w:t>
      </w:r>
      <w:r w:rsidR="00A92F74" w:rsidRPr="00EF0E2A">
        <w:t>dispos</w:t>
      </w:r>
      <w:r w:rsidR="00A92F74">
        <w:t>e</w:t>
      </w:r>
      <w:r w:rsidR="00A92F74" w:rsidRPr="00EF0E2A">
        <w:t xml:space="preserve"> </w:t>
      </w:r>
      <w:r w:rsidR="009111CF" w:rsidRPr="00EF0E2A">
        <w:t>d’au moins un infirmier et de consultations régulières de médecins généralistes et spéciali</w:t>
      </w:r>
      <w:r w:rsidR="00EE29E0">
        <w:t>s</w:t>
      </w:r>
      <w:r w:rsidR="009111CF" w:rsidRPr="00EF0E2A">
        <w:t xml:space="preserve">és. Dans les prisons de </w:t>
      </w:r>
      <w:proofErr w:type="spellStart"/>
      <w:r w:rsidR="009111CF" w:rsidRPr="00EF0E2A">
        <w:t>Notsé</w:t>
      </w:r>
      <w:proofErr w:type="spellEnd"/>
      <w:r w:rsidR="009111CF" w:rsidRPr="00EF0E2A">
        <w:t xml:space="preserve"> et Kara, par exemple, il n’y avait ni infirmier</w:t>
      </w:r>
      <w:r w:rsidR="00D126BB">
        <w:t>,</w:t>
      </w:r>
      <w:r w:rsidR="009111CF" w:rsidRPr="00EF0E2A">
        <w:t xml:space="preserve"> ni médecin</w:t>
      </w:r>
      <w:r w:rsidR="00A92F74">
        <w:t xml:space="preserve"> au moment de la visite</w:t>
      </w:r>
      <w:r w:rsidR="009111CF" w:rsidRPr="00EF0E2A">
        <w:t>. En cas d’urgence, le détenu est transporté</w:t>
      </w:r>
      <w:r w:rsidR="00D126BB">
        <w:t xml:space="preserve"> </w:t>
      </w:r>
      <w:r w:rsidR="00D126BB" w:rsidRPr="00EF0E2A">
        <w:t xml:space="preserve">à l’hôpital voisin ou au </w:t>
      </w:r>
      <w:proofErr w:type="spellStart"/>
      <w:r w:rsidR="00D126BB" w:rsidRPr="00EF0E2A">
        <w:t>Cabano</w:t>
      </w:r>
      <w:proofErr w:type="spellEnd"/>
      <w:r w:rsidR="009111CF" w:rsidRPr="00EF0E2A">
        <w:t xml:space="preserve"> </w:t>
      </w:r>
      <w:r w:rsidR="00E02052">
        <w:t>au</w:t>
      </w:r>
      <w:r w:rsidR="00D126BB">
        <w:t>x</w:t>
      </w:r>
      <w:r w:rsidR="00E02052">
        <w:t xml:space="preserve"> frais de la famille</w:t>
      </w:r>
      <w:r w:rsidR="00D126BB">
        <w:t>,</w:t>
      </w:r>
      <w:r w:rsidR="00E02052">
        <w:t xml:space="preserve"> ou menotté à la moto person</w:t>
      </w:r>
      <w:r w:rsidR="00D126BB">
        <w:t>n</w:t>
      </w:r>
      <w:r w:rsidR="00E02052">
        <w:t>elle du gardien</w:t>
      </w:r>
      <w:r w:rsidR="009111CF" w:rsidRPr="00EF0E2A">
        <w:t xml:space="preserve">. </w:t>
      </w:r>
    </w:p>
    <w:p w:rsidR="009111CF" w:rsidRPr="00111A5F" w:rsidRDefault="00053464" w:rsidP="001E4146">
      <w:pPr>
        <w:pStyle w:val="SingleTxtG"/>
      </w:pPr>
      <w:r>
        <w:t>47.</w:t>
      </w:r>
      <w:r>
        <w:tab/>
      </w:r>
      <w:r w:rsidR="009111CF" w:rsidRPr="00EF0E2A">
        <w:t xml:space="preserve">L’unité d’hospitalisation sécurisée à vocation nationale, le </w:t>
      </w:r>
      <w:proofErr w:type="spellStart"/>
      <w:r w:rsidR="009111CF" w:rsidRPr="00EF0E2A">
        <w:t>Cabano</w:t>
      </w:r>
      <w:proofErr w:type="spellEnd"/>
      <w:r w:rsidR="00EE29E0">
        <w:t>,</w:t>
      </w:r>
      <w:r w:rsidR="009111CF" w:rsidRPr="00EF0E2A">
        <w:t xml:space="preserve"> au </w:t>
      </w:r>
      <w:r w:rsidR="00896DE5">
        <w:t>centre hospitalier universitaire</w:t>
      </w:r>
      <w:r w:rsidR="009111CF" w:rsidRPr="00EF0E2A">
        <w:t xml:space="preserve"> de Lomé, est constamment surpeuplée (66 patients pour 27 lits le jour de la visite). Elle ne permet pas un accueil et un suivi médical satisfaisants des patients, a fortiori des patientes</w:t>
      </w:r>
      <w:r w:rsidR="0037514A">
        <w:t>,</w:t>
      </w:r>
      <w:r w:rsidR="009111CF" w:rsidRPr="00EF0E2A">
        <w:t xml:space="preserve"> puisque celles-ci ne disposent pas de lits. Le jour de la visite, les quatre femmes qui venaient pour consulter le médecin devaient donc attendre leur </w:t>
      </w:r>
      <w:r w:rsidR="009111CF" w:rsidRPr="00EF0E2A">
        <w:lastRenderedPageBreak/>
        <w:t>tour dehors et ne pouvaient en aucun cas rester sur place</w:t>
      </w:r>
      <w:r w:rsidR="00397510">
        <w:t xml:space="preserve">. Le suivi médical et les soins étaient assurés par l’équipe du service de cardiologie du </w:t>
      </w:r>
      <w:r w:rsidR="00896DE5">
        <w:t>centre hospitalier</w:t>
      </w:r>
      <w:r w:rsidR="006E7790">
        <w:t xml:space="preserve"> en semaine et en journée, </w:t>
      </w:r>
      <w:r w:rsidR="00146209">
        <w:t xml:space="preserve">et </w:t>
      </w:r>
      <w:r w:rsidR="006E7790">
        <w:t xml:space="preserve">par le service de garde de l’ensemble du </w:t>
      </w:r>
      <w:r w:rsidR="00896DE5">
        <w:t>centre hospitalier</w:t>
      </w:r>
      <w:r w:rsidR="006E7790">
        <w:t xml:space="preserve"> le reste du temps. Depuis peu</w:t>
      </w:r>
      <w:r w:rsidR="00397510">
        <w:t xml:space="preserve">, </w:t>
      </w:r>
      <w:r w:rsidR="00D126BB">
        <w:t>trois</w:t>
      </w:r>
      <w:r w:rsidR="00397510">
        <w:t xml:space="preserve"> infirmiers militaires</w:t>
      </w:r>
      <w:r w:rsidR="006E7790">
        <w:t xml:space="preserve"> assuraient sur place à tour de rôle une permanence de journée et de semaine</w:t>
      </w:r>
      <w:r w:rsidR="009111CF" w:rsidRPr="00EF0E2A">
        <w:t>.</w:t>
      </w:r>
    </w:p>
    <w:p w:rsidR="009111CF" w:rsidRPr="00EF0E2A" w:rsidRDefault="00053464" w:rsidP="00F87BFD">
      <w:pPr>
        <w:pStyle w:val="SingleTxtG"/>
      </w:pPr>
      <w:r>
        <w:t>48</w:t>
      </w:r>
      <w:r w:rsidR="009111CF">
        <w:t>.</w:t>
      </w:r>
      <w:r w:rsidR="009111CF">
        <w:tab/>
      </w:r>
      <w:r w:rsidR="009111CF" w:rsidRPr="00EF0E2A">
        <w:t xml:space="preserve">La situation des personnes détenues défavorisées ne pouvant assumer le coût des soins </w:t>
      </w:r>
      <w:r w:rsidR="00A92F74">
        <w:t>est</w:t>
      </w:r>
      <w:r w:rsidR="00A92F74" w:rsidRPr="00EF0E2A">
        <w:t xml:space="preserve"> </w:t>
      </w:r>
      <w:r w:rsidR="009111CF" w:rsidRPr="00EF0E2A">
        <w:t>extrêmement préoccupante puisque les soins, y compris urgents, sont conditionnés par leur paiement. Le défaut de traitement approprié par absence de source de financement, en dehors d</w:t>
      </w:r>
      <w:r w:rsidR="00105D9B">
        <w:t>e l</w:t>
      </w:r>
      <w:r w:rsidR="00105D9B" w:rsidRPr="00926DC8">
        <w:t>’</w:t>
      </w:r>
      <w:r w:rsidR="00105D9B">
        <w:t>appui</w:t>
      </w:r>
      <w:r w:rsidR="009111CF" w:rsidRPr="00EF0E2A">
        <w:t xml:space="preserve"> des </w:t>
      </w:r>
      <w:r w:rsidR="008D7020">
        <w:t>organisations non gouvernementales</w:t>
      </w:r>
      <w:r w:rsidR="009111CF" w:rsidRPr="00EF0E2A">
        <w:t xml:space="preserve"> </w:t>
      </w:r>
      <w:r w:rsidR="00680CA2">
        <w:t xml:space="preserve">(ONG) </w:t>
      </w:r>
      <w:r w:rsidR="009111CF" w:rsidRPr="00EF0E2A">
        <w:t>et de quelques programmes ciblés (tuberculose, VIH</w:t>
      </w:r>
      <w:r w:rsidR="00D126BB">
        <w:t>, etc.</w:t>
      </w:r>
      <w:r w:rsidR="009111CF" w:rsidRPr="00EF0E2A">
        <w:t>), se traduit très concrètement par un nombre élevé de décès (</w:t>
      </w:r>
      <w:r w:rsidR="00105D9B">
        <w:t>on en comptait</w:t>
      </w:r>
      <w:r w:rsidR="009111CF" w:rsidRPr="00EF0E2A">
        <w:t xml:space="preserve"> à Lomé 31 en 2012, 23 en 2013</w:t>
      </w:r>
      <w:r w:rsidR="00105D9B">
        <w:t xml:space="preserve"> et</w:t>
      </w:r>
      <w:r w:rsidR="00105D9B" w:rsidRPr="00EF0E2A">
        <w:t xml:space="preserve"> </w:t>
      </w:r>
      <w:r w:rsidR="009111CF" w:rsidRPr="00EF0E2A">
        <w:t>18 fin novembre 2014), dont beaucoup auraient pu être évités par de</w:t>
      </w:r>
      <w:r w:rsidR="00C05672">
        <w:t>s</w:t>
      </w:r>
      <w:r w:rsidR="009111CF" w:rsidRPr="00EF0E2A">
        <w:t xml:space="preserve"> traitements adaptés. </w:t>
      </w:r>
    </w:p>
    <w:p w:rsidR="00397510" w:rsidRDefault="00053464" w:rsidP="00A657AD">
      <w:pPr>
        <w:pStyle w:val="SingleTxtG"/>
        <w:rPr>
          <w:b/>
        </w:rPr>
      </w:pPr>
      <w:r w:rsidRPr="000F5D67">
        <w:rPr>
          <w:bCs/>
        </w:rPr>
        <w:t>49</w:t>
      </w:r>
      <w:r w:rsidR="009111CF" w:rsidRPr="000F5D67">
        <w:rPr>
          <w:bCs/>
        </w:rPr>
        <w:t>.</w:t>
      </w:r>
      <w:r w:rsidR="009111CF" w:rsidRPr="000F5D67">
        <w:rPr>
          <w:bCs/>
        </w:rPr>
        <w:tab/>
      </w:r>
      <w:r w:rsidR="00C05672">
        <w:rPr>
          <w:b/>
        </w:rPr>
        <w:t xml:space="preserve">Le </w:t>
      </w:r>
      <w:r w:rsidR="00293C94" w:rsidRPr="00C9720C">
        <w:rPr>
          <w:b/>
          <w:bCs/>
        </w:rPr>
        <w:t>Sous-Comité</w:t>
      </w:r>
      <w:r w:rsidR="00C05672">
        <w:rPr>
          <w:b/>
        </w:rPr>
        <w:t xml:space="preserve"> rappelle à </w:t>
      </w:r>
      <w:r w:rsidR="006F62DF">
        <w:rPr>
          <w:b/>
        </w:rPr>
        <w:t>l</w:t>
      </w:r>
      <w:r w:rsidR="009111CF" w:rsidRPr="00EF0E2A">
        <w:rPr>
          <w:b/>
        </w:rPr>
        <w:t>’</w:t>
      </w:r>
      <w:r w:rsidR="00B36B0D">
        <w:rPr>
          <w:b/>
        </w:rPr>
        <w:t>État</w:t>
      </w:r>
      <w:r w:rsidR="009111CF" w:rsidRPr="00EF0E2A">
        <w:rPr>
          <w:b/>
        </w:rPr>
        <w:t xml:space="preserve"> </w:t>
      </w:r>
      <w:r w:rsidR="006F62DF">
        <w:rPr>
          <w:b/>
        </w:rPr>
        <w:t>partie</w:t>
      </w:r>
      <w:r w:rsidR="006F62DF" w:rsidRPr="00EF0E2A">
        <w:rPr>
          <w:b/>
        </w:rPr>
        <w:t xml:space="preserve"> </w:t>
      </w:r>
      <w:r w:rsidR="00C05672">
        <w:rPr>
          <w:b/>
        </w:rPr>
        <w:t xml:space="preserve">qu’il </w:t>
      </w:r>
      <w:r w:rsidR="009111CF" w:rsidRPr="00EF0E2A">
        <w:rPr>
          <w:b/>
        </w:rPr>
        <w:t xml:space="preserve">doit assurer aux personnes détenues </w:t>
      </w:r>
      <w:r w:rsidR="00F24CB0">
        <w:rPr>
          <w:b/>
        </w:rPr>
        <w:t xml:space="preserve">un </w:t>
      </w:r>
      <w:r w:rsidR="009111CF" w:rsidRPr="00EF0E2A">
        <w:rPr>
          <w:b/>
        </w:rPr>
        <w:t xml:space="preserve">accès aux soins de santé </w:t>
      </w:r>
      <w:r w:rsidR="00F24CB0">
        <w:rPr>
          <w:b/>
        </w:rPr>
        <w:t xml:space="preserve">conforme </w:t>
      </w:r>
      <w:r w:rsidR="00A657AD">
        <w:rPr>
          <w:b/>
        </w:rPr>
        <w:t>à l</w:t>
      </w:r>
      <w:r w:rsidR="00A657AD" w:rsidRPr="00A657AD">
        <w:rPr>
          <w:b/>
        </w:rPr>
        <w:t>’</w:t>
      </w:r>
      <w:r w:rsidR="00A657AD">
        <w:rPr>
          <w:b/>
        </w:rPr>
        <w:t>Ensemble de r</w:t>
      </w:r>
      <w:r w:rsidR="009111CF" w:rsidRPr="00EF0E2A">
        <w:rPr>
          <w:b/>
        </w:rPr>
        <w:t xml:space="preserve">ègles </w:t>
      </w:r>
      <w:r w:rsidR="00A657AD">
        <w:rPr>
          <w:b/>
        </w:rPr>
        <w:t>m</w:t>
      </w:r>
      <w:r w:rsidR="00A657AD" w:rsidRPr="00EF0E2A">
        <w:rPr>
          <w:b/>
        </w:rPr>
        <w:t xml:space="preserve">inima </w:t>
      </w:r>
      <w:r w:rsidR="00D126BB">
        <w:rPr>
          <w:b/>
        </w:rPr>
        <w:t xml:space="preserve">pour le traitement des détenus. </w:t>
      </w:r>
      <w:r w:rsidR="00293C94">
        <w:rPr>
          <w:b/>
        </w:rPr>
        <w:t>Il</w:t>
      </w:r>
      <w:r w:rsidR="00C05672">
        <w:rPr>
          <w:b/>
        </w:rPr>
        <w:t xml:space="preserve"> recommande à </w:t>
      </w:r>
      <w:r w:rsidR="00C53508">
        <w:rPr>
          <w:b/>
        </w:rPr>
        <w:t>l</w:t>
      </w:r>
      <w:r w:rsidR="009111CF" w:rsidRPr="00EF0E2A">
        <w:rPr>
          <w:b/>
        </w:rPr>
        <w:t>’</w:t>
      </w:r>
      <w:r w:rsidR="00B36B0D">
        <w:rPr>
          <w:b/>
        </w:rPr>
        <w:t>État</w:t>
      </w:r>
      <w:r w:rsidR="009111CF" w:rsidRPr="00EF0E2A">
        <w:rPr>
          <w:b/>
        </w:rPr>
        <w:t xml:space="preserve"> partie </w:t>
      </w:r>
      <w:r w:rsidR="00C05672">
        <w:rPr>
          <w:b/>
        </w:rPr>
        <w:t xml:space="preserve">de </w:t>
      </w:r>
      <w:r w:rsidR="009111CF" w:rsidRPr="00EF0E2A">
        <w:rPr>
          <w:b/>
        </w:rPr>
        <w:t xml:space="preserve">prendre les mesures nécessaires afin que chaque établissement pénitentiaire dispose des services réguliers d’un médecin qualifié </w:t>
      </w:r>
      <w:r w:rsidR="00D126BB">
        <w:rPr>
          <w:b/>
        </w:rPr>
        <w:t>pour examiner</w:t>
      </w:r>
      <w:r w:rsidR="009111CF" w:rsidRPr="00EF0E2A">
        <w:rPr>
          <w:b/>
        </w:rPr>
        <w:t xml:space="preserve"> chaque détenu aussitôt que possible après son admission</w:t>
      </w:r>
      <w:r w:rsidR="00D126BB">
        <w:rPr>
          <w:b/>
        </w:rPr>
        <w:t>,</w:t>
      </w:r>
      <w:r w:rsidR="009111CF" w:rsidRPr="00EF0E2A">
        <w:rPr>
          <w:b/>
        </w:rPr>
        <w:t xml:space="preserve"> et </w:t>
      </w:r>
      <w:r w:rsidR="00D126BB">
        <w:rPr>
          <w:b/>
        </w:rPr>
        <w:t xml:space="preserve">pour </w:t>
      </w:r>
      <w:r w:rsidR="009111CF" w:rsidRPr="00EF0E2A">
        <w:rPr>
          <w:b/>
        </w:rPr>
        <w:t>surveille</w:t>
      </w:r>
      <w:r w:rsidR="00D126BB">
        <w:rPr>
          <w:b/>
        </w:rPr>
        <w:t>r</w:t>
      </w:r>
      <w:r w:rsidR="009111CF" w:rsidRPr="00EF0E2A">
        <w:rPr>
          <w:b/>
        </w:rPr>
        <w:t xml:space="preserve"> la santé physique et mentale des </w:t>
      </w:r>
      <w:r w:rsidR="00D126BB">
        <w:rPr>
          <w:b/>
        </w:rPr>
        <w:t xml:space="preserve">personnes </w:t>
      </w:r>
      <w:r w:rsidR="009111CF" w:rsidRPr="00EF0E2A">
        <w:rPr>
          <w:b/>
        </w:rPr>
        <w:t>détenu</w:t>
      </w:r>
      <w:r w:rsidR="00D126BB">
        <w:rPr>
          <w:b/>
        </w:rPr>
        <w:t>e</w:t>
      </w:r>
      <w:r w:rsidR="009111CF" w:rsidRPr="00EF0E2A">
        <w:rPr>
          <w:b/>
        </w:rPr>
        <w:t>s, notamment par l</w:t>
      </w:r>
      <w:r w:rsidR="006F645E">
        <w:rPr>
          <w:b/>
        </w:rPr>
        <w:t>a création</w:t>
      </w:r>
      <w:r w:rsidR="009111CF" w:rsidRPr="00EF0E2A">
        <w:rPr>
          <w:b/>
        </w:rPr>
        <w:t xml:space="preserve"> d</w:t>
      </w:r>
      <w:r w:rsidR="006F645E" w:rsidRPr="006F645E">
        <w:rPr>
          <w:b/>
        </w:rPr>
        <w:t>’</w:t>
      </w:r>
      <w:r w:rsidR="006F645E">
        <w:rPr>
          <w:b/>
        </w:rPr>
        <w:t>un</w:t>
      </w:r>
      <w:r w:rsidR="009111CF" w:rsidRPr="00EF0E2A">
        <w:rPr>
          <w:b/>
        </w:rPr>
        <w:t xml:space="preserve"> dossier médica</w:t>
      </w:r>
      <w:r w:rsidR="006F645E">
        <w:rPr>
          <w:b/>
        </w:rPr>
        <w:t>l</w:t>
      </w:r>
      <w:r w:rsidR="009111CF" w:rsidRPr="00EF0E2A">
        <w:rPr>
          <w:b/>
        </w:rPr>
        <w:t xml:space="preserve"> pour </w:t>
      </w:r>
      <w:r w:rsidR="00D126BB">
        <w:rPr>
          <w:b/>
        </w:rPr>
        <w:t>chacune d’elles</w:t>
      </w:r>
      <w:r w:rsidR="009111CF" w:rsidRPr="00EF0E2A">
        <w:rPr>
          <w:b/>
        </w:rPr>
        <w:t xml:space="preserve">. </w:t>
      </w:r>
    </w:p>
    <w:p w:rsidR="00E22670" w:rsidRDefault="00053464">
      <w:pPr>
        <w:pStyle w:val="SingleTxtG"/>
        <w:rPr>
          <w:b/>
        </w:rPr>
      </w:pPr>
      <w:r w:rsidRPr="000F5D67">
        <w:rPr>
          <w:bCs/>
        </w:rPr>
        <w:t>50.</w:t>
      </w:r>
      <w:r w:rsidRPr="000F5D67">
        <w:rPr>
          <w:bCs/>
        </w:rPr>
        <w:tab/>
      </w:r>
      <w:r w:rsidR="00E22670">
        <w:rPr>
          <w:b/>
        </w:rPr>
        <w:t xml:space="preserve">Le </w:t>
      </w:r>
      <w:r w:rsidR="00293C94" w:rsidRPr="00C9720C">
        <w:rPr>
          <w:b/>
          <w:bCs/>
        </w:rPr>
        <w:t>Sous-Comité</w:t>
      </w:r>
      <w:r w:rsidR="00E22670">
        <w:rPr>
          <w:b/>
        </w:rPr>
        <w:t xml:space="preserve"> recommande que le </w:t>
      </w:r>
      <w:proofErr w:type="spellStart"/>
      <w:r w:rsidR="00E22670">
        <w:rPr>
          <w:b/>
        </w:rPr>
        <w:t>Cabano</w:t>
      </w:r>
      <w:proofErr w:type="spellEnd"/>
      <w:r w:rsidR="00E22670">
        <w:rPr>
          <w:b/>
        </w:rPr>
        <w:t xml:space="preserve"> soit entièrement rénové, que le nombre total de lits soit adapté aux besoins, que des lits soient </w:t>
      </w:r>
      <w:r w:rsidR="00AB4E40">
        <w:rPr>
          <w:b/>
        </w:rPr>
        <w:t xml:space="preserve">réservés </w:t>
      </w:r>
      <w:r w:rsidR="00E22670">
        <w:rPr>
          <w:b/>
        </w:rPr>
        <w:t>aux femmes et aux mineurs et que les malades contagieux puissent être effectivement isolés</w:t>
      </w:r>
      <w:r w:rsidR="00DB14D2">
        <w:rPr>
          <w:b/>
        </w:rPr>
        <w:t>.</w:t>
      </w:r>
      <w:r w:rsidR="00E22670">
        <w:rPr>
          <w:b/>
        </w:rPr>
        <w:t xml:space="preserve"> En outre, </w:t>
      </w:r>
      <w:r w:rsidR="00293C94">
        <w:rPr>
          <w:b/>
        </w:rPr>
        <w:t>il</w:t>
      </w:r>
      <w:r w:rsidR="006E7790">
        <w:rPr>
          <w:b/>
        </w:rPr>
        <w:t xml:space="preserve"> recommande d’augmenter la présence médicale au </w:t>
      </w:r>
      <w:proofErr w:type="spellStart"/>
      <w:r w:rsidR="006E7790">
        <w:rPr>
          <w:b/>
        </w:rPr>
        <w:t>Cabano</w:t>
      </w:r>
      <w:proofErr w:type="spellEnd"/>
      <w:r w:rsidR="006E7790">
        <w:rPr>
          <w:b/>
        </w:rPr>
        <w:t xml:space="preserve"> en y affectant un médecin à temps plein. </w:t>
      </w:r>
    </w:p>
    <w:p w:rsidR="009111CF" w:rsidRPr="00EF0E2A" w:rsidRDefault="00053464">
      <w:pPr>
        <w:pStyle w:val="SingleTxtG"/>
        <w:rPr>
          <w:b/>
        </w:rPr>
      </w:pPr>
      <w:r w:rsidRPr="000F5D67">
        <w:rPr>
          <w:bCs/>
        </w:rPr>
        <w:t>51.</w:t>
      </w:r>
      <w:r w:rsidRPr="000F5D67">
        <w:rPr>
          <w:bCs/>
        </w:rPr>
        <w:tab/>
      </w:r>
      <w:r w:rsidR="00F24CB0">
        <w:rPr>
          <w:b/>
        </w:rPr>
        <w:t xml:space="preserve">Le </w:t>
      </w:r>
      <w:r w:rsidR="00293C94" w:rsidRPr="00C9720C">
        <w:rPr>
          <w:b/>
          <w:bCs/>
        </w:rPr>
        <w:t>Sous-Comité</w:t>
      </w:r>
      <w:r w:rsidR="00F24CB0">
        <w:rPr>
          <w:b/>
        </w:rPr>
        <w:t xml:space="preserve"> recommande à l’</w:t>
      </w:r>
      <w:r w:rsidR="00B36B0D">
        <w:rPr>
          <w:b/>
        </w:rPr>
        <w:t>État</w:t>
      </w:r>
      <w:r w:rsidR="00F24CB0">
        <w:rPr>
          <w:b/>
        </w:rPr>
        <w:t xml:space="preserve"> partie d’assurer </w:t>
      </w:r>
      <w:r w:rsidR="00B71466">
        <w:rPr>
          <w:b/>
        </w:rPr>
        <w:t xml:space="preserve">un accès </w:t>
      </w:r>
      <w:r w:rsidR="00F24CB0">
        <w:rPr>
          <w:b/>
        </w:rPr>
        <w:t xml:space="preserve">aux traitements </w:t>
      </w:r>
      <w:r w:rsidR="00B71466">
        <w:rPr>
          <w:b/>
        </w:rPr>
        <w:t xml:space="preserve">à </w:t>
      </w:r>
      <w:r w:rsidR="00F24CB0">
        <w:rPr>
          <w:b/>
        </w:rPr>
        <w:t>tous les détenus</w:t>
      </w:r>
      <w:r w:rsidR="00AB4E40">
        <w:rPr>
          <w:b/>
        </w:rPr>
        <w:t>,</w:t>
      </w:r>
      <w:r w:rsidR="00F24CB0">
        <w:rPr>
          <w:b/>
        </w:rPr>
        <w:t xml:space="preserve"> y compris </w:t>
      </w:r>
      <w:r w:rsidR="00B71466">
        <w:rPr>
          <w:b/>
        </w:rPr>
        <w:t xml:space="preserve">aux </w:t>
      </w:r>
      <w:r w:rsidR="00F24CB0">
        <w:rPr>
          <w:b/>
        </w:rPr>
        <w:t xml:space="preserve">indigents. </w:t>
      </w:r>
      <w:r w:rsidR="006E7790">
        <w:rPr>
          <w:b/>
        </w:rPr>
        <w:t xml:space="preserve">Il encourage </w:t>
      </w:r>
      <w:r w:rsidR="009111CF" w:rsidRPr="00EF0E2A">
        <w:rPr>
          <w:b/>
        </w:rPr>
        <w:t>l’</w:t>
      </w:r>
      <w:r w:rsidR="00B36B0D">
        <w:rPr>
          <w:b/>
        </w:rPr>
        <w:t>État</w:t>
      </w:r>
      <w:r w:rsidR="009111CF" w:rsidRPr="00EF0E2A">
        <w:rPr>
          <w:b/>
        </w:rPr>
        <w:t xml:space="preserve"> partie</w:t>
      </w:r>
      <w:r w:rsidR="006E7790">
        <w:rPr>
          <w:b/>
        </w:rPr>
        <w:t xml:space="preserve"> à</w:t>
      </w:r>
      <w:r w:rsidR="009111CF" w:rsidRPr="00EF0E2A">
        <w:rPr>
          <w:b/>
        </w:rPr>
        <w:t xml:space="preserve"> entamer </w:t>
      </w:r>
      <w:r w:rsidR="006E7790">
        <w:rPr>
          <w:b/>
        </w:rPr>
        <w:t xml:space="preserve">une </w:t>
      </w:r>
      <w:r w:rsidR="009111CF" w:rsidRPr="00EF0E2A">
        <w:rPr>
          <w:b/>
        </w:rPr>
        <w:t xml:space="preserve">réflexion sur l’intégration de la prise en charge sanitaire de la population pénale à la réforme du système de santé en cours et </w:t>
      </w:r>
      <w:r w:rsidR="006E7790">
        <w:rPr>
          <w:b/>
        </w:rPr>
        <w:t>à</w:t>
      </w:r>
      <w:r>
        <w:rPr>
          <w:b/>
        </w:rPr>
        <w:t xml:space="preserve"> </w:t>
      </w:r>
      <w:r w:rsidR="009111CF" w:rsidRPr="00EF0E2A">
        <w:rPr>
          <w:b/>
        </w:rPr>
        <w:t>envisager notamment une extension du régime de protection sociale</w:t>
      </w:r>
      <w:r w:rsidRPr="00053464">
        <w:rPr>
          <w:b/>
        </w:rPr>
        <w:t>.</w:t>
      </w:r>
    </w:p>
    <w:p w:rsidR="009111CF" w:rsidRPr="00EF0E2A" w:rsidRDefault="004B1E89" w:rsidP="004B1E89">
      <w:pPr>
        <w:pStyle w:val="H4G"/>
      </w:pPr>
      <w:r>
        <w:tab/>
      </w:r>
      <w:r>
        <w:tab/>
      </w:r>
      <w:r w:rsidR="009111CF" w:rsidRPr="00EF0E2A">
        <w:t xml:space="preserve">L’hôpital psychiatrique de </w:t>
      </w:r>
      <w:proofErr w:type="spellStart"/>
      <w:r w:rsidR="009111CF" w:rsidRPr="00EF0E2A">
        <w:t>Zébé</w:t>
      </w:r>
      <w:proofErr w:type="spellEnd"/>
    </w:p>
    <w:p w:rsidR="009111CF" w:rsidRDefault="00053464" w:rsidP="00DE66FC">
      <w:pPr>
        <w:pStyle w:val="SingleTxtG"/>
        <w:rPr>
          <w:lang w:val="fr-FR"/>
        </w:rPr>
      </w:pPr>
      <w:r>
        <w:t>52</w:t>
      </w:r>
      <w:r w:rsidR="009111CF">
        <w:t>.</w:t>
      </w:r>
      <w:r w:rsidR="009111CF">
        <w:tab/>
      </w:r>
      <w:r w:rsidR="009111CF" w:rsidRPr="00EF0E2A">
        <w:t xml:space="preserve">Le </w:t>
      </w:r>
      <w:r w:rsidR="00DE66FC">
        <w:t>Sous-Comité</w:t>
      </w:r>
      <w:r w:rsidR="009111CF" w:rsidRPr="00EF0E2A">
        <w:t xml:space="preserve"> a visité l’hôpital psychiatrique de </w:t>
      </w:r>
      <w:proofErr w:type="spellStart"/>
      <w:r w:rsidR="009111CF" w:rsidRPr="00EF0E2A">
        <w:t>Zébé</w:t>
      </w:r>
      <w:proofErr w:type="spellEnd"/>
      <w:r w:rsidR="009111CF" w:rsidRPr="00EF0E2A">
        <w:t xml:space="preserve">, seul hôpital psychiatrique pour l’ensemble du territoire national. L’hôpital </w:t>
      </w:r>
      <w:r w:rsidR="00B319F3">
        <w:t xml:space="preserve">était </w:t>
      </w:r>
      <w:r w:rsidR="009111CF" w:rsidRPr="00EF0E2A">
        <w:t xml:space="preserve">surpeuplé (166 patients pour 136 lits le jour de la visite), mais les conditions matérielles y </w:t>
      </w:r>
      <w:r w:rsidR="00B319F3">
        <w:t xml:space="preserve">étaient </w:t>
      </w:r>
      <w:r w:rsidR="009111CF" w:rsidRPr="00EF0E2A">
        <w:t xml:space="preserve">convenables </w:t>
      </w:r>
      <w:r w:rsidR="00B319F3">
        <w:t>en matière</w:t>
      </w:r>
      <w:r w:rsidR="009111CF" w:rsidRPr="00EF0E2A">
        <w:t xml:space="preserve"> </w:t>
      </w:r>
      <w:r w:rsidR="00B319F3">
        <w:t>d’</w:t>
      </w:r>
      <w:r w:rsidR="009111CF" w:rsidRPr="00EF0E2A">
        <w:t>hygiène</w:t>
      </w:r>
      <w:r w:rsidR="00B319F3">
        <w:t>, d’entretien des locaux</w:t>
      </w:r>
      <w:r w:rsidR="009111CF" w:rsidRPr="00EF0E2A">
        <w:t xml:space="preserve"> et </w:t>
      </w:r>
      <w:r w:rsidR="00B319F3">
        <w:t>d’</w:t>
      </w:r>
      <w:r w:rsidR="009111CF" w:rsidRPr="00EF0E2A">
        <w:t xml:space="preserve">espace disponible. Par ailleurs, le </w:t>
      </w:r>
      <w:r w:rsidR="00DE66FC">
        <w:t>Sous-Comité</w:t>
      </w:r>
      <w:r w:rsidR="009111CF" w:rsidRPr="00EF0E2A">
        <w:t xml:space="preserve"> </w:t>
      </w:r>
      <w:r w:rsidR="00B319F3">
        <w:t xml:space="preserve">a </w:t>
      </w:r>
      <w:r w:rsidR="009111CF" w:rsidRPr="00EF0E2A">
        <w:t>not</w:t>
      </w:r>
      <w:r w:rsidR="00B319F3">
        <w:t>é</w:t>
      </w:r>
      <w:r w:rsidR="009111CF" w:rsidRPr="00EF0E2A">
        <w:t xml:space="preserve"> avec satisfaction que</w:t>
      </w:r>
      <w:r w:rsidR="009111CF" w:rsidRPr="00EF0E2A">
        <w:rPr>
          <w:lang w:val="fr-FR"/>
        </w:rPr>
        <w:t xml:space="preserve"> la direction de l’hôpital et le médecin</w:t>
      </w:r>
      <w:r w:rsidR="00E4069C">
        <w:rPr>
          <w:lang w:val="fr-FR"/>
        </w:rPr>
        <w:t>-</w:t>
      </w:r>
      <w:r w:rsidR="009111CF" w:rsidRPr="00EF0E2A">
        <w:rPr>
          <w:lang w:val="fr-FR"/>
        </w:rPr>
        <w:t xml:space="preserve">chef </w:t>
      </w:r>
      <w:r w:rsidR="00B319F3">
        <w:rPr>
          <w:lang w:val="fr-FR"/>
        </w:rPr>
        <w:t xml:space="preserve">s’étaient </w:t>
      </w:r>
      <w:r w:rsidR="009111CF" w:rsidRPr="00EF0E2A">
        <w:rPr>
          <w:lang w:val="fr-FR"/>
        </w:rPr>
        <w:t xml:space="preserve">engagés dans une diversification de l’offre de </w:t>
      </w:r>
      <w:r w:rsidR="009111CF" w:rsidRPr="00AF0EBF">
        <w:rPr>
          <w:lang w:val="fr-FR"/>
        </w:rPr>
        <w:t>soins avec la création d’un centre de consultations et de soins ambulatoires en centre-ville à Lomé, ce qui constitue une alternative bienvenue à l’hospitalisation.</w:t>
      </w:r>
      <w:r w:rsidR="00B319F3" w:rsidRPr="00AF0EBF">
        <w:rPr>
          <w:lang w:val="fr-FR"/>
        </w:rPr>
        <w:t xml:space="preserve"> Cela dit, le nombre de psychiatre (un) et d’assistants médicaux (trois) </w:t>
      </w:r>
      <w:r w:rsidR="00D85693" w:rsidRPr="00AF0EBF">
        <w:rPr>
          <w:lang w:val="fr-FR"/>
        </w:rPr>
        <w:t xml:space="preserve">est apparu </w:t>
      </w:r>
      <w:r w:rsidR="00136101" w:rsidRPr="00AF0EBF">
        <w:rPr>
          <w:lang w:val="fr-FR"/>
        </w:rPr>
        <w:t xml:space="preserve">notoirement </w:t>
      </w:r>
      <w:r w:rsidR="00D85693" w:rsidRPr="00AF0EBF">
        <w:rPr>
          <w:lang w:val="fr-FR"/>
        </w:rPr>
        <w:t>insuffisant</w:t>
      </w:r>
      <w:r w:rsidR="00136101" w:rsidRPr="00AF0EBF">
        <w:rPr>
          <w:lang w:val="fr-FR"/>
        </w:rPr>
        <w:t>.</w:t>
      </w:r>
    </w:p>
    <w:p w:rsidR="00631816" w:rsidRPr="00AF0EBF" w:rsidRDefault="00AF0EBF" w:rsidP="00DE66FC">
      <w:pPr>
        <w:pStyle w:val="SingleTxtG"/>
      </w:pPr>
      <w:r>
        <w:t>53.</w:t>
      </w:r>
      <w:r>
        <w:tab/>
      </w:r>
      <w:r w:rsidR="00631816" w:rsidRPr="00EF0E2A">
        <w:t xml:space="preserve">Le </w:t>
      </w:r>
      <w:r w:rsidR="00DE66FC">
        <w:t>Sous-Comité</w:t>
      </w:r>
      <w:r w:rsidR="00631816" w:rsidRPr="00EF0E2A">
        <w:t xml:space="preserve"> relève qu’aucune allégation de mauvais traitements n’a été recueillie durant les entretiens</w:t>
      </w:r>
      <w:r>
        <w:t xml:space="preserve"> et que les visites des familles sont encouragées. </w:t>
      </w:r>
    </w:p>
    <w:p w:rsidR="00136101" w:rsidRDefault="00AF0EBF">
      <w:pPr>
        <w:pStyle w:val="SingleTxtG"/>
      </w:pPr>
      <w:r>
        <w:t>54</w:t>
      </w:r>
      <w:r w:rsidR="009111CF">
        <w:t>.</w:t>
      </w:r>
      <w:r w:rsidR="009111CF">
        <w:tab/>
      </w:r>
      <w:r>
        <w:t xml:space="preserve">Toutefois, le </w:t>
      </w:r>
      <w:r w:rsidR="005F3ABE">
        <w:t>Sous-</w:t>
      </w:r>
      <w:r>
        <w:t>Comité souligne que l</w:t>
      </w:r>
      <w:r w:rsidR="00D85693">
        <w:t xml:space="preserve">a plupart </w:t>
      </w:r>
      <w:r w:rsidR="009111CF" w:rsidRPr="00EF0E2A">
        <w:t xml:space="preserve">des patients y </w:t>
      </w:r>
      <w:r>
        <w:t xml:space="preserve">sont </w:t>
      </w:r>
      <w:r w:rsidR="009111CF" w:rsidRPr="00EF0E2A">
        <w:t>hospitalisés sans leur consentement</w:t>
      </w:r>
      <w:r>
        <w:t> :</w:t>
      </w:r>
      <w:r w:rsidR="00D85693">
        <w:t xml:space="preserve"> </w:t>
      </w:r>
      <w:r>
        <w:t xml:space="preserve">au moment de la visite, </w:t>
      </w:r>
      <w:r w:rsidR="00D85693">
        <w:t>moins d’une dizaine l’étaient à leur demande. La majorité des patients étaient hospitalisés</w:t>
      </w:r>
      <w:r w:rsidR="009111CF" w:rsidRPr="00EF0E2A">
        <w:t xml:space="preserve"> à la demande de leur famille</w:t>
      </w:r>
      <w:r w:rsidR="00583F4E">
        <w:t>, tandis qu</w:t>
      </w:r>
      <w:r w:rsidR="00583F4E" w:rsidRPr="00926DC8">
        <w:t>’</w:t>
      </w:r>
      <w:r w:rsidR="00D85693">
        <w:t xml:space="preserve">une quinzaine l’étaient </w:t>
      </w:r>
      <w:r w:rsidR="00D85693">
        <w:rPr>
          <w:lang w:val="fr-FR"/>
        </w:rPr>
        <w:t xml:space="preserve">sur </w:t>
      </w:r>
      <w:r w:rsidR="009111CF" w:rsidRPr="00EF0E2A">
        <w:rPr>
          <w:lang w:val="fr-FR"/>
        </w:rPr>
        <w:t xml:space="preserve">réquisition du </w:t>
      </w:r>
      <w:r w:rsidR="00583F4E">
        <w:rPr>
          <w:lang w:val="fr-FR"/>
        </w:rPr>
        <w:t>P</w:t>
      </w:r>
      <w:r w:rsidR="00583F4E" w:rsidRPr="00EF0E2A">
        <w:rPr>
          <w:lang w:val="fr-FR"/>
        </w:rPr>
        <w:t xml:space="preserve">rocureur </w:t>
      </w:r>
      <w:r w:rsidR="009111CF" w:rsidRPr="00EF0E2A">
        <w:rPr>
          <w:lang w:val="fr-FR"/>
        </w:rPr>
        <w:t xml:space="preserve">de la République pour troubles à l’ordre public ou </w:t>
      </w:r>
      <w:r w:rsidR="00D85693">
        <w:rPr>
          <w:lang w:val="fr-FR"/>
        </w:rPr>
        <w:t xml:space="preserve">sur </w:t>
      </w:r>
      <w:r w:rsidR="009111CF" w:rsidRPr="00EF0E2A">
        <w:rPr>
          <w:lang w:val="fr-FR"/>
        </w:rPr>
        <w:t>ordonnance du juge pour incompatibilité avec la détention</w:t>
      </w:r>
      <w:r w:rsidR="009111CF" w:rsidRPr="00EF0E2A">
        <w:t xml:space="preserve">. </w:t>
      </w:r>
    </w:p>
    <w:p w:rsidR="009111CF" w:rsidRPr="00EF0E2A" w:rsidRDefault="00AF0EBF">
      <w:pPr>
        <w:pStyle w:val="SingleTxtG"/>
      </w:pPr>
      <w:r w:rsidRPr="00AF0EBF">
        <w:t>55.</w:t>
      </w:r>
      <w:r w:rsidR="00560D50">
        <w:tab/>
      </w:r>
      <w:r w:rsidRPr="00AF0EBF">
        <w:t xml:space="preserve">Le </w:t>
      </w:r>
      <w:r w:rsidR="005F3ABE">
        <w:t>Sous-</w:t>
      </w:r>
      <w:r w:rsidRPr="00AF0EBF">
        <w:t>Comité note également que</w:t>
      </w:r>
      <w:r w:rsidR="009111CF" w:rsidRPr="00AF0EBF">
        <w:t xml:space="preserve"> le recours</w:t>
      </w:r>
      <w:r w:rsidR="009111CF" w:rsidRPr="00EF0E2A">
        <w:t xml:space="preserve"> à l’isolement</w:t>
      </w:r>
      <w:r w:rsidR="00136101">
        <w:t xml:space="preserve"> (avec</w:t>
      </w:r>
      <w:r w:rsidR="00583F4E">
        <w:t>,</w:t>
      </w:r>
      <w:r w:rsidR="00136101">
        <w:t xml:space="preserve"> le cas échéant</w:t>
      </w:r>
      <w:r w:rsidR="00583F4E">
        <w:t>, une</w:t>
      </w:r>
      <w:r w:rsidR="00136101">
        <w:t xml:space="preserve"> </w:t>
      </w:r>
      <w:r w:rsidR="00583F4E">
        <w:t xml:space="preserve">administration </w:t>
      </w:r>
      <w:r w:rsidR="00136101">
        <w:t>de traitements médicamenteux sous contrainte)</w:t>
      </w:r>
      <w:r w:rsidR="009111CF" w:rsidRPr="00EF0E2A">
        <w:t xml:space="preserve"> </w:t>
      </w:r>
      <w:r>
        <w:t>est</w:t>
      </w:r>
      <w:r w:rsidR="00136101">
        <w:t xml:space="preserve"> </w:t>
      </w:r>
      <w:r w:rsidR="009111CF" w:rsidRPr="00EF0E2A">
        <w:t>fréquent</w:t>
      </w:r>
      <w:r>
        <w:t xml:space="preserve"> et n’est</w:t>
      </w:r>
      <w:r w:rsidR="009111CF" w:rsidRPr="00EF0E2A">
        <w:t xml:space="preserve"> pas suffisamment </w:t>
      </w:r>
      <w:r w:rsidR="00583F4E">
        <w:t>contrôlé</w:t>
      </w:r>
      <w:r w:rsidR="00583F4E" w:rsidRPr="00EF0E2A">
        <w:t xml:space="preserve"> </w:t>
      </w:r>
      <w:r w:rsidR="009111CF" w:rsidRPr="00EF0E2A">
        <w:t>ni documenté</w:t>
      </w:r>
      <w:r>
        <w:t>,</w:t>
      </w:r>
      <w:r w:rsidR="009111CF" w:rsidRPr="00EF0E2A">
        <w:t xml:space="preserve"> et s’appliqu</w:t>
      </w:r>
      <w:r>
        <w:t>e en</w:t>
      </w:r>
      <w:r w:rsidR="00FA2B57" w:rsidRPr="00EF0E2A">
        <w:t xml:space="preserve"> </w:t>
      </w:r>
      <w:r w:rsidR="009111CF" w:rsidRPr="00EF0E2A">
        <w:t xml:space="preserve">l’absence de </w:t>
      </w:r>
      <w:r>
        <w:t>lignes directrices</w:t>
      </w:r>
      <w:r w:rsidR="009111CF" w:rsidRPr="00EF0E2A">
        <w:t>, sans inscription dans un registre ad hoc ni inscription systématique dans le dossier médical.</w:t>
      </w:r>
    </w:p>
    <w:p w:rsidR="00BE2876" w:rsidRDefault="00BE2876">
      <w:pPr>
        <w:pStyle w:val="SingleTxtG"/>
        <w:rPr>
          <w:strike/>
        </w:rPr>
      </w:pPr>
      <w:r>
        <w:t>56</w:t>
      </w:r>
      <w:r w:rsidR="009111CF">
        <w:t>.</w:t>
      </w:r>
      <w:r w:rsidR="009111CF">
        <w:tab/>
      </w:r>
      <w:r w:rsidR="00AF0EBF" w:rsidRPr="00EF0E2A">
        <w:t xml:space="preserve">Les soins </w:t>
      </w:r>
      <w:r>
        <w:t>prodigués sont</w:t>
      </w:r>
      <w:r w:rsidR="00AF0EBF" w:rsidRPr="00EF0E2A">
        <w:t xml:space="preserve"> relativement diversifiés incluant des prises en charge individuelles et de groupe. </w:t>
      </w:r>
      <w:r w:rsidR="009111CF" w:rsidRPr="00EF0E2A">
        <w:t xml:space="preserve">Le </w:t>
      </w:r>
      <w:r w:rsidR="005F3ABE">
        <w:t>Sous-Comité</w:t>
      </w:r>
      <w:r w:rsidR="009111CF" w:rsidRPr="00EF0E2A">
        <w:t xml:space="preserve"> est </w:t>
      </w:r>
      <w:r w:rsidR="00AF0EBF">
        <w:t xml:space="preserve">toutefois </w:t>
      </w:r>
      <w:r w:rsidR="009111CF" w:rsidRPr="00EF0E2A">
        <w:t xml:space="preserve">préoccupé par la situation des personnes défavorisées </w:t>
      </w:r>
      <w:r w:rsidR="00A05F77">
        <w:t xml:space="preserve">qui </w:t>
      </w:r>
      <w:r w:rsidR="00A05F77" w:rsidRPr="00EF0E2A">
        <w:t>constitu</w:t>
      </w:r>
      <w:r w:rsidR="00A05F77">
        <w:t>e</w:t>
      </w:r>
      <w:r w:rsidR="00A05F77" w:rsidRPr="00EF0E2A">
        <w:t xml:space="preserve">nt </w:t>
      </w:r>
      <w:r w:rsidR="009111CF" w:rsidRPr="00EF0E2A">
        <w:t>plus de 60</w:t>
      </w:r>
      <w:r w:rsidR="00F56690">
        <w:t> </w:t>
      </w:r>
      <w:r w:rsidR="009111CF" w:rsidRPr="00EF0E2A">
        <w:t xml:space="preserve">% des patients </w:t>
      </w:r>
      <w:r w:rsidR="00A05F77">
        <w:t xml:space="preserve">et </w:t>
      </w:r>
      <w:r w:rsidR="00417BDD">
        <w:t>qui</w:t>
      </w:r>
      <w:r w:rsidR="00417BDD" w:rsidRPr="00EF0E2A">
        <w:t xml:space="preserve"> </w:t>
      </w:r>
      <w:r w:rsidR="009111CF" w:rsidRPr="00EF0E2A">
        <w:t xml:space="preserve">ne </w:t>
      </w:r>
      <w:r w:rsidR="00417BDD">
        <w:t>peuvent</w:t>
      </w:r>
      <w:r w:rsidR="00417BDD" w:rsidRPr="00EF0E2A">
        <w:t xml:space="preserve"> </w:t>
      </w:r>
      <w:r w:rsidR="009111CF" w:rsidRPr="00EF0E2A">
        <w:t xml:space="preserve">pas assumer le coût des soins. Bien que l’hôpital les prenne en charge, au prix d’un déficit </w:t>
      </w:r>
      <w:r w:rsidR="009111CF" w:rsidRPr="00EF0E2A">
        <w:lastRenderedPageBreak/>
        <w:t xml:space="preserve">budgétaire structurel, il ne </w:t>
      </w:r>
      <w:r w:rsidR="00FA2B57">
        <w:t>peut</w:t>
      </w:r>
      <w:r w:rsidR="00FA2B57" w:rsidRPr="00EF0E2A">
        <w:t xml:space="preserve"> </w:t>
      </w:r>
      <w:r w:rsidR="009111CF" w:rsidRPr="00EF0E2A">
        <w:t>leur assurer que des traitements médicamenteux de base</w:t>
      </w:r>
      <w:r w:rsidR="00FA0B76">
        <w:t xml:space="preserve"> avec un choix très limité</w:t>
      </w:r>
      <w:r w:rsidR="009111CF" w:rsidRPr="00EF0E2A">
        <w:t xml:space="preserve">. </w:t>
      </w:r>
    </w:p>
    <w:p w:rsidR="009111CF" w:rsidRPr="00EF0E2A" w:rsidRDefault="009111CF" w:rsidP="005F3ABE">
      <w:pPr>
        <w:pStyle w:val="SingleTxtG"/>
      </w:pPr>
      <w:r>
        <w:t>5</w:t>
      </w:r>
      <w:r w:rsidR="00BE2876">
        <w:t>7</w:t>
      </w:r>
      <w:r>
        <w:t>.</w:t>
      </w:r>
      <w:r>
        <w:tab/>
      </w:r>
      <w:r w:rsidRPr="00EF0E2A">
        <w:t xml:space="preserve">Le </w:t>
      </w:r>
      <w:r w:rsidR="005F3ABE">
        <w:t>Sous-Comité</w:t>
      </w:r>
      <w:r w:rsidRPr="00EF0E2A">
        <w:t xml:space="preserve"> est préoccupé par le manque de garanties juridiques, en particulier l’absence de révision périodique des mesures d’hospitalisation involontaire, </w:t>
      </w:r>
      <w:r w:rsidR="00FA0B76">
        <w:t xml:space="preserve">de voies de recours et </w:t>
      </w:r>
      <w:r w:rsidRPr="00EF0E2A">
        <w:t>de procédure de plainte</w:t>
      </w:r>
      <w:r w:rsidR="00BE2876">
        <w:t>, et</w:t>
      </w:r>
      <w:r w:rsidR="00FA0B76">
        <w:t xml:space="preserve"> par l’absence</w:t>
      </w:r>
      <w:r w:rsidRPr="00EF0E2A">
        <w:t xml:space="preserve"> d</w:t>
      </w:r>
      <w:r w:rsidR="00BE2876">
        <w:t>’inspection</w:t>
      </w:r>
      <w:r w:rsidR="00FA2B57" w:rsidRPr="00EF0E2A">
        <w:t xml:space="preserve"> </w:t>
      </w:r>
      <w:r w:rsidR="00FA0B76">
        <w:t xml:space="preserve">régulière </w:t>
      </w:r>
      <w:r w:rsidR="00BE2876">
        <w:t>de l’établissement</w:t>
      </w:r>
      <w:r w:rsidR="00BE2876" w:rsidRPr="00EF0E2A">
        <w:t xml:space="preserve"> </w:t>
      </w:r>
      <w:r w:rsidRPr="00EF0E2A">
        <w:t xml:space="preserve">par </w:t>
      </w:r>
      <w:r w:rsidR="00FA2B57">
        <w:t xml:space="preserve">les </w:t>
      </w:r>
      <w:r w:rsidRPr="00EF0E2A">
        <w:t>autorité</w:t>
      </w:r>
      <w:r w:rsidR="00FA2B57">
        <w:t>s</w:t>
      </w:r>
      <w:r w:rsidRPr="00EF0E2A">
        <w:t xml:space="preserve"> judiciaire</w:t>
      </w:r>
      <w:r w:rsidR="00FA2B57">
        <w:t>s</w:t>
      </w:r>
      <w:r w:rsidRPr="00EF0E2A">
        <w:t xml:space="preserve"> ou administrative</w:t>
      </w:r>
      <w:r w:rsidR="00FA2B57">
        <w:t>s</w:t>
      </w:r>
      <w:r w:rsidRPr="00EF0E2A">
        <w:t xml:space="preserve">. </w:t>
      </w:r>
    </w:p>
    <w:p w:rsidR="00FA0B76" w:rsidRDefault="009111CF" w:rsidP="007B5711">
      <w:pPr>
        <w:pStyle w:val="SingleTxtG"/>
        <w:rPr>
          <w:b/>
        </w:rPr>
      </w:pPr>
      <w:r w:rsidRPr="000F5D67">
        <w:rPr>
          <w:bCs/>
        </w:rPr>
        <w:t>5</w:t>
      </w:r>
      <w:r w:rsidR="0062768F" w:rsidRPr="000F5D67">
        <w:rPr>
          <w:bCs/>
        </w:rPr>
        <w:t>8</w:t>
      </w:r>
      <w:r w:rsidRPr="000F5D67">
        <w:rPr>
          <w:bCs/>
        </w:rPr>
        <w:t>.</w:t>
      </w:r>
      <w:r w:rsidRPr="000F5D67">
        <w:rPr>
          <w:bCs/>
        </w:rPr>
        <w:tab/>
      </w:r>
      <w:r w:rsidRPr="00EF0E2A">
        <w:rPr>
          <w:b/>
        </w:rPr>
        <w:t xml:space="preserve">Le </w:t>
      </w:r>
      <w:r w:rsidR="007B5711" w:rsidRPr="00C9720C">
        <w:rPr>
          <w:b/>
          <w:bCs/>
        </w:rPr>
        <w:t>Sous-Comité</w:t>
      </w:r>
      <w:r w:rsidRPr="00EF0E2A">
        <w:rPr>
          <w:b/>
        </w:rPr>
        <w:t xml:space="preserve"> invite l’</w:t>
      </w:r>
      <w:r w:rsidR="00B36B0D">
        <w:rPr>
          <w:b/>
        </w:rPr>
        <w:t>État</w:t>
      </w:r>
      <w:r w:rsidRPr="00EF0E2A">
        <w:rPr>
          <w:b/>
        </w:rPr>
        <w:t xml:space="preserve"> partie à s’assurer que la réforme législative en cours intègre </w:t>
      </w:r>
      <w:r w:rsidR="00FA0B76">
        <w:rPr>
          <w:b/>
        </w:rPr>
        <w:t xml:space="preserve">une révision des modalités d’hospitalisation involontaire </w:t>
      </w:r>
      <w:r w:rsidR="00D94516">
        <w:rPr>
          <w:b/>
        </w:rPr>
        <w:t xml:space="preserve">et </w:t>
      </w:r>
      <w:r w:rsidRPr="00EF0E2A">
        <w:rPr>
          <w:b/>
        </w:rPr>
        <w:t xml:space="preserve">une réflexion sur la situation juridique des personnes ayant commis une infraction pénale et souffrant de troubles mentaux, aux différents stades de la procédure pénale. </w:t>
      </w:r>
    </w:p>
    <w:p w:rsidR="009111CF" w:rsidRPr="00EF0E2A" w:rsidRDefault="00D90970">
      <w:pPr>
        <w:pStyle w:val="SingleTxtG"/>
        <w:rPr>
          <w:b/>
        </w:rPr>
      </w:pPr>
      <w:r w:rsidRPr="000F5D67">
        <w:rPr>
          <w:bCs/>
        </w:rPr>
        <w:t>59.</w:t>
      </w:r>
      <w:r w:rsidRPr="000F5D67">
        <w:rPr>
          <w:bCs/>
        </w:rPr>
        <w:tab/>
      </w:r>
      <w:r w:rsidR="009111CF" w:rsidRPr="00EF0E2A">
        <w:rPr>
          <w:b/>
        </w:rPr>
        <w:t xml:space="preserve">Le </w:t>
      </w:r>
      <w:r w:rsidR="007B5711" w:rsidRPr="00C9720C">
        <w:rPr>
          <w:b/>
          <w:bCs/>
        </w:rPr>
        <w:t>Sous-Comité</w:t>
      </w:r>
      <w:r w:rsidR="009111CF" w:rsidRPr="00EF0E2A">
        <w:rPr>
          <w:b/>
        </w:rPr>
        <w:t xml:space="preserve"> recommande également de consacrer des ressources humaines et financières suffisantes au secteur de la santé mentale, de recruter davantage de psychiatres</w:t>
      </w:r>
      <w:r w:rsidR="00437DD7">
        <w:rPr>
          <w:b/>
        </w:rPr>
        <w:t>,</w:t>
      </w:r>
      <w:r w:rsidR="009111CF" w:rsidRPr="00EF0E2A">
        <w:rPr>
          <w:b/>
        </w:rPr>
        <w:t xml:space="preserve"> d’adopter une politique de santé mentale </w:t>
      </w:r>
      <w:r w:rsidR="00CF61D7">
        <w:rPr>
          <w:b/>
        </w:rPr>
        <w:t>conforme aux</w:t>
      </w:r>
      <w:r w:rsidR="009111CF" w:rsidRPr="00EF0E2A">
        <w:rPr>
          <w:b/>
        </w:rPr>
        <w:t xml:space="preserve"> obligations souscrites par le biais de la ratification</w:t>
      </w:r>
      <w:r w:rsidR="00CF61D7">
        <w:rPr>
          <w:b/>
        </w:rPr>
        <w:t>,</w:t>
      </w:r>
      <w:r w:rsidR="009111CF" w:rsidRPr="00EF0E2A">
        <w:rPr>
          <w:b/>
        </w:rPr>
        <w:t xml:space="preserve"> en 2011</w:t>
      </w:r>
      <w:r w:rsidR="00CF61D7">
        <w:rPr>
          <w:b/>
        </w:rPr>
        <w:t>,</w:t>
      </w:r>
      <w:r w:rsidR="009111CF" w:rsidRPr="00EF0E2A">
        <w:rPr>
          <w:b/>
        </w:rPr>
        <w:t xml:space="preserve"> de la Convention relative aux droits des personnes handicapées et </w:t>
      </w:r>
      <w:r w:rsidR="00CF61D7" w:rsidRPr="00EF0E2A">
        <w:rPr>
          <w:b/>
        </w:rPr>
        <w:t>d</w:t>
      </w:r>
      <w:r w:rsidR="00CF61D7" w:rsidRPr="00CF61D7">
        <w:rPr>
          <w:b/>
        </w:rPr>
        <w:t>’</w:t>
      </w:r>
      <w:r w:rsidR="00CF61D7">
        <w:rPr>
          <w:b/>
        </w:rPr>
        <w:t>élaborer</w:t>
      </w:r>
      <w:r w:rsidR="009111CF" w:rsidRPr="00EF0E2A">
        <w:rPr>
          <w:b/>
        </w:rPr>
        <w:t xml:space="preserve"> un plan stratégique national à cet effet. </w:t>
      </w:r>
    </w:p>
    <w:p w:rsidR="00FA0B76" w:rsidRDefault="0033388B" w:rsidP="000F5D67">
      <w:pPr>
        <w:pStyle w:val="SingleTxtG"/>
        <w:rPr>
          <w:b/>
        </w:rPr>
      </w:pPr>
      <w:r>
        <w:rPr>
          <w:bCs/>
        </w:rPr>
        <w:t>60</w:t>
      </w:r>
      <w:r w:rsidR="009111CF" w:rsidRPr="000F5D67">
        <w:rPr>
          <w:bCs/>
        </w:rPr>
        <w:t>.</w:t>
      </w:r>
      <w:r w:rsidR="009111CF" w:rsidRPr="000F5D67">
        <w:rPr>
          <w:bCs/>
        </w:rPr>
        <w:tab/>
      </w:r>
      <w:r w:rsidR="009111CF" w:rsidRPr="00EF0E2A">
        <w:rPr>
          <w:b/>
        </w:rPr>
        <w:t xml:space="preserve">Le </w:t>
      </w:r>
      <w:r w:rsidR="007B5711" w:rsidRPr="00C9720C">
        <w:rPr>
          <w:b/>
          <w:bCs/>
        </w:rPr>
        <w:t>Sous-Comité</w:t>
      </w:r>
      <w:r w:rsidR="009111CF" w:rsidRPr="00EF0E2A">
        <w:rPr>
          <w:b/>
        </w:rPr>
        <w:t xml:space="preserve"> recommande la mise en place immédiate au sein de l’hôpital psychiatrique de </w:t>
      </w:r>
      <w:proofErr w:type="spellStart"/>
      <w:r w:rsidR="009111CF" w:rsidRPr="00EF0E2A">
        <w:rPr>
          <w:b/>
        </w:rPr>
        <w:t>Zébé</w:t>
      </w:r>
      <w:proofErr w:type="spellEnd"/>
      <w:r w:rsidR="009111CF" w:rsidRPr="00EF0E2A">
        <w:rPr>
          <w:b/>
        </w:rPr>
        <w:t xml:space="preserve"> d’un mécanisme de révision périodique des mesures d’hospitalisation involontaire. </w:t>
      </w:r>
    </w:p>
    <w:p w:rsidR="009111CF" w:rsidRPr="00EF0E2A" w:rsidRDefault="0062768F" w:rsidP="000F5D67">
      <w:pPr>
        <w:pStyle w:val="SingleTxtG"/>
        <w:rPr>
          <w:b/>
        </w:rPr>
      </w:pPr>
      <w:r w:rsidRPr="000F5D67">
        <w:rPr>
          <w:bCs/>
        </w:rPr>
        <w:t>6</w:t>
      </w:r>
      <w:r w:rsidR="0033388B">
        <w:rPr>
          <w:bCs/>
        </w:rPr>
        <w:t>1</w:t>
      </w:r>
      <w:r w:rsidRPr="000F5D67">
        <w:rPr>
          <w:bCs/>
        </w:rPr>
        <w:t>.</w:t>
      </w:r>
      <w:r w:rsidRPr="000F5D67">
        <w:rPr>
          <w:bCs/>
        </w:rPr>
        <w:tab/>
      </w:r>
      <w:r w:rsidR="009111CF" w:rsidRPr="00EF0E2A">
        <w:rPr>
          <w:b/>
        </w:rPr>
        <w:t xml:space="preserve">Par ailleurs, les mesures d’isolement prises pour gérer l’agitation et l’agressivité des patients doivent suivre des procédures claires et être systématiquement contrôlées et documentées. </w:t>
      </w:r>
    </w:p>
    <w:p w:rsidR="009111CF" w:rsidRPr="004B1E89" w:rsidRDefault="009111CF" w:rsidP="004B1E89">
      <w:pPr>
        <w:pStyle w:val="H1G"/>
      </w:pPr>
      <w:r w:rsidRPr="004B1E89">
        <w:tab/>
        <w:t>D.</w:t>
      </w:r>
      <w:r w:rsidRPr="004B1E89">
        <w:tab/>
        <w:t xml:space="preserve">Garanties fondamentales </w:t>
      </w:r>
    </w:p>
    <w:p w:rsidR="009111CF" w:rsidRPr="004B1E89" w:rsidRDefault="009111CF" w:rsidP="004B1E89">
      <w:pPr>
        <w:pStyle w:val="H23G"/>
      </w:pPr>
      <w:r w:rsidRPr="004B1E89">
        <w:tab/>
        <w:t>1.</w:t>
      </w:r>
      <w:r w:rsidRPr="004B1E89">
        <w:tab/>
        <w:t>Dans les prisons, commissariats et gendarmeries</w:t>
      </w:r>
    </w:p>
    <w:p w:rsidR="009111CF" w:rsidRPr="00EF0E2A" w:rsidRDefault="0062768F" w:rsidP="000F5D67">
      <w:pPr>
        <w:pStyle w:val="SingleTxtG"/>
      </w:pPr>
      <w:r>
        <w:t>6</w:t>
      </w:r>
      <w:r w:rsidR="0033388B">
        <w:t>2</w:t>
      </w:r>
      <w:r w:rsidR="009111CF">
        <w:t>.</w:t>
      </w:r>
      <w:r w:rsidR="009111CF">
        <w:tab/>
      </w:r>
      <w:r w:rsidR="009111CF" w:rsidRPr="00EF0E2A">
        <w:t xml:space="preserve">La délégation a constaté de graves violations des garanties fondamentales dans la plupart des centres de détention visités. </w:t>
      </w:r>
      <w:r w:rsidR="00EC13C0">
        <w:t>À cet égard</w:t>
      </w:r>
      <w:r w:rsidR="009111CF" w:rsidRPr="00EF0E2A">
        <w:t xml:space="preserve">, le </w:t>
      </w:r>
      <w:r w:rsidR="006C2A57">
        <w:t>Sous-Comité</w:t>
      </w:r>
      <w:r w:rsidR="009111CF" w:rsidRPr="00EF0E2A">
        <w:t xml:space="preserve"> souhaite souligner les points suivants</w:t>
      </w:r>
      <w:r w:rsidR="006C2A57">
        <w:t>.</w:t>
      </w:r>
      <w:r w:rsidR="009111CF" w:rsidRPr="00EF0E2A">
        <w:t xml:space="preserve"> </w:t>
      </w:r>
    </w:p>
    <w:p w:rsidR="009111CF" w:rsidRPr="00EF0E2A" w:rsidRDefault="004B1E89" w:rsidP="004B1E89">
      <w:pPr>
        <w:pStyle w:val="H4G"/>
      </w:pPr>
      <w:r>
        <w:tab/>
      </w:r>
      <w:r>
        <w:tab/>
      </w:r>
      <w:r w:rsidR="009111CF" w:rsidRPr="00EF0E2A">
        <w:t xml:space="preserve">Registres de détention </w:t>
      </w:r>
    </w:p>
    <w:p w:rsidR="009111CF" w:rsidRPr="00EF0E2A" w:rsidRDefault="0062768F" w:rsidP="000F5D67">
      <w:pPr>
        <w:pStyle w:val="SingleTxtG"/>
      </w:pPr>
      <w:r>
        <w:t>6</w:t>
      </w:r>
      <w:r w:rsidR="0033388B">
        <w:t>3</w:t>
      </w:r>
      <w:r w:rsidR="009111CF">
        <w:t>.</w:t>
      </w:r>
      <w:r w:rsidR="009111CF">
        <w:tab/>
      </w:r>
      <w:r w:rsidR="009111CF" w:rsidRPr="00EF0E2A">
        <w:t xml:space="preserve">Le système d’enregistrement actuel ne permet pas d’assurer la garantie de protection contre la torture et les traitements cruels, inhumains ou dégradants. Lors de sa visite </w:t>
      </w:r>
      <w:r w:rsidR="00DD0B66">
        <w:t>dans les</w:t>
      </w:r>
      <w:r w:rsidR="00DD0B66" w:rsidRPr="00EF0E2A">
        <w:t xml:space="preserve"> </w:t>
      </w:r>
      <w:r w:rsidR="009111CF" w:rsidRPr="00EF0E2A">
        <w:t xml:space="preserve">différents lieux de privation de liberté, le </w:t>
      </w:r>
      <w:r w:rsidR="00BA32D4">
        <w:t>Sous-Comité</w:t>
      </w:r>
      <w:r w:rsidR="009111CF" w:rsidRPr="00EF0E2A">
        <w:t xml:space="preserve"> a pu constater une consignation disparate des informations. </w:t>
      </w:r>
    </w:p>
    <w:p w:rsidR="009111CF" w:rsidRPr="00EF0E2A" w:rsidRDefault="0062768F" w:rsidP="000F5D67">
      <w:pPr>
        <w:pStyle w:val="SingleTxtG"/>
      </w:pPr>
      <w:r>
        <w:t>6</w:t>
      </w:r>
      <w:r w:rsidR="0033388B">
        <w:t>4</w:t>
      </w:r>
      <w:r w:rsidR="009111CF">
        <w:t>.</w:t>
      </w:r>
      <w:r w:rsidR="009111CF">
        <w:tab/>
      </w:r>
      <w:r w:rsidR="009111CF" w:rsidRPr="00EF0E2A">
        <w:t>De manière générale</w:t>
      </w:r>
      <w:r w:rsidR="00CF5BFD">
        <w:t>,</w:t>
      </w:r>
      <w:r w:rsidR="009111CF" w:rsidRPr="00EF0E2A">
        <w:t xml:space="preserve"> le </w:t>
      </w:r>
      <w:r w:rsidR="00BA32D4">
        <w:t>Sous-Comité</w:t>
      </w:r>
      <w:r w:rsidR="009111CF" w:rsidRPr="00EF0E2A">
        <w:t xml:space="preserve"> a relevé des incohérences ainsi qu’un manque de rigueur généralisé dans la tenue des registres.</w:t>
      </w:r>
      <w:r w:rsidR="009111CF" w:rsidRPr="00EF0E2A">
        <w:rPr>
          <w:i/>
        </w:rPr>
        <w:t xml:space="preserve"> </w:t>
      </w:r>
      <w:r w:rsidR="009111CF" w:rsidRPr="00EF0E2A">
        <w:t>De plus</w:t>
      </w:r>
      <w:r w:rsidR="009111CF">
        <w:t>,</w:t>
      </w:r>
      <w:r w:rsidR="009111CF" w:rsidRPr="00EF0E2A">
        <w:t xml:space="preserve"> l’information concernant un détenu est souvent fractionnée et consignée dans différentes catégories de registres</w:t>
      </w:r>
      <w:r>
        <w:t xml:space="preserve">, </w:t>
      </w:r>
      <w:r w:rsidR="009111CF" w:rsidRPr="00EF0E2A">
        <w:t xml:space="preserve">ce qui </w:t>
      </w:r>
      <w:r>
        <w:t>complique grandement la compréhension de s</w:t>
      </w:r>
      <w:r w:rsidR="009111CF" w:rsidRPr="00EF0E2A">
        <w:t xml:space="preserve">a situation globale. </w:t>
      </w:r>
      <w:r w:rsidR="008C140E">
        <w:t>À</w:t>
      </w:r>
      <w:r w:rsidR="008C140E" w:rsidRPr="00EF0E2A">
        <w:t xml:space="preserve"> </w:t>
      </w:r>
      <w:r w:rsidR="009111CF" w:rsidRPr="00EF0E2A">
        <w:t>l’exception de l</w:t>
      </w:r>
      <w:r>
        <w:t>a gendarmerie antigang de Kara,</w:t>
      </w:r>
      <w:r w:rsidR="009111CF" w:rsidRPr="00EF0E2A">
        <w:t xml:space="preserve"> dans laquelle le </w:t>
      </w:r>
      <w:r w:rsidR="008C140E">
        <w:t>Sous-Comité</w:t>
      </w:r>
      <w:r w:rsidR="009111CF" w:rsidRPr="00EF0E2A">
        <w:t xml:space="preserve"> a constaté avec satisfaction qu’il existait une gestion informatisée des données</w:t>
      </w:r>
      <w:r w:rsidR="006440F2">
        <w:t xml:space="preserve"> prévues par le </w:t>
      </w:r>
      <w:r w:rsidR="00404BB3">
        <w:t xml:space="preserve">Code </w:t>
      </w:r>
      <w:r w:rsidR="006440F2">
        <w:t>de procédure pénale</w:t>
      </w:r>
      <w:r>
        <w:t xml:space="preserve"> </w:t>
      </w:r>
      <w:r w:rsidR="009111CF" w:rsidRPr="00EF0E2A">
        <w:t>permettant le traitement automatisé des empreintes digitales</w:t>
      </w:r>
      <w:r w:rsidR="006440F2">
        <w:t xml:space="preserve"> et des photos</w:t>
      </w:r>
      <w:r w:rsidR="009111CF" w:rsidRPr="00EF0E2A">
        <w:t>, le système d’enregistrement est manuel</w:t>
      </w:r>
      <w:r w:rsidR="00FA2B57">
        <w:t>,</w:t>
      </w:r>
      <w:r w:rsidR="009111CF" w:rsidRPr="00EF0E2A">
        <w:t xml:space="preserve"> non informatisé</w:t>
      </w:r>
      <w:r w:rsidR="00FA2B57">
        <w:t xml:space="preserve"> et peu fiable</w:t>
      </w:r>
      <w:r w:rsidR="009111CF" w:rsidRPr="00EF0E2A">
        <w:t>.</w:t>
      </w:r>
    </w:p>
    <w:p w:rsidR="009111CF" w:rsidRPr="00EF0E2A" w:rsidRDefault="00C67416">
      <w:pPr>
        <w:pStyle w:val="SingleTxtG"/>
      </w:pPr>
      <w:r>
        <w:t>6</w:t>
      </w:r>
      <w:r w:rsidR="0033388B">
        <w:t>5</w:t>
      </w:r>
      <w:r w:rsidR="009111CF">
        <w:t>.</w:t>
      </w:r>
      <w:r w:rsidR="009111CF">
        <w:tab/>
      </w:r>
      <w:r w:rsidR="009111CF" w:rsidRPr="00EF0E2A">
        <w:t xml:space="preserve">Le </w:t>
      </w:r>
      <w:r w:rsidR="008C140E">
        <w:t>Sous-Comité</w:t>
      </w:r>
      <w:r w:rsidR="009111CF" w:rsidRPr="00EF0E2A">
        <w:t xml:space="preserve"> a également noté avec regret que les registres ne mentionnent jamais les visites des proches ou des avocats, l’état de santé du détenu et la </w:t>
      </w:r>
      <w:r w:rsidR="00FC1E20">
        <w:t>question</w:t>
      </w:r>
      <w:r w:rsidR="00FC1E20" w:rsidRPr="00EF0E2A">
        <w:t xml:space="preserve"> </w:t>
      </w:r>
      <w:r w:rsidR="009111CF" w:rsidRPr="00EF0E2A">
        <w:t xml:space="preserve">de la protection consulaire pour les détenus d’origine étrangère. De plus, il n’est fait aucune mention </w:t>
      </w:r>
      <w:r w:rsidR="00FA2B57">
        <w:t>d</w:t>
      </w:r>
      <w:r w:rsidR="009111CF" w:rsidRPr="00EF0E2A">
        <w:t xml:space="preserve">es personnes considérées comme vulnérables </w:t>
      </w:r>
      <w:r w:rsidR="00FA2B57">
        <w:t>en raison</w:t>
      </w:r>
      <w:r w:rsidR="009111CF" w:rsidRPr="00EF0E2A">
        <w:t xml:space="preserve"> d’un handicap physique </w:t>
      </w:r>
      <w:r w:rsidR="00FA2B57">
        <w:t>ou</w:t>
      </w:r>
      <w:r w:rsidR="00FA2B57" w:rsidRPr="00EF0E2A">
        <w:t xml:space="preserve"> </w:t>
      </w:r>
      <w:r w:rsidR="009111CF" w:rsidRPr="00EF0E2A">
        <w:t>mental</w:t>
      </w:r>
      <w:r w:rsidR="00FA2B57">
        <w:t xml:space="preserve"> par exemple</w:t>
      </w:r>
      <w:r w:rsidR="009111CF" w:rsidRPr="00EF0E2A">
        <w:t xml:space="preserve">. Dans d’autres cas, plusieurs registres </w:t>
      </w:r>
      <w:r w:rsidR="00FA2B57">
        <w:t>essentiels</w:t>
      </w:r>
      <w:r w:rsidR="00FC1E20">
        <w:t>,</w:t>
      </w:r>
      <w:r w:rsidR="00FA2B57" w:rsidRPr="00EF0E2A">
        <w:t xml:space="preserve"> </w:t>
      </w:r>
      <w:r w:rsidR="009111CF" w:rsidRPr="00EF0E2A">
        <w:t xml:space="preserve">tels que les registres de décès, de transfert hospitalier ou pénitentiaire, de sanctions disciplinaires </w:t>
      </w:r>
      <w:r w:rsidR="00FA2B57">
        <w:t xml:space="preserve">ou </w:t>
      </w:r>
      <w:r w:rsidR="009111CF" w:rsidRPr="00EF0E2A">
        <w:t>de visites des autorités judiciaires</w:t>
      </w:r>
      <w:r w:rsidR="00FC1E20">
        <w:t>,</w:t>
      </w:r>
      <w:r w:rsidR="00FA2B57">
        <w:t xml:space="preserve"> </w:t>
      </w:r>
      <w:r w:rsidR="00FA2B57" w:rsidRPr="00EF0E2A">
        <w:t>ne sont pas toujours disponibles</w:t>
      </w:r>
      <w:r w:rsidR="009111CF" w:rsidRPr="00EF0E2A">
        <w:t>.</w:t>
      </w:r>
    </w:p>
    <w:p w:rsidR="009111CF" w:rsidRPr="00EF0E2A" w:rsidRDefault="00C67416" w:rsidP="000F5D67">
      <w:pPr>
        <w:pStyle w:val="SingleTxtG"/>
      </w:pPr>
      <w:r>
        <w:t>6</w:t>
      </w:r>
      <w:r w:rsidR="0033388B">
        <w:t>6</w:t>
      </w:r>
      <w:r w:rsidR="009111CF">
        <w:t>.</w:t>
      </w:r>
      <w:r w:rsidR="009111CF">
        <w:tab/>
      </w:r>
      <w:r w:rsidR="009111CF" w:rsidRPr="00EF0E2A">
        <w:t xml:space="preserve">Concernant les registres des commissariats de police, les heures d’arrivée et de départ des personnes faisant l’objet d’une garde à vue ne sont pas toujours mentionnées, en violation de l’article 53 du Code de procédure pénale, ce qui rend difficile le contrôle du délai légal de la détention provisoire. </w:t>
      </w:r>
    </w:p>
    <w:p w:rsidR="009111CF" w:rsidRPr="00EF0E2A" w:rsidRDefault="00C67416" w:rsidP="000F5D67">
      <w:pPr>
        <w:pStyle w:val="SingleTxtG"/>
        <w:rPr>
          <w:b/>
        </w:rPr>
      </w:pPr>
      <w:r w:rsidRPr="000F5D67">
        <w:rPr>
          <w:bCs/>
        </w:rPr>
        <w:lastRenderedPageBreak/>
        <w:t>6</w:t>
      </w:r>
      <w:r w:rsidR="0033388B">
        <w:rPr>
          <w:bCs/>
        </w:rPr>
        <w:t>7</w:t>
      </w:r>
      <w:r w:rsidR="009111CF" w:rsidRPr="000F5D67">
        <w:rPr>
          <w:bCs/>
        </w:rPr>
        <w:t>.</w:t>
      </w:r>
      <w:r w:rsidR="009111CF" w:rsidRPr="000F5D67">
        <w:rPr>
          <w:bCs/>
        </w:rPr>
        <w:tab/>
      </w:r>
      <w:r w:rsidR="009111CF" w:rsidRPr="00EF0E2A">
        <w:rPr>
          <w:b/>
        </w:rPr>
        <w:t xml:space="preserve">Le </w:t>
      </w:r>
      <w:r w:rsidR="00587DBC" w:rsidRPr="00C9720C">
        <w:rPr>
          <w:b/>
          <w:bCs/>
        </w:rPr>
        <w:t>Sous-Comité</w:t>
      </w:r>
      <w:r w:rsidR="009111CF" w:rsidRPr="00EF0E2A">
        <w:rPr>
          <w:b/>
        </w:rPr>
        <w:t xml:space="preserve"> rappelle à l’</w:t>
      </w:r>
      <w:r w:rsidR="00B36B0D">
        <w:rPr>
          <w:b/>
        </w:rPr>
        <w:t>État</w:t>
      </w:r>
      <w:r w:rsidR="009111CF" w:rsidRPr="00EF0E2A">
        <w:rPr>
          <w:b/>
        </w:rPr>
        <w:t xml:space="preserve"> partie que la tenue des registres doit être rigoureuse et complète. En effet, toutes les informations relatives à la détention d</w:t>
      </w:r>
      <w:r w:rsidR="00FC1E20" w:rsidRPr="00FC1E20">
        <w:rPr>
          <w:b/>
        </w:rPr>
        <w:t>’</w:t>
      </w:r>
      <w:r w:rsidR="00FC1E20">
        <w:rPr>
          <w:b/>
        </w:rPr>
        <w:t>une personn</w:t>
      </w:r>
      <w:r w:rsidR="009111CF" w:rsidRPr="00EF0E2A">
        <w:rPr>
          <w:b/>
        </w:rPr>
        <w:t>e</w:t>
      </w:r>
      <w:r w:rsidR="00FC1E20">
        <w:rPr>
          <w:b/>
        </w:rPr>
        <w:t>,</w:t>
      </w:r>
      <w:r w:rsidR="009111CF" w:rsidRPr="00EF0E2A">
        <w:rPr>
          <w:b/>
        </w:rPr>
        <w:t xml:space="preserve"> telles que la prolongation de la garde à vue, les examens médicaux, les transferts, les visites des autorités judiciaires, les visites de la famille et les cas de décès ainsi que toutes les mesures adoptées y afférentes, doivent être systématiquement consignées dans les registres. De plus, le </w:t>
      </w:r>
      <w:r w:rsidR="00587DBC" w:rsidRPr="00C9720C">
        <w:rPr>
          <w:b/>
          <w:bCs/>
        </w:rPr>
        <w:t>Sous-Comité</w:t>
      </w:r>
      <w:r w:rsidR="009111CF" w:rsidRPr="00EF0E2A">
        <w:rPr>
          <w:b/>
        </w:rPr>
        <w:t xml:space="preserve"> invite les autorités compétentes à contrôler régulièrement</w:t>
      </w:r>
      <w:r w:rsidR="001C0AAE">
        <w:rPr>
          <w:b/>
        </w:rPr>
        <w:t xml:space="preserve"> et efficacement</w:t>
      </w:r>
      <w:r w:rsidR="009111CF" w:rsidRPr="00EF0E2A">
        <w:rPr>
          <w:b/>
        </w:rPr>
        <w:t xml:space="preserve"> la tenue de registres. </w:t>
      </w:r>
    </w:p>
    <w:p w:rsidR="009111CF" w:rsidRPr="00EF0E2A" w:rsidRDefault="00C67416" w:rsidP="000F5D67">
      <w:pPr>
        <w:pStyle w:val="SingleTxtG"/>
        <w:rPr>
          <w:b/>
        </w:rPr>
      </w:pPr>
      <w:r w:rsidRPr="000F5D67">
        <w:rPr>
          <w:bCs/>
        </w:rPr>
        <w:t>6</w:t>
      </w:r>
      <w:r w:rsidR="0033388B">
        <w:rPr>
          <w:bCs/>
        </w:rPr>
        <w:t>8</w:t>
      </w:r>
      <w:r w:rsidR="009111CF" w:rsidRPr="000F5D67">
        <w:rPr>
          <w:bCs/>
        </w:rPr>
        <w:t>.</w:t>
      </w:r>
      <w:r w:rsidR="009111CF" w:rsidRPr="000F5D67">
        <w:rPr>
          <w:bCs/>
        </w:rPr>
        <w:tab/>
      </w:r>
      <w:r w:rsidR="009111CF" w:rsidRPr="00EF0E2A">
        <w:rPr>
          <w:b/>
        </w:rPr>
        <w:t xml:space="preserve">Le </w:t>
      </w:r>
      <w:r w:rsidR="00587DBC" w:rsidRPr="00C9720C">
        <w:rPr>
          <w:b/>
          <w:bCs/>
        </w:rPr>
        <w:t>Sous-Comité</w:t>
      </w:r>
      <w:r w:rsidR="009111CF" w:rsidRPr="00EF0E2A">
        <w:rPr>
          <w:b/>
        </w:rPr>
        <w:t xml:space="preserve"> </w:t>
      </w:r>
      <w:r w:rsidR="00E22670">
        <w:rPr>
          <w:b/>
        </w:rPr>
        <w:t xml:space="preserve">recommande </w:t>
      </w:r>
      <w:r w:rsidR="009111CF" w:rsidRPr="00EF0E2A">
        <w:rPr>
          <w:b/>
        </w:rPr>
        <w:t>à l’</w:t>
      </w:r>
      <w:r w:rsidR="00B36B0D">
        <w:rPr>
          <w:b/>
        </w:rPr>
        <w:t>État</w:t>
      </w:r>
      <w:r w:rsidR="009111CF" w:rsidRPr="00EF0E2A">
        <w:rPr>
          <w:b/>
        </w:rPr>
        <w:t xml:space="preserve"> partie la mise en place d’un système harmonisé, centralisé et informatisé sur toute l’étendue du territoire afin de permettre un contrôle effectif de la légalité de la détention provisoire</w:t>
      </w:r>
      <w:r w:rsidR="0062768F">
        <w:rPr>
          <w:b/>
        </w:rPr>
        <w:t>.</w:t>
      </w:r>
    </w:p>
    <w:p w:rsidR="009111CF" w:rsidRPr="00EF0E2A" w:rsidRDefault="004B1E89">
      <w:pPr>
        <w:pStyle w:val="H4G"/>
      </w:pPr>
      <w:r>
        <w:tab/>
      </w:r>
      <w:r>
        <w:tab/>
      </w:r>
      <w:r w:rsidR="00776F30">
        <w:t>D</w:t>
      </w:r>
      <w:r w:rsidR="009111CF" w:rsidRPr="00EF0E2A">
        <w:t>urée de la garde à vue et de la détention préventive</w:t>
      </w:r>
    </w:p>
    <w:p w:rsidR="009111CF" w:rsidRPr="00EF0E2A" w:rsidRDefault="00C67416" w:rsidP="000F5D67">
      <w:pPr>
        <w:pStyle w:val="SingleTxtG"/>
      </w:pPr>
      <w:r>
        <w:t>6</w:t>
      </w:r>
      <w:r w:rsidR="0033388B">
        <w:t>9</w:t>
      </w:r>
      <w:r w:rsidR="009111CF">
        <w:t>.</w:t>
      </w:r>
      <w:r w:rsidR="009111CF">
        <w:tab/>
      </w:r>
      <w:r w:rsidR="009111CF" w:rsidRPr="00EF0E2A">
        <w:t xml:space="preserve">L’article 52 du </w:t>
      </w:r>
      <w:r w:rsidR="00404BB3">
        <w:t>C</w:t>
      </w:r>
      <w:r w:rsidR="00404BB3" w:rsidRPr="00EF0E2A">
        <w:t xml:space="preserve">ode </w:t>
      </w:r>
      <w:r w:rsidR="009111CF" w:rsidRPr="00EF0E2A">
        <w:t>de procédure pénal</w:t>
      </w:r>
      <w:r w:rsidR="00404BB3">
        <w:t>e</w:t>
      </w:r>
      <w:r w:rsidR="009111CF" w:rsidRPr="00EF0E2A">
        <w:t xml:space="preserve"> togolais prévoit que la durée de la garde à vue </w:t>
      </w:r>
      <w:r w:rsidR="00C34991">
        <w:t>est</w:t>
      </w:r>
      <w:r w:rsidR="00C34991" w:rsidRPr="00EF0E2A">
        <w:t xml:space="preserve"> </w:t>
      </w:r>
      <w:r w:rsidR="009111CF" w:rsidRPr="00EF0E2A">
        <w:t xml:space="preserve">de </w:t>
      </w:r>
      <w:r w:rsidR="0041053B">
        <w:t>quarante-huit</w:t>
      </w:r>
      <w:r w:rsidR="009111CF" w:rsidRPr="00EF0E2A">
        <w:t xml:space="preserve"> heures. Ce délai peut être prolongé de </w:t>
      </w:r>
      <w:r w:rsidR="00404BB3">
        <w:t>quarante-huit</w:t>
      </w:r>
      <w:r w:rsidR="00404BB3" w:rsidRPr="00EF0E2A">
        <w:t xml:space="preserve"> </w:t>
      </w:r>
      <w:r w:rsidR="009111CF" w:rsidRPr="00EF0E2A">
        <w:t xml:space="preserve">heures </w:t>
      </w:r>
      <w:r w:rsidR="00C34991">
        <w:t xml:space="preserve">supplémentaires </w:t>
      </w:r>
      <w:r w:rsidR="009111CF" w:rsidRPr="00EF0E2A">
        <w:t xml:space="preserve">par autorisation du Procureur de la République ou du </w:t>
      </w:r>
      <w:r w:rsidR="00657DF3">
        <w:t>j</w:t>
      </w:r>
      <w:r w:rsidR="00657DF3" w:rsidRPr="00EF0E2A">
        <w:t xml:space="preserve">uge </w:t>
      </w:r>
      <w:r w:rsidR="00657DF3">
        <w:t xml:space="preserve">d’instruction </w:t>
      </w:r>
      <w:r w:rsidR="009111CF" w:rsidRPr="00EF0E2A">
        <w:t xml:space="preserve">et </w:t>
      </w:r>
      <w:r w:rsidR="00494FB8">
        <w:t>peut encore être</w:t>
      </w:r>
      <w:r w:rsidR="009111CF" w:rsidRPr="00EF0E2A">
        <w:t xml:space="preserve"> augmenté de vingt-quatre heures</w:t>
      </w:r>
      <w:r w:rsidR="0062768F">
        <w:t xml:space="preserve"> </w:t>
      </w:r>
      <w:r w:rsidR="009111CF" w:rsidRPr="00EF0E2A">
        <w:t xml:space="preserve">si l’arrestation est opérée </w:t>
      </w:r>
      <w:r w:rsidR="0062768F">
        <w:t>« </w:t>
      </w:r>
      <w:r w:rsidR="009111CF" w:rsidRPr="00EF0E2A">
        <w:t xml:space="preserve">hors du siège du </w:t>
      </w:r>
      <w:r w:rsidR="002C548A">
        <w:t>m</w:t>
      </w:r>
      <w:r w:rsidR="002C548A" w:rsidRPr="00EF0E2A">
        <w:t xml:space="preserve">inistère </w:t>
      </w:r>
      <w:r w:rsidR="009111CF" w:rsidRPr="00EF0E2A">
        <w:t>public</w:t>
      </w:r>
      <w:r w:rsidR="0062768F">
        <w:t> »</w:t>
      </w:r>
      <w:r w:rsidR="009111CF" w:rsidRPr="00EF0E2A">
        <w:t>, temps nécessaire à la conduite de la personne gardée à vue devant le magistrat compétent.</w:t>
      </w:r>
    </w:p>
    <w:p w:rsidR="009111CF" w:rsidRPr="00EF0E2A" w:rsidRDefault="0033388B" w:rsidP="000F5D67">
      <w:pPr>
        <w:pStyle w:val="SingleTxtG"/>
      </w:pPr>
      <w:r>
        <w:t>70</w:t>
      </w:r>
      <w:r w:rsidR="009111CF">
        <w:t>.</w:t>
      </w:r>
      <w:r w:rsidR="009111CF">
        <w:tab/>
      </w:r>
      <w:r w:rsidR="009111CF" w:rsidRPr="00EF0E2A">
        <w:t xml:space="preserve">Le </w:t>
      </w:r>
      <w:r w:rsidR="00B06ACF">
        <w:t>Sous-Comité</w:t>
      </w:r>
      <w:r w:rsidR="009111CF" w:rsidRPr="00EF0E2A">
        <w:t xml:space="preserve"> s’inquiète </w:t>
      </w:r>
      <w:r w:rsidR="00494FB8">
        <w:t>de ce que</w:t>
      </w:r>
      <w:r w:rsidR="009111CF" w:rsidRPr="00EF0E2A">
        <w:t xml:space="preserve"> la garde à vue des personnes appréhendées </w:t>
      </w:r>
      <w:r w:rsidR="00494FB8">
        <w:t>semble</w:t>
      </w:r>
      <w:r w:rsidR="00494FB8" w:rsidRPr="00EF0E2A">
        <w:t xml:space="preserve"> </w:t>
      </w:r>
      <w:r w:rsidR="009111CF" w:rsidRPr="00EF0E2A">
        <w:t>fréquemment prolongée de manière arbitraire dans la plupart des commissariats et gendarmeries</w:t>
      </w:r>
      <w:r w:rsidR="00494FB8">
        <w:t>. Ces prolongations se font</w:t>
      </w:r>
      <w:r w:rsidR="009111CF" w:rsidRPr="00EF0E2A">
        <w:t xml:space="preserve"> sans autorisation officielle et sans </w:t>
      </w:r>
      <w:r w:rsidR="00494FB8">
        <w:t>qu</w:t>
      </w:r>
      <w:r w:rsidR="00C116A8" w:rsidRPr="00926DC8">
        <w:t>’</w:t>
      </w:r>
      <w:r w:rsidR="00494FB8">
        <w:t>un</w:t>
      </w:r>
      <w:r w:rsidR="009111CF" w:rsidRPr="00EF0E2A">
        <w:t xml:space="preserve"> contrôle </w:t>
      </w:r>
      <w:r w:rsidR="00494FB8">
        <w:t xml:space="preserve">soit possible puisque </w:t>
      </w:r>
      <w:r w:rsidR="009111CF" w:rsidRPr="00EF0E2A">
        <w:t>le</w:t>
      </w:r>
      <w:r w:rsidR="00494FB8">
        <w:t>s</w:t>
      </w:r>
      <w:r w:rsidR="009111CF" w:rsidRPr="00EF0E2A">
        <w:t xml:space="preserve"> registre</w:t>
      </w:r>
      <w:r w:rsidR="00494FB8">
        <w:t>s n’indiquent pas</w:t>
      </w:r>
      <w:r w:rsidR="009111CF" w:rsidRPr="00EF0E2A">
        <w:t xml:space="preserve"> </w:t>
      </w:r>
      <w:r w:rsidR="00494FB8">
        <w:t>l</w:t>
      </w:r>
      <w:r w:rsidR="00494FB8" w:rsidRPr="00EF0E2A">
        <w:t xml:space="preserve">es </w:t>
      </w:r>
      <w:r w:rsidR="009111CF" w:rsidRPr="00EF0E2A">
        <w:t xml:space="preserve">heures et dates </w:t>
      </w:r>
      <w:r w:rsidR="00494FB8" w:rsidRPr="00EF0E2A">
        <w:t>d</w:t>
      </w:r>
      <w:r w:rsidR="00494FB8">
        <w:t>e</w:t>
      </w:r>
      <w:r w:rsidR="00494FB8" w:rsidRPr="00EF0E2A">
        <w:t xml:space="preserve"> </w:t>
      </w:r>
      <w:r w:rsidR="009111CF" w:rsidRPr="00EF0E2A">
        <w:t>début et de fin</w:t>
      </w:r>
      <w:r w:rsidR="00494FB8">
        <w:t xml:space="preserve"> supposée</w:t>
      </w:r>
      <w:r w:rsidR="009111CF" w:rsidRPr="00EF0E2A">
        <w:t xml:space="preserve"> de la garde à vue</w:t>
      </w:r>
      <w:r w:rsidR="00494FB8">
        <w:t>,</w:t>
      </w:r>
      <w:r w:rsidR="009111CF" w:rsidRPr="00EF0E2A">
        <w:t xml:space="preserve"> et</w:t>
      </w:r>
      <w:r w:rsidR="00494FB8">
        <w:t xml:space="preserve"> ne contiennent pas</w:t>
      </w:r>
      <w:r w:rsidR="009111CF" w:rsidRPr="00EF0E2A">
        <w:t xml:space="preserve"> la signature du prévenu. </w:t>
      </w:r>
      <w:r w:rsidR="00DB14D2">
        <w:t>À</w:t>
      </w:r>
      <w:r w:rsidR="009111CF" w:rsidRPr="00EF0E2A">
        <w:t xml:space="preserve"> l’exception du parquet de Lomé qui possède une permanence durant les week</w:t>
      </w:r>
      <w:r w:rsidR="00B06ACF">
        <w:t>-</w:t>
      </w:r>
      <w:r w:rsidR="009111CF" w:rsidRPr="00EF0E2A">
        <w:t xml:space="preserve">ends, le </w:t>
      </w:r>
      <w:r w:rsidR="00B06ACF">
        <w:t>Sous-Comité</w:t>
      </w:r>
      <w:r w:rsidR="009111CF" w:rsidRPr="00EF0E2A">
        <w:t xml:space="preserve"> s’interroge sur la gestion des cas où une personne </w:t>
      </w:r>
      <w:r w:rsidR="00494FB8">
        <w:t xml:space="preserve">est </w:t>
      </w:r>
      <w:r w:rsidR="009111CF" w:rsidRPr="00EF0E2A">
        <w:t xml:space="preserve">arrêtée le vendredi et </w:t>
      </w:r>
      <w:r w:rsidR="00494FB8">
        <w:t xml:space="preserve">ne peut pas </w:t>
      </w:r>
      <w:r w:rsidR="009111CF" w:rsidRPr="00EF0E2A">
        <w:t xml:space="preserve">être présentée au Procureur ou au </w:t>
      </w:r>
      <w:r w:rsidR="00C116A8">
        <w:t>p</w:t>
      </w:r>
      <w:r w:rsidR="00C116A8" w:rsidRPr="00EF0E2A">
        <w:t xml:space="preserve">arquet </w:t>
      </w:r>
      <w:r w:rsidR="00494FB8">
        <w:t>pendant le</w:t>
      </w:r>
      <w:r w:rsidR="009111CF" w:rsidRPr="00EF0E2A">
        <w:t xml:space="preserve"> week</w:t>
      </w:r>
      <w:r w:rsidR="00C116A8">
        <w:t>-</w:t>
      </w:r>
      <w:r w:rsidR="009111CF" w:rsidRPr="00EF0E2A">
        <w:t>end.</w:t>
      </w:r>
    </w:p>
    <w:p w:rsidR="009111CF" w:rsidRPr="00EF0E2A" w:rsidRDefault="00C67416" w:rsidP="000F5D67">
      <w:pPr>
        <w:pStyle w:val="SingleTxtG"/>
      </w:pPr>
      <w:r>
        <w:t>7</w:t>
      </w:r>
      <w:r w:rsidR="0033388B">
        <w:t>1</w:t>
      </w:r>
      <w:r w:rsidR="009111CF">
        <w:t>.</w:t>
      </w:r>
      <w:r w:rsidR="009111CF">
        <w:tab/>
      </w:r>
      <w:r w:rsidR="009111CF" w:rsidRPr="00EF0E2A">
        <w:t>Concernant la durée de la détention préventive, des échanges avec les prévenus</w:t>
      </w:r>
      <w:r w:rsidR="00494FB8">
        <w:t xml:space="preserve"> ont</w:t>
      </w:r>
      <w:r w:rsidR="009111CF" w:rsidRPr="00EF0E2A">
        <w:t xml:space="preserve"> permis au </w:t>
      </w:r>
      <w:r w:rsidR="00B06ACF">
        <w:t>Sous-Comité</w:t>
      </w:r>
      <w:r w:rsidR="009111CF" w:rsidRPr="00EF0E2A">
        <w:t xml:space="preserve"> de relever qu’un certain nombre d’entre eux n’avaient pas été informés de la date de leur prochaine comparution devant les instances juridiques </w:t>
      </w:r>
      <w:r w:rsidR="00494FB8">
        <w:t>et ne</w:t>
      </w:r>
      <w:r w:rsidR="009111CF" w:rsidRPr="00EF0E2A">
        <w:t xml:space="preserve"> possèdent </w:t>
      </w:r>
      <w:r w:rsidR="00494FB8">
        <w:t xml:space="preserve">pas </w:t>
      </w:r>
      <w:r w:rsidR="009111CF" w:rsidRPr="00EF0E2A">
        <w:t xml:space="preserve">de copie du titre de détention les concernant. </w:t>
      </w:r>
      <w:r w:rsidR="00494FB8">
        <w:t>L</w:t>
      </w:r>
      <w:r w:rsidR="009111CF" w:rsidRPr="00EF0E2A">
        <w:t>a consultation des registres d’écrou</w:t>
      </w:r>
      <w:r w:rsidR="00494FB8">
        <w:t xml:space="preserve"> confirment leurs propos puisqu’ils</w:t>
      </w:r>
      <w:r w:rsidR="009111CF" w:rsidRPr="00EF0E2A">
        <w:t xml:space="preserve"> </w:t>
      </w:r>
      <w:r w:rsidR="00494FB8">
        <w:t>n’</w:t>
      </w:r>
      <w:r w:rsidR="009111CF" w:rsidRPr="00EF0E2A">
        <w:t xml:space="preserve">incluent </w:t>
      </w:r>
      <w:r w:rsidR="00494FB8">
        <w:t>que</w:t>
      </w:r>
      <w:r w:rsidR="00494FB8" w:rsidRPr="00EF0E2A">
        <w:t xml:space="preserve"> </w:t>
      </w:r>
      <w:r w:rsidR="009111CF" w:rsidRPr="00EF0E2A">
        <w:t>la date de la mise en détention</w:t>
      </w:r>
      <w:r w:rsidR="00494FB8">
        <w:t>, mais pas</w:t>
      </w:r>
      <w:r w:rsidR="009111CF" w:rsidRPr="00EF0E2A">
        <w:t xml:space="preserve"> celle </w:t>
      </w:r>
      <w:r w:rsidR="00494FB8">
        <w:t>du</w:t>
      </w:r>
      <w:r w:rsidR="009111CF" w:rsidRPr="00EF0E2A">
        <w:t xml:space="preserve"> jugement. Les officiers charg</w:t>
      </w:r>
      <w:r w:rsidR="00B547A4">
        <w:t>és</w:t>
      </w:r>
      <w:r w:rsidR="009111CF" w:rsidRPr="00EF0E2A">
        <w:t xml:space="preserve"> de remplir les registres ont de leur côté indiqué au </w:t>
      </w:r>
      <w:r w:rsidR="00B06ACF">
        <w:t>Sous-Comité</w:t>
      </w:r>
      <w:r w:rsidR="009111CF" w:rsidRPr="00EF0E2A">
        <w:t xml:space="preserve"> que l’ordre d’écrou émis par le magistrat ne mentionne jamais </w:t>
      </w:r>
      <w:r w:rsidR="00494FB8" w:rsidRPr="00EF0E2A">
        <w:t>l</w:t>
      </w:r>
      <w:r w:rsidR="00494FB8">
        <w:t>es</w:t>
      </w:r>
      <w:r w:rsidR="00494FB8" w:rsidRPr="00EF0E2A">
        <w:t xml:space="preserve"> </w:t>
      </w:r>
      <w:r w:rsidR="009111CF" w:rsidRPr="00EF0E2A">
        <w:t>date</w:t>
      </w:r>
      <w:r w:rsidR="00494FB8">
        <w:t>s</w:t>
      </w:r>
      <w:r w:rsidR="009111CF" w:rsidRPr="00EF0E2A">
        <w:t xml:space="preserve"> de la prochaine comparution ou </w:t>
      </w:r>
      <w:r w:rsidR="00494FB8">
        <w:t>du</w:t>
      </w:r>
      <w:r w:rsidR="00494FB8" w:rsidRPr="00EF0E2A">
        <w:t xml:space="preserve"> </w:t>
      </w:r>
      <w:r w:rsidR="009111CF" w:rsidRPr="00EF0E2A">
        <w:t>prochain jugement</w:t>
      </w:r>
      <w:r w:rsidR="00494FB8">
        <w:t>, lesquelles restent méconnues des personnes</w:t>
      </w:r>
      <w:r w:rsidR="009111CF" w:rsidRPr="00EF0E2A">
        <w:t xml:space="preserve"> en détention préventive</w:t>
      </w:r>
      <w:r w:rsidR="00C419BA">
        <w:t xml:space="preserve"> et de l’administration pénit</w:t>
      </w:r>
      <w:r w:rsidR="00167BEA">
        <w:t>entiaire</w:t>
      </w:r>
      <w:r w:rsidR="009111CF" w:rsidRPr="00EF0E2A">
        <w:t>.</w:t>
      </w:r>
    </w:p>
    <w:p w:rsidR="009111CF" w:rsidRPr="00EF0E2A" w:rsidRDefault="00C67416" w:rsidP="000F5D67">
      <w:pPr>
        <w:pStyle w:val="SingleTxtG"/>
        <w:rPr>
          <w:b/>
        </w:rPr>
      </w:pPr>
      <w:r w:rsidRPr="000F5D67">
        <w:rPr>
          <w:bCs/>
        </w:rPr>
        <w:t>7</w:t>
      </w:r>
      <w:r w:rsidR="0033388B">
        <w:rPr>
          <w:bCs/>
        </w:rPr>
        <w:t>2</w:t>
      </w:r>
      <w:r w:rsidR="009111CF" w:rsidRPr="000F5D67">
        <w:rPr>
          <w:bCs/>
        </w:rPr>
        <w:t>.</w:t>
      </w:r>
      <w:r w:rsidR="009111CF" w:rsidRPr="000F5D67">
        <w:rPr>
          <w:bCs/>
        </w:rPr>
        <w:tab/>
      </w:r>
      <w:r w:rsidR="009111CF" w:rsidRPr="00EF0E2A">
        <w:rPr>
          <w:b/>
        </w:rPr>
        <w:t xml:space="preserve">Le </w:t>
      </w:r>
      <w:r w:rsidR="003C2F58" w:rsidRPr="00C9720C">
        <w:rPr>
          <w:b/>
          <w:bCs/>
        </w:rPr>
        <w:t>Sous-Comité</w:t>
      </w:r>
      <w:r w:rsidR="009111CF" w:rsidRPr="00EF0E2A">
        <w:rPr>
          <w:b/>
        </w:rPr>
        <w:t xml:space="preserve"> rappelle à l’</w:t>
      </w:r>
      <w:r w:rsidR="00B36B0D">
        <w:rPr>
          <w:b/>
        </w:rPr>
        <w:t>État</w:t>
      </w:r>
      <w:r w:rsidR="009111CF" w:rsidRPr="00EF0E2A">
        <w:rPr>
          <w:b/>
        </w:rPr>
        <w:t xml:space="preserve"> partie que la durée </w:t>
      </w:r>
      <w:r w:rsidR="006D3201">
        <w:rPr>
          <w:b/>
        </w:rPr>
        <w:t>légale</w:t>
      </w:r>
      <w:r w:rsidR="006D3201" w:rsidRPr="00EF0E2A">
        <w:rPr>
          <w:b/>
        </w:rPr>
        <w:t xml:space="preserve"> </w:t>
      </w:r>
      <w:r w:rsidR="009111CF" w:rsidRPr="00EF0E2A">
        <w:rPr>
          <w:b/>
        </w:rPr>
        <w:t>de la garde à vue et les procédures pour prolonger celle-ci</w:t>
      </w:r>
      <w:r w:rsidR="006D3201">
        <w:rPr>
          <w:b/>
        </w:rPr>
        <w:t xml:space="preserve"> doivent être</w:t>
      </w:r>
      <w:r w:rsidR="009111CF" w:rsidRPr="00EF0E2A">
        <w:rPr>
          <w:b/>
        </w:rPr>
        <w:t xml:space="preserve"> strictement respectées par les officiers de police et de gendarmerie, et que les autorités judiciaires </w:t>
      </w:r>
      <w:r w:rsidR="006D3201">
        <w:rPr>
          <w:b/>
        </w:rPr>
        <w:t>ont la responsabilité d’exercer</w:t>
      </w:r>
      <w:r w:rsidR="006D3201" w:rsidRPr="00EF0E2A">
        <w:rPr>
          <w:b/>
        </w:rPr>
        <w:t xml:space="preserve"> </w:t>
      </w:r>
      <w:r w:rsidR="009111CF" w:rsidRPr="00EF0E2A">
        <w:rPr>
          <w:b/>
        </w:rPr>
        <w:t>un contrôle effectif et régulier à cet égard</w:t>
      </w:r>
      <w:r w:rsidR="006D3201">
        <w:rPr>
          <w:b/>
        </w:rPr>
        <w:t xml:space="preserve">, incluant l’amélioration urgente de </w:t>
      </w:r>
      <w:r w:rsidR="009111CF" w:rsidRPr="00EF0E2A">
        <w:rPr>
          <w:b/>
        </w:rPr>
        <w:t>la tenue des registres.</w:t>
      </w:r>
    </w:p>
    <w:p w:rsidR="00FA5E8A" w:rsidRDefault="00C67416" w:rsidP="000F5D67">
      <w:pPr>
        <w:pStyle w:val="SingleTxtG"/>
        <w:rPr>
          <w:b/>
        </w:rPr>
      </w:pPr>
      <w:r w:rsidRPr="000F5D67">
        <w:rPr>
          <w:bCs/>
        </w:rPr>
        <w:t>7</w:t>
      </w:r>
      <w:r w:rsidR="0033388B">
        <w:rPr>
          <w:bCs/>
        </w:rPr>
        <w:t>3</w:t>
      </w:r>
      <w:r w:rsidR="009111CF" w:rsidRPr="000F5D67">
        <w:rPr>
          <w:bCs/>
        </w:rPr>
        <w:t>.</w:t>
      </w:r>
      <w:r w:rsidR="009111CF" w:rsidRPr="000F5D67">
        <w:rPr>
          <w:bCs/>
        </w:rPr>
        <w:tab/>
      </w:r>
      <w:r w:rsidR="009111CF" w:rsidRPr="00EF0E2A">
        <w:rPr>
          <w:b/>
        </w:rPr>
        <w:t xml:space="preserve">Le </w:t>
      </w:r>
      <w:r w:rsidR="003C2F58" w:rsidRPr="00C9720C">
        <w:rPr>
          <w:b/>
          <w:bCs/>
        </w:rPr>
        <w:t>Sous-Comité</w:t>
      </w:r>
      <w:r w:rsidR="009111CF" w:rsidRPr="00EF0E2A">
        <w:rPr>
          <w:b/>
        </w:rPr>
        <w:t xml:space="preserve"> rappelle </w:t>
      </w:r>
      <w:r w:rsidR="006D3201">
        <w:rPr>
          <w:b/>
        </w:rPr>
        <w:t xml:space="preserve">également </w:t>
      </w:r>
      <w:r w:rsidR="009111CF" w:rsidRPr="00EF0E2A">
        <w:rPr>
          <w:b/>
        </w:rPr>
        <w:t>à l’</w:t>
      </w:r>
      <w:r w:rsidR="00B36B0D">
        <w:rPr>
          <w:b/>
        </w:rPr>
        <w:t>État</w:t>
      </w:r>
      <w:r w:rsidR="009111CF" w:rsidRPr="00EF0E2A">
        <w:rPr>
          <w:b/>
        </w:rPr>
        <w:t xml:space="preserve"> partie que le recours à la détention provisoire doit rester exceptionnel</w:t>
      </w:r>
      <w:r w:rsidR="006D3201">
        <w:rPr>
          <w:b/>
        </w:rPr>
        <w:t>,</w:t>
      </w:r>
      <w:r w:rsidR="009111CF" w:rsidRPr="00EF0E2A">
        <w:rPr>
          <w:b/>
        </w:rPr>
        <w:t xml:space="preserve"> </w:t>
      </w:r>
      <w:r w:rsidR="0062768F">
        <w:rPr>
          <w:b/>
        </w:rPr>
        <w:t>conformément à</w:t>
      </w:r>
      <w:r w:rsidR="006D3201" w:rsidRPr="00EF0E2A">
        <w:rPr>
          <w:b/>
        </w:rPr>
        <w:t xml:space="preserve"> </w:t>
      </w:r>
      <w:r w:rsidR="009111CF" w:rsidRPr="00EF0E2A">
        <w:rPr>
          <w:b/>
        </w:rPr>
        <w:t xml:space="preserve">l’article 112 du </w:t>
      </w:r>
      <w:r w:rsidR="009111CF">
        <w:rPr>
          <w:b/>
        </w:rPr>
        <w:t>C</w:t>
      </w:r>
      <w:r w:rsidR="009111CF" w:rsidRPr="00EF0E2A">
        <w:rPr>
          <w:b/>
        </w:rPr>
        <w:t>ode de procédure pénal</w:t>
      </w:r>
      <w:r w:rsidR="009111CF">
        <w:rPr>
          <w:b/>
        </w:rPr>
        <w:t>e</w:t>
      </w:r>
      <w:r w:rsidR="009111CF" w:rsidRPr="00EF0E2A">
        <w:rPr>
          <w:b/>
        </w:rPr>
        <w:t xml:space="preserve"> togolais. </w:t>
      </w:r>
      <w:r w:rsidR="006D3201">
        <w:rPr>
          <w:b/>
        </w:rPr>
        <w:t xml:space="preserve">En ce sens, </w:t>
      </w:r>
      <w:r w:rsidR="003C2F58">
        <w:rPr>
          <w:b/>
        </w:rPr>
        <w:t>il</w:t>
      </w:r>
      <w:r w:rsidR="009111CF" w:rsidRPr="00EF0E2A">
        <w:rPr>
          <w:b/>
        </w:rPr>
        <w:t xml:space="preserve"> </w:t>
      </w:r>
      <w:r w:rsidR="006D3201">
        <w:rPr>
          <w:b/>
        </w:rPr>
        <w:t>recommande à</w:t>
      </w:r>
      <w:r w:rsidR="006D3201" w:rsidRPr="00EF0E2A">
        <w:rPr>
          <w:b/>
        </w:rPr>
        <w:t xml:space="preserve"> </w:t>
      </w:r>
      <w:r w:rsidR="009111CF" w:rsidRPr="00EF0E2A">
        <w:rPr>
          <w:b/>
        </w:rPr>
        <w:t>l’</w:t>
      </w:r>
      <w:r w:rsidR="00B36B0D">
        <w:rPr>
          <w:b/>
        </w:rPr>
        <w:t>État</w:t>
      </w:r>
      <w:r w:rsidR="009111CF" w:rsidRPr="00EF0E2A">
        <w:rPr>
          <w:b/>
        </w:rPr>
        <w:t xml:space="preserve"> partie </w:t>
      </w:r>
      <w:r w:rsidR="006D3201">
        <w:rPr>
          <w:b/>
        </w:rPr>
        <w:t>d’</w:t>
      </w:r>
      <w:r w:rsidR="009111CF" w:rsidRPr="00EF0E2A">
        <w:rPr>
          <w:b/>
        </w:rPr>
        <w:t xml:space="preserve">avoir recours à des mesures </w:t>
      </w:r>
      <w:r w:rsidR="006C2692">
        <w:rPr>
          <w:b/>
        </w:rPr>
        <w:t>de substitution</w:t>
      </w:r>
      <w:r w:rsidR="006C2692" w:rsidRPr="00EF0E2A">
        <w:rPr>
          <w:b/>
        </w:rPr>
        <w:t xml:space="preserve"> </w:t>
      </w:r>
      <w:r w:rsidR="009111CF" w:rsidRPr="00EF0E2A">
        <w:rPr>
          <w:b/>
        </w:rPr>
        <w:t xml:space="preserve">à la privation de liberté pour les délits mineurs et </w:t>
      </w:r>
      <w:r w:rsidR="006D3201">
        <w:rPr>
          <w:b/>
        </w:rPr>
        <w:t>de</w:t>
      </w:r>
      <w:r w:rsidR="009111CF" w:rsidRPr="00EF0E2A">
        <w:rPr>
          <w:b/>
        </w:rPr>
        <w:t xml:space="preserve"> renforcer son système de suivi judicaire. </w:t>
      </w:r>
    </w:p>
    <w:p w:rsidR="009111CF" w:rsidRPr="00EF0E2A" w:rsidRDefault="00C67416" w:rsidP="000F5D67">
      <w:pPr>
        <w:pStyle w:val="SingleTxtG"/>
        <w:rPr>
          <w:b/>
        </w:rPr>
      </w:pPr>
      <w:r w:rsidRPr="000F5D67">
        <w:rPr>
          <w:bCs/>
        </w:rPr>
        <w:t>7</w:t>
      </w:r>
      <w:r w:rsidR="0033388B">
        <w:rPr>
          <w:bCs/>
        </w:rPr>
        <w:t>4</w:t>
      </w:r>
      <w:r w:rsidR="0062768F" w:rsidRPr="000F5D67">
        <w:rPr>
          <w:bCs/>
        </w:rPr>
        <w:t>.</w:t>
      </w:r>
      <w:r w:rsidR="0062768F" w:rsidRPr="000F5D67">
        <w:rPr>
          <w:bCs/>
        </w:rPr>
        <w:tab/>
      </w:r>
      <w:r w:rsidR="00FA5E8A">
        <w:rPr>
          <w:b/>
        </w:rPr>
        <w:t xml:space="preserve">De plus, </w:t>
      </w:r>
      <w:r w:rsidR="0062768F">
        <w:rPr>
          <w:b/>
        </w:rPr>
        <w:t>l</w:t>
      </w:r>
      <w:r w:rsidR="00C419BA">
        <w:rPr>
          <w:b/>
        </w:rPr>
        <w:t xml:space="preserve">e </w:t>
      </w:r>
      <w:r w:rsidR="003C2F58" w:rsidRPr="00C9720C">
        <w:rPr>
          <w:b/>
          <w:bCs/>
        </w:rPr>
        <w:t>Sous-Comité</w:t>
      </w:r>
      <w:r w:rsidR="00FA5E8A">
        <w:rPr>
          <w:b/>
        </w:rPr>
        <w:t xml:space="preserve"> </w:t>
      </w:r>
      <w:r w:rsidR="00583002">
        <w:rPr>
          <w:b/>
        </w:rPr>
        <w:t xml:space="preserve">recommande </w:t>
      </w:r>
      <w:r w:rsidR="00C419BA">
        <w:rPr>
          <w:b/>
        </w:rPr>
        <w:t>à l’</w:t>
      </w:r>
      <w:r w:rsidR="00B36B0D">
        <w:rPr>
          <w:b/>
        </w:rPr>
        <w:t>État</w:t>
      </w:r>
      <w:r w:rsidR="00C419BA">
        <w:rPr>
          <w:b/>
        </w:rPr>
        <w:t xml:space="preserve"> partie </w:t>
      </w:r>
      <w:r w:rsidR="00583002">
        <w:rPr>
          <w:b/>
        </w:rPr>
        <w:t xml:space="preserve">d’instaurer </w:t>
      </w:r>
      <w:r w:rsidR="00C419BA">
        <w:rPr>
          <w:b/>
        </w:rPr>
        <w:t xml:space="preserve">l’obligation </w:t>
      </w:r>
      <w:r w:rsidR="00FA5E8A">
        <w:rPr>
          <w:b/>
        </w:rPr>
        <w:t xml:space="preserve">pour </w:t>
      </w:r>
      <w:r w:rsidR="00C419BA">
        <w:rPr>
          <w:b/>
        </w:rPr>
        <w:t xml:space="preserve">l’autorité judiciaire </w:t>
      </w:r>
      <w:r w:rsidR="00860D8F">
        <w:rPr>
          <w:b/>
        </w:rPr>
        <w:t xml:space="preserve">d’indiquer </w:t>
      </w:r>
      <w:r w:rsidR="00057997">
        <w:rPr>
          <w:b/>
        </w:rPr>
        <w:t xml:space="preserve">explicitement dans le mandat d’écrou </w:t>
      </w:r>
      <w:r w:rsidR="00C419BA">
        <w:rPr>
          <w:b/>
        </w:rPr>
        <w:t>la date de la prochaine comparution, du procès ou du jugement</w:t>
      </w:r>
      <w:r w:rsidR="00057997">
        <w:rPr>
          <w:b/>
        </w:rPr>
        <w:t xml:space="preserve">, et de </w:t>
      </w:r>
      <w:r w:rsidR="00EE1B9D">
        <w:rPr>
          <w:b/>
        </w:rPr>
        <w:t xml:space="preserve">veiller à ce </w:t>
      </w:r>
      <w:r w:rsidR="00057997">
        <w:rPr>
          <w:b/>
        </w:rPr>
        <w:t>que le détenu et l’administration pénitentiaire aient systématiquement accès à cette information.</w:t>
      </w:r>
    </w:p>
    <w:p w:rsidR="009111CF" w:rsidRPr="00EF0E2A" w:rsidRDefault="004B1E89">
      <w:pPr>
        <w:pStyle w:val="H4G"/>
      </w:pPr>
      <w:r>
        <w:tab/>
      </w:r>
      <w:r>
        <w:tab/>
      </w:r>
      <w:r w:rsidR="00776F30">
        <w:t>D</w:t>
      </w:r>
      <w:r w:rsidR="009111CF" w:rsidRPr="00EF0E2A">
        <w:t>roit à un examen médical</w:t>
      </w:r>
    </w:p>
    <w:p w:rsidR="009111CF" w:rsidRDefault="00C67416" w:rsidP="000F5D67">
      <w:pPr>
        <w:pStyle w:val="SingleTxtG"/>
      </w:pPr>
      <w:r>
        <w:t>7</w:t>
      </w:r>
      <w:r w:rsidR="0033388B">
        <w:t>5</w:t>
      </w:r>
      <w:r w:rsidR="009111CF" w:rsidRPr="00EF0E2A">
        <w:t>.</w:t>
      </w:r>
      <w:r w:rsidR="009111CF">
        <w:tab/>
      </w:r>
      <w:r w:rsidR="009111CF" w:rsidRPr="00EF0E2A">
        <w:t>L’absence systématique de registres médicaux dans les commissariats de police et dans les postes de gendarmerie</w:t>
      </w:r>
      <w:r w:rsidR="005D3822">
        <w:t xml:space="preserve"> et </w:t>
      </w:r>
      <w:r w:rsidR="004E58F5">
        <w:t>d</w:t>
      </w:r>
      <w:r w:rsidR="005D3822">
        <w:t>es entretiens avec le personnel et les gardés à vue</w:t>
      </w:r>
      <w:r w:rsidR="009111CF" w:rsidRPr="00EF0E2A">
        <w:t xml:space="preserve"> </w:t>
      </w:r>
      <w:r w:rsidR="005D3822">
        <w:t xml:space="preserve">ont </w:t>
      </w:r>
      <w:r w:rsidR="009111CF" w:rsidRPr="00EF0E2A">
        <w:t xml:space="preserve">permis au </w:t>
      </w:r>
      <w:r w:rsidR="00E7493F">
        <w:t>Sous-Comité</w:t>
      </w:r>
      <w:r w:rsidR="009111CF" w:rsidRPr="00EF0E2A">
        <w:t xml:space="preserve"> d’en déduire que l</w:t>
      </w:r>
      <w:r w:rsidR="00376764" w:rsidRPr="00926DC8">
        <w:t>’</w:t>
      </w:r>
      <w:r w:rsidR="009111CF" w:rsidRPr="00EF0E2A">
        <w:t xml:space="preserve">examen médical </w:t>
      </w:r>
      <w:r w:rsidR="00F479D0">
        <w:t xml:space="preserve">pouvant être </w:t>
      </w:r>
      <w:r w:rsidR="00376764">
        <w:t xml:space="preserve">réalisé </w:t>
      </w:r>
      <w:r w:rsidR="009111CF" w:rsidRPr="00EF0E2A">
        <w:t xml:space="preserve">à la demande de la personne </w:t>
      </w:r>
      <w:r w:rsidR="00515C7F">
        <w:t>en</w:t>
      </w:r>
      <w:r w:rsidR="009111CF" w:rsidRPr="00EF0E2A">
        <w:t xml:space="preserve"> garde à vue ou d’un membre de sa famille, pourtant consacré à </w:t>
      </w:r>
      <w:r w:rsidR="00E144D5">
        <w:lastRenderedPageBreak/>
        <w:t>l’article </w:t>
      </w:r>
      <w:r w:rsidR="009111CF" w:rsidRPr="00EF0E2A">
        <w:t>53</w:t>
      </w:r>
      <w:r w:rsidR="009111CF" w:rsidRPr="000F5D67">
        <w:rPr>
          <w:rStyle w:val="Appelnotedebasdep"/>
        </w:rPr>
        <w:footnoteReference w:id="5"/>
      </w:r>
      <w:r w:rsidR="009111CF" w:rsidRPr="00EF0E2A">
        <w:t xml:space="preserve"> du Code de procédure pénale, ne trouve pas application dans la pratique. Les conditions et moyens permettant à ces personnes de demander un examen médical constituent pourtant une garantie fondamentale pour la prévention de la torture et des mauvais traitements.</w:t>
      </w:r>
      <w:r w:rsidR="004D5C15">
        <w:t xml:space="preserve"> </w:t>
      </w:r>
    </w:p>
    <w:p w:rsidR="009111CF" w:rsidRPr="00057997" w:rsidRDefault="00C67416" w:rsidP="000F5D67">
      <w:pPr>
        <w:pStyle w:val="SingleTxtG"/>
        <w:rPr>
          <w:b/>
          <w:i/>
        </w:rPr>
      </w:pPr>
      <w:r w:rsidRPr="000F5D67">
        <w:rPr>
          <w:bCs/>
        </w:rPr>
        <w:t>7</w:t>
      </w:r>
      <w:r w:rsidR="0033388B">
        <w:rPr>
          <w:bCs/>
        </w:rPr>
        <w:t>6</w:t>
      </w:r>
      <w:r w:rsidR="009111CF" w:rsidRPr="000F5D67">
        <w:rPr>
          <w:bCs/>
        </w:rPr>
        <w:t>.</w:t>
      </w:r>
      <w:r w:rsidR="009111CF" w:rsidRPr="000F5D67">
        <w:rPr>
          <w:bCs/>
        </w:rPr>
        <w:tab/>
      </w:r>
      <w:r w:rsidR="009111CF" w:rsidRPr="001E4146">
        <w:rPr>
          <w:b/>
        </w:rPr>
        <w:t xml:space="preserve">Le </w:t>
      </w:r>
      <w:r w:rsidR="00E7493F" w:rsidRPr="000F5D67">
        <w:rPr>
          <w:b/>
        </w:rPr>
        <w:t>Sous-Comité</w:t>
      </w:r>
      <w:r w:rsidR="009111CF" w:rsidRPr="00EF0E2A">
        <w:rPr>
          <w:b/>
        </w:rPr>
        <w:t xml:space="preserve"> recommande à l’</w:t>
      </w:r>
      <w:r w:rsidR="00B36B0D">
        <w:rPr>
          <w:b/>
        </w:rPr>
        <w:t>État</w:t>
      </w:r>
      <w:r w:rsidR="009111CF" w:rsidRPr="00EF0E2A">
        <w:rPr>
          <w:b/>
        </w:rPr>
        <w:t xml:space="preserve"> partie </w:t>
      </w:r>
      <w:r w:rsidR="00057997">
        <w:rPr>
          <w:b/>
        </w:rPr>
        <w:t xml:space="preserve">d’assurer </w:t>
      </w:r>
      <w:r w:rsidR="009111CF" w:rsidRPr="00EF0E2A">
        <w:rPr>
          <w:b/>
          <w:lang w:val="fr-FR"/>
        </w:rPr>
        <w:t>l</w:t>
      </w:r>
      <w:r w:rsidR="00057997">
        <w:rPr>
          <w:b/>
          <w:lang w:val="fr-FR"/>
        </w:rPr>
        <w:t xml:space="preserve">’organisation </w:t>
      </w:r>
      <w:r w:rsidR="006B0E83" w:rsidRPr="00EF0E2A">
        <w:rPr>
          <w:b/>
          <w:lang w:val="fr-FR"/>
        </w:rPr>
        <w:t xml:space="preserve">d’un examen médical </w:t>
      </w:r>
      <w:r w:rsidR="00057997">
        <w:rPr>
          <w:b/>
          <w:lang w:val="fr-FR"/>
        </w:rPr>
        <w:t>et l</w:t>
      </w:r>
      <w:r w:rsidR="009111CF" w:rsidRPr="00EF0E2A">
        <w:rPr>
          <w:b/>
          <w:lang w:val="fr-FR"/>
        </w:rPr>
        <w:t xml:space="preserve">a prise en charge </w:t>
      </w:r>
      <w:r w:rsidR="00057997">
        <w:rPr>
          <w:b/>
          <w:lang w:val="fr-FR"/>
        </w:rPr>
        <w:t>systématique de</w:t>
      </w:r>
      <w:r w:rsidR="006D3201">
        <w:rPr>
          <w:b/>
          <w:lang w:val="fr-FR"/>
        </w:rPr>
        <w:t xml:space="preserve"> la</w:t>
      </w:r>
      <w:r w:rsidR="009111CF" w:rsidRPr="00EF0E2A">
        <w:rPr>
          <w:b/>
          <w:lang w:val="fr-FR"/>
        </w:rPr>
        <w:t xml:space="preserve"> personne faisant l’objet d’une garde à vue</w:t>
      </w:r>
      <w:r w:rsidR="00057997">
        <w:rPr>
          <w:b/>
          <w:lang w:val="fr-FR"/>
        </w:rPr>
        <w:t>.</w:t>
      </w:r>
    </w:p>
    <w:p w:rsidR="009111CF" w:rsidRPr="00EF0E2A" w:rsidRDefault="004B1E89">
      <w:pPr>
        <w:pStyle w:val="H4G"/>
      </w:pPr>
      <w:r>
        <w:tab/>
      </w:r>
      <w:r>
        <w:tab/>
      </w:r>
      <w:r w:rsidR="00776F30">
        <w:t>D</w:t>
      </w:r>
      <w:r w:rsidR="009111CF" w:rsidRPr="00EF0E2A">
        <w:t xml:space="preserve">roit </w:t>
      </w:r>
      <w:r w:rsidR="00421C9E">
        <w:t>d</w:t>
      </w:r>
      <w:r w:rsidR="00421C9E" w:rsidRPr="00926DC8">
        <w:t>’</w:t>
      </w:r>
      <w:r w:rsidR="009111CF" w:rsidRPr="00EF0E2A">
        <w:t>être informé de ses droits et des motifs de son arrestation</w:t>
      </w:r>
    </w:p>
    <w:p w:rsidR="009111CF" w:rsidRPr="00EF0E2A" w:rsidRDefault="00C67416" w:rsidP="000F5D67">
      <w:pPr>
        <w:pStyle w:val="SingleTxtG"/>
      </w:pPr>
      <w:r>
        <w:t>7</w:t>
      </w:r>
      <w:r w:rsidR="0033388B">
        <w:t>7</w:t>
      </w:r>
      <w:r w:rsidR="009111CF">
        <w:t>.</w:t>
      </w:r>
      <w:r w:rsidR="009111CF">
        <w:tab/>
      </w:r>
      <w:r w:rsidR="009111CF" w:rsidRPr="00EF0E2A">
        <w:t xml:space="preserve">Les personnes interrogées par le </w:t>
      </w:r>
      <w:r w:rsidR="00E7493F">
        <w:t>Sous-Comité</w:t>
      </w:r>
      <w:r w:rsidR="009111CF" w:rsidRPr="00EF0E2A">
        <w:t xml:space="preserve"> ont indiqué qu’elles avaient bien été informées des motifs de leur arrestation</w:t>
      </w:r>
      <w:r w:rsidR="006D3201">
        <w:t>,</w:t>
      </w:r>
      <w:r w:rsidR="009111CF" w:rsidRPr="00EF0E2A">
        <w:t xml:space="preserve"> conformément à l’article 17 de la </w:t>
      </w:r>
      <w:r w:rsidR="00167EC4">
        <w:t>C</w:t>
      </w:r>
      <w:r w:rsidR="00167EC4" w:rsidRPr="00EF0E2A">
        <w:t xml:space="preserve">onstitution </w:t>
      </w:r>
      <w:r w:rsidR="009111CF" w:rsidRPr="00EF0E2A">
        <w:t>togolaise. En revanche</w:t>
      </w:r>
      <w:r w:rsidR="008D2953">
        <w:t>,</w:t>
      </w:r>
      <w:r w:rsidR="009111CF" w:rsidRPr="00EF0E2A">
        <w:t xml:space="preserve"> ces mêmes personnes n’avaient pas eu d’informations et d’explications concernant leurs droits. Le </w:t>
      </w:r>
      <w:r w:rsidR="00E7493F">
        <w:t>Sous-Comité</w:t>
      </w:r>
      <w:r w:rsidR="009111CF" w:rsidRPr="00EF0E2A">
        <w:t xml:space="preserve"> a également constaté l’absence de panneaux ou d’affiches à cet effet dans les gendarmeries et les commissariats. </w:t>
      </w:r>
      <w:r w:rsidR="006D3201">
        <w:t>Même si</w:t>
      </w:r>
      <w:r w:rsidR="009111CF" w:rsidRPr="00EF0E2A">
        <w:t xml:space="preserve"> les dispositions du Code de procédure pénale relatives à la garde à vue ne prévoient pas la notification des droits, </w:t>
      </w:r>
      <w:r w:rsidR="006D3201">
        <w:t>celle-ci fait partie des</w:t>
      </w:r>
      <w:r w:rsidR="009111CF" w:rsidRPr="00EF0E2A">
        <w:t xml:space="preserve"> garantie</w:t>
      </w:r>
      <w:r w:rsidR="006D3201">
        <w:t>s</w:t>
      </w:r>
      <w:r w:rsidR="009111CF" w:rsidRPr="00EF0E2A">
        <w:t xml:space="preserve"> fondamentale</w:t>
      </w:r>
      <w:r w:rsidR="006D3201">
        <w:t>s</w:t>
      </w:r>
      <w:r w:rsidR="009111CF" w:rsidRPr="00EF0E2A">
        <w:t xml:space="preserve"> </w:t>
      </w:r>
      <w:r w:rsidR="006D3201">
        <w:t>que l’</w:t>
      </w:r>
      <w:r w:rsidR="00B36B0D">
        <w:t>État</w:t>
      </w:r>
      <w:r w:rsidR="006D3201">
        <w:t xml:space="preserve"> partie se doit de mettre en œuvre pour</w:t>
      </w:r>
      <w:r w:rsidR="006D3201" w:rsidRPr="00EF0E2A">
        <w:t xml:space="preserve"> </w:t>
      </w:r>
      <w:r w:rsidR="009111CF" w:rsidRPr="00EF0E2A">
        <w:t xml:space="preserve">toute personne détenue. </w:t>
      </w:r>
    </w:p>
    <w:p w:rsidR="009111CF" w:rsidRPr="00EF0E2A" w:rsidRDefault="00C67416" w:rsidP="000F5D67">
      <w:pPr>
        <w:pStyle w:val="SingleTxtG"/>
        <w:rPr>
          <w:b/>
          <w:lang w:val="fr-FR"/>
        </w:rPr>
      </w:pPr>
      <w:r w:rsidRPr="000F5D67">
        <w:rPr>
          <w:bCs/>
        </w:rPr>
        <w:t>7</w:t>
      </w:r>
      <w:r w:rsidR="0033388B">
        <w:rPr>
          <w:bCs/>
        </w:rPr>
        <w:t>8</w:t>
      </w:r>
      <w:r w:rsidR="009111CF" w:rsidRPr="000F5D67">
        <w:rPr>
          <w:bCs/>
        </w:rPr>
        <w:t>.</w:t>
      </w:r>
      <w:r w:rsidR="009111CF" w:rsidRPr="000F5D67">
        <w:rPr>
          <w:bCs/>
        </w:rPr>
        <w:tab/>
      </w:r>
      <w:r w:rsidR="009111CF" w:rsidRPr="001E4146">
        <w:rPr>
          <w:b/>
          <w:lang w:val="fr-FR"/>
        </w:rPr>
        <w:t xml:space="preserve">Le </w:t>
      </w:r>
      <w:r w:rsidR="00167EC4" w:rsidRPr="000F5D67">
        <w:rPr>
          <w:b/>
        </w:rPr>
        <w:t>Sous-Comité</w:t>
      </w:r>
      <w:r w:rsidR="009111CF" w:rsidRPr="00EF0E2A">
        <w:rPr>
          <w:b/>
          <w:lang w:val="fr-FR"/>
        </w:rPr>
        <w:t xml:space="preserve"> recommande que </w:t>
      </w:r>
      <w:r w:rsidR="00CD4F6F">
        <w:rPr>
          <w:b/>
          <w:lang w:val="fr-FR"/>
        </w:rPr>
        <w:t>l</w:t>
      </w:r>
      <w:r w:rsidR="009111CF" w:rsidRPr="00EF0E2A">
        <w:rPr>
          <w:b/>
          <w:lang w:val="fr-FR"/>
        </w:rPr>
        <w:t>’</w:t>
      </w:r>
      <w:r w:rsidR="00B36B0D">
        <w:rPr>
          <w:b/>
          <w:lang w:val="fr-FR"/>
        </w:rPr>
        <w:t>État</w:t>
      </w:r>
      <w:r w:rsidR="009111CF" w:rsidRPr="00EF0E2A">
        <w:rPr>
          <w:b/>
          <w:lang w:val="fr-FR"/>
        </w:rPr>
        <w:t xml:space="preserve"> partie prenne toutes les mesures nécessaires pour que toute personne détenue soit immédiatement informée de ses droits, dans une langue qu’elle puisse comprendre. </w:t>
      </w:r>
      <w:r w:rsidR="00167EC4">
        <w:rPr>
          <w:b/>
          <w:lang w:val="fr-FR"/>
        </w:rPr>
        <w:t>Il</w:t>
      </w:r>
      <w:r w:rsidR="009111CF" w:rsidRPr="00EF0E2A">
        <w:rPr>
          <w:b/>
          <w:lang w:val="fr-FR"/>
        </w:rPr>
        <w:t xml:space="preserve"> recommande également que les officiers de police judicaire et agents de l’État soient régulièrement formés à la question du respect des droits de la défense et des droits fondamentaux en général.</w:t>
      </w:r>
      <w:r w:rsidR="00C419BA">
        <w:rPr>
          <w:b/>
          <w:lang w:val="fr-FR"/>
        </w:rPr>
        <w:t xml:space="preserve"> </w:t>
      </w:r>
      <w:r w:rsidR="001A6BD5">
        <w:rPr>
          <w:b/>
          <w:lang w:val="fr-FR"/>
        </w:rPr>
        <w:t>Le </w:t>
      </w:r>
      <w:r w:rsidR="00167EC4" w:rsidRPr="000F5D67">
        <w:rPr>
          <w:b/>
        </w:rPr>
        <w:t>Sous-Comité</w:t>
      </w:r>
      <w:r w:rsidR="00C419BA" w:rsidRPr="001E4146">
        <w:rPr>
          <w:b/>
          <w:lang w:val="fr-FR"/>
        </w:rPr>
        <w:t xml:space="preserve"> </w:t>
      </w:r>
      <w:r w:rsidR="00C419BA">
        <w:rPr>
          <w:b/>
          <w:lang w:val="fr-FR"/>
        </w:rPr>
        <w:t xml:space="preserve">recommande que </w:t>
      </w:r>
      <w:r w:rsidR="000A5344">
        <w:rPr>
          <w:b/>
          <w:lang w:val="fr-FR"/>
        </w:rPr>
        <w:t xml:space="preserve">les informations </w:t>
      </w:r>
      <w:r w:rsidR="00C419BA">
        <w:rPr>
          <w:b/>
          <w:lang w:val="fr-FR"/>
        </w:rPr>
        <w:t xml:space="preserve">concernant </w:t>
      </w:r>
      <w:r w:rsidR="00244BA0">
        <w:rPr>
          <w:b/>
          <w:lang w:val="fr-FR"/>
        </w:rPr>
        <w:t xml:space="preserve">les droits des personnes arrêtées soient </w:t>
      </w:r>
      <w:r w:rsidR="000A5344">
        <w:rPr>
          <w:b/>
          <w:lang w:val="fr-FR"/>
        </w:rPr>
        <w:t xml:space="preserve">affichées </w:t>
      </w:r>
      <w:r w:rsidR="00244BA0">
        <w:rPr>
          <w:b/>
          <w:lang w:val="fr-FR"/>
        </w:rPr>
        <w:t>dans tous les postes de police et de gendarmerie.</w:t>
      </w:r>
    </w:p>
    <w:p w:rsidR="009111CF" w:rsidRPr="00EF0E2A" w:rsidRDefault="004B1E89">
      <w:pPr>
        <w:pStyle w:val="H4G"/>
      </w:pPr>
      <w:r>
        <w:tab/>
      </w:r>
      <w:r>
        <w:tab/>
      </w:r>
      <w:r w:rsidR="00776F30">
        <w:t>D</w:t>
      </w:r>
      <w:r w:rsidR="009111CF" w:rsidRPr="00EF0E2A">
        <w:t>roit d’informer une tierce personne de sa détention et droit de visite dans les prisons</w:t>
      </w:r>
    </w:p>
    <w:p w:rsidR="009111CF" w:rsidRPr="00EF0E2A" w:rsidRDefault="00B90046" w:rsidP="000F5D67">
      <w:pPr>
        <w:pStyle w:val="SingleTxtG"/>
      </w:pPr>
      <w:r>
        <w:t>7</w:t>
      </w:r>
      <w:r w:rsidR="0033388B">
        <w:t>9</w:t>
      </w:r>
      <w:r w:rsidR="009111CF">
        <w:t>.</w:t>
      </w:r>
      <w:r w:rsidR="009111CF">
        <w:tab/>
      </w:r>
      <w:r w:rsidR="009111CF" w:rsidRPr="00EF0E2A">
        <w:t>Dans les commissariats de police et gendarmeries, le droit des prévenus de communiquer immédiatement après leur arrestation avec l</w:t>
      </w:r>
      <w:r w:rsidR="00486B26">
        <w:t>eur</w:t>
      </w:r>
      <w:r w:rsidR="009111CF" w:rsidRPr="00EF0E2A">
        <w:t xml:space="preserve"> famille ou une personne de leur entourage n’est en général pas assuré. </w:t>
      </w:r>
    </w:p>
    <w:p w:rsidR="009111CF" w:rsidRPr="00EF0E2A" w:rsidRDefault="0033388B" w:rsidP="000F5D67">
      <w:pPr>
        <w:pStyle w:val="SingleTxtG"/>
      </w:pPr>
      <w:r>
        <w:t>80</w:t>
      </w:r>
      <w:r w:rsidR="009111CF">
        <w:t>.</w:t>
      </w:r>
      <w:r w:rsidR="009111CF">
        <w:tab/>
      </w:r>
      <w:r w:rsidR="009111CF" w:rsidRPr="00EF0E2A">
        <w:t xml:space="preserve">Dans les prisons, </w:t>
      </w:r>
      <w:r w:rsidR="006D3201">
        <w:t>l</w:t>
      </w:r>
      <w:r w:rsidR="006D3201" w:rsidRPr="00EF0E2A">
        <w:t xml:space="preserve">e </w:t>
      </w:r>
      <w:r w:rsidR="00A037C8">
        <w:t>Sous-Comité</w:t>
      </w:r>
      <w:r w:rsidR="009111CF" w:rsidRPr="00EF0E2A">
        <w:t xml:space="preserve"> a été informé que les visites au parloir par les proches des inculpés et condamnés sont systématiquement soumises au paiement d’un ticket de visite fixé </w:t>
      </w:r>
      <w:r w:rsidR="006D3201">
        <w:t>arbitrairement par les autorités pénitentiaires</w:t>
      </w:r>
      <w:r w:rsidR="00486B26">
        <w:t>,</w:t>
      </w:r>
      <w:r w:rsidR="006D3201">
        <w:t xml:space="preserve"> et</w:t>
      </w:r>
      <w:r w:rsidR="000A5344">
        <w:t xml:space="preserve"> ce</w:t>
      </w:r>
      <w:r w:rsidR="00486B26">
        <w:t>,</w:t>
      </w:r>
      <w:r w:rsidR="006D3201">
        <w:t xml:space="preserve"> </w:t>
      </w:r>
      <w:r w:rsidR="00244BA0">
        <w:t xml:space="preserve">bien qu’ils </w:t>
      </w:r>
      <w:r w:rsidR="000A5344">
        <w:t xml:space="preserve">aient </w:t>
      </w:r>
      <w:r w:rsidR="00244BA0">
        <w:t>obtenu l’autorisation préa</w:t>
      </w:r>
      <w:r w:rsidR="00057997">
        <w:t>la</w:t>
      </w:r>
      <w:r w:rsidR="00244BA0">
        <w:t xml:space="preserve">ble du </w:t>
      </w:r>
      <w:r w:rsidR="009111CF" w:rsidRPr="00EF0E2A">
        <w:t>juge d’instruction.</w:t>
      </w:r>
    </w:p>
    <w:p w:rsidR="009111CF" w:rsidRPr="00EF0E2A" w:rsidRDefault="00B90046" w:rsidP="000F5D67">
      <w:pPr>
        <w:pStyle w:val="SingleTxtG"/>
        <w:rPr>
          <w:b/>
          <w:lang w:val="fr-FR"/>
        </w:rPr>
      </w:pPr>
      <w:r w:rsidRPr="000F5D67">
        <w:rPr>
          <w:bCs/>
          <w:lang w:val="fr-FR"/>
        </w:rPr>
        <w:t>8</w:t>
      </w:r>
      <w:r w:rsidR="0033388B">
        <w:rPr>
          <w:bCs/>
          <w:lang w:val="fr-FR"/>
        </w:rPr>
        <w:t>1</w:t>
      </w:r>
      <w:r w:rsidR="009111CF" w:rsidRPr="000F5D67">
        <w:rPr>
          <w:bCs/>
          <w:lang w:val="fr-FR"/>
        </w:rPr>
        <w:t>.</w:t>
      </w:r>
      <w:r w:rsidR="009111CF" w:rsidRPr="000F5D67">
        <w:rPr>
          <w:bCs/>
          <w:lang w:val="fr-FR"/>
        </w:rPr>
        <w:tab/>
      </w:r>
      <w:r w:rsidR="009111CF" w:rsidRPr="00EF0E2A">
        <w:rPr>
          <w:b/>
          <w:lang w:val="fr-FR"/>
        </w:rPr>
        <w:t xml:space="preserve">Le </w:t>
      </w:r>
      <w:r w:rsidR="00A037C8" w:rsidRPr="00C9720C">
        <w:rPr>
          <w:b/>
        </w:rPr>
        <w:t>Sous-Comité</w:t>
      </w:r>
      <w:r w:rsidR="009111CF" w:rsidRPr="00EF0E2A">
        <w:rPr>
          <w:b/>
          <w:lang w:val="fr-FR"/>
        </w:rPr>
        <w:t xml:space="preserve"> recommande que </w:t>
      </w:r>
      <w:r w:rsidR="009040FF">
        <w:rPr>
          <w:b/>
          <w:lang w:val="fr-FR"/>
        </w:rPr>
        <w:t>l</w:t>
      </w:r>
      <w:r w:rsidR="009111CF" w:rsidRPr="00EF0E2A">
        <w:rPr>
          <w:b/>
          <w:lang w:val="fr-FR"/>
        </w:rPr>
        <w:t>’</w:t>
      </w:r>
      <w:r w:rsidR="00B36B0D">
        <w:rPr>
          <w:b/>
          <w:lang w:val="fr-FR"/>
        </w:rPr>
        <w:t>État</w:t>
      </w:r>
      <w:r w:rsidR="009111CF" w:rsidRPr="00EF0E2A">
        <w:rPr>
          <w:b/>
          <w:lang w:val="fr-FR"/>
        </w:rPr>
        <w:t xml:space="preserve"> partie prenne les mesures nécessaires afin d’assurer que toute personne détenue puisse effectivement garder le contact avec le monde extérieur</w:t>
      </w:r>
      <w:r w:rsidR="003A6B8C">
        <w:rPr>
          <w:b/>
          <w:lang w:val="fr-FR"/>
        </w:rPr>
        <w:t xml:space="preserve"> et</w:t>
      </w:r>
      <w:r w:rsidR="003A6B8C" w:rsidRPr="00EF0E2A">
        <w:rPr>
          <w:b/>
          <w:lang w:val="fr-FR"/>
        </w:rPr>
        <w:t xml:space="preserve"> </w:t>
      </w:r>
      <w:r w:rsidR="009111CF" w:rsidRPr="00EF0E2A">
        <w:rPr>
          <w:b/>
          <w:lang w:val="fr-FR"/>
        </w:rPr>
        <w:t>informer ses proches de sa mise en détention et que ce droit ne soit pas assujetti à un paiement. Toute visite doit également être consignée dans un registre</w:t>
      </w:r>
      <w:r w:rsidR="00057997">
        <w:rPr>
          <w:b/>
          <w:lang w:val="fr-FR"/>
        </w:rPr>
        <w:t xml:space="preserve"> ad hoc, incluant notamment les </w:t>
      </w:r>
      <w:r w:rsidR="00057997" w:rsidRPr="00EF0E2A">
        <w:rPr>
          <w:b/>
          <w:lang w:val="fr-FR"/>
        </w:rPr>
        <w:t>date et heure</w:t>
      </w:r>
      <w:r w:rsidR="00057997">
        <w:rPr>
          <w:b/>
          <w:lang w:val="fr-FR"/>
        </w:rPr>
        <w:t xml:space="preserve"> de la visite, le nom du visiteur</w:t>
      </w:r>
      <w:r w:rsidR="003A6B8C">
        <w:rPr>
          <w:b/>
          <w:lang w:val="fr-FR"/>
        </w:rPr>
        <w:t xml:space="preserve"> et</w:t>
      </w:r>
      <w:r w:rsidR="00057997">
        <w:rPr>
          <w:b/>
          <w:lang w:val="fr-FR"/>
        </w:rPr>
        <w:t xml:space="preserve"> son lien avec la personne détenue</w:t>
      </w:r>
      <w:r w:rsidR="009111CF" w:rsidRPr="00EF0E2A">
        <w:rPr>
          <w:b/>
          <w:lang w:val="fr-FR"/>
        </w:rPr>
        <w:t xml:space="preserve">. </w:t>
      </w:r>
    </w:p>
    <w:p w:rsidR="009111CF" w:rsidRPr="00EF0E2A" w:rsidRDefault="004B1E89" w:rsidP="004B1E89">
      <w:pPr>
        <w:pStyle w:val="H4G"/>
      </w:pPr>
      <w:r>
        <w:tab/>
      </w:r>
      <w:r>
        <w:tab/>
      </w:r>
      <w:r w:rsidR="009111CF" w:rsidRPr="00EF0E2A">
        <w:t>Règlement intérieur dans les prisons</w:t>
      </w:r>
    </w:p>
    <w:p w:rsidR="009111CF" w:rsidRPr="00EF0E2A" w:rsidRDefault="00B90046" w:rsidP="000F5D67">
      <w:pPr>
        <w:pStyle w:val="SingleTxtG"/>
      </w:pPr>
      <w:r>
        <w:t>8</w:t>
      </w:r>
      <w:r w:rsidR="0033388B">
        <w:t>2</w:t>
      </w:r>
      <w:r w:rsidR="009111CF">
        <w:t>.</w:t>
      </w:r>
      <w:r w:rsidR="009111CF">
        <w:tab/>
      </w:r>
      <w:r w:rsidR="00FE2F44">
        <w:t>L</w:t>
      </w:r>
      <w:r w:rsidR="009111CF" w:rsidRPr="00EF0E2A">
        <w:t xml:space="preserve">e </w:t>
      </w:r>
      <w:r w:rsidR="00A037C8">
        <w:t>Sous-Comité</w:t>
      </w:r>
      <w:r w:rsidR="009111CF" w:rsidRPr="00EF0E2A">
        <w:t xml:space="preserve"> a </w:t>
      </w:r>
      <w:r w:rsidR="00FE2F44">
        <w:t>été informé qu’</w:t>
      </w:r>
      <w:r w:rsidR="009111CF" w:rsidRPr="00EF0E2A">
        <w:t>un projet de règlement intérieur des établissements péniten</w:t>
      </w:r>
      <w:r w:rsidR="000A5344">
        <w:t>tiaires</w:t>
      </w:r>
      <w:r w:rsidR="009111CF" w:rsidRPr="00EF0E2A">
        <w:t xml:space="preserve"> était en cours </w:t>
      </w:r>
      <w:r w:rsidR="00FE2F44">
        <w:t>d’élaboration</w:t>
      </w:r>
      <w:r w:rsidR="009111CF" w:rsidRPr="00EF0E2A">
        <w:t xml:space="preserve">. </w:t>
      </w:r>
      <w:r w:rsidR="00FE2F44">
        <w:t>L</w:t>
      </w:r>
      <w:r w:rsidR="009111CF" w:rsidRPr="00EF0E2A">
        <w:t>e texte actuel</w:t>
      </w:r>
      <w:r w:rsidR="00FE2F44">
        <w:t>,</w:t>
      </w:r>
      <w:r w:rsidR="009111CF" w:rsidRPr="00EF0E2A">
        <w:t xml:space="preserve"> qui date de 1933</w:t>
      </w:r>
      <w:r w:rsidR="00FE2F44">
        <w:t>,</w:t>
      </w:r>
      <w:r w:rsidR="009111CF" w:rsidRPr="00EF0E2A">
        <w:t xml:space="preserve"> est désuet et </w:t>
      </w:r>
      <w:r w:rsidR="00FE2F44">
        <w:t>n’est plus</w:t>
      </w:r>
      <w:r w:rsidR="009111CF" w:rsidRPr="00EF0E2A">
        <w:t xml:space="preserve"> en application. </w:t>
      </w:r>
    </w:p>
    <w:p w:rsidR="009111CF" w:rsidRPr="00EF0E2A" w:rsidRDefault="00B90046" w:rsidP="000F5D67">
      <w:pPr>
        <w:pStyle w:val="SingleTxtG"/>
      </w:pPr>
      <w:r>
        <w:t>8</w:t>
      </w:r>
      <w:r w:rsidR="0033388B">
        <w:t>3</w:t>
      </w:r>
      <w:r>
        <w:t>.</w:t>
      </w:r>
      <w:r>
        <w:tab/>
      </w:r>
      <w:r w:rsidR="00FE2F44">
        <w:t>L’absence d</w:t>
      </w:r>
      <w:r w:rsidR="00423CBA">
        <w:t>e</w:t>
      </w:r>
      <w:r w:rsidR="009111CF" w:rsidRPr="00EF0E2A">
        <w:t xml:space="preserve"> règlement intérieur</w:t>
      </w:r>
      <w:r w:rsidR="00FE2F44">
        <w:t xml:space="preserve"> officiel est compensée par la mise en place d’un règlement</w:t>
      </w:r>
      <w:r w:rsidR="009111CF" w:rsidRPr="00EF0E2A">
        <w:t xml:space="preserve"> informel </w:t>
      </w:r>
      <w:r w:rsidR="00FE2F44">
        <w:t>qui varie d’un établissement à l’autre et dont le contenu et la mise en œuvre dépend</w:t>
      </w:r>
      <w:r w:rsidR="00783E34">
        <w:t>ent</w:t>
      </w:r>
      <w:r w:rsidR="00FE2F44">
        <w:t xml:space="preserve"> des</w:t>
      </w:r>
      <w:r w:rsidR="009111CF" w:rsidRPr="00EF0E2A">
        <w:t xml:space="preserve"> détenus</w:t>
      </w:r>
      <w:r w:rsidR="00FE2F44">
        <w:t xml:space="preserve"> eux-mêmes</w:t>
      </w:r>
      <w:r w:rsidR="009111CF" w:rsidRPr="00EF0E2A">
        <w:t xml:space="preserve"> selon </w:t>
      </w:r>
      <w:r w:rsidR="00FE2F44">
        <w:t>le</w:t>
      </w:r>
      <w:r w:rsidR="00FE2F44" w:rsidRPr="00EF0E2A">
        <w:t xml:space="preserve"> </w:t>
      </w:r>
      <w:r w:rsidR="009111CF" w:rsidRPr="00EF0E2A">
        <w:t>système hiérarchique établi</w:t>
      </w:r>
      <w:r w:rsidR="00FE2F44">
        <w:t xml:space="preserve"> (voir </w:t>
      </w:r>
      <w:r w:rsidR="006B337C">
        <w:t xml:space="preserve">les </w:t>
      </w:r>
      <w:r w:rsidR="00FE2F44">
        <w:t xml:space="preserve">paragraphes </w:t>
      </w:r>
      <w:r w:rsidR="00783E34">
        <w:t>38</w:t>
      </w:r>
      <w:r w:rsidR="006B337C">
        <w:t xml:space="preserve"> à </w:t>
      </w:r>
      <w:r w:rsidR="00783E34">
        <w:t>41</w:t>
      </w:r>
      <w:r w:rsidR="00FE2F44">
        <w:t xml:space="preserve"> ci-dessus</w:t>
      </w:r>
      <w:r w:rsidR="00783E34">
        <w:t>).</w:t>
      </w:r>
    </w:p>
    <w:p w:rsidR="009111CF" w:rsidRPr="00EF0E2A" w:rsidRDefault="00B90046" w:rsidP="000F5D67">
      <w:pPr>
        <w:pStyle w:val="SingleTxtG"/>
        <w:rPr>
          <w:b/>
          <w:lang w:val="fr-FR"/>
        </w:rPr>
      </w:pPr>
      <w:r w:rsidRPr="000F5D67">
        <w:rPr>
          <w:bCs/>
        </w:rPr>
        <w:lastRenderedPageBreak/>
        <w:t>8</w:t>
      </w:r>
      <w:r w:rsidR="0033388B">
        <w:rPr>
          <w:bCs/>
        </w:rPr>
        <w:t>4</w:t>
      </w:r>
      <w:r w:rsidR="009111CF" w:rsidRPr="000F5D67">
        <w:rPr>
          <w:bCs/>
        </w:rPr>
        <w:t>.</w:t>
      </w:r>
      <w:r w:rsidR="009111CF" w:rsidRPr="000F5D67">
        <w:rPr>
          <w:bCs/>
        </w:rPr>
        <w:tab/>
      </w:r>
      <w:r w:rsidR="009111CF" w:rsidRPr="001E4146">
        <w:rPr>
          <w:b/>
        </w:rPr>
        <w:t>L</w:t>
      </w:r>
      <w:r w:rsidR="009111CF" w:rsidRPr="001E4146">
        <w:rPr>
          <w:b/>
          <w:lang w:val="fr-FR"/>
        </w:rPr>
        <w:t xml:space="preserve">e </w:t>
      </w:r>
      <w:r w:rsidR="006B337C" w:rsidRPr="000F5D67">
        <w:rPr>
          <w:b/>
        </w:rPr>
        <w:t>Sous-Comité</w:t>
      </w:r>
      <w:r w:rsidR="009111CF" w:rsidRPr="00EF0E2A">
        <w:rPr>
          <w:b/>
          <w:lang w:val="fr-FR"/>
        </w:rPr>
        <w:t xml:space="preserve"> recommande à l’</w:t>
      </w:r>
      <w:r w:rsidR="00B36B0D">
        <w:rPr>
          <w:b/>
          <w:lang w:val="fr-FR"/>
        </w:rPr>
        <w:t>État</w:t>
      </w:r>
      <w:r w:rsidR="009111CF" w:rsidRPr="00EF0E2A">
        <w:rPr>
          <w:b/>
          <w:lang w:val="fr-FR"/>
        </w:rPr>
        <w:t xml:space="preserve"> partie </w:t>
      </w:r>
      <w:r w:rsidR="00423CBA">
        <w:rPr>
          <w:b/>
          <w:lang w:val="fr-FR"/>
        </w:rPr>
        <w:t>d</w:t>
      </w:r>
      <w:r w:rsidR="009111CF" w:rsidRPr="00EF0E2A">
        <w:rPr>
          <w:b/>
          <w:lang w:val="fr-FR"/>
        </w:rPr>
        <w:t>’adopt</w:t>
      </w:r>
      <w:r w:rsidR="00423CBA">
        <w:rPr>
          <w:b/>
          <w:lang w:val="fr-FR"/>
        </w:rPr>
        <w:t>er</w:t>
      </w:r>
      <w:r w:rsidR="009111CF" w:rsidRPr="00EF0E2A">
        <w:rPr>
          <w:b/>
          <w:lang w:val="fr-FR"/>
        </w:rPr>
        <w:t xml:space="preserve"> immédiate</w:t>
      </w:r>
      <w:r w:rsidR="00423CBA">
        <w:rPr>
          <w:b/>
          <w:lang w:val="fr-FR"/>
        </w:rPr>
        <w:t>ment</w:t>
      </w:r>
      <w:r w:rsidR="009111CF" w:rsidRPr="00EF0E2A">
        <w:rPr>
          <w:b/>
          <w:lang w:val="fr-FR"/>
        </w:rPr>
        <w:t xml:space="preserve"> </w:t>
      </w:r>
      <w:r w:rsidR="00423CBA">
        <w:rPr>
          <w:b/>
          <w:lang w:val="fr-FR"/>
        </w:rPr>
        <w:t>le</w:t>
      </w:r>
      <w:r w:rsidR="00423CBA" w:rsidRPr="00EF0E2A">
        <w:rPr>
          <w:b/>
          <w:lang w:val="fr-FR"/>
        </w:rPr>
        <w:t xml:space="preserve"> </w:t>
      </w:r>
      <w:r w:rsidR="009111CF" w:rsidRPr="00EF0E2A">
        <w:rPr>
          <w:b/>
          <w:lang w:val="fr-FR"/>
        </w:rPr>
        <w:t xml:space="preserve">décret de loi portant sur </w:t>
      </w:r>
      <w:r w:rsidR="00DB14D2">
        <w:rPr>
          <w:b/>
          <w:lang w:val="fr-FR"/>
        </w:rPr>
        <w:t>le</w:t>
      </w:r>
      <w:r w:rsidR="009111CF" w:rsidRPr="00EF0E2A">
        <w:rPr>
          <w:b/>
          <w:lang w:val="fr-FR"/>
        </w:rPr>
        <w:t xml:space="preserve"> règlement intérieur des établissements pénitenciers.</w:t>
      </w:r>
    </w:p>
    <w:p w:rsidR="009111CF" w:rsidRPr="00EF0E2A" w:rsidRDefault="004B1E89">
      <w:pPr>
        <w:pStyle w:val="H4G"/>
      </w:pPr>
      <w:r>
        <w:tab/>
      </w:r>
      <w:r>
        <w:tab/>
      </w:r>
      <w:r w:rsidR="00776F30">
        <w:t>D</w:t>
      </w:r>
      <w:r w:rsidR="009111CF" w:rsidRPr="00EF0E2A">
        <w:t>roit d’informer les autorités consulaires de sa détention</w:t>
      </w:r>
    </w:p>
    <w:p w:rsidR="009111CF" w:rsidRPr="00EF0E2A" w:rsidRDefault="00B90046" w:rsidP="000F5D67">
      <w:pPr>
        <w:pStyle w:val="SingleTxtG"/>
      </w:pPr>
      <w:r>
        <w:t>8</w:t>
      </w:r>
      <w:r w:rsidR="0033388B">
        <w:t>5</w:t>
      </w:r>
      <w:r w:rsidR="009111CF">
        <w:t>.</w:t>
      </w:r>
      <w:r w:rsidR="009111CF">
        <w:tab/>
      </w:r>
      <w:r w:rsidR="009111CF" w:rsidRPr="00EF0E2A">
        <w:t xml:space="preserve">Au cours des visites réalisées, le </w:t>
      </w:r>
      <w:r w:rsidR="006B337C">
        <w:t>Sous-Comité</w:t>
      </w:r>
      <w:r w:rsidR="009111CF" w:rsidRPr="00EF0E2A">
        <w:t xml:space="preserve"> a rencontré neuf détenus ressortissants d’autres </w:t>
      </w:r>
      <w:r w:rsidR="00B36B0D">
        <w:t>État</w:t>
      </w:r>
      <w:r w:rsidR="009111CF" w:rsidRPr="00EF0E2A">
        <w:t xml:space="preserve">s. Aucun d’entre eux ne parlait le français, et aucun n’avait été informé de son droit à l’assistance et </w:t>
      </w:r>
      <w:r w:rsidR="006B337C">
        <w:t xml:space="preserve">à </w:t>
      </w:r>
      <w:r w:rsidR="009111CF" w:rsidRPr="00EF0E2A">
        <w:t>la protection consulaire.</w:t>
      </w:r>
    </w:p>
    <w:p w:rsidR="009111CF" w:rsidRPr="00EF0E2A" w:rsidRDefault="00B90046" w:rsidP="000F5D67">
      <w:pPr>
        <w:pStyle w:val="SingleTxtG"/>
        <w:rPr>
          <w:b/>
        </w:rPr>
      </w:pPr>
      <w:r w:rsidRPr="000F5D67">
        <w:rPr>
          <w:bCs/>
        </w:rPr>
        <w:t>8</w:t>
      </w:r>
      <w:r w:rsidR="0033388B">
        <w:rPr>
          <w:bCs/>
        </w:rPr>
        <w:t>6</w:t>
      </w:r>
      <w:r w:rsidR="009111CF" w:rsidRPr="000F5D67">
        <w:rPr>
          <w:bCs/>
        </w:rPr>
        <w:t>.</w:t>
      </w:r>
      <w:r w:rsidR="009111CF" w:rsidRPr="000F5D67">
        <w:rPr>
          <w:bCs/>
        </w:rPr>
        <w:tab/>
      </w:r>
      <w:r w:rsidR="009111CF" w:rsidRPr="00EF0E2A">
        <w:rPr>
          <w:b/>
        </w:rPr>
        <w:t xml:space="preserve">Le </w:t>
      </w:r>
      <w:r w:rsidR="006B337C" w:rsidRPr="00C9720C">
        <w:rPr>
          <w:b/>
        </w:rPr>
        <w:t>Sous-Comité</w:t>
      </w:r>
      <w:r w:rsidR="009111CF" w:rsidRPr="00EF0E2A">
        <w:rPr>
          <w:b/>
        </w:rPr>
        <w:t xml:space="preserve"> recommande que </w:t>
      </w:r>
      <w:r w:rsidR="004517E0">
        <w:rPr>
          <w:b/>
        </w:rPr>
        <w:t>l</w:t>
      </w:r>
      <w:r w:rsidR="009111CF" w:rsidRPr="00EF0E2A">
        <w:rPr>
          <w:b/>
        </w:rPr>
        <w:t>’</w:t>
      </w:r>
      <w:r w:rsidR="00B36B0D">
        <w:rPr>
          <w:b/>
        </w:rPr>
        <w:t>État</w:t>
      </w:r>
      <w:r w:rsidR="009111CF" w:rsidRPr="00EF0E2A">
        <w:rPr>
          <w:b/>
        </w:rPr>
        <w:t xml:space="preserve"> partie prenne les mesures nécessaires </w:t>
      </w:r>
      <w:r w:rsidR="004517E0">
        <w:rPr>
          <w:b/>
        </w:rPr>
        <w:t>pour</w:t>
      </w:r>
      <w:r w:rsidR="004517E0" w:rsidRPr="00EF0E2A">
        <w:rPr>
          <w:b/>
        </w:rPr>
        <w:t xml:space="preserve"> </w:t>
      </w:r>
      <w:r w:rsidR="009111CF" w:rsidRPr="00EF0E2A">
        <w:rPr>
          <w:b/>
        </w:rPr>
        <w:t>que les autorités consulaires soient systématiquement informées de la mise en détention de l’un de leurs ressortissants et que cette information soit dûment inscrite dans le registre de garde à vue (personne contactée, date et heure).</w:t>
      </w:r>
      <w:r w:rsidR="009111CF" w:rsidRPr="00EF0E2A">
        <w:t xml:space="preserve"> </w:t>
      </w:r>
      <w:r w:rsidR="009111CF" w:rsidRPr="00EF0E2A">
        <w:rPr>
          <w:b/>
        </w:rPr>
        <w:t>En effet, tout ressortissant étranger détenu doit être informé de son droit à l’assistance et à la protection consulaire dans une langue qu’il puisse comprendre.</w:t>
      </w:r>
    </w:p>
    <w:p w:rsidR="009111CF" w:rsidRPr="00EF0E2A" w:rsidRDefault="004B1E89" w:rsidP="004B1E89">
      <w:pPr>
        <w:pStyle w:val="H4G"/>
      </w:pPr>
      <w:r>
        <w:tab/>
      </w:r>
      <w:r>
        <w:tab/>
      </w:r>
      <w:r w:rsidR="009111CF" w:rsidRPr="00EF0E2A">
        <w:t>Mécanisme de plainte</w:t>
      </w:r>
    </w:p>
    <w:p w:rsidR="009111CF" w:rsidRPr="00EF0E2A" w:rsidRDefault="00B90046" w:rsidP="000F5D67">
      <w:pPr>
        <w:pStyle w:val="SingleTxtG"/>
        <w:rPr>
          <w:lang w:val="fr-FR"/>
        </w:rPr>
      </w:pPr>
      <w:r>
        <w:t>8</w:t>
      </w:r>
      <w:r w:rsidR="0033388B">
        <w:t>7</w:t>
      </w:r>
      <w:r w:rsidR="009111CF">
        <w:t>.</w:t>
      </w:r>
      <w:r w:rsidR="009111CF">
        <w:tab/>
      </w:r>
      <w:r w:rsidR="009111CF" w:rsidRPr="00EF0E2A">
        <w:t xml:space="preserve">Le </w:t>
      </w:r>
      <w:r w:rsidR="006B337C">
        <w:t>Sous-Comité</w:t>
      </w:r>
      <w:r w:rsidR="009111CF" w:rsidRPr="00EF0E2A">
        <w:t xml:space="preserve"> n’a eu connaissance d’aucune procédure officielle de dépôt de plainte par les détenus dans les lieux de détention visités. Dans les prisons, ce mécanisme est géré par le chef de cour et les chefs de bâtiments, </w:t>
      </w:r>
      <w:r w:rsidR="00AE733B">
        <w:t xml:space="preserve">qui </w:t>
      </w:r>
      <w:r w:rsidR="009111CF" w:rsidRPr="00EF0E2A">
        <w:t xml:space="preserve">se </w:t>
      </w:r>
      <w:r w:rsidR="00AE733B" w:rsidRPr="00EF0E2A">
        <w:t>substitu</w:t>
      </w:r>
      <w:r w:rsidR="00AE733B">
        <w:t>e</w:t>
      </w:r>
      <w:r w:rsidR="00AE733B" w:rsidRPr="00EF0E2A">
        <w:t xml:space="preserve">nt </w:t>
      </w:r>
      <w:r w:rsidR="009111CF" w:rsidRPr="00EF0E2A">
        <w:t xml:space="preserve">ainsi à la responsabilité de </w:t>
      </w:r>
      <w:r w:rsidR="006B337C" w:rsidRPr="00EF0E2A">
        <w:t>l’</w:t>
      </w:r>
      <w:r w:rsidR="006B337C">
        <w:t>a</w:t>
      </w:r>
      <w:r w:rsidR="006B337C" w:rsidRPr="00EF0E2A">
        <w:t xml:space="preserve">dministration </w:t>
      </w:r>
      <w:r w:rsidR="009111CF" w:rsidRPr="00EF0E2A">
        <w:t>pénitentiaire.</w:t>
      </w:r>
    </w:p>
    <w:p w:rsidR="009111CF" w:rsidRPr="00EF0E2A" w:rsidRDefault="00B90046" w:rsidP="000F5D67">
      <w:pPr>
        <w:pStyle w:val="SingleTxtG"/>
        <w:rPr>
          <w:b/>
        </w:rPr>
      </w:pPr>
      <w:r w:rsidRPr="000F5D67">
        <w:rPr>
          <w:bCs/>
          <w:lang w:val="fr-FR"/>
        </w:rPr>
        <w:t>8</w:t>
      </w:r>
      <w:r w:rsidR="0033388B">
        <w:rPr>
          <w:bCs/>
          <w:lang w:val="fr-FR"/>
        </w:rPr>
        <w:t>8</w:t>
      </w:r>
      <w:r w:rsidR="009111CF" w:rsidRPr="000F5D67">
        <w:rPr>
          <w:bCs/>
          <w:lang w:val="fr-FR"/>
        </w:rPr>
        <w:t>.</w:t>
      </w:r>
      <w:r w:rsidR="009111CF" w:rsidRPr="000F5D67">
        <w:rPr>
          <w:bCs/>
          <w:lang w:val="fr-FR"/>
        </w:rPr>
        <w:tab/>
      </w:r>
      <w:r w:rsidR="009111CF" w:rsidRPr="00EF0E2A">
        <w:rPr>
          <w:b/>
        </w:rPr>
        <w:t xml:space="preserve">Le </w:t>
      </w:r>
      <w:r w:rsidR="006B337C" w:rsidRPr="00C9720C">
        <w:rPr>
          <w:b/>
        </w:rPr>
        <w:t>Sous-Comité</w:t>
      </w:r>
      <w:r w:rsidR="009111CF" w:rsidRPr="00EF0E2A">
        <w:rPr>
          <w:b/>
        </w:rPr>
        <w:t xml:space="preserve"> recommande que toutes les personnes détenues soient informées de leur droit de soumettre de manière directe et confidentielle des plaintes aux autorités compétentes de l’administration pénitentiaire, ainsi qu’aux autorités judiciaires le cas échéant. Des panneaux et affiches d’information à ce sujet devraient être placés dans des endroits visibles au sein de</w:t>
      </w:r>
      <w:r w:rsidR="00FE2F44">
        <w:rPr>
          <w:b/>
        </w:rPr>
        <w:t>s</w:t>
      </w:r>
      <w:r w:rsidR="009111CF" w:rsidRPr="00EF0E2A">
        <w:rPr>
          <w:b/>
        </w:rPr>
        <w:t xml:space="preserve"> établissement</w:t>
      </w:r>
      <w:r w:rsidR="00FE2F44">
        <w:rPr>
          <w:b/>
        </w:rPr>
        <w:t>s</w:t>
      </w:r>
      <w:r w:rsidR="009111CF" w:rsidRPr="00EF0E2A">
        <w:rPr>
          <w:b/>
        </w:rPr>
        <w:t xml:space="preserve">. Le </w:t>
      </w:r>
      <w:r w:rsidR="006E0D03" w:rsidRPr="00C9720C">
        <w:rPr>
          <w:b/>
        </w:rPr>
        <w:t>Sous-Comité</w:t>
      </w:r>
      <w:r w:rsidR="009111CF" w:rsidRPr="00EF0E2A">
        <w:rPr>
          <w:b/>
        </w:rPr>
        <w:t xml:space="preserve"> recommande également que </w:t>
      </w:r>
      <w:r w:rsidR="00FE2F44">
        <w:rPr>
          <w:b/>
        </w:rPr>
        <w:t>les plaintes fassent l’objet d’enquêtes exhaustives, indépendantes et impartiale</w:t>
      </w:r>
      <w:r w:rsidR="00783E34">
        <w:rPr>
          <w:b/>
        </w:rPr>
        <w:t>s,</w:t>
      </w:r>
      <w:r w:rsidR="00FE2F44">
        <w:rPr>
          <w:b/>
        </w:rPr>
        <w:t xml:space="preserve"> dans un délai raisonnable. Les</w:t>
      </w:r>
      <w:r w:rsidR="009111CF" w:rsidRPr="00EF0E2A">
        <w:rPr>
          <w:b/>
        </w:rPr>
        <w:t xml:space="preserve"> décision</w:t>
      </w:r>
      <w:r w:rsidR="00FE2F44">
        <w:rPr>
          <w:b/>
        </w:rPr>
        <w:t>s</w:t>
      </w:r>
      <w:r w:rsidR="009111CF" w:rsidRPr="00EF0E2A">
        <w:rPr>
          <w:b/>
        </w:rPr>
        <w:t xml:space="preserve"> prise</w:t>
      </w:r>
      <w:r w:rsidR="00FE2F44">
        <w:rPr>
          <w:b/>
        </w:rPr>
        <w:t>s</w:t>
      </w:r>
      <w:r w:rsidR="009111CF" w:rsidRPr="00EF0E2A">
        <w:rPr>
          <w:b/>
        </w:rPr>
        <w:t xml:space="preserve"> </w:t>
      </w:r>
      <w:r w:rsidR="00FE2F44">
        <w:rPr>
          <w:b/>
        </w:rPr>
        <w:t xml:space="preserve">devraient être </w:t>
      </w:r>
      <w:r w:rsidR="009111CF" w:rsidRPr="00EF0E2A">
        <w:rPr>
          <w:b/>
        </w:rPr>
        <w:t>notifiée</w:t>
      </w:r>
      <w:r w:rsidR="00FE2F44">
        <w:rPr>
          <w:b/>
        </w:rPr>
        <w:t>s</w:t>
      </w:r>
      <w:r w:rsidR="009111CF" w:rsidRPr="00EF0E2A">
        <w:rPr>
          <w:b/>
        </w:rPr>
        <w:t xml:space="preserve"> </w:t>
      </w:r>
      <w:r w:rsidR="00FE2F44">
        <w:rPr>
          <w:b/>
        </w:rPr>
        <w:t xml:space="preserve">sans délai </w:t>
      </w:r>
      <w:r w:rsidR="009111CF" w:rsidRPr="00EF0E2A">
        <w:rPr>
          <w:b/>
        </w:rPr>
        <w:t xml:space="preserve">à l’auteur de la plainte. </w:t>
      </w:r>
      <w:r w:rsidR="00FE2F44">
        <w:rPr>
          <w:b/>
        </w:rPr>
        <w:t xml:space="preserve">Le </w:t>
      </w:r>
      <w:r w:rsidR="006E0D03" w:rsidRPr="00C9720C">
        <w:rPr>
          <w:b/>
        </w:rPr>
        <w:t>Sous-Comité</w:t>
      </w:r>
      <w:r w:rsidR="00FE2F44" w:rsidRPr="00EF0E2A">
        <w:rPr>
          <w:b/>
        </w:rPr>
        <w:t xml:space="preserve"> </w:t>
      </w:r>
      <w:r w:rsidR="009111CF" w:rsidRPr="00EF0E2A">
        <w:rPr>
          <w:b/>
        </w:rPr>
        <w:t xml:space="preserve">encourage </w:t>
      </w:r>
      <w:r w:rsidR="00FE2F44">
        <w:rPr>
          <w:b/>
        </w:rPr>
        <w:t>également</w:t>
      </w:r>
      <w:r w:rsidR="009111CF" w:rsidRPr="00EF0E2A">
        <w:rPr>
          <w:b/>
        </w:rPr>
        <w:t xml:space="preserve"> les autorités compétentes à établir un registre des plaintes indiquant leur nature, l’établissement d’origine de la plainte, la date de réception, la date de la décision, la nature de la décision et toute </w:t>
      </w:r>
      <w:r w:rsidR="00AE733B">
        <w:rPr>
          <w:b/>
        </w:rPr>
        <w:t>mesure</w:t>
      </w:r>
      <w:r w:rsidR="00AE733B" w:rsidRPr="00EF0E2A">
        <w:rPr>
          <w:b/>
        </w:rPr>
        <w:t xml:space="preserve"> </w:t>
      </w:r>
      <w:r w:rsidR="009111CF" w:rsidRPr="00EF0E2A">
        <w:rPr>
          <w:b/>
        </w:rPr>
        <w:t xml:space="preserve">prise </w:t>
      </w:r>
      <w:r w:rsidR="00884366">
        <w:rPr>
          <w:b/>
        </w:rPr>
        <w:t>pour sa mise en œuvre</w:t>
      </w:r>
      <w:r w:rsidR="009111CF" w:rsidRPr="00EF0E2A">
        <w:rPr>
          <w:b/>
        </w:rPr>
        <w:t>. De tels registres devraient être contrôlés de manière régulière par un corps indépendant.</w:t>
      </w:r>
    </w:p>
    <w:p w:rsidR="009111CF" w:rsidRPr="004B1E89" w:rsidRDefault="009111CF" w:rsidP="004B1E89">
      <w:pPr>
        <w:pStyle w:val="H23G"/>
      </w:pPr>
      <w:r w:rsidRPr="004B1E89">
        <w:tab/>
        <w:t>2.</w:t>
      </w:r>
      <w:r w:rsidRPr="004B1E89">
        <w:tab/>
        <w:t>Dans les camps militaires</w:t>
      </w:r>
    </w:p>
    <w:p w:rsidR="009111CF" w:rsidRPr="00EF0E2A" w:rsidRDefault="00B90046" w:rsidP="000F5D67">
      <w:pPr>
        <w:pStyle w:val="SingleTxtG"/>
      </w:pPr>
      <w:r>
        <w:t>8</w:t>
      </w:r>
      <w:r w:rsidR="0033388B">
        <w:t>9</w:t>
      </w:r>
      <w:r w:rsidR="009111CF">
        <w:t>.</w:t>
      </w:r>
      <w:r w:rsidR="009111CF">
        <w:tab/>
      </w:r>
      <w:r w:rsidR="009111CF" w:rsidRPr="00EF0E2A">
        <w:t xml:space="preserve">Lors de ses visites dans les camps militaires, </w:t>
      </w:r>
      <w:r w:rsidR="00884366">
        <w:t>l</w:t>
      </w:r>
      <w:r w:rsidR="00884366" w:rsidRPr="00EF0E2A">
        <w:t xml:space="preserve">e </w:t>
      </w:r>
      <w:r w:rsidR="00927164">
        <w:t>Sous-Comité</w:t>
      </w:r>
      <w:r w:rsidR="009111CF" w:rsidRPr="00EF0E2A">
        <w:t xml:space="preserve"> a pu constater des conditions de </w:t>
      </w:r>
      <w:r w:rsidR="000A5344">
        <w:t xml:space="preserve">détention </w:t>
      </w:r>
      <w:r w:rsidR="009111CF" w:rsidRPr="00EF0E2A">
        <w:t>convenables. La tenue des registres reste cependant incomplète.</w:t>
      </w:r>
    </w:p>
    <w:p w:rsidR="009111CF" w:rsidRPr="00EF0E2A" w:rsidRDefault="0033388B" w:rsidP="000F5D67">
      <w:pPr>
        <w:pStyle w:val="SingleTxtG"/>
      </w:pPr>
      <w:r>
        <w:t>90</w:t>
      </w:r>
      <w:r w:rsidR="009111CF">
        <w:t>.</w:t>
      </w:r>
      <w:r w:rsidR="009111CF">
        <w:tab/>
      </w:r>
      <w:r w:rsidR="009111CF" w:rsidRPr="00EF0E2A">
        <w:t xml:space="preserve">Le </w:t>
      </w:r>
      <w:r w:rsidR="00927164">
        <w:t>Sous-Comité</w:t>
      </w:r>
      <w:r w:rsidR="009111CF" w:rsidRPr="00EF0E2A">
        <w:t xml:space="preserve"> a pris connaissance des types de sanctions disciplinaires privatives de liberté appliquées dans le système militaire. </w:t>
      </w:r>
      <w:r w:rsidR="00927164">
        <w:t>Il</w:t>
      </w:r>
      <w:r w:rsidR="009111CF" w:rsidRPr="00EF0E2A">
        <w:t xml:space="preserve"> a cependant noté que lorsqu</w:t>
      </w:r>
      <w:r w:rsidR="00884366">
        <w:t>e de telles sanctions sont appliquées</w:t>
      </w:r>
      <w:r w:rsidR="009111CF" w:rsidRPr="00EF0E2A">
        <w:t xml:space="preserve">, les personnes sanctionnées ne connaissent pas nécessairement la durée de leur détention et ne bénéficient pas d’une enquête indépendante ni de voies de recours </w:t>
      </w:r>
      <w:r w:rsidR="00884366">
        <w:t>pour l’</w:t>
      </w:r>
      <w:r w:rsidR="009111CF" w:rsidRPr="00EF0E2A">
        <w:t xml:space="preserve">examen de leur situation. De plus, la durée </w:t>
      </w:r>
      <w:r w:rsidR="00884366">
        <w:t xml:space="preserve">de la sanction </w:t>
      </w:r>
      <w:r w:rsidR="009111CF" w:rsidRPr="00EF0E2A">
        <w:t xml:space="preserve">initialement indiquée peut être prolongée de façon arbitraire, sans que la personne concernée n’en soit informée. </w:t>
      </w:r>
    </w:p>
    <w:p w:rsidR="009111CF" w:rsidRPr="00EF0E2A" w:rsidRDefault="00B90046" w:rsidP="000F5D67">
      <w:pPr>
        <w:pStyle w:val="SingleTxtG"/>
        <w:rPr>
          <w:b/>
        </w:rPr>
      </w:pPr>
      <w:r w:rsidRPr="000F5D67">
        <w:rPr>
          <w:bCs/>
        </w:rPr>
        <w:t>9</w:t>
      </w:r>
      <w:r w:rsidR="0033388B">
        <w:rPr>
          <w:bCs/>
        </w:rPr>
        <w:t>1</w:t>
      </w:r>
      <w:r w:rsidR="009111CF" w:rsidRPr="000F5D67">
        <w:rPr>
          <w:bCs/>
        </w:rPr>
        <w:t>.</w:t>
      </w:r>
      <w:r w:rsidR="009111CF" w:rsidRPr="000F5D67">
        <w:rPr>
          <w:bCs/>
        </w:rPr>
        <w:tab/>
      </w:r>
      <w:r w:rsidR="009111CF" w:rsidRPr="00EF0E2A">
        <w:rPr>
          <w:b/>
        </w:rPr>
        <w:t xml:space="preserve">Le </w:t>
      </w:r>
      <w:r w:rsidR="00927164" w:rsidRPr="00C9720C">
        <w:rPr>
          <w:b/>
        </w:rPr>
        <w:t>Sous-Comité</w:t>
      </w:r>
      <w:r w:rsidR="009111CF" w:rsidRPr="00EF0E2A">
        <w:rPr>
          <w:b/>
        </w:rPr>
        <w:t xml:space="preserve"> recommande à l’</w:t>
      </w:r>
      <w:r w:rsidR="00B36B0D">
        <w:rPr>
          <w:b/>
        </w:rPr>
        <w:t>État</w:t>
      </w:r>
      <w:r w:rsidR="009111CF" w:rsidRPr="00EF0E2A">
        <w:rPr>
          <w:b/>
        </w:rPr>
        <w:t xml:space="preserve"> partie </w:t>
      </w:r>
      <w:r w:rsidR="00F15939">
        <w:rPr>
          <w:b/>
        </w:rPr>
        <w:t>de mettre</w:t>
      </w:r>
      <w:r w:rsidR="009111CF" w:rsidRPr="00EF0E2A">
        <w:rPr>
          <w:b/>
        </w:rPr>
        <w:t xml:space="preserve"> en place un système d’enregistrement des sanctions privatives de liberté adoptées à l’encontre des militaires</w:t>
      </w:r>
      <w:r w:rsidR="00884366">
        <w:rPr>
          <w:b/>
        </w:rPr>
        <w:t>, ainsi qu’un système de recours indépendant et impartial permettant, le cas échéant, la révision de</w:t>
      </w:r>
      <w:r w:rsidR="00F15939">
        <w:rPr>
          <w:b/>
        </w:rPr>
        <w:t>s</w:t>
      </w:r>
      <w:r w:rsidR="00884366">
        <w:rPr>
          <w:b/>
        </w:rPr>
        <w:t xml:space="preserve"> sanctions appliquées</w:t>
      </w:r>
      <w:r w:rsidR="009111CF" w:rsidRPr="00EF0E2A">
        <w:rPr>
          <w:b/>
        </w:rPr>
        <w:t>.</w:t>
      </w:r>
    </w:p>
    <w:p w:rsidR="009111CF" w:rsidRPr="0082289C" w:rsidRDefault="009111CF" w:rsidP="009111CF">
      <w:pPr>
        <w:pStyle w:val="H1G"/>
      </w:pPr>
      <w:r>
        <w:tab/>
      </w:r>
      <w:r w:rsidRPr="0082289C">
        <w:t>E.</w:t>
      </w:r>
      <w:r w:rsidRPr="0082289C">
        <w:tab/>
        <w:t>Mineurs en conflit avec la loi</w:t>
      </w:r>
    </w:p>
    <w:p w:rsidR="009111CF" w:rsidRPr="0082289C" w:rsidRDefault="00B90046" w:rsidP="000F5D67">
      <w:pPr>
        <w:pStyle w:val="SingleTxtG"/>
      </w:pPr>
      <w:r>
        <w:t>9</w:t>
      </w:r>
      <w:r w:rsidR="0033388B">
        <w:t>2</w:t>
      </w:r>
      <w:r w:rsidR="009111CF">
        <w:t>.</w:t>
      </w:r>
      <w:r w:rsidR="009111CF">
        <w:tab/>
      </w:r>
      <w:r w:rsidR="00884366">
        <w:t>L</w:t>
      </w:r>
      <w:r w:rsidR="009111CF" w:rsidRPr="0082289C">
        <w:t xml:space="preserve">e </w:t>
      </w:r>
      <w:r w:rsidR="00927164">
        <w:t>Sous-Comité</w:t>
      </w:r>
      <w:r w:rsidR="00927164" w:rsidRPr="0082289C">
        <w:t xml:space="preserve"> </w:t>
      </w:r>
      <w:r w:rsidR="009111CF" w:rsidRPr="0082289C">
        <w:t>félicite l’</w:t>
      </w:r>
      <w:r w:rsidR="00B36B0D">
        <w:t>État</w:t>
      </w:r>
      <w:r w:rsidR="009111CF" w:rsidRPr="0082289C">
        <w:t xml:space="preserve"> partie pour la nomination récente de six nouveaux juges pour enfants, </w:t>
      </w:r>
      <w:r w:rsidR="00F5799B">
        <w:t xml:space="preserve">qui </w:t>
      </w:r>
      <w:r w:rsidR="00F5799B" w:rsidRPr="0082289C">
        <w:t>rel</w:t>
      </w:r>
      <w:r w:rsidR="00F5799B">
        <w:t>ève</w:t>
      </w:r>
      <w:r w:rsidR="00F5799B" w:rsidRPr="0082289C">
        <w:t xml:space="preserve"> </w:t>
      </w:r>
      <w:r w:rsidR="009111CF" w:rsidRPr="0082289C">
        <w:t xml:space="preserve">ainsi l’effectif national à sept juges pour mineurs. </w:t>
      </w:r>
      <w:r w:rsidR="00927164">
        <w:t>Il</w:t>
      </w:r>
      <w:r w:rsidR="009111CF" w:rsidRPr="0082289C">
        <w:t xml:space="preserve"> salue également le processus de validation des directives nationales pour la justice pour mineurs qui a débuté en janvier 2015</w:t>
      </w:r>
      <w:r w:rsidR="00F5799B">
        <w:t>,</w:t>
      </w:r>
      <w:r w:rsidR="009111CF" w:rsidRPr="0082289C">
        <w:t xml:space="preserve"> démontrant la volonté de l’</w:t>
      </w:r>
      <w:r w:rsidR="00B36B0D">
        <w:t>État</w:t>
      </w:r>
      <w:r w:rsidR="009111CF" w:rsidRPr="0082289C">
        <w:t xml:space="preserve"> partie d’engager des réformes pratiques de promotion et de consolidation de la justice pour mineur</w:t>
      </w:r>
      <w:r w:rsidR="00884366">
        <w:t>s</w:t>
      </w:r>
      <w:r w:rsidR="009111CF" w:rsidRPr="0082289C">
        <w:t xml:space="preserve"> au Togo.</w:t>
      </w:r>
    </w:p>
    <w:p w:rsidR="009111CF" w:rsidRPr="0082289C" w:rsidRDefault="009111CF" w:rsidP="009111CF">
      <w:pPr>
        <w:pStyle w:val="H23G"/>
      </w:pPr>
      <w:r>
        <w:lastRenderedPageBreak/>
        <w:tab/>
        <w:t>1.</w:t>
      </w:r>
      <w:r>
        <w:tab/>
      </w:r>
      <w:r w:rsidRPr="0053594C">
        <w:t>Situation des mineurs en conflit avec la loi à Lomé</w:t>
      </w:r>
    </w:p>
    <w:p w:rsidR="009111CF" w:rsidRPr="0082289C" w:rsidRDefault="004B1E89" w:rsidP="004B1E89">
      <w:pPr>
        <w:pStyle w:val="H4G"/>
      </w:pPr>
      <w:r>
        <w:tab/>
      </w:r>
      <w:r>
        <w:tab/>
      </w:r>
      <w:r w:rsidR="009111CF" w:rsidRPr="0082289C">
        <w:t>Structure de la brigade des mineurs</w:t>
      </w:r>
    </w:p>
    <w:p w:rsidR="009111CF" w:rsidRPr="0082289C" w:rsidRDefault="00B90046" w:rsidP="000F5D67">
      <w:pPr>
        <w:pStyle w:val="SingleTxtG"/>
      </w:pPr>
      <w:r>
        <w:t>9</w:t>
      </w:r>
      <w:r w:rsidR="0033388B">
        <w:t>3</w:t>
      </w:r>
      <w:r w:rsidR="009111CF">
        <w:t>.</w:t>
      </w:r>
      <w:r w:rsidR="009111CF">
        <w:tab/>
      </w:r>
      <w:r w:rsidR="009111CF" w:rsidRPr="0082289C">
        <w:t xml:space="preserve">La brigade </w:t>
      </w:r>
      <w:r w:rsidR="00AF6EEB">
        <w:t>des</w:t>
      </w:r>
      <w:r w:rsidR="00AF6EEB" w:rsidRPr="0082289C">
        <w:t xml:space="preserve"> </w:t>
      </w:r>
      <w:r w:rsidR="009111CF" w:rsidRPr="0082289C">
        <w:t>mineurs de Lomé est une structure hybride de garde et de détention préventive pour mineurs. Cette structure créée par le décret n</w:t>
      </w:r>
      <w:r w:rsidR="00B114ED" w:rsidRPr="000F5D67">
        <w:rPr>
          <w:vertAlign w:val="superscript"/>
        </w:rPr>
        <w:t>o</w:t>
      </w:r>
      <w:r w:rsidR="00B114ED">
        <w:t> </w:t>
      </w:r>
      <w:r w:rsidR="009111CF" w:rsidRPr="0082289C">
        <w:t xml:space="preserve">70-55 du 23 février 1970 se trouve, depuis la disparition du Ministère de la </w:t>
      </w:r>
      <w:r w:rsidR="00994B9C">
        <w:t>p</w:t>
      </w:r>
      <w:r w:rsidR="00994B9C" w:rsidRPr="0082289C">
        <w:t xml:space="preserve">rotection </w:t>
      </w:r>
      <w:r w:rsidR="009111CF" w:rsidRPr="0082289C">
        <w:t xml:space="preserve">civile, sous l’autorité de tutelle du Ministère de la </w:t>
      </w:r>
      <w:r w:rsidR="00994B9C">
        <w:t>j</w:t>
      </w:r>
      <w:r w:rsidR="00994B9C" w:rsidRPr="0082289C">
        <w:t>ustice</w:t>
      </w:r>
      <w:r w:rsidR="009111CF" w:rsidRPr="0082289C">
        <w:t>. Il s’agit de la seule institution au niveau national prenant en charge les mineurs en conflit avec la loi. Sa capacité d’accueil</w:t>
      </w:r>
      <w:r w:rsidR="0053594C">
        <w:t xml:space="preserve"> est</w:t>
      </w:r>
      <w:r w:rsidR="009111CF" w:rsidRPr="0082289C">
        <w:t xml:space="preserve"> de 28 places </w:t>
      </w:r>
      <w:r w:rsidR="0053594C">
        <w:t xml:space="preserve">et y sont </w:t>
      </w:r>
      <w:r w:rsidR="0053594C" w:rsidRPr="0082289C">
        <w:t>reç</w:t>
      </w:r>
      <w:r w:rsidR="0053594C">
        <w:t>us</w:t>
      </w:r>
      <w:r w:rsidR="0053594C" w:rsidRPr="0082289C">
        <w:t xml:space="preserve"> </w:t>
      </w:r>
      <w:r w:rsidR="009111CF" w:rsidRPr="0082289C">
        <w:t xml:space="preserve">principalement </w:t>
      </w:r>
      <w:r w:rsidR="0053594C">
        <w:t>d</w:t>
      </w:r>
      <w:r w:rsidR="0053594C" w:rsidRPr="0082289C">
        <w:t xml:space="preserve">es </w:t>
      </w:r>
      <w:r w:rsidR="009111CF" w:rsidRPr="0082289C">
        <w:t xml:space="preserve">enfants âgés de 14 à 18 ans provenant de Lomé, </w:t>
      </w:r>
      <w:proofErr w:type="spellStart"/>
      <w:r w:rsidR="009111CF" w:rsidRPr="0082289C">
        <w:t>Kpalimé</w:t>
      </w:r>
      <w:proofErr w:type="spellEnd"/>
      <w:r w:rsidR="009111CF" w:rsidRPr="0082289C">
        <w:t xml:space="preserve"> et Tsévié. </w:t>
      </w:r>
    </w:p>
    <w:p w:rsidR="009111CF" w:rsidRPr="0082289C" w:rsidRDefault="00B90046" w:rsidP="000F5D67">
      <w:pPr>
        <w:pStyle w:val="SingleTxtG"/>
      </w:pPr>
      <w:r>
        <w:t>9</w:t>
      </w:r>
      <w:r w:rsidR="0033388B">
        <w:t>4</w:t>
      </w:r>
      <w:r w:rsidR="009111CF" w:rsidRPr="0082289C">
        <w:t>.</w:t>
      </w:r>
      <w:r>
        <w:tab/>
      </w:r>
      <w:r w:rsidR="009111CF" w:rsidRPr="0082289C">
        <w:t xml:space="preserve">Le </w:t>
      </w:r>
      <w:r w:rsidR="00417BDD">
        <w:t>Sous-Comité</w:t>
      </w:r>
      <w:r w:rsidR="009111CF" w:rsidRPr="0082289C">
        <w:t xml:space="preserve"> s’interroge sur la pertinence de la structure hybride de la </w:t>
      </w:r>
      <w:r w:rsidR="00AF6EEB">
        <w:t>b</w:t>
      </w:r>
      <w:r w:rsidR="00AF6EEB" w:rsidRPr="0082289C">
        <w:t xml:space="preserve">rigade </w:t>
      </w:r>
      <w:r w:rsidR="009111CF" w:rsidRPr="0082289C">
        <w:t xml:space="preserve">des </w:t>
      </w:r>
      <w:r w:rsidR="00AF6EEB">
        <w:t>m</w:t>
      </w:r>
      <w:r w:rsidR="00AF6EEB" w:rsidRPr="0082289C">
        <w:t xml:space="preserve">ineurs </w:t>
      </w:r>
      <w:r w:rsidR="009111CF" w:rsidRPr="0082289C">
        <w:t xml:space="preserve">dont le fonctionnement entre le commissariat et la prison ne facilite pas </w:t>
      </w:r>
      <w:r w:rsidR="00CD32E7">
        <w:t>un</w:t>
      </w:r>
      <w:r w:rsidR="009111CF" w:rsidRPr="0082289C">
        <w:t xml:space="preserve"> régime séparé entre les enfants mineurs faisant l’objet d’une garde à vue et les enfants inculpés.</w:t>
      </w:r>
    </w:p>
    <w:p w:rsidR="009111CF" w:rsidRPr="0082289C" w:rsidRDefault="00B90046" w:rsidP="000F5D67">
      <w:pPr>
        <w:pStyle w:val="SingleTxtG"/>
        <w:rPr>
          <w:b/>
        </w:rPr>
      </w:pPr>
      <w:r w:rsidRPr="000F5D67">
        <w:rPr>
          <w:bCs/>
        </w:rPr>
        <w:t>9</w:t>
      </w:r>
      <w:r w:rsidR="0033388B">
        <w:rPr>
          <w:bCs/>
        </w:rPr>
        <w:t>5</w:t>
      </w:r>
      <w:r w:rsidR="009111CF" w:rsidRPr="000F5D67">
        <w:rPr>
          <w:bCs/>
        </w:rPr>
        <w:t>.</w:t>
      </w:r>
      <w:r w:rsidR="009111CF" w:rsidRPr="000F5D67">
        <w:rPr>
          <w:bCs/>
        </w:rPr>
        <w:tab/>
      </w:r>
      <w:r w:rsidR="009111CF" w:rsidRPr="0082289C">
        <w:rPr>
          <w:b/>
        </w:rPr>
        <w:t xml:space="preserve">Le </w:t>
      </w:r>
      <w:r w:rsidR="00DD5E27" w:rsidRPr="00C9720C">
        <w:rPr>
          <w:b/>
        </w:rPr>
        <w:t>Sous-Comité</w:t>
      </w:r>
      <w:r w:rsidR="009111CF" w:rsidRPr="0082289C">
        <w:rPr>
          <w:b/>
        </w:rPr>
        <w:t xml:space="preserve"> invite l’</w:t>
      </w:r>
      <w:r w:rsidR="00B36B0D">
        <w:rPr>
          <w:b/>
        </w:rPr>
        <w:t>État</w:t>
      </w:r>
      <w:r w:rsidR="009111CF" w:rsidRPr="0082289C">
        <w:rPr>
          <w:b/>
        </w:rPr>
        <w:t xml:space="preserve"> partie à :</w:t>
      </w:r>
    </w:p>
    <w:p w:rsidR="009111CF" w:rsidRPr="0082289C" w:rsidRDefault="009111CF" w:rsidP="009111CF">
      <w:pPr>
        <w:pStyle w:val="SingleTxtG"/>
        <w:ind w:firstLine="567"/>
        <w:rPr>
          <w:b/>
        </w:rPr>
      </w:pPr>
      <w:r w:rsidRPr="0082289C">
        <w:rPr>
          <w:b/>
        </w:rPr>
        <w:t>a)</w:t>
      </w:r>
      <w:r>
        <w:rPr>
          <w:b/>
        </w:rPr>
        <w:tab/>
      </w:r>
      <w:r w:rsidRPr="0082289C">
        <w:rPr>
          <w:b/>
        </w:rPr>
        <w:t>Repenser la structure actuelle de la brigade des mineurs afin de séparer la fonction de police judiciaire de la fonction de détention préventive ;</w:t>
      </w:r>
    </w:p>
    <w:p w:rsidR="009111CF" w:rsidRPr="0082289C" w:rsidRDefault="009111CF">
      <w:pPr>
        <w:pStyle w:val="SingleTxtG"/>
        <w:ind w:firstLine="567"/>
        <w:rPr>
          <w:b/>
        </w:rPr>
      </w:pPr>
      <w:r>
        <w:rPr>
          <w:b/>
        </w:rPr>
        <w:t>b)</w:t>
      </w:r>
      <w:r>
        <w:rPr>
          <w:b/>
        </w:rPr>
        <w:tab/>
      </w:r>
      <w:r w:rsidRPr="0082289C">
        <w:rPr>
          <w:b/>
        </w:rPr>
        <w:t xml:space="preserve">Prendre en compte </w:t>
      </w:r>
      <w:r w:rsidR="0053594C">
        <w:rPr>
          <w:b/>
        </w:rPr>
        <w:t>la nécessité de cette restructuration pour</w:t>
      </w:r>
      <w:r w:rsidRPr="0082289C">
        <w:rPr>
          <w:b/>
        </w:rPr>
        <w:t xml:space="preserve"> créer de nouvelles brigades des mineurs</w:t>
      </w:r>
      <w:r w:rsidR="0053594C">
        <w:rPr>
          <w:b/>
        </w:rPr>
        <w:t>, comme l’a</w:t>
      </w:r>
      <w:r>
        <w:rPr>
          <w:b/>
        </w:rPr>
        <w:t xml:space="preserve"> recommandé le C</w:t>
      </w:r>
      <w:r w:rsidRPr="0082289C">
        <w:rPr>
          <w:b/>
        </w:rPr>
        <w:t xml:space="preserve">omité des </w:t>
      </w:r>
      <w:r w:rsidR="00AF6EEB">
        <w:rPr>
          <w:b/>
        </w:rPr>
        <w:t>d</w:t>
      </w:r>
      <w:r w:rsidR="00AF6EEB" w:rsidRPr="0082289C">
        <w:rPr>
          <w:b/>
        </w:rPr>
        <w:t xml:space="preserve">roits </w:t>
      </w:r>
      <w:r w:rsidRPr="0082289C">
        <w:rPr>
          <w:b/>
        </w:rPr>
        <w:t xml:space="preserve">de </w:t>
      </w:r>
      <w:r w:rsidR="00AF6EEB" w:rsidRPr="0082289C">
        <w:rPr>
          <w:b/>
        </w:rPr>
        <w:t>l’</w:t>
      </w:r>
      <w:r w:rsidR="00AF6EEB">
        <w:rPr>
          <w:b/>
        </w:rPr>
        <w:t>e</w:t>
      </w:r>
      <w:r w:rsidR="00AF6EEB" w:rsidRPr="0082289C">
        <w:rPr>
          <w:b/>
        </w:rPr>
        <w:t xml:space="preserve">nfant </w:t>
      </w:r>
      <w:r w:rsidRPr="0082289C">
        <w:rPr>
          <w:b/>
        </w:rPr>
        <w:t>dans ses observations finales en 2012</w:t>
      </w:r>
      <w:r w:rsidR="00776F1F">
        <w:rPr>
          <w:b/>
        </w:rPr>
        <w:t xml:space="preserve"> (voir </w:t>
      </w:r>
      <w:r w:rsidR="00776F1F" w:rsidRPr="000F5D67">
        <w:rPr>
          <w:b/>
        </w:rPr>
        <w:t>CRC/C/TGO/CO/3-4, par.</w:t>
      </w:r>
      <w:r w:rsidR="00D52B50">
        <w:rPr>
          <w:b/>
        </w:rPr>
        <w:t> </w:t>
      </w:r>
      <w:r w:rsidR="00776F1F" w:rsidRPr="000F5D67">
        <w:rPr>
          <w:b/>
        </w:rPr>
        <w:t>76)</w:t>
      </w:r>
      <w:r w:rsidRPr="0082289C">
        <w:rPr>
          <w:b/>
        </w:rPr>
        <w:t xml:space="preserve">. </w:t>
      </w:r>
    </w:p>
    <w:p w:rsidR="009111CF" w:rsidRPr="0082289C" w:rsidRDefault="004B1E89" w:rsidP="004B1E89">
      <w:pPr>
        <w:pStyle w:val="H4G"/>
      </w:pPr>
      <w:r>
        <w:tab/>
      </w:r>
      <w:r>
        <w:tab/>
      </w:r>
      <w:r w:rsidR="009111CF" w:rsidRPr="0082289C">
        <w:t>Durée de la garde à vue et de la détention provisoire</w:t>
      </w:r>
    </w:p>
    <w:p w:rsidR="009111CF" w:rsidRPr="0082289C" w:rsidRDefault="00B90046" w:rsidP="000F5D67">
      <w:pPr>
        <w:pStyle w:val="SingleTxtG"/>
      </w:pPr>
      <w:r>
        <w:t>9</w:t>
      </w:r>
      <w:r w:rsidR="0033388B">
        <w:t>6</w:t>
      </w:r>
      <w:r w:rsidR="009111CF">
        <w:t>.</w:t>
      </w:r>
      <w:r w:rsidR="009111CF">
        <w:tab/>
      </w:r>
      <w:r w:rsidR="009111CF" w:rsidRPr="0082289C">
        <w:t xml:space="preserve">Lors de la visite à la brigade des mineurs, le </w:t>
      </w:r>
      <w:r w:rsidR="00417BDD">
        <w:t>Sous-Comité</w:t>
      </w:r>
      <w:r w:rsidR="009111CF" w:rsidRPr="0082289C">
        <w:t xml:space="preserve"> a rencontré 18 enfants. En consultant les registres, </w:t>
      </w:r>
      <w:r w:rsidR="0053594C">
        <w:t>l</w:t>
      </w:r>
      <w:r w:rsidR="0053594C" w:rsidRPr="0082289C">
        <w:t xml:space="preserve">e </w:t>
      </w:r>
      <w:r w:rsidR="00417BDD">
        <w:t>Sous-Comité</w:t>
      </w:r>
      <w:r w:rsidR="009111CF" w:rsidRPr="0082289C">
        <w:t xml:space="preserve"> a constaté que quatre des enfants prévenus étaient détenus depuis </w:t>
      </w:r>
      <w:r w:rsidR="0041053B">
        <w:t>un</w:t>
      </w:r>
      <w:r w:rsidR="0041053B" w:rsidRPr="0082289C">
        <w:t xml:space="preserve"> </w:t>
      </w:r>
      <w:r w:rsidR="009111CF" w:rsidRPr="0082289C">
        <w:t xml:space="preserve">à </w:t>
      </w:r>
      <w:r w:rsidR="0041053B">
        <w:t>quatre</w:t>
      </w:r>
      <w:r w:rsidR="0041053B" w:rsidRPr="0082289C">
        <w:t xml:space="preserve"> </w:t>
      </w:r>
      <w:r w:rsidR="009111CF" w:rsidRPr="0082289C">
        <w:t xml:space="preserve">mois. Les 14 autres enfants présents </w:t>
      </w:r>
      <w:r w:rsidR="0053594C">
        <w:t>avaient</w:t>
      </w:r>
      <w:r w:rsidR="0053594C" w:rsidRPr="0082289C">
        <w:t xml:space="preserve"> </w:t>
      </w:r>
      <w:r w:rsidR="009111CF" w:rsidRPr="0082289C">
        <w:t xml:space="preserve">été déférés par le </w:t>
      </w:r>
      <w:r w:rsidR="00657DF3">
        <w:t>j</w:t>
      </w:r>
      <w:r w:rsidR="00657DF3" w:rsidRPr="0082289C">
        <w:t xml:space="preserve">uge </w:t>
      </w:r>
      <w:r w:rsidR="009111CF" w:rsidRPr="0082289C">
        <w:t xml:space="preserve">dans le cadre d’une ordonnance de garde provisoire n’indiquant aucune durée et ne fournissant aucune information sur la date de remise en liberté. En consultant les registres, le </w:t>
      </w:r>
      <w:r w:rsidR="00DD5E27">
        <w:t>Sous-Comité</w:t>
      </w:r>
      <w:r w:rsidR="009111CF" w:rsidRPr="0082289C">
        <w:t xml:space="preserve"> a constaté que certains enfants étaient placés en détention provisoire pour une durée supérieure à </w:t>
      </w:r>
      <w:r w:rsidR="0041053B">
        <w:t>trois</w:t>
      </w:r>
      <w:r w:rsidR="0041053B" w:rsidRPr="0082289C">
        <w:t xml:space="preserve"> </w:t>
      </w:r>
      <w:r w:rsidR="009111CF" w:rsidRPr="0082289C">
        <w:t>mois pour des délits de faible gravité.</w:t>
      </w:r>
    </w:p>
    <w:p w:rsidR="009111CF" w:rsidRPr="0082289C" w:rsidRDefault="00B90046" w:rsidP="000F5D67">
      <w:pPr>
        <w:pStyle w:val="SingleTxtG"/>
      </w:pPr>
      <w:r>
        <w:t>9</w:t>
      </w:r>
      <w:r w:rsidR="0033388B">
        <w:t>7</w:t>
      </w:r>
      <w:r w:rsidR="009111CF">
        <w:t>.</w:t>
      </w:r>
      <w:r w:rsidR="009111CF">
        <w:tab/>
      </w:r>
      <w:r w:rsidR="009111CF" w:rsidRPr="0082289C">
        <w:t xml:space="preserve">Le </w:t>
      </w:r>
      <w:r w:rsidR="00DD5E27">
        <w:t>Sous-Comité</w:t>
      </w:r>
      <w:r w:rsidR="009111CF" w:rsidRPr="0082289C">
        <w:t xml:space="preserve"> rappelle à l’</w:t>
      </w:r>
      <w:r w:rsidR="00B36B0D">
        <w:t>État</w:t>
      </w:r>
      <w:r w:rsidR="009111CF" w:rsidRPr="0082289C">
        <w:t xml:space="preserve"> partie que ces situations sont contraires aux dispositions des articles 300, 305, 310 et 318 du Code de l</w:t>
      </w:r>
      <w:r w:rsidR="00E961A0" w:rsidRPr="00926DC8">
        <w:t>’</w:t>
      </w:r>
      <w:r w:rsidR="00E961A0">
        <w:t>e</w:t>
      </w:r>
      <w:r w:rsidR="009111CF" w:rsidRPr="0082289C">
        <w:t xml:space="preserve">nfant togolais et constituent </w:t>
      </w:r>
      <w:r w:rsidR="009111CF">
        <w:t xml:space="preserve">donc </w:t>
      </w:r>
      <w:r w:rsidR="009111CF" w:rsidRPr="0082289C">
        <w:t>des détentions arbitraires. En vertu de ces dispositions</w:t>
      </w:r>
      <w:r w:rsidR="00E961A0">
        <w:t> </w:t>
      </w:r>
      <w:r w:rsidR="009111CF" w:rsidRPr="0082289C">
        <w:t xml:space="preserve">: </w:t>
      </w:r>
    </w:p>
    <w:p w:rsidR="009111CF" w:rsidRPr="007C3705" w:rsidRDefault="009111CF">
      <w:pPr>
        <w:pStyle w:val="SingleTxtG"/>
        <w:ind w:firstLine="567"/>
      </w:pPr>
      <w:r w:rsidRPr="007C3705">
        <w:t>a)</w:t>
      </w:r>
      <w:r w:rsidRPr="007C3705">
        <w:tab/>
        <w:t xml:space="preserve">La garde à vue doit demeurer une mesure de dernier ressort et ne peut durer plus de </w:t>
      </w:r>
      <w:r w:rsidR="0087391E">
        <w:t>vingt</w:t>
      </w:r>
      <w:r w:rsidR="0087391E" w:rsidRPr="007C3705">
        <w:t xml:space="preserve"> </w:t>
      </w:r>
      <w:r w:rsidRPr="007C3705">
        <w:t xml:space="preserve">heures, sauf prolongation exceptionnelle de </w:t>
      </w:r>
      <w:r w:rsidR="0087391E">
        <w:t>dix</w:t>
      </w:r>
      <w:r w:rsidR="0087391E" w:rsidRPr="007C3705">
        <w:t xml:space="preserve"> </w:t>
      </w:r>
      <w:r w:rsidRPr="007C3705">
        <w:t xml:space="preserve">heures autorisée par le </w:t>
      </w:r>
      <w:r w:rsidR="002C548A">
        <w:t>m</w:t>
      </w:r>
      <w:r w:rsidR="002C548A" w:rsidRPr="007C3705">
        <w:t xml:space="preserve">inistère </w:t>
      </w:r>
      <w:r w:rsidR="002C548A">
        <w:t>p</w:t>
      </w:r>
      <w:r w:rsidR="002C548A" w:rsidRPr="007C3705">
        <w:t>ublic</w:t>
      </w:r>
      <w:r w:rsidR="002C548A">
        <w:t> </w:t>
      </w:r>
      <w:r w:rsidR="003F2C0B">
        <w:t>;</w:t>
      </w:r>
      <w:r w:rsidRPr="007C3705">
        <w:t xml:space="preserve"> </w:t>
      </w:r>
    </w:p>
    <w:p w:rsidR="009111CF" w:rsidRPr="007C3705" w:rsidRDefault="009111CF">
      <w:pPr>
        <w:pStyle w:val="SingleTxtG"/>
        <w:ind w:firstLine="567"/>
      </w:pPr>
      <w:r w:rsidRPr="007C3705">
        <w:t>b)</w:t>
      </w:r>
      <w:r w:rsidRPr="007C3705">
        <w:tab/>
        <w:t xml:space="preserve">Les mineurs de plus de 14 ans prévenus </w:t>
      </w:r>
      <w:r w:rsidR="00212048">
        <w:t xml:space="preserve">pour une </w:t>
      </w:r>
      <w:r w:rsidRPr="007C3705">
        <w:t xml:space="preserve">infraction pénale doivent être déférés au juge dans les </w:t>
      </w:r>
      <w:r w:rsidR="0087391E">
        <w:t>quarante-huit</w:t>
      </w:r>
      <w:r w:rsidR="0087391E" w:rsidRPr="007C3705">
        <w:t xml:space="preserve"> </w:t>
      </w:r>
      <w:r w:rsidRPr="007C3705">
        <w:t>heures suivant leur présentation au Procureur de la République</w:t>
      </w:r>
      <w:r w:rsidR="003F2C0B">
        <w:t> ;</w:t>
      </w:r>
      <w:r w:rsidRPr="007C3705">
        <w:t xml:space="preserve"> </w:t>
      </w:r>
    </w:p>
    <w:p w:rsidR="009111CF" w:rsidRPr="007C3705" w:rsidRDefault="009111CF" w:rsidP="009111CF">
      <w:pPr>
        <w:pStyle w:val="SingleTxtG"/>
        <w:ind w:firstLine="567"/>
      </w:pPr>
      <w:r w:rsidRPr="007C3705">
        <w:t>c)</w:t>
      </w:r>
      <w:r w:rsidRPr="007C3705">
        <w:tab/>
        <w:t>La durée de la détention provisoire ne peut excéder trois mois pour les délits et douze mois pour les crimes.</w:t>
      </w:r>
    </w:p>
    <w:p w:rsidR="009111CF" w:rsidRPr="0082289C" w:rsidRDefault="00B90046" w:rsidP="000F5D67">
      <w:pPr>
        <w:pStyle w:val="SingleTxtG"/>
        <w:rPr>
          <w:b/>
        </w:rPr>
      </w:pPr>
      <w:r w:rsidRPr="000F5D67">
        <w:rPr>
          <w:bCs/>
        </w:rPr>
        <w:t>9</w:t>
      </w:r>
      <w:r w:rsidR="0033388B">
        <w:rPr>
          <w:bCs/>
        </w:rPr>
        <w:t>8</w:t>
      </w:r>
      <w:r w:rsidR="009111CF" w:rsidRPr="000F5D67">
        <w:rPr>
          <w:bCs/>
        </w:rPr>
        <w:t>.</w:t>
      </w:r>
      <w:r w:rsidR="009111CF" w:rsidRPr="000F5D67">
        <w:rPr>
          <w:bCs/>
        </w:rPr>
        <w:tab/>
      </w:r>
      <w:r w:rsidR="009111CF" w:rsidRPr="0082289C">
        <w:rPr>
          <w:b/>
        </w:rPr>
        <w:t xml:space="preserve">Le </w:t>
      </w:r>
      <w:r w:rsidR="00D77413" w:rsidRPr="0082289C">
        <w:rPr>
          <w:b/>
        </w:rPr>
        <w:t>S</w:t>
      </w:r>
      <w:r w:rsidR="00D77413">
        <w:rPr>
          <w:b/>
        </w:rPr>
        <w:t>ous-Comité</w:t>
      </w:r>
      <w:r w:rsidR="00D77413" w:rsidRPr="0082289C">
        <w:rPr>
          <w:b/>
        </w:rPr>
        <w:t xml:space="preserve"> </w:t>
      </w:r>
      <w:r w:rsidR="009111CF" w:rsidRPr="0082289C">
        <w:rPr>
          <w:b/>
        </w:rPr>
        <w:t>recommande à l’</w:t>
      </w:r>
      <w:r w:rsidR="00B36B0D">
        <w:rPr>
          <w:b/>
        </w:rPr>
        <w:t>État</w:t>
      </w:r>
      <w:r w:rsidR="009111CF" w:rsidRPr="0082289C">
        <w:rPr>
          <w:b/>
        </w:rPr>
        <w:t xml:space="preserve"> partie </w:t>
      </w:r>
      <w:r w:rsidR="00212048">
        <w:rPr>
          <w:b/>
        </w:rPr>
        <w:t xml:space="preserve">de faire en sorte </w:t>
      </w:r>
      <w:r w:rsidR="009111CF" w:rsidRPr="0082289C">
        <w:rPr>
          <w:b/>
        </w:rPr>
        <w:t xml:space="preserve">que le recours à la détention des enfants soit </w:t>
      </w:r>
      <w:r w:rsidR="00212048">
        <w:rPr>
          <w:b/>
        </w:rPr>
        <w:t>d</w:t>
      </w:r>
      <w:r w:rsidR="00212048" w:rsidRPr="00212048">
        <w:rPr>
          <w:b/>
        </w:rPr>
        <w:t>’</w:t>
      </w:r>
      <w:r w:rsidR="00212048">
        <w:rPr>
          <w:b/>
        </w:rPr>
        <w:t xml:space="preserve">une durée </w:t>
      </w:r>
      <w:r w:rsidR="009111CF" w:rsidRPr="0082289C">
        <w:rPr>
          <w:b/>
        </w:rPr>
        <w:t xml:space="preserve">la plus courte possible, et que leur mise en liberté conditionnelle ou toute autre mesure </w:t>
      </w:r>
      <w:r w:rsidR="006C2692">
        <w:rPr>
          <w:b/>
        </w:rPr>
        <w:t>de substitution</w:t>
      </w:r>
      <w:r w:rsidR="006C2692" w:rsidRPr="0082289C">
        <w:rPr>
          <w:b/>
        </w:rPr>
        <w:t xml:space="preserve"> </w:t>
      </w:r>
      <w:r w:rsidR="009111CF" w:rsidRPr="0082289C">
        <w:rPr>
          <w:b/>
        </w:rPr>
        <w:t xml:space="preserve">à la privation de liberté soit envisagée. </w:t>
      </w:r>
      <w:r w:rsidR="00D77413">
        <w:rPr>
          <w:b/>
        </w:rPr>
        <w:t>Il</w:t>
      </w:r>
      <w:r w:rsidR="009111CF" w:rsidRPr="0082289C">
        <w:rPr>
          <w:b/>
        </w:rPr>
        <w:t xml:space="preserve"> recommande également à l’État partie de </w:t>
      </w:r>
      <w:r w:rsidR="0053594C">
        <w:rPr>
          <w:b/>
        </w:rPr>
        <w:t>mettre en place</w:t>
      </w:r>
      <w:r w:rsidR="009111CF" w:rsidRPr="0082289C">
        <w:rPr>
          <w:b/>
        </w:rPr>
        <w:t xml:space="preserve"> un mécanisme de recours</w:t>
      </w:r>
      <w:r w:rsidR="0053594C">
        <w:rPr>
          <w:b/>
        </w:rPr>
        <w:t xml:space="preserve"> accessible aux enfants et destiné à éviter des détentions arbitraires ou excessives</w:t>
      </w:r>
      <w:r w:rsidR="009111CF" w:rsidRPr="0082289C">
        <w:rPr>
          <w:b/>
        </w:rPr>
        <w:t xml:space="preserve">. </w:t>
      </w:r>
    </w:p>
    <w:p w:rsidR="009111CF" w:rsidRPr="0082289C" w:rsidRDefault="004B1E89" w:rsidP="004B1E89">
      <w:pPr>
        <w:pStyle w:val="H4G"/>
      </w:pPr>
      <w:r>
        <w:tab/>
      </w:r>
      <w:r>
        <w:tab/>
      </w:r>
      <w:r w:rsidR="009111CF" w:rsidRPr="0082289C">
        <w:t>Conditions de détention</w:t>
      </w:r>
    </w:p>
    <w:p w:rsidR="009111CF" w:rsidRPr="0082289C" w:rsidRDefault="00B90046" w:rsidP="000F5D67">
      <w:pPr>
        <w:pStyle w:val="SingleTxtG"/>
      </w:pPr>
      <w:r>
        <w:t>9</w:t>
      </w:r>
      <w:r w:rsidR="0033388B">
        <w:t>9</w:t>
      </w:r>
      <w:r w:rsidR="009111CF" w:rsidRPr="0082289C">
        <w:t>.</w:t>
      </w:r>
      <w:r w:rsidR="009111CF">
        <w:tab/>
      </w:r>
      <w:r w:rsidR="009111CF" w:rsidRPr="0082289C">
        <w:t xml:space="preserve">Le </w:t>
      </w:r>
      <w:r w:rsidR="007C3DD4">
        <w:t>Sous-Comité</w:t>
      </w:r>
      <w:r w:rsidR="007C3DD4" w:rsidRPr="0082289C">
        <w:t xml:space="preserve"> </w:t>
      </w:r>
      <w:r w:rsidR="009111CF" w:rsidRPr="0082289C">
        <w:t>s’inquiète des mauvaises conditions sanitaires et matérielles dans lesquelles se trouvent les enfants en détention à la brigade des mineurs. En effet</w:t>
      </w:r>
      <w:r w:rsidR="00B1072A">
        <w:t>,</w:t>
      </w:r>
      <w:r w:rsidR="009111CF" w:rsidRPr="0082289C">
        <w:t xml:space="preserve"> </w:t>
      </w:r>
      <w:r w:rsidR="001E4BDB">
        <w:t>ils</w:t>
      </w:r>
      <w:r w:rsidR="009111CF" w:rsidRPr="0082289C">
        <w:t xml:space="preserve"> ne bénéficient pas d’une alimentation adéquate</w:t>
      </w:r>
      <w:r w:rsidR="00B1072A">
        <w:t>, ni</w:t>
      </w:r>
      <w:r w:rsidR="005B4E8A">
        <w:t xml:space="preserve"> </w:t>
      </w:r>
      <w:r w:rsidR="009111CF" w:rsidRPr="0082289C">
        <w:t>de sorties à l’air libre, ni d’activités sportives ou éducatives</w:t>
      </w:r>
      <w:r w:rsidR="001E4BDB">
        <w:t>. La privation d’une alimentation adéquate et d’activités adaptées</w:t>
      </w:r>
      <w:r w:rsidR="009111CF" w:rsidRPr="0082289C">
        <w:t xml:space="preserve"> constitue un traitement inhumain et dégradant. La difficulté d’accès aux soins est également </w:t>
      </w:r>
      <w:r w:rsidR="009111CF" w:rsidRPr="0082289C">
        <w:lastRenderedPageBreak/>
        <w:t xml:space="preserve">préoccupante, en particulier pour les enfants n’ayant pas de parents ou de famille proche, ainsi que pour ceux </w:t>
      </w:r>
      <w:r w:rsidR="007A6E83">
        <w:t xml:space="preserve">dont les familles </w:t>
      </w:r>
      <w:r w:rsidR="007A6E83" w:rsidRPr="0082289C">
        <w:t>n’</w:t>
      </w:r>
      <w:r w:rsidR="007A6E83">
        <w:t>ont</w:t>
      </w:r>
      <w:r w:rsidR="007A6E83" w:rsidRPr="0082289C">
        <w:t xml:space="preserve"> </w:t>
      </w:r>
      <w:r w:rsidR="009111CF" w:rsidRPr="0082289C">
        <w:t xml:space="preserve">pas de ressources. </w:t>
      </w:r>
    </w:p>
    <w:p w:rsidR="009111CF" w:rsidRPr="0082289C" w:rsidRDefault="0033388B" w:rsidP="000F5D67">
      <w:pPr>
        <w:pStyle w:val="SingleTxtG"/>
      </w:pPr>
      <w:r>
        <w:t>100</w:t>
      </w:r>
      <w:r w:rsidR="009111CF">
        <w:t>.</w:t>
      </w:r>
      <w:r w:rsidR="009111CF">
        <w:tab/>
      </w:r>
      <w:r w:rsidR="009111CF" w:rsidRPr="0082289C">
        <w:t xml:space="preserve">Le </w:t>
      </w:r>
      <w:r w:rsidR="007C3DD4">
        <w:t>Sous-Comité</w:t>
      </w:r>
      <w:r w:rsidR="009111CF" w:rsidRPr="0082289C">
        <w:t xml:space="preserve"> a également </w:t>
      </w:r>
      <w:r w:rsidR="000A5344">
        <w:t xml:space="preserve">appris </w:t>
      </w:r>
      <w:r w:rsidR="009111CF" w:rsidRPr="0082289C">
        <w:t xml:space="preserve">que des sanctions disciplinaires </w:t>
      </w:r>
      <w:r w:rsidR="004F4E08" w:rsidRPr="0082289C">
        <w:t>équival</w:t>
      </w:r>
      <w:r w:rsidR="004F4E08">
        <w:t>ant</w:t>
      </w:r>
      <w:r w:rsidR="004F4E08" w:rsidRPr="0082289C">
        <w:t xml:space="preserve"> </w:t>
      </w:r>
      <w:r w:rsidR="009111CF" w:rsidRPr="0082289C">
        <w:t xml:space="preserve">à des châtiments corporels </w:t>
      </w:r>
      <w:r w:rsidR="007A6E83">
        <w:t>sont</w:t>
      </w:r>
      <w:r w:rsidR="007A6E83" w:rsidRPr="0082289C">
        <w:t xml:space="preserve"> </w:t>
      </w:r>
      <w:r w:rsidR="009111CF" w:rsidRPr="0082289C">
        <w:t>pratiquées au sein de la brigade des mineurs.</w:t>
      </w:r>
    </w:p>
    <w:p w:rsidR="009111CF" w:rsidRPr="0082289C" w:rsidRDefault="00B90046" w:rsidP="000F5D67">
      <w:pPr>
        <w:pStyle w:val="SingleTxtG"/>
        <w:rPr>
          <w:b/>
        </w:rPr>
      </w:pPr>
      <w:r w:rsidRPr="000F5D67">
        <w:rPr>
          <w:bCs/>
        </w:rPr>
        <w:t>10</w:t>
      </w:r>
      <w:r w:rsidR="0033388B">
        <w:rPr>
          <w:bCs/>
        </w:rPr>
        <w:t>1</w:t>
      </w:r>
      <w:r w:rsidR="009111CF" w:rsidRPr="000F5D67">
        <w:rPr>
          <w:bCs/>
        </w:rPr>
        <w:t>.</w:t>
      </w:r>
      <w:r w:rsidR="009111CF" w:rsidRPr="000F5D67">
        <w:rPr>
          <w:bCs/>
        </w:rPr>
        <w:tab/>
      </w:r>
      <w:r w:rsidR="009111CF" w:rsidRPr="0082289C">
        <w:rPr>
          <w:b/>
        </w:rPr>
        <w:t xml:space="preserve">Le </w:t>
      </w:r>
      <w:r w:rsidR="007C3DD4" w:rsidRPr="0082289C">
        <w:rPr>
          <w:b/>
        </w:rPr>
        <w:t>S</w:t>
      </w:r>
      <w:r w:rsidR="007C3DD4">
        <w:rPr>
          <w:b/>
        </w:rPr>
        <w:t>ous-Comité</w:t>
      </w:r>
      <w:r w:rsidR="007C3DD4" w:rsidRPr="0082289C">
        <w:rPr>
          <w:b/>
        </w:rPr>
        <w:t xml:space="preserve"> </w:t>
      </w:r>
      <w:r w:rsidR="009111CF" w:rsidRPr="0082289C">
        <w:rPr>
          <w:b/>
        </w:rPr>
        <w:t>recommande à l’</w:t>
      </w:r>
      <w:r w:rsidR="00B36B0D">
        <w:rPr>
          <w:b/>
        </w:rPr>
        <w:t>État</w:t>
      </w:r>
      <w:r w:rsidR="009111CF" w:rsidRPr="0082289C">
        <w:rPr>
          <w:b/>
        </w:rPr>
        <w:t xml:space="preserve"> partie de </w:t>
      </w:r>
      <w:r w:rsidR="005B4E8A">
        <w:rPr>
          <w:b/>
        </w:rPr>
        <w:t xml:space="preserve">procurer </w:t>
      </w:r>
      <w:r w:rsidR="009111CF" w:rsidRPr="0082289C">
        <w:rPr>
          <w:b/>
        </w:rPr>
        <w:t xml:space="preserve">aux enfants une alimentation adéquate et variée </w:t>
      </w:r>
      <w:r w:rsidR="007A6E83">
        <w:rPr>
          <w:b/>
        </w:rPr>
        <w:t>et</w:t>
      </w:r>
      <w:r w:rsidR="009111CF" w:rsidRPr="0082289C">
        <w:rPr>
          <w:b/>
        </w:rPr>
        <w:t xml:space="preserve"> de faciliter l’accès aux soins et la prise en charge des frais médicaux, en particulier pour les enfants les plus vulnérables n’ayant pas de ressources. </w:t>
      </w:r>
      <w:r w:rsidR="007C3DD4">
        <w:rPr>
          <w:b/>
        </w:rPr>
        <w:t>Il</w:t>
      </w:r>
      <w:r w:rsidR="009111CF" w:rsidRPr="0082289C">
        <w:rPr>
          <w:b/>
        </w:rPr>
        <w:t xml:space="preserve"> insiste auprès de l’</w:t>
      </w:r>
      <w:r w:rsidR="00B36B0D">
        <w:rPr>
          <w:b/>
        </w:rPr>
        <w:t>État</w:t>
      </w:r>
      <w:r w:rsidR="009111CF" w:rsidRPr="0082289C">
        <w:rPr>
          <w:b/>
        </w:rPr>
        <w:t xml:space="preserve"> partie pour que des sorties à l’air libre</w:t>
      </w:r>
      <w:r w:rsidR="0024513F">
        <w:rPr>
          <w:b/>
        </w:rPr>
        <w:t xml:space="preserve"> et</w:t>
      </w:r>
      <w:r w:rsidR="0024513F" w:rsidRPr="0082289C">
        <w:rPr>
          <w:b/>
        </w:rPr>
        <w:t xml:space="preserve"> </w:t>
      </w:r>
      <w:r w:rsidR="009111CF" w:rsidRPr="0082289C">
        <w:rPr>
          <w:b/>
        </w:rPr>
        <w:t>des activités sportives, manuelles et éducatives soient mise</w:t>
      </w:r>
      <w:r w:rsidR="007A6E83">
        <w:rPr>
          <w:b/>
        </w:rPr>
        <w:t>s</w:t>
      </w:r>
      <w:r w:rsidR="009111CF" w:rsidRPr="0082289C">
        <w:rPr>
          <w:b/>
        </w:rPr>
        <w:t xml:space="preserve"> en place </w:t>
      </w:r>
      <w:r w:rsidR="007A6E83">
        <w:rPr>
          <w:b/>
        </w:rPr>
        <w:t>et organisées quotidiennement</w:t>
      </w:r>
      <w:r w:rsidR="009111CF" w:rsidRPr="0082289C">
        <w:rPr>
          <w:b/>
        </w:rPr>
        <w:t xml:space="preserve"> à la </w:t>
      </w:r>
      <w:r w:rsidR="00AF6EEB">
        <w:rPr>
          <w:b/>
        </w:rPr>
        <w:t>b</w:t>
      </w:r>
      <w:r w:rsidR="00AF6EEB" w:rsidRPr="0082289C">
        <w:rPr>
          <w:b/>
        </w:rPr>
        <w:t xml:space="preserve">rigade </w:t>
      </w:r>
      <w:r w:rsidR="009111CF" w:rsidRPr="0082289C">
        <w:rPr>
          <w:b/>
        </w:rPr>
        <w:t xml:space="preserve">des mineurs. </w:t>
      </w:r>
    </w:p>
    <w:p w:rsidR="009111CF" w:rsidRPr="0082289C" w:rsidRDefault="00B90046" w:rsidP="000F5D67">
      <w:pPr>
        <w:pStyle w:val="SingleTxtG"/>
        <w:rPr>
          <w:b/>
        </w:rPr>
      </w:pPr>
      <w:r w:rsidRPr="000F5D67">
        <w:rPr>
          <w:bCs/>
        </w:rPr>
        <w:t>10</w:t>
      </w:r>
      <w:r w:rsidR="0033388B">
        <w:rPr>
          <w:bCs/>
        </w:rPr>
        <w:t>2</w:t>
      </w:r>
      <w:r w:rsidR="009111CF" w:rsidRPr="000F5D67">
        <w:rPr>
          <w:bCs/>
        </w:rPr>
        <w:t>.</w:t>
      </w:r>
      <w:r w:rsidR="009111CF" w:rsidRPr="000F5D67">
        <w:rPr>
          <w:bCs/>
        </w:rPr>
        <w:tab/>
      </w:r>
      <w:r w:rsidR="009111CF" w:rsidRPr="0082289C">
        <w:rPr>
          <w:b/>
        </w:rPr>
        <w:t xml:space="preserve">Enfin, le </w:t>
      </w:r>
      <w:r w:rsidR="007C3DD4" w:rsidRPr="0082289C">
        <w:rPr>
          <w:b/>
        </w:rPr>
        <w:t>S</w:t>
      </w:r>
      <w:r w:rsidR="007C3DD4">
        <w:rPr>
          <w:b/>
        </w:rPr>
        <w:t>ous-Comité</w:t>
      </w:r>
      <w:r w:rsidR="009111CF" w:rsidRPr="0082289C">
        <w:rPr>
          <w:b/>
        </w:rPr>
        <w:t xml:space="preserve"> invite l’</w:t>
      </w:r>
      <w:r w:rsidR="00B36B0D">
        <w:rPr>
          <w:b/>
        </w:rPr>
        <w:t>État</w:t>
      </w:r>
      <w:r w:rsidR="009111CF" w:rsidRPr="0082289C">
        <w:rPr>
          <w:b/>
        </w:rPr>
        <w:t xml:space="preserve"> partie à créer un mécanisme </w:t>
      </w:r>
      <w:r w:rsidR="007A6E83">
        <w:rPr>
          <w:b/>
        </w:rPr>
        <w:t>de</w:t>
      </w:r>
      <w:r w:rsidR="009111CF" w:rsidRPr="0082289C">
        <w:rPr>
          <w:b/>
        </w:rPr>
        <w:t xml:space="preserve"> plainte</w:t>
      </w:r>
      <w:r w:rsidR="007A6E83">
        <w:rPr>
          <w:b/>
        </w:rPr>
        <w:t xml:space="preserve"> accessible aux</w:t>
      </w:r>
      <w:r w:rsidR="009111CF" w:rsidRPr="0082289C">
        <w:rPr>
          <w:b/>
        </w:rPr>
        <w:t xml:space="preserve"> enfants </w:t>
      </w:r>
      <w:r w:rsidR="007A6E83">
        <w:rPr>
          <w:b/>
        </w:rPr>
        <w:t>pour dénoncer</w:t>
      </w:r>
      <w:r w:rsidR="00B95E4A">
        <w:rPr>
          <w:b/>
        </w:rPr>
        <w:t xml:space="preserve"> </w:t>
      </w:r>
      <w:r w:rsidR="007A6E83">
        <w:rPr>
          <w:b/>
        </w:rPr>
        <w:t>tous</w:t>
      </w:r>
      <w:r w:rsidR="009111CF" w:rsidRPr="0082289C">
        <w:rPr>
          <w:b/>
        </w:rPr>
        <w:t xml:space="preserve"> </w:t>
      </w:r>
      <w:r w:rsidR="007A6E83">
        <w:rPr>
          <w:b/>
        </w:rPr>
        <w:t xml:space="preserve">les </w:t>
      </w:r>
      <w:r w:rsidR="009111CF" w:rsidRPr="0082289C">
        <w:rPr>
          <w:b/>
        </w:rPr>
        <w:t>mauvais traitements et châtiments corporels</w:t>
      </w:r>
      <w:r w:rsidR="007A6E83">
        <w:rPr>
          <w:b/>
        </w:rPr>
        <w:t xml:space="preserve"> infligés</w:t>
      </w:r>
      <w:r w:rsidR="00B95E4A">
        <w:rPr>
          <w:b/>
        </w:rPr>
        <w:t xml:space="preserve">, enquêter sur ces cas </w:t>
      </w:r>
      <w:r w:rsidR="0024513F">
        <w:rPr>
          <w:b/>
        </w:rPr>
        <w:t>et les sanctionner</w:t>
      </w:r>
      <w:r w:rsidR="009111CF" w:rsidRPr="0082289C">
        <w:rPr>
          <w:b/>
        </w:rPr>
        <w:t>.</w:t>
      </w:r>
    </w:p>
    <w:p w:rsidR="009111CF" w:rsidRPr="0082289C" w:rsidRDefault="009111CF" w:rsidP="009111CF">
      <w:pPr>
        <w:pStyle w:val="H23G"/>
      </w:pPr>
      <w:r>
        <w:tab/>
        <w:t>2.</w:t>
      </w:r>
      <w:r>
        <w:tab/>
      </w:r>
      <w:r w:rsidRPr="0082289C">
        <w:t>Situation des mineurs en conflit avec la loi dans le reste du territoire</w:t>
      </w:r>
    </w:p>
    <w:p w:rsidR="009111CF" w:rsidRPr="0082289C" w:rsidRDefault="00B90046" w:rsidP="000F5D67">
      <w:pPr>
        <w:pStyle w:val="SingleTxtG"/>
      </w:pPr>
      <w:r>
        <w:t>10</w:t>
      </w:r>
      <w:r w:rsidR="0033388B">
        <w:t>3</w:t>
      </w:r>
      <w:r w:rsidR="009111CF">
        <w:t>.</w:t>
      </w:r>
      <w:r w:rsidR="009111CF">
        <w:tab/>
      </w:r>
      <w:r w:rsidR="007A6E83">
        <w:t>L</w:t>
      </w:r>
      <w:r w:rsidR="009111CF" w:rsidRPr="0082289C">
        <w:t xml:space="preserve">e </w:t>
      </w:r>
      <w:r w:rsidR="00D25F35">
        <w:t>Sous-Comité</w:t>
      </w:r>
      <w:r w:rsidR="009111CF" w:rsidRPr="0082289C">
        <w:t xml:space="preserve"> constate avec une profonde préoccupation que dans certains commissariats et gendarmeries les enfants en conflit avec la loi sont placés en détention avec des adultes. La principale raison invoquée par le personnel des forces de l’ordre inter</w:t>
      </w:r>
      <w:r w:rsidR="00820F32">
        <w:t>rogé</w:t>
      </w:r>
      <w:r w:rsidR="009111CF" w:rsidRPr="0082289C">
        <w:t xml:space="preserve"> </w:t>
      </w:r>
      <w:r w:rsidR="007A6E83">
        <w:t>est</w:t>
      </w:r>
      <w:r w:rsidR="009111CF" w:rsidRPr="0082289C">
        <w:t xml:space="preserve"> le doute sur l’âge de la personne appréhendée.</w:t>
      </w:r>
    </w:p>
    <w:p w:rsidR="00783E34" w:rsidRDefault="00B90046" w:rsidP="000F5D67">
      <w:pPr>
        <w:pStyle w:val="SingleTxtG"/>
      </w:pPr>
      <w:r>
        <w:t>10</w:t>
      </w:r>
      <w:r w:rsidR="0033388B">
        <w:t>4</w:t>
      </w:r>
      <w:r w:rsidR="009111CF">
        <w:t>.</w:t>
      </w:r>
      <w:r w:rsidR="009111CF">
        <w:tab/>
      </w:r>
      <w:r w:rsidR="009111CF" w:rsidRPr="0082289C">
        <w:t xml:space="preserve">Par ailleurs, le </w:t>
      </w:r>
      <w:r w:rsidR="00D25F35">
        <w:t>Sous-Comité</w:t>
      </w:r>
      <w:r w:rsidR="009111CF" w:rsidRPr="0082289C">
        <w:t xml:space="preserve"> a constaté que des aménagements et travaux d’assainissement de quartiers ou cellule</w:t>
      </w:r>
      <w:r w:rsidR="007A6E83">
        <w:t>s</w:t>
      </w:r>
      <w:r w:rsidR="009111CF" w:rsidRPr="0082289C">
        <w:t xml:space="preserve"> pour mineurs dans certains commissariats de police et gendarmeries </w:t>
      </w:r>
      <w:r w:rsidR="004B38CF">
        <w:t>avaient</w:t>
      </w:r>
      <w:r w:rsidR="004B38CF" w:rsidRPr="0082289C">
        <w:t xml:space="preserve"> </w:t>
      </w:r>
      <w:r w:rsidR="009111CF" w:rsidRPr="0082289C">
        <w:t xml:space="preserve">été effectués par des </w:t>
      </w:r>
      <w:r w:rsidR="00680CA2">
        <w:t>ONG</w:t>
      </w:r>
      <w:r w:rsidR="009111CF" w:rsidRPr="0082289C">
        <w:t xml:space="preserve">. </w:t>
      </w:r>
    </w:p>
    <w:p w:rsidR="009111CF" w:rsidRPr="0082289C" w:rsidRDefault="00B90046" w:rsidP="000F5D67">
      <w:pPr>
        <w:pStyle w:val="SingleTxtG"/>
        <w:rPr>
          <w:b/>
        </w:rPr>
      </w:pPr>
      <w:r w:rsidRPr="000F5D67">
        <w:rPr>
          <w:bCs/>
        </w:rPr>
        <w:t>10</w:t>
      </w:r>
      <w:r w:rsidR="0033388B">
        <w:rPr>
          <w:bCs/>
        </w:rPr>
        <w:t>5</w:t>
      </w:r>
      <w:r w:rsidR="009111CF" w:rsidRPr="000F5D67">
        <w:rPr>
          <w:bCs/>
        </w:rPr>
        <w:t>.</w:t>
      </w:r>
      <w:r w:rsidR="009111CF" w:rsidRPr="000F5D67">
        <w:rPr>
          <w:bCs/>
        </w:rPr>
        <w:tab/>
      </w:r>
      <w:r w:rsidR="009111CF" w:rsidRPr="001E4146">
        <w:rPr>
          <w:b/>
        </w:rPr>
        <w:t xml:space="preserve">Le </w:t>
      </w:r>
      <w:r w:rsidR="00D25F35" w:rsidRPr="000F5D67">
        <w:rPr>
          <w:b/>
        </w:rPr>
        <w:t>Sous-Comité</w:t>
      </w:r>
      <w:r w:rsidR="009111CF" w:rsidRPr="0082289C">
        <w:rPr>
          <w:b/>
        </w:rPr>
        <w:t xml:space="preserve"> rappelle à l’</w:t>
      </w:r>
      <w:r w:rsidR="00B36B0D">
        <w:rPr>
          <w:b/>
        </w:rPr>
        <w:t>État</w:t>
      </w:r>
      <w:r w:rsidR="009111CF" w:rsidRPr="0082289C">
        <w:rPr>
          <w:b/>
        </w:rPr>
        <w:t xml:space="preserve"> partie que les mineurs en conflit avec la loi ne doivent jamais être placés en détention avec des adultes, et qu’en cas de doute sur leur âge la situation doit être gérée dans l</w:t>
      </w:r>
      <w:r w:rsidR="00371B0D" w:rsidRPr="00371B0D">
        <w:rPr>
          <w:b/>
        </w:rPr>
        <w:t>’</w:t>
      </w:r>
      <w:r w:rsidR="009111CF" w:rsidRPr="0082289C">
        <w:rPr>
          <w:b/>
        </w:rPr>
        <w:t xml:space="preserve">intérêt </w:t>
      </w:r>
      <w:r w:rsidR="00371B0D">
        <w:rPr>
          <w:b/>
        </w:rPr>
        <w:t xml:space="preserve">supérieur </w:t>
      </w:r>
      <w:r w:rsidR="009111CF" w:rsidRPr="0082289C">
        <w:rPr>
          <w:b/>
        </w:rPr>
        <w:t>de l’enfant.</w:t>
      </w:r>
    </w:p>
    <w:p w:rsidR="009111CF" w:rsidRPr="0082289C" w:rsidRDefault="00B90046" w:rsidP="000F5D67">
      <w:pPr>
        <w:pStyle w:val="SingleTxtG"/>
        <w:rPr>
          <w:b/>
        </w:rPr>
      </w:pPr>
      <w:r w:rsidRPr="000F5D67">
        <w:rPr>
          <w:bCs/>
        </w:rPr>
        <w:t>10</w:t>
      </w:r>
      <w:r w:rsidR="0033388B">
        <w:rPr>
          <w:bCs/>
        </w:rPr>
        <w:t>6</w:t>
      </w:r>
      <w:r w:rsidR="009111CF" w:rsidRPr="000F5D67">
        <w:rPr>
          <w:bCs/>
        </w:rPr>
        <w:t>.</w:t>
      </w:r>
      <w:r w:rsidR="009111CF" w:rsidRPr="000F5D67">
        <w:rPr>
          <w:bCs/>
        </w:rPr>
        <w:tab/>
      </w:r>
      <w:r w:rsidR="009111CF" w:rsidRPr="0082289C">
        <w:rPr>
          <w:b/>
        </w:rPr>
        <w:t xml:space="preserve">Le </w:t>
      </w:r>
      <w:r w:rsidR="00D25F35" w:rsidRPr="00C9720C">
        <w:rPr>
          <w:b/>
        </w:rPr>
        <w:t>Sous-Comité</w:t>
      </w:r>
      <w:r w:rsidR="009111CF" w:rsidRPr="0082289C">
        <w:rPr>
          <w:b/>
        </w:rPr>
        <w:t xml:space="preserve"> recommande à l’</w:t>
      </w:r>
      <w:r w:rsidR="00B36B0D">
        <w:rPr>
          <w:b/>
        </w:rPr>
        <w:t>État</w:t>
      </w:r>
      <w:r w:rsidR="009111CF" w:rsidRPr="0082289C">
        <w:rPr>
          <w:b/>
        </w:rPr>
        <w:t xml:space="preserve"> partie de former et désigner dans chaque commissariat et gendarmerie au moins un agent de police spécialisé dans les droits de l’enfant et la justice pour mineurs.</w:t>
      </w:r>
    </w:p>
    <w:p w:rsidR="009111CF" w:rsidRPr="0082289C" w:rsidRDefault="00B90046" w:rsidP="000F5D67">
      <w:pPr>
        <w:pStyle w:val="SingleTxtG"/>
        <w:rPr>
          <w:b/>
        </w:rPr>
      </w:pPr>
      <w:r w:rsidRPr="000F5D67">
        <w:rPr>
          <w:bCs/>
        </w:rPr>
        <w:t>10</w:t>
      </w:r>
      <w:r w:rsidR="0033388B">
        <w:rPr>
          <w:bCs/>
        </w:rPr>
        <w:t>7</w:t>
      </w:r>
      <w:r w:rsidR="009111CF" w:rsidRPr="000F5D67">
        <w:rPr>
          <w:bCs/>
        </w:rPr>
        <w:t>.</w:t>
      </w:r>
      <w:r w:rsidR="009111CF" w:rsidRPr="000F5D67">
        <w:rPr>
          <w:bCs/>
        </w:rPr>
        <w:tab/>
      </w:r>
      <w:r w:rsidR="009111CF" w:rsidRPr="0082289C">
        <w:rPr>
          <w:b/>
        </w:rPr>
        <w:t xml:space="preserve">Le </w:t>
      </w:r>
      <w:r w:rsidR="00D25F35" w:rsidRPr="00C9720C">
        <w:rPr>
          <w:b/>
        </w:rPr>
        <w:t>Sous-Comité</w:t>
      </w:r>
      <w:r w:rsidR="009111CF" w:rsidRPr="0082289C">
        <w:rPr>
          <w:b/>
        </w:rPr>
        <w:t xml:space="preserve"> recommande à l’État partie </w:t>
      </w:r>
      <w:r w:rsidR="00783E34">
        <w:rPr>
          <w:b/>
        </w:rPr>
        <w:t>d</w:t>
      </w:r>
      <w:r w:rsidR="00862F0E">
        <w:rPr>
          <w:b/>
        </w:rPr>
        <w:t>e mettre</w:t>
      </w:r>
      <w:r w:rsidR="00783E34">
        <w:rPr>
          <w:b/>
        </w:rPr>
        <w:t xml:space="preserve"> en œuvre </w:t>
      </w:r>
      <w:r w:rsidR="009111CF" w:rsidRPr="0082289C">
        <w:rPr>
          <w:b/>
        </w:rPr>
        <w:t xml:space="preserve">un programme de modernisation </w:t>
      </w:r>
      <w:r w:rsidR="00783E34">
        <w:rPr>
          <w:b/>
        </w:rPr>
        <w:t xml:space="preserve">et d’assainissement </w:t>
      </w:r>
      <w:r w:rsidR="009111CF" w:rsidRPr="0082289C">
        <w:rPr>
          <w:b/>
        </w:rPr>
        <w:t>des cellules et quartiers pour mineurs en conformité avec les normes internationales.</w:t>
      </w:r>
    </w:p>
    <w:p w:rsidR="009111CF" w:rsidRPr="0082289C" w:rsidRDefault="009111CF" w:rsidP="009111CF">
      <w:pPr>
        <w:pStyle w:val="HChG"/>
      </w:pPr>
      <w:r>
        <w:tab/>
      </w:r>
      <w:r w:rsidRPr="0082289C">
        <w:t>IV.</w:t>
      </w:r>
      <w:r w:rsidRPr="0082289C">
        <w:tab/>
        <w:t xml:space="preserve">Cadre juridique et administration de la justice </w:t>
      </w:r>
    </w:p>
    <w:p w:rsidR="009111CF" w:rsidRPr="00B037B5" w:rsidRDefault="004B1E89" w:rsidP="004B1E89">
      <w:pPr>
        <w:pStyle w:val="H4G"/>
      </w:pPr>
      <w:r>
        <w:tab/>
      </w:r>
      <w:r>
        <w:tab/>
      </w:r>
      <w:r w:rsidR="009111CF" w:rsidRPr="00B037B5">
        <w:t xml:space="preserve">Définition de la torture </w:t>
      </w:r>
    </w:p>
    <w:p w:rsidR="009111CF" w:rsidRPr="0082289C" w:rsidRDefault="00B90046" w:rsidP="000F5D67">
      <w:pPr>
        <w:pStyle w:val="SingleTxtG"/>
      </w:pPr>
      <w:r>
        <w:t>10</w:t>
      </w:r>
      <w:r w:rsidR="0033388B">
        <w:t>8</w:t>
      </w:r>
      <w:r w:rsidR="009111CF" w:rsidRPr="0082289C">
        <w:t>.</w:t>
      </w:r>
      <w:r w:rsidR="009111CF" w:rsidRPr="0082289C">
        <w:tab/>
        <w:t>Le S</w:t>
      </w:r>
      <w:r w:rsidR="00950281">
        <w:t>ous-Comité</w:t>
      </w:r>
      <w:r w:rsidR="009111CF" w:rsidRPr="0082289C">
        <w:t xml:space="preserve"> demeure préoccupé par le fait que, plus de vingt-cinq ans après la ratification de la Convention contre la </w:t>
      </w:r>
      <w:r w:rsidR="00950281">
        <w:t>t</w:t>
      </w:r>
      <w:r w:rsidR="00950281" w:rsidRPr="0082289C">
        <w:t>orture</w:t>
      </w:r>
      <w:r w:rsidR="009111CF" w:rsidRPr="0082289C">
        <w:t xml:space="preserve">, </w:t>
      </w:r>
      <w:r w:rsidR="009111CF" w:rsidRPr="00B037B5">
        <w:t>l’</w:t>
      </w:r>
      <w:r w:rsidR="00B36B0D">
        <w:t>État</w:t>
      </w:r>
      <w:r w:rsidR="009111CF" w:rsidRPr="00B037B5">
        <w:t xml:space="preserve"> partie n’a toujours pas adopté de</w:t>
      </w:r>
      <w:r w:rsidR="009111CF" w:rsidRPr="0082289C">
        <w:rPr>
          <w:b/>
        </w:rPr>
        <w:t xml:space="preserve"> </w:t>
      </w:r>
      <w:r w:rsidR="009111CF" w:rsidRPr="0082289C">
        <w:t xml:space="preserve">disposition pénale qui définisse et criminalise explicitement la torture. </w:t>
      </w:r>
      <w:r w:rsidR="00950281">
        <w:t>Il</w:t>
      </w:r>
      <w:r w:rsidR="009111CF" w:rsidRPr="0082289C">
        <w:t xml:space="preserve"> note avec préoccupation qu’au moment de la visite l’adoption du nouveau Code pénal et du nouveau Code de procédure pénale n’avait toujours pas abouti et l’absence de sanctions proportionnelles à la gravité du crime de torture continuait à </w:t>
      </w:r>
      <w:r w:rsidR="00EC7430">
        <w:t>favoriser</w:t>
      </w:r>
      <w:r w:rsidR="009111CF" w:rsidRPr="0082289C">
        <w:t xml:space="preserve"> l’impunité.</w:t>
      </w:r>
    </w:p>
    <w:p w:rsidR="009111CF" w:rsidRPr="0082289C" w:rsidRDefault="00B90046" w:rsidP="000F5D67">
      <w:pPr>
        <w:pStyle w:val="SingleTxtG"/>
        <w:rPr>
          <w:b/>
        </w:rPr>
      </w:pPr>
      <w:r w:rsidRPr="000F5D67">
        <w:rPr>
          <w:bCs/>
        </w:rPr>
        <w:t>10</w:t>
      </w:r>
      <w:r w:rsidR="0033388B">
        <w:rPr>
          <w:bCs/>
        </w:rPr>
        <w:t>9</w:t>
      </w:r>
      <w:r w:rsidR="009111CF" w:rsidRPr="000F5D67">
        <w:rPr>
          <w:bCs/>
        </w:rPr>
        <w:t>.</w:t>
      </w:r>
      <w:r w:rsidR="009111CF" w:rsidRPr="000F5D67">
        <w:rPr>
          <w:bCs/>
        </w:rPr>
        <w:tab/>
      </w:r>
      <w:r w:rsidR="009111CF" w:rsidRPr="0082289C">
        <w:rPr>
          <w:b/>
        </w:rPr>
        <w:t xml:space="preserve">Le </w:t>
      </w:r>
      <w:r w:rsidR="00950281" w:rsidRPr="00C9720C">
        <w:rPr>
          <w:b/>
        </w:rPr>
        <w:t>Sous-Comité</w:t>
      </w:r>
      <w:r w:rsidR="009111CF" w:rsidRPr="0082289C">
        <w:rPr>
          <w:b/>
        </w:rPr>
        <w:t xml:space="preserve"> </w:t>
      </w:r>
      <w:r w:rsidR="007A6E83" w:rsidRPr="0082289C">
        <w:rPr>
          <w:b/>
        </w:rPr>
        <w:t>réit</w:t>
      </w:r>
      <w:r w:rsidR="007A6E83">
        <w:rPr>
          <w:b/>
        </w:rPr>
        <w:t>ère</w:t>
      </w:r>
      <w:r w:rsidR="007A6E83" w:rsidRPr="0082289C">
        <w:rPr>
          <w:b/>
        </w:rPr>
        <w:t xml:space="preserve"> </w:t>
      </w:r>
      <w:r w:rsidR="009111CF" w:rsidRPr="0082289C">
        <w:rPr>
          <w:b/>
        </w:rPr>
        <w:t>les nombreuses recommandations for</w:t>
      </w:r>
      <w:r w:rsidR="009111CF">
        <w:rPr>
          <w:b/>
        </w:rPr>
        <w:t>mulées par le Comité contre la t</w:t>
      </w:r>
      <w:r w:rsidR="009111CF" w:rsidRPr="0082289C">
        <w:rPr>
          <w:b/>
        </w:rPr>
        <w:t xml:space="preserve">orture en 2006 et 2012 </w:t>
      </w:r>
      <w:r w:rsidR="005A749E">
        <w:rPr>
          <w:b/>
        </w:rPr>
        <w:t xml:space="preserve">(CAT/C/TGO/CO/1 et CAT/C/TGO/CO/2) </w:t>
      </w:r>
      <w:r w:rsidR="009111CF" w:rsidRPr="0082289C">
        <w:rPr>
          <w:b/>
        </w:rPr>
        <w:t xml:space="preserve">et par le Rapporteur </w:t>
      </w:r>
      <w:r w:rsidR="0041053B">
        <w:rPr>
          <w:b/>
        </w:rPr>
        <w:t>s</w:t>
      </w:r>
      <w:r w:rsidR="0041053B" w:rsidRPr="0082289C">
        <w:rPr>
          <w:b/>
        </w:rPr>
        <w:t xml:space="preserve">pécial </w:t>
      </w:r>
      <w:r w:rsidR="009111CF" w:rsidRPr="0082289C">
        <w:rPr>
          <w:b/>
        </w:rPr>
        <w:t xml:space="preserve">en </w:t>
      </w:r>
      <w:r w:rsidR="0020280A" w:rsidRPr="0082289C">
        <w:rPr>
          <w:b/>
        </w:rPr>
        <w:t>200</w:t>
      </w:r>
      <w:r w:rsidR="0020280A">
        <w:rPr>
          <w:b/>
        </w:rPr>
        <w:t xml:space="preserve">7 </w:t>
      </w:r>
      <w:r w:rsidR="005A749E">
        <w:rPr>
          <w:b/>
        </w:rPr>
        <w:t>(A/HRC/7/3/Add.5)</w:t>
      </w:r>
      <w:r w:rsidR="009111CF" w:rsidRPr="0082289C">
        <w:rPr>
          <w:b/>
        </w:rPr>
        <w:t xml:space="preserve">, selon lesquelles la définition et </w:t>
      </w:r>
      <w:r w:rsidR="00950281">
        <w:rPr>
          <w:b/>
        </w:rPr>
        <w:t>l</w:t>
      </w:r>
      <w:r w:rsidR="00950281" w:rsidRPr="00950281">
        <w:rPr>
          <w:b/>
        </w:rPr>
        <w:t>’</w:t>
      </w:r>
      <w:r w:rsidR="009111CF" w:rsidRPr="0082289C">
        <w:rPr>
          <w:b/>
        </w:rPr>
        <w:t>incrimination de la torture doivent être considérée</w:t>
      </w:r>
      <w:r w:rsidR="00950281">
        <w:rPr>
          <w:b/>
        </w:rPr>
        <w:t>s</w:t>
      </w:r>
      <w:r w:rsidR="009111CF" w:rsidRPr="0082289C">
        <w:rPr>
          <w:b/>
        </w:rPr>
        <w:t xml:space="preserve"> comme une priorité et ne doivent pas être repoussée</w:t>
      </w:r>
      <w:r w:rsidR="007A6E83">
        <w:rPr>
          <w:b/>
        </w:rPr>
        <w:t>s</w:t>
      </w:r>
      <w:r w:rsidR="009111CF" w:rsidRPr="0082289C">
        <w:rPr>
          <w:b/>
        </w:rPr>
        <w:t xml:space="preserve"> plus longtemps. </w:t>
      </w:r>
      <w:r w:rsidR="00950281">
        <w:rPr>
          <w:b/>
        </w:rPr>
        <w:t>Il</w:t>
      </w:r>
      <w:r w:rsidR="009111CF" w:rsidRPr="0082289C">
        <w:rPr>
          <w:b/>
        </w:rPr>
        <w:t xml:space="preserve"> appelle l’État partie à accélérer le processus de réforme législative et </w:t>
      </w:r>
      <w:r w:rsidR="00525E1A">
        <w:rPr>
          <w:b/>
        </w:rPr>
        <w:t xml:space="preserve">à </w:t>
      </w:r>
      <w:r w:rsidR="009111CF" w:rsidRPr="0082289C">
        <w:rPr>
          <w:b/>
        </w:rPr>
        <w:t>prendre les mesures nécessaires pour promulguer dans les plus brefs délais et faire adopter le nouveau Code pénal et le nouveau Code de procédure pénale afin de remédier au vide juridique actuel favorisant l’impunité.</w:t>
      </w:r>
    </w:p>
    <w:p w:rsidR="009111CF" w:rsidRPr="00255DA0" w:rsidRDefault="004B1E89" w:rsidP="001A6BD5">
      <w:pPr>
        <w:pStyle w:val="H4G"/>
      </w:pPr>
      <w:r>
        <w:lastRenderedPageBreak/>
        <w:tab/>
      </w:r>
      <w:r>
        <w:tab/>
      </w:r>
      <w:r w:rsidR="009111CF" w:rsidRPr="00255DA0">
        <w:t>Détention provisoire</w:t>
      </w:r>
    </w:p>
    <w:p w:rsidR="009111CF" w:rsidRPr="00255DA0" w:rsidRDefault="00B90046" w:rsidP="001A6BD5">
      <w:pPr>
        <w:pStyle w:val="SingleTxtG"/>
        <w:keepNext/>
        <w:keepLines/>
      </w:pPr>
      <w:r>
        <w:t>1</w:t>
      </w:r>
      <w:r w:rsidR="0033388B">
        <w:t>10</w:t>
      </w:r>
      <w:r w:rsidR="009111CF" w:rsidRPr="00255DA0">
        <w:t>.</w:t>
      </w:r>
      <w:r w:rsidR="009111CF" w:rsidRPr="00255DA0">
        <w:tab/>
        <w:t xml:space="preserve">Le </w:t>
      </w:r>
      <w:r w:rsidR="00950281" w:rsidRPr="00255DA0">
        <w:t>S</w:t>
      </w:r>
      <w:r w:rsidR="00950281">
        <w:t>ous-Comité</w:t>
      </w:r>
      <w:r w:rsidR="00950281" w:rsidRPr="00255DA0">
        <w:t xml:space="preserve"> </w:t>
      </w:r>
      <w:r w:rsidR="009111CF" w:rsidRPr="00255DA0">
        <w:t>a constaté que plus de</w:t>
      </w:r>
      <w:r w:rsidR="00525E1A">
        <w:t>s</w:t>
      </w:r>
      <w:r w:rsidR="009111CF" w:rsidRPr="00255DA0">
        <w:t xml:space="preserve"> deux tiers de la population carcérale au Togo </w:t>
      </w:r>
      <w:r w:rsidR="00525E1A">
        <w:t>était</w:t>
      </w:r>
      <w:r w:rsidR="00525E1A" w:rsidRPr="00255DA0">
        <w:t xml:space="preserve"> </w:t>
      </w:r>
      <w:r w:rsidR="009111CF" w:rsidRPr="00255DA0">
        <w:t>composé</w:t>
      </w:r>
      <w:r w:rsidR="002367F1">
        <w:t>e</w:t>
      </w:r>
      <w:r w:rsidR="009111CF" w:rsidRPr="00255DA0">
        <w:t xml:space="preserve"> de prévenus ou </w:t>
      </w:r>
      <w:r w:rsidR="00525E1A">
        <w:t>d</w:t>
      </w:r>
      <w:r w:rsidR="00525E1A" w:rsidRPr="00926DC8">
        <w:t>’</w:t>
      </w:r>
      <w:r w:rsidR="009111CF" w:rsidRPr="00255DA0">
        <w:t xml:space="preserve">inculpés. Comme il a déjà été noté, ce recours excessif à la détention provisoire et l’absence de mesures de substitution </w:t>
      </w:r>
      <w:r w:rsidR="009534DC">
        <w:t>sont</w:t>
      </w:r>
      <w:r w:rsidR="009534DC" w:rsidRPr="00255DA0">
        <w:t xml:space="preserve"> </w:t>
      </w:r>
      <w:r w:rsidR="009111CF" w:rsidRPr="00255DA0">
        <w:t xml:space="preserve">l’une des causes de l’extrême surpopulation carcérale. </w:t>
      </w:r>
    </w:p>
    <w:p w:rsidR="009111CF" w:rsidRPr="00255DA0" w:rsidRDefault="00B90046" w:rsidP="000F5D67">
      <w:pPr>
        <w:pStyle w:val="SingleTxtG"/>
      </w:pPr>
      <w:r>
        <w:t>11</w:t>
      </w:r>
      <w:r w:rsidR="0033388B">
        <w:t>1</w:t>
      </w:r>
      <w:r w:rsidR="009111CF" w:rsidRPr="00255DA0">
        <w:t>.</w:t>
      </w:r>
      <w:r w:rsidR="009111CF" w:rsidRPr="00255DA0">
        <w:tab/>
        <w:t xml:space="preserve">Le </w:t>
      </w:r>
      <w:r w:rsidR="00950281" w:rsidRPr="00255DA0">
        <w:t>S</w:t>
      </w:r>
      <w:r w:rsidR="00950281">
        <w:t>ous-Comité</w:t>
      </w:r>
      <w:r w:rsidR="00950281" w:rsidRPr="00255DA0">
        <w:t xml:space="preserve"> </w:t>
      </w:r>
      <w:r w:rsidR="009111CF" w:rsidRPr="00255DA0">
        <w:t xml:space="preserve">a observé que la lenteur judiciaire </w:t>
      </w:r>
      <w:r w:rsidR="0046285F" w:rsidRPr="00255DA0">
        <w:t>contribu</w:t>
      </w:r>
      <w:r w:rsidR="0046285F">
        <w:t>ait</w:t>
      </w:r>
      <w:r w:rsidR="0046285F" w:rsidRPr="00255DA0">
        <w:t xml:space="preserve"> </w:t>
      </w:r>
      <w:r w:rsidR="00541DE2">
        <w:t xml:space="preserve">également </w:t>
      </w:r>
      <w:r w:rsidR="009111CF" w:rsidRPr="00255DA0">
        <w:t xml:space="preserve">à la </w:t>
      </w:r>
      <w:r w:rsidR="00541DE2">
        <w:t>désintégration actuelle</w:t>
      </w:r>
      <w:r w:rsidR="009111CF" w:rsidRPr="00255DA0">
        <w:t xml:space="preserve"> du système pénitentiaire. Par exemple, </w:t>
      </w:r>
      <w:r w:rsidR="00950281">
        <w:t>il</w:t>
      </w:r>
      <w:r w:rsidR="009111CF" w:rsidRPr="00255DA0">
        <w:t xml:space="preserve"> a observé </w:t>
      </w:r>
      <w:r w:rsidR="00541DE2">
        <w:t>d</w:t>
      </w:r>
      <w:r w:rsidR="00541DE2" w:rsidRPr="00255DA0">
        <w:t xml:space="preserve">es </w:t>
      </w:r>
      <w:r w:rsidR="009111CF" w:rsidRPr="00255DA0">
        <w:t>situations où les dé</w:t>
      </w:r>
      <w:r w:rsidR="009111CF">
        <w:t>tenus inculpés passent plus</w:t>
      </w:r>
      <w:r w:rsidR="006F4DC3">
        <w:t>ieurs</w:t>
      </w:r>
      <w:r w:rsidR="009111CF">
        <w:t xml:space="preserve"> </w:t>
      </w:r>
      <w:r w:rsidR="009111CF" w:rsidRPr="00255DA0">
        <w:t xml:space="preserve">mois </w:t>
      </w:r>
      <w:r w:rsidR="00541DE2">
        <w:t>en</w:t>
      </w:r>
      <w:r w:rsidR="009111CF" w:rsidRPr="00255DA0">
        <w:t xml:space="preserve"> prison</w:t>
      </w:r>
      <w:r w:rsidR="00541DE2" w:rsidRPr="00541DE2">
        <w:t xml:space="preserve"> </w:t>
      </w:r>
      <w:r w:rsidR="00541DE2">
        <w:t>dans l’attente de</w:t>
      </w:r>
      <w:r w:rsidR="00541DE2" w:rsidRPr="00255DA0">
        <w:t xml:space="preserve"> leur audience</w:t>
      </w:r>
      <w:r w:rsidR="009111CF" w:rsidRPr="00255DA0">
        <w:t xml:space="preserve">, </w:t>
      </w:r>
      <w:r w:rsidR="006F4DC3">
        <w:t>étant</w:t>
      </w:r>
      <w:r w:rsidR="00541DE2">
        <w:t xml:space="preserve"> alors soumis à d</w:t>
      </w:r>
      <w:r w:rsidR="00541DE2" w:rsidRPr="00255DA0">
        <w:t xml:space="preserve">es </w:t>
      </w:r>
      <w:r w:rsidR="009111CF" w:rsidRPr="00255DA0">
        <w:t>conditions de détention</w:t>
      </w:r>
      <w:r w:rsidR="006F4DC3">
        <w:t xml:space="preserve"> dramatiques</w:t>
      </w:r>
      <w:r w:rsidR="009111CF" w:rsidRPr="00255DA0">
        <w:t xml:space="preserve"> </w:t>
      </w:r>
      <w:r w:rsidR="00541DE2">
        <w:t>qui correspondent à</w:t>
      </w:r>
      <w:r w:rsidR="009111CF" w:rsidRPr="00255DA0">
        <w:t xml:space="preserve"> un traitement cruel</w:t>
      </w:r>
      <w:r w:rsidR="0046285F">
        <w:t>, inhumain</w:t>
      </w:r>
      <w:r w:rsidR="009111CF" w:rsidRPr="00255DA0">
        <w:t xml:space="preserve"> ou dégradant. </w:t>
      </w:r>
      <w:r w:rsidR="00FF024C" w:rsidRPr="00255DA0">
        <w:t>Ce</w:t>
      </w:r>
      <w:r w:rsidR="00FF024C">
        <w:t>la</w:t>
      </w:r>
      <w:r w:rsidR="00FF024C" w:rsidRPr="00255DA0">
        <w:t xml:space="preserve"> </w:t>
      </w:r>
      <w:r w:rsidR="009111CF" w:rsidRPr="00255DA0">
        <w:t xml:space="preserve">est dû au nombre insuffisant de magistrats qui </w:t>
      </w:r>
      <w:r w:rsidR="00E14A9C">
        <w:t xml:space="preserve">aboutit </w:t>
      </w:r>
      <w:r w:rsidR="009111CF" w:rsidRPr="00255DA0">
        <w:t xml:space="preserve">souvent </w:t>
      </w:r>
      <w:r w:rsidR="006F4DC3">
        <w:t>au</w:t>
      </w:r>
      <w:r w:rsidR="006F4DC3" w:rsidRPr="00255DA0">
        <w:t xml:space="preserve"> </w:t>
      </w:r>
      <w:r w:rsidR="009111CF" w:rsidRPr="00255DA0">
        <w:t>renvoi</w:t>
      </w:r>
      <w:r w:rsidR="006F4DC3">
        <w:t xml:space="preserve"> des audiences</w:t>
      </w:r>
      <w:r w:rsidR="009111CF" w:rsidRPr="00255DA0">
        <w:t xml:space="preserve"> à des dates très éloignées, repoussant l</w:t>
      </w:r>
      <w:r w:rsidR="00E14A9C" w:rsidRPr="00926DC8">
        <w:t>’</w:t>
      </w:r>
      <w:r w:rsidR="009111CF" w:rsidRPr="00255DA0">
        <w:t>aboutissement des instances et</w:t>
      </w:r>
      <w:r w:rsidR="006F4DC3">
        <w:t xml:space="preserve"> privant de ce fait</w:t>
      </w:r>
      <w:r w:rsidR="009111CF" w:rsidRPr="00255DA0">
        <w:t xml:space="preserve"> les personnes de leur droit à un procès équitable dans un délai raisonnable</w:t>
      </w:r>
      <w:r w:rsidR="009111CF" w:rsidRPr="000F5D67">
        <w:rPr>
          <w:rStyle w:val="Appelnotedebasdep"/>
        </w:rPr>
        <w:footnoteReference w:id="6"/>
      </w:r>
      <w:r w:rsidR="009111CF" w:rsidRPr="00255DA0">
        <w:t>.</w:t>
      </w:r>
    </w:p>
    <w:p w:rsidR="009111CF" w:rsidRPr="00255DA0" w:rsidRDefault="00B90046" w:rsidP="000F5D67">
      <w:pPr>
        <w:pStyle w:val="SingleTxtG"/>
      </w:pPr>
      <w:r>
        <w:t>11</w:t>
      </w:r>
      <w:r w:rsidR="0033388B">
        <w:t>2</w:t>
      </w:r>
      <w:r w:rsidR="009111CF" w:rsidRPr="00255DA0">
        <w:t>.</w:t>
      </w:r>
      <w:r w:rsidR="009111CF" w:rsidRPr="00255DA0">
        <w:tab/>
        <w:t xml:space="preserve">Le </w:t>
      </w:r>
      <w:r w:rsidR="00950281" w:rsidRPr="00255DA0">
        <w:t>S</w:t>
      </w:r>
      <w:r w:rsidR="00950281">
        <w:t>ous-Comité</w:t>
      </w:r>
      <w:r w:rsidR="009111CF" w:rsidRPr="00255DA0">
        <w:t xml:space="preserve"> s’inquiète du retard </w:t>
      </w:r>
      <w:r w:rsidR="00CE3F27">
        <w:t xml:space="preserve">pris </w:t>
      </w:r>
      <w:r w:rsidR="009111CF" w:rsidRPr="00255DA0">
        <w:t xml:space="preserve">dans l’adoption du projet de nouveau </w:t>
      </w:r>
      <w:r w:rsidR="00404BB3">
        <w:t>c</w:t>
      </w:r>
      <w:r w:rsidR="00404BB3" w:rsidRPr="00255DA0">
        <w:t xml:space="preserve">ode </w:t>
      </w:r>
      <w:r w:rsidR="009111CF" w:rsidRPr="00255DA0">
        <w:t>de procédure pénale qui prévoit, entre autre</w:t>
      </w:r>
      <w:r w:rsidR="00531A5E">
        <w:t>s</w:t>
      </w:r>
      <w:r w:rsidR="009111CF" w:rsidRPr="00255DA0">
        <w:t>, l</w:t>
      </w:r>
      <w:r w:rsidR="00643E90">
        <w:t>a nomination</w:t>
      </w:r>
      <w:r w:rsidR="009111CF" w:rsidRPr="00255DA0">
        <w:t xml:space="preserve"> de juges des libertés et de la détention, chargé</w:t>
      </w:r>
      <w:r w:rsidR="00531A5E">
        <w:t>s</w:t>
      </w:r>
      <w:r w:rsidR="009111CF" w:rsidRPr="00255DA0">
        <w:t xml:space="preserve"> de statuer sur la mise en détention préventive d’une personne inculpée et sur ses éventuelles demandes de mise en liberté. </w:t>
      </w:r>
    </w:p>
    <w:p w:rsidR="009111CF" w:rsidRPr="0082289C" w:rsidRDefault="00B90046" w:rsidP="000F5D67">
      <w:pPr>
        <w:pStyle w:val="SingleTxtG"/>
        <w:rPr>
          <w:b/>
        </w:rPr>
      </w:pPr>
      <w:r>
        <w:t>11</w:t>
      </w:r>
      <w:r w:rsidR="0033388B">
        <w:t>3</w:t>
      </w:r>
      <w:r w:rsidR="009111CF" w:rsidRPr="00255DA0">
        <w:t>.</w:t>
      </w:r>
      <w:r w:rsidR="009111CF" w:rsidRPr="00255DA0">
        <w:tab/>
      </w:r>
      <w:r w:rsidR="006F4DC3">
        <w:t>Le</w:t>
      </w:r>
      <w:r w:rsidR="009111CF" w:rsidRPr="00255DA0">
        <w:t xml:space="preserve"> </w:t>
      </w:r>
      <w:r w:rsidR="00950281" w:rsidRPr="00255DA0">
        <w:t>S</w:t>
      </w:r>
      <w:r w:rsidR="00950281">
        <w:t>ous-Comité</w:t>
      </w:r>
      <w:r w:rsidR="009111CF" w:rsidRPr="00255DA0">
        <w:t xml:space="preserve"> </w:t>
      </w:r>
      <w:r w:rsidR="006F4DC3">
        <w:t xml:space="preserve">s’inquiète également de ce </w:t>
      </w:r>
      <w:r w:rsidR="009111CF" w:rsidRPr="00255DA0">
        <w:t>que</w:t>
      </w:r>
      <w:r w:rsidR="00643E90">
        <w:t>,</w:t>
      </w:r>
      <w:r w:rsidR="006F4DC3">
        <w:t xml:space="preserve"> dans aucune des prisons visitées,</w:t>
      </w:r>
      <w:r w:rsidR="009111CF" w:rsidRPr="00255DA0">
        <w:t xml:space="preserve"> les personnes en attente de jugement ne sont séparées des condamnés et </w:t>
      </w:r>
      <w:r w:rsidR="006F4DC3">
        <w:t xml:space="preserve">tous </w:t>
      </w:r>
      <w:r w:rsidR="009111CF" w:rsidRPr="00255DA0">
        <w:t xml:space="preserve">sont soumis au même régime, </w:t>
      </w:r>
      <w:r w:rsidR="006F4DC3">
        <w:t>remettant</w:t>
      </w:r>
      <w:r w:rsidR="009111CF" w:rsidRPr="00255DA0">
        <w:t xml:space="preserve"> en cause le principe de la présomption d’innocence.</w:t>
      </w:r>
    </w:p>
    <w:p w:rsidR="009111CF" w:rsidRPr="0082289C" w:rsidRDefault="00B90046" w:rsidP="000F5D67">
      <w:pPr>
        <w:pStyle w:val="SingleTxtG"/>
        <w:rPr>
          <w:b/>
        </w:rPr>
      </w:pPr>
      <w:r w:rsidRPr="000F5D67">
        <w:rPr>
          <w:bCs/>
        </w:rPr>
        <w:t>11</w:t>
      </w:r>
      <w:r w:rsidR="0033388B">
        <w:rPr>
          <w:bCs/>
        </w:rPr>
        <w:t>4</w:t>
      </w:r>
      <w:r w:rsidR="009111CF" w:rsidRPr="000F5D67">
        <w:rPr>
          <w:bCs/>
        </w:rPr>
        <w:t>.</w:t>
      </w:r>
      <w:r w:rsidR="009111CF" w:rsidRPr="000F5D67">
        <w:rPr>
          <w:bCs/>
        </w:rPr>
        <w:tab/>
      </w:r>
      <w:r w:rsidR="009111CF" w:rsidRPr="0082289C">
        <w:rPr>
          <w:b/>
        </w:rPr>
        <w:t xml:space="preserve">Le </w:t>
      </w:r>
      <w:r w:rsidR="00950281">
        <w:rPr>
          <w:b/>
        </w:rPr>
        <w:t>Sous-Comité</w:t>
      </w:r>
      <w:r w:rsidR="00950281" w:rsidRPr="0082289C">
        <w:rPr>
          <w:b/>
        </w:rPr>
        <w:t xml:space="preserve"> </w:t>
      </w:r>
      <w:r w:rsidR="006F4DC3">
        <w:rPr>
          <w:b/>
        </w:rPr>
        <w:t xml:space="preserve">recommande de </w:t>
      </w:r>
      <w:r w:rsidR="009111CF" w:rsidRPr="0082289C">
        <w:rPr>
          <w:b/>
        </w:rPr>
        <w:t>finaliser</w:t>
      </w:r>
      <w:r w:rsidR="006F4303">
        <w:rPr>
          <w:b/>
        </w:rPr>
        <w:t xml:space="preserve"> </w:t>
      </w:r>
      <w:r w:rsidR="009111CF" w:rsidRPr="0082289C">
        <w:rPr>
          <w:b/>
        </w:rPr>
        <w:t>la réforme du système de justice pénale</w:t>
      </w:r>
      <w:r w:rsidR="0040267F">
        <w:rPr>
          <w:b/>
        </w:rPr>
        <w:t>,</w:t>
      </w:r>
      <w:r w:rsidR="009111CF" w:rsidRPr="0082289C">
        <w:rPr>
          <w:b/>
        </w:rPr>
        <w:t xml:space="preserve"> d’adopter des mesures de substitution à l’emprisonnement, conformément aux Règles de Tokyo</w:t>
      </w:r>
      <w:r w:rsidR="000B5E42">
        <w:rPr>
          <w:b/>
        </w:rPr>
        <w:t>,</w:t>
      </w:r>
      <w:r w:rsidR="009111CF" w:rsidRPr="0082289C">
        <w:rPr>
          <w:b/>
        </w:rPr>
        <w:t xml:space="preserve"> et </w:t>
      </w:r>
      <w:r w:rsidR="0040267F">
        <w:rPr>
          <w:b/>
        </w:rPr>
        <w:t>d</w:t>
      </w:r>
      <w:r w:rsidR="0040267F" w:rsidRPr="0082289C">
        <w:rPr>
          <w:b/>
        </w:rPr>
        <w:t>’instaur</w:t>
      </w:r>
      <w:r w:rsidR="0040267F">
        <w:rPr>
          <w:b/>
        </w:rPr>
        <w:t>er</w:t>
      </w:r>
      <w:r w:rsidR="0040267F" w:rsidRPr="0082289C">
        <w:rPr>
          <w:b/>
        </w:rPr>
        <w:t xml:space="preserve"> </w:t>
      </w:r>
      <w:r w:rsidR="009111CF" w:rsidRPr="0082289C">
        <w:rPr>
          <w:b/>
        </w:rPr>
        <w:t xml:space="preserve">un juge des libertés et de la détention. </w:t>
      </w:r>
      <w:r w:rsidR="009111CF" w:rsidRPr="001E4146">
        <w:rPr>
          <w:b/>
        </w:rPr>
        <w:t xml:space="preserve">Le </w:t>
      </w:r>
      <w:r w:rsidR="00BB0169" w:rsidRPr="000F5D67">
        <w:rPr>
          <w:b/>
        </w:rPr>
        <w:t>Sous-Comité</w:t>
      </w:r>
      <w:r w:rsidR="009111CF" w:rsidRPr="001E4146">
        <w:rPr>
          <w:b/>
        </w:rPr>
        <w:t xml:space="preserve"> </w:t>
      </w:r>
      <w:r w:rsidR="009111CF" w:rsidRPr="0082289C">
        <w:rPr>
          <w:b/>
        </w:rPr>
        <w:t>recommande à l’</w:t>
      </w:r>
      <w:r w:rsidR="00B36B0D">
        <w:rPr>
          <w:b/>
        </w:rPr>
        <w:t>État</w:t>
      </w:r>
      <w:r w:rsidR="009111CF" w:rsidRPr="0082289C">
        <w:rPr>
          <w:b/>
        </w:rPr>
        <w:t xml:space="preserve"> partie de traiter avec diligence les cas de détention provisoire et, à ce</w:t>
      </w:r>
      <w:r w:rsidR="006F4DC3">
        <w:rPr>
          <w:b/>
        </w:rPr>
        <w:t>tte</w:t>
      </w:r>
      <w:r w:rsidR="009111CF" w:rsidRPr="0082289C">
        <w:rPr>
          <w:b/>
        </w:rPr>
        <w:t xml:space="preserve"> fin, </w:t>
      </w:r>
      <w:r w:rsidR="006F4DC3">
        <w:rPr>
          <w:b/>
        </w:rPr>
        <w:t xml:space="preserve">de </w:t>
      </w:r>
      <w:r w:rsidR="009111CF" w:rsidRPr="0082289C">
        <w:rPr>
          <w:b/>
        </w:rPr>
        <w:t>recruter et former de</w:t>
      </w:r>
      <w:r w:rsidR="00BB0169">
        <w:rPr>
          <w:b/>
        </w:rPr>
        <w:t>s</w:t>
      </w:r>
      <w:r w:rsidR="009111CF" w:rsidRPr="0082289C">
        <w:rPr>
          <w:b/>
        </w:rPr>
        <w:t xml:space="preserve"> magistrats supplémentaires afin de diminuer la durée excessive des détentions avant le jugement. </w:t>
      </w:r>
      <w:r w:rsidR="00BB0169">
        <w:rPr>
          <w:b/>
        </w:rPr>
        <w:t>Il</w:t>
      </w:r>
      <w:r w:rsidR="009111CF" w:rsidRPr="0082289C">
        <w:rPr>
          <w:b/>
        </w:rPr>
        <w:t xml:space="preserve"> recommande à l’</w:t>
      </w:r>
      <w:r w:rsidR="00B36B0D">
        <w:rPr>
          <w:b/>
        </w:rPr>
        <w:t>État</w:t>
      </w:r>
      <w:r w:rsidR="009111CF" w:rsidRPr="0082289C">
        <w:rPr>
          <w:b/>
        </w:rPr>
        <w:t xml:space="preserve"> partie de garantir la séparation des différentes catégories de détenus, conformément </w:t>
      </w:r>
      <w:r w:rsidR="007A13B7">
        <w:rPr>
          <w:b/>
        </w:rPr>
        <w:t>à l</w:t>
      </w:r>
      <w:r w:rsidR="007A13B7" w:rsidRPr="007A13B7">
        <w:rPr>
          <w:b/>
        </w:rPr>
        <w:t>’</w:t>
      </w:r>
      <w:r w:rsidR="007A13B7">
        <w:rPr>
          <w:b/>
        </w:rPr>
        <w:t>Ensemble de r</w:t>
      </w:r>
      <w:r w:rsidR="009111CF" w:rsidRPr="0082289C">
        <w:rPr>
          <w:b/>
        </w:rPr>
        <w:t xml:space="preserve">ègles minima pour le traitement des détenus. </w:t>
      </w:r>
    </w:p>
    <w:p w:rsidR="009111CF" w:rsidRPr="00255DA0" w:rsidRDefault="004B1E89" w:rsidP="004B1E89">
      <w:pPr>
        <w:pStyle w:val="H4G"/>
      </w:pPr>
      <w:r>
        <w:tab/>
      </w:r>
      <w:r>
        <w:tab/>
      </w:r>
      <w:r w:rsidR="009111CF" w:rsidRPr="00255DA0">
        <w:t>Aide juridictionnelle</w:t>
      </w:r>
    </w:p>
    <w:p w:rsidR="009111CF" w:rsidRPr="00255DA0" w:rsidRDefault="00B90046" w:rsidP="000F5D67">
      <w:pPr>
        <w:pStyle w:val="SingleTxtG"/>
      </w:pPr>
      <w:r>
        <w:t>11</w:t>
      </w:r>
      <w:r w:rsidR="0033388B">
        <w:t>5</w:t>
      </w:r>
      <w:r w:rsidR="009111CF" w:rsidRPr="00255DA0">
        <w:t>.</w:t>
      </w:r>
      <w:r w:rsidR="009111CF" w:rsidRPr="00255DA0">
        <w:tab/>
        <w:t xml:space="preserve">Le </w:t>
      </w:r>
      <w:r w:rsidR="00BB0169" w:rsidRPr="00255DA0">
        <w:t>S</w:t>
      </w:r>
      <w:r w:rsidR="00BB0169">
        <w:t>ous-Comité</w:t>
      </w:r>
      <w:r w:rsidR="009111CF" w:rsidRPr="00255DA0">
        <w:t xml:space="preserve"> note avec préoccupation l’absence dans l’</w:t>
      </w:r>
      <w:r w:rsidR="00B36B0D">
        <w:t>État</w:t>
      </w:r>
      <w:r w:rsidR="009111CF" w:rsidRPr="00255DA0">
        <w:t xml:space="preserve"> partie </w:t>
      </w:r>
      <w:r w:rsidR="0027580D" w:rsidRPr="00255DA0">
        <w:t>d</w:t>
      </w:r>
      <w:r w:rsidR="0027580D">
        <w:t>’un</w:t>
      </w:r>
      <w:r w:rsidR="0027580D" w:rsidRPr="00255DA0">
        <w:t xml:space="preserve"> </w:t>
      </w:r>
      <w:r w:rsidR="009111CF" w:rsidRPr="00255DA0">
        <w:t xml:space="preserve">système opérationnel d’aide juridictionnelle. </w:t>
      </w:r>
      <w:r w:rsidR="00BB0169">
        <w:t>Il</w:t>
      </w:r>
      <w:r w:rsidR="009111CF" w:rsidRPr="00255DA0">
        <w:t xml:space="preserve"> regrette que, malgré le fait qu’une loi portant sur </w:t>
      </w:r>
      <w:r w:rsidR="0027580D">
        <w:t>l’</w:t>
      </w:r>
      <w:r w:rsidR="009111CF" w:rsidRPr="00255DA0">
        <w:t xml:space="preserve">aide juridictionnelle ait été adoptée le 24 mai 2013, le décret d’application de cette loi </w:t>
      </w:r>
      <w:r w:rsidR="0027580D">
        <w:t xml:space="preserve">reste </w:t>
      </w:r>
      <w:r w:rsidR="009111CF" w:rsidRPr="00255DA0">
        <w:t xml:space="preserve">en attente de promulgation. Le </w:t>
      </w:r>
      <w:r w:rsidR="00522A24" w:rsidRPr="00255DA0">
        <w:t>S</w:t>
      </w:r>
      <w:r w:rsidR="00522A24">
        <w:t>ous-Comité</w:t>
      </w:r>
      <w:r w:rsidR="009111CF" w:rsidRPr="00255DA0">
        <w:t xml:space="preserve"> s’inquiète </w:t>
      </w:r>
      <w:r w:rsidR="00522A24">
        <w:t xml:space="preserve">tout </w:t>
      </w:r>
      <w:r w:rsidR="009111CF" w:rsidRPr="00255DA0">
        <w:t xml:space="preserve">particulièrement du sort des personnes pauvres et marginalisées dans le système de justice pénale, car ces personnes n’ont pas </w:t>
      </w:r>
      <w:r w:rsidR="00E93735">
        <w:t>les</w:t>
      </w:r>
      <w:r w:rsidR="009111CF" w:rsidRPr="00255DA0">
        <w:t xml:space="preserve"> moyens </w:t>
      </w:r>
      <w:r w:rsidR="00E93735">
        <w:t>d</w:t>
      </w:r>
      <w:r w:rsidR="00E93735" w:rsidRPr="00926DC8">
        <w:t>’</w:t>
      </w:r>
      <w:r w:rsidR="009111CF" w:rsidRPr="00255DA0">
        <w:t xml:space="preserve">avoir accès à un avocat et l’aide juridique leur est </w:t>
      </w:r>
      <w:r w:rsidR="00E93735">
        <w:t xml:space="preserve">également </w:t>
      </w:r>
      <w:r w:rsidR="009111CF" w:rsidRPr="00255DA0">
        <w:t>inaccessible</w:t>
      </w:r>
      <w:r w:rsidR="0027580D">
        <w:t xml:space="preserve">, </w:t>
      </w:r>
      <w:r w:rsidR="00E93735">
        <w:t>ce qui viole l</w:t>
      </w:r>
      <w:r w:rsidR="0027580D">
        <w:t>es principes d’égalité devant la loi et d’accès à la justice sans discrimination</w:t>
      </w:r>
      <w:r w:rsidR="009111CF" w:rsidRPr="00255DA0">
        <w:t xml:space="preserve">. </w:t>
      </w:r>
    </w:p>
    <w:p w:rsidR="009111CF" w:rsidRPr="0082289C" w:rsidRDefault="00B90046" w:rsidP="000F5D67">
      <w:pPr>
        <w:pStyle w:val="SingleTxtG"/>
        <w:rPr>
          <w:b/>
        </w:rPr>
      </w:pPr>
      <w:r w:rsidRPr="000F5D67">
        <w:rPr>
          <w:bCs/>
        </w:rPr>
        <w:t>11</w:t>
      </w:r>
      <w:r w:rsidR="0033388B">
        <w:rPr>
          <w:bCs/>
        </w:rPr>
        <w:t>6</w:t>
      </w:r>
      <w:r w:rsidR="009111CF" w:rsidRPr="000F5D67">
        <w:rPr>
          <w:bCs/>
        </w:rPr>
        <w:t>.</w:t>
      </w:r>
      <w:r w:rsidR="009111CF" w:rsidRPr="000F5D67">
        <w:rPr>
          <w:bCs/>
        </w:rPr>
        <w:tab/>
      </w:r>
      <w:r w:rsidR="009111CF" w:rsidRPr="0082289C">
        <w:rPr>
          <w:b/>
        </w:rPr>
        <w:t xml:space="preserve">Le </w:t>
      </w:r>
      <w:r w:rsidR="00522A24">
        <w:rPr>
          <w:b/>
        </w:rPr>
        <w:t>Sous-Comité</w:t>
      </w:r>
      <w:r w:rsidR="00522A24" w:rsidRPr="0082289C">
        <w:rPr>
          <w:b/>
        </w:rPr>
        <w:t xml:space="preserve"> </w:t>
      </w:r>
      <w:r w:rsidR="009111CF" w:rsidRPr="0082289C">
        <w:rPr>
          <w:b/>
        </w:rPr>
        <w:t>recommande à l’</w:t>
      </w:r>
      <w:r w:rsidR="00B36B0D">
        <w:rPr>
          <w:b/>
        </w:rPr>
        <w:t>État</w:t>
      </w:r>
      <w:r w:rsidR="009111CF" w:rsidRPr="0082289C">
        <w:rPr>
          <w:b/>
        </w:rPr>
        <w:t xml:space="preserve"> partie d’adopter dans les plus brefs délais le décret d’application de la loi portant aide juridictionnelle afin de garantir l’accès à un avocat à toute personne togolaise ou étrangère ne disposant pas de ressources suffisantes pour assurer sa défense dès </w:t>
      </w:r>
      <w:r w:rsidR="00A41D8E">
        <w:rPr>
          <w:b/>
        </w:rPr>
        <w:t>son placement</w:t>
      </w:r>
      <w:r w:rsidR="009111CF" w:rsidRPr="0082289C">
        <w:rPr>
          <w:b/>
        </w:rPr>
        <w:t xml:space="preserve"> en garde à vue et pendant toute la durée de la procédure judiciaire. </w:t>
      </w:r>
      <w:r w:rsidR="00522A24">
        <w:rPr>
          <w:b/>
        </w:rPr>
        <w:t>Il</w:t>
      </w:r>
      <w:r w:rsidR="009111CF" w:rsidRPr="0082289C">
        <w:rPr>
          <w:b/>
        </w:rPr>
        <w:t xml:space="preserve"> encourage également les autorités à prendre les mesures nécessaires pour allouer un budget adéquat </w:t>
      </w:r>
      <w:r w:rsidR="00E868C4">
        <w:rPr>
          <w:b/>
        </w:rPr>
        <w:t>à</w:t>
      </w:r>
      <w:r w:rsidR="00E868C4" w:rsidRPr="0082289C">
        <w:rPr>
          <w:b/>
        </w:rPr>
        <w:t xml:space="preserve"> </w:t>
      </w:r>
      <w:r w:rsidR="009111CF" w:rsidRPr="0082289C">
        <w:rPr>
          <w:b/>
        </w:rPr>
        <w:t>la mise en place de ce système d’aide juridictionnelle.</w:t>
      </w:r>
    </w:p>
    <w:p w:rsidR="009111CF" w:rsidRPr="004B1E89" w:rsidRDefault="009111CF" w:rsidP="001E4146">
      <w:pPr>
        <w:pStyle w:val="HChG"/>
      </w:pPr>
      <w:r w:rsidRPr="004B1E89">
        <w:tab/>
        <w:t>V.</w:t>
      </w:r>
      <w:r w:rsidRPr="004B1E89">
        <w:tab/>
        <w:t xml:space="preserve">Mécanisme </w:t>
      </w:r>
      <w:r w:rsidR="00145C70">
        <w:t>n</w:t>
      </w:r>
      <w:r w:rsidR="00145C70" w:rsidRPr="004B1E89">
        <w:t xml:space="preserve">ational </w:t>
      </w:r>
      <w:r w:rsidRPr="004B1E89">
        <w:t xml:space="preserve">de </w:t>
      </w:r>
      <w:r w:rsidR="00145C70">
        <w:t>p</w:t>
      </w:r>
      <w:r w:rsidR="00145C70" w:rsidRPr="004B1E89">
        <w:t xml:space="preserve">révention </w:t>
      </w:r>
    </w:p>
    <w:p w:rsidR="009111CF" w:rsidRPr="00255DA0" w:rsidRDefault="00B90046" w:rsidP="000F5D67">
      <w:pPr>
        <w:pStyle w:val="SingleTxtG"/>
      </w:pPr>
      <w:r>
        <w:t>11</w:t>
      </w:r>
      <w:r w:rsidR="0033388B">
        <w:t>7</w:t>
      </w:r>
      <w:r w:rsidR="009111CF" w:rsidRPr="00255DA0">
        <w:t>.</w:t>
      </w:r>
      <w:r w:rsidR="009111CF" w:rsidRPr="00255DA0">
        <w:tab/>
        <w:t>Le Togo aurait dû créer ou désigner un mécanisme national de prévention au plus tard un an après la ratification du Protocole facultatif, à savoir en juillet 2010. Au moment de la visite, ce mécanisme n’a</w:t>
      </w:r>
      <w:r w:rsidR="0027580D">
        <w:t>vait</w:t>
      </w:r>
      <w:r w:rsidR="009111CF" w:rsidRPr="00255DA0">
        <w:t xml:space="preserve"> pas encore été créé. Le </w:t>
      </w:r>
      <w:r w:rsidR="00C42BDF" w:rsidRPr="00255DA0">
        <w:t>S</w:t>
      </w:r>
      <w:r w:rsidR="00C42BDF">
        <w:t>ous-Comité</w:t>
      </w:r>
      <w:r w:rsidR="009111CF" w:rsidRPr="00255DA0">
        <w:t xml:space="preserve"> prend note de l’existence d’un avant-projet de loi pour la mise en place du </w:t>
      </w:r>
      <w:r w:rsidR="009223DA">
        <w:t>mécanisme</w:t>
      </w:r>
      <w:r w:rsidR="009111CF" w:rsidRPr="00255DA0">
        <w:t xml:space="preserve">, selon lequel l’État </w:t>
      </w:r>
      <w:r w:rsidR="009111CF" w:rsidRPr="00255DA0">
        <w:lastRenderedPageBreak/>
        <w:t xml:space="preserve">désignerait </w:t>
      </w:r>
      <w:r w:rsidR="00A757CA">
        <w:t xml:space="preserve">à cette fin </w:t>
      </w:r>
      <w:r w:rsidR="009111CF" w:rsidRPr="00255DA0">
        <w:t>la Commission nationale des droits de l’homme. Cependant, compte tenu des ressources très limitées de la C</w:t>
      </w:r>
      <w:r w:rsidR="0024789C">
        <w:t>ommission</w:t>
      </w:r>
      <w:r w:rsidR="009111CF" w:rsidRPr="00255DA0">
        <w:t xml:space="preserve"> et des défis auxquels elle fait face, le</w:t>
      </w:r>
      <w:r w:rsidR="00D52B50">
        <w:t> </w:t>
      </w:r>
      <w:r w:rsidR="00C42BDF" w:rsidRPr="00255DA0">
        <w:t>S</w:t>
      </w:r>
      <w:r w:rsidR="00C42BDF">
        <w:t>ous-Comité</w:t>
      </w:r>
      <w:r w:rsidR="009111CF" w:rsidRPr="00255DA0">
        <w:t xml:space="preserve"> reste préoccupé quant à </w:t>
      </w:r>
      <w:r w:rsidR="00A737EC">
        <w:t>s</w:t>
      </w:r>
      <w:r w:rsidR="009111CF" w:rsidRPr="00255DA0">
        <w:t xml:space="preserve">a capacité de s’acquitter des fonctions supplémentaires qui </w:t>
      </w:r>
      <w:r w:rsidR="00A757CA" w:rsidRPr="00255DA0">
        <w:t>découler</w:t>
      </w:r>
      <w:r w:rsidR="00A757CA">
        <w:t>aie</w:t>
      </w:r>
      <w:r w:rsidR="00A757CA" w:rsidRPr="00255DA0">
        <w:t xml:space="preserve">nt </w:t>
      </w:r>
      <w:r w:rsidR="009111CF" w:rsidRPr="00255DA0">
        <w:t xml:space="preserve">de ces nouvelles </w:t>
      </w:r>
      <w:r w:rsidR="00D052FC">
        <w:t>attributions</w:t>
      </w:r>
      <w:r w:rsidR="009111CF" w:rsidRPr="00255DA0">
        <w:t xml:space="preserve">. </w:t>
      </w:r>
    </w:p>
    <w:p w:rsidR="009111CF" w:rsidRPr="00255DA0" w:rsidRDefault="00B90046" w:rsidP="000F5D67">
      <w:pPr>
        <w:pStyle w:val="SingleTxtG"/>
      </w:pPr>
      <w:r>
        <w:t>11</w:t>
      </w:r>
      <w:r w:rsidR="0033388B">
        <w:t>8</w:t>
      </w:r>
      <w:r w:rsidR="009111CF" w:rsidRPr="00255DA0">
        <w:t>.</w:t>
      </w:r>
      <w:r w:rsidR="009111CF" w:rsidRPr="00255DA0">
        <w:tab/>
        <w:t xml:space="preserve">Le </w:t>
      </w:r>
      <w:r w:rsidR="00C42BDF" w:rsidRPr="00255DA0">
        <w:t>S</w:t>
      </w:r>
      <w:r w:rsidR="00C42BDF">
        <w:t>ous-Comité</w:t>
      </w:r>
      <w:r w:rsidR="009111CF" w:rsidRPr="00255DA0">
        <w:t xml:space="preserve"> tient à signaler que dans le contexte de la situation des personnes privées de liberté observée au Togo, le travail du </w:t>
      </w:r>
      <w:r w:rsidR="009223DA">
        <w:t>mécanisme national de prévention</w:t>
      </w:r>
      <w:r w:rsidR="009223DA" w:rsidRPr="00255DA0">
        <w:t xml:space="preserve"> </w:t>
      </w:r>
      <w:r w:rsidR="009111CF" w:rsidRPr="00255DA0">
        <w:t>pourrait avoir un impact très significatif</w:t>
      </w:r>
      <w:r w:rsidR="00C76A82">
        <w:t>, notamment du fait de</w:t>
      </w:r>
      <w:r w:rsidR="009111CF" w:rsidRPr="00255DA0">
        <w:t xml:space="preserve"> la grande disposition de la grande majorité des agents étatiques avec lesquels le </w:t>
      </w:r>
      <w:r w:rsidR="00C42BDF" w:rsidRPr="00255DA0">
        <w:t>S</w:t>
      </w:r>
      <w:r w:rsidR="00C42BDF">
        <w:t>ous-Comité</w:t>
      </w:r>
      <w:r w:rsidR="009111CF" w:rsidRPr="00255DA0">
        <w:t xml:space="preserve"> a eu </w:t>
      </w:r>
      <w:r w:rsidR="00F6418F">
        <w:t xml:space="preserve">des </w:t>
      </w:r>
      <w:r w:rsidR="009111CF" w:rsidRPr="00255DA0">
        <w:t>contact</w:t>
      </w:r>
      <w:r w:rsidR="00F6418F">
        <w:t>s</w:t>
      </w:r>
      <w:r w:rsidR="009111CF" w:rsidRPr="00255DA0">
        <w:t xml:space="preserve"> </w:t>
      </w:r>
      <w:r w:rsidR="00F6418F">
        <w:t>à</w:t>
      </w:r>
      <w:r w:rsidR="00F6418F" w:rsidRPr="00255DA0">
        <w:t xml:space="preserve"> </w:t>
      </w:r>
      <w:r w:rsidR="009111CF" w:rsidRPr="00255DA0">
        <w:t xml:space="preserve">écouter et prendre en compte ses observations et recommandations. </w:t>
      </w:r>
    </w:p>
    <w:p w:rsidR="009111CF" w:rsidRPr="00255DA0" w:rsidRDefault="00B90046" w:rsidP="000F5D67">
      <w:pPr>
        <w:pStyle w:val="SingleTxtG"/>
      </w:pPr>
      <w:r>
        <w:t>11</w:t>
      </w:r>
      <w:r w:rsidR="0033388B">
        <w:t>9</w:t>
      </w:r>
      <w:r w:rsidR="009111CF" w:rsidRPr="00255DA0">
        <w:t>.</w:t>
      </w:r>
      <w:r w:rsidR="009111CF" w:rsidRPr="00255DA0">
        <w:tab/>
        <w:t xml:space="preserve">Pour assurer le succès des démarches du </w:t>
      </w:r>
      <w:r w:rsidR="009223DA">
        <w:t>mécanisme national de prévention</w:t>
      </w:r>
      <w:r w:rsidR="009111CF" w:rsidRPr="00255DA0">
        <w:t xml:space="preserve">, il sera nécessaire que son mandat soit clair et qu’il soit protégé de toute ingérence politique. Les États parties au Protocole </w:t>
      </w:r>
      <w:r w:rsidR="009223DA">
        <w:t>f</w:t>
      </w:r>
      <w:r w:rsidR="009223DA" w:rsidRPr="00255DA0">
        <w:t xml:space="preserve">acultatif </w:t>
      </w:r>
      <w:r w:rsidR="009111CF" w:rsidRPr="00255DA0">
        <w:t xml:space="preserve">ont l’obligation de garantir l’indépendance des </w:t>
      </w:r>
      <w:r w:rsidR="007641CF">
        <w:t>mécanismes nationaux de prévention</w:t>
      </w:r>
      <w:r w:rsidR="009111CF" w:rsidRPr="00255DA0">
        <w:t xml:space="preserve"> dans l’exercice de leurs fonctions, ainsi que celle de leur personnel. Ils s’engagent à prévoir et à fournir les ressources nécessaires au fonctionnement d</w:t>
      </w:r>
      <w:r w:rsidR="00C00143">
        <w:t>u</w:t>
      </w:r>
      <w:r w:rsidR="009111CF" w:rsidRPr="00255DA0">
        <w:t xml:space="preserve"> </w:t>
      </w:r>
      <w:r w:rsidR="009223DA">
        <w:t>mécanisme</w:t>
      </w:r>
      <w:r w:rsidR="009111CF" w:rsidRPr="00255DA0">
        <w:t xml:space="preserve">, conformément aux </w:t>
      </w:r>
      <w:r w:rsidR="002E2EFC" w:rsidRPr="000F5D67">
        <w:t>Principes concernant le statut des institutions nationales pour la promotion et la protection des droits de l’homme (</w:t>
      </w:r>
      <w:r w:rsidR="009111CF" w:rsidRPr="00255DA0">
        <w:t>Principes de Paris</w:t>
      </w:r>
      <w:r w:rsidR="002E2EFC">
        <w:t>)</w:t>
      </w:r>
      <w:r w:rsidR="009111CF" w:rsidRPr="00255DA0">
        <w:t xml:space="preserve">. </w:t>
      </w:r>
    </w:p>
    <w:p w:rsidR="009111CF" w:rsidRPr="0082289C" w:rsidRDefault="00B90046" w:rsidP="000F5D67">
      <w:pPr>
        <w:pStyle w:val="SingleTxtG"/>
        <w:rPr>
          <w:b/>
        </w:rPr>
      </w:pPr>
      <w:r w:rsidRPr="000F5D67">
        <w:rPr>
          <w:bCs/>
        </w:rPr>
        <w:t>1</w:t>
      </w:r>
      <w:r w:rsidR="0033388B">
        <w:rPr>
          <w:bCs/>
        </w:rPr>
        <w:t>20</w:t>
      </w:r>
      <w:r w:rsidR="009111CF" w:rsidRPr="000F5D67">
        <w:rPr>
          <w:bCs/>
        </w:rPr>
        <w:t>.</w:t>
      </w:r>
      <w:r w:rsidR="009111CF" w:rsidRPr="000F5D67">
        <w:rPr>
          <w:bCs/>
        </w:rPr>
        <w:tab/>
      </w:r>
      <w:r w:rsidR="009111CF" w:rsidRPr="0082289C">
        <w:rPr>
          <w:b/>
        </w:rPr>
        <w:t xml:space="preserve">Le </w:t>
      </w:r>
      <w:r w:rsidR="00C42BDF">
        <w:rPr>
          <w:b/>
        </w:rPr>
        <w:t>Sous-Comité</w:t>
      </w:r>
      <w:r w:rsidR="00C42BDF" w:rsidRPr="0082289C">
        <w:rPr>
          <w:b/>
        </w:rPr>
        <w:t xml:space="preserve"> </w:t>
      </w:r>
      <w:r w:rsidR="009111CF" w:rsidRPr="0082289C">
        <w:rPr>
          <w:b/>
        </w:rPr>
        <w:t>recommande à l’</w:t>
      </w:r>
      <w:r w:rsidR="00B36B0D">
        <w:rPr>
          <w:b/>
        </w:rPr>
        <w:t>État</w:t>
      </w:r>
      <w:r w:rsidR="009111CF" w:rsidRPr="0082289C">
        <w:rPr>
          <w:b/>
        </w:rPr>
        <w:t xml:space="preserve"> partie de désigner et mettre en place un </w:t>
      </w:r>
      <w:r w:rsidR="00D575CF">
        <w:rPr>
          <w:b/>
        </w:rPr>
        <w:t>mécanisme national de prévention</w:t>
      </w:r>
      <w:r w:rsidR="009111CF" w:rsidRPr="0082289C">
        <w:rPr>
          <w:b/>
        </w:rPr>
        <w:t xml:space="preserve"> dans les meilleurs délais. Dans ce cadre, les autorités togolaises doivent prendre toutes les mesures d’ordre législatif ou autre nécessaires afin d’assurer que le </w:t>
      </w:r>
      <w:r w:rsidR="00D575CF">
        <w:rPr>
          <w:b/>
        </w:rPr>
        <w:t>mécanisme</w:t>
      </w:r>
      <w:r w:rsidR="00D575CF" w:rsidRPr="0082289C">
        <w:rPr>
          <w:b/>
        </w:rPr>
        <w:t xml:space="preserve"> </w:t>
      </w:r>
      <w:r w:rsidR="009111CF" w:rsidRPr="0082289C">
        <w:rPr>
          <w:b/>
        </w:rPr>
        <w:t xml:space="preserve">soit pleinement conforme aux Principes de Paris, tel que stipulé par le Protocole facultatif, ainsi </w:t>
      </w:r>
      <w:r w:rsidR="00E50982">
        <w:rPr>
          <w:b/>
        </w:rPr>
        <w:t>qu’aux</w:t>
      </w:r>
      <w:r w:rsidR="009111CF" w:rsidRPr="0082289C">
        <w:rPr>
          <w:b/>
        </w:rPr>
        <w:t xml:space="preserve"> directives du </w:t>
      </w:r>
      <w:r w:rsidR="00C42BDF">
        <w:rPr>
          <w:b/>
        </w:rPr>
        <w:t>Sous-Comité</w:t>
      </w:r>
      <w:r w:rsidR="00C42BDF" w:rsidRPr="0082289C">
        <w:rPr>
          <w:b/>
        </w:rPr>
        <w:t xml:space="preserve"> </w:t>
      </w:r>
      <w:r w:rsidR="009111CF" w:rsidRPr="0082289C">
        <w:rPr>
          <w:b/>
        </w:rPr>
        <w:t xml:space="preserve">concernant les mécanismes nationaux </w:t>
      </w:r>
      <w:r w:rsidR="006F4699">
        <w:rPr>
          <w:b/>
        </w:rPr>
        <w:t xml:space="preserve">de prévention (CAT/OP/12/5) </w:t>
      </w:r>
      <w:r w:rsidR="009111CF" w:rsidRPr="0082289C">
        <w:rPr>
          <w:b/>
        </w:rPr>
        <w:t xml:space="preserve">portant sur les attributions, </w:t>
      </w:r>
      <w:r w:rsidR="006F4699">
        <w:rPr>
          <w:b/>
        </w:rPr>
        <w:t xml:space="preserve">la </w:t>
      </w:r>
      <w:r w:rsidR="009111CF" w:rsidRPr="0082289C">
        <w:rPr>
          <w:b/>
        </w:rPr>
        <w:t xml:space="preserve">composition et </w:t>
      </w:r>
      <w:r w:rsidR="006F4699">
        <w:rPr>
          <w:b/>
        </w:rPr>
        <w:t xml:space="preserve">le </w:t>
      </w:r>
      <w:r w:rsidR="009111CF" w:rsidRPr="0082289C">
        <w:rPr>
          <w:b/>
        </w:rPr>
        <w:t xml:space="preserve">fonctionnement du </w:t>
      </w:r>
      <w:r w:rsidR="00D575CF">
        <w:rPr>
          <w:b/>
        </w:rPr>
        <w:t>mécanisme</w:t>
      </w:r>
      <w:r w:rsidR="009111CF" w:rsidRPr="0082289C">
        <w:rPr>
          <w:b/>
        </w:rPr>
        <w:t xml:space="preserve">. </w:t>
      </w:r>
      <w:r w:rsidR="00B17A69">
        <w:rPr>
          <w:b/>
        </w:rPr>
        <w:t>Le Sous-Comité</w:t>
      </w:r>
      <w:r w:rsidR="00B17A69" w:rsidRPr="0082289C">
        <w:rPr>
          <w:b/>
        </w:rPr>
        <w:t xml:space="preserve"> </w:t>
      </w:r>
      <w:r w:rsidR="009111CF" w:rsidRPr="0082289C">
        <w:rPr>
          <w:b/>
        </w:rPr>
        <w:t xml:space="preserve">rappelle également que le </w:t>
      </w:r>
      <w:r w:rsidR="00D575CF">
        <w:rPr>
          <w:b/>
        </w:rPr>
        <w:t>mécanisme</w:t>
      </w:r>
      <w:r w:rsidR="00D575CF" w:rsidRPr="0082289C">
        <w:rPr>
          <w:b/>
        </w:rPr>
        <w:t xml:space="preserve"> </w:t>
      </w:r>
      <w:r w:rsidR="009111CF" w:rsidRPr="0082289C">
        <w:rPr>
          <w:b/>
        </w:rPr>
        <w:t xml:space="preserve">devrait avoir le pouvoir de </w:t>
      </w:r>
      <w:r w:rsidR="00D1710B">
        <w:rPr>
          <w:b/>
        </w:rPr>
        <w:t>mener</w:t>
      </w:r>
      <w:r w:rsidR="00D1710B" w:rsidRPr="0082289C">
        <w:rPr>
          <w:b/>
        </w:rPr>
        <w:t xml:space="preserve"> </w:t>
      </w:r>
      <w:r w:rsidR="009111CF" w:rsidRPr="0082289C">
        <w:rPr>
          <w:b/>
        </w:rPr>
        <w:t xml:space="preserve">des enquêtes et de prévenir les actes de torture ainsi que d’effectuer des visites inopinées </w:t>
      </w:r>
      <w:r w:rsidR="00D1710B">
        <w:rPr>
          <w:b/>
        </w:rPr>
        <w:t>dans</w:t>
      </w:r>
      <w:r w:rsidR="00D1710B" w:rsidRPr="0082289C">
        <w:rPr>
          <w:b/>
        </w:rPr>
        <w:t xml:space="preserve"> </w:t>
      </w:r>
      <w:r w:rsidR="009111CF" w:rsidRPr="0082289C">
        <w:rPr>
          <w:b/>
        </w:rPr>
        <w:t xml:space="preserve">tous les lieux de détention, les lieux non officiels et les institutions psychiatriques et </w:t>
      </w:r>
      <w:r w:rsidR="00E50982">
        <w:rPr>
          <w:b/>
        </w:rPr>
        <w:t>tout autre</w:t>
      </w:r>
      <w:r w:rsidR="009111CF" w:rsidRPr="0082289C">
        <w:rPr>
          <w:b/>
        </w:rPr>
        <w:t xml:space="preserve"> lieu où des personnes sont privées de liberté.</w:t>
      </w:r>
    </w:p>
    <w:p w:rsidR="009111CF" w:rsidRPr="0082289C" w:rsidRDefault="009111CF" w:rsidP="009111CF">
      <w:pPr>
        <w:pStyle w:val="HChG"/>
      </w:pPr>
      <w:r>
        <w:tab/>
      </w:r>
      <w:r w:rsidRPr="0082289C">
        <w:t>VI</w:t>
      </w:r>
      <w:r>
        <w:t>.</w:t>
      </w:r>
      <w:r>
        <w:tab/>
      </w:r>
      <w:r w:rsidRPr="0082289C">
        <w:t xml:space="preserve">Répercussions de la visite et conclusion </w:t>
      </w:r>
    </w:p>
    <w:p w:rsidR="009111CF" w:rsidRPr="00255DA0" w:rsidRDefault="00B90046" w:rsidP="000F5D67">
      <w:pPr>
        <w:pStyle w:val="SingleTxtG"/>
      </w:pPr>
      <w:r>
        <w:t>12</w:t>
      </w:r>
      <w:r w:rsidR="0033388B">
        <w:t>1</w:t>
      </w:r>
      <w:r w:rsidR="009111CF" w:rsidRPr="00255DA0">
        <w:t>.</w:t>
      </w:r>
      <w:r w:rsidR="009111CF" w:rsidRPr="00255DA0">
        <w:tab/>
        <w:t xml:space="preserve">De manière générale, les personnes privées de liberté n’ont pas exprimé de craintes de parler librement avec la délégation. Cependant, le </w:t>
      </w:r>
      <w:r w:rsidR="00C42BDF" w:rsidRPr="00255DA0">
        <w:t>S</w:t>
      </w:r>
      <w:r w:rsidR="00C42BDF">
        <w:t>ous-Comité</w:t>
      </w:r>
      <w:r w:rsidR="009111CF" w:rsidRPr="00255DA0">
        <w:t xml:space="preserve"> souhaite rappeler que toute forme d’intimidation et toute forme de représailles contre les personnes privées de liberté constituent une violation des obligations de l’</w:t>
      </w:r>
      <w:r w:rsidR="00B36B0D">
        <w:t>État</w:t>
      </w:r>
      <w:r w:rsidR="009111CF" w:rsidRPr="00255DA0">
        <w:t xml:space="preserve"> partie en vertu du Protocole facultatif. Conformément à l’article 15 du Protocole facultatif, le </w:t>
      </w:r>
      <w:r w:rsidR="00C42BDF" w:rsidRPr="00255DA0">
        <w:t>S</w:t>
      </w:r>
      <w:r w:rsidR="00C42BDF">
        <w:t>ous-Comité</w:t>
      </w:r>
      <w:r w:rsidR="009111CF" w:rsidRPr="00255DA0">
        <w:t xml:space="preserve"> demande aux autorités togolaises de s’assurer, par le biais des inspections et </w:t>
      </w:r>
      <w:r w:rsidR="00EE57E9">
        <w:t xml:space="preserve">des </w:t>
      </w:r>
      <w:r w:rsidR="009111CF" w:rsidRPr="00255DA0">
        <w:t xml:space="preserve">instructions données aux personnes responsables des lieux de privation de liberté, qu’il n’y </w:t>
      </w:r>
      <w:r w:rsidR="00EE1B9D">
        <w:t>aura</w:t>
      </w:r>
      <w:r w:rsidR="00EE1B9D" w:rsidRPr="00255DA0">
        <w:t xml:space="preserve"> </w:t>
      </w:r>
      <w:r w:rsidR="009111CF" w:rsidRPr="00255DA0">
        <w:t xml:space="preserve">pas de représailles suite à sa visite. Le </w:t>
      </w:r>
      <w:r w:rsidR="00C42BDF" w:rsidRPr="00255DA0">
        <w:t>S</w:t>
      </w:r>
      <w:r w:rsidR="00C42BDF">
        <w:t>ous-Comité</w:t>
      </w:r>
      <w:r w:rsidR="009111CF" w:rsidRPr="00255DA0">
        <w:t xml:space="preserve"> demande à l’</w:t>
      </w:r>
      <w:r w:rsidR="00B36B0D">
        <w:t>État</w:t>
      </w:r>
      <w:r w:rsidR="009111CF" w:rsidRPr="00255DA0">
        <w:t xml:space="preserve"> partie de fournir des informations détaillées sur ce qui a été entrepris </w:t>
      </w:r>
      <w:r w:rsidR="001B52D5">
        <w:t>pour</w:t>
      </w:r>
      <w:r w:rsidR="009111CF" w:rsidRPr="00255DA0">
        <w:t xml:space="preserve"> prévenir et empêcher les représailles à l’encontre du personnel et des détenus qui se sont entretenus avec la délégation. </w:t>
      </w:r>
    </w:p>
    <w:p w:rsidR="009111CF" w:rsidRPr="00255DA0" w:rsidRDefault="00B90046" w:rsidP="000F5D67">
      <w:pPr>
        <w:pStyle w:val="SingleTxtG"/>
      </w:pPr>
      <w:r>
        <w:t>12</w:t>
      </w:r>
      <w:r w:rsidR="0033388B">
        <w:t>2</w:t>
      </w:r>
      <w:r w:rsidR="009111CF" w:rsidRPr="00255DA0">
        <w:t>.</w:t>
      </w:r>
      <w:r w:rsidR="009111CF" w:rsidRPr="00255DA0">
        <w:tab/>
        <w:t xml:space="preserve">Le </w:t>
      </w:r>
      <w:r w:rsidR="00C42BDF" w:rsidRPr="00255DA0">
        <w:t>S</w:t>
      </w:r>
      <w:r w:rsidR="00C42BDF">
        <w:t>ous-Comité</w:t>
      </w:r>
      <w:r w:rsidR="009111CF" w:rsidRPr="00255DA0">
        <w:t xml:space="preserve"> rappelle que ses observations préliminaires ne sont que le début d’un dialogue constructif de coopération avec les autorités togolaises pour trouver ensemble des solutions pour faire face aux défis </w:t>
      </w:r>
      <w:r w:rsidR="001B52D5">
        <w:t>mis en évidence</w:t>
      </w:r>
      <w:r w:rsidR="009111CF" w:rsidRPr="00255DA0">
        <w:t xml:space="preserve">. </w:t>
      </w:r>
    </w:p>
    <w:p w:rsidR="009111CF" w:rsidRDefault="009111CF" w:rsidP="00D96654">
      <w:pPr>
        <w:pStyle w:val="HChG"/>
      </w:pPr>
      <w:r>
        <w:br w:type="page"/>
      </w:r>
      <w:r w:rsidR="00D96654">
        <w:lastRenderedPageBreak/>
        <w:tab/>
      </w:r>
      <w:r w:rsidRPr="007C3705">
        <w:t>Annexe</w:t>
      </w:r>
    </w:p>
    <w:p w:rsidR="00997AB9" w:rsidRPr="00997AB9" w:rsidRDefault="00997AB9" w:rsidP="00997AB9">
      <w:pPr>
        <w:pStyle w:val="HChG"/>
      </w:pPr>
      <w:r>
        <w:tab/>
      </w:r>
      <w:r>
        <w:tab/>
        <w:t>Lieux de privation de liberté visités et personnes rencontrées par le Sous-Comité</w:t>
      </w:r>
    </w:p>
    <w:p w:rsidR="009111CF" w:rsidRPr="007C3705" w:rsidRDefault="009111CF" w:rsidP="001E4146">
      <w:pPr>
        <w:pStyle w:val="HChG"/>
      </w:pPr>
      <w:r>
        <w:tab/>
        <w:t>I.</w:t>
      </w:r>
      <w:r>
        <w:tab/>
      </w:r>
      <w:r w:rsidRPr="007C3705">
        <w:t xml:space="preserve">Lieux de privation de liberté visités par le </w:t>
      </w:r>
      <w:r w:rsidR="00C42BDF">
        <w:t>Sous-Comité</w:t>
      </w:r>
    </w:p>
    <w:p w:rsidR="009111CF" w:rsidRPr="00D62FD0" w:rsidRDefault="009111CF">
      <w:pPr>
        <w:pStyle w:val="H1G"/>
        <w:rPr>
          <w:lang w:val="fr-FR"/>
        </w:rPr>
      </w:pPr>
      <w:r w:rsidRPr="007C3705">
        <w:tab/>
      </w:r>
      <w:r>
        <w:t>A</w:t>
      </w:r>
      <w:r w:rsidRPr="00D62FD0">
        <w:t>.</w:t>
      </w:r>
      <w:r w:rsidRPr="00D62FD0">
        <w:tab/>
      </w:r>
      <w:r w:rsidRPr="00D62FD0">
        <w:rPr>
          <w:lang w:val="fr-FR"/>
        </w:rPr>
        <w:t xml:space="preserve">Gendarmeries et </w:t>
      </w:r>
      <w:r w:rsidR="00295A00">
        <w:rPr>
          <w:lang w:val="fr-FR"/>
        </w:rPr>
        <w:t>c</w:t>
      </w:r>
      <w:r w:rsidR="00295A00" w:rsidRPr="00D62FD0">
        <w:rPr>
          <w:lang w:val="fr-FR"/>
        </w:rPr>
        <w:t xml:space="preserve">ommissariats </w:t>
      </w:r>
      <w:r w:rsidRPr="00D62FD0">
        <w:rPr>
          <w:lang w:val="fr-FR"/>
        </w:rPr>
        <w:t>de police</w:t>
      </w:r>
    </w:p>
    <w:p w:rsidR="009111CF" w:rsidRPr="00D62FD0" w:rsidRDefault="004B1E89" w:rsidP="004B1E89">
      <w:pPr>
        <w:pStyle w:val="H23G"/>
        <w:rPr>
          <w:lang w:val="fr-FR"/>
        </w:rPr>
      </w:pPr>
      <w:r>
        <w:tab/>
      </w:r>
      <w:r w:rsidR="009111CF" w:rsidRPr="00D62FD0">
        <w:t>1.</w:t>
      </w:r>
      <w:r w:rsidR="009111CF" w:rsidRPr="00D62FD0">
        <w:tab/>
      </w:r>
      <w:r w:rsidR="009111CF" w:rsidRPr="00D62FD0">
        <w:rPr>
          <w:lang w:val="fr-FR"/>
        </w:rPr>
        <w:t>Lomé</w:t>
      </w:r>
    </w:p>
    <w:p w:rsidR="009111CF" w:rsidRPr="004B1E89" w:rsidRDefault="009111CF" w:rsidP="004B1E89">
      <w:pPr>
        <w:pStyle w:val="SingleTxtG"/>
      </w:pPr>
      <w:r w:rsidRPr="004B1E89">
        <w:t>Commissariat central</w:t>
      </w:r>
    </w:p>
    <w:p w:rsidR="009111CF" w:rsidRPr="004B1E89" w:rsidRDefault="009111CF">
      <w:pPr>
        <w:pStyle w:val="SingleTxtG"/>
      </w:pPr>
      <w:r w:rsidRPr="004B1E89">
        <w:t xml:space="preserve">Service de </w:t>
      </w:r>
      <w:r w:rsidR="00D65CA1">
        <w:t>r</w:t>
      </w:r>
      <w:r w:rsidR="00D65CA1" w:rsidRPr="004B1E89">
        <w:t xml:space="preserve">echerche </w:t>
      </w:r>
      <w:r w:rsidRPr="004B1E89">
        <w:t xml:space="preserve">et </w:t>
      </w:r>
      <w:r w:rsidR="00D65CA1" w:rsidRPr="004B1E89">
        <w:t>d’</w:t>
      </w:r>
      <w:r w:rsidR="00D65CA1">
        <w:t>investigation</w:t>
      </w:r>
    </w:p>
    <w:p w:rsidR="009111CF" w:rsidRPr="004B1E89" w:rsidRDefault="009111CF" w:rsidP="004B1E89">
      <w:pPr>
        <w:pStyle w:val="SingleTxtG"/>
      </w:pPr>
      <w:r w:rsidRPr="004B1E89">
        <w:t>Commissariat de police du marché de Lomé</w:t>
      </w:r>
    </w:p>
    <w:p w:rsidR="009111CF" w:rsidRPr="004B1E89" w:rsidRDefault="009111CF">
      <w:pPr>
        <w:pStyle w:val="SingleTxtG"/>
      </w:pPr>
      <w:r w:rsidRPr="004B1E89">
        <w:t>Commissariat,</w:t>
      </w:r>
      <w:r w:rsidR="00D65CA1">
        <w:t xml:space="preserve"> </w:t>
      </w:r>
      <w:r w:rsidRPr="004B1E89">
        <w:t xml:space="preserve">Direction </w:t>
      </w:r>
      <w:r w:rsidR="00D65CA1">
        <w:t>g</w:t>
      </w:r>
      <w:r w:rsidR="00D65CA1" w:rsidRPr="004B1E89">
        <w:t xml:space="preserve">énérale </w:t>
      </w:r>
      <w:r w:rsidR="00D65CA1">
        <w:t>de la p</w:t>
      </w:r>
      <w:r w:rsidR="00D65CA1" w:rsidRPr="004B1E89">
        <w:t xml:space="preserve">olice </w:t>
      </w:r>
      <w:r w:rsidR="00D65CA1">
        <w:t>j</w:t>
      </w:r>
      <w:r w:rsidR="00D65CA1" w:rsidRPr="004B1E89">
        <w:t>udiciaire</w:t>
      </w:r>
    </w:p>
    <w:p w:rsidR="009111CF" w:rsidRPr="004B1E89" w:rsidRDefault="009111CF" w:rsidP="004B1E89">
      <w:pPr>
        <w:pStyle w:val="SingleTxtG"/>
      </w:pPr>
      <w:r w:rsidRPr="004B1E89">
        <w:t xml:space="preserve">Brigade </w:t>
      </w:r>
      <w:r w:rsidR="00D65CA1" w:rsidRPr="004B1E89">
        <w:t>antigang</w:t>
      </w:r>
      <w:r w:rsidRPr="004B1E89">
        <w:t xml:space="preserve"> </w:t>
      </w:r>
    </w:p>
    <w:p w:rsidR="009111CF" w:rsidRPr="00D62FD0" w:rsidRDefault="00C67416" w:rsidP="004B1E89">
      <w:pPr>
        <w:pStyle w:val="H23G"/>
        <w:rPr>
          <w:lang w:val="fr-FR"/>
        </w:rPr>
      </w:pPr>
      <w:r>
        <w:rPr>
          <w:lang w:val="fr-FR"/>
        </w:rPr>
        <w:tab/>
      </w:r>
      <w:r w:rsidR="009111CF" w:rsidRPr="00D62FD0">
        <w:rPr>
          <w:lang w:val="fr-FR"/>
        </w:rPr>
        <w:t>2.</w:t>
      </w:r>
      <w:r w:rsidR="009111CF" w:rsidRPr="00D62FD0">
        <w:rPr>
          <w:lang w:val="fr-FR"/>
        </w:rPr>
        <w:tab/>
        <w:t>Kara</w:t>
      </w:r>
    </w:p>
    <w:p w:rsidR="009111CF" w:rsidRPr="00C67416" w:rsidRDefault="009111CF">
      <w:pPr>
        <w:pStyle w:val="SingleTxtG"/>
      </w:pPr>
      <w:r w:rsidRPr="00C67416">
        <w:t>Direction générale de la police nationale de Kara</w:t>
      </w:r>
    </w:p>
    <w:p w:rsidR="009111CF" w:rsidRPr="00C67416" w:rsidRDefault="009111CF" w:rsidP="00C67416">
      <w:pPr>
        <w:pStyle w:val="SingleTxtG"/>
      </w:pPr>
      <w:r w:rsidRPr="00C67416">
        <w:t xml:space="preserve">Commandement de brigade de Kara </w:t>
      </w:r>
    </w:p>
    <w:p w:rsidR="009111CF" w:rsidRPr="00C67416" w:rsidRDefault="009111CF" w:rsidP="00C67416">
      <w:pPr>
        <w:pStyle w:val="SingleTxtG"/>
      </w:pPr>
      <w:r w:rsidRPr="00C67416">
        <w:t>Gendarmerie</w:t>
      </w:r>
      <w:r w:rsidR="00C540CC">
        <w:t>/</w:t>
      </w:r>
      <w:r w:rsidRPr="00C67416">
        <w:t xml:space="preserve">brigade </w:t>
      </w:r>
      <w:r w:rsidR="00D65CA1" w:rsidRPr="00C67416">
        <w:t>antigang</w:t>
      </w:r>
      <w:r w:rsidRPr="00C67416">
        <w:t xml:space="preserve"> de Kara</w:t>
      </w:r>
    </w:p>
    <w:p w:rsidR="009111CF" w:rsidRPr="00C67416" w:rsidRDefault="009111CF" w:rsidP="00C67416">
      <w:pPr>
        <w:pStyle w:val="SingleTxtG"/>
      </w:pPr>
      <w:r w:rsidRPr="00C67416">
        <w:t>Commissariat central de Kara</w:t>
      </w:r>
    </w:p>
    <w:p w:rsidR="009111CF" w:rsidRPr="00C67416" w:rsidRDefault="009111CF">
      <w:pPr>
        <w:pStyle w:val="SingleTxtG"/>
      </w:pPr>
      <w:r w:rsidRPr="00C67416">
        <w:t xml:space="preserve">Commissariat du </w:t>
      </w:r>
      <w:r w:rsidR="00C540CC" w:rsidRPr="00C67416">
        <w:t>2</w:t>
      </w:r>
      <w:r w:rsidR="00C540CC" w:rsidRPr="000F5D67">
        <w:rPr>
          <w:vertAlign w:val="superscript"/>
        </w:rPr>
        <w:t>e</w:t>
      </w:r>
      <w:r w:rsidR="00C540CC" w:rsidRPr="00C67416">
        <w:t xml:space="preserve"> </w:t>
      </w:r>
      <w:r w:rsidRPr="00C67416">
        <w:t>arrondissement de Kara</w:t>
      </w:r>
    </w:p>
    <w:p w:rsidR="009111CF" w:rsidRPr="00D62FD0" w:rsidRDefault="00C67416" w:rsidP="00C67416">
      <w:pPr>
        <w:pStyle w:val="H23G"/>
        <w:rPr>
          <w:lang w:val="fr-FR"/>
        </w:rPr>
      </w:pPr>
      <w:r>
        <w:rPr>
          <w:lang w:val="fr-FR"/>
        </w:rPr>
        <w:tab/>
      </w:r>
      <w:r w:rsidR="009111CF" w:rsidRPr="00D62FD0">
        <w:rPr>
          <w:lang w:val="fr-FR"/>
        </w:rPr>
        <w:t>3.</w:t>
      </w:r>
      <w:r w:rsidR="009111CF" w:rsidRPr="00D62FD0">
        <w:rPr>
          <w:lang w:val="fr-FR"/>
        </w:rPr>
        <w:tab/>
        <w:t>Atakpamé</w:t>
      </w:r>
    </w:p>
    <w:p w:rsidR="009111CF" w:rsidRPr="00C67416" w:rsidRDefault="009111CF" w:rsidP="00C67416">
      <w:pPr>
        <w:pStyle w:val="SingleTxtG"/>
      </w:pPr>
      <w:r w:rsidRPr="00C67416">
        <w:t xml:space="preserve">Commissariat de police de la ville </w:t>
      </w:r>
    </w:p>
    <w:p w:rsidR="009111CF" w:rsidRPr="00D62FD0" w:rsidRDefault="00C67416" w:rsidP="00C67416">
      <w:pPr>
        <w:pStyle w:val="H23G"/>
        <w:rPr>
          <w:lang w:val="fr-FR"/>
        </w:rPr>
      </w:pPr>
      <w:r>
        <w:rPr>
          <w:lang w:val="fr-FR"/>
        </w:rPr>
        <w:tab/>
      </w:r>
      <w:r w:rsidR="009111CF" w:rsidRPr="00D62FD0">
        <w:rPr>
          <w:lang w:val="fr-FR"/>
        </w:rPr>
        <w:t>4.</w:t>
      </w:r>
      <w:r w:rsidR="009111CF" w:rsidRPr="00D62FD0">
        <w:rPr>
          <w:lang w:val="fr-FR"/>
        </w:rPr>
        <w:tab/>
      </w:r>
      <w:proofErr w:type="spellStart"/>
      <w:r w:rsidR="009111CF" w:rsidRPr="00D62FD0">
        <w:rPr>
          <w:lang w:val="fr-FR"/>
        </w:rPr>
        <w:t>Notsé</w:t>
      </w:r>
      <w:proofErr w:type="spellEnd"/>
    </w:p>
    <w:p w:rsidR="009111CF" w:rsidRPr="00C67416" w:rsidRDefault="009111CF" w:rsidP="00C67416">
      <w:pPr>
        <w:pStyle w:val="SingleTxtG"/>
      </w:pPr>
      <w:r w:rsidRPr="00C67416">
        <w:t xml:space="preserve">Commissariat de </w:t>
      </w:r>
      <w:proofErr w:type="spellStart"/>
      <w:r w:rsidRPr="00C67416">
        <w:t>Notsé</w:t>
      </w:r>
      <w:proofErr w:type="spellEnd"/>
    </w:p>
    <w:p w:rsidR="009111CF" w:rsidRPr="00C67416" w:rsidRDefault="009111CF" w:rsidP="00C67416">
      <w:pPr>
        <w:pStyle w:val="SingleTxtG"/>
      </w:pPr>
      <w:r w:rsidRPr="00C67416">
        <w:t xml:space="preserve">Gendarmerie de </w:t>
      </w:r>
      <w:proofErr w:type="spellStart"/>
      <w:r w:rsidRPr="00C67416">
        <w:t>Notsé</w:t>
      </w:r>
      <w:proofErr w:type="spellEnd"/>
    </w:p>
    <w:p w:rsidR="009111CF" w:rsidRPr="00D62FD0" w:rsidRDefault="00C67416" w:rsidP="00C67416">
      <w:pPr>
        <w:pStyle w:val="H1G"/>
        <w:rPr>
          <w:lang w:val="fr-FR"/>
        </w:rPr>
      </w:pPr>
      <w:r>
        <w:tab/>
      </w:r>
      <w:r w:rsidR="009111CF">
        <w:t>B</w:t>
      </w:r>
      <w:r w:rsidR="009111CF" w:rsidRPr="00D62FD0">
        <w:t>.</w:t>
      </w:r>
      <w:r w:rsidR="009111CF" w:rsidRPr="00D62FD0">
        <w:tab/>
      </w:r>
      <w:r w:rsidR="009111CF" w:rsidRPr="00D62FD0">
        <w:rPr>
          <w:lang w:val="fr-FR"/>
        </w:rPr>
        <w:t>Prisons</w:t>
      </w:r>
    </w:p>
    <w:p w:rsidR="009111CF" w:rsidRPr="00C67416" w:rsidRDefault="00D50B83" w:rsidP="00C67416">
      <w:pPr>
        <w:pStyle w:val="SingleTxtG"/>
      </w:pPr>
      <w:r>
        <w:t>P</w:t>
      </w:r>
      <w:r w:rsidR="009111CF" w:rsidRPr="00C67416">
        <w:t>rison civile de Lomé</w:t>
      </w:r>
    </w:p>
    <w:p w:rsidR="009111CF" w:rsidRPr="00C67416" w:rsidRDefault="00D50B83" w:rsidP="00C67416">
      <w:pPr>
        <w:pStyle w:val="SingleTxtG"/>
      </w:pPr>
      <w:r>
        <w:t>P</w:t>
      </w:r>
      <w:r w:rsidR="009111CF" w:rsidRPr="00C67416">
        <w:t>rison civile d’Atakpamé</w:t>
      </w:r>
    </w:p>
    <w:p w:rsidR="009111CF" w:rsidRPr="00C67416" w:rsidRDefault="00D50B83" w:rsidP="00C67416">
      <w:pPr>
        <w:pStyle w:val="SingleTxtG"/>
      </w:pPr>
      <w:r>
        <w:t>P</w:t>
      </w:r>
      <w:r w:rsidR="009111CF" w:rsidRPr="00C67416">
        <w:t>rison civile de Mango</w:t>
      </w:r>
    </w:p>
    <w:p w:rsidR="009111CF" w:rsidRPr="00C67416" w:rsidRDefault="00D50B83" w:rsidP="00C67416">
      <w:pPr>
        <w:pStyle w:val="SingleTxtG"/>
      </w:pPr>
      <w:r>
        <w:t>P</w:t>
      </w:r>
      <w:r w:rsidR="009111CF" w:rsidRPr="00C67416">
        <w:t>rison civile de Kara</w:t>
      </w:r>
    </w:p>
    <w:p w:rsidR="009111CF" w:rsidRPr="00C67416" w:rsidRDefault="00D50B83" w:rsidP="00C67416">
      <w:pPr>
        <w:pStyle w:val="SingleTxtG"/>
      </w:pPr>
      <w:r>
        <w:t>P</w:t>
      </w:r>
      <w:r w:rsidR="009111CF" w:rsidRPr="00C67416">
        <w:t>rison civile de Tsévié</w:t>
      </w:r>
    </w:p>
    <w:p w:rsidR="009111CF" w:rsidRPr="00C67416" w:rsidRDefault="00D50B83" w:rsidP="00C67416">
      <w:pPr>
        <w:pStyle w:val="SingleTxtG"/>
      </w:pPr>
      <w:r>
        <w:t>P</w:t>
      </w:r>
      <w:r w:rsidR="009111CF" w:rsidRPr="00C67416">
        <w:t xml:space="preserve">rison civile de </w:t>
      </w:r>
      <w:proofErr w:type="spellStart"/>
      <w:r w:rsidR="009111CF" w:rsidRPr="00C67416">
        <w:t>Notsé</w:t>
      </w:r>
      <w:proofErr w:type="spellEnd"/>
    </w:p>
    <w:p w:rsidR="009111CF" w:rsidRPr="00D62FD0" w:rsidRDefault="00C67416" w:rsidP="009E49D8">
      <w:pPr>
        <w:pStyle w:val="H1G"/>
        <w:rPr>
          <w:lang w:val="fr-FR"/>
        </w:rPr>
      </w:pPr>
      <w:r>
        <w:rPr>
          <w:lang w:val="fr-FR"/>
        </w:rPr>
        <w:tab/>
      </w:r>
      <w:r w:rsidR="009111CF">
        <w:rPr>
          <w:lang w:val="fr-FR"/>
        </w:rPr>
        <w:t>C.</w:t>
      </w:r>
      <w:r w:rsidR="009111CF" w:rsidRPr="00D62FD0">
        <w:rPr>
          <w:lang w:val="fr-FR"/>
        </w:rPr>
        <w:tab/>
      </w:r>
      <w:r w:rsidR="009E49D8">
        <w:rPr>
          <w:lang w:val="fr-FR"/>
        </w:rPr>
        <w:t>C</w:t>
      </w:r>
      <w:r w:rsidR="009111CF" w:rsidRPr="00D62FD0">
        <w:rPr>
          <w:lang w:val="fr-FR"/>
        </w:rPr>
        <w:t>entres psychiatriques et hôpitaux</w:t>
      </w:r>
    </w:p>
    <w:p w:rsidR="009111CF" w:rsidRPr="00C67416" w:rsidRDefault="009111CF">
      <w:pPr>
        <w:pStyle w:val="SingleTxtG"/>
      </w:pPr>
      <w:r w:rsidRPr="00C67416">
        <w:t xml:space="preserve">Centre </w:t>
      </w:r>
      <w:r w:rsidR="00034320">
        <w:t>h</w:t>
      </w:r>
      <w:r w:rsidR="00034320" w:rsidRPr="00C67416">
        <w:t xml:space="preserve">ospitalier </w:t>
      </w:r>
      <w:r w:rsidR="00034320">
        <w:t>u</w:t>
      </w:r>
      <w:r w:rsidR="00034320" w:rsidRPr="00C67416">
        <w:t xml:space="preserve">niversitaire </w:t>
      </w:r>
      <w:proofErr w:type="spellStart"/>
      <w:r w:rsidRPr="00C67416">
        <w:t>Sylvanus</w:t>
      </w:r>
      <w:proofErr w:type="spellEnd"/>
      <w:r w:rsidRPr="00C67416">
        <w:t xml:space="preserve"> </w:t>
      </w:r>
      <w:proofErr w:type="spellStart"/>
      <w:r w:rsidRPr="00C67416">
        <w:t>Olympio</w:t>
      </w:r>
      <w:proofErr w:type="spellEnd"/>
      <w:r w:rsidR="005934A9">
        <w:t>, s</w:t>
      </w:r>
      <w:r w:rsidRPr="00C67416">
        <w:t xml:space="preserve">ervice </w:t>
      </w:r>
      <w:r w:rsidR="005934A9">
        <w:t xml:space="preserve">du </w:t>
      </w:r>
      <w:proofErr w:type="spellStart"/>
      <w:r w:rsidRPr="00C67416">
        <w:t>Cabano</w:t>
      </w:r>
      <w:proofErr w:type="spellEnd"/>
    </w:p>
    <w:p w:rsidR="009111CF" w:rsidRPr="00C67416" w:rsidRDefault="009111CF" w:rsidP="00C67416">
      <w:pPr>
        <w:pStyle w:val="SingleTxtG"/>
      </w:pPr>
      <w:r w:rsidRPr="00C67416">
        <w:t xml:space="preserve">Hôpital psychiatrique de </w:t>
      </w:r>
      <w:proofErr w:type="spellStart"/>
      <w:r w:rsidRPr="00C67416">
        <w:t>Zébé</w:t>
      </w:r>
      <w:proofErr w:type="spellEnd"/>
      <w:r w:rsidR="004C43D7">
        <w:t xml:space="preserve">, à </w:t>
      </w:r>
      <w:r w:rsidRPr="00C67416">
        <w:t>Aného</w:t>
      </w:r>
    </w:p>
    <w:p w:rsidR="009111CF" w:rsidRPr="00D62FD0" w:rsidRDefault="00C67416" w:rsidP="00C67416">
      <w:pPr>
        <w:pStyle w:val="H1G"/>
        <w:rPr>
          <w:lang w:val="fr-FR"/>
        </w:rPr>
      </w:pPr>
      <w:r>
        <w:rPr>
          <w:lang w:val="fr-FR"/>
        </w:rPr>
        <w:lastRenderedPageBreak/>
        <w:tab/>
      </w:r>
      <w:r w:rsidR="009111CF">
        <w:rPr>
          <w:lang w:val="fr-FR"/>
        </w:rPr>
        <w:t>D</w:t>
      </w:r>
      <w:r w:rsidR="009111CF" w:rsidRPr="00D62FD0">
        <w:rPr>
          <w:lang w:val="fr-FR"/>
        </w:rPr>
        <w:t>.</w:t>
      </w:r>
      <w:r w:rsidR="009111CF" w:rsidRPr="00D62FD0">
        <w:rPr>
          <w:lang w:val="fr-FR"/>
        </w:rPr>
        <w:tab/>
        <w:t>Camps militaires</w:t>
      </w:r>
    </w:p>
    <w:p w:rsidR="009111CF" w:rsidRPr="00C67416" w:rsidRDefault="009111CF">
      <w:pPr>
        <w:pStyle w:val="SingleTxtG"/>
      </w:pPr>
      <w:r w:rsidRPr="00C67416">
        <w:t>Camp militaire de parachutiste</w:t>
      </w:r>
      <w:r w:rsidR="009D4052">
        <w:t>s</w:t>
      </w:r>
      <w:r w:rsidRPr="00C67416">
        <w:t xml:space="preserve"> </w:t>
      </w:r>
      <w:r w:rsidR="007B0192">
        <w:t>g</w:t>
      </w:r>
      <w:r w:rsidR="007B0192" w:rsidRPr="00C67416">
        <w:t xml:space="preserve">énéral </w:t>
      </w:r>
      <w:proofErr w:type="spellStart"/>
      <w:r w:rsidRPr="00C67416">
        <w:t>Améyi</w:t>
      </w:r>
      <w:proofErr w:type="spellEnd"/>
    </w:p>
    <w:p w:rsidR="009111CF" w:rsidRPr="00C67416" w:rsidRDefault="009111CF" w:rsidP="00C67416">
      <w:pPr>
        <w:pStyle w:val="SingleTxtG"/>
      </w:pPr>
      <w:r w:rsidRPr="00C67416">
        <w:t xml:space="preserve">Camp militaire </w:t>
      </w:r>
      <w:proofErr w:type="spellStart"/>
      <w:r w:rsidRPr="00C67416">
        <w:t>Gnassimbé</w:t>
      </w:r>
      <w:proofErr w:type="spellEnd"/>
      <w:r w:rsidRPr="00C67416">
        <w:t xml:space="preserve"> </w:t>
      </w:r>
      <w:proofErr w:type="spellStart"/>
      <w:r w:rsidRPr="00C67416">
        <w:t>Eyadéma</w:t>
      </w:r>
      <w:proofErr w:type="spellEnd"/>
    </w:p>
    <w:p w:rsidR="009111CF" w:rsidRPr="00D62FD0" w:rsidRDefault="00C67416" w:rsidP="00C67416">
      <w:pPr>
        <w:pStyle w:val="H1G"/>
        <w:rPr>
          <w:lang w:val="fr-FR"/>
        </w:rPr>
      </w:pPr>
      <w:r>
        <w:rPr>
          <w:lang w:val="fr-FR"/>
        </w:rPr>
        <w:tab/>
      </w:r>
      <w:r w:rsidR="009111CF">
        <w:rPr>
          <w:lang w:val="fr-FR"/>
        </w:rPr>
        <w:t>E</w:t>
      </w:r>
      <w:r w:rsidR="009111CF" w:rsidRPr="00D62FD0">
        <w:rPr>
          <w:lang w:val="fr-FR"/>
        </w:rPr>
        <w:t>.</w:t>
      </w:r>
      <w:r w:rsidR="009111CF" w:rsidRPr="00D62FD0">
        <w:rPr>
          <w:lang w:val="fr-FR"/>
        </w:rPr>
        <w:tab/>
        <w:t>Autres</w:t>
      </w:r>
    </w:p>
    <w:p w:rsidR="009111CF" w:rsidRPr="00C67416" w:rsidRDefault="009111CF" w:rsidP="00C4716E">
      <w:pPr>
        <w:pStyle w:val="SingleTxtG"/>
      </w:pPr>
      <w:r w:rsidRPr="00C67416">
        <w:t xml:space="preserve">Agence </w:t>
      </w:r>
      <w:r w:rsidR="002D6810">
        <w:t>n</w:t>
      </w:r>
      <w:r w:rsidR="002D6810" w:rsidRPr="00C67416">
        <w:t xml:space="preserve">ationale </w:t>
      </w:r>
      <w:r w:rsidRPr="00C67416">
        <w:t xml:space="preserve">de </w:t>
      </w:r>
      <w:r w:rsidR="002D6810">
        <w:t>r</w:t>
      </w:r>
      <w:r w:rsidR="002D6810" w:rsidRPr="00C67416">
        <w:t>enseignement</w:t>
      </w:r>
    </w:p>
    <w:p w:rsidR="009111CF" w:rsidRPr="00C67416" w:rsidRDefault="009111CF">
      <w:pPr>
        <w:pStyle w:val="SingleTxtG"/>
      </w:pPr>
      <w:r w:rsidRPr="00C67416">
        <w:t xml:space="preserve">Brigade </w:t>
      </w:r>
      <w:r w:rsidR="00037C74">
        <w:t>des</w:t>
      </w:r>
      <w:r w:rsidR="00037C74" w:rsidRPr="00C67416">
        <w:t xml:space="preserve"> </w:t>
      </w:r>
      <w:r w:rsidR="00037C74">
        <w:t>m</w:t>
      </w:r>
      <w:r w:rsidR="00037C74" w:rsidRPr="00C67416">
        <w:t xml:space="preserve">ineurs </w:t>
      </w:r>
      <w:r w:rsidRPr="00C67416">
        <w:t>de Lomé</w:t>
      </w:r>
    </w:p>
    <w:p w:rsidR="009111CF" w:rsidRPr="00D62FD0" w:rsidRDefault="009111CF" w:rsidP="001E4146">
      <w:pPr>
        <w:pStyle w:val="HChG"/>
        <w:rPr>
          <w:bCs/>
        </w:rPr>
      </w:pPr>
      <w:r>
        <w:tab/>
        <w:t>II.</w:t>
      </w:r>
      <w:r>
        <w:tab/>
      </w:r>
      <w:r w:rsidRPr="00D62FD0">
        <w:t xml:space="preserve">Liste des personnes rencontrées par le </w:t>
      </w:r>
      <w:r w:rsidR="00C42BDF">
        <w:t>Sous-Comité</w:t>
      </w:r>
      <w:r w:rsidR="00C42BDF" w:rsidRPr="007C3705">
        <w:t xml:space="preserve"> </w:t>
      </w:r>
    </w:p>
    <w:p w:rsidR="009111CF" w:rsidRPr="00B037B5" w:rsidRDefault="00C67416" w:rsidP="00C67416">
      <w:pPr>
        <w:pStyle w:val="H1G"/>
      </w:pPr>
      <w:r>
        <w:tab/>
      </w:r>
      <w:r w:rsidR="009111CF" w:rsidRPr="00B037B5">
        <w:t>A.</w:t>
      </w:r>
      <w:r w:rsidR="009111CF" w:rsidRPr="00B037B5">
        <w:tab/>
        <w:t xml:space="preserve">Autorités </w:t>
      </w:r>
    </w:p>
    <w:p w:rsidR="009111CF" w:rsidRPr="00C67416" w:rsidRDefault="009111CF" w:rsidP="00C67416">
      <w:pPr>
        <w:pStyle w:val="SingleTxtG"/>
      </w:pPr>
      <w:r w:rsidRPr="00C67416">
        <w:t xml:space="preserve">Premier Ministre </w:t>
      </w:r>
    </w:p>
    <w:p w:rsidR="009111CF" w:rsidRPr="00C67416" w:rsidRDefault="009111CF" w:rsidP="001E4146">
      <w:pPr>
        <w:pStyle w:val="SingleTxtG"/>
      </w:pPr>
      <w:r w:rsidRPr="00C67416">
        <w:t xml:space="preserve">Représentants du Ministère des </w:t>
      </w:r>
      <w:r w:rsidR="00994B9C">
        <w:t>a</w:t>
      </w:r>
      <w:r w:rsidR="00994B9C" w:rsidRPr="00C67416">
        <w:t xml:space="preserve">ffaires </w:t>
      </w:r>
      <w:r w:rsidRPr="00C67416">
        <w:t xml:space="preserve">étrangères et de la </w:t>
      </w:r>
      <w:r w:rsidR="00994B9C">
        <w:t>c</w:t>
      </w:r>
      <w:r w:rsidR="00994B9C" w:rsidRPr="00C67416">
        <w:t>oopération</w:t>
      </w:r>
    </w:p>
    <w:p w:rsidR="009111CF" w:rsidRPr="00C67416" w:rsidRDefault="009111CF" w:rsidP="001E4146">
      <w:pPr>
        <w:pStyle w:val="SingleTxtG"/>
      </w:pPr>
      <w:r w:rsidRPr="00C67416">
        <w:t xml:space="preserve">Représentants du Ministère de la </w:t>
      </w:r>
      <w:r w:rsidR="00994B9C">
        <w:t>d</w:t>
      </w:r>
      <w:r w:rsidR="00994B9C" w:rsidRPr="00C67416">
        <w:t xml:space="preserve">éfense </w:t>
      </w:r>
      <w:r w:rsidRPr="00C67416">
        <w:t xml:space="preserve">et des </w:t>
      </w:r>
      <w:r w:rsidR="00994B9C">
        <w:t>a</w:t>
      </w:r>
      <w:r w:rsidR="00994B9C" w:rsidRPr="00C67416">
        <w:t xml:space="preserve">nciens </w:t>
      </w:r>
      <w:r w:rsidR="00994B9C">
        <w:t>c</w:t>
      </w:r>
      <w:r w:rsidR="00994B9C" w:rsidRPr="00C67416">
        <w:t>ombattants</w:t>
      </w:r>
    </w:p>
    <w:p w:rsidR="009111CF" w:rsidRPr="00C67416" w:rsidRDefault="009111CF">
      <w:pPr>
        <w:pStyle w:val="SingleTxtG"/>
      </w:pPr>
      <w:r w:rsidRPr="00C67416">
        <w:t xml:space="preserve">Représentants du Ministère de la </w:t>
      </w:r>
      <w:r w:rsidR="00994B9C">
        <w:t>j</w:t>
      </w:r>
      <w:r w:rsidR="00994B9C" w:rsidRPr="00C67416">
        <w:t xml:space="preserve">ustice </w:t>
      </w:r>
      <w:r w:rsidRPr="00C67416">
        <w:t xml:space="preserve">et des </w:t>
      </w:r>
      <w:r w:rsidR="00994B9C">
        <w:t>r</w:t>
      </w:r>
      <w:r w:rsidR="00994B9C" w:rsidRPr="00C67416">
        <w:t xml:space="preserve">elations </w:t>
      </w:r>
      <w:r w:rsidRPr="00C67416">
        <w:t xml:space="preserve">avec les </w:t>
      </w:r>
      <w:r w:rsidR="00994B9C">
        <w:t>i</w:t>
      </w:r>
      <w:r w:rsidR="00994B9C" w:rsidRPr="00C67416">
        <w:t xml:space="preserve">nstitutions </w:t>
      </w:r>
      <w:r w:rsidRPr="00C67416">
        <w:t>de la République (Ministre et Secrétaire d’</w:t>
      </w:r>
      <w:r w:rsidR="00B36B0D">
        <w:t>État</w:t>
      </w:r>
      <w:r w:rsidRPr="00C67416">
        <w:t xml:space="preserve">), Inspection </w:t>
      </w:r>
      <w:r w:rsidR="003D4E5E">
        <w:t>g</w:t>
      </w:r>
      <w:r w:rsidR="003D4E5E" w:rsidRPr="00C67416">
        <w:t xml:space="preserve">énérale </w:t>
      </w:r>
      <w:r w:rsidRPr="00C67416">
        <w:t xml:space="preserve">des </w:t>
      </w:r>
      <w:r w:rsidR="003D4E5E">
        <w:t>s</w:t>
      </w:r>
      <w:r w:rsidR="003D4E5E" w:rsidRPr="00C67416">
        <w:t xml:space="preserve">ervices </w:t>
      </w:r>
      <w:r w:rsidR="003D4E5E">
        <w:t>j</w:t>
      </w:r>
      <w:r w:rsidR="003D4E5E" w:rsidRPr="00C67416">
        <w:t xml:space="preserve">uridictionnels </w:t>
      </w:r>
      <w:r w:rsidRPr="00C67416">
        <w:t xml:space="preserve">et </w:t>
      </w:r>
      <w:r w:rsidR="003D4E5E">
        <w:t>p</w:t>
      </w:r>
      <w:r w:rsidR="003D4E5E" w:rsidRPr="00C67416">
        <w:t xml:space="preserve">énitentiaires </w:t>
      </w:r>
    </w:p>
    <w:p w:rsidR="009111CF" w:rsidRPr="00C67416" w:rsidRDefault="009111CF">
      <w:pPr>
        <w:pStyle w:val="SingleTxtG"/>
      </w:pPr>
      <w:r w:rsidRPr="00C67416">
        <w:t xml:space="preserve">Représentants de la Direction de l’administration pénitentiaire et de la </w:t>
      </w:r>
      <w:r w:rsidR="003D4E5E">
        <w:t>r</w:t>
      </w:r>
      <w:r w:rsidR="003D4E5E" w:rsidRPr="00C67416">
        <w:t>éinsertion</w:t>
      </w:r>
    </w:p>
    <w:p w:rsidR="009111CF" w:rsidRPr="00C67416" w:rsidRDefault="009111CF">
      <w:pPr>
        <w:pStyle w:val="SingleTxtG"/>
      </w:pPr>
      <w:r w:rsidRPr="00C67416">
        <w:t xml:space="preserve">Représentants du Ministère de la </w:t>
      </w:r>
      <w:r w:rsidR="00994B9C">
        <w:t>s</w:t>
      </w:r>
      <w:r w:rsidR="00994B9C" w:rsidRPr="00C67416">
        <w:t xml:space="preserve">écurité </w:t>
      </w:r>
      <w:r w:rsidRPr="00C67416">
        <w:t>et de la protection civile</w:t>
      </w:r>
      <w:r w:rsidR="009F4A78">
        <w:t>,</w:t>
      </w:r>
      <w:r w:rsidRPr="00C67416">
        <w:t xml:space="preserve"> Directions </w:t>
      </w:r>
      <w:r w:rsidR="009F4A78">
        <w:t>g</w:t>
      </w:r>
      <w:r w:rsidR="009F4A78" w:rsidRPr="00C67416">
        <w:t xml:space="preserve">énérales </w:t>
      </w:r>
      <w:r w:rsidRPr="00C67416">
        <w:t xml:space="preserve">de la </w:t>
      </w:r>
      <w:r w:rsidR="009F4A78">
        <w:t>g</w:t>
      </w:r>
      <w:r w:rsidR="009F4A78" w:rsidRPr="00C67416">
        <w:t xml:space="preserve">endarmerie </w:t>
      </w:r>
      <w:r w:rsidRPr="00C67416">
        <w:t xml:space="preserve">et de la </w:t>
      </w:r>
      <w:r w:rsidR="009F4A78">
        <w:t>p</w:t>
      </w:r>
      <w:r w:rsidR="009F4A78" w:rsidRPr="00C67416">
        <w:t>olice</w:t>
      </w:r>
      <w:r w:rsidR="009F4A78">
        <w:t>,</w:t>
      </w:r>
      <w:r w:rsidRPr="00C67416">
        <w:t xml:space="preserve"> Inspection des services de sécurité </w:t>
      </w:r>
    </w:p>
    <w:p w:rsidR="009111CF" w:rsidRPr="00C67416" w:rsidRDefault="009111CF">
      <w:pPr>
        <w:pStyle w:val="SingleTxtG"/>
      </w:pPr>
      <w:r w:rsidRPr="00C67416">
        <w:t xml:space="preserve">Représentants du Ministère des droits de </w:t>
      </w:r>
      <w:r w:rsidR="00994B9C" w:rsidRPr="00C67416">
        <w:t>l’</w:t>
      </w:r>
      <w:r w:rsidR="00994B9C">
        <w:t>h</w:t>
      </w:r>
      <w:r w:rsidR="00994B9C" w:rsidRPr="00C67416">
        <w:t>omme</w:t>
      </w:r>
      <w:r w:rsidR="00972955">
        <w:t xml:space="preserve"> et</w:t>
      </w:r>
      <w:r w:rsidR="00972955" w:rsidRPr="00C67416">
        <w:t xml:space="preserve"> </w:t>
      </w:r>
      <w:r w:rsidRPr="00C67416">
        <w:t xml:space="preserve">de la consolidation de la </w:t>
      </w:r>
      <w:r w:rsidR="00994B9C">
        <w:t>d</w:t>
      </w:r>
      <w:r w:rsidR="00994B9C" w:rsidRPr="00C67416">
        <w:t xml:space="preserve">émocratie </w:t>
      </w:r>
    </w:p>
    <w:p w:rsidR="009111CF" w:rsidRPr="00C67416" w:rsidRDefault="009111CF" w:rsidP="00C67416">
      <w:pPr>
        <w:pStyle w:val="SingleTxtG"/>
      </w:pPr>
      <w:r w:rsidRPr="00C67416">
        <w:t>Représentants du Ministère de l’action sociale</w:t>
      </w:r>
      <w:r w:rsidR="009F4A78">
        <w:t>,</w:t>
      </w:r>
      <w:r w:rsidRPr="00C67416">
        <w:t xml:space="preserve"> Direction de la protection de l’enfant</w:t>
      </w:r>
      <w:r w:rsidR="009F4A78">
        <w:t>,</w:t>
      </w:r>
      <w:r w:rsidRPr="00C67416">
        <w:t xml:space="preserve"> service social</w:t>
      </w:r>
    </w:p>
    <w:p w:rsidR="009111CF" w:rsidRPr="00D62FD0" w:rsidRDefault="00C67416">
      <w:pPr>
        <w:pStyle w:val="H1G"/>
      </w:pPr>
      <w:r>
        <w:tab/>
      </w:r>
      <w:r w:rsidR="009111CF">
        <w:t>B.</w:t>
      </w:r>
      <w:r w:rsidR="009111CF">
        <w:tab/>
      </w:r>
      <w:r w:rsidR="009111CF" w:rsidRPr="00D62FD0">
        <w:t xml:space="preserve">Commission </w:t>
      </w:r>
      <w:r w:rsidR="009F4A78">
        <w:t>n</w:t>
      </w:r>
      <w:r w:rsidR="009F4A78" w:rsidRPr="00D62FD0">
        <w:t xml:space="preserve">ationale </w:t>
      </w:r>
      <w:r w:rsidR="009111CF" w:rsidRPr="00D62FD0">
        <w:t xml:space="preserve">des </w:t>
      </w:r>
      <w:r w:rsidR="009F4A78">
        <w:t>d</w:t>
      </w:r>
      <w:r w:rsidR="009F4A78" w:rsidRPr="00D62FD0">
        <w:t xml:space="preserve">roits </w:t>
      </w:r>
      <w:r w:rsidR="009111CF" w:rsidRPr="00D62FD0">
        <w:t xml:space="preserve">de </w:t>
      </w:r>
      <w:r w:rsidR="009F4A78" w:rsidRPr="00D62FD0">
        <w:t>l’</w:t>
      </w:r>
      <w:r w:rsidR="009F4A78">
        <w:t>h</w:t>
      </w:r>
      <w:r w:rsidR="009F4A78" w:rsidRPr="00D62FD0">
        <w:t>omme</w:t>
      </w:r>
    </w:p>
    <w:p w:rsidR="009111CF" w:rsidRPr="00D62FD0" w:rsidRDefault="00C67416" w:rsidP="00C67416">
      <w:pPr>
        <w:pStyle w:val="H1G"/>
      </w:pPr>
      <w:r>
        <w:tab/>
      </w:r>
      <w:r w:rsidR="009111CF" w:rsidRPr="00B037B5">
        <w:t>C.</w:t>
      </w:r>
      <w:r w:rsidR="009111CF" w:rsidRPr="00B037B5">
        <w:tab/>
        <w:t>Organismes des Nations Unies</w:t>
      </w:r>
    </w:p>
    <w:p w:rsidR="009111CF" w:rsidRPr="00C67416" w:rsidRDefault="009A2E50">
      <w:pPr>
        <w:pStyle w:val="SingleTxtG"/>
      </w:pPr>
      <w:r>
        <w:t xml:space="preserve">Bureau du </w:t>
      </w:r>
      <w:r w:rsidR="009111CF" w:rsidRPr="00C67416">
        <w:t>H</w:t>
      </w:r>
      <w:r w:rsidR="00972955">
        <w:t>aut-Commissariat aux droits de l</w:t>
      </w:r>
      <w:r w:rsidR="00972955" w:rsidRPr="00926DC8">
        <w:t>’</w:t>
      </w:r>
      <w:r w:rsidR="00972955">
        <w:t>homme</w:t>
      </w:r>
      <w:r w:rsidR="009111CF" w:rsidRPr="00C67416">
        <w:t xml:space="preserve"> </w:t>
      </w:r>
      <w:r>
        <w:t>au</w:t>
      </w:r>
      <w:r w:rsidR="009111CF" w:rsidRPr="00C67416">
        <w:t xml:space="preserve"> Togo</w:t>
      </w:r>
    </w:p>
    <w:p w:rsidR="009111CF" w:rsidRPr="00C67416" w:rsidRDefault="009111CF">
      <w:pPr>
        <w:pStyle w:val="SingleTxtG"/>
      </w:pPr>
      <w:r w:rsidRPr="00C67416">
        <w:t xml:space="preserve">Coordinateur </w:t>
      </w:r>
      <w:r w:rsidR="00972955">
        <w:t>r</w:t>
      </w:r>
      <w:r w:rsidR="00972955" w:rsidRPr="00C67416">
        <w:t xml:space="preserve">ésident </w:t>
      </w:r>
      <w:r w:rsidR="009A2E50">
        <w:t>du</w:t>
      </w:r>
      <w:r w:rsidR="00972955" w:rsidRPr="00C67416">
        <w:t xml:space="preserve"> </w:t>
      </w:r>
      <w:r w:rsidRPr="00C67416">
        <w:t>P</w:t>
      </w:r>
      <w:r w:rsidR="00972955">
        <w:t>rogramme des Nations Unies pour le développement</w:t>
      </w:r>
    </w:p>
    <w:p w:rsidR="009111CF" w:rsidRPr="00C67416" w:rsidRDefault="00972955" w:rsidP="00C67416">
      <w:pPr>
        <w:pStyle w:val="SingleTxtG"/>
      </w:pPr>
      <w:r>
        <w:t>Fonds des Nations Unies pour l</w:t>
      </w:r>
      <w:r w:rsidRPr="00926DC8">
        <w:t>’</w:t>
      </w:r>
      <w:r>
        <w:t>enfance (</w:t>
      </w:r>
      <w:r w:rsidR="009111CF" w:rsidRPr="00C67416">
        <w:t>UNICEF</w:t>
      </w:r>
      <w:r>
        <w:t>)</w:t>
      </w:r>
    </w:p>
    <w:p w:rsidR="009111CF" w:rsidRPr="00B037B5" w:rsidRDefault="00C67416" w:rsidP="000F5D67">
      <w:pPr>
        <w:pStyle w:val="H1G"/>
      </w:pPr>
      <w:r>
        <w:tab/>
      </w:r>
      <w:r w:rsidR="009111CF" w:rsidRPr="00B037B5">
        <w:t>D.</w:t>
      </w:r>
      <w:r w:rsidR="009111CF" w:rsidRPr="00B037B5">
        <w:tab/>
        <w:t>Société civile</w:t>
      </w:r>
    </w:p>
    <w:p w:rsidR="009111CF" w:rsidRPr="00C67416" w:rsidRDefault="009111CF" w:rsidP="0041370F">
      <w:pPr>
        <w:pStyle w:val="SingleTxtG"/>
      </w:pPr>
      <w:r w:rsidRPr="00C67416">
        <w:t xml:space="preserve">Association </w:t>
      </w:r>
      <w:r w:rsidR="00033FAB">
        <w:t>c</w:t>
      </w:r>
      <w:r w:rsidR="00033FAB" w:rsidRPr="00C67416">
        <w:t xml:space="preserve">hrétienne </w:t>
      </w:r>
      <w:r w:rsidRPr="00C67416">
        <w:t xml:space="preserve">pour </w:t>
      </w:r>
      <w:r w:rsidR="00033FAB" w:rsidRPr="00C67416">
        <w:t>l’</w:t>
      </w:r>
      <w:r w:rsidR="00033FAB">
        <w:t>a</w:t>
      </w:r>
      <w:r w:rsidR="00033FAB" w:rsidRPr="00C67416">
        <w:t xml:space="preserve">bolition </w:t>
      </w:r>
      <w:r w:rsidRPr="00C67416">
        <w:t xml:space="preserve">de la </w:t>
      </w:r>
      <w:r w:rsidR="00033FAB">
        <w:t>t</w:t>
      </w:r>
      <w:r w:rsidR="00033FAB" w:rsidRPr="00C67416">
        <w:t>orture</w:t>
      </w:r>
    </w:p>
    <w:p w:rsidR="009111CF" w:rsidRPr="00C67416" w:rsidRDefault="009111CF">
      <w:pPr>
        <w:pStyle w:val="SingleTxtG"/>
      </w:pPr>
      <w:r w:rsidRPr="00C67416">
        <w:t>Association des femmes solidaires</w:t>
      </w:r>
    </w:p>
    <w:p w:rsidR="009111CF" w:rsidRPr="00C67416" w:rsidRDefault="009111CF" w:rsidP="00C67416">
      <w:pPr>
        <w:pStyle w:val="SingleTxtG"/>
      </w:pPr>
      <w:r w:rsidRPr="00C67416">
        <w:t>Amnesty International Togo</w:t>
      </w:r>
    </w:p>
    <w:p w:rsidR="009111CF" w:rsidRPr="00C67416" w:rsidRDefault="009111CF" w:rsidP="00C67416">
      <w:pPr>
        <w:pStyle w:val="SingleTxtG"/>
      </w:pPr>
      <w:r w:rsidRPr="00C67416">
        <w:t>Avocats sans frontière</w:t>
      </w:r>
    </w:p>
    <w:p w:rsidR="009111CF" w:rsidRPr="00C67416" w:rsidRDefault="009111CF">
      <w:pPr>
        <w:pStyle w:val="SingleTxtG"/>
      </w:pPr>
      <w:r w:rsidRPr="00C67416">
        <w:t>Association des victimes de la torture au Togo</w:t>
      </w:r>
    </w:p>
    <w:p w:rsidR="009111CF" w:rsidRPr="00C67416" w:rsidRDefault="009111CF">
      <w:pPr>
        <w:pStyle w:val="SingleTxtG"/>
      </w:pPr>
      <w:r w:rsidRPr="00C67416">
        <w:t xml:space="preserve">Association </w:t>
      </w:r>
      <w:r w:rsidR="0010706C">
        <w:t>t</w:t>
      </w:r>
      <w:r w:rsidR="0010706C" w:rsidRPr="00C67416">
        <w:t xml:space="preserve">ogolaise </w:t>
      </w:r>
      <w:r w:rsidRPr="00C67416">
        <w:t xml:space="preserve">des droits de </w:t>
      </w:r>
      <w:r w:rsidR="0010706C" w:rsidRPr="00C67416">
        <w:t>l’</w:t>
      </w:r>
      <w:r w:rsidR="0010706C">
        <w:t>h</w:t>
      </w:r>
      <w:r w:rsidR="0010706C" w:rsidRPr="00C67416">
        <w:t>omme</w:t>
      </w:r>
    </w:p>
    <w:p w:rsidR="009111CF" w:rsidRPr="00C67416" w:rsidRDefault="009111CF">
      <w:pPr>
        <w:pStyle w:val="SingleTxtG"/>
      </w:pPr>
      <w:r w:rsidRPr="00C67416">
        <w:t xml:space="preserve">Association </w:t>
      </w:r>
      <w:r w:rsidR="0010706C">
        <w:t>L</w:t>
      </w:r>
      <w:r w:rsidR="0010706C" w:rsidRPr="00C67416">
        <w:t xml:space="preserve">a </w:t>
      </w:r>
      <w:r w:rsidRPr="00C67416">
        <w:t>parole des sans</w:t>
      </w:r>
      <w:r w:rsidR="0010706C">
        <w:t>-</w:t>
      </w:r>
      <w:r w:rsidRPr="00C67416">
        <w:t>voix</w:t>
      </w:r>
    </w:p>
    <w:p w:rsidR="009111CF" w:rsidRPr="00C67416" w:rsidRDefault="009111CF">
      <w:pPr>
        <w:pStyle w:val="SingleTxtG"/>
      </w:pPr>
      <w:r w:rsidRPr="00C67416">
        <w:t xml:space="preserve">Association </w:t>
      </w:r>
      <w:r w:rsidR="0010706C">
        <w:t>t</w:t>
      </w:r>
      <w:r w:rsidR="0010706C" w:rsidRPr="00C67416">
        <w:t xml:space="preserve">ogolaise </w:t>
      </w:r>
      <w:r w:rsidRPr="00C67416">
        <w:t xml:space="preserve">de </w:t>
      </w:r>
      <w:r w:rsidR="0010706C">
        <w:t>d</w:t>
      </w:r>
      <w:r w:rsidR="0010706C" w:rsidRPr="00C67416">
        <w:t xml:space="preserve">éfense </w:t>
      </w:r>
      <w:r w:rsidRPr="00C67416">
        <w:t xml:space="preserve">et de </w:t>
      </w:r>
      <w:r w:rsidR="0010706C">
        <w:t>p</w:t>
      </w:r>
      <w:r w:rsidR="0010706C" w:rsidRPr="00C67416">
        <w:t xml:space="preserve">romotion </w:t>
      </w:r>
      <w:r w:rsidRPr="00C67416">
        <w:t xml:space="preserve">des </w:t>
      </w:r>
      <w:r w:rsidR="0010706C">
        <w:t>d</w:t>
      </w:r>
      <w:r w:rsidR="0010706C" w:rsidRPr="00C67416">
        <w:t xml:space="preserve">roits </w:t>
      </w:r>
      <w:r w:rsidRPr="00C67416">
        <w:t xml:space="preserve">de </w:t>
      </w:r>
      <w:r w:rsidR="0010706C" w:rsidRPr="00C67416">
        <w:t>l’</w:t>
      </w:r>
      <w:r w:rsidR="0010706C">
        <w:t>h</w:t>
      </w:r>
      <w:r w:rsidR="0010706C" w:rsidRPr="00C67416">
        <w:t>omme</w:t>
      </w:r>
    </w:p>
    <w:p w:rsidR="009111CF" w:rsidRPr="00C67416" w:rsidRDefault="009111CF" w:rsidP="00C67416">
      <w:pPr>
        <w:pStyle w:val="SingleTxtG"/>
      </w:pPr>
      <w:r w:rsidRPr="00C67416">
        <w:t>Bureau national catholique pour l’enfance</w:t>
      </w:r>
    </w:p>
    <w:p w:rsidR="009111CF" w:rsidRPr="00C67416" w:rsidRDefault="009111CF" w:rsidP="00C67416">
      <w:pPr>
        <w:pStyle w:val="SingleTxtG"/>
      </w:pPr>
      <w:r w:rsidRPr="00C67416">
        <w:lastRenderedPageBreak/>
        <w:t>Collectif des associations contre l’impunité au Togo</w:t>
      </w:r>
    </w:p>
    <w:p w:rsidR="009111CF" w:rsidRPr="00C67416" w:rsidRDefault="009111CF">
      <w:pPr>
        <w:pStyle w:val="SingleTxtG"/>
      </w:pPr>
      <w:r w:rsidRPr="00C67416">
        <w:t>Chrétiens Citoyenneté Droits et Devoirs</w:t>
      </w:r>
    </w:p>
    <w:p w:rsidR="009111CF" w:rsidRPr="00C67416" w:rsidRDefault="009111CF" w:rsidP="00C67416">
      <w:pPr>
        <w:pStyle w:val="SingleTxtG"/>
      </w:pPr>
      <w:r w:rsidRPr="00C67416">
        <w:t>Creuset Togo</w:t>
      </w:r>
    </w:p>
    <w:p w:rsidR="009111CF" w:rsidRPr="00C67416" w:rsidRDefault="009111CF" w:rsidP="00C67416">
      <w:pPr>
        <w:pStyle w:val="SingleTxtG"/>
      </w:pPr>
      <w:r w:rsidRPr="00C67416">
        <w:t>Domino</w:t>
      </w:r>
    </w:p>
    <w:p w:rsidR="009111CF" w:rsidRPr="00C67416" w:rsidRDefault="0010706C">
      <w:pPr>
        <w:pStyle w:val="SingleTxtG"/>
      </w:pPr>
      <w:r>
        <w:t>É</w:t>
      </w:r>
      <w:r w:rsidRPr="00C67416">
        <w:t xml:space="preserve">ducation </w:t>
      </w:r>
      <w:r w:rsidR="009111CF" w:rsidRPr="00C67416">
        <w:t xml:space="preserve">aux </w:t>
      </w:r>
      <w:r>
        <w:t>d</w:t>
      </w:r>
      <w:r w:rsidRPr="00C67416">
        <w:t xml:space="preserve">roits </w:t>
      </w:r>
      <w:r w:rsidR="009111CF" w:rsidRPr="00C67416">
        <w:t xml:space="preserve">de </w:t>
      </w:r>
      <w:r w:rsidRPr="00C67416">
        <w:t>l’</w:t>
      </w:r>
      <w:r>
        <w:t>h</w:t>
      </w:r>
      <w:r w:rsidRPr="00C67416">
        <w:t>omme</w:t>
      </w:r>
    </w:p>
    <w:p w:rsidR="009111CF" w:rsidRPr="00C67416" w:rsidRDefault="009111CF">
      <w:pPr>
        <w:pStyle w:val="SingleTxtG"/>
      </w:pPr>
      <w:r w:rsidRPr="00C67416">
        <w:t>Fédération des ONG de défense des droits de l’enfant au Togo</w:t>
      </w:r>
    </w:p>
    <w:p w:rsidR="009111CF" w:rsidRPr="00C67416" w:rsidRDefault="009111CF" w:rsidP="00C67416">
      <w:pPr>
        <w:pStyle w:val="SingleTxtG"/>
      </w:pPr>
      <w:r w:rsidRPr="00C67416">
        <w:t xml:space="preserve">Fraternité des prisons du Togo </w:t>
      </w:r>
    </w:p>
    <w:p w:rsidR="009111CF" w:rsidRPr="00C67416" w:rsidRDefault="009111CF" w:rsidP="00C67416">
      <w:pPr>
        <w:pStyle w:val="SingleTxtG"/>
      </w:pPr>
      <w:r w:rsidRPr="00C67416">
        <w:t>GF2D</w:t>
      </w:r>
    </w:p>
    <w:p w:rsidR="009111CF" w:rsidRPr="00C67416" w:rsidRDefault="009111CF" w:rsidP="00C67416">
      <w:pPr>
        <w:pStyle w:val="SingleTxtG"/>
      </w:pPr>
      <w:r w:rsidRPr="00C67416">
        <w:t>Handicap international</w:t>
      </w:r>
    </w:p>
    <w:p w:rsidR="009111CF" w:rsidRPr="00C67416" w:rsidRDefault="009111CF">
      <w:pPr>
        <w:pStyle w:val="SingleTxtG"/>
      </w:pPr>
      <w:r w:rsidRPr="00C67416">
        <w:t xml:space="preserve">Ligue </w:t>
      </w:r>
      <w:r w:rsidR="0010706C">
        <w:t>t</w:t>
      </w:r>
      <w:r w:rsidR="0010706C" w:rsidRPr="00C67416">
        <w:t xml:space="preserve">ogolaise </w:t>
      </w:r>
      <w:r w:rsidRPr="00C67416">
        <w:t xml:space="preserve">des </w:t>
      </w:r>
      <w:r w:rsidR="0010706C">
        <w:t>d</w:t>
      </w:r>
      <w:r w:rsidR="0010706C" w:rsidRPr="00C67416">
        <w:t xml:space="preserve">roits </w:t>
      </w:r>
      <w:r w:rsidRPr="00C67416">
        <w:t xml:space="preserve">de </w:t>
      </w:r>
      <w:r w:rsidR="0010706C" w:rsidRPr="00C67416">
        <w:t>l’</w:t>
      </w:r>
      <w:r w:rsidR="0010706C">
        <w:t>h</w:t>
      </w:r>
      <w:r w:rsidR="0010706C" w:rsidRPr="00C67416">
        <w:t>omme</w:t>
      </w:r>
    </w:p>
    <w:p w:rsidR="009111CF" w:rsidRPr="00C67416" w:rsidRDefault="009111CF">
      <w:pPr>
        <w:pStyle w:val="SingleTxtG"/>
      </w:pPr>
      <w:r w:rsidRPr="00C67416">
        <w:t>Mouvement Martin Luther King – la voix des sans</w:t>
      </w:r>
      <w:r w:rsidR="00803056">
        <w:t>-</w:t>
      </w:r>
      <w:r w:rsidRPr="00C67416">
        <w:t>voix</w:t>
      </w:r>
    </w:p>
    <w:p w:rsidR="009111CF" w:rsidRPr="00C67416" w:rsidRDefault="009111CF">
      <w:pPr>
        <w:pStyle w:val="SingleTxtG"/>
      </w:pPr>
      <w:r w:rsidRPr="00C67416">
        <w:t>Nouveau</w:t>
      </w:r>
      <w:r w:rsidR="00107977">
        <w:t>x</w:t>
      </w:r>
      <w:r w:rsidRPr="00C67416">
        <w:t xml:space="preserve"> droits de </w:t>
      </w:r>
      <w:r w:rsidR="00803056" w:rsidRPr="00C67416">
        <w:t>l’</w:t>
      </w:r>
      <w:r w:rsidR="00803056">
        <w:t>h</w:t>
      </w:r>
      <w:r w:rsidR="00803056" w:rsidRPr="00C67416">
        <w:t>omme</w:t>
      </w:r>
    </w:p>
    <w:p w:rsidR="009111CF" w:rsidRPr="00C67416" w:rsidRDefault="009111CF" w:rsidP="00C67416">
      <w:pPr>
        <w:pStyle w:val="SingleTxtG"/>
      </w:pPr>
      <w:r w:rsidRPr="00C67416">
        <w:t>Prisonniers sans frontière</w:t>
      </w:r>
    </w:p>
    <w:p w:rsidR="009111CF" w:rsidRPr="00C67416" w:rsidRDefault="009111CF">
      <w:pPr>
        <w:pStyle w:val="SingleTxtG"/>
      </w:pPr>
      <w:r w:rsidRPr="00C67416">
        <w:t xml:space="preserve">Union </w:t>
      </w:r>
      <w:r w:rsidR="001C21F3">
        <w:t>c</w:t>
      </w:r>
      <w:r w:rsidR="001C21F3" w:rsidRPr="00C67416">
        <w:t xml:space="preserve">hrétienne </w:t>
      </w:r>
      <w:r w:rsidRPr="00C67416">
        <w:t xml:space="preserve">de </w:t>
      </w:r>
      <w:r w:rsidR="001C21F3">
        <w:t>j</w:t>
      </w:r>
      <w:r w:rsidR="001C21F3" w:rsidRPr="00C67416">
        <w:t xml:space="preserve">eunes </w:t>
      </w:r>
      <w:r w:rsidR="001C21F3">
        <w:t>g</w:t>
      </w:r>
      <w:r w:rsidR="001C21F3" w:rsidRPr="00C67416">
        <w:t>ens</w:t>
      </w:r>
    </w:p>
    <w:p w:rsidR="009111CF" w:rsidRPr="00C67416" w:rsidRDefault="009111CF" w:rsidP="00C67416">
      <w:pPr>
        <w:pStyle w:val="SingleTxtG"/>
      </w:pPr>
      <w:r w:rsidRPr="00C67416">
        <w:t>Associ</w:t>
      </w:r>
      <w:r w:rsidR="00C67416">
        <w:t>ation d’aide en milieu carcéral</w:t>
      </w:r>
    </w:p>
    <w:p w:rsidR="0069597D" w:rsidRPr="00C67416" w:rsidRDefault="009111CF" w:rsidP="00C67416">
      <w:pPr>
        <w:pStyle w:val="SingleTxtG"/>
        <w:spacing w:before="240" w:after="0"/>
        <w:jc w:val="center"/>
        <w:rPr>
          <w:iCs/>
          <w:u w:val="single"/>
          <w:lang w:val="fr-FR"/>
        </w:rPr>
      </w:pPr>
      <w:r>
        <w:rPr>
          <w:iCs/>
          <w:u w:val="single"/>
          <w:lang w:val="fr-FR"/>
        </w:rPr>
        <w:tab/>
      </w:r>
      <w:r>
        <w:rPr>
          <w:iCs/>
          <w:u w:val="single"/>
          <w:lang w:val="fr-FR"/>
        </w:rPr>
        <w:tab/>
      </w:r>
      <w:r>
        <w:rPr>
          <w:iCs/>
          <w:u w:val="single"/>
          <w:lang w:val="fr-FR"/>
        </w:rPr>
        <w:tab/>
      </w:r>
    </w:p>
    <w:sectPr w:rsidR="0069597D" w:rsidRPr="00C67416" w:rsidSect="00E144D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67" w:rsidRDefault="000F5D67"/>
  </w:endnote>
  <w:endnote w:type="continuationSeparator" w:id="0">
    <w:p w:rsidR="000F5D67" w:rsidRDefault="000F5D67"/>
  </w:endnote>
  <w:endnote w:type="continuationNotice" w:id="1">
    <w:p w:rsidR="000F5D67" w:rsidRDefault="000F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67" w:rsidRPr="0036691E" w:rsidRDefault="000F5D67" w:rsidP="0036691E">
    <w:pPr>
      <w:pStyle w:val="Pieddepage"/>
      <w:tabs>
        <w:tab w:val="right" w:pos="9638"/>
      </w:tabs>
    </w:pPr>
    <w:r w:rsidRPr="0036691E">
      <w:rPr>
        <w:b/>
        <w:sz w:val="18"/>
      </w:rPr>
      <w:fldChar w:fldCharType="begin"/>
    </w:r>
    <w:r w:rsidRPr="0036691E">
      <w:rPr>
        <w:b/>
        <w:sz w:val="18"/>
      </w:rPr>
      <w:instrText xml:space="preserve"> PAGE  \* MERGEFORMAT </w:instrText>
    </w:r>
    <w:r w:rsidRPr="0036691E">
      <w:rPr>
        <w:b/>
        <w:sz w:val="18"/>
      </w:rPr>
      <w:fldChar w:fldCharType="separate"/>
    </w:r>
    <w:r w:rsidR="00F74595">
      <w:rPr>
        <w:b/>
        <w:noProof/>
        <w:sz w:val="18"/>
      </w:rPr>
      <w:t>2</w:t>
    </w:r>
    <w:r w:rsidRPr="0036691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67" w:rsidRPr="0036691E" w:rsidRDefault="000F5D67" w:rsidP="0036691E">
    <w:pPr>
      <w:pStyle w:val="Pieddepage"/>
      <w:tabs>
        <w:tab w:val="right" w:pos="9638"/>
      </w:tabs>
      <w:rPr>
        <w:b/>
        <w:sz w:val="18"/>
      </w:rPr>
    </w:pPr>
    <w:r>
      <w:tab/>
    </w:r>
    <w:r w:rsidRPr="0036691E">
      <w:rPr>
        <w:b/>
        <w:sz w:val="18"/>
      </w:rPr>
      <w:fldChar w:fldCharType="begin"/>
    </w:r>
    <w:r w:rsidRPr="0036691E">
      <w:rPr>
        <w:b/>
        <w:sz w:val="18"/>
      </w:rPr>
      <w:instrText xml:space="preserve"> PAGE  \* MERGEFORMAT </w:instrText>
    </w:r>
    <w:r w:rsidRPr="0036691E">
      <w:rPr>
        <w:b/>
        <w:sz w:val="18"/>
      </w:rPr>
      <w:fldChar w:fldCharType="separate"/>
    </w:r>
    <w:r w:rsidR="00F74595">
      <w:rPr>
        <w:b/>
        <w:noProof/>
        <w:sz w:val="18"/>
      </w:rPr>
      <w:t>19</w:t>
    </w:r>
    <w:r w:rsidRPr="0036691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95" w:rsidRPr="00F74595" w:rsidRDefault="00F74595">
    <w:pPr>
      <w:pStyle w:val="Pieddepage"/>
      <w:rPr>
        <w:rFonts w:ascii="C39T30Lfz" w:hAnsi="C39T30Lfz"/>
        <w:sz w:val="56"/>
      </w:rPr>
    </w:pPr>
    <w:bookmarkStart w:id="0" w:name="_GoBack"/>
    <w:r>
      <w:rPr>
        <w:noProof/>
        <w:lang w:eastAsia="fr-CH"/>
      </w:rPr>
      <w:drawing>
        <wp:anchor distT="0" distB="0" distL="114300" distR="114300" simplePos="0" relativeHeight="251660288" behindDoc="0" locked="0" layoutInCell="1" allowOverlap="1" wp14:anchorId="22629D69" wp14:editId="3C3D776C">
          <wp:simplePos x="0" y="0"/>
          <wp:positionH relativeFrom="margin">
            <wp:posOffset>5490845</wp:posOffset>
          </wp:positionH>
          <wp:positionV relativeFrom="margin">
            <wp:posOffset>8893175</wp:posOffset>
          </wp:positionV>
          <wp:extent cx="637200" cy="637200"/>
          <wp:effectExtent l="0" t="0" r="0" b="0"/>
          <wp:wrapNone/>
          <wp:docPr id="1" name="Image 1" descr="https://undocs.org/m2/QRCode.ashx?DS=CAT/OP/TG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TGO/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0"/>
      </w:rPr>
      <w:t>GE.</w:t>
    </w:r>
    <w:r>
      <w:rPr>
        <w:noProof/>
        <w:lang w:eastAsia="fr-CH"/>
      </w:rPr>
      <w:drawing>
        <wp:anchor distT="0" distB="0" distL="114300" distR="114300" simplePos="0" relativeHeight="251659264" behindDoc="0" locked="0" layoutInCell="1" allowOverlap="0" wp14:anchorId="4A40FF7B" wp14:editId="3A95DD96">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6858</w:t>
    </w:r>
    <w:r>
      <w:rPr>
        <w:sz w:val="20"/>
      </w:rPr>
      <w:t xml:space="preserve">  (F)</w:t>
    </w:r>
    <w:r>
      <w:br/>
    </w:r>
    <w:r w:rsidRPr="00F74595">
      <w:rPr>
        <w:rFonts w:ascii="C39T30Lfz" w:hAnsi="C39T30Lfz"/>
        <w:sz w:val="56"/>
      </w:rPr>
      <w:t></w:t>
    </w:r>
    <w:r w:rsidRPr="00F74595">
      <w:rPr>
        <w:rFonts w:ascii="C39T30Lfz" w:hAnsi="C39T30Lfz"/>
        <w:sz w:val="56"/>
      </w:rPr>
      <w:t></w:t>
    </w:r>
    <w:r w:rsidRPr="00F74595">
      <w:rPr>
        <w:rFonts w:ascii="C39T30Lfz" w:hAnsi="C39T30Lfz"/>
        <w:sz w:val="56"/>
      </w:rPr>
      <w:t></w:t>
    </w:r>
    <w:r w:rsidRPr="00F74595">
      <w:rPr>
        <w:rFonts w:ascii="C39T30Lfz" w:hAnsi="C39T30Lfz"/>
        <w:sz w:val="56"/>
      </w:rPr>
      <w:t></w:t>
    </w:r>
    <w:r w:rsidRPr="00F74595">
      <w:rPr>
        <w:rFonts w:ascii="C39T30Lfz" w:hAnsi="C39T30Lfz"/>
        <w:sz w:val="56"/>
      </w:rPr>
      <w:t></w:t>
    </w:r>
    <w:r w:rsidRPr="00F74595">
      <w:rPr>
        <w:rFonts w:ascii="C39T30Lfz" w:hAnsi="C39T30Lfz"/>
        <w:sz w:val="56"/>
      </w:rPr>
      <w:t></w:t>
    </w:r>
    <w:r w:rsidRPr="00F74595">
      <w:rPr>
        <w:rFonts w:ascii="C39T30Lfz" w:hAnsi="C39T30Lfz"/>
        <w:sz w:val="56"/>
      </w:rPr>
      <w:t></w:t>
    </w:r>
    <w:r w:rsidRPr="00F74595">
      <w:rPr>
        <w:rFonts w:ascii="C39T30Lfz" w:hAnsi="C39T30Lfz"/>
        <w:sz w:val="56"/>
      </w:rPr>
      <w:t></w:t>
    </w:r>
    <w:r w:rsidRPr="00F7459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67" w:rsidRPr="00D27D5E" w:rsidRDefault="000F5D67" w:rsidP="00D27D5E">
      <w:pPr>
        <w:tabs>
          <w:tab w:val="right" w:pos="2155"/>
        </w:tabs>
        <w:spacing w:after="80"/>
        <w:ind w:left="680"/>
        <w:rPr>
          <w:u w:val="single"/>
        </w:rPr>
      </w:pPr>
      <w:r>
        <w:rPr>
          <w:u w:val="single"/>
        </w:rPr>
        <w:tab/>
      </w:r>
    </w:p>
  </w:footnote>
  <w:footnote w:type="continuationSeparator" w:id="0">
    <w:p w:rsidR="000F5D67" w:rsidRPr="00433A7F" w:rsidRDefault="000F5D67" w:rsidP="00433A7F">
      <w:pPr>
        <w:tabs>
          <w:tab w:val="right" w:pos="2155"/>
        </w:tabs>
        <w:spacing w:after="80"/>
        <w:ind w:left="680"/>
        <w:rPr>
          <w:u w:val="single"/>
        </w:rPr>
      </w:pPr>
      <w:r w:rsidRPr="00433A7F">
        <w:rPr>
          <w:u w:val="single"/>
        </w:rPr>
        <w:tab/>
      </w:r>
    </w:p>
  </w:footnote>
  <w:footnote w:type="continuationNotice" w:id="1">
    <w:p w:rsidR="000F5D67" w:rsidRDefault="000F5D67"/>
  </w:footnote>
  <w:footnote w:id="2">
    <w:p w:rsidR="000F5D67" w:rsidRPr="00F45E00" w:rsidRDefault="000F5D67" w:rsidP="00EF4C31">
      <w:pPr>
        <w:pStyle w:val="Notedebasdepage"/>
        <w:rPr>
          <w:szCs w:val="18"/>
        </w:rPr>
      </w:pPr>
      <w:r w:rsidRPr="00F45E00">
        <w:rPr>
          <w:rStyle w:val="Appelnotedebasdep"/>
        </w:rPr>
        <w:tab/>
      </w:r>
      <w:r w:rsidRPr="001E4146">
        <w:rPr>
          <w:rStyle w:val="Appelnotedebasdep"/>
          <w:sz w:val="20"/>
          <w:vertAlign w:val="baseline"/>
        </w:rPr>
        <w:t>*</w:t>
      </w:r>
      <w:r w:rsidRPr="00F45E00">
        <w:rPr>
          <w:rStyle w:val="Appelnotedebasdep"/>
          <w:sz w:val="20"/>
        </w:rPr>
        <w:tab/>
      </w:r>
      <w:r w:rsidRPr="00F45E00">
        <w:rPr>
          <w:szCs w:val="18"/>
        </w:rPr>
        <w:t xml:space="preserve">Conformément au paragraphe 1 de l’article 16 du Protocole facultatif, le présent rapport a été communiqué à titre </w:t>
      </w:r>
      <w:r w:rsidRPr="00B01366">
        <w:rPr>
          <w:szCs w:val="18"/>
        </w:rPr>
        <w:t xml:space="preserve">confidentiel </w:t>
      </w:r>
      <w:r w:rsidRPr="000F5D67">
        <w:rPr>
          <w:szCs w:val="18"/>
        </w:rPr>
        <w:t xml:space="preserve">à l’État partie </w:t>
      </w:r>
      <w:r w:rsidRPr="00B01366">
        <w:rPr>
          <w:szCs w:val="18"/>
        </w:rPr>
        <w:t xml:space="preserve">le </w:t>
      </w:r>
      <w:r w:rsidRPr="00C906B4">
        <w:rPr>
          <w:szCs w:val="18"/>
        </w:rPr>
        <w:t xml:space="preserve">10 décembre 2015. Le </w:t>
      </w:r>
      <w:r w:rsidRPr="000F5D67">
        <w:rPr>
          <w:szCs w:val="18"/>
        </w:rPr>
        <w:t>10 février 2017</w:t>
      </w:r>
      <w:r>
        <w:rPr>
          <w:szCs w:val="18"/>
        </w:rPr>
        <w:t>,</w:t>
      </w:r>
      <w:r w:rsidRPr="000F5D67">
        <w:rPr>
          <w:szCs w:val="18"/>
        </w:rPr>
        <w:t xml:space="preserve"> l’État partie</w:t>
      </w:r>
      <w:r w:rsidRPr="00F45E00">
        <w:rPr>
          <w:color w:val="FF0000"/>
          <w:szCs w:val="18"/>
        </w:rPr>
        <w:t xml:space="preserve"> </w:t>
      </w:r>
      <w:r w:rsidRPr="00F45E00">
        <w:rPr>
          <w:szCs w:val="18"/>
        </w:rPr>
        <w:t>a demandé au Sous-Comité de publier le rapport, conformément au paragraphe 2 de l’article 16 du Protocole facultatif.</w:t>
      </w:r>
    </w:p>
  </w:footnote>
  <w:footnote w:id="3">
    <w:p w:rsidR="000F5D67" w:rsidRPr="000F5D67" w:rsidRDefault="000F5D67">
      <w:pPr>
        <w:pStyle w:val="Notedebasdepage"/>
      </w:pPr>
      <w:r>
        <w:rPr>
          <w:rStyle w:val="Appelnotedebasdep"/>
        </w:rPr>
        <w:tab/>
      </w:r>
      <w:r w:rsidRPr="000F5D67">
        <w:rPr>
          <w:rStyle w:val="Appelnotedebasdep"/>
          <w:sz w:val="20"/>
          <w:vertAlign w:val="baseline"/>
        </w:rPr>
        <w:t>**</w:t>
      </w:r>
      <w:r>
        <w:rPr>
          <w:rStyle w:val="Appelnotedebasdep"/>
          <w:sz w:val="20"/>
          <w:vertAlign w:val="baseline"/>
        </w:rPr>
        <w:tab/>
      </w:r>
      <w:r w:rsidRPr="00784A97">
        <w:rPr>
          <w:szCs w:val="18"/>
        </w:rPr>
        <w:t>Les annexes sont</w:t>
      </w:r>
      <w:r w:rsidRPr="00F45E00">
        <w:rPr>
          <w:szCs w:val="18"/>
        </w:rPr>
        <w:t xml:space="preserve"> distribuée</w:t>
      </w:r>
      <w:r w:rsidRPr="00784A97">
        <w:rPr>
          <w:szCs w:val="18"/>
        </w:rPr>
        <w:t>s</w:t>
      </w:r>
      <w:r w:rsidRPr="00F45E00">
        <w:rPr>
          <w:szCs w:val="18"/>
        </w:rPr>
        <w:t xml:space="preserve"> uniquemen</w:t>
      </w:r>
      <w:r>
        <w:rPr>
          <w:szCs w:val="18"/>
        </w:rPr>
        <w:t>t dans la langue de l’original.</w:t>
      </w:r>
    </w:p>
  </w:footnote>
  <w:footnote w:id="4">
    <w:p w:rsidR="000F5D67" w:rsidRPr="005334DB" w:rsidRDefault="000F5D67" w:rsidP="004A6BFB">
      <w:pPr>
        <w:pStyle w:val="Notedebasdepage"/>
      </w:pPr>
      <w:r>
        <w:rPr>
          <w:vertAlign w:val="superscript"/>
        </w:rPr>
        <w:tab/>
      </w:r>
      <w:r w:rsidRPr="005334DB">
        <w:rPr>
          <w:rStyle w:val="Appelnotedebasdep"/>
        </w:rPr>
        <w:footnoteRef/>
      </w:r>
      <w:r>
        <w:rPr>
          <w:vertAlign w:val="superscript"/>
        </w:rPr>
        <w:tab/>
      </w:r>
      <w:r w:rsidRPr="000F5D67">
        <w:t>Ensemble de principes pour la protection de toutes les personnes soumises à une forme quelconque de dé</w:t>
      </w:r>
      <w:r w:rsidRPr="003642AE">
        <w:t>tention ou d</w:t>
      </w:r>
      <w:r w:rsidRPr="00926DC8">
        <w:t>’</w:t>
      </w:r>
      <w:r w:rsidRPr="000F5D67">
        <w:t>emprisonnement</w:t>
      </w:r>
      <w:r w:rsidRPr="005334DB">
        <w:t>, principe 19</w:t>
      </w:r>
      <w:r>
        <w:t> </w:t>
      </w:r>
      <w:r w:rsidRPr="005334DB">
        <w:t xml:space="preserve">; Règles minima </w:t>
      </w:r>
      <w:r>
        <w:t>58, 60</w:t>
      </w:r>
      <w:r w:rsidRPr="005334DB">
        <w:t xml:space="preserve"> et </w:t>
      </w:r>
      <w:r>
        <w:t>61</w:t>
      </w:r>
      <w:r w:rsidRPr="005334DB">
        <w:t>.</w:t>
      </w:r>
    </w:p>
  </w:footnote>
  <w:footnote w:id="5">
    <w:p w:rsidR="000F5D67" w:rsidRPr="00A7305E" w:rsidRDefault="000F5D67">
      <w:pPr>
        <w:pStyle w:val="Notedebasdepage"/>
        <w:rPr>
          <w:lang w:val="fr-FR"/>
        </w:rPr>
      </w:pPr>
      <w:r>
        <w:tab/>
      </w:r>
      <w:r w:rsidRPr="000F5D67">
        <w:rPr>
          <w:rStyle w:val="Appelnotedebasdep"/>
        </w:rPr>
        <w:footnoteRef/>
      </w:r>
      <w:r>
        <w:tab/>
      </w:r>
      <w:r w:rsidRPr="00A7305E">
        <w:t>Code de procédure pénale</w:t>
      </w:r>
      <w:r>
        <w:t>, article</w:t>
      </w:r>
      <w:r w:rsidRPr="00A7305E">
        <w:t xml:space="preserve"> 53</w:t>
      </w:r>
      <w:r>
        <w:t xml:space="preserve"> : </w:t>
      </w:r>
      <w:r w:rsidRPr="004B1E89">
        <w:t>«</w:t>
      </w:r>
      <w:r>
        <w:t> </w:t>
      </w:r>
      <w:r w:rsidRPr="00A7305E">
        <w:rPr>
          <w:lang w:val="fr-FR"/>
        </w:rPr>
        <w:t xml:space="preserve">La personne gardée à vue peut, sur sa demande ou sur celle d’un membre de sa famille être soumise, après accord du </w:t>
      </w:r>
      <w:r>
        <w:rPr>
          <w:lang w:val="fr-FR"/>
        </w:rPr>
        <w:t>p</w:t>
      </w:r>
      <w:r w:rsidRPr="00A7305E">
        <w:rPr>
          <w:lang w:val="fr-FR"/>
        </w:rPr>
        <w:t>arquet, à un examen médical ».</w:t>
      </w:r>
    </w:p>
    <w:p w:rsidR="000F5D67" w:rsidRPr="00A7305E" w:rsidRDefault="000F5D67" w:rsidP="009111CF">
      <w:pPr>
        <w:pStyle w:val="Notedebasdepage"/>
        <w:rPr>
          <w:lang w:val="fr-FR"/>
        </w:rPr>
      </w:pPr>
    </w:p>
  </w:footnote>
  <w:footnote w:id="6">
    <w:p w:rsidR="000F5D67" w:rsidRPr="0082289C" w:rsidRDefault="000F5D67" w:rsidP="009111CF">
      <w:pPr>
        <w:pStyle w:val="Notedebasdepage"/>
      </w:pPr>
      <w:r w:rsidRPr="000F5D67">
        <w:rPr>
          <w:lang w:val="fr-FR"/>
        </w:rPr>
        <w:tab/>
      </w:r>
      <w:r w:rsidRPr="0082289C">
        <w:rPr>
          <w:rStyle w:val="Appelnotedebasdep"/>
        </w:rPr>
        <w:footnoteRef/>
      </w:r>
      <w:r>
        <w:tab/>
      </w:r>
      <w:r w:rsidRPr="0082289C">
        <w:t>Pacte international relatif aux droits civils et politiques, article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67" w:rsidRPr="0036691E" w:rsidRDefault="000F5D67">
    <w:pPr>
      <w:pStyle w:val="En-tte"/>
    </w:pPr>
    <w:r>
      <w:t>CAT/OP/TGO/1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67" w:rsidRPr="0036691E" w:rsidRDefault="000F5D67" w:rsidP="0036691E">
    <w:pPr>
      <w:pStyle w:val="En-tte"/>
      <w:jc w:val="right"/>
    </w:pPr>
    <w:r>
      <w:t>CAT/OP/TGO/1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95" w:rsidRDefault="00F745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EF6"/>
    <w:multiLevelType w:val="hybridMultilevel"/>
    <w:tmpl w:val="697080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35C5414"/>
    <w:multiLevelType w:val="hybridMultilevel"/>
    <w:tmpl w:val="147AE37C"/>
    <w:lvl w:ilvl="0" w:tplc="9E92E65A">
      <w:start w:val="1"/>
      <w:numFmt w:val="lowerLetter"/>
      <w:lvlText w:val="%1)"/>
      <w:lvlJc w:val="left"/>
      <w:pPr>
        <w:tabs>
          <w:tab w:val="num" w:pos="1871"/>
        </w:tabs>
        <w:ind w:left="1871" w:hanging="170"/>
      </w:pPr>
      <w:rPr>
        <w:rFonts w:hint="default"/>
        <w:lang w:val="fr-CH"/>
      </w:rPr>
    </w:lvl>
    <w:lvl w:ilvl="1" w:tplc="040C0003" w:tentative="1">
      <w:start w:val="1"/>
      <w:numFmt w:val="bullet"/>
      <w:lvlText w:val="o"/>
      <w:lvlJc w:val="left"/>
      <w:pPr>
        <w:tabs>
          <w:tab w:val="num" w:pos="3311"/>
        </w:tabs>
        <w:ind w:left="3311" w:hanging="360"/>
      </w:pPr>
      <w:rPr>
        <w:rFonts w:ascii="Courier New" w:hAnsi="Courier New" w:hint="default"/>
      </w:rPr>
    </w:lvl>
    <w:lvl w:ilvl="2" w:tplc="040C0005" w:tentative="1">
      <w:start w:val="1"/>
      <w:numFmt w:val="bullet"/>
      <w:lvlText w:val=""/>
      <w:lvlJc w:val="left"/>
      <w:pPr>
        <w:tabs>
          <w:tab w:val="num" w:pos="4031"/>
        </w:tabs>
        <w:ind w:left="4031" w:hanging="360"/>
      </w:pPr>
      <w:rPr>
        <w:rFonts w:ascii="Wingdings" w:hAnsi="Wingdings" w:hint="default"/>
      </w:rPr>
    </w:lvl>
    <w:lvl w:ilvl="3" w:tplc="040C0001" w:tentative="1">
      <w:start w:val="1"/>
      <w:numFmt w:val="bullet"/>
      <w:lvlText w:val=""/>
      <w:lvlJc w:val="left"/>
      <w:pPr>
        <w:tabs>
          <w:tab w:val="num" w:pos="4751"/>
        </w:tabs>
        <w:ind w:left="4751" w:hanging="360"/>
      </w:pPr>
      <w:rPr>
        <w:rFonts w:ascii="Symbol" w:hAnsi="Symbol" w:hint="default"/>
      </w:rPr>
    </w:lvl>
    <w:lvl w:ilvl="4" w:tplc="040C0003" w:tentative="1">
      <w:start w:val="1"/>
      <w:numFmt w:val="bullet"/>
      <w:lvlText w:val="o"/>
      <w:lvlJc w:val="left"/>
      <w:pPr>
        <w:tabs>
          <w:tab w:val="num" w:pos="5471"/>
        </w:tabs>
        <w:ind w:left="5471" w:hanging="360"/>
      </w:pPr>
      <w:rPr>
        <w:rFonts w:ascii="Courier New" w:hAnsi="Courier New" w:hint="default"/>
      </w:rPr>
    </w:lvl>
    <w:lvl w:ilvl="5" w:tplc="040C0005" w:tentative="1">
      <w:start w:val="1"/>
      <w:numFmt w:val="bullet"/>
      <w:lvlText w:val=""/>
      <w:lvlJc w:val="left"/>
      <w:pPr>
        <w:tabs>
          <w:tab w:val="num" w:pos="6191"/>
        </w:tabs>
        <w:ind w:left="6191" w:hanging="360"/>
      </w:pPr>
      <w:rPr>
        <w:rFonts w:ascii="Wingdings" w:hAnsi="Wingdings" w:hint="default"/>
      </w:rPr>
    </w:lvl>
    <w:lvl w:ilvl="6" w:tplc="040C0001" w:tentative="1">
      <w:start w:val="1"/>
      <w:numFmt w:val="bullet"/>
      <w:lvlText w:val=""/>
      <w:lvlJc w:val="left"/>
      <w:pPr>
        <w:tabs>
          <w:tab w:val="num" w:pos="6911"/>
        </w:tabs>
        <w:ind w:left="6911" w:hanging="360"/>
      </w:pPr>
      <w:rPr>
        <w:rFonts w:ascii="Symbol" w:hAnsi="Symbol" w:hint="default"/>
      </w:rPr>
    </w:lvl>
    <w:lvl w:ilvl="7" w:tplc="040C0003" w:tentative="1">
      <w:start w:val="1"/>
      <w:numFmt w:val="bullet"/>
      <w:lvlText w:val="o"/>
      <w:lvlJc w:val="left"/>
      <w:pPr>
        <w:tabs>
          <w:tab w:val="num" w:pos="7631"/>
        </w:tabs>
        <w:ind w:left="7631" w:hanging="360"/>
      </w:pPr>
      <w:rPr>
        <w:rFonts w:ascii="Courier New" w:hAnsi="Courier New" w:hint="default"/>
      </w:rPr>
    </w:lvl>
    <w:lvl w:ilvl="8" w:tplc="040C0005" w:tentative="1">
      <w:start w:val="1"/>
      <w:numFmt w:val="bullet"/>
      <w:lvlText w:val=""/>
      <w:lvlJc w:val="left"/>
      <w:pPr>
        <w:tabs>
          <w:tab w:val="num" w:pos="8351"/>
        </w:tabs>
        <w:ind w:left="8351" w:hanging="360"/>
      </w:pPr>
      <w:rPr>
        <w:rFonts w:ascii="Wingdings" w:hAnsi="Wingdings" w:hint="default"/>
      </w:rPr>
    </w:lvl>
  </w:abstractNum>
  <w:abstractNum w:abstractNumId="2">
    <w:nsid w:val="20906A12"/>
    <w:multiLevelType w:val="hybridMultilevel"/>
    <w:tmpl w:val="EC16A7CA"/>
    <w:lvl w:ilvl="0" w:tplc="04100017">
      <w:start w:val="1"/>
      <w:numFmt w:val="lowerLetter"/>
      <w:lvlText w:val="%1)"/>
      <w:lvlJc w:val="left"/>
      <w:pPr>
        <w:ind w:left="2298" w:hanging="360"/>
      </w:pPr>
    </w:lvl>
    <w:lvl w:ilvl="1" w:tplc="04100019" w:tentative="1">
      <w:start w:val="1"/>
      <w:numFmt w:val="lowerLetter"/>
      <w:lvlText w:val="%2."/>
      <w:lvlJc w:val="left"/>
      <w:pPr>
        <w:ind w:left="3018" w:hanging="360"/>
      </w:pPr>
    </w:lvl>
    <w:lvl w:ilvl="2" w:tplc="0410001B" w:tentative="1">
      <w:start w:val="1"/>
      <w:numFmt w:val="lowerRoman"/>
      <w:lvlText w:val="%3."/>
      <w:lvlJc w:val="right"/>
      <w:pPr>
        <w:ind w:left="3738" w:hanging="180"/>
      </w:pPr>
    </w:lvl>
    <w:lvl w:ilvl="3" w:tplc="0410000F" w:tentative="1">
      <w:start w:val="1"/>
      <w:numFmt w:val="decimal"/>
      <w:lvlText w:val="%4."/>
      <w:lvlJc w:val="left"/>
      <w:pPr>
        <w:ind w:left="4458" w:hanging="360"/>
      </w:pPr>
    </w:lvl>
    <w:lvl w:ilvl="4" w:tplc="04100019" w:tentative="1">
      <w:start w:val="1"/>
      <w:numFmt w:val="lowerLetter"/>
      <w:lvlText w:val="%5."/>
      <w:lvlJc w:val="left"/>
      <w:pPr>
        <w:ind w:left="5178" w:hanging="360"/>
      </w:pPr>
    </w:lvl>
    <w:lvl w:ilvl="5" w:tplc="0410001B" w:tentative="1">
      <w:start w:val="1"/>
      <w:numFmt w:val="lowerRoman"/>
      <w:lvlText w:val="%6."/>
      <w:lvlJc w:val="right"/>
      <w:pPr>
        <w:ind w:left="5898" w:hanging="180"/>
      </w:pPr>
    </w:lvl>
    <w:lvl w:ilvl="6" w:tplc="0410000F" w:tentative="1">
      <w:start w:val="1"/>
      <w:numFmt w:val="decimal"/>
      <w:lvlText w:val="%7."/>
      <w:lvlJc w:val="left"/>
      <w:pPr>
        <w:ind w:left="6618" w:hanging="360"/>
      </w:pPr>
    </w:lvl>
    <w:lvl w:ilvl="7" w:tplc="04100019" w:tentative="1">
      <w:start w:val="1"/>
      <w:numFmt w:val="lowerLetter"/>
      <w:lvlText w:val="%8."/>
      <w:lvlJc w:val="left"/>
      <w:pPr>
        <w:ind w:left="7338" w:hanging="360"/>
      </w:pPr>
    </w:lvl>
    <w:lvl w:ilvl="8" w:tplc="0410001B" w:tentative="1">
      <w:start w:val="1"/>
      <w:numFmt w:val="lowerRoman"/>
      <w:lvlText w:val="%9."/>
      <w:lvlJc w:val="right"/>
      <w:pPr>
        <w:ind w:left="8058" w:hanging="180"/>
      </w:pPr>
    </w:lvl>
  </w:abstractNum>
  <w:abstractNum w:abstractNumId="3">
    <w:nsid w:val="210338FD"/>
    <w:multiLevelType w:val="hybridMultilevel"/>
    <w:tmpl w:val="7A10597E"/>
    <w:lvl w:ilvl="0" w:tplc="04100017">
      <w:start w:val="1"/>
      <w:numFmt w:val="lowerLetter"/>
      <w:lvlText w:val="%1)"/>
      <w:lvlJc w:val="left"/>
      <w:pPr>
        <w:tabs>
          <w:tab w:val="num" w:pos="1701"/>
        </w:tabs>
        <w:ind w:left="1701" w:hanging="170"/>
      </w:pPr>
      <w:rPr>
        <w:rFonts w:hint="default"/>
        <w:lang w:val="fr-FR"/>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221360D2"/>
    <w:multiLevelType w:val="hybridMultilevel"/>
    <w:tmpl w:val="38E0309A"/>
    <w:lvl w:ilvl="0" w:tplc="DFE4B0F6">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65D7E56"/>
    <w:multiLevelType w:val="hybridMultilevel"/>
    <w:tmpl w:val="D586F4D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EEC3EA5"/>
    <w:multiLevelType w:val="hybridMultilevel"/>
    <w:tmpl w:val="C3F8AFE8"/>
    <w:lvl w:ilvl="0" w:tplc="96BC23AC">
      <w:start w:val="1"/>
      <w:numFmt w:val="lowerLetter"/>
      <w:lvlText w:val="%1)"/>
      <w:lvlJc w:val="left"/>
      <w:pPr>
        <w:ind w:left="1891" w:hanging="360"/>
      </w:pPr>
      <w:rPr>
        <w:rFonts w:hint="default"/>
      </w:rPr>
    </w:lvl>
    <w:lvl w:ilvl="1" w:tplc="04100019" w:tentative="1">
      <w:start w:val="1"/>
      <w:numFmt w:val="lowerLetter"/>
      <w:lvlText w:val="%2."/>
      <w:lvlJc w:val="left"/>
      <w:pPr>
        <w:ind w:left="2611" w:hanging="360"/>
      </w:pPr>
    </w:lvl>
    <w:lvl w:ilvl="2" w:tplc="0410001B" w:tentative="1">
      <w:start w:val="1"/>
      <w:numFmt w:val="lowerRoman"/>
      <w:lvlText w:val="%3."/>
      <w:lvlJc w:val="right"/>
      <w:pPr>
        <w:ind w:left="3331" w:hanging="180"/>
      </w:pPr>
    </w:lvl>
    <w:lvl w:ilvl="3" w:tplc="0410000F" w:tentative="1">
      <w:start w:val="1"/>
      <w:numFmt w:val="decimal"/>
      <w:lvlText w:val="%4."/>
      <w:lvlJc w:val="left"/>
      <w:pPr>
        <w:ind w:left="4051" w:hanging="360"/>
      </w:pPr>
    </w:lvl>
    <w:lvl w:ilvl="4" w:tplc="04100019" w:tentative="1">
      <w:start w:val="1"/>
      <w:numFmt w:val="lowerLetter"/>
      <w:lvlText w:val="%5."/>
      <w:lvlJc w:val="left"/>
      <w:pPr>
        <w:ind w:left="4771" w:hanging="360"/>
      </w:pPr>
    </w:lvl>
    <w:lvl w:ilvl="5" w:tplc="0410001B" w:tentative="1">
      <w:start w:val="1"/>
      <w:numFmt w:val="lowerRoman"/>
      <w:lvlText w:val="%6."/>
      <w:lvlJc w:val="right"/>
      <w:pPr>
        <w:ind w:left="5491" w:hanging="180"/>
      </w:pPr>
    </w:lvl>
    <w:lvl w:ilvl="6" w:tplc="0410000F" w:tentative="1">
      <w:start w:val="1"/>
      <w:numFmt w:val="decimal"/>
      <w:lvlText w:val="%7."/>
      <w:lvlJc w:val="left"/>
      <w:pPr>
        <w:ind w:left="6211" w:hanging="360"/>
      </w:pPr>
    </w:lvl>
    <w:lvl w:ilvl="7" w:tplc="04100019" w:tentative="1">
      <w:start w:val="1"/>
      <w:numFmt w:val="lowerLetter"/>
      <w:lvlText w:val="%8."/>
      <w:lvlJc w:val="left"/>
      <w:pPr>
        <w:ind w:left="6931" w:hanging="360"/>
      </w:pPr>
    </w:lvl>
    <w:lvl w:ilvl="8" w:tplc="0410001B" w:tentative="1">
      <w:start w:val="1"/>
      <w:numFmt w:val="lowerRoman"/>
      <w:lvlText w:val="%9."/>
      <w:lvlJc w:val="right"/>
      <w:pPr>
        <w:ind w:left="7651" w:hanging="180"/>
      </w:pPr>
    </w:lvl>
  </w:abstractNum>
  <w:abstractNum w:abstractNumId="7">
    <w:nsid w:val="30793C80"/>
    <w:multiLevelType w:val="hybridMultilevel"/>
    <w:tmpl w:val="473AF84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38C7618F"/>
    <w:multiLevelType w:val="hybridMultilevel"/>
    <w:tmpl w:val="D61A66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3D150106"/>
    <w:multiLevelType w:val="hybridMultilevel"/>
    <w:tmpl w:val="F8A8EB2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F277C18"/>
    <w:multiLevelType w:val="hybridMultilevel"/>
    <w:tmpl w:val="ED6C0F5A"/>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nsid w:val="5C306606"/>
    <w:multiLevelType w:val="hybridMultilevel"/>
    <w:tmpl w:val="7FA8D2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68AD07B2"/>
    <w:multiLevelType w:val="hybridMultilevel"/>
    <w:tmpl w:val="61C88F0A"/>
    <w:lvl w:ilvl="0" w:tplc="EFE023FE">
      <w:start w:val="1"/>
      <w:numFmt w:val="bullet"/>
      <w:pStyle w:val="Bullet1G"/>
      <w:lvlText w:val="•"/>
      <w:lvlJc w:val="left"/>
      <w:pPr>
        <w:tabs>
          <w:tab w:val="num" w:pos="1701"/>
        </w:tabs>
        <w:ind w:left="1701" w:hanging="170"/>
      </w:pPr>
      <w:rPr>
        <w:rFonts w:ascii="Times New Roman" w:hAnsi="Times New Roman" w:cs="Times New Roman" w:hint="default"/>
        <w:lang w:val="fr-FR"/>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51B5B52"/>
    <w:multiLevelType w:val="hybridMultilevel"/>
    <w:tmpl w:val="333CF66A"/>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7BE314B9"/>
    <w:multiLevelType w:val="hybridMultilevel"/>
    <w:tmpl w:val="473AF84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3"/>
  </w:num>
  <w:num w:numId="2">
    <w:abstractNumId w:val="9"/>
  </w:num>
  <w:num w:numId="3">
    <w:abstractNumId w:val="5"/>
  </w:num>
  <w:num w:numId="4">
    <w:abstractNumId w:val="8"/>
  </w:num>
  <w:num w:numId="5">
    <w:abstractNumId w:val="0"/>
  </w:num>
  <w:num w:numId="6">
    <w:abstractNumId w:val="10"/>
  </w:num>
  <w:num w:numId="7">
    <w:abstractNumId w:val="12"/>
  </w:num>
  <w:num w:numId="8">
    <w:abstractNumId w:val="11"/>
  </w:num>
  <w:num w:numId="9">
    <w:abstractNumId w:val="3"/>
  </w:num>
  <w:num w:numId="10">
    <w:abstractNumId w:val="13"/>
  </w:num>
  <w:num w:numId="11">
    <w:abstractNumId w:val="1"/>
  </w:num>
  <w:num w:numId="12">
    <w:abstractNumId w:val="13"/>
  </w:num>
  <w:num w:numId="13">
    <w:abstractNumId w:val="13"/>
  </w:num>
  <w:num w:numId="14">
    <w:abstractNumId w:val="13"/>
  </w:num>
  <w:num w:numId="15">
    <w:abstractNumId w:val="13"/>
  </w:num>
  <w:num w:numId="16">
    <w:abstractNumId w:val="2"/>
  </w:num>
  <w:num w:numId="17">
    <w:abstractNumId w:val="13"/>
  </w:num>
  <w:num w:numId="18">
    <w:abstractNumId w:val="13"/>
  </w:num>
  <w:num w:numId="19">
    <w:abstractNumId w:val="14"/>
  </w:num>
  <w:num w:numId="20">
    <w:abstractNumId w:val="6"/>
  </w:num>
  <w:num w:numId="21">
    <w:abstractNumId w:val="13"/>
  </w:num>
  <w:num w:numId="22">
    <w:abstractNumId w:val="13"/>
  </w:num>
  <w:num w:numId="23">
    <w:abstractNumId w:val="4"/>
  </w:num>
  <w:num w:numId="24">
    <w:abstractNumId w:val="15"/>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560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6B"/>
    <w:rsid w:val="00002125"/>
    <w:rsid w:val="00005EFB"/>
    <w:rsid w:val="00007B04"/>
    <w:rsid w:val="0001019B"/>
    <w:rsid w:val="00011241"/>
    <w:rsid w:val="00016AC5"/>
    <w:rsid w:val="00017FD2"/>
    <w:rsid w:val="000206AB"/>
    <w:rsid w:val="00024A5A"/>
    <w:rsid w:val="000300CE"/>
    <w:rsid w:val="000319A1"/>
    <w:rsid w:val="0003214F"/>
    <w:rsid w:val="00032D2B"/>
    <w:rsid w:val="00033FAB"/>
    <w:rsid w:val="00034320"/>
    <w:rsid w:val="00034905"/>
    <w:rsid w:val="00034F60"/>
    <w:rsid w:val="00035410"/>
    <w:rsid w:val="00035EA6"/>
    <w:rsid w:val="0003692E"/>
    <w:rsid w:val="00037137"/>
    <w:rsid w:val="00037AA9"/>
    <w:rsid w:val="00037C74"/>
    <w:rsid w:val="0004045E"/>
    <w:rsid w:val="00040DBF"/>
    <w:rsid w:val="00041BF9"/>
    <w:rsid w:val="00042821"/>
    <w:rsid w:val="000450E6"/>
    <w:rsid w:val="00053464"/>
    <w:rsid w:val="00056548"/>
    <w:rsid w:val="00057510"/>
    <w:rsid w:val="00057947"/>
    <w:rsid w:val="00057997"/>
    <w:rsid w:val="000615CA"/>
    <w:rsid w:val="00062A29"/>
    <w:rsid w:val="000641EA"/>
    <w:rsid w:val="00077E0C"/>
    <w:rsid w:val="00080AC1"/>
    <w:rsid w:val="00080FDA"/>
    <w:rsid w:val="0008362C"/>
    <w:rsid w:val="00084D22"/>
    <w:rsid w:val="000874EE"/>
    <w:rsid w:val="00090D78"/>
    <w:rsid w:val="000A3923"/>
    <w:rsid w:val="000A5344"/>
    <w:rsid w:val="000B1003"/>
    <w:rsid w:val="000B4D1D"/>
    <w:rsid w:val="000B5E42"/>
    <w:rsid w:val="000C0DC9"/>
    <w:rsid w:val="000C4465"/>
    <w:rsid w:val="000C5265"/>
    <w:rsid w:val="000C6AE2"/>
    <w:rsid w:val="000C70ED"/>
    <w:rsid w:val="000D0769"/>
    <w:rsid w:val="000D5E9E"/>
    <w:rsid w:val="000D7C7C"/>
    <w:rsid w:val="000E5045"/>
    <w:rsid w:val="000E70F5"/>
    <w:rsid w:val="000F00C2"/>
    <w:rsid w:val="000F1365"/>
    <w:rsid w:val="000F158D"/>
    <w:rsid w:val="000F19A2"/>
    <w:rsid w:val="000F41F2"/>
    <w:rsid w:val="000F454C"/>
    <w:rsid w:val="000F4804"/>
    <w:rsid w:val="000F5D67"/>
    <w:rsid w:val="000F6359"/>
    <w:rsid w:val="001009D0"/>
    <w:rsid w:val="00100A97"/>
    <w:rsid w:val="00105D9B"/>
    <w:rsid w:val="0010706C"/>
    <w:rsid w:val="00107977"/>
    <w:rsid w:val="00111628"/>
    <w:rsid w:val="001117D5"/>
    <w:rsid w:val="00111A5F"/>
    <w:rsid w:val="00112E92"/>
    <w:rsid w:val="00114DE6"/>
    <w:rsid w:val="0012002E"/>
    <w:rsid w:val="00120DEE"/>
    <w:rsid w:val="001211DB"/>
    <w:rsid w:val="00124E8F"/>
    <w:rsid w:val="00125E02"/>
    <w:rsid w:val="00126E94"/>
    <w:rsid w:val="00131DD7"/>
    <w:rsid w:val="001323C5"/>
    <w:rsid w:val="00133396"/>
    <w:rsid w:val="00133D75"/>
    <w:rsid w:val="00134B81"/>
    <w:rsid w:val="0013581B"/>
    <w:rsid w:val="00136101"/>
    <w:rsid w:val="001362DD"/>
    <w:rsid w:val="001374AE"/>
    <w:rsid w:val="0014011E"/>
    <w:rsid w:val="001405EE"/>
    <w:rsid w:val="00140678"/>
    <w:rsid w:val="00145C70"/>
    <w:rsid w:val="00146209"/>
    <w:rsid w:val="0015187A"/>
    <w:rsid w:val="001518E4"/>
    <w:rsid w:val="00152F7C"/>
    <w:rsid w:val="0015354B"/>
    <w:rsid w:val="00154404"/>
    <w:rsid w:val="00160540"/>
    <w:rsid w:val="001614D2"/>
    <w:rsid w:val="001643BB"/>
    <w:rsid w:val="00167BEA"/>
    <w:rsid w:val="00167EC4"/>
    <w:rsid w:val="0017141B"/>
    <w:rsid w:val="001737C1"/>
    <w:rsid w:val="00181641"/>
    <w:rsid w:val="00184E66"/>
    <w:rsid w:val="00185BD3"/>
    <w:rsid w:val="00187F6F"/>
    <w:rsid w:val="00191475"/>
    <w:rsid w:val="00192EEB"/>
    <w:rsid w:val="00194D80"/>
    <w:rsid w:val="001A20FB"/>
    <w:rsid w:val="001A3221"/>
    <w:rsid w:val="001A4213"/>
    <w:rsid w:val="001A4CF3"/>
    <w:rsid w:val="001A6BD5"/>
    <w:rsid w:val="001B1742"/>
    <w:rsid w:val="001B3DCC"/>
    <w:rsid w:val="001B52D5"/>
    <w:rsid w:val="001B5541"/>
    <w:rsid w:val="001B7C5F"/>
    <w:rsid w:val="001C0AAE"/>
    <w:rsid w:val="001C21F3"/>
    <w:rsid w:val="001C2DE8"/>
    <w:rsid w:val="001D00D9"/>
    <w:rsid w:val="001D3B77"/>
    <w:rsid w:val="001D43B8"/>
    <w:rsid w:val="001D5FD7"/>
    <w:rsid w:val="001D5FF8"/>
    <w:rsid w:val="001D7F8A"/>
    <w:rsid w:val="001E1057"/>
    <w:rsid w:val="001E3FEB"/>
    <w:rsid w:val="001E4146"/>
    <w:rsid w:val="001E4A02"/>
    <w:rsid w:val="001E4BDB"/>
    <w:rsid w:val="001E561D"/>
    <w:rsid w:val="001E7C47"/>
    <w:rsid w:val="001F002D"/>
    <w:rsid w:val="001F0A86"/>
    <w:rsid w:val="001F1515"/>
    <w:rsid w:val="001F1DBC"/>
    <w:rsid w:val="001F2290"/>
    <w:rsid w:val="001F2712"/>
    <w:rsid w:val="001F4175"/>
    <w:rsid w:val="001F5FC7"/>
    <w:rsid w:val="001F6CBD"/>
    <w:rsid w:val="002008EE"/>
    <w:rsid w:val="002024EC"/>
    <w:rsid w:val="0020280A"/>
    <w:rsid w:val="00202BED"/>
    <w:rsid w:val="00206C13"/>
    <w:rsid w:val="00211601"/>
    <w:rsid w:val="00212048"/>
    <w:rsid w:val="0021515C"/>
    <w:rsid w:val="00215EC0"/>
    <w:rsid w:val="00217343"/>
    <w:rsid w:val="0022096C"/>
    <w:rsid w:val="00222359"/>
    <w:rsid w:val="0022351C"/>
    <w:rsid w:val="002256AE"/>
    <w:rsid w:val="00225A8C"/>
    <w:rsid w:val="00225F35"/>
    <w:rsid w:val="00226EA0"/>
    <w:rsid w:val="00227E35"/>
    <w:rsid w:val="00231C49"/>
    <w:rsid w:val="00232D62"/>
    <w:rsid w:val="00234780"/>
    <w:rsid w:val="00234ABC"/>
    <w:rsid w:val="00234B08"/>
    <w:rsid w:val="002367F1"/>
    <w:rsid w:val="00240AAA"/>
    <w:rsid w:val="00240C4D"/>
    <w:rsid w:val="00244BA0"/>
    <w:rsid w:val="0024513F"/>
    <w:rsid w:val="0024633E"/>
    <w:rsid w:val="002463CD"/>
    <w:rsid w:val="0024789C"/>
    <w:rsid w:val="00253690"/>
    <w:rsid w:val="002547B4"/>
    <w:rsid w:val="00255DA0"/>
    <w:rsid w:val="00256348"/>
    <w:rsid w:val="00257D78"/>
    <w:rsid w:val="002600A6"/>
    <w:rsid w:val="002602AE"/>
    <w:rsid w:val="00260315"/>
    <w:rsid w:val="00262E4A"/>
    <w:rsid w:val="002659F1"/>
    <w:rsid w:val="0026623C"/>
    <w:rsid w:val="00266884"/>
    <w:rsid w:val="00272CFC"/>
    <w:rsid w:val="0027580D"/>
    <w:rsid w:val="002803B4"/>
    <w:rsid w:val="00282043"/>
    <w:rsid w:val="00285F0B"/>
    <w:rsid w:val="00287E79"/>
    <w:rsid w:val="00290051"/>
    <w:rsid w:val="00291333"/>
    <w:rsid w:val="002915CA"/>
    <w:rsid w:val="00291E10"/>
    <w:rsid w:val="002928F9"/>
    <w:rsid w:val="00292E9D"/>
    <w:rsid w:val="00293C94"/>
    <w:rsid w:val="002943A9"/>
    <w:rsid w:val="00295A00"/>
    <w:rsid w:val="00295D0E"/>
    <w:rsid w:val="002A00B9"/>
    <w:rsid w:val="002A3A72"/>
    <w:rsid w:val="002A46DA"/>
    <w:rsid w:val="002A5417"/>
    <w:rsid w:val="002A56EF"/>
    <w:rsid w:val="002A5D07"/>
    <w:rsid w:val="002A6DB6"/>
    <w:rsid w:val="002B091D"/>
    <w:rsid w:val="002B104F"/>
    <w:rsid w:val="002B1D84"/>
    <w:rsid w:val="002B4691"/>
    <w:rsid w:val="002B48CC"/>
    <w:rsid w:val="002B6ABC"/>
    <w:rsid w:val="002B748E"/>
    <w:rsid w:val="002C14DA"/>
    <w:rsid w:val="002C336D"/>
    <w:rsid w:val="002C548A"/>
    <w:rsid w:val="002D29E9"/>
    <w:rsid w:val="002D567E"/>
    <w:rsid w:val="002D58BD"/>
    <w:rsid w:val="002D6810"/>
    <w:rsid w:val="002E2EFC"/>
    <w:rsid w:val="002E568E"/>
    <w:rsid w:val="002F35DB"/>
    <w:rsid w:val="002F43FB"/>
    <w:rsid w:val="002F4C05"/>
    <w:rsid w:val="002F5D7F"/>
    <w:rsid w:val="002F5FD6"/>
    <w:rsid w:val="002F7587"/>
    <w:rsid w:val="002F7908"/>
    <w:rsid w:val="003001ED"/>
    <w:rsid w:val="00300742"/>
    <w:rsid w:val="00301258"/>
    <w:rsid w:val="003016B7"/>
    <w:rsid w:val="003024E6"/>
    <w:rsid w:val="00306365"/>
    <w:rsid w:val="00307F72"/>
    <w:rsid w:val="0031535D"/>
    <w:rsid w:val="0031690B"/>
    <w:rsid w:val="00317039"/>
    <w:rsid w:val="00317D69"/>
    <w:rsid w:val="00322584"/>
    <w:rsid w:val="00331D8D"/>
    <w:rsid w:val="0033388B"/>
    <w:rsid w:val="00333DB9"/>
    <w:rsid w:val="003340E6"/>
    <w:rsid w:val="0033438B"/>
    <w:rsid w:val="003415EB"/>
    <w:rsid w:val="00343E6F"/>
    <w:rsid w:val="0034488B"/>
    <w:rsid w:val="003473D3"/>
    <w:rsid w:val="00347FE6"/>
    <w:rsid w:val="003503C9"/>
    <w:rsid w:val="003515AA"/>
    <w:rsid w:val="0035392C"/>
    <w:rsid w:val="00354683"/>
    <w:rsid w:val="00356892"/>
    <w:rsid w:val="0036062F"/>
    <w:rsid w:val="003642AE"/>
    <w:rsid w:val="00365471"/>
    <w:rsid w:val="0036691E"/>
    <w:rsid w:val="003711B4"/>
    <w:rsid w:val="0037166E"/>
    <w:rsid w:val="003716E8"/>
    <w:rsid w:val="00371B0D"/>
    <w:rsid w:val="00373586"/>
    <w:rsid w:val="00374106"/>
    <w:rsid w:val="0037514A"/>
    <w:rsid w:val="00376274"/>
    <w:rsid w:val="00376764"/>
    <w:rsid w:val="0038152B"/>
    <w:rsid w:val="00384615"/>
    <w:rsid w:val="00385901"/>
    <w:rsid w:val="00387BD4"/>
    <w:rsid w:val="00395DF8"/>
    <w:rsid w:val="00397510"/>
    <w:rsid w:val="003976D5"/>
    <w:rsid w:val="003A026F"/>
    <w:rsid w:val="003A307A"/>
    <w:rsid w:val="003A4201"/>
    <w:rsid w:val="003A49F9"/>
    <w:rsid w:val="003A530F"/>
    <w:rsid w:val="003A6419"/>
    <w:rsid w:val="003A6B8C"/>
    <w:rsid w:val="003B20FA"/>
    <w:rsid w:val="003B3D59"/>
    <w:rsid w:val="003B6FBE"/>
    <w:rsid w:val="003C0082"/>
    <w:rsid w:val="003C2F58"/>
    <w:rsid w:val="003C3EA8"/>
    <w:rsid w:val="003D0743"/>
    <w:rsid w:val="003D390E"/>
    <w:rsid w:val="003D41CB"/>
    <w:rsid w:val="003D4ACE"/>
    <w:rsid w:val="003D4E5E"/>
    <w:rsid w:val="003D6A83"/>
    <w:rsid w:val="003D6C68"/>
    <w:rsid w:val="003E2970"/>
    <w:rsid w:val="003E2C80"/>
    <w:rsid w:val="003E4325"/>
    <w:rsid w:val="003E53EE"/>
    <w:rsid w:val="003F0515"/>
    <w:rsid w:val="003F0697"/>
    <w:rsid w:val="003F21BF"/>
    <w:rsid w:val="003F2C0B"/>
    <w:rsid w:val="003F342B"/>
    <w:rsid w:val="0040267F"/>
    <w:rsid w:val="00404BB3"/>
    <w:rsid w:val="00406EFA"/>
    <w:rsid w:val="0041053B"/>
    <w:rsid w:val="00412EC4"/>
    <w:rsid w:val="0041313B"/>
    <w:rsid w:val="0041370F"/>
    <w:rsid w:val="004151E1"/>
    <w:rsid w:val="004159D0"/>
    <w:rsid w:val="00415AA4"/>
    <w:rsid w:val="00417720"/>
    <w:rsid w:val="00417BDD"/>
    <w:rsid w:val="00421C9E"/>
    <w:rsid w:val="00422873"/>
    <w:rsid w:val="0042307A"/>
    <w:rsid w:val="00423CBA"/>
    <w:rsid w:val="00433A7F"/>
    <w:rsid w:val="00433FCF"/>
    <w:rsid w:val="004340E2"/>
    <w:rsid w:val="00437DD7"/>
    <w:rsid w:val="00440C2F"/>
    <w:rsid w:val="0044102B"/>
    <w:rsid w:val="004432DD"/>
    <w:rsid w:val="004440B1"/>
    <w:rsid w:val="00445C04"/>
    <w:rsid w:val="00447F32"/>
    <w:rsid w:val="004517E0"/>
    <w:rsid w:val="00451B8A"/>
    <w:rsid w:val="00456312"/>
    <w:rsid w:val="00460387"/>
    <w:rsid w:val="0046285F"/>
    <w:rsid w:val="00466001"/>
    <w:rsid w:val="004675EA"/>
    <w:rsid w:val="00472DDC"/>
    <w:rsid w:val="004741C5"/>
    <w:rsid w:val="0047614F"/>
    <w:rsid w:val="00480EED"/>
    <w:rsid w:val="00481B2C"/>
    <w:rsid w:val="0048357A"/>
    <w:rsid w:val="00486B26"/>
    <w:rsid w:val="00493E95"/>
    <w:rsid w:val="00494110"/>
    <w:rsid w:val="00494FB8"/>
    <w:rsid w:val="00497572"/>
    <w:rsid w:val="004A0475"/>
    <w:rsid w:val="004A29D4"/>
    <w:rsid w:val="004A6BFB"/>
    <w:rsid w:val="004B1E89"/>
    <w:rsid w:val="004B38CF"/>
    <w:rsid w:val="004B5696"/>
    <w:rsid w:val="004B6984"/>
    <w:rsid w:val="004B73F7"/>
    <w:rsid w:val="004C11C8"/>
    <w:rsid w:val="004C2374"/>
    <w:rsid w:val="004C43D7"/>
    <w:rsid w:val="004D0A11"/>
    <w:rsid w:val="004D4034"/>
    <w:rsid w:val="004D5C15"/>
    <w:rsid w:val="004D732D"/>
    <w:rsid w:val="004D7DBA"/>
    <w:rsid w:val="004E159B"/>
    <w:rsid w:val="004E244C"/>
    <w:rsid w:val="004E3873"/>
    <w:rsid w:val="004E58F5"/>
    <w:rsid w:val="004F05C0"/>
    <w:rsid w:val="004F4E08"/>
    <w:rsid w:val="004F676F"/>
    <w:rsid w:val="004F6BA5"/>
    <w:rsid w:val="004F734A"/>
    <w:rsid w:val="00500005"/>
    <w:rsid w:val="00500233"/>
    <w:rsid w:val="00503536"/>
    <w:rsid w:val="0050430D"/>
    <w:rsid w:val="00506558"/>
    <w:rsid w:val="00511D45"/>
    <w:rsid w:val="00512377"/>
    <w:rsid w:val="00514AFE"/>
    <w:rsid w:val="00515C7F"/>
    <w:rsid w:val="00516BC2"/>
    <w:rsid w:val="005170B7"/>
    <w:rsid w:val="00522A24"/>
    <w:rsid w:val="00525E1A"/>
    <w:rsid w:val="00530EDA"/>
    <w:rsid w:val="00531A5E"/>
    <w:rsid w:val="0053288F"/>
    <w:rsid w:val="005334DB"/>
    <w:rsid w:val="00535258"/>
    <w:rsid w:val="0053594C"/>
    <w:rsid w:val="00541DE2"/>
    <w:rsid w:val="00542957"/>
    <w:rsid w:val="00543D5E"/>
    <w:rsid w:val="005447BD"/>
    <w:rsid w:val="00553D84"/>
    <w:rsid w:val="00554D1E"/>
    <w:rsid w:val="00556F58"/>
    <w:rsid w:val="005605DA"/>
    <w:rsid w:val="00560D50"/>
    <w:rsid w:val="0056531B"/>
    <w:rsid w:val="00565C55"/>
    <w:rsid w:val="005678CC"/>
    <w:rsid w:val="00570EDE"/>
    <w:rsid w:val="00571F41"/>
    <w:rsid w:val="0057340C"/>
    <w:rsid w:val="00573DA7"/>
    <w:rsid w:val="00575E68"/>
    <w:rsid w:val="00577243"/>
    <w:rsid w:val="00582CD2"/>
    <w:rsid w:val="00583002"/>
    <w:rsid w:val="00583450"/>
    <w:rsid w:val="00583F4E"/>
    <w:rsid w:val="00586ECB"/>
    <w:rsid w:val="00587DBC"/>
    <w:rsid w:val="00590A49"/>
    <w:rsid w:val="005934A9"/>
    <w:rsid w:val="00595041"/>
    <w:rsid w:val="005A1802"/>
    <w:rsid w:val="005A4C85"/>
    <w:rsid w:val="005A749E"/>
    <w:rsid w:val="005A7AD2"/>
    <w:rsid w:val="005B11B6"/>
    <w:rsid w:val="005B151B"/>
    <w:rsid w:val="005B4E8A"/>
    <w:rsid w:val="005B58EA"/>
    <w:rsid w:val="005C03E9"/>
    <w:rsid w:val="005C3E62"/>
    <w:rsid w:val="005C4BC9"/>
    <w:rsid w:val="005D0803"/>
    <w:rsid w:val="005D3822"/>
    <w:rsid w:val="005D5EEF"/>
    <w:rsid w:val="005E44F2"/>
    <w:rsid w:val="005E488B"/>
    <w:rsid w:val="005E56C0"/>
    <w:rsid w:val="005E5781"/>
    <w:rsid w:val="005E5D1F"/>
    <w:rsid w:val="005E7316"/>
    <w:rsid w:val="005F13D5"/>
    <w:rsid w:val="005F1795"/>
    <w:rsid w:val="005F3ABE"/>
    <w:rsid w:val="005F52F5"/>
    <w:rsid w:val="00600550"/>
    <w:rsid w:val="00603340"/>
    <w:rsid w:val="006044E2"/>
    <w:rsid w:val="006055F6"/>
    <w:rsid w:val="006063DF"/>
    <w:rsid w:val="0060644A"/>
    <w:rsid w:val="006078CF"/>
    <w:rsid w:val="00611D43"/>
    <w:rsid w:val="00612D48"/>
    <w:rsid w:val="0061416C"/>
    <w:rsid w:val="00616721"/>
    <w:rsid w:val="00616B45"/>
    <w:rsid w:val="00620144"/>
    <w:rsid w:val="0062248F"/>
    <w:rsid w:val="00625989"/>
    <w:rsid w:val="00625F71"/>
    <w:rsid w:val="00627491"/>
    <w:rsid w:val="0062768F"/>
    <w:rsid w:val="00630446"/>
    <w:rsid w:val="00630D9B"/>
    <w:rsid w:val="00631816"/>
    <w:rsid w:val="00631953"/>
    <w:rsid w:val="00633C79"/>
    <w:rsid w:val="0063654F"/>
    <w:rsid w:val="00637278"/>
    <w:rsid w:val="00640F05"/>
    <w:rsid w:val="0064237D"/>
    <w:rsid w:val="006439EC"/>
    <w:rsid w:val="00643E90"/>
    <w:rsid w:val="006440F2"/>
    <w:rsid w:val="00644930"/>
    <w:rsid w:val="006502F5"/>
    <w:rsid w:val="00650A66"/>
    <w:rsid w:val="006512B0"/>
    <w:rsid w:val="0065555A"/>
    <w:rsid w:val="00657DF3"/>
    <w:rsid w:val="0066045A"/>
    <w:rsid w:val="006608F4"/>
    <w:rsid w:val="006611D7"/>
    <w:rsid w:val="00662938"/>
    <w:rsid w:val="00662F6F"/>
    <w:rsid w:val="00664929"/>
    <w:rsid w:val="00665F88"/>
    <w:rsid w:val="0066623C"/>
    <w:rsid w:val="0066666B"/>
    <w:rsid w:val="00666BDB"/>
    <w:rsid w:val="00667C27"/>
    <w:rsid w:val="00667C80"/>
    <w:rsid w:val="00674A6E"/>
    <w:rsid w:val="00680786"/>
    <w:rsid w:val="00680A73"/>
    <w:rsid w:val="00680CA2"/>
    <w:rsid w:val="00681DEE"/>
    <w:rsid w:val="00682769"/>
    <w:rsid w:val="00683754"/>
    <w:rsid w:val="006850AE"/>
    <w:rsid w:val="006864B3"/>
    <w:rsid w:val="00687375"/>
    <w:rsid w:val="00692745"/>
    <w:rsid w:val="00692929"/>
    <w:rsid w:val="00693BD5"/>
    <w:rsid w:val="00693C64"/>
    <w:rsid w:val="0069597D"/>
    <w:rsid w:val="006A268D"/>
    <w:rsid w:val="006A2E56"/>
    <w:rsid w:val="006A2F34"/>
    <w:rsid w:val="006A3747"/>
    <w:rsid w:val="006A39D2"/>
    <w:rsid w:val="006A5083"/>
    <w:rsid w:val="006B0BE6"/>
    <w:rsid w:val="006B0E83"/>
    <w:rsid w:val="006B1BF3"/>
    <w:rsid w:val="006B2848"/>
    <w:rsid w:val="006B337C"/>
    <w:rsid w:val="006B4590"/>
    <w:rsid w:val="006B57A3"/>
    <w:rsid w:val="006B5B14"/>
    <w:rsid w:val="006B699F"/>
    <w:rsid w:val="006B75A4"/>
    <w:rsid w:val="006C2692"/>
    <w:rsid w:val="006C2A57"/>
    <w:rsid w:val="006C340C"/>
    <w:rsid w:val="006C407C"/>
    <w:rsid w:val="006C53D2"/>
    <w:rsid w:val="006C63F6"/>
    <w:rsid w:val="006D0081"/>
    <w:rsid w:val="006D1229"/>
    <w:rsid w:val="006D1C87"/>
    <w:rsid w:val="006D3201"/>
    <w:rsid w:val="006D51F3"/>
    <w:rsid w:val="006D5202"/>
    <w:rsid w:val="006E0D03"/>
    <w:rsid w:val="006E2D23"/>
    <w:rsid w:val="006E34FA"/>
    <w:rsid w:val="006E46F2"/>
    <w:rsid w:val="006E51C4"/>
    <w:rsid w:val="006E605F"/>
    <w:rsid w:val="006E7790"/>
    <w:rsid w:val="006F05D7"/>
    <w:rsid w:val="006F28DD"/>
    <w:rsid w:val="006F326C"/>
    <w:rsid w:val="006F4303"/>
    <w:rsid w:val="006F4699"/>
    <w:rsid w:val="006F4DC3"/>
    <w:rsid w:val="006F5C01"/>
    <w:rsid w:val="006F62DF"/>
    <w:rsid w:val="006F645E"/>
    <w:rsid w:val="006F7B29"/>
    <w:rsid w:val="006F7E53"/>
    <w:rsid w:val="0070347C"/>
    <w:rsid w:val="00704C0B"/>
    <w:rsid w:val="007053C7"/>
    <w:rsid w:val="00707EA7"/>
    <w:rsid w:val="007101CF"/>
    <w:rsid w:val="00710E79"/>
    <w:rsid w:val="0071495A"/>
    <w:rsid w:val="0071504F"/>
    <w:rsid w:val="00715B13"/>
    <w:rsid w:val="0071759E"/>
    <w:rsid w:val="007176C1"/>
    <w:rsid w:val="00723A46"/>
    <w:rsid w:val="007250DF"/>
    <w:rsid w:val="00726279"/>
    <w:rsid w:val="00730775"/>
    <w:rsid w:val="007326EF"/>
    <w:rsid w:val="00733CB8"/>
    <w:rsid w:val="007357CB"/>
    <w:rsid w:val="00735AB7"/>
    <w:rsid w:val="00735E3B"/>
    <w:rsid w:val="007378E1"/>
    <w:rsid w:val="0074366C"/>
    <w:rsid w:val="0074475E"/>
    <w:rsid w:val="00744EFF"/>
    <w:rsid w:val="00745BD9"/>
    <w:rsid w:val="00750449"/>
    <w:rsid w:val="007578EE"/>
    <w:rsid w:val="0076045C"/>
    <w:rsid w:val="00760F5E"/>
    <w:rsid w:val="00761A5C"/>
    <w:rsid w:val="00761C04"/>
    <w:rsid w:val="00762980"/>
    <w:rsid w:val="007634FF"/>
    <w:rsid w:val="00763DDA"/>
    <w:rsid w:val="007641CF"/>
    <w:rsid w:val="0076443D"/>
    <w:rsid w:val="0077526F"/>
    <w:rsid w:val="0077558D"/>
    <w:rsid w:val="00776F1F"/>
    <w:rsid w:val="00776F30"/>
    <w:rsid w:val="0078188E"/>
    <w:rsid w:val="00781E77"/>
    <w:rsid w:val="00783E34"/>
    <w:rsid w:val="00784747"/>
    <w:rsid w:val="00785A16"/>
    <w:rsid w:val="007862C2"/>
    <w:rsid w:val="0079059B"/>
    <w:rsid w:val="00791AED"/>
    <w:rsid w:val="00792AF6"/>
    <w:rsid w:val="00793949"/>
    <w:rsid w:val="00795E88"/>
    <w:rsid w:val="007962FC"/>
    <w:rsid w:val="00797079"/>
    <w:rsid w:val="007A0C44"/>
    <w:rsid w:val="007A13B7"/>
    <w:rsid w:val="007A28AF"/>
    <w:rsid w:val="007A2F44"/>
    <w:rsid w:val="007A6007"/>
    <w:rsid w:val="007A6E83"/>
    <w:rsid w:val="007A78E1"/>
    <w:rsid w:val="007B0192"/>
    <w:rsid w:val="007B13C0"/>
    <w:rsid w:val="007B5711"/>
    <w:rsid w:val="007C0240"/>
    <w:rsid w:val="007C20A8"/>
    <w:rsid w:val="007C3705"/>
    <w:rsid w:val="007C3D95"/>
    <w:rsid w:val="007C3DD4"/>
    <w:rsid w:val="007C7A94"/>
    <w:rsid w:val="007D10C9"/>
    <w:rsid w:val="007D152F"/>
    <w:rsid w:val="007D74C5"/>
    <w:rsid w:val="007D79DA"/>
    <w:rsid w:val="007E3F87"/>
    <w:rsid w:val="007E5AEE"/>
    <w:rsid w:val="007E5D34"/>
    <w:rsid w:val="007F1318"/>
    <w:rsid w:val="007F2A54"/>
    <w:rsid w:val="007F55CB"/>
    <w:rsid w:val="007F6341"/>
    <w:rsid w:val="00803056"/>
    <w:rsid w:val="00804BDE"/>
    <w:rsid w:val="00806BCF"/>
    <w:rsid w:val="0081073E"/>
    <w:rsid w:val="00810CCB"/>
    <w:rsid w:val="00811377"/>
    <w:rsid w:val="00812438"/>
    <w:rsid w:val="00820F32"/>
    <w:rsid w:val="00821311"/>
    <w:rsid w:val="00821AE2"/>
    <w:rsid w:val="0082289C"/>
    <w:rsid w:val="00822CC2"/>
    <w:rsid w:val="008231A8"/>
    <w:rsid w:val="0082326B"/>
    <w:rsid w:val="008250C5"/>
    <w:rsid w:val="00826F2D"/>
    <w:rsid w:val="00834541"/>
    <w:rsid w:val="00836C8D"/>
    <w:rsid w:val="00840463"/>
    <w:rsid w:val="00841A0E"/>
    <w:rsid w:val="008433F8"/>
    <w:rsid w:val="008446F1"/>
    <w:rsid w:val="00844750"/>
    <w:rsid w:val="00850E6D"/>
    <w:rsid w:val="008526ED"/>
    <w:rsid w:val="00852987"/>
    <w:rsid w:val="00852CD3"/>
    <w:rsid w:val="00860D8F"/>
    <w:rsid w:val="00862B9F"/>
    <w:rsid w:val="00862F0E"/>
    <w:rsid w:val="008659BF"/>
    <w:rsid w:val="008729E8"/>
    <w:rsid w:val="0087391E"/>
    <w:rsid w:val="008742F1"/>
    <w:rsid w:val="008760FF"/>
    <w:rsid w:val="008767B1"/>
    <w:rsid w:val="00876A2D"/>
    <w:rsid w:val="00880A99"/>
    <w:rsid w:val="00884366"/>
    <w:rsid w:val="00885E76"/>
    <w:rsid w:val="0088790C"/>
    <w:rsid w:val="00890571"/>
    <w:rsid w:val="00892DA4"/>
    <w:rsid w:val="00896DE5"/>
    <w:rsid w:val="008A079E"/>
    <w:rsid w:val="008B44C4"/>
    <w:rsid w:val="008B57FE"/>
    <w:rsid w:val="008B61D3"/>
    <w:rsid w:val="008B76D9"/>
    <w:rsid w:val="008C140E"/>
    <w:rsid w:val="008C5B90"/>
    <w:rsid w:val="008D152C"/>
    <w:rsid w:val="008D224D"/>
    <w:rsid w:val="008D2953"/>
    <w:rsid w:val="008D7020"/>
    <w:rsid w:val="008E0A6E"/>
    <w:rsid w:val="008E36E4"/>
    <w:rsid w:val="008E4F27"/>
    <w:rsid w:val="008E54A4"/>
    <w:rsid w:val="008E7FAE"/>
    <w:rsid w:val="008F4D3E"/>
    <w:rsid w:val="008F78AC"/>
    <w:rsid w:val="009040FF"/>
    <w:rsid w:val="009111CF"/>
    <w:rsid w:val="00911BF7"/>
    <w:rsid w:val="009213B8"/>
    <w:rsid w:val="00921885"/>
    <w:rsid w:val="009223DA"/>
    <w:rsid w:val="00922E03"/>
    <w:rsid w:val="009259FC"/>
    <w:rsid w:val="00925A20"/>
    <w:rsid w:val="009261F4"/>
    <w:rsid w:val="00927164"/>
    <w:rsid w:val="00932D2F"/>
    <w:rsid w:val="00934DDB"/>
    <w:rsid w:val="00941D18"/>
    <w:rsid w:val="0094258B"/>
    <w:rsid w:val="00944458"/>
    <w:rsid w:val="009470C6"/>
    <w:rsid w:val="00950281"/>
    <w:rsid w:val="00952197"/>
    <w:rsid w:val="009534DC"/>
    <w:rsid w:val="0095701F"/>
    <w:rsid w:val="00960299"/>
    <w:rsid w:val="00961807"/>
    <w:rsid w:val="00963751"/>
    <w:rsid w:val="00963A8F"/>
    <w:rsid w:val="0096597D"/>
    <w:rsid w:val="00965D40"/>
    <w:rsid w:val="0096602F"/>
    <w:rsid w:val="009672A7"/>
    <w:rsid w:val="00970090"/>
    <w:rsid w:val="009711E4"/>
    <w:rsid w:val="00972955"/>
    <w:rsid w:val="00972F9F"/>
    <w:rsid w:val="009776AE"/>
    <w:rsid w:val="00977EC8"/>
    <w:rsid w:val="00982942"/>
    <w:rsid w:val="00985C36"/>
    <w:rsid w:val="00987E59"/>
    <w:rsid w:val="00994B9C"/>
    <w:rsid w:val="00997AB9"/>
    <w:rsid w:val="009A16F7"/>
    <w:rsid w:val="009A2E50"/>
    <w:rsid w:val="009A645A"/>
    <w:rsid w:val="009A6C7E"/>
    <w:rsid w:val="009B109D"/>
    <w:rsid w:val="009B51D0"/>
    <w:rsid w:val="009B52BA"/>
    <w:rsid w:val="009C251F"/>
    <w:rsid w:val="009C33EC"/>
    <w:rsid w:val="009D019D"/>
    <w:rsid w:val="009D3A8C"/>
    <w:rsid w:val="009D4052"/>
    <w:rsid w:val="009D4165"/>
    <w:rsid w:val="009D4383"/>
    <w:rsid w:val="009D6544"/>
    <w:rsid w:val="009E1110"/>
    <w:rsid w:val="009E1C13"/>
    <w:rsid w:val="009E49D8"/>
    <w:rsid w:val="009E5479"/>
    <w:rsid w:val="009E5E31"/>
    <w:rsid w:val="009E6779"/>
    <w:rsid w:val="009E7956"/>
    <w:rsid w:val="009F4A78"/>
    <w:rsid w:val="009F68F6"/>
    <w:rsid w:val="00A01948"/>
    <w:rsid w:val="00A02983"/>
    <w:rsid w:val="00A037C8"/>
    <w:rsid w:val="00A03BD0"/>
    <w:rsid w:val="00A05F77"/>
    <w:rsid w:val="00A0781B"/>
    <w:rsid w:val="00A07F45"/>
    <w:rsid w:val="00A10BD3"/>
    <w:rsid w:val="00A126BE"/>
    <w:rsid w:val="00A2124B"/>
    <w:rsid w:val="00A2235E"/>
    <w:rsid w:val="00A2492E"/>
    <w:rsid w:val="00A30673"/>
    <w:rsid w:val="00A31768"/>
    <w:rsid w:val="00A35680"/>
    <w:rsid w:val="00A358FF"/>
    <w:rsid w:val="00A40CED"/>
    <w:rsid w:val="00A41D8E"/>
    <w:rsid w:val="00A42F46"/>
    <w:rsid w:val="00A46D1F"/>
    <w:rsid w:val="00A5318F"/>
    <w:rsid w:val="00A53378"/>
    <w:rsid w:val="00A545EB"/>
    <w:rsid w:val="00A5664A"/>
    <w:rsid w:val="00A57004"/>
    <w:rsid w:val="00A60175"/>
    <w:rsid w:val="00A62078"/>
    <w:rsid w:val="00A620BC"/>
    <w:rsid w:val="00A63372"/>
    <w:rsid w:val="00A63D95"/>
    <w:rsid w:val="00A657AD"/>
    <w:rsid w:val="00A67946"/>
    <w:rsid w:val="00A67F9D"/>
    <w:rsid w:val="00A737EC"/>
    <w:rsid w:val="00A756D8"/>
    <w:rsid w:val="00A757CA"/>
    <w:rsid w:val="00A83183"/>
    <w:rsid w:val="00A90844"/>
    <w:rsid w:val="00A90911"/>
    <w:rsid w:val="00A90C69"/>
    <w:rsid w:val="00A9102B"/>
    <w:rsid w:val="00A91939"/>
    <w:rsid w:val="00A92F74"/>
    <w:rsid w:val="00A9600F"/>
    <w:rsid w:val="00AA16A9"/>
    <w:rsid w:val="00AA45C0"/>
    <w:rsid w:val="00AA5DF6"/>
    <w:rsid w:val="00AB3E47"/>
    <w:rsid w:val="00AB4E40"/>
    <w:rsid w:val="00AB5F09"/>
    <w:rsid w:val="00AC2729"/>
    <w:rsid w:val="00AC3A3A"/>
    <w:rsid w:val="00AC444C"/>
    <w:rsid w:val="00AC5022"/>
    <w:rsid w:val="00AC67A1"/>
    <w:rsid w:val="00AC7977"/>
    <w:rsid w:val="00AD0C3F"/>
    <w:rsid w:val="00AD25F2"/>
    <w:rsid w:val="00AD2C6B"/>
    <w:rsid w:val="00AD2EF8"/>
    <w:rsid w:val="00AD336E"/>
    <w:rsid w:val="00AD52EE"/>
    <w:rsid w:val="00AE1FAA"/>
    <w:rsid w:val="00AE25D9"/>
    <w:rsid w:val="00AE2845"/>
    <w:rsid w:val="00AE2CE2"/>
    <w:rsid w:val="00AE352C"/>
    <w:rsid w:val="00AE4DD5"/>
    <w:rsid w:val="00AE5D56"/>
    <w:rsid w:val="00AE733B"/>
    <w:rsid w:val="00AE7F39"/>
    <w:rsid w:val="00AF0EBF"/>
    <w:rsid w:val="00AF182E"/>
    <w:rsid w:val="00AF3D1D"/>
    <w:rsid w:val="00AF571C"/>
    <w:rsid w:val="00AF6EEB"/>
    <w:rsid w:val="00AF7FF8"/>
    <w:rsid w:val="00B01366"/>
    <w:rsid w:val="00B06ACF"/>
    <w:rsid w:val="00B06C71"/>
    <w:rsid w:val="00B1072A"/>
    <w:rsid w:val="00B114ED"/>
    <w:rsid w:val="00B11973"/>
    <w:rsid w:val="00B11C4D"/>
    <w:rsid w:val="00B13737"/>
    <w:rsid w:val="00B139B1"/>
    <w:rsid w:val="00B13D6C"/>
    <w:rsid w:val="00B16D50"/>
    <w:rsid w:val="00B16E92"/>
    <w:rsid w:val="00B177DD"/>
    <w:rsid w:val="00B17A69"/>
    <w:rsid w:val="00B2057F"/>
    <w:rsid w:val="00B20A0C"/>
    <w:rsid w:val="00B222A4"/>
    <w:rsid w:val="00B2623C"/>
    <w:rsid w:val="00B269B1"/>
    <w:rsid w:val="00B319E3"/>
    <w:rsid w:val="00B319F3"/>
    <w:rsid w:val="00B32E2D"/>
    <w:rsid w:val="00B34580"/>
    <w:rsid w:val="00B36B0D"/>
    <w:rsid w:val="00B36B60"/>
    <w:rsid w:val="00B42EB8"/>
    <w:rsid w:val="00B4577C"/>
    <w:rsid w:val="00B547A4"/>
    <w:rsid w:val="00B55DA4"/>
    <w:rsid w:val="00B564D9"/>
    <w:rsid w:val="00B56CAC"/>
    <w:rsid w:val="00B57ED3"/>
    <w:rsid w:val="00B61990"/>
    <w:rsid w:val="00B62649"/>
    <w:rsid w:val="00B64486"/>
    <w:rsid w:val="00B67DE7"/>
    <w:rsid w:val="00B7089F"/>
    <w:rsid w:val="00B71466"/>
    <w:rsid w:val="00B75770"/>
    <w:rsid w:val="00B75891"/>
    <w:rsid w:val="00B84731"/>
    <w:rsid w:val="00B8528E"/>
    <w:rsid w:val="00B863DB"/>
    <w:rsid w:val="00B90046"/>
    <w:rsid w:val="00B95E4A"/>
    <w:rsid w:val="00B96633"/>
    <w:rsid w:val="00B966E2"/>
    <w:rsid w:val="00BA32D4"/>
    <w:rsid w:val="00BA6084"/>
    <w:rsid w:val="00BA6108"/>
    <w:rsid w:val="00BA6DE7"/>
    <w:rsid w:val="00BB0169"/>
    <w:rsid w:val="00BB2194"/>
    <w:rsid w:val="00BB2A7B"/>
    <w:rsid w:val="00BB5E2E"/>
    <w:rsid w:val="00BB6113"/>
    <w:rsid w:val="00BB6B40"/>
    <w:rsid w:val="00BB789E"/>
    <w:rsid w:val="00BC06E0"/>
    <w:rsid w:val="00BC08D7"/>
    <w:rsid w:val="00BC12FC"/>
    <w:rsid w:val="00BC16D2"/>
    <w:rsid w:val="00BC4156"/>
    <w:rsid w:val="00BC4817"/>
    <w:rsid w:val="00BC5A58"/>
    <w:rsid w:val="00BC5D2D"/>
    <w:rsid w:val="00BD1E7C"/>
    <w:rsid w:val="00BD4B5A"/>
    <w:rsid w:val="00BD4F0C"/>
    <w:rsid w:val="00BE0732"/>
    <w:rsid w:val="00BE2876"/>
    <w:rsid w:val="00BE60E7"/>
    <w:rsid w:val="00BF0556"/>
    <w:rsid w:val="00BF0E8E"/>
    <w:rsid w:val="00BF20AF"/>
    <w:rsid w:val="00BF292C"/>
    <w:rsid w:val="00BF59D3"/>
    <w:rsid w:val="00BF7403"/>
    <w:rsid w:val="00BF7450"/>
    <w:rsid w:val="00BF7933"/>
    <w:rsid w:val="00C00143"/>
    <w:rsid w:val="00C0279A"/>
    <w:rsid w:val="00C04964"/>
    <w:rsid w:val="00C049F7"/>
    <w:rsid w:val="00C05672"/>
    <w:rsid w:val="00C116A8"/>
    <w:rsid w:val="00C12520"/>
    <w:rsid w:val="00C152C7"/>
    <w:rsid w:val="00C15805"/>
    <w:rsid w:val="00C167D1"/>
    <w:rsid w:val="00C1711F"/>
    <w:rsid w:val="00C179C0"/>
    <w:rsid w:val="00C21BA8"/>
    <w:rsid w:val="00C2349F"/>
    <w:rsid w:val="00C23D6A"/>
    <w:rsid w:val="00C245B2"/>
    <w:rsid w:val="00C25387"/>
    <w:rsid w:val="00C261F8"/>
    <w:rsid w:val="00C302C2"/>
    <w:rsid w:val="00C33100"/>
    <w:rsid w:val="00C336DE"/>
    <w:rsid w:val="00C34991"/>
    <w:rsid w:val="00C364CB"/>
    <w:rsid w:val="00C37A49"/>
    <w:rsid w:val="00C37EBE"/>
    <w:rsid w:val="00C419BA"/>
    <w:rsid w:val="00C42BDF"/>
    <w:rsid w:val="00C42D54"/>
    <w:rsid w:val="00C42EE8"/>
    <w:rsid w:val="00C43D19"/>
    <w:rsid w:val="00C43E5A"/>
    <w:rsid w:val="00C45C3D"/>
    <w:rsid w:val="00C45EA1"/>
    <w:rsid w:val="00C46E90"/>
    <w:rsid w:val="00C4716E"/>
    <w:rsid w:val="00C51636"/>
    <w:rsid w:val="00C51A28"/>
    <w:rsid w:val="00C5293F"/>
    <w:rsid w:val="00C53508"/>
    <w:rsid w:val="00C540CC"/>
    <w:rsid w:val="00C543D3"/>
    <w:rsid w:val="00C56187"/>
    <w:rsid w:val="00C56F5D"/>
    <w:rsid w:val="00C60528"/>
    <w:rsid w:val="00C62E37"/>
    <w:rsid w:val="00C64E2D"/>
    <w:rsid w:val="00C64F3E"/>
    <w:rsid w:val="00C65EAC"/>
    <w:rsid w:val="00C66324"/>
    <w:rsid w:val="00C67416"/>
    <w:rsid w:val="00C73CFA"/>
    <w:rsid w:val="00C73F4E"/>
    <w:rsid w:val="00C74D4B"/>
    <w:rsid w:val="00C76A82"/>
    <w:rsid w:val="00C771A9"/>
    <w:rsid w:val="00C862E9"/>
    <w:rsid w:val="00C87862"/>
    <w:rsid w:val="00C906B4"/>
    <w:rsid w:val="00C952C2"/>
    <w:rsid w:val="00C9719A"/>
    <w:rsid w:val="00C97255"/>
    <w:rsid w:val="00C97725"/>
    <w:rsid w:val="00CA43F5"/>
    <w:rsid w:val="00CA47D5"/>
    <w:rsid w:val="00CB04F5"/>
    <w:rsid w:val="00CB15F8"/>
    <w:rsid w:val="00CB3624"/>
    <w:rsid w:val="00CC15F7"/>
    <w:rsid w:val="00CC2453"/>
    <w:rsid w:val="00CC5F3B"/>
    <w:rsid w:val="00CC7650"/>
    <w:rsid w:val="00CD1053"/>
    <w:rsid w:val="00CD1A71"/>
    <w:rsid w:val="00CD1FBB"/>
    <w:rsid w:val="00CD32D6"/>
    <w:rsid w:val="00CD32E7"/>
    <w:rsid w:val="00CD4F6F"/>
    <w:rsid w:val="00CD78F2"/>
    <w:rsid w:val="00CE10F2"/>
    <w:rsid w:val="00CE284A"/>
    <w:rsid w:val="00CE2D83"/>
    <w:rsid w:val="00CE3F27"/>
    <w:rsid w:val="00CE5ADF"/>
    <w:rsid w:val="00CE6D6F"/>
    <w:rsid w:val="00CE6DEB"/>
    <w:rsid w:val="00CE726C"/>
    <w:rsid w:val="00CF51BA"/>
    <w:rsid w:val="00CF5BFD"/>
    <w:rsid w:val="00CF61D7"/>
    <w:rsid w:val="00CF7CDB"/>
    <w:rsid w:val="00D016B5"/>
    <w:rsid w:val="00D0237F"/>
    <w:rsid w:val="00D02BC4"/>
    <w:rsid w:val="00D02BD8"/>
    <w:rsid w:val="00D034F1"/>
    <w:rsid w:val="00D052FC"/>
    <w:rsid w:val="00D05340"/>
    <w:rsid w:val="00D06D23"/>
    <w:rsid w:val="00D126BB"/>
    <w:rsid w:val="00D12BDA"/>
    <w:rsid w:val="00D138C7"/>
    <w:rsid w:val="00D13A8C"/>
    <w:rsid w:val="00D148E4"/>
    <w:rsid w:val="00D162AC"/>
    <w:rsid w:val="00D16E3E"/>
    <w:rsid w:val="00D1710B"/>
    <w:rsid w:val="00D17A6A"/>
    <w:rsid w:val="00D22E0B"/>
    <w:rsid w:val="00D25F35"/>
    <w:rsid w:val="00D2603E"/>
    <w:rsid w:val="00D26C3B"/>
    <w:rsid w:val="00D27D5E"/>
    <w:rsid w:val="00D3115A"/>
    <w:rsid w:val="00D371F5"/>
    <w:rsid w:val="00D37C6D"/>
    <w:rsid w:val="00D4017C"/>
    <w:rsid w:val="00D41A98"/>
    <w:rsid w:val="00D438FE"/>
    <w:rsid w:val="00D45A27"/>
    <w:rsid w:val="00D4617F"/>
    <w:rsid w:val="00D5024C"/>
    <w:rsid w:val="00D50B83"/>
    <w:rsid w:val="00D50F31"/>
    <w:rsid w:val="00D5277E"/>
    <w:rsid w:val="00D52B50"/>
    <w:rsid w:val="00D555A9"/>
    <w:rsid w:val="00D558ED"/>
    <w:rsid w:val="00D56E5D"/>
    <w:rsid w:val="00D575CF"/>
    <w:rsid w:val="00D6141F"/>
    <w:rsid w:val="00D62356"/>
    <w:rsid w:val="00D62FD0"/>
    <w:rsid w:val="00D65CA1"/>
    <w:rsid w:val="00D71452"/>
    <w:rsid w:val="00D734BB"/>
    <w:rsid w:val="00D74C76"/>
    <w:rsid w:val="00D7535D"/>
    <w:rsid w:val="00D77413"/>
    <w:rsid w:val="00D851DD"/>
    <w:rsid w:val="00D85693"/>
    <w:rsid w:val="00D85C55"/>
    <w:rsid w:val="00D866A2"/>
    <w:rsid w:val="00D8718F"/>
    <w:rsid w:val="00D906B4"/>
    <w:rsid w:val="00D90970"/>
    <w:rsid w:val="00D910C7"/>
    <w:rsid w:val="00D93B78"/>
    <w:rsid w:val="00D93EEF"/>
    <w:rsid w:val="00D94516"/>
    <w:rsid w:val="00D94F93"/>
    <w:rsid w:val="00D96654"/>
    <w:rsid w:val="00DA315B"/>
    <w:rsid w:val="00DA45B1"/>
    <w:rsid w:val="00DA5EEB"/>
    <w:rsid w:val="00DA79E9"/>
    <w:rsid w:val="00DB126E"/>
    <w:rsid w:val="00DB14D2"/>
    <w:rsid w:val="00DB34BF"/>
    <w:rsid w:val="00DC35A9"/>
    <w:rsid w:val="00DC6911"/>
    <w:rsid w:val="00DD0B66"/>
    <w:rsid w:val="00DD217C"/>
    <w:rsid w:val="00DD40BC"/>
    <w:rsid w:val="00DD5D2F"/>
    <w:rsid w:val="00DD5E27"/>
    <w:rsid w:val="00DD6897"/>
    <w:rsid w:val="00DE24F6"/>
    <w:rsid w:val="00DE5406"/>
    <w:rsid w:val="00DE5CEA"/>
    <w:rsid w:val="00DE66FC"/>
    <w:rsid w:val="00DE6D90"/>
    <w:rsid w:val="00DF002F"/>
    <w:rsid w:val="00DF76D1"/>
    <w:rsid w:val="00E0012E"/>
    <w:rsid w:val="00E003F6"/>
    <w:rsid w:val="00E02052"/>
    <w:rsid w:val="00E0244D"/>
    <w:rsid w:val="00E0323F"/>
    <w:rsid w:val="00E057FD"/>
    <w:rsid w:val="00E066CC"/>
    <w:rsid w:val="00E10DA2"/>
    <w:rsid w:val="00E144D5"/>
    <w:rsid w:val="00E14A9C"/>
    <w:rsid w:val="00E15723"/>
    <w:rsid w:val="00E20E17"/>
    <w:rsid w:val="00E22670"/>
    <w:rsid w:val="00E254CB"/>
    <w:rsid w:val="00E267CA"/>
    <w:rsid w:val="00E269BF"/>
    <w:rsid w:val="00E329BC"/>
    <w:rsid w:val="00E3415B"/>
    <w:rsid w:val="00E377A7"/>
    <w:rsid w:val="00E4069C"/>
    <w:rsid w:val="00E43B8B"/>
    <w:rsid w:val="00E4590F"/>
    <w:rsid w:val="00E46C27"/>
    <w:rsid w:val="00E50982"/>
    <w:rsid w:val="00E517AF"/>
    <w:rsid w:val="00E53615"/>
    <w:rsid w:val="00E5551C"/>
    <w:rsid w:val="00E569CE"/>
    <w:rsid w:val="00E633CD"/>
    <w:rsid w:val="00E66E24"/>
    <w:rsid w:val="00E67B6F"/>
    <w:rsid w:val="00E7009F"/>
    <w:rsid w:val="00E723AE"/>
    <w:rsid w:val="00E72C99"/>
    <w:rsid w:val="00E7493F"/>
    <w:rsid w:val="00E74AF8"/>
    <w:rsid w:val="00E804F3"/>
    <w:rsid w:val="00E80B25"/>
    <w:rsid w:val="00E80F2D"/>
    <w:rsid w:val="00E81E94"/>
    <w:rsid w:val="00E82607"/>
    <w:rsid w:val="00E8277E"/>
    <w:rsid w:val="00E84150"/>
    <w:rsid w:val="00E86574"/>
    <w:rsid w:val="00E868C4"/>
    <w:rsid w:val="00E8770F"/>
    <w:rsid w:val="00E92C29"/>
    <w:rsid w:val="00E93735"/>
    <w:rsid w:val="00E93FDF"/>
    <w:rsid w:val="00E961A0"/>
    <w:rsid w:val="00EA0F97"/>
    <w:rsid w:val="00EA3291"/>
    <w:rsid w:val="00EA7D32"/>
    <w:rsid w:val="00EB0F6E"/>
    <w:rsid w:val="00EB2723"/>
    <w:rsid w:val="00EB38DE"/>
    <w:rsid w:val="00EB6243"/>
    <w:rsid w:val="00EC07D9"/>
    <w:rsid w:val="00EC13C0"/>
    <w:rsid w:val="00EC14AD"/>
    <w:rsid w:val="00EC1F6F"/>
    <w:rsid w:val="00EC481A"/>
    <w:rsid w:val="00EC4F2E"/>
    <w:rsid w:val="00EC58A8"/>
    <w:rsid w:val="00EC7430"/>
    <w:rsid w:val="00ED271C"/>
    <w:rsid w:val="00ED3B20"/>
    <w:rsid w:val="00ED5C81"/>
    <w:rsid w:val="00ED6739"/>
    <w:rsid w:val="00EE1B9D"/>
    <w:rsid w:val="00EE29E0"/>
    <w:rsid w:val="00EE414C"/>
    <w:rsid w:val="00EE57E9"/>
    <w:rsid w:val="00EE6E61"/>
    <w:rsid w:val="00EE71DC"/>
    <w:rsid w:val="00EF055B"/>
    <w:rsid w:val="00EF0E2A"/>
    <w:rsid w:val="00EF4C31"/>
    <w:rsid w:val="00F00B33"/>
    <w:rsid w:val="00F01714"/>
    <w:rsid w:val="00F040F0"/>
    <w:rsid w:val="00F04992"/>
    <w:rsid w:val="00F12B78"/>
    <w:rsid w:val="00F13BEC"/>
    <w:rsid w:val="00F15939"/>
    <w:rsid w:val="00F20880"/>
    <w:rsid w:val="00F24C2C"/>
    <w:rsid w:val="00F24CB0"/>
    <w:rsid w:val="00F25F96"/>
    <w:rsid w:val="00F26239"/>
    <w:rsid w:val="00F304D0"/>
    <w:rsid w:val="00F32D3F"/>
    <w:rsid w:val="00F368FF"/>
    <w:rsid w:val="00F40EEF"/>
    <w:rsid w:val="00F4384B"/>
    <w:rsid w:val="00F467F3"/>
    <w:rsid w:val="00F479D0"/>
    <w:rsid w:val="00F5045A"/>
    <w:rsid w:val="00F5056F"/>
    <w:rsid w:val="00F53070"/>
    <w:rsid w:val="00F56233"/>
    <w:rsid w:val="00F56690"/>
    <w:rsid w:val="00F5799B"/>
    <w:rsid w:val="00F6418F"/>
    <w:rsid w:val="00F65305"/>
    <w:rsid w:val="00F670CC"/>
    <w:rsid w:val="00F74595"/>
    <w:rsid w:val="00F775AB"/>
    <w:rsid w:val="00F81FB4"/>
    <w:rsid w:val="00F84710"/>
    <w:rsid w:val="00F8577F"/>
    <w:rsid w:val="00F868F8"/>
    <w:rsid w:val="00F87BFD"/>
    <w:rsid w:val="00F87F5C"/>
    <w:rsid w:val="00F907D1"/>
    <w:rsid w:val="00F9258C"/>
    <w:rsid w:val="00F9388F"/>
    <w:rsid w:val="00F94D7D"/>
    <w:rsid w:val="00FA0B76"/>
    <w:rsid w:val="00FA2B57"/>
    <w:rsid w:val="00FA312E"/>
    <w:rsid w:val="00FA5A79"/>
    <w:rsid w:val="00FA5E8A"/>
    <w:rsid w:val="00FB07D9"/>
    <w:rsid w:val="00FB0BFE"/>
    <w:rsid w:val="00FB4C51"/>
    <w:rsid w:val="00FC07FE"/>
    <w:rsid w:val="00FC0806"/>
    <w:rsid w:val="00FC0CE1"/>
    <w:rsid w:val="00FC1E20"/>
    <w:rsid w:val="00FC223A"/>
    <w:rsid w:val="00FC4F43"/>
    <w:rsid w:val="00FD008C"/>
    <w:rsid w:val="00FD024C"/>
    <w:rsid w:val="00FD4DD5"/>
    <w:rsid w:val="00FD4F64"/>
    <w:rsid w:val="00FD7656"/>
    <w:rsid w:val="00FE2F44"/>
    <w:rsid w:val="00FE65A7"/>
    <w:rsid w:val="00FF024C"/>
    <w:rsid w:val="00FF034A"/>
    <w:rsid w:val="00FF0E90"/>
    <w:rsid w:val="00FF1DBD"/>
    <w:rsid w:val="00FF51D4"/>
    <w:rsid w:val="00FF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eastAsia="en-US"/>
    </w:rPr>
  </w:style>
  <w:style w:type="paragraph" w:styleId="Titre1">
    <w:name w:val="heading 1"/>
    <w:aliases w:val="Table_G"/>
    <w:basedOn w:val="SingleTxtG"/>
    <w:next w:val="SingleTxtG"/>
    <w:qFormat/>
    <w:rsid w:val="00784747"/>
    <w:pPr>
      <w:keepNext/>
      <w:keepLines/>
      <w:spacing w:after="0" w:line="240" w:lineRule="auto"/>
      <w:ind w:right="0"/>
      <w:jc w:val="left"/>
      <w:outlineLvl w:val="0"/>
    </w:pPr>
  </w:style>
  <w:style w:type="paragraph" w:styleId="Titre2">
    <w:name w:val="heading 2"/>
    <w:basedOn w:val="Normal"/>
    <w:next w:val="Normal"/>
    <w:qFormat/>
    <w:rsid w:val="00972F9F"/>
    <w:pPr>
      <w:outlineLvl w:val="1"/>
    </w:pPr>
  </w:style>
  <w:style w:type="paragraph" w:styleId="Titre3">
    <w:name w:val="heading 3"/>
    <w:basedOn w:val="Normal"/>
    <w:next w:val="Normal"/>
    <w:qFormat/>
    <w:rsid w:val="00972F9F"/>
    <w:pPr>
      <w:outlineLvl w:val="2"/>
    </w:pPr>
  </w:style>
  <w:style w:type="paragraph" w:styleId="Titre4">
    <w:name w:val="heading 4"/>
    <w:basedOn w:val="Normal"/>
    <w:next w:val="Normal"/>
    <w:qFormat/>
    <w:rsid w:val="00972F9F"/>
    <w:pPr>
      <w:outlineLvl w:val="3"/>
    </w:pPr>
  </w:style>
  <w:style w:type="paragraph" w:styleId="Titre5">
    <w:name w:val="heading 5"/>
    <w:basedOn w:val="Normal"/>
    <w:next w:val="Normal"/>
    <w:qFormat/>
    <w:rsid w:val="00972F9F"/>
    <w:pPr>
      <w:outlineLvl w:val="4"/>
    </w:pPr>
  </w:style>
  <w:style w:type="paragraph" w:styleId="Titre6">
    <w:name w:val="heading 6"/>
    <w:basedOn w:val="Normal"/>
    <w:next w:val="Normal"/>
    <w:qFormat/>
    <w:rsid w:val="00972F9F"/>
    <w:pPr>
      <w:outlineLvl w:val="5"/>
    </w:pPr>
  </w:style>
  <w:style w:type="paragraph" w:styleId="Titre7">
    <w:name w:val="heading 7"/>
    <w:basedOn w:val="Normal"/>
    <w:next w:val="Normal"/>
    <w:qFormat/>
    <w:rsid w:val="00972F9F"/>
    <w:pPr>
      <w:outlineLvl w:val="6"/>
    </w:pPr>
  </w:style>
  <w:style w:type="paragraph" w:styleId="Titre8">
    <w:name w:val="heading 8"/>
    <w:basedOn w:val="Normal"/>
    <w:next w:val="Normal"/>
    <w:qFormat/>
    <w:rsid w:val="00972F9F"/>
    <w:pPr>
      <w:outlineLvl w:val="7"/>
    </w:pPr>
  </w:style>
  <w:style w:type="paragraph" w:styleId="Titre9">
    <w:name w:val="heading 9"/>
    <w:basedOn w:val="Normal"/>
    <w:next w:val="Normal"/>
    <w:qFormat/>
    <w:rsid w:val="00972F9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Appelnotedebasdep">
    <w:name w:val="footnote reference"/>
    <w:aliases w:val="4_G"/>
    <w:rsid w:val="00972F9F"/>
    <w:rPr>
      <w:rFonts w:ascii="Times New Roman" w:hAnsi="Times New Roman"/>
      <w:sz w:val="18"/>
      <w:vertAlign w:val="superscript"/>
      <w:lang w:val="fr-CH"/>
    </w:rPr>
  </w:style>
  <w:style w:type="character" w:styleId="Appeldenotedefin">
    <w:name w:val="endnote reference"/>
    <w:aliases w:val="1_G"/>
    <w:basedOn w:val="Appelnotedebasdep"/>
    <w:rsid w:val="00972F9F"/>
    <w:rPr>
      <w:rFonts w:ascii="Times New Roman" w:hAnsi="Times New Roman"/>
      <w:sz w:val="18"/>
      <w:vertAlign w:val="superscript"/>
      <w:lang w:val="fr-CH"/>
    </w:rPr>
  </w:style>
  <w:style w:type="paragraph" w:styleId="En-tte">
    <w:name w:val="header"/>
    <w:aliases w:val="6_G"/>
    <w:basedOn w:val="Normal"/>
    <w:next w:val="Normal"/>
    <w:rsid w:val="00972F9F"/>
    <w:pPr>
      <w:pBdr>
        <w:bottom w:val="single" w:sz="4" w:space="4" w:color="auto"/>
      </w:pBdr>
      <w:spacing w:line="240" w:lineRule="auto"/>
    </w:pPr>
    <w:rPr>
      <w:b/>
      <w:sz w:val="18"/>
    </w:rPr>
  </w:style>
  <w:style w:type="paragraph" w:styleId="Notedebasdepage">
    <w:name w:val="footnote text"/>
    <w:aliases w:val="5_G"/>
    <w:basedOn w:val="Normal"/>
    <w:link w:val="NotedebasdepageCar"/>
    <w:rsid w:val="00822CC2"/>
    <w:pPr>
      <w:tabs>
        <w:tab w:val="right" w:pos="1021"/>
      </w:tabs>
      <w:spacing w:line="220" w:lineRule="exact"/>
      <w:ind w:left="1134" w:right="1134" w:hanging="1134"/>
    </w:pPr>
    <w:rPr>
      <w:sz w:val="18"/>
    </w:rPr>
  </w:style>
  <w:style w:type="paragraph" w:styleId="Notedefin">
    <w:name w:val="endnote text"/>
    <w:aliases w:val="2_G"/>
    <w:basedOn w:val="Notedebasdepage"/>
    <w:rsid w:val="00822CC2"/>
  </w:style>
  <w:style w:type="character" w:styleId="Numrodepage">
    <w:name w:val="page number"/>
    <w:aliases w:val="7_G"/>
    <w:rsid w:val="00972F9F"/>
    <w:rPr>
      <w:rFonts w:ascii="Times New Roman" w:hAnsi="Times New Roman"/>
      <w:b/>
      <w:sz w:val="18"/>
      <w:lang w:val="fr-CH"/>
    </w:rPr>
  </w:style>
  <w:style w:type="paragraph" w:styleId="Pieddepage">
    <w:name w:val="footer"/>
    <w:aliases w:val="3_G"/>
    <w:basedOn w:val="Normal"/>
    <w:next w:val="Normal"/>
    <w:rsid w:val="00972F9F"/>
    <w:pPr>
      <w:spacing w:line="240" w:lineRule="auto"/>
    </w:pPr>
    <w:rPr>
      <w:sz w:val="16"/>
    </w:rPr>
  </w:style>
  <w:style w:type="character" w:styleId="Lienhypertexte">
    <w:name w:val="Hyperlink"/>
    <w:semiHidden/>
    <w:rsid w:val="003F0697"/>
    <w:rPr>
      <w:color w:val="auto"/>
      <w:u w:val="none"/>
    </w:rPr>
  </w:style>
  <w:style w:type="character" w:styleId="Lienhypertextesuivivisit">
    <w:name w:val="FollowedHyperlink"/>
    <w:semiHidden/>
    <w:rsid w:val="003F0697"/>
    <w:rPr>
      <w:color w:val="auto"/>
      <w:u w:val="none"/>
    </w:rPr>
  </w:style>
  <w:style w:type="paragraph" w:styleId="Textedebulles">
    <w:name w:val="Balloon Text"/>
    <w:basedOn w:val="Normal"/>
    <w:semiHidden/>
    <w:rsid w:val="00AF3D1D"/>
    <w:rPr>
      <w:rFonts w:ascii="Tahoma" w:hAnsi="Tahoma" w:cs="Tahoma"/>
      <w:sz w:val="16"/>
      <w:szCs w:val="16"/>
    </w:rPr>
  </w:style>
  <w:style w:type="table" w:styleId="Grilledutableau">
    <w:name w:val="Table Grid"/>
    <w:basedOn w:val="TableauNormal"/>
    <w:semiHidden/>
    <w:rsid w:val="007F63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762980"/>
    <w:pPr>
      <w:suppressAutoHyphens w:val="0"/>
      <w:spacing w:after="200" w:line="276" w:lineRule="auto"/>
      <w:ind w:left="720"/>
      <w:contextualSpacing/>
    </w:pPr>
    <w:rPr>
      <w:rFonts w:ascii="Calibri" w:eastAsia="Calibri" w:hAnsi="Calibri"/>
      <w:sz w:val="22"/>
      <w:szCs w:val="22"/>
      <w:lang w:val="fr-FR"/>
    </w:rPr>
  </w:style>
  <w:style w:type="character" w:styleId="Marquedecommentaire">
    <w:name w:val="annotation reference"/>
    <w:rsid w:val="00762980"/>
    <w:rPr>
      <w:sz w:val="16"/>
      <w:szCs w:val="16"/>
    </w:rPr>
  </w:style>
  <w:style w:type="paragraph" w:styleId="Commentaire">
    <w:name w:val="annotation text"/>
    <w:basedOn w:val="Normal"/>
    <w:link w:val="CommentaireCar"/>
    <w:rsid w:val="00762980"/>
  </w:style>
  <w:style w:type="character" w:customStyle="1" w:styleId="CommentaireCar">
    <w:name w:val="Commentaire Car"/>
    <w:link w:val="Commentaire"/>
    <w:rsid w:val="00762980"/>
    <w:rPr>
      <w:lang w:val="fr-CH" w:eastAsia="en-US"/>
    </w:rPr>
  </w:style>
  <w:style w:type="paragraph" w:styleId="Objetducommentaire">
    <w:name w:val="annotation subject"/>
    <w:basedOn w:val="Commentaire"/>
    <w:next w:val="Commentaire"/>
    <w:link w:val="ObjetducommentaireCar"/>
    <w:rsid w:val="00762980"/>
    <w:rPr>
      <w:b/>
      <w:bCs/>
    </w:rPr>
  </w:style>
  <w:style w:type="character" w:customStyle="1" w:styleId="ObjetducommentaireCar">
    <w:name w:val="Objet du commentaire Car"/>
    <w:link w:val="Objetducommentaire"/>
    <w:rsid w:val="00762980"/>
    <w:rPr>
      <w:b/>
      <w:bCs/>
      <w:lang w:val="fr-CH" w:eastAsia="en-US"/>
    </w:rPr>
  </w:style>
  <w:style w:type="character" w:customStyle="1" w:styleId="SingleTxtGChar">
    <w:name w:val="_ Single Txt_G Char"/>
    <w:link w:val="SingleTxtG"/>
    <w:locked/>
    <w:rsid w:val="002803B4"/>
    <w:rPr>
      <w:lang w:val="fr-CH" w:eastAsia="en-US"/>
    </w:rPr>
  </w:style>
  <w:style w:type="character" w:customStyle="1" w:styleId="NotedebasdepageCar">
    <w:name w:val="Note de bas de page Car"/>
    <w:aliases w:val="5_G Car"/>
    <w:link w:val="Notedebasdepage"/>
    <w:rsid w:val="002803B4"/>
    <w:rPr>
      <w:sz w:val="18"/>
      <w:lang w:val="fr-CH" w:eastAsia="en-US"/>
    </w:rPr>
  </w:style>
  <w:style w:type="character" w:styleId="Accentuation">
    <w:name w:val="Emphasis"/>
    <w:qFormat/>
    <w:rsid w:val="00A2235E"/>
    <w:rPr>
      <w:i/>
      <w:iCs/>
    </w:rPr>
  </w:style>
  <w:style w:type="paragraph" w:customStyle="1" w:styleId="singletxtg0">
    <w:name w:val="singletxtg"/>
    <w:basedOn w:val="Normal"/>
    <w:rsid w:val="008526ED"/>
    <w:pPr>
      <w:suppressAutoHyphens w:val="0"/>
      <w:spacing w:before="100" w:beforeAutospacing="1" w:after="100" w:afterAutospacing="1" w:line="240" w:lineRule="auto"/>
    </w:pPr>
    <w:rPr>
      <w:sz w:val="24"/>
      <w:szCs w:val="24"/>
      <w:lang w:val="en-GB" w:eastAsia="en-GB"/>
    </w:rPr>
  </w:style>
  <w:style w:type="paragraph" w:styleId="Rvision">
    <w:name w:val="Revision"/>
    <w:hidden/>
    <w:uiPriority w:val="99"/>
    <w:semiHidden/>
    <w:rsid w:val="001E4146"/>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val="fr-CH" w:eastAsia="en-US"/>
    </w:rPr>
  </w:style>
  <w:style w:type="paragraph" w:styleId="Titre1">
    <w:name w:val="heading 1"/>
    <w:aliases w:val="Table_G"/>
    <w:basedOn w:val="SingleTxtG"/>
    <w:next w:val="SingleTxtG"/>
    <w:qFormat/>
    <w:rsid w:val="00784747"/>
    <w:pPr>
      <w:keepNext/>
      <w:keepLines/>
      <w:spacing w:after="0" w:line="240" w:lineRule="auto"/>
      <w:ind w:right="0"/>
      <w:jc w:val="left"/>
      <w:outlineLvl w:val="0"/>
    </w:pPr>
  </w:style>
  <w:style w:type="paragraph" w:styleId="Titre2">
    <w:name w:val="heading 2"/>
    <w:basedOn w:val="Normal"/>
    <w:next w:val="Normal"/>
    <w:qFormat/>
    <w:rsid w:val="00972F9F"/>
    <w:pPr>
      <w:outlineLvl w:val="1"/>
    </w:pPr>
  </w:style>
  <w:style w:type="paragraph" w:styleId="Titre3">
    <w:name w:val="heading 3"/>
    <w:basedOn w:val="Normal"/>
    <w:next w:val="Normal"/>
    <w:qFormat/>
    <w:rsid w:val="00972F9F"/>
    <w:pPr>
      <w:outlineLvl w:val="2"/>
    </w:pPr>
  </w:style>
  <w:style w:type="paragraph" w:styleId="Titre4">
    <w:name w:val="heading 4"/>
    <w:basedOn w:val="Normal"/>
    <w:next w:val="Normal"/>
    <w:qFormat/>
    <w:rsid w:val="00972F9F"/>
    <w:pPr>
      <w:outlineLvl w:val="3"/>
    </w:pPr>
  </w:style>
  <w:style w:type="paragraph" w:styleId="Titre5">
    <w:name w:val="heading 5"/>
    <w:basedOn w:val="Normal"/>
    <w:next w:val="Normal"/>
    <w:qFormat/>
    <w:rsid w:val="00972F9F"/>
    <w:pPr>
      <w:outlineLvl w:val="4"/>
    </w:pPr>
  </w:style>
  <w:style w:type="paragraph" w:styleId="Titre6">
    <w:name w:val="heading 6"/>
    <w:basedOn w:val="Normal"/>
    <w:next w:val="Normal"/>
    <w:qFormat/>
    <w:rsid w:val="00972F9F"/>
    <w:pPr>
      <w:outlineLvl w:val="5"/>
    </w:pPr>
  </w:style>
  <w:style w:type="paragraph" w:styleId="Titre7">
    <w:name w:val="heading 7"/>
    <w:basedOn w:val="Normal"/>
    <w:next w:val="Normal"/>
    <w:qFormat/>
    <w:rsid w:val="00972F9F"/>
    <w:pPr>
      <w:outlineLvl w:val="6"/>
    </w:pPr>
  </w:style>
  <w:style w:type="paragraph" w:styleId="Titre8">
    <w:name w:val="heading 8"/>
    <w:basedOn w:val="Normal"/>
    <w:next w:val="Normal"/>
    <w:qFormat/>
    <w:rsid w:val="00972F9F"/>
    <w:pPr>
      <w:outlineLvl w:val="7"/>
    </w:pPr>
  </w:style>
  <w:style w:type="paragraph" w:styleId="Titre9">
    <w:name w:val="heading 9"/>
    <w:basedOn w:val="Normal"/>
    <w:next w:val="Normal"/>
    <w:qFormat/>
    <w:rsid w:val="00972F9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Appelnotedebasdep">
    <w:name w:val="footnote reference"/>
    <w:aliases w:val="4_G"/>
    <w:rsid w:val="00972F9F"/>
    <w:rPr>
      <w:rFonts w:ascii="Times New Roman" w:hAnsi="Times New Roman"/>
      <w:sz w:val="18"/>
      <w:vertAlign w:val="superscript"/>
      <w:lang w:val="fr-CH"/>
    </w:rPr>
  </w:style>
  <w:style w:type="character" w:styleId="Appeldenotedefin">
    <w:name w:val="endnote reference"/>
    <w:aliases w:val="1_G"/>
    <w:basedOn w:val="Appelnotedebasdep"/>
    <w:rsid w:val="00972F9F"/>
    <w:rPr>
      <w:rFonts w:ascii="Times New Roman" w:hAnsi="Times New Roman"/>
      <w:sz w:val="18"/>
      <w:vertAlign w:val="superscript"/>
      <w:lang w:val="fr-CH"/>
    </w:rPr>
  </w:style>
  <w:style w:type="paragraph" w:styleId="En-tte">
    <w:name w:val="header"/>
    <w:aliases w:val="6_G"/>
    <w:basedOn w:val="Normal"/>
    <w:next w:val="Normal"/>
    <w:rsid w:val="00972F9F"/>
    <w:pPr>
      <w:pBdr>
        <w:bottom w:val="single" w:sz="4" w:space="4" w:color="auto"/>
      </w:pBdr>
      <w:spacing w:line="240" w:lineRule="auto"/>
    </w:pPr>
    <w:rPr>
      <w:b/>
      <w:sz w:val="18"/>
    </w:rPr>
  </w:style>
  <w:style w:type="paragraph" w:styleId="Notedebasdepage">
    <w:name w:val="footnote text"/>
    <w:aliases w:val="5_G"/>
    <w:basedOn w:val="Normal"/>
    <w:link w:val="NotedebasdepageCar"/>
    <w:rsid w:val="00822CC2"/>
    <w:pPr>
      <w:tabs>
        <w:tab w:val="right" w:pos="1021"/>
      </w:tabs>
      <w:spacing w:line="220" w:lineRule="exact"/>
      <w:ind w:left="1134" w:right="1134" w:hanging="1134"/>
    </w:pPr>
    <w:rPr>
      <w:sz w:val="18"/>
    </w:rPr>
  </w:style>
  <w:style w:type="paragraph" w:styleId="Notedefin">
    <w:name w:val="endnote text"/>
    <w:aliases w:val="2_G"/>
    <w:basedOn w:val="Notedebasdepage"/>
    <w:rsid w:val="00822CC2"/>
  </w:style>
  <w:style w:type="character" w:styleId="Numrodepage">
    <w:name w:val="page number"/>
    <w:aliases w:val="7_G"/>
    <w:rsid w:val="00972F9F"/>
    <w:rPr>
      <w:rFonts w:ascii="Times New Roman" w:hAnsi="Times New Roman"/>
      <w:b/>
      <w:sz w:val="18"/>
      <w:lang w:val="fr-CH"/>
    </w:rPr>
  </w:style>
  <w:style w:type="paragraph" w:styleId="Pieddepage">
    <w:name w:val="footer"/>
    <w:aliases w:val="3_G"/>
    <w:basedOn w:val="Normal"/>
    <w:next w:val="Normal"/>
    <w:rsid w:val="00972F9F"/>
    <w:pPr>
      <w:spacing w:line="240" w:lineRule="auto"/>
    </w:pPr>
    <w:rPr>
      <w:sz w:val="16"/>
    </w:rPr>
  </w:style>
  <w:style w:type="character" w:styleId="Lienhypertexte">
    <w:name w:val="Hyperlink"/>
    <w:semiHidden/>
    <w:rsid w:val="003F0697"/>
    <w:rPr>
      <w:color w:val="auto"/>
      <w:u w:val="none"/>
    </w:rPr>
  </w:style>
  <w:style w:type="character" w:styleId="Lienhypertextesuivivisit">
    <w:name w:val="FollowedHyperlink"/>
    <w:semiHidden/>
    <w:rsid w:val="003F0697"/>
    <w:rPr>
      <w:color w:val="auto"/>
      <w:u w:val="none"/>
    </w:rPr>
  </w:style>
  <w:style w:type="paragraph" w:styleId="Textedebulles">
    <w:name w:val="Balloon Text"/>
    <w:basedOn w:val="Normal"/>
    <w:semiHidden/>
    <w:rsid w:val="00AF3D1D"/>
    <w:rPr>
      <w:rFonts w:ascii="Tahoma" w:hAnsi="Tahoma" w:cs="Tahoma"/>
      <w:sz w:val="16"/>
      <w:szCs w:val="16"/>
    </w:rPr>
  </w:style>
  <w:style w:type="table" w:styleId="Grilledutableau">
    <w:name w:val="Table Grid"/>
    <w:basedOn w:val="TableauNormal"/>
    <w:semiHidden/>
    <w:rsid w:val="007F63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762980"/>
    <w:pPr>
      <w:suppressAutoHyphens w:val="0"/>
      <w:spacing w:after="200" w:line="276" w:lineRule="auto"/>
      <w:ind w:left="720"/>
      <w:contextualSpacing/>
    </w:pPr>
    <w:rPr>
      <w:rFonts w:ascii="Calibri" w:eastAsia="Calibri" w:hAnsi="Calibri"/>
      <w:sz w:val="22"/>
      <w:szCs w:val="22"/>
      <w:lang w:val="fr-FR"/>
    </w:rPr>
  </w:style>
  <w:style w:type="character" w:styleId="Marquedecommentaire">
    <w:name w:val="annotation reference"/>
    <w:rsid w:val="00762980"/>
    <w:rPr>
      <w:sz w:val="16"/>
      <w:szCs w:val="16"/>
    </w:rPr>
  </w:style>
  <w:style w:type="paragraph" w:styleId="Commentaire">
    <w:name w:val="annotation text"/>
    <w:basedOn w:val="Normal"/>
    <w:link w:val="CommentaireCar"/>
    <w:rsid w:val="00762980"/>
  </w:style>
  <w:style w:type="character" w:customStyle="1" w:styleId="CommentaireCar">
    <w:name w:val="Commentaire Car"/>
    <w:link w:val="Commentaire"/>
    <w:rsid w:val="00762980"/>
    <w:rPr>
      <w:lang w:val="fr-CH" w:eastAsia="en-US"/>
    </w:rPr>
  </w:style>
  <w:style w:type="paragraph" w:styleId="Objetducommentaire">
    <w:name w:val="annotation subject"/>
    <w:basedOn w:val="Commentaire"/>
    <w:next w:val="Commentaire"/>
    <w:link w:val="ObjetducommentaireCar"/>
    <w:rsid w:val="00762980"/>
    <w:rPr>
      <w:b/>
      <w:bCs/>
    </w:rPr>
  </w:style>
  <w:style w:type="character" w:customStyle="1" w:styleId="ObjetducommentaireCar">
    <w:name w:val="Objet du commentaire Car"/>
    <w:link w:val="Objetducommentaire"/>
    <w:rsid w:val="00762980"/>
    <w:rPr>
      <w:b/>
      <w:bCs/>
      <w:lang w:val="fr-CH" w:eastAsia="en-US"/>
    </w:rPr>
  </w:style>
  <w:style w:type="character" w:customStyle="1" w:styleId="SingleTxtGChar">
    <w:name w:val="_ Single Txt_G Char"/>
    <w:link w:val="SingleTxtG"/>
    <w:locked/>
    <w:rsid w:val="002803B4"/>
    <w:rPr>
      <w:lang w:val="fr-CH" w:eastAsia="en-US"/>
    </w:rPr>
  </w:style>
  <w:style w:type="character" w:customStyle="1" w:styleId="NotedebasdepageCar">
    <w:name w:val="Note de bas de page Car"/>
    <w:aliases w:val="5_G Car"/>
    <w:link w:val="Notedebasdepage"/>
    <w:rsid w:val="002803B4"/>
    <w:rPr>
      <w:sz w:val="18"/>
      <w:lang w:val="fr-CH" w:eastAsia="en-US"/>
    </w:rPr>
  </w:style>
  <w:style w:type="character" w:styleId="Accentuation">
    <w:name w:val="Emphasis"/>
    <w:qFormat/>
    <w:rsid w:val="00A2235E"/>
    <w:rPr>
      <w:i/>
      <w:iCs/>
    </w:rPr>
  </w:style>
  <w:style w:type="paragraph" w:customStyle="1" w:styleId="singletxtg0">
    <w:name w:val="singletxtg"/>
    <w:basedOn w:val="Normal"/>
    <w:rsid w:val="008526ED"/>
    <w:pPr>
      <w:suppressAutoHyphens w:val="0"/>
      <w:spacing w:before="100" w:beforeAutospacing="1" w:after="100" w:afterAutospacing="1" w:line="240" w:lineRule="auto"/>
    </w:pPr>
    <w:rPr>
      <w:sz w:val="24"/>
      <w:szCs w:val="24"/>
      <w:lang w:val="en-GB" w:eastAsia="en-GB"/>
    </w:rPr>
  </w:style>
  <w:style w:type="paragraph" w:styleId="Rvision">
    <w:name w:val="Revision"/>
    <w:hidden/>
    <w:uiPriority w:val="99"/>
    <w:semiHidden/>
    <w:rsid w:val="001E4146"/>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2931-3849-4CCE-83FF-84000F50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9157</Words>
  <Characters>52750</Characters>
  <Application>Microsoft Office Word</Application>
  <DocSecurity>0</DocSecurity>
  <Lines>2776</Lines>
  <Paragraphs>1375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CAT/OP/TGO/1</vt:lpstr>
      <vt:lpstr>Nations Unies</vt:lpstr>
    </vt:vector>
  </TitlesOfParts>
  <Company>CSD</Company>
  <LinksUpToDate>false</LinksUpToDate>
  <CharactersWithSpaces>60532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CAT/OP/TGO/1</dc:title>
  <dc:subject>qrcodes</dc:subject>
  <dc:creator>dvx</dc:creator>
  <cp:keywords/>
  <dc:description/>
  <cp:lastModifiedBy>Devouass</cp:lastModifiedBy>
  <cp:revision>2</cp:revision>
  <cp:lastPrinted>2017-04-21T10:01:00Z</cp:lastPrinted>
  <dcterms:created xsi:type="dcterms:W3CDTF">2017-04-28T14:02:00Z</dcterms:created>
  <dcterms:modified xsi:type="dcterms:W3CDTF">2017-04-28T14:02:00Z</dcterms:modified>
</cp:coreProperties>
</file>