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2C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2C64" w:rsidP="00632C64">
            <w:pPr>
              <w:jc w:val="right"/>
            </w:pPr>
            <w:r w:rsidRPr="00632C64">
              <w:rPr>
                <w:sz w:val="40"/>
              </w:rPr>
              <w:t>CRC</w:t>
            </w:r>
            <w:r>
              <w:t>/C/GEO/CO/4</w:t>
            </w:r>
          </w:p>
        </w:tc>
      </w:tr>
      <w:tr w:rsidR="002D5AAC" w:rsidRPr="005B1C66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CDA646" wp14:editId="5E7096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2C6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2C64" w:rsidRDefault="00632C64" w:rsidP="00632C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March 2017</w:t>
            </w:r>
          </w:p>
          <w:p w:rsidR="00632C64" w:rsidRDefault="00632C64" w:rsidP="00632C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2C64" w:rsidRPr="00B937DF" w:rsidRDefault="00632C64" w:rsidP="00632C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7565D" w:rsidRPr="0077565D" w:rsidRDefault="0077565D" w:rsidP="0077565D">
      <w:pPr>
        <w:spacing w:before="120"/>
        <w:rPr>
          <w:b/>
          <w:sz w:val="24"/>
          <w:szCs w:val="24"/>
        </w:rPr>
      </w:pPr>
      <w:r w:rsidRPr="0077565D">
        <w:rPr>
          <w:b/>
          <w:bCs/>
          <w:sz w:val="24"/>
          <w:szCs w:val="24"/>
        </w:rPr>
        <w:t>Комитет по правам ребенка</w:t>
      </w:r>
    </w:p>
    <w:p w:rsidR="00632C64" w:rsidRPr="0077565D" w:rsidRDefault="0077565D" w:rsidP="0077565D">
      <w:pPr>
        <w:pStyle w:val="HChGR"/>
      </w:pPr>
      <w:r w:rsidRPr="0077565D">
        <w:tab/>
      </w:r>
      <w:r w:rsidRPr="0077565D">
        <w:tab/>
        <w:t>Заключительные замечания по четвертому периодическому докладу Грузии</w:t>
      </w:r>
      <w:r w:rsidRPr="0077565D">
        <w:rPr>
          <w:rStyle w:val="aa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77565D" w:rsidRPr="0077565D" w:rsidRDefault="0077565D" w:rsidP="009A392D">
      <w:pPr>
        <w:pStyle w:val="HChGR"/>
      </w:pPr>
      <w:r w:rsidRPr="0077565D">
        <w:tab/>
        <w:t>I.</w:t>
      </w:r>
      <w:r w:rsidRPr="0077565D">
        <w:tab/>
        <w:t>Введение</w:t>
      </w:r>
    </w:p>
    <w:p w:rsidR="0077565D" w:rsidRPr="0077565D" w:rsidRDefault="0077565D" w:rsidP="0077565D">
      <w:pPr>
        <w:pStyle w:val="SingleTxtGR"/>
      </w:pPr>
      <w:r w:rsidRPr="0077565D">
        <w:t>1.</w:t>
      </w:r>
      <w:r w:rsidRPr="0077565D">
        <w:tab/>
        <w:t>Комитет рассмотрел четвертый периодический доклад Грузии (CRC/C/GEO/4) на своих 2178-м и 2179-м заседаниях (см. CRC/C/SR.2178 и</w:t>
      </w:r>
      <w:r w:rsidR="003A222D">
        <w:t> </w:t>
      </w:r>
      <w:r w:rsidRPr="0077565D">
        <w:t xml:space="preserve"> 2179), состоявшихся 25 января 2017 года, и на своем 2193-м заседании, с</w:t>
      </w:r>
      <w:r w:rsidRPr="0077565D">
        <w:t>о</w:t>
      </w:r>
      <w:r w:rsidRPr="0077565D">
        <w:t xml:space="preserve">стоявшемся 3 февраля 2017 года, принял настоящие заключительные замечания. </w:t>
      </w:r>
    </w:p>
    <w:p w:rsidR="0077565D" w:rsidRPr="0077565D" w:rsidRDefault="0077565D" w:rsidP="0077565D">
      <w:pPr>
        <w:pStyle w:val="SingleTxtGR"/>
      </w:pPr>
      <w:r w:rsidRPr="0077565D">
        <w:t>2.</w:t>
      </w:r>
      <w:r w:rsidRPr="0077565D">
        <w:tab/>
        <w:t>Комитет приветствует представление четвертого периодического доклада государства-участника и письменных ответов на перечень вопросов (CRC/C/GEO/Q/4/Add.1), которые позволили  лучше понять положение в обл</w:t>
      </w:r>
      <w:r w:rsidRPr="0077565D">
        <w:t>а</w:t>
      </w:r>
      <w:r w:rsidRPr="0077565D">
        <w:t>сти прав детей в государстве-участнике. Комитет дает высокую оценку ко</w:t>
      </w:r>
      <w:r w:rsidRPr="0077565D">
        <w:t>н</w:t>
      </w:r>
      <w:r w:rsidRPr="0077565D">
        <w:t>структивному диалогу, состоявшемуся с высокопоставленной и многопрофил</w:t>
      </w:r>
      <w:r w:rsidRPr="0077565D">
        <w:t>ь</w:t>
      </w:r>
      <w:r w:rsidRPr="0077565D">
        <w:t xml:space="preserve">ной делегацией государства-участника. </w:t>
      </w:r>
    </w:p>
    <w:p w:rsidR="0077565D" w:rsidRPr="009A392D" w:rsidRDefault="0077565D" w:rsidP="009A392D">
      <w:pPr>
        <w:pStyle w:val="HChGR"/>
      </w:pPr>
      <w:r w:rsidRPr="009A392D">
        <w:tab/>
        <w:t>II.</w:t>
      </w:r>
      <w:r w:rsidRPr="009A392D">
        <w:tab/>
        <w:t>Последующие меры, принятые государством-участником, и достигнутый им прогресс</w:t>
      </w:r>
    </w:p>
    <w:p w:rsidR="0077565D" w:rsidRPr="0077565D" w:rsidRDefault="0077565D" w:rsidP="0077565D">
      <w:pPr>
        <w:pStyle w:val="SingleTxtGR"/>
      </w:pPr>
      <w:r w:rsidRPr="0077565D">
        <w:t>3.</w:t>
      </w:r>
      <w:r w:rsidRPr="0077565D">
        <w:tab/>
        <w:t>Комитет приветствует прогресс, достигнутый государством-участником в различных областях, в том числе ратификацию различных международных д</w:t>
      </w:r>
      <w:r w:rsidRPr="0077565D">
        <w:t>о</w:t>
      </w:r>
      <w:r w:rsidRPr="0077565D">
        <w:t>говоров или п</w:t>
      </w:r>
      <w:r w:rsidR="00BC4E08">
        <w:t>рисоединение к ним, в частности</w:t>
      </w:r>
      <w:r w:rsidRPr="0077565D">
        <w:t xml:space="preserve"> ратификацию в 2016 году Ф</w:t>
      </w:r>
      <w:r w:rsidRPr="0077565D">
        <w:t>а</w:t>
      </w:r>
      <w:r w:rsidRPr="0077565D">
        <w:t>культативного протокола к Конвенции, касающегося процедуры сообщений. Он</w:t>
      </w:r>
      <w:r w:rsidR="003A222D">
        <w:t> </w:t>
      </w:r>
      <w:r w:rsidRPr="0077565D">
        <w:t>также приветствует принятие многочисленных законодательных актов и и</w:t>
      </w:r>
      <w:r w:rsidRPr="0077565D">
        <w:t>н</w:t>
      </w:r>
      <w:r w:rsidRPr="0077565D">
        <w:t xml:space="preserve">ституциональных и политических мер, включая пересмотр в июне 2015 года системы социальной помощи, с </w:t>
      </w:r>
      <w:proofErr w:type="gramStart"/>
      <w:r w:rsidRPr="0077565D">
        <w:t>тем</w:t>
      </w:r>
      <w:proofErr w:type="gramEnd"/>
      <w:r w:rsidRPr="0077565D">
        <w:t xml:space="preserve"> чтобы она в большей степени учитывала интересы ребенка, и принятие в этом же месяце Кодекса ювенальной юстиции, а также пересмотр в декабре 2015 года Гражданского кодекса в целях отмены исключений в отношении минимального возраста для вступления в брак, кот</w:t>
      </w:r>
      <w:r w:rsidRPr="0077565D">
        <w:t>о</w:t>
      </w:r>
      <w:r w:rsidRPr="0077565D">
        <w:t>рый наступает в 18 лет.</w:t>
      </w:r>
    </w:p>
    <w:p w:rsidR="0077565D" w:rsidRPr="0077565D" w:rsidRDefault="0077565D" w:rsidP="009A392D">
      <w:pPr>
        <w:pStyle w:val="HChGR"/>
      </w:pPr>
      <w:r w:rsidRPr="0077565D">
        <w:tab/>
        <w:t>III.</w:t>
      </w:r>
      <w:r w:rsidRPr="0077565D">
        <w:tab/>
        <w:t>Факторы и трудности, препятствующие осуществлению Конвенции</w:t>
      </w:r>
    </w:p>
    <w:p w:rsidR="0077565D" w:rsidRPr="0077565D" w:rsidRDefault="0077565D" w:rsidP="0077565D">
      <w:pPr>
        <w:pStyle w:val="SingleTxtGR"/>
      </w:pPr>
      <w:r w:rsidRPr="0077565D">
        <w:t>4.</w:t>
      </w:r>
      <w:r w:rsidRPr="0077565D">
        <w:tab/>
        <w:t xml:space="preserve">Комитет отмечает, что Абхазия, Грузия, и </w:t>
      </w:r>
      <w:proofErr w:type="spellStart"/>
      <w:r w:rsidRPr="0077565D">
        <w:t>Цхинвальский</w:t>
      </w:r>
      <w:proofErr w:type="spellEnd"/>
      <w:r w:rsidRPr="0077565D">
        <w:t xml:space="preserve"> район/Южная Осетия, Грузия, по-прежнему остаются вне эффективного контроля госуда</w:t>
      </w:r>
      <w:r w:rsidRPr="0077565D">
        <w:t>р</w:t>
      </w:r>
      <w:r w:rsidRPr="0077565D">
        <w:t xml:space="preserve">ства-участника, что является серьезным препятствием на пути осуществления </w:t>
      </w:r>
      <w:r w:rsidRPr="0077565D">
        <w:lastRenderedPageBreak/>
        <w:t>Конвенции в этих районах. Комитет приветствует усилия, предпринятые гос</w:t>
      </w:r>
      <w:r w:rsidRPr="0077565D">
        <w:t>у</w:t>
      </w:r>
      <w:r w:rsidRPr="0077565D">
        <w:t>дарством-участником в целях поддержки здравоохранения и образования в этих районах. Вместе с тем он обеспокоен ограничением в этих районах свободы п</w:t>
      </w:r>
      <w:r w:rsidRPr="0077565D">
        <w:t>е</w:t>
      </w:r>
      <w:r w:rsidRPr="0077565D">
        <w:t>редвижения, доступа к качественному медицинскому обслуживанию, права на получение образования на родном языке, прав внутренне перемещенных детей, а также сохраняющейся в них дискриминацией по признаку этнического прои</w:t>
      </w:r>
      <w:r w:rsidRPr="0077565D">
        <w:t>с</w:t>
      </w:r>
      <w:r w:rsidRPr="0077565D">
        <w:t xml:space="preserve">хождения. </w:t>
      </w:r>
    </w:p>
    <w:p w:rsidR="0077565D" w:rsidRPr="0077565D" w:rsidRDefault="0077565D" w:rsidP="009A392D">
      <w:pPr>
        <w:pStyle w:val="HChGR"/>
      </w:pPr>
      <w:r w:rsidRPr="0077565D">
        <w:tab/>
        <w:t>IV.</w:t>
      </w:r>
      <w:r w:rsidRPr="0077565D">
        <w:tab/>
        <w:t>Основные проблемы, вызывающие озабоченность, и</w:t>
      </w:r>
      <w:r w:rsidR="003A222D">
        <w:t> </w:t>
      </w:r>
      <w:r w:rsidRPr="0077565D">
        <w:t>рекомендации</w:t>
      </w:r>
    </w:p>
    <w:p w:rsidR="0077565D" w:rsidRPr="0077565D" w:rsidRDefault="0077565D" w:rsidP="0077565D">
      <w:pPr>
        <w:pStyle w:val="SingleTxtGR"/>
      </w:pPr>
      <w:r w:rsidRPr="0077565D">
        <w:t>5.</w:t>
      </w:r>
      <w:r w:rsidRPr="0077565D">
        <w:tab/>
        <w:t>Комитет напоминает государству-участнику о неделимости и взаимозав</w:t>
      </w:r>
      <w:r w:rsidRPr="0077565D">
        <w:t>и</w:t>
      </w:r>
      <w:r w:rsidRPr="0077565D">
        <w:t xml:space="preserve">симости всех прав, закрепленных в Конвенции, и подчеркивает важность всех рекомендаций, содержащихся в настоящих заключительных замечаниях. </w:t>
      </w:r>
      <w:proofErr w:type="gramStart"/>
      <w:r w:rsidRPr="0077565D">
        <w:t>Ком</w:t>
      </w:r>
      <w:r w:rsidRPr="0077565D">
        <w:t>и</w:t>
      </w:r>
      <w:r w:rsidRPr="0077565D">
        <w:t>тет хотел бы обратить внимание государства-участника на рекомендации, кас</w:t>
      </w:r>
      <w:r w:rsidRPr="0077565D">
        <w:t>а</w:t>
      </w:r>
      <w:r w:rsidRPr="0077565D">
        <w:t xml:space="preserve">ющиеся следующих областей, в отношении которых необходимо принять </w:t>
      </w:r>
      <w:r w:rsidR="00CF080B">
        <w:br/>
      </w:r>
      <w:r w:rsidRPr="0077565D">
        <w:t>безотлагательные меры: телесные наказания и жестокое обращение с детьми (пункты 21</w:t>
      </w:r>
      <w:r w:rsidR="003A222D">
        <w:t>–</w:t>
      </w:r>
      <w:r w:rsidRPr="0077565D">
        <w:t>22), сексуальная эксплуатация и сексуальные надругательства (пункты 23</w:t>
      </w:r>
      <w:r w:rsidR="003A222D">
        <w:t>–</w:t>
      </w:r>
      <w:r w:rsidRPr="0077565D">
        <w:t>24), семейное окружение (пункты 26</w:t>
      </w:r>
      <w:r w:rsidR="003A222D">
        <w:t>–</w:t>
      </w:r>
      <w:r w:rsidRPr="0077565D">
        <w:t>27), дети-инвалиды (пун</w:t>
      </w:r>
      <w:r w:rsidRPr="0077565D">
        <w:t>к</w:t>
      </w:r>
      <w:r w:rsidRPr="0077565D">
        <w:t>ты</w:t>
      </w:r>
      <w:r w:rsidR="003A222D">
        <w:t> </w:t>
      </w:r>
      <w:r w:rsidRPr="0077565D">
        <w:t>29</w:t>
      </w:r>
      <w:r w:rsidR="003A222D">
        <w:t>–</w:t>
      </w:r>
      <w:r w:rsidRPr="0077565D">
        <w:t>30), здоровье и медицинское обслуживание (пункты 31</w:t>
      </w:r>
      <w:r w:rsidR="003A222D">
        <w:t>–</w:t>
      </w:r>
      <w:r w:rsidRPr="0077565D">
        <w:t>32) и внутренне перемещенные дети (пункты 38</w:t>
      </w:r>
      <w:r w:rsidR="003A222D">
        <w:t>–</w:t>
      </w:r>
      <w:r w:rsidRPr="0077565D">
        <w:t xml:space="preserve">39). </w:t>
      </w:r>
      <w:proofErr w:type="gramEnd"/>
    </w:p>
    <w:p w:rsidR="0077565D" w:rsidRPr="0077565D" w:rsidRDefault="0077565D" w:rsidP="009A392D">
      <w:pPr>
        <w:pStyle w:val="H1GR"/>
      </w:pPr>
      <w:r w:rsidRPr="0077565D">
        <w:tab/>
        <w:t>A.</w:t>
      </w:r>
      <w:r w:rsidRPr="0077565D">
        <w:tab/>
        <w:t>Общие меры по осуществлению (статьи 4, 42 и 44 (пункт 6))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Законодательство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6.</w:t>
      </w:r>
      <w:r w:rsidRPr="0077565D">
        <w:tab/>
      </w:r>
      <w:r w:rsidRPr="0077565D">
        <w:rPr>
          <w:b/>
          <w:bCs/>
        </w:rPr>
        <w:t>Комитет призывает государство-участник продолжать предприн</w:t>
      </w:r>
      <w:r w:rsidRPr="0077565D">
        <w:rPr>
          <w:b/>
          <w:bCs/>
        </w:rPr>
        <w:t>и</w:t>
      </w:r>
      <w:r w:rsidRPr="0077565D">
        <w:rPr>
          <w:b/>
          <w:bCs/>
        </w:rPr>
        <w:t>мать усилия в целях принятия закона о правах ребенка, который бы вкл</w:t>
      </w:r>
      <w:r w:rsidRPr="0077565D">
        <w:rPr>
          <w:b/>
          <w:bCs/>
        </w:rPr>
        <w:t>ю</w:t>
      </w:r>
      <w:r w:rsidRPr="0077565D">
        <w:rPr>
          <w:b/>
          <w:bCs/>
        </w:rPr>
        <w:t xml:space="preserve">чал все положения Конвенции и Факультативных протоколов к ней, и в этой связи обратиться за технической помощью </w:t>
      </w:r>
      <w:proofErr w:type="gramStart"/>
      <w:r w:rsidRPr="0077565D">
        <w:rPr>
          <w:b/>
          <w:bCs/>
        </w:rPr>
        <w:t>к</w:t>
      </w:r>
      <w:proofErr w:type="gramEnd"/>
      <w:r w:rsidRPr="0077565D">
        <w:rPr>
          <w:b/>
          <w:bCs/>
        </w:rPr>
        <w:t xml:space="preserve">, </w:t>
      </w:r>
      <w:proofErr w:type="gramStart"/>
      <w:r w:rsidRPr="0077565D">
        <w:rPr>
          <w:b/>
          <w:bCs/>
        </w:rPr>
        <w:t>в</w:t>
      </w:r>
      <w:proofErr w:type="gramEnd"/>
      <w:r w:rsidRPr="0077565D">
        <w:rPr>
          <w:b/>
          <w:bCs/>
        </w:rPr>
        <w:t xml:space="preserve"> частности, Детскому фонду Организации Объединенных Наций (ЮНИСЕФ).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 xml:space="preserve">Всеобъемлющая политика и стратегия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7.</w:t>
      </w:r>
      <w:r w:rsidRPr="0077565D">
        <w:tab/>
      </w:r>
      <w:r w:rsidRPr="0077565D">
        <w:rPr>
          <w:b/>
          <w:bCs/>
        </w:rPr>
        <w:t xml:space="preserve">Комитет рекомендует государству-участнику: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а)</w:t>
      </w:r>
      <w:r w:rsidRPr="0077565D">
        <w:rPr>
          <w:b/>
          <w:bCs/>
        </w:rPr>
        <w:tab/>
        <w:t>провести необходимую оценку прогресса, достигнутого по л</w:t>
      </w:r>
      <w:r w:rsidRPr="0077565D">
        <w:rPr>
          <w:b/>
          <w:bCs/>
        </w:rPr>
        <w:t>и</w:t>
      </w:r>
      <w:r w:rsidRPr="0077565D">
        <w:rPr>
          <w:b/>
          <w:bCs/>
        </w:rPr>
        <w:t>нии осуществления трех планов действий в интересах ребенка, выявить возможные недостатки и разработать параметры и поддающиеся измер</w:t>
      </w:r>
      <w:r w:rsidRPr="0077565D">
        <w:rPr>
          <w:b/>
          <w:bCs/>
        </w:rPr>
        <w:t>е</w:t>
      </w:r>
      <w:r w:rsidRPr="0077565D">
        <w:rPr>
          <w:b/>
          <w:bCs/>
        </w:rPr>
        <w:t>нию целевые показатели для мониторинга выполнения главы национал</w:t>
      </w:r>
      <w:r w:rsidRPr="0077565D">
        <w:rPr>
          <w:b/>
          <w:bCs/>
        </w:rPr>
        <w:t>ь</w:t>
      </w:r>
      <w:r w:rsidRPr="0077565D">
        <w:rPr>
          <w:b/>
          <w:bCs/>
        </w:rPr>
        <w:t xml:space="preserve">ного плана действий в области защиты прав человека на период </w:t>
      </w:r>
      <w:r w:rsidR="003A222D">
        <w:rPr>
          <w:b/>
          <w:bCs/>
        </w:rPr>
        <w:br/>
      </w:r>
      <w:r w:rsidRPr="0077565D">
        <w:rPr>
          <w:b/>
          <w:bCs/>
        </w:rPr>
        <w:t>2016</w:t>
      </w:r>
      <w:r w:rsidR="003A222D">
        <w:rPr>
          <w:b/>
          <w:bCs/>
        </w:rPr>
        <w:t>–</w:t>
      </w:r>
      <w:r w:rsidRPr="0077565D">
        <w:rPr>
          <w:b/>
          <w:bCs/>
        </w:rPr>
        <w:t>2017 годов, которая посвящена детям;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b)</w:t>
      </w:r>
      <w:r w:rsidRPr="0077565D">
        <w:rPr>
          <w:b/>
          <w:bCs/>
        </w:rPr>
        <w:tab/>
        <w:t>выделить достаточные людские, технические и финансовые р</w:t>
      </w:r>
      <w:r w:rsidRPr="0077565D">
        <w:rPr>
          <w:b/>
          <w:bCs/>
        </w:rPr>
        <w:t>е</w:t>
      </w:r>
      <w:r w:rsidRPr="0077565D">
        <w:rPr>
          <w:b/>
          <w:bCs/>
        </w:rPr>
        <w:t>сурсы для осуществления национального плана действий;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c)</w:t>
      </w:r>
      <w:r w:rsidRPr="0077565D">
        <w:rPr>
          <w:b/>
          <w:bCs/>
        </w:rPr>
        <w:tab/>
        <w:t>разработать отдельный всеобъемлющий план действий по з</w:t>
      </w:r>
      <w:r w:rsidRPr="0077565D">
        <w:rPr>
          <w:b/>
          <w:bCs/>
        </w:rPr>
        <w:t>а</w:t>
      </w:r>
      <w:r w:rsidRPr="0077565D">
        <w:rPr>
          <w:b/>
          <w:bCs/>
        </w:rPr>
        <w:t xml:space="preserve">щите прав ребенка, ключевым компонентом которого </w:t>
      </w:r>
      <w:proofErr w:type="gramStart"/>
      <w:r w:rsidRPr="0077565D">
        <w:rPr>
          <w:b/>
          <w:bCs/>
        </w:rPr>
        <w:t>станет предотвр</w:t>
      </w:r>
      <w:r w:rsidRPr="0077565D">
        <w:rPr>
          <w:b/>
          <w:bCs/>
        </w:rPr>
        <w:t>а</w:t>
      </w:r>
      <w:r w:rsidRPr="0077565D">
        <w:rPr>
          <w:b/>
          <w:bCs/>
        </w:rPr>
        <w:t>щение нарушений и который</w:t>
      </w:r>
      <w:proofErr w:type="gramEnd"/>
      <w:r w:rsidRPr="0077565D">
        <w:rPr>
          <w:b/>
          <w:bCs/>
        </w:rPr>
        <w:t xml:space="preserve"> будет осуществляться на основе координации и взаимного дополнения усилий, предпринимаемых в рамках програм</w:t>
      </w:r>
      <w:r w:rsidRPr="0077565D">
        <w:rPr>
          <w:b/>
          <w:bCs/>
        </w:rPr>
        <w:t>м</w:t>
      </w:r>
      <w:r w:rsidRPr="0077565D">
        <w:rPr>
          <w:b/>
          <w:bCs/>
        </w:rPr>
        <w:t xml:space="preserve">ных мер в интересах меньшинств. 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Координация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8.</w:t>
      </w:r>
      <w:r w:rsidRPr="0077565D">
        <w:tab/>
      </w:r>
      <w:r w:rsidRPr="0077565D">
        <w:rPr>
          <w:b/>
          <w:bCs/>
        </w:rPr>
        <w:t>Комитет отмечает усилия по созданию координационного совета для целей осуществления национального плана действий. Он рекомендует го</w:t>
      </w:r>
      <w:r w:rsidRPr="0077565D">
        <w:rPr>
          <w:b/>
          <w:bCs/>
        </w:rPr>
        <w:t>с</w:t>
      </w:r>
      <w:r w:rsidRPr="0077565D">
        <w:rPr>
          <w:b/>
          <w:bCs/>
        </w:rPr>
        <w:t>ударству-участнику учредить на высоком межведомственном уровне ед</w:t>
      </w:r>
      <w:r w:rsidRPr="0077565D">
        <w:rPr>
          <w:b/>
          <w:bCs/>
        </w:rPr>
        <w:t>и</w:t>
      </w:r>
      <w:r w:rsidRPr="0077565D">
        <w:rPr>
          <w:b/>
          <w:bCs/>
        </w:rPr>
        <w:t>ный орган с четким мандатом и достаточными полномочиями, основная обязанность которого будет состоять в координации и оценке осуществл</w:t>
      </w:r>
      <w:r w:rsidRPr="0077565D">
        <w:rPr>
          <w:b/>
          <w:bCs/>
        </w:rPr>
        <w:t>е</w:t>
      </w:r>
      <w:r w:rsidRPr="0077565D">
        <w:rPr>
          <w:b/>
          <w:bCs/>
        </w:rPr>
        <w:t xml:space="preserve">ния на </w:t>
      </w:r>
      <w:proofErr w:type="gramStart"/>
      <w:r w:rsidRPr="0077565D">
        <w:rPr>
          <w:b/>
          <w:bCs/>
        </w:rPr>
        <w:t>кросс-секторальном</w:t>
      </w:r>
      <w:proofErr w:type="gramEnd"/>
      <w:r w:rsidRPr="0077565D">
        <w:rPr>
          <w:b/>
          <w:bCs/>
        </w:rPr>
        <w:t>, национальном, региональном и местном уро</w:t>
      </w:r>
      <w:r w:rsidRPr="0077565D">
        <w:rPr>
          <w:b/>
          <w:bCs/>
        </w:rPr>
        <w:t>в</w:t>
      </w:r>
      <w:r w:rsidRPr="0077565D">
        <w:rPr>
          <w:b/>
          <w:bCs/>
        </w:rPr>
        <w:lastRenderedPageBreak/>
        <w:t>нях всех положений Конвенции, соответствующих стратегий и планов де</w:t>
      </w:r>
      <w:r w:rsidRPr="0077565D">
        <w:rPr>
          <w:b/>
          <w:bCs/>
        </w:rPr>
        <w:t>й</w:t>
      </w:r>
      <w:r w:rsidRPr="0077565D">
        <w:rPr>
          <w:b/>
          <w:bCs/>
        </w:rPr>
        <w:t>ствий в интересах ребенка. Государству-участнику следует также обесп</w:t>
      </w:r>
      <w:r w:rsidRPr="0077565D">
        <w:rPr>
          <w:b/>
          <w:bCs/>
        </w:rPr>
        <w:t>е</w:t>
      </w:r>
      <w:r w:rsidRPr="0077565D">
        <w:rPr>
          <w:b/>
          <w:bCs/>
        </w:rPr>
        <w:t>чить, чтобы этому координационному органу были выделены людские, технические и финансовые ресурсы, необходимые для его эффективного функционирования.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Выделение ресурсов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9.</w:t>
      </w:r>
      <w:r w:rsidRPr="0077565D">
        <w:tab/>
      </w:r>
      <w:proofErr w:type="gramStart"/>
      <w:r w:rsidRPr="0077565D">
        <w:rPr>
          <w:b/>
          <w:bCs/>
        </w:rPr>
        <w:t>В свете своего замечания общего порядка № 19 (2016) о государстве</w:t>
      </w:r>
      <w:r w:rsidRPr="0077565D">
        <w:rPr>
          <w:b/>
          <w:bCs/>
        </w:rPr>
        <w:t>н</w:t>
      </w:r>
      <w:r w:rsidRPr="0077565D">
        <w:rPr>
          <w:b/>
          <w:bCs/>
        </w:rPr>
        <w:t>ных бюджетных ассигнованиях для осуществления прав детей Комитет р</w:t>
      </w:r>
      <w:r w:rsidRPr="0077565D">
        <w:rPr>
          <w:b/>
          <w:bCs/>
        </w:rPr>
        <w:t>е</w:t>
      </w:r>
      <w:r w:rsidRPr="0077565D">
        <w:rPr>
          <w:b/>
          <w:bCs/>
        </w:rPr>
        <w:t>комендует государству-участнику установить процедуру составления бю</w:t>
      </w:r>
      <w:r w:rsidRPr="0077565D">
        <w:rPr>
          <w:b/>
          <w:bCs/>
        </w:rPr>
        <w:t>д</w:t>
      </w:r>
      <w:r w:rsidRPr="0077565D">
        <w:rPr>
          <w:b/>
          <w:bCs/>
        </w:rPr>
        <w:t>жета, предусматривающую учет проблематики прав детей, четкое указание конкретных ассигнований на нужды детей в соответствующих секторах и ведомствах и использование конкретных показателей и системы отслеж</w:t>
      </w:r>
      <w:r w:rsidRPr="0077565D">
        <w:rPr>
          <w:b/>
          <w:bCs/>
        </w:rPr>
        <w:t>и</w:t>
      </w:r>
      <w:r w:rsidRPr="0077565D">
        <w:rPr>
          <w:b/>
          <w:bCs/>
        </w:rPr>
        <w:t>вания для мониторинга и оценки достаточности, эффективности и спр</w:t>
      </w:r>
      <w:r w:rsidRPr="0077565D">
        <w:rPr>
          <w:b/>
          <w:bCs/>
        </w:rPr>
        <w:t>а</w:t>
      </w:r>
      <w:r w:rsidRPr="0077565D">
        <w:rPr>
          <w:b/>
          <w:bCs/>
        </w:rPr>
        <w:t>ведливости распределения ресурсов, выделяемых на осуществление</w:t>
      </w:r>
      <w:proofErr w:type="gramEnd"/>
      <w:r w:rsidRPr="0077565D">
        <w:rPr>
          <w:b/>
          <w:bCs/>
        </w:rPr>
        <w:t xml:space="preserve"> Ко</w:t>
      </w:r>
      <w:r w:rsidRPr="0077565D">
        <w:rPr>
          <w:b/>
          <w:bCs/>
        </w:rPr>
        <w:t>н</w:t>
      </w:r>
      <w:r w:rsidRPr="0077565D">
        <w:rPr>
          <w:b/>
          <w:bCs/>
        </w:rPr>
        <w:t xml:space="preserve">венции,  в том числе путем: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а)</w:t>
      </w:r>
      <w:r w:rsidRPr="0077565D">
        <w:rPr>
          <w:b/>
          <w:bCs/>
        </w:rPr>
        <w:tab/>
        <w:t>выделения достаточных бюджетных ассигнований на ос</w:t>
      </w:r>
      <w:r w:rsidRPr="0077565D">
        <w:rPr>
          <w:b/>
          <w:bCs/>
        </w:rPr>
        <w:t>у</w:t>
      </w:r>
      <w:r w:rsidRPr="0077565D">
        <w:rPr>
          <w:b/>
          <w:bCs/>
        </w:rPr>
        <w:t>ществление прав детей и в интересах детей, находящихся в неблагоприя</w:t>
      </w:r>
      <w:r w:rsidRPr="0077565D">
        <w:rPr>
          <w:b/>
          <w:bCs/>
        </w:rPr>
        <w:t>т</w:t>
      </w:r>
      <w:r w:rsidRPr="0077565D">
        <w:rPr>
          <w:b/>
          <w:bCs/>
        </w:rPr>
        <w:t>ном или уязвимом положении, в соответствии со статьей 4 Конвенции, и</w:t>
      </w:r>
      <w:r w:rsidR="000A2913">
        <w:rPr>
          <w:b/>
          <w:bCs/>
        </w:rPr>
        <w:t> </w:t>
      </w:r>
      <w:r w:rsidRPr="0077565D">
        <w:rPr>
          <w:b/>
          <w:bCs/>
        </w:rPr>
        <w:t>обеспечения того, чтобы колебания или сокращения бюджетных ассигн</w:t>
      </w:r>
      <w:r w:rsidRPr="0077565D">
        <w:rPr>
          <w:b/>
          <w:bCs/>
        </w:rPr>
        <w:t>о</w:t>
      </w:r>
      <w:r w:rsidRPr="0077565D">
        <w:rPr>
          <w:b/>
          <w:bCs/>
        </w:rPr>
        <w:t>ваний на оказание услуг не приводили к снижению существующего уровня осуществления прав детей;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b)</w:t>
      </w:r>
      <w:r w:rsidRPr="0077565D">
        <w:rPr>
          <w:b/>
          <w:bCs/>
        </w:rPr>
        <w:tab/>
        <w:t xml:space="preserve">тщательной проработки бюджетных статей и кодов по всем планируемым, утвержденным, пересмотренным и фактическим расходам, непосредственно затрагивающим детей;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c)</w:t>
      </w:r>
      <w:r w:rsidRPr="0077565D">
        <w:rPr>
          <w:b/>
          <w:bCs/>
        </w:rPr>
        <w:tab/>
        <w:t>установления плановых показателей, обеспечивающих привя</w:t>
      </w:r>
      <w:r w:rsidRPr="0077565D">
        <w:rPr>
          <w:b/>
          <w:bCs/>
        </w:rPr>
        <w:t>з</w:t>
      </w:r>
      <w:r w:rsidRPr="0077565D">
        <w:rPr>
          <w:b/>
          <w:bCs/>
        </w:rPr>
        <w:t>ку целей программ в интересах детей к бюджетным ассигнованиям и фа</w:t>
      </w:r>
      <w:r w:rsidRPr="0077565D">
        <w:rPr>
          <w:b/>
          <w:bCs/>
        </w:rPr>
        <w:t>к</w:t>
      </w:r>
      <w:r w:rsidRPr="0077565D">
        <w:rPr>
          <w:b/>
          <w:bCs/>
        </w:rPr>
        <w:t xml:space="preserve">тическим расходам, с тем чтобы проводить мониторинг их результатов и последствий для всех детей;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rPr>
          <w:b/>
          <w:bCs/>
        </w:rPr>
        <w:tab/>
        <w:t>d)</w:t>
      </w:r>
      <w:r w:rsidRPr="0077565D">
        <w:rPr>
          <w:b/>
          <w:bCs/>
        </w:rPr>
        <w:tab/>
        <w:t>укрепления</w:t>
      </w:r>
      <w:r w:rsidRPr="00CF080B">
        <w:rPr>
          <w:b/>
          <w:bCs/>
          <w:spacing w:val="2"/>
        </w:rPr>
        <w:t xml:space="preserve"> аудиторских проверок в целях повышения </w:t>
      </w:r>
      <w:r w:rsidRPr="0077565D">
        <w:rPr>
          <w:b/>
          <w:bCs/>
        </w:rPr>
        <w:t>прозра</w:t>
      </w:r>
      <w:r w:rsidRPr="0077565D">
        <w:rPr>
          <w:b/>
          <w:bCs/>
        </w:rPr>
        <w:t>ч</w:t>
      </w:r>
      <w:r w:rsidRPr="0077565D">
        <w:rPr>
          <w:b/>
          <w:bCs/>
        </w:rPr>
        <w:t>ности и подотчетности государственных расходов во всех секторах, с</w:t>
      </w:r>
      <w:r w:rsidR="00CF080B">
        <w:rPr>
          <w:b/>
          <w:bCs/>
        </w:rPr>
        <w:t xml:space="preserve"> </w:t>
      </w:r>
      <w:r w:rsidRPr="0077565D">
        <w:rPr>
          <w:b/>
          <w:bCs/>
        </w:rPr>
        <w:t>тем чтобы мобилизовать максимум имеющихся ресурсов на осуществление прав ребенка.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Сбор данных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10.</w:t>
      </w:r>
      <w:r w:rsidRPr="0077565D">
        <w:tab/>
      </w:r>
      <w:r w:rsidRPr="0077565D">
        <w:rPr>
          <w:b/>
          <w:bCs/>
        </w:rPr>
        <w:t>Приветствуя сбор данных по ряду областей Конвенции, в том числе в рамках общенациональной переписи населения в 2014 году, Комитет в св</w:t>
      </w:r>
      <w:r w:rsidRPr="0077565D">
        <w:rPr>
          <w:b/>
          <w:bCs/>
        </w:rPr>
        <w:t>е</w:t>
      </w:r>
      <w:r w:rsidRPr="0077565D">
        <w:rPr>
          <w:b/>
          <w:bCs/>
        </w:rPr>
        <w:t>те своего замечания общего порядка № 5 (2003) об общих мерах по ос</w:t>
      </w:r>
      <w:r w:rsidRPr="0077565D">
        <w:rPr>
          <w:b/>
          <w:bCs/>
        </w:rPr>
        <w:t>у</w:t>
      </w:r>
      <w:r w:rsidRPr="0077565D">
        <w:rPr>
          <w:b/>
          <w:bCs/>
        </w:rPr>
        <w:t>ществлению Конвенции напоминает о своих предыдущих заключительных замечаниях (см. CRC/C/GEO/CO/3, пункт 16) и рекомендует государству-участнику:</w:t>
      </w:r>
      <w:r w:rsidRPr="0077565D">
        <w:t xml:space="preserve"> </w:t>
      </w:r>
    </w:p>
    <w:p w:rsidR="0077565D" w:rsidRPr="00C50E1B" w:rsidRDefault="0077565D" w:rsidP="0077565D">
      <w:pPr>
        <w:pStyle w:val="SingleTxtGR"/>
        <w:rPr>
          <w:b/>
          <w:bCs/>
        </w:rPr>
      </w:pPr>
      <w:r w:rsidRPr="00C50E1B">
        <w:rPr>
          <w:b/>
        </w:rPr>
        <w:tab/>
        <w:t>а)</w:t>
      </w:r>
      <w:r w:rsidRPr="00C50E1B">
        <w:rPr>
          <w:b/>
        </w:rPr>
        <w:tab/>
      </w:r>
      <w:r w:rsidRPr="00C50E1B">
        <w:rPr>
          <w:b/>
          <w:bCs/>
        </w:rPr>
        <w:t>продолжить и активизировать свои усилия по созданию всеоб</w:t>
      </w:r>
      <w:r w:rsidRPr="00C50E1B">
        <w:rPr>
          <w:b/>
          <w:bCs/>
        </w:rPr>
        <w:t>ъ</w:t>
      </w:r>
      <w:r w:rsidRPr="00C50E1B">
        <w:rPr>
          <w:b/>
          <w:bCs/>
        </w:rPr>
        <w:t>емлющей системы сбора данных об осуществлении Конвенции, особенно на муниципальном уровне, которая бы охватывала все регионы страны. Да</w:t>
      </w:r>
      <w:r w:rsidRPr="00C50E1B">
        <w:rPr>
          <w:b/>
          <w:bCs/>
        </w:rPr>
        <w:t>н</w:t>
      </w:r>
      <w:r w:rsidRPr="00C50E1B">
        <w:rPr>
          <w:b/>
          <w:bCs/>
        </w:rPr>
        <w:t>ные должны дезагрегироваться по возрасту, полу, инвалидности, географ</w:t>
      </w:r>
      <w:r w:rsidRPr="00C50E1B">
        <w:rPr>
          <w:b/>
          <w:bCs/>
        </w:rPr>
        <w:t>и</w:t>
      </w:r>
      <w:r w:rsidRPr="00C50E1B">
        <w:rPr>
          <w:b/>
          <w:bCs/>
        </w:rPr>
        <w:t>ческому местоположению, этническому происхождению и социально-экономическому положению в целях упрощения анализа по</w:t>
      </w:r>
      <w:r w:rsidR="00C50E1B">
        <w:rPr>
          <w:b/>
          <w:bCs/>
        </w:rPr>
        <w:t>ложения всех детей, в частности</w:t>
      </w:r>
      <w:r w:rsidRPr="00C50E1B">
        <w:rPr>
          <w:b/>
          <w:bCs/>
        </w:rPr>
        <w:t xml:space="preserve"> детей, находящихся в уязвимом положении, и особенно случаев жестокого обращения с детьми, отсутствия заботы, эксплуатации, в том числе сексуальной, и безнадзорности;</w:t>
      </w:r>
    </w:p>
    <w:p w:rsidR="0077565D" w:rsidRPr="00C50E1B" w:rsidRDefault="0077565D" w:rsidP="0077565D">
      <w:pPr>
        <w:pStyle w:val="SingleTxtGR"/>
        <w:rPr>
          <w:b/>
          <w:bCs/>
        </w:rPr>
      </w:pPr>
      <w:r w:rsidRPr="00C50E1B">
        <w:rPr>
          <w:b/>
        </w:rPr>
        <w:tab/>
        <w:t>b)</w:t>
      </w:r>
      <w:r w:rsidRPr="00C50E1B">
        <w:rPr>
          <w:b/>
        </w:rPr>
        <w:tab/>
      </w:r>
      <w:r w:rsidRPr="00C50E1B">
        <w:rPr>
          <w:b/>
          <w:bCs/>
        </w:rPr>
        <w:t>обеспечить, чтобы эта система предусматривала сбор дезагр</w:t>
      </w:r>
      <w:r w:rsidRPr="00C50E1B">
        <w:rPr>
          <w:b/>
          <w:bCs/>
        </w:rPr>
        <w:t>е</w:t>
      </w:r>
      <w:r w:rsidRPr="00C50E1B">
        <w:rPr>
          <w:b/>
          <w:bCs/>
        </w:rPr>
        <w:t>гированных данных по всем областям Конвенции, включая жестокое о</w:t>
      </w:r>
      <w:r w:rsidRPr="00C50E1B">
        <w:rPr>
          <w:b/>
          <w:bCs/>
        </w:rPr>
        <w:t>б</w:t>
      </w:r>
      <w:r w:rsidRPr="00C50E1B">
        <w:rPr>
          <w:b/>
          <w:bCs/>
        </w:rPr>
        <w:t>ращение, отсутствие заботы, эксплуатацию, в том числе сексуальную, и</w:t>
      </w:r>
      <w:r w:rsidR="00F77AA4" w:rsidRPr="00C50E1B">
        <w:rPr>
          <w:b/>
          <w:bCs/>
        </w:rPr>
        <w:t> </w:t>
      </w:r>
      <w:r w:rsidRPr="00C50E1B">
        <w:rPr>
          <w:b/>
          <w:bCs/>
        </w:rPr>
        <w:t>безнадзорность;</w:t>
      </w:r>
      <w:r w:rsidRPr="00C50E1B">
        <w:rPr>
          <w:b/>
        </w:rPr>
        <w:t xml:space="preserve"> 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lastRenderedPageBreak/>
        <w:tab/>
        <w:t>c)</w:t>
      </w:r>
      <w:r w:rsidRPr="00F77AA4">
        <w:rPr>
          <w:b/>
        </w:rPr>
        <w:tab/>
        <w:t>учитывать концептуальные и методологические рамки, уст</w:t>
      </w:r>
      <w:r w:rsidRPr="00F77AA4">
        <w:rPr>
          <w:b/>
        </w:rPr>
        <w:t>а</w:t>
      </w:r>
      <w:r w:rsidRPr="00F77AA4">
        <w:rPr>
          <w:b/>
        </w:rPr>
        <w:t>новленные в докладе Управления Верховного комиссара Организации Объединенных Наций по правам человека под названием «Показатели с</w:t>
      </w:r>
      <w:r w:rsidRPr="00F77AA4">
        <w:rPr>
          <w:b/>
        </w:rPr>
        <w:t>о</w:t>
      </w:r>
      <w:r w:rsidRPr="00F77AA4">
        <w:rPr>
          <w:b/>
        </w:rPr>
        <w:t>блюдения прав человека: руководство по количественной оценке и ос</w:t>
      </w:r>
      <w:r w:rsidRPr="00F77AA4">
        <w:rPr>
          <w:b/>
        </w:rPr>
        <w:t>у</w:t>
      </w:r>
      <w:r w:rsidRPr="00F77AA4">
        <w:rPr>
          <w:b/>
        </w:rPr>
        <w:t>ществлению», в процессе определения, сбора и распространения статист</w:t>
      </w:r>
      <w:r w:rsidRPr="00F77AA4">
        <w:rPr>
          <w:b/>
        </w:rPr>
        <w:t>и</w:t>
      </w:r>
      <w:r w:rsidRPr="00F77AA4">
        <w:rPr>
          <w:b/>
        </w:rPr>
        <w:t>ческой информации.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 xml:space="preserve">Независимый мониторинг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11.</w:t>
      </w:r>
      <w:r w:rsidRPr="0077565D">
        <w:tab/>
      </w:r>
      <w:r w:rsidRPr="0077565D">
        <w:rPr>
          <w:b/>
          <w:bCs/>
        </w:rPr>
        <w:t xml:space="preserve">Приветствуя деятельность Центра по правам ребенка, Комитет напоминает о своей предыдущей рекомендации (см. CRC/C/GEO/CO/3, пункт </w:t>
      </w:r>
      <w:r w:rsidR="005B1C66">
        <w:rPr>
          <w:b/>
          <w:bCs/>
        </w:rPr>
        <w:t>1</w:t>
      </w:r>
      <w:r w:rsidRPr="0077565D">
        <w:rPr>
          <w:b/>
          <w:bCs/>
        </w:rPr>
        <w:t>3) и в соответствии со своим замечанием общего порядка № 2 (2002) о роли независимых национальных правозащитных учреждений в деле п</w:t>
      </w:r>
      <w:r w:rsidRPr="0077565D">
        <w:rPr>
          <w:b/>
          <w:bCs/>
        </w:rPr>
        <w:t>о</w:t>
      </w:r>
      <w:r w:rsidRPr="0077565D">
        <w:rPr>
          <w:b/>
          <w:bCs/>
        </w:rPr>
        <w:t>ощрения и защиты прав ребенка рекомендует государству-участнику: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а)</w:t>
      </w:r>
      <w:r w:rsidRPr="00F77AA4">
        <w:rPr>
          <w:b/>
        </w:rPr>
        <w:tab/>
      </w:r>
      <w:r w:rsidRPr="00F77AA4">
        <w:rPr>
          <w:b/>
          <w:bCs/>
        </w:rPr>
        <w:t>выделять достаточные людские, технические и финансовые р</w:t>
      </w:r>
      <w:r w:rsidRPr="00F77AA4">
        <w:rPr>
          <w:b/>
          <w:bCs/>
        </w:rPr>
        <w:t>е</w:t>
      </w:r>
      <w:r w:rsidRPr="00F77AA4">
        <w:rPr>
          <w:b/>
          <w:bCs/>
        </w:rPr>
        <w:t>сурсы для того, чтобы Центр мог надлежащим образом выполнять свой мандат на всей территории страны;</w:t>
      </w:r>
    </w:p>
    <w:p w:rsidR="0077565D" w:rsidRPr="00F77AA4" w:rsidDel="008D5FA2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b)</w:t>
      </w:r>
      <w:r w:rsidRPr="00F77AA4">
        <w:rPr>
          <w:b/>
        </w:rPr>
        <w:tab/>
      </w:r>
      <w:r w:rsidRPr="00F77AA4">
        <w:rPr>
          <w:b/>
          <w:bCs/>
        </w:rPr>
        <w:t xml:space="preserve">предоставлять Центру беспрепятственный доступ во все </w:t>
      </w:r>
      <w:r w:rsidR="009E1C22">
        <w:rPr>
          <w:b/>
          <w:bCs/>
        </w:rPr>
        <w:br/>
      </w:r>
      <w:r w:rsidRPr="00F77AA4">
        <w:rPr>
          <w:b/>
          <w:bCs/>
        </w:rPr>
        <w:t>учреждения, обеспечивающие уход за детьми, включая учреждения, нах</w:t>
      </w:r>
      <w:r w:rsidRPr="00F77AA4">
        <w:rPr>
          <w:b/>
          <w:bCs/>
        </w:rPr>
        <w:t>о</w:t>
      </w:r>
      <w:r w:rsidRPr="00F77AA4">
        <w:rPr>
          <w:b/>
          <w:bCs/>
        </w:rPr>
        <w:t>дящиеся в ведении религиозных групп;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c)</w:t>
      </w:r>
      <w:r w:rsidRPr="00F77AA4">
        <w:rPr>
          <w:b/>
        </w:rPr>
        <w:tab/>
      </w:r>
      <w:r w:rsidRPr="00F77AA4">
        <w:rPr>
          <w:b/>
          <w:bCs/>
        </w:rPr>
        <w:t xml:space="preserve">укреплять потенциал Центра, с </w:t>
      </w:r>
      <w:proofErr w:type="gramStart"/>
      <w:r w:rsidRPr="00F77AA4">
        <w:rPr>
          <w:b/>
          <w:bCs/>
        </w:rPr>
        <w:t>тем</w:t>
      </w:r>
      <w:proofErr w:type="gramEnd"/>
      <w:r w:rsidRPr="00F77AA4">
        <w:rPr>
          <w:b/>
          <w:bCs/>
        </w:rPr>
        <w:t xml:space="preserve"> чтобы он мог эффективно получать, расследовать и разбирать жалобы детей с учетом специфики т</w:t>
      </w:r>
      <w:r w:rsidRPr="00F77AA4">
        <w:rPr>
          <w:b/>
          <w:bCs/>
        </w:rPr>
        <w:t>а</w:t>
      </w:r>
      <w:r w:rsidRPr="00F77AA4">
        <w:rPr>
          <w:b/>
          <w:bCs/>
        </w:rPr>
        <w:t>ких дел.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Распространение информации, повышение уровня осведомленности и</w:t>
      </w:r>
      <w:r w:rsidR="009E1C22">
        <w:t> </w:t>
      </w:r>
      <w:r w:rsidRPr="0077565D">
        <w:t>подготовка</w:t>
      </w:r>
    </w:p>
    <w:p w:rsidR="0077565D" w:rsidRPr="0077565D" w:rsidRDefault="0077565D" w:rsidP="0077565D">
      <w:pPr>
        <w:pStyle w:val="SingleTxtGR"/>
      </w:pPr>
      <w:r w:rsidRPr="0077565D">
        <w:t>12.</w:t>
      </w:r>
      <w:r w:rsidRPr="0077565D">
        <w:tab/>
      </w:r>
      <w:r w:rsidRPr="0077565D">
        <w:rPr>
          <w:b/>
          <w:bCs/>
        </w:rPr>
        <w:t>Комитет рекомендует государству-участнику охватить проводимыми на систематической основе вводными курсами и программами непреры</w:t>
      </w:r>
      <w:r w:rsidRPr="0077565D">
        <w:rPr>
          <w:b/>
          <w:bCs/>
        </w:rPr>
        <w:t>в</w:t>
      </w:r>
      <w:r w:rsidRPr="0077565D">
        <w:rPr>
          <w:b/>
          <w:bCs/>
        </w:rPr>
        <w:t>ной профессиональной подготовки по месту работы и/или информационно-просветительскими программами по правам детей для работников суде</w:t>
      </w:r>
      <w:r w:rsidRPr="0077565D">
        <w:rPr>
          <w:b/>
          <w:bCs/>
        </w:rPr>
        <w:t>б</w:t>
      </w:r>
      <w:r w:rsidRPr="0077565D">
        <w:rPr>
          <w:b/>
          <w:bCs/>
        </w:rPr>
        <w:t xml:space="preserve">ных органов, которые организует Высшая школа юстиции, все группы специалистов, работающих с детьми и в интересах детей. 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Сотрудничество с гражданским обществом</w:t>
      </w:r>
    </w:p>
    <w:p w:rsidR="0077565D" w:rsidRPr="0077565D" w:rsidRDefault="0077565D" w:rsidP="0077565D">
      <w:pPr>
        <w:pStyle w:val="SingleTxtGR"/>
      </w:pPr>
      <w:r w:rsidRPr="0077565D">
        <w:t>13.</w:t>
      </w:r>
      <w:r w:rsidRPr="0077565D">
        <w:tab/>
      </w:r>
      <w:proofErr w:type="gramStart"/>
      <w:r w:rsidRPr="0077565D">
        <w:rPr>
          <w:b/>
          <w:bCs/>
        </w:rPr>
        <w:t>Комитет напоминает о своей предыдущей рекомендации (см.</w:t>
      </w:r>
      <w:r w:rsidR="000A2913">
        <w:rPr>
          <w:b/>
          <w:bCs/>
        </w:rPr>
        <w:t xml:space="preserve"> </w:t>
      </w:r>
      <w:r w:rsidRPr="0077565D">
        <w:rPr>
          <w:b/>
          <w:bCs/>
        </w:rPr>
        <w:t>CRC/C/</w:t>
      </w:r>
      <w:r w:rsidR="000A2913">
        <w:rPr>
          <w:b/>
          <w:bCs/>
        </w:rPr>
        <w:t xml:space="preserve"> </w:t>
      </w:r>
      <w:r w:rsidRPr="0077565D">
        <w:rPr>
          <w:b/>
          <w:bCs/>
        </w:rPr>
        <w:t>GEO/CO/3, пункт 19), в которой он призывал государство-участник более активно сотрудничать с гражданским обществом, включая неправител</w:t>
      </w:r>
      <w:r w:rsidRPr="0077565D">
        <w:rPr>
          <w:b/>
          <w:bCs/>
        </w:rPr>
        <w:t>ь</w:t>
      </w:r>
      <w:r w:rsidRPr="0077565D">
        <w:rPr>
          <w:b/>
          <w:bCs/>
        </w:rPr>
        <w:t>ственные и детские организации, в рамках планирования, осуществления, мониторинга и оценки политики, планов и программ, связанных с Конве</w:t>
      </w:r>
      <w:r w:rsidRPr="0077565D">
        <w:rPr>
          <w:b/>
          <w:bCs/>
        </w:rPr>
        <w:t>н</w:t>
      </w:r>
      <w:r w:rsidRPr="0077565D">
        <w:rPr>
          <w:b/>
          <w:bCs/>
        </w:rPr>
        <w:t>цией, и реализации мер, направленных на поощрение прав детей.</w:t>
      </w:r>
      <w:proofErr w:type="gramEnd"/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Права детей и предпринимательская деятельность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14.</w:t>
      </w:r>
      <w:r w:rsidRPr="0077565D">
        <w:tab/>
      </w:r>
      <w:r w:rsidRPr="0077565D">
        <w:rPr>
          <w:b/>
          <w:bCs/>
        </w:rPr>
        <w:t>В свете своего замечания общего порядка № 16 (2013) об обязател</w:t>
      </w:r>
      <w:r w:rsidRPr="0077565D">
        <w:rPr>
          <w:b/>
          <w:bCs/>
        </w:rPr>
        <w:t>ь</w:t>
      </w:r>
      <w:r w:rsidRPr="0077565D">
        <w:rPr>
          <w:b/>
          <w:bCs/>
        </w:rPr>
        <w:t>ствах государств, касающихся воздействия предпринимательской деятел</w:t>
      </w:r>
      <w:r w:rsidRPr="0077565D">
        <w:rPr>
          <w:b/>
          <w:bCs/>
        </w:rPr>
        <w:t>ь</w:t>
      </w:r>
      <w:r w:rsidRPr="0077565D">
        <w:rPr>
          <w:b/>
          <w:bCs/>
        </w:rPr>
        <w:t>ности на права детей, и озабоченности, высказа</w:t>
      </w:r>
      <w:r w:rsidR="000A2913">
        <w:rPr>
          <w:b/>
          <w:bCs/>
        </w:rPr>
        <w:t>н</w:t>
      </w:r>
      <w:r w:rsidRPr="0077565D">
        <w:rPr>
          <w:b/>
          <w:bCs/>
        </w:rPr>
        <w:t>ной Специальным д</w:t>
      </w:r>
      <w:r w:rsidRPr="0077565D">
        <w:rPr>
          <w:b/>
          <w:bCs/>
        </w:rPr>
        <w:t>о</w:t>
      </w:r>
      <w:r w:rsidRPr="0077565D">
        <w:rPr>
          <w:b/>
          <w:bCs/>
        </w:rPr>
        <w:t>кладчиком по вопросу о торговле детьми, детской проституции и детской порнографии (см. A/HRC/34/55/Add.1, пункты 30 и 76), Комитет рекоменд</w:t>
      </w:r>
      <w:r w:rsidRPr="0077565D">
        <w:rPr>
          <w:b/>
          <w:bCs/>
        </w:rPr>
        <w:t>у</w:t>
      </w:r>
      <w:r w:rsidRPr="0077565D">
        <w:rPr>
          <w:b/>
          <w:bCs/>
        </w:rPr>
        <w:t>ет государству-участнику: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а)</w:t>
      </w:r>
      <w:r w:rsidRPr="00F77AA4">
        <w:rPr>
          <w:b/>
        </w:rPr>
        <w:tab/>
      </w:r>
      <w:r w:rsidRPr="00F77AA4">
        <w:rPr>
          <w:b/>
          <w:bCs/>
        </w:rPr>
        <w:t>проанализировать и скорректировать свое законодательство (гражданское, уголовное и административное) для обеспечения юридич</w:t>
      </w:r>
      <w:r w:rsidRPr="00F77AA4">
        <w:rPr>
          <w:b/>
          <w:bCs/>
        </w:rPr>
        <w:t>е</w:t>
      </w:r>
      <w:r w:rsidRPr="00F77AA4">
        <w:rPr>
          <w:b/>
          <w:bCs/>
        </w:rPr>
        <w:t>ской ответственности коммерческих предприятий и их филиалов, которые действуют на территории государства-участника или управляются с нее, особенно предприятий, работающих в сфере туризма;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b)</w:t>
      </w:r>
      <w:r w:rsidRPr="00F77AA4">
        <w:rPr>
          <w:b/>
        </w:rPr>
        <w:tab/>
      </w:r>
      <w:r w:rsidRPr="00F77AA4">
        <w:rPr>
          <w:b/>
          <w:bCs/>
        </w:rPr>
        <w:t xml:space="preserve">создать механизмы мониторинга для проведения расследований в связи с нарушениями прав детей и предоставления соответствующего возмещения в целях повышения ответственности и </w:t>
      </w:r>
      <w:proofErr w:type="spellStart"/>
      <w:r w:rsidRPr="00F77AA4">
        <w:rPr>
          <w:b/>
          <w:bCs/>
        </w:rPr>
        <w:t>транспарентности</w:t>
      </w:r>
      <w:proofErr w:type="spellEnd"/>
      <w:r w:rsidRPr="00F77AA4">
        <w:rPr>
          <w:b/>
          <w:bCs/>
        </w:rPr>
        <w:t>;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lastRenderedPageBreak/>
        <w:tab/>
        <w:t>c)</w:t>
      </w:r>
      <w:r w:rsidRPr="00F77AA4">
        <w:rPr>
          <w:b/>
        </w:rPr>
        <w:tab/>
      </w:r>
      <w:r w:rsidRPr="00F77AA4">
        <w:rPr>
          <w:b/>
          <w:bCs/>
        </w:rPr>
        <w:t>организовывать для индустрии туризма и широкой обществе</w:t>
      </w:r>
      <w:r w:rsidRPr="00F77AA4">
        <w:rPr>
          <w:b/>
          <w:bCs/>
        </w:rPr>
        <w:t>н</w:t>
      </w:r>
      <w:r w:rsidRPr="00F77AA4">
        <w:rPr>
          <w:b/>
          <w:bCs/>
        </w:rPr>
        <w:t>ности информационно-просветительские кампании по вопросам предо</w:t>
      </w:r>
      <w:r w:rsidRPr="00F77AA4">
        <w:rPr>
          <w:b/>
          <w:bCs/>
        </w:rPr>
        <w:t>т</w:t>
      </w:r>
      <w:r w:rsidRPr="00F77AA4">
        <w:rPr>
          <w:b/>
          <w:bCs/>
        </w:rPr>
        <w:t xml:space="preserve">вращения детского </w:t>
      </w:r>
      <w:proofErr w:type="gramStart"/>
      <w:r w:rsidRPr="00F77AA4">
        <w:rPr>
          <w:b/>
          <w:bCs/>
        </w:rPr>
        <w:t>секс-туризма</w:t>
      </w:r>
      <w:proofErr w:type="gramEnd"/>
      <w:r w:rsidRPr="00F77AA4">
        <w:rPr>
          <w:b/>
          <w:bCs/>
        </w:rPr>
        <w:t xml:space="preserve"> и обеспечить широкое распространение Глобального этического кодекса туризма Всемирной туристской организ</w:t>
      </w:r>
      <w:r w:rsidRPr="00F77AA4">
        <w:rPr>
          <w:b/>
          <w:bCs/>
        </w:rPr>
        <w:t>а</w:t>
      </w:r>
      <w:r w:rsidRPr="00F77AA4">
        <w:rPr>
          <w:b/>
          <w:bCs/>
        </w:rPr>
        <w:t xml:space="preserve">ции среди бюро путешествий и предприятий туристической отрасли; </w:t>
      </w:r>
    </w:p>
    <w:p w:rsidR="0077565D" w:rsidRPr="00F77AA4" w:rsidRDefault="0077565D" w:rsidP="0077565D">
      <w:pPr>
        <w:pStyle w:val="SingleTxtGR"/>
        <w:rPr>
          <w:b/>
          <w:bCs/>
        </w:rPr>
      </w:pPr>
      <w:r w:rsidRPr="00F77AA4">
        <w:rPr>
          <w:b/>
        </w:rPr>
        <w:tab/>
        <w:t>d)</w:t>
      </w:r>
      <w:r w:rsidRPr="00F77AA4">
        <w:rPr>
          <w:b/>
        </w:rPr>
        <w:tab/>
      </w:r>
      <w:r w:rsidRPr="00F77AA4">
        <w:rPr>
          <w:b/>
          <w:bCs/>
        </w:rPr>
        <w:t>укреплять международное сотрудничество в деле борьбы с де</w:t>
      </w:r>
      <w:r w:rsidRPr="00F77AA4">
        <w:rPr>
          <w:b/>
          <w:bCs/>
        </w:rPr>
        <w:t>т</w:t>
      </w:r>
      <w:r w:rsidRPr="00F77AA4">
        <w:rPr>
          <w:b/>
          <w:bCs/>
        </w:rPr>
        <w:t>ским</w:t>
      </w:r>
      <w:r w:rsidRPr="00F77AA4">
        <w:rPr>
          <w:b/>
        </w:rPr>
        <w:t xml:space="preserve"> </w:t>
      </w:r>
      <w:proofErr w:type="gramStart"/>
      <w:r w:rsidRPr="00F77AA4">
        <w:rPr>
          <w:b/>
          <w:bCs/>
        </w:rPr>
        <w:t>секс-туризмом</w:t>
      </w:r>
      <w:proofErr w:type="gramEnd"/>
      <w:r w:rsidRPr="00F77AA4">
        <w:rPr>
          <w:b/>
          <w:bCs/>
        </w:rPr>
        <w:t xml:space="preserve"> путем заключения многосторонних, региональных и двусторонних соглашений о его предотвращении и искоренении.</w:t>
      </w:r>
    </w:p>
    <w:p w:rsidR="0077565D" w:rsidRPr="0077565D" w:rsidRDefault="0077565D" w:rsidP="009A392D">
      <w:pPr>
        <w:pStyle w:val="H1GR"/>
      </w:pPr>
      <w:r w:rsidRPr="0077565D">
        <w:tab/>
        <w:t>B.</w:t>
      </w:r>
      <w:r w:rsidRPr="0077565D">
        <w:tab/>
        <w:t>Общие принципы (статьи 2, 3, 6 и 12)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</w:r>
      <w:proofErr w:type="spellStart"/>
      <w:r w:rsidRPr="0077565D">
        <w:t>Недискриминация</w:t>
      </w:r>
      <w:proofErr w:type="spellEnd"/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15.</w:t>
      </w:r>
      <w:r w:rsidRPr="0077565D">
        <w:tab/>
      </w:r>
      <w:r w:rsidRPr="0077565D">
        <w:rPr>
          <w:b/>
          <w:bCs/>
        </w:rPr>
        <w:t>Приветствуя принятие в мае 2014 года Закона о ликвидации всех форм дискриминации, Комитет напоминает о своих предыдущих заключ</w:t>
      </w:r>
      <w:r w:rsidRPr="0077565D">
        <w:rPr>
          <w:b/>
          <w:bCs/>
        </w:rPr>
        <w:t>и</w:t>
      </w:r>
      <w:r w:rsidRPr="0077565D">
        <w:rPr>
          <w:b/>
          <w:bCs/>
        </w:rPr>
        <w:t>тельных замечаниях (см. CRC/C/GEO/CO/3, пункт 22) и настоятельно пр</w:t>
      </w:r>
      <w:r w:rsidRPr="0077565D">
        <w:rPr>
          <w:b/>
          <w:bCs/>
        </w:rPr>
        <w:t>и</w:t>
      </w:r>
      <w:r w:rsidRPr="0077565D">
        <w:rPr>
          <w:b/>
          <w:bCs/>
        </w:rPr>
        <w:t>зывает государство-участник: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</w:r>
      <w:proofErr w:type="gramStart"/>
      <w:r w:rsidRPr="00DD77B6">
        <w:rPr>
          <w:b/>
        </w:rPr>
        <w:t>а)</w:t>
      </w:r>
      <w:r w:rsidRPr="00DD77B6">
        <w:rPr>
          <w:b/>
        </w:rPr>
        <w:tab/>
      </w:r>
      <w:r w:rsidRPr="00DD77B6">
        <w:rPr>
          <w:b/>
          <w:bCs/>
        </w:rPr>
        <w:t>выделять необходимые людские, технические и финансовые р</w:t>
      </w:r>
      <w:r w:rsidRPr="00DD77B6">
        <w:rPr>
          <w:b/>
          <w:bCs/>
        </w:rPr>
        <w:t>е</w:t>
      </w:r>
      <w:r w:rsidRPr="00DD77B6">
        <w:rPr>
          <w:b/>
          <w:bCs/>
        </w:rPr>
        <w:t>сурсы учреждениям, отвечающим за мониторинг осуществления Закона о</w:t>
      </w:r>
      <w:r w:rsidR="00DD77B6">
        <w:rPr>
          <w:b/>
          <w:bCs/>
        </w:rPr>
        <w:t> </w:t>
      </w:r>
      <w:r w:rsidRPr="00DD77B6">
        <w:rPr>
          <w:b/>
          <w:bCs/>
        </w:rPr>
        <w:t>ликвидации всех форм дискриминации, особенно Управлению Народного защитника, и осуществлять сбор дезагрегированных данные о случаях дискриминации в отношении детей, включая детей-инвалидов, безнадзо</w:t>
      </w:r>
      <w:r w:rsidRPr="00DD77B6">
        <w:rPr>
          <w:b/>
          <w:bCs/>
        </w:rPr>
        <w:t>р</w:t>
      </w:r>
      <w:r w:rsidRPr="00DD77B6">
        <w:rPr>
          <w:b/>
          <w:bCs/>
        </w:rPr>
        <w:t>ных детей, детей, оказавшихся в системе ювенальной юстиции, детей, пр</w:t>
      </w:r>
      <w:r w:rsidRPr="00DD77B6">
        <w:rPr>
          <w:b/>
          <w:bCs/>
        </w:rPr>
        <w:t>и</w:t>
      </w:r>
      <w:r w:rsidRPr="00DD77B6">
        <w:rPr>
          <w:b/>
          <w:bCs/>
        </w:rPr>
        <w:t>надлежащих к меньшинствам, детей из обездоленных семей, детей, прож</w:t>
      </w:r>
      <w:r w:rsidRPr="00DD77B6">
        <w:rPr>
          <w:b/>
          <w:bCs/>
        </w:rPr>
        <w:t>и</w:t>
      </w:r>
      <w:r w:rsidRPr="00DD77B6">
        <w:rPr>
          <w:b/>
          <w:bCs/>
        </w:rPr>
        <w:t>вающих в сельских и отдаленных районах, а</w:t>
      </w:r>
      <w:proofErr w:type="gramEnd"/>
      <w:r w:rsidRPr="00DD77B6">
        <w:rPr>
          <w:b/>
          <w:bCs/>
        </w:rPr>
        <w:t xml:space="preserve"> также детей-беженцев или внутренне перемещенных детей, в целях разработки всеобъемлющих стр</w:t>
      </w:r>
      <w:r w:rsidRPr="00DD77B6">
        <w:rPr>
          <w:b/>
          <w:bCs/>
        </w:rPr>
        <w:t>а</w:t>
      </w:r>
      <w:r w:rsidRPr="00DD77B6">
        <w:rPr>
          <w:b/>
          <w:bCs/>
        </w:rPr>
        <w:t>тегий, направленных на то, чтобы положить конец всем формам дискр</w:t>
      </w:r>
      <w:r w:rsidRPr="00DD77B6">
        <w:rPr>
          <w:b/>
          <w:bCs/>
        </w:rPr>
        <w:t>и</w:t>
      </w:r>
      <w:r w:rsidRPr="00DD77B6">
        <w:rPr>
          <w:b/>
          <w:bCs/>
        </w:rPr>
        <w:t>минации;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b)</w:t>
      </w:r>
      <w:r w:rsidRPr="00DD77B6">
        <w:rPr>
          <w:b/>
        </w:rPr>
        <w:tab/>
      </w:r>
      <w:r w:rsidRPr="00DD77B6">
        <w:rPr>
          <w:b/>
          <w:bCs/>
        </w:rPr>
        <w:t>обеспечить надлежащую интеграцию, последовательное толк</w:t>
      </w:r>
      <w:r w:rsidRPr="00DD77B6">
        <w:rPr>
          <w:b/>
          <w:bCs/>
        </w:rPr>
        <w:t>о</w:t>
      </w:r>
      <w:r w:rsidRPr="00DD77B6">
        <w:rPr>
          <w:b/>
          <w:bCs/>
        </w:rPr>
        <w:t xml:space="preserve">вание и применение этого Закона, с </w:t>
      </w:r>
      <w:proofErr w:type="gramStart"/>
      <w:r w:rsidRPr="00DD77B6">
        <w:rPr>
          <w:b/>
          <w:bCs/>
        </w:rPr>
        <w:t>тем</w:t>
      </w:r>
      <w:proofErr w:type="gramEnd"/>
      <w:r w:rsidRPr="00DD77B6">
        <w:rPr>
          <w:b/>
          <w:bCs/>
        </w:rPr>
        <w:t xml:space="preserve"> чтобы правонарушители наказ</w:t>
      </w:r>
      <w:r w:rsidRPr="00DD77B6">
        <w:rPr>
          <w:b/>
          <w:bCs/>
        </w:rPr>
        <w:t>ы</w:t>
      </w:r>
      <w:r w:rsidRPr="00DD77B6">
        <w:rPr>
          <w:b/>
          <w:bCs/>
        </w:rPr>
        <w:t>вались</w:t>
      </w:r>
      <w:r w:rsidRPr="000D04D2">
        <w:rPr>
          <w:b/>
          <w:bCs/>
          <w:spacing w:val="2"/>
        </w:rPr>
        <w:t xml:space="preserve"> должным образом, а дети, ставшие жертвами дискриминации, пол</w:t>
      </w:r>
      <w:r w:rsidRPr="000D04D2">
        <w:rPr>
          <w:b/>
          <w:bCs/>
          <w:spacing w:val="2"/>
        </w:rPr>
        <w:t>у</w:t>
      </w:r>
      <w:r w:rsidRPr="000D04D2">
        <w:rPr>
          <w:b/>
          <w:bCs/>
          <w:spacing w:val="2"/>
        </w:rPr>
        <w:t xml:space="preserve">чали доступ к эффективным и надлежащим </w:t>
      </w:r>
      <w:r w:rsidRPr="00DD77B6">
        <w:rPr>
          <w:b/>
          <w:bCs/>
        </w:rPr>
        <w:t>средствам правовой защиты;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</w:r>
      <w:proofErr w:type="gramStart"/>
      <w:r w:rsidRPr="00DD77B6">
        <w:rPr>
          <w:b/>
        </w:rPr>
        <w:t>c)</w:t>
      </w:r>
      <w:r w:rsidRPr="00DD77B6">
        <w:rPr>
          <w:b/>
        </w:rPr>
        <w:tab/>
      </w:r>
      <w:r w:rsidRPr="00DD77B6">
        <w:rPr>
          <w:b/>
          <w:bCs/>
        </w:rPr>
        <w:t>бороться с практикой селективных абортов по признаку пола, в</w:t>
      </w:r>
      <w:r w:rsidR="000A2913">
        <w:rPr>
          <w:b/>
          <w:bCs/>
        </w:rPr>
        <w:t> </w:t>
      </w:r>
      <w:r w:rsidRPr="00DD77B6">
        <w:rPr>
          <w:b/>
          <w:bCs/>
        </w:rPr>
        <w:t>том числе путем устранения ее коренных причин и долгосрочных после</w:t>
      </w:r>
      <w:r w:rsidRPr="00DD77B6">
        <w:rPr>
          <w:b/>
          <w:bCs/>
        </w:rPr>
        <w:t>д</w:t>
      </w:r>
      <w:r w:rsidRPr="00DD77B6">
        <w:rPr>
          <w:b/>
          <w:bCs/>
        </w:rPr>
        <w:t>ствий для общества, расширить службы планирования семьи и проводить разъяснительную работу о пагубном влиянии гендерной селекции и о ра</w:t>
      </w:r>
      <w:r w:rsidRPr="00DD77B6">
        <w:rPr>
          <w:b/>
          <w:bCs/>
        </w:rPr>
        <w:t>в</w:t>
      </w:r>
      <w:r w:rsidRPr="00DD77B6">
        <w:rPr>
          <w:b/>
          <w:bCs/>
        </w:rPr>
        <w:t>ной ценности девочек и мальчиков в соответствии с предыдущими рек</w:t>
      </w:r>
      <w:r w:rsidRPr="00DD77B6">
        <w:rPr>
          <w:b/>
          <w:bCs/>
        </w:rPr>
        <w:t>о</w:t>
      </w:r>
      <w:r w:rsidRPr="00DD77B6">
        <w:rPr>
          <w:b/>
          <w:bCs/>
        </w:rPr>
        <w:t>мендациями Комитета по правам человека (CCPR/C/GEO/CO/4, пункт 7 f)).</w:t>
      </w:r>
      <w:proofErr w:type="gramEnd"/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Наилучшее обеспечение интересов ребенка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16.</w:t>
      </w:r>
      <w:r w:rsidRPr="0077565D">
        <w:tab/>
      </w:r>
      <w:r w:rsidRPr="0077565D">
        <w:rPr>
          <w:b/>
          <w:bCs/>
        </w:rPr>
        <w:t>Комитет приветствует включение определения наилучшего обеспеч</w:t>
      </w:r>
      <w:r w:rsidRPr="0077565D">
        <w:rPr>
          <w:b/>
          <w:bCs/>
        </w:rPr>
        <w:t>е</w:t>
      </w:r>
      <w:r w:rsidRPr="0077565D">
        <w:rPr>
          <w:b/>
          <w:bCs/>
        </w:rPr>
        <w:t xml:space="preserve">ния интересов ребенка в Кодекс ювенальной юстиции и пересмотренный Гражданский кодекс. </w:t>
      </w:r>
      <w:proofErr w:type="gramStart"/>
      <w:r w:rsidRPr="0077565D">
        <w:rPr>
          <w:b/>
          <w:bCs/>
        </w:rPr>
        <w:t>Вместе с тем в свете своего замечания общего поря</w:t>
      </w:r>
      <w:r w:rsidRPr="0077565D">
        <w:rPr>
          <w:b/>
          <w:bCs/>
        </w:rPr>
        <w:t>д</w:t>
      </w:r>
      <w:r w:rsidRPr="0077565D">
        <w:rPr>
          <w:b/>
          <w:bCs/>
        </w:rPr>
        <w:t xml:space="preserve">ка № 14 (2013) о праве ребенка на </w:t>
      </w:r>
      <w:proofErr w:type="spellStart"/>
      <w:r w:rsidRPr="0077565D">
        <w:rPr>
          <w:b/>
          <w:bCs/>
        </w:rPr>
        <w:t>уделение</w:t>
      </w:r>
      <w:proofErr w:type="spellEnd"/>
      <w:r w:rsidRPr="0077565D">
        <w:rPr>
          <w:b/>
          <w:bCs/>
        </w:rPr>
        <w:t xml:space="preserve"> первоочередного внимания наилучшему обеспечению его интересов Комитет рекомендует государству-участнику активизировать свои усилия по обеспечению надлежащего уч</w:t>
      </w:r>
      <w:r w:rsidRPr="0077565D">
        <w:rPr>
          <w:b/>
          <w:bCs/>
        </w:rPr>
        <w:t>е</w:t>
      </w:r>
      <w:r w:rsidRPr="0077565D">
        <w:rPr>
          <w:b/>
          <w:bCs/>
        </w:rPr>
        <w:t>та, последовательного толкования и применения этого права во всей зак</w:t>
      </w:r>
      <w:r w:rsidRPr="0077565D">
        <w:rPr>
          <w:b/>
          <w:bCs/>
        </w:rPr>
        <w:t>о</w:t>
      </w:r>
      <w:r w:rsidRPr="0077565D">
        <w:rPr>
          <w:b/>
          <w:bCs/>
        </w:rPr>
        <w:t>нодательной, административной и судебной практике и решениях, а также во всех стратегиях, программах и проектах, имеющих отношение к детям или</w:t>
      </w:r>
      <w:proofErr w:type="gramEnd"/>
      <w:r w:rsidRPr="0077565D">
        <w:rPr>
          <w:b/>
          <w:bCs/>
        </w:rPr>
        <w:t xml:space="preserve"> затрагивающих их интересы, включая процедуры, касающиеся детей-просителей убежища и несопровождаемых детей. В этой связи государству-участнику рекомендуется разработать процедуры и критерии выработки руководящих указаний для всех соответствующих полномочных лиц в о</w:t>
      </w:r>
      <w:r w:rsidRPr="0077565D">
        <w:rPr>
          <w:b/>
          <w:bCs/>
        </w:rPr>
        <w:t>т</w:t>
      </w:r>
      <w:r w:rsidRPr="0077565D">
        <w:rPr>
          <w:b/>
          <w:bCs/>
        </w:rPr>
        <w:t xml:space="preserve">ношении определения интересов ребенка в каждой области и </w:t>
      </w:r>
      <w:proofErr w:type="spellStart"/>
      <w:r w:rsidRPr="0077565D">
        <w:rPr>
          <w:b/>
          <w:bCs/>
        </w:rPr>
        <w:t>уделения</w:t>
      </w:r>
      <w:proofErr w:type="spellEnd"/>
      <w:r w:rsidRPr="0077565D">
        <w:rPr>
          <w:b/>
          <w:bCs/>
        </w:rPr>
        <w:t xml:space="preserve"> пе</w:t>
      </w:r>
      <w:r w:rsidRPr="0077565D">
        <w:rPr>
          <w:b/>
          <w:bCs/>
        </w:rPr>
        <w:t>р</w:t>
      </w:r>
      <w:r w:rsidRPr="0077565D">
        <w:rPr>
          <w:b/>
          <w:bCs/>
        </w:rPr>
        <w:t>воочередного внимания их наилучшему обеспечению.</w:t>
      </w:r>
    </w:p>
    <w:p w:rsidR="0077565D" w:rsidRPr="0077565D" w:rsidRDefault="0077565D" w:rsidP="009A392D">
      <w:pPr>
        <w:pStyle w:val="H23GR"/>
      </w:pPr>
      <w:r w:rsidRPr="0077565D">
        <w:lastRenderedPageBreak/>
        <w:tab/>
      </w:r>
      <w:r w:rsidRPr="0077565D">
        <w:tab/>
        <w:t>Уважение мнения ребенка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17.</w:t>
      </w:r>
      <w:r w:rsidRPr="0077565D">
        <w:tab/>
      </w:r>
      <w:proofErr w:type="gramStart"/>
      <w:r w:rsidRPr="0077565D">
        <w:rPr>
          <w:b/>
          <w:bCs/>
        </w:rPr>
        <w:t>Отмечая создание оборудованных с учетом потребностей и интересов детей залов судебных заседаний, Комитет в свете своего замечания общего порядка № 12 (2009) о праве ребенка быть заслушанным призывает гос</w:t>
      </w:r>
      <w:r w:rsidRPr="0077565D">
        <w:rPr>
          <w:b/>
          <w:bCs/>
        </w:rPr>
        <w:t>у</w:t>
      </w:r>
      <w:r w:rsidRPr="0077565D">
        <w:rPr>
          <w:b/>
          <w:bCs/>
        </w:rPr>
        <w:t>дарство-участник укрепить соответствующие методы для обеспечения должного учета мнений детей в семье, в школах, на уровне общин, в учр</w:t>
      </w:r>
      <w:r w:rsidRPr="0077565D">
        <w:rPr>
          <w:b/>
          <w:bCs/>
        </w:rPr>
        <w:t>е</w:t>
      </w:r>
      <w:r w:rsidRPr="0077565D">
        <w:rPr>
          <w:b/>
          <w:bCs/>
        </w:rPr>
        <w:t>ждениях и в рамках касающихся их административных процедур путем, в</w:t>
      </w:r>
      <w:r w:rsidR="00DD77B6">
        <w:rPr>
          <w:b/>
          <w:bCs/>
        </w:rPr>
        <w:t> </w:t>
      </w:r>
      <w:r w:rsidRPr="0077565D">
        <w:rPr>
          <w:b/>
          <w:bCs/>
        </w:rPr>
        <w:t>частности:</w:t>
      </w:r>
      <w:proofErr w:type="gramEnd"/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  <w:bCs/>
        </w:rPr>
        <w:tab/>
        <w:t>а)</w:t>
      </w:r>
      <w:r w:rsidRPr="00DD77B6">
        <w:rPr>
          <w:b/>
          <w:bCs/>
        </w:rPr>
        <w:tab/>
        <w:t>доработки соответствующего законодательства;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  <w:bCs/>
        </w:rPr>
        <w:tab/>
        <w:t>b)</w:t>
      </w:r>
      <w:r w:rsidRPr="00DD77B6">
        <w:rPr>
          <w:b/>
          <w:bCs/>
        </w:rPr>
        <w:tab/>
        <w:t xml:space="preserve">постоянной подготовки специалистов; 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c)</w:t>
      </w:r>
      <w:r w:rsidRPr="00DD77B6">
        <w:rPr>
          <w:b/>
        </w:rPr>
        <w:tab/>
      </w:r>
      <w:r w:rsidRPr="00DD77B6">
        <w:rPr>
          <w:b/>
          <w:bCs/>
        </w:rPr>
        <w:t>поддержки различных форм осознанного участия детей;</w:t>
      </w:r>
      <w:r w:rsidRPr="00DD77B6">
        <w:rPr>
          <w:b/>
        </w:rPr>
        <w:t xml:space="preserve"> 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d)</w:t>
      </w:r>
      <w:r w:rsidRPr="00DD77B6">
        <w:rPr>
          <w:b/>
        </w:rPr>
        <w:tab/>
      </w:r>
      <w:r w:rsidRPr="00DD77B6">
        <w:rPr>
          <w:b/>
          <w:bCs/>
        </w:rPr>
        <w:t>сотрудничества с организациями гражданского общества в ц</w:t>
      </w:r>
      <w:r w:rsidRPr="00DD77B6">
        <w:rPr>
          <w:b/>
          <w:bCs/>
        </w:rPr>
        <w:t>е</w:t>
      </w:r>
      <w:r w:rsidRPr="00DD77B6">
        <w:rPr>
          <w:b/>
          <w:bCs/>
        </w:rPr>
        <w:t>лях расширения возможностей для участия детей, в том числе в средствах массовой информации.</w:t>
      </w:r>
    </w:p>
    <w:p w:rsidR="0077565D" w:rsidRPr="0077565D" w:rsidRDefault="0077565D" w:rsidP="009A392D">
      <w:pPr>
        <w:pStyle w:val="H1GR"/>
      </w:pPr>
      <w:r w:rsidRPr="0077565D">
        <w:tab/>
        <w:t>C.</w:t>
      </w:r>
      <w:r w:rsidRPr="0077565D">
        <w:tab/>
        <w:t>Гражданские права и свободы (статьи 7, 8 и 13</w:t>
      </w:r>
      <w:r w:rsidR="004A0A74">
        <w:t>–</w:t>
      </w:r>
      <w:r w:rsidRPr="0077565D">
        <w:t>17)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 xml:space="preserve">Регистрация рождений </w:t>
      </w:r>
    </w:p>
    <w:p w:rsidR="0077565D" w:rsidRPr="0077565D" w:rsidRDefault="0077565D" w:rsidP="0077565D">
      <w:pPr>
        <w:pStyle w:val="SingleTxtGR"/>
      </w:pPr>
      <w:r w:rsidRPr="0077565D">
        <w:t>18.</w:t>
      </w:r>
      <w:r w:rsidRPr="0077565D">
        <w:tab/>
      </w:r>
      <w:proofErr w:type="gramStart"/>
      <w:r w:rsidRPr="0077565D">
        <w:rPr>
          <w:b/>
          <w:bCs/>
        </w:rPr>
        <w:t>Отмечая принятие в январе 2012 года Указа Министра юстиции Гр</w:t>
      </w:r>
      <w:r w:rsidRPr="0077565D">
        <w:rPr>
          <w:b/>
          <w:bCs/>
        </w:rPr>
        <w:t>у</w:t>
      </w:r>
      <w:r w:rsidRPr="0077565D">
        <w:rPr>
          <w:b/>
          <w:bCs/>
        </w:rPr>
        <w:t>зии № 18 об утверждении правил регистрации актов гражданского состо</w:t>
      </w:r>
      <w:r w:rsidRPr="0077565D">
        <w:rPr>
          <w:b/>
          <w:bCs/>
        </w:rPr>
        <w:t>я</w:t>
      </w:r>
      <w:r w:rsidRPr="0077565D">
        <w:rPr>
          <w:b/>
          <w:bCs/>
        </w:rPr>
        <w:t>ния, а также практику посещения должностными лицами жителей на дому для выдачи документов, удостоверяющих личность, Комитет, с</w:t>
      </w:r>
      <w:r w:rsidRPr="0077565D">
        <w:rPr>
          <w:b/>
        </w:rPr>
        <w:t xml:space="preserve"> учетом з</w:t>
      </w:r>
      <w:r w:rsidRPr="0077565D">
        <w:rPr>
          <w:b/>
        </w:rPr>
        <w:t>а</w:t>
      </w:r>
      <w:r w:rsidRPr="0077565D">
        <w:rPr>
          <w:b/>
        </w:rPr>
        <w:t>дачи 16.9 Целей в области устойчивого развития, которая состоит в том, чтобы обеспечить наличие у всех людей законных удостоверений личности, включая свидетельства о рождении</w:t>
      </w:r>
      <w:r w:rsidRPr="0077565D">
        <w:rPr>
          <w:b/>
          <w:bCs/>
        </w:rPr>
        <w:t>, рекомендует</w:t>
      </w:r>
      <w:proofErr w:type="gramEnd"/>
      <w:r w:rsidRPr="0077565D">
        <w:rPr>
          <w:b/>
          <w:bCs/>
        </w:rPr>
        <w:t xml:space="preserve"> государству-участнику: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а)</w:t>
      </w:r>
      <w:r w:rsidRPr="00DD77B6">
        <w:rPr>
          <w:b/>
        </w:rPr>
        <w:tab/>
      </w:r>
      <w:r w:rsidRPr="00DD77B6">
        <w:rPr>
          <w:b/>
          <w:bCs/>
        </w:rPr>
        <w:t>установить реалистичные сроки для эффективной регистрации рождений по всей стране и принять меры для устранения администрати</w:t>
      </w:r>
      <w:r w:rsidRPr="00DD77B6">
        <w:rPr>
          <w:b/>
          <w:bCs/>
        </w:rPr>
        <w:t>в</w:t>
      </w:r>
      <w:r w:rsidRPr="00DD77B6">
        <w:rPr>
          <w:b/>
          <w:bCs/>
        </w:rPr>
        <w:t>ных препятствий, уделяя при этом особое внимание группам меньшинств, беженцам, лицам без гражданства и семьям, живущим в высокогорных районах;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b)</w:t>
      </w:r>
      <w:r w:rsidRPr="00DD77B6">
        <w:rPr>
          <w:b/>
        </w:rPr>
        <w:tab/>
      </w:r>
      <w:r w:rsidRPr="00DD77B6">
        <w:rPr>
          <w:b/>
          <w:bCs/>
        </w:rPr>
        <w:t>продолжать и активизировать предпринимаемые усилия по с</w:t>
      </w:r>
      <w:r w:rsidRPr="00DD77B6">
        <w:rPr>
          <w:b/>
          <w:bCs/>
        </w:rPr>
        <w:t>о</w:t>
      </w:r>
      <w:r w:rsidRPr="00DD77B6">
        <w:rPr>
          <w:b/>
          <w:bCs/>
        </w:rPr>
        <w:t>зданию, в соответствии с предыдущими заключительными замечаниями Комитета (см. CRC/C/GEO/CO/3, пункт 28), институциональных структур, например мобильных регистрационных центров, для достижения равных показателей регистрации рождений для групп меньшинств;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c)</w:t>
      </w:r>
      <w:r w:rsidRPr="00DD77B6">
        <w:rPr>
          <w:b/>
        </w:rPr>
        <w:tab/>
      </w:r>
      <w:r w:rsidRPr="00DD77B6">
        <w:rPr>
          <w:b/>
          <w:bCs/>
        </w:rPr>
        <w:t>обратиться за технической помощью, в частности, к Управл</w:t>
      </w:r>
      <w:r w:rsidRPr="00DD77B6">
        <w:rPr>
          <w:b/>
          <w:bCs/>
        </w:rPr>
        <w:t>е</w:t>
      </w:r>
      <w:r w:rsidRPr="00DD77B6">
        <w:rPr>
          <w:b/>
          <w:bCs/>
        </w:rPr>
        <w:t>нию Верховного комиссара Организации Объединенных Наций по делам беженцев (УВКБ) и ЮНИСЕФ в целях осуществления этих рекомендаций.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Имя и гражданство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19.</w:t>
      </w:r>
      <w:r w:rsidRPr="0077565D">
        <w:tab/>
      </w:r>
      <w:r w:rsidRPr="0077565D">
        <w:rPr>
          <w:b/>
          <w:bCs/>
        </w:rPr>
        <w:t>Принимая к сведению правила регистрации рождений детей, ро</w:t>
      </w:r>
      <w:r w:rsidRPr="0077565D">
        <w:rPr>
          <w:b/>
          <w:bCs/>
        </w:rPr>
        <w:t>ж</w:t>
      </w:r>
      <w:r w:rsidRPr="0077565D">
        <w:rPr>
          <w:b/>
          <w:bCs/>
        </w:rPr>
        <w:t>денных в Грузии посредством суррогатного материнства, которые закре</w:t>
      </w:r>
      <w:r w:rsidRPr="0077565D">
        <w:rPr>
          <w:b/>
          <w:bCs/>
        </w:rPr>
        <w:t>п</w:t>
      </w:r>
      <w:r w:rsidRPr="0077565D">
        <w:rPr>
          <w:b/>
          <w:bCs/>
        </w:rPr>
        <w:t>лены в статье 19 Указа Министра юстиции № 18 об утверждении правил регистрации актов гражданского состояния, Комитет рекомендует госуда</w:t>
      </w:r>
      <w:r w:rsidRPr="0077565D">
        <w:rPr>
          <w:b/>
          <w:bCs/>
        </w:rPr>
        <w:t>р</w:t>
      </w:r>
      <w:r w:rsidRPr="0077565D">
        <w:rPr>
          <w:b/>
          <w:bCs/>
        </w:rPr>
        <w:t>ству-участнику</w:t>
      </w:r>
      <w:r w:rsidRPr="0077565D">
        <w:t>: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а)</w:t>
      </w:r>
      <w:r w:rsidRPr="00DD77B6">
        <w:rPr>
          <w:b/>
        </w:rPr>
        <w:tab/>
      </w:r>
      <w:r w:rsidRPr="00DD77B6">
        <w:rPr>
          <w:b/>
          <w:bCs/>
        </w:rPr>
        <w:t>устранить возможные препятствия на пути осуществления эт</w:t>
      </w:r>
      <w:r w:rsidRPr="00DD77B6">
        <w:rPr>
          <w:b/>
          <w:bCs/>
        </w:rPr>
        <w:t>о</w:t>
      </w:r>
      <w:r w:rsidRPr="00DD77B6">
        <w:rPr>
          <w:b/>
          <w:bCs/>
        </w:rPr>
        <w:t>го указа, особенно в том, что касается международных договоренностей о</w:t>
      </w:r>
      <w:r w:rsidRPr="00DD77B6">
        <w:rPr>
          <w:b/>
          <w:bCs/>
        </w:rPr>
        <w:t>т</w:t>
      </w:r>
      <w:r w:rsidRPr="00DD77B6">
        <w:rPr>
          <w:b/>
          <w:bCs/>
        </w:rPr>
        <w:t>носительно суррогатного материнства;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b)</w:t>
      </w:r>
      <w:r w:rsidRPr="00DD77B6">
        <w:rPr>
          <w:b/>
        </w:rPr>
        <w:tab/>
      </w:r>
      <w:r w:rsidRPr="00DD77B6">
        <w:rPr>
          <w:b/>
          <w:bCs/>
        </w:rPr>
        <w:t>обеспечить, чтобы дети, рожденные посредством суррогатного материнства, имели возможность получения доступа к информации о св</w:t>
      </w:r>
      <w:r w:rsidRPr="00DD77B6">
        <w:rPr>
          <w:b/>
          <w:bCs/>
        </w:rPr>
        <w:t>о</w:t>
      </w:r>
      <w:r w:rsidRPr="00DD77B6">
        <w:rPr>
          <w:b/>
          <w:bCs/>
        </w:rPr>
        <w:t>ем происхождении;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lastRenderedPageBreak/>
        <w:tab/>
        <w:t>c)</w:t>
      </w:r>
      <w:r w:rsidRPr="00DD77B6">
        <w:rPr>
          <w:b/>
        </w:rPr>
        <w:tab/>
      </w:r>
      <w:r w:rsidRPr="00DD77B6">
        <w:rPr>
          <w:b/>
          <w:bCs/>
        </w:rPr>
        <w:t>внести поправки в Закон о правовом статусе иностранцев и лиц без гражданства с целью его приведения в полное соответствие с Ко</w:t>
      </w:r>
      <w:r w:rsidRPr="00DD77B6">
        <w:rPr>
          <w:b/>
          <w:bCs/>
        </w:rPr>
        <w:t>н</w:t>
      </w:r>
      <w:r w:rsidRPr="00DD77B6">
        <w:rPr>
          <w:b/>
          <w:bCs/>
        </w:rPr>
        <w:t xml:space="preserve">венцией о статусе апатридов; 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d)</w:t>
      </w:r>
      <w:r w:rsidRPr="00DD77B6">
        <w:rPr>
          <w:b/>
        </w:rPr>
        <w:tab/>
      </w:r>
      <w:r w:rsidRPr="00DD77B6">
        <w:rPr>
          <w:b/>
          <w:bCs/>
        </w:rPr>
        <w:t>создать эффективный и действенный механизм для выявления детей, которые не имеют документов и рискуют стать лицами без гражда</w:t>
      </w:r>
      <w:r w:rsidRPr="00DD77B6">
        <w:rPr>
          <w:b/>
          <w:bCs/>
        </w:rPr>
        <w:t>н</w:t>
      </w:r>
      <w:r w:rsidRPr="00DD77B6">
        <w:rPr>
          <w:b/>
          <w:bCs/>
        </w:rPr>
        <w:t>ства, и оказания им помощи;</w:t>
      </w:r>
    </w:p>
    <w:p w:rsidR="0077565D" w:rsidRPr="00DD77B6" w:rsidRDefault="0077565D" w:rsidP="0077565D">
      <w:pPr>
        <w:pStyle w:val="SingleTxtGR"/>
        <w:rPr>
          <w:b/>
          <w:bCs/>
        </w:rPr>
      </w:pPr>
      <w:r w:rsidRPr="00DD77B6">
        <w:rPr>
          <w:b/>
        </w:rPr>
        <w:tab/>
        <w:t>e)</w:t>
      </w:r>
      <w:r w:rsidRPr="00DD77B6">
        <w:rPr>
          <w:b/>
        </w:rPr>
        <w:tab/>
      </w:r>
      <w:r w:rsidRPr="00DD77B6">
        <w:rPr>
          <w:b/>
          <w:bCs/>
        </w:rPr>
        <w:t>присоединиться к Европейской конвенции о гражданстве 1997</w:t>
      </w:r>
      <w:r w:rsidR="004A0A74">
        <w:rPr>
          <w:b/>
          <w:bCs/>
        </w:rPr>
        <w:t> </w:t>
      </w:r>
      <w:r w:rsidRPr="00DD77B6">
        <w:rPr>
          <w:b/>
          <w:bCs/>
        </w:rPr>
        <w:t xml:space="preserve">года и к Конвенции Совета Европы о недопущении </w:t>
      </w:r>
      <w:proofErr w:type="spellStart"/>
      <w:r w:rsidRPr="00DD77B6">
        <w:rPr>
          <w:b/>
          <w:bCs/>
        </w:rPr>
        <w:t>безгражданства</w:t>
      </w:r>
      <w:proofErr w:type="spellEnd"/>
      <w:r w:rsidRPr="00DD77B6">
        <w:rPr>
          <w:b/>
          <w:bCs/>
        </w:rPr>
        <w:t xml:space="preserve"> в связи с правопреемством государств 2006 года.</w:t>
      </w:r>
    </w:p>
    <w:p w:rsidR="0077565D" w:rsidRPr="0077565D" w:rsidRDefault="0077565D" w:rsidP="009A392D">
      <w:pPr>
        <w:pStyle w:val="H1GR"/>
      </w:pPr>
      <w:r w:rsidRPr="0077565D">
        <w:rPr>
          <w:bCs/>
        </w:rPr>
        <w:tab/>
        <w:t>D.</w:t>
      </w:r>
      <w:r w:rsidRPr="0077565D">
        <w:tab/>
      </w:r>
      <w:r w:rsidRPr="0077565D">
        <w:rPr>
          <w:bCs/>
        </w:rPr>
        <w:t>Насилие в отношении детей (</w:t>
      </w:r>
      <w:r w:rsidRPr="0077565D">
        <w:t xml:space="preserve">статьи 19, 24 (пункт 3), </w:t>
      </w:r>
      <w:r w:rsidR="004A0A74">
        <w:br/>
      </w:r>
      <w:r w:rsidRPr="0077565D">
        <w:t>28 (пункт 2), 34, 37 (пункт а) и 39</w:t>
      </w:r>
      <w:r w:rsidRPr="0077565D">
        <w:rPr>
          <w:bCs/>
        </w:rPr>
        <w:t>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Пытки и другие жестокие, бесчеловечные или унижающие достоинство виды обращения и наказания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20.</w:t>
      </w:r>
      <w:r w:rsidRPr="0077565D">
        <w:tab/>
      </w:r>
      <w:r w:rsidRPr="0077565D">
        <w:rPr>
          <w:b/>
          <w:bCs/>
        </w:rPr>
        <w:t>Комитет обеспокоен сообщениями о случаях произвольного задерж</w:t>
      </w:r>
      <w:r w:rsidRPr="0077565D">
        <w:rPr>
          <w:b/>
          <w:bCs/>
        </w:rPr>
        <w:t>а</w:t>
      </w:r>
      <w:r w:rsidRPr="0077565D">
        <w:rPr>
          <w:b/>
          <w:bCs/>
        </w:rPr>
        <w:t>ния детей, применения пыток и неправомерного обращения с детьми в п</w:t>
      </w:r>
      <w:r w:rsidRPr="0077565D">
        <w:rPr>
          <w:b/>
          <w:bCs/>
        </w:rPr>
        <w:t>о</w:t>
      </w:r>
      <w:r w:rsidRPr="0077565D">
        <w:rPr>
          <w:b/>
          <w:bCs/>
        </w:rPr>
        <w:t>лицейских участках, в том числе о случаях с детьми, которые были выв</w:t>
      </w:r>
      <w:r w:rsidRPr="0077565D">
        <w:rPr>
          <w:b/>
          <w:bCs/>
        </w:rPr>
        <w:t>е</w:t>
      </w:r>
      <w:r w:rsidRPr="0077565D">
        <w:rPr>
          <w:b/>
          <w:bCs/>
        </w:rPr>
        <w:t>дены из системы уголовной юстиции, а также, изредка, в центрах содерж</w:t>
      </w:r>
      <w:r w:rsidRPr="0077565D">
        <w:rPr>
          <w:b/>
          <w:bCs/>
        </w:rPr>
        <w:t>а</w:t>
      </w:r>
      <w:r w:rsidRPr="0077565D">
        <w:rPr>
          <w:b/>
          <w:bCs/>
        </w:rPr>
        <w:t>ния под стражей для несовершеннолетних правонарушителей. Комитет напоминает о своих предыдущих заключительных замечаниях (см.</w:t>
      </w:r>
      <w:r w:rsidR="000A2913">
        <w:rPr>
          <w:b/>
          <w:bCs/>
        </w:rPr>
        <w:t> </w:t>
      </w:r>
      <w:r w:rsidRPr="0077565D">
        <w:rPr>
          <w:b/>
          <w:bCs/>
        </w:rPr>
        <w:t>CRC/C/GEO/CO/3, пункт 30) и рекомендует государству-участнику: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а)</w:t>
      </w:r>
      <w:r w:rsidRPr="004A0A74">
        <w:rPr>
          <w:b/>
        </w:rPr>
        <w:tab/>
      </w:r>
      <w:r w:rsidRPr="004A0A74">
        <w:rPr>
          <w:b/>
          <w:bCs/>
        </w:rPr>
        <w:t>тщательно расследовать все утверждения о применении пыток и неправомерном обращении со стороны должностных лиц, особенно с</w:t>
      </w:r>
      <w:r w:rsidRPr="004A0A74">
        <w:rPr>
          <w:b/>
          <w:bCs/>
        </w:rPr>
        <w:t>о</w:t>
      </w:r>
      <w:r w:rsidRPr="004A0A74">
        <w:rPr>
          <w:b/>
          <w:bCs/>
        </w:rPr>
        <w:t>трудников полиции, и обеспечивать, чтобы правонарушители незамедл</w:t>
      </w:r>
      <w:r w:rsidRPr="004A0A74">
        <w:rPr>
          <w:b/>
          <w:bCs/>
        </w:rPr>
        <w:t>и</w:t>
      </w:r>
      <w:r w:rsidRPr="004A0A74">
        <w:rPr>
          <w:b/>
          <w:bCs/>
        </w:rPr>
        <w:t>тельно предавались суду и привлекались к ответственности;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b)</w:t>
      </w:r>
      <w:r w:rsidRPr="004A0A74">
        <w:rPr>
          <w:b/>
        </w:rPr>
        <w:tab/>
      </w:r>
      <w:r w:rsidRPr="004A0A74">
        <w:rPr>
          <w:b/>
          <w:bCs/>
        </w:rPr>
        <w:t>предоставлять детям, ставшим жертвами подобных злоуп</w:t>
      </w:r>
      <w:r w:rsidRPr="004A0A74">
        <w:rPr>
          <w:b/>
          <w:bCs/>
        </w:rPr>
        <w:t>о</w:t>
      </w:r>
      <w:r w:rsidRPr="004A0A74">
        <w:rPr>
          <w:b/>
          <w:bCs/>
        </w:rPr>
        <w:t>треблений, надлежащее возмещение и осуществлять для них программы реабилитации и восстановления;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c)</w:t>
      </w:r>
      <w:r w:rsidRPr="004A0A74">
        <w:rPr>
          <w:b/>
        </w:rPr>
        <w:tab/>
      </w:r>
      <w:r w:rsidRPr="004A0A74">
        <w:rPr>
          <w:b/>
          <w:bCs/>
        </w:rPr>
        <w:t>укреплять независимый мониторинг со стороны гражданского общества, Народного защитника и органа по наблюдению за положением в области прав человека и координацию между ними, а также активизир</w:t>
      </w:r>
      <w:r w:rsidRPr="004A0A74">
        <w:rPr>
          <w:b/>
          <w:bCs/>
        </w:rPr>
        <w:t>о</w:t>
      </w:r>
      <w:r w:rsidRPr="004A0A74">
        <w:rPr>
          <w:b/>
          <w:bCs/>
        </w:rPr>
        <w:t>вать их деятельность в центрах содержания под стражей для несоверше</w:t>
      </w:r>
      <w:r w:rsidRPr="004A0A74">
        <w:rPr>
          <w:b/>
          <w:bCs/>
        </w:rPr>
        <w:t>н</w:t>
      </w:r>
      <w:r w:rsidRPr="004A0A74">
        <w:rPr>
          <w:b/>
          <w:bCs/>
        </w:rPr>
        <w:t>нолетних правонарушителей;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d)</w:t>
      </w:r>
      <w:r w:rsidRPr="004A0A74">
        <w:rPr>
          <w:b/>
        </w:rPr>
        <w:tab/>
      </w:r>
      <w:r w:rsidRPr="004A0A74">
        <w:rPr>
          <w:b/>
          <w:bCs/>
        </w:rPr>
        <w:t>обеспечивать доступность существующих механизмов приема жалоб на неправомерное обращение или злоупотребления, подаваемых детьми или от их имени.</w:t>
      </w:r>
    </w:p>
    <w:p w:rsidR="0077565D" w:rsidRPr="009A392D" w:rsidRDefault="0077565D" w:rsidP="009A392D">
      <w:pPr>
        <w:pStyle w:val="H23GR"/>
      </w:pPr>
      <w:r w:rsidRPr="009A392D">
        <w:tab/>
      </w:r>
      <w:r w:rsidRPr="009A392D">
        <w:tab/>
        <w:t>Телесные наказания и жестокое обращение с детьми</w:t>
      </w:r>
    </w:p>
    <w:p w:rsidR="0077565D" w:rsidRPr="0077565D" w:rsidRDefault="0077565D" w:rsidP="0077565D">
      <w:pPr>
        <w:pStyle w:val="SingleTxtGR"/>
      </w:pPr>
      <w:r w:rsidRPr="0077565D">
        <w:t>21.</w:t>
      </w:r>
      <w:r w:rsidRPr="0077565D">
        <w:tab/>
      </w:r>
      <w:proofErr w:type="gramStart"/>
      <w:r w:rsidRPr="0077565D">
        <w:t>Приветствуя усилия, предпринятые государством-участником для борьбы с бытовым насилием, включая поправки к Закону о пресечении бытового нас</w:t>
      </w:r>
      <w:r w:rsidRPr="0077565D">
        <w:t>и</w:t>
      </w:r>
      <w:r w:rsidRPr="0077565D">
        <w:t>лия, создание в 2016 году нового механизма адресной защиты детей, программу по выявлению и предупреждению агрессивных поведенческих расстройств, к</w:t>
      </w:r>
      <w:r w:rsidRPr="0077565D">
        <w:t>о</w:t>
      </w:r>
      <w:r w:rsidRPr="0077565D">
        <w:t>торая реализуется на экспериментальной основе с 2016 года, постоянную пр</w:t>
      </w:r>
      <w:r w:rsidRPr="0077565D">
        <w:t>о</w:t>
      </w:r>
      <w:r w:rsidRPr="0077565D">
        <w:t>грамму по борьбе с насилием в отношении детей и введенные в 2015 году пр</w:t>
      </w:r>
      <w:r w:rsidRPr="0077565D">
        <w:t>о</w:t>
      </w:r>
      <w:r w:rsidRPr="0077565D">
        <w:t>цедуры передачи вопросов защиты</w:t>
      </w:r>
      <w:proofErr w:type="gramEnd"/>
      <w:r w:rsidRPr="0077565D">
        <w:t xml:space="preserve"> детей в соответствующие инстанции, </w:t>
      </w:r>
      <w:proofErr w:type="gramStart"/>
      <w:r w:rsidRPr="0077565D">
        <w:t>Ком</w:t>
      </w:r>
      <w:r w:rsidRPr="0077565D">
        <w:t>и</w:t>
      </w:r>
      <w:r w:rsidRPr="0077565D">
        <w:t>тет</w:t>
      </w:r>
      <w:proofErr w:type="gramEnd"/>
      <w:r w:rsidRPr="0077565D">
        <w:t xml:space="preserve"> тем не менее серьезно обеспокоен:</w:t>
      </w:r>
    </w:p>
    <w:p w:rsidR="0077565D" w:rsidRPr="0077565D" w:rsidRDefault="0077565D" w:rsidP="0077565D">
      <w:pPr>
        <w:pStyle w:val="SingleTxtGR"/>
      </w:pPr>
      <w:r w:rsidRPr="0077565D">
        <w:tab/>
        <w:t>а)</w:t>
      </w:r>
      <w:r w:rsidRPr="0077565D">
        <w:tab/>
        <w:t>широкими масштабами применения телесных наказаний в семье, а</w:t>
      </w:r>
      <w:r w:rsidR="004A0A74">
        <w:t> т</w:t>
      </w:r>
      <w:r w:rsidRPr="0077565D">
        <w:t>акже в школах и других учреждениях;</w:t>
      </w:r>
    </w:p>
    <w:p w:rsidR="0077565D" w:rsidRPr="0077565D" w:rsidRDefault="0077565D" w:rsidP="0077565D">
      <w:pPr>
        <w:pStyle w:val="SingleTxtGR"/>
      </w:pPr>
      <w:r w:rsidRPr="0077565D">
        <w:tab/>
        <w:t>b)</w:t>
      </w:r>
      <w:r w:rsidRPr="0077565D">
        <w:tab/>
        <w:t>отсутствием законодательства, криминализующего применение т</w:t>
      </w:r>
      <w:r w:rsidRPr="0077565D">
        <w:t>е</w:t>
      </w:r>
      <w:r w:rsidRPr="0077565D">
        <w:t>лесных наказаний, и информационно-просветительских мероприятий в целях борьбы с этой практикой;</w:t>
      </w:r>
    </w:p>
    <w:p w:rsidR="0077565D" w:rsidRPr="0077565D" w:rsidRDefault="0077565D" w:rsidP="0077565D">
      <w:pPr>
        <w:pStyle w:val="SingleTxtGR"/>
      </w:pPr>
      <w:r w:rsidRPr="0077565D">
        <w:lastRenderedPageBreak/>
        <w:tab/>
        <w:t>c)</w:t>
      </w:r>
      <w:r w:rsidRPr="0077565D">
        <w:tab/>
        <w:t>ограниченными масштабами применения механизма адресной з</w:t>
      </w:r>
      <w:r w:rsidRPr="0077565D">
        <w:t>а</w:t>
      </w:r>
      <w:r w:rsidRPr="0077565D">
        <w:t>щиты детей в том, что касается детских садов и специалистов, работающих с семьями и детьми, а также школ;</w:t>
      </w:r>
    </w:p>
    <w:p w:rsidR="0077565D" w:rsidRPr="0077565D" w:rsidRDefault="0077565D" w:rsidP="0077565D">
      <w:pPr>
        <w:pStyle w:val="SingleTxtGR"/>
      </w:pPr>
      <w:r w:rsidRPr="0077565D">
        <w:tab/>
        <w:t>d)</w:t>
      </w:r>
      <w:r w:rsidRPr="0077565D">
        <w:tab/>
        <w:t>доминирующей ролью полиции в вопросах применения механизма адресной защиты детей;</w:t>
      </w:r>
    </w:p>
    <w:p w:rsidR="0077565D" w:rsidRPr="0077565D" w:rsidRDefault="0077565D" w:rsidP="0077565D">
      <w:pPr>
        <w:pStyle w:val="SingleTxtGR"/>
      </w:pPr>
      <w:r w:rsidRPr="0077565D">
        <w:tab/>
        <w:t>e)</w:t>
      </w:r>
      <w:r w:rsidRPr="0077565D">
        <w:tab/>
        <w:t>ограниченным характером консультативных услуг по вопросам предотвращения насилия, предоставляемых детям и родителям в школах;</w:t>
      </w:r>
    </w:p>
    <w:p w:rsidR="0077565D" w:rsidRPr="0077565D" w:rsidRDefault="0077565D" w:rsidP="0077565D">
      <w:pPr>
        <w:pStyle w:val="SingleTxtGR"/>
      </w:pPr>
      <w:r w:rsidRPr="0077565D">
        <w:tab/>
        <w:t>f)</w:t>
      </w:r>
      <w:r w:rsidRPr="0077565D">
        <w:tab/>
        <w:t xml:space="preserve">наличием центров оказания психологической помощи лишь в семи городах, а также ограниченным охватом школ институтом </w:t>
      </w:r>
      <w:r w:rsidR="004A0A74">
        <w:t>«</w:t>
      </w:r>
      <w:proofErr w:type="spellStart"/>
      <w:r w:rsidRPr="0077565D">
        <w:t>мандатури</w:t>
      </w:r>
      <w:proofErr w:type="spellEnd"/>
      <w:r w:rsidR="004A0A74">
        <w:t>»</w:t>
      </w:r>
      <w:r w:rsidRPr="0077565D">
        <w:t xml:space="preserve"> (школ</w:t>
      </w:r>
      <w:r w:rsidRPr="0077565D">
        <w:t>ь</w:t>
      </w:r>
      <w:r w:rsidRPr="0077565D">
        <w:t>ных приставов);</w:t>
      </w:r>
    </w:p>
    <w:p w:rsidR="0077565D" w:rsidRPr="0077565D" w:rsidRDefault="0077565D" w:rsidP="0077565D">
      <w:pPr>
        <w:pStyle w:val="SingleTxtGR"/>
      </w:pPr>
      <w:r w:rsidRPr="0077565D">
        <w:tab/>
        <w:t>g)</w:t>
      </w:r>
      <w:r w:rsidRPr="0077565D">
        <w:tab/>
        <w:t>низким уровнем осведомленности о процедурах адресной защиты детей среди широких слоев населения и о системе защиты детей среди специ</w:t>
      </w:r>
      <w:r w:rsidRPr="0077565D">
        <w:t>а</w:t>
      </w:r>
      <w:r w:rsidRPr="0077565D">
        <w:t>листов, отсутствием руководящих принципов применения этих процедур всеми медицинскими и педагогическими работниками, задействованными в системе защиты детей, а также сотрудниками правоохранительных органов, и нежел</w:t>
      </w:r>
      <w:r w:rsidRPr="0077565D">
        <w:t>а</w:t>
      </w:r>
      <w:r w:rsidRPr="0077565D">
        <w:t xml:space="preserve">нием последних их применять.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22.</w:t>
      </w:r>
      <w:r w:rsidRPr="0077565D">
        <w:tab/>
      </w:r>
      <w:r w:rsidRPr="0077565D">
        <w:rPr>
          <w:b/>
          <w:bCs/>
        </w:rPr>
        <w:t xml:space="preserve">В свете своих замечаний общего порядка № 8 (2006) о праве ребенка на защиту от телесных наказаний и </w:t>
      </w:r>
      <w:proofErr w:type="gramStart"/>
      <w:r w:rsidRPr="0077565D">
        <w:rPr>
          <w:b/>
          <w:bCs/>
        </w:rPr>
        <w:t>других</w:t>
      </w:r>
      <w:proofErr w:type="gramEnd"/>
      <w:r w:rsidRPr="0077565D">
        <w:rPr>
          <w:b/>
          <w:bCs/>
        </w:rPr>
        <w:t xml:space="preserve"> жестоких или унижающих д</w:t>
      </w:r>
      <w:r w:rsidRPr="0077565D">
        <w:rPr>
          <w:b/>
          <w:bCs/>
        </w:rPr>
        <w:t>о</w:t>
      </w:r>
      <w:r w:rsidRPr="0077565D">
        <w:rPr>
          <w:b/>
          <w:bCs/>
        </w:rPr>
        <w:t>стоинство видов наказания и № 13 (2011) о праве ребенка на свободу от всех форм насилия и с учетом задачи 16.2 Целей в области устойчивого развития</w:t>
      </w:r>
      <w:r w:rsidRPr="0077565D">
        <w:rPr>
          <w:b/>
        </w:rPr>
        <w:t>, которая состоит в том, чтобы</w:t>
      </w:r>
      <w:r w:rsidRPr="0077565D">
        <w:rPr>
          <w:b/>
          <w:bCs/>
        </w:rPr>
        <w:t xml:space="preserve"> положить конец надругательствам, эксплуатации, торговле и всем формам насилия и пыток в отношении д</w:t>
      </w:r>
      <w:r w:rsidRPr="0077565D">
        <w:rPr>
          <w:b/>
          <w:bCs/>
        </w:rPr>
        <w:t>е</w:t>
      </w:r>
      <w:r w:rsidRPr="0077565D">
        <w:rPr>
          <w:b/>
          <w:bCs/>
        </w:rPr>
        <w:t>тей, Комитет настоятельно призывает государство-участник: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а)</w:t>
      </w:r>
      <w:r w:rsidRPr="004A0A74">
        <w:rPr>
          <w:b/>
        </w:rPr>
        <w:tab/>
      </w:r>
      <w:r w:rsidRPr="004A0A74">
        <w:rPr>
          <w:b/>
          <w:bCs/>
        </w:rPr>
        <w:t xml:space="preserve">принять законодательство, эксплицитно запрещающее все формы телесного наказания детей во </w:t>
      </w:r>
      <w:r w:rsidRPr="004A0A74">
        <w:rPr>
          <w:b/>
        </w:rPr>
        <w:t>всех местах</w:t>
      </w:r>
      <w:r w:rsidRPr="004A0A74">
        <w:rPr>
          <w:b/>
          <w:bCs/>
        </w:rPr>
        <w:t>, в том числе в учебных заведениях, учреждениях альтернативного ухода и дома;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b)</w:t>
      </w:r>
      <w:r w:rsidRPr="004A0A74">
        <w:rPr>
          <w:b/>
        </w:rPr>
        <w:tab/>
      </w:r>
      <w:r w:rsidRPr="004A0A74">
        <w:rPr>
          <w:b/>
          <w:bCs/>
        </w:rPr>
        <w:t>продолжать укреплять программы и политику по борьбе с насилием в отношении детей, включая осуществляемые на уровне общин программы и кампании, направленные на предотвращение и устранение бытового насилия, жестокого обращения с детьми и отсутствия заботы о них, и привлекать детей, бывших детей-жертв, добровольцев и представ</w:t>
      </w:r>
      <w:r w:rsidRPr="004A0A74">
        <w:rPr>
          <w:b/>
          <w:bCs/>
        </w:rPr>
        <w:t>и</w:t>
      </w:r>
      <w:r w:rsidRPr="004A0A74">
        <w:rPr>
          <w:b/>
          <w:bCs/>
        </w:rPr>
        <w:t xml:space="preserve">телей общин к их осуществлению, с </w:t>
      </w:r>
      <w:proofErr w:type="gramStart"/>
      <w:r w:rsidRPr="004A0A74">
        <w:rPr>
          <w:b/>
          <w:bCs/>
        </w:rPr>
        <w:t>тем</w:t>
      </w:r>
      <w:proofErr w:type="gramEnd"/>
      <w:r w:rsidRPr="004A0A74">
        <w:rPr>
          <w:b/>
          <w:bCs/>
        </w:rPr>
        <w:t xml:space="preserve"> чтобы содействовать пропаганде позитивных, ненасильственных и основанных на участии форм воспит</w:t>
      </w:r>
      <w:r w:rsidRPr="004A0A74">
        <w:rPr>
          <w:b/>
          <w:bCs/>
        </w:rPr>
        <w:t>а</w:t>
      </w:r>
      <w:r w:rsidRPr="004A0A74">
        <w:rPr>
          <w:b/>
          <w:bCs/>
        </w:rPr>
        <w:t>ния детей и поддержания дисциплины;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c)</w:t>
      </w:r>
      <w:r w:rsidRPr="004A0A74">
        <w:rPr>
          <w:b/>
        </w:rPr>
        <w:tab/>
      </w:r>
      <w:r w:rsidRPr="004A0A74">
        <w:rPr>
          <w:b/>
          <w:bCs/>
        </w:rPr>
        <w:t xml:space="preserve">повысить эффективность механизма </w:t>
      </w:r>
      <w:r w:rsidRPr="004A0A74">
        <w:rPr>
          <w:b/>
        </w:rPr>
        <w:t>адресной защиты детей</w:t>
      </w:r>
      <w:r w:rsidRPr="004A0A74">
        <w:rPr>
          <w:b/>
          <w:bCs/>
        </w:rPr>
        <w:t xml:space="preserve"> путем увеличения числа специалистов, работающих с семьями и детьми, в</w:t>
      </w:r>
      <w:r w:rsidR="00874CFA">
        <w:rPr>
          <w:b/>
          <w:bCs/>
        </w:rPr>
        <w:t> </w:t>
      </w:r>
      <w:r w:rsidRPr="004A0A74">
        <w:rPr>
          <w:b/>
          <w:bCs/>
        </w:rPr>
        <w:t xml:space="preserve">частности сотрудников правоохранительных органов, социальных служб и организаций, оказывающих соответствующие услуги; 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d)</w:t>
      </w:r>
      <w:r w:rsidRPr="004A0A74">
        <w:rPr>
          <w:b/>
        </w:rPr>
        <w:tab/>
      </w:r>
      <w:r w:rsidRPr="004A0A74">
        <w:rPr>
          <w:b/>
          <w:bCs/>
        </w:rPr>
        <w:t xml:space="preserve">оказывать поддержку социальным работникам для наилучшего обеспечения интересов ребенка в рамках механизма </w:t>
      </w:r>
      <w:r w:rsidRPr="004A0A74">
        <w:rPr>
          <w:b/>
        </w:rPr>
        <w:t>адресной защиты д</w:t>
      </w:r>
      <w:r w:rsidRPr="004A0A74">
        <w:rPr>
          <w:b/>
        </w:rPr>
        <w:t>е</w:t>
      </w:r>
      <w:r w:rsidRPr="004A0A74">
        <w:rPr>
          <w:b/>
        </w:rPr>
        <w:t>тей</w:t>
      </w:r>
      <w:r w:rsidRPr="004A0A74">
        <w:rPr>
          <w:b/>
          <w:bCs/>
        </w:rPr>
        <w:t xml:space="preserve"> и считать реабилитацию и </w:t>
      </w:r>
      <w:proofErr w:type="spellStart"/>
      <w:r w:rsidRPr="004A0A74">
        <w:rPr>
          <w:b/>
          <w:bCs/>
        </w:rPr>
        <w:t>реинтеграцию</w:t>
      </w:r>
      <w:proofErr w:type="spellEnd"/>
      <w:r w:rsidRPr="004A0A74">
        <w:rPr>
          <w:b/>
          <w:bCs/>
        </w:rPr>
        <w:t xml:space="preserve"> детей-же</w:t>
      </w:r>
      <w:proofErr w:type="gramStart"/>
      <w:r w:rsidRPr="004A0A74">
        <w:rPr>
          <w:b/>
          <w:bCs/>
        </w:rPr>
        <w:t>ртв гл</w:t>
      </w:r>
      <w:proofErr w:type="gramEnd"/>
      <w:r w:rsidRPr="004A0A74">
        <w:rPr>
          <w:b/>
          <w:bCs/>
        </w:rPr>
        <w:t>авной целью услуг, предоставляемых социальными работниками;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e)</w:t>
      </w:r>
      <w:r w:rsidRPr="004A0A74">
        <w:rPr>
          <w:b/>
        </w:rPr>
        <w:tab/>
      </w:r>
      <w:r w:rsidRPr="004A0A74">
        <w:rPr>
          <w:b/>
          <w:bCs/>
        </w:rPr>
        <w:t>расширить спектр консультативных услуг, предоставляемых детям и родителям, в целях предупреждения насилия и увеличить колич</w:t>
      </w:r>
      <w:r w:rsidRPr="004A0A74">
        <w:rPr>
          <w:b/>
          <w:bCs/>
        </w:rPr>
        <w:t>е</w:t>
      </w:r>
      <w:r w:rsidRPr="004A0A74">
        <w:rPr>
          <w:b/>
          <w:bCs/>
        </w:rPr>
        <w:t>ство центров оказания психологической помощи детям;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f)</w:t>
      </w:r>
      <w:r w:rsidRPr="004A0A74">
        <w:rPr>
          <w:b/>
        </w:rPr>
        <w:tab/>
      </w:r>
      <w:r w:rsidRPr="004A0A74">
        <w:rPr>
          <w:b/>
          <w:bCs/>
        </w:rPr>
        <w:t xml:space="preserve">обеспечить наличие </w:t>
      </w:r>
      <w:r w:rsidR="00FC71B1">
        <w:rPr>
          <w:b/>
          <w:bCs/>
        </w:rPr>
        <w:t>«</w:t>
      </w:r>
      <w:proofErr w:type="spellStart"/>
      <w:r w:rsidRPr="004A0A74">
        <w:rPr>
          <w:b/>
          <w:bCs/>
        </w:rPr>
        <w:t>мандатури</w:t>
      </w:r>
      <w:proofErr w:type="spellEnd"/>
      <w:r w:rsidR="00FC71B1">
        <w:rPr>
          <w:b/>
          <w:bCs/>
        </w:rPr>
        <w:t>»</w:t>
      </w:r>
      <w:r w:rsidRPr="004A0A74">
        <w:rPr>
          <w:b/>
          <w:bCs/>
        </w:rPr>
        <w:t xml:space="preserve"> во всех школах, включить в сферу их полномочий детские сады и учреждения по уходу за ребенком и укрепить их потенциал по выявлению, регистрации и рассмотрению сл</w:t>
      </w:r>
      <w:r w:rsidRPr="004A0A74">
        <w:rPr>
          <w:b/>
          <w:bCs/>
        </w:rPr>
        <w:t>у</w:t>
      </w:r>
      <w:r w:rsidRPr="004A0A74">
        <w:rPr>
          <w:b/>
          <w:bCs/>
        </w:rPr>
        <w:t>чаев жестокого обращения с детьми и насилия в школах на основе прим</w:t>
      </w:r>
      <w:r w:rsidRPr="004A0A74">
        <w:rPr>
          <w:b/>
          <w:bCs/>
        </w:rPr>
        <w:t>е</w:t>
      </w:r>
      <w:r w:rsidRPr="004A0A74">
        <w:rPr>
          <w:b/>
          <w:bCs/>
        </w:rPr>
        <w:t xml:space="preserve">нения многодисциплинарного и </w:t>
      </w:r>
      <w:proofErr w:type="spellStart"/>
      <w:r w:rsidRPr="004A0A74">
        <w:rPr>
          <w:b/>
          <w:bCs/>
        </w:rPr>
        <w:t>многосекторального</w:t>
      </w:r>
      <w:proofErr w:type="spellEnd"/>
      <w:r w:rsidRPr="004A0A74">
        <w:rPr>
          <w:b/>
          <w:bCs/>
        </w:rPr>
        <w:t xml:space="preserve"> подхода;</w:t>
      </w:r>
      <w:r w:rsidRPr="004A0A74">
        <w:rPr>
          <w:b/>
        </w:rPr>
        <w:t xml:space="preserve"> 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</w:r>
      <w:proofErr w:type="gramStart"/>
      <w:r w:rsidRPr="004A0A74">
        <w:rPr>
          <w:b/>
        </w:rPr>
        <w:t>g)</w:t>
      </w:r>
      <w:r w:rsidRPr="004A0A74">
        <w:rPr>
          <w:b/>
        </w:rPr>
        <w:tab/>
      </w:r>
      <w:r w:rsidRPr="004A0A74">
        <w:rPr>
          <w:b/>
          <w:bCs/>
        </w:rPr>
        <w:t>разработать соответствующие руководящие принципы прим</w:t>
      </w:r>
      <w:r w:rsidRPr="004A0A74">
        <w:rPr>
          <w:b/>
          <w:bCs/>
        </w:rPr>
        <w:t>е</w:t>
      </w:r>
      <w:r w:rsidRPr="004A0A74">
        <w:rPr>
          <w:b/>
          <w:bCs/>
        </w:rPr>
        <w:t xml:space="preserve">нения процедур </w:t>
      </w:r>
      <w:r w:rsidRPr="004A0A74">
        <w:rPr>
          <w:b/>
        </w:rPr>
        <w:t>адресной защиты детей</w:t>
      </w:r>
      <w:r w:rsidRPr="004A0A74">
        <w:rPr>
          <w:b/>
          <w:bCs/>
        </w:rPr>
        <w:t xml:space="preserve"> всеми специалистами, работа</w:t>
      </w:r>
      <w:r w:rsidRPr="004A0A74">
        <w:rPr>
          <w:b/>
          <w:bCs/>
        </w:rPr>
        <w:t>ю</w:t>
      </w:r>
      <w:r w:rsidRPr="004A0A74">
        <w:rPr>
          <w:b/>
          <w:bCs/>
        </w:rPr>
        <w:t>щими в системе защиты детей (включая преподавателей, социальных р</w:t>
      </w:r>
      <w:r w:rsidRPr="004A0A74">
        <w:rPr>
          <w:b/>
          <w:bCs/>
        </w:rPr>
        <w:t>а</w:t>
      </w:r>
      <w:r w:rsidRPr="004A0A74">
        <w:rPr>
          <w:b/>
          <w:bCs/>
        </w:rPr>
        <w:lastRenderedPageBreak/>
        <w:t>ботников, персонал детских садов, медицинских работников и сотрудников полиции и судебных органов), и обеспечить, чтобы они проходили подг</w:t>
      </w:r>
      <w:r w:rsidRPr="004A0A74">
        <w:rPr>
          <w:b/>
          <w:bCs/>
        </w:rPr>
        <w:t>о</w:t>
      </w:r>
      <w:r w:rsidRPr="004A0A74">
        <w:rPr>
          <w:b/>
          <w:bCs/>
        </w:rPr>
        <w:t>товку, посвященную этим процедурам и соответствующим руководящим принципам, а также их обязанности сообщать о случаях предполагаемого бытового насилия в отношении детей и принимать</w:t>
      </w:r>
      <w:proofErr w:type="gramEnd"/>
      <w:r w:rsidRPr="004A0A74">
        <w:rPr>
          <w:b/>
          <w:bCs/>
        </w:rPr>
        <w:t xml:space="preserve"> надлежащие меры;</w:t>
      </w:r>
    </w:p>
    <w:p w:rsidR="0077565D" w:rsidRPr="004A0A74" w:rsidRDefault="0077565D" w:rsidP="0077565D">
      <w:pPr>
        <w:pStyle w:val="SingleTxtGR"/>
        <w:rPr>
          <w:b/>
          <w:bCs/>
        </w:rPr>
      </w:pPr>
      <w:r w:rsidRPr="004A0A74">
        <w:rPr>
          <w:b/>
        </w:rPr>
        <w:tab/>
        <w:t>h)</w:t>
      </w:r>
      <w:r w:rsidRPr="004A0A74">
        <w:rPr>
          <w:b/>
        </w:rPr>
        <w:tab/>
      </w:r>
      <w:r w:rsidRPr="004A0A74">
        <w:rPr>
          <w:b/>
          <w:bCs/>
        </w:rPr>
        <w:t>сотрудничать со Специальным представителем Генерального секретаря по вопросу о насилии в отношении детей и другими соотве</w:t>
      </w:r>
      <w:r w:rsidRPr="004A0A74">
        <w:rPr>
          <w:b/>
          <w:bCs/>
        </w:rPr>
        <w:t>т</w:t>
      </w:r>
      <w:r w:rsidRPr="004A0A74">
        <w:rPr>
          <w:b/>
          <w:bCs/>
        </w:rPr>
        <w:t>ствующими органами Организации Объединенных Наций.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Сексуальная эксплуатация и сексуальные надругательства</w:t>
      </w:r>
    </w:p>
    <w:p w:rsidR="0077565D" w:rsidRPr="0077565D" w:rsidRDefault="0077565D" w:rsidP="0077565D">
      <w:pPr>
        <w:pStyle w:val="SingleTxtGR"/>
      </w:pPr>
      <w:r w:rsidRPr="0077565D">
        <w:t>23.</w:t>
      </w:r>
      <w:r w:rsidRPr="0077565D">
        <w:tab/>
        <w:t>Комитет глубоко обеспокоен:</w:t>
      </w:r>
    </w:p>
    <w:p w:rsidR="0077565D" w:rsidRPr="0077565D" w:rsidRDefault="0077565D" w:rsidP="0077565D">
      <w:pPr>
        <w:pStyle w:val="SingleTxtGR"/>
      </w:pPr>
      <w:r w:rsidRPr="0077565D">
        <w:tab/>
        <w:t>а)</w:t>
      </w:r>
      <w:r w:rsidRPr="0077565D">
        <w:tab/>
        <w:t>отсутствием всеобъемлющего законодательства, криминализующ</w:t>
      </w:r>
      <w:r w:rsidRPr="0077565D">
        <w:t>е</w:t>
      </w:r>
      <w:r w:rsidRPr="0077565D">
        <w:t>го сексуальную эксплуатацию детей и предусматривающего меры в целях ее предотвращения, а также отсутствием соответствующей стратегии и координ</w:t>
      </w:r>
      <w:r w:rsidRPr="0077565D">
        <w:t>а</w:t>
      </w:r>
      <w:r w:rsidRPr="0077565D">
        <w:t>ционного органа, который бы отвечал за ее осуществление;</w:t>
      </w:r>
    </w:p>
    <w:p w:rsidR="0077565D" w:rsidRPr="0077565D" w:rsidRDefault="0077565D" w:rsidP="0077565D">
      <w:pPr>
        <w:pStyle w:val="SingleTxtGR"/>
      </w:pPr>
      <w:r w:rsidRPr="0077565D">
        <w:tab/>
        <w:t>b)</w:t>
      </w:r>
      <w:r w:rsidRPr="0077565D">
        <w:tab/>
        <w:t>отсутствием достаточных данных о масштабах и различных фо</w:t>
      </w:r>
      <w:r w:rsidRPr="0077565D">
        <w:t>р</w:t>
      </w:r>
      <w:r w:rsidRPr="0077565D">
        <w:t>мах сексуальных надругательств, сексуальной эксплуатации и надругательств в семье и исследований, посвященных коренным причинам этих явлений и во</w:t>
      </w:r>
      <w:r w:rsidRPr="0077565D">
        <w:t>з</w:t>
      </w:r>
      <w:r w:rsidRPr="0077565D">
        <w:t>действию информационно-коммуникационных технологий на явления секс</w:t>
      </w:r>
      <w:r w:rsidRPr="0077565D">
        <w:t>у</w:t>
      </w:r>
      <w:r w:rsidRPr="0077565D">
        <w:t>ального надругательства над детьми и их сексуальной эксплуатации;</w:t>
      </w:r>
    </w:p>
    <w:p w:rsidR="0077565D" w:rsidRPr="0077565D" w:rsidRDefault="0077565D" w:rsidP="0077565D">
      <w:pPr>
        <w:pStyle w:val="SingleTxtGR"/>
      </w:pPr>
      <w:r w:rsidRPr="0077565D">
        <w:tab/>
        <w:t>c)</w:t>
      </w:r>
      <w:r w:rsidRPr="0077565D">
        <w:tab/>
        <w:t>трудностями, возникающими при расследовании случаев сексуал</w:t>
      </w:r>
      <w:r w:rsidRPr="0077565D">
        <w:t>ь</w:t>
      </w:r>
      <w:r w:rsidRPr="0077565D">
        <w:t>ного насилия в отношении детей и и</w:t>
      </w:r>
      <w:r w:rsidR="00874CFA">
        <w:t>дентификации жертв, в частности</w:t>
      </w:r>
      <w:r w:rsidRPr="0077565D">
        <w:t xml:space="preserve"> отсу</w:t>
      </w:r>
      <w:r w:rsidRPr="0077565D">
        <w:t>т</w:t>
      </w:r>
      <w:r w:rsidRPr="0077565D">
        <w:t>ствием запланированного подразделения по работе с электронными доказател</w:t>
      </w:r>
      <w:r w:rsidRPr="0077565D">
        <w:t>ь</w:t>
      </w:r>
      <w:r w:rsidRPr="0077565D">
        <w:t xml:space="preserve">ствами, ограниченными масштабами деятельности подразделения по борьбе с </w:t>
      </w:r>
      <w:proofErr w:type="spellStart"/>
      <w:r w:rsidRPr="0077565D">
        <w:t>киберпреступностью</w:t>
      </w:r>
      <w:proofErr w:type="spellEnd"/>
      <w:r w:rsidRPr="0077565D">
        <w:t>, недостаточным географическим охватом и слишком длинным номером бесплатной службы телефонной помощи;</w:t>
      </w:r>
    </w:p>
    <w:p w:rsidR="0077565D" w:rsidRPr="0077565D" w:rsidRDefault="0077565D" w:rsidP="0077565D">
      <w:pPr>
        <w:pStyle w:val="SingleTxtGR"/>
      </w:pPr>
      <w:r w:rsidRPr="0077565D">
        <w:tab/>
        <w:t>d)</w:t>
      </w:r>
      <w:r w:rsidRPr="0077565D">
        <w:tab/>
        <w:t>недостаточной осведомленностью населения, особенно детей, р</w:t>
      </w:r>
      <w:r w:rsidRPr="0077565D">
        <w:t>о</w:t>
      </w:r>
      <w:r w:rsidRPr="0077565D">
        <w:t>дителей и специалистов, о механизмах консультирования и уведомления о сл</w:t>
      </w:r>
      <w:r w:rsidRPr="0077565D">
        <w:t>у</w:t>
      </w:r>
      <w:r w:rsidRPr="0077565D">
        <w:t>чаях сексуальной эксплуатации, потенциальных опасностях, связанных с пов</w:t>
      </w:r>
      <w:r w:rsidRPr="0077565D">
        <w:t>е</w:t>
      </w:r>
      <w:r w:rsidRPr="0077565D">
        <w:t>дением детей в Интернете, и существовании бесплатной службы телефонной помощи для детей;</w:t>
      </w:r>
    </w:p>
    <w:p w:rsidR="0077565D" w:rsidRPr="0077565D" w:rsidRDefault="0077565D" w:rsidP="0077565D">
      <w:pPr>
        <w:pStyle w:val="SingleTxtGR"/>
      </w:pPr>
      <w:r w:rsidRPr="0077565D">
        <w:tab/>
        <w:t>e)</w:t>
      </w:r>
      <w:r w:rsidRPr="0077565D">
        <w:tab/>
        <w:t>отсутствием нормативных документов, которые бы регулировали сотрудничество между государственным и частным секторами и способствов</w:t>
      </w:r>
      <w:r w:rsidRPr="0077565D">
        <w:t>а</w:t>
      </w:r>
      <w:r w:rsidRPr="0077565D">
        <w:t xml:space="preserve">ли его укреплению, а также международного сотрудничества в целях борьбы </w:t>
      </w:r>
      <w:proofErr w:type="gramStart"/>
      <w:r w:rsidRPr="0077565D">
        <w:t>с</w:t>
      </w:r>
      <w:proofErr w:type="gramEnd"/>
      <w:r w:rsidRPr="0077565D">
        <w:t xml:space="preserve"> злоупотреблениями в отношении детей и их эксплуатацией в Интернете;</w:t>
      </w:r>
    </w:p>
    <w:p w:rsidR="0077565D" w:rsidRPr="0077565D" w:rsidRDefault="0077565D" w:rsidP="0077565D">
      <w:pPr>
        <w:pStyle w:val="SingleTxtGR"/>
      </w:pPr>
      <w:r w:rsidRPr="0077565D">
        <w:tab/>
        <w:t>f)</w:t>
      </w:r>
      <w:r w:rsidRPr="0077565D">
        <w:tab/>
        <w:t>передачей сторонним исполнителям функций по оказанию реаб</w:t>
      </w:r>
      <w:r w:rsidRPr="0077565D">
        <w:t>и</w:t>
      </w:r>
      <w:r w:rsidRPr="0077565D">
        <w:t>литационных услуг детям, ставшим жертвами безнадзорности, жестокого о</w:t>
      </w:r>
      <w:r w:rsidRPr="0077565D">
        <w:t>б</w:t>
      </w:r>
      <w:r w:rsidRPr="0077565D">
        <w:t>ращения и эксплуатации, в том числе сексуальной эксплуатации, и нехваткой финансовых ресурсов для предоставления таких услуг.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24.</w:t>
      </w:r>
      <w:r w:rsidRPr="0077565D">
        <w:tab/>
      </w:r>
      <w:r w:rsidRPr="0077565D">
        <w:rPr>
          <w:b/>
          <w:bCs/>
        </w:rPr>
        <w:t xml:space="preserve">Комитет подтверждает свои предыдущие заключительные замечания (CRC/C/GEO/CO/3, пункт 67) и настоятельно призывает государство-участник: 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а)</w:t>
      </w:r>
      <w:r w:rsidRPr="00180D95">
        <w:rPr>
          <w:b/>
        </w:rPr>
        <w:tab/>
      </w:r>
      <w:r w:rsidRPr="00180D95">
        <w:rPr>
          <w:b/>
          <w:bCs/>
        </w:rPr>
        <w:t xml:space="preserve">создать национальную базу данных </w:t>
      </w:r>
      <w:proofErr w:type="gramStart"/>
      <w:r w:rsidRPr="00180D95">
        <w:rPr>
          <w:b/>
          <w:bCs/>
        </w:rPr>
        <w:t>о</w:t>
      </w:r>
      <w:proofErr w:type="gramEnd"/>
      <w:r w:rsidRPr="00180D95">
        <w:rPr>
          <w:b/>
          <w:bCs/>
        </w:rPr>
        <w:t xml:space="preserve"> всех случаях сексуальной эксплуатации детей и сексуального надругательства над ними, в том числе о соответствующих случаях в Интернете и в семье, и провести всеобъе</w:t>
      </w:r>
      <w:r w:rsidRPr="00180D95">
        <w:rPr>
          <w:b/>
          <w:bCs/>
        </w:rPr>
        <w:t>м</w:t>
      </w:r>
      <w:r w:rsidRPr="00180D95">
        <w:rPr>
          <w:b/>
          <w:bCs/>
        </w:rPr>
        <w:t>лющую оценку масштабов, причин и природы этих явлений, уделив особое внимание воздействию информационно-коммуникационных технологий на явления сексуального надругательства над детьми и их сексуальной эк</w:t>
      </w:r>
      <w:r w:rsidRPr="00180D95">
        <w:rPr>
          <w:b/>
          <w:bCs/>
        </w:rPr>
        <w:t>с</w:t>
      </w:r>
      <w:r w:rsidRPr="00180D95">
        <w:rPr>
          <w:b/>
          <w:bCs/>
        </w:rPr>
        <w:t>плуатации;</w:t>
      </w:r>
      <w:r w:rsidRPr="00180D95">
        <w:rPr>
          <w:b/>
        </w:rPr>
        <w:t xml:space="preserve"> </w:t>
      </w:r>
    </w:p>
    <w:p w:rsidR="0077565D" w:rsidRPr="00180D95" w:rsidRDefault="0077565D" w:rsidP="005426A5">
      <w:pPr>
        <w:pStyle w:val="SingleTxtGR"/>
        <w:keepNext/>
        <w:keepLines/>
        <w:rPr>
          <w:b/>
          <w:bCs/>
        </w:rPr>
      </w:pPr>
      <w:r w:rsidRPr="00180D95">
        <w:rPr>
          <w:b/>
        </w:rPr>
        <w:lastRenderedPageBreak/>
        <w:tab/>
        <w:t>b)</w:t>
      </w:r>
      <w:r w:rsidRPr="00180D95">
        <w:rPr>
          <w:b/>
        </w:rPr>
        <w:tab/>
      </w:r>
      <w:r w:rsidRPr="00180D95">
        <w:rPr>
          <w:b/>
          <w:bCs/>
        </w:rPr>
        <w:t>укрепить процесс идентификации детей, ставших жертвами сексуальных надругательств и сексуальной эксплуатации, в том числе п</w:t>
      </w:r>
      <w:r w:rsidRPr="00180D95">
        <w:rPr>
          <w:b/>
          <w:bCs/>
        </w:rPr>
        <w:t>у</w:t>
      </w:r>
      <w:r w:rsidRPr="00180D95">
        <w:rPr>
          <w:b/>
          <w:bCs/>
        </w:rPr>
        <w:t>тем принятия направленных на упреждение стратегий проведения рассл</w:t>
      </w:r>
      <w:r w:rsidRPr="00180D95">
        <w:rPr>
          <w:b/>
          <w:bCs/>
        </w:rPr>
        <w:t>е</w:t>
      </w:r>
      <w:r w:rsidRPr="00180D95">
        <w:rPr>
          <w:b/>
          <w:bCs/>
        </w:rPr>
        <w:t xml:space="preserve">дований и уголовного преследования, выделить необходимые людские, технические и финансовые ресурсы специализированному подразделению по борьбе с </w:t>
      </w:r>
      <w:proofErr w:type="spellStart"/>
      <w:r w:rsidRPr="00180D95">
        <w:rPr>
          <w:b/>
          <w:bCs/>
        </w:rPr>
        <w:t>киберпреступностью</w:t>
      </w:r>
      <w:proofErr w:type="spellEnd"/>
      <w:r w:rsidRPr="00180D95">
        <w:rPr>
          <w:b/>
          <w:bCs/>
        </w:rPr>
        <w:t xml:space="preserve"> и создать запланированное </w:t>
      </w:r>
      <w:r w:rsidRPr="00180D95">
        <w:rPr>
          <w:b/>
        </w:rPr>
        <w:t>подразделение по работе с электронными доказательствами;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d)</w:t>
      </w:r>
      <w:r w:rsidRPr="00180D95">
        <w:rPr>
          <w:b/>
        </w:rPr>
        <w:tab/>
      </w:r>
      <w:r w:rsidRPr="00180D95">
        <w:rPr>
          <w:b/>
          <w:bCs/>
        </w:rPr>
        <w:t>осуществлять подготовку субъектов, которые могут участв</w:t>
      </w:r>
      <w:r w:rsidRPr="00180D95">
        <w:rPr>
          <w:b/>
          <w:bCs/>
        </w:rPr>
        <w:t>о</w:t>
      </w:r>
      <w:r w:rsidRPr="00180D95">
        <w:rPr>
          <w:b/>
          <w:bCs/>
        </w:rPr>
        <w:t>вать в процессе выявления детей, предположительно подвергшихся секс</w:t>
      </w:r>
      <w:r w:rsidRPr="00180D95">
        <w:rPr>
          <w:b/>
          <w:bCs/>
        </w:rPr>
        <w:t>у</w:t>
      </w:r>
      <w:r w:rsidRPr="00180D95">
        <w:rPr>
          <w:b/>
          <w:bCs/>
        </w:rPr>
        <w:t xml:space="preserve">альной эксплуатации и надругательствам, с </w:t>
      </w:r>
      <w:proofErr w:type="gramStart"/>
      <w:r w:rsidRPr="00180D95">
        <w:rPr>
          <w:b/>
          <w:bCs/>
        </w:rPr>
        <w:t>тем</w:t>
      </w:r>
      <w:proofErr w:type="gramEnd"/>
      <w:r w:rsidRPr="00180D95">
        <w:rPr>
          <w:b/>
          <w:bCs/>
        </w:rPr>
        <w:t xml:space="preserve"> чтобы они знали о прим</w:t>
      </w:r>
      <w:r w:rsidRPr="00180D95">
        <w:rPr>
          <w:b/>
          <w:bCs/>
        </w:rPr>
        <w:t>е</w:t>
      </w:r>
      <w:r w:rsidRPr="00180D95">
        <w:rPr>
          <w:b/>
          <w:bCs/>
        </w:rPr>
        <w:t>нимых международных нормах и стандартах в области прав ребенка, пр</w:t>
      </w:r>
      <w:r w:rsidRPr="00180D95">
        <w:rPr>
          <w:b/>
          <w:bCs/>
        </w:rPr>
        <w:t>о</w:t>
      </w:r>
      <w:r w:rsidRPr="00180D95">
        <w:rPr>
          <w:b/>
          <w:bCs/>
        </w:rPr>
        <w:t>цедурах защиты, уведомления и консультирования и подлежащем испол</w:t>
      </w:r>
      <w:r w:rsidRPr="00180D95">
        <w:rPr>
          <w:b/>
          <w:bCs/>
        </w:rPr>
        <w:t>ь</w:t>
      </w:r>
      <w:r w:rsidRPr="00180D95">
        <w:rPr>
          <w:b/>
          <w:bCs/>
        </w:rPr>
        <w:t xml:space="preserve">зованию подходе, учитывающем интересы детей и гендерные аспекты; 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e)</w:t>
      </w:r>
      <w:r w:rsidRPr="00180D95">
        <w:rPr>
          <w:b/>
        </w:rPr>
        <w:tab/>
      </w:r>
      <w:r w:rsidRPr="00180D95">
        <w:rPr>
          <w:b/>
          <w:bCs/>
        </w:rPr>
        <w:t xml:space="preserve">изменить номер </w:t>
      </w:r>
      <w:r w:rsidRPr="00180D95">
        <w:rPr>
          <w:b/>
        </w:rPr>
        <w:t>бесплатной службы телефонной помощи</w:t>
      </w:r>
      <w:r w:rsidRPr="00180D95">
        <w:rPr>
          <w:b/>
          <w:bCs/>
        </w:rPr>
        <w:t xml:space="preserve"> на трехзначный, с </w:t>
      </w:r>
      <w:proofErr w:type="gramStart"/>
      <w:r w:rsidRPr="00180D95">
        <w:rPr>
          <w:b/>
          <w:bCs/>
        </w:rPr>
        <w:t>тем</w:t>
      </w:r>
      <w:proofErr w:type="gramEnd"/>
      <w:r w:rsidRPr="00180D95">
        <w:rPr>
          <w:b/>
          <w:bCs/>
        </w:rPr>
        <w:t xml:space="preserve"> чтобы детям было легче пользоваться ею, и гарантир</w:t>
      </w:r>
      <w:r w:rsidRPr="00180D95">
        <w:rPr>
          <w:b/>
          <w:bCs/>
        </w:rPr>
        <w:t>о</w:t>
      </w:r>
      <w:r w:rsidRPr="00180D95">
        <w:rPr>
          <w:b/>
          <w:bCs/>
        </w:rPr>
        <w:t>вать доступ к этой службе во всех регионах страны;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f)</w:t>
      </w:r>
      <w:r w:rsidRPr="00180D95">
        <w:rPr>
          <w:b/>
        </w:rPr>
        <w:tab/>
      </w:r>
      <w:r w:rsidRPr="00180D95">
        <w:rPr>
          <w:b/>
          <w:bCs/>
        </w:rPr>
        <w:t>повышать уровень осведомленности родителей, детей, учит</w:t>
      </w:r>
      <w:r w:rsidRPr="00180D95">
        <w:rPr>
          <w:b/>
          <w:bCs/>
        </w:rPr>
        <w:t>е</w:t>
      </w:r>
      <w:r w:rsidRPr="00180D95">
        <w:rPr>
          <w:b/>
          <w:bCs/>
        </w:rPr>
        <w:t>лей, медицинских работников и других лиц, работающих с детьм</w:t>
      </w:r>
      <w:r w:rsidR="00874CFA">
        <w:rPr>
          <w:b/>
          <w:bCs/>
        </w:rPr>
        <w:t>и и в их интересах, в частности</w:t>
      </w:r>
      <w:r w:rsidRPr="00180D95">
        <w:rPr>
          <w:b/>
          <w:bCs/>
        </w:rPr>
        <w:t xml:space="preserve"> детей, которые находятся в особенно уязвимом п</w:t>
      </w:r>
      <w:r w:rsidRPr="00180D95">
        <w:rPr>
          <w:b/>
          <w:bCs/>
        </w:rPr>
        <w:t>о</w:t>
      </w:r>
      <w:r w:rsidRPr="00180D95">
        <w:rPr>
          <w:b/>
          <w:bCs/>
        </w:rPr>
        <w:t>ложении с точки зрения сексуальной эксплуатации, о процедурах уведо</w:t>
      </w:r>
      <w:r w:rsidRPr="00180D95">
        <w:rPr>
          <w:b/>
          <w:bCs/>
        </w:rPr>
        <w:t>м</w:t>
      </w:r>
      <w:r w:rsidRPr="00180D95">
        <w:rPr>
          <w:b/>
          <w:bCs/>
        </w:rPr>
        <w:t xml:space="preserve">ления и консультирования и о способах минимизации рисков для детей в </w:t>
      </w:r>
      <w:proofErr w:type="gramStart"/>
      <w:r w:rsidR="00FC71B1">
        <w:rPr>
          <w:b/>
          <w:bCs/>
        </w:rPr>
        <w:t>и</w:t>
      </w:r>
      <w:r w:rsidRPr="00180D95">
        <w:rPr>
          <w:b/>
          <w:bCs/>
        </w:rPr>
        <w:t>нтернет-пространстве</w:t>
      </w:r>
      <w:proofErr w:type="gramEnd"/>
      <w:r w:rsidRPr="00180D95">
        <w:rPr>
          <w:b/>
          <w:bCs/>
        </w:rPr>
        <w:t>;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g)</w:t>
      </w:r>
      <w:r w:rsidRPr="00180D95">
        <w:rPr>
          <w:b/>
        </w:rPr>
        <w:tab/>
      </w:r>
      <w:r w:rsidRPr="00180D95">
        <w:rPr>
          <w:b/>
          <w:bCs/>
        </w:rPr>
        <w:t>разработать для государственного и частного секторов соотве</w:t>
      </w:r>
      <w:r w:rsidRPr="00180D95">
        <w:rPr>
          <w:b/>
          <w:bCs/>
        </w:rPr>
        <w:t>т</w:t>
      </w:r>
      <w:r w:rsidRPr="00180D95">
        <w:rPr>
          <w:b/>
          <w:bCs/>
        </w:rPr>
        <w:t>ствующие регламенты и укреплять международное сотрудничество между правоохранительными органами в целях борьбы с сексуальной эксплуат</w:t>
      </w:r>
      <w:r w:rsidRPr="00180D95">
        <w:rPr>
          <w:b/>
          <w:bCs/>
        </w:rPr>
        <w:t>а</w:t>
      </w:r>
      <w:r w:rsidRPr="00180D95">
        <w:rPr>
          <w:b/>
          <w:bCs/>
        </w:rPr>
        <w:t>цией детей в Интернете;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h)</w:t>
      </w:r>
      <w:r w:rsidRPr="00180D95">
        <w:rPr>
          <w:b/>
        </w:rPr>
        <w:tab/>
      </w:r>
      <w:r w:rsidRPr="00180D95">
        <w:rPr>
          <w:b/>
          <w:bCs/>
        </w:rPr>
        <w:t>увеличить объем финансовых ресурсов, выделяемых на оказ</w:t>
      </w:r>
      <w:r w:rsidRPr="00180D95">
        <w:rPr>
          <w:b/>
          <w:bCs/>
        </w:rPr>
        <w:t>а</w:t>
      </w:r>
      <w:r w:rsidRPr="00180D95">
        <w:rPr>
          <w:b/>
          <w:bCs/>
        </w:rPr>
        <w:t xml:space="preserve">ние помощи детям, ставшим жертвами жестокого обращения и </w:t>
      </w:r>
      <w:r w:rsidRPr="00180D95">
        <w:rPr>
          <w:b/>
        </w:rPr>
        <w:t>безнадзо</w:t>
      </w:r>
      <w:r w:rsidRPr="00180D95">
        <w:rPr>
          <w:b/>
        </w:rPr>
        <w:t>р</w:t>
      </w:r>
      <w:r w:rsidRPr="00180D95">
        <w:rPr>
          <w:b/>
        </w:rPr>
        <w:t>ности</w:t>
      </w:r>
      <w:r w:rsidRPr="00180D95">
        <w:rPr>
          <w:b/>
          <w:bCs/>
        </w:rPr>
        <w:t>, в целях обеспечения им доступа к услугам по восстановлению, ко</w:t>
      </w:r>
      <w:r w:rsidRPr="00180D95">
        <w:rPr>
          <w:b/>
          <w:bCs/>
        </w:rPr>
        <w:t>н</w:t>
      </w:r>
      <w:r w:rsidRPr="00180D95">
        <w:rPr>
          <w:b/>
          <w:bCs/>
        </w:rPr>
        <w:t>сультированию и другим формам реабилитации, и принять меры для в</w:t>
      </w:r>
      <w:r w:rsidRPr="00180D95">
        <w:rPr>
          <w:b/>
          <w:bCs/>
        </w:rPr>
        <w:t>ы</w:t>
      </w:r>
      <w:r w:rsidRPr="00180D95">
        <w:rPr>
          <w:b/>
          <w:bCs/>
        </w:rPr>
        <w:t>полнения норм в области охраны детства, принятых в августе 2012 года;</w:t>
      </w:r>
    </w:p>
    <w:p w:rsidR="0077565D" w:rsidRPr="00180D95" w:rsidRDefault="0077565D" w:rsidP="0077565D">
      <w:pPr>
        <w:pStyle w:val="SingleTxtGR"/>
        <w:rPr>
          <w:b/>
          <w:bCs/>
        </w:rPr>
      </w:pPr>
      <w:r w:rsidRPr="00180D95">
        <w:rPr>
          <w:b/>
        </w:rPr>
        <w:tab/>
        <w:t>i)</w:t>
      </w:r>
      <w:r w:rsidRPr="00180D95">
        <w:rPr>
          <w:b/>
        </w:rPr>
        <w:tab/>
      </w:r>
      <w:r w:rsidRPr="00180D95">
        <w:rPr>
          <w:b/>
          <w:bCs/>
        </w:rPr>
        <w:t>продолжать взаимодействие с соответствующими неправител</w:t>
      </w:r>
      <w:r w:rsidRPr="00180D95">
        <w:rPr>
          <w:b/>
          <w:bCs/>
        </w:rPr>
        <w:t>ь</w:t>
      </w:r>
      <w:r w:rsidRPr="00180D95">
        <w:rPr>
          <w:b/>
          <w:bCs/>
        </w:rPr>
        <w:t xml:space="preserve">ственными организациями (НПО) и обратиться за технической помощью </w:t>
      </w:r>
      <w:proofErr w:type="gramStart"/>
      <w:r w:rsidRPr="00180D95">
        <w:rPr>
          <w:b/>
          <w:bCs/>
        </w:rPr>
        <w:t>к</w:t>
      </w:r>
      <w:proofErr w:type="gramEnd"/>
      <w:r w:rsidRPr="00180D95">
        <w:rPr>
          <w:b/>
          <w:bCs/>
        </w:rPr>
        <w:t>, в частности, ЮНИСЕФ.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Вредная практика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25.</w:t>
      </w:r>
      <w:r w:rsidRPr="0077565D">
        <w:tab/>
      </w:r>
      <w:r w:rsidRPr="0077565D">
        <w:rPr>
          <w:b/>
          <w:bCs/>
        </w:rPr>
        <w:t>Комитет приветствует решение об отмене к 1 января 2017 года зак</w:t>
      </w:r>
      <w:r w:rsidRPr="0077565D">
        <w:rPr>
          <w:b/>
          <w:bCs/>
        </w:rPr>
        <w:t>о</w:t>
      </w:r>
      <w:r w:rsidRPr="0077565D">
        <w:rPr>
          <w:b/>
          <w:bCs/>
        </w:rPr>
        <w:t xml:space="preserve">нодательных положений, разрешавших детям </w:t>
      </w:r>
      <w:r w:rsidR="00DA7C33">
        <w:rPr>
          <w:b/>
          <w:bCs/>
        </w:rPr>
        <w:t>моложе</w:t>
      </w:r>
      <w:r w:rsidRPr="0077565D">
        <w:rPr>
          <w:b/>
          <w:bCs/>
        </w:rPr>
        <w:t xml:space="preserve"> 18 лет вступать в брак, и рекомендует государству-участнику разработать информационно-просветительские кампании и программы в целях усиления укрепление соблюдения закона.</w:t>
      </w:r>
    </w:p>
    <w:p w:rsidR="0077565D" w:rsidRPr="0077565D" w:rsidRDefault="0077565D" w:rsidP="005426A5">
      <w:pPr>
        <w:pStyle w:val="H1GR"/>
      </w:pPr>
      <w:r w:rsidRPr="0077565D">
        <w:tab/>
        <w:t>E.</w:t>
      </w:r>
      <w:r w:rsidRPr="0077565D">
        <w:tab/>
        <w:t>Семейное окружение и альтернативный уход (статьи 5, 9–11, 18</w:t>
      </w:r>
      <w:r w:rsidR="005426A5">
        <w:t> </w:t>
      </w:r>
      <w:r w:rsidRPr="0077565D">
        <w:t>(пункты 1 и 2), 20, 21, 25 и 27 (пункт 4)</w:t>
      </w:r>
      <w:r w:rsidRPr="0077565D">
        <w:rPr>
          <w:bCs/>
        </w:rPr>
        <w:t>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Семейное окружение</w:t>
      </w:r>
    </w:p>
    <w:p w:rsidR="0077565D" w:rsidRPr="00DA7C33" w:rsidRDefault="0077565D" w:rsidP="0077565D">
      <w:pPr>
        <w:pStyle w:val="SingleTxtGR"/>
        <w:rPr>
          <w:bCs/>
        </w:rPr>
      </w:pPr>
      <w:r w:rsidRPr="00DA7C33">
        <w:t>26.</w:t>
      </w:r>
      <w:r w:rsidRPr="00DA7C33">
        <w:tab/>
      </w:r>
      <w:r w:rsidRPr="00DA7C33">
        <w:rPr>
          <w:bCs/>
        </w:rPr>
        <w:t xml:space="preserve">Комитет отмечает реформу системы охраны детства и процесс </w:t>
      </w:r>
      <w:proofErr w:type="spellStart"/>
      <w:r w:rsidRPr="00DA7C33">
        <w:rPr>
          <w:bCs/>
        </w:rPr>
        <w:t>деинст</w:t>
      </w:r>
      <w:r w:rsidRPr="00DA7C33">
        <w:rPr>
          <w:bCs/>
        </w:rPr>
        <w:t>и</w:t>
      </w:r>
      <w:r w:rsidRPr="00DA7C33">
        <w:rPr>
          <w:bCs/>
        </w:rPr>
        <w:t>туционализации</w:t>
      </w:r>
      <w:proofErr w:type="spellEnd"/>
      <w:r w:rsidRPr="00DA7C33">
        <w:rPr>
          <w:bCs/>
        </w:rPr>
        <w:t xml:space="preserve"> детей, однако по-прежнему серьезно обеспокоен:</w:t>
      </w:r>
    </w:p>
    <w:p w:rsidR="0077565D" w:rsidRPr="005426A5" w:rsidRDefault="0077565D" w:rsidP="0077565D">
      <w:pPr>
        <w:pStyle w:val="SingleTxtGR"/>
      </w:pPr>
      <w:r w:rsidRPr="005426A5">
        <w:tab/>
        <w:t>а)</w:t>
      </w:r>
      <w:r w:rsidRPr="005426A5">
        <w:tab/>
      </w:r>
      <w:r w:rsidRPr="005426A5">
        <w:rPr>
          <w:bCs/>
        </w:rPr>
        <w:t>недостаточным объемом людских, технических и финансовых р</w:t>
      </w:r>
      <w:r w:rsidRPr="005426A5">
        <w:rPr>
          <w:bCs/>
        </w:rPr>
        <w:t>е</w:t>
      </w:r>
      <w:r w:rsidRPr="005426A5">
        <w:rPr>
          <w:bCs/>
        </w:rPr>
        <w:t>сурсов, выделяемых на функционирование системы социальной защиты, ос</w:t>
      </w:r>
      <w:r w:rsidRPr="005426A5">
        <w:rPr>
          <w:bCs/>
        </w:rPr>
        <w:t>о</w:t>
      </w:r>
      <w:r w:rsidRPr="005426A5">
        <w:rPr>
          <w:bCs/>
        </w:rPr>
        <w:t>бенно для поддержки или замены семейного окружения;</w:t>
      </w:r>
    </w:p>
    <w:p w:rsidR="0077565D" w:rsidRPr="005426A5" w:rsidRDefault="0077565D" w:rsidP="0077565D">
      <w:pPr>
        <w:pStyle w:val="SingleTxtGR"/>
      </w:pPr>
      <w:r w:rsidRPr="005426A5">
        <w:tab/>
        <w:t>b)</w:t>
      </w:r>
      <w:r w:rsidRPr="005426A5">
        <w:tab/>
      </w:r>
      <w:r w:rsidRPr="005426A5">
        <w:rPr>
          <w:bCs/>
        </w:rPr>
        <w:t xml:space="preserve">ограниченным географическим охватом системы социальной </w:t>
      </w:r>
      <w:r w:rsidR="00FC71B1">
        <w:rPr>
          <w:bCs/>
        </w:rPr>
        <w:br/>
      </w:r>
      <w:r w:rsidRPr="005426A5">
        <w:rPr>
          <w:bCs/>
        </w:rPr>
        <w:t>защиты;</w:t>
      </w:r>
    </w:p>
    <w:p w:rsidR="0077565D" w:rsidRPr="005426A5" w:rsidRDefault="0077565D" w:rsidP="0077565D">
      <w:pPr>
        <w:pStyle w:val="SingleTxtGR"/>
      </w:pPr>
      <w:r w:rsidRPr="005426A5">
        <w:lastRenderedPageBreak/>
        <w:tab/>
        <w:t>c)</w:t>
      </w:r>
      <w:r w:rsidRPr="005426A5">
        <w:tab/>
      </w:r>
      <w:r w:rsidRPr="005426A5">
        <w:rPr>
          <w:bCs/>
        </w:rPr>
        <w:t xml:space="preserve">отсутствием надлежащих инициатив по раннему выявлению </w:t>
      </w:r>
      <w:r w:rsidR="00F51D50">
        <w:rPr>
          <w:bCs/>
        </w:rPr>
        <w:br/>
      </w:r>
      <w:r w:rsidRPr="005426A5">
        <w:rPr>
          <w:bCs/>
        </w:rPr>
        <w:t>и удовлетворению потребностей детей;</w:t>
      </w:r>
    </w:p>
    <w:p w:rsidR="0077565D" w:rsidRPr="005426A5" w:rsidRDefault="0077565D" w:rsidP="0077565D">
      <w:pPr>
        <w:pStyle w:val="SingleTxtGR"/>
        <w:rPr>
          <w:bCs/>
        </w:rPr>
      </w:pPr>
      <w:r w:rsidRPr="005426A5">
        <w:tab/>
        <w:t>d)</w:t>
      </w:r>
      <w:r w:rsidRPr="005426A5">
        <w:tab/>
        <w:t xml:space="preserve">принятием </w:t>
      </w:r>
      <w:r w:rsidRPr="005426A5">
        <w:rPr>
          <w:bCs/>
        </w:rPr>
        <w:t xml:space="preserve">недостаточных мер в целях обеспечения совмещения трудовой и семейной жизни, с </w:t>
      </w:r>
      <w:proofErr w:type="gramStart"/>
      <w:r w:rsidRPr="005426A5">
        <w:rPr>
          <w:bCs/>
        </w:rPr>
        <w:t>тем</w:t>
      </w:r>
      <w:proofErr w:type="gramEnd"/>
      <w:r w:rsidRPr="005426A5">
        <w:rPr>
          <w:bCs/>
        </w:rPr>
        <w:t xml:space="preserve"> чтобы работающие родители могли гарант</w:t>
      </w:r>
      <w:r w:rsidRPr="005426A5">
        <w:rPr>
          <w:bCs/>
        </w:rPr>
        <w:t>и</w:t>
      </w:r>
      <w:r w:rsidRPr="005426A5">
        <w:rPr>
          <w:bCs/>
        </w:rPr>
        <w:t>ровать своим детям качественный уход;</w:t>
      </w:r>
    </w:p>
    <w:p w:rsidR="0077565D" w:rsidRPr="005426A5" w:rsidRDefault="0077565D" w:rsidP="0077565D">
      <w:pPr>
        <w:pStyle w:val="SingleTxtGR"/>
        <w:rPr>
          <w:bCs/>
        </w:rPr>
      </w:pPr>
      <w:r w:rsidRPr="005426A5">
        <w:tab/>
        <w:t>e)</w:t>
      </w:r>
      <w:r w:rsidRPr="005426A5">
        <w:tab/>
      </w:r>
      <w:r w:rsidRPr="005426A5">
        <w:rPr>
          <w:bCs/>
        </w:rPr>
        <w:t>ограниченным доступом Центра по правам ребенка к учреждениям по уходу за детьми, находящимся в ведении религиозных организаций и час</w:t>
      </w:r>
      <w:r w:rsidRPr="005426A5">
        <w:rPr>
          <w:bCs/>
        </w:rPr>
        <w:t>т</w:t>
      </w:r>
      <w:r w:rsidRPr="005426A5">
        <w:rPr>
          <w:bCs/>
        </w:rPr>
        <w:t xml:space="preserve">ных лиц.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27.</w:t>
      </w:r>
      <w:r w:rsidRPr="0077565D">
        <w:tab/>
      </w:r>
      <w:r w:rsidRPr="0077565D">
        <w:rPr>
          <w:b/>
          <w:bCs/>
        </w:rPr>
        <w:t>Комитет напоминает о своих предыдущих заключительных замеч</w:t>
      </w:r>
      <w:r w:rsidRPr="0077565D">
        <w:rPr>
          <w:b/>
          <w:bCs/>
        </w:rPr>
        <w:t>а</w:t>
      </w:r>
      <w:r w:rsidRPr="0077565D">
        <w:rPr>
          <w:b/>
          <w:bCs/>
        </w:rPr>
        <w:t>ниях (CRC/C/GEO/CO/3, пункт 35) и настоятельно призывает государство-участник: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  <w:bCs/>
        </w:rPr>
        <w:tab/>
      </w:r>
      <w:r w:rsidRPr="005426A5">
        <w:rPr>
          <w:b/>
        </w:rPr>
        <w:t>а)</w:t>
      </w:r>
      <w:r w:rsidRPr="005426A5">
        <w:rPr>
          <w:b/>
          <w:bCs/>
        </w:rPr>
        <w:tab/>
        <w:t>укреплять систему социальной защиты и выделять необход</w:t>
      </w:r>
      <w:r w:rsidRPr="005426A5">
        <w:rPr>
          <w:b/>
          <w:bCs/>
        </w:rPr>
        <w:t>и</w:t>
      </w:r>
      <w:r w:rsidRPr="005426A5">
        <w:rPr>
          <w:b/>
          <w:bCs/>
        </w:rPr>
        <w:t>мые людские, технические и финансовые ресурсы на ее функционирование и</w:t>
      </w:r>
      <w:r w:rsidRPr="005426A5">
        <w:rPr>
          <w:b/>
        </w:rPr>
        <w:t xml:space="preserve"> </w:t>
      </w:r>
      <w:r w:rsidRPr="005426A5">
        <w:rPr>
          <w:b/>
          <w:bCs/>
        </w:rPr>
        <w:t>стратегии и программы в области образования и поддержки семьи, в</w:t>
      </w:r>
      <w:r w:rsidR="00FC71B1">
        <w:rPr>
          <w:b/>
          <w:bCs/>
        </w:rPr>
        <w:t> </w:t>
      </w:r>
      <w:r w:rsidRPr="005426A5">
        <w:rPr>
          <w:b/>
          <w:bCs/>
        </w:rPr>
        <w:t>частности путем существенного расширения штата и профессиональной подготовки социальных работников и увеличения их вознаграждения;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b)</w:t>
      </w:r>
      <w:r w:rsidRPr="005426A5">
        <w:rPr>
          <w:b/>
        </w:rPr>
        <w:tab/>
      </w:r>
      <w:r w:rsidRPr="005426A5">
        <w:rPr>
          <w:b/>
          <w:bCs/>
        </w:rPr>
        <w:t>гарантировать всем детям и их семьям доступ к социальным услугам, особенно в сельских районах;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c)</w:t>
      </w:r>
      <w:r w:rsidRPr="005426A5">
        <w:rPr>
          <w:b/>
        </w:rPr>
        <w:tab/>
      </w:r>
      <w:r w:rsidRPr="005426A5">
        <w:rPr>
          <w:b/>
          <w:bCs/>
        </w:rPr>
        <w:t>создать механизмы и процедуры раннего выявления детей и семей, нуждающихся в услугах по линии системы социальной защиты;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d)</w:t>
      </w:r>
      <w:r w:rsidRPr="005426A5">
        <w:rPr>
          <w:b/>
        </w:rPr>
        <w:tab/>
      </w:r>
      <w:r w:rsidRPr="005426A5">
        <w:rPr>
          <w:b/>
          <w:bCs/>
        </w:rPr>
        <w:t>продолжать укреплять службы оказания помощи и поддержки родителям и законным опекунам в выполнении их обязанностей по восп</w:t>
      </w:r>
      <w:r w:rsidRPr="005426A5">
        <w:rPr>
          <w:b/>
          <w:bCs/>
        </w:rPr>
        <w:t>и</w:t>
      </w:r>
      <w:r w:rsidRPr="005426A5">
        <w:rPr>
          <w:b/>
          <w:bCs/>
        </w:rPr>
        <w:t xml:space="preserve">танию детей и содействовать принятию мер для поддержки работающих родителей, включая рассмотрение возможности сотрудничества с </w:t>
      </w:r>
      <w:proofErr w:type="gramStart"/>
      <w:r w:rsidRPr="005426A5">
        <w:rPr>
          <w:b/>
          <w:bCs/>
        </w:rPr>
        <w:t>бизнес-сообществом</w:t>
      </w:r>
      <w:proofErr w:type="gramEnd"/>
      <w:r w:rsidRPr="005426A5">
        <w:rPr>
          <w:b/>
          <w:bCs/>
        </w:rPr>
        <w:t>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e)</w:t>
      </w:r>
      <w:r w:rsidRPr="005426A5">
        <w:rPr>
          <w:b/>
        </w:rPr>
        <w:tab/>
      </w:r>
      <w:r w:rsidRPr="005426A5">
        <w:rPr>
          <w:b/>
          <w:bCs/>
        </w:rPr>
        <w:t>ввести требование об обязательной регистрации учреждений по уходу за детьми и обеспечивать его выполнение, ввести уголовную отве</w:t>
      </w:r>
      <w:r w:rsidRPr="005426A5">
        <w:rPr>
          <w:b/>
          <w:bCs/>
        </w:rPr>
        <w:t>т</w:t>
      </w:r>
      <w:r w:rsidRPr="005426A5">
        <w:rPr>
          <w:b/>
          <w:bCs/>
        </w:rPr>
        <w:t>ственность для учреждений, работающих без лицензии, и обеспечивать с</w:t>
      </w:r>
      <w:r w:rsidRPr="005426A5">
        <w:rPr>
          <w:b/>
          <w:bCs/>
        </w:rPr>
        <w:t>о</w:t>
      </w:r>
      <w:r w:rsidRPr="005426A5">
        <w:rPr>
          <w:b/>
          <w:bCs/>
        </w:rPr>
        <w:t>блюдение стандартов по уходу за детьми во всех учреждениях.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Усыновление/удочерение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28.</w:t>
      </w:r>
      <w:r w:rsidRPr="0077565D">
        <w:tab/>
      </w:r>
      <w:proofErr w:type="gramStart"/>
      <w:r w:rsidRPr="0077565D">
        <w:rPr>
          <w:b/>
          <w:bCs/>
        </w:rPr>
        <w:t>Комитет рекомендует государству-участнику ускорить принятие пр</w:t>
      </w:r>
      <w:r w:rsidRPr="0077565D">
        <w:rPr>
          <w:b/>
          <w:bCs/>
        </w:rPr>
        <w:t>о</w:t>
      </w:r>
      <w:r w:rsidRPr="0077565D">
        <w:rPr>
          <w:b/>
          <w:bCs/>
        </w:rPr>
        <w:t>екта закона об усыновлении/удочерении и патронатном воспитании, з</w:t>
      </w:r>
      <w:r w:rsidRPr="0077565D">
        <w:rPr>
          <w:b/>
          <w:bCs/>
        </w:rPr>
        <w:t>а</w:t>
      </w:r>
      <w:r w:rsidRPr="0077565D">
        <w:rPr>
          <w:b/>
          <w:bCs/>
        </w:rPr>
        <w:t>прещающего прямые усыновления/удочерения, предусматривающего пр</w:t>
      </w:r>
      <w:r w:rsidRPr="0077565D">
        <w:rPr>
          <w:b/>
          <w:bCs/>
        </w:rPr>
        <w:t>и</w:t>
      </w:r>
      <w:r w:rsidRPr="0077565D">
        <w:rPr>
          <w:b/>
          <w:bCs/>
        </w:rPr>
        <w:t>нятие мер по укреплению потенциала приемных родителей и патронатных воспитателей и соответствующего всем гарантиям в отношении усыновл</w:t>
      </w:r>
      <w:r w:rsidRPr="0077565D">
        <w:rPr>
          <w:b/>
          <w:bCs/>
        </w:rPr>
        <w:t>е</w:t>
      </w:r>
      <w:r w:rsidRPr="0077565D">
        <w:rPr>
          <w:b/>
          <w:bCs/>
        </w:rPr>
        <w:t>ния/удочерения, которые предусмотрены в Конвенции.</w:t>
      </w:r>
      <w:proofErr w:type="gramEnd"/>
    </w:p>
    <w:p w:rsidR="0077565D" w:rsidRPr="0077565D" w:rsidRDefault="0077565D" w:rsidP="005426A5">
      <w:pPr>
        <w:pStyle w:val="H1GR"/>
      </w:pPr>
      <w:r w:rsidRPr="0077565D">
        <w:tab/>
        <w:t>F.</w:t>
      </w:r>
      <w:r w:rsidRPr="0077565D">
        <w:tab/>
        <w:t>Инвалидность, базовое медицинское обслуживание и</w:t>
      </w:r>
      <w:r w:rsidR="005426A5">
        <w:t> </w:t>
      </w:r>
      <w:r w:rsidRPr="0077565D">
        <w:t xml:space="preserve">социальное обеспечение (статьи 6, 18 (пункт 3), </w:t>
      </w:r>
      <w:r w:rsidR="005426A5">
        <w:br/>
      </w:r>
      <w:r w:rsidRPr="0077565D">
        <w:t>23, 24, 26, 27 (пункты 1–3) и 33)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 xml:space="preserve">Дети-инвалиды </w:t>
      </w:r>
    </w:p>
    <w:p w:rsidR="0077565D" w:rsidRPr="0077565D" w:rsidRDefault="0077565D" w:rsidP="0077565D">
      <w:pPr>
        <w:pStyle w:val="SingleTxtGR"/>
      </w:pPr>
      <w:r w:rsidRPr="0077565D">
        <w:t>29.</w:t>
      </w:r>
      <w:r w:rsidRPr="0077565D">
        <w:tab/>
        <w:t>Приветствуя усилия по охвату детей-инвалидов социальными, рекреац</w:t>
      </w:r>
      <w:r w:rsidRPr="0077565D">
        <w:t>и</w:t>
      </w:r>
      <w:r w:rsidRPr="0077565D">
        <w:t xml:space="preserve">онными и культурными мероприятиями, </w:t>
      </w:r>
      <w:proofErr w:type="gramStart"/>
      <w:r w:rsidRPr="0077565D">
        <w:t>Комитет</w:t>
      </w:r>
      <w:proofErr w:type="gramEnd"/>
      <w:r w:rsidRPr="0077565D">
        <w:t xml:space="preserve"> тем не менее серьезно обе</w:t>
      </w:r>
      <w:r w:rsidRPr="0077565D">
        <w:t>с</w:t>
      </w:r>
      <w:r w:rsidRPr="0077565D">
        <w:t>покоен:</w:t>
      </w:r>
    </w:p>
    <w:p w:rsidR="0077565D" w:rsidRPr="0077565D" w:rsidRDefault="0077565D" w:rsidP="0077565D">
      <w:pPr>
        <w:pStyle w:val="SingleTxtGR"/>
      </w:pPr>
      <w:r w:rsidRPr="0077565D">
        <w:tab/>
      </w:r>
      <w:proofErr w:type="gramStart"/>
      <w:r w:rsidRPr="0077565D">
        <w:t>а)</w:t>
      </w:r>
      <w:r w:rsidRPr="0077565D">
        <w:tab/>
        <w:t>ограниченным количеством программ раннего выявления и реаг</w:t>
      </w:r>
      <w:r w:rsidRPr="0077565D">
        <w:t>и</w:t>
      </w:r>
      <w:r w:rsidRPr="0077565D">
        <w:t>рования, использованием системы, в соответствии с которой инвалидность определяется исключительно как состояние здоровья человека, требующее ок</w:t>
      </w:r>
      <w:r w:rsidRPr="0077565D">
        <w:t>а</w:t>
      </w:r>
      <w:r w:rsidRPr="0077565D">
        <w:t>зания медицинской помощи, и которая игнорирует некоторые пороки развития младенцев и детей младшего возраста; а также отсутствием эффективной с</w:t>
      </w:r>
      <w:r w:rsidRPr="0077565D">
        <w:t>и</w:t>
      </w:r>
      <w:r w:rsidRPr="0077565D">
        <w:t>стемы оказания адресной помощи, основанной на сотрудничестве между рабо</w:t>
      </w:r>
      <w:r w:rsidRPr="0077565D">
        <w:t>т</w:t>
      </w:r>
      <w:r w:rsidRPr="0077565D">
        <w:lastRenderedPageBreak/>
        <w:t>никами медицинских учреждений, социальных служб и организаций, оказыв</w:t>
      </w:r>
      <w:r w:rsidRPr="0077565D">
        <w:t>а</w:t>
      </w:r>
      <w:r w:rsidRPr="0077565D">
        <w:t>ющих соответствующие услуги;</w:t>
      </w:r>
      <w:proofErr w:type="gramEnd"/>
    </w:p>
    <w:p w:rsidR="0077565D" w:rsidRPr="0077565D" w:rsidRDefault="0077565D" w:rsidP="0077565D">
      <w:pPr>
        <w:pStyle w:val="SingleTxtGR"/>
      </w:pPr>
      <w:r w:rsidRPr="0077565D">
        <w:tab/>
        <w:t>b)</w:t>
      </w:r>
      <w:r w:rsidRPr="0077565D">
        <w:tab/>
        <w:t xml:space="preserve">медленным прогрессом в деле </w:t>
      </w:r>
      <w:proofErr w:type="spellStart"/>
      <w:r w:rsidRPr="0077565D">
        <w:t>деинституционализации</w:t>
      </w:r>
      <w:proofErr w:type="spellEnd"/>
      <w:r w:rsidRPr="0077565D">
        <w:t xml:space="preserve"> детей-инвалидов в сельских районах;</w:t>
      </w:r>
    </w:p>
    <w:p w:rsidR="0077565D" w:rsidRPr="0077565D" w:rsidRDefault="0077565D" w:rsidP="0077565D">
      <w:pPr>
        <w:pStyle w:val="SingleTxtGR"/>
      </w:pPr>
      <w:r w:rsidRPr="0077565D">
        <w:tab/>
        <w:t>c)</w:t>
      </w:r>
      <w:r w:rsidRPr="0077565D">
        <w:tab/>
        <w:t>отсутствием полных данных о детях-инвалидах;</w:t>
      </w:r>
    </w:p>
    <w:p w:rsidR="0077565D" w:rsidRPr="0077565D" w:rsidRDefault="0077565D" w:rsidP="0077565D">
      <w:pPr>
        <w:pStyle w:val="SingleTxtGR"/>
      </w:pPr>
      <w:r w:rsidRPr="0077565D">
        <w:tab/>
        <w:t>d)</w:t>
      </w:r>
      <w:r w:rsidRPr="0077565D">
        <w:tab/>
        <w:t>низким уровнем осведомленности соответствующих семей об услугах, которые могут предоставляться детям-инвалидам, и ограниченным д</w:t>
      </w:r>
      <w:r w:rsidRPr="0077565D">
        <w:t>о</w:t>
      </w:r>
      <w:r w:rsidRPr="0077565D">
        <w:t>ступом к медицинскому обслуживанию, образованию и уходу, который имеют дети-инвалиды, особенно те из них, кто страдает аутизмом, синдромом Дауна и тяжелыми формами инвалидности, а также дети, проживающие в сельских ра</w:t>
      </w:r>
      <w:r w:rsidRPr="0077565D">
        <w:t>й</w:t>
      </w:r>
      <w:r w:rsidRPr="0077565D">
        <w:t>онах.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30.</w:t>
      </w:r>
      <w:r w:rsidRPr="0077565D">
        <w:tab/>
      </w:r>
      <w:r w:rsidRPr="0077565D">
        <w:rPr>
          <w:b/>
          <w:bCs/>
        </w:rPr>
        <w:t xml:space="preserve">В свете своего замечания общего порядка № 9 (2006) о правах детей-инвалидов Комитет настоятельно призывает государство-участник </w:t>
      </w:r>
      <w:r w:rsidRPr="0077565D">
        <w:rPr>
          <w:b/>
        </w:rPr>
        <w:t>прим</w:t>
      </w:r>
      <w:r w:rsidRPr="0077565D">
        <w:rPr>
          <w:b/>
        </w:rPr>
        <w:t>е</w:t>
      </w:r>
      <w:r w:rsidRPr="0077565D">
        <w:rPr>
          <w:b/>
        </w:rPr>
        <w:t>нять правозащитный подход к проблеме инвалидности</w:t>
      </w:r>
      <w:r w:rsidRPr="0077565D">
        <w:rPr>
          <w:b/>
          <w:bCs/>
        </w:rPr>
        <w:t>, разработать ко</w:t>
      </w:r>
      <w:r w:rsidRPr="0077565D">
        <w:rPr>
          <w:b/>
          <w:bCs/>
        </w:rPr>
        <w:t>м</w:t>
      </w:r>
      <w:r w:rsidRPr="0077565D">
        <w:rPr>
          <w:b/>
          <w:bCs/>
        </w:rPr>
        <w:t>плексную стратегию интеграции детей-инвалидов и: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</w:r>
      <w:proofErr w:type="gramStart"/>
      <w:r w:rsidRPr="005426A5">
        <w:rPr>
          <w:b/>
        </w:rPr>
        <w:t>а)</w:t>
      </w:r>
      <w:r w:rsidRPr="005426A5">
        <w:rPr>
          <w:b/>
        </w:rPr>
        <w:tab/>
      </w:r>
      <w:r w:rsidRPr="005426A5">
        <w:rPr>
          <w:b/>
          <w:bCs/>
        </w:rPr>
        <w:t>ввести процедуру индивидуальной функциональной оценки степени инвалидности, основанную на Международной классификации функционирования, ограничений жизнедеятельности и здоровья, и испол</w:t>
      </w:r>
      <w:r w:rsidRPr="005426A5">
        <w:rPr>
          <w:b/>
          <w:bCs/>
        </w:rPr>
        <w:t>ь</w:t>
      </w:r>
      <w:r w:rsidRPr="005426A5">
        <w:rPr>
          <w:b/>
          <w:bCs/>
        </w:rPr>
        <w:t xml:space="preserve">зовать в рамках ее применения </w:t>
      </w:r>
      <w:proofErr w:type="spellStart"/>
      <w:r w:rsidRPr="005426A5">
        <w:rPr>
          <w:b/>
          <w:bCs/>
        </w:rPr>
        <w:t>биопсихосоциальный</w:t>
      </w:r>
      <w:proofErr w:type="spellEnd"/>
      <w:r w:rsidRPr="005426A5">
        <w:rPr>
          <w:b/>
          <w:bCs/>
        </w:rPr>
        <w:t xml:space="preserve"> подход, проводить подготовку работников организаций, оказывающих услуги, по вопросам, касающимся этой процедуры, гарантировать эффективное сотрудничество между службами, своевременное оказание медицинской помощи и напра</w:t>
      </w:r>
      <w:r w:rsidRPr="005426A5">
        <w:rPr>
          <w:b/>
          <w:bCs/>
        </w:rPr>
        <w:t>в</w:t>
      </w:r>
      <w:r w:rsidRPr="005426A5">
        <w:rPr>
          <w:b/>
          <w:bCs/>
        </w:rPr>
        <w:t>ление в соответствующие медицинские и образовательные службы, а также создать механизмы раннего выявления и</w:t>
      </w:r>
      <w:proofErr w:type="gramEnd"/>
      <w:r w:rsidRPr="005426A5">
        <w:rPr>
          <w:b/>
          <w:bCs/>
        </w:rPr>
        <w:t xml:space="preserve"> оказания адресной помощи уя</w:t>
      </w:r>
      <w:r w:rsidRPr="005426A5">
        <w:rPr>
          <w:b/>
          <w:bCs/>
        </w:rPr>
        <w:t>з</w:t>
      </w:r>
      <w:r w:rsidRPr="005426A5">
        <w:rPr>
          <w:b/>
          <w:bCs/>
        </w:rPr>
        <w:t>вимым детям;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b)</w:t>
      </w:r>
      <w:r w:rsidRPr="005426A5">
        <w:rPr>
          <w:b/>
        </w:rPr>
        <w:tab/>
      </w:r>
      <w:r w:rsidRPr="005426A5">
        <w:rPr>
          <w:b/>
          <w:bCs/>
        </w:rPr>
        <w:t xml:space="preserve">ускорить процесс </w:t>
      </w:r>
      <w:proofErr w:type="spellStart"/>
      <w:r w:rsidRPr="005426A5">
        <w:rPr>
          <w:b/>
          <w:bCs/>
        </w:rPr>
        <w:t>деинституционализации</w:t>
      </w:r>
      <w:proofErr w:type="spellEnd"/>
      <w:r w:rsidRPr="005426A5">
        <w:rPr>
          <w:b/>
          <w:bCs/>
        </w:rPr>
        <w:t xml:space="preserve"> в сельских районах, обеспечить достаточные возможности для альтернативного ухода за дет</w:t>
      </w:r>
      <w:r w:rsidRPr="005426A5">
        <w:rPr>
          <w:b/>
          <w:bCs/>
        </w:rPr>
        <w:t>ь</w:t>
      </w:r>
      <w:r w:rsidRPr="005426A5">
        <w:rPr>
          <w:b/>
          <w:bCs/>
        </w:rPr>
        <w:t xml:space="preserve">ми, лишенными семейного окружения, в частности за детьми-инвалидами, на базе семей и общин, и укрепить службы социальной </w:t>
      </w:r>
      <w:proofErr w:type="spellStart"/>
      <w:r w:rsidRPr="005426A5">
        <w:rPr>
          <w:b/>
          <w:bCs/>
        </w:rPr>
        <w:t>реинтеграции</w:t>
      </w:r>
      <w:proofErr w:type="spellEnd"/>
      <w:r w:rsidRPr="005426A5">
        <w:rPr>
          <w:b/>
          <w:bCs/>
        </w:rPr>
        <w:t>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c)</w:t>
      </w:r>
      <w:r w:rsidRPr="005426A5">
        <w:rPr>
          <w:b/>
        </w:rPr>
        <w:tab/>
      </w:r>
      <w:r w:rsidRPr="005426A5">
        <w:rPr>
          <w:b/>
          <w:bCs/>
        </w:rPr>
        <w:t>организовать сбор дезагрегированных данных о детях-инвалидах;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d)</w:t>
      </w:r>
      <w:r w:rsidRPr="005426A5">
        <w:rPr>
          <w:b/>
        </w:rPr>
        <w:tab/>
      </w:r>
      <w:r w:rsidRPr="005426A5">
        <w:rPr>
          <w:b/>
          <w:bCs/>
        </w:rPr>
        <w:t>разработать систему мониторинга положения детей-инвалидов и их охвата системами здравоохранения и образования;</w:t>
      </w:r>
    </w:p>
    <w:p w:rsidR="0077565D" w:rsidRPr="005426A5" w:rsidRDefault="0077565D" w:rsidP="0077565D">
      <w:pPr>
        <w:pStyle w:val="SingleTxtGR"/>
        <w:rPr>
          <w:b/>
          <w:bCs/>
        </w:rPr>
      </w:pPr>
      <w:r w:rsidRPr="005426A5">
        <w:rPr>
          <w:b/>
        </w:rPr>
        <w:tab/>
        <w:t>e)</w:t>
      </w:r>
      <w:r w:rsidRPr="005426A5">
        <w:rPr>
          <w:b/>
        </w:rPr>
        <w:tab/>
      </w:r>
      <w:r w:rsidRPr="005426A5">
        <w:rPr>
          <w:b/>
          <w:bCs/>
        </w:rPr>
        <w:t>проводить</w:t>
      </w:r>
      <w:r w:rsidRPr="00582175">
        <w:rPr>
          <w:b/>
          <w:bCs/>
          <w:spacing w:val="2"/>
        </w:rPr>
        <w:t xml:space="preserve"> информационно-просветительские кампании, </w:t>
      </w:r>
      <w:r w:rsidRPr="005426A5">
        <w:rPr>
          <w:b/>
          <w:bCs/>
        </w:rPr>
        <w:t>орие</w:t>
      </w:r>
      <w:r w:rsidRPr="005426A5">
        <w:rPr>
          <w:b/>
          <w:bCs/>
        </w:rPr>
        <w:t>н</w:t>
      </w:r>
      <w:r w:rsidRPr="005426A5">
        <w:rPr>
          <w:b/>
          <w:bCs/>
        </w:rPr>
        <w:t>тированные на государственных служащих, общественность и семьи, для борьбы со стигматизацией и предрассудками в отношении детей-инвалидов, поощрять формирование позитивных представлений о таких детях и принять меры для повышения уровня осведомленности об име</w:t>
      </w:r>
      <w:r w:rsidRPr="005426A5">
        <w:rPr>
          <w:b/>
          <w:bCs/>
        </w:rPr>
        <w:t>ю</w:t>
      </w:r>
      <w:r w:rsidRPr="005426A5">
        <w:rPr>
          <w:b/>
          <w:bCs/>
        </w:rPr>
        <w:t xml:space="preserve">щихся специальных услугах. 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Здравоохранение и медицинское обслуживание</w:t>
      </w:r>
    </w:p>
    <w:p w:rsidR="0077565D" w:rsidRPr="0077565D" w:rsidRDefault="0077565D" w:rsidP="0077565D">
      <w:pPr>
        <w:pStyle w:val="SingleTxtGR"/>
      </w:pPr>
      <w:r w:rsidRPr="0077565D">
        <w:t>31.</w:t>
      </w:r>
      <w:r w:rsidRPr="0077565D">
        <w:tab/>
        <w:t>Отмечая начало осуществления в 2013 году программы всеобщего здр</w:t>
      </w:r>
      <w:r w:rsidRPr="0077565D">
        <w:t>а</w:t>
      </w:r>
      <w:r w:rsidRPr="0077565D">
        <w:t>воохранения, создание в том же году программы и координационного совета по вопросам охраны здоровья матери и ребенка при Министерстве труда, здрав</w:t>
      </w:r>
      <w:r w:rsidRPr="0077565D">
        <w:t>о</w:t>
      </w:r>
      <w:r w:rsidRPr="0077565D">
        <w:t xml:space="preserve">охранения и социальной защиты, принятие политики в целях регионализации службы охраны здоровья матерей и новорожденных и проведение в 2015 году соответствующей экспериментальной программы, </w:t>
      </w:r>
      <w:proofErr w:type="gramStart"/>
      <w:r w:rsidRPr="0077565D">
        <w:t>Комитет</w:t>
      </w:r>
      <w:proofErr w:type="gramEnd"/>
      <w:r w:rsidRPr="0077565D">
        <w:t xml:space="preserve"> тем не менее по-прежнему обеспокоен: </w:t>
      </w:r>
    </w:p>
    <w:p w:rsidR="0077565D" w:rsidRPr="0077565D" w:rsidRDefault="0077565D" w:rsidP="0077565D">
      <w:pPr>
        <w:pStyle w:val="SingleTxtGR"/>
      </w:pPr>
      <w:r w:rsidRPr="0077565D">
        <w:tab/>
        <w:t>а)</w:t>
      </w:r>
      <w:r w:rsidRPr="0077565D">
        <w:tab/>
        <w:t>высокими показателями детской смертности и мертворождений и низким технологическим потенциалом дородового и послеродового медици</w:t>
      </w:r>
      <w:r w:rsidRPr="0077565D">
        <w:t>н</w:t>
      </w:r>
      <w:r w:rsidRPr="0077565D">
        <w:t>ского обслуживания;</w:t>
      </w:r>
    </w:p>
    <w:p w:rsidR="0077565D" w:rsidRPr="0077565D" w:rsidRDefault="0077565D" w:rsidP="005426A5">
      <w:pPr>
        <w:pStyle w:val="SingleTxtGR"/>
        <w:keepNext/>
        <w:keepLines/>
      </w:pPr>
      <w:r w:rsidRPr="0077565D">
        <w:lastRenderedPageBreak/>
        <w:tab/>
        <w:t>b)</w:t>
      </w:r>
      <w:r w:rsidRPr="0077565D">
        <w:tab/>
        <w:t>сообщениями о по-прежнему широком распространении среди д</w:t>
      </w:r>
      <w:r w:rsidRPr="0077565D">
        <w:t>е</w:t>
      </w:r>
      <w:r w:rsidRPr="0077565D">
        <w:t>тей случаев недоедания, анемии и других проявлений дефицита питательных микроэлементов, а также ожирения, и ограниченным охватом, который имеет система патронажа, что приводит к ненадлежащему уходу за детьми.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32.</w:t>
      </w:r>
      <w:r w:rsidRPr="0077565D">
        <w:rPr>
          <w:b/>
        </w:rPr>
        <w:tab/>
      </w:r>
      <w:proofErr w:type="gramStart"/>
      <w:r w:rsidRPr="0077565D">
        <w:rPr>
          <w:b/>
        </w:rPr>
        <w:t>В свете своего замечания общего порядка № 15 (2013) о праве ребенка на пользование наиболее совершенными услугами системы здравоохран</w:t>
      </w:r>
      <w:r w:rsidRPr="0077565D">
        <w:rPr>
          <w:b/>
        </w:rPr>
        <w:t>е</w:t>
      </w:r>
      <w:r w:rsidRPr="0077565D">
        <w:rPr>
          <w:b/>
        </w:rPr>
        <w:t>ния и с учетом задачи 3.2 Целей в области устойчивого развития, которая состоит в том, чтобы положить конец предотвратимой смертности нов</w:t>
      </w:r>
      <w:r w:rsidRPr="0077565D">
        <w:rPr>
          <w:b/>
        </w:rPr>
        <w:t>о</w:t>
      </w:r>
      <w:r w:rsidRPr="0077565D">
        <w:rPr>
          <w:b/>
        </w:rPr>
        <w:t>рожденных и детей в возрасте до пяти лет,</w:t>
      </w:r>
      <w:r w:rsidRPr="0077565D">
        <w:rPr>
          <w:b/>
          <w:bCs/>
        </w:rPr>
        <w:t xml:space="preserve"> Комитет напоминает о своих предыдущих заключительных замечаниях (см. CRC/C/GEO/CO/3, пункт</w:t>
      </w:r>
      <w:r w:rsidR="00075EE6">
        <w:rPr>
          <w:b/>
          <w:bCs/>
        </w:rPr>
        <w:t> </w:t>
      </w:r>
      <w:r w:rsidRPr="0077565D">
        <w:rPr>
          <w:b/>
          <w:bCs/>
        </w:rPr>
        <w:t>45</w:t>
      </w:r>
      <w:proofErr w:type="gramEnd"/>
      <w:r w:rsidRPr="0077565D">
        <w:rPr>
          <w:b/>
          <w:bCs/>
        </w:rPr>
        <w:t>) и настоятельно призывает государство-участник: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</w:r>
      <w:proofErr w:type="gramStart"/>
      <w:r w:rsidRPr="00075EE6">
        <w:rPr>
          <w:b/>
        </w:rPr>
        <w:t>а)</w:t>
      </w:r>
      <w:r w:rsidRPr="00075EE6">
        <w:rPr>
          <w:b/>
        </w:rPr>
        <w:tab/>
      </w:r>
      <w:r w:rsidRPr="00075EE6">
        <w:rPr>
          <w:b/>
          <w:bCs/>
        </w:rPr>
        <w:t>активизировать усилия по сокращению показателей детс</w:t>
      </w:r>
      <w:r w:rsidR="00582175">
        <w:rPr>
          <w:b/>
          <w:bCs/>
        </w:rPr>
        <w:t>кой смертности и мертворождений</w:t>
      </w:r>
      <w:r w:rsidRPr="00075EE6">
        <w:rPr>
          <w:b/>
          <w:bCs/>
        </w:rPr>
        <w:t xml:space="preserve"> путем, в частности, улучшения качества д</w:t>
      </w:r>
      <w:r w:rsidRPr="00075EE6">
        <w:rPr>
          <w:b/>
          <w:bCs/>
        </w:rPr>
        <w:t>о</w:t>
      </w:r>
      <w:r w:rsidRPr="00075EE6">
        <w:rPr>
          <w:b/>
          <w:bCs/>
        </w:rPr>
        <w:t>родового и послеродового медицинского обслуживания, укрепления поте</w:t>
      </w:r>
      <w:r w:rsidRPr="00075EE6">
        <w:rPr>
          <w:b/>
          <w:bCs/>
        </w:rPr>
        <w:t>н</w:t>
      </w:r>
      <w:r w:rsidRPr="00075EE6">
        <w:rPr>
          <w:b/>
          <w:bCs/>
        </w:rPr>
        <w:t>циала медицинских работников по всей стране, а также принятия и собл</w:t>
      </w:r>
      <w:r w:rsidRPr="00075EE6">
        <w:rPr>
          <w:b/>
          <w:bCs/>
        </w:rPr>
        <w:t>ю</w:t>
      </w:r>
      <w:r w:rsidRPr="00075EE6">
        <w:rPr>
          <w:b/>
          <w:bCs/>
        </w:rPr>
        <w:t>дения положений Технического руководства УВКПЧ по применению пр</w:t>
      </w:r>
      <w:r w:rsidRPr="00075EE6">
        <w:rPr>
          <w:b/>
          <w:bCs/>
        </w:rPr>
        <w:t>а</w:t>
      </w:r>
      <w:r w:rsidRPr="00075EE6">
        <w:rPr>
          <w:b/>
          <w:bCs/>
        </w:rPr>
        <w:t>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</w:t>
      </w:r>
      <w:proofErr w:type="gramEnd"/>
      <w:r w:rsidRPr="00075EE6">
        <w:rPr>
          <w:b/>
          <w:bCs/>
        </w:rPr>
        <w:t>/</w:t>
      </w:r>
      <w:proofErr w:type="gramStart"/>
      <w:r w:rsidRPr="00075EE6">
        <w:rPr>
          <w:b/>
          <w:bCs/>
        </w:rPr>
        <w:t>HRC/27/31);</w:t>
      </w:r>
      <w:proofErr w:type="gramEnd"/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b)</w:t>
      </w:r>
      <w:r w:rsidRPr="00075EE6">
        <w:rPr>
          <w:b/>
        </w:rPr>
        <w:tab/>
      </w:r>
      <w:r w:rsidRPr="00075EE6">
        <w:rPr>
          <w:b/>
          <w:bCs/>
        </w:rPr>
        <w:t>выделять достаточные людские, технические и финансовые р</w:t>
      </w:r>
      <w:r w:rsidRPr="00075EE6">
        <w:rPr>
          <w:b/>
          <w:bCs/>
        </w:rPr>
        <w:t>е</w:t>
      </w:r>
      <w:r w:rsidRPr="00075EE6">
        <w:rPr>
          <w:b/>
          <w:bCs/>
        </w:rPr>
        <w:t xml:space="preserve">сурсы, с </w:t>
      </w:r>
      <w:proofErr w:type="gramStart"/>
      <w:r w:rsidRPr="00075EE6">
        <w:rPr>
          <w:b/>
          <w:bCs/>
        </w:rPr>
        <w:t>тем</w:t>
      </w:r>
      <w:proofErr w:type="gramEnd"/>
      <w:r w:rsidRPr="00075EE6">
        <w:rPr>
          <w:b/>
          <w:bCs/>
        </w:rPr>
        <w:t xml:space="preserve"> чтобы охватить системой патронажа всех нуждающихся, опр</w:t>
      </w:r>
      <w:r w:rsidRPr="00075EE6">
        <w:rPr>
          <w:b/>
          <w:bCs/>
        </w:rPr>
        <w:t>е</w:t>
      </w:r>
      <w:r w:rsidRPr="00075EE6">
        <w:rPr>
          <w:b/>
          <w:bCs/>
        </w:rPr>
        <w:t>делить периодичность посещений, охватить этой программой беременных женщин и распространять информацию об уровнях родовспоможения и с</w:t>
      </w:r>
      <w:r w:rsidRPr="00075EE6">
        <w:rPr>
          <w:b/>
          <w:bCs/>
        </w:rPr>
        <w:t>о</w:t>
      </w:r>
      <w:r w:rsidRPr="00075EE6">
        <w:rPr>
          <w:b/>
          <w:bCs/>
        </w:rPr>
        <w:t>ответствующих перинатальных учреждениях;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c)</w:t>
      </w:r>
      <w:r w:rsidRPr="00075EE6">
        <w:rPr>
          <w:b/>
        </w:rPr>
        <w:tab/>
      </w:r>
      <w:r w:rsidRPr="00075EE6">
        <w:rPr>
          <w:b/>
          <w:bCs/>
        </w:rPr>
        <w:t>принять меры для решения проблем недоедания, анемии и др</w:t>
      </w:r>
      <w:r w:rsidRPr="00075EE6">
        <w:rPr>
          <w:b/>
          <w:bCs/>
        </w:rPr>
        <w:t>у</w:t>
      </w:r>
      <w:r w:rsidRPr="00075EE6">
        <w:rPr>
          <w:b/>
          <w:bCs/>
        </w:rPr>
        <w:t>гих проявлений дефицита питательных микроэлементов, а также ожир</w:t>
      </w:r>
      <w:r w:rsidRPr="00075EE6">
        <w:rPr>
          <w:b/>
          <w:bCs/>
        </w:rPr>
        <w:t>е</w:t>
      </w:r>
      <w:r w:rsidRPr="00075EE6">
        <w:rPr>
          <w:b/>
          <w:bCs/>
        </w:rPr>
        <w:t>ния путем, в частности, проведения информационно-просветительских м</w:t>
      </w:r>
      <w:r w:rsidRPr="00075EE6">
        <w:rPr>
          <w:b/>
          <w:bCs/>
        </w:rPr>
        <w:t>е</w:t>
      </w:r>
      <w:r w:rsidRPr="00075EE6">
        <w:rPr>
          <w:b/>
          <w:bCs/>
        </w:rPr>
        <w:t>роприятий и пропаганды практики здорового питания;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d)</w:t>
      </w:r>
      <w:r w:rsidRPr="00075EE6">
        <w:rPr>
          <w:b/>
        </w:rPr>
        <w:tab/>
      </w:r>
      <w:r w:rsidRPr="00075EE6">
        <w:rPr>
          <w:b/>
          <w:bCs/>
        </w:rPr>
        <w:t xml:space="preserve">обратиться в этой связи за финансовой и технической помощью </w:t>
      </w:r>
      <w:proofErr w:type="gramStart"/>
      <w:r w:rsidRPr="00075EE6">
        <w:rPr>
          <w:b/>
          <w:bCs/>
        </w:rPr>
        <w:t>к</w:t>
      </w:r>
      <w:proofErr w:type="gramEnd"/>
      <w:r w:rsidRPr="00075EE6">
        <w:rPr>
          <w:b/>
          <w:bCs/>
        </w:rPr>
        <w:t xml:space="preserve">, </w:t>
      </w:r>
      <w:proofErr w:type="gramStart"/>
      <w:r w:rsidRPr="00075EE6">
        <w:rPr>
          <w:b/>
          <w:bCs/>
        </w:rPr>
        <w:t>в</w:t>
      </w:r>
      <w:proofErr w:type="gramEnd"/>
      <w:r w:rsidRPr="00075EE6">
        <w:rPr>
          <w:b/>
          <w:bCs/>
        </w:rPr>
        <w:t xml:space="preserve"> частности, ЮНИСЕФ и Всемирной организации здравоохранения.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Здоровье подростков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33.</w:t>
      </w:r>
      <w:r w:rsidRPr="0077565D">
        <w:tab/>
      </w:r>
      <w:r w:rsidRPr="0077565D">
        <w:rPr>
          <w:b/>
          <w:bCs/>
        </w:rPr>
        <w:t>Принимая к сведению высокие показатели ранней беременности и отсутствие в школьных учебных программах предметов, посвященных в</w:t>
      </w:r>
      <w:r w:rsidRPr="0077565D">
        <w:rPr>
          <w:b/>
          <w:bCs/>
        </w:rPr>
        <w:t>о</w:t>
      </w:r>
      <w:r w:rsidRPr="0077565D">
        <w:rPr>
          <w:b/>
          <w:bCs/>
        </w:rPr>
        <w:t>просам сексуального и репродуктивного здоровья, а также в свете своего замечания общего порядка № 4 (2003) о здоровье и развитии подростков в контексте Конвенции, Комитет рекомендует государству-участнику: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а)</w:t>
      </w:r>
      <w:r w:rsidRPr="00075EE6">
        <w:rPr>
          <w:b/>
        </w:rPr>
        <w:tab/>
      </w:r>
      <w:r w:rsidRPr="00075EE6">
        <w:rPr>
          <w:b/>
          <w:bCs/>
        </w:rPr>
        <w:t>обеспечить, чтобы в стратегии охраны репродуктивного здор</w:t>
      </w:r>
      <w:r w:rsidRPr="00075EE6">
        <w:rPr>
          <w:b/>
          <w:bCs/>
        </w:rPr>
        <w:t>о</w:t>
      </w:r>
      <w:r w:rsidRPr="00075EE6">
        <w:rPr>
          <w:b/>
          <w:bCs/>
        </w:rPr>
        <w:t>вья вопросам здоровья подростков было уделено особое внимание, и уск</w:t>
      </w:r>
      <w:r w:rsidRPr="00075EE6">
        <w:rPr>
          <w:b/>
          <w:bCs/>
        </w:rPr>
        <w:t>о</w:t>
      </w:r>
      <w:r w:rsidRPr="00075EE6">
        <w:rPr>
          <w:b/>
          <w:bCs/>
        </w:rPr>
        <w:t>рить процесс ее принятия;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b)</w:t>
      </w:r>
      <w:r w:rsidRPr="00075EE6">
        <w:rPr>
          <w:b/>
        </w:rPr>
        <w:tab/>
      </w:r>
      <w:r w:rsidRPr="00075EE6">
        <w:rPr>
          <w:b/>
          <w:bCs/>
        </w:rPr>
        <w:t>разработать и осуществлять политику в целях защиты прав б</w:t>
      </w:r>
      <w:r w:rsidRPr="00075EE6">
        <w:rPr>
          <w:b/>
          <w:bCs/>
        </w:rPr>
        <w:t>е</w:t>
      </w:r>
      <w:r w:rsidRPr="00075EE6">
        <w:rPr>
          <w:b/>
          <w:bCs/>
        </w:rPr>
        <w:t xml:space="preserve">ременных девочек-подростков, матерей-подростков и их детей и борьбы с их дискриминацией; 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c)</w:t>
      </w:r>
      <w:r w:rsidRPr="00075EE6">
        <w:rPr>
          <w:b/>
        </w:rPr>
        <w:tab/>
      </w:r>
      <w:r w:rsidRPr="00075EE6">
        <w:rPr>
          <w:b/>
          <w:bCs/>
        </w:rPr>
        <w:t>включить просвещение по вопросам сексуального и репроду</w:t>
      </w:r>
      <w:r w:rsidRPr="00075EE6">
        <w:rPr>
          <w:b/>
          <w:bCs/>
        </w:rPr>
        <w:t>к</w:t>
      </w:r>
      <w:r w:rsidRPr="00075EE6">
        <w:rPr>
          <w:b/>
          <w:bCs/>
        </w:rPr>
        <w:t>тивного здоровья в обязательную программу школьного образования дев</w:t>
      </w:r>
      <w:r w:rsidRPr="00075EE6">
        <w:rPr>
          <w:b/>
          <w:bCs/>
        </w:rPr>
        <w:t>о</w:t>
      </w:r>
      <w:r w:rsidRPr="00075EE6">
        <w:rPr>
          <w:b/>
          <w:bCs/>
        </w:rPr>
        <w:t>чек и мальчиков-подростков, уделив особое внимание предупреждению ранней беременности и заболеваний, передаваемых половым путем;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d)</w:t>
      </w:r>
      <w:r w:rsidRPr="00075EE6">
        <w:rPr>
          <w:b/>
        </w:rPr>
        <w:tab/>
      </w:r>
      <w:r w:rsidRPr="00075EE6">
        <w:rPr>
          <w:b/>
          <w:bCs/>
        </w:rPr>
        <w:t>активизировать меры в целях повышения уровня осознания необходимости и воспитания ответственного отношения к исполнению р</w:t>
      </w:r>
      <w:r w:rsidRPr="00075EE6">
        <w:rPr>
          <w:b/>
          <w:bCs/>
        </w:rPr>
        <w:t>о</w:t>
      </w:r>
      <w:r w:rsidRPr="00075EE6">
        <w:rPr>
          <w:b/>
          <w:bCs/>
        </w:rPr>
        <w:t xml:space="preserve">дительских обязанностей и ответственного сексуального поведения, уделяя особое внимание мальчикам и мужчинам. </w:t>
      </w:r>
    </w:p>
    <w:p w:rsidR="0077565D" w:rsidRPr="0077565D" w:rsidRDefault="0077565D" w:rsidP="009A392D">
      <w:pPr>
        <w:pStyle w:val="H23GR"/>
      </w:pPr>
      <w:r w:rsidRPr="0077565D">
        <w:lastRenderedPageBreak/>
        <w:tab/>
      </w:r>
      <w:r w:rsidRPr="0077565D">
        <w:tab/>
        <w:t>ВИЧ/СПИД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34.</w:t>
      </w:r>
      <w:r w:rsidRPr="0077565D">
        <w:tab/>
      </w:r>
      <w:r w:rsidRPr="0077565D">
        <w:rPr>
          <w:b/>
          <w:bCs/>
        </w:rPr>
        <w:t>В свете своего замечания общего порядка № 3 (2003) о ВИЧ/СПИДе и</w:t>
      </w:r>
      <w:r w:rsidR="00185D19">
        <w:rPr>
          <w:b/>
          <w:bCs/>
        </w:rPr>
        <w:t> </w:t>
      </w:r>
      <w:r w:rsidRPr="0077565D">
        <w:rPr>
          <w:b/>
          <w:bCs/>
        </w:rPr>
        <w:t>правах ребенка Комитет напоминает о своих предыдущих заключител</w:t>
      </w:r>
      <w:r w:rsidRPr="0077565D">
        <w:rPr>
          <w:b/>
          <w:bCs/>
        </w:rPr>
        <w:t>ь</w:t>
      </w:r>
      <w:r w:rsidRPr="0077565D">
        <w:rPr>
          <w:b/>
          <w:bCs/>
        </w:rPr>
        <w:t>ных замечаниях (см. CRC/C/GEO/CO/3, пункт 52) и рекомендует госуда</w:t>
      </w:r>
      <w:r w:rsidRPr="0077565D">
        <w:rPr>
          <w:b/>
          <w:bCs/>
        </w:rPr>
        <w:t>р</w:t>
      </w:r>
      <w:r w:rsidRPr="0077565D">
        <w:rPr>
          <w:b/>
          <w:bCs/>
        </w:rPr>
        <w:t xml:space="preserve">ству-участнику: 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а)</w:t>
      </w:r>
      <w:r w:rsidRPr="00075EE6">
        <w:rPr>
          <w:b/>
        </w:rPr>
        <w:tab/>
      </w:r>
      <w:r w:rsidRPr="00075EE6">
        <w:rPr>
          <w:b/>
          <w:bCs/>
        </w:rPr>
        <w:t>разработать и применять национальные руководящие принц</w:t>
      </w:r>
      <w:r w:rsidRPr="00075EE6">
        <w:rPr>
          <w:b/>
          <w:bCs/>
        </w:rPr>
        <w:t>и</w:t>
      </w:r>
      <w:r w:rsidRPr="00075EE6">
        <w:rPr>
          <w:b/>
          <w:bCs/>
        </w:rPr>
        <w:t>пы консультирования детей по проблемам ВИЧ-инфекции;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b)</w:t>
      </w:r>
      <w:r w:rsidRPr="00075EE6">
        <w:rPr>
          <w:b/>
        </w:rPr>
        <w:tab/>
      </w:r>
      <w:r w:rsidRPr="00075EE6">
        <w:rPr>
          <w:b/>
          <w:bCs/>
        </w:rPr>
        <w:t>улучшить последующее лечение инфицированных ВИЧ мат</w:t>
      </w:r>
      <w:r w:rsidRPr="00075EE6">
        <w:rPr>
          <w:b/>
          <w:bCs/>
        </w:rPr>
        <w:t>е</w:t>
      </w:r>
      <w:r w:rsidRPr="00075EE6">
        <w:rPr>
          <w:b/>
          <w:bCs/>
        </w:rPr>
        <w:t>рей и их младенцев в целях обеспечения ранней диагностики и скорейшего начала терапии;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c)</w:t>
      </w:r>
      <w:r w:rsidRPr="00075EE6">
        <w:rPr>
          <w:b/>
        </w:rPr>
        <w:tab/>
      </w:r>
      <w:r w:rsidRPr="00075EE6">
        <w:rPr>
          <w:b/>
          <w:bCs/>
        </w:rPr>
        <w:t>улучшить доступ к качественным и оказываемым с учетом возраста пациента услугам по вопросам ВИЧ/СПИДа, сексуального и р</w:t>
      </w:r>
      <w:r w:rsidRPr="00075EE6">
        <w:rPr>
          <w:b/>
          <w:bCs/>
        </w:rPr>
        <w:t>е</w:t>
      </w:r>
      <w:r w:rsidRPr="00075EE6">
        <w:rPr>
          <w:b/>
          <w:bCs/>
        </w:rPr>
        <w:t xml:space="preserve">продуктивного здоровья; 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d)</w:t>
      </w:r>
      <w:r w:rsidRPr="00075EE6">
        <w:rPr>
          <w:b/>
        </w:rPr>
        <w:tab/>
      </w:r>
      <w:r w:rsidRPr="00075EE6">
        <w:rPr>
          <w:b/>
          <w:bCs/>
        </w:rPr>
        <w:t xml:space="preserve">обратиться за технической помощью </w:t>
      </w:r>
      <w:proofErr w:type="gramStart"/>
      <w:r w:rsidRPr="00075EE6">
        <w:rPr>
          <w:b/>
          <w:bCs/>
        </w:rPr>
        <w:t>к</w:t>
      </w:r>
      <w:proofErr w:type="gramEnd"/>
      <w:r w:rsidRPr="00075EE6">
        <w:rPr>
          <w:b/>
          <w:bCs/>
        </w:rPr>
        <w:t xml:space="preserve">, </w:t>
      </w:r>
      <w:proofErr w:type="gramStart"/>
      <w:r w:rsidRPr="00075EE6">
        <w:rPr>
          <w:b/>
          <w:bCs/>
        </w:rPr>
        <w:t>в</w:t>
      </w:r>
      <w:proofErr w:type="gramEnd"/>
      <w:r w:rsidRPr="00075EE6">
        <w:rPr>
          <w:b/>
          <w:bCs/>
        </w:rPr>
        <w:t xml:space="preserve"> частности, Объед</w:t>
      </w:r>
      <w:r w:rsidRPr="00075EE6">
        <w:rPr>
          <w:b/>
          <w:bCs/>
        </w:rPr>
        <w:t>и</w:t>
      </w:r>
      <w:r w:rsidRPr="00075EE6">
        <w:rPr>
          <w:b/>
          <w:bCs/>
        </w:rPr>
        <w:t>ненной программе Организации Объединенных Наций по ВИЧ/СПИДу и</w:t>
      </w:r>
      <w:r w:rsidR="00185D19">
        <w:rPr>
          <w:b/>
          <w:bCs/>
        </w:rPr>
        <w:t> </w:t>
      </w:r>
      <w:r w:rsidRPr="00075EE6">
        <w:rPr>
          <w:b/>
          <w:bCs/>
        </w:rPr>
        <w:t>ЮНИСЕФ.</w:t>
      </w:r>
      <w:r w:rsidRPr="00075EE6">
        <w:rPr>
          <w:b/>
        </w:rPr>
        <w:t xml:space="preserve"> 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Уровень жизни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35.</w:t>
      </w:r>
      <w:r w:rsidRPr="0077565D">
        <w:tab/>
      </w:r>
      <w:proofErr w:type="gramStart"/>
      <w:r w:rsidRPr="0077565D">
        <w:rPr>
          <w:b/>
          <w:bCs/>
        </w:rPr>
        <w:t>Отмечая меры, принятые в целях  финансовой и социальной по</w:t>
      </w:r>
      <w:r w:rsidRPr="0077565D">
        <w:rPr>
          <w:b/>
          <w:bCs/>
        </w:rPr>
        <w:t>д</w:t>
      </w:r>
      <w:r w:rsidRPr="0077565D">
        <w:rPr>
          <w:b/>
          <w:bCs/>
        </w:rPr>
        <w:t xml:space="preserve">держки семей, живущих в условиях нищеты, Комитет обращает внимание на </w:t>
      </w:r>
      <w:r w:rsidRPr="0077565D">
        <w:rPr>
          <w:b/>
        </w:rPr>
        <w:t>задачу 1.3 Целей в области устойчивого развития, которая состоит в том, чтобы внедрить на национальном уровне надлежащие системы и м</w:t>
      </w:r>
      <w:r w:rsidRPr="0077565D">
        <w:rPr>
          <w:b/>
        </w:rPr>
        <w:t>е</w:t>
      </w:r>
      <w:r w:rsidRPr="0077565D">
        <w:rPr>
          <w:b/>
        </w:rPr>
        <w:t>ры социальной защиты для всех</w:t>
      </w:r>
      <w:r w:rsidRPr="0077565D">
        <w:rPr>
          <w:b/>
          <w:bCs/>
        </w:rPr>
        <w:t>, и напоминает о своей предыдущей рек</w:t>
      </w:r>
      <w:r w:rsidRPr="0077565D">
        <w:rPr>
          <w:b/>
          <w:bCs/>
        </w:rPr>
        <w:t>о</w:t>
      </w:r>
      <w:r w:rsidRPr="0077565D">
        <w:rPr>
          <w:b/>
          <w:bCs/>
        </w:rPr>
        <w:t>мендации (см. CRC/C/GEO/CO/3, пункт 54) государству-участнику:</w:t>
      </w:r>
      <w:proofErr w:type="gramEnd"/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а)</w:t>
      </w:r>
      <w:r w:rsidRPr="00075EE6">
        <w:rPr>
          <w:b/>
        </w:rPr>
        <w:tab/>
      </w:r>
      <w:r w:rsidRPr="00075EE6">
        <w:rPr>
          <w:b/>
          <w:bCs/>
        </w:rPr>
        <w:t>принять в приоритетном порядке меры по повышению уровня жизни детей, уделяя при этом особое внимание вопросам обеспеченности жильем, водоснабжения и санитарии;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b)</w:t>
      </w:r>
      <w:r w:rsidRPr="00075EE6">
        <w:rPr>
          <w:b/>
        </w:rPr>
        <w:tab/>
      </w:r>
      <w:r w:rsidRPr="00075EE6">
        <w:rPr>
          <w:b/>
          <w:bCs/>
        </w:rPr>
        <w:t>выделить достаточные средства в целях противодействия с</w:t>
      </w:r>
      <w:r w:rsidRPr="00075EE6">
        <w:rPr>
          <w:b/>
          <w:bCs/>
        </w:rPr>
        <w:t>о</w:t>
      </w:r>
      <w:r w:rsidRPr="00075EE6">
        <w:rPr>
          <w:b/>
          <w:bCs/>
        </w:rPr>
        <w:t>храняющемуся неравенству, значительно сократить существующие разл</w:t>
      </w:r>
      <w:r w:rsidRPr="00075EE6">
        <w:rPr>
          <w:b/>
          <w:bCs/>
        </w:rPr>
        <w:t>и</w:t>
      </w:r>
      <w:r w:rsidRPr="00075EE6">
        <w:rPr>
          <w:b/>
          <w:bCs/>
        </w:rPr>
        <w:t>чия и повысить крайне низкий уровень жизни, в частности, многодетных семей, семей беженцев и внутренне перемещенных лиц, а также семей, проживающих в сельских и отдаленных районах;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c)</w:t>
      </w:r>
      <w:r w:rsidRPr="00075EE6">
        <w:rPr>
          <w:b/>
        </w:rPr>
        <w:tab/>
      </w:r>
      <w:r w:rsidRPr="00075EE6">
        <w:rPr>
          <w:b/>
          <w:bCs/>
        </w:rPr>
        <w:t>рассматривать расширение доступа к базовым услугам, вкл</w:t>
      </w:r>
      <w:r w:rsidRPr="00075EE6">
        <w:rPr>
          <w:b/>
          <w:bCs/>
        </w:rPr>
        <w:t>ю</w:t>
      </w:r>
      <w:r w:rsidRPr="00075EE6">
        <w:rPr>
          <w:b/>
          <w:bCs/>
        </w:rPr>
        <w:t>чая чистую проточную воду и оборудование канализационных систем, в</w:t>
      </w:r>
      <w:r w:rsidR="0058171A">
        <w:rPr>
          <w:b/>
          <w:bCs/>
        </w:rPr>
        <w:t> </w:t>
      </w:r>
      <w:r w:rsidRPr="00075EE6">
        <w:rPr>
          <w:b/>
          <w:bCs/>
        </w:rPr>
        <w:t>качестве одной из приоритетных задач;</w:t>
      </w:r>
    </w:p>
    <w:p w:rsidR="0077565D" w:rsidRPr="00075EE6" w:rsidRDefault="0077565D" w:rsidP="0077565D">
      <w:pPr>
        <w:pStyle w:val="SingleTxtGR"/>
        <w:rPr>
          <w:b/>
          <w:bCs/>
        </w:rPr>
      </w:pPr>
      <w:r w:rsidRPr="00075EE6">
        <w:rPr>
          <w:b/>
        </w:rPr>
        <w:tab/>
        <w:t>d)</w:t>
      </w:r>
      <w:r w:rsidRPr="00075EE6">
        <w:rPr>
          <w:b/>
        </w:rPr>
        <w:tab/>
      </w:r>
      <w:r w:rsidRPr="00075EE6">
        <w:rPr>
          <w:b/>
          <w:bCs/>
        </w:rPr>
        <w:t xml:space="preserve">обратиться за технической помощью </w:t>
      </w:r>
      <w:proofErr w:type="gramStart"/>
      <w:r w:rsidRPr="00075EE6">
        <w:rPr>
          <w:b/>
          <w:bCs/>
        </w:rPr>
        <w:t>к</w:t>
      </w:r>
      <w:proofErr w:type="gramEnd"/>
      <w:r w:rsidRPr="00075EE6">
        <w:rPr>
          <w:b/>
          <w:bCs/>
        </w:rPr>
        <w:t xml:space="preserve">, </w:t>
      </w:r>
      <w:proofErr w:type="gramStart"/>
      <w:r w:rsidRPr="00075EE6">
        <w:rPr>
          <w:b/>
          <w:bCs/>
        </w:rPr>
        <w:t>в</w:t>
      </w:r>
      <w:proofErr w:type="gramEnd"/>
      <w:r w:rsidRPr="00075EE6">
        <w:rPr>
          <w:b/>
          <w:bCs/>
        </w:rPr>
        <w:t xml:space="preserve"> частности, ЮНИСЕФ в целях организации регулярного наблюдения за положением детей, жив</w:t>
      </w:r>
      <w:r w:rsidRPr="00075EE6">
        <w:rPr>
          <w:b/>
          <w:bCs/>
        </w:rPr>
        <w:t>у</w:t>
      </w:r>
      <w:r w:rsidRPr="00075EE6">
        <w:rPr>
          <w:b/>
          <w:bCs/>
        </w:rPr>
        <w:t>щих в условиях нищеты, и принять безотлагательные меры по преодол</w:t>
      </w:r>
      <w:r w:rsidRPr="00075EE6">
        <w:rPr>
          <w:b/>
          <w:bCs/>
        </w:rPr>
        <w:t>е</w:t>
      </w:r>
      <w:r w:rsidRPr="00075EE6">
        <w:rPr>
          <w:b/>
          <w:bCs/>
        </w:rPr>
        <w:t>нию всех негативных показателей.</w:t>
      </w:r>
    </w:p>
    <w:p w:rsidR="0077565D" w:rsidRPr="0077565D" w:rsidRDefault="0077565D" w:rsidP="00075EE6">
      <w:pPr>
        <w:pStyle w:val="H1GR"/>
      </w:pPr>
      <w:r w:rsidRPr="0077565D">
        <w:tab/>
        <w:t>G.</w:t>
      </w:r>
      <w:r w:rsidRPr="0077565D">
        <w:tab/>
        <w:t>Образование, досуг и культурная деятельность (статьи 28–31)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36.</w:t>
      </w:r>
      <w:r w:rsidRPr="0077565D">
        <w:tab/>
      </w:r>
      <w:r w:rsidRPr="0077565D">
        <w:rPr>
          <w:b/>
          <w:bCs/>
        </w:rPr>
        <w:t>В свете своего замечания общего порядка № 1 (2001) о целях образ</w:t>
      </w:r>
      <w:r w:rsidRPr="0077565D">
        <w:rPr>
          <w:b/>
          <w:bCs/>
        </w:rPr>
        <w:t>о</w:t>
      </w:r>
      <w:r w:rsidRPr="0077565D">
        <w:rPr>
          <w:b/>
          <w:bCs/>
        </w:rPr>
        <w:t xml:space="preserve">вания и с учетом </w:t>
      </w:r>
      <w:r w:rsidRPr="0077565D">
        <w:rPr>
          <w:b/>
        </w:rPr>
        <w:t>задачи</w:t>
      </w:r>
      <w:r w:rsidRPr="0077565D">
        <w:rPr>
          <w:b/>
          <w:bCs/>
        </w:rPr>
        <w:t xml:space="preserve"> 4.1 Целей в области устойчивого развития – обе</w:t>
      </w:r>
      <w:r w:rsidRPr="0077565D">
        <w:rPr>
          <w:b/>
          <w:bCs/>
        </w:rPr>
        <w:t>с</w:t>
      </w:r>
      <w:r w:rsidRPr="0077565D">
        <w:rPr>
          <w:b/>
          <w:bCs/>
        </w:rPr>
        <w:t>печить, чтобы все девочки и мальчики завершали получение бесплатного, равноправного и качественного начального и среднего образования, позв</w:t>
      </w:r>
      <w:r w:rsidRPr="0077565D">
        <w:rPr>
          <w:b/>
          <w:bCs/>
        </w:rPr>
        <w:t>о</w:t>
      </w:r>
      <w:r w:rsidRPr="0077565D">
        <w:rPr>
          <w:b/>
          <w:bCs/>
        </w:rPr>
        <w:t xml:space="preserve">ляющего добиться востребованных и эффективных результатов обучения, Комитет рекомендует государству-участнику: 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а)</w:t>
      </w:r>
      <w:r w:rsidRPr="0061643C">
        <w:rPr>
          <w:b/>
        </w:rPr>
        <w:tab/>
      </w:r>
      <w:r w:rsidRPr="0061643C">
        <w:rPr>
          <w:b/>
          <w:bCs/>
        </w:rPr>
        <w:t>принять необходимые меры для расширения доступа к образ</w:t>
      </w:r>
      <w:r w:rsidRPr="0061643C">
        <w:rPr>
          <w:b/>
          <w:bCs/>
        </w:rPr>
        <w:t>о</w:t>
      </w:r>
      <w:r w:rsidRPr="0061643C">
        <w:rPr>
          <w:b/>
          <w:bCs/>
        </w:rPr>
        <w:t>ванию, уделяя при этом особое внимание детям, принадлежащим к уязв</w:t>
      </w:r>
      <w:r w:rsidRPr="0061643C">
        <w:rPr>
          <w:b/>
          <w:bCs/>
        </w:rPr>
        <w:t>и</w:t>
      </w:r>
      <w:r w:rsidRPr="0061643C">
        <w:rPr>
          <w:b/>
          <w:bCs/>
        </w:rPr>
        <w:t>мым группам населения, например детям, живущим в условиях нищеты, детям, принадлежащим к этническим меньшинствам, и детям-инвалидам, а также молодым матерям после родов;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lastRenderedPageBreak/>
        <w:tab/>
        <w:t>b)</w:t>
      </w:r>
      <w:r w:rsidRPr="0061643C">
        <w:rPr>
          <w:b/>
        </w:rPr>
        <w:tab/>
      </w:r>
      <w:r w:rsidRPr="0061643C">
        <w:rPr>
          <w:b/>
          <w:bCs/>
        </w:rPr>
        <w:t>принять необходимые</w:t>
      </w:r>
      <w:r w:rsidRPr="0061643C">
        <w:rPr>
          <w:b/>
          <w:bCs/>
          <w:spacing w:val="2"/>
        </w:rPr>
        <w:t xml:space="preserve"> меры для повышения качества образов</w:t>
      </w:r>
      <w:r w:rsidRPr="0061643C">
        <w:rPr>
          <w:b/>
          <w:bCs/>
          <w:spacing w:val="2"/>
        </w:rPr>
        <w:t>а</w:t>
      </w:r>
      <w:r w:rsidRPr="0061643C">
        <w:rPr>
          <w:b/>
          <w:bCs/>
          <w:spacing w:val="2"/>
        </w:rPr>
        <w:t>ния в целом и подготовки преподавателей в частности, уделяя при этом ос</w:t>
      </w:r>
      <w:r w:rsidRPr="0061643C">
        <w:rPr>
          <w:b/>
          <w:bCs/>
          <w:spacing w:val="2"/>
        </w:rPr>
        <w:t>о</w:t>
      </w:r>
      <w:r w:rsidRPr="0061643C">
        <w:rPr>
          <w:b/>
          <w:bCs/>
          <w:spacing w:val="2"/>
        </w:rPr>
        <w:t>бое внимание сельским районам, как</w:t>
      </w:r>
      <w:r w:rsidRPr="0061643C">
        <w:rPr>
          <w:b/>
          <w:bCs/>
        </w:rPr>
        <w:t xml:space="preserve"> об этом говорилось в предыдущих з</w:t>
      </w:r>
      <w:r w:rsidRPr="0061643C">
        <w:rPr>
          <w:b/>
          <w:bCs/>
        </w:rPr>
        <w:t>а</w:t>
      </w:r>
      <w:r w:rsidRPr="0061643C">
        <w:rPr>
          <w:b/>
          <w:bCs/>
        </w:rPr>
        <w:t>ключительных замечаниях Комитета (см. CRC/C/GEO/CO/3, пункт 57 b));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c)</w:t>
      </w:r>
      <w:r w:rsidRPr="0061643C">
        <w:rPr>
          <w:b/>
        </w:rPr>
        <w:tab/>
      </w:r>
      <w:r w:rsidRPr="0061643C">
        <w:rPr>
          <w:b/>
          <w:bCs/>
        </w:rPr>
        <w:t>продолжить развивать и пропагандировать качественное пр</w:t>
      </w:r>
      <w:r w:rsidRPr="0061643C">
        <w:rPr>
          <w:b/>
          <w:bCs/>
        </w:rPr>
        <w:t>о</w:t>
      </w:r>
      <w:r w:rsidRPr="0061643C">
        <w:rPr>
          <w:b/>
          <w:bCs/>
        </w:rPr>
        <w:t>фессионально-техническое образование в качестве альтернативной формы приобретения профессиональных навыков детьми, преждевременно пр</w:t>
      </w:r>
      <w:r w:rsidRPr="0061643C">
        <w:rPr>
          <w:b/>
          <w:bCs/>
        </w:rPr>
        <w:t>е</w:t>
      </w:r>
      <w:r w:rsidRPr="0061643C">
        <w:rPr>
          <w:b/>
          <w:bCs/>
        </w:rPr>
        <w:t>кративших учебу в школах;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d)</w:t>
      </w:r>
      <w:r w:rsidRPr="0061643C">
        <w:rPr>
          <w:b/>
        </w:rPr>
        <w:tab/>
      </w:r>
      <w:r w:rsidRPr="0061643C">
        <w:rPr>
          <w:b/>
          <w:bCs/>
        </w:rPr>
        <w:t>принять все необходимые меры для утверждения проекта зак</w:t>
      </w:r>
      <w:r w:rsidRPr="0061643C">
        <w:rPr>
          <w:b/>
          <w:bCs/>
        </w:rPr>
        <w:t>о</w:t>
      </w:r>
      <w:r w:rsidRPr="0061643C">
        <w:rPr>
          <w:b/>
          <w:bCs/>
        </w:rPr>
        <w:t>на о раннем обучении и дошкольном образовании и выделить достаточные финансовые ресурсы для развития и расширения системы образования д</w:t>
      </w:r>
      <w:r w:rsidRPr="0061643C">
        <w:rPr>
          <w:b/>
          <w:bCs/>
        </w:rPr>
        <w:t>е</w:t>
      </w:r>
      <w:r w:rsidRPr="0061643C">
        <w:rPr>
          <w:b/>
          <w:bCs/>
        </w:rPr>
        <w:t>тей дошкольного возраста на основе комплексной и целостной политики в области воспитания и развития детей в раннем возрасте;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</w:r>
      <w:proofErr w:type="gramStart"/>
      <w:r w:rsidRPr="0061643C">
        <w:rPr>
          <w:b/>
        </w:rPr>
        <w:t>e)</w:t>
      </w:r>
      <w:r w:rsidRPr="0061643C">
        <w:rPr>
          <w:b/>
        </w:rPr>
        <w:tab/>
      </w:r>
      <w:r w:rsidRPr="0061643C">
        <w:rPr>
          <w:b/>
          <w:bCs/>
        </w:rPr>
        <w:t>принять и осуществлять национальные стандарты и технич</w:t>
      </w:r>
      <w:r w:rsidRPr="0061643C">
        <w:rPr>
          <w:b/>
          <w:bCs/>
        </w:rPr>
        <w:t>е</w:t>
      </w:r>
      <w:r w:rsidRPr="0061643C">
        <w:rPr>
          <w:b/>
          <w:bCs/>
        </w:rPr>
        <w:t>ские регламенты в области водоснабжения, санитарии, гигиены и питания для дошкольных учреждений и создать надзорные механизмы и инстр</w:t>
      </w:r>
      <w:r w:rsidRPr="0061643C">
        <w:rPr>
          <w:b/>
          <w:bCs/>
        </w:rPr>
        <w:t>у</w:t>
      </w:r>
      <w:r w:rsidRPr="0061643C">
        <w:rPr>
          <w:b/>
          <w:bCs/>
        </w:rPr>
        <w:t>менты для обеспечения их соблюдения в целях устранения существующих региональных различий в качестве воды и санитарно-технических соор</w:t>
      </w:r>
      <w:r w:rsidRPr="0061643C">
        <w:rPr>
          <w:b/>
          <w:bCs/>
        </w:rPr>
        <w:t>у</w:t>
      </w:r>
      <w:r w:rsidRPr="0061643C">
        <w:rPr>
          <w:b/>
          <w:bCs/>
        </w:rPr>
        <w:t>жений в дошкольных учреждениях и школах, которые продолжают оказ</w:t>
      </w:r>
      <w:r w:rsidRPr="0061643C">
        <w:rPr>
          <w:b/>
          <w:bCs/>
        </w:rPr>
        <w:t>ы</w:t>
      </w:r>
      <w:r w:rsidRPr="0061643C">
        <w:rPr>
          <w:b/>
          <w:bCs/>
        </w:rPr>
        <w:t xml:space="preserve">вать негативное воздействие на здоровье детей, проживающих в сельских районах. </w:t>
      </w:r>
      <w:proofErr w:type="gramEnd"/>
    </w:p>
    <w:p w:rsidR="0077565D" w:rsidRPr="0077565D" w:rsidRDefault="0077565D" w:rsidP="009A392D">
      <w:pPr>
        <w:pStyle w:val="H1GR"/>
      </w:pPr>
      <w:r w:rsidRPr="0077565D">
        <w:tab/>
        <w:t>H.</w:t>
      </w:r>
      <w:r w:rsidRPr="0077565D">
        <w:tab/>
        <w:t>Специальные меры защиты (статьи 22, 30, 32, 33, 35, 36, 37</w:t>
      </w:r>
      <w:r w:rsidR="0061643C">
        <w:t> </w:t>
      </w:r>
      <w:r w:rsidRPr="0077565D">
        <w:t>(пункты b)–d)) и 38–40)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Дети – просители убежища и дети-беженцы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37.</w:t>
      </w:r>
      <w:r w:rsidRPr="0077565D">
        <w:tab/>
      </w:r>
      <w:r w:rsidRPr="0077565D">
        <w:rPr>
          <w:b/>
          <w:bCs/>
        </w:rPr>
        <w:t>Принимая во внимание текущую реформу законодательства госуда</w:t>
      </w:r>
      <w:r w:rsidRPr="0077565D">
        <w:rPr>
          <w:b/>
          <w:bCs/>
        </w:rPr>
        <w:t>р</w:t>
      </w:r>
      <w:r w:rsidRPr="0077565D">
        <w:rPr>
          <w:b/>
          <w:bCs/>
        </w:rPr>
        <w:t>ства-участника, касающегося беженцев, и ссылаясь на свое замечание о</w:t>
      </w:r>
      <w:r w:rsidRPr="0077565D">
        <w:rPr>
          <w:b/>
          <w:bCs/>
        </w:rPr>
        <w:t>б</w:t>
      </w:r>
      <w:r w:rsidRPr="0077565D">
        <w:rPr>
          <w:b/>
          <w:bCs/>
        </w:rPr>
        <w:t>щего порядка № 6 (2005) об обращении с несопровождаемыми и разлуче</w:t>
      </w:r>
      <w:r w:rsidRPr="0077565D">
        <w:rPr>
          <w:b/>
          <w:bCs/>
        </w:rPr>
        <w:t>н</w:t>
      </w:r>
      <w:r w:rsidRPr="0077565D">
        <w:rPr>
          <w:b/>
          <w:bCs/>
        </w:rPr>
        <w:t>ными детьми за пределами страны их происхождения, Комитет рекоменд</w:t>
      </w:r>
      <w:r w:rsidRPr="0077565D">
        <w:rPr>
          <w:b/>
          <w:bCs/>
        </w:rPr>
        <w:t>у</w:t>
      </w:r>
      <w:r w:rsidRPr="0077565D">
        <w:rPr>
          <w:b/>
          <w:bCs/>
        </w:rPr>
        <w:t>ет государству-участнику: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а)</w:t>
      </w:r>
      <w:r w:rsidRPr="0061643C">
        <w:rPr>
          <w:b/>
        </w:rPr>
        <w:tab/>
      </w:r>
      <w:r w:rsidRPr="0061643C">
        <w:rPr>
          <w:b/>
          <w:bCs/>
        </w:rPr>
        <w:t>ускорить принятие проекта закона о международной защите с целью облегчения доступа детей-просителей убежища, в том числе детей, нуждающихся в международной защите, к системе предоставления убеж</w:t>
      </w:r>
      <w:r w:rsidRPr="0061643C">
        <w:rPr>
          <w:b/>
          <w:bCs/>
        </w:rPr>
        <w:t>и</w:t>
      </w:r>
      <w:r w:rsidRPr="0061643C">
        <w:rPr>
          <w:b/>
          <w:bCs/>
        </w:rPr>
        <w:t>ща, приведя, таким образом, национальное законодательство в соотве</w:t>
      </w:r>
      <w:r w:rsidRPr="0061643C">
        <w:rPr>
          <w:b/>
          <w:bCs/>
        </w:rPr>
        <w:t>т</w:t>
      </w:r>
      <w:r w:rsidRPr="0061643C">
        <w:rPr>
          <w:b/>
          <w:bCs/>
        </w:rPr>
        <w:t xml:space="preserve">ствие с Конвенцией о статусе беженцев; 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b)</w:t>
      </w:r>
      <w:r w:rsidRPr="0061643C">
        <w:rPr>
          <w:b/>
        </w:rPr>
        <w:tab/>
      </w:r>
      <w:r w:rsidRPr="0061643C">
        <w:rPr>
          <w:b/>
          <w:bCs/>
        </w:rPr>
        <w:t>выделить достаточные людские, технические и финансовые р</w:t>
      </w:r>
      <w:r w:rsidRPr="0061643C">
        <w:rPr>
          <w:b/>
          <w:bCs/>
        </w:rPr>
        <w:t>е</w:t>
      </w:r>
      <w:r w:rsidRPr="0061643C">
        <w:rPr>
          <w:b/>
          <w:bCs/>
        </w:rPr>
        <w:t>сурсы на осуществление миграционной стратегии и плана действий на п</w:t>
      </w:r>
      <w:r w:rsidRPr="0061643C">
        <w:rPr>
          <w:b/>
          <w:bCs/>
        </w:rPr>
        <w:t>е</w:t>
      </w:r>
      <w:r w:rsidRPr="0061643C">
        <w:rPr>
          <w:b/>
          <w:bCs/>
        </w:rPr>
        <w:t>риод 2016</w:t>
      </w:r>
      <w:r w:rsidR="0058171A">
        <w:rPr>
          <w:b/>
          <w:bCs/>
        </w:rPr>
        <w:t>–</w:t>
      </w:r>
      <w:r w:rsidRPr="0061643C">
        <w:rPr>
          <w:b/>
          <w:bCs/>
        </w:rPr>
        <w:t>2020 годов в целях облегчения процесса интеграции детей-беженцев и детей</w:t>
      </w:r>
      <w:r w:rsidR="0058171A">
        <w:rPr>
          <w:b/>
          <w:bCs/>
        </w:rPr>
        <w:t xml:space="preserve"> – </w:t>
      </w:r>
      <w:r w:rsidRPr="0061643C">
        <w:rPr>
          <w:b/>
          <w:bCs/>
        </w:rPr>
        <w:t>просителей убежища в жизнь местных общин и их д</w:t>
      </w:r>
      <w:r w:rsidRPr="0061643C">
        <w:rPr>
          <w:b/>
          <w:bCs/>
        </w:rPr>
        <w:t>о</w:t>
      </w:r>
      <w:r w:rsidRPr="0061643C">
        <w:rPr>
          <w:b/>
          <w:bCs/>
        </w:rPr>
        <w:t>ступа к процедурам натурализации;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c)</w:t>
      </w:r>
      <w:r w:rsidRPr="0061643C">
        <w:rPr>
          <w:b/>
        </w:rPr>
        <w:tab/>
      </w:r>
      <w:r w:rsidRPr="0061643C">
        <w:rPr>
          <w:b/>
          <w:bCs/>
        </w:rPr>
        <w:t>сотрудничать с соответствующими НПО и обратиться за те</w:t>
      </w:r>
      <w:r w:rsidRPr="0061643C">
        <w:rPr>
          <w:b/>
          <w:bCs/>
        </w:rPr>
        <w:t>х</w:t>
      </w:r>
      <w:r w:rsidRPr="0061643C">
        <w:rPr>
          <w:b/>
          <w:bCs/>
        </w:rPr>
        <w:t xml:space="preserve">нической помощью </w:t>
      </w:r>
      <w:proofErr w:type="gramStart"/>
      <w:r w:rsidRPr="0061643C">
        <w:rPr>
          <w:b/>
          <w:bCs/>
        </w:rPr>
        <w:t>к</w:t>
      </w:r>
      <w:proofErr w:type="gramEnd"/>
      <w:r w:rsidRPr="0061643C">
        <w:rPr>
          <w:b/>
          <w:bCs/>
        </w:rPr>
        <w:t>, в частности, УВКБ.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Внутренне перемещенные дети</w:t>
      </w:r>
    </w:p>
    <w:p w:rsidR="0077565D" w:rsidRPr="0077565D" w:rsidRDefault="0077565D" w:rsidP="0077565D">
      <w:pPr>
        <w:pStyle w:val="SingleTxtGR"/>
      </w:pPr>
      <w:r w:rsidRPr="0077565D">
        <w:t>38.</w:t>
      </w:r>
      <w:r w:rsidRPr="0077565D">
        <w:tab/>
        <w:t>Комитет отмечает пересмотр в феврале 2014 года Закона о внутренне п</w:t>
      </w:r>
      <w:r w:rsidRPr="0077565D">
        <w:t>е</w:t>
      </w:r>
      <w:r w:rsidRPr="0077565D">
        <w:t>ремещенных лицах и принятие стратегии в отношении внутренне перемеще</w:t>
      </w:r>
      <w:r w:rsidRPr="0077565D">
        <w:t>н</w:t>
      </w:r>
      <w:r w:rsidRPr="0077565D">
        <w:t>ных</w:t>
      </w:r>
      <w:r w:rsidRPr="0061643C">
        <w:rPr>
          <w:spacing w:val="2"/>
        </w:rPr>
        <w:t xml:space="preserve"> лиц и соответствующего плана действий. Вместе с тем Комитет обеспоко</w:t>
      </w:r>
      <w:r w:rsidRPr="0077565D">
        <w:t xml:space="preserve">ен: </w:t>
      </w:r>
    </w:p>
    <w:p w:rsidR="0077565D" w:rsidRPr="0077565D" w:rsidRDefault="0077565D" w:rsidP="0077565D">
      <w:pPr>
        <w:pStyle w:val="SingleTxtGR"/>
      </w:pPr>
      <w:r w:rsidRPr="0077565D">
        <w:tab/>
        <w:t>а)</w:t>
      </w:r>
      <w:r w:rsidRPr="0077565D">
        <w:tab/>
        <w:t>недостаточным учетом особых потребностей внутренне перем</w:t>
      </w:r>
      <w:r w:rsidRPr="0077565D">
        <w:t>е</w:t>
      </w:r>
      <w:r w:rsidRPr="0077565D">
        <w:t>щенных детей при определении условий и процедур оказания помощи и сохр</w:t>
      </w:r>
      <w:r w:rsidRPr="0077565D">
        <w:t>а</w:t>
      </w:r>
      <w:r w:rsidRPr="0077565D">
        <w:t>нения статуса внутренне перемещенных лиц;</w:t>
      </w:r>
    </w:p>
    <w:p w:rsidR="0077565D" w:rsidRPr="0077565D" w:rsidRDefault="0077565D" w:rsidP="0061643C">
      <w:pPr>
        <w:pStyle w:val="SingleTxtGR"/>
        <w:keepNext/>
        <w:keepLines/>
      </w:pPr>
      <w:r w:rsidRPr="0077565D">
        <w:lastRenderedPageBreak/>
        <w:tab/>
        <w:t>b)</w:t>
      </w:r>
      <w:r w:rsidRPr="0077565D">
        <w:tab/>
        <w:t>сообщениями о ненадлежащих условиях жизни внутренне перем</w:t>
      </w:r>
      <w:r w:rsidRPr="0077565D">
        <w:t>е</w:t>
      </w:r>
      <w:r w:rsidRPr="0077565D">
        <w:t xml:space="preserve">щенных детей в государстве-участнике, </w:t>
      </w:r>
      <w:proofErr w:type="gramStart"/>
      <w:r w:rsidRPr="0077565D">
        <w:t>предоставлением</w:t>
      </w:r>
      <w:proofErr w:type="gramEnd"/>
      <w:r w:rsidRPr="0077565D">
        <w:t xml:space="preserve"> внутренне перем</w:t>
      </w:r>
      <w:r w:rsidRPr="0077565D">
        <w:t>е</w:t>
      </w:r>
      <w:r w:rsidRPr="0077565D">
        <w:t>щенным семьям недостаточных услуг для того, чтобы их дети могли получить образование, и наличием у них ограниченных возможностей для интеграции.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39.</w:t>
      </w:r>
      <w:r w:rsidRPr="0077565D">
        <w:tab/>
      </w:r>
      <w:r w:rsidRPr="0077565D">
        <w:rPr>
          <w:b/>
          <w:bCs/>
        </w:rPr>
        <w:t>Комитет напоминает о своей предыдущей рекомендации (см.</w:t>
      </w:r>
      <w:r w:rsidR="0061643C">
        <w:rPr>
          <w:b/>
          <w:bCs/>
        </w:rPr>
        <w:t> </w:t>
      </w:r>
      <w:r w:rsidRPr="0077565D">
        <w:rPr>
          <w:b/>
          <w:bCs/>
        </w:rPr>
        <w:t>CRC/C/</w:t>
      </w:r>
      <w:r w:rsidR="0058171A">
        <w:rPr>
          <w:b/>
          <w:bCs/>
        </w:rPr>
        <w:t xml:space="preserve"> </w:t>
      </w:r>
      <w:r w:rsidRPr="0077565D">
        <w:rPr>
          <w:b/>
          <w:bCs/>
        </w:rPr>
        <w:t>GEO/CO/3, пункт 61) в первоочередном порядке обеспечить защиту прав детей, перемещенных внутри страны, и рекомендует государству-участнику: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а)</w:t>
      </w:r>
      <w:r w:rsidRPr="0061643C">
        <w:rPr>
          <w:b/>
        </w:rPr>
        <w:tab/>
        <w:t xml:space="preserve">обеспечить, чтобы национальные системы социальной защиты и планы развития предусматривали </w:t>
      </w:r>
      <w:r w:rsidRPr="0061643C">
        <w:rPr>
          <w:b/>
          <w:bCs/>
        </w:rPr>
        <w:t>оказание помощи внутренне перем</w:t>
      </w:r>
      <w:r w:rsidRPr="0061643C">
        <w:rPr>
          <w:b/>
          <w:bCs/>
        </w:rPr>
        <w:t>е</w:t>
      </w:r>
      <w:r w:rsidRPr="0061643C">
        <w:rPr>
          <w:b/>
          <w:bCs/>
        </w:rPr>
        <w:t>щенным детям в соответствии с их потребностями, и гарантировать, чтобы они были охвачены программами профессиональной подготовки;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b)</w:t>
      </w:r>
      <w:r w:rsidRPr="0061643C">
        <w:rPr>
          <w:b/>
        </w:rPr>
        <w:tab/>
      </w:r>
      <w:r w:rsidRPr="0061643C">
        <w:rPr>
          <w:b/>
          <w:bCs/>
        </w:rPr>
        <w:t>обеспечивать в случае закрытия центров коллективного пр</w:t>
      </w:r>
      <w:r w:rsidRPr="0061643C">
        <w:rPr>
          <w:b/>
          <w:bCs/>
        </w:rPr>
        <w:t>о</w:t>
      </w:r>
      <w:r w:rsidRPr="0061643C">
        <w:rPr>
          <w:b/>
          <w:bCs/>
        </w:rPr>
        <w:t>живания предоставление всем лицам, особенно семьям с детьми, надлеж</w:t>
      </w:r>
      <w:r w:rsidRPr="0061643C">
        <w:rPr>
          <w:b/>
          <w:bCs/>
        </w:rPr>
        <w:t>а</w:t>
      </w:r>
      <w:r w:rsidRPr="0061643C">
        <w:rPr>
          <w:b/>
          <w:bCs/>
        </w:rPr>
        <w:t>щего альтернативного жилья, стремясь одновременно с этим найти долг</w:t>
      </w:r>
      <w:r w:rsidRPr="0061643C">
        <w:rPr>
          <w:b/>
          <w:bCs/>
        </w:rPr>
        <w:t>о</w:t>
      </w:r>
      <w:r w:rsidRPr="0061643C">
        <w:rPr>
          <w:b/>
          <w:bCs/>
        </w:rPr>
        <w:t>срочные решения, и усилить поддержку осуществляемых на уровне общин инициатив, которые направлены на обеспечение средств существования и возможностей трудоустройства для внутренне перемещенных лиц;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c)</w:t>
      </w:r>
      <w:r w:rsidRPr="0061643C">
        <w:rPr>
          <w:b/>
        </w:rPr>
        <w:tab/>
      </w:r>
      <w:r w:rsidRPr="0061643C">
        <w:rPr>
          <w:b/>
          <w:bCs/>
        </w:rPr>
        <w:t>продолжать выполнять рекомендации Представителя Ген</w:t>
      </w:r>
      <w:r w:rsidRPr="0061643C">
        <w:rPr>
          <w:b/>
          <w:bCs/>
        </w:rPr>
        <w:t>е</w:t>
      </w:r>
      <w:r w:rsidRPr="0061643C">
        <w:rPr>
          <w:b/>
          <w:bCs/>
        </w:rPr>
        <w:t>рального секретаря по вопросу о правах человека внутренне перемеще</w:t>
      </w:r>
      <w:r w:rsidRPr="0061643C">
        <w:rPr>
          <w:b/>
          <w:bCs/>
        </w:rPr>
        <w:t>н</w:t>
      </w:r>
      <w:r w:rsidRPr="0061643C">
        <w:rPr>
          <w:b/>
          <w:bCs/>
        </w:rPr>
        <w:t>ных лиц (см. E/CN.4/2006/71/Add.7).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Экономическая эксплуатация, включая детский труд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40.</w:t>
      </w:r>
      <w:r w:rsidRPr="0077565D">
        <w:tab/>
      </w:r>
      <w:r w:rsidRPr="0077565D">
        <w:rPr>
          <w:b/>
          <w:bCs/>
        </w:rPr>
        <w:t>Комитет рекомендует государству-участнику принять все необход</w:t>
      </w:r>
      <w:r w:rsidRPr="0077565D">
        <w:rPr>
          <w:b/>
          <w:bCs/>
        </w:rPr>
        <w:t>и</w:t>
      </w:r>
      <w:r w:rsidRPr="0077565D">
        <w:rPr>
          <w:b/>
          <w:bCs/>
        </w:rPr>
        <w:t>мые меры для борьбы со всеми формами детского труда, в том числе в н</w:t>
      </w:r>
      <w:r w:rsidRPr="0077565D">
        <w:rPr>
          <w:b/>
          <w:bCs/>
        </w:rPr>
        <w:t>е</w:t>
      </w:r>
      <w:r w:rsidRPr="0077565D">
        <w:rPr>
          <w:b/>
          <w:bCs/>
        </w:rPr>
        <w:t>формальном секторе, и настоятельно</w:t>
      </w:r>
      <w:r w:rsidRPr="00185D19">
        <w:rPr>
          <w:b/>
          <w:bCs/>
          <w:spacing w:val="2"/>
        </w:rPr>
        <w:t xml:space="preserve"> призывает государство-участник во</w:t>
      </w:r>
      <w:r w:rsidRPr="00185D19">
        <w:rPr>
          <w:b/>
          <w:bCs/>
          <w:spacing w:val="2"/>
        </w:rPr>
        <w:t>с</w:t>
      </w:r>
      <w:r w:rsidRPr="00185D19">
        <w:rPr>
          <w:b/>
          <w:bCs/>
          <w:spacing w:val="2"/>
        </w:rPr>
        <w:t xml:space="preserve">становить службу инспекции труда, укрепив тем самым </w:t>
      </w:r>
      <w:proofErr w:type="gramStart"/>
      <w:r w:rsidRPr="00185D19">
        <w:rPr>
          <w:b/>
          <w:bCs/>
          <w:spacing w:val="2"/>
        </w:rPr>
        <w:t>контроль за</w:t>
      </w:r>
      <w:proofErr w:type="gramEnd"/>
      <w:r w:rsidRPr="00185D19">
        <w:rPr>
          <w:b/>
          <w:bCs/>
          <w:spacing w:val="2"/>
        </w:rPr>
        <w:t xml:space="preserve"> собл</w:t>
      </w:r>
      <w:r w:rsidRPr="00185D19">
        <w:rPr>
          <w:b/>
          <w:bCs/>
          <w:spacing w:val="2"/>
        </w:rPr>
        <w:t>ю</w:t>
      </w:r>
      <w:r w:rsidRPr="00185D19">
        <w:rPr>
          <w:b/>
          <w:bCs/>
          <w:spacing w:val="2"/>
        </w:rPr>
        <w:t>дением запрета на использование д</w:t>
      </w:r>
      <w:r w:rsidRPr="0077565D">
        <w:rPr>
          <w:b/>
          <w:bCs/>
        </w:rPr>
        <w:t>етского труда в соответствии с законом.</w:t>
      </w:r>
    </w:p>
    <w:p w:rsidR="0077565D" w:rsidRPr="0077565D" w:rsidRDefault="0077565D" w:rsidP="009A392D">
      <w:pPr>
        <w:pStyle w:val="H23GR"/>
      </w:pPr>
      <w:r w:rsidRPr="0077565D">
        <w:tab/>
      </w:r>
      <w:r w:rsidRPr="0077565D">
        <w:tab/>
        <w:t>Безнадзорные дети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41.</w:t>
      </w:r>
      <w:r w:rsidRPr="0077565D">
        <w:tab/>
      </w:r>
      <w:r w:rsidRPr="0077565D">
        <w:rPr>
          <w:b/>
          <w:bCs/>
        </w:rPr>
        <w:t>Принимая во внимание принятие 22 июня 2016 года пакета законод</w:t>
      </w:r>
      <w:r w:rsidRPr="0077565D">
        <w:rPr>
          <w:b/>
          <w:bCs/>
        </w:rPr>
        <w:t>а</w:t>
      </w:r>
      <w:r w:rsidRPr="0077565D">
        <w:rPr>
          <w:b/>
          <w:bCs/>
        </w:rPr>
        <w:t>тельных реформ, затрагивающих безнадзорных детей, и разработку ко</w:t>
      </w:r>
      <w:r w:rsidRPr="0077565D">
        <w:rPr>
          <w:b/>
          <w:bCs/>
        </w:rPr>
        <w:t>м</w:t>
      </w:r>
      <w:r w:rsidRPr="0077565D">
        <w:rPr>
          <w:b/>
          <w:bCs/>
        </w:rPr>
        <w:t xml:space="preserve">плексной системы </w:t>
      </w:r>
      <w:proofErr w:type="gramStart"/>
      <w:r w:rsidRPr="0077565D">
        <w:rPr>
          <w:b/>
          <w:bCs/>
        </w:rPr>
        <w:t>для</w:t>
      </w:r>
      <w:proofErr w:type="gramEnd"/>
      <w:r w:rsidRPr="0077565D">
        <w:rPr>
          <w:b/>
          <w:bCs/>
        </w:rPr>
        <w:t xml:space="preserve"> </w:t>
      </w:r>
      <w:proofErr w:type="gramStart"/>
      <w:r w:rsidRPr="0077565D">
        <w:rPr>
          <w:b/>
          <w:bCs/>
        </w:rPr>
        <w:t>их</w:t>
      </w:r>
      <w:proofErr w:type="gramEnd"/>
      <w:r w:rsidRPr="0077565D">
        <w:rPr>
          <w:b/>
          <w:bCs/>
        </w:rPr>
        <w:t xml:space="preserve"> </w:t>
      </w:r>
      <w:proofErr w:type="spellStart"/>
      <w:r w:rsidRPr="0077565D">
        <w:rPr>
          <w:b/>
          <w:bCs/>
        </w:rPr>
        <w:t>реинтеграции</w:t>
      </w:r>
      <w:proofErr w:type="spellEnd"/>
      <w:r w:rsidRPr="0077565D">
        <w:rPr>
          <w:b/>
          <w:bCs/>
        </w:rPr>
        <w:t xml:space="preserve"> в общество, Комитет настоятельно призывает государство-участник: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а)</w:t>
      </w:r>
      <w:r w:rsidRPr="0061643C">
        <w:rPr>
          <w:b/>
        </w:rPr>
        <w:tab/>
      </w:r>
      <w:r w:rsidRPr="0061643C">
        <w:rPr>
          <w:b/>
          <w:bCs/>
        </w:rPr>
        <w:t>усилить работу по осуществлению планов действий в области защиты прав ребенка путем включения в них отдельной цели, касающейся предотвращения и пресечения торговли детьми и сексуальной эксплуат</w:t>
      </w:r>
      <w:r w:rsidRPr="0061643C">
        <w:rPr>
          <w:b/>
          <w:bCs/>
        </w:rPr>
        <w:t>а</w:t>
      </w:r>
      <w:r w:rsidRPr="0061643C">
        <w:rPr>
          <w:b/>
          <w:bCs/>
        </w:rPr>
        <w:t xml:space="preserve">ции детей и улучшения положения безнадзорных детей по всей стране; 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b)</w:t>
      </w:r>
      <w:r w:rsidRPr="0061643C">
        <w:rPr>
          <w:b/>
        </w:rPr>
        <w:tab/>
      </w:r>
      <w:r w:rsidRPr="0061643C">
        <w:rPr>
          <w:b/>
          <w:bCs/>
        </w:rPr>
        <w:t>разработать эффективные механизмы выявления и консульт</w:t>
      </w:r>
      <w:r w:rsidRPr="0061643C">
        <w:rPr>
          <w:b/>
          <w:bCs/>
        </w:rPr>
        <w:t>и</w:t>
      </w:r>
      <w:r w:rsidRPr="0061643C">
        <w:rPr>
          <w:b/>
          <w:bCs/>
        </w:rPr>
        <w:t xml:space="preserve">рования для комплексных и долгосрочных программ в области ухода за безнадзорными детьми, их реабилитации и </w:t>
      </w:r>
      <w:proofErr w:type="spellStart"/>
      <w:r w:rsidRPr="0061643C">
        <w:rPr>
          <w:b/>
          <w:bCs/>
        </w:rPr>
        <w:t>реинтеграции</w:t>
      </w:r>
      <w:proofErr w:type="spellEnd"/>
      <w:r w:rsidRPr="0061643C">
        <w:rPr>
          <w:b/>
          <w:bCs/>
        </w:rPr>
        <w:t>, последующие мероприятия и меры в поддержку семей и общин;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c)</w:t>
      </w:r>
      <w:r w:rsidRPr="0061643C">
        <w:rPr>
          <w:b/>
        </w:rPr>
        <w:tab/>
      </w:r>
      <w:r w:rsidRPr="0061643C">
        <w:rPr>
          <w:b/>
          <w:bCs/>
        </w:rPr>
        <w:t>провести</w:t>
      </w:r>
      <w:r w:rsidRPr="00185D19">
        <w:rPr>
          <w:b/>
          <w:bCs/>
          <w:spacing w:val="2"/>
        </w:rPr>
        <w:t xml:space="preserve"> всеобъемлющее исследование для анализа масштабов, характера и коренных причин появления безнадзорных детей в стране в ц</w:t>
      </w:r>
      <w:r w:rsidRPr="00185D19">
        <w:rPr>
          <w:b/>
          <w:bCs/>
          <w:spacing w:val="2"/>
        </w:rPr>
        <w:t>е</w:t>
      </w:r>
      <w:r w:rsidRPr="00185D19">
        <w:rPr>
          <w:b/>
          <w:bCs/>
          <w:spacing w:val="2"/>
        </w:rPr>
        <w:t xml:space="preserve">лях разработки национальной </w:t>
      </w:r>
      <w:r w:rsidRPr="0061643C">
        <w:rPr>
          <w:b/>
          <w:bCs/>
        </w:rPr>
        <w:t>политики по предупреждению этого явления;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d)</w:t>
      </w:r>
      <w:r w:rsidRPr="0061643C">
        <w:rPr>
          <w:b/>
        </w:rPr>
        <w:tab/>
      </w:r>
      <w:r w:rsidRPr="0061643C">
        <w:rPr>
          <w:b/>
          <w:bCs/>
        </w:rPr>
        <w:t>рассмотреть возможность создания механизма для сотруднич</w:t>
      </w:r>
      <w:r w:rsidRPr="0061643C">
        <w:rPr>
          <w:b/>
          <w:bCs/>
        </w:rPr>
        <w:t>е</w:t>
      </w:r>
      <w:r w:rsidRPr="0061643C">
        <w:rPr>
          <w:b/>
          <w:bCs/>
        </w:rPr>
        <w:t xml:space="preserve">ства с соседними странами в целях обеспечения защиты безнадзорных </w:t>
      </w:r>
      <w:r w:rsidR="0058171A">
        <w:rPr>
          <w:b/>
          <w:bCs/>
        </w:rPr>
        <w:br/>
      </w:r>
      <w:r w:rsidRPr="0061643C">
        <w:rPr>
          <w:b/>
          <w:bCs/>
        </w:rPr>
        <w:t>детей;</w:t>
      </w:r>
    </w:p>
    <w:p w:rsidR="0077565D" w:rsidRPr="0061643C" w:rsidRDefault="0077565D" w:rsidP="0077565D">
      <w:pPr>
        <w:pStyle w:val="SingleTxtGR"/>
        <w:rPr>
          <w:b/>
          <w:bCs/>
        </w:rPr>
      </w:pPr>
      <w:r w:rsidRPr="0061643C">
        <w:rPr>
          <w:b/>
        </w:rPr>
        <w:tab/>
        <w:t>e)</w:t>
      </w:r>
      <w:r w:rsidRPr="0061643C">
        <w:rPr>
          <w:b/>
        </w:rPr>
        <w:tab/>
      </w:r>
      <w:r w:rsidRPr="0061643C">
        <w:rPr>
          <w:b/>
          <w:bCs/>
        </w:rPr>
        <w:t>проводить информационно-просветительские кампании для борьбы со стигматизацией безнадзорных детей.</w:t>
      </w:r>
    </w:p>
    <w:p w:rsidR="0077565D" w:rsidRPr="0077565D" w:rsidRDefault="0077565D" w:rsidP="009A392D">
      <w:pPr>
        <w:pStyle w:val="H23GR"/>
      </w:pPr>
      <w:r w:rsidRPr="0077565D">
        <w:lastRenderedPageBreak/>
        <w:tab/>
      </w:r>
      <w:r w:rsidRPr="0077565D">
        <w:tab/>
        <w:t>Торговля детьми, контрабанда и похищение детей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42.</w:t>
      </w:r>
      <w:r w:rsidRPr="0077565D">
        <w:tab/>
      </w:r>
      <w:r w:rsidRPr="0077565D">
        <w:rPr>
          <w:b/>
          <w:bCs/>
        </w:rPr>
        <w:t>С учетом своих предыдущих заключительных замечаний (см.</w:t>
      </w:r>
      <w:r w:rsidR="0061643C">
        <w:rPr>
          <w:b/>
          <w:bCs/>
        </w:rPr>
        <w:t> </w:t>
      </w:r>
      <w:r w:rsidRPr="0077565D">
        <w:rPr>
          <w:b/>
          <w:bCs/>
        </w:rPr>
        <w:t>CRC/C/GEO/CO/</w:t>
      </w:r>
      <w:r w:rsidR="001D44E1">
        <w:rPr>
          <w:b/>
          <w:bCs/>
        </w:rPr>
        <w:t>3</w:t>
      </w:r>
      <w:bookmarkStart w:id="0" w:name="_GoBack"/>
      <w:bookmarkEnd w:id="0"/>
      <w:r w:rsidRPr="0077565D">
        <w:rPr>
          <w:b/>
          <w:bCs/>
        </w:rPr>
        <w:t>, пункт 69), Комитет рекомендует государству-участнику: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77565D">
        <w:tab/>
      </w:r>
      <w:r w:rsidRPr="00BE0675">
        <w:rPr>
          <w:b/>
        </w:rPr>
        <w:t>а)</w:t>
      </w:r>
      <w:r w:rsidRPr="00BE0675">
        <w:rPr>
          <w:b/>
        </w:rPr>
        <w:tab/>
      </w:r>
      <w:r w:rsidRPr="00BE0675">
        <w:rPr>
          <w:b/>
          <w:bCs/>
        </w:rPr>
        <w:t>обеспечить всесторонний учет прав ребенка в следующем плане действий по борьбе с торговлей людьми для разработки дополн</w:t>
      </w:r>
      <w:r w:rsidRPr="00BE0675">
        <w:rPr>
          <w:b/>
          <w:bCs/>
        </w:rPr>
        <w:t>и</w:t>
      </w:r>
      <w:r w:rsidRPr="00BE0675">
        <w:rPr>
          <w:b/>
          <w:bCs/>
        </w:rPr>
        <w:t>тельных превентивных мер, мер защиты и мер уголовно-правового возде</w:t>
      </w:r>
      <w:r w:rsidRPr="00BE0675">
        <w:rPr>
          <w:b/>
          <w:bCs/>
        </w:rPr>
        <w:t>й</w:t>
      </w:r>
      <w:r w:rsidRPr="00BE0675">
        <w:rPr>
          <w:b/>
          <w:bCs/>
        </w:rPr>
        <w:t>ствия в целях борьбы с сексуальной и трудовой эксплуатацией детей, то</w:t>
      </w:r>
      <w:r w:rsidRPr="00BE0675">
        <w:rPr>
          <w:b/>
          <w:bCs/>
        </w:rPr>
        <w:t>р</w:t>
      </w:r>
      <w:r w:rsidRPr="00BE0675">
        <w:rPr>
          <w:b/>
          <w:bCs/>
        </w:rPr>
        <w:t>говлей детьми, их похищением и контрабандой;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</w:r>
      <w:proofErr w:type="gramStart"/>
      <w:r w:rsidRPr="00BE0675">
        <w:rPr>
          <w:b/>
        </w:rPr>
        <w:t>b)</w:t>
      </w:r>
      <w:r w:rsidRPr="00BE0675">
        <w:rPr>
          <w:b/>
        </w:rPr>
        <w:tab/>
      </w:r>
      <w:r w:rsidRPr="00BE0675">
        <w:rPr>
          <w:b/>
          <w:bCs/>
        </w:rPr>
        <w:t xml:space="preserve">включить в план действий меры, конкретно ориентированные на детей, находящихся в уязвимом и </w:t>
      </w:r>
      <w:proofErr w:type="spellStart"/>
      <w:r w:rsidRPr="00BE0675">
        <w:rPr>
          <w:b/>
          <w:bCs/>
        </w:rPr>
        <w:t>маргинализованном</w:t>
      </w:r>
      <w:proofErr w:type="spellEnd"/>
      <w:r w:rsidRPr="00BE0675">
        <w:rPr>
          <w:b/>
          <w:bCs/>
        </w:rPr>
        <w:t xml:space="preserve"> положении, включая детей, принадлежащих к этническим меньшинствам, детей, п</w:t>
      </w:r>
      <w:r w:rsidRPr="00BE0675">
        <w:rPr>
          <w:b/>
          <w:bCs/>
        </w:rPr>
        <w:t>о</w:t>
      </w:r>
      <w:r w:rsidRPr="00BE0675">
        <w:rPr>
          <w:b/>
          <w:bCs/>
        </w:rPr>
        <w:t>мещенных в специальные учреждения, безнадзорных детей, детей-инвалидов, детей, затронутых миграцией, детей</w:t>
      </w:r>
      <w:r w:rsidR="0058171A">
        <w:rPr>
          <w:b/>
          <w:bCs/>
        </w:rPr>
        <w:t xml:space="preserve"> – </w:t>
      </w:r>
      <w:r w:rsidRPr="00BE0675">
        <w:rPr>
          <w:b/>
          <w:bCs/>
        </w:rPr>
        <w:t>просителей убежища и детей-беженцев, детей, являющихся гражданами других стран, и девочек, ставших жертвами бытового насилия;</w:t>
      </w:r>
      <w:proofErr w:type="gramEnd"/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c)</w:t>
      </w:r>
      <w:r w:rsidRPr="00BE0675">
        <w:rPr>
          <w:b/>
        </w:rPr>
        <w:tab/>
      </w:r>
      <w:r w:rsidRPr="00BE0675">
        <w:rPr>
          <w:b/>
          <w:bCs/>
        </w:rPr>
        <w:t>обеспечивать расследование всех случаев сексуальной и труд</w:t>
      </w:r>
      <w:r w:rsidRPr="00BE0675">
        <w:rPr>
          <w:b/>
          <w:bCs/>
        </w:rPr>
        <w:t>о</w:t>
      </w:r>
      <w:r w:rsidRPr="00BE0675">
        <w:rPr>
          <w:b/>
          <w:bCs/>
        </w:rPr>
        <w:t>вой эксплуатации детей, торговли детьми, их похищения и контрабанды, а</w:t>
      </w:r>
      <w:r w:rsidR="00BE0675">
        <w:rPr>
          <w:b/>
          <w:bCs/>
        </w:rPr>
        <w:t> </w:t>
      </w:r>
      <w:r w:rsidRPr="00BE0675">
        <w:rPr>
          <w:b/>
          <w:bCs/>
        </w:rPr>
        <w:t>также судебное преследование и наказание виновных;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d)</w:t>
      </w:r>
      <w:r w:rsidRPr="00BE0675">
        <w:rPr>
          <w:b/>
        </w:rPr>
        <w:tab/>
      </w:r>
      <w:r w:rsidRPr="00BE0675">
        <w:rPr>
          <w:b/>
          <w:bCs/>
        </w:rPr>
        <w:t>обеспечивать детям, ставшим жертвами сексуальной эксплу</w:t>
      </w:r>
      <w:r w:rsidRPr="00BE0675">
        <w:rPr>
          <w:b/>
          <w:bCs/>
        </w:rPr>
        <w:t>а</w:t>
      </w:r>
      <w:r w:rsidRPr="00BE0675">
        <w:rPr>
          <w:b/>
          <w:bCs/>
        </w:rPr>
        <w:t>тации, торговли, похищения и контрабанды, защиту и доступ к надлеж</w:t>
      </w:r>
      <w:r w:rsidRPr="00BE0675">
        <w:rPr>
          <w:b/>
          <w:bCs/>
        </w:rPr>
        <w:t>а</w:t>
      </w:r>
      <w:r w:rsidRPr="00BE0675">
        <w:rPr>
          <w:b/>
          <w:bCs/>
        </w:rPr>
        <w:t xml:space="preserve">щим услугам и программам по реабилитации и социальной </w:t>
      </w:r>
      <w:proofErr w:type="spellStart"/>
      <w:r w:rsidRPr="00BE0675">
        <w:rPr>
          <w:b/>
          <w:bCs/>
        </w:rPr>
        <w:t>реинтеграции</w:t>
      </w:r>
      <w:proofErr w:type="spellEnd"/>
      <w:r w:rsidRPr="00BE0675">
        <w:rPr>
          <w:b/>
          <w:bCs/>
        </w:rPr>
        <w:t>.</w:t>
      </w:r>
    </w:p>
    <w:p w:rsidR="0077565D" w:rsidRPr="0077565D" w:rsidRDefault="0077565D" w:rsidP="003A222D">
      <w:pPr>
        <w:pStyle w:val="H23GR"/>
      </w:pPr>
      <w:r w:rsidRPr="0077565D">
        <w:tab/>
      </w:r>
      <w:r w:rsidRPr="0077565D">
        <w:tab/>
        <w:t xml:space="preserve">Отправление правосудия по делам несовершеннолетних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43.</w:t>
      </w:r>
      <w:r w:rsidRPr="0077565D">
        <w:tab/>
      </w:r>
      <w:r w:rsidRPr="0077565D">
        <w:rPr>
          <w:b/>
        </w:rPr>
        <w:t>В свете своего замечания</w:t>
      </w:r>
      <w:r w:rsidRPr="0077565D">
        <w:rPr>
          <w:b/>
          <w:bCs/>
        </w:rPr>
        <w:t xml:space="preserve"> общего порядка № 10 (2007) о правах детей в рамках отправления правосудия в отношении несовершеннолетних К</w:t>
      </w:r>
      <w:r w:rsidRPr="0077565D">
        <w:rPr>
          <w:b/>
          <w:bCs/>
        </w:rPr>
        <w:t>о</w:t>
      </w:r>
      <w:r w:rsidRPr="0077565D">
        <w:rPr>
          <w:b/>
          <w:bCs/>
        </w:rPr>
        <w:t>митет рекомендует государству-участнику: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а)</w:t>
      </w:r>
      <w:r w:rsidRPr="00BE0675">
        <w:rPr>
          <w:b/>
        </w:rPr>
        <w:tab/>
      </w:r>
      <w:r w:rsidRPr="00BE0675">
        <w:rPr>
          <w:b/>
          <w:bCs/>
        </w:rPr>
        <w:t xml:space="preserve">гарантировать выделение надлежащих людских, технических и финансовых ресурсов для функционирования </w:t>
      </w:r>
      <w:r w:rsidRPr="00BE0675">
        <w:rPr>
          <w:b/>
          <w:bCs/>
          <w:spacing w:val="2"/>
        </w:rPr>
        <w:t>специальных судов по делам несовершеннолетних и обеспечить прохождение соответствующими специ</w:t>
      </w:r>
      <w:r w:rsidRPr="00BE0675">
        <w:rPr>
          <w:b/>
          <w:bCs/>
          <w:spacing w:val="2"/>
        </w:rPr>
        <w:t>а</w:t>
      </w:r>
      <w:r w:rsidRPr="00BE0675">
        <w:rPr>
          <w:b/>
          <w:bCs/>
          <w:spacing w:val="2"/>
        </w:rPr>
        <w:t xml:space="preserve">листами систематических курсов повышения </w:t>
      </w:r>
      <w:r w:rsidRPr="00BE0675">
        <w:rPr>
          <w:b/>
          <w:bCs/>
        </w:rPr>
        <w:t>квалификации и подготовки;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b)</w:t>
      </w:r>
      <w:r w:rsidRPr="00BE0675">
        <w:rPr>
          <w:b/>
        </w:rPr>
        <w:tab/>
      </w:r>
      <w:r w:rsidRPr="00BE0675">
        <w:rPr>
          <w:b/>
          <w:bCs/>
        </w:rPr>
        <w:t>продолжать поощрять использование мер, альтернативных з</w:t>
      </w:r>
      <w:r w:rsidRPr="00BE0675">
        <w:rPr>
          <w:b/>
          <w:bCs/>
        </w:rPr>
        <w:t>а</w:t>
      </w:r>
      <w:r w:rsidRPr="00BE0675">
        <w:rPr>
          <w:b/>
          <w:bCs/>
        </w:rPr>
        <w:t>ключению под стражу, и обеспечить наличие достаточных возможностей для использования таких механизмов, как общественные работы и посре</w:t>
      </w:r>
      <w:r w:rsidRPr="00BE0675">
        <w:rPr>
          <w:b/>
          <w:bCs/>
        </w:rPr>
        <w:t>д</w:t>
      </w:r>
      <w:r w:rsidRPr="00BE0675">
        <w:rPr>
          <w:b/>
          <w:bCs/>
        </w:rPr>
        <w:t>ничество;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c)</w:t>
      </w:r>
      <w:r w:rsidRPr="00BE0675">
        <w:rPr>
          <w:b/>
        </w:rPr>
        <w:tab/>
      </w:r>
      <w:r w:rsidRPr="00BE0675">
        <w:rPr>
          <w:b/>
          <w:bCs/>
        </w:rPr>
        <w:t xml:space="preserve">обратиться за технической помощью </w:t>
      </w:r>
      <w:proofErr w:type="gramStart"/>
      <w:r w:rsidRPr="00BE0675">
        <w:rPr>
          <w:b/>
          <w:bCs/>
        </w:rPr>
        <w:t>к</w:t>
      </w:r>
      <w:proofErr w:type="gramEnd"/>
      <w:r w:rsidRPr="00BE0675">
        <w:rPr>
          <w:b/>
          <w:bCs/>
        </w:rPr>
        <w:t>, в частности, ЮНИСЕФ.</w:t>
      </w:r>
      <w:r w:rsidRPr="00BE0675">
        <w:rPr>
          <w:b/>
        </w:rPr>
        <w:t xml:space="preserve"> </w:t>
      </w:r>
    </w:p>
    <w:p w:rsidR="0077565D" w:rsidRPr="0077565D" w:rsidRDefault="0077565D" w:rsidP="003A222D">
      <w:pPr>
        <w:pStyle w:val="H23GR"/>
      </w:pPr>
      <w:r w:rsidRPr="0077565D">
        <w:tab/>
      </w:r>
      <w:r w:rsidRPr="0077565D">
        <w:tab/>
        <w:t>Дети, ставшие жертвами и свидетелями преступлений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44.</w:t>
      </w:r>
      <w:r w:rsidRPr="0077565D">
        <w:tab/>
      </w:r>
      <w:r w:rsidRPr="0077565D">
        <w:rPr>
          <w:b/>
          <w:bCs/>
        </w:rPr>
        <w:t>Комитет рекомендует государству-участнику обеспечить наличие на практике достаточного количества специалистов, включая детских псих</w:t>
      </w:r>
      <w:r w:rsidRPr="0077565D">
        <w:rPr>
          <w:b/>
          <w:bCs/>
        </w:rPr>
        <w:t>о</w:t>
      </w:r>
      <w:r w:rsidRPr="0077565D">
        <w:rPr>
          <w:b/>
          <w:bCs/>
        </w:rPr>
        <w:t>логов и психиатров, для оказания поддержки детям, ставшим жертвами или свидетелями преступлений.</w:t>
      </w:r>
    </w:p>
    <w:p w:rsidR="0077565D" w:rsidRPr="0077565D" w:rsidRDefault="0077565D" w:rsidP="003A222D">
      <w:pPr>
        <w:pStyle w:val="H1GR"/>
      </w:pPr>
      <w:r w:rsidRPr="0077565D">
        <w:tab/>
        <w:t>I.</w:t>
      </w:r>
      <w:r w:rsidRPr="0077565D">
        <w:tab/>
        <w:t>Ратификация международных договоров по правам человека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45.</w:t>
      </w:r>
      <w:r w:rsidRPr="0077565D">
        <w:tab/>
      </w:r>
      <w:r w:rsidRPr="0077565D">
        <w:rPr>
          <w:b/>
        </w:rPr>
        <w:t>В целях дальнейшего укрепления работы по осуществлению прав д</w:t>
      </w:r>
      <w:r w:rsidRPr="0077565D">
        <w:rPr>
          <w:b/>
        </w:rPr>
        <w:t>е</w:t>
      </w:r>
      <w:r w:rsidRPr="0077565D">
        <w:rPr>
          <w:b/>
        </w:rPr>
        <w:t>тей Комитет рекомендует государству-участнику рассмотреть вопрос о р</w:t>
      </w:r>
      <w:r w:rsidRPr="0077565D">
        <w:rPr>
          <w:b/>
        </w:rPr>
        <w:t>а</w:t>
      </w:r>
      <w:r w:rsidRPr="0077565D">
        <w:rPr>
          <w:b/>
        </w:rPr>
        <w:t>тификации</w:t>
      </w:r>
      <w:r w:rsidRPr="0077565D">
        <w:rPr>
          <w:b/>
          <w:bCs/>
        </w:rPr>
        <w:t xml:space="preserve"> следующих основных договоров по правам человека, участн</w:t>
      </w:r>
      <w:r w:rsidRPr="0077565D">
        <w:rPr>
          <w:b/>
          <w:bCs/>
        </w:rPr>
        <w:t>и</w:t>
      </w:r>
      <w:r w:rsidRPr="0077565D">
        <w:rPr>
          <w:b/>
          <w:bCs/>
        </w:rPr>
        <w:t>ком которых оно еще не является: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а)</w:t>
      </w:r>
      <w:r w:rsidRPr="00BE0675">
        <w:rPr>
          <w:b/>
        </w:rPr>
        <w:tab/>
      </w:r>
      <w:r w:rsidRPr="00BE0675">
        <w:rPr>
          <w:b/>
          <w:bCs/>
        </w:rPr>
        <w:t>Международной конвенции о защите прав всех трудящихся-мигрантов и членов их семей;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lastRenderedPageBreak/>
        <w:tab/>
        <w:t>b)</w:t>
      </w:r>
      <w:r w:rsidRPr="00BE0675">
        <w:rPr>
          <w:b/>
        </w:rPr>
        <w:tab/>
      </w:r>
      <w:r w:rsidRPr="00BE0675">
        <w:rPr>
          <w:b/>
          <w:bCs/>
        </w:rPr>
        <w:t>Международной конвенции для защиты всех лиц от насил</w:t>
      </w:r>
      <w:r w:rsidRPr="00BE0675">
        <w:rPr>
          <w:b/>
          <w:bCs/>
        </w:rPr>
        <w:t>ь</w:t>
      </w:r>
      <w:r w:rsidRPr="00BE0675">
        <w:rPr>
          <w:b/>
          <w:bCs/>
        </w:rPr>
        <w:t>ственных исчезновений;</w:t>
      </w:r>
    </w:p>
    <w:p w:rsidR="0077565D" w:rsidRPr="00BE0675" w:rsidRDefault="0077565D" w:rsidP="0077565D">
      <w:pPr>
        <w:pStyle w:val="SingleTxtGR"/>
        <w:rPr>
          <w:b/>
          <w:bCs/>
        </w:rPr>
      </w:pPr>
      <w:r w:rsidRPr="00BE0675">
        <w:rPr>
          <w:b/>
        </w:rPr>
        <w:tab/>
        <w:t>c)</w:t>
      </w:r>
      <w:r w:rsidRPr="00BE0675">
        <w:rPr>
          <w:b/>
        </w:rPr>
        <w:tab/>
      </w:r>
      <w:r w:rsidRPr="00BE0675">
        <w:rPr>
          <w:b/>
          <w:bCs/>
        </w:rPr>
        <w:t>Факультативного протокола к Конвенции о правах инвалидов.</w:t>
      </w:r>
    </w:p>
    <w:p w:rsidR="0077565D" w:rsidRPr="0077565D" w:rsidRDefault="0077565D" w:rsidP="003A222D">
      <w:pPr>
        <w:pStyle w:val="HChGR"/>
      </w:pPr>
      <w:r w:rsidRPr="0077565D">
        <w:tab/>
        <w:t>V.</w:t>
      </w:r>
      <w:r w:rsidRPr="0077565D">
        <w:tab/>
        <w:t>Осуществление и представление докладов</w:t>
      </w:r>
    </w:p>
    <w:p w:rsidR="0077565D" w:rsidRPr="0077565D" w:rsidRDefault="0077565D" w:rsidP="003A222D">
      <w:pPr>
        <w:pStyle w:val="H1GR"/>
      </w:pPr>
      <w:r w:rsidRPr="0077565D">
        <w:tab/>
        <w:t>A.</w:t>
      </w:r>
      <w:r w:rsidRPr="0077565D">
        <w:tab/>
        <w:t>Последующие меры и распространение информации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46.</w:t>
      </w:r>
      <w:r w:rsidRPr="0077565D">
        <w:tab/>
      </w:r>
      <w:r w:rsidRPr="0077565D">
        <w:rPr>
          <w:b/>
        </w:rPr>
        <w:t>Комитет рекомендует государству-участнику принять все надлеж</w:t>
      </w:r>
      <w:r w:rsidRPr="0077565D">
        <w:rPr>
          <w:b/>
        </w:rPr>
        <w:t>а</w:t>
      </w:r>
      <w:r w:rsidRPr="0077565D">
        <w:rPr>
          <w:b/>
        </w:rPr>
        <w:t>щие меры для обеспечения выполнения в полном объеме рекомендаций, содержащихся в настоящих заключительных замечаниях. Комитет также рекомендует обеспечить широкое распространение на используемых в стране языках четвертого периодического доклада, письменных ответов государства-участника на перечень вопросов и настоящих заключител</w:t>
      </w:r>
      <w:r w:rsidRPr="0077565D">
        <w:rPr>
          <w:b/>
        </w:rPr>
        <w:t>ь</w:t>
      </w:r>
      <w:r w:rsidRPr="0077565D">
        <w:rPr>
          <w:b/>
        </w:rPr>
        <w:t>ных замечаний.</w:t>
      </w:r>
    </w:p>
    <w:p w:rsidR="0077565D" w:rsidRPr="0077565D" w:rsidRDefault="0077565D" w:rsidP="003A222D">
      <w:pPr>
        <w:pStyle w:val="H1GR"/>
      </w:pPr>
      <w:r w:rsidRPr="0077565D">
        <w:tab/>
        <w:t>B.</w:t>
      </w:r>
      <w:r w:rsidRPr="0077565D">
        <w:tab/>
        <w:t xml:space="preserve">Следующий доклад </w:t>
      </w:r>
    </w:p>
    <w:p w:rsidR="0077565D" w:rsidRPr="0077565D" w:rsidRDefault="0077565D" w:rsidP="0077565D">
      <w:pPr>
        <w:pStyle w:val="SingleTxtGR"/>
        <w:rPr>
          <w:b/>
          <w:bCs/>
        </w:rPr>
      </w:pPr>
      <w:r w:rsidRPr="0077565D">
        <w:t>47.</w:t>
      </w:r>
      <w:r w:rsidRPr="0077565D">
        <w:tab/>
      </w:r>
      <w:r w:rsidRPr="0077565D">
        <w:rPr>
          <w:b/>
          <w:bCs/>
        </w:rPr>
        <w:t>Комитет предлагает государству-участнику представить свои об</w:t>
      </w:r>
      <w:r w:rsidRPr="0077565D">
        <w:rPr>
          <w:b/>
          <w:bCs/>
        </w:rPr>
        <w:t>ъ</w:t>
      </w:r>
      <w:r w:rsidRPr="0077565D">
        <w:rPr>
          <w:b/>
          <w:bCs/>
        </w:rPr>
        <w:t xml:space="preserve">единенные пятый и шестой периодические доклады к 1 июля 2022 года и </w:t>
      </w:r>
      <w:r w:rsidRPr="0077565D">
        <w:rPr>
          <w:b/>
        </w:rPr>
        <w:t>включить в них информацию о принятии последующих мер в связи с настоящими заключительными замечаниями. Доклад должен быть соста</w:t>
      </w:r>
      <w:r w:rsidRPr="0077565D">
        <w:rPr>
          <w:b/>
        </w:rPr>
        <w:t>в</w:t>
      </w:r>
      <w:r w:rsidRPr="0077565D">
        <w:rPr>
          <w:b/>
        </w:rPr>
        <w:t>лен с соблюдением согласованных Комитетом руководящих принципов подготовки докладов по конкретным договорам, принятых 31 января 2014</w:t>
      </w:r>
      <w:r w:rsidR="00BE0675">
        <w:rPr>
          <w:b/>
        </w:rPr>
        <w:t> </w:t>
      </w:r>
      <w:r w:rsidRPr="0077565D">
        <w:rPr>
          <w:b/>
        </w:rPr>
        <w:t>года (CRC/C/58/Rev.3), а его объем не должен превышать 21 200 слов (см. пункт 16 резолюции 68/268 Генеральной Ассамблеи). В случае пре</w:t>
      </w:r>
      <w:r w:rsidRPr="0077565D">
        <w:rPr>
          <w:b/>
        </w:rPr>
        <w:t>д</w:t>
      </w:r>
      <w:r w:rsidRPr="0077565D">
        <w:rPr>
          <w:b/>
        </w:rPr>
        <w:t>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</w:t>
      </w:r>
      <w:r w:rsidRPr="0077565D">
        <w:rPr>
          <w:b/>
        </w:rPr>
        <w:t>а</w:t>
      </w:r>
      <w:r w:rsidRPr="0077565D">
        <w:rPr>
          <w:b/>
        </w:rPr>
        <w:t>ном не может быть гарантирован.</w:t>
      </w:r>
      <w:r w:rsidRPr="0077565D">
        <w:rPr>
          <w:b/>
          <w:bCs/>
        </w:rPr>
        <w:t xml:space="preserve"> </w:t>
      </w:r>
    </w:p>
    <w:p w:rsidR="00381C24" w:rsidRPr="00BE0675" w:rsidRDefault="0077565D" w:rsidP="0077565D">
      <w:pPr>
        <w:pStyle w:val="SingleTxtGR"/>
        <w:rPr>
          <w:b/>
        </w:rPr>
      </w:pPr>
      <w:r w:rsidRPr="0077565D">
        <w:t>48.</w:t>
      </w:r>
      <w:r w:rsidRPr="0077565D">
        <w:tab/>
      </w:r>
      <w:proofErr w:type="gramStart"/>
      <w:r w:rsidRPr="0077565D">
        <w:rPr>
          <w:b/>
        </w:rPr>
        <w:t>Комитет</w:t>
      </w:r>
      <w:r w:rsidRPr="00BE0675">
        <w:rPr>
          <w:b/>
          <w:spacing w:val="2"/>
        </w:rPr>
        <w:t xml:space="preserve"> также предлагает государству-участнику представить обно</w:t>
      </w:r>
      <w:r w:rsidRPr="00BE0675">
        <w:rPr>
          <w:b/>
          <w:spacing w:val="2"/>
        </w:rPr>
        <w:t>в</w:t>
      </w:r>
      <w:r w:rsidRPr="00BE0675">
        <w:rPr>
          <w:b/>
          <w:spacing w:val="2"/>
        </w:rPr>
        <w:t xml:space="preserve">ленный общий базовый документ, не превышающий по объему 42 400 </w:t>
      </w:r>
      <w:r w:rsidRPr="0077565D">
        <w:rPr>
          <w:b/>
        </w:rPr>
        <w:t>слов, в</w:t>
      </w:r>
      <w:r w:rsidR="00BE0675">
        <w:rPr>
          <w:b/>
        </w:rPr>
        <w:t> </w:t>
      </w:r>
      <w:r w:rsidRPr="0077565D">
        <w:rPr>
          <w:b/>
        </w:rPr>
        <w:t>соответствии с требованиями к общему базовому документу, содержащ</w:t>
      </w:r>
      <w:r w:rsidRPr="0077565D">
        <w:rPr>
          <w:b/>
        </w:rPr>
        <w:t>и</w:t>
      </w:r>
      <w:r w:rsidRPr="0077565D">
        <w:rPr>
          <w:b/>
        </w:rPr>
        <w:t>мися в согласованных руководящих принципах представления докладов по международным договорам по правам человека, в том числе в руковод</w:t>
      </w:r>
      <w:r w:rsidRPr="0077565D">
        <w:rPr>
          <w:b/>
        </w:rPr>
        <w:t>я</w:t>
      </w:r>
      <w:r w:rsidRPr="0077565D">
        <w:rPr>
          <w:b/>
        </w:rPr>
        <w:t>щих принципах подготовки общего базового документа и документов по конкретным договорам (HRI/GEN/2/Rev.6, глава I), и</w:t>
      </w:r>
      <w:proofErr w:type="gramEnd"/>
      <w:r w:rsidRPr="0077565D">
        <w:rPr>
          <w:b/>
        </w:rPr>
        <w:t xml:space="preserve"> в соответствии с пунктом 16 резолюции 68/268 Генеральной Ассамблеи.</w:t>
      </w:r>
    </w:p>
    <w:p w:rsidR="0077565D" w:rsidRPr="003A222D" w:rsidRDefault="0077565D" w:rsidP="0077565D">
      <w:pPr>
        <w:pStyle w:val="SingleTxtGR"/>
        <w:spacing w:before="240" w:after="0"/>
        <w:jc w:val="center"/>
        <w:rPr>
          <w:u w:val="single"/>
        </w:rPr>
      </w:pPr>
      <w:r w:rsidRPr="00BE0675">
        <w:rPr>
          <w:u w:val="single"/>
        </w:rPr>
        <w:tab/>
      </w:r>
      <w:r w:rsidRPr="00BE0675">
        <w:rPr>
          <w:u w:val="single"/>
        </w:rPr>
        <w:tab/>
      </w:r>
      <w:r w:rsidRPr="00BE0675">
        <w:rPr>
          <w:u w:val="single"/>
        </w:rPr>
        <w:tab/>
      </w:r>
    </w:p>
    <w:sectPr w:rsidR="0077565D" w:rsidRPr="003A222D" w:rsidSect="0063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5D" w:rsidRPr="00A312BC" w:rsidRDefault="0077565D" w:rsidP="00A312BC"/>
  </w:endnote>
  <w:endnote w:type="continuationSeparator" w:id="0">
    <w:p w:rsidR="0077565D" w:rsidRPr="00A312BC" w:rsidRDefault="007756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632C64" w:rsidRDefault="0077565D">
    <w:pPr>
      <w:pStyle w:val="a8"/>
    </w:pPr>
    <w:r w:rsidRPr="00632C64">
      <w:rPr>
        <w:b/>
        <w:sz w:val="18"/>
      </w:rPr>
      <w:fldChar w:fldCharType="begin"/>
    </w:r>
    <w:r w:rsidRPr="00632C64">
      <w:rPr>
        <w:b/>
        <w:sz w:val="18"/>
      </w:rPr>
      <w:instrText xml:space="preserve"> PAGE  \* MERGEFORMAT </w:instrText>
    </w:r>
    <w:r w:rsidRPr="00632C64">
      <w:rPr>
        <w:b/>
        <w:sz w:val="18"/>
      </w:rPr>
      <w:fldChar w:fldCharType="separate"/>
    </w:r>
    <w:r w:rsidR="003917E3">
      <w:rPr>
        <w:b/>
        <w:noProof/>
        <w:sz w:val="18"/>
      </w:rPr>
      <w:t>18</w:t>
    </w:r>
    <w:r w:rsidRPr="00632C64">
      <w:rPr>
        <w:b/>
        <w:sz w:val="18"/>
      </w:rPr>
      <w:fldChar w:fldCharType="end"/>
    </w:r>
    <w:r>
      <w:rPr>
        <w:b/>
        <w:sz w:val="18"/>
      </w:rPr>
      <w:tab/>
    </w:r>
    <w:r>
      <w:t>GE.17-03873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632C64" w:rsidRDefault="0077565D" w:rsidP="00632C64">
    <w:pPr>
      <w:pStyle w:val="a8"/>
      <w:tabs>
        <w:tab w:val="clear" w:pos="9639"/>
        <w:tab w:val="right" w:pos="9638"/>
      </w:tabs>
      <w:rPr>
        <w:b/>
        <w:sz w:val="18"/>
      </w:rPr>
    </w:pPr>
    <w:r>
      <w:t>GE.17-03873</w:t>
    </w:r>
    <w:r>
      <w:tab/>
    </w:r>
    <w:r w:rsidRPr="00632C64">
      <w:rPr>
        <w:b/>
        <w:sz w:val="18"/>
      </w:rPr>
      <w:fldChar w:fldCharType="begin"/>
    </w:r>
    <w:r w:rsidRPr="00632C64">
      <w:rPr>
        <w:b/>
        <w:sz w:val="18"/>
      </w:rPr>
      <w:instrText xml:space="preserve"> PAGE  \* MERGEFORMAT </w:instrText>
    </w:r>
    <w:r w:rsidRPr="00632C64">
      <w:rPr>
        <w:b/>
        <w:sz w:val="18"/>
      </w:rPr>
      <w:fldChar w:fldCharType="separate"/>
    </w:r>
    <w:r w:rsidR="003917E3">
      <w:rPr>
        <w:b/>
        <w:noProof/>
        <w:sz w:val="18"/>
      </w:rPr>
      <w:t>17</w:t>
    </w:r>
    <w:r w:rsidRPr="00632C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632C64" w:rsidRDefault="0077565D" w:rsidP="00632C64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EBDDD2F" wp14:editId="34DB30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17-03873  (R)</w:t>
    </w:r>
    <w:r w:rsidR="002949A8">
      <w:t xml:space="preserve">  310317  310317</w:t>
    </w:r>
    <w:r>
      <w:br/>
    </w:r>
    <w:r w:rsidRPr="00632C64">
      <w:rPr>
        <w:rFonts w:ascii="C39T30Lfz" w:hAnsi="C39T30Lfz"/>
        <w:spacing w:val="0"/>
        <w:w w:val="100"/>
        <w:sz w:val="56"/>
      </w:rPr>
      <w:t></w:t>
    </w:r>
    <w:r w:rsidRPr="00632C64">
      <w:rPr>
        <w:rFonts w:ascii="C39T30Lfz" w:hAnsi="C39T30Lfz"/>
        <w:spacing w:val="0"/>
        <w:w w:val="100"/>
        <w:sz w:val="56"/>
      </w:rPr>
      <w:t></w:t>
    </w:r>
    <w:r w:rsidRPr="00632C64">
      <w:rPr>
        <w:rFonts w:ascii="C39T30Lfz" w:hAnsi="C39T30Lfz"/>
        <w:spacing w:val="0"/>
        <w:w w:val="100"/>
        <w:sz w:val="56"/>
      </w:rPr>
      <w:t></w:t>
    </w:r>
    <w:r w:rsidRPr="00632C64">
      <w:rPr>
        <w:rFonts w:ascii="C39T30Lfz" w:hAnsi="C39T30Lfz"/>
        <w:spacing w:val="0"/>
        <w:w w:val="100"/>
        <w:sz w:val="56"/>
      </w:rPr>
      <w:t></w:t>
    </w:r>
    <w:r w:rsidRPr="00632C64">
      <w:rPr>
        <w:rFonts w:ascii="C39T30Lfz" w:hAnsi="C39T30Lfz"/>
        <w:spacing w:val="0"/>
        <w:w w:val="100"/>
        <w:sz w:val="56"/>
      </w:rPr>
      <w:t></w:t>
    </w:r>
    <w:r w:rsidRPr="00632C64">
      <w:rPr>
        <w:rFonts w:ascii="C39T30Lfz" w:hAnsi="C39T30Lfz"/>
        <w:spacing w:val="0"/>
        <w:w w:val="100"/>
        <w:sz w:val="56"/>
      </w:rPr>
      <w:t></w:t>
    </w:r>
    <w:r w:rsidRPr="00632C64">
      <w:rPr>
        <w:rFonts w:ascii="C39T30Lfz" w:hAnsi="C39T30Lfz"/>
        <w:spacing w:val="0"/>
        <w:w w:val="100"/>
        <w:sz w:val="56"/>
      </w:rPr>
      <w:t></w:t>
    </w:r>
    <w:r w:rsidRPr="00632C64">
      <w:rPr>
        <w:rFonts w:ascii="C39T30Lfz" w:hAnsi="C39T30Lfz"/>
        <w:spacing w:val="0"/>
        <w:w w:val="100"/>
        <w:sz w:val="56"/>
      </w:rPr>
      <w:t></w:t>
    </w:r>
    <w:r w:rsidRPr="00632C6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C/C/GEO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GEO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5D" w:rsidRPr="001075E9" w:rsidRDefault="007756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565D" w:rsidRDefault="007756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565D" w:rsidRPr="0077565D" w:rsidRDefault="0077565D">
      <w:pPr>
        <w:pStyle w:val="ad"/>
        <w:rPr>
          <w:sz w:val="20"/>
          <w:lang w:val="ru-RU"/>
        </w:rPr>
      </w:pPr>
      <w:r>
        <w:tab/>
      </w:r>
      <w:r w:rsidRPr="0077565D">
        <w:rPr>
          <w:rStyle w:val="aa"/>
          <w:sz w:val="20"/>
          <w:vertAlign w:val="baseline"/>
          <w:lang w:val="ru-RU"/>
        </w:rPr>
        <w:t>*</w:t>
      </w:r>
      <w:r w:rsidRPr="0077565D">
        <w:rPr>
          <w:rStyle w:val="aa"/>
          <w:vertAlign w:val="baseline"/>
          <w:lang w:val="ru-RU"/>
        </w:rPr>
        <w:tab/>
      </w:r>
      <w:r w:rsidRPr="0077565D">
        <w:rPr>
          <w:lang w:val="ru-RU"/>
        </w:rPr>
        <w:t xml:space="preserve">Приняты Комитетом на его семьдесят четвертой сессии (16 января – 3 февраля </w:t>
      </w:r>
      <w:r w:rsidRPr="0077565D">
        <w:rPr>
          <w:lang w:val="ru-RU"/>
        </w:rPr>
        <w:br/>
        <w:t>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632C64" w:rsidRDefault="00473107">
    <w:pPr>
      <w:pStyle w:val="a5"/>
    </w:pPr>
    <w:fldSimple w:instr=" TITLE  \* MERGEFORMAT ">
      <w:r w:rsidR="003917E3">
        <w:t>CRC/C/GEO/CO/4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632C64" w:rsidRDefault="00473107" w:rsidP="00632C64">
    <w:pPr>
      <w:pStyle w:val="a5"/>
      <w:jc w:val="right"/>
    </w:pPr>
    <w:fldSimple w:instr=" TITLE  \* MERGEFORMAT ">
      <w:r w:rsidR="003917E3">
        <w:t>CRC/C/GEO/CO/4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8" w:rsidRDefault="002949A8" w:rsidP="007D60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E5"/>
    <w:rsid w:val="00033EE1"/>
    <w:rsid w:val="00042B72"/>
    <w:rsid w:val="000558BD"/>
    <w:rsid w:val="00075EE6"/>
    <w:rsid w:val="000A2913"/>
    <w:rsid w:val="000B57E7"/>
    <w:rsid w:val="000B6373"/>
    <w:rsid w:val="000D04D2"/>
    <w:rsid w:val="000F09DF"/>
    <w:rsid w:val="000F61B2"/>
    <w:rsid w:val="001075E9"/>
    <w:rsid w:val="0011585E"/>
    <w:rsid w:val="00180183"/>
    <w:rsid w:val="0018024D"/>
    <w:rsid w:val="00180D95"/>
    <w:rsid w:val="00185D19"/>
    <w:rsid w:val="0018649F"/>
    <w:rsid w:val="00196389"/>
    <w:rsid w:val="001B3EF6"/>
    <w:rsid w:val="001C7A89"/>
    <w:rsid w:val="001D44E1"/>
    <w:rsid w:val="00284D66"/>
    <w:rsid w:val="002949A8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17E3"/>
    <w:rsid w:val="003958D0"/>
    <w:rsid w:val="003A222D"/>
    <w:rsid w:val="003B00E5"/>
    <w:rsid w:val="00407B78"/>
    <w:rsid w:val="00424203"/>
    <w:rsid w:val="00452493"/>
    <w:rsid w:val="00453318"/>
    <w:rsid w:val="00454E07"/>
    <w:rsid w:val="00472C5C"/>
    <w:rsid w:val="00473107"/>
    <w:rsid w:val="004A0A74"/>
    <w:rsid w:val="0050108D"/>
    <w:rsid w:val="00513081"/>
    <w:rsid w:val="00517901"/>
    <w:rsid w:val="00526683"/>
    <w:rsid w:val="005426A5"/>
    <w:rsid w:val="005709E0"/>
    <w:rsid w:val="00572E19"/>
    <w:rsid w:val="0058171A"/>
    <w:rsid w:val="00582175"/>
    <w:rsid w:val="005961C8"/>
    <w:rsid w:val="005B1C66"/>
    <w:rsid w:val="005D7914"/>
    <w:rsid w:val="005E2B41"/>
    <w:rsid w:val="005F0B42"/>
    <w:rsid w:val="0061643C"/>
    <w:rsid w:val="00632C64"/>
    <w:rsid w:val="00681A10"/>
    <w:rsid w:val="006A1ED8"/>
    <w:rsid w:val="006C2031"/>
    <w:rsid w:val="006D461A"/>
    <w:rsid w:val="006E76A8"/>
    <w:rsid w:val="006F35EE"/>
    <w:rsid w:val="007021FF"/>
    <w:rsid w:val="00712895"/>
    <w:rsid w:val="00757357"/>
    <w:rsid w:val="0077565D"/>
    <w:rsid w:val="007B4656"/>
    <w:rsid w:val="007D601F"/>
    <w:rsid w:val="00806737"/>
    <w:rsid w:val="00825F8D"/>
    <w:rsid w:val="00834B71"/>
    <w:rsid w:val="0086445C"/>
    <w:rsid w:val="00874CFA"/>
    <w:rsid w:val="00894693"/>
    <w:rsid w:val="008A08D7"/>
    <w:rsid w:val="008B3E0F"/>
    <w:rsid w:val="008B6909"/>
    <w:rsid w:val="008F67B6"/>
    <w:rsid w:val="00906890"/>
    <w:rsid w:val="00911BE4"/>
    <w:rsid w:val="00951972"/>
    <w:rsid w:val="009608F3"/>
    <w:rsid w:val="009A24AC"/>
    <w:rsid w:val="009A392D"/>
    <w:rsid w:val="009E1C22"/>
    <w:rsid w:val="00A10705"/>
    <w:rsid w:val="00A14DA8"/>
    <w:rsid w:val="00A312BC"/>
    <w:rsid w:val="00A831E5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C4E08"/>
    <w:rsid w:val="00BD33EE"/>
    <w:rsid w:val="00BE0675"/>
    <w:rsid w:val="00C106D6"/>
    <w:rsid w:val="00C3299D"/>
    <w:rsid w:val="00C50E1B"/>
    <w:rsid w:val="00C60F0C"/>
    <w:rsid w:val="00C805C9"/>
    <w:rsid w:val="00C92939"/>
    <w:rsid w:val="00CA1679"/>
    <w:rsid w:val="00CB151C"/>
    <w:rsid w:val="00CE5A1A"/>
    <w:rsid w:val="00CF080B"/>
    <w:rsid w:val="00CF55F6"/>
    <w:rsid w:val="00D121D2"/>
    <w:rsid w:val="00D33D63"/>
    <w:rsid w:val="00D53C43"/>
    <w:rsid w:val="00D90028"/>
    <w:rsid w:val="00D90138"/>
    <w:rsid w:val="00DA7C33"/>
    <w:rsid w:val="00DD77B6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51D50"/>
    <w:rsid w:val="00F77AA4"/>
    <w:rsid w:val="00F94155"/>
    <w:rsid w:val="00F9783F"/>
    <w:rsid w:val="00FC71B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02A5-46A0-4F8B-9150-7F2BAB4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16</TotalTime>
  <Pages>18</Pages>
  <Words>6230</Words>
  <Characters>44337</Characters>
  <Application>Microsoft Office Word</Application>
  <DocSecurity>0</DocSecurity>
  <Lines>870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CRC/C/GEO/CO/4</vt:lpstr>
      <vt:lpstr>A/</vt:lpstr>
    </vt:vector>
  </TitlesOfParts>
  <Company>DCM</Company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CRC/C/GEO/CO/4</dc:title>
  <dc:creator>SHUVALOVA Natalia</dc:creator>
  <cp:lastModifiedBy>TPSRUS2</cp:lastModifiedBy>
  <cp:revision>9</cp:revision>
  <cp:lastPrinted>2017-03-31T15:29:00Z</cp:lastPrinted>
  <dcterms:created xsi:type="dcterms:W3CDTF">2017-03-31T14:53:00Z</dcterms:created>
  <dcterms:modified xsi:type="dcterms:W3CDTF">2017-03-31T15:33:00Z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