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14:paraId="4165FFBB" w14:textId="77777777" w:rsidTr="00B456A0">
        <w:trPr>
          <w:trHeight w:hRule="exact" w:val="810"/>
        </w:trPr>
        <w:tc>
          <w:tcPr>
            <w:tcW w:w="1266" w:type="dxa"/>
            <w:tcBorders>
              <w:top w:val="nil"/>
              <w:bottom w:val="single" w:sz="4" w:space="0" w:color="auto"/>
            </w:tcBorders>
            <w:shd w:val="clear" w:color="auto" w:fill="auto"/>
          </w:tcPr>
          <w:p w14:paraId="5D09034C" w14:textId="77777777" w:rsidR="006B3E27" w:rsidRPr="00983870" w:rsidRDefault="006B3E27" w:rsidP="00B456A0">
            <w:pPr>
              <w:bidi w:val="0"/>
              <w:jc w:val="right"/>
            </w:pPr>
          </w:p>
        </w:tc>
        <w:tc>
          <w:tcPr>
            <w:tcW w:w="4767" w:type="dxa"/>
            <w:tcBorders>
              <w:top w:val="nil"/>
              <w:bottom w:val="single" w:sz="4" w:space="0" w:color="auto"/>
            </w:tcBorders>
            <w:shd w:val="clear" w:color="auto" w:fill="auto"/>
            <w:vAlign w:val="bottom"/>
          </w:tcPr>
          <w:p w14:paraId="3DD075A4" w14:textId="77777777" w:rsidR="006B3E27" w:rsidRPr="00B456A0" w:rsidRDefault="006B3E27" w:rsidP="00B456A0">
            <w:pPr>
              <w:spacing w:after="80" w:line="480" w:lineRule="exact"/>
              <w:jc w:val="left"/>
              <w:rPr>
                <w:szCs w:val="40"/>
                <w:rtl/>
              </w:rPr>
            </w:pPr>
            <w:r w:rsidRPr="00B456A0">
              <w:rPr>
                <w:rFonts w:hint="cs"/>
                <w:szCs w:val="40"/>
                <w:rtl/>
              </w:rPr>
              <w:t>الأمم المتحدة</w:t>
            </w:r>
          </w:p>
        </w:tc>
        <w:tc>
          <w:tcPr>
            <w:tcW w:w="3598" w:type="dxa"/>
            <w:tcBorders>
              <w:top w:val="nil"/>
              <w:bottom w:val="single" w:sz="4" w:space="0" w:color="auto"/>
            </w:tcBorders>
            <w:shd w:val="clear" w:color="auto" w:fill="auto"/>
            <w:vAlign w:val="bottom"/>
          </w:tcPr>
          <w:p w14:paraId="013DF829" w14:textId="77777777" w:rsidR="006B3E27" w:rsidRPr="00B456A0" w:rsidRDefault="00FD7291" w:rsidP="00557E2C">
            <w:pPr>
              <w:bidi w:val="0"/>
              <w:spacing w:after="20"/>
              <w:jc w:val="left"/>
              <w:rPr>
                <w:szCs w:val="20"/>
              </w:rPr>
            </w:pPr>
            <w:r w:rsidRPr="00FD7291">
              <w:rPr>
                <w:sz w:val="40"/>
                <w:szCs w:val="20"/>
              </w:rPr>
              <w:t>CAT</w:t>
            </w:r>
            <w:r>
              <w:rPr>
                <w:szCs w:val="20"/>
              </w:rPr>
              <w:t>/C/BHR/QPR/</w:t>
            </w:r>
            <w:r w:rsidRPr="00557E2C">
              <w:rPr>
                <w:szCs w:val="20"/>
              </w:rPr>
              <w:t>4</w:t>
            </w:r>
          </w:p>
        </w:tc>
      </w:tr>
      <w:tr w:rsidR="006B3E27" w:rsidRPr="00DB7679" w14:paraId="5DD4553C" w14:textId="77777777" w:rsidTr="00B456A0">
        <w:trPr>
          <w:trHeight w:hRule="exact" w:val="2835"/>
        </w:trPr>
        <w:tc>
          <w:tcPr>
            <w:tcW w:w="1266" w:type="dxa"/>
            <w:tcBorders>
              <w:top w:val="nil"/>
              <w:bottom w:val="single" w:sz="12" w:space="0" w:color="auto"/>
            </w:tcBorders>
            <w:shd w:val="clear" w:color="auto" w:fill="auto"/>
          </w:tcPr>
          <w:p w14:paraId="011083AD" w14:textId="40164291" w:rsidR="006B3E27" w:rsidRPr="00DB7679" w:rsidRDefault="00A1111B" w:rsidP="00B456A0">
            <w:pPr>
              <w:jc w:val="center"/>
              <w:rPr>
                <w:rtl/>
              </w:rPr>
            </w:pPr>
            <w:r>
              <w:rPr>
                <w:noProof/>
                <w:rtl/>
              </w:rPr>
              <w:drawing>
                <wp:anchor distT="0" distB="0" distL="114300" distR="114300" simplePos="0" relativeHeight="251657728" behindDoc="1" locked="0" layoutInCell="1" allowOverlap="1" wp14:anchorId="0D7848B9" wp14:editId="558DE85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shd w:val="clear" w:color="auto" w:fill="auto"/>
          </w:tcPr>
          <w:p w14:paraId="71984183" w14:textId="77777777" w:rsidR="00A67AF5" w:rsidRPr="00B456A0" w:rsidRDefault="00817373" w:rsidP="00B456A0">
            <w:pPr>
              <w:spacing w:before="120" w:after="40" w:line="580" w:lineRule="exact"/>
              <w:rPr>
                <w:b/>
                <w:bCs/>
                <w:sz w:val="52"/>
                <w:szCs w:val="52"/>
              </w:rPr>
            </w:pPr>
            <w:r w:rsidRPr="00B456A0">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79162B3C" w14:textId="77777777" w:rsidR="006B3E27" w:rsidRDefault="00557E2C" w:rsidP="00557E2C">
            <w:pPr>
              <w:bidi w:val="0"/>
              <w:spacing w:before="240"/>
              <w:jc w:val="left"/>
            </w:pPr>
            <w:r>
              <w:t>Distr.: General</w:t>
            </w:r>
          </w:p>
          <w:p w14:paraId="628590B6" w14:textId="77777777" w:rsidR="00557E2C" w:rsidRDefault="00557E2C" w:rsidP="00557E2C">
            <w:pPr>
              <w:bidi w:val="0"/>
              <w:jc w:val="left"/>
            </w:pPr>
            <w:r w:rsidRPr="00557E2C">
              <w:rPr>
                <w:szCs w:val="20"/>
              </w:rPr>
              <w:t>2</w:t>
            </w:r>
            <w:r>
              <w:t xml:space="preserve"> June </w:t>
            </w:r>
            <w:r w:rsidRPr="00557E2C">
              <w:rPr>
                <w:szCs w:val="20"/>
              </w:rPr>
              <w:t>2020</w:t>
            </w:r>
          </w:p>
          <w:p w14:paraId="390D6FF5" w14:textId="77777777" w:rsidR="00557E2C" w:rsidRDefault="00557E2C" w:rsidP="00557E2C">
            <w:pPr>
              <w:bidi w:val="0"/>
              <w:jc w:val="left"/>
            </w:pPr>
            <w:r>
              <w:t>Arabic</w:t>
            </w:r>
          </w:p>
          <w:p w14:paraId="67990FD3" w14:textId="77777777" w:rsidR="00557E2C" w:rsidRDefault="00557E2C" w:rsidP="00557E2C">
            <w:pPr>
              <w:bidi w:val="0"/>
              <w:jc w:val="left"/>
            </w:pPr>
            <w:r>
              <w:t>Original: English</w:t>
            </w:r>
          </w:p>
          <w:p w14:paraId="538CDBAD" w14:textId="6DFB34F7" w:rsidR="00557E2C" w:rsidRPr="008B4BC6" w:rsidRDefault="00557E2C" w:rsidP="00557E2C">
            <w:pPr>
              <w:bidi w:val="0"/>
              <w:jc w:val="left"/>
            </w:pPr>
            <w:r>
              <w:t xml:space="preserve">Arabic, English, French and </w:t>
            </w:r>
            <w:r>
              <w:br/>
            </w:r>
            <w:r>
              <w:t>Spanish only</w:t>
            </w:r>
          </w:p>
        </w:tc>
      </w:tr>
    </w:tbl>
    <w:p w14:paraId="35D6D363" w14:textId="5646F64C" w:rsidR="00761849" w:rsidRPr="00557E2C" w:rsidRDefault="00557E2C" w:rsidP="00557E2C">
      <w:pPr>
        <w:spacing w:before="120" w:line="360" w:lineRule="exact"/>
        <w:rPr>
          <w:b/>
          <w:bCs/>
          <w:sz w:val="24"/>
          <w:szCs w:val="34"/>
          <w:rtl/>
        </w:rPr>
      </w:pPr>
      <w:r w:rsidRPr="00557E2C">
        <w:rPr>
          <w:rFonts w:hint="cs"/>
          <w:b/>
          <w:bCs/>
          <w:sz w:val="24"/>
          <w:szCs w:val="34"/>
          <w:rtl/>
        </w:rPr>
        <w:t>لجنة مناهضة التعذيب</w:t>
      </w:r>
    </w:p>
    <w:p w14:paraId="35A929CC" w14:textId="77777777" w:rsidR="00557E2C" w:rsidRPr="007D2EE3" w:rsidRDefault="00557E2C" w:rsidP="00557E2C">
      <w:pPr>
        <w:pStyle w:val="HChGA"/>
        <w:rPr>
          <w:rtl/>
        </w:rPr>
      </w:pPr>
      <w:r>
        <w:rPr>
          <w:rtl/>
          <w:lang w:bidi="ar-EG"/>
        </w:rPr>
        <w:tab/>
      </w:r>
      <w:r>
        <w:rPr>
          <w:rtl/>
          <w:lang w:bidi="ar-EG"/>
        </w:rPr>
        <w:tab/>
      </w:r>
      <w:r w:rsidRPr="007D2EE3">
        <w:rPr>
          <w:rFonts w:hint="cs"/>
          <w:rtl/>
          <w:lang w:bidi="ar-EG"/>
        </w:rPr>
        <w:t>قائمة المسائل المحالة قبل تقديم التقرير الدوري الرابع للبحرين</w:t>
      </w:r>
      <w:r w:rsidRPr="00C518D7">
        <w:rPr>
          <w:rStyle w:val="FootnoteReference"/>
          <w:sz w:val="20"/>
          <w:vertAlign w:val="baseline"/>
          <w:rtl/>
          <w:lang w:bidi="ar-EG"/>
        </w:rPr>
        <w:footnoteReference w:customMarkFollows="1" w:id="1"/>
        <w:t>*</w:t>
      </w:r>
    </w:p>
    <w:p w14:paraId="35B552BF" w14:textId="77777777" w:rsidR="00557E2C" w:rsidRPr="007D2EE3" w:rsidRDefault="00557E2C" w:rsidP="00557E2C">
      <w:pPr>
        <w:pStyle w:val="H1GA"/>
        <w:rPr>
          <w:rtl/>
          <w:lang w:bidi="ar-EG"/>
        </w:rPr>
      </w:pPr>
      <w:r>
        <w:rPr>
          <w:rtl/>
          <w:lang w:bidi="ar-EG"/>
        </w:rPr>
        <w:tab/>
      </w:r>
      <w:r>
        <w:rPr>
          <w:rtl/>
          <w:lang w:bidi="ar-EG"/>
        </w:rPr>
        <w:tab/>
      </w:r>
      <w:r w:rsidRPr="007D2EE3">
        <w:rPr>
          <w:rtl/>
          <w:lang w:bidi="ar-EG"/>
        </w:rPr>
        <w:t xml:space="preserve">معلومات محددة عن تنفيذ المواد </w:t>
      </w:r>
      <w:r w:rsidRPr="00557E2C">
        <w:rPr>
          <w:szCs w:val="24"/>
          <w:rtl/>
          <w:lang w:bidi="ar-EG"/>
        </w:rPr>
        <w:t>1</w:t>
      </w:r>
      <w:r w:rsidRPr="007D2EE3">
        <w:rPr>
          <w:rtl/>
          <w:lang w:bidi="ar-EG"/>
        </w:rPr>
        <w:t>-</w:t>
      </w:r>
      <w:r w:rsidRPr="00557E2C">
        <w:rPr>
          <w:szCs w:val="24"/>
          <w:rtl/>
          <w:lang w:bidi="ar-EG"/>
        </w:rPr>
        <w:t>16</w:t>
      </w:r>
      <w:r w:rsidRPr="007D2EE3">
        <w:rPr>
          <w:rtl/>
          <w:lang w:bidi="ar-EG"/>
        </w:rPr>
        <w:t xml:space="preserve"> من الاتفاقية، بما في ذلك المعلومات المتعلقة بالتوصيات السابقة ل</w:t>
      </w:r>
      <w:bookmarkStart w:id="0" w:name="_GoBack"/>
      <w:bookmarkEnd w:id="0"/>
      <w:r w:rsidRPr="007D2EE3">
        <w:rPr>
          <w:rtl/>
          <w:lang w:bidi="ar-EG"/>
        </w:rPr>
        <w:t>لجنة</w:t>
      </w:r>
    </w:p>
    <w:p w14:paraId="083448D9" w14:textId="77777777" w:rsidR="00557E2C" w:rsidRPr="00C518D7" w:rsidRDefault="00557E2C" w:rsidP="00557E2C">
      <w:pPr>
        <w:pStyle w:val="H23GA"/>
        <w:rPr>
          <w:rtl/>
          <w:lang w:bidi="ar-EG"/>
        </w:rPr>
      </w:pPr>
      <w:r>
        <w:rPr>
          <w:rtl/>
          <w:lang w:bidi="ar-EG"/>
        </w:rPr>
        <w:tab/>
      </w:r>
      <w:r>
        <w:rPr>
          <w:rtl/>
          <w:lang w:bidi="ar-EG"/>
        </w:rPr>
        <w:tab/>
      </w:r>
      <w:r w:rsidRPr="007D2EE3">
        <w:rPr>
          <w:rFonts w:hint="cs"/>
          <w:rtl/>
          <w:lang w:bidi="ar-EG"/>
        </w:rPr>
        <w:t xml:space="preserve">المسائل </w:t>
      </w:r>
      <w:r w:rsidRPr="007D2EE3">
        <w:rPr>
          <w:rtl/>
          <w:lang w:bidi="ar-EG"/>
        </w:rPr>
        <w:t>المحددة للمتابعة في الملاحظات الختامية السابقة</w:t>
      </w:r>
    </w:p>
    <w:p w14:paraId="47951C1E" w14:textId="0F9C6DD6" w:rsidR="00557E2C" w:rsidRDefault="00557E2C" w:rsidP="00557E2C">
      <w:pPr>
        <w:pStyle w:val="SingleTxtGA"/>
        <w:rPr>
          <w:rtl/>
          <w:lang w:bidi="ar-EG"/>
        </w:rPr>
      </w:pPr>
      <w:r w:rsidRPr="00557E2C">
        <w:rPr>
          <w:rFonts w:hint="cs"/>
          <w:szCs w:val="20"/>
          <w:rtl/>
          <w:lang w:bidi="ar-EG"/>
        </w:rPr>
        <w:t>1</w:t>
      </w:r>
      <w:r>
        <w:rPr>
          <w:rFonts w:hint="cs"/>
          <w:rtl/>
          <w:lang w:bidi="ar-EG"/>
        </w:rPr>
        <w:t>-</w:t>
      </w:r>
      <w:r>
        <w:rPr>
          <w:rtl/>
          <w:lang w:bidi="ar-EG"/>
        </w:rPr>
        <w:tab/>
      </w:r>
      <w:r>
        <w:rPr>
          <w:rFonts w:hint="cs"/>
          <w:rtl/>
          <w:lang w:bidi="ar-EG"/>
        </w:rPr>
        <w:t>في ملاحظاتها الختامية السابقة (</w:t>
      </w:r>
      <w:r w:rsidRPr="002B33F7">
        <w:t>CAT/C/BHR/CO/</w:t>
      </w:r>
      <w:r w:rsidRPr="00557E2C">
        <w:rPr>
          <w:szCs w:val="20"/>
        </w:rPr>
        <w:t>2</w:t>
      </w:r>
      <w:r w:rsidRPr="002B33F7">
        <w:t>-</w:t>
      </w:r>
      <w:r w:rsidRPr="00557E2C">
        <w:rPr>
          <w:szCs w:val="20"/>
        </w:rPr>
        <w:t>3</w:t>
      </w:r>
      <w:r>
        <w:rPr>
          <w:rFonts w:hint="cs"/>
          <w:rtl/>
          <w:lang w:bidi="ar-EG"/>
        </w:rPr>
        <w:t>)</w:t>
      </w:r>
      <w:r w:rsidRPr="00C518D7">
        <w:rPr>
          <w:rStyle w:val="FootnoteReference"/>
          <w:sz w:val="28"/>
          <w:rtl/>
        </w:rPr>
        <w:t>(</w:t>
      </w:r>
      <w:r w:rsidRPr="00557E2C">
        <w:rPr>
          <w:rStyle w:val="FootnoteReference"/>
          <w:rFonts w:cs="Times New Roman"/>
          <w:b w:val="0"/>
          <w:position w:val="4"/>
          <w:sz w:val="20"/>
          <w:szCs w:val="20"/>
        </w:rPr>
        <w:footnoteReference w:id="2"/>
      </w:r>
      <w:r w:rsidRPr="00C518D7">
        <w:rPr>
          <w:rStyle w:val="FootnoteReference"/>
          <w:sz w:val="28"/>
          <w:rtl/>
        </w:rPr>
        <w:t>)</w:t>
      </w:r>
      <w:r>
        <w:rPr>
          <w:rFonts w:hint="cs"/>
          <w:rtl/>
          <w:lang w:bidi="ar-EG"/>
        </w:rPr>
        <w:t xml:space="preserve">، طلبت اللجنة إلى الدولة الطرف أن تقدم معلومات عن متابعة توصيات اللجنة بشأن مسائل موضع اهتمام خاص، وتحديداً </w:t>
      </w:r>
      <w:r w:rsidRPr="004B40C9">
        <w:rPr>
          <w:rtl/>
          <w:lang w:bidi="ar-EG"/>
        </w:rPr>
        <w:t xml:space="preserve">بشأن </w:t>
      </w:r>
      <w:r>
        <w:rPr>
          <w:rFonts w:hint="cs"/>
          <w:rtl/>
          <w:lang w:bidi="ar-EG"/>
        </w:rPr>
        <w:t xml:space="preserve">الإسراع بإعادة إقرار </w:t>
      </w:r>
      <w:r w:rsidRPr="004B40C9">
        <w:rPr>
          <w:rtl/>
          <w:lang w:bidi="ar-EG"/>
        </w:rPr>
        <w:t xml:space="preserve">وقف </w:t>
      </w:r>
      <w:r>
        <w:rPr>
          <w:rFonts w:hint="cs"/>
          <w:rtl/>
          <w:lang w:bidi="ar-EG"/>
        </w:rPr>
        <w:t xml:space="preserve">استخدام </w:t>
      </w:r>
      <w:r w:rsidRPr="004B40C9">
        <w:rPr>
          <w:rtl/>
          <w:lang w:bidi="ar-EG"/>
        </w:rPr>
        <w:t>عقوبة الإعدام</w:t>
      </w:r>
      <w:r>
        <w:rPr>
          <w:rFonts w:hint="cs"/>
          <w:rtl/>
          <w:lang w:bidi="ar-EG"/>
        </w:rPr>
        <w:t>؛</w:t>
      </w:r>
      <w:r w:rsidRPr="004B40C9">
        <w:rPr>
          <w:rtl/>
          <w:lang w:bidi="ar-EG"/>
        </w:rPr>
        <w:t xml:space="preserve"> و</w:t>
      </w:r>
      <w:r>
        <w:rPr>
          <w:rFonts w:hint="cs"/>
          <w:rtl/>
          <w:lang w:bidi="ar-EG"/>
        </w:rPr>
        <w:t>السماح ل</w:t>
      </w:r>
      <w:r w:rsidRPr="004B40C9">
        <w:rPr>
          <w:rtl/>
          <w:lang w:bidi="ar-EG"/>
        </w:rPr>
        <w:t>هيئات</w:t>
      </w:r>
      <w:r>
        <w:rPr>
          <w:rFonts w:hint="cs"/>
          <w:rtl/>
          <w:lang w:bidi="ar-EG"/>
        </w:rPr>
        <w:t xml:space="preserve"> الرصد ال</w:t>
      </w:r>
      <w:r w:rsidRPr="004B40C9">
        <w:rPr>
          <w:rtl/>
          <w:lang w:bidi="ar-EG"/>
        </w:rPr>
        <w:t xml:space="preserve">مستقلة، بما فيها </w:t>
      </w:r>
      <w:r>
        <w:rPr>
          <w:rFonts w:hint="cs"/>
          <w:rtl/>
          <w:lang w:bidi="ar-EG"/>
        </w:rPr>
        <w:t>ال</w:t>
      </w:r>
      <w:r w:rsidRPr="004B40C9">
        <w:rPr>
          <w:rtl/>
          <w:lang w:bidi="ar-EG"/>
        </w:rPr>
        <w:t xml:space="preserve">هيئات </w:t>
      </w:r>
      <w:r>
        <w:rPr>
          <w:rFonts w:hint="cs"/>
          <w:rtl/>
          <w:lang w:bidi="ar-EG"/>
        </w:rPr>
        <w:t>ال</w:t>
      </w:r>
      <w:r w:rsidRPr="004B40C9">
        <w:rPr>
          <w:rtl/>
          <w:lang w:bidi="ar-EG"/>
        </w:rPr>
        <w:t xml:space="preserve">دولية، </w:t>
      </w:r>
      <w:r>
        <w:rPr>
          <w:rFonts w:hint="cs"/>
          <w:rtl/>
          <w:lang w:bidi="ar-EG"/>
        </w:rPr>
        <w:t xml:space="preserve">بإجراء </w:t>
      </w:r>
      <w:r w:rsidRPr="004B40C9">
        <w:rPr>
          <w:rtl/>
          <w:lang w:bidi="ar-EG"/>
        </w:rPr>
        <w:t xml:space="preserve">زيارات منتظمة </w:t>
      </w:r>
      <w:r>
        <w:rPr>
          <w:rFonts w:hint="cs"/>
          <w:rtl/>
          <w:lang w:bidi="ar-EG"/>
        </w:rPr>
        <w:t xml:space="preserve">غير معلنة إلى جميع أماكن الاحتجاز ومقابلة المحتجزين على انفراد؛ وإجراء </w:t>
      </w:r>
      <w:r w:rsidRPr="004B40C9">
        <w:rPr>
          <w:rtl/>
          <w:lang w:bidi="ar-EG"/>
        </w:rPr>
        <w:t xml:space="preserve">زيارات </w:t>
      </w:r>
      <w:r>
        <w:rPr>
          <w:rFonts w:hint="cs"/>
          <w:rtl/>
          <w:lang w:bidi="ar-EG"/>
        </w:rPr>
        <w:t>إلى الدولة الطرف</w:t>
      </w:r>
      <w:r w:rsidRPr="004B40C9">
        <w:rPr>
          <w:rtl/>
          <w:lang w:bidi="ar-EG"/>
        </w:rPr>
        <w:t xml:space="preserve"> من </w:t>
      </w:r>
      <w:r>
        <w:rPr>
          <w:rFonts w:hint="cs"/>
          <w:rtl/>
          <w:lang w:bidi="ar-EG"/>
        </w:rPr>
        <w:t xml:space="preserve">قبل </w:t>
      </w:r>
      <w:r w:rsidRPr="004B40C9">
        <w:rPr>
          <w:rtl/>
          <w:lang w:bidi="ar-EG"/>
        </w:rPr>
        <w:t>آليات الأمم المتحدة</w:t>
      </w:r>
      <w:r w:rsidRPr="0018119D">
        <w:rPr>
          <w:rtl/>
          <w:lang w:bidi="ar-EG"/>
        </w:rPr>
        <w:t xml:space="preserve"> </w:t>
      </w:r>
      <w:r>
        <w:rPr>
          <w:rFonts w:hint="cs"/>
          <w:rtl/>
          <w:lang w:bidi="ar-EG"/>
        </w:rPr>
        <w:t>ل</w:t>
      </w:r>
      <w:r w:rsidRPr="004B40C9">
        <w:rPr>
          <w:rtl/>
          <w:lang w:bidi="ar-EG"/>
        </w:rPr>
        <w:t>حقوق الإنسان</w:t>
      </w:r>
      <w:r>
        <w:rPr>
          <w:rFonts w:hint="cs"/>
          <w:rtl/>
          <w:lang w:bidi="ar-EG"/>
        </w:rPr>
        <w:t>، بما في ذلك ال</w:t>
      </w:r>
      <w:r w:rsidRPr="0018119D">
        <w:rPr>
          <w:rtl/>
          <w:lang w:bidi="ar-EG"/>
        </w:rPr>
        <w:t>مقرر</w:t>
      </w:r>
      <w:r>
        <w:rPr>
          <w:rFonts w:hint="cs"/>
          <w:rtl/>
          <w:lang w:bidi="ar-EG"/>
        </w:rPr>
        <w:t xml:space="preserve"> </w:t>
      </w:r>
      <w:r w:rsidRPr="0018119D">
        <w:rPr>
          <w:rtl/>
          <w:lang w:bidi="ar-EG"/>
        </w:rPr>
        <w:t>الخاص المعني بمسألة التعذيب وغيره من ضروب المعاملة أو العقوبة القاسية أو</w:t>
      </w:r>
      <w:r>
        <w:rPr>
          <w:rFonts w:hint="cs"/>
          <w:rtl/>
          <w:lang w:bidi="ar-EG"/>
        </w:rPr>
        <w:t> </w:t>
      </w:r>
      <w:r w:rsidRPr="0018119D">
        <w:rPr>
          <w:rtl/>
          <w:lang w:bidi="ar-EG"/>
        </w:rPr>
        <w:t>اللاإنسانية أو</w:t>
      </w:r>
      <w:r w:rsidR="00DA2A11">
        <w:rPr>
          <w:rFonts w:hint="cs"/>
          <w:rtl/>
          <w:lang w:bidi="ar-EG"/>
        </w:rPr>
        <w:t> </w:t>
      </w:r>
      <w:r w:rsidRPr="0018119D">
        <w:rPr>
          <w:rtl/>
          <w:lang w:bidi="ar-EG"/>
        </w:rPr>
        <w:t>المهينة</w:t>
      </w:r>
      <w:r>
        <w:rPr>
          <w:rFonts w:hint="cs"/>
          <w:rtl/>
          <w:lang w:bidi="ar-EG"/>
        </w:rPr>
        <w:t xml:space="preserve"> (انظر الفقرات </w:t>
      </w:r>
      <w:r w:rsidRPr="00557E2C">
        <w:rPr>
          <w:rFonts w:hint="cs"/>
          <w:szCs w:val="20"/>
          <w:rtl/>
          <w:lang w:bidi="ar-EG"/>
        </w:rPr>
        <w:t>13</w:t>
      </w:r>
      <w:r>
        <w:rPr>
          <w:rFonts w:hint="cs"/>
          <w:rtl/>
          <w:lang w:bidi="ar-EG"/>
        </w:rPr>
        <w:t>(أ)، و</w:t>
      </w:r>
      <w:r w:rsidRPr="00557E2C">
        <w:rPr>
          <w:rFonts w:hint="cs"/>
          <w:szCs w:val="20"/>
          <w:rtl/>
          <w:lang w:bidi="ar-EG"/>
        </w:rPr>
        <w:t>23</w:t>
      </w:r>
      <w:r>
        <w:rPr>
          <w:rFonts w:hint="cs"/>
          <w:rtl/>
          <w:lang w:bidi="ar-EG"/>
        </w:rPr>
        <w:t>(د)، و</w:t>
      </w:r>
      <w:r w:rsidRPr="00557E2C">
        <w:rPr>
          <w:rFonts w:hint="cs"/>
          <w:szCs w:val="20"/>
          <w:rtl/>
          <w:lang w:bidi="ar-EG"/>
        </w:rPr>
        <w:t>26</w:t>
      </w:r>
      <w:r>
        <w:rPr>
          <w:rFonts w:hint="cs"/>
          <w:rtl/>
          <w:lang w:bidi="ar-EG"/>
        </w:rPr>
        <w:t>، و</w:t>
      </w:r>
      <w:r w:rsidRPr="00557E2C">
        <w:rPr>
          <w:rFonts w:hint="cs"/>
          <w:szCs w:val="20"/>
          <w:rtl/>
          <w:lang w:bidi="ar-EG"/>
        </w:rPr>
        <w:t>41</w:t>
      </w:r>
      <w:r>
        <w:rPr>
          <w:rFonts w:hint="cs"/>
          <w:rtl/>
          <w:lang w:bidi="ar-EG"/>
        </w:rPr>
        <w:t xml:space="preserve">). وتعرب اللجنة عن تقديرها للرد الذي قدمته الدولة الطرف بشأن متابعة هذه المسائل وغيرها من الأمور الواردة في ملاحظاتها الختامية والمعلومات الموضوعية المقدمة في </w:t>
      </w:r>
      <w:r w:rsidRPr="00557E2C">
        <w:rPr>
          <w:rFonts w:hint="cs"/>
          <w:szCs w:val="20"/>
          <w:rtl/>
          <w:lang w:bidi="ar-EG"/>
        </w:rPr>
        <w:t>11</w:t>
      </w:r>
      <w:r>
        <w:rPr>
          <w:rFonts w:hint="cs"/>
          <w:rtl/>
          <w:lang w:bidi="ar-EG"/>
        </w:rPr>
        <w:t xml:space="preserve"> أيار/مايو </w:t>
      </w:r>
      <w:r w:rsidRPr="00557E2C">
        <w:rPr>
          <w:rFonts w:hint="cs"/>
          <w:szCs w:val="20"/>
          <w:rtl/>
          <w:lang w:bidi="ar-EG"/>
        </w:rPr>
        <w:t>2018</w:t>
      </w:r>
      <w:r>
        <w:rPr>
          <w:rFonts w:hint="cs"/>
          <w:rtl/>
          <w:lang w:bidi="ar-EG"/>
        </w:rPr>
        <w:t xml:space="preserve"> بشأن مسائل المتابعة (</w:t>
      </w:r>
      <w:r w:rsidRPr="00F96D93">
        <w:t>CAT/C/BHR/CO/</w:t>
      </w:r>
      <w:r w:rsidRPr="00557E2C">
        <w:rPr>
          <w:szCs w:val="20"/>
        </w:rPr>
        <w:t>2</w:t>
      </w:r>
      <w:r w:rsidRPr="00F96D93">
        <w:t>-</w:t>
      </w:r>
      <w:r w:rsidRPr="00557E2C">
        <w:rPr>
          <w:szCs w:val="20"/>
        </w:rPr>
        <w:t>3</w:t>
      </w:r>
      <w:r w:rsidRPr="00F96D93">
        <w:t>/Add.</w:t>
      </w:r>
      <w:r w:rsidRPr="00557E2C">
        <w:rPr>
          <w:szCs w:val="20"/>
        </w:rPr>
        <w:t>1</w:t>
      </w:r>
      <w:r>
        <w:rPr>
          <w:rFonts w:hint="cs"/>
          <w:rtl/>
          <w:lang w:bidi="ar-EG"/>
        </w:rPr>
        <w:t xml:space="preserve">). ومع ذلك، تعتبر اللجنة أن التوصيات الواردة في الفقرات </w:t>
      </w:r>
      <w:r w:rsidRPr="00557E2C">
        <w:rPr>
          <w:rFonts w:hint="cs"/>
          <w:szCs w:val="20"/>
          <w:rtl/>
          <w:lang w:bidi="ar-EG"/>
        </w:rPr>
        <w:t>14</w:t>
      </w:r>
      <w:r>
        <w:rPr>
          <w:rFonts w:hint="cs"/>
          <w:rtl/>
          <w:lang w:bidi="ar-EG"/>
        </w:rPr>
        <w:t>(أ) و</w:t>
      </w:r>
      <w:r w:rsidRPr="00557E2C">
        <w:rPr>
          <w:rFonts w:hint="cs"/>
          <w:szCs w:val="20"/>
          <w:rtl/>
          <w:lang w:bidi="ar-EG"/>
        </w:rPr>
        <w:t>23</w:t>
      </w:r>
      <w:r>
        <w:rPr>
          <w:rFonts w:hint="cs"/>
          <w:rtl/>
          <w:lang w:bidi="ar-EG"/>
        </w:rPr>
        <w:t>(د) و</w:t>
      </w:r>
      <w:r w:rsidRPr="00557E2C">
        <w:rPr>
          <w:rFonts w:hint="cs"/>
          <w:szCs w:val="20"/>
          <w:rtl/>
          <w:lang w:bidi="ar-EG"/>
        </w:rPr>
        <w:t>41</w:t>
      </w:r>
      <w:r>
        <w:rPr>
          <w:rFonts w:hint="cs"/>
          <w:rtl/>
          <w:lang w:bidi="ar-EG"/>
        </w:rPr>
        <w:t xml:space="preserve"> المذكورة أعلاه لم</w:t>
      </w:r>
      <w:r>
        <w:rPr>
          <w:rFonts w:hint="eastAsia"/>
          <w:rtl/>
          <w:lang w:bidi="ar-EG"/>
        </w:rPr>
        <w:t> </w:t>
      </w:r>
      <w:r>
        <w:rPr>
          <w:rFonts w:hint="cs"/>
          <w:rtl/>
          <w:lang w:bidi="ar-EG"/>
        </w:rPr>
        <w:t xml:space="preserve">تنفَّذ (انظر الفقرات </w:t>
      </w:r>
      <w:r w:rsidRPr="00557E2C">
        <w:rPr>
          <w:rFonts w:hint="cs"/>
          <w:szCs w:val="20"/>
          <w:rtl/>
          <w:lang w:bidi="ar-EG"/>
        </w:rPr>
        <w:t>3</w:t>
      </w:r>
      <w:r>
        <w:rPr>
          <w:rFonts w:hint="cs"/>
          <w:rtl/>
          <w:lang w:bidi="ar-EG"/>
        </w:rPr>
        <w:t xml:space="preserve"> و</w:t>
      </w:r>
      <w:r w:rsidRPr="00557E2C">
        <w:rPr>
          <w:rFonts w:hint="cs"/>
          <w:szCs w:val="20"/>
          <w:rtl/>
          <w:lang w:bidi="ar-EG"/>
        </w:rPr>
        <w:t>14</w:t>
      </w:r>
      <w:r>
        <w:rPr>
          <w:rFonts w:hint="cs"/>
          <w:rtl/>
          <w:lang w:bidi="ar-EG"/>
        </w:rPr>
        <w:t>(د) و</w:t>
      </w:r>
      <w:r w:rsidRPr="00557E2C">
        <w:rPr>
          <w:rFonts w:hint="cs"/>
          <w:szCs w:val="20"/>
          <w:rtl/>
          <w:lang w:bidi="ar-EG"/>
        </w:rPr>
        <w:t>22</w:t>
      </w:r>
      <w:r>
        <w:rPr>
          <w:rFonts w:hint="cs"/>
          <w:rtl/>
          <w:lang w:bidi="ar-EG"/>
        </w:rPr>
        <w:t xml:space="preserve"> من هذه الوثيقة).</w:t>
      </w:r>
    </w:p>
    <w:p w14:paraId="1D846DDC" w14:textId="77777777" w:rsidR="00557E2C" w:rsidRPr="005D7ABB" w:rsidRDefault="00557E2C" w:rsidP="00557E2C">
      <w:pPr>
        <w:pStyle w:val="H23GA"/>
        <w:rPr>
          <w:rtl/>
          <w:lang w:bidi="ar-EG"/>
        </w:rPr>
      </w:pPr>
      <w:r>
        <w:rPr>
          <w:rtl/>
          <w:lang w:bidi="ar-EG"/>
        </w:rPr>
        <w:tab/>
      </w:r>
      <w:r>
        <w:rPr>
          <w:rtl/>
          <w:lang w:bidi="ar-EG"/>
        </w:rPr>
        <w:tab/>
      </w:r>
      <w:r w:rsidRPr="005D7ABB">
        <w:rPr>
          <w:rFonts w:hint="cs"/>
          <w:rtl/>
          <w:lang w:bidi="ar-EG"/>
        </w:rPr>
        <w:t xml:space="preserve">المادتان </w:t>
      </w:r>
      <w:r w:rsidRPr="00557E2C">
        <w:rPr>
          <w:rFonts w:hint="cs"/>
          <w:szCs w:val="20"/>
          <w:rtl/>
          <w:lang w:bidi="ar-EG"/>
        </w:rPr>
        <w:t>1</w:t>
      </w:r>
      <w:r w:rsidRPr="005D7ABB">
        <w:rPr>
          <w:rFonts w:hint="cs"/>
          <w:rtl/>
          <w:lang w:bidi="ar-EG"/>
        </w:rPr>
        <w:t xml:space="preserve"> و</w:t>
      </w:r>
      <w:r w:rsidRPr="00557E2C">
        <w:rPr>
          <w:rFonts w:hint="cs"/>
          <w:szCs w:val="20"/>
          <w:rtl/>
          <w:lang w:bidi="ar-EG"/>
        </w:rPr>
        <w:t>4</w:t>
      </w:r>
    </w:p>
    <w:p w14:paraId="3247CCB2" w14:textId="1D5F97D5" w:rsidR="00557E2C" w:rsidRDefault="00557E2C" w:rsidP="00557E2C">
      <w:pPr>
        <w:pStyle w:val="SingleTxtGA"/>
        <w:rPr>
          <w:rFonts w:hint="cs"/>
          <w:rtl/>
        </w:rPr>
      </w:pPr>
      <w:r w:rsidRPr="00557E2C">
        <w:rPr>
          <w:rFonts w:hint="cs"/>
          <w:szCs w:val="20"/>
          <w:rtl/>
          <w:lang w:bidi="ar-EG"/>
        </w:rPr>
        <w:t>2</w:t>
      </w:r>
      <w:r w:rsidRPr="00C518D7">
        <w:rPr>
          <w:rFonts w:hint="cs"/>
          <w:rtl/>
          <w:lang w:bidi="ar-EG"/>
        </w:rPr>
        <w:t>-</w:t>
      </w:r>
      <w:r w:rsidRPr="00C518D7">
        <w:rPr>
          <w:rtl/>
          <w:lang w:bidi="ar-EG"/>
        </w:rPr>
        <w:tab/>
      </w:r>
      <w:r w:rsidRPr="00C518D7">
        <w:rPr>
          <w:rFonts w:hint="cs"/>
          <w:rtl/>
          <w:lang w:bidi="ar-EG"/>
        </w:rPr>
        <w:t xml:space="preserve">بالإشارة إلى الملاحظات الختامية السابقة للجنة (الفقرتان </w:t>
      </w:r>
      <w:r w:rsidRPr="00557E2C">
        <w:rPr>
          <w:rFonts w:hint="cs"/>
          <w:szCs w:val="20"/>
          <w:rtl/>
          <w:lang w:bidi="ar-EG"/>
        </w:rPr>
        <w:t>6</w:t>
      </w:r>
      <w:r w:rsidRPr="00C518D7">
        <w:rPr>
          <w:rFonts w:hint="cs"/>
          <w:rtl/>
          <w:lang w:bidi="ar-EG"/>
        </w:rPr>
        <w:t xml:space="preserve"> و</w:t>
      </w:r>
      <w:r w:rsidRPr="00557E2C">
        <w:rPr>
          <w:rFonts w:hint="cs"/>
          <w:szCs w:val="20"/>
          <w:rtl/>
          <w:lang w:bidi="ar-EG"/>
        </w:rPr>
        <w:t>7</w:t>
      </w:r>
      <w:r w:rsidRPr="00C518D7">
        <w:rPr>
          <w:rFonts w:hint="cs"/>
          <w:rtl/>
          <w:lang w:bidi="ar-EG"/>
        </w:rPr>
        <w:t xml:space="preserve">)، يرجى تقديم معلومات عن الخطوات </w:t>
      </w:r>
      <w:r>
        <w:rPr>
          <w:rFonts w:hint="cs"/>
          <w:rtl/>
          <w:lang w:bidi="ar-EG"/>
        </w:rPr>
        <w:t xml:space="preserve">التي </w:t>
      </w:r>
      <w:r w:rsidRPr="00C518D7">
        <w:rPr>
          <w:rFonts w:hint="cs"/>
          <w:rtl/>
          <w:lang w:bidi="ar-EG"/>
        </w:rPr>
        <w:t>اتُخذت أثناء الفترة قيد الاستعراض لسد الفجوة بين الإطارين التشريعي والمؤسسي المعدلين ومدى تنفيذهما في الممارسة العملية، وذلك فيما يتعلق بالتزامات الدولة الطرف بموجب الاتفاقية. وفي</w:t>
      </w:r>
      <w:r>
        <w:rPr>
          <w:rFonts w:hint="cs"/>
          <w:rtl/>
          <w:lang w:bidi="ar-EG"/>
        </w:rPr>
        <w:t xml:space="preserve"> ذلك</w:t>
      </w:r>
      <w:r w:rsidRPr="00C518D7">
        <w:rPr>
          <w:rFonts w:hint="cs"/>
          <w:rtl/>
          <w:lang w:bidi="ar-EG"/>
        </w:rPr>
        <w:t xml:space="preserve"> السياق، يرجى تقديم معلومات محدثة عن أية تحقيقات وملاحقات جنائية بحق مرتكبي جرائم التعذيب، بمن فيهم من يتحملون مسؤولية القيادة ومن يتواطؤون في ارتكاب أعمال تعذيب أو يوافقون عليها بأي شكل آخر، فضلاً عن أية عقوبات صدرت بحق من ثبتت إدانتهم. ويرجى أيضاً تقديم معلومات عن الخطوات التي اتخذتها الدولة الطرف من أجل الإعمال الكامل للاتفاقية في نظامها القانوني المحلي، ومن أجل توعية القضاة وأعضاء النيابة العامة والمحامين ومسؤولي إنفاذ القانون وموظفي السجون بانطباقها في القانون المحلي</w:t>
      </w:r>
      <w:r>
        <w:rPr>
          <w:rFonts w:hint="cs"/>
          <w:rtl/>
          <w:lang w:bidi="ar-EG"/>
        </w:rPr>
        <w:t xml:space="preserve"> </w:t>
      </w:r>
      <w:r w:rsidR="009066A9">
        <w:rPr>
          <w:rFonts w:hint="cs"/>
          <w:rtl/>
          <w:lang w:bidi="ar-EG"/>
        </w:rPr>
        <w:t>(</w:t>
      </w:r>
      <w:r w:rsidRPr="0034719E">
        <w:t>CCPR/C/BHR/CO/</w:t>
      </w:r>
      <w:r w:rsidRPr="00557E2C">
        <w:rPr>
          <w:szCs w:val="20"/>
        </w:rPr>
        <w:t>1</w:t>
      </w:r>
      <w:r w:rsidR="009066A9">
        <w:rPr>
          <w:rFonts w:hint="cs"/>
          <w:rtl/>
        </w:rPr>
        <w:t xml:space="preserve">، الفقرة </w:t>
      </w:r>
      <w:r w:rsidR="009066A9" w:rsidRPr="009066A9">
        <w:rPr>
          <w:rFonts w:hint="cs"/>
          <w:sz w:val="12"/>
          <w:szCs w:val="20"/>
          <w:rtl/>
        </w:rPr>
        <w:t>6</w:t>
      </w:r>
      <w:r w:rsidR="009066A9">
        <w:rPr>
          <w:rFonts w:hint="cs"/>
          <w:rtl/>
        </w:rPr>
        <w:t>).</w:t>
      </w:r>
    </w:p>
    <w:p w14:paraId="0CCC4398" w14:textId="77777777" w:rsidR="00557E2C" w:rsidRPr="008C4D15" w:rsidRDefault="00557E2C" w:rsidP="00557E2C">
      <w:pPr>
        <w:pStyle w:val="H23GA"/>
        <w:rPr>
          <w:rFonts w:hint="cs"/>
          <w:rtl/>
        </w:rPr>
      </w:pPr>
      <w:r>
        <w:rPr>
          <w:rtl/>
          <w:lang w:bidi="ar-EG"/>
        </w:rPr>
        <w:tab/>
      </w:r>
      <w:r>
        <w:rPr>
          <w:rtl/>
          <w:lang w:bidi="ar-EG"/>
        </w:rPr>
        <w:tab/>
      </w:r>
      <w:r w:rsidRPr="008C4D15">
        <w:rPr>
          <w:rFonts w:hint="cs"/>
          <w:rtl/>
          <w:lang w:bidi="ar-EG"/>
        </w:rPr>
        <w:t xml:space="preserve">المادة </w:t>
      </w:r>
      <w:r w:rsidRPr="00557E2C">
        <w:rPr>
          <w:rFonts w:hint="cs"/>
          <w:szCs w:val="20"/>
          <w:rtl/>
          <w:lang w:bidi="ar-EG"/>
        </w:rPr>
        <w:t>2</w:t>
      </w:r>
      <w:r w:rsidRPr="00C518D7">
        <w:rPr>
          <w:rStyle w:val="FootnoteReference"/>
          <w:bCs w:val="0"/>
          <w:sz w:val="28"/>
          <w:rtl/>
        </w:rPr>
        <w:t>(</w:t>
      </w:r>
      <w:r w:rsidRPr="00557E2C">
        <w:rPr>
          <w:rStyle w:val="FootnoteReference"/>
          <w:rFonts w:cs="Times New Roman"/>
          <w:position w:val="4"/>
          <w:sz w:val="20"/>
          <w:szCs w:val="24"/>
        </w:rPr>
        <w:footnoteReference w:id="3"/>
      </w:r>
      <w:r w:rsidRPr="00C518D7">
        <w:rPr>
          <w:rStyle w:val="FootnoteReference"/>
          <w:bCs w:val="0"/>
          <w:sz w:val="28"/>
          <w:rtl/>
        </w:rPr>
        <w:t>)</w:t>
      </w:r>
    </w:p>
    <w:p w14:paraId="1349DDB0" w14:textId="77777777" w:rsidR="00557E2C" w:rsidRDefault="00557E2C" w:rsidP="00557E2C">
      <w:pPr>
        <w:pStyle w:val="SingleTxtGA"/>
        <w:rPr>
          <w:rtl/>
          <w:lang w:bidi="ar-EG"/>
        </w:rPr>
      </w:pPr>
      <w:r w:rsidRPr="00557E2C">
        <w:rPr>
          <w:rFonts w:hint="cs"/>
          <w:szCs w:val="20"/>
          <w:rtl/>
          <w:lang w:bidi="ar-EG"/>
        </w:rPr>
        <w:t>3</w:t>
      </w:r>
      <w:r>
        <w:rPr>
          <w:rFonts w:hint="cs"/>
          <w:szCs w:val="20"/>
          <w:rtl/>
          <w:lang w:bidi="ar-EG"/>
        </w:rPr>
        <w:t>-</w:t>
      </w:r>
      <w:r>
        <w:rPr>
          <w:rtl/>
          <w:lang w:bidi="ar-EG"/>
        </w:rPr>
        <w:tab/>
      </w:r>
      <w:r>
        <w:rPr>
          <w:rFonts w:hint="cs"/>
          <w:rtl/>
          <w:lang w:bidi="ar-EG"/>
        </w:rPr>
        <w:t xml:space="preserve">بالإشارة إلى الملاحظات الختامية السابقة للجنة (الفقرتان </w:t>
      </w:r>
      <w:r w:rsidRPr="00557E2C">
        <w:rPr>
          <w:rFonts w:hint="cs"/>
          <w:szCs w:val="20"/>
          <w:rtl/>
          <w:lang w:bidi="ar-EG"/>
        </w:rPr>
        <w:t>12</w:t>
      </w:r>
      <w:r>
        <w:rPr>
          <w:rFonts w:hint="cs"/>
          <w:rtl/>
          <w:lang w:bidi="ar-EG"/>
        </w:rPr>
        <w:t xml:space="preserve"> و</w:t>
      </w:r>
      <w:r w:rsidRPr="00557E2C">
        <w:rPr>
          <w:rFonts w:hint="cs"/>
          <w:szCs w:val="20"/>
          <w:rtl/>
          <w:lang w:bidi="ar-EG"/>
        </w:rPr>
        <w:t>13</w:t>
      </w:r>
      <w:r>
        <w:rPr>
          <w:rFonts w:hint="cs"/>
          <w:rtl/>
          <w:lang w:bidi="ar-EG"/>
        </w:rPr>
        <w:t xml:space="preserve">)، </w:t>
      </w:r>
      <w:r w:rsidRPr="00F96D93">
        <w:rPr>
          <w:rFonts w:hint="cs"/>
          <w:rtl/>
          <w:lang w:bidi="ar-EG"/>
        </w:rPr>
        <w:t>ومتابعةً</w:t>
      </w:r>
      <w:r>
        <w:rPr>
          <w:rFonts w:hint="cs"/>
          <w:rtl/>
          <w:lang w:bidi="ar-EG"/>
        </w:rPr>
        <w:t xml:space="preserve"> لطلب الحصول على مزيد من الإيضاحات، الذي أرسله المقرر المعني بمتابعة الملاحظات الختامية في </w:t>
      </w:r>
      <w:r w:rsidRPr="00557E2C">
        <w:rPr>
          <w:rFonts w:hint="cs"/>
          <w:szCs w:val="20"/>
          <w:rtl/>
          <w:lang w:bidi="ar-EG"/>
        </w:rPr>
        <w:t>23</w:t>
      </w:r>
      <w:r>
        <w:rPr>
          <w:rFonts w:hint="cs"/>
          <w:rtl/>
          <w:lang w:bidi="ar-EG"/>
        </w:rPr>
        <w:t xml:space="preserve"> تشرين الأول/أكتوبر </w:t>
      </w:r>
      <w:r w:rsidRPr="00557E2C">
        <w:rPr>
          <w:rFonts w:hint="cs"/>
          <w:szCs w:val="20"/>
          <w:rtl/>
          <w:lang w:bidi="ar-EG"/>
        </w:rPr>
        <w:t>2018</w:t>
      </w:r>
      <w:r>
        <w:rPr>
          <w:rFonts w:hint="cs"/>
          <w:rtl/>
          <w:lang w:bidi="ar-EG"/>
        </w:rPr>
        <w:t>، يرجى تقديم معلومات محدثة بشأن ما يلي:</w:t>
      </w:r>
    </w:p>
    <w:p w14:paraId="13CA56A6"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أية تدابير ملموسة اتُخذت خلال الفترة قيد الاستعراض نحو إعادة إقرار وقف استخدام عقوبة الإعدام منذ عمليات إعدام </w:t>
      </w:r>
      <w:r w:rsidRPr="003371A8">
        <w:rPr>
          <w:rtl/>
          <w:lang w:bidi="ar-EG"/>
        </w:rPr>
        <w:t>عباس السميع وسامي مشيمع وعلي السنكيس</w:t>
      </w:r>
      <w:r>
        <w:rPr>
          <w:rFonts w:hint="cs"/>
          <w:rtl/>
          <w:lang w:bidi="ar-EG"/>
        </w:rPr>
        <w:t xml:space="preserve"> في </w:t>
      </w:r>
      <w:r w:rsidRPr="00557E2C">
        <w:rPr>
          <w:rFonts w:hint="cs"/>
          <w:szCs w:val="20"/>
          <w:rtl/>
          <w:lang w:bidi="ar-EG"/>
        </w:rPr>
        <w:t>15</w:t>
      </w:r>
      <w:r>
        <w:rPr>
          <w:rFonts w:hint="cs"/>
          <w:rtl/>
          <w:lang w:bidi="ar-EG"/>
        </w:rPr>
        <w:t xml:space="preserve"> كانون الثاني/يناير </w:t>
      </w:r>
      <w:r w:rsidRPr="00557E2C">
        <w:rPr>
          <w:rFonts w:hint="cs"/>
          <w:szCs w:val="20"/>
          <w:rtl/>
          <w:lang w:bidi="ar-EG"/>
        </w:rPr>
        <w:t>2017</w:t>
      </w:r>
      <w:r>
        <w:rPr>
          <w:rFonts w:hint="cs"/>
          <w:rtl/>
          <w:lang w:bidi="ar-EG"/>
        </w:rPr>
        <w:t xml:space="preserve"> التي </w:t>
      </w:r>
      <w:r w:rsidRPr="00966C24">
        <w:rPr>
          <w:rFonts w:hint="cs"/>
          <w:rtl/>
          <w:lang w:bidi="ar-EG"/>
        </w:rPr>
        <w:t>أفادت التقارير</w:t>
      </w:r>
      <w:r>
        <w:rPr>
          <w:rFonts w:hint="cs"/>
          <w:rtl/>
          <w:lang w:bidi="ar-EG"/>
        </w:rPr>
        <w:t xml:space="preserve"> بأنها استندت إلى تحقيقات غير كافية واعترافات منتزعة تحت التعذيب. ويرجى بالإضافة إلى ذلك تقديم معلومات عن إعدام الناشطين الشيعيين علي العرب وأحمد الملالي في </w:t>
      </w:r>
      <w:r w:rsidRPr="00557E2C">
        <w:rPr>
          <w:rFonts w:hint="cs"/>
          <w:szCs w:val="20"/>
          <w:rtl/>
          <w:lang w:bidi="ar-EG"/>
        </w:rPr>
        <w:t>27</w:t>
      </w:r>
      <w:r>
        <w:rPr>
          <w:rFonts w:hint="cs"/>
          <w:rtl/>
          <w:lang w:bidi="ar-EG"/>
        </w:rPr>
        <w:t xml:space="preserve"> تموز/يوليه </w:t>
      </w:r>
      <w:r w:rsidRPr="00557E2C">
        <w:rPr>
          <w:rFonts w:hint="cs"/>
          <w:szCs w:val="20"/>
          <w:rtl/>
          <w:lang w:bidi="ar-EG"/>
        </w:rPr>
        <w:t>2019</w:t>
      </w:r>
      <w:r>
        <w:rPr>
          <w:rFonts w:hint="cs"/>
          <w:rtl/>
          <w:lang w:bidi="ar-EG"/>
        </w:rPr>
        <w:t>، اللذين أفادت التقارير بتعرضهما للتعذيب على يد ضباط الأمن بطرق منها الصعق بالكهرباء والضرب، فيما انتُزعت أيضاً أظافر قدمي علي محمد العرب. ويُرجى أيضاً تقديم معلومات عن إعدام شخص ثالث لم يعرف اسمه في اليوم نفسه؛</w:t>
      </w:r>
    </w:p>
    <w:p w14:paraId="546ACA23" w14:textId="77777777" w:rsidR="00557E2C" w:rsidRPr="00557E2C" w:rsidRDefault="00557E2C" w:rsidP="00557E2C">
      <w:pPr>
        <w:pStyle w:val="SingleTxtGA"/>
        <w:rPr>
          <w:spacing w:val="-2"/>
          <w:rtl/>
          <w:lang w:bidi="ar-EG"/>
        </w:rPr>
      </w:pPr>
      <w:r w:rsidRPr="00557E2C">
        <w:rPr>
          <w:spacing w:val="-2"/>
          <w:rtl/>
          <w:lang w:bidi="ar-EG"/>
        </w:rPr>
        <w:tab/>
      </w:r>
      <w:r w:rsidRPr="00557E2C">
        <w:rPr>
          <w:rFonts w:hint="cs"/>
          <w:spacing w:val="-2"/>
          <w:rtl/>
          <w:lang w:bidi="ar-EG"/>
        </w:rPr>
        <w:t>(ب)</w:t>
      </w:r>
      <w:r w:rsidRPr="00557E2C">
        <w:rPr>
          <w:spacing w:val="-2"/>
          <w:rtl/>
          <w:lang w:bidi="ar-EG"/>
        </w:rPr>
        <w:tab/>
      </w:r>
      <w:r w:rsidRPr="00557E2C">
        <w:rPr>
          <w:rFonts w:hint="cs"/>
          <w:spacing w:val="-2"/>
          <w:rtl/>
          <w:lang w:bidi="ar-EG"/>
        </w:rPr>
        <w:t xml:space="preserve">الوضع الراهن لمحمد رمضان وحسين علي موسى، اللذين أيدت محكمة الاستئناف الجنائية العليا البحرينية حكمي الإعدام عليهما يوم الأربعاء الموافق </w:t>
      </w:r>
      <w:r w:rsidRPr="00557E2C">
        <w:rPr>
          <w:rFonts w:hint="cs"/>
          <w:spacing w:val="-2"/>
          <w:szCs w:val="20"/>
          <w:rtl/>
          <w:lang w:bidi="ar-EG"/>
        </w:rPr>
        <w:t>8</w:t>
      </w:r>
      <w:r w:rsidRPr="00557E2C">
        <w:rPr>
          <w:rFonts w:hint="cs"/>
          <w:spacing w:val="-2"/>
          <w:rtl/>
          <w:lang w:bidi="ar-EG"/>
        </w:rPr>
        <w:t xml:space="preserve"> كانون الثاني/يناير </w:t>
      </w:r>
      <w:r w:rsidRPr="00557E2C">
        <w:rPr>
          <w:rFonts w:hint="cs"/>
          <w:spacing w:val="-2"/>
          <w:szCs w:val="20"/>
          <w:rtl/>
          <w:lang w:bidi="ar-EG"/>
        </w:rPr>
        <w:t>2020</w:t>
      </w:r>
      <w:r w:rsidRPr="00557E2C">
        <w:rPr>
          <w:rFonts w:hint="cs"/>
          <w:spacing w:val="-2"/>
          <w:rtl/>
          <w:lang w:bidi="ar-EG"/>
        </w:rPr>
        <w:t>، وهو حكم لا يزال موضع طعن أمام محكمة التمييز. ويرجى تقديم معلومات بشأن إمكانية إعادة محاكمتهما وفقاً لمعايير القانون الدولي، بما يشمل إمكانية تواصلهما بشكل فعال وسري مع محامييهم، نظراً للشواغل المتعلقة بنزاهة محاكمتهما التي أفادت التقارير بأنها استندت إلى اعترافات زائفة منتزعة تحت التعذيب؛</w:t>
      </w:r>
    </w:p>
    <w:p w14:paraId="1FD98486" w14:textId="77777777" w:rsidR="00557E2C" w:rsidRDefault="00557E2C" w:rsidP="00557E2C">
      <w:pPr>
        <w:pStyle w:val="SingleTxtGA"/>
        <w:rPr>
          <w:lang w:bidi="ar-EG"/>
        </w:rPr>
      </w:pPr>
      <w:r>
        <w:rPr>
          <w:rtl/>
          <w:lang w:bidi="ar-EG"/>
        </w:rPr>
        <w:tab/>
      </w:r>
      <w:r>
        <w:rPr>
          <w:rFonts w:hint="cs"/>
          <w:rtl/>
          <w:lang w:bidi="ar-EG"/>
        </w:rPr>
        <w:t>(ج)</w:t>
      </w:r>
      <w:r>
        <w:rPr>
          <w:rtl/>
          <w:lang w:bidi="ar-EG"/>
        </w:rPr>
        <w:tab/>
      </w:r>
      <w:r>
        <w:rPr>
          <w:rFonts w:hint="cs"/>
          <w:rtl/>
          <w:lang w:bidi="ar-EG"/>
        </w:rPr>
        <w:t xml:space="preserve">حالة البحرينيين الآخرَيْن اللذين يواجهان حكم الإعدام حالياً، ومعلومات عن أية اعتبارات تولى لاستحداث نظام إلزامي لمراجعة القضايا التي تصدر فيها أحكام بالإعدام، مع وجود أثر إيقافي إثر صدور حكم بالإعدام في المحكمة الابتدائية، وكذلك عن أي نظر في إصدار عفو عن جميع المساجين المحكوم عليهم حالياً بالإعدام </w:t>
      </w:r>
      <w:r w:rsidRPr="001A0D67">
        <w:rPr>
          <w:rFonts w:hint="cs"/>
          <w:rtl/>
          <w:lang w:bidi="ar-EG"/>
        </w:rPr>
        <w:t>وتعليق الأحكام الصادرة بحقهم</w:t>
      </w:r>
      <w:r>
        <w:rPr>
          <w:rFonts w:hint="cs"/>
          <w:rtl/>
          <w:lang w:bidi="ar-EG"/>
        </w:rPr>
        <w:t xml:space="preserve"> وتخفيفها؛</w:t>
      </w:r>
    </w:p>
    <w:p w14:paraId="76BDBA0E" w14:textId="77777777" w:rsidR="00557E2C" w:rsidRDefault="00557E2C" w:rsidP="00557E2C">
      <w:pPr>
        <w:pStyle w:val="SingleTxtGA"/>
        <w:rPr>
          <w:rtl/>
          <w:lang w:bidi="ar-EG"/>
        </w:rPr>
      </w:pPr>
      <w:r>
        <w:rPr>
          <w:rtl/>
          <w:lang w:bidi="ar-EG"/>
        </w:rPr>
        <w:tab/>
      </w:r>
      <w:r>
        <w:rPr>
          <w:rFonts w:hint="cs"/>
          <w:rtl/>
          <w:lang w:bidi="ar-EG"/>
        </w:rPr>
        <w:t>(د)</w:t>
      </w:r>
      <w:r>
        <w:rPr>
          <w:rtl/>
          <w:lang w:bidi="ar-EG"/>
        </w:rPr>
        <w:tab/>
      </w:r>
      <w:r>
        <w:rPr>
          <w:rFonts w:hint="cs"/>
          <w:rtl/>
          <w:lang w:bidi="ar-EG"/>
        </w:rPr>
        <w:t>الخطوات المتخذة خلال الفترة قيد الاستعراض من أجل ضمان التحقيق بشكل سليم من قبل هيئات مختصة في الادعاءات المقدمة من المدعى عليهم بأن اعترافاتهم انتزعت تحت التعذيب، وضمان ألا تستند المحاكم فيما تصدره من أحكام إلى الاعترافات المنتزعة تحت التعذيب، وهو ما ينتهك دستور الدولة الطرف والتزاماتها بموجب الاتفاقية؛</w:t>
      </w:r>
    </w:p>
    <w:p w14:paraId="67979FD2" w14:textId="784D35CB" w:rsidR="00557E2C" w:rsidRDefault="00557E2C" w:rsidP="00557E2C">
      <w:pPr>
        <w:pStyle w:val="SingleTxtGA"/>
        <w:pageBreakBefore/>
        <w:spacing w:line="350" w:lineRule="exact"/>
        <w:rPr>
          <w:lang w:bidi="ar-EG"/>
        </w:rPr>
      </w:pPr>
      <w:r>
        <w:rPr>
          <w:rtl/>
          <w:lang w:bidi="ar-EG"/>
        </w:rPr>
        <w:tab/>
      </w:r>
      <w:r>
        <w:rPr>
          <w:rFonts w:hint="cs"/>
          <w:rtl/>
          <w:lang w:bidi="ar-EG"/>
        </w:rPr>
        <w:t>(هـ)</w:t>
      </w:r>
      <w:r>
        <w:rPr>
          <w:rtl/>
          <w:lang w:bidi="ar-EG"/>
        </w:rPr>
        <w:tab/>
      </w:r>
      <w:r>
        <w:rPr>
          <w:rFonts w:hint="cs"/>
          <w:rtl/>
          <w:lang w:bidi="ar-EG"/>
        </w:rPr>
        <w:t xml:space="preserve">أي </w:t>
      </w:r>
      <w:r w:rsidRPr="001A0D67">
        <w:rPr>
          <w:rFonts w:hint="cs"/>
          <w:rtl/>
          <w:lang w:bidi="ar-EG"/>
        </w:rPr>
        <w:t>نظر</w:t>
      </w:r>
      <w:r>
        <w:rPr>
          <w:rFonts w:hint="cs"/>
          <w:rtl/>
          <w:lang w:bidi="ar-EG"/>
        </w:rPr>
        <w:t xml:space="preserve"> في إلغاء عقوبة الإعدام، والتصويت لفائدة القرارات المتكررة بشأن وقف اختياري لتنفيذ عقوبة الإعدام، التي اعتمدتها الجمعية العامة منذ دورتها الثانية والستين</w:t>
      </w:r>
      <w:r>
        <w:rPr>
          <w:vertAlign w:val="superscript"/>
          <w:rtl/>
          <w:lang w:bidi="ar-EG"/>
        </w:rPr>
        <w:t>(</w:t>
      </w:r>
      <w:r w:rsidRPr="00557E2C">
        <w:rPr>
          <w:rStyle w:val="FootnoteReference"/>
          <w:rFonts w:cs="Times New Roman"/>
          <w:b w:val="0"/>
          <w:position w:val="4"/>
          <w:sz w:val="20"/>
          <w:lang w:bidi="ar-EG"/>
        </w:rPr>
        <w:footnoteReference w:id="4"/>
      </w:r>
      <w:r>
        <w:rPr>
          <w:vertAlign w:val="superscript"/>
          <w:rtl/>
          <w:lang w:bidi="ar-EG"/>
        </w:rPr>
        <w:t>)</w:t>
      </w:r>
      <w:r>
        <w:rPr>
          <w:rFonts w:hint="cs"/>
          <w:rtl/>
          <w:lang w:bidi="ar-EG"/>
        </w:rPr>
        <w:t xml:space="preserve">، والانضمام إلى </w:t>
      </w:r>
      <w:r w:rsidRPr="004C114A">
        <w:rPr>
          <w:rtl/>
          <w:lang w:bidi="ar-EG"/>
        </w:rPr>
        <w:t>البروتوكول الاختياري الثاني الملحق بالعهد الدولي الخاص بالحقوق المدنية والسياسية، الهادف إلى إلغاء عقوبة الإعدام</w:t>
      </w:r>
      <w:r>
        <w:rPr>
          <w:rFonts w:hint="cs"/>
          <w:rtl/>
          <w:lang w:bidi="ar-EG"/>
        </w:rPr>
        <w:t xml:space="preserve">. ويُرجى أيضاً تقديم معلومات عن أي خطوات اتُخذت لضمان عدم فرض عقوبة الإعدام إلا على أخطر الجرائم مثل القتل العمد، </w:t>
      </w:r>
      <w:r w:rsidRPr="00A74F5A">
        <w:rPr>
          <w:rFonts w:hint="cs"/>
          <w:rtl/>
          <w:lang w:bidi="ar-EG"/>
        </w:rPr>
        <w:t>وألا تكون إلزامية أبداً</w:t>
      </w:r>
      <w:r>
        <w:rPr>
          <w:rFonts w:hint="cs"/>
          <w:rtl/>
          <w:lang w:bidi="ar-EG"/>
        </w:rPr>
        <w:t>، وأن يكون العفو وتخفيف العقوبات متاحين في جميع الحالات بصرف النظر عن الجريمة المرتكبة، وألا تفرض عقوبة الإعدام أبداً على نحو يشكل انتهاكاً لأحكام الاتفاقية، وألا تفرض من قبل المحاكم العسكرية بحق المدنيين</w:t>
      </w:r>
      <w:r>
        <w:rPr>
          <w:rFonts w:hint="cs"/>
          <w:sz w:val="28"/>
          <w:rtl/>
        </w:rPr>
        <w:t xml:space="preserve"> (</w:t>
      </w:r>
      <w:r w:rsidRPr="00043668">
        <w:rPr>
          <w:lang w:val="en-GB"/>
        </w:rPr>
        <w:t>CCPR/C/BHR/CO/</w:t>
      </w:r>
      <w:r w:rsidRPr="00557E2C">
        <w:rPr>
          <w:szCs w:val="20"/>
          <w:lang w:val="en-GB"/>
        </w:rPr>
        <w:t>1</w:t>
      </w:r>
      <w:r>
        <w:rPr>
          <w:rFonts w:hint="cs"/>
          <w:sz w:val="28"/>
          <w:rtl/>
          <w:lang w:val="fr-CH"/>
        </w:rPr>
        <w:t xml:space="preserve">، الفقرة </w:t>
      </w:r>
      <w:r w:rsidRPr="00557E2C">
        <w:rPr>
          <w:rFonts w:hint="cs"/>
          <w:sz w:val="28"/>
          <w:szCs w:val="20"/>
          <w:rtl/>
          <w:lang w:val="fr-CH"/>
        </w:rPr>
        <w:t>32</w:t>
      </w:r>
      <w:r>
        <w:rPr>
          <w:rFonts w:hint="cs"/>
          <w:sz w:val="28"/>
          <w:rtl/>
          <w:lang w:val="fr-CH"/>
        </w:rPr>
        <w:t>)</w:t>
      </w:r>
      <w:r>
        <w:rPr>
          <w:rFonts w:hint="cs"/>
          <w:rtl/>
          <w:lang w:bidi="ar-EG"/>
        </w:rPr>
        <w:t>.</w:t>
      </w:r>
    </w:p>
    <w:p w14:paraId="3EDB3B7E" w14:textId="77777777" w:rsidR="00557E2C" w:rsidRDefault="00557E2C" w:rsidP="00557E2C">
      <w:pPr>
        <w:pStyle w:val="SingleTxtGA"/>
        <w:spacing w:line="350" w:lineRule="exact"/>
        <w:rPr>
          <w:rtl/>
          <w:lang w:bidi="ar-EG"/>
        </w:rPr>
      </w:pPr>
      <w:r w:rsidRPr="00557E2C">
        <w:rPr>
          <w:rFonts w:hint="cs"/>
          <w:szCs w:val="20"/>
          <w:rtl/>
          <w:lang w:bidi="ar-EG"/>
        </w:rPr>
        <w:t>4</w:t>
      </w:r>
      <w:r>
        <w:rPr>
          <w:rFonts w:hint="cs"/>
          <w:rtl/>
          <w:lang w:bidi="ar-EG"/>
        </w:rPr>
        <w:t>-</w:t>
      </w:r>
      <w:r>
        <w:rPr>
          <w:rtl/>
          <w:lang w:bidi="ar-EG"/>
        </w:rPr>
        <w:tab/>
      </w:r>
      <w:r>
        <w:rPr>
          <w:rFonts w:hint="cs"/>
          <w:rtl/>
          <w:lang w:bidi="ar-EG"/>
        </w:rPr>
        <w:t xml:space="preserve">وبالإشارة إلى الملاحظات الختامية السابقة للجنة (الفقرتان </w:t>
      </w:r>
      <w:r w:rsidRPr="00557E2C">
        <w:rPr>
          <w:rFonts w:hint="cs"/>
          <w:szCs w:val="20"/>
          <w:rtl/>
          <w:lang w:bidi="ar-EG"/>
        </w:rPr>
        <w:t>16</w:t>
      </w:r>
      <w:r>
        <w:rPr>
          <w:rFonts w:hint="cs"/>
          <w:rtl/>
          <w:lang w:bidi="ar-EG"/>
        </w:rPr>
        <w:t xml:space="preserve"> و</w:t>
      </w:r>
      <w:r w:rsidRPr="00557E2C">
        <w:rPr>
          <w:rFonts w:hint="cs"/>
          <w:szCs w:val="20"/>
          <w:rtl/>
          <w:lang w:bidi="ar-EG"/>
        </w:rPr>
        <w:t>17</w:t>
      </w:r>
      <w:r>
        <w:rPr>
          <w:rFonts w:hint="cs"/>
          <w:rtl/>
          <w:lang w:bidi="ar-EG"/>
        </w:rPr>
        <w:t>)، يرجى تقديم معلومات بشأن ما يلي:</w:t>
      </w:r>
    </w:p>
    <w:p w14:paraId="7B862271" w14:textId="77777777" w:rsidR="00557E2C" w:rsidRDefault="00557E2C" w:rsidP="00557E2C">
      <w:pPr>
        <w:pStyle w:val="SingleTxtGA"/>
        <w:spacing w:line="350" w:lineRule="exact"/>
        <w:rPr>
          <w:lang w:bidi="ar-EG"/>
        </w:rPr>
      </w:pPr>
      <w:r>
        <w:rPr>
          <w:rtl/>
          <w:lang w:bidi="ar-EG"/>
        </w:rPr>
        <w:tab/>
      </w:r>
      <w:r>
        <w:rPr>
          <w:rFonts w:hint="cs"/>
          <w:rtl/>
          <w:lang w:bidi="ar-EG"/>
        </w:rPr>
        <w:t>(أ)</w:t>
      </w:r>
      <w:r>
        <w:rPr>
          <w:rtl/>
          <w:lang w:bidi="ar-EG"/>
        </w:rPr>
        <w:tab/>
      </w:r>
      <w:r>
        <w:rPr>
          <w:rFonts w:hint="cs"/>
          <w:rtl/>
          <w:lang w:bidi="ar-EG"/>
        </w:rPr>
        <w:t xml:space="preserve">أية تدابير متخذة لضمان التنفيذ الفعال للمادة </w:t>
      </w:r>
      <w:r w:rsidRPr="00557E2C">
        <w:rPr>
          <w:rFonts w:hint="cs"/>
          <w:szCs w:val="20"/>
          <w:rtl/>
          <w:lang w:bidi="ar-EG"/>
        </w:rPr>
        <w:t>253</w:t>
      </w:r>
      <w:r>
        <w:rPr>
          <w:rFonts w:hint="cs"/>
          <w:rtl/>
          <w:lang w:bidi="ar-EG"/>
        </w:rPr>
        <w:t xml:space="preserve"> من قانون الإجراءات الجنائية بما يجعل من الأدلة التي يتم الحصول عليها بالتعذيب والإكراه غير مقبولة في جميع الإجراءات القضائية، وفقاً للمادة </w:t>
      </w:r>
      <w:r w:rsidRPr="00557E2C">
        <w:rPr>
          <w:rFonts w:hint="cs"/>
          <w:szCs w:val="20"/>
          <w:rtl/>
          <w:lang w:bidi="ar-EG"/>
        </w:rPr>
        <w:t>15</w:t>
      </w:r>
      <w:r>
        <w:rPr>
          <w:rFonts w:hint="cs"/>
          <w:rtl/>
          <w:lang w:bidi="ar-EG"/>
        </w:rPr>
        <w:t xml:space="preserve"> من الاتفاقية؛ </w:t>
      </w:r>
    </w:p>
    <w:p w14:paraId="63E448CD" w14:textId="21F53D5A" w:rsidR="00557E2C" w:rsidRDefault="00557E2C" w:rsidP="00557E2C">
      <w:pPr>
        <w:pStyle w:val="SingleTxtGA"/>
        <w:spacing w:line="350" w:lineRule="exact"/>
        <w:rPr>
          <w:rtl/>
          <w:lang w:bidi="ar-EG"/>
        </w:rPr>
      </w:pPr>
      <w:r>
        <w:rPr>
          <w:rtl/>
          <w:lang w:bidi="ar-EG"/>
        </w:rPr>
        <w:tab/>
      </w:r>
      <w:r>
        <w:rPr>
          <w:rFonts w:hint="cs"/>
          <w:rtl/>
          <w:lang w:bidi="ar-EG"/>
        </w:rPr>
        <w:t>(ب)</w:t>
      </w:r>
      <w:r>
        <w:rPr>
          <w:rtl/>
          <w:lang w:bidi="ar-EG"/>
        </w:rPr>
        <w:tab/>
      </w:r>
      <w:r>
        <w:rPr>
          <w:rFonts w:hint="cs"/>
          <w:rtl/>
          <w:lang w:bidi="ar-EG"/>
        </w:rPr>
        <w:t>ما إذا كانت الفترة قيد الاستعراض قد شهدت سنّ أي تشريع جديد ينص على إجراء تحقيقات في الادعاءات الوجيهة بالتعذيب التي يبلغ بها القضاة من قبل المدعى عليهم أو</w:t>
      </w:r>
      <w:r w:rsidR="005A646B">
        <w:rPr>
          <w:rFonts w:hint="eastAsia"/>
          <w:rtl/>
          <w:lang w:bidi="ar-EG"/>
        </w:rPr>
        <w:t> </w:t>
      </w:r>
      <w:r>
        <w:rPr>
          <w:rFonts w:hint="cs"/>
          <w:rtl/>
          <w:lang w:bidi="ar-EG"/>
        </w:rPr>
        <w:t xml:space="preserve">محامييهم؛ وبالإضافة إلى ذلك، يرجى الإفادة بما إذا كان القضاة قد بدأوا مراعاة ما يُظهره المدعى عليهم من آثار واضحة للتعذيب في المحكمة؛ </w:t>
      </w:r>
    </w:p>
    <w:p w14:paraId="47C9D523" w14:textId="77777777" w:rsidR="00557E2C" w:rsidRPr="00557E2C" w:rsidRDefault="00557E2C" w:rsidP="00557E2C">
      <w:pPr>
        <w:pStyle w:val="SingleTxtGA"/>
        <w:spacing w:line="350" w:lineRule="exact"/>
        <w:rPr>
          <w:spacing w:val="-2"/>
          <w:rtl/>
        </w:rPr>
      </w:pPr>
      <w:r w:rsidRPr="00557E2C">
        <w:rPr>
          <w:spacing w:val="-2"/>
          <w:rtl/>
          <w:lang w:bidi="ar-EG"/>
        </w:rPr>
        <w:tab/>
      </w:r>
      <w:r w:rsidRPr="00557E2C">
        <w:rPr>
          <w:rFonts w:hint="cs"/>
          <w:spacing w:val="-2"/>
          <w:rtl/>
          <w:lang w:bidi="ar-EG"/>
        </w:rPr>
        <w:t>(ج)</w:t>
      </w:r>
      <w:r w:rsidRPr="00557E2C">
        <w:rPr>
          <w:spacing w:val="-2"/>
          <w:rtl/>
          <w:lang w:bidi="ar-EG"/>
        </w:rPr>
        <w:tab/>
      </w:r>
      <w:r w:rsidRPr="00557E2C">
        <w:rPr>
          <w:rFonts w:hint="cs"/>
          <w:spacing w:val="-2"/>
          <w:rtl/>
          <w:lang w:bidi="ar-EG"/>
        </w:rPr>
        <w:t xml:space="preserve">ما إذا كان القضاة يراجعون حالات الإدانة المستندة حصراً إلى الاعترافات، </w:t>
      </w:r>
      <w:r w:rsidRPr="00557E2C">
        <w:rPr>
          <w:spacing w:val="-2"/>
          <w:rtl/>
          <w:lang w:bidi="ar-EG"/>
        </w:rPr>
        <w:t xml:space="preserve">نظراً </w:t>
      </w:r>
      <w:r w:rsidRPr="00557E2C">
        <w:rPr>
          <w:rFonts w:hint="cs"/>
          <w:spacing w:val="-2"/>
          <w:rtl/>
          <w:lang w:bidi="ar-EG"/>
        </w:rPr>
        <w:t xml:space="preserve">لأن العديد من الإدانات - وبعضها قد يصل إلى السجن لخمسة وعشرين عاماً حسبما تفيد التقارير - قد تكون استندت إلى </w:t>
      </w:r>
      <w:r w:rsidRPr="00557E2C">
        <w:rPr>
          <w:spacing w:val="-2"/>
          <w:rtl/>
          <w:lang w:bidi="ar-EG"/>
        </w:rPr>
        <w:t xml:space="preserve">أدلة </w:t>
      </w:r>
      <w:r w:rsidRPr="00557E2C">
        <w:rPr>
          <w:rFonts w:hint="cs"/>
          <w:spacing w:val="-2"/>
          <w:rtl/>
          <w:lang w:bidi="ar-EG"/>
        </w:rPr>
        <w:t xml:space="preserve">تم الحصول عليها عن طريق </w:t>
      </w:r>
      <w:r w:rsidRPr="00557E2C">
        <w:rPr>
          <w:spacing w:val="-2"/>
          <w:rtl/>
          <w:lang w:bidi="ar-EG"/>
        </w:rPr>
        <w:t>التعذيب وسوء المعاملة</w:t>
      </w:r>
      <w:r w:rsidRPr="00557E2C">
        <w:rPr>
          <w:rFonts w:hint="cs"/>
          <w:spacing w:val="-2"/>
          <w:rtl/>
          <w:lang w:bidi="ar-EG"/>
        </w:rPr>
        <w:t>. ويرجى أيضاً إبلاغ اللجنة بنتائج أي مراجعات من هذا القبيل؛</w:t>
      </w:r>
    </w:p>
    <w:p w14:paraId="25027270" w14:textId="77777777" w:rsidR="00557E2C" w:rsidRDefault="00557E2C" w:rsidP="00557E2C">
      <w:pPr>
        <w:pStyle w:val="SingleTxtGA"/>
        <w:spacing w:line="350" w:lineRule="exact"/>
        <w:rPr>
          <w:rtl/>
          <w:lang w:bidi="ar-EG"/>
        </w:rPr>
      </w:pPr>
      <w:r w:rsidRPr="00557E2C">
        <w:rPr>
          <w:spacing w:val="-4"/>
          <w:rtl/>
          <w:lang w:bidi="ar-EG"/>
        </w:rPr>
        <w:tab/>
      </w:r>
      <w:r w:rsidRPr="00557E2C">
        <w:rPr>
          <w:rFonts w:hint="cs"/>
          <w:spacing w:val="-4"/>
          <w:rtl/>
          <w:lang w:bidi="ar-EG"/>
        </w:rPr>
        <w:t>(د)</w:t>
      </w:r>
      <w:r w:rsidRPr="00557E2C">
        <w:rPr>
          <w:spacing w:val="-4"/>
          <w:rtl/>
          <w:lang w:bidi="ar-EG"/>
        </w:rPr>
        <w:tab/>
      </w:r>
      <w:r w:rsidRPr="00557E2C">
        <w:rPr>
          <w:rFonts w:hint="cs"/>
          <w:spacing w:val="-4"/>
          <w:rtl/>
          <w:lang w:bidi="ar-EG"/>
        </w:rPr>
        <w:t>ما إذا كانت الفترة قيد الاستعراض قد شهدت أي تحقيقات في حالات الإدانة التي أُفيد بأنها نتجت عن التعذيب وسوء المعاملة، وخاصة في سجن جو (</w:t>
      </w:r>
      <w:r w:rsidRPr="00557E2C">
        <w:rPr>
          <w:spacing w:val="-4"/>
        </w:rPr>
        <w:t>CCPR/C/BHR/CO/</w:t>
      </w:r>
      <w:r w:rsidRPr="00557E2C">
        <w:rPr>
          <w:spacing w:val="-4"/>
          <w:szCs w:val="20"/>
        </w:rPr>
        <w:t>1</w:t>
      </w:r>
      <w:r w:rsidRPr="00557E2C">
        <w:rPr>
          <w:rFonts w:hint="cs"/>
          <w:spacing w:val="-4"/>
          <w:sz w:val="28"/>
          <w:rtl/>
          <w:lang w:val="fr-CH"/>
        </w:rPr>
        <w:t xml:space="preserve">، الفقرة </w:t>
      </w:r>
      <w:r w:rsidRPr="00557E2C">
        <w:rPr>
          <w:rFonts w:hint="cs"/>
          <w:spacing w:val="-4"/>
          <w:sz w:val="28"/>
          <w:szCs w:val="20"/>
          <w:rtl/>
          <w:lang w:val="fr-CH"/>
        </w:rPr>
        <w:t>37</w:t>
      </w:r>
      <w:r w:rsidRPr="00557E2C">
        <w:rPr>
          <w:rFonts w:hint="cs"/>
          <w:spacing w:val="-4"/>
          <w:sz w:val="28"/>
          <w:rtl/>
          <w:lang w:val="fr-CH"/>
        </w:rPr>
        <w:t>)</w:t>
      </w:r>
      <w:r w:rsidRPr="00557E2C">
        <w:rPr>
          <w:rFonts w:hint="cs"/>
          <w:spacing w:val="-4"/>
          <w:rtl/>
          <w:lang w:bidi="ar-EG"/>
        </w:rPr>
        <w:t>؛</w:t>
      </w:r>
      <w:r>
        <w:rPr>
          <w:rFonts w:hint="cs"/>
          <w:rtl/>
          <w:lang w:bidi="ar-EG"/>
        </w:rPr>
        <w:t xml:space="preserve"> وما إذا كانت الاعترافات المنتزعة بالإكراه لا تزال تستخدم كأدلة في المحاكم؛ وما إذا كانت ادعاءات الاعترافات القسرية، بما فيها المنتزعة تحت التعذيب وسوء المعاملة، قد تم التحقيق فيها على النحو الملائم؛ وما إذا كان عبء إثبات أن الاعترافات قد أُدلي بها طوعاً يقع على سلطات الدولة (</w:t>
      </w:r>
      <w:r w:rsidRPr="00C36CF1">
        <w:t>CCPR/C/BHR/CO/</w:t>
      </w:r>
      <w:r w:rsidRPr="00557E2C">
        <w:rPr>
          <w:szCs w:val="20"/>
        </w:rPr>
        <w:t>1</w:t>
      </w:r>
      <w:r>
        <w:rPr>
          <w:rFonts w:hint="cs"/>
          <w:rtl/>
          <w:lang w:bidi="ar-EG"/>
        </w:rPr>
        <w:t xml:space="preserve">، الفقرة </w:t>
      </w:r>
      <w:r w:rsidRPr="00557E2C">
        <w:rPr>
          <w:rFonts w:hint="cs"/>
          <w:szCs w:val="20"/>
          <w:rtl/>
          <w:lang w:bidi="ar-EG"/>
        </w:rPr>
        <w:t>38</w:t>
      </w:r>
      <w:r>
        <w:rPr>
          <w:rFonts w:hint="cs"/>
          <w:rtl/>
          <w:lang w:bidi="ar-EG"/>
        </w:rPr>
        <w:t xml:space="preserve">)؛ وما إذا كانت أي تدابير تصحيحية قد اتُخذت وما إذا كان أي مسؤول قد حوكم وعوقب على انتزاع هذه الاعترافات ونوع العقوبة المنزلة به. </w:t>
      </w:r>
    </w:p>
    <w:p w14:paraId="69ECFA8B" w14:textId="77777777" w:rsidR="00557E2C" w:rsidRPr="00F520E4" w:rsidRDefault="00557E2C" w:rsidP="00557E2C">
      <w:pPr>
        <w:pStyle w:val="SingleTxtGA"/>
        <w:spacing w:line="350" w:lineRule="exact"/>
        <w:rPr>
          <w:rtl/>
          <w:lang w:bidi="ar-EG"/>
        </w:rPr>
      </w:pPr>
      <w:r w:rsidRPr="00557E2C">
        <w:rPr>
          <w:rFonts w:hint="cs"/>
          <w:szCs w:val="20"/>
          <w:rtl/>
          <w:lang w:bidi="ar-EG"/>
        </w:rPr>
        <w:t>5</w:t>
      </w:r>
      <w:r w:rsidRPr="007E6CD8">
        <w:rPr>
          <w:rFonts w:hint="cs"/>
          <w:rtl/>
          <w:lang w:bidi="ar-EG"/>
        </w:rPr>
        <w:t>-</w:t>
      </w:r>
      <w:r w:rsidRPr="007E6CD8">
        <w:rPr>
          <w:rtl/>
          <w:lang w:bidi="ar-EG"/>
        </w:rPr>
        <w:tab/>
      </w:r>
      <w:r w:rsidRPr="00F520E4">
        <w:rPr>
          <w:rtl/>
          <w:lang w:bidi="ar-EG"/>
        </w:rPr>
        <w:t xml:space="preserve">وبالإشارة إلى الملاحظات الختامية السابقة للجنة (الفقرتان </w:t>
      </w:r>
      <w:r w:rsidRPr="00F520E4">
        <w:rPr>
          <w:rFonts w:eastAsia="SimSun"/>
          <w:sz w:val="12"/>
          <w:szCs w:val="20"/>
          <w:rtl/>
          <w:lang w:bidi="ar-EG"/>
        </w:rPr>
        <w:t>14</w:t>
      </w:r>
      <w:r w:rsidRPr="00F520E4">
        <w:rPr>
          <w:rFonts w:hint="cs"/>
          <w:rtl/>
          <w:lang w:bidi="ar-EG"/>
        </w:rPr>
        <w:t xml:space="preserve"> </w:t>
      </w:r>
      <w:r w:rsidRPr="00F520E4">
        <w:rPr>
          <w:rFonts w:eastAsia="SimSun"/>
          <w:rtl/>
          <w:lang w:bidi="ar-EG"/>
        </w:rPr>
        <w:t>و</w:t>
      </w:r>
      <w:r w:rsidRPr="00F520E4">
        <w:rPr>
          <w:rFonts w:eastAsia="SimSun"/>
          <w:sz w:val="12"/>
          <w:szCs w:val="20"/>
          <w:rtl/>
          <w:lang w:bidi="ar-EG"/>
        </w:rPr>
        <w:t>15</w:t>
      </w:r>
      <w:r w:rsidRPr="00F520E4">
        <w:rPr>
          <w:rtl/>
          <w:lang w:bidi="ar-EG"/>
        </w:rPr>
        <w:t>)، يرجى تقديم معلومات عما إذا كانت الفترة قيد الاستعراض قد شهدت تحسناً في مجال تمتع الأشخاص المسلوبة حريتهم بالضمانات القانونية الأساسية منذ بدء احتجازهم، وفقاً للمعايير الدولية. وبالإضافة إلى ذلك، يرجى الإشارة إلى ما إذا كان الأشخاص المسلوبة حريتهم يُستجوبون حصراً في غرف مزودة بأجهزة سمعية - بصرية لتسجيل استجوابات المشتبه بهم والمحتجزين، وما إذا كانت هذه الأجهزة مركبة من أجل تحديد أي حالة تعذيب والتحقيق فيها.</w:t>
      </w:r>
      <w:r w:rsidRPr="00F520E4">
        <w:rPr>
          <w:rFonts w:hint="cs"/>
          <w:rtl/>
          <w:lang w:bidi="ar-EG"/>
        </w:rPr>
        <w:t xml:space="preserve"> </w:t>
      </w:r>
    </w:p>
    <w:p w14:paraId="435487C1" w14:textId="77777777" w:rsidR="00557E2C" w:rsidRDefault="00557E2C" w:rsidP="00557E2C">
      <w:pPr>
        <w:pStyle w:val="SingleTxtGA"/>
        <w:rPr>
          <w:rtl/>
          <w:lang w:bidi="ar-EG"/>
        </w:rPr>
      </w:pPr>
      <w:r w:rsidRPr="00557E2C">
        <w:rPr>
          <w:rFonts w:hint="cs"/>
          <w:szCs w:val="20"/>
          <w:rtl/>
          <w:lang w:bidi="ar-EG"/>
        </w:rPr>
        <w:t>6</w:t>
      </w:r>
      <w:r>
        <w:rPr>
          <w:rFonts w:hint="cs"/>
          <w:rtl/>
          <w:lang w:bidi="ar-EG"/>
        </w:rPr>
        <w:t>-</w:t>
      </w:r>
      <w:r>
        <w:rPr>
          <w:rtl/>
          <w:lang w:bidi="ar-EG"/>
        </w:rPr>
        <w:tab/>
      </w:r>
      <w:r>
        <w:rPr>
          <w:rFonts w:hint="cs"/>
          <w:rtl/>
          <w:lang w:bidi="ar-EG"/>
        </w:rPr>
        <w:t xml:space="preserve">وبالإشارة إلى الملاحظات الختامية السابقة للجنة (الفقرتان </w:t>
      </w:r>
      <w:r w:rsidRPr="00557E2C">
        <w:rPr>
          <w:rFonts w:hint="cs"/>
          <w:szCs w:val="20"/>
          <w:rtl/>
          <w:lang w:bidi="ar-EG"/>
        </w:rPr>
        <w:t>8</w:t>
      </w:r>
      <w:r>
        <w:rPr>
          <w:rFonts w:hint="cs"/>
          <w:rtl/>
          <w:lang w:bidi="ar-EG"/>
        </w:rPr>
        <w:t xml:space="preserve"> و</w:t>
      </w:r>
      <w:r w:rsidRPr="00557E2C">
        <w:rPr>
          <w:rFonts w:hint="cs"/>
          <w:szCs w:val="20"/>
          <w:rtl/>
          <w:lang w:bidi="ar-EG"/>
        </w:rPr>
        <w:t>9</w:t>
      </w:r>
      <w:r>
        <w:rPr>
          <w:rFonts w:hint="cs"/>
          <w:rtl/>
          <w:lang w:bidi="ar-EG"/>
        </w:rPr>
        <w:t xml:space="preserve">)، يرجى تقديم معلومات عن التدابير المحددة المتخذة للتنفيذ الفعال لتوصيات </w:t>
      </w:r>
      <w:r w:rsidRPr="005C33E4">
        <w:rPr>
          <w:rtl/>
          <w:lang w:bidi="ar-EG"/>
        </w:rPr>
        <w:t>اللجنة البحرينية المستقلة لتقصي الحقائق</w:t>
      </w:r>
      <w:r>
        <w:rPr>
          <w:rFonts w:hint="cs"/>
          <w:rtl/>
          <w:lang w:bidi="ar-EG"/>
        </w:rPr>
        <w:t xml:space="preserve">، وخاصة التوصية رقم </w:t>
      </w:r>
      <w:r w:rsidRPr="00557E2C">
        <w:rPr>
          <w:rFonts w:hint="cs"/>
          <w:szCs w:val="20"/>
          <w:rtl/>
          <w:lang w:bidi="ar-EG"/>
        </w:rPr>
        <w:t>1719</w:t>
      </w:r>
      <w:r>
        <w:rPr>
          <w:rFonts w:hint="cs"/>
          <w:rtl/>
          <w:lang w:bidi="ar-EG"/>
        </w:rPr>
        <w:t>، بهدف الحد من حدوث التعذيب وسوء المعاملة في جميع أماكن سلب الحرية والقضاء على الإفلات من العقاب على تلك الجرائم. ويرجى الإشارة إلى ما إذا كانت الفترة قيد الاستعراض قد شهدت وضع خطة لتنفيذ توصيات اللجنة البحرينية المستقلة لتقصي الحقائق.</w:t>
      </w:r>
    </w:p>
    <w:p w14:paraId="1CE8C81D" w14:textId="77777777" w:rsidR="00557E2C" w:rsidRDefault="00557E2C" w:rsidP="00557E2C">
      <w:pPr>
        <w:pStyle w:val="SingleTxtGA"/>
        <w:rPr>
          <w:rtl/>
        </w:rPr>
      </w:pPr>
      <w:r w:rsidRPr="00557E2C">
        <w:rPr>
          <w:rFonts w:hint="cs"/>
          <w:szCs w:val="20"/>
          <w:rtl/>
          <w:lang w:bidi="ar-EG"/>
        </w:rPr>
        <w:t>7</w:t>
      </w:r>
      <w:r>
        <w:rPr>
          <w:rFonts w:hint="cs"/>
          <w:rtl/>
          <w:lang w:bidi="ar-EG"/>
        </w:rPr>
        <w:t>-</w:t>
      </w:r>
      <w:r>
        <w:rPr>
          <w:rtl/>
          <w:lang w:bidi="ar-EG"/>
        </w:rPr>
        <w:tab/>
      </w:r>
      <w:r>
        <w:rPr>
          <w:rFonts w:hint="cs"/>
          <w:rtl/>
          <w:lang w:bidi="ar-EG"/>
        </w:rPr>
        <w:t xml:space="preserve">وبالإشارة إلى الملاحظات الختامية السابقة للجنة (الفقرتان </w:t>
      </w:r>
      <w:r w:rsidRPr="00557E2C">
        <w:rPr>
          <w:rFonts w:hint="cs"/>
          <w:szCs w:val="20"/>
          <w:rtl/>
          <w:lang w:bidi="ar-EG"/>
        </w:rPr>
        <w:t>10</w:t>
      </w:r>
      <w:r>
        <w:rPr>
          <w:rFonts w:hint="cs"/>
          <w:rtl/>
          <w:lang w:bidi="ar-EG"/>
        </w:rPr>
        <w:t xml:space="preserve"> و</w:t>
      </w:r>
      <w:r w:rsidRPr="00557E2C">
        <w:rPr>
          <w:rFonts w:hint="cs"/>
          <w:szCs w:val="20"/>
          <w:rtl/>
          <w:lang w:bidi="ar-EG"/>
        </w:rPr>
        <w:t>11</w:t>
      </w:r>
      <w:r>
        <w:rPr>
          <w:rFonts w:hint="cs"/>
          <w:rtl/>
          <w:lang w:bidi="ar-EG"/>
        </w:rPr>
        <w:t xml:space="preserve">)، يرجى تقديم معلومات محدثة بشأن ما يلي: </w:t>
      </w:r>
    </w:p>
    <w:p w14:paraId="2951C193" w14:textId="1F3DE8A6" w:rsidR="00557E2C" w:rsidRPr="007E6CD8" w:rsidRDefault="00557E2C" w:rsidP="00557E2C">
      <w:pPr>
        <w:pStyle w:val="SingleTxtGA"/>
        <w:rPr>
          <w:rFonts w:hint="cs"/>
          <w:rtl/>
        </w:rPr>
      </w:pPr>
      <w:r w:rsidRPr="007E6CD8">
        <w:rPr>
          <w:rtl/>
          <w:lang w:bidi="ar-EG"/>
        </w:rPr>
        <w:tab/>
      </w:r>
      <w:r w:rsidRPr="007E6CD8">
        <w:rPr>
          <w:rFonts w:hint="cs"/>
          <w:rtl/>
          <w:lang w:bidi="ar-EG"/>
        </w:rPr>
        <w:t>(أ)</w:t>
      </w:r>
      <w:r w:rsidRPr="007E6CD8">
        <w:rPr>
          <w:rtl/>
          <w:lang w:bidi="ar-EG"/>
        </w:rPr>
        <w:tab/>
      </w:r>
      <w:r w:rsidRPr="007E6CD8">
        <w:rPr>
          <w:rFonts w:hint="cs"/>
          <w:rtl/>
          <w:lang w:bidi="ar-EG"/>
        </w:rPr>
        <w:t>أي خطوات متخذة لإلغاء الأحكام التشريعية (التعديلات التي أُدخلت على المادة</w:t>
      </w:r>
      <w:r w:rsidRPr="007E6CD8">
        <w:rPr>
          <w:rFonts w:hint="eastAsia"/>
          <w:rtl/>
          <w:lang w:bidi="ar-EG"/>
        </w:rPr>
        <w:t> </w:t>
      </w:r>
      <w:r w:rsidRPr="00557E2C">
        <w:rPr>
          <w:rFonts w:hint="cs"/>
          <w:szCs w:val="20"/>
          <w:rtl/>
          <w:lang w:bidi="ar-EG"/>
        </w:rPr>
        <w:t>105</w:t>
      </w:r>
      <w:r w:rsidRPr="007E6CD8">
        <w:rPr>
          <w:rFonts w:hint="cs"/>
          <w:rtl/>
          <w:lang w:bidi="ar-EG"/>
        </w:rPr>
        <w:t xml:space="preserve">(ب) من الدستور في آذار/مارس </w:t>
      </w:r>
      <w:r w:rsidRPr="00557E2C">
        <w:rPr>
          <w:rFonts w:hint="cs"/>
          <w:szCs w:val="20"/>
          <w:rtl/>
          <w:lang w:bidi="ar-EG"/>
        </w:rPr>
        <w:t>2017</w:t>
      </w:r>
      <w:r w:rsidRPr="007E6CD8">
        <w:rPr>
          <w:rFonts w:hint="cs"/>
          <w:rtl/>
          <w:lang w:bidi="ar-EG"/>
        </w:rPr>
        <w:t xml:space="preserve"> وعلى قانون القضاء العسكري في نيسان/</w:t>
      </w:r>
      <w:r w:rsidR="00A14522">
        <w:rPr>
          <w:rFonts w:hint="cs"/>
          <w:rtl/>
          <w:lang w:bidi="ar-EG"/>
        </w:rPr>
        <w:t xml:space="preserve"> </w:t>
      </w:r>
      <w:r w:rsidRPr="007E6CD8">
        <w:rPr>
          <w:rFonts w:hint="cs"/>
          <w:rtl/>
          <w:lang w:bidi="ar-EG"/>
        </w:rPr>
        <w:t>أبريل</w:t>
      </w:r>
      <w:r w:rsidR="00A14522">
        <w:rPr>
          <w:rFonts w:hint="eastAsia"/>
          <w:rtl/>
          <w:lang w:bidi="ar-EG"/>
        </w:rPr>
        <w:t> </w:t>
      </w:r>
      <w:r w:rsidRPr="00557E2C">
        <w:rPr>
          <w:rFonts w:hint="cs"/>
          <w:szCs w:val="20"/>
          <w:rtl/>
          <w:lang w:bidi="ar-EG"/>
        </w:rPr>
        <w:t>2017</w:t>
      </w:r>
      <w:r w:rsidRPr="007E6CD8">
        <w:rPr>
          <w:rFonts w:hint="cs"/>
          <w:rtl/>
          <w:lang w:bidi="ar-EG"/>
        </w:rPr>
        <w:t xml:space="preserve">) التي تجيز </w:t>
      </w:r>
      <w:r w:rsidRPr="007E6CD8">
        <w:rPr>
          <w:rtl/>
          <w:lang w:bidi="ar-EG"/>
        </w:rPr>
        <w:t xml:space="preserve">محاكمة </w:t>
      </w:r>
      <w:r w:rsidRPr="007E6CD8">
        <w:rPr>
          <w:rFonts w:hint="cs"/>
          <w:rtl/>
          <w:lang w:bidi="ar-EG"/>
        </w:rPr>
        <w:t xml:space="preserve">المدنيين أمام </w:t>
      </w:r>
      <w:r w:rsidRPr="007E6CD8">
        <w:rPr>
          <w:rtl/>
          <w:lang w:bidi="ar-EG"/>
        </w:rPr>
        <w:t xml:space="preserve">المحاكم العسكرية </w:t>
      </w:r>
      <w:r w:rsidRPr="007E6CD8">
        <w:rPr>
          <w:rFonts w:hint="cs"/>
          <w:rtl/>
          <w:lang w:bidi="ar-EG"/>
        </w:rPr>
        <w:t>خارج إطار حالة طوارئ معلنة</w:t>
      </w:r>
      <w:r>
        <w:rPr>
          <w:rFonts w:hint="cs"/>
          <w:rtl/>
          <w:lang w:bidi="ar-EG"/>
        </w:rPr>
        <w:t xml:space="preserve"> (</w:t>
      </w:r>
      <w:r w:rsidRPr="00C36CF1">
        <w:t>CCPR/C/BHR/CO/</w:t>
      </w:r>
      <w:r w:rsidRPr="00557E2C">
        <w:rPr>
          <w:szCs w:val="20"/>
        </w:rPr>
        <w:t>1</w:t>
      </w:r>
      <w:r>
        <w:rPr>
          <w:rFonts w:hint="cs"/>
          <w:rtl/>
          <w:lang w:bidi="ar-EG"/>
        </w:rPr>
        <w:t xml:space="preserve">، الفقرة </w:t>
      </w:r>
      <w:r w:rsidRPr="00557E2C">
        <w:rPr>
          <w:rFonts w:hint="cs"/>
          <w:szCs w:val="20"/>
          <w:rtl/>
          <w:lang w:bidi="ar-EG"/>
        </w:rPr>
        <w:t>13</w:t>
      </w:r>
      <w:r>
        <w:rPr>
          <w:rFonts w:hint="cs"/>
          <w:rtl/>
          <w:lang w:bidi="ar-EG"/>
        </w:rPr>
        <w:t>)</w:t>
      </w:r>
      <w:r w:rsidRPr="007E6CD8">
        <w:rPr>
          <w:rFonts w:hint="cs"/>
          <w:rtl/>
          <w:lang w:bidi="ar-EG"/>
        </w:rPr>
        <w:t xml:space="preserve">، وهو ما يبدو متعارضاً مع التوصية رقم </w:t>
      </w:r>
      <w:r w:rsidRPr="00557E2C">
        <w:rPr>
          <w:rFonts w:hint="cs"/>
          <w:szCs w:val="20"/>
          <w:rtl/>
          <w:lang w:bidi="ar-EG"/>
        </w:rPr>
        <w:t>1720</w:t>
      </w:r>
      <w:r w:rsidRPr="007E6CD8">
        <w:rPr>
          <w:rFonts w:hint="cs"/>
          <w:rtl/>
          <w:lang w:bidi="ar-EG"/>
        </w:rPr>
        <w:t xml:space="preserve"> </w:t>
      </w:r>
      <w:r w:rsidRPr="007E6CD8">
        <w:rPr>
          <w:rtl/>
          <w:lang w:bidi="ar-EG"/>
        </w:rPr>
        <w:t>للجنة البحرينية المستقلة لتقصي الحقائق</w:t>
      </w:r>
      <w:r>
        <w:rPr>
          <w:rFonts w:hint="cs"/>
          <w:rtl/>
          <w:lang w:bidi="ar-EG"/>
        </w:rPr>
        <w:t>؛</w:t>
      </w:r>
    </w:p>
    <w:p w14:paraId="407BF15B"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الخطوات المتخذة لتنفيذ التوصية رقم </w:t>
      </w:r>
      <w:r w:rsidRPr="00557E2C">
        <w:rPr>
          <w:rFonts w:hint="cs"/>
          <w:szCs w:val="20"/>
          <w:rtl/>
          <w:lang w:bidi="ar-EG"/>
        </w:rPr>
        <w:t>1720</w:t>
      </w:r>
      <w:r>
        <w:rPr>
          <w:rFonts w:hint="cs"/>
          <w:rtl/>
          <w:lang w:bidi="ar-EG"/>
        </w:rPr>
        <w:t xml:space="preserve"> </w:t>
      </w:r>
      <w:r w:rsidRPr="005C33E4">
        <w:rPr>
          <w:rtl/>
          <w:lang w:bidi="ar-EG"/>
        </w:rPr>
        <w:t>للجنة البحرينية المستقلة لتقصي الحقائق</w:t>
      </w:r>
      <w:r>
        <w:rPr>
          <w:rFonts w:hint="cs"/>
          <w:rtl/>
          <w:lang w:bidi="ar-EG"/>
        </w:rPr>
        <w:t xml:space="preserve">، وبشأن أي مراجعات كاملة في المحاكم العادية للإدانات والعقوبات الصادرة عن محاكم السلامة الوطنية التي لا تحترم إجراءاتها المبادئ الأساسية للمحاكمة العادلة، بما في ذلك إمكانية الاستعانة الفورية والكاملة بمحام وعدم مقبولية الشهادة بالإكراه؛  </w:t>
      </w:r>
    </w:p>
    <w:p w14:paraId="6DE6F870"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 xml:space="preserve">الخطوات المتخذة لتنفيذ التوصية رقم </w:t>
      </w:r>
      <w:r w:rsidRPr="00557E2C">
        <w:rPr>
          <w:rFonts w:hint="cs"/>
          <w:szCs w:val="20"/>
          <w:rtl/>
          <w:lang w:bidi="ar-EG"/>
        </w:rPr>
        <w:t>1718</w:t>
      </w:r>
      <w:r>
        <w:rPr>
          <w:rFonts w:hint="cs"/>
          <w:rtl/>
          <w:lang w:bidi="ar-EG"/>
        </w:rPr>
        <w:t xml:space="preserve"> </w:t>
      </w:r>
      <w:r w:rsidRPr="005C33E4">
        <w:rPr>
          <w:rtl/>
          <w:lang w:bidi="ar-EG"/>
        </w:rPr>
        <w:t>للجنة البحرينية المستقلة لتقصي الحقائق</w:t>
      </w:r>
      <w:r>
        <w:rPr>
          <w:rFonts w:hint="cs"/>
          <w:rtl/>
          <w:lang w:bidi="ar-EG"/>
        </w:rPr>
        <w:t xml:space="preserve"> الرامية إلى ضمان أن يكون </w:t>
      </w:r>
      <w:r w:rsidRPr="004B7307">
        <w:rPr>
          <w:rtl/>
          <w:lang w:bidi="ar-EG"/>
        </w:rPr>
        <w:t>جهاز الأمن الوطني جهازاً لجمع المعلومات الاستخباراتية لا يمتلك صلاحيتي إنفاذ القانون والتوقيف.</w:t>
      </w:r>
    </w:p>
    <w:p w14:paraId="50D5CC5C" w14:textId="77777777" w:rsidR="00557E2C" w:rsidRDefault="00557E2C" w:rsidP="00557E2C">
      <w:pPr>
        <w:pStyle w:val="SingleTxtGA"/>
        <w:rPr>
          <w:rtl/>
          <w:lang w:bidi="ar-EG"/>
        </w:rPr>
      </w:pPr>
      <w:r w:rsidRPr="00557E2C">
        <w:rPr>
          <w:rFonts w:hint="cs"/>
          <w:szCs w:val="20"/>
          <w:rtl/>
          <w:lang w:bidi="ar-EG"/>
        </w:rPr>
        <w:t>8</w:t>
      </w:r>
      <w:r>
        <w:rPr>
          <w:rFonts w:hint="cs"/>
          <w:rtl/>
          <w:lang w:bidi="ar-EG"/>
        </w:rPr>
        <w:t>-</w:t>
      </w:r>
      <w:r>
        <w:rPr>
          <w:rtl/>
          <w:lang w:bidi="ar-EG"/>
        </w:rPr>
        <w:tab/>
      </w:r>
      <w:r w:rsidRPr="00E35075">
        <w:rPr>
          <w:rtl/>
          <w:lang w:bidi="ar-EG"/>
        </w:rPr>
        <w:t xml:space="preserve">وبالإشارة إلى الملاحظات الختامية السابقة للجنة (الفقرتان </w:t>
      </w:r>
      <w:r w:rsidRPr="00557E2C">
        <w:rPr>
          <w:rFonts w:hint="cs"/>
          <w:szCs w:val="20"/>
          <w:rtl/>
          <w:lang w:bidi="ar-EG"/>
        </w:rPr>
        <w:t>26</w:t>
      </w:r>
      <w:r>
        <w:rPr>
          <w:rFonts w:hint="cs"/>
          <w:rtl/>
          <w:lang w:bidi="ar-EG"/>
        </w:rPr>
        <w:t xml:space="preserve"> و</w:t>
      </w:r>
      <w:r w:rsidRPr="00557E2C">
        <w:rPr>
          <w:rFonts w:hint="cs"/>
          <w:szCs w:val="20"/>
          <w:rtl/>
          <w:lang w:bidi="ar-EG"/>
        </w:rPr>
        <w:t>27</w:t>
      </w:r>
      <w:r w:rsidRPr="00E35075">
        <w:rPr>
          <w:rtl/>
          <w:lang w:bidi="ar-EG"/>
        </w:rPr>
        <w:t xml:space="preserve">)، يرجى تقديم معلومات محدثة </w:t>
      </w:r>
      <w:r>
        <w:rPr>
          <w:rFonts w:hint="cs"/>
          <w:rtl/>
          <w:lang w:bidi="ar-EG"/>
        </w:rPr>
        <w:t xml:space="preserve">عن أي خطوات متخذة لتعديل التشريعات الوطنية بهدف رفع السن الدنيا للمسؤولية الجنائية. ويرجى أيضاً تقديم معلومات عن أي خطوات متخذة لاستخدام تدابير غير احتجازية فيما يتعلق بالقصر المخالفين للقانون؛ وعدم احتجاز القصر </w:t>
      </w:r>
      <w:r w:rsidRPr="003C7E51">
        <w:rPr>
          <w:rtl/>
          <w:lang w:bidi="ar-EG"/>
        </w:rPr>
        <w:t>إلا كتدبير أخير ولأقصر مدة ممكنة</w:t>
      </w:r>
      <w:r>
        <w:rPr>
          <w:rFonts w:hint="cs"/>
          <w:rtl/>
          <w:lang w:bidi="ar-EG"/>
        </w:rPr>
        <w:t xml:space="preserve">؛ وضمان تمتعهم بالضمانات القانونية الكاملة؛ وعدم تعرضهم للتعذيب؛ وفصلهم عن البالغين أثناء الاحتجاز. وبالإضافة إلى ذلك، يرجى تقديم معلومات عن وضع حوالي مائتين من القصر سُجنوا في عام </w:t>
      </w:r>
      <w:r w:rsidRPr="00557E2C">
        <w:rPr>
          <w:rFonts w:hint="cs"/>
          <w:szCs w:val="20"/>
          <w:rtl/>
          <w:lang w:bidi="ar-EG"/>
        </w:rPr>
        <w:t>2015</w:t>
      </w:r>
      <w:r>
        <w:rPr>
          <w:rFonts w:hint="cs"/>
          <w:rtl/>
          <w:lang w:bidi="ar-EG"/>
        </w:rPr>
        <w:t xml:space="preserve"> وكان نصفهم تقريباً محتجزين في مرافق للبالغين بسبب الاكتظاظ. </w:t>
      </w:r>
    </w:p>
    <w:p w14:paraId="350DC003" w14:textId="77777777" w:rsidR="00557E2C" w:rsidRDefault="00557E2C" w:rsidP="00557E2C">
      <w:pPr>
        <w:pStyle w:val="SingleTxtGA"/>
        <w:rPr>
          <w:rtl/>
          <w:lang w:bidi="ar-EG"/>
        </w:rPr>
      </w:pPr>
      <w:r w:rsidRPr="00557E2C">
        <w:rPr>
          <w:rFonts w:hint="cs"/>
          <w:szCs w:val="20"/>
          <w:rtl/>
          <w:lang w:bidi="ar-EG"/>
        </w:rPr>
        <w:t>9</w:t>
      </w:r>
      <w:r>
        <w:rPr>
          <w:rFonts w:hint="cs"/>
          <w:rtl/>
          <w:lang w:bidi="ar-EG"/>
        </w:rPr>
        <w:t>-</w:t>
      </w:r>
      <w:r>
        <w:rPr>
          <w:rtl/>
          <w:lang w:bidi="ar-EG"/>
        </w:rPr>
        <w:tab/>
      </w:r>
      <w:r w:rsidRPr="00E35075">
        <w:rPr>
          <w:rtl/>
          <w:lang w:bidi="ar-EG"/>
        </w:rPr>
        <w:t xml:space="preserve">وبالإشارة إلى الملاحظات الختامية السابقة للجنة (الفقرتان </w:t>
      </w:r>
      <w:r w:rsidRPr="00557E2C">
        <w:rPr>
          <w:rFonts w:hint="cs"/>
          <w:szCs w:val="20"/>
          <w:rtl/>
          <w:lang w:bidi="ar-EG"/>
        </w:rPr>
        <w:t>18</w:t>
      </w:r>
      <w:r>
        <w:rPr>
          <w:rFonts w:hint="cs"/>
          <w:rtl/>
          <w:lang w:bidi="ar-EG"/>
        </w:rPr>
        <w:t xml:space="preserve"> و</w:t>
      </w:r>
      <w:r w:rsidRPr="00557E2C">
        <w:rPr>
          <w:rFonts w:hint="cs"/>
          <w:szCs w:val="20"/>
          <w:rtl/>
          <w:lang w:bidi="ar-EG"/>
        </w:rPr>
        <w:t>19</w:t>
      </w:r>
      <w:r w:rsidRPr="00E35075">
        <w:rPr>
          <w:rtl/>
          <w:lang w:bidi="ar-EG"/>
        </w:rPr>
        <w:t xml:space="preserve">)، يرجى تقديم معلومات محدثة </w:t>
      </w:r>
      <w:r>
        <w:rPr>
          <w:rFonts w:hint="cs"/>
          <w:rtl/>
          <w:lang w:bidi="ar-EG"/>
        </w:rPr>
        <w:t xml:space="preserve">بشأن ما يلي: </w:t>
      </w:r>
    </w:p>
    <w:p w14:paraId="6B8BFDB7"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ما إذا كان الأشخاص الموقوفون بتهم جنائية، بما في ذلك بموجب قانون حماية المجتمع من الأعمال الإرهابية، يعرضون على قاض في غضون </w:t>
      </w:r>
      <w:r w:rsidRPr="00557E2C">
        <w:rPr>
          <w:rFonts w:hint="cs"/>
          <w:szCs w:val="20"/>
          <w:rtl/>
          <w:lang w:bidi="ar-EG"/>
        </w:rPr>
        <w:t>48</w:t>
      </w:r>
      <w:r>
        <w:rPr>
          <w:rFonts w:hint="cs"/>
          <w:rtl/>
          <w:lang w:bidi="ar-EG"/>
        </w:rPr>
        <w:t xml:space="preserve"> ساعة؛ </w:t>
      </w:r>
    </w:p>
    <w:p w14:paraId="74915262"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ما إذا كان الاحتجاز السابق للمحاكمة منظماً بشكل واضح، وخاضعاً </w:t>
      </w:r>
      <w:r w:rsidRPr="00F40879">
        <w:rPr>
          <w:rtl/>
          <w:lang w:bidi="ar-EG"/>
        </w:rPr>
        <w:t>على الدوام للإشراف القضائي لكفالة الضمانات القانونية الأساسية</w:t>
      </w:r>
      <w:r>
        <w:rPr>
          <w:rFonts w:hint="cs"/>
          <w:rtl/>
          <w:lang w:bidi="ar-EG"/>
        </w:rPr>
        <w:t xml:space="preserve">، وتم تقصير مدته، ويُستخدَم كتدبير أخير ولمدد زمنية محدودة. ويُرجى أيضاً تقديم معلومات عما إذا كان قد تم </w:t>
      </w:r>
      <w:r w:rsidRPr="00F40879">
        <w:rPr>
          <w:rtl/>
          <w:lang w:bidi="ar-EG"/>
        </w:rPr>
        <w:t xml:space="preserve">الاستعاضة عن </w:t>
      </w:r>
      <w:r>
        <w:rPr>
          <w:rFonts w:hint="cs"/>
          <w:rtl/>
          <w:lang w:bidi="ar-EG"/>
        </w:rPr>
        <w:t xml:space="preserve">الاحتجاز السابق للمحاكمة </w:t>
      </w:r>
      <w:r w:rsidRPr="00F40879">
        <w:rPr>
          <w:rtl/>
          <w:lang w:bidi="ar-EG"/>
        </w:rPr>
        <w:t>في الجرائم البسيطة بتدابير غير احتجازية، وفقاً لقواعد الأمم المتحدة الدنيا النموذجية للتدابير غير الاحتجازية (قواعد طوكيو)</w:t>
      </w:r>
      <w:r>
        <w:rPr>
          <w:rFonts w:hint="cs"/>
          <w:rtl/>
          <w:lang w:bidi="ar-EG"/>
        </w:rPr>
        <w:t>، وما إذا كان قد تم جبر الضرر الذي لحق بضحايا الاحتجاز السابق للمحاكمة المطول من دون مبرر، بما يشمل التعويض؛</w:t>
      </w:r>
    </w:p>
    <w:p w14:paraId="06127204"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 xml:space="preserve">أية تعديلات على المادة </w:t>
      </w:r>
      <w:r w:rsidRPr="00557E2C">
        <w:rPr>
          <w:rFonts w:hint="cs"/>
          <w:szCs w:val="20"/>
          <w:rtl/>
          <w:lang w:bidi="ar-EG"/>
        </w:rPr>
        <w:t>147</w:t>
      </w:r>
      <w:r>
        <w:rPr>
          <w:rFonts w:hint="cs"/>
          <w:rtl/>
          <w:lang w:bidi="ar-EG"/>
        </w:rPr>
        <w:t xml:space="preserve"> من قانون الإجراءات الجنائية التي </w:t>
      </w:r>
      <w:r w:rsidRPr="00225FC1">
        <w:rPr>
          <w:rtl/>
          <w:lang w:bidi="ar-EG"/>
        </w:rPr>
        <w:t xml:space="preserve">تُجيز </w:t>
      </w:r>
      <w:r w:rsidRPr="00F54E31">
        <w:rPr>
          <w:rtl/>
          <w:lang w:bidi="ar-EG"/>
        </w:rPr>
        <w:t xml:space="preserve">لمحكمة </w:t>
      </w:r>
      <w:r w:rsidRPr="00F54E31">
        <w:rPr>
          <w:rFonts w:hint="cs"/>
          <w:rtl/>
          <w:lang w:bidi="ar-EG"/>
        </w:rPr>
        <w:t>أدنى</w:t>
      </w:r>
      <w:r>
        <w:rPr>
          <w:rFonts w:hint="cs"/>
          <w:rtl/>
          <w:lang w:bidi="ar-EG"/>
        </w:rPr>
        <w:t xml:space="preserve"> </w:t>
      </w:r>
      <w:r w:rsidRPr="00225FC1">
        <w:rPr>
          <w:rtl/>
          <w:lang w:bidi="ar-EG"/>
        </w:rPr>
        <w:t xml:space="preserve">فرض </w:t>
      </w:r>
      <w:r w:rsidRPr="00811AD1">
        <w:rPr>
          <w:rFonts w:hint="cs"/>
          <w:rtl/>
          <w:lang w:bidi="ar-EG"/>
        </w:rPr>
        <w:t>الحبس الاحتياطي</w:t>
      </w:r>
      <w:r>
        <w:rPr>
          <w:rFonts w:hint="cs"/>
          <w:rtl/>
          <w:lang w:bidi="ar-EG"/>
        </w:rPr>
        <w:t xml:space="preserve"> </w:t>
      </w:r>
      <w:r w:rsidRPr="00225FC1">
        <w:rPr>
          <w:rtl/>
          <w:lang w:bidi="ar-EG"/>
        </w:rPr>
        <w:t>لمدة أو مدد متعاقبة لا تزيد عن ثلاثين يوماً على ألا تتجاوز كل منها خمسة عشر يوماً</w:t>
      </w:r>
      <w:r>
        <w:rPr>
          <w:rFonts w:hint="cs"/>
          <w:rtl/>
          <w:lang w:bidi="ar-EG"/>
        </w:rPr>
        <w:t xml:space="preserve">، ومدى تطبيق هذه المادة خلال الفترة قيد الاستعراض؛ </w:t>
      </w:r>
    </w:p>
    <w:p w14:paraId="0CACB309" w14:textId="77777777" w:rsidR="00557E2C" w:rsidRPr="00557E2C" w:rsidRDefault="00557E2C" w:rsidP="00557E2C">
      <w:pPr>
        <w:pStyle w:val="SingleTxtGA"/>
        <w:rPr>
          <w:spacing w:val="-2"/>
          <w:rtl/>
          <w:lang w:bidi="ar-EG"/>
        </w:rPr>
      </w:pPr>
      <w:r w:rsidRPr="00557E2C">
        <w:rPr>
          <w:spacing w:val="-2"/>
          <w:rtl/>
          <w:lang w:bidi="ar-EG"/>
        </w:rPr>
        <w:tab/>
      </w:r>
      <w:r w:rsidRPr="00557E2C">
        <w:rPr>
          <w:rFonts w:hint="cs"/>
          <w:spacing w:val="-2"/>
          <w:rtl/>
          <w:lang w:bidi="ar-EG"/>
        </w:rPr>
        <w:t>(د)</w:t>
      </w:r>
      <w:r w:rsidRPr="00557E2C">
        <w:rPr>
          <w:spacing w:val="-2"/>
          <w:rtl/>
          <w:lang w:bidi="ar-EG"/>
        </w:rPr>
        <w:tab/>
      </w:r>
      <w:r w:rsidRPr="00557E2C">
        <w:rPr>
          <w:rFonts w:hint="cs"/>
          <w:spacing w:val="-2"/>
          <w:rtl/>
          <w:lang w:bidi="ar-EG"/>
        </w:rPr>
        <w:t xml:space="preserve">ما إذا كانت النيابة العامة لا يزال بإمكانها الاستمرار في تقديم طلبات لقضاة المحكمة الأدنى لإصدار أوامر بحبس المحتجزين لمدة </w:t>
      </w:r>
      <w:r w:rsidRPr="00557E2C">
        <w:rPr>
          <w:rFonts w:cs="Times New Roman"/>
          <w:spacing w:val="-2"/>
          <w:szCs w:val="20"/>
          <w:rtl/>
          <w:lang w:bidi="ar-EG"/>
        </w:rPr>
        <w:t>15</w:t>
      </w:r>
      <w:r w:rsidRPr="00557E2C">
        <w:rPr>
          <w:rFonts w:hint="cs"/>
          <w:spacing w:val="-2"/>
          <w:rtl/>
          <w:lang w:bidi="ar-EG"/>
        </w:rPr>
        <w:t xml:space="preserve"> </w:t>
      </w:r>
      <w:r w:rsidRPr="00557E2C">
        <w:rPr>
          <w:spacing w:val="-2"/>
          <w:rtl/>
          <w:lang w:bidi="ar-EG"/>
        </w:rPr>
        <w:t xml:space="preserve">يوماً </w:t>
      </w:r>
      <w:r w:rsidRPr="00557E2C">
        <w:rPr>
          <w:rFonts w:hint="cs"/>
          <w:spacing w:val="-2"/>
          <w:rtl/>
          <w:lang w:bidi="ar-EG"/>
        </w:rPr>
        <w:t xml:space="preserve">إضافية </w:t>
      </w:r>
      <w:r w:rsidRPr="00557E2C">
        <w:rPr>
          <w:spacing w:val="-2"/>
          <w:rtl/>
          <w:lang w:bidi="ar-EG"/>
        </w:rPr>
        <w:t xml:space="preserve">أو لمدد متتابعة لا يتجاوز إجماليها </w:t>
      </w:r>
      <w:r w:rsidRPr="00557E2C">
        <w:rPr>
          <w:rFonts w:hint="cs"/>
          <w:spacing w:val="-2"/>
          <w:szCs w:val="20"/>
          <w:rtl/>
          <w:lang w:bidi="ar-EG"/>
        </w:rPr>
        <w:t>30</w:t>
      </w:r>
      <w:r w:rsidRPr="00557E2C">
        <w:rPr>
          <w:rFonts w:hint="cs"/>
          <w:spacing w:val="-2"/>
          <w:rtl/>
          <w:lang w:bidi="ar-EG"/>
        </w:rPr>
        <w:t xml:space="preserve"> </w:t>
      </w:r>
      <w:r w:rsidRPr="00557E2C">
        <w:rPr>
          <w:spacing w:val="-2"/>
          <w:rtl/>
          <w:lang w:bidi="ar-EG"/>
        </w:rPr>
        <w:t>يوماً</w:t>
      </w:r>
      <w:r w:rsidRPr="00557E2C">
        <w:rPr>
          <w:rFonts w:hint="cs"/>
          <w:spacing w:val="-2"/>
          <w:rtl/>
          <w:lang w:bidi="ar-EG"/>
        </w:rPr>
        <w:t>؛</w:t>
      </w:r>
    </w:p>
    <w:p w14:paraId="585D20DB" w14:textId="77777777" w:rsidR="00557E2C" w:rsidRPr="00557E2C" w:rsidRDefault="00557E2C" w:rsidP="00557E2C">
      <w:pPr>
        <w:pStyle w:val="SingleTxtGA"/>
        <w:rPr>
          <w:spacing w:val="-2"/>
          <w:rtl/>
          <w:lang w:bidi="ar-EG"/>
        </w:rPr>
      </w:pPr>
      <w:r w:rsidRPr="00557E2C">
        <w:rPr>
          <w:spacing w:val="-2"/>
          <w:rtl/>
          <w:lang w:bidi="ar-EG"/>
        </w:rPr>
        <w:tab/>
      </w:r>
      <w:r w:rsidRPr="00557E2C">
        <w:rPr>
          <w:rFonts w:hint="cs"/>
          <w:spacing w:val="-2"/>
          <w:rtl/>
          <w:lang w:bidi="ar-EG"/>
        </w:rPr>
        <w:t>(هـ)</w:t>
      </w:r>
      <w:r w:rsidRPr="00557E2C">
        <w:rPr>
          <w:spacing w:val="-2"/>
          <w:rtl/>
          <w:lang w:bidi="ar-EG"/>
        </w:rPr>
        <w:tab/>
      </w:r>
      <w:r w:rsidRPr="00557E2C">
        <w:rPr>
          <w:rFonts w:hint="cs"/>
          <w:spacing w:val="-2"/>
          <w:rtl/>
          <w:lang w:bidi="ar-EG"/>
        </w:rPr>
        <w:t xml:space="preserve">أية تعديلات على الباب الأول من القسم الخاص بالجرائم الماسة بأمن الدولة من قانون العقوبات، الذي </w:t>
      </w:r>
      <w:r w:rsidRPr="00557E2C">
        <w:rPr>
          <w:spacing w:val="-2"/>
          <w:rtl/>
          <w:lang w:bidi="ar-EG"/>
        </w:rPr>
        <w:t>يُجيز للنيابة العامة حبس المشتبه به</w:t>
      </w:r>
      <w:r w:rsidRPr="00557E2C">
        <w:rPr>
          <w:rFonts w:hint="cs"/>
          <w:spacing w:val="-2"/>
          <w:rtl/>
          <w:lang w:bidi="ar-EG"/>
        </w:rPr>
        <w:t>م</w:t>
      </w:r>
      <w:r w:rsidRPr="00557E2C">
        <w:rPr>
          <w:spacing w:val="-2"/>
          <w:rtl/>
          <w:lang w:bidi="ar-EG"/>
        </w:rPr>
        <w:t xml:space="preserve"> </w:t>
      </w:r>
      <w:r w:rsidRPr="00557E2C">
        <w:rPr>
          <w:rFonts w:hint="cs"/>
          <w:spacing w:val="-2"/>
          <w:rtl/>
          <w:lang w:bidi="ar-EG"/>
        </w:rPr>
        <w:t xml:space="preserve">لمدة أولية تبلغ </w:t>
      </w:r>
      <w:r w:rsidRPr="00557E2C">
        <w:rPr>
          <w:rFonts w:hint="cs"/>
          <w:spacing w:val="-2"/>
          <w:szCs w:val="20"/>
          <w:rtl/>
          <w:lang w:bidi="ar-EG"/>
        </w:rPr>
        <w:t>28</w:t>
      </w:r>
      <w:r w:rsidRPr="00557E2C">
        <w:rPr>
          <w:rFonts w:hint="cs"/>
          <w:spacing w:val="-2"/>
          <w:rtl/>
          <w:lang w:bidi="ar-EG"/>
        </w:rPr>
        <w:t xml:space="preserve"> </w:t>
      </w:r>
      <w:r w:rsidRPr="00557E2C">
        <w:rPr>
          <w:spacing w:val="-2"/>
          <w:rtl/>
          <w:lang w:bidi="ar-EG"/>
        </w:rPr>
        <w:t xml:space="preserve">يوماً أو لمدة لا تتجاوز </w:t>
      </w:r>
      <w:r w:rsidRPr="00557E2C">
        <w:rPr>
          <w:rFonts w:hint="cs"/>
          <w:spacing w:val="-2"/>
          <w:szCs w:val="20"/>
          <w:rtl/>
          <w:lang w:bidi="ar-EG"/>
        </w:rPr>
        <w:t>6</w:t>
      </w:r>
      <w:r w:rsidRPr="00557E2C">
        <w:rPr>
          <w:rFonts w:hint="cs"/>
          <w:spacing w:val="-2"/>
          <w:rtl/>
          <w:lang w:bidi="ar-EG"/>
        </w:rPr>
        <w:t xml:space="preserve"> </w:t>
      </w:r>
      <w:r w:rsidRPr="00557E2C">
        <w:rPr>
          <w:spacing w:val="-2"/>
          <w:rtl/>
          <w:lang w:bidi="ar-EG"/>
        </w:rPr>
        <w:t>أشهر بموجب قانون حماية المجتمع من الأعمال الإرهابية</w:t>
      </w:r>
      <w:r w:rsidRPr="00557E2C">
        <w:rPr>
          <w:rFonts w:hint="cs"/>
          <w:spacing w:val="-2"/>
          <w:rtl/>
          <w:lang w:bidi="ar-EG"/>
        </w:rPr>
        <w:t xml:space="preserve">، وبشأن مدى تطبيق هذه المادة خلال الفترة قيد الاستعراض. </w:t>
      </w:r>
      <w:r w:rsidRPr="00557E2C">
        <w:rPr>
          <w:spacing w:val="-2"/>
          <w:rtl/>
          <w:lang w:bidi="ar-EG"/>
        </w:rPr>
        <w:t xml:space="preserve"> </w:t>
      </w:r>
    </w:p>
    <w:p w14:paraId="07C2616E" w14:textId="77777777" w:rsidR="00557E2C" w:rsidRDefault="00557E2C" w:rsidP="00557E2C">
      <w:pPr>
        <w:pStyle w:val="SingleTxtGA"/>
        <w:rPr>
          <w:rtl/>
          <w:lang w:bidi="ar-EG"/>
        </w:rPr>
      </w:pPr>
      <w:r w:rsidRPr="00557E2C">
        <w:rPr>
          <w:rFonts w:hint="cs"/>
          <w:szCs w:val="20"/>
          <w:rtl/>
          <w:lang w:bidi="ar-EG"/>
        </w:rPr>
        <w:t>10</w:t>
      </w:r>
      <w:r>
        <w:rPr>
          <w:rFonts w:hint="cs"/>
          <w:rtl/>
          <w:lang w:bidi="ar-EG"/>
        </w:rPr>
        <w:t>-</w:t>
      </w:r>
      <w:r>
        <w:rPr>
          <w:rtl/>
          <w:lang w:bidi="ar-EG"/>
        </w:rPr>
        <w:tab/>
      </w:r>
      <w:r w:rsidRPr="00E35075">
        <w:rPr>
          <w:rtl/>
          <w:lang w:bidi="ar-EG"/>
        </w:rPr>
        <w:t xml:space="preserve">وبالإشارة إلى الملاحظات الختامية السابقة للجنة (الفقرتان </w:t>
      </w:r>
      <w:r w:rsidRPr="00557E2C">
        <w:rPr>
          <w:rFonts w:hint="cs"/>
          <w:szCs w:val="20"/>
          <w:rtl/>
          <w:lang w:bidi="ar-EG"/>
        </w:rPr>
        <w:t>20</w:t>
      </w:r>
      <w:r>
        <w:rPr>
          <w:rFonts w:hint="cs"/>
          <w:rtl/>
          <w:lang w:bidi="ar-EG"/>
        </w:rPr>
        <w:t xml:space="preserve"> و</w:t>
      </w:r>
      <w:r w:rsidRPr="00557E2C">
        <w:rPr>
          <w:rFonts w:hint="cs"/>
          <w:szCs w:val="20"/>
          <w:rtl/>
          <w:lang w:bidi="ar-EG"/>
        </w:rPr>
        <w:t>21</w:t>
      </w:r>
      <w:r w:rsidRPr="00E35075">
        <w:rPr>
          <w:rtl/>
          <w:lang w:bidi="ar-EG"/>
        </w:rPr>
        <w:t xml:space="preserve">)، يرجى تقديم معلومات محدثة </w:t>
      </w:r>
      <w:r>
        <w:rPr>
          <w:rFonts w:hint="cs"/>
          <w:rtl/>
          <w:lang w:bidi="ar-EG"/>
        </w:rPr>
        <w:t>بشأن ما يلي:</w:t>
      </w:r>
    </w:p>
    <w:p w14:paraId="472073B4"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التنفيذ الفعال لقانون مؤسسة الإصلاح والتأهيل الذي ينص </w:t>
      </w:r>
      <w:r w:rsidRPr="006644BE">
        <w:rPr>
          <w:rtl/>
          <w:lang w:bidi="ar-EG"/>
        </w:rPr>
        <w:t>على عدم جواز استمرار الحبس الانفرادي لأكثر من سبعة أيام</w:t>
      </w:r>
      <w:r>
        <w:rPr>
          <w:rFonts w:hint="cs"/>
          <w:rtl/>
          <w:lang w:bidi="ar-EG"/>
        </w:rPr>
        <w:t xml:space="preserve">، وما إذا كان استخدام </w:t>
      </w:r>
      <w:r w:rsidRPr="006644BE">
        <w:rPr>
          <w:rtl/>
          <w:lang w:bidi="ar-EG"/>
        </w:rPr>
        <w:t>الحبس الانفرادي في مختلف مراكز الاحتجاز كعقوبة لمدد زمنية مطوّلة</w:t>
      </w:r>
      <w:r>
        <w:rPr>
          <w:rFonts w:hint="cs"/>
          <w:rtl/>
          <w:lang w:bidi="ar-EG"/>
        </w:rPr>
        <w:t xml:space="preserve"> قد توقف؛</w:t>
      </w:r>
    </w:p>
    <w:p w14:paraId="4303A9D1"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ما إذا كانت قد وُضعت </w:t>
      </w:r>
      <w:r w:rsidRPr="006644BE">
        <w:rPr>
          <w:rtl/>
          <w:lang w:bidi="ar-EG"/>
        </w:rPr>
        <w:t xml:space="preserve">معايير واضحة ومحددة </w:t>
      </w:r>
      <w:r>
        <w:rPr>
          <w:rFonts w:hint="cs"/>
          <w:rtl/>
          <w:lang w:bidi="ar-EG"/>
        </w:rPr>
        <w:t xml:space="preserve">بشأن فرض </w:t>
      </w:r>
      <w:r w:rsidRPr="006644BE">
        <w:rPr>
          <w:rtl/>
          <w:lang w:bidi="ar-EG"/>
        </w:rPr>
        <w:t>الحبس الانفرادي</w:t>
      </w:r>
      <w:r>
        <w:rPr>
          <w:rFonts w:hint="cs"/>
          <w:rtl/>
          <w:lang w:bidi="ar-EG"/>
        </w:rPr>
        <w:t>، وما</w:t>
      </w:r>
      <w:r>
        <w:rPr>
          <w:rFonts w:hint="eastAsia"/>
          <w:rtl/>
          <w:lang w:bidi="ar-EG"/>
        </w:rPr>
        <w:t> </w:t>
      </w:r>
      <w:r>
        <w:rPr>
          <w:rFonts w:hint="cs"/>
          <w:rtl/>
          <w:lang w:bidi="ar-EG"/>
        </w:rPr>
        <w:t xml:space="preserve">إذا كان يخضع </w:t>
      </w:r>
      <w:r w:rsidRPr="00D879FB">
        <w:rPr>
          <w:rtl/>
          <w:lang w:bidi="ar-EG"/>
        </w:rPr>
        <w:t>لإشراف ومراجعة قضائية صارمين</w:t>
      </w:r>
      <w:r>
        <w:rPr>
          <w:rFonts w:hint="cs"/>
          <w:rtl/>
          <w:lang w:bidi="ar-EG"/>
        </w:rPr>
        <w:t xml:space="preserve">، وأن </w:t>
      </w:r>
      <w:r w:rsidRPr="00D879FB">
        <w:rPr>
          <w:rtl/>
          <w:lang w:bidi="ar-EG"/>
        </w:rPr>
        <w:t xml:space="preserve">مدته </w:t>
      </w:r>
      <w:r>
        <w:rPr>
          <w:rFonts w:hint="cs"/>
          <w:rtl/>
          <w:lang w:bidi="ar-EG"/>
        </w:rPr>
        <w:t xml:space="preserve">لا تتجاوز الفترة </w:t>
      </w:r>
      <w:r w:rsidRPr="00D879FB">
        <w:rPr>
          <w:rtl/>
          <w:lang w:bidi="ar-EG"/>
        </w:rPr>
        <w:t>المنصوص عليها قانوناً</w:t>
      </w:r>
      <w:r>
        <w:rPr>
          <w:rFonts w:hint="cs"/>
          <w:rtl/>
          <w:lang w:bidi="ar-EG"/>
        </w:rPr>
        <w:t xml:space="preserve"> ولا يتجدد لفترات متعاقبة. ويُرجى أيضاً تقديم معلومات عما إذا كان للمحتجزين حق استئناف القرارات المتعلقة بالحبس الانفرادي وما إذا كان هناك موظفون طبيون مؤهلون يرصدون حالة المحتجزين البدنية والطبية يومياً طوال مدة الحبس الانفرادي، تماشياً مع المعايير الدولية؛</w:t>
      </w:r>
    </w:p>
    <w:p w14:paraId="7E968034" w14:textId="77777777" w:rsidR="00557E2C" w:rsidRPr="007E6CD8" w:rsidRDefault="00557E2C" w:rsidP="00557E2C">
      <w:pPr>
        <w:pStyle w:val="SingleTxtGA"/>
        <w:rPr>
          <w:rtl/>
          <w:lang w:bidi="ar-EG"/>
        </w:rPr>
      </w:pPr>
      <w:r w:rsidRPr="007E6CD8">
        <w:rPr>
          <w:rtl/>
          <w:lang w:bidi="ar-EG"/>
        </w:rPr>
        <w:tab/>
      </w:r>
      <w:r w:rsidRPr="007E6CD8">
        <w:rPr>
          <w:rFonts w:hint="cs"/>
          <w:rtl/>
          <w:lang w:bidi="ar-EG"/>
        </w:rPr>
        <w:t>(ج)</w:t>
      </w:r>
      <w:r w:rsidRPr="007E6CD8">
        <w:rPr>
          <w:rtl/>
          <w:lang w:bidi="ar-EG"/>
        </w:rPr>
        <w:tab/>
      </w:r>
      <w:r w:rsidRPr="007E6CD8">
        <w:rPr>
          <w:rFonts w:hint="cs"/>
          <w:rtl/>
          <w:lang w:bidi="ar-EG"/>
        </w:rPr>
        <w:t xml:space="preserve">يرجى تقديم معلومات عن أي رد من الدولة الطرف على الرأي رقم </w:t>
      </w:r>
      <w:r w:rsidRPr="00557E2C">
        <w:rPr>
          <w:rFonts w:hint="cs"/>
          <w:szCs w:val="20"/>
          <w:rtl/>
          <w:lang w:bidi="ar-EG"/>
        </w:rPr>
        <w:t>13</w:t>
      </w:r>
      <w:r w:rsidRPr="007E6CD8">
        <w:rPr>
          <w:rFonts w:hint="cs"/>
          <w:rtl/>
          <w:lang w:bidi="ar-EG"/>
        </w:rPr>
        <w:t>/</w:t>
      </w:r>
      <w:r w:rsidRPr="00557E2C">
        <w:rPr>
          <w:rFonts w:hint="cs"/>
          <w:szCs w:val="20"/>
          <w:rtl/>
          <w:lang w:bidi="ar-EG"/>
        </w:rPr>
        <w:t>2018</w:t>
      </w:r>
      <w:r w:rsidRPr="007E6CD8">
        <w:rPr>
          <w:rFonts w:hint="cs"/>
          <w:rtl/>
          <w:lang w:bidi="ar-EG"/>
        </w:rPr>
        <w:t xml:space="preserve"> الصادر عن الفريق العامل المعني بالاحتجاز التعسفي فيما</w:t>
      </w:r>
      <w:r>
        <w:rPr>
          <w:rFonts w:hint="eastAsia"/>
          <w:rtl/>
          <w:lang w:bidi="ar-EG"/>
        </w:rPr>
        <w:t> </w:t>
      </w:r>
      <w:r w:rsidRPr="007E6CD8">
        <w:rPr>
          <w:rFonts w:hint="cs"/>
          <w:rtl/>
          <w:lang w:bidi="ar-EG"/>
        </w:rPr>
        <w:t xml:space="preserve">يتعلق بالاحتجاز التعسفي من الفئتين الثانية والخامسة </w:t>
      </w:r>
      <w:r>
        <w:rPr>
          <w:rFonts w:hint="cs"/>
          <w:rtl/>
          <w:lang w:bidi="ar-EG"/>
        </w:rPr>
        <w:t>ل</w:t>
      </w:r>
      <w:r w:rsidRPr="007E6CD8">
        <w:rPr>
          <w:rFonts w:hint="cs"/>
          <w:rtl/>
          <w:lang w:bidi="ar-EG"/>
        </w:rPr>
        <w:t xml:space="preserve">نبيل رجب عملاً بتأييد محكمة الاستئناف الجنائية العليا في عام </w:t>
      </w:r>
      <w:r w:rsidRPr="00557E2C">
        <w:rPr>
          <w:rFonts w:hint="cs"/>
          <w:szCs w:val="20"/>
          <w:rtl/>
          <w:lang w:bidi="ar-EG"/>
        </w:rPr>
        <w:t>2018</w:t>
      </w:r>
      <w:r w:rsidRPr="007E6CD8">
        <w:rPr>
          <w:rFonts w:hint="cs"/>
          <w:rtl/>
          <w:lang w:bidi="ar-EG"/>
        </w:rPr>
        <w:t xml:space="preserve"> للحكم بسجن السيد رجب لخمس سنوات الصادر في </w:t>
      </w:r>
      <w:r w:rsidRPr="00557E2C">
        <w:rPr>
          <w:rFonts w:hint="cs"/>
          <w:szCs w:val="20"/>
          <w:rtl/>
          <w:lang w:bidi="ar-EG"/>
        </w:rPr>
        <w:t>21</w:t>
      </w:r>
      <w:r w:rsidRPr="007E6CD8">
        <w:rPr>
          <w:rFonts w:hint="cs"/>
          <w:rtl/>
          <w:lang w:bidi="ar-EG"/>
        </w:rPr>
        <w:t xml:space="preserve"> شباط/فبراير </w:t>
      </w:r>
      <w:r w:rsidRPr="00557E2C">
        <w:rPr>
          <w:rFonts w:hint="cs"/>
          <w:szCs w:val="20"/>
          <w:rtl/>
          <w:lang w:bidi="ar-EG"/>
        </w:rPr>
        <w:t>2018</w:t>
      </w:r>
      <w:r w:rsidRPr="007E6CD8">
        <w:rPr>
          <w:rFonts w:hint="cs"/>
          <w:rtl/>
          <w:lang w:bidi="ar-EG"/>
        </w:rPr>
        <w:t xml:space="preserve"> عن المحكمة الجنائية البحرينية</w:t>
      </w:r>
      <w:r>
        <w:rPr>
          <w:rFonts w:hint="cs"/>
          <w:rtl/>
          <w:lang w:bidi="ar-EG"/>
        </w:rPr>
        <w:t xml:space="preserve"> (</w:t>
      </w:r>
      <w:r w:rsidRPr="007E6CD8">
        <w:rPr>
          <w:lang w:val="es-CU"/>
        </w:rPr>
        <w:t>A/HRC/</w:t>
      </w:r>
      <w:r w:rsidRPr="00557E2C">
        <w:rPr>
          <w:szCs w:val="20"/>
          <w:lang w:val="es-CU"/>
        </w:rPr>
        <w:t>42</w:t>
      </w:r>
      <w:r w:rsidRPr="007E6CD8">
        <w:rPr>
          <w:lang w:val="es-CU"/>
        </w:rPr>
        <w:t>/</w:t>
      </w:r>
      <w:r w:rsidRPr="00557E2C">
        <w:rPr>
          <w:szCs w:val="20"/>
          <w:lang w:val="es-CU"/>
        </w:rPr>
        <w:t>39</w:t>
      </w:r>
      <w:r w:rsidRPr="007E6CD8">
        <w:rPr>
          <w:rFonts w:hAnsi="Traditional Arabic"/>
          <w:rtl/>
        </w:rPr>
        <w:t xml:space="preserve">، </w:t>
      </w:r>
      <w:r>
        <w:rPr>
          <w:rFonts w:hAnsi="Traditional Arabic" w:hint="cs"/>
          <w:rtl/>
        </w:rPr>
        <w:t>ال</w:t>
      </w:r>
      <w:r w:rsidRPr="007E6CD8">
        <w:rPr>
          <w:rFonts w:hAnsi="Traditional Arabic"/>
          <w:rtl/>
        </w:rPr>
        <w:t xml:space="preserve">صفحة </w:t>
      </w:r>
      <w:r w:rsidRPr="00557E2C">
        <w:rPr>
          <w:rFonts w:hAnsi="Traditional Arabic"/>
          <w:szCs w:val="20"/>
          <w:rtl/>
        </w:rPr>
        <w:t>7</w:t>
      </w:r>
      <w:r>
        <w:rPr>
          <w:rFonts w:hint="cs"/>
          <w:rtl/>
          <w:lang w:bidi="ar-EG"/>
        </w:rPr>
        <w:t>)،</w:t>
      </w:r>
      <w:r w:rsidRPr="007E6CD8">
        <w:rPr>
          <w:rFonts w:hint="cs"/>
          <w:rtl/>
          <w:lang w:bidi="ar-EG"/>
        </w:rPr>
        <w:t xml:space="preserve"> وكذلك فيما يتعلق بالمعلومات التي تفيد بأن محكمة الاستئناف العليا البحرينية رفضت في </w:t>
      </w:r>
      <w:r w:rsidRPr="00557E2C">
        <w:rPr>
          <w:rFonts w:hint="cs"/>
          <w:szCs w:val="20"/>
          <w:rtl/>
          <w:lang w:bidi="ar-EG"/>
        </w:rPr>
        <w:t>17</w:t>
      </w:r>
      <w:r w:rsidRPr="007E6CD8">
        <w:rPr>
          <w:rFonts w:hint="cs"/>
          <w:rtl/>
          <w:lang w:bidi="ar-EG"/>
        </w:rPr>
        <w:t xml:space="preserve"> أيلول/سبتمبر </w:t>
      </w:r>
      <w:r w:rsidRPr="00557E2C">
        <w:rPr>
          <w:rFonts w:hint="cs"/>
          <w:szCs w:val="20"/>
          <w:rtl/>
          <w:lang w:bidi="ar-EG"/>
        </w:rPr>
        <w:t>2019</w:t>
      </w:r>
      <w:r w:rsidRPr="007E6CD8">
        <w:rPr>
          <w:rFonts w:hint="cs"/>
          <w:rtl/>
          <w:lang w:bidi="ar-EG"/>
        </w:rPr>
        <w:t xml:space="preserve"> طلب فرض عقوبة غير احتجازية على السيد رجب. ويرجى أيضاً الإشارة إلى ما إذا كان السيد رجب لا يزال</w:t>
      </w:r>
      <w:r>
        <w:rPr>
          <w:rFonts w:hint="cs"/>
          <w:rtl/>
          <w:lang w:bidi="ar-EG"/>
        </w:rPr>
        <w:t xml:space="preserve"> يخضع</w:t>
      </w:r>
      <w:r w:rsidRPr="007E6CD8">
        <w:rPr>
          <w:rFonts w:hint="cs"/>
          <w:rtl/>
          <w:lang w:bidi="ar-EG"/>
        </w:rPr>
        <w:t xml:space="preserve"> </w:t>
      </w:r>
      <w:r>
        <w:rPr>
          <w:rFonts w:hint="cs"/>
          <w:rtl/>
          <w:lang w:bidi="ar-EG"/>
        </w:rPr>
        <w:t>ل</w:t>
      </w:r>
      <w:r w:rsidRPr="007E6CD8">
        <w:rPr>
          <w:rFonts w:hint="cs"/>
          <w:rtl/>
          <w:lang w:bidi="ar-EG"/>
        </w:rPr>
        <w:t>لحبس الانفرادي</w:t>
      </w:r>
      <w:r>
        <w:rPr>
          <w:rFonts w:hint="cs"/>
          <w:rtl/>
          <w:lang w:bidi="ar-EG"/>
        </w:rPr>
        <w:t>،</w:t>
      </w:r>
      <w:r w:rsidRPr="007E6CD8">
        <w:rPr>
          <w:rFonts w:hint="cs"/>
          <w:rtl/>
          <w:lang w:bidi="ar-EG"/>
        </w:rPr>
        <w:t xml:space="preserve"> وما إذا كان قد حصل على الرعاية الطبية لمرضه الجلدي الذي يتطلب الجراحة، ولأي أمراض أخرى قد يشتكي منها</w:t>
      </w:r>
      <w:r>
        <w:rPr>
          <w:rFonts w:hint="cs"/>
          <w:rtl/>
          <w:lang w:bidi="ar-EG"/>
        </w:rPr>
        <w:t>،</w:t>
      </w:r>
      <w:r w:rsidRPr="007E6CD8">
        <w:rPr>
          <w:rFonts w:hint="cs"/>
          <w:rtl/>
          <w:lang w:bidi="ar-EG"/>
        </w:rPr>
        <w:t xml:space="preserve"> وما إذا كان يحتجز لمدة </w:t>
      </w:r>
      <w:r w:rsidRPr="00557E2C">
        <w:rPr>
          <w:rFonts w:hint="cs"/>
          <w:szCs w:val="20"/>
          <w:rtl/>
          <w:lang w:bidi="ar-EG"/>
        </w:rPr>
        <w:t>23</w:t>
      </w:r>
      <w:r w:rsidRPr="007E6CD8">
        <w:rPr>
          <w:rFonts w:hint="cs"/>
          <w:rtl/>
          <w:lang w:bidi="ar-EG"/>
        </w:rPr>
        <w:t xml:space="preserve"> ساعة يومياً مع </w:t>
      </w:r>
      <w:r w:rsidRPr="00557E2C">
        <w:rPr>
          <w:rFonts w:hint="cs"/>
          <w:szCs w:val="20"/>
          <w:rtl/>
          <w:lang w:bidi="ar-EG"/>
        </w:rPr>
        <w:t>5</w:t>
      </w:r>
      <w:r w:rsidRPr="007E6CD8">
        <w:rPr>
          <w:rFonts w:hint="cs"/>
          <w:rtl/>
          <w:lang w:bidi="ar-EG"/>
        </w:rPr>
        <w:t xml:space="preserve"> سجناء آخرين في زنزانة غير نظيفة تتفشى فيها الحشرات وتبلغ مساحتها ثلاثة أمتار</w:t>
      </w:r>
      <w:r>
        <w:rPr>
          <w:rFonts w:hint="cs"/>
          <w:rtl/>
          <w:lang w:bidi="ar-EG"/>
        </w:rPr>
        <w:t xml:space="preserve"> على</w:t>
      </w:r>
      <w:r w:rsidRPr="007E6CD8">
        <w:rPr>
          <w:rFonts w:hint="cs"/>
          <w:rtl/>
          <w:lang w:bidi="ar-EG"/>
        </w:rPr>
        <w:t xml:space="preserve"> ثلاثة أمتار وتتم مداهمتها ليلاً على نحو تعسفي، وتصادر منها أغراضه الشخصية؛ وما إذا كان يتعرض لعمليات تفتيش بدني مُذلة ومهينة، مع حلق رأسه قسراً، وحرمانه أحياناً من مياه الشرب لمدة تصل إلى </w:t>
      </w:r>
      <w:r w:rsidRPr="00557E2C">
        <w:rPr>
          <w:rFonts w:hint="cs"/>
          <w:szCs w:val="20"/>
          <w:rtl/>
          <w:lang w:bidi="ar-EG"/>
        </w:rPr>
        <w:t>24</w:t>
      </w:r>
      <w:r w:rsidRPr="007E6CD8">
        <w:rPr>
          <w:rFonts w:hint="cs"/>
          <w:rtl/>
          <w:lang w:bidi="ar-EG"/>
        </w:rPr>
        <w:t xml:space="preserve"> ساعة. وبالإضافة إلى ذلك، يرجى تقديم معلومات عن الحالة الراهنة للسجناء الآخرين من المدافعين عن حقوق الإنسان والصحفيين وأي منتقدين آخرين من الناشطين السياسيين غير الموالين للسلطات. </w:t>
      </w:r>
    </w:p>
    <w:p w14:paraId="6EC13D74" w14:textId="77777777" w:rsidR="00557E2C" w:rsidRDefault="00557E2C" w:rsidP="00557E2C">
      <w:pPr>
        <w:pStyle w:val="SingleTxtGA"/>
        <w:rPr>
          <w:rtl/>
          <w:lang w:bidi="ar-EG"/>
        </w:rPr>
      </w:pPr>
      <w:r w:rsidRPr="00557E2C">
        <w:rPr>
          <w:rFonts w:hint="cs"/>
          <w:szCs w:val="20"/>
          <w:rtl/>
          <w:lang w:bidi="ar-EG"/>
        </w:rPr>
        <w:t>11</w:t>
      </w:r>
      <w:r>
        <w:rPr>
          <w:rFonts w:hint="cs"/>
          <w:rtl/>
          <w:lang w:bidi="ar-EG"/>
        </w:rPr>
        <w:t>-</w:t>
      </w:r>
      <w:r>
        <w:rPr>
          <w:rtl/>
          <w:lang w:bidi="ar-EG"/>
        </w:rPr>
        <w:tab/>
      </w:r>
      <w:r w:rsidRPr="00E35075">
        <w:rPr>
          <w:rtl/>
          <w:lang w:bidi="ar-EG"/>
        </w:rPr>
        <w:t xml:space="preserve">وبالإشارة إلى الملاحظات الختامية السابقة للجنة (الفقرتان </w:t>
      </w:r>
      <w:r w:rsidRPr="00557E2C">
        <w:rPr>
          <w:rFonts w:hint="cs"/>
          <w:szCs w:val="20"/>
          <w:rtl/>
          <w:lang w:bidi="ar-EG"/>
        </w:rPr>
        <w:t>32</w:t>
      </w:r>
      <w:r>
        <w:rPr>
          <w:rFonts w:hint="cs"/>
          <w:rtl/>
          <w:lang w:bidi="ar-EG"/>
        </w:rPr>
        <w:t xml:space="preserve"> و</w:t>
      </w:r>
      <w:r w:rsidRPr="00557E2C">
        <w:rPr>
          <w:rFonts w:hint="cs"/>
          <w:szCs w:val="20"/>
          <w:rtl/>
          <w:lang w:bidi="ar-EG"/>
        </w:rPr>
        <w:t>33</w:t>
      </w:r>
      <w:r w:rsidRPr="00E35075">
        <w:rPr>
          <w:rtl/>
          <w:lang w:bidi="ar-EG"/>
        </w:rPr>
        <w:t xml:space="preserve">)، يرجى تقديم معلومات محدثة </w:t>
      </w:r>
      <w:r>
        <w:rPr>
          <w:rFonts w:hint="cs"/>
          <w:rtl/>
          <w:lang w:bidi="ar-EG"/>
        </w:rPr>
        <w:t>بشأن ما يلي:</w:t>
      </w:r>
    </w:p>
    <w:p w14:paraId="065F8102"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الخطوات المحددة المتخذة لتنفيذ التوصية رقم </w:t>
      </w:r>
      <w:r w:rsidRPr="00557E2C">
        <w:rPr>
          <w:rFonts w:hint="cs"/>
          <w:szCs w:val="20"/>
          <w:rtl/>
          <w:lang w:bidi="ar-EG"/>
        </w:rPr>
        <w:t>1722</w:t>
      </w:r>
      <w:r>
        <w:rPr>
          <w:rFonts w:hint="cs"/>
          <w:rtl/>
          <w:lang w:bidi="ar-EG"/>
        </w:rPr>
        <w:t xml:space="preserve"> للجنة البحرينية المستقلة لتقصي الحقائق </w:t>
      </w:r>
      <w:r w:rsidRPr="00321D30">
        <w:rPr>
          <w:rtl/>
          <w:lang w:bidi="ar-EG"/>
        </w:rPr>
        <w:t>بشأن استخدام القوة، والتوقيف، ومعاملة المحبوسين، والاحتجاز</w:t>
      </w:r>
      <w:r>
        <w:rPr>
          <w:rFonts w:hint="cs"/>
          <w:rtl/>
          <w:lang w:bidi="ar-EG"/>
        </w:rPr>
        <w:t>،</w:t>
      </w:r>
      <w:r w:rsidRPr="00321D30">
        <w:rPr>
          <w:rtl/>
          <w:lang w:bidi="ar-EG"/>
        </w:rPr>
        <w:t xml:space="preserve"> والمقاضاة فيما يتعلق بممارسة حرية التعبير والتجمع وتكوين الجمعيات</w:t>
      </w:r>
      <w:r>
        <w:rPr>
          <w:rFonts w:hint="cs"/>
          <w:rtl/>
          <w:lang w:bidi="ar-EG"/>
        </w:rPr>
        <w:t xml:space="preserve">، بما في ذلك ما يتعلق بأعمال الترهيب والأعمال الانتقامية والتهديدات وسحب الجنسية كعمل انتقامي، وكذلك الأعمال الانتقامية ضد المدافعين عن حقوق الإنسان والصحفيين وأقاربهم وتوقيفهم وسجنهم تعسفاً، انتقاماً من عملهم؛ </w:t>
      </w:r>
    </w:p>
    <w:p w14:paraId="18E4D291"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التدابير المتخذة لإجراء تحقيقات سريعة ووافية ونزيهة في جميع ادعاءات تعرض المدافعين عن حقوق الإنسان والصحفيين </w:t>
      </w:r>
      <w:r w:rsidRPr="00E33937">
        <w:rPr>
          <w:rtl/>
          <w:lang w:bidi="ar-EG"/>
        </w:rPr>
        <w:t>للمضايقة أو التوقيف التعسفي أو التعذيب أو سوء المعاملة</w:t>
      </w:r>
      <w:r>
        <w:rPr>
          <w:rFonts w:hint="cs"/>
          <w:rtl/>
          <w:lang w:bidi="ar-EG"/>
        </w:rPr>
        <w:t xml:space="preserve">، وضمان </w:t>
      </w:r>
      <w:r w:rsidRPr="00E33937">
        <w:rPr>
          <w:rtl/>
          <w:lang w:bidi="ar-EG"/>
        </w:rPr>
        <w:t xml:space="preserve">إمكانية </w:t>
      </w:r>
      <w:r>
        <w:rPr>
          <w:rFonts w:hint="cs"/>
          <w:rtl/>
          <w:lang w:bidi="ar-EG"/>
        </w:rPr>
        <w:t xml:space="preserve">لجوئهم </w:t>
      </w:r>
      <w:r w:rsidRPr="00E33937">
        <w:rPr>
          <w:rtl/>
          <w:lang w:bidi="ar-EG"/>
        </w:rPr>
        <w:t>إلى القضاء وكفالة تمتعه</w:t>
      </w:r>
      <w:r>
        <w:rPr>
          <w:rFonts w:hint="cs"/>
          <w:rtl/>
          <w:lang w:bidi="ar-EG"/>
        </w:rPr>
        <w:t>م</w:t>
      </w:r>
      <w:r w:rsidRPr="00E33937">
        <w:rPr>
          <w:rtl/>
          <w:lang w:bidi="ar-EG"/>
        </w:rPr>
        <w:t xml:space="preserve"> بالضمانات القانونية الأساسية، </w:t>
      </w:r>
      <w:r>
        <w:rPr>
          <w:rFonts w:hint="cs"/>
          <w:rtl/>
          <w:lang w:bidi="ar-EG"/>
        </w:rPr>
        <w:t xml:space="preserve">ومقاضاة من تثبت إدانتهم ومعاقبتهم على النحو الملائم؛ </w:t>
      </w:r>
    </w:p>
    <w:p w14:paraId="1D6EB7EE"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الحالة الراهنة ل</w:t>
      </w:r>
      <w:r w:rsidRPr="00F253AF">
        <w:rPr>
          <w:rtl/>
          <w:lang w:bidi="ar-EG"/>
        </w:rPr>
        <w:t>عبد الهادي الخواجة، وناجي فتيل، وعبد الجليل السنكيس، وحسين جواد، وعبد الوهاب حسين</w:t>
      </w:r>
      <w:r>
        <w:rPr>
          <w:rFonts w:hint="cs"/>
          <w:rtl/>
          <w:lang w:bidi="ar-EG"/>
        </w:rPr>
        <w:t xml:space="preserve">، وأي نظر في إطلاق سراح السيد رجب وغيره من المدافعين عن حقوق الإنسان المسجونين في الدولة الطرف. </w:t>
      </w:r>
    </w:p>
    <w:p w14:paraId="0CFDB0D4" w14:textId="77777777" w:rsidR="00557E2C" w:rsidRDefault="00557E2C" w:rsidP="00557E2C">
      <w:pPr>
        <w:pStyle w:val="SingleTxtGA"/>
        <w:rPr>
          <w:rtl/>
          <w:lang w:bidi="ar-EG"/>
        </w:rPr>
      </w:pPr>
      <w:r w:rsidRPr="00557E2C">
        <w:rPr>
          <w:rFonts w:hint="cs"/>
          <w:szCs w:val="20"/>
          <w:rtl/>
          <w:lang w:bidi="ar-EG"/>
        </w:rPr>
        <w:t>12</w:t>
      </w:r>
      <w:r>
        <w:rPr>
          <w:rFonts w:hint="cs"/>
          <w:rtl/>
          <w:lang w:bidi="ar-EG"/>
        </w:rPr>
        <w:t>-</w:t>
      </w:r>
      <w:r>
        <w:rPr>
          <w:rtl/>
          <w:lang w:bidi="ar-EG"/>
        </w:rPr>
        <w:tab/>
      </w:r>
      <w:r w:rsidRPr="00E35075">
        <w:rPr>
          <w:rtl/>
          <w:lang w:bidi="ar-EG"/>
        </w:rPr>
        <w:t xml:space="preserve">وبالإشارة إلى الملاحظات الختامية السابقة للجنة (الفقرتان </w:t>
      </w:r>
      <w:r w:rsidRPr="00557E2C">
        <w:rPr>
          <w:rFonts w:hint="cs"/>
          <w:szCs w:val="20"/>
          <w:rtl/>
          <w:lang w:bidi="ar-EG"/>
        </w:rPr>
        <w:t>34</w:t>
      </w:r>
      <w:r>
        <w:rPr>
          <w:rFonts w:hint="cs"/>
          <w:rtl/>
          <w:lang w:bidi="ar-EG"/>
        </w:rPr>
        <w:t xml:space="preserve"> و</w:t>
      </w:r>
      <w:r w:rsidRPr="00557E2C">
        <w:rPr>
          <w:rFonts w:hint="cs"/>
          <w:szCs w:val="20"/>
          <w:rtl/>
          <w:lang w:bidi="ar-EG"/>
        </w:rPr>
        <w:t>35</w:t>
      </w:r>
      <w:r w:rsidRPr="00E35075">
        <w:rPr>
          <w:rtl/>
          <w:lang w:bidi="ar-EG"/>
        </w:rPr>
        <w:t xml:space="preserve">)، يرجى تقديم معلومات </w:t>
      </w:r>
      <w:r>
        <w:rPr>
          <w:rFonts w:hint="cs"/>
          <w:rtl/>
          <w:lang w:bidi="ar-EG"/>
        </w:rPr>
        <w:t>بشأن ما يلي:</w:t>
      </w:r>
    </w:p>
    <w:p w14:paraId="7B755BC0"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أي خطوات متخذة لتعريف وإدراج العنف العائلي، بما في ذلك العنف الجنسي والاغتصاب الزوجي، في قانون العقوبات كأفعال جنائية محددة، يعاقب عليها بعقوبات ملائمة؛ وكذلك عن حالة مشروع قانون العنف المنزلي الذي بدأت صياغته في عام </w:t>
      </w:r>
      <w:r w:rsidRPr="00557E2C">
        <w:rPr>
          <w:rFonts w:hint="cs"/>
          <w:szCs w:val="20"/>
          <w:rtl/>
          <w:lang w:bidi="ar-EG"/>
        </w:rPr>
        <w:t>2007</w:t>
      </w:r>
      <w:r>
        <w:rPr>
          <w:rFonts w:hint="cs"/>
          <w:rtl/>
          <w:lang w:bidi="ar-EG"/>
        </w:rPr>
        <w:t>؛</w:t>
      </w:r>
    </w:p>
    <w:p w14:paraId="604DD16E"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أي خطوات اتخذت خلال الفترة قيد الاستعراض لإلغاء المادتين </w:t>
      </w:r>
      <w:r w:rsidRPr="00557E2C">
        <w:rPr>
          <w:rFonts w:hint="cs"/>
          <w:szCs w:val="20"/>
          <w:rtl/>
          <w:lang w:bidi="ar-EG"/>
        </w:rPr>
        <w:t>334</w:t>
      </w:r>
      <w:r>
        <w:rPr>
          <w:rFonts w:hint="cs"/>
          <w:rtl/>
          <w:lang w:bidi="ar-EG"/>
        </w:rPr>
        <w:t xml:space="preserve"> و</w:t>
      </w:r>
      <w:r w:rsidRPr="00557E2C">
        <w:rPr>
          <w:rFonts w:hint="cs"/>
          <w:szCs w:val="20"/>
          <w:rtl/>
          <w:lang w:bidi="ar-EG"/>
        </w:rPr>
        <w:t>353</w:t>
      </w:r>
      <w:r>
        <w:rPr>
          <w:rFonts w:hint="cs"/>
          <w:rtl/>
          <w:lang w:bidi="ar-EG"/>
        </w:rPr>
        <w:t xml:space="preserve"> من قانون العقوبات؛ </w:t>
      </w:r>
    </w:p>
    <w:p w14:paraId="24684C65"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 xml:space="preserve">التدابير التي اتخذت خلال الفترة قيد الاستعراض لضمان </w:t>
      </w:r>
      <w:r w:rsidRPr="00A25CA2">
        <w:rPr>
          <w:rtl/>
          <w:lang w:bidi="ar-EG"/>
        </w:rPr>
        <w:t xml:space="preserve">تسجيل الشرطة لجميع </w:t>
      </w:r>
      <w:r>
        <w:rPr>
          <w:rFonts w:hint="cs"/>
          <w:rtl/>
          <w:lang w:bidi="ar-EG"/>
        </w:rPr>
        <w:t xml:space="preserve">ادعاءات </w:t>
      </w:r>
      <w:r w:rsidRPr="00A25CA2">
        <w:rPr>
          <w:rtl/>
          <w:lang w:bidi="ar-EG"/>
        </w:rPr>
        <w:t>تعرّض النساء للعنف، بما في ذلك العنف العائلي والعنف الجنسي، و</w:t>
      </w:r>
      <w:r>
        <w:rPr>
          <w:rFonts w:hint="cs"/>
          <w:rtl/>
          <w:lang w:bidi="ar-EG"/>
        </w:rPr>
        <w:t xml:space="preserve">لضمان </w:t>
      </w:r>
      <w:r w:rsidRPr="00A25CA2">
        <w:rPr>
          <w:rtl/>
          <w:lang w:bidi="ar-EG"/>
        </w:rPr>
        <w:t xml:space="preserve">التحقيق </w:t>
      </w:r>
      <w:r>
        <w:rPr>
          <w:rFonts w:hint="cs"/>
          <w:rtl/>
          <w:lang w:bidi="ar-EG"/>
        </w:rPr>
        <w:t xml:space="preserve">في جميع الادعاءات بالعنف </w:t>
      </w:r>
      <w:r w:rsidRPr="00A25CA2">
        <w:rPr>
          <w:rtl/>
          <w:lang w:bidi="ar-EG"/>
        </w:rPr>
        <w:t>على وجه السرعة تحقيقاً نزيهاً وفعالاً، ومقاضاة الجناة ومعاقبتهم</w:t>
      </w:r>
      <w:r>
        <w:rPr>
          <w:rFonts w:hint="cs"/>
          <w:rtl/>
          <w:lang w:bidi="ar-EG"/>
        </w:rPr>
        <w:t>؛</w:t>
      </w:r>
    </w:p>
    <w:p w14:paraId="50477397" w14:textId="77777777" w:rsidR="00557E2C" w:rsidRPr="00557E2C" w:rsidRDefault="00557E2C" w:rsidP="00557E2C">
      <w:pPr>
        <w:pStyle w:val="SingleTxtGA"/>
        <w:rPr>
          <w:spacing w:val="-2"/>
          <w:rtl/>
          <w:lang w:bidi="ar-EG"/>
        </w:rPr>
      </w:pPr>
      <w:r w:rsidRPr="00557E2C">
        <w:rPr>
          <w:spacing w:val="-2"/>
          <w:rtl/>
          <w:lang w:bidi="ar-EG"/>
        </w:rPr>
        <w:tab/>
      </w:r>
      <w:r w:rsidRPr="00557E2C">
        <w:rPr>
          <w:rFonts w:hint="cs"/>
          <w:spacing w:val="-2"/>
          <w:rtl/>
          <w:lang w:bidi="ar-EG"/>
        </w:rPr>
        <w:t>(د)</w:t>
      </w:r>
      <w:r w:rsidRPr="00557E2C">
        <w:rPr>
          <w:spacing w:val="-2"/>
          <w:rtl/>
          <w:lang w:bidi="ar-EG"/>
        </w:rPr>
        <w:tab/>
      </w:r>
      <w:r w:rsidRPr="00557E2C">
        <w:rPr>
          <w:rFonts w:hint="cs"/>
          <w:spacing w:val="-2"/>
          <w:rtl/>
          <w:lang w:bidi="ar-EG"/>
        </w:rPr>
        <w:t xml:space="preserve">ما إذا كان </w:t>
      </w:r>
      <w:r w:rsidRPr="00557E2C">
        <w:rPr>
          <w:spacing w:val="-2"/>
          <w:rtl/>
          <w:lang w:bidi="ar-EG"/>
        </w:rPr>
        <w:t xml:space="preserve">ضحايا </w:t>
      </w:r>
      <w:r w:rsidRPr="00557E2C">
        <w:rPr>
          <w:rFonts w:hint="cs"/>
          <w:spacing w:val="-2"/>
          <w:rtl/>
          <w:lang w:bidi="ar-EG"/>
        </w:rPr>
        <w:t xml:space="preserve">العنف العائلي يستفيدون </w:t>
      </w:r>
      <w:r w:rsidRPr="00557E2C">
        <w:rPr>
          <w:spacing w:val="-2"/>
          <w:rtl/>
          <w:lang w:bidi="ar-EG"/>
        </w:rPr>
        <w:t xml:space="preserve">من الحماية، بما في ذلك أوامر عدم التعرّض، وإمكانية </w:t>
      </w:r>
      <w:r w:rsidRPr="00557E2C">
        <w:rPr>
          <w:rFonts w:hint="cs"/>
          <w:spacing w:val="-2"/>
          <w:rtl/>
          <w:lang w:bidi="ar-EG"/>
        </w:rPr>
        <w:t>ال</w:t>
      </w:r>
      <w:r w:rsidRPr="00557E2C">
        <w:rPr>
          <w:spacing w:val="-2"/>
          <w:rtl/>
          <w:lang w:bidi="ar-EG"/>
        </w:rPr>
        <w:t>حصو</w:t>
      </w:r>
      <w:r w:rsidRPr="00557E2C">
        <w:rPr>
          <w:rFonts w:hint="cs"/>
          <w:spacing w:val="-2"/>
          <w:rtl/>
          <w:lang w:bidi="ar-EG"/>
        </w:rPr>
        <w:t>ل</w:t>
      </w:r>
      <w:r w:rsidRPr="00557E2C">
        <w:rPr>
          <w:spacing w:val="-2"/>
          <w:rtl/>
          <w:lang w:bidi="ar-EG"/>
        </w:rPr>
        <w:t xml:space="preserve"> على الخدمات الطبية والقانونية، بما يشمل الاستشارة والجبر و</w:t>
      </w:r>
      <w:r w:rsidRPr="00557E2C">
        <w:rPr>
          <w:rFonts w:hint="cs"/>
          <w:spacing w:val="-2"/>
          <w:rtl/>
          <w:lang w:bidi="ar-EG"/>
        </w:rPr>
        <w:t>إعادة التأهيل</w:t>
      </w:r>
      <w:r w:rsidRPr="00557E2C">
        <w:rPr>
          <w:spacing w:val="-2"/>
          <w:rtl/>
          <w:lang w:bidi="ar-EG"/>
        </w:rPr>
        <w:t xml:space="preserve">، فضلاً عن إمكانية </w:t>
      </w:r>
      <w:r w:rsidRPr="00557E2C">
        <w:rPr>
          <w:rFonts w:hint="cs"/>
          <w:spacing w:val="-2"/>
          <w:rtl/>
          <w:lang w:bidi="ar-EG"/>
        </w:rPr>
        <w:t>ال</w:t>
      </w:r>
      <w:r w:rsidRPr="00557E2C">
        <w:rPr>
          <w:spacing w:val="-2"/>
          <w:rtl/>
          <w:lang w:bidi="ar-EG"/>
        </w:rPr>
        <w:t>استفاد</w:t>
      </w:r>
      <w:r w:rsidRPr="00557E2C">
        <w:rPr>
          <w:rFonts w:hint="cs"/>
          <w:spacing w:val="-2"/>
          <w:rtl/>
          <w:lang w:bidi="ar-EG"/>
        </w:rPr>
        <w:t>ة</w:t>
      </w:r>
      <w:r w:rsidRPr="00557E2C">
        <w:rPr>
          <w:spacing w:val="-2"/>
          <w:rtl/>
          <w:lang w:bidi="ar-EG"/>
        </w:rPr>
        <w:t xml:space="preserve"> من </w:t>
      </w:r>
      <w:r w:rsidRPr="00557E2C">
        <w:rPr>
          <w:rFonts w:hint="cs"/>
          <w:spacing w:val="-2"/>
          <w:rtl/>
          <w:lang w:bidi="ar-EG"/>
        </w:rPr>
        <w:t xml:space="preserve">ملاجئ </w:t>
      </w:r>
      <w:r w:rsidRPr="00557E2C">
        <w:rPr>
          <w:spacing w:val="-2"/>
          <w:rtl/>
          <w:lang w:bidi="ar-EG"/>
        </w:rPr>
        <w:t>مأمونة وملائمة وممولة من الحكومة في جميع أنحاء البلاد</w:t>
      </w:r>
      <w:r w:rsidRPr="00557E2C">
        <w:rPr>
          <w:rFonts w:hint="cs"/>
          <w:spacing w:val="-2"/>
          <w:rtl/>
          <w:lang w:bidi="ar-EG"/>
        </w:rPr>
        <w:t>؛</w:t>
      </w:r>
    </w:p>
    <w:p w14:paraId="602A4AD6" w14:textId="77777777" w:rsidR="00557E2C" w:rsidRDefault="00557E2C" w:rsidP="00557E2C">
      <w:pPr>
        <w:pStyle w:val="SingleTxtGA"/>
        <w:rPr>
          <w:rtl/>
          <w:lang w:bidi="ar-EG"/>
        </w:rPr>
      </w:pPr>
      <w:r>
        <w:rPr>
          <w:rtl/>
          <w:lang w:bidi="ar-EG"/>
        </w:rPr>
        <w:tab/>
      </w:r>
      <w:r>
        <w:rPr>
          <w:rFonts w:hint="cs"/>
          <w:rtl/>
          <w:lang w:bidi="ar-EG"/>
        </w:rPr>
        <w:t>(هـ)</w:t>
      </w:r>
      <w:r>
        <w:rPr>
          <w:rtl/>
          <w:lang w:bidi="ar-EG"/>
        </w:rPr>
        <w:tab/>
      </w:r>
      <w:r>
        <w:rPr>
          <w:rFonts w:hint="cs"/>
          <w:rtl/>
          <w:lang w:bidi="ar-EG"/>
        </w:rPr>
        <w:t xml:space="preserve">ما إذا كانت تقدَّم </w:t>
      </w:r>
      <w:r w:rsidRPr="00F24D19">
        <w:rPr>
          <w:rtl/>
          <w:lang w:bidi="ar-EG"/>
        </w:rPr>
        <w:t>دورات تدريبية إلزامية لأفراد الشرطة وغيرهم من موظفي إنفاذ القانون، وللمرشدين الاجتماعيين، وأعضاء النياب</w:t>
      </w:r>
      <w:r>
        <w:rPr>
          <w:rFonts w:hint="cs"/>
          <w:rtl/>
          <w:lang w:bidi="ar-EG"/>
        </w:rPr>
        <w:t>ة العامة</w:t>
      </w:r>
      <w:r w:rsidRPr="00F24D19">
        <w:rPr>
          <w:rtl/>
          <w:lang w:bidi="ar-EG"/>
        </w:rPr>
        <w:t>، والقضاة بشأن ضعف ضحايا العنف الجنساني والعنف العائلي</w:t>
      </w:r>
      <w:r>
        <w:rPr>
          <w:rFonts w:hint="cs"/>
          <w:rtl/>
          <w:lang w:bidi="ar-EG"/>
        </w:rPr>
        <w:t>.</w:t>
      </w:r>
    </w:p>
    <w:p w14:paraId="5185CB8F" w14:textId="77777777" w:rsidR="00557E2C" w:rsidRPr="00F24D19" w:rsidRDefault="00557E2C" w:rsidP="00557E2C">
      <w:pPr>
        <w:pStyle w:val="H23GA"/>
        <w:rPr>
          <w:rtl/>
        </w:rPr>
      </w:pPr>
      <w:r>
        <w:rPr>
          <w:rtl/>
          <w:lang w:bidi="ar-EG"/>
        </w:rPr>
        <w:tab/>
      </w:r>
      <w:r>
        <w:rPr>
          <w:rtl/>
          <w:lang w:bidi="ar-EG"/>
        </w:rPr>
        <w:tab/>
      </w:r>
      <w:r w:rsidRPr="00F24D19">
        <w:rPr>
          <w:rFonts w:hint="cs"/>
          <w:rtl/>
          <w:lang w:bidi="ar-EG"/>
        </w:rPr>
        <w:t xml:space="preserve">المادة </w:t>
      </w:r>
      <w:r w:rsidRPr="00557E2C">
        <w:rPr>
          <w:rFonts w:hint="cs"/>
          <w:szCs w:val="20"/>
          <w:rtl/>
          <w:lang w:bidi="ar-EG"/>
        </w:rPr>
        <w:t>10</w:t>
      </w:r>
    </w:p>
    <w:p w14:paraId="14DF024C" w14:textId="77777777" w:rsidR="00557E2C" w:rsidRDefault="00557E2C" w:rsidP="00557E2C">
      <w:pPr>
        <w:pStyle w:val="SingleTxtGA"/>
        <w:rPr>
          <w:rtl/>
          <w:lang w:bidi="ar-EG"/>
        </w:rPr>
      </w:pPr>
      <w:r w:rsidRPr="00557E2C">
        <w:rPr>
          <w:rFonts w:hint="cs"/>
          <w:szCs w:val="20"/>
          <w:rtl/>
          <w:lang w:bidi="ar-EG"/>
        </w:rPr>
        <w:t>13</w:t>
      </w:r>
      <w:r>
        <w:rPr>
          <w:rFonts w:hint="cs"/>
          <w:rtl/>
          <w:lang w:bidi="ar-EG"/>
        </w:rPr>
        <w:t>-</w:t>
      </w:r>
      <w:r>
        <w:rPr>
          <w:rtl/>
          <w:lang w:bidi="ar-EG"/>
        </w:rPr>
        <w:tab/>
      </w:r>
      <w:r>
        <w:rPr>
          <w:rFonts w:hint="cs"/>
          <w:rtl/>
          <w:lang w:bidi="ar-EG"/>
        </w:rPr>
        <w:t xml:space="preserve">يرجى تقديم معلومات بشأن ما يلي: </w:t>
      </w:r>
    </w:p>
    <w:p w14:paraId="4A67CCD0"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ما إذا كان التدريب في مجال الحظر المطلق للتعذيب وعلى </w:t>
      </w:r>
      <w:r w:rsidRPr="00F24D19">
        <w:rPr>
          <w:rtl/>
          <w:lang w:bidi="ar-EG"/>
        </w:rPr>
        <w:t xml:space="preserve">أحكام الاتفاقية </w:t>
      </w:r>
      <w:r>
        <w:rPr>
          <w:rFonts w:hint="cs"/>
          <w:rtl/>
          <w:lang w:bidi="ar-EG"/>
        </w:rPr>
        <w:t xml:space="preserve">قد أصبح إلزامياً لجميع المسؤولين العموميين الذين يتواصلون مع الأشخاص المسلوبة حريتهم، بمن فيهم الموظفون المكلفون بإنفاذ القانون وأولئك القائمون على إجراء الاستجوابات؛ </w:t>
      </w:r>
    </w:p>
    <w:p w14:paraId="0B29320A" w14:textId="77777777" w:rsidR="00557E2C" w:rsidRPr="009228F6" w:rsidRDefault="00557E2C" w:rsidP="00557E2C">
      <w:pPr>
        <w:pStyle w:val="SingleTxtGA"/>
        <w:rPr>
          <w:rtl/>
          <w:lang w:bidi="ar-EG"/>
        </w:rPr>
      </w:pPr>
      <w:r w:rsidRPr="009228F6">
        <w:rPr>
          <w:rtl/>
          <w:lang w:bidi="ar-EG"/>
        </w:rPr>
        <w:tab/>
      </w:r>
      <w:r w:rsidRPr="009228F6">
        <w:rPr>
          <w:rFonts w:hint="cs"/>
          <w:rtl/>
          <w:lang w:bidi="ar-EG"/>
        </w:rPr>
        <w:t>(ب)</w:t>
      </w:r>
      <w:r w:rsidRPr="009228F6">
        <w:rPr>
          <w:rtl/>
          <w:lang w:bidi="ar-EG"/>
        </w:rPr>
        <w:tab/>
      </w:r>
      <w:r w:rsidRPr="009228F6">
        <w:rPr>
          <w:rFonts w:hint="cs"/>
          <w:rtl/>
          <w:lang w:bidi="ar-EG"/>
        </w:rPr>
        <w:t xml:space="preserve">مدى اعتبار </w:t>
      </w:r>
      <w:r w:rsidRPr="009228F6">
        <w:rPr>
          <w:rtl/>
          <w:lang w:bidi="ar-EG"/>
        </w:rPr>
        <w:t>دليل التقصي والتوثيق الفعالين للتعذيب وغيره من ضروب المعاملة أو</w:t>
      </w:r>
      <w:r>
        <w:rPr>
          <w:rFonts w:hint="eastAsia"/>
          <w:rtl/>
          <w:lang w:bidi="ar-EG"/>
        </w:rPr>
        <w:t> </w:t>
      </w:r>
      <w:r w:rsidRPr="009228F6">
        <w:rPr>
          <w:rtl/>
          <w:lang w:bidi="ar-EG"/>
        </w:rPr>
        <w:t>العقوبة القاسية أو اللاإنسانية أو المهينة</w:t>
      </w:r>
      <w:r w:rsidRPr="009228F6">
        <w:rPr>
          <w:rFonts w:hint="cs"/>
          <w:rtl/>
          <w:lang w:bidi="ar-EG"/>
        </w:rPr>
        <w:t xml:space="preserve"> (بروتوكول اسطنبول) جزءاً أساسياً من تدريب جميع الاختصاصيين في المجال الطبي وغيرهم من الموظفين العموميين العاملين مع الأشخاص المسلوبة حريتهم؛ </w:t>
      </w:r>
    </w:p>
    <w:p w14:paraId="46716161"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 xml:space="preserve">أي منهجيات تم وضعها لتقييم فعالية التدريب المقدم للموظفين العموميين المعنيين وأثره على الحد من حدوث التعذيب؛ </w:t>
      </w:r>
    </w:p>
    <w:p w14:paraId="06B1A57A" w14:textId="77777777" w:rsidR="00557E2C" w:rsidRPr="007E6CD8" w:rsidRDefault="00557E2C" w:rsidP="00557E2C">
      <w:pPr>
        <w:pStyle w:val="SingleTxtGA"/>
        <w:rPr>
          <w:rtl/>
          <w:lang w:bidi="ar-EG"/>
        </w:rPr>
      </w:pPr>
      <w:r w:rsidRPr="007E6CD8">
        <w:rPr>
          <w:rtl/>
          <w:lang w:bidi="ar-EG"/>
        </w:rPr>
        <w:tab/>
      </w:r>
      <w:r w:rsidRPr="007E6CD8">
        <w:rPr>
          <w:rFonts w:hint="cs"/>
          <w:rtl/>
          <w:lang w:bidi="ar-EG"/>
        </w:rPr>
        <w:t>(د)</w:t>
      </w:r>
      <w:r w:rsidRPr="007E6CD8">
        <w:rPr>
          <w:rtl/>
          <w:lang w:bidi="ar-EG"/>
        </w:rPr>
        <w:tab/>
      </w:r>
      <w:r w:rsidRPr="007E6CD8">
        <w:rPr>
          <w:rFonts w:hint="cs"/>
          <w:rtl/>
          <w:lang w:bidi="ar-EG"/>
        </w:rPr>
        <w:t xml:space="preserve">ما إذا كانت الجهود المبذولة للقيام على نحو فعال بمنع وإنهاء الاستخدام المفرط للقوة من قبل موظفي إنفاذ القانون والأمن والسجون تشمل التدريب على </w:t>
      </w:r>
      <w:r w:rsidRPr="007E6CD8">
        <w:rPr>
          <w:rtl/>
          <w:lang w:bidi="ar-EG"/>
        </w:rPr>
        <w:t>المبادئ الأساسية بشأن استخدام القوة والأسلحة النارية من جانب الموظفين المكلفين بإنفاذ القوانين</w:t>
      </w:r>
      <w:r>
        <w:rPr>
          <w:rFonts w:hint="cs"/>
          <w:rtl/>
          <w:lang w:bidi="ar-EG"/>
        </w:rPr>
        <w:t xml:space="preserve"> (</w:t>
      </w:r>
      <w:r w:rsidRPr="007E6CD8">
        <w:rPr>
          <w:lang w:val="es-CU"/>
        </w:rPr>
        <w:t>CCPR/C/BHR/CO/</w:t>
      </w:r>
      <w:r w:rsidRPr="00557E2C">
        <w:rPr>
          <w:szCs w:val="20"/>
          <w:lang w:val="es-CU"/>
        </w:rPr>
        <w:t>1</w:t>
      </w:r>
      <w:r w:rsidRPr="007E6CD8">
        <w:rPr>
          <w:rFonts w:hAnsi="Traditional Arabic"/>
          <w:rtl/>
          <w:lang w:val="es-CU"/>
        </w:rPr>
        <w:t xml:space="preserve">، الفقرة </w:t>
      </w:r>
      <w:r w:rsidRPr="00557E2C">
        <w:rPr>
          <w:rFonts w:hAnsi="Traditional Arabic"/>
          <w:szCs w:val="20"/>
          <w:rtl/>
          <w:lang w:val="es-CU"/>
        </w:rPr>
        <w:t>36</w:t>
      </w:r>
      <w:r>
        <w:rPr>
          <w:rFonts w:hint="cs"/>
          <w:rtl/>
          <w:lang w:bidi="ar-EG"/>
        </w:rPr>
        <w:t>)</w:t>
      </w:r>
      <w:r w:rsidRPr="007E6CD8">
        <w:rPr>
          <w:rFonts w:hint="cs"/>
          <w:rtl/>
          <w:lang w:bidi="ar-EG"/>
        </w:rPr>
        <w:t>.</w:t>
      </w:r>
    </w:p>
    <w:p w14:paraId="6825E7A0" w14:textId="77777777" w:rsidR="00557E2C" w:rsidRPr="009E13A0" w:rsidRDefault="00557E2C" w:rsidP="00557E2C">
      <w:pPr>
        <w:pStyle w:val="H23GA"/>
        <w:rPr>
          <w:rtl/>
          <w:lang w:bidi="ar-EG"/>
        </w:rPr>
      </w:pPr>
      <w:r>
        <w:rPr>
          <w:rtl/>
          <w:lang w:bidi="ar-EG"/>
        </w:rPr>
        <w:tab/>
      </w:r>
      <w:r>
        <w:rPr>
          <w:rtl/>
          <w:lang w:bidi="ar-EG"/>
        </w:rPr>
        <w:tab/>
      </w:r>
      <w:r w:rsidRPr="009E13A0">
        <w:rPr>
          <w:rFonts w:hint="cs"/>
          <w:rtl/>
          <w:lang w:bidi="ar-EG"/>
        </w:rPr>
        <w:t xml:space="preserve">المادة </w:t>
      </w:r>
      <w:r w:rsidRPr="00557E2C">
        <w:rPr>
          <w:rFonts w:hint="cs"/>
          <w:szCs w:val="20"/>
          <w:rtl/>
          <w:lang w:bidi="ar-EG"/>
        </w:rPr>
        <w:t>11</w:t>
      </w:r>
    </w:p>
    <w:p w14:paraId="1133C8B5" w14:textId="77777777" w:rsidR="00557E2C" w:rsidRDefault="00557E2C" w:rsidP="00557E2C">
      <w:pPr>
        <w:pStyle w:val="SingleTxtGA"/>
        <w:rPr>
          <w:rtl/>
        </w:rPr>
      </w:pPr>
      <w:r w:rsidRPr="00557E2C">
        <w:rPr>
          <w:rFonts w:hint="cs"/>
          <w:szCs w:val="20"/>
          <w:rtl/>
          <w:lang w:bidi="ar-EG"/>
        </w:rPr>
        <w:t>14</w:t>
      </w:r>
      <w:r>
        <w:rPr>
          <w:rFonts w:hint="cs"/>
          <w:rtl/>
          <w:lang w:bidi="ar-EG"/>
        </w:rPr>
        <w:t>-</w:t>
      </w:r>
      <w:r>
        <w:rPr>
          <w:rtl/>
          <w:lang w:bidi="ar-EG"/>
        </w:rPr>
        <w:tab/>
      </w:r>
      <w:r w:rsidRPr="00E35075">
        <w:rPr>
          <w:rtl/>
          <w:lang w:bidi="ar-EG"/>
        </w:rPr>
        <w:t>بالإشارة إلى الملاحظات الختامية السابقة للجنة (الفقرتان</w:t>
      </w:r>
      <w:r>
        <w:rPr>
          <w:rFonts w:hint="cs"/>
          <w:rtl/>
          <w:lang w:bidi="ar-EG"/>
        </w:rPr>
        <w:t xml:space="preserve"> </w:t>
      </w:r>
      <w:r w:rsidRPr="00557E2C">
        <w:rPr>
          <w:rFonts w:hint="cs"/>
          <w:szCs w:val="20"/>
          <w:rtl/>
          <w:lang w:bidi="ar-EG"/>
        </w:rPr>
        <w:t>22</w:t>
      </w:r>
      <w:r>
        <w:rPr>
          <w:rFonts w:hint="cs"/>
          <w:rtl/>
          <w:lang w:bidi="ar-EG"/>
        </w:rPr>
        <w:t xml:space="preserve"> و</w:t>
      </w:r>
      <w:r w:rsidRPr="00557E2C">
        <w:rPr>
          <w:rFonts w:hint="cs"/>
          <w:szCs w:val="20"/>
          <w:rtl/>
          <w:lang w:bidi="ar-EG"/>
        </w:rPr>
        <w:t>23</w:t>
      </w:r>
      <w:r w:rsidRPr="00E35075">
        <w:rPr>
          <w:rtl/>
          <w:lang w:bidi="ar-EG"/>
        </w:rPr>
        <w:t xml:space="preserve">)، يرجى تقديم معلومات </w:t>
      </w:r>
      <w:r>
        <w:rPr>
          <w:rFonts w:hint="cs"/>
          <w:rtl/>
          <w:lang w:bidi="ar-EG"/>
        </w:rPr>
        <w:t>محدثة بشأن ما يلي:</w:t>
      </w:r>
    </w:p>
    <w:p w14:paraId="0AA78A98"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أي مبان جديدة شُيدت خلال الفترة قيد الاستعراض لإيواء السجناء والتخفيف من الاكتظاظ في مرافق الاحتجاز وأي تجديدات لمرافق ومعدات قائمة محددة وأماكنها؛ </w:t>
      </w:r>
    </w:p>
    <w:p w14:paraId="587C9D98" w14:textId="3FD5AAAE"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الخطوات المحددة المتخذة للنهوض باحترام الكرامة المتأصلة للإنسان ولتحسين الظروف </w:t>
      </w:r>
      <w:r w:rsidRPr="00515303">
        <w:rPr>
          <w:rtl/>
          <w:lang w:bidi="ar-EG"/>
        </w:rPr>
        <w:t xml:space="preserve">المادية </w:t>
      </w:r>
      <w:r>
        <w:rPr>
          <w:rFonts w:hint="cs"/>
          <w:rtl/>
          <w:lang w:bidi="ar-EG"/>
        </w:rPr>
        <w:t xml:space="preserve">وظروف </w:t>
      </w:r>
      <w:r w:rsidRPr="00515303">
        <w:rPr>
          <w:rtl/>
          <w:lang w:bidi="ar-EG"/>
        </w:rPr>
        <w:t xml:space="preserve">النظافة الصحية </w:t>
      </w:r>
      <w:r>
        <w:rPr>
          <w:rFonts w:hint="cs"/>
          <w:rtl/>
          <w:lang w:bidi="ar-EG"/>
        </w:rPr>
        <w:t xml:space="preserve">السيئة في السجون، بما في ذلك الظروف غير الملائمة للمرافق الصحية مثل مرافق الاغتسال ودورات المياه، وخاصة في سجن جو، </w:t>
      </w:r>
      <w:r w:rsidRPr="009D148B">
        <w:rPr>
          <w:rtl/>
          <w:lang w:bidi="ar-EG"/>
        </w:rPr>
        <w:t xml:space="preserve">وعدم إمكانية الحصول على </w:t>
      </w:r>
      <w:r>
        <w:rPr>
          <w:rFonts w:hint="cs"/>
          <w:rtl/>
          <w:lang w:bidi="ar-EG"/>
        </w:rPr>
        <w:t>كميات كافية من ال</w:t>
      </w:r>
      <w:r w:rsidRPr="009D148B">
        <w:rPr>
          <w:rtl/>
          <w:lang w:bidi="ar-EG"/>
        </w:rPr>
        <w:t xml:space="preserve">غذاء </w:t>
      </w:r>
      <w:r>
        <w:rPr>
          <w:rFonts w:hint="cs"/>
          <w:rtl/>
          <w:lang w:bidi="ar-EG"/>
        </w:rPr>
        <w:t>الجيد</w:t>
      </w:r>
      <w:r w:rsidRPr="009D148B">
        <w:rPr>
          <w:rtl/>
          <w:lang w:bidi="ar-EG"/>
        </w:rPr>
        <w:t xml:space="preserve">، </w:t>
      </w:r>
      <w:r>
        <w:rPr>
          <w:rFonts w:hint="cs"/>
          <w:rtl/>
          <w:lang w:bidi="ar-EG"/>
        </w:rPr>
        <w:t>وعدم إمكانية الحصول بالقدر الكافي على مياه الشرب (</w:t>
      </w:r>
      <w:r w:rsidRPr="007E6CD8">
        <w:rPr>
          <w:lang w:val="es-CU"/>
        </w:rPr>
        <w:t>CCPR/C/BHR/CO/</w:t>
      </w:r>
      <w:r w:rsidRPr="00557E2C">
        <w:rPr>
          <w:szCs w:val="20"/>
          <w:lang w:val="es-CU"/>
        </w:rPr>
        <w:t>1</w:t>
      </w:r>
      <w:r w:rsidRPr="007E6CD8">
        <w:rPr>
          <w:rFonts w:hAnsi="Traditional Arabic" w:hint="cs"/>
          <w:rtl/>
          <w:lang w:val="es-CU"/>
        </w:rPr>
        <w:t xml:space="preserve">، </w:t>
      </w:r>
      <w:r w:rsidRPr="007E6CD8">
        <w:rPr>
          <w:rFonts w:hint="cs"/>
          <w:rtl/>
        </w:rPr>
        <w:t>الفقرة</w:t>
      </w:r>
      <w:r w:rsidRPr="007E6CD8">
        <w:rPr>
          <w:rFonts w:hAnsi="Traditional Arabic" w:hint="cs"/>
          <w:rtl/>
          <w:lang w:val="es-CU"/>
        </w:rPr>
        <w:t xml:space="preserve"> </w:t>
      </w:r>
      <w:r w:rsidR="003E71F7">
        <w:rPr>
          <w:rFonts w:hAnsi="Traditional Arabic" w:hint="cs"/>
          <w:szCs w:val="20"/>
          <w:rtl/>
          <w:lang w:val="es-CU"/>
        </w:rPr>
        <w:t>41</w:t>
      </w:r>
      <w:r>
        <w:rPr>
          <w:rFonts w:hint="cs"/>
          <w:rtl/>
          <w:lang w:bidi="ar-EG"/>
        </w:rPr>
        <w:t>)</w:t>
      </w:r>
      <w:r>
        <w:rPr>
          <w:rFonts w:hint="cs"/>
          <w:rtl/>
        </w:rPr>
        <w:t>،</w:t>
      </w:r>
      <w:r>
        <w:rPr>
          <w:rFonts w:hint="cs"/>
          <w:sz w:val="24"/>
          <w:szCs w:val="24"/>
          <w:rtl/>
        </w:rPr>
        <w:t xml:space="preserve"> </w:t>
      </w:r>
      <w:r>
        <w:rPr>
          <w:rFonts w:hint="cs"/>
          <w:rtl/>
          <w:lang w:bidi="ar-EG"/>
        </w:rPr>
        <w:t>و</w:t>
      </w:r>
      <w:r w:rsidRPr="009D148B">
        <w:rPr>
          <w:rtl/>
          <w:lang w:bidi="ar-EG"/>
        </w:rPr>
        <w:t>الرعاية الصحية</w:t>
      </w:r>
      <w:r>
        <w:rPr>
          <w:rFonts w:hint="cs"/>
          <w:rtl/>
          <w:lang w:bidi="ar-EG"/>
        </w:rPr>
        <w:t>،</w:t>
      </w:r>
      <w:r w:rsidRPr="009D148B">
        <w:rPr>
          <w:rtl/>
          <w:lang w:bidi="ar-EG"/>
        </w:rPr>
        <w:t xml:space="preserve"> </w:t>
      </w:r>
      <w:r>
        <w:rPr>
          <w:rFonts w:hint="cs"/>
          <w:rtl/>
          <w:lang w:bidi="ar-EG"/>
        </w:rPr>
        <w:t xml:space="preserve">وفرص </w:t>
      </w:r>
      <w:r w:rsidRPr="009D148B">
        <w:rPr>
          <w:rtl/>
          <w:lang w:bidi="ar-EG"/>
        </w:rPr>
        <w:t>الأنشطة الخارجية</w:t>
      </w:r>
      <w:r>
        <w:rPr>
          <w:rFonts w:hint="cs"/>
          <w:rtl/>
          <w:lang w:bidi="ar-EG"/>
        </w:rPr>
        <w:t xml:space="preserve">، وكذلك </w:t>
      </w:r>
      <w:r w:rsidRPr="009D148B">
        <w:rPr>
          <w:rtl/>
          <w:lang w:bidi="ar-EG"/>
        </w:rPr>
        <w:t>تقييد الزيارات الأسرية بلا داع</w:t>
      </w:r>
      <w:r>
        <w:rPr>
          <w:rFonts w:hint="cs"/>
          <w:rtl/>
          <w:lang w:bidi="ar-EG"/>
        </w:rPr>
        <w:t xml:space="preserve">، وذلك من أجل جعل ظروف الاحتجاز متوافقة مع </w:t>
      </w:r>
      <w:r w:rsidRPr="002108FE">
        <w:rPr>
          <w:rtl/>
          <w:lang w:bidi="ar-EG"/>
        </w:rPr>
        <w:t>قواعد الأمم المتحدة النموذجية الدنيا لمعاملة السجناء</w:t>
      </w:r>
      <w:r>
        <w:rPr>
          <w:rFonts w:hint="cs"/>
          <w:rtl/>
          <w:lang w:bidi="ar-EG"/>
        </w:rPr>
        <w:t xml:space="preserve"> (قواعد نيلسون مانديلا) و</w:t>
      </w:r>
      <w:r w:rsidRPr="002108FE">
        <w:rPr>
          <w:rtl/>
          <w:lang w:bidi="ar-EG"/>
        </w:rPr>
        <w:t>قواعد الأمم المتحدة لمعاملة السجينات والتدابير غير الاحتجازية للمجرمات</w:t>
      </w:r>
      <w:r>
        <w:rPr>
          <w:rFonts w:hint="cs"/>
          <w:rtl/>
          <w:lang w:bidi="ar-EG"/>
        </w:rPr>
        <w:t xml:space="preserve"> (قواعد بانكوك)؛</w:t>
      </w:r>
    </w:p>
    <w:p w14:paraId="3FB6A8C9"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التدابير المستحدثة للحد من معدل الحبس، وفقاً ل</w:t>
      </w:r>
      <w:r w:rsidRPr="002108FE">
        <w:rPr>
          <w:rtl/>
          <w:lang w:bidi="ar-EG"/>
        </w:rPr>
        <w:t>قواعد الأمم المتحدة الدنيا النموذجية للتدابير غير الاحتجازية</w:t>
      </w:r>
      <w:r>
        <w:rPr>
          <w:rFonts w:hint="cs"/>
          <w:rtl/>
          <w:lang w:bidi="ar-EG"/>
        </w:rPr>
        <w:t xml:space="preserve"> (قواعد طوكيو)؛</w:t>
      </w:r>
    </w:p>
    <w:p w14:paraId="5D75F551" w14:textId="77777777" w:rsidR="00557E2C" w:rsidRDefault="00557E2C" w:rsidP="00557E2C">
      <w:pPr>
        <w:pStyle w:val="SingleTxtGA"/>
        <w:rPr>
          <w:rtl/>
          <w:lang w:bidi="ar-EG"/>
        </w:rPr>
      </w:pPr>
      <w:r>
        <w:rPr>
          <w:rtl/>
          <w:lang w:bidi="ar-EG"/>
        </w:rPr>
        <w:tab/>
      </w:r>
      <w:r>
        <w:rPr>
          <w:rFonts w:hint="cs"/>
          <w:rtl/>
          <w:lang w:bidi="ar-EG"/>
        </w:rPr>
        <w:t>(د)</w:t>
      </w:r>
      <w:r>
        <w:rPr>
          <w:rtl/>
          <w:lang w:bidi="ar-EG"/>
        </w:rPr>
        <w:tab/>
      </w:r>
      <w:r>
        <w:rPr>
          <w:rFonts w:hint="cs"/>
          <w:rtl/>
          <w:lang w:bidi="ar-EG"/>
        </w:rPr>
        <w:t xml:space="preserve">الخطوات المتخذة لتمكين هيئات الرصد المستقلة، بما فيها الهيئات الدولية، من إجراء </w:t>
      </w:r>
      <w:r w:rsidRPr="002108FE">
        <w:rPr>
          <w:rtl/>
          <w:lang w:bidi="ar-EG"/>
        </w:rPr>
        <w:t>زيارات منتظمة غير معلنة لجميع أماكن الاحتجاز ومقابلة المحتجزين على انفراد</w:t>
      </w:r>
      <w:r>
        <w:rPr>
          <w:rFonts w:hint="cs"/>
          <w:rtl/>
          <w:lang w:bidi="ar-EG"/>
        </w:rPr>
        <w:t>؛</w:t>
      </w:r>
    </w:p>
    <w:p w14:paraId="11511D83" w14:textId="77777777" w:rsidR="00557E2C" w:rsidRDefault="00557E2C" w:rsidP="00557E2C">
      <w:pPr>
        <w:pStyle w:val="SingleTxtGA"/>
        <w:rPr>
          <w:rtl/>
          <w:lang w:bidi="ar-EG"/>
        </w:rPr>
      </w:pPr>
      <w:r>
        <w:rPr>
          <w:rtl/>
          <w:lang w:bidi="ar-EG"/>
        </w:rPr>
        <w:tab/>
      </w:r>
      <w:r>
        <w:rPr>
          <w:rFonts w:hint="cs"/>
          <w:rtl/>
          <w:lang w:bidi="ar-EG"/>
        </w:rPr>
        <w:t>(هـ)</w:t>
      </w:r>
      <w:r>
        <w:rPr>
          <w:rtl/>
          <w:lang w:bidi="ar-EG"/>
        </w:rPr>
        <w:tab/>
      </w:r>
      <w:r>
        <w:rPr>
          <w:rFonts w:hint="cs"/>
          <w:rtl/>
          <w:lang w:bidi="ar-EG"/>
        </w:rPr>
        <w:t xml:space="preserve">أي تقارير للمتابعة من الدولة الطرف بشأن زيارات أماكن الاحتجاز من قبل مفوضية حقوق السجناء والمحتجزين عملاً بطلب تقديم المزيد من التوضيحات الذي أرسله المقرر المعني بمتابعة الملاحظات الختامية في </w:t>
      </w:r>
      <w:r w:rsidRPr="00557E2C">
        <w:rPr>
          <w:rFonts w:hint="cs"/>
          <w:szCs w:val="20"/>
          <w:rtl/>
          <w:lang w:bidi="ar-EG"/>
        </w:rPr>
        <w:t>23</w:t>
      </w:r>
      <w:r>
        <w:rPr>
          <w:rFonts w:hint="cs"/>
          <w:rtl/>
          <w:lang w:bidi="ar-EG"/>
        </w:rPr>
        <w:t xml:space="preserve"> تشرين الأول/أكتوبر </w:t>
      </w:r>
      <w:r w:rsidRPr="00557E2C">
        <w:rPr>
          <w:rFonts w:hint="cs"/>
          <w:szCs w:val="20"/>
          <w:rtl/>
          <w:lang w:bidi="ar-EG"/>
        </w:rPr>
        <w:t>2018</w:t>
      </w:r>
      <w:r>
        <w:rPr>
          <w:rFonts w:hint="cs"/>
          <w:rtl/>
          <w:lang w:bidi="ar-EG"/>
        </w:rPr>
        <w:t>.</w:t>
      </w:r>
    </w:p>
    <w:p w14:paraId="6FE5F272" w14:textId="77777777" w:rsidR="00557E2C" w:rsidRDefault="00557E2C" w:rsidP="00557E2C">
      <w:pPr>
        <w:pStyle w:val="SingleTxtGA"/>
        <w:rPr>
          <w:rtl/>
          <w:lang w:bidi="ar-EG"/>
        </w:rPr>
      </w:pPr>
      <w:r w:rsidRPr="00557E2C">
        <w:rPr>
          <w:rFonts w:hint="cs"/>
          <w:szCs w:val="20"/>
          <w:rtl/>
          <w:lang w:bidi="ar-EG"/>
        </w:rPr>
        <w:t>15</w:t>
      </w:r>
      <w:r>
        <w:rPr>
          <w:rFonts w:hint="cs"/>
          <w:rtl/>
          <w:lang w:bidi="ar-EG"/>
        </w:rPr>
        <w:t>-</w:t>
      </w:r>
      <w:r>
        <w:rPr>
          <w:rtl/>
          <w:lang w:bidi="ar-EG"/>
        </w:rPr>
        <w:tab/>
      </w:r>
      <w:r w:rsidRPr="00E35075">
        <w:rPr>
          <w:rtl/>
          <w:lang w:bidi="ar-EG"/>
        </w:rPr>
        <w:t>بالإشارة إلى الملاحظات الختامية السابقة للجنة (الفقرتان</w:t>
      </w:r>
      <w:r>
        <w:rPr>
          <w:rFonts w:hint="cs"/>
          <w:rtl/>
          <w:lang w:bidi="ar-EG"/>
        </w:rPr>
        <w:t xml:space="preserve"> </w:t>
      </w:r>
      <w:r w:rsidRPr="00557E2C">
        <w:rPr>
          <w:rFonts w:hint="cs"/>
          <w:szCs w:val="20"/>
          <w:rtl/>
          <w:lang w:bidi="ar-EG"/>
        </w:rPr>
        <w:t>24</w:t>
      </w:r>
      <w:r>
        <w:rPr>
          <w:rFonts w:hint="cs"/>
          <w:rtl/>
          <w:lang w:bidi="ar-EG"/>
        </w:rPr>
        <w:t xml:space="preserve"> و</w:t>
      </w:r>
      <w:r w:rsidRPr="00557E2C">
        <w:rPr>
          <w:rFonts w:hint="cs"/>
          <w:szCs w:val="20"/>
          <w:rtl/>
          <w:lang w:bidi="ar-EG"/>
        </w:rPr>
        <w:t>25</w:t>
      </w:r>
      <w:r w:rsidRPr="00E35075">
        <w:rPr>
          <w:rtl/>
          <w:lang w:bidi="ar-EG"/>
        </w:rPr>
        <w:t xml:space="preserve">)، يرجى تقديم معلومات </w:t>
      </w:r>
      <w:r>
        <w:rPr>
          <w:rFonts w:hint="cs"/>
          <w:rtl/>
          <w:lang w:bidi="ar-EG"/>
        </w:rPr>
        <w:t>محدثة بشأن ما يلي:</w:t>
      </w:r>
    </w:p>
    <w:p w14:paraId="6392E0AB" w14:textId="45159559" w:rsidR="00557E2C" w:rsidRPr="00557E2C" w:rsidRDefault="00557E2C" w:rsidP="00557E2C">
      <w:pPr>
        <w:pStyle w:val="SingleTxtGA"/>
        <w:rPr>
          <w:spacing w:val="-2"/>
          <w:rtl/>
          <w:lang w:bidi="ar-EG"/>
        </w:rPr>
      </w:pPr>
      <w:r w:rsidRPr="00557E2C">
        <w:rPr>
          <w:spacing w:val="-2"/>
          <w:rtl/>
          <w:lang w:bidi="ar-EG"/>
        </w:rPr>
        <w:tab/>
      </w:r>
      <w:r w:rsidRPr="00557E2C">
        <w:rPr>
          <w:rFonts w:hint="cs"/>
          <w:spacing w:val="-2"/>
          <w:rtl/>
          <w:lang w:bidi="ar-EG"/>
        </w:rPr>
        <w:t>(أ)</w:t>
      </w:r>
      <w:r w:rsidRPr="00557E2C">
        <w:rPr>
          <w:spacing w:val="-2"/>
          <w:rtl/>
          <w:lang w:bidi="ar-EG"/>
        </w:rPr>
        <w:tab/>
      </w:r>
      <w:r w:rsidRPr="00557E2C">
        <w:rPr>
          <w:rFonts w:hint="cs"/>
          <w:spacing w:val="-2"/>
          <w:rtl/>
          <w:lang w:bidi="ar-EG"/>
        </w:rPr>
        <w:t xml:space="preserve">ما إذا كانت أي تحقيقات فعالة قد أجريت بشأن أفراد قوات الأمن وموظفي إدارة السجون وغيرهم من المسؤولين، وما إذا كان قد تم مقاضاة ومعاقبة أي منهم فيما يتعلق بالعنف والاستخدام المفرط للقوة، بما في ذلك استخدام الرصاص المطاطي والغاز المسيل للدموع والبنادق في أماكن الاحتجاز وعدد من تمت مقاضاتهم ومعاقبتهم. ويُرجى أيضاً تقديم معلومات عن العقاب الجماعي الذي يصل إلى حد التعذيب وسوء المعاملة في سجن جو في آذار/مارس </w:t>
      </w:r>
      <w:r w:rsidRPr="00557E2C">
        <w:rPr>
          <w:rFonts w:hint="cs"/>
          <w:spacing w:val="-2"/>
          <w:szCs w:val="20"/>
          <w:rtl/>
          <w:lang w:bidi="ar-EG"/>
        </w:rPr>
        <w:t>2015</w:t>
      </w:r>
      <w:r w:rsidRPr="00557E2C">
        <w:rPr>
          <w:rFonts w:hint="cs"/>
          <w:spacing w:val="-2"/>
          <w:rtl/>
          <w:lang w:bidi="ar-EG"/>
        </w:rPr>
        <w:t xml:space="preserve"> وكانون الثاني/يناير </w:t>
      </w:r>
      <w:r w:rsidRPr="00557E2C">
        <w:rPr>
          <w:rFonts w:hint="cs"/>
          <w:spacing w:val="-2"/>
          <w:szCs w:val="20"/>
          <w:rtl/>
          <w:lang w:bidi="ar-EG"/>
        </w:rPr>
        <w:t>2017</w:t>
      </w:r>
      <w:r w:rsidRPr="00557E2C">
        <w:rPr>
          <w:rFonts w:hint="cs"/>
          <w:spacing w:val="-2"/>
          <w:rtl/>
          <w:lang w:bidi="ar-EG"/>
        </w:rPr>
        <w:t xml:space="preserve"> وفي سجن الحوض الجاف في عام </w:t>
      </w:r>
      <w:r w:rsidRPr="00557E2C">
        <w:rPr>
          <w:rFonts w:hint="cs"/>
          <w:spacing w:val="-2"/>
          <w:szCs w:val="20"/>
          <w:rtl/>
          <w:lang w:bidi="ar-EG"/>
        </w:rPr>
        <w:t>2016</w:t>
      </w:r>
      <w:r w:rsidRPr="00557E2C">
        <w:rPr>
          <w:rFonts w:hint="cs"/>
          <w:spacing w:val="-2"/>
          <w:rtl/>
          <w:lang w:bidi="ar-EG"/>
        </w:rPr>
        <w:t>، وأي أحكام صدرت بشأن المسؤولين المعنيين؛</w:t>
      </w:r>
    </w:p>
    <w:p w14:paraId="14C1F7A2"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التدابير المحددة المتخذة لضمان ألا يكون استخدام قوات الأمن للقوة </w:t>
      </w:r>
      <w:r w:rsidRPr="00DB7EF3">
        <w:rPr>
          <w:rtl/>
          <w:lang w:bidi="ar-EG"/>
        </w:rPr>
        <w:t xml:space="preserve">في أماكن الاحتجاز أثناء العمليات الأمنية </w:t>
      </w:r>
      <w:r>
        <w:rPr>
          <w:rFonts w:hint="cs"/>
          <w:rtl/>
          <w:lang w:bidi="ar-EG"/>
        </w:rPr>
        <w:t xml:space="preserve">مفرطاً وألا يهدد حياة السجناء، وألا يُطلق </w:t>
      </w:r>
      <w:r w:rsidRPr="00DB7EF3">
        <w:rPr>
          <w:rtl/>
          <w:lang w:bidi="ar-EG"/>
        </w:rPr>
        <w:t>الغاز المسيل للدموع في المساحات المغلقة لإخماد أعمال الشغب</w:t>
      </w:r>
      <w:r>
        <w:rPr>
          <w:rFonts w:hint="cs"/>
          <w:rtl/>
          <w:lang w:bidi="ar-EG"/>
        </w:rPr>
        <w:t>؛</w:t>
      </w:r>
    </w:p>
    <w:p w14:paraId="7045D0D3" w14:textId="77777777"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 xml:space="preserve">التدابير المحددة المتخذة لضمان </w:t>
      </w:r>
      <w:r w:rsidRPr="00280ACC">
        <w:rPr>
          <w:rtl/>
          <w:lang w:bidi="ar-EG"/>
        </w:rPr>
        <w:t>حقوق المحتجزين الأساسية في جميع الأحوال</w:t>
      </w:r>
      <w:r>
        <w:rPr>
          <w:rFonts w:hint="cs"/>
          <w:rtl/>
          <w:lang w:bidi="ar-EG"/>
        </w:rPr>
        <w:t>، وألا</w:t>
      </w:r>
      <w:r>
        <w:rPr>
          <w:rFonts w:hint="eastAsia"/>
          <w:rtl/>
          <w:lang w:bidi="ar-EG"/>
        </w:rPr>
        <w:t> </w:t>
      </w:r>
      <w:r>
        <w:rPr>
          <w:rFonts w:hint="cs"/>
          <w:rtl/>
          <w:lang w:bidi="ar-EG"/>
        </w:rPr>
        <w:t>تؤدي ظروف الاحتجاز إلى قيام السجناء بأعمال شغب، و</w:t>
      </w:r>
      <w:r w:rsidRPr="00280ACC">
        <w:rPr>
          <w:rtl/>
          <w:lang w:bidi="ar-EG"/>
        </w:rPr>
        <w:t>عدم إخضاع</w:t>
      </w:r>
      <w:r>
        <w:rPr>
          <w:rFonts w:hint="cs"/>
          <w:rtl/>
          <w:lang w:bidi="ar-EG"/>
        </w:rPr>
        <w:t>هم</w:t>
      </w:r>
      <w:r w:rsidRPr="00280ACC">
        <w:rPr>
          <w:rtl/>
          <w:lang w:bidi="ar-EG"/>
        </w:rPr>
        <w:t xml:space="preserve"> للعقاب الجماعي</w:t>
      </w:r>
      <w:r w:rsidRPr="00125763">
        <w:rPr>
          <w:rtl/>
          <w:lang w:bidi="ar-EG"/>
        </w:rPr>
        <w:t xml:space="preserve"> </w:t>
      </w:r>
      <w:r>
        <w:rPr>
          <w:rFonts w:hint="cs"/>
          <w:rtl/>
          <w:lang w:bidi="ar-EG"/>
        </w:rPr>
        <w:t xml:space="preserve">من </w:t>
      </w:r>
      <w:r w:rsidRPr="00280ACC">
        <w:rPr>
          <w:rtl/>
          <w:lang w:bidi="ar-EG"/>
        </w:rPr>
        <w:t>إدارات السجون</w:t>
      </w:r>
      <w:r>
        <w:rPr>
          <w:rFonts w:hint="cs"/>
          <w:rtl/>
          <w:lang w:bidi="ar-EG"/>
        </w:rPr>
        <w:t>؛</w:t>
      </w:r>
    </w:p>
    <w:p w14:paraId="416919BA" w14:textId="77777777" w:rsidR="00557E2C" w:rsidRDefault="00557E2C" w:rsidP="00557E2C">
      <w:pPr>
        <w:pStyle w:val="SingleTxtGA"/>
        <w:rPr>
          <w:rtl/>
          <w:lang w:bidi="ar-EG"/>
        </w:rPr>
      </w:pPr>
      <w:r>
        <w:rPr>
          <w:rtl/>
          <w:lang w:bidi="ar-EG"/>
        </w:rPr>
        <w:tab/>
      </w:r>
      <w:r>
        <w:rPr>
          <w:rFonts w:hint="cs"/>
          <w:rtl/>
          <w:lang w:bidi="ar-EG"/>
        </w:rPr>
        <w:t>(د)</w:t>
      </w:r>
      <w:r>
        <w:rPr>
          <w:rtl/>
          <w:lang w:bidi="ar-EG"/>
        </w:rPr>
        <w:tab/>
      </w:r>
      <w:r>
        <w:rPr>
          <w:rFonts w:hint="cs"/>
          <w:rtl/>
          <w:lang w:bidi="ar-EG"/>
        </w:rPr>
        <w:t xml:space="preserve">الخطوات المتخذة لضمان </w:t>
      </w:r>
      <w:r w:rsidRPr="00125763">
        <w:rPr>
          <w:rtl/>
          <w:lang w:bidi="ar-EG"/>
        </w:rPr>
        <w:t xml:space="preserve">إجراء تحقيقات </w:t>
      </w:r>
      <w:r>
        <w:rPr>
          <w:rFonts w:hint="cs"/>
          <w:rtl/>
          <w:lang w:bidi="ar-EG"/>
        </w:rPr>
        <w:t xml:space="preserve">وافية </w:t>
      </w:r>
      <w:r w:rsidRPr="00125763">
        <w:rPr>
          <w:rtl/>
          <w:lang w:bidi="ar-EG"/>
        </w:rPr>
        <w:t xml:space="preserve">في جميع </w:t>
      </w:r>
      <w:r>
        <w:rPr>
          <w:rFonts w:hint="cs"/>
          <w:rtl/>
          <w:lang w:bidi="ar-EG"/>
        </w:rPr>
        <w:t xml:space="preserve">ادعاءات التعذيب وسوء المعاملة في مرافق الاحتجاز، وضمان معاقبة الجناة الذين تثبت إدانتهم وجبر الضحايا، بما يشمل إعادة التأهيل الطبي والنفسي. </w:t>
      </w:r>
    </w:p>
    <w:p w14:paraId="780CBDC6" w14:textId="77777777" w:rsidR="00557E2C" w:rsidRDefault="00557E2C" w:rsidP="00557E2C">
      <w:pPr>
        <w:pStyle w:val="SingleTxtGA"/>
        <w:rPr>
          <w:rtl/>
          <w:lang w:bidi="ar-EG"/>
        </w:rPr>
      </w:pPr>
      <w:r w:rsidRPr="00557E2C">
        <w:rPr>
          <w:rFonts w:hint="cs"/>
          <w:szCs w:val="20"/>
          <w:rtl/>
          <w:lang w:bidi="ar-EG"/>
        </w:rPr>
        <w:t>16</w:t>
      </w:r>
      <w:r>
        <w:rPr>
          <w:rFonts w:hint="cs"/>
          <w:rtl/>
          <w:lang w:bidi="ar-EG"/>
        </w:rPr>
        <w:t>-</w:t>
      </w:r>
      <w:r>
        <w:rPr>
          <w:rtl/>
          <w:lang w:bidi="ar-EG"/>
        </w:rPr>
        <w:tab/>
      </w:r>
      <w:r>
        <w:rPr>
          <w:rFonts w:hint="cs"/>
          <w:rtl/>
          <w:lang w:bidi="ar-EG"/>
        </w:rPr>
        <w:t xml:space="preserve">يرجى تقديم معلومات عن أي تحقيقات أجريت خلال الفترة قيد الاستعراض فيما يتعلق بادعاءات انتشار الانتهاك الجنسي والتهديدات باللجوء إلى الانتهاك الجنسي للرجال والنساء على السواء في الاحتجاز، وعن نتائج أي تحقيقات أجراها أمين المظالم ووحدة التحقيقات الخاصة. ويرجى أيضاً تقديم معلومات عن أي تحقيقات وملاحقات قضائية قد تكون أجريت فيما يتعلق بالاعتداء الجنسي على السيدة ابتسام الصائغ، المدافعة عن حقوق الإنسان، في </w:t>
      </w:r>
      <w:r w:rsidRPr="00557E2C">
        <w:rPr>
          <w:rFonts w:hint="cs"/>
          <w:szCs w:val="20"/>
          <w:rtl/>
          <w:lang w:bidi="ar-EG"/>
        </w:rPr>
        <w:t>26</w:t>
      </w:r>
      <w:r>
        <w:rPr>
          <w:rFonts w:hint="cs"/>
          <w:rtl/>
          <w:lang w:bidi="ar-EG"/>
        </w:rPr>
        <w:t xml:space="preserve"> أيار/مايو </w:t>
      </w:r>
      <w:r w:rsidRPr="00557E2C">
        <w:rPr>
          <w:rFonts w:hint="cs"/>
          <w:szCs w:val="20"/>
          <w:rtl/>
          <w:lang w:bidi="ar-EG"/>
        </w:rPr>
        <w:t>2017</w:t>
      </w:r>
      <w:r>
        <w:rPr>
          <w:rFonts w:hint="cs"/>
          <w:rtl/>
          <w:lang w:bidi="ar-EG"/>
        </w:rPr>
        <w:t>، عندما استدعاها جهاز الأمن الوطني إلى مركز شرطة المحرق شمالي البلد وتعرضت للاعتداء الجنسي على يد المحققين معها.</w:t>
      </w:r>
    </w:p>
    <w:p w14:paraId="1BD94087" w14:textId="77777777" w:rsidR="00557E2C" w:rsidRDefault="00557E2C" w:rsidP="00557E2C">
      <w:pPr>
        <w:pStyle w:val="SingleTxtGA"/>
        <w:rPr>
          <w:rtl/>
          <w:lang w:bidi="ar-EG"/>
        </w:rPr>
      </w:pPr>
      <w:r w:rsidRPr="00557E2C">
        <w:rPr>
          <w:rFonts w:hint="cs"/>
          <w:szCs w:val="20"/>
          <w:rtl/>
          <w:lang w:bidi="ar-EG"/>
        </w:rPr>
        <w:t>17</w:t>
      </w:r>
      <w:r>
        <w:rPr>
          <w:rFonts w:hint="cs"/>
          <w:rtl/>
          <w:lang w:bidi="ar-EG"/>
        </w:rPr>
        <w:t>-</w:t>
      </w:r>
      <w:r>
        <w:rPr>
          <w:rtl/>
          <w:lang w:bidi="ar-EG"/>
        </w:rPr>
        <w:tab/>
      </w:r>
      <w:r>
        <w:rPr>
          <w:rFonts w:hint="cs"/>
          <w:rtl/>
          <w:lang w:bidi="ar-EG"/>
        </w:rPr>
        <w:t>و</w:t>
      </w:r>
      <w:r w:rsidRPr="00E35075">
        <w:rPr>
          <w:rtl/>
          <w:lang w:bidi="ar-EG"/>
        </w:rPr>
        <w:t>بالإشارة إلى الملاحظات الختامية السابقة للجنة (الفقرتان</w:t>
      </w:r>
      <w:r>
        <w:rPr>
          <w:rFonts w:hint="cs"/>
          <w:rtl/>
          <w:lang w:bidi="ar-EG"/>
        </w:rPr>
        <w:t xml:space="preserve"> </w:t>
      </w:r>
      <w:r w:rsidRPr="00557E2C">
        <w:rPr>
          <w:rFonts w:hint="cs"/>
          <w:szCs w:val="20"/>
          <w:rtl/>
          <w:lang w:bidi="ar-EG"/>
        </w:rPr>
        <w:t>30</w:t>
      </w:r>
      <w:r>
        <w:rPr>
          <w:rFonts w:hint="cs"/>
          <w:rtl/>
          <w:lang w:bidi="ar-EG"/>
        </w:rPr>
        <w:t xml:space="preserve"> و</w:t>
      </w:r>
      <w:r w:rsidRPr="00557E2C">
        <w:rPr>
          <w:rFonts w:hint="cs"/>
          <w:szCs w:val="20"/>
          <w:rtl/>
          <w:lang w:bidi="ar-EG"/>
        </w:rPr>
        <w:t>31</w:t>
      </w:r>
      <w:r w:rsidRPr="00E35075">
        <w:rPr>
          <w:rtl/>
          <w:lang w:bidi="ar-EG"/>
        </w:rPr>
        <w:t xml:space="preserve">)، يرجى تقديم معلومات </w:t>
      </w:r>
      <w:r>
        <w:rPr>
          <w:rFonts w:hint="cs"/>
          <w:rtl/>
          <w:lang w:bidi="ar-EG"/>
        </w:rPr>
        <w:t>بشأن ما يلي:</w:t>
      </w:r>
    </w:p>
    <w:p w14:paraId="788D4E96"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التدابير المحددة التي اتُخذت خلال الفترة قيد الاستعراض لمنع الموظفين المكلفين بإنفاذ القانون وموظفي السجون من </w:t>
      </w:r>
      <w:r w:rsidRPr="000422AD">
        <w:rPr>
          <w:rFonts w:hint="cs"/>
          <w:rtl/>
          <w:lang w:bidi="ar-EG"/>
        </w:rPr>
        <w:t>ارتكاب</w:t>
      </w:r>
      <w:r>
        <w:rPr>
          <w:rFonts w:hint="cs"/>
          <w:rtl/>
          <w:lang w:bidi="ar-EG"/>
        </w:rPr>
        <w:t xml:space="preserve"> سلوكيات مخالفة لأحكام الاتفاقية، بطرق منها ضمان </w:t>
      </w:r>
      <w:r w:rsidRPr="000422AD">
        <w:rPr>
          <w:rtl/>
          <w:lang w:bidi="ar-EG"/>
        </w:rPr>
        <w:t>وجود</w:t>
      </w:r>
      <w:r>
        <w:rPr>
          <w:rFonts w:hint="cs"/>
          <w:rtl/>
          <w:lang w:bidi="ar-EG"/>
        </w:rPr>
        <w:t xml:space="preserve"> آلية</w:t>
      </w:r>
      <w:r w:rsidRPr="000422AD">
        <w:rPr>
          <w:rtl/>
          <w:lang w:bidi="ar-EG"/>
        </w:rPr>
        <w:t xml:space="preserve"> </w:t>
      </w:r>
      <w:r>
        <w:rPr>
          <w:rFonts w:hint="cs"/>
          <w:rtl/>
          <w:lang w:bidi="ar-EG"/>
        </w:rPr>
        <w:t>رصد</w:t>
      </w:r>
      <w:r w:rsidRPr="000422AD">
        <w:rPr>
          <w:rtl/>
          <w:lang w:bidi="ar-EG"/>
        </w:rPr>
        <w:t xml:space="preserve"> فعال</w:t>
      </w:r>
      <w:r>
        <w:rPr>
          <w:rFonts w:hint="cs"/>
          <w:rtl/>
          <w:lang w:bidi="ar-EG"/>
        </w:rPr>
        <w:t>ة</w:t>
      </w:r>
      <w:r w:rsidRPr="000422AD">
        <w:rPr>
          <w:rtl/>
          <w:lang w:bidi="ar-EG"/>
        </w:rPr>
        <w:t xml:space="preserve"> ومستقل</w:t>
      </w:r>
      <w:r>
        <w:rPr>
          <w:rFonts w:hint="cs"/>
          <w:rtl/>
          <w:lang w:bidi="ar-EG"/>
        </w:rPr>
        <w:t>ة</w:t>
      </w:r>
      <w:r w:rsidRPr="000422AD">
        <w:rPr>
          <w:rtl/>
          <w:lang w:bidi="ar-EG"/>
        </w:rPr>
        <w:t xml:space="preserve"> تُجرى في إطاره</w:t>
      </w:r>
      <w:r>
        <w:rPr>
          <w:rFonts w:hint="cs"/>
          <w:rtl/>
          <w:lang w:bidi="ar-EG"/>
        </w:rPr>
        <w:t>ا،</w:t>
      </w:r>
      <w:r w:rsidRPr="000422AD">
        <w:rPr>
          <w:rtl/>
          <w:lang w:bidi="ar-EG"/>
        </w:rPr>
        <w:t xml:space="preserve"> بانتظام ودون إخطار مسبق، عمليات تفتيش لجميع أماكن الاحتجاز، ويَسمح بمقابلة المحتجزين على انفراد وتلقّي الشكاوى وإجراء تحقيقات في ادعاءات إتيان بعض موظفي إنفاذ القانون وموظفي السجون سلوكيات مخالفة لأحكام الاتفاقية؛</w:t>
      </w:r>
    </w:p>
    <w:p w14:paraId="600CBEA3"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 xml:space="preserve">الخطوات المتخذة لتعزيز </w:t>
      </w:r>
      <w:r w:rsidRPr="00DC2CF4">
        <w:rPr>
          <w:rtl/>
          <w:lang w:bidi="ar-EG"/>
        </w:rPr>
        <w:t xml:space="preserve">التعاون مع آليات حقوق الإنسان بالأمم المتحدة </w:t>
      </w:r>
      <w:r>
        <w:rPr>
          <w:rFonts w:hint="cs"/>
          <w:rtl/>
          <w:lang w:bidi="ar-EG"/>
        </w:rPr>
        <w:t xml:space="preserve">عن طريق </w:t>
      </w:r>
      <w:r w:rsidRPr="00DC2CF4">
        <w:rPr>
          <w:rtl/>
          <w:lang w:bidi="ar-EG"/>
        </w:rPr>
        <w:t xml:space="preserve">السماح للمكلّفين بولايات في إطار الإجراءات الخاصة </w:t>
      </w:r>
      <w:r>
        <w:rPr>
          <w:rFonts w:hint="cs"/>
          <w:rtl/>
          <w:lang w:bidi="ar-EG"/>
        </w:rPr>
        <w:t xml:space="preserve">بالقيام بالزيارات </w:t>
      </w:r>
      <w:r w:rsidRPr="00DC2CF4">
        <w:rPr>
          <w:rtl/>
          <w:lang w:bidi="ar-EG"/>
        </w:rPr>
        <w:t>التي طلبو</w:t>
      </w:r>
      <w:r>
        <w:rPr>
          <w:rFonts w:hint="cs"/>
          <w:rtl/>
          <w:lang w:bidi="ar-EG"/>
        </w:rPr>
        <w:t xml:space="preserve">ها؛ وأي نظر في التصديق على البروتوكول الاختياري للاتفاقية.  </w:t>
      </w:r>
    </w:p>
    <w:p w14:paraId="63FA4DA7" w14:textId="77777777" w:rsidR="00557E2C" w:rsidRPr="00DC2CF4" w:rsidRDefault="00557E2C" w:rsidP="00557E2C">
      <w:pPr>
        <w:pStyle w:val="H23GA"/>
        <w:rPr>
          <w:rtl/>
          <w:lang w:bidi="ar-EG"/>
        </w:rPr>
      </w:pPr>
      <w:r>
        <w:rPr>
          <w:rtl/>
          <w:lang w:bidi="ar-EG"/>
        </w:rPr>
        <w:tab/>
      </w:r>
      <w:r>
        <w:rPr>
          <w:rtl/>
          <w:lang w:bidi="ar-EG"/>
        </w:rPr>
        <w:tab/>
      </w:r>
      <w:r w:rsidRPr="00DC2CF4">
        <w:rPr>
          <w:rFonts w:hint="cs"/>
          <w:rtl/>
          <w:lang w:bidi="ar-EG"/>
        </w:rPr>
        <w:t xml:space="preserve">المادتان </w:t>
      </w:r>
      <w:r w:rsidRPr="00557E2C">
        <w:rPr>
          <w:rFonts w:hint="cs"/>
          <w:szCs w:val="20"/>
          <w:rtl/>
          <w:lang w:bidi="ar-EG"/>
        </w:rPr>
        <w:t>12</w:t>
      </w:r>
      <w:r w:rsidRPr="00DC2CF4">
        <w:rPr>
          <w:rFonts w:hint="cs"/>
          <w:rtl/>
          <w:lang w:bidi="ar-EG"/>
        </w:rPr>
        <w:t xml:space="preserve"> و</w:t>
      </w:r>
      <w:r w:rsidRPr="00557E2C">
        <w:rPr>
          <w:rFonts w:hint="cs"/>
          <w:szCs w:val="20"/>
          <w:rtl/>
          <w:lang w:bidi="ar-EG"/>
        </w:rPr>
        <w:t>13</w:t>
      </w:r>
    </w:p>
    <w:p w14:paraId="1481E2BA" w14:textId="77777777" w:rsidR="00557E2C" w:rsidRDefault="00557E2C" w:rsidP="00557E2C">
      <w:pPr>
        <w:pStyle w:val="SingleTxtGA"/>
        <w:rPr>
          <w:rFonts w:hint="cs"/>
          <w:rtl/>
        </w:rPr>
      </w:pPr>
      <w:r w:rsidRPr="00557E2C">
        <w:rPr>
          <w:rFonts w:hint="cs"/>
          <w:szCs w:val="20"/>
          <w:rtl/>
          <w:lang w:bidi="ar-EG"/>
        </w:rPr>
        <w:t>18</w:t>
      </w:r>
      <w:r>
        <w:rPr>
          <w:rFonts w:hint="cs"/>
          <w:rtl/>
          <w:lang w:bidi="ar-EG"/>
        </w:rPr>
        <w:t>-</w:t>
      </w:r>
      <w:r>
        <w:rPr>
          <w:rtl/>
          <w:lang w:bidi="ar-EG"/>
        </w:rPr>
        <w:tab/>
      </w:r>
      <w:r w:rsidRPr="00E35075">
        <w:rPr>
          <w:rtl/>
          <w:lang w:bidi="ar-EG"/>
        </w:rPr>
        <w:t>بالإشارة إلى الملاحظات الختامية السابقة للجنة (الفقرتان</w:t>
      </w:r>
      <w:r>
        <w:rPr>
          <w:rFonts w:hint="cs"/>
          <w:rtl/>
          <w:lang w:bidi="ar-EG"/>
        </w:rPr>
        <w:t xml:space="preserve"> </w:t>
      </w:r>
      <w:r w:rsidRPr="00557E2C">
        <w:rPr>
          <w:rFonts w:hint="cs"/>
          <w:szCs w:val="20"/>
          <w:rtl/>
          <w:lang w:bidi="ar-EG"/>
        </w:rPr>
        <w:t>28</w:t>
      </w:r>
      <w:r>
        <w:rPr>
          <w:rFonts w:hint="cs"/>
          <w:rtl/>
          <w:lang w:bidi="ar-EG"/>
        </w:rPr>
        <w:t xml:space="preserve"> و</w:t>
      </w:r>
      <w:r w:rsidRPr="00557E2C">
        <w:rPr>
          <w:rFonts w:hint="cs"/>
          <w:szCs w:val="20"/>
          <w:rtl/>
          <w:lang w:bidi="ar-EG"/>
        </w:rPr>
        <w:t>29</w:t>
      </w:r>
      <w:r w:rsidRPr="00E35075">
        <w:rPr>
          <w:rtl/>
          <w:lang w:bidi="ar-EG"/>
        </w:rPr>
        <w:t xml:space="preserve">)، يرجى تقديم معلومات </w:t>
      </w:r>
      <w:r>
        <w:rPr>
          <w:rFonts w:hint="cs"/>
          <w:rtl/>
          <w:lang w:bidi="ar-EG"/>
        </w:rPr>
        <w:t>بشأن ما يلي:</w:t>
      </w:r>
    </w:p>
    <w:p w14:paraId="55E3B1FE" w14:textId="77777777"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 xml:space="preserve">التدابير المتخذة لضمان استقلالية جميع الآليات المخولة سلطة النظر في الشكاوى المقدمة من المحتجزين قبل المحاكمة والسجناء المدانين في جميع أماكن الاحتجاز، </w:t>
      </w:r>
      <w:r w:rsidRPr="00B257EA">
        <w:rPr>
          <w:rFonts w:hint="cs"/>
          <w:rtl/>
          <w:lang w:bidi="ar-EG"/>
        </w:rPr>
        <w:t>وضمان</w:t>
      </w:r>
      <w:r w:rsidRPr="008A58C5">
        <w:rPr>
          <w:rFonts w:hint="cs"/>
          <w:i/>
          <w:iCs/>
          <w:rtl/>
          <w:lang w:bidi="ar-EG"/>
        </w:rPr>
        <w:t xml:space="preserve"> </w:t>
      </w:r>
      <w:r>
        <w:rPr>
          <w:rFonts w:hint="cs"/>
          <w:rtl/>
          <w:lang w:bidi="ar-EG"/>
        </w:rPr>
        <w:t xml:space="preserve">حماية </w:t>
      </w:r>
      <w:r w:rsidRPr="008A58C5">
        <w:rPr>
          <w:rtl/>
          <w:lang w:bidi="ar-EG"/>
        </w:rPr>
        <w:t>أصحاب الشكاوى</w:t>
      </w:r>
      <w:r>
        <w:rPr>
          <w:rFonts w:hint="cs"/>
          <w:rtl/>
          <w:lang w:bidi="ar-EG"/>
        </w:rPr>
        <w:t xml:space="preserve"> عملياً</w:t>
      </w:r>
      <w:r w:rsidRPr="008A58C5">
        <w:rPr>
          <w:rtl/>
          <w:lang w:bidi="ar-EG"/>
        </w:rPr>
        <w:t xml:space="preserve"> من التعرض لأي أعمال انتقامية نتيجة لشكاواهم</w:t>
      </w:r>
      <w:r>
        <w:rPr>
          <w:rFonts w:hint="cs"/>
          <w:rtl/>
          <w:lang w:bidi="ar-EG"/>
        </w:rPr>
        <w:t>. ويرجى أيضاً تقديم معلومات عن أي تدابير متخذة لتيسير تقديم الشكاوى من ضحايا التعذيب وسوء المعاملة</w:t>
      </w:r>
      <w:r w:rsidRPr="008A58C5">
        <w:rPr>
          <w:rtl/>
          <w:lang w:bidi="ar-EG"/>
        </w:rPr>
        <w:t xml:space="preserve">، بسبل منها حصولهم من أطباء </w:t>
      </w:r>
      <w:r>
        <w:rPr>
          <w:rFonts w:hint="cs"/>
          <w:rtl/>
          <w:lang w:bidi="ar-EG"/>
        </w:rPr>
        <w:t>أكفاء و</w:t>
      </w:r>
      <w:r w:rsidRPr="008A58C5">
        <w:rPr>
          <w:rtl/>
          <w:lang w:bidi="ar-EG"/>
        </w:rPr>
        <w:t xml:space="preserve">مستقلين على أدلة طبية تدعم </w:t>
      </w:r>
      <w:r>
        <w:rPr>
          <w:rFonts w:hint="cs"/>
          <w:rtl/>
          <w:lang w:bidi="ar-EG"/>
        </w:rPr>
        <w:t xml:space="preserve">ادعاءاتهم؛ </w:t>
      </w:r>
    </w:p>
    <w:p w14:paraId="1B302E80" w14:textId="77777777" w:rsidR="00557E2C" w:rsidRPr="00FF31AC" w:rsidRDefault="00557E2C" w:rsidP="00557E2C">
      <w:pPr>
        <w:pStyle w:val="SingleTxtGA"/>
        <w:rPr>
          <w:rtl/>
          <w:lang w:bidi="ar-EG"/>
        </w:rPr>
      </w:pPr>
      <w:r w:rsidRPr="00FF31AC">
        <w:rPr>
          <w:rtl/>
          <w:lang w:bidi="ar-EG"/>
        </w:rPr>
        <w:tab/>
      </w:r>
      <w:r w:rsidRPr="00FF31AC">
        <w:rPr>
          <w:rFonts w:hint="cs"/>
          <w:rtl/>
          <w:lang w:bidi="ar-EG"/>
        </w:rPr>
        <w:t>(ب)</w:t>
      </w:r>
      <w:r w:rsidRPr="00FF31AC">
        <w:rPr>
          <w:rtl/>
          <w:lang w:bidi="ar-EG"/>
        </w:rPr>
        <w:tab/>
      </w:r>
      <w:r w:rsidRPr="00FF31AC">
        <w:rPr>
          <w:rFonts w:hint="cs"/>
          <w:rtl/>
          <w:lang w:bidi="ar-EG"/>
        </w:rPr>
        <w:t>التدابير المتخذة لتوضيح ولايات</w:t>
      </w:r>
      <w:r>
        <w:rPr>
          <w:rFonts w:hint="cs"/>
          <w:rtl/>
          <w:lang w:bidi="ar-EG"/>
        </w:rPr>
        <w:t xml:space="preserve"> وتجنب تداخل اختصاصات</w:t>
      </w:r>
      <w:r w:rsidRPr="00FF31AC">
        <w:rPr>
          <w:rFonts w:hint="cs"/>
          <w:rtl/>
          <w:lang w:bidi="ar-EG"/>
        </w:rPr>
        <w:t xml:space="preserve"> الهيئات التي يمكن للأشخاص المسلوبة حريتهم أن يقدموا إليها شكاوى التعذيب وسوء المعاملة عملاً بتوصيات اللجنة البحرينية المستقلة لتقصي الحقائق، وإزالة التداخل بين هذه الهيئات، مثل </w:t>
      </w:r>
      <w:r w:rsidRPr="00FF31AC">
        <w:rPr>
          <w:rtl/>
          <w:lang w:bidi="ar-EG"/>
        </w:rPr>
        <w:t xml:space="preserve">مكتب </w:t>
      </w:r>
      <w:r w:rsidRPr="00FF31AC">
        <w:rPr>
          <w:rFonts w:hint="cs"/>
          <w:rtl/>
          <w:lang w:bidi="ar-EG"/>
        </w:rPr>
        <w:t xml:space="preserve">أمين المظالم </w:t>
      </w:r>
      <w:r w:rsidRPr="00FF31AC">
        <w:rPr>
          <w:rtl/>
          <w:lang w:bidi="ar-EG"/>
        </w:rPr>
        <w:t xml:space="preserve">(الأمانة العامة للتظلمات) بوزارة الداخلية، وإدارة التحريات الداخلية بوزارة الداخلية، والإدارة العامة للإصلاح والتأهيل بوزارة الداخلية، ومكتب المفتش العام بجهاز الأمن الوطني، ووحدة التحقيق الخاصة </w:t>
      </w:r>
      <w:r w:rsidRPr="00FF31AC">
        <w:rPr>
          <w:rFonts w:hint="cs"/>
          <w:rtl/>
          <w:lang w:bidi="ar-EG"/>
        </w:rPr>
        <w:t xml:space="preserve">في </w:t>
      </w:r>
      <w:r w:rsidRPr="00FF31AC">
        <w:rPr>
          <w:rtl/>
          <w:lang w:bidi="ar-EG"/>
        </w:rPr>
        <w:t>النيابة العامة، والمؤسسة الوطنية لحقوق الإنسان، ومفوضية حقوق السجناء والمحتجزين</w:t>
      </w:r>
      <w:r>
        <w:rPr>
          <w:rFonts w:hint="cs"/>
          <w:rtl/>
          <w:lang w:bidi="ar-EG"/>
        </w:rPr>
        <w:t>.</w:t>
      </w:r>
      <w:r w:rsidRPr="00FF31AC">
        <w:rPr>
          <w:rFonts w:hint="cs"/>
          <w:rtl/>
          <w:lang w:bidi="ar-EG"/>
        </w:rPr>
        <w:t xml:space="preserve"> ويرجى أيضاً الإشارة إلى ما إذا كانت الشكاوى لا تزال تمر عبر وزارة الداخلية في نهاية الأمر؛</w:t>
      </w:r>
    </w:p>
    <w:p w14:paraId="22749415" w14:textId="16E75D03" w:rsidR="00557E2C" w:rsidRDefault="00557E2C" w:rsidP="00557E2C">
      <w:pPr>
        <w:pStyle w:val="SingleTxtGA"/>
        <w:rPr>
          <w:rtl/>
          <w:lang w:bidi="ar-EG"/>
        </w:rPr>
      </w:pPr>
      <w:r>
        <w:rPr>
          <w:rtl/>
          <w:lang w:bidi="ar-EG"/>
        </w:rPr>
        <w:tab/>
      </w:r>
      <w:r>
        <w:rPr>
          <w:rFonts w:hint="cs"/>
          <w:rtl/>
          <w:lang w:bidi="ar-EG"/>
        </w:rPr>
        <w:t>(ج)</w:t>
      </w:r>
      <w:r>
        <w:rPr>
          <w:rtl/>
          <w:lang w:bidi="ar-EG"/>
        </w:rPr>
        <w:tab/>
      </w:r>
      <w:r>
        <w:rPr>
          <w:rFonts w:hint="cs"/>
          <w:rtl/>
          <w:lang w:bidi="ar-EG"/>
        </w:rPr>
        <w:t xml:space="preserve">ما إذا كان قد تم إزالة </w:t>
      </w:r>
      <w:r w:rsidRPr="005F2A36">
        <w:rPr>
          <w:rtl/>
          <w:lang w:bidi="ar-EG"/>
        </w:rPr>
        <w:t>الثغرات التي تعتري آليات الشكاوى القائمة</w:t>
      </w:r>
      <w:r>
        <w:rPr>
          <w:rFonts w:hint="cs"/>
          <w:rtl/>
          <w:lang w:bidi="ar-EG"/>
        </w:rPr>
        <w:t xml:space="preserve"> التي</w:t>
      </w:r>
      <w:r w:rsidRPr="005F2A36">
        <w:rPr>
          <w:rtl/>
          <w:lang w:bidi="ar-EG"/>
        </w:rPr>
        <w:t xml:space="preserve"> لا بد </w:t>
      </w:r>
      <w:r>
        <w:rPr>
          <w:rFonts w:hint="cs"/>
          <w:rtl/>
          <w:lang w:bidi="ar-EG"/>
        </w:rPr>
        <w:t xml:space="preserve">بموجبها </w:t>
      </w:r>
      <w:r w:rsidRPr="005F2A36">
        <w:rPr>
          <w:rtl/>
          <w:lang w:bidi="ar-EG"/>
        </w:rPr>
        <w:t xml:space="preserve">أن يقدم </w:t>
      </w:r>
      <w:r>
        <w:rPr>
          <w:rFonts w:hint="cs"/>
          <w:rtl/>
          <w:lang w:bidi="ar-EG"/>
        </w:rPr>
        <w:t xml:space="preserve">السجناء </w:t>
      </w:r>
      <w:r w:rsidRPr="005F2A36">
        <w:rPr>
          <w:rtl/>
          <w:lang w:bidi="ar-EG"/>
        </w:rPr>
        <w:t>شكاوى التعرض للتعذيب أو سوء المعاملة عن طريق حراس السجون أو</w:t>
      </w:r>
      <w:r w:rsidR="00DA2A11">
        <w:rPr>
          <w:rFonts w:hint="cs"/>
          <w:rtl/>
          <w:lang w:bidi="ar-EG"/>
        </w:rPr>
        <w:t> </w:t>
      </w:r>
      <w:r w:rsidRPr="005F2A36">
        <w:rPr>
          <w:rtl/>
          <w:lang w:bidi="ar-EG"/>
        </w:rPr>
        <w:t>مدير السجن أو نائبه، وهو ما يجعل إحالتها إلى السلطات المختصة أمراً غير مضمون</w:t>
      </w:r>
      <w:r>
        <w:rPr>
          <w:rFonts w:hint="cs"/>
          <w:rtl/>
          <w:lang w:bidi="ar-EG"/>
        </w:rPr>
        <w:t xml:space="preserve">. ويُرجى تقديم معلومات عما إذا كانت جميع </w:t>
      </w:r>
      <w:r w:rsidRPr="005F2A36">
        <w:rPr>
          <w:rtl/>
          <w:lang w:bidi="ar-EG"/>
        </w:rPr>
        <w:t xml:space="preserve">بلاغات التعرض للتعذيب أو سوء المعاملة </w:t>
      </w:r>
      <w:r>
        <w:rPr>
          <w:rFonts w:hint="cs"/>
          <w:rtl/>
          <w:lang w:bidi="ar-EG"/>
        </w:rPr>
        <w:t xml:space="preserve">يتم التحقيق فيها </w:t>
      </w:r>
      <w:r w:rsidRPr="005F2A36">
        <w:rPr>
          <w:rtl/>
          <w:lang w:bidi="ar-EG"/>
        </w:rPr>
        <w:t xml:space="preserve">على وجه السرعة </w:t>
      </w:r>
      <w:r>
        <w:rPr>
          <w:rFonts w:hint="cs"/>
          <w:rtl/>
          <w:lang w:bidi="ar-EG"/>
        </w:rPr>
        <w:t xml:space="preserve">بشكل فعال ونزيه من قبل </w:t>
      </w:r>
      <w:r w:rsidRPr="005F2A36">
        <w:rPr>
          <w:rtl/>
          <w:lang w:bidi="ar-EG"/>
        </w:rPr>
        <w:t xml:space="preserve">آلية تحقيق مستقلة تنعدم فيها أي صلة مؤسسية أو تراتبية بين المحققين </w:t>
      </w:r>
      <w:r>
        <w:rPr>
          <w:rFonts w:hint="cs"/>
          <w:rtl/>
          <w:lang w:bidi="ar-EG"/>
        </w:rPr>
        <w:t>و</w:t>
      </w:r>
      <w:r w:rsidRPr="005F2A36">
        <w:rPr>
          <w:rtl/>
          <w:lang w:bidi="ar-EG"/>
        </w:rPr>
        <w:t xml:space="preserve">الجناة </w:t>
      </w:r>
      <w:r>
        <w:rPr>
          <w:rFonts w:hint="cs"/>
          <w:rtl/>
          <w:lang w:bidi="ar-EG"/>
        </w:rPr>
        <w:t xml:space="preserve">المزعومين؛ </w:t>
      </w:r>
    </w:p>
    <w:p w14:paraId="6D61AA37" w14:textId="77777777" w:rsidR="00557E2C" w:rsidRDefault="00557E2C" w:rsidP="00557E2C">
      <w:pPr>
        <w:pStyle w:val="SingleTxtGA"/>
        <w:rPr>
          <w:rtl/>
          <w:lang w:bidi="ar-EG"/>
        </w:rPr>
      </w:pPr>
      <w:r>
        <w:rPr>
          <w:rtl/>
          <w:lang w:bidi="ar-EG"/>
        </w:rPr>
        <w:tab/>
      </w:r>
      <w:r>
        <w:rPr>
          <w:rFonts w:hint="cs"/>
          <w:rtl/>
          <w:lang w:bidi="ar-EG"/>
        </w:rPr>
        <w:t>(د)</w:t>
      </w:r>
      <w:r>
        <w:rPr>
          <w:rtl/>
          <w:lang w:bidi="ar-EG"/>
        </w:rPr>
        <w:tab/>
      </w:r>
      <w:r>
        <w:rPr>
          <w:rFonts w:hint="cs"/>
          <w:rtl/>
          <w:lang w:bidi="ar-EG"/>
        </w:rPr>
        <w:t xml:space="preserve">الخطوات المتخذة لضمان </w:t>
      </w:r>
      <w:r w:rsidRPr="005F2A36">
        <w:rPr>
          <w:rtl/>
          <w:lang w:bidi="ar-EG"/>
        </w:rPr>
        <w:t>وقف الأشخاص الخاضعين للتحقيق لارتكابهم أعمال تعذيب أو سوء معاملة من الخدمة فوراً وبقا</w:t>
      </w:r>
      <w:r>
        <w:rPr>
          <w:rFonts w:hint="cs"/>
          <w:rtl/>
          <w:lang w:bidi="ar-EG"/>
        </w:rPr>
        <w:t>ئ</w:t>
      </w:r>
      <w:r w:rsidRPr="005F2A36">
        <w:rPr>
          <w:rtl/>
          <w:lang w:bidi="ar-EG"/>
        </w:rPr>
        <w:t>هم كذلك طوال التحقيق</w:t>
      </w:r>
      <w:r>
        <w:rPr>
          <w:rFonts w:hint="cs"/>
          <w:rtl/>
          <w:lang w:bidi="ar-EG"/>
        </w:rPr>
        <w:t>.</w:t>
      </w:r>
    </w:p>
    <w:p w14:paraId="56CBEFD9" w14:textId="77777777" w:rsidR="00557E2C" w:rsidRDefault="00557E2C" w:rsidP="00557E2C">
      <w:pPr>
        <w:pStyle w:val="SingleTxtGA"/>
        <w:rPr>
          <w:rtl/>
          <w:lang w:bidi="ar-EG"/>
        </w:rPr>
      </w:pPr>
      <w:r w:rsidRPr="00557E2C">
        <w:rPr>
          <w:rFonts w:hint="cs"/>
          <w:szCs w:val="20"/>
          <w:rtl/>
          <w:lang w:bidi="ar-EG"/>
        </w:rPr>
        <w:t>19</w:t>
      </w:r>
      <w:r>
        <w:rPr>
          <w:rFonts w:hint="cs"/>
          <w:rtl/>
          <w:lang w:bidi="ar-EG"/>
        </w:rPr>
        <w:t>-</w:t>
      </w:r>
      <w:r>
        <w:rPr>
          <w:rtl/>
          <w:lang w:bidi="ar-EG"/>
        </w:rPr>
        <w:tab/>
      </w:r>
      <w:r>
        <w:rPr>
          <w:rFonts w:hint="cs"/>
          <w:rtl/>
          <w:lang w:bidi="ar-EG"/>
        </w:rPr>
        <w:t xml:space="preserve">ويرجى تقديم معلومات بشأن ما يلي: </w:t>
      </w:r>
    </w:p>
    <w:p w14:paraId="68BD3903" w14:textId="43F07AEE" w:rsidR="00557E2C" w:rsidRDefault="00557E2C" w:rsidP="00557E2C">
      <w:pPr>
        <w:pStyle w:val="SingleTxtGA"/>
        <w:rPr>
          <w:rtl/>
          <w:lang w:bidi="ar-EG"/>
        </w:rPr>
      </w:pPr>
      <w:r>
        <w:rPr>
          <w:rtl/>
          <w:lang w:bidi="ar-EG"/>
        </w:rPr>
        <w:tab/>
      </w:r>
      <w:r>
        <w:rPr>
          <w:rFonts w:hint="cs"/>
          <w:rtl/>
          <w:lang w:bidi="ar-EG"/>
        </w:rPr>
        <w:t>(أ)</w:t>
      </w:r>
      <w:r>
        <w:rPr>
          <w:rtl/>
          <w:lang w:bidi="ar-EG"/>
        </w:rPr>
        <w:tab/>
      </w:r>
      <w:r>
        <w:rPr>
          <w:rFonts w:hint="cs"/>
          <w:rtl/>
          <w:lang w:bidi="ar-EG"/>
        </w:rPr>
        <w:t>ما تفيد به التقارير من إحجام ضحايا إساءة استعمال السلطة أو إساءة السلوك أو</w:t>
      </w:r>
      <w:r w:rsidR="00DA2A11">
        <w:rPr>
          <w:rFonts w:hint="eastAsia"/>
          <w:rtl/>
          <w:lang w:bidi="ar-EG"/>
        </w:rPr>
        <w:t> </w:t>
      </w:r>
      <w:r>
        <w:rPr>
          <w:rFonts w:hint="cs"/>
          <w:rtl/>
          <w:lang w:bidi="ar-EG"/>
        </w:rPr>
        <w:t xml:space="preserve">الجرائم الجنائية التي يرتكبها موظفو وزارة الداخلية وأفراد الأمن العام التابعون لها عن تقديم الشكاوى إلى مكتب أمين المظالم الذي أنشأته الوزارة، ونتائج السبعة في المائة من الشكاوى المقدمة إلى أمين المظالم التي أحالها إلى سلطة تأديبية أو تابعة للنيابة العامة؛ </w:t>
      </w:r>
    </w:p>
    <w:p w14:paraId="3E41187C" w14:textId="77777777" w:rsidR="00557E2C" w:rsidRDefault="00557E2C" w:rsidP="00557E2C">
      <w:pPr>
        <w:pStyle w:val="SingleTxtGA"/>
        <w:rPr>
          <w:rtl/>
          <w:lang w:bidi="ar-EG"/>
        </w:rPr>
      </w:pPr>
      <w:r>
        <w:rPr>
          <w:rtl/>
          <w:lang w:bidi="ar-EG"/>
        </w:rPr>
        <w:tab/>
      </w:r>
      <w:r>
        <w:rPr>
          <w:rFonts w:hint="cs"/>
          <w:rtl/>
          <w:lang w:bidi="ar-EG"/>
        </w:rPr>
        <w:t>(ب)</w:t>
      </w:r>
      <w:r>
        <w:rPr>
          <w:rtl/>
          <w:lang w:bidi="ar-EG"/>
        </w:rPr>
        <w:tab/>
      </w:r>
      <w:r>
        <w:rPr>
          <w:rFonts w:hint="cs"/>
          <w:rtl/>
          <w:lang w:bidi="ar-EG"/>
        </w:rPr>
        <w:t>ادعاءات وقوع أعمال انتقامية ضد المحتجزين الذين قدموا شكاوى لهيئات دولية مستقلة وأُجبِروا على توقيع وثائق تفيد برفضهم الذهاب إلى المستشفى ومُنعوا بذلك من تلقي العلاج الطبي، تحديداً بعد تقدمهم بشكاوى عن حالتهم الصحية.</w:t>
      </w:r>
    </w:p>
    <w:p w14:paraId="62551234" w14:textId="77777777" w:rsidR="00557E2C" w:rsidRPr="00761359" w:rsidRDefault="00557E2C" w:rsidP="00557E2C">
      <w:pPr>
        <w:pStyle w:val="H23GA"/>
        <w:rPr>
          <w:rtl/>
          <w:lang w:bidi="ar-EG"/>
        </w:rPr>
      </w:pPr>
      <w:r>
        <w:rPr>
          <w:rtl/>
          <w:lang w:bidi="ar-EG"/>
        </w:rPr>
        <w:tab/>
      </w:r>
      <w:r>
        <w:rPr>
          <w:rtl/>
          <w:lang w:bidi="ar-EG"/>
        </w:rPr>
        <w:tab/>
      </w:r>
      <w:r w:rsidRPr="00761359">
        <w:rPr>
          <w:rFonts w:hint="cs"/>
          <w:rtl/>
          <w:lang w:bidi="ar-EG"/>
        </w:rPr>
        <w:t xml:space="preserve">المادة </w:t>
      </w:r>
      <w:r w:rsidRPr="00557E2C">
        <w:rPr>
          <w:rFonts w:hint="cs"/>
          <w:szCs w:val="20"/>
          <w:rtl/>
          <w:lang w:bidi="ar-EG"/>
        </w:rPr>
        <w:t>14</w:t>
      </w:r>
    </w:p>
    <w:p w14:paraId="74A847D4" w14:textId="77777777" w:rsidR="00557E2C" w:rsidRDefault="00557E2C" w:rsidP="00557E2C">
      <w:pPr>
        <w:pStyle w:val="SingleTxtGA"/>
        <w:rPr>
          <w:rtl/>
          <w:lang w:bidi="ar-EG"/>
        </w:rPr>
      </w:pPr>
      <w:r w:rsidRPr="00557E2C">
        <w:rPr>
          <w:rFonts w:hint="cs"/>
          <w:szCs w:val="20"/>
          <w:rtl/>
          <w:lang w:bidi="ar-EG"/>
        </w:rPr>
        <w:t>20</w:t>
      </w:r>
      <w:r>
        <w:rPr>
          <w:rFonts w:hint="cs"/>
          <w:rtl/>
          <w:lang w:bidi="ar-EG"/>
        </w:rPr>
        <w:t>-</w:t>
      </w:r>
      <w:r>
        <w:rPr>
          <w:rtl/>
          <w:lang w:bidi="ar-EG"/>
        </w:rPr>
        <w:tab/>
      </w:r>
      <w:r w:rsidRPr="00BE1C86">
        <w:rPr>
          <w:rtl/>
          <w:lang w:bidi="ar-EG"/>
        </w:rPr>
        <w:t xml:space="preserve">بالإشارة إلى الملاحظات الختامية السابقة للجنة (الفقرتان </w:t>
      </w:r>
      <w:r w:rsidRPr="00557E2C">
        <w:rPr>
          <w:rFonts w:hint="cs"/>
          <w:szCs w:val="20"/>
          <w:rtl/>
          <w:lang w:bidi="ar-EG"/>
        </w:rPr>
        <w:t>38</w:t>
      </w:r>
      <w:r>
        <w:rPr>
          <w:rFonts w:hint="cs"/>
          <w:rtl/>
          <w:lang w:bidi="ar-EG"/>
        </w:rPr>
        <w:t xml:space="preserve"> و</w:t>
      </w:r>
      <w:r w:rsidRPr="00557E2C">
        <w:rPr>
          <w:rFonts w:hint="cs"/>
          <w:szCs w:val="20"/>
          <w:rtl/>
          <w:lang w:bidi="ar-EG"/>
        </w:rPr>
        <w:t>39</w:t>
      </w:r>
      <w:r w:rsidRPr="00BE1C86">
        <w:rPr>
          <w:rtl/>
          <w:lang w:bidi="ar-EG"/>
        </w:rPr>
        <w:t xml:space="preserve">)، يرجى تقديم معلومات </w:t>
      </w:r>
      <w:r>
        <w:rPr>
          <w:rFonts w:hint="cs"/>
          <w:rtl/>
          <w:lang w:bidi="ar-EG"/>
        </w:rPr>
        <w:t xml:space="preserve">محدثة عما إذا كان الصندوق الوطني لتعويض المتضررين قد قدم تعويضات لجميع ضحايا التعذيب وسوء المعاملة المستحقين لها، بما يشمل جميع من حددتهم اللجنة </w:t>
      </w:r>
      <w:r w:rsidRPr="005C33E4">
        <w:rPr>
          <w:rtl/>
          <w:lang w:bidi="ar-EG"/>
        </w:rPr>
        <w:t>البحرينية المستقلة لتقصي الحقائق</w:t>
      </w:r>
      <w:r>
        <w:rPr>
          <w:rFonts w:hint="cs"/>
          <w:rtl/>
          <w:lang w:bidi="ar-EG"/>
        </w:rPr>
        <w:t xml:space="preserve">. </w:t>
      </w:r>
    </w:p>
    <w:p w14:paraId="76D88247" w14:textId="77777777" w:rsidR="00557E2C" w:rsidRPr="00BE1C86" w:rsidRDefault="00557E2C" w:rsidP="00557E2C">
      <w:pPr>
        <w:pStyle w:val="H23GA"/>
        <w:rPr>
          <w:rtl/>
          <w:lang w:bidi="ar-EG"/>
        </w:rPr>
      </w:pPr>
      <w:r>
        <w:rPr>
          <w:rtl/>
          <w:lang w:bidi="ar-EG"/>
        </w:rPr>
        <w:tab/>
      </w:r>
      <w:r>
        <w:rPr>
          <w:rtl/>
          <w:lang w:bidi="ar-EG"/>
        </w:rPr>
        <w:tab/>
      </w:r>
      <w:r w:rsidRPr="00BE1C86">
        <w:rPr>
          <w:rFonts w:hint="cs"/>
          <w:rtl/>
          <w:lang w:bidi="ar-EG"/>
        </w:rPr>
        <w:t xml:space="preserve">المادة </w:t>
      </w:r>
      <w:r w:rsidRPr="00557E2C">
        <w:rPr>
          <w:rFonts w:hint="cs"/>
          <w:sz w:val="24"/>
          <w:szCs w:val="20"/>
          <w:rtl/>
          <w:lang w:bidi="ar-EG"/>
        </w:rPr>
        <w:t>16</w:t>
      </w:r>
    </w:p>
    <w:p w14:paraId="6B0ADE25" w14:textId="77777777" w:rsidR="00557E2C" w:rsidRPr="00DA2A11" w:rsidRDefault="00557E2C" w:rsidP="00557E2C">
      <w:pPr>
        <w:pStyle w:val="SingleTxtGA"/>
        <w:rPr>
          <w:spacing w:val="-4"/>
          <w:rtl/>
          <w:lang w:bidi="ar-EG"/>
        </w:rPr>
      </w:pPr>
      <w:r w:rsidRPr="00557E2C">
        <w:rPr>
          <w:rFonts w:hint="cs"/>
          <w:szCs w:val="20"/>
          <w:rtl/>
          <w:lang w:bidi="ar-EG"/>
        </w:rPr>
        <w:t>21</w:t>
      </w:r>
      <w:r w:rsidRPr="003926A4">
        <w:rPr>
          <w:rFonts w:ascii="Times New Roman Bold" w:hint="cs"/>
          <w:b/>
          <w:rtl/>
          <w:lang w:bidi="ar-EG"/>
        </w:rPr>
        <w:t>-</w:t>
      </w:r>
      <w:r w:rsidRPr="003926A4">
        <w:rPr>
          <w:rFonts w:ascii="Times New Roman Bold"/>
          <w:b/>
          <w:rtl/>
          <w:lang w:bidi="ar-EG"/>
        </w:rPr>
        <w:tab/>
      </w:r>
      <w:r w:rsidRPr="00DA2A11">
        <w:rPr>
          <w:spacing w:val="-4"/>
          <w:rtl/>
          <w:lang w:bidi="ar-EG"/>
        </w:rPr>
        <w:t>بالإشارة إلى الملاحظات الختامية السابقة للجنة (الفقرتان</w:t>
      </w:r>
      <w:r w:rsidRPr="00DA2A11">
        <w:rPr>
          <w:rFonts w:hint="cs"/>
          <w:spacing w:val="-4"/>
          <w:rtl/>
          <w:lang w:bidi="ar-EG"/>
        </w:rPr>
        <w:t xml:space="preserve"> </w:t>
      </w:r>
      <w:r w:rsidRPr="00DA2A11">
        <w:rPr>
          <w:rFonts w:hint="cs"/>
          <w:spacing w:val="-4"/>
          <w:szCs w:val="20"/>
          <w:rtl/>
          <w:lang w:bidi="ar-EG"/>
        </w:rPr>
        <w:t>36</w:t>
      </w:r>
      <w:r w:rsidRPr="00DA2A11">
        <w:rPr>
          <w:rFonts w:hint="cs"/>
          <w:spacing w:val="-4"/>
          <w:rtl/>
          <w:lang w:bidi="ar-EG"/>
        </w:rPr>
        <w:t xml:space="preserve"> و</w:t>
      </w:r>
      <w:r w:rsidRPr="00DA2A11">
        <w:rPr>
          <w:rFonts w:hint="cs"/>
          <w:spacing w:val="-4"/>
          <w:szCs w:val="20"/>
          <w:rtl/>
          <w:lang w:bidi="ar-EG"/>
        </w:rPr>
        <w:t>37</w:t>
      </w:r>
      <w:r w:rsidRPr="00DA2A11">
        <w:rPr>
          <w:spacing w:val="-4"/>
          <w:rtl/>
          <w:lang w:bidi="ar-EG"/>
        </w:rPr>
        <w:t xml:space="preserve">)، يرجى تقديم معلومات </w:t>
      </w:r>
      <w:r w:rsidRPr="00DA2A11">
        <w:rPr>
          <w:rFonts w:hint="cs"/>
          <w:spacing w:val="-4"/>
          <w:rtl/>
          <w:lang w:bidi="ar-EG"/>
        </w:rPr>
        <w:t xml:space="preserve">محدثة عما إذا كانت الدولة الطرف قد سنت تشريعاً </w:t>
      </w:r>
      <w:r w:rsidRPr="00DA2A11">
        <w:rPr>
          <w:spacing w:val="-4"/>
          <w:rtl/>
          <w:lang w:bidi="ar-EG"/>
        </w:rPr>
        <w:t>يحظر صراحةً وبوضوح فرض العقوبة البدنية في جميع الأوساط</w:t>
      </w:r>
      <w:r w:rsidRPr="00DA2A11">
        <w:rPr>
          <w:rFonts w:hint="cs"/>
          <w:spacing w:val="-4"/>
          <w:rtl/>
          <w:lang w:bidi="ar-EG"/>
        </w:rPr>
        <w:t xml:space="preserve">، بما في ذلك </w:t>
      </w:r>
      <w:r w:rsidRPr="00DA2A11">
        <w:rPr>
          <w:spacing w:val="-4"/>
          <w:rtl/>
          <w:lang w:bidi="ar-EG"/>
        </w:rPr>
        <w:t>في المنزل وفي أوساط الرعاية البديلة والرعاية النهارية وفي المؤسسات العقابية</w:t>
      </w:r>
      <w:r w:rsidRPr="00DA2A11">
        <w:rPr>
          <w:rFonts w:hint="cs"/>
          <w:spacing w:val="-4"/>
          <w:rtl/>
          <w:lang w:bidi="ar-EG"/>
        </w:rPr>
        <w:t>.</w:t>
      </w:r>
    </w:p>
    <w:p w14:paraId="1AF91121" w14:textId="1B02B825" w:rsidR="00557E2C" w:rsidRDefault="00557E2C" w:rsidP="00557E2C">
      <w:pPr>
        <w:pStyle w:val="SingleTxtGA"/>
        <w:rPr>
          <w:rtl/>
          <w:lang w:bidi="ar-EG"/>
        </w:rPr>
      </w:pPr>
      <w:r w:rsidRPr="00557E2C">
        <w:rPr>
          <w:rFonts w:hint="cs"/>
          <w:szCs w:val="20"/>
          <w:rtl/>
          <w:lang w:bidi="ar-EG"/>
        </w:rPr>
        <w:t>22</w:t>
      </w:r>
      <w:r>
        <w:rPr>
          <w:rFonts w:hint="cs"/>
          <w:rtl/>
          <w:lang w:bidi="ar-EG"/>
        </w:rPr>
        <w:t>-</w:t>
      </w:r>
      <w:r>
        <w:rPr>
          <w:rtl/>
          <w:lang w:bidi="ar-EG"/>
        </w:rPr>
        <w:tab/>
      </w:r>
      <w:r w:rsidRPr="00BE1C86">
        <w:rPr>
          <w:rtl/>
          <w:lang w:bidi="ar-EG"/>
        </w:rPr>
        <w:t>بالإشارة إلى الملاحظات الختامية السابقة للجنة (الفقرتان</w:t>
      </w:r>
      <w:r>
        <w:rPr>
          <w:rFonts w:hint="cs"/>
          <w:rtl/>
          <w:lang w:bidi="ar-EG"/>
        </w:rPr>
        <w:t xml:space="preserve"> </w:t>
      </w:r>
      <w:r w:rsidRPr="00557E2C">
        <w:rPr>
          <w:rFonts w:hint="cs"/>
          <w:szCs w:val="20"/>
          <w:rtl/>
          <w:lang w:bidi="ar-EG"/>
        </w:rPr>
        <w:t>40</w:t>
      </w:r>
      <w:r>
        <w:rPr>
          <w:rFonts w:hint="cs"/>
          <w:rtl/>
          <w:lang w:bidi="ar-EG"/>
        </w:rPr>
        <w:t xml:space="preserve"> و</w:t>
      </w:r>
      <w:r w:rsidRPr="00557E2C">
        <w:rPr>
          <w:rFonts w:hint="cs"/>
          <w:szCs w:val="20"/>
          <w:rtl/>
          <w:lang w:bidi="ar-EG"/>
        </w:rPr>
        <w:t>41</w:t>
      </w:r>
      <w:r w:rsidRPr="00BE1C86">
        <w:rPr>
          <w:rtl/>
          <w:lang w:bidi="ar-EG"/>
        </w:rPr>
        <w:t xml:space="preserve">)، يرجى تقديم معلومات </w:t>
      </w:r>
      <w:r>
        <w:rPr>
          <w:rFonts w:hint="cs"/>
          <w:rtl/>
          <w:lang w:bidi="ar-EG"/>
        </w:rPr>
        <w:t>محدثة عن حالة الطلب المقدم من ال</w:t>
      </w:r>
      <w:r w:rsidRPr="0018119D">
        <w:rPr>
          <w:rtl/>
          <w:lang w:bidi="ar-EG"/>
        </w:rPr>
        <w:t>مقرر الخاص المعني بمسألة التعذيب وغيره من ضروب المعاملة أو</w:t>
      </w:r>
      <w:r w:rsidR="009066A9">
        <w:rPr>
          <w:rFonts w:hint="cs"/>
          <w:rtl/>
          <w:lang w:bidi="ar-EG"/>
        </w:rPr>
        <w:t> </w:t>
      </w:r>
      <w:r w:rsidRPr="0018119D">
        <w:rPr>
          <w:rtl/>
          <w:lang w:bidi="ar-EG"/>
        </w:rPr>
        <w:t>العقوبة القاسية أو اللاإنسانية أو المهينة</w:t>
      </w:r>
      <w:r>
        <w:rPr>
          <w:rFonts w:hint="cs"/>
          <w:rtl/>
          <w:lang w:bidi="ar-EG"/>
        </w:rPr>
        <w:t xml:space="preserve"> بزيارة الدولة الطرف وعن وضع طلبات أي من المكلفين الآخرين</w:t>
      </w:r>
      <w:r w:rsidRPr="00DC2CF4">
        <w:rPr>
          <w:rtl/>
          <w:lang w:bidi="ar-EG"/>
        </w:rPr>
        <w:t xml:space="preserve"> </w:t>
      </w:r>
      <w:r>
        <w:rPr>
          <w:rFonts w:hint="cs"/>
          <w:rtl/>
          <w:lang w:bidi="ar-EG"/>
        </w:rPr>
        <w:t>ب</w:t>
      </w:r>
      <w:r w:rsidRPr="00DC2CF4">
        <w:rPr>
          <w:rtl/>
          <w:lang w:bidi="ar-EG"/>
        </w:rPr>
        <w:t>ولايات في إطار الإجراءات الخاصة</w:t>
      </w:r>
      <w:r>
        <w:rPr>
          <w:rFonts w:hint="cs"/>
          <w:rtl/>
          <w:lang w:bidi="ar-EG"/>
        </w:rPr>
        <w:t xml:space="preserve">. </w:t>
      </w:r>
    </w:p>
    <w:p w14:paraId="6012D0D0" w14:textId="77777777" w:rsidR="00557E2C" w:rsidRPr="004167D8" w:rsidRDefault="00557E2C" w:rsidP="00557E2C">
      <w:pPr>
        <w:pStyle w:val="H23GA"/>
        <w:rPr>
          <w:rtl/>
        </w:rPr>
      </w:pPr>
      <w:r>
        <w:rPr>
          <w:rtl/>
          <w:lang w:bidi="ar-EG"/>
        </w:rPr>
        <w:tab/>
      </w:r>
      <w:r>
        <w:rPr>
          <w:rtl/>
          <w:lang w:bidi="ar-EG"/>
        </w:rPr>
        <w:tab/>
      </w:r>
      <w:r w:rsidRPr="004167D8">
        <w:rPr>
          <w:rtl/>
          <w:lang w:bidi="ar-EG"/>
        </w:rPr>
        <w:t>مسائل أخرى</w:t>
      </w:r>
    </w:p>
    <w:p w14:paraId="4CE1B3BF" w14:textId="77777777" w:rsidR="00557E2C" w:rsidRDefault="00557E2C" w:rsidP="00557E2C">
      <w:pPr>
        <w:pStyle w:val="SingleTxtGA"/>
        <w:rPr>
          <w:rtl/>
          <w:lang w:bidi="ar-EG"/>
        </w:rPr>
      </w:pPr>
      <w:r w:rsidRPr="00557E2C">
        <w:rPr>
          <w:rFonts w:hint="cs"/>
          <w:szCs w:val="20"/>
          <w:rtl/>
          <w:lang w:bidi="ar-EG"/>
        </w:rPr>
        <w:t>23</w:t>
      </w:r>
      <w:r>
        <w:rPr>
          <w:rFonts w:hint="cs"/>
          <w:rtl/>
          <w:lang w:bidi="ar-EG"/>
        </w:rPr>
        <w:t>-</w:t>
      </w:r>
      <w:r>
        <w:rPr>
          <w:rtl/>
          <w:lang w:bidi="ar-EG"/>
        </w:rPr>
        <w:tab/>
      </w:r>
      <w:r w:rsidRPr="004167D8">
        <w:rPr>
          <w:rtl/>
          <w:lang w:bidi="ar-EG"/>
        </w:rPr>
        <w:t>يرجى تقديم معلومات محدثة عن التدابير التي اتخذتها الدولة الطرف للتصدي لتهديدات الإرهاب</w:t>
      </w:r>
      <w:r>
        <w:rPr>
          <w:rFonts w:hint="cs"/>
          <w:rtl/>
          <w:lang w:bidi="ar-EG"/>
        </w:rPr>
        <w:t xml:space="preserve">. ويرجى أيضاً بيان </w:t>
      </w:r>
      <w:r w:rsidRPr="004167D8">
        <w:rPr>
          <w:rtl/>
          <w:lang w:bidi="ar-EG"/>
        </w:rPr>
        <w:t xml:space="preserve">ما إذا كانت </w:t>
      </w:r>
      <w:r>
        <w:rPr>
          <w:rFonts w:hint="cs"/>
          <w:rtl/>
          <w:lang w:bidi="ar-EG"/>
        </w:rPr>
        <w:t>تلك ال</w:t>
      </w:r>
      <w:r w:rsidRPr="004167D8">
        <w:rPr>
          <w:rtl/>
          <w:lang w:bidi="ar-EG"/>
        </w:rPr>
        <w:t>تدابير قد أثرت في ضمانات حقوق الإنسان قانوناً وممارسةً</w:t>
      </w:r>
      <w:r>
        <w:rPr>
          <w:rFonts w:hint="cs"/>
          <w:rtl/>
          <w:lang w:bidi="ar-EG"/>
        </w:rPr>
        <w:t>،</w:t>
      </w:r>
      <w:r w:rsidRPr="004167D8">
        <w:rPr>
          <w:rtl/>
          <w:lang w:bidi="ar-EG"/>
        </w:rPr>
        <w:t xml:space="preserve"> وكيف أثرت فيها</w:t>
      </w:r>
      <w:r>
        <w:rPr>
          <w:rFonts w:hint="cs"/>
          <w:rtl/>
          <w:lang w:bidi="ar-EG"/>
        </w:rPr>
        <w:t xml:space="preserve"> </w:t>
      </w:r>
      <w:r w:rsidRPr="00B42649">
        <w:rPr>
          <w:rFonts w:hint="cs"/>
          <w:rtl/>
          <w:lang w:bidi="ar-EG"/>
        </w:rPr>
        <w:t>إن كان الأمر كذلك</w:t>
      </w:r>
      <w:r w:rsidRPr="004167D8">
        <w:rPr>
          <w:rtl/>
          <w:lang w:bidi="ar-EG"/>
        </w:rPr>
        <w:t>.</w:t>
      </w:r>
      <w:r>
        <w:rPr>
          <w:rFonts w:hint="cs"/>
          <w:rtl/>
          <w:lang w:bidi="ar-EG"/>
        </w:rPr>
        <w:t xml:space="preserve"> ويرجى كذلك </w:t>
      </w:r>
      <w:r w:rsidRPr="004167D8">
        <w:rPr>
          <w:rtl/>
          <w:lang w:bidi="ar-EG"/>
        </w:rPr>
        <w:t xml:space="preserve">بيان ما فعلته الدولة الطرف لضمان </w:t>
      </w:r>
      <w:r>
        <w:rPr>
          <w:rFonts w:hint="cs"/>
          <w:rtl/>
          <w:lang w:bidi="ar-EG"/>
        </w:rPr>
        <w:t xml:space="preserve">توافق </w:t>
      </w:r>
      <w:r w:rsidRPr="004167D8">
        <w:rPr>
          <w:rtl/>
          <w:lang w:bidi="ar-EG"/>
        </w:rPr>
        <w:t xml:space="preserve">تلك التدابير </w:t>
      </w:r>
      <w:r>
        <w:rPr>
          <w:rFonts w:hint="cs"/>
          <w:rtl/>
          <w:lang w:bidi="ar-EG"/>
        </w:rPr>
        <w:t xml:space="preserve">مع </w:t>
      </w:r>
      <w:r w:rsidRPr="004167D8">
        <w:rPr>
          <w:rtl/>
          <w:lang w:bidi="ar-EG"/>
        </w:rPr>
        <w:t>جميع التزاماتها بموجب القانون الدولي، وبخاصة الاتفاقية</w:t>
      </w:r>
      <w:r>
        <w:rPr>
          <w:rFonts w:hint="cs"/>
          <w:rtl/>
          <w:lang w:bidi="ar-EG"/>
        </w:rPr>
        <w:t xml:space="preserve">. ويُرجى أيضاً الإشارة إلى طبيعة </w:t>
      </w:r>
      <w:r w:rsidRPr="004167D8">
        <w:rPr>
          <w:rtl/>
          <w:lang w:bidi="ar-EG"/>
        </w:rPr>
        <w:t>التدريب المقدم إلى موظفي إنفاذ القانون</w:t>
      </w:r>
      <w:r>
        <w:rPr>
          <w:rFonts w:hint="cs"/>
          <w:rtl/>
          <w:lang w:bidi="ar-EG"/>
        </w:rPr>
        <w:t xml:space="preserve"> في هذا المجال؛ وعدد </w:t>
      </w:r>
      <w:r w:rsidRPr="00FC7787">
        <w:rPr>
          <w:rtl/>
          <w:lang w:bidi="ar-EG"/>
        </w:rPr>
        <w:t>المدانين بموجب التشريعات</w:t>
      </w:r>
      <w:r>
        <w:rPr>
          <w:rFonts w:hint="cs"/>
          <w:rtl/>
          <w:lang w:bidi="ar-EG"/>
        </w:rPr>
        <w:t xml:space="preserve"> المعتمدة لمكافحة الإرهاب؛ </w:t>
      </w:r>
      <w:r w:rsidRPr="00FC7787">
        <w:rPr>
          <w:rtl/>
          <w:lang w:bidi="ar-EG"/>
        </w:rPr>
        <w:t>وسبل الانتصاف القانونية والضمانات القانونية المتاحة للأشخاص الخاضعين لتدابير مكافحة الإرهاب قانوناً وممارسةً؛ وما إذا قُدمت شكاوى بسبب عدم احترام المعايير الدولية</w:t>
      </w:r>
      <w:r>
        <w:rPr>
          <w:rFonts w:hint="cs"/>
          <w:rtl/>
          <w:lang w:bidi="ar-EG"/>
        </w:rPr>
        <w:t xml:space="preserve"> في تطبيق تدابير مكافحة الإرهاب،</w:t>
      </w:r>
      <w:r w:rsidRPr="00FC7787">
        <w:rPr>
          <w:rtl/>
          <w:lang w:bidi="ar-EG"/>
        </w:rPr>
        <w:t xml:space="preserve"> ونتائج هذه الشكاوى</w:t>
      </w:r>
      <w:r>
        <w:rPr>
          <w:rFonts w:hint="cs"/>
          <w:rtl/>
          <w:lang w:bidi="ar-EG"/>
        </w:rPr>
        <w:t xml:space="preserve"> إن وُجدت</w:t>
      </w:r>
      <w:r w:rsidRPr="00FC7787">
        <w:rPr>
          <w:rtl/>
          <w:lang w:bidi="ar-EG"/>
        </w:rPr>
        <w:t>.</w:t>
      </w:r>
    </w:p>
    <w:p w14:paraId="09B98DB7" w14:textId="0301ADB5" w:rsidR="00557E2C" w:rsidRDefault="00557E2C" w:rsidP="00557E2C">
      <w:pPr>
        <w:pStyle w:val="SingleTxtGA"/>
        <w:rPr>
          <w:rtl/>
          <w:lang w:bidi="ar-EG"/>
        </w:rPr>
      </w:pPr>
      <w:r w:rsidRPr="00557E2C">
        <w:rPr>
          <w:rFonts w:hint="cs"/>
          <w:szCs w:val="20"/>
          <w:rtl/>
          <w:lang w:bidi="ar-EG"/>
        </w:rPr>
        <w:t>24</w:t>
      </w:r>
      <w:r>
        <w:rPr>
          <w:rFonts w:hint="cs"/>
          <w:rtl/>
          <w:lang w:bidi="ar-EG"/>
        </w:rPr>
        <w:t>-</w:t>
      </w:r>
      <w:r>
        <w:rPr>
          <w:rtl/>
          <w:lang w:bidi="ar-EG"/>
        </w:rPr>
        <w:tab/>
      </w:r>
      <w:r>
        <w:rPr>
          <w:rFonts w:hint="cs"/>
          <w:rtl/>
          <w:lang w:bidi="ar-EG"/>
        </w:rPr>
        <w:t>وبالنظر إلى أن حظر التعذيب حظر مطلق ولا يمكن الخروج عنه، حتى في إطار التدابير المتصلة بحالات الطوارئ وغير ذلك من الظروف الاستثنائية، يُرجى تقديم معلومات عن أي خطوات اتخذتها الدولة الطرف خلال جائحة كوفيد-</w:t>
      </w:r>
      <w:r w:rsidRPr="00557E2C">
        <w:rPr>
          <w:rFonts w:hint="cs"/>
          <w:szCs w:val="20"/>
          <w:rtl/>
          <w:lang w:bidi="ar-EG"/>
        </w:rPr>
        <w:t>19</w:t>
      </w:r>
      <w:r>
        <w:rPr>
          <w:rFonts w:hint="cs"/>
          <w:rtl/>
          <w:lang w:bidi="ar-EG"/>
        </w:rPr>
        <w:t xml:space="preserve"> لضمان امتثال سياساتها وإجراءاتها لالتزاماتها بموجب الاتفاقية. ويُرجى أيضاً تحديد التدابير المتخذة فيما يتعلق بالأشخاص مسلوبي الحرية وفي حالات حجر أخرى، مثلاً في دور المسنين أو المستشفيات أو المؤسسات المخصصة للأشخاص ذوي الإعاقات العقلية والنفسية.</w:t>
      </w:r>
      <w:r w:rsidR="003E71F7">
        <w:rPr>
          <w:rFonts w:hint="cs"/>
          <w:rtl/>
          <w:lang w:bidi="ar-EG"/>
        </w:rPr>
        <w:t xml:space="preserve"> </w:t>
      </w:r>
    </w:p>
    <w:p w14:paraId="2E7E6B77" w14:textId="77777777" w:rsidR="00557E2C" w:rsidRPr="0009196D" w:rsidRDefault="00557E2C" w:rsidP="00557E2C">
      <w:pPr>
        <w:pStyle w:val="H1GA"/>
        <w:rPr>
          <w:rtl/>
          <w:lang w:bidi="ar-EG"/>
        </w:rPr>
      </w:pPr>
      <w:r>
        <w:rPr>
          <w:rtl/>
          <w:lang w:bidi="ar-EG"/>
        </w:rPr>
        <w:tab/>
      </w:r>
      <w:r>
        <w:rPr>
          <w:rtl/>
          <w:lang w:bidi="ar-EG"/>
        </w:rPr>
        <w:tab/>
      </w:r>
      <w:r w:rsidRPr="0009196D">
        <w:rPr>
          <w:rtl/>
          <w:lang w:bidi="ar-EG"/>
        </w:rPr>
        <w:t>معلومات عامة عن التدابير والتطورات الأخرى المتصلة بتنفيذ الاتفاقية في الدولة</w:t>
      </w:r>
      <w:r>
        <w:rPr>
          <w:rFonts w:hint="cs"/>
          <w:rtl/>
          <w:lang w:bidi="ar-EG"/>
        </w:rPr>
        <w:t> </w:t>
      </w:r>
      <w:r w:rsidRPr="0009196D">
        <w:rPr>
          <w:rtl/>
          <w:lang w:bidi="ar-EG"/>
        </w:rPr>
        <w:t>الطرف</w:t>
      </w:r>
    </w:p>
    <w:p w14:paraId="42ED80BB" w14:textId="256C4221" w:rsidR="00557E2C" w:rsidRPr="00BC0226" w:rsidRDefault="00557E2C" w:rsidP="00557E2C">
      <w:pPr>
        <w:pStyle w:val="SingleTxtGA"/>
        <w:rPr>
          <w:rtl/>
          <w:lang w:bidi="ar-EG"/>
        </w:rPr>
      </w:pPr>
      <w:r w:rsidRPr="00557E2C">
        <w:rPr>
          <w:rFonts w:hint="cs"/>
          <w:szCs w:val="20"/>
          <w:rtl/>
          <w:lang w:bidi="ar-EG"/>
        </w:rPr>
        <w:t>25</w:t>
      </w:r>
      <w:r w:rsidRPr="00BC0226">
        <w:rPr>
          <w:rFonts w:hint="cs"/>
          <w:rtl/>
          <w:lang w:bidi="ar-EG"/>
        </w:rPr>
        <w:t>-</w:t>
      </w:r>
      <w:r w:rsidRPr="00BC0226">
        <w:rPr>
          <w:rtl/>
          <w:lang w:bidi="ar-EG"/>
        </w:rPr>
        <w:tab/>
        <w:t xml:space="preserve">يرجى تقديم معلومات مفصلة عن أي تدابير تشريعية أو إدارية أو قضائية أو أي تدابير أخرى ذات صلة اتُخذت </w:t>
      </w:r>
      <w:r w:rsidRPr="00BC0226">
        <w:rPr>
          <w:rFonts w:hint="cs"/>
          <w:rtl/>
          <w:lang w:bidi="ar-EG"/>
        </w:rPr>
        <w:t>ل</w:t>
      </w:r>
      <w:r w:rsidRPr="00BC0226">
        <w:rPr>
          <w:rtl/>
          <w:lang w:bidi="ar-EG"/>
        </w:rPr>
        <w:t>تنفيذ أحكام الاتفاقية أو توصيات اللجنة، بما في ذلك التطورات أو الخطط أو</w:t>
      </w:r>
      <w:r w:rsidR="009066A9">
        <w:rPr>
          <w:rFonts w:hint="cs"/>
          <w:rtl/>
          <w:lang w:bidi="ar-EG"/>
        </w:rPr>
        <w:t> </w:t>
      </w:r>
      <w:r w:rsidRPr="00BC0226">
        <w:rPr>
          <w:rtl/>
          <w:lang w:bidi="ar-EG"/>
        </w:rPr>
        <w:t>البرامج المؤسسية</w:t>
      </w:r>
      <w:r w:rsidRPr="00BC0226">
        <w:rPr>
          <w:rFonts w:hint="cs"/>
          <w:rtl/>
          <w:lang w:bidi="ar-EG"/>
        </w:rPr>
        <w:t xml:space="preserve">. </w:t>
      </w:r>
      <w:r w:rsidRPr="00BC0226">
        <w:rPr>
          <w:rtl/>
          <w:lang w:bidi="ar-EG"/>
        </w:rPr>
        <w:t>ويرجى بيان الموارد المخصصة لذلك وتقديم معلومات إحصائي</w:t>
      </w:r>
      <w:r w:rsidRPr="00BC0226">
        <w:rPr>
          <w:rFonts w:hint="cs"/>
          <w:rtl/>
          <w:lang w:bidi="ar-EG"/>
        </w:rPr>
        <w:t xml:space="preserve">ة. </w:t>
      </w:r>
      <w:r w:rsidRPr="00BC0226">
        <w:rPr>
          <w:rtl/>
          <w:lang w:bidi="ar-EG"/>
        </w:rPr>
        <w:t>ويرجى أيضاً تقديم أي معلومات أخرى تعتبرها الدولة الطرف مهمة</w:t>
      </w:r>
      <w:r w:rsidRPr="00BC0226">
        <w:rPr>
          <w:rFonts w:hint="cs"/>
          <w:rtl/>
          <w:lang w:bidi="ar-EG"/>
        </w:rPr>
        <w:t xml:space="preserve">. </w:t>
      </w:r>
    </w:p>
    <w:p w14:paraId="2C70713C" w14:textId="77777777" w:rsidR="00557E2C" w:rsidRPr="00C518D7" w:rsidRDefault="00557E2C" w:rsidP="00557E2C">
      <w:pPr>
        <w:spacing w:before="120"/>
        <w:jc w:val="center"/>
        <w:rPr>
          <w:u w:val="single"/>
          <w:rtl/>
        </w:rPr>
      </w:pPr>
      <w:r>
        <w:rPr>
          <w:u w:val="single"/>
          <w:rtl/>
        </w:rPr>
        <w:tab/>
      </w:r>
      <w:r>
        <w:rPr>
          <w:u w:val="single"/>
          <w:rtl/>
        </w:rPr>
        <w:tab/>
      </w:r>
      <w:r>
        <w:rPr>
          <w:u w:val="single"/>
          <w:rtl/>
        </w:rPr>
        <w:tab/>
      </w:r>
    </w:p>
    <w:sectPr w:rsidR="00557E2C" w:rsidRPr="00C518D7" w:rsidSect="00FD72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4C3E" w14:textId="77777777" w:rsidR="009B59F1" w:rsidRPr="002901D9" w:rsidRDefault="009B59F1" w:rsidP="002901D9">
      <w:pPr>
        <w:spacing w:after="60" w:line="240" w:lineRule="auto"/>
        <w:rPr>
          <w:i/>
          <w:iCs/>
        </w:rPr>
      </w:pPr>
      <w:r>
        <w:rPr>
          <w:rFonts w:hint="cs"/>
          <w:i/>
          <w:iCs/>
          <w:rtl/>
        </w:rPr>
        <w:t>الحواشي</w:t>
      </w:r>
    </w:p>
  </w:endnote>
  <w:endnote w:type="continuationSeparator" w:id="0">
    <w:p w14:paraId="08FD6884" w14:textId="77777777" w:rsidR="009B59F1" w:rsidRDefault="009B59F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0968" w14:textId="77777777" w:rsidR="00FD7291" w:rsidRPr="00557E2C" w:rsidRDefault="00557E2C" w:rsidP="00557E2C">
    <w:pPr>
      <w:pStyle w:val="Footer"/>
      <w:tabs>
        <w:tab w:val="right" w:pos="9598"/>
      </w:tabs>
      <w:rPr>
        <w:sz w:val="17"/>
      </w:rPr>
    </w:pPr>
    <w:r>
      <w:rPr>
        <w:sz w:val="17"/>
      </w:rPr>
      <w:t>GE.20-07326</w:t>
    </w:r>
    <w:r>
      <w:rPr>
        <w:sz w:val="17"/>
      </w:rPr>
      <w:tab/>
    </w:r>
    <w:r w:rsidRPr="00557E2C">
      <w:rPr>
        <w:b/>
        <w:sz w:val="18"/>
      </w:rPr>
      <w:fldChar w:fldCharType="begin"/>
    </w:r>
    <w:r w:rsidRPr="00557E2C">
      <w:rPr>
        <w:b/>
        <w:sz w:val="18"/>
      </w:rPr>
      <w:instrText xml:space="preserve"> PAGE  \* MERGEFORMAT </w:instrText>
    </w:r>
    <w:r w:rsidRPr="00557E2C">
      <w:rPr>
        <w:b/>
        <w:sz w:val="18"/>
      </w:rPr>
      <w:fldChar w:fldCharType="separate"/>
    </w:r>
    <w:r>
      <w:rPr>
        <w:b/>
        <w:sz w:val="18"/>
      </w:rPr>
      <w:t>2</w:t>
    </w:r>
    <w:r w:rsidRPr="00557E2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2879" w14:textId="77777777" w:rsidR="006959B0" w:rsidRPr="00557E2C" w:rsidRDefault="00557E2C" w:rsidP="006959B0">
    <w:pPr>
      <w:pStyle w:val="Footer"/>
      <w:tabs>
        <w:tab w:val="right" w:pos="9599"/>
      </w:tabs>
      <w:jc w:val="left"/>
      <w:rPr>
        <w:b/>
        <w:sz w:val="18"/>
        <w:lang w:val="en-US"/>
      </w:rPr>
    </w:pPr>
    <w:r w:rsidRPr="00557E2C">
      <w:rPr>
        <w:b/>
        <w:sz w:val="18"/>
        <w:lang w:val="en-US"/>
      </w:rPr>
      <w:fldChar w:fldCharType="begin"/>
    </w:r>
    <w:r w:rsidRPr="00557E2C">
      <w:rPr>
        <w:b/>
        <w:sz w:val="18"/>
        <w:lang w:val="en-US"/>
      </w:rPr>
      <w:instrText xml:space="preserve"> PAGE  \* MERGEFORMAT </w:instrText>
    </w:r>
    <w:r w:rsidRPr="00557E2C">
      <w:rPr>
        <w:b/>
        <w:sz w:val="18"/>
        <w:lang w:val="en-US"/>
      </w:rPr>
      <w:fldChar w:fldCharType="separate"/>
    </w:r>
    <w:r w:rsidRPr="00557E2C">
      <w:rPr>
        <w:b/>
        <w:noProof/>
        <w:sz w:val="18"/>
        <w:lang w:val="en-US"/>
      </w:rPr>
      <w:t>3</w:t>
    </w:r>
    <w:r w:rsidRPr="00557E2C">
      <w:rPr>
        <w:b/>
        <w:sz w:val="18"/>
        <w:lang w:val="en-US"/>
      </w:rPr>
      <w:fldChar w:fldCharType="end"/>
    </w:r>
    <w:r>
      <w:rPr>
        <w:b/>
        <w:sz w:val="18"/>
        <w:lang w:val="en-US"/>
      </w:rPr>
      <w:tab/>
    </w:r>
    <w:r>
      <w:rPr>
        <w:sz w:val="17"/>
        <w:lang w:val="en-US"/>
      </w:rPr>
      <w:t>GE.20-07326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CA0C" w14:textId="2245D90E" w:rsidR="00A34EA8" w:rsidRDefault="00FD7291" w:rsidP="005A3015">
    <w:pPr>
      <w:pStyle w:val="Footer"/>
      <w:spacing w:before="360"/>
      <w:jc w:val="right"/>
      <w:rPr>
        <w:sz w:val="20"/>
        <w:szCs w:val="20"/>
      </w:rPr>
    </w:pPr>
    <w:r>
      <w:rPr>
        <w:sz w:val="20"/>
        <w:szCs w:val="20"/>
      </w:rPr>
      <w:t>GE.20-07326</w:t>
    </w:r>
    <w:r w:rsidR="00A1111B">
      <w:rPr>
        <w:noProof/>
      </w:rPr>
      <w:drawing>
        <wp:anchor distT="0" distB="0" distL="114300" distR="114300" simplePos="0" relativeHeight="251657728" behindDoc="1" locked="1" layoutInCell="0" allowOverlap="1" wp14:anchorId="6B78F1E7" wp14:editId="6700BC54">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3"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14:paraId="368CD4F3" w14:textId="3EC57A01" w:rsidR="00FD7291" w:rsidRPr="00FD7291" w:rsidRDefault="00FD7291" w:rsidP="00FD729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A1111B">
      <w:rPr>
        <w:noProof/>
      </w:rPr>
      <w:drawing>
        <wp:anchor distT="0" distB="0" distL="114300" distR="114300" simplePos="0" relativeHeight="251659776" behindDoc="0" locked="0" layoutInCell="1" allowOverlap="1" wp14:anchorId="19E514F2" wp14:editId="126EC698">
          <wp:simplePos x="0" y="0"/>
          <wp:positionH relativeFrom="page">
            <wp:posOffset>719455</wp:posOffset>
          </wp:positionH>
          <wp:positionV relativeFrom="page">
            <wp:posOffset>9611995</wp:posOffset>
          </wp:positionV>
          <wp:extent cx="561975"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408D" w14:textId="77777777" w:rsidR="009B59F1" w:rsidRPr="004956DC" w:rsidRDefault="009B59F1" w:rsidP="00761849">
      <w:pPr>
        <w:pStyle w:val="Footer"/>
        <w:bidi/>
        <w:spacing w:after="80" w:line="200" w:lineRule="exact"/>
        <w:ind w:left="680"/>
      </w:pPr>
      <w:r>
        <w:rPr>
          <w:rtl/>
        </w:rPr>
        <w:t>__________</w:t>
      </w:r>
    </w:p>
  </w:footnote>
  <w:footnote w:type="continuationSeparator" w:id="0">
    <w:p w14:paraId="4E45E089" w14:textId="77777777" w:rsidR="009B59F1" w:rsidRDefault="009B59F1" w:rsidP="00656392">
      <w:pPr>
        <w:spacing w:line="240" w:lineRule="auto"/>
      </w:pPr>
      <w:r>
        <w:continuationSeparator/>
      </w:r>
    </w:p>
  </w:footnote>
  <w:footnote w:id="1">
    <w:p w14:paraId="75662D36" w14:textId="6EE70B7C" w:rsidR="00557E2C" w:rsidRPr="00557E2C" w:rsidRDefault="00557E2C" w:rsidP="00557E2C">
      <w:pPr>
        <w:pStyle w:val="FootnoteText1"/>
        <w:rPr>
          <w:rtl/>
        </w:rPr>
      </w:pPr>
      <w:r w:rsidRPr="00557E2C">
        <w:rPr>
          <w:rtl/>
        </w:rPr>
        <w:t>*</w:t>
      </w:r>
      <w:r w:rsidRPr="00557E2C">
        <w:rPr>
          <w:rtl/>
        </w:rPr>
        <w:tab/>
      </w:r>
      <w:r w:rsidRPr="00557E2C">
        <w:rPr>
          <w:rFonts w:hint="cs"/>
          <w:sz w:val="26"/>
          <w:rtl/>
        </w:rPr>
        <w:t xml:space="preserve">اعتمدتها اللجنة في فترة ما بين الدورات بتاريخ </w:t>
      </w:r>
      <w:r w:rsidRPr="00557E2C">
        <w:rPr>
          <w:rFonts w:hint="cs"/>
          <w:sz w:val="26"/>
          <w:szCs w:val="18"/>
          <w:rtl/>
        </w:rPr>
        <w:t>7</w:t>
      </w:r>
      <w:r w:rsidRPr="00557E2C">
        <w:rPr>
          <w:rFonts w:hint="cs"/>
          <w:sz w:val="26"/>
          <w:rtl/>
        </w:rPr>
        <w:t xml:space="preserve"> أيار/مايو </w:t>
      </w:r>
      <w:r w:rsidRPr="00557E2C">
        <w:rPr>
          <w:rFonts w:hint="cs"/>
          <w:sz w:val="26"/>
          <w:szCs w:val="18"/>
          <w:rtl/>
        </w:rPr>
        <w:t>2020</w:t>
      </w:r>
      <w:r w:rsidRPr="00557E2C">
        <w:rPr>
          <w:sz w:val="26"/>
          <w:rtl/>
        </w:rPr>
        <w:t>.</w:t>
      </w:r>
    </w:p>
  </w:footnote>
  <w:footnote w:id="2">
    <w:p w14:paraId="6BE15AF0" w14:textId="77777777" w:rsidR="00557E2C" w:rsidRPr="00557E2C" w:rsidRDefault="00557E2C" w:rsidP="00557E2C">
      <w:pPr>
        <w:pStyle w:val="FootnoteText1"/>
      </w:pPr>
      <w:r w:rsidRPr="00557E2C">
        <w:rPr>
          <w:rtl/>
        </w:rPr>
        <w:t>(</w:t>
      </w:r>
      <w:r w:rsidRPr="00557E2C">
        <w:rPr>
          <w:rStyle w:val="FootnoteReference"/>
          <w:rFonts w:cs="Times New Roman"/>
          <w:b w:val="0"/>
          <w:szCs w:val="26"/>
          <w:vertAlign w:val="baseline"/>
        </w:rPr>
        <w:footnoteRef/>
      </w:r>
      <w:r w:rsidRPr="00557E2C">
        <w:rPr>
          <w:rtl/>
        </w:rPr>
        <w:t>)</w:t>
      </w:r>
      <w:r w:rsidRPr="00557E2C">
        <w:rPr>
          <w:rtl/>
        </w:rPr>
        <w:tab/>
        <w:t>تحيل أرقام الفقرات الواردة بين قوسين إلى الملاحظات الختامية السابقة التي اعتمدتها اللجنة</w:t>
      </w:r>
      <w:r w:rsidRPr="00557E2C">
        <w:rPr>
          <w:rFonts w:hint="cs"/>
          <w:rtl/>
          <w:lang w:bidi="ar-EG"/>
        </w:rPr>
        <w:t xml:space="preserve"> </w:t>
      </w:r>
      <w:r w:rsidRPr="00557E2C">
        <w:rPr>
          <w:rtl/>
        </w:rPr>
        <w:t>(</w:t>
      </w:r>
      <w:r w:rsidRPr="00557E2C">
        <w:t>CAT/C/BHR/CO/</w:t>
      </w:r>
      <w:r w:rsidRPr="00557E2C">
        <w:rPr>
          <w:szCs w:val="18"/>
        </w:rPr>
        <w:t>2</w:t>
      </w:r>
      <w:r w:rsidRPr="00557E2C">
        <w:t>-</w:t>
      </w:r>
      <w:r w:rsidRPr="00557E2C">
        <w:rPr>
          <w:szCs w:val="18"/>
        </w:rPr>
        <w:t>3</w:t>
      </w:r>
      <w:r w:rsidRPr="00557E2C">
        <w:rPr>
          <w:rtl/>
        </w:rPr>
        <w:t>)، ما لم يُذكر خلاف ذلك.</w:t>
      </w:r>
    </w:p>
  </w:footnote>
  <w:footnote w:id="3">
    <w:p w14:paraId="70B4C277" w14:textId="30FE1AB9" w:rsidR="00557E2C" w:rsidRPr="00557E2C" w:rsidRDefault="00557E2C" w:rsidP="00557E2C">
      <w:pPr>
        <w:pStyle w:val="FootnoteText1"/>
      </w:pPr>
      <w:r w:rsidRPr="00557E2C">
        <w:rPr>
          <w:rtl/>
        </w:rPr>
        <w:t>(</w:t>
      </w:r>
      <w:r w:rsidRPr="00557E2C">
        <w:rPr>
          <w:rStyle w:val="FootnoteReference"/>
          <w:rFonts w:cs="Times New Roman"/>
          <w:b w:val="0"/>
          <w:szCs w:val="26"/>
          <w:vertAlign w:val="baseline"/>
        </w:rPr>
        <w:footnoteRef/>
      </w:r>
      <w:r w:rsidRPr="00557E2C">
        <w:rPr>
          <w:rtl/>
        </w:rPr>
        <w:t>)</w:t>
      </w:r>
      <w:r w:rsidRPr="00557E2C">
        <w:rPr>
          <w:rtl/>
        </w:rPr>
        <w:tab/>
        <w:t xml:space="preserve">يمكن للمسائل </w:t>
      </w:r>
      <w:r w:rsidRPr="00557E2C">
        <w:rPr>
          <w:rFonts w:hint="cs"/>
          <w:rtl/>
        </w:rPr>
        <w:t>المثارة</w:t>
      </w:r>
      <w:r w:rsidRPr="00557E2C">
        <w:rPr>
          <w:rtl/>
        </w:rPr>
        <w:t xml:space="preserve"> في إطار المادة </w:t>
      </w:r>
      <w:r w:rsidRPr="00557E2C">
        <w:rPr>
          <w:szCs w:val="18"/>
          <w:rtl/>
        </w:rPr>
        <w:t>2</w:t>
      </w:r>
      <w:r w:rsidRPr="00557E2C">
        <w:rPr>
          <w:rtl/>
        </w:rPr>
        <w:t xml:space="preserve"> أن </w:t>
      </w:r>
      <w:r w:rsidRPr="00557E2C">
        <w:rPr>
          <w:rFonts w:hint="cs"/>
          <w:rtl/>
        </w:rPr>
        <w:t xml:space="preserve">تتطرق </w:t>
      </w:r>
      <w:r w:rsidRPr="00557E2C">
        <w:rPr>
          <w:rtl/>
        </w:rPr>
        <w:t xml:space="preserve">أيضاً </w:t>
      </w:r>
      <w:r w:rsidRPr="00557E2C">
        <w:rPr>
          <w:rFonts w:hint="cs"/>
          <w:rtl/>
        </w:rPr>
        <w:t xml:space="preserve">إلى </w:t>
      </w:r>
      <w:r w:rsidRPr="00557E2C">
        <w:rPr>
          <w:rtl/>
        </w:rPr>
        <w:t xml:space="preserve">مسائل </w:t>
      </w:r>
      <w:r w:rsidRPr="00557E2C">
        <w:rPr>
          <w:rFonts w:hint="cs"/>
          <w:rtl/>
        </w:rPr>
        <w:t xml:space="preserve">مثارة </w:t>
      </w:r>
      <w:r w:rsidRPr="00557E2C">
        <w:rPr>
          <w:rtl/>
        </w:rPr>
        <w:t>في إطار مواد أخرى من الاتفاقية، بما</w:t>
      </w:r>
      <w:r w:rsidR="00DA2A11">
        <w:rPr>
          <w:rFonts w:hint="cs"/>
          <w:rtl/>
        </w:rPr>
        <w:t> </w:t>
      </w:r>
      <w:r w:rsidRPr="00557E2C">
        <w:rPr>
          <w:rtl/>
        </w:rPr>
        <w:t>في</w:t>
      </w:r>
      <w:r w:rsidRPr="00557E2C">
        <w:rPr>
          <w:rFonts w:hint="cs"/>
          <w:rtl/>
        </w:rPr>
        <w:t>ها</w:t>
      </w:r>
      <w:r w:rsidRPr="00557E2C">
        <w:rPr>
          <w:rtl/>
        </w:rPr>
        <w:t xml:space="preserve"> المادة </w:t>
      </w:r>
      <w:r w:rsidRPr="00557E2C">
        <w:rPr>
          <w:szCs w:val="18"/>
          <w:rtl/>
        </w:rPr>
        <w:t>16</w:t>
      </w:r>
      <w:r w:rsidRPr="00557E2C">
        <w:rPr>
          <w:rtl/>
        </w:rPr>
        <w:t xml:space="preserve">. وكما </w:t>
      </w:r>
      <w:r w:rsidRPr="00557E2C">
        <w:rPr>
          <w:rFonts w:hint="cs"/>
          <w:rtl/>
        </w:rPr>
        <w:t xml:space="preserve">ذُكر </w:t>
      </w:r>
      <w:r w:rsidRPr="00557E2C">
        <w:rPr>
          <w:rtl/>
        </w:rPr>
        <w:t xml:space="preserve">في الفقرة </w:t>
      </w:r>
      <w:r w:rsidRPr="00557E2C">
        <w:rPr>
          <w:szCs w:val="18"/>
          <w:rtl/>
        </w:rPr>
        <w:t>3</w:t>
      </w:r>
      <w:r w:rsidRPr="00557E2C">
        <w:rPr>
          <w:rtl/>
        </w:rPr>
        <w:t xml:space="preserve"> من تعليق اللجنة العام رقم </w:t>
      </w:r>
      <w:r w:rsidRPr="00557E2C">
        <w:rPr>
          <w:szCs w:val="18"/>
          <w:rtl/>
        </w:rPr>
        <w:t>2</w:t>
      </w:r>
      <w:r w:rsidRPr="00557E2C">
        <w:rPr>
          <w:rtl/>
        </w:rPr>
        <w:t>(</w:t>
      </w:r>
      <w:r w:rsidRPr="00557E2C">
        <w:rPr>
          <w:szCs w:val="18"/>
          <w:rtl/>
        </w:rPr>
        <w:t>2007</w:t>
      </w:r>
      <w:r w:rsidRPr="00557E2C">
        <w:rPr>
          <w:rtl/>
        </w:rPr>
        <w:t xml:space="preserve">) بشأن تنفيذ المادة </w:t>
      </w:r>
      <w:r w:rsidRPr="00557E2C">
        <w:rPr>
          <w:szCs w:val="18"/>
          <w:rtl/>
        </w:rPr>
        <w:t>2</w:t>
      </w:r>
      <w:r w:rsidRPr="00557E2C">
        <w:rPr>
          <w:rtl/>
        </w:rPr>
        <w:t xml:space="preserve">، </w:t>
      </w:r>
      <w:r w:rsidRPr="00557E2C">
        <w:rPr>
          <w:rFonts w:hint="cs"/>
          <w:rtl/>
        </w:rPr>
        <w:t xml:space="preserve">يتسم </w:t>
      </w:r>
      <w:r w:rsidRPr="00557E2C">
        <w:rPr>
          <w:rtl/>
        </w:rPr>
        <w:t xml:space="preserve">الالتزام بمنع التعذيب </w:t>
      </w:r>
      <w:r w:rsidRPr="00557E2C">
        <w:rPr>
          <w:rFonts w:hint="cs"/>
          <w:rtl/>
        </w:rPr>
        <w:t xml:space="preserve">المنصوص عليه </w:t>
      </w:r>
      <w:r w:rsidRPr="00557E2C">
        <w:rPr>
          <w:rtl/>
        </w:rPr>
        <w:t xml:space="preserve">في المادة </w:t>
      </w:r>
      <w:r w:rsidRPr="00557E2C">
        <w:rPr>
          <w:szCs w:val="18"/>
          <w:rtl/>
        </w:rPr>
        <w:t>2</w:t>
      </w:r>
      <w:r w:rsidRPr="00557E2C">
        <w:rPr>
          <w:rtl/>
        </w:rPr>
        <w:t xml:space="preserve"> بطابع واسع النطاق. والالتزام</w:t>
      </w:r>
      <w:r w:rsidRPr="00557E2C">
        <w:rPr>
          <w:rFonts w:hint="cs"/>
          <w:rtl/>
        </w:rPr>
        <w:t>ات</w:t>
      </w:r>
      <w:r w:rsidRPr="00557E2C">
        <w:rPr>
          <w:rtl/>
        </w:rPr>
        <w:t xml:space="preserve"> بمنع التعذيب وغيره من ضروب المعاملة أو العقوبة القاسية أو اللاإنسانية أو المهينة</w:t>
      </w:r>
      <w:r w:rsidRPr="00557E2C">
        <w:rPr>
          <w:rFonts w:hint="cs"/>
          <w:rtl/>
        </w:rPr>
        <w:t>،</w:t>
      </w:r>
      <w:r w:rsidRPr="00557E2C">
        <w:rPr>
          <w:rtl/>
        </w:rPr>
        <w:t xml:space="preserve"> بموجب الفقرة </w:t>
      </w:r>
      <w:r w:rsidRPr="00557E2C">
        <w:rPr>
          <w:szCs w:val="18"/>
          <w:rtl/>
        </w:rPr>
        <w:t>1</w:t>
      </w:r>
      <w:r w:rsidRPr="00557E2C">
        <w:rPr>
          <w:rtl/>
        </w:rPr>
        <w:t xml:space="preserve"> من المادة </w:t>
      </w:r>
      <w:r w:rsidRPr="00557E2C">
        <w:rPr>
          <w:szCs w:val="18"/>
          <w:rtl/>
        </w:rPr>
        <w:t>16</w:t>
      </w:r>
      <w:r w:rsidRPr="00557E2C">
        <w:rPr>
          <w:rFonts w:hint="cs"/>
          <w:rtl/>
        </w:rPr>
        <w:t>،</w:t>
      </w:r>
      <w:r w:rsidRPr="00557E2C">
        <w:rPr>
          <w:rtl/>
        </w:rPr>
        <w:t xml:space="preserve"> هي التزامات غير قابلة للتجزئة ومترابطة</w:t>
      </w:r>
      <w:r w:rsidRPr="00557E2C">
        <w:rPr>
          <w:rFonts w:hint="cs"/>
          <w:rtl/>
        </w:rPr>
        <w:t xml:space="preserve"> ومتشابكة</w:t>
      </w:r>
      <w:r w:rsidRPr="00557E2C">
        <w:rPr>
          <w:rtl/>
        </w:rPr>
        <w:t xml:space="preserve">. </w:t>
      </w:r>
      <w:r w:rsidRPr="00557E2C">
        <w:rPr>
          <w:rFonts w:hint="cs"/>
          <w:rtl/>
        </w:rPr>
        <w:t>ف</w:t>
      </w:r>
      <w:r w:rsidRPr="00557E2C">
        <w:rPr>
          <w:rtl/>
        </w:rPr>
        <w:t xml:space="preserve">الالتزام بمنع إساءة المعاملة يتداخل في الممارسة مع الالتزام بمنع التعذيب </w:t>
      </w:r>
      <w:r w:rsidRPr="00557E2C">
        <w:rPr>
          <w:rFonts w:hint="cs"/>
          <w:rtl/>
        </w:rPr>
        <w:t xml:space="preserve">ويتطابق </w:t>
      </w:r>
      <w:r w:rsidRPr="00557E2C">
        <w:rPr>
          <w:rtl/>
        </w:rPr>
        <w:t xml:space="preserve">معه إلى حد بعيد. وعملياً، </w:t>
      </w:r>
      <w:r w:rsidRPr="00557E2C">
        <w:rPr>
          <w:rFonts w:hint="cs"/>
          <w:rtl/>
        </w:rPr>
        <w:t xml:space="preserve">يتسم </w:t>
      </w:r>
      <w:r w:rsidRPr="00557E2C">
        <w:rPr>
          <w:rtl/>
        </w:rPr>
        <w:t xml:space="preserve">الحد الفاصل </w:t>
      </w:r>
      <w:r w:rsidRPr="00557E2C">
        <w:rPr>
          <w:rFonts w:hint="cs"/>
          <w:rtl/>
        </w:rPr>
        <w:t xml:space="preserve">من حيث التعريف </w:t>
      </w:r>
      <w:r w:rsidRPr="00557E2C">
        <w:rPr>
          <w:rtl/>
        </w:rPr>
        <w:t>بين مفهومي إساءة المعاملة والتعذيب في كثير من الأحيان بعدم الوضوح. انظر أيضاً</w:t>
      </w:r>
      <w:r w:rsidRPr="00557E2C">
        <w:rPr>
          <w:rFonts w:hint="cs"/>
          <w:rtl/>
        </w:rPr>
        <w:t xml:space="preserve"> الفرع</w:t>
      </w:r>
      <w:r w:rsidRPr="00557E2C">
        <w:rPr>
          <w:rtl/>
        </w:rPr>
        <w:t xml:space="preserve"> الخامس من التعليق العام </w:t>
      </w:r>
      <w:r w:rsidRPr="00557E2C">
        <w:rPr>
          <w:rFonts w:hint="cs"/>
          <w:rtl/>
        </w:rPr>
        <w:t>نفسه</w:t>
      </w:r>
      <w:r w:rsidRPr="00557E2C">
        <w:rPr>
          <w:rtl/>
        </w:rPr>
        <w:t xml:space="preserve">. </w:t>
      </w:r>
    </w:p>
  </w:footnote>
  <w:footnote w:id="4">
    <w:p w14:paraId="5DACE47D" w14:textId="438FA22B" w:rsidR="00557E2C" w:rsidRPr="00557E2C" w:rsidRDefault="00557E2C" w:rsidP="00557E2C">
      <w:pPr>
        <w:pStyle w:val="FootnoteText1"/>
        <w:rPr>
          <w:rFonts w:hint="cs"/>
        </w:rPr>
      </w:pPr>
      <w:r w:rsidRPr="00557E2C">
        <w:rPr>
          <w:rtl/>
        </w:rPr>
        <w:t>(</w:t>
      </w:r>
      <w:r w:rsidRPr="00557E2C">
        <w:rPr>
          <w:rStyle w:val="FootnoteReference"/>
          <w:rFonts w:cs="Times New Roman"/>
          <w:b w:val="0"/>
          <w:vertAlign w:val="baseline"/>
        </w:rPr>
        <w:footnoteRef/>
      </w:r>
      <w:r w:rsidRPr="00557E2C">
        <w:rPr>
          <w:sz w:val="26"/>
          <w:rtl/>
        </w:rPr>
        <w:t>)</w:t>
      </w:r>
      <w:r w:rsidRPr="00557E2C">
        <w:rPr>
          <w:sz w:val="26"/>
          <w:rtl/>
        </w:rPr>
        <w:tab/>
      </w:r>
      <w:r w:rsidRPr="00557E2C">
        <w:rPr>
          <w:rFonts w:hint="cs"/>
          <w:rtl/>
        </w:rPr>
        <w:t xml:space="preserve">انظر القرارات </w:t>
      </w:r>
      <w:r w:rsidRPr="00557E2C">
        <w:rPr>
          <w:rFonts w:hint="cs"/>
          <w:szCs w:val="18"/>
          <w:rtl/>
        </w:rPr>
        <w:t>62</w:t>
      </w:r>
      <w:r w:rsidRPr="00557E2C">
        <w:rPr>
          <w:rFonts w:hint="cs"/>
          <w:rtl/>
        </w:rPr>
        <w:t>/</w:t>
      </w:r>
      <w:r w:rsidRPr="00557E2C">
        <w:rPr>
          <w:rFonts w:hint="cs"/>
          <w:szCs w:val="18"/>
          <w:rtl/>
        </w:rPr>
        <w:t>149</w:t>
      </w:r>
      <w:r w:rsidRPr="00557E2C">
        <w:rPr>
          <w:rFonts w:hint="cs"/>
          <w:rtl/>
        </w:rPr>
        <w:t xml:space="preserve"> (الذي صوتت البحرين ضده)، و</w:t>
      </w:r>
      <w:r w:rsidRPr="00557E2C">
        <w:rPr>
          <w:rFonts w:hint="cs"/>
          <w:szCs w:val="18"/>
          <w:rtl/>
        </w:rPr>
        <w:t>63</w:t>
      </w:r>
      <w:r w:rsidRPr="00557E2C">
        <w:rPr>
          <w:rFonts w:hint="cs"/>
          <w:rtl/>
        </w:rPr>
        <w:t>/</w:t>
      </w:r>
      <w:r w:rsidRPr="00557E2C">
        <w:rPr>
          <w:rFonts w:hint="cs"/>
          <w:szCs w:val="18"/>
          <w:rtl/>
        </w:rPr>
        <w:t>168</w:t>
      </w:r>
      <w:r w:rsidRPr="00557E2C">
        <w:rPr>
          <w:rFonts w:hint="cs"/>
          <w:rtl/>
        </w:rPr>
        <w:t xml:space="preserve"> (الذي امتنعت البحرين فيه عن التصويت)، و</w:t>
      </w:r>
      <w:r w:rsidRPr="00557E2C">
        <w:rPr>
          <w:rFonts w:hint="cs"/>
          <w:szCs w:val="18"/>
          <w:rtl/>
        </w:rPr>
        <w:t>65</w:t>
      </w:r>
      <w:r w:rsidRPr="00557E2C">
        <w:rPr>
          <w:rFonts w:hint="cs"/>
          <w:rtl/>
        </w:rPr>
        <w:t>/</w:t>
      </w:r>
      <w:r w:rsidRPr="00557E2C">
        <w:rPr>
          <w:rFonts w:hint="cs"/>
          <w:szCs w:val="18"/>
          <w:rtl/>
        </w:rPr>
        <w:t>206</w:t>
      </w:r>
      <w:r w:rsidRPr="00557E2C">
        <w:rPr>
          <w:rFonts w:hint="cs"/>
          <w:rtl/>
        </w:rPr>
        <w:t xml:space="preserve"> (الذي امتنعت البحرين فيه عن التصويت)، و</w:t>
      </w:r>
      <w:r w:rsidRPr="00557E2C">
        <w:rPr>
          <w:rFonts w:hint="cs"/>
          <w:szCs w:val="18"/>
          <w:rtl/>
        </w:rPr>
        <w:t>67</w:t>
      </w:r>
      <w:r w:rsidRPr="00557E2C">
        <w:rPr>
          <w:rFonts w:hint="cs"/>
          <w:rtl/>
        </w:rPr>
        <w:t>/</w:t>
      </w:r>
      <w:r w:rsidRPr="00557E2C">
        <w:rPr>
          <w:rFonts w:hint="cs"/>
          <w:szCs w:val="18"/>
          <w:rtl/>
        </w:rPr>
        <w:t>176</w:t>
      </w:r>
      <w:r w:rsidRPr="00557E2C">
        <w:rPr>
          <w:rFonts w:hint="cs"/>
          <w:rtl/>
        </w:rPr>
        <w:t xml:space="preserve"> (الذي صوتت البحرين ضده)، و</w:t>
      </w:r>
      <w:r w:rsidRPr="00557E2C">
        <w:rPr>
          <w:rFonts w:hint="cs"/>
          <w:szCs w:val="18"/>
          <w:rtl/>
        </w:rPr>
        <w:t>69</w:t>
      </w:r>
      <w:r w:rsidRPr="00557E2C">
        <w:rPr>
          <w:rFonts w:hint="cs"/>
          <w:rtl/>
        </w:rPr>
        <w:t>/</w:t>
      </w:r>
      <w:r w:rsidRPr="00557E2C">
        <w:rPr>
          <w:rFonts w:hint="cs"/>
          <w:szCs w:val="18"/>
          <w:rtl/>
        </w:rPr>
        <w:t>186</w:t>
      </w:r>
      <w:r w:rsidRPr="00557E2C">
        <w:rPr>
          <w:rFonts w:hint="cs"/>
          <w:rtl/>
        </w:rPr>
        <w:t xml:space="preserve"> (الذي امتنعت البحرين فيه عن التصويت)، و</w:t>
      </w:r>
      <w:r w:rsidRPr="00557E2C">
        <w:rPr>
          <w:rFonts w:hint="cs"/>
          <w:szCs w:val="18"/>
          <w:rtl/>
        </w:rPr>
        <w:t>71</w:t>
      </w:r>
      <w:r w:rsidRPr="00557E2C">
        <w:rPr>
          <w:rFonts w:hint="cs"/>
          <w:rtl/>
        </w:rPr>
        <w:t>/</w:t>
      </w:r>
      <w:r w:rsidRPr="00557E2C">
        <w:rPr>
          <w:rFonts w:hint="cs"/>
          <w:szCs w:val="18"/>
          <w:rtl/>
        </w:rPr>
        <w:t>187</w:t>
      </w:r>
      <w:r w:rsidRPr="00557E2C">
        <w:rPr>
          <w:rFonts w:hint="cs"/>
          <w:rtl/>
        </w:rPr>
        <w:t xml:space="preserve"> (الذي امتنعت البحرين فيه عن التصويت)، و</w:t>
      </w:r>
      <w:r w:rsidRPr="00557E2C">
        <w:rPr>
          <w:rFonts w:hint="cs"/>
          <w:szCs w:val="18"/>
          <w:rtl/>
        </w:rPr>
        <w:t>73</w:t>
      </w:r>
      <w:r w:rsidRPr="00557E2C">
        <w:rPr>
          <w:rFonts w:hint="cs"/>
          <w:rtl/>
        </w:rPr>
        <w:t>/</w:t>
      </w:r>
      <w:r w:rsidRPr="00557E2C">
        <w:rPr>
          <w:rFonts w:hint="cs"/>
          <w:szCs w:val="18"/>
          <w:rtl/>
        </w:rPr>
        <w:t>175</w:t>
      </w:r>
      <w:r w:rsidRPr="00557E2C">
        <w:rPr>
          <w:rFonts w:hint="cs"/>
          <w:rtl/>
        </w:rPr>
        <w:t xml:space="preserve"> (الذي صوتت البحرين ضده).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3082F" w14:textId="77777777" w:rsidR="00FD7291" w:rsidRPr="00557E2C" w:rsidRDefault="00557E2C" w:rsidP="00557E2C">
    <w:pPr>
      <w:pStyle w:val="Header"/>
      <w:jc w:val="right"/>
    </w:pPr>
    <w:r w:rsidRPr="00557E2C">
      <w:t>CAT/C/BHR/QPR/4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2919" w14:textId="77777777" w:rsidR="00FD7291" w:rsidRPr="00557E2C" w:rsidRDefault="00557E2C" w:rsidP="00557E2C">
    <w:pPr>
      <w:pStyle w:val="Header"/>
      <w:jc w:val="left"/>
    </w:pPr>
    <w:r w:rsidRPr="00557E2C">
      <w:t>CAT/C/BHR/QPR/4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9B59F1"/>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323EC8"/>
    <w:rsid w:val="003260FF"/>
    <w:rsid w:val="00343D95"/>
    <w:rsid w:val="00374341"/>
    <w:rsid w:val="00384DA7"/>
    <w:rsid w:val="003D1062"/>
    <w:rsid w:val="003E71F7"/>
    <w:rsid w:val="00420D7B"/>
    <w:rsid w:val="00450B21"/>
    <w:rsid w:val="00453B63"/>
    <w:rsid w:val="00455780"/>
    <w:rsid w:val="004956DC"/>
    <w:rsid w:val="004B0A1C"/>
    <w:rsid w:val="004D298E"/>
    <w:rsid w:val="00506E64"/>
    <w:rsid w:val="0054472E"/>
    <w:rsid w:val="00557E2C"/>
    <w:rsid w:val="005662A9"/>
    <w:rsid w:val="005827D4"/>
    <w:rsid w:val="0059622A"/>
    <w:rsid w:val="005A3015"/>
    <w:rsid w:val="005A646B"/>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D05CB"/>
    <w:rsid w:val="00733704"/>
    <w:rsid w:val="00761849"/>
    <w:rsid w:val="0078071A"/>
    <w:rsid w:val="00817373"/>
    <w:rsid w:val="00852A9A"/>
    <w:rsid w:val="00893A8A"/>
    <w:rsid w:val="008F49E1"/>
    <w:rsid w:val="0090370F"/>
    <w:rsid w:val="009066A9"/>
    <w:rsid w:val="009269D2"/>
    <w:rsid w:val="00942135"/>
    <w:rsid w:val="009521B0"/>
    <w:rsid w:val="00981C12"/>
    <w:rsid w:val="009A7E9F"/>
    <w:rsid w:val="009B59F1"/>
    <w:rsid w:val="009E5018"/>
    <w:rsid w:val="00A1111B"/>
    <w:rsid w:val="00A12B37"/>
    <w:rsid w:val="00A14522"/>
    <w:rsid w:val="00A34EA8"/>
    <w:rsid w:val="00A44D86"/>
    <w:rsid w:val="00A67AF5"/>
    <w:rsid w:val="00A94CA3"/>
    <w:rsid w:val="00AB6758"/>
    <w:rsid w:val="00B13763"/>
    <w:rsid w:val="00B171EE"/>
    <w:rsid w:val="00B456A0"/>
    <w:rsid w:val="00B477A4"/>
    <w:rsid w:val="00B54045"/>
    <w:rsid w:val="00C438D7"/>
    <w:rsid w:val="00C81B50"/>
    <w:rsid w:val="00C87F1F"/>
    <w:rsid w:val="00CD1801"/>
    <w:rsid w:val="00D10EF1"/>
    <w:rsid w:val="00D42810"/>
    <w:rsid w:val="00D914A7"/>
    <w:rsid w:val="00DA2A11"/>
    <w:rsid w:val="00DC1D29"/>
    <w:rsid w:val="00DD13C3"/>
    <w:rsid w:val="00DD596E"/>
    <w:rsid w:val="00DD621E"/>
    <w:rsid w:val="00DF0575"/>
    <w:rsid w:val="00E64B72"/>
    <w:rsid w:val="00E70E04"/>
    <w:rsid w:val="00E76499"/>
    <w:rsid w:val="00EC05A7"/>
    <w:rsid w:val="00EC4B6B"/>
    <w:rsid w:val="00EF1EE5"/>
    <w:rsid w:val="00F520E4"/>
    <w:rsid w:val="00F763B4"/>
    <w:rsid w:val="00F900C3"/>
    <w:rsid w:val="00FD729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1C3CCE5"/>
  <w15:docId w15:val="{C71CDAE6-0332-4B05-AC44-5DF864BD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44D86"/>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E5A8-00F7-4C2C-815A-FF7541C2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10</Pages>
  <Words>3822</Words>
  <Characters>20219</Characters>
  <Application>Microsoft Office Word</Application>
  <DocSecurity>0</DocSecurity>
  <Lines>331</Lines>
  <Paragraphs>113</Paragraphs>
  <ScaleCrop>false</ScaleCrop>
  <HeadingPairs>
    <vt:vector size="2" baseType="variant">
      <vt:variant>
        <vt:lpstr>Title</vt:lpstr>
      </vt:variant>
      <vt:variant>
        <vt:i4>1</vt:i4>
      </vt:variant>
    </vt:vector>
  </HeadingPairs>
  <TitlesOfParts>
    <vt:vector size="1" baseType="lpstr">
      <vt:lpstr>CAT/C/BHR/QPR/4</vt:lpstr>
    </vt:vector>
  </TitlesOfParts>
  <Company>DCM</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CAT/C/BHR/QPR/4</dc:title>
  <dc:subject>GE. 2007326A</dc:subject>
  <dc:creator>IBAL</dc:creator>
  <cp:keywords>ODS No.</cp:keywords>
  <dc:description>Distribution:_x000d_
Original: English_x000d_
Date:</dc:description>
  <cp:lastModifiedBy>Ibrahim Balan</cp:lastModifiedBy>
  <cp:revision>2</cp:revision>
  <cp:lastPrinted>2016-06-21T10:29:00Z</cp:lastPrinted>
  <dcterms:created xsi:type="dcterms:W3CDTF">2020-06-08T14:35:00Z</dcterms:created>
  <dcterms:modified xsi:type="dcterms:W3CDTF">2020-06-08T14:35:00Z</dcterms:modified>
  <cp:category>Final</cp:category>
</cp:coreProperties>
</file>