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AF1CE8" w:rsidRPr="00DB58B5" w:rsidTr="00464EEE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AF1CE8" w:rsidRPr="00DB58B5" w:rsidRDefault="00AF1CE8" w:rsidP="00464EE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1CE8" w:rsidRPr="00DB58B5" w:rsidRDefault="00AF1CE8" w:rsidP="00464EE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AF1CE8" w:rsidRPr="00DB58B5" w:rsidRDefault="005B50D9" w:rsidP="005B50D9">
            <w:pPr>
              <w:jc w:val="right"/>
            </w:pPr>
            <w:r w:rsidRPr="005B50D9">
              <w:rPr>
                <w:sz w:val="40"/>
              </w:rPr>
              <w:t>CCPR</w:t>
            </w:r>
            <w:r>
              <w:t>/C/ESP/Q/6</w:t>
            </w:r>
          </w:p>
        </w:tc>
      </w:tr>
      <w:tr w:rsidR="00AF1CE8" w:rsidRPr="00DB58B5" w:rsidTr="00464EE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1CE8" w:rsidRPr="00DB58B5" w:rsidRDefault="00AF1CE8" w:rsidP="00464EEE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1CE8" w:rsidRPr="00AB51C8" w:rsidRDefault="00AF1CE8" w:rsidP="00464EEE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B50D9" w:rsidRDefault="005B50D9" w:rsidP="00464EEE">
            <w:pPr>
              <w:spacing w:before="240"/>
            </w:pPr>
            <w:r>
              <w:t>Distr. générale</w:t>
            </w:r>
          </w:p>
          <w:p w:rsidR="005B50D9" w:rsidRDefault="005B50D9" w:rsidP="005B50D9">
            <w:pPr>
              <w:spacing w:line="240" w:lineRule="exact"/>
            </w:pPr>
            <w:r>
              <w:t>20 novembre 2014</w:t>
            </w:r>
          </w:p>
          <w:p w:rsidR="005B50D9" w:rsidRDefault="005B50D9" w:rsidP="005B50D9">
            <w:pPr>
              <w:spacing w:line="240" w:lineRule="exact"/>
            </w:pPr>
            <w:r>
              <w:t>Français</w:t>
            </w:r>
          </w:p>
          <w:p w:rsidR="00AF1CE8" w:rsidRPr="00DB58B5" w:rsidRDefault="005B50D9" w:rsidP="005B50D9">
            <w:pPr>
              <w:spacing w:line="240" w:lineRule="exact"/>
            </w:pPr>
            <w:r>
              <w:t>Original: espagnol</w:t>
            </w:r>
          </w:p>
        </w:tc>
      </w:tr>
    </w:tbl>
    <w:p w:rsidR="00DF3BF1" w:rsidRDefault="00DF3BF1" w:rsidP="005B50D9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</w:t>
      </w:r>
      <w:r w:rsidR="00B770C1">
        <w:rPr>
          <w:b/>
          <w:sz w:val="24"/>
          <w:szCs w:val="24"/>
        </w:rPr>
        <w:t>’</w:t>
      </w:r>
      <w:r w:rsidRPr="00DF3BF1">
        <w:rPr>
          <w:b/>
          <w:sz w:val="24"/>
          <w:szCs w:val="24"/>
        </w:rPr>
        <w:t>homme</w:t>
      </w:r>
    </w:p>
    <w:p w:rsidR="00835DB6" w:rsidRPr="00835DB6" w:rsidRDefault="00D552C1" w:rsidP="00B770C1">
      <w:pPr>
        <w:pStyle w:val="HChG"/>
        <w:tabs>
          <w:tab w:val="clear" w:pos="851"/>
        </w:tabs>
        <w:rPr>
          <w:b w:val="0"/>
          <w:lang w:val="fr-FR"/>
        </w:rPr>
      </w:pPr>
      <w:r>
        <w:rPr>
          <w:lang w:val="fr-FR"/>
        </w:rPr>
        <w:tab/>
      </w:r>
      <w:r w:rsidR="005B50D9" w:rsidRPr="00E75333">
        <w:rPr>
          <w:lang w:val="fr-FR"/>
        </w:rPr>
        <w:t xml:space="preserve">Liste de points concernant le </w:t>
      </w:r>
      <w:r w:rsidR="005B50D9" w:rsidRPr="00E75333">
        <w:t>sixième</w:t>
      </w:r>
      <w:r w:rsidR="005B50D9" w:rsidRPr="00E75333">
        <w:rPr>
          <w:lang w:val="fr-FR"/>
        </w:rPr>
        <w:t xml:space="preserve"> </w:t>
      </w:r>
      <w:r w:rsidR="005B50D9" w:rsidRPr="00512C05">
        <w:t>rapport</w:t>
      </w:r>
      <w:r w:rsidR="005B50D9">
        <w:rPr>
          <w:lang w:val="fr-FR"/>
        </w:rPr>
        <w:t xml:space="preserve"> </w:t>
      </w:r>
      <w:r w:rsidR="00D73FC2">
        <w:rPr>
          <w:lang w:val="fr-FR"/>
        </w:rPr>
        <w:br/>
      </w:r>
      <w:r w:rsidR="005B50D9">
        <w:rPr>
          <w:lang w:val="fr-FR"/>
        </w:rPr>
        <w:t>périodique</w:t>
      </w:r>
      <w:r w:rsidR="00835DB6">
        <w:rPr>
          <w:lang w:val="fr-FR"/>
        </w:rPr>
        <w:t xml:space="preserve"> </w:t>
      </w:r>
      <w:r w:rsidR="005B50D9" w:rsidRPr="00E75333">
        <w:rPr>
          <w:lang w:val="fr-FR"/>
        </w:rPr>
        <w:t>de l</w:t>
      </w:r>
      <w:r w:rsidR="00B770C1">
        <w:rPr>
          <w:lang w:val="fr-FR"/>
        </w:rPr>
        <w:t>’</w:t>
      </w:r>
      <w:r w:rsidR="00835DB6">
        <w:rPr>
          <w:lang w:val="fr-FR"/>
        </w:rPr>
        <w:t>Espagne</w:t>
      </w:r>
      <w:r w:rsidR="00835DB6" w:rsidRPr="00835DB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B50D9" w:rsidRPr="00E75333" w:rsidRDefault="005B50D9" w:rsidP="00D73FC2">
      <w:pPr>
        <w:pStyle w:val="H1G"/>
        <w:rPr>
          <w:lang w:val="fr-FR"/>
        </w:rPr>
      </w:pPr>
      <w:r w:rsidRPr="00E75333">
        <w:rPr>
          <w:lang w:val="fr-FR"/>
        </w:rPr>
        <w:tab/>
      </w:r>
      <w:r w:rsidRPr="00E75333">
        <w:rPr>
          <w:lang w:val="fr-FR"/>
        </w:rPr>
        <w:tab/>
        <w:t>Cadre constitutionnel et législatif (art.</w:t>
      </w:r>
      <w:r>
        <w:rPr>
          <w:lang w:val="fr-FR"/>
        </w:rPr>
        <w:t> 1</w:t>
      </w:r>
      <w:r w:rsidRPr="00512C05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 w:rsidRPr="00E75333">
        <w:rPr>
          <w:lang w:val="fr-FR"/>
        </w:rPr>
        <w:t>et 2)</w:t>
      </w:r>
    </w:p>
    <w:p w:rsidR="005B50D9" w:rsidRPr="00E75333" w:rsidRDefault="005B50D9" w:rsidP="00D73FC2">
      <w:pPr>
        <w:pStyle w:val="ParNoG"/>
        <w:rPr>
          <w:color w:val="000000"/>
          <w:lang w:val="fr-FR"/>
        </w:rPr>
      </w:pPr>
      <w:r w:rsidRPr="00AC777F">
        <w:rPr>
          <w:lang w:val="fr-FR"/>
        </w:rPr>
        <w:t>Eu égard à la précédente recommandation d</w:t>
      </w:r>
      <w:r w:rsidR="00947EC8">
        <w:rPr>
          <w:lang w:val="fr-FR"/>
        </w:rPr>
        <w:t>u Comité (CCPR/C/ESP/CO/5</w:t>
      </w:r>
      <w:r>
        <w:rPr>
          <w:lang w:val="fr-FR"/>
        </w:rPr>
        <w:t>, par. </w:t>
      </w:r>
      <w:r w:rsidRPr="00E75333">
        <w:rPr>
          <w:lang w:val="fr-FR"/>
        </w:rPr>
        <w:t xml:space="preserve">8), indiquer quelle est la procédure </w:t>
      </w:r>
      <w:r w:rsidDel="007E7A8B">
        <w:rPr>
          <w:lang w:val="fr-FR"/>
        </w:rPr>
        <w:t xml:space="preserve">employée pour </w:t>
      </w:r>
      <w:r>
        <w:rPr>
          <w:lang w:val="fr-FR"/>
        </w:rPr>
        <w:t xml:space="preserve">donner suite </w:t>
      </w:r>
      <w:r w:rsidRPr="00E75333">
        <w:rPr>
          <w:lang w:val="fr-FR"/>
        </w:rPr>
        <w:t>aux constatations ado</w:t>
      </w:r>
      <w:r w:rsidR="00C31A24">
        <w:rPr>
          <w:lang w:val="fr-FR"/>
        </w:rPr>
        <w:t>ptées par le Comité au titre du </w:t>
      </w:r>
      <w:r w:rsidRPr="00E75333">
        <w:rPr>
          <w:lang w:val="fr-FR"/>
        </w:rPr>
        <w:t xml:space="preserve">Protocole facultatif se rapportant au Pacte. </w:t>
      </w:r>
      <w:r>
        <w:rPr>
          <w:color w:val="000000"/>
          <w:lang w:val="fr-FR"/>
        </w:rPr>
        <w:t xml:space="preserve">Indiquer quelles mesures </w:t>
      </w:r>
      <w:r w:rsidRPr="00E75333">
        <w:rPr>
          <w:color w:val="000000"/>
          <w:lang w:val="fr-FR"/>
        </w:rPr>
        <w:t>l</w:t>
      </w:r>
      <w:r w:rsidR="00B770C1">
        <w:rPr>
          <w:color w:val="000000"/>
          <w:lang w:val="fr-FR"/>
        </w:rPr>
        <w:t>’</w:t>
      </w:r>
      <w:r w:rsidRPr="00E75333">
        <w:rPr>
          <w:color w:val="000000"/>
          <w:lang w:val="fr-FR"/>
        </w:rPr>
        <w:t xml:space="preserve">État partie a </w:t>
      </w:r>
      <w:r>
        <w:rPr>
          <w:color w:val="000000"/>
          <w:lang w:val="fr-FR"/>
        </w:rPr>
        <w:t xml:space="preserve">prises pour donner suite </w:t>
      </w:r>
      <w:r w:rsidDel="007E7A8B">
        <w:rPr>
          <w:color w:val="000000"/>
          <w:lang w:val="fr-FR"/>
        </w:rPr>
        <w:t xml:space="preserve">aux </w:t>
      </w:r>
      <w:r>
        <w:rPr>
          <w:color w:val="000000"/>
          <w:lang w:val="fr-FR"/>
        </w:rPr>
        <w:t xml:space="preserve">communications suivantes: </w:t>
      </w:r>
      <w:r w:rsidRPr="00E75333">
        <w:rPr>
          <w:color w:val="000000"/>
          <w:lang w:val="fr-FR"/>
        </w:rPr>
        <w:t xml:space="preserve">493/1992, </w:t>
      </w:r>
      <w:r w:rsidRPr="00E75333">
        <w:rPr>
          <w:i/>
          <w:color w:val="000000"/>
          <w:lang w:val="fr-FR"/>
        </w:rPr>
        <w:t>Griffin</w:t>
      </w:r>
      <w:r w:rsidRPr="00E75333">
        <w:rPr>
          <w:color w:val="000000"/>
          <w:lang w:val="fr-FR"/>
        </w:rPr>
        <w:t xml:space="preserve"> (A/50/40); 526/1993, </w:t>
      </w:r>
      <w:r w:rsidRPr="00E75333">
        <w:rPr>
          <w:i/>
          <w:color w:val="000000"/>
          <w:lang w:val="fr-FR"/>
        </w:rPr>
        <w:t>Hill</w:t>
      </w:r>
      <w:r w:rsidRPr="00E75333">
        <w:rPr>
          <w:color w:val="000000"/>
          <w:lang w:val="fr-FR"/>
        </w:rPr>
        <w:t xml:space="preserve"> (A/52/40); 701/1996, </w:t>
      </w:r>
      <w:r w:rsidRPr="00E75333">
        <w:rPr>
          <w:i/>
          <w:color w:val="000000"/>
          <w:lang w:val="fr-FR"/>
        </w:rPr>
        <w:t>Gómez Vásquez</w:t>
      </w:r>
      <w:r w:rsidRPr="00E75333">
        <w:rPr>
          <w:color w:val="000000"/>
          <w:lang w:val="fr-FR"/>
        </w:rPr>
        <w:t xml:space="preserve"> (A/55/40); 864/1999, </w:t>
      </w:r>
      <w:r w:rsidRPr="00E75333">
        <w:rPr>
          <w:i/>
          <w:color w:val="000000"/>
          <w:lang w:val="fr-FR"/>
        </w:rPr>
        <w:t>Ruiz Agudo</w:t>
      </w:r>
      <w:r w:rsidRPr="00E75333">
        <w:rPr>
          <w:color w:val="000000"/>
          <w:lang w:val="fr-FR"/>
        </w:rPr>
        <w:t xml:space="preserve"> (A/58/40); 986/2001, </w:t>
      </w:r>
      <w:r w:rsidRPr="00E75333">
        <w:rPr>
          <w:i/>
          <w:color w:val="000000"/>
          <w:lang w:val="fr-FR"/>
        </w:rPr>
        <w:t>Semey</w:t>
      </w:r>
      <w:r w:rsidRPr="00E75333">
        <w:rPr>
          <w:color w:val="000000"/>
          <w:lang w:val="fr-FR"/>
        </w:rPr>
        <w:t xml:space="preserve"> (A/58/40); 1006/2001, </w:t>
      </w:r>
      <w:r w:rsidRPr="00E75333">
        <w:rPr>
          <w:i/>
          <w:color w:val="000000"/>
          <w:lang w:val="fr-FR"/>
        </w:rPr>
        <w:t>Muñoz</w:t>
      </w:r>
      <w:r w:rsidRPr="00E75333">
        <w:rPr>
          <w:color w:val="000000"/>
          <w:lang w:val="fr-FR"/>
        </w:rPr>
        <w:t xml:space="preserve"> (A/59/40); 1007/2001, </w:t>
      </w:r>
      <w:r w:rsidRPr="00E75333">
        <w:rPr>
          <w:i/>
          <w:color w:val="000000"/>
          <w:lang w:val="fr-FR"/>
        </w:rPr>
        <w:t>Sineiro Fernando</w:t>
      </w:r>
      <w:r w:rsidRPr="00E75333">
        <w:rPr>
          <w:color w:val="000000"/>
          <w:lang w:val="fr-FR"/>
        </w:rPr>
        <w:t xml:space="preserve"> (A/58/40); 1073/2002, </w:t>
      </w:r>
      <w:r w:rsidRPr="00E75333">
        <w:rPr>
          <w:i/>
          <w:color w:val="000000"/>
          <w:lang w:val="fr-FR"/>
        </w:rPr>
        <w:t>Terón Jesús</w:t>
      </w:r>
      <w:r w:rsidRPr="00E75333">
        <w:rPr>
          <w:color w:val="000000"/>
          <w:lang w:val="fr-FR"/>
        </w:rPr>
        <w:t xml:space="preserve"> (A/60/40); 1095/2002, Gomariz (A/60/40); 1101/2002, </w:t>
      </w:r>
      <w:r w:rsidRPr="00E75333">
        <w:rPr>
          <w:i/>
          <w:color w:val="000000"/>
          <w:lang w:val="fr-FR"/>
        </w:rPr>
        <w:t>Alba Cabriada</w:t>
      </w:r>
      <w:r w:rsidRPr="00E75333">
        <w:rPr>
          <w:color w:val="000000"/>
          <w:lang w:val="fr-FR"/>
        </w:rPr>
        <w:t xml:space="preserve"> (A/60/40); 1104/2002, </w:t>
      </w:r>
      <w:r w:rsidRPr="00E75333">
        <w:rPr>
          <w:i/>
          <w:color w:val="000000"/>
          <w:lang w:val="fr-FR"/>
        </w:rPr>
        <w:t>Martínez Fernández</w:t>
      </w:r>
      <w:r w:rsidRPr="00E75333">
        <w:rPr>
          <w:color w:val="000000"/>
          <w:lang w:val="fr-FR"/>
        </w:rPr>
        <w:t xml:space="preserve"> (A/60/40); 1211/2003, </w:t>
      </w:r>
      <w:r w:rsidRPr="00E75333">
        <w:rPr>
          <w:i/>
          <w:color w:val="000000"/>
          <w:lang w:val="fr-FR"/>
        </w:rPr>
        <w:t>Oliveró</w:t>
      </w:r>
      <w:r w:rsidRPr="00E75333">
        <w:rPr>
          <w:color w:val="000000"/>
          <w:lang w:val="fr-FR"/>
        </w:rPr>
        <w:t xml:space="preserve"> (A/61/40); 1325/2004, </w:t>
      </w:r>
      <w:r w:rsidRPr="00E75333">
        <w:rPr>
          <w:i/>
          <w:color w:val="000000"/>
          <w:lang w:val="fr-FR"/>
        </w:rPr>
        <w:t>Conde</w:t>
      </w:r>
      <w:r w:rsidRPr="00E75333">
        <w:rPr>
          <w:color w:val="000000"/>
          <w:lang w:val="fr-FR"/>
        </w:rPr>
        <w:t xml:space="preserve"> (A/62/40); 1332/2004, </w:t>
      </w:r>
      <w:r w:rsidRPr="00E75333">
        <w:rPr>
          <w:i/>
          <w:color w:val="000000"/>
          <w:lang w:val="fr-FR"/>
        </w:rPr>
        <w:t>García et consorts</w:t>
      </w:r>
      <w:r w:rsidRPr="00E75333">
        <w:rPr>
          <w:color w:val="000000"/>
          <w:lang w:val="fr-FR"/>
        </w:rPr>
        <w:t xml:space="preserve"> (A/62/40); 1381/2005, </w:t>
      </w:r>
      <w:r w:rsidRPr="00E75333">
        <w:rPr>
          <w:i/>
          <w:color w:val="000000"/>
          <w:lang w:val="fr-FR"/>
        </w:rPr>
        <w:t>Hachuel</w:t>
      </w:r>
      <w:r w:rsidRPr="00E75333">
        <w:rPr>
          <w:color w:val="000000"/>
          <w:lang w:val="fr-FR"/>
        </w:rPr>
        <w:t xml:space="preserve">; 1351/2005 </w:t>
      </w:r>
      <w:r w:rsidRPr="00E75333" w:rsidDel="007E7A8B">
        <w:rPr>
          <w:color w:val="000000"/>
          <w:lang w:val="fr-FR"/>
        </w:rPr>
        <w:t>et</w:t>
      </w:r>
      <w:r w:rsidRPr="00E75333">
        <w:rPr>
          <w:color w:val="000000"/>
          <w:lang w:val="fr-FR"/>
        </w:rPr>
        <w:t xml:space="preserve"> 1352/2005, </w:t>
      </w:r>
      <w:r w:rsidRPr="00E75333">
        <w:rPr>
          <w:i/>
          <w:color w:val="000000"/>
          <w:lang w:val="fr-FR"/>
        </w:rPr>
        <w:t>Hens et Corujo</w:t>
      </w:r>
      <w:r w:rsidRPr="00E75333">
        <w:rPr>
          <w:color w:val="000000"/>
          <w:lang w:val="fr-FR"/>
        </w:rPr>
        <w:t xml:space="preserve"> (A/63/40); 1122/2002, </w:t>
      </w:r>
      <w:r w:rsidRPr="00E75333">
        <w:rPr>
          <w:i/>
          <w:color w:val="000000"/>
          <w:lang w:val="fr-FR"/>
        </w:rPr>
        <w:t>Lagunas Castedo</w:t>
      </w:r>
      <w:r w:rsidRPr="00E75333">
        <w:rPr>
          <w:color w:val="000000"/>
          <w:lang w:val="fr-FR"/>
        </w:rPr>
        <w:t xml:space="preserve"> (A/64/40); 1363/2005, </w:t>
      </w:r>
      <w:r w:rsidRPr="00E75333">
        <w:rPr>
          <w:i/>
          <w:color w:val="000000"/>
          <w:lang w:val="fr-FR"/>
        </w:rPr>
        <w:t>Gayoso Martínez</w:t>
      </w:r>
      <w:r w:rsidRPr="00E75333">
        <w:rPr>
          <w:color w:val="000000"/>
          <w:lang w:val="fr-FR"/>
        </w:rPr>
        <w:t xml:space="preserve"> (A/65/40); 1364/2005, </w:t>
      </w:r>
      <w:r w:rsidRPr="00E75333">
        <w:rPr>
          <w:i/>
          <w:color w:val="000000"/>
          <w:lang w:val="fr-FR"/>
        </w:rPr>
        <w:t>Carpintero</w:t>
      </w:r>
      <w:r w:rsidRPr="00E75333">
        <w:rPr>
          <w:color w:val="000000"/>
          <w:lang w:val="fr-FR"/>
        </w:rPr>
        <w:t xml:space="preserve"> (A/64/40); 1531/2006, </w:t>
      </w:r>
      <w:r w:rsidRPr="00E75333">
        <w:rPr>
          <w:i/>
          <w:color w:val="000000"/>
          <w:lang w:val="fr-FR"/>
        </w:rPr>
        <w:t>Cunillera Arias</w:t>
      </w:r>
      <w:r w:rsidRPr="00E75333">
        <w:rPr>
          <w:color w:val="000000"/>
          <w:lang w:val="fr-FR"/>
        </w:rPr>
        <w:t xml:space="preserve"> (A/66/40); 1945/2010, </w:t>
      </w:r>
      <w:r w:rsidRPr="00E75333">
        <w:rPr>
          <w:i/>
          <w:color w:val="000000"/>
          <w:lang w:val="fr-FR"/>
        </w:rPr>
        <w:t>Achabal</w:t>
      </w:r>
      <w:r w:rsidRPr="00E75333">
        <w:rPr>
          <w:color w:val="000000"/>
          <w:lang w:val="fr-FR"/>
        </w:rPr>
        <w:t xml:space="preserve"> (A/68/40)</w:t>
      </w:r>
      <w:r>
        <w:rPr>
          <w:color w:val="000000"/>
          <w:lang w:val="fr-FR"/>
        </w:rPr>
        <w:t>;</w:t>
      </w:r>
      <w:r w:rsidRPr="00E75333">
        <w:rPr>
          <w:color w:val="000000"/>
          <w:lang w:val="fr-FR"/>
        </w:rPr>
        <w:t xml:space="preserve"> 2008/2010, </w:t>
      </w:r>
      <w:r w:rsidRPr="007E7A8B">
        <w:rPr>
          <w:i/>
          <w:color w:val="000000"/>
          <w:lang w:val="fr-FR"/>
        </w:rPr>
        <w:t>Aarrass</w:t>
      </w:r>
      <w:r w:rsidRPr="00E75333">
        <w:rPr>
          <w:color w:val="000000"/>
          <w:lang w:val="fr-FR"/>
        </w:rPr>
        <w:t>.</w:t>
      </w:r>
    </w:p>
    <w:p w:rsidR="005B50D9" w:rsidRPr="00E75333" w:rsidRDefault="005B50D9" w:rsidP="00D73FC2">
      <w:pPr>
        <w:pStyle w:val="H1G"/>
        <w:rPr>
          <w:lang w:val="fr-FR"/>
        </w:rPr>
      </w:pPr>
      <w:r w:rsidRPr="00E75333">
        <w:rPr>
          <w:lang w:val="fr-FR"/>
        </w:rPr>
        <w:tab/>
      </w:r>
      <w:r w:rsidRPr="00E75333">
        <w:rPr>
          <w:lang w:val="fr-FR"/>
        </w:rPr>
        <w:tab/>
        <w:t xml:space="preserve">Non-discrimination et égalité de droits entre hommes et femmes </w:t>
      </w:r>
      <w:r w:rsidR="00D73FC2">
        <w:rPr>
          <w:lang w:val="fr-FR"/>
        </w:rPr>
        <w:br/>
      </w:r>
      <w:r w:rsidRPr="00E75333">
        <w:rPr>
          <w:lang w:val="fr-FR"/>
        </w:rPr>
        <w:t>(art</w:t>
      </w:r>
      <w:r>
        <w:rPr>
          <w:lang w:val="fr-FR"/>
        </w:rPr>
        <w:t>. </w:t>
      </w:r>
      <w:r w:rsidRPr="00E75333">
        <w:rPr>
          <w:lang w:val="fr-FR"/>
        </w:rPr>
        <w:t>2, 3 et 26)</w:t>
      </w:r>
    </w:p>
    <w:p w:rsidR="005B50D9" w:rsidRPr="00965BAF" w:rsidRDefault="005B50D9" w:rsidP="00D73FC2">
      <w:pPr>
        <w:pStyle w:val="ParNoG"/>
        <w:rPr>
          <w:spacing w:val="-2"/>
          <w:lang w:val="fr-FR"/>
        </w:rPr>
      </w:pPr>
      <w:r w:rsidRPr="00965BAF">
        <w:rPr>
          <w:spacing w:val="-2"/>
          <w:lang w:val="fr-FR"/>
        </w:rPr>
        <w:t>Donner des renseignements sur les mesures que l</w:t>
      </w:r>
      <w:r w:rsidR="00B770C1">
        <w:rPr>
          <w:spacing w:val="-2"/>
          <w:lang w:val="fr-FR"/>
        </w:rPr>
        <w:t>’</w:t>
      </w:r>
      <w:r w:rsidRPr="00965BAF">
        <w:rPr>
          <w:spacing w:val="-2"/>
          <w:lang w:val="fr-FR"/>
        </w:rPr>
        <w:t>État partie a prises pour garantir le droit des non-nationaux à l</w:t>
      </w:r>
      <w:r w:rsidR="00B770C1">
        <w:rPr>
          <w:spacing w:val="-2"/>
          <w:lang w:val="fr-FR"/>
        </w:rPr>
        <w:t>’</w:t>
      </w:r>
      <w:r w:rsidRPr="00965BAF">
        <w:rPr>
          <w:spacing w:val="-2"/>
          <w:lang w:val="fr-FR"/>
        </w:rPr>
        <w:t>égalité devant la loi. Indiquer aussi quelles mesures il a prises pour renforcer le Conseil pour la promotion de l</w:t>
      </w:r>
      <w:r w:rsidR="00B770C1">
        <w:rPr>
          <w:spacing w:val="-2"/>
          <w:lang w:val="fr-FR"/>
        </w:rPr>
        <w:t>’</w:t>
      </w:r>
      <w:r w:rsidRPr="00965BAF">
        <w:rPr>
          <w:spacing w:val="-2"/>
          <w:lang w:val="fr-FR"/>
        </w:rPr>
        <w:t>égalité de traitement et de la non-discrimination fondée sur la race ou l</w:t>
      </w:r>
      <w:r w:rsidR="00B770C1">
        <w:rPr>
          <w:spacing w:val="-2"/>
          <w:lang w:val="fr-FR"/>
        </w:rPr>
        <w:t>’</w:t>
      </w:r>
      <w:r w:rsidRPr="00965BAF">
        <w:rPr>
          <w:spacing w:val="-2"/>
          <w:lang w:val="fr-FR"/>
        </w:rPr>
        <w:t>origine ethnique, en particulier la réflexion entamée par la Direction générale de l</w:t>
      </w:r>
      <w:r w:rsidR="00B770C1">
        <w:rPr>
          <w:spacing w:val="-2"/>
          <w:lang w:val="fr-FR"/>
        </w:rPr>
        <w:t>’</w:t>
      </w:r>
      <w:r w:rsidRPr="00965BAF">
        <w:rPr>
          <w:spacing w:val="-2"/>
          <w:lang w:val="fr-FR"/>
        </w:rPr>
        <w:t>égalité des chances.</w:t>
      </w:r>
    </w:p>
    <w:p w:rsidR="005B50D9" w:rsidRPr="00E75333" w:rsidRDefault="005B50D9" w:rsidP="005B50D9">
      <w:pPr>
        <w:pStyle w:val="ParNoG"/>
        <w:rPr>
          <w:lang w:val="fr-FR" w:eastAsia="en-GB"/>
        </w:rPr>
      </w:pPr>
      <w:r w:rsidRPr="00E75333">
        <w:rPr>
          <w:lang w:val="fr-FR"/>
        </w:rPr>
        <w:t xml:space="preserve">Indiquer quels progrès ont été faits </w:t>
      </w:r>
      <w:r>
        <w:rPr>
          <w:lang w:val="fr-FR"/>
        </w:rPr>
        <w:t xml:space="preserve">vers </w:t>
      </w:r>
      <w:r w:rsidRPr="00E75333">
        <w:rPr>
          <w:lang w:val="fr-FR"/>
        </w:rPr>
        <w:t>l</w:t>
      </w:r>
      <w:r w:rsidR="00B770C1">
        <w:rPr>
          <w:lang w:val="fr-FR"/>
        </w:rPr>
        <w:t>’</w:t>
      </w:r>
      <w:r w:rsidRPr="00E75333">
        <w:rPr>
          <w:lang w:val="fr-FR"/>
        </w:rPr>
        <w:t>adoption du deuxième plan en faveur des droits de 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homme et à quelle date ce plan devrait être approuvé. </w:t>
      </w:r>
      <w:r>
        <w:rPr>
          <w:lang w:val="fr-FR"/>
        </w:rPr>
        <w:t xml:space="preserve">Décrire </w:t>
      </w:r>
      <w:r w:rsidR="00B770C1">
        <w:rPr>
          <w:lang w:val="fr-FR"/>
        </w:rPr>
        <w:t>les effets de la </w:t>
      </w:r>
      <w:r w:rsidRPr="00E75333">
        <w:rPr>
          <w:lang w:val="fr-FR"/>
        </w:rPr>
        <w:t>Stratégie intégrale contre le racisme, la discrimination raciale, la xénophobie et 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intolérance qui y est associée, adoptée en 2011, </w:t>
      </w:r>
      <w:r>
        <w:rPr>
          <w:lang w:val="fr-FR"/>
        </w:rPr>
        <w:t>et les incidences des</w:t>
      </w:r>
      <w:r w:rsidRPr="00E75333">
        <w:rPr>
          <w:lang w:val="fr-FR"/>
        </w:rPr>
        <w:t xml:space="preserve"> coupes budgétaires sur les politiques de lutte contre le racisme et de promotion de </w:t>
      </w:r>
      <w:r>
        <w:rPr>
          <w:lang w:val="fr-FR"/>
        </w:rPr>
        <w:t>l</w:t>
      </w:r>
      <w:r w:rsidR="00B770C1">
        <w:rPr>
          <w:lang w:val="fr-FR"/>
        </w:rPr>
        <w:t>’</w:t>
      </w:r>
      <w:r>
        <w:rPr>
          <w:lang w:val="fr-FR"/>
        </w:rPr>
        <w:t xml:space="preserve">intégration </w:t>
      </w:r>
      <w:r w:rsidRPr="00E75333">
        <w:rPr>
          <w:lang w:val="fr-FR"/>
        </w:rPr>
        <w:t>sociale</w:t>
      </w:r>
      <w:r>
        <w:rPr>
          <w:lang w:val="fr-FR"/>
        </w:rPr>
        <w:t xml:space="preserve">. </w:t>
      </w:r>
      <w:r w:rsidRPr="00E75333">
        <w:rPr>
          <w:lang w:val="fr-FR" w:eastAsia="en-GB"/>
        </w:rPr>
        <w:t>Donner des informations sur les mesures que l</w:t>
      </w:r>
      <w:r w:rsidR="00B770C1">
        <w:rPr>
          <w:lang w:val="fr-FR" w:eastAsia="en-GB"/>
        </w:rPr>
        <w:t>’</w:t>
      </w:r>
      <w:r w:rsidRPr="00E75333">
        <w:rPr>
          <w:lang w:val="fr-FR" w:eastAsia="en-GB"/>
        </w:rPr>
        <w:t xml:space="preserve">État partie a prises pour </w:t>
      </w:r>
      <w:r>
        <w:rPr>
          <w:lang w:val="fr-FR" w:eastAsia="en-GB"/>
        </w:rPr>
        <w:t xml:space="preserve">mettre </w:t>
      </w:r>
      <w:r w:rsidRPr="00E75333">
        <w:rPr>
          <w:lang w:val="fr-FR" w:eastAsia="en-GB"/>
        </w:rPr>
        <w:t xml:space="preserve">fin à la pratique des contrôles de police fondés sur le profilage ethnique et racial, </w:t>
      </w:r>
      <w:r>
        <w:rPr>
          <w:lang w:val="fr-FR" w:eastAsia="en-GB"/>
        </w:rPr>
        <w:t>notamment l</w:t>
      </w:r>
      <w:r w:rsidR="00B770C1">
        <w:rPr>
          <w:lang w:val="fr-FR" w:eastAsia="en-GB"/>
        </w:rPr>
        <w:t>’</w:t>
      </w:r>
      <w:r w:rsidRPr="00E75333">
        <w:rPr>
          <w:lang w:val="fr-FR" w:eastAsia="en-GB"/>
        </w:rPr>
        <w:t xml:space="preserve">application de la circulaire </w:t>
      </w:r>
      <w:r w:rsidRPr="00992884">
        <w:rPr>
          <w:lang w:val="fr-FR" w:eastAsia="en-GB"/>
        </w:rPr>
        <w:t>n</w:t>
      </w:r>
      <w:r w:rsidRPr="00992884">
        <w:rPr>
          <w:vertAlign w:val="superscript"/>
          <w:lang w:val="fr-FR" w:eastAsia="en-GB"/>
        </w:rPr>
        <w:t>o</w:t>
      </w:r>
      <w:r>
        <w:rPr>
          <w:lang w:val="fr-FR" w:eastAsia="en-GB"/>
        </w:rPr>
        <w:t> </w:t>
      </w:r>
      <w:r w:rsidRPr="00E75333">
        <w:rPr>
          <w:lang w:val="fr-FR" w:eastAsia="en-GB"/>
        </w:rPr>
        <w:t xml:space="preserve">2/2012 de la Direction générale de la police. Décrire aussi les formations dispensées aux policiers et aux agents chargés de faire appliquer la loi et les </w:t>
      </w:r>
      <w:r>
        <w:rPr>
          <w:lang w:val="fr-FR" w:eastAsia="en-GB"/>
        </w:rPr>
        <w:t xml:space="preserve">mesures </w:t>
      </w:r>
      <w:r w:rsidRPr="00E75333">
        <w:rPr>
          <w:lang w:val="fr-FR" w:eastAsia="en-GB"/>
        </w:rPr>
        <w:t xml:space="preserve">de sensibilisation </w:t>
      </w:r>
      <w:r w:rsidRPr="00E75333" w:rsidDel="007E7A8B">
        <w:rPr>
          <w:lang w:val="fr-FR" w:eastAsia="en-GB"/>
        </w:rPr>
        <w:t xml:space="preserve">visant à </w:t>
      </w:r>
      <w:r w:rsidRPr="00E75333">
        <w:rPr>
          <w:lang w:val="fr-FR" w:eastAsia="en-GB"/>
        </w:rPr>
        <w:t xml:space="preserve">informer les personnes de leurs droits, en particulier les groupes qui font habituellement </w:t>
      </w:r>
      <w:r w:rsidRPr="00E75333" w:rsidDel="007E7A8B">
        <w:rPr>
          <w:lang w:val="fr-FR" w:eastAsia="en-GB"/>
        </w:rPr>
        <w:t>l</w:t>
      </w:r>
      <w:r w:rsidR="00B770C1">
        <w:rPr>
          <w:lang w:val="fr-FR" w:eastAsia="en-GB"/>
        </w:rPr>
        <w:t>’</w:t>
      </w:r>
      <w:r w:rsidRPr="00E75333" w:rsidDel="007E7A8B">
        <w:rPr>
          <w:lang w:val="fr-FR" w:eastAsia="en-GB"/>
        </w:rPr>
        <w:t>objet de</w:t>
      </w:r>
      <w:r w:rsidRPr="00E75333">
        <w:rPr>
          <w:lang w:val="fr-FR" w:eastAsia="en-GB"/>
        </w:rPr>
        <w:t xml:space="preserve"> ce profilage</w:t>
      </w:r>
      <w:r>
        <w:rPr>
          <w:lang w:val="fr-FR" w:eastAsia="en-GB"/>
        </w:rPr>
        <w:t>.</w:t>
      </w:r>
    </w:p>
    <w:p w:rsidR="005B50D9" w:rsidRPr="00E75333" w:rsidRDefault="005B50D9" w:rsidP="005B50D9">
      <w:pPr>
        <w:pStyle w:val="ParNoG"/>
        <w:rPr>
          <w:lang w:val="fr-FR"/>
        </w:rPr>
      </w:pPr>
      <w:r w:rsidRPr="00E75333">
        <w:rPr>
          <w:lang w:val="fr-FR"/>
        </w:rPr>
        <w:t>Indiquer quelles mesures</w:t>
      </w:r>
      <w:r w:rsidRPr="00E75333" w:rsidDel="007E7A8B">
        <w:rPr>
          <w:lang w:val="fr-FR"/>
        </w:rPr>
        <w:t xml:space="preserve"> </w:t>
      </w:r>
      <w:r w:rsidRPr="00E75333">
        <w:rPr>
          <w:lang w:val="fr-FR"/>
        </w:rPr>
        <w:t>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État partie a adoptées </w:t>
      </w:r>
      <w:r>
        <w:rPr>
          <w:lang w:val="fr-FR"/>
        </w:rPr>
        <w:t xml:space="preserve">pour </w:t>
      </w:r>
      <w:r w:rsidRPr="00E75333">
        <w:rPr>
          <w:lang w:val="fr-FR"/>
        </w:rPr>
        <w:t>garantir 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égalité des chances </w:t>
      </w:r>
      <w:r>
        <w:rPr>
          <w:lang w:val="fr-FR"/>
        </w:rPr>
        <w:t xml:space="preserve">entre </w:t>
      </w:r>
      <w:r w:rsidRPr="00E75333">
        <w:rPr>
          <w:lang w:val="fr-FR"/>
        </w:rPr>
        <w:t xml:space="preserve">hommes et femmes sur le marché du travail. Indiquer quels </w:t>
      </w:r>
      <w:r>
        <w:rPr>
          <w:lang w:val="fr-FR"/>
        </w:rPr>
        <w:t>effets a eu</w:t>
      </w:r>
      <w:r w:rsidRPr="00E75333">
        <w:rPr>
          <w:lang w:val="fr-FR"/>
        </w:rPr>
        <w:t xml:space="preserve"> 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application de la loi organique </w:t>
      </w:r>
      <w:r w:rsidRPr="00992884">
        <w:rPr>
          <w:lang w:val="fr-FR"/>
        </w:rPr>
        <w:t>n</w:t>
      </w:r>
      <w:r w:rsidRPr="0099288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E75333">
        <w:rPr>
          <w:lang w:val="fr-FR"/>
        </w:rPr>
        <w:t>3/2007</w:t>
      </w:r>
      <w:r>
        <w:rPr>
          <w:lang w:val="fr-FR"/>
        </w:rPr>
        <w:t>,</w:t>
      </w:r>
      <w:r w:rsidRPr="00E75333">
        <w:rPr>
          <w:lang w:val="fr-FR"/>
        </w:rPr>
        <w:t xml:space="preserve"> qui permet </w:t>
      </w:r>
      <w:r>
        <w:rPr>
          <w:lang w:val="fr-FR"/>
        </w:rPr>
        <w:t xml:space="preserve">la mise en œuvre </w:t>
      </w:r>
      <w:r w:rsidRPr="00E75333">
        <w:rPr>
          <w:lang w:val="fr-FR"/>
        </w:rPr>
        <w:t>de mesures d</w:t>
      </w:r>
      <w:r w:rsidR="00B770C1">
        <w:rPr>
          <w:lang w:val="fr-FR"/>
        </w:rPr>
        <w:t>’</w:t>
      </w:r>
      <w:r w:rsidRPr="00E75333">
        <w:rPr>
          <w:lang w:val="fr-FR"/>
        </w:rPr>
        <w:t>action positive</w:t>
      </w:r>
      <w:r>
        <w:rPr>
          <w:lang w:val="fr-FR"/>
        </w:rPr>
        <w:t>,</w:t>
      </w:r>
      <w:r w:rsidRPr="00E75333">
        <w:rPr>
          <w:lang w:val="fr-FR"/>
        </w:rPr>
        <w:t xml:space="preserve"> et </w:t>
      </w:r>
      <w:r w:rsidR="00C31A24">
        <w:rPr>
          <w:lang w:val="fr-FR"/>
        </w:rPr>
        <w:t>du </w:t>
      </w:r>
      <w:r w:rsidRPr="00E75333">
        <w:rPr>
          <w:lang w:val="fr-FR"/>
        </w:rPr>
        <w:t>Plan stratégique pour 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égalité des chances. Donner des informations sur les écarts de </w:t>
      </w:r>
      <w:r>
        <w:rPr>
          <w:lang w:val="fr-FR"/>
        </w:rPr>
        <w:t xml:space="preserve">salaires </w:t>
      </w:r>
      <w:r w:rsidRPr="00E75333">
        <w:rPr>
          <w:lang w:val="fr-FR"/>
        </w:rPr>
        <w:t xml:space="preserve">entre hommes et femmes et sur la ségrégation professionnelle qui </w:t>
      </w:r>
      <w:r>
        <w:rPr>
          <w:lang w:val="fr-FR"/>
        </w:rPr>
        <w:t>se traduit par une concentration d</w:t>
      </w:r>
      <w:r w:rsidRPr="00E75333">
        <w:rPr>
          <w:lang w:val="fr-FR"/>
        </w:rPr>
        <w:t xml:space="preserve">es femmes dans </w:t>
      </w:r>
      <w:r>
        <w:rPr>
          <w:lang w:val="fr-FR"/>
        </w:rPr>
        <w:t>l</w:t>
      </w:r>
      <w:r w:rsidRPr="00E75333">
        <w:rPr>
          <w:lang w:val="fr-FR"/>
        </w:rPr>
        <w:t>es emplois peu rémunérés</w:t>
      </w:r>
      <w:r>
        <w:rPr>
          <w:lang w:val="fr-FR"/>
        </w:rPr>
        <w:t>, tant dans le secteur</w:t>
      </w:r>
      <w:r w:rsidRPr="00E75333">
        <w:rPr>
          <w:lang w:val="fr-FR"/>
        </w:rPr>
        <w:t xml:space="preserve"> public </w:t>
      </w:r>
      <w:r>
        <w:rPr>
          <w:lang w:val="fr-FR"/>
        </w:rPr>
        <w:t xml:space="preserve">que dans le secteur </w:t>
      </w:r>
      <w:r w:rsidR="00C31A24">
        <w:rPr>
          <w:lang w:val="fr-FR"/>
        </w:rPr>
        <w:t>privé.</w:t>
      </w:r>
    </w:p>
    <w:p w:rsidR="005B50D9" w:rsidRPr="00E75333" w:rsidRDefault="005B50D9" w:rsidP="00D73FC2">
      <w:pPr>
        <w:pStyle w:val="H1G"/>
        <w:rPr>
          <w:lang w:val="fr-FR"/>
        </w:rPr>
      </w:pPr>
      <w:r w:rsidRPr="00E75333">
        <w:rPr>
          <w:lang w:val="fr-FR"/>
        </w:rPr>
        <w:tab/>
      </w:r>
      <w:r w:rsidRPr="00E75333">
        <w:rPr>
          <w:lang w:val="fr-FR"/>
        </w:rPr>
        <w:tab/>
        <w:t>Droit à la vie, interdiction de la torture et des traitement</w:t>
      </w:r>
      <w:r>
        <w:rPr>
          <w:lang w:val="fr-FR"/>
        </w:rPr>
        <w:t>s cruels, inhumains</w:t>
      </w:r>
      <w:r w:rsidR="00D73FC2">
        <w:rPr>
          <w:lang w:val="fr-FR"/>
        </w:rPr>
        <w:t xml:space="preserve"> </w:t>
      </w:r>
      <w:r>
        <w:rPr>
          <w:lang w:val="fr-FR"/>
        </w:rPr>
        <w:t>ou dégradants et</w:t>
      </w:r>
      <w:r w:rsidRPr="00E75333">
        <w:rPr>
          <w:lang w:val="fr-FR"/>
        </w:rPr>
        <w:t xml:space="preserve"> lutte contre l</w:t>
      </w:r>
      <w:r w:rsidR="00B770C1">
        <w:rPr>
          <w:lang w:val="fr-FR"/>
        </w:rPr>
        <w:t>’</w:t>
      </w:r>
      <w:r w:rsidRPr="00E75333">
        <w:rPr>
          <w:lang w:val="fr-FR"/>
        </w:rPr>
        <w:t>impunité (art</w:t>
      </w:r>
      <w:r>
        <w:rPr>
          <w:lang w:val="fr-FR"/>
        </w:rPr>
        <w:t>. </w:t>
      </w:r>
      <w:r w:rsidRPr="00E75333">
        <w:rPr>
          <w:lang w:val="fr-FR"/>
        </w:rPr>
        <w:t>2, 6 et 7)</w:t>
      </w:r>
    </w:p>
    <w:p w:rsidR="005B50D9" w:rsidRPr="00E75333" w:rsidRDefault="005B50D9" w:rsidP="002053FF">
      <w:pPr>
        <w:pStyle w:val="ParNoG"/>
        <w:spacing w:after="100"/>
        <w:rPr>
          <w:lang w:val="fr-FR"/>
        </w:rPr>
      </w:pPr>
      <w:r w:rsidRPr="007E7A8B">
        <w:rPr>
          <w:lang w:val="fr-FR"/>
        </w:rPr>
        <w:t>Indiquer comment est garanti l</w:t>
      </w:r>
      <w:r w:rsidR="00B770C1">
        <w:rPr>
          <w:lang w:val="fr-FR"/>
        </w:rPr>
        <w:t>’</w:t>
      </w:r>
      <w:r w:rsidRPr="007E7A8B">
        <w:rPr>
          <w:lang w:val="fr-FR"/>
        </w:rPr>
        <w:t>accès à l</w:t>
      </w:r>
      <w:r w:rsidR="00B770C1">
        <w:rPr>
          <w:lang w:val="fr-FR"/>
        </w:rPr>
        <w:t>’</w:t>
      </w:r>
      <w:r w:rsidRPr="007E7A8B">
        <w:rPr>
          <w:lang w:val="fr-FR"/>
        </w:rPr>
        <w:t>avortement et quelles mesures l</w:t>
      </w:r>
      <w:r w:rsidR="00B770C1">
        <w:rPr>
          <w:lang w:val="fr-FR"/>
        </w:rPr>
        <w:t>’</w:t>
      </w:r>
      <w:r w:rsidRPr="007E7A8B">
        <w:rPr>
          <w:lang w:val="fr-FR"/>
        </w:rPr>
        <w:t>État partie a prises pour informer dûment les femmes des méthodes de contraception et prévenir les grossesses non désirées, ainsi que pour promouvoir l</w:t>
      </w:r>
      <w:r w:rsidR="00B770C1">
        <w:rPr>
          <w:lang w:val="fr-FR"/>
        </w:rPr>
        <w:t>’</w:t>
      </w:r>
      <w:r w:rsidRPr="007E7A8B">
        <w:rPr>
          <w:lang w:val="fr-FR"/>
        </w:rPr>
        <w:t>éducation des adolescentes en matière de santé sexuelle et procréative.</w:t>
      </w:r>
    </w:p>
    <w:p w:rsidR="005B50D9" w:rsidRPr="00E75333" w:rsidRDefault="00C31A24" w:rsidP="002053FF">
      <w:pPr>
        <w:pStyle w:val="ParNoG"/>
        <w:spacing w:after="100"/>
        <w:rPr>
          <w:lang w:val="fr-FR"/>
        </w:rPr>
      </w:pPr>
      <w:r>
        <w:rPr>
          <w:lang w:val="fr-FR"/>
        </w:rPr>
        <w:t>D</w:t>
      </w:r>
      <w:r w:rsidR="005B50D9" w:rsidRPr="00E75333">
        <w:rPr>
          <w:lang w:val="fr-FR"/>
        </w:rPr>
        <w:t>écrire les mesures que l</w:t>
      </w:r>
      <w:r w:rsidR="00B770C1">
        <w:rPr>
          <w:lang w:val="fr-FR"/>
        </w:rPr>
        <w:t>’</w:t>
      </w:r>
      <w:r w:rsidR="005B50D9" w:rsidRPr="00E75333">
        <w:rPr>
          <w:lang w:val="fr-FR"/>
        </w:rPr>
        <w:t>État partie a prises pour</w:t>
      </w:r>
      <w:r w:rsidR="005B50D9">
        <w:rPr>
          <w:lang w:val="fr-FR"/>
        </w:rPr>
        <w:t xml:space="preserve"> prévenir les </w:t>
      </w:r>
      <w:r w:rsidR="005B50D9" w:rsidRPr="00E75333">
        <w:rPr>
          <w:lang w:val="fr-FR"/>
        </w:rPr>
        <w:t>viole</w:t>
      </w:r>
      <w:r w:rsidR="005B50D9">
        <w:rPr>
          <w:lang w:val="fr-FR"/>
        </w:rPr>
        <w:t>nces</w:t>
      </w:r>
      <w:r w:rsidR="005B50D9" w:rsidRPr="00E75333">
        <w:rPr>
          <w:lang w:val="fr-FR"/>
        </w:rPr>
        <w:t xml:space="preserve"> et les atteintes aux</w:t>
      </w:r>
      <w:r w:rsidR="005B50D9">
        <w:rPr>
          <w:lang w:val="fr-FR"/>
        </w:rPr>
        <w:t xml:space="preserve"> droits de l</w:t>
      </w:r>
      <w:r w:rsidR="00B770C1">
        <w:rPr>
          <w:lang w:val="fr-FR"/>
        </w:rPr>
        <w:t>’</w:t>
      </w:r>
      <w:r w:rsidR="005B50D9">
        <w:rPr>
          <w:lang w:val="fr-FR"/>
        </w:rPr>
        <w:t>homme, y </w:t>
      </w:r>
      <w:r w:rsidR="005B50D9" w:rsidRPr="00E75333">
        <w:rPr>
          <w:lang w:val="fr-FR"/>
        </w:rPr>
        <w:t xml:space="preserve">compris les actes de torture, commises par des policiers, </w:t>
      </w:r>
      <w:r w:rsidR="005B50D9">
        <w:rPr>
          <w:lang w:val="fr-FR"/>
        </w:rPr>
        <w:t xml:space="preserve">enquêter sur ces faits et </w:t>
      </w:r>
      <w:r w:rsidR="005B50D9" w:rsidRPr="00E75333">
        <w:rPr>
          <w:lang w:val="fr-FR"/>
        </w:rPr>
        <w:t>punir les auteurs, et donner des renseignements sur les réparations offertes aux victimes de violence</w:t>
      </w:r>
      <w:r w:rsidR="005B50D9">
        <w:rPr>
          <w:lang w:val="fr-FR"/>
        </w:rPr>
        <w:t>s</w:t>
      </w:r>
      <w:r w:rsidR="005B50D9" w:rsidRPr="00E75333">
        <w:rPr>
          <w:lang w:val="fr-FR"/>
        </w:rPr>
        <w:t xml:space="preserve"> commises par des agents de l</w:t>
      </w:r>
      <w:r w:rsidR="00B770C1">
        <w:rPr>
          <w:lang w:val="fr-FR"/>
        </w:rPr>
        <w:t>’</w:t>
      </w:r>
      <w:r w:rsidR="005B50D9" w:rsidRPr="00E75333">
        <w:rPr>
          <w:lang w:val="fr-FR"/>
        </w:rPr>
        <w:t xml:space="preserve">État. Donner des informations sur les grâces accordées à des policiers condamnés pour </w:t>
      </w:r>
      <w:r w:rsidR="005B50D9">
        <w:rPr>
          <w:lang w:val="fr-FR"/>
        </w:rPr>
        <w:t xml:space="preserve">des faits </w:t>
      </w:r>
      <w:r w:rsidR="005B50D9" w:rsidRPr="00E75333">
        <w:rPr>
          <w:lang w:val="fr-FR"/>
        </w:rPr>
        <w:t>de torture. Indiquer si l</w:t>
      </w:r>
      <w:r w:rsidR="00B770C1">
        <w:rPr>
          <w:lang w:val="fr-FR"/>
        </w:rPr>
        <w:t>’</w:t>
      </w:r>
      <w:r w:rsidR="005B50D9" w:rsidRPr="00E75333">
        <w:rPr>
          <w:lang w:val="fr-FR"/>
        </w:rPr>
        <w:t xml:space="preserve">État partie </w:t>
      </w:r>
      <w:r w:rsidR="005B50D9">
        <w:rPr>
          <w:lang w:val="fr-FR"/>
        </w:rPr>
        <w:t>a l</w:t>
      </w:r>
      <w:r w:rsidR="00B770C1">
        <w:rPr>
          <w:lang w:val="fr-FR"/>
        </w:rPr>
        <w:t>’</w:t>
      </w:r>
      <w:r w:rsidR="005B50D9">
        <w:rPr>
          <w:lang w:val="fr-FR"/>
        </w:rPr>
        <w:t xml:space="preserve">intention de créer </w:t>
      </w:r>
      <w:r w:rsidR="005B50D9" w:rsidRPr="00E75333">
        <w:rPr>
          <w:lang w:val="fr-FR"/>
        </w:rPr>
        <w:t>un organisme indépendant chargé de la surveillance de</w:t>
      </w:r>
      <w:r w:rsidR="005B50D9" w:rsidRPr="00E75333" w:rsidDel="007E7A8B">
        <w:rPr>
          <w:lang w:val="fr-FR"/>
        </w:rPr>
        <w:t>s</w:t>
      </w:r>
      <w:r>
        <w:rPr>
          <w:lang w:val="fr-FR"/>
        </w:rPr>
        <w:t xml:space="preserve"> services de police.</w:t>
      </w:r>
    </w:p>
    <w:p w:rsidR="005B50D9" w:rsidRPr="00E75333" w:rsidRDefault="005B50D9" w:rsidP="002053FF">
      <w:pPr>
        <w:pStyle w:val="ParNoG"/>
        <w:spacing w:after="100"/>
        <w:rPr>
          <w:lang w:val="fr-FR"/>
        </w:rPr>
      </w:pPr>
      <w:r w:rsidRPr="00E75333">
        <w:rPr>
          <w:lang w:val="fr-FR"/>
        </w:rPr>
        <w:t>Commenter les informations faisant état de cas de mauvais traitements dans les centres de rétention des étrangers et de recours excessif à la force par les autorités de 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immigration; donner en particulier des renseignements sur </w:t>
      </w:r>
      <w:r>
        <w:rPr>
          <w:lang w:val="fr-FR"/>
        </w:rPr>
        <w:t>l</w:t>
      </w:r>
      <w:r w:rsidR="00B770C1">
        <w:rPr>
          <w:lang w:val="fr-FR"/>
        </w:rPr>
        <w:t>’</w:t>
      </w:r>
      <w:r>
        <w:rPr>
          <w:lang w:val="fr-FR"/>
        </w:rPr>
        <w:t>état d</w:t>
      </w:r>
      <w:r w:rsidR="00B770C1">
        <w:rPr>
          <w:lang w:val="fr-FR"/>
        </w:rPr>
        <w:t>’</w:t>
      </w:r>
      <w:r>
        <w:rPr>
          <w:lang w:val="fr-FR"/>
        </w:rPr>
        <w:t>avancement de l</w:t>
      </w:r>
      <w:r w:rsidR="00B770C1">
        <w:rPr>
          <w:lang w:val="fr-FR"/>
        </w:rPr>
        <w:t>’</w:t>
      </w:r>
      <w:r>
        <w:rPr>
          <w:lang w:val="fr-FR"/>
        </w:rPr>
        <w:t>enquête menée dans l</w:t>
      </w:r>
      <w:r w:rsidR="00B770C1">
        <w:rPr>
          <w:lang w:val="fr-FR"/>
        </w:rPr>
        <w:t>’</w:t>
      </w:r>
      <w:r>
        <w:rPr>
          <w:lang w:val="fr-FR"/>
        </w:rPr>
        <w:t xml:space="preserve">affaire </w:t>
      </w:r>
      <w:r w:rsidRPr="00E75333">
        <w:rPr>
          <w:lang w:val="fr-FR"/>
        </w:rPr>
        <w:t>de</w:t>
      </w:r>
      <w:r>
        <w:rPr>
          <w:lang w:val="fr-FR"/>
        </w:rPr>
        <w:t>s 15 immigrants qui ont trouvé la mort le 6 </w:t>
      </w:r>
      <w:r w:rsidRPr="00E75333">
        <w:rPr>
          <w:lang w:val="fr-FR"/>
        </w:rPr>
        <w:t xml:space="preserve">février 2014 sur la plage de Tarajal, à Ceuta. Commenter </w:t>
      </w:r>
      <w:r>
        <w:rPr>
          <w:lang w:val="fr-FR"/>
        </w:rPr>
        <w:t xml:space="preserve">également </w:t>
      </w:r>
      <w:r w:rsidRPr="00E75333">
        <w:rPr>
          <w:lang w:val="fr-FR"/>
        </w:rPr>
        <w:t>la pratique qui consiste, dans les centres de rétention des étrangers, à appeler les personnes par leur numéro d</w:t>
      </w:r>
      <w:r w:rsidR="00B770C1">
        <w:rPr>
          <w:lang w:val="fr-FR"/>
        </w:rPr>
        <w:t>’</w:t>
      </w:r>
      <w:r w:rsidRPr="00E75333">
        <w:rPr>
          <w:lang w:val="fr-FR"/>
        </w:rPr>
        <w:t>immatriculation et non par leur nom</w:t>
      </w:r>
      <w:r>
        <w:rPr>
          <w:lang w:val="fr-FR"/>
        </w:rPr>
        <w:t>.</w:t>
      </w:r>
    </w:p>
    <w:p w:rsidR="005B50D9" w:rsidRPr="00E75333" w:rsidRDefault="005B50D9" w:rsidP="002053FF">
      <w:pPr>
        <w:pStyle w:val="ParNoG"/>
        <w:spacing w:after="100"/>
        <w:rPr>
          <w:lang w:val="fr-FR"/>
        </w:rPr>
      </w:pPr>
      <w:r w:rsidRPr="00E75333">
        <w:rPr>
          <w:lang w:val="fr-FR"/>
        </w:rPr>
        <w:t>Donner des renseignements sur la loi relative aux services de sécurité</w:t>
      </w:r>
      <w:r>
        <w:rPr>
          <w:lang w:val="fr-FR"/>
        </w:rPr>
        <w:t xml:space="preserve"> privés, entrée en vigueur le 4 </w:t>
      </w:r>
      <w:r w:rsidRPr="00E75333">
        <w:rPr>
          <w:lang w:val="fr-FR"/>
        </w:rPr>
        <w:t>juin 2014, et commenter sa compatibilité avec les dispositions du Pacte</w:t>
      </w:r>
      <w:r>
        <w:rPr>
          <w:lang w:val="fr-FR"/>
        </w:rPr>
        <w:t>. Commenter aussi les informations indiquant que cette loi induit un risque accru d</w:t>
      </w:r>
      <w:r w:rsidR="00B770C1">
        <w:rPr>
          <w:lang w:val="fr-FR"/>
        </w:rPr>
        <w:t>’</w:t>
      </w:r>
      <w:r>
        <w:rPr>
          <w:lang w:val="fr-FR"/>
        </w:rPr>
        <w:t>atteintes aux droits de l</w:t>
      </w:r>
      <w:r w:rsidR="00B770C1">
        <w:rPr>
          <w:lang w:val="fr-FR"/>
        </w:rPr>
        <w:t>’</w:t>
      </w:r>
      <w:r>
        <w:rPr>
          <w:lang w:val="fr-FR"/>
        </w:rPr>
        <w:t>homme.</w:t>
      </w:r>
    </w:p>
    <w:p w:rsidR="005B50D9" w:rsidRPr="00E75333" w:rsidRDefault="005B50D9" w:rsidP="002053FF">
      <w:pPr>
        <w:pStyle w:val="ParNoG"/>
        <w:spacing w:after="100"/>
        <w:rPr>
          <w:lang w:val="fr-FR"/>
        </w:rPr>
      </w:pPr>
      <w:r w:rsidRPr="00E75333">
        <w:rPr>
          <w:lang w:val="fr-FR"/>
        </w:rPr>
        <w:t>Donner des informations sur la pratique de la stérilisation forcée de personnes handicapées.</w:t>
      </w:r>
    </w:p>
    <w:p w:rsidR="005B50D9" w:rsidRPr="00E75333" w:rsidRDefault="005B50D9" w:rsidP="002053FF">
      <w:pPr>
        <w:pStyle w:val="ParNoG"/>
        <w:spacing w:after="100"/>
        <w:rPr>
          <w:lang w:val="fr-FR"/>
        </w:rPr>
      </w:pPr>
      <w:r w:rsidRPr="00E75333">
        <w:rPr>
          <w:lang w:val="fr-FR"/>
        </w:rPr>
        <w:t>À la lumière de la précédente recommandation d</w:t>
      </w:r>
      <w:r>
        <w:rPr>
          <w:lang w:val="fr-FR"/>
        </w:rPr>
        <w:t>u Comité (CCPR/C/ESP/CO/5, par. </w:t>
      </w:r>
      <w:r w:rsidRPr="00E75333">
        <w:rPr>
          <w:lang w:val="fr-FR"/>
        </w:rPr>
        <w:t>9), donner des renseignements sur les mesures que 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État partie a adoptées pour lever les obstacles </w:t>
      </w:r>
      <w:r>
        <w:rPr>
          <w:lang w:val="fr-FR"/>
        </w:rPr>
        <w:t>existant dans</w:t>
      </w:r>
      <w:r w:rsidRPr="00E75333">
        <w:rPr>
          <w:lang w:val="fr-FR"/>
        </w:rPr>
        <w:t xml:space="preserve"> 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ordre juridique interne </w:t>
      </w:r>
      <w:r w:rsidRPr="00E75333" w:rsidDel="007E7A8B">
        <w:rPr>
          <w:lang w:val="fr-FR"/>
        </w:rPr>
        <w:t>afin</w:t>
      </w:r>
      <w:r w:rsidRPr="00E75333">
        <w:rPr>
          <w:lang w:val="fr-FR"/>
        </w:rPr>
        <w:t xml:space="preserve"> que les violations des droits de l</w:t>
      </w:r>
      <w:r w:rsidR="00B770C1">
        <w:rPr>
          <w:lang w:val="fr-FR"/>
        </w:rPr>
        <w:t>’</w:t>
      </w:r>
      <w:r w:rsidRPr="00E75333">
        <w:rPr>
          <w:lang w:val="fr-FR"/>
        </w:rPr>
        <w:t>homme commises dans le passé, en particulier les infractions de torture, de disparition forcée et d</w:t>
      </w:r>
      <w:r w:rsidR="00B770C1">
        <w:rPr>
          <w:lang w:val="fr-FR"/>
        </w:rPr>
        <w:t>’</w:t>
      </w:r>
      <w:r w:rsidRPr="00E75333">
        <w:rPr>
          <w:lang w:val="fr-FR"/>
        </w:rPr>
        <w:t>exécution sommaire, fassent l</w:t>
      </w:r>
      <w:r w:rsidR="00B770C1">
        <w:rPr>
          <w:lang w:val="fr-FR"/>
        </w:rPr>
        <w:t>’</w:t>
      </w:r>
      <w:r w:rsidRPr="00E75333">
        <w:rPr>
          <w:lang w:val="fr-FR"/>
        </w:rPr>
        <w:t>objet d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enquêtes et que les </w:t>
      </w:r>
      <w:r>
        <w:rPr>
          <w:lang w:val="fr-FR"/>
        </w:rPr>
        <w:t>responsables</w:t>
      </w:r>
      <w:r w:rsidRPr="00E75333">
        <w:rPr>
          <w:lang w:val="fr-FR"/>
        </w:rPr>
        <w:t xml:space="preserve"> soient poursuivis et punis. À cet égard, indiquer s</w:t>
      </w:r>
      <w:r w:rsidR="00B770C1">
        <w:rPr>
          <w:lang w:val="fr-FR"/>
        </w:rPr>
        <w:t>’</w:t>
      </w:r>
      <w:r w:rsidRPr="00E75333">
        <w:rPr>
          <w:lang w:val="fr-FR"/>
        </w:rPr>
        <w:t>il est prévu de revenir sur l</w:t>
      </w:r>
      <w:r w:rsidR="00B770C1">
        <w:rPr>
          <w:lang w:val="fr-FR"/>
        </w:rPr>
        <w:t>’</w:t>
      </w:r>
      <w:r w:rsidRPr="00E75333">
        <w:rPr>
          <w:lang w:val="fr-FR"/>
        </w:rPr>
        <w:t>application de la loi d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amnistie de 1977 et de garantir la reconnaissance </w:t>
      </w:r>
      <w:r>
        <w:rPr>
          <w:lang w:val="fr-FR"/>
        </w:rPr>
        <w:t>par les juridictions nationales</w:t>
      </w:r>
      <w:r w:rsidRPr="00E75333">
        <w:rPr>
          <w:lang w:val="fr-FR"/>
        </w:rPr>
        <w:t xml:space="preserve"> de l</w:t>
      </w:r>
      <w:r w:rsidR="00B770C1">
        <w:rPr>
          <w:lang w:val="fr-FR"/>
        </w:rPr>
        <w:t>’</w:t>
      </w:r>
      <w:r w:rsidRPr="00E75333">
        <w:rPr>
          <w:lang w:val="fr-FR"/>
        </w:rPr>
        <w:t>imprescriptibilité des crimes contre 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humanité. Indiquer </w:t>
      </w:r>
      <w:r>
        <w:rPr>
          <w:lang w:val="fr-FR"/>
        </w:rPr>
        <w:t xml:space="preserve">également </w:t>
      </w:r>
      <w:r w:rsidRPr="00E75333">
        <w:rPr>
          <w:lang w:val="fr-FR"/>
        </w:rPr>
        <w:t>s</w:t>
      </w:r>
      <w:r w:rsidR="00B770C1">
        <w:rPr>
          <w:lang w:val="fr-FR"/>
        </w:rPr>
        <w:t>’</w:t>
      </w:r>
      <w:r w:rsidRPr="00E75333">
        <w:rPr>
          <w:lang w:val="fr-FR"/>
        </w:rPr>
        <w:t>il est prévu de créer une commission d</w:t>
      </w:r>
      <w:r w:rsidR="00B770C1">
        <w:rPr>
          <w:lang w:val="fr-FR"/>
        </w:rPr>
        <w:t>’</w:t>
      </w:r>
      <w:r w:rsidRPr="00E75333">
        <w:rPr>
          <w:lang w:val="fr-FR"/>
        </w:rPr>
        <w:t>experts indépendants chargée de rétablir la vérité historique sur les violations des droits de l</w:t>
      </w:r>
      <w:r w:rsidR="00B770C1">
        <w:rPr>
          <w:lang w:val="fr-FR"/>
        </w:rPr>
        <w:t>’</w:t>
      </w:r>
      <w:r w:rsidRPr="00E75333">
        <w:rPr>
          <w:lang w:val="fr-FR"/>
        </w:rPr>
        <w:t>homme commises pendant la</w:t>
      </w:r>
      <w:r w:rsidR="00AC777F">
        <w:rPr>
          <w:lang w:val="fr-FR"/>
        </w:rPr>
        <w:t xml:space="preserve"> guerre civile et la dictature.</w:t>
      </w:r>
    </w:p>
    <w:p w:rsidR="005B50D9" w:rsidRPr="00E75333" w:rsidRDefault="005B50D9" w:rsidP="005B50D9">
      <w:pPr>
        <w:pStyle w:val="ParNoG"/>
        <w:rPr>
          <w:lang w:val="fr-FR"/>
        </w:rPr>
      </w:pPr>
      <w:r w:rsidRPr="00E75333">
        <w:rPr>
          <w:lang w:val="fr-FR"/>
        </w:rPr>
        <w:t xml:space="preserve">Compte tenu des observations finales du Comité (CCPR/C/ESP/CO/5, par. 12), décrire les progrès réalisés dans la lutte contre les </w:t>
      </w:r>
      <w:r w:rsidR="001B5709">
        <w:rPr>
          <w:lang w:val="fr-FR"/>
        </w:rPr>
        <w:t>violences faites aux femmes, en </w:t>
      </w:r>
      <w:r w:rsidRPr="00E75333">
        <w:rPr>
          <w:lang w:val="fr-FR"/>
        </w:rPr>
        <w:t xml:space="preserve">particulier la violence intrafamiliale. </w:t>
      </w:r>
      <w:r w:rsidRPr="00E75333" w:rsidDel="007E7A8B">
        <w:rPr>
          <w:lang w:val="fr-FR"/>
        </w:rPr>
        <w:t>Indiquer</w:t>
      </w:r>
      <w:r w:rsidRPr="00E75333">
        <w:rPr>
          <w:lang w:val="fr-FR"/>
        </w:rPr>
        <w:t xml:space="preserve"> aussi, pour les cinq dernières années: a) le nombre de plaintes </w:t>
      </w:r>
      <w:r>
        <w:rPr>
          <w:lang w:val="fr-FR"/>
        </w:rPr>
        <w:t>reçues</w:t>
      </w:r>
      <w:r w:rsidRPr="00E75333">
        <w:rPr>
          <w:lang w:val="fr-FR"/>
        </w:rPr>
        <w:t xml:space="preserve"> pour </w:t>
      </w:r>
      <w:r>
        <w:rPr>
          <w:lang w:val="fr-FR"/>
        </w:rPr>
        <w:t xml:space="preserve">des </w:t>
      </w:r>
      <w:r w:rsidRPr="00E75333">
        <w:rPr>
          <w:lang w:val="fr-FR"/>
        </w:rPr>
        <w:t>faits de violence à l</w:t>
      </w:r>
      <w:r w:rsidR="00B770C1">
        <w:rPr>
          <w:lang w:val="fr-FR"/>
        </w:rPr>
        <w:t>’</w:t>
      </w:r>
      <w:r w:rsidRPr="00E75333">
        <w:rPr>
          <w:lang w:val="fr-FR"/>
        </w:rPr>
        <w:t>égard des femmes; b) quelles enquêtes ont été menées; c) quels types de peines ont été prononcés; d) quelles indemnisations ont été accordées aux victimes; e) quel type d</w:t>
      </w:r>
      <w:r w:rsidR="00B770C1">
        <w:rPr>
          <w:lang w:val="fr-FR"/>
        </w:rPr>
        <w:t>’</w:t>
      </w:r>
      <w:r w:rsidRPr="00E75333">
        <w:rPr>
          <w:lang w:val="fr-FR"/>
        </w:rPr>
        <w:t>assistance globale a été offert aux victimes dans toutes les juridictions de l</w:t>
      </w:r>
      <w:r w:rsidR="00B770C1">
        <w:rPr>
          <w:lang w:val="fr-FR"/>
        </w:rPr>
        <w:t>’</w:t>
      </w:r>
      <w:r w:rsidRPr="00E75333">
        <w:rPr>
          <w:lang w:val="fr-FR"/>
        </w:rPr>
        <w:t>État partie; f) le nombre de foyers d</w:t>
      </w:r>
      <w:r w:rsidR="00B770C1">
        <w:rPr>
          <w:lang w:val="fr-FR"/>
        </w:rPr>
        <w:t>’</w:t>
      </w:r>
      <w:r w:rsidRPr="00E75333">
        <w:rPr>
          <w:lang w:val="fr-FR"/>
        </w:rPr>
        <w:t>accueil pour les victimes de violences. Donner en outre des informations sur le</w:t>
      </w:r>
      <w:r>
        <w:rPr>
          <w:lang w:val="fr-FR"/>
        </w:rPr>
        <w:t>s résultats du</w:t>
      </w:r>
      <w:r w:rsidRPr="00E75333">
        <w:rPr>
          <w:lang w:val="fr-FR"/>
        </w:rPr>
        <w:t xml:space="preserve"> Plan national de sensibilisation à la violence sexiste et de prévention de cette violence ainsi que sur l</w:t>
      </w:r>
      <w:r w:rsidR="00B770C1">
        <w:rPr>
          <w:lang w:val="fr-FR"/>
        </w:rPr>
        <w:t>’</w:t>
      </w:r>
      <w:r w:rsidRPr="00E75333">
        <w:rPr>
          <w:lang w:val="fr-FR"/>
        </w:rPr>
        <w:t>initiative visant à créer</w:t>
      </w:r>
      <w:r w:rsidDel="007E7A8B">
        <w:rPr>
          <w:lang w:val="fr-FR"/>
        </w:rPr>
        <w:t xml:space="preserve"> </w:t>
      </w:r>
      <w:r w:rsidRPr="00E75333">
        <w:rPr>
          <w:lang w:val="fr-FR"/>
        </w:rPr>
        <w:t xml:space="preserve">un </w:t>
      </w:r>
      <w:r w:rsidRPr="007E7A8B">
        <w:rPr>
          <w:lang w:val="fr-FR"/>
        </w:rPr>
        <w:t>cadre juridique régissant l</w:t>
      </w:r>
      <w:r w:rsidR="00B770C1">
        <w:rPr>
          <w:lang w:val="fr-FR"/>
        </w:rPr>
        <w:t>’</w:t>
      </w:r>
      <w:r w:rsidRPr="007E7A8B" w:rsidDel="007E7A8B">
        <w:rPr>
          <w:lang w:val="fr-FR"/>
        </w:rPr>
        <w:t xml:space="preserve">ensemble </w:t>
      </w:r>
      <w:r w:rsidRPr="007E7A8B">
        <w:rPr>
          <w:lang w:val="fr-FR"/>
        </w:rPr>
        <w:t>de</w:t>
      </w:r>
      <w:r w:rsidRPr="007E7A8B" w:rsidDel="007E7A8B">
        <w:rPr>
          <w:lang w:val="fr-FR"/>
        </w:rPr>
        <w:t>s</w:t>
      </w:r>
      <w:r w:rsidRPr="007E7A8B">
        <w:rPr>
          <w:lang w:val="fr-FR"/>
        </w:rPr>
        <w:t xml:space="preserve"> mesures et procédures spécifiques en vue</w:t>
      </w:r>
      <w:r w:rsidRPr="00E75333">
        <w:rPr>
          <w:lang w:val="fr-FR"/>
        </w:rPr>
        <w:t xml:space="preserve"> d</w:t>
      </w:r>
      <w:r w:rsidR="00B770C1">
        <w:rPr>
          <w:lang w:val="fr-FR"/>
        </w:rPr>
        <w:t>’</w:t>
      </w:r>
      <w:r w:rsidRPr="00E75333">
        <w:rPr>
          <w:lang w:val="fr-FR"/>
        </w:rPr>
        <w:t>éliminer la violence sexiste</w:t>
      </w:r>
      <w:r>
        <w:rPr>
          <w:lang w:val="fr-FR"/>
        </w:rPr>
        <w:t xml:space="preserve"> (CCPR/C/ESP/6, par. </w:t>
      </w:r>
      <w:r w:rsidR="001B5709">
        <w:rPr>
          <w:lang w:val="fr-FR"/>
        </w:rPr>
        <w:t>47).</w:t>
      </w:r>
    </w:p>
    <w:p w:rsidR="005B50D9" w:rsidRPr="00E75333" w:rsidRDefault="005B50D9" w:rsidP="001B5709">
      <w:pPr>
        <w:pStyle w:val="H1G"/>
        <w:rPr>
          <w:lang w:val="fr-FR"/>
        </w:rPr>
      </w:pPr>
      <w:r w:rsidRPr="00E75333">
        <w:rPr>
          <w:lang w:val="fr-FR"/>
        </w:rPr>
        <w:tab/>
      </w:r>
      <w:r w:rsidRPr="00E75333">
        <w:rPr>
          <w:lang w:val="fr-FR"/>
        </w:rPr>
        <w:tab/>
        <w:t>Interdiction de la traite des personnes (art. 8)</w:t>
      </w:r>
    </w:p>
    <w:p w:rsidR="005B50D9" w:rsidRPr="00E75333" w:rsidRDefault="005B50D9" w:rsidP="005B50D9">
      <w:pPr>
        <w:pStyle w:val="ParNoG"/>
        <w:rPr>
          <w:lang w:val="fr-FR"/>
        </w:rPr>
      </w:pPr>
      <w:r w:rsidRPr="00E75333">
        <w:rPr>
          <w:lang w:val="fr-FR"/>
        </w:rPr>
        <w:t xml:space="preserve">Décrire les </w:t>
      </w:r>
      <w:r>
        <w:rPr>
          <w:lang w:val="fr-FR"/>
        </w:rPr>
        <w:t>effets produits par l</w:t>
      </w:r>
      <w:r w:rsidRPr="00E75333">
        <w:rPr>
          <w:lang w:val="fr-FR"/>
        </w:rPr>
        <w:t>es mesures que 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État partie a adoptées </w:t>
      </w:r>
      <w:r>
        <w:rPr>
          <w:lang w:val="fr-FR"/>
        </w:rPr>
        <w:t xml:space="preserve">pour </w:t>
      </w:r>
      <w:r w:rsidRPr="00E75333">
        <w:rPr>
          <w:lang w:val="fr-FR"/>
        </w:rPr>
        <w:t xml:space="preserve">prévenir, instruire et réprimer les cas de traite des personnes, notamment le Plan </w:t>
      </w:r>
      <w:r>
        <w:rPr>
          <w:lang w:val="fr-FR"/>
        </w:rPr>
        <w:t xml:space="preserve">global </w:t>
      </w:r>
      <w:r w:rsidRPr="00E75333">
        <w:rPr>
          <w:lang w:val="fr-FR"/>
        </w:rPr>
        <w:t>de lutte contre la traite des êtres humains à des fins d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exploitation sexuelle et </w:t>
      </w:r>
      <w:r>
        <w:rPr>
          <w:lang w:val="fr-FR"/>
        </w:rPr>
        <w:t>l</w:t>
      </w:r>
      <w:r w:rsidRPr="00E75333">
        <w:rPr>
          <w:lang w:val="fr-FR"/>
        </w:rPr>
        <w:t xml:space="preserve">es réformes des lois organiques </w:t>
      </w:r>
      <w:r w:rsidRPr="006A3D76">
        <w:rPr>
          <w:lang w:val="fr-FR"/>
        </w:rPr>
        <w:t>n</w:t>
      </w:r>
      <w:r w:rsidRPr="006A3D76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s</w:t>
      </w:r>
      <w:r>
        <w:rPr>
          <w:lang w:val="fr-FR"/>
        </w:rPr>
        <w:t> </w:t>
      </w:r>
      <w:r w:rsidRPr="00E75333">
        <w:rPr>
          <w:lang w:val="fr-FR"/>
        </w:rPr>
        <w:t>2/2009, 5/2010</w:t>
      </w:r>
      <w:r>
        <w:rPr>
          <w:lang w:val="fr-FR"/>
        </w:rPr>
        <w:t xml:space="preserve"> et 10/2011 (CCPR/C/ESP/6, par. 42 et 61 </w:t>
      </w:r>
      <w:r w:rsidRPr="00E75333">
        <w:rPr>
          <w:lang w:val="fr-FR"/>
        </w:rPr>
        <w:t>d)). Fournir aussi, pour l</w:t>
      </w:r>
      <w:r w:rsidR="00B770C1">
        <w:rPr>
          <w:lang w:val="fr-FR"/>
        </w:rPr>
        <w:t>’</w:t>
      </w:r>
      <w:r w:rsidRPr="00E75333">
        <w:rPr>
          <w:lang w:val="fr-FR"/>
        </w:rPr>
        <w:t>a</w:t>
      </w:r>
      <w:r>
        <w:rPr>
          <w:lang w:val="fr-FR"/>
        </w:rPr>
        <w:t xml:space="preserve">nnée 2010 et les années suivantes, </w:t>
      </w:r>
      <w:r w:rsidRPr="00E75333">
        <w:rPr>
          <w:lang w:val="fr-FR"/>
        </w:rPr>
        <w:t>des statistiques, ventilées par sexe, âge et pays d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origine des victimes, </w:t>
      </w:r>
      <w:r>
        <w:rPr>
          <w:lang w:val="fr-FR"/>
        </w:rPr>
        <w:t>sur: a) </w:t>
      </w:r>
      <w:r w:rsidRPr="00E75333">
        <w:rPr>
          <w:lang w:val="fr-FR"/>
        </w:rPr>
        <w:t xml:space="preserve">les plaintes </w:t>
      </w:r>
      <w:r>
        <w:rPr>
          <w:lang w:val="fr-FR"/>
        </w:rPr>
        <w:t>reçues pour des faits de</w:t>
      </w:r>
      <w:r w:rsidRPr="00E75333">
        <w:rPr>
          <w:lang w:val="fr-FR"/>
        </w:rPr>
        <w:t xml:space="preserve"> traite de</w:t>
      </w:r>
      <w:r>
        <w:rPr>
          <w:lang w:val="fr-FR"/>
        </w:rPr>
        <w:t>s personnes; b) </w:t>
      </w:r>
      <w:r w:rsidRPr="00E75333">
        <w:rPr>
          <w:lang w:val="fr-FR"/>
        </w:rPr>
        <w:t>les enquêtes mené</w:t>
      </w:r>
      <w:r>
        <w:rPr>
          <w:lang w:val="fr-FR"/>
        </w:rPr>
        <w:t>es à bien et leurs résultats, y </w:t>
      </w:r>
      <w:r w:rsidRPr="00E75333">
        <w:rPr>
          <w:lang w:val="fr-FR"/>
        </w:rPr>
        <w:t>compris les peines</w:t>
      </w:r>
      <w:r>
        <w:rPr>
          <w:lang w:val="fr-FR"/>
        </w:rPr>
        <w:t xml:space="preserve"> infligées aux responsables; c) </w:t>
      </w:r>
      <w:r w:rsidRPr="00E75333">
        <w:rPr>
          <w:lang w:val="fr-FR"/>
        </w:rPr>
        <w:t>les mesures de protection offertes aux victimes, à leurs proches et aux témoins dans le cadre des enquêtes</w:t>
      </w:r>
      <w:r>
        <w:rPr>
          <w:lang w:val="fr-FR"/>
        </w:rPr>
        <w:t xml:space="preserve"> sur les affaires de traite; d) </w:t>
      </w:r>
      <w:r w:rsidRPr="00E75333">
        <w:rPr>
          <w:lang w:val="fr-FR"/>
        </w:rPr>
        <w:t>les réparat</w:t>
      </w:r>
      <w:r>
        <w:rPr>
          <w:lang w:val="fr-FR"/>
        </w:rPr>
        <w:t>ions accordées aux victimes; e) </w:t>
      </w:r>
      <w:r w:rsidRPr="00E75333">
        <w:rPr>
          <w:lang w:val="fr-FR"/>
        </w:rPr>
        <w:t>le suivi réalisé auprès des victimes d</w:t>
      </w:r>
      <w:r w:rsidR="00B770C1">
        <w:rPr>
          <w:lang w:val="fr-FR"/>
        </w:rPr>
        <w:t>’</w:t>
      </w:r>
      <w:r w:rsidRPr="00E75333">
        <w:rPr>
          <w:lang w:val="fr-FR"/>
        </w:rPr>
        <w:t>origine étra</w:t>
      </w:r>
      <w:r w:rsidR="001B5709">
        <w:rPr>
          <w:lang w:val="fr-FR"/>
        </w:rPr>
        <w:t>ngère rapatriées.</w:t>
      </w:r>
    </w:p>
    <w:p w:rsidR="005B50D9" w:rsidRPr="00E75333" w:rsidRDefault="005B50D9" w:rsidP="00D73FC2">
      <w:pPr>
        <w:pStyle w:val="H1G"/>
        <w:rPr>
          <w:lang w:val="fr-FR"/>
        </w:rPr>
      </w:pPr>
      <w:r w:rsidRPr="00E75333">
        <w:rPr>
          <w:lang w:val="fr-FR"/>
        </w:rPr>
        <w:tab/>
      </w:r>
      <w:r w:rsidRPr="00E75333">
        <w:rPr>
          <w:lang w:val="fr-FR"/>
        </w:rPr>
        <w:tab/>
        <w:t xml:space="preserve">Droit à la liberté et à la sécurité de la personne, droits des personnes privées de liberté, procès équitable et garanties procédurales </w:t>
      </w:r>
      <w:r w:rsidR="00D73FC2">
        <w:rPr>
          <w:lang w:val="fr-FR"/>
        </w:rPr>
        <w:br/>
      </w:r>
      <w:r w:rsidRPr="00E75333">
        <w:rPr>
          <w:lang w:val="fr-FR"/>
        </w:rPr>
        <w:t>(art. 9, 10 et 14)</w:t>
      </w:r>
    </w:p>
    <w:p w:rsidR="005B50D9" w:rsidRDefault="005B50D9" w:rsidP="005B50D9">
      <w:pPr>
        <w:pStyle w:val="ParNoG"/>
        <w:rPr>
          <w:lang w:val="fr-FR"/>
        </w:rPr>
      </w:pPr>
      <w:r w:rsidRPr="00E75333">
        <w:rPr>
          <w:lang w:val="fr-FR"/>
        </w:rPr>
        <w:t>À la lumière de la précédente recommandation du Comité (CCPR/C/</w:t>
      </w:r>
      <w:r>
        <w:rPr>
          <w:lang w:val="fr-FR"/>
        </w:rPr>
        <w:t>ESP/CO/5, par. </w:t>
      </w:r>
      <w:r w:rsidRPr="00E75333">
        <w:rPr>
          <w:lang w:val="fr-FR"/>
        </w:rPr>
        <w:t xml:space="preserve">14), </w:t>
      </w:r>
      <w:r>
        <w:rPr>
          <w:lang w:val="fr-FR"/>
        </w:rPr>
        <w:t xml:space="preserve">donner des informations sur </w:t>
      </w:r>
      <w:r w:rsidRPr="00E75333">
        <w:rPr>
          <w:lang w:val="fr-FR"/>
        </w:rPr>
        <w:t>les mesures que 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État partie a prises </w:t>
      </w:r>
      <w:r>
        <w:rPr>
          <w:lang w:val="fr-FR"/>
        </w:rPr>
        <w:t xml:space="preserve">pour </w:t>
      </w:r>
      <w:r w:rsidRPr="00E75333">
        <w:rPr>
          <w:lang w:val="fr-FR"/>
        </w:rPr>
        <w:t>supprimer le régime de la détention au secret</w:t>
      </w:r>
      <w:r>
        <w:rPr>
          <w:lang w:val="fr-FR"/>
        </w:rPr>
        <w:t>,</w:t>
      </w:r>
      <w:r w:rsidRPr="00E75333">
        <w:rPr>
          <w:lang w:val="fr-FR"/>
        </w:rPr>
        <w:t xml:space="preserve"> notamment la réforme de la loi de procédure </w:t>
      </w:r>
      <w:r>
        <w:rPr>
          <w:lang w:val="fr-FR"/>
        </w:rPr>
        <w:t>pénale</w:t>
      </w:r>
      <w:r w:rsidR="00862E59">
        <w:rPr>
          <w:lang w:val="fr-FR"/>
        </w:rPr>
        <w:t>. En </w:t>
      </w:r>
      <w:r w:rsidRPr="00E75333">
        <w:rPr>
          <w:lang w:val="fr-FR"/>
        </w:rPr>
        <w:t xml:space="preserve">ce qui concerne les infractions liées à des actes de terrorisme, </w:t>
      </w:r>
      <w:r w:rsidRPr="00E75333" w:rsidDel="007E7A8B">
        <w:rPr>
          <w:lang w:val="fr-FR"/>
        </w:rPr>
        <w:t>c</w:t>
      </w:r>
      <w:r w:rsidRPr="00E75333">
        <w:rPr>
          <w:lang w:val="fr-FR"/>
        </w:rPr>
        <w:t xml:space="preserve">ommenter les informations </w:t>
      </w:r>
      <w:r>
        <w:rPr>
          <w:lang w:val="fr-FR"/>
        </w:rPr>
        <w:t>indiquant que: a) </w:t>
      </w:r>
      <w:r w:rsidRPr="00E75333">
        <w:rPr>
          <w:lang w:val="fr-FR"/>
        </w:rPr>
        <w:t>le recours à la détention</w:t>
      </w:r>
      <w:r>
        <w:rPr>
          <w:lang w:val="fr-FR"/>
        </w:rPr>
        <w:t xml:space="preserve"> au secret est systématique pour ces infractions; b) </w:t>
      </w:r>
      <w:r w:rsidRPr="00E75333">
        <w:rPr>
          <w:lang w:val="fr-FR"/>
        </w:rPr>
        <w:t>des violations des droits de l</w:t>
      </w:r>
      <w:r w:rsidR="00B770C1">
        <w:rPr>
          <w:lang w:val="fr-FR"/>
        </w:rPr>
        <w:t>’</w:t>
      </w:r>
      <w:r w:rsidRPr="00E75333">
        <w:rPr>
          <w:lang w:val="fr-FR"/>
        </w:rPr>
        <w:t>homme continuent d</w:t>
      </w:r>
      <w:r w:rsidR="00B770C1">
        <w:rPr>
          <w:lang w:val="fr-FR"/>
        </w:rPr>
        <w:t>’</w:t>
      </w:r>
      <w:r w:rsidR="00862E59">
        <w:rPr>
          <w:lang w:val="fr-FR"/>
        </w:rPr>
        <w:t>être commises par les </w:t>
      </w:r>
      <w:r w:rsidRPr="00E75333">
        <w:rPr>
          <w:lang w:val="fr-FR"/>
        </w:rPr>
        <w:t>Gardes civils dans le context</w:t>
      </w:r>
      <w:r>
        <w:rPr>
          <w:lang w:val="fr-FR"/>
        </w:rPr>
        <w:t>e de la détention au secret; c) </w:t>
      </w:r>
      <w:r w:rsidRPr="00E75333">
        <w:rPr>
          <w:lang w:val="fr-FR"/>
        </w:rPr>
        <w:t>les détenus ne peuvent pas s</w:t>
      </w:r>
      <w:r w:rsidR="00B770C1">
        <w:rPr>
          <w:lang w:val="fr-FR"/>
        </w:rPr>
        <w:t>’</w:t>
      </w:r>
      <w:r w:rsidRPr="00E75333">
        <w:rPr>
          <w:lang w:val="fr-FR"/>
        </w:rPr>
        <w:t>entrete</w:t>
      </w:r>
      <w:r>
        <w:rPr>
          <w:lang w:val="fr-FR"/>
        </w:rPr>
        <w:t>nir en privé avec un avocat; d) </w:t>
      </w:r>
      <w:r w:rsidRPr="00E75333">
        <w:rPr>
          <w:lang w:val="fr-FR"/>
        </w:rPr>
        <w:t>le droit d</w:t>
      </w:r>
      <w:r w:rsidR="00B770C1">
        <w:rPr>
          <w:lang w:val="fr-FR"/>
        </w:rPr>
        <w:t>’</w:t>
      </w:r>
      <w:r w:rsidRPr="00E75333">
        <w:rPr>
          <w:lang w:val="fr-FR"/>
        </w:rPr>
        <w:t>être examiné par un médecin de leur choix n</w:t>
      </w:r>
      <w:r w:rsidR="00B770C1">
        <w:rPr>
          <w:lang w:val="fr-FR"/>
        </w:rPr>
        <w:t>’</w:t>
      </w:r>
      <w:r w:rsidRPr="00E75333">
        <w:rPr>
          <w:lang w:val="fr-FR"/>
        </w:rPr>
        <w:t>est pas garanti aux détenus.</w:t>
      </w:r>
    </w:p>
    <w:p w:rsidR="005B50D9" w:rsidRPr="00E75333" w:rsidRDefault="005B50D9" w:rsidP="005B50D9">
      <w:pPr>
        <w:pStyle w:val="ParNoG"/>
        <w:rPr>
          <w:lang w:val="fr-FR"/>
        </w:rPr>
      </w:pPr>
      <w:r w:rsidRPr="00E75333">
        <w:rPr>
          <w:lang w:val="fr-FR"/>
        </w:rPr>
        <w:t>Donner des informations à jour sur les mesures que 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État partie a adoptées </w:t>
      </w:r>
      <w:r>
        <w:rPr>
          <w:lang w:val="fr-FR"/>
        </w:rPr>
        <w:t xml:space="preserve">pour </w:t>
      </w:r>
      <w:r w:rsidRPr="00E75333">
        <w:rPr>
          <w:lang w:val="fr-FR"/>
        </w:rPr>
        <w:t>améliorer les conditions de détention dans les centres de rétention des étrangers, réduire la surpopulation, améliorer les conditions d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hygiène et offrir </w:t>
      </w:r>
      <w:r w:rsidRPr="00E75333" w:rsidDel="007E7A8B">
        <w:rPr>
          <w:lang w:val="fr-FR"/>
        </w:rPr>
        <w:t>d</w:t>
      </w:r>
      <w:r w:rsidRPr="00E75333">
        <w:rPr>
          <w:lang w:val="fr-FR"/>
        </w:rPr>
        <w:t>es services médicaux appropriés, et su</w:t>
      </w:r>
      <w:r w:rsidR="00862E59">
        <w:rPr>
          <w:lang w:val="fr-FR"/>
        </w:rPr>
        <w:t>r les résultats de ces mesures.</w:t>
      </w:r>
    </w:p>
    <w:p w:rsidR="005B50D9" w:rsidRPr="00E75333" w:rsidRDefault="005B50D9" w:rsidP="00D73FC2">
      <w:pPr>
        <w:pStyle w:val="H1G"/>
        <w:rPr>
          <w:lang w:val="fr-FR"/>
        </w:rPr>
      </w:pPr>
      <w:r w:rsidRPr="00E75333">
        <w:rPr>
          <w:lang w:val="fr-FR"/>
        </w:rPr>
        <w:tab/>
      </w:r>
      <w:r w:rsidRPr="00E75333">
        <w:rPr>
          <w:lang w:val="fr-FR"/>
        </w:rPr>
        <w:tab/>
        <w:t>Droit des étrangers et pr</w:t>
      </w:r>
      <w:r>
        <w:rPr>
          <w:lang w:val="fr-FR"/>
        </w:rPr>
        <w:t>otection de l</w:t>
      </w:r>
      <w:r w:rsidR="00B770C1">
        <w:rPr>
          <w:lang w:val="fr-FR"/>
        </w:rPr>
        <w:t>’</w:t>
      </w:r>
      <w:r>
        <w:rPr>
          <w:lang w:val="fr-FR"/>
        </w:rPr>
        <w:t>enfance (art. </w:t>
      </w:r>
      <w:r w:rsidRPr="00E75333">
        <w:rPr>
          <w:lang w:val="fr-FR"/>
        </w:rPr>
        <w:t>13 et 24)</w:t>
      </w:r>
    </w:p>
    <w:p w:rsidR="005B50D9" w:rsidRPr="00E75333" w:rsidRDefault="005B50D9" w:rsidP="005B50D9">
      <w:pPr>
        <w:pStyle w:val="ParNoG"/>
        <w:rPr>
          <w:lang w:val="fr-FR"/>
        </w:rPr>
      </w:pPr>
      <w:r w:rsidRPr="00E75333">
        <w:rPr>
          <w:lang w:val="fr-FR"/>
        </w:rPr>
        <w:t>Commenter les informations reçues par le Comité qui font état de violences commises lors de l</w:t>
      </w:r>
      <w:r w:rsidR="00B770C1">
        <w:rPr>
          <w:lang w:val="fr-FR"/>
        </w:rPr>
        <w:t>’</w:t>
      </w:r>
      <w:r w:rsidRPr="00E75333">
        <w:rPr>
          <w:lang w:val="fr-FR"/>
        </w:rPr>
        <w:t>expulsion d</w:t>
      </w:r>
      <w:r w:rsidR="00B770C1">
        <w:rPr>
          <w:lang w:val="fr-FR"/>
        </w:rPr>
        <w:t>’</w:t>
      </w:r>
      <w:r w:rsidRPr="00E75333">
        <w:rPr>
          <w:lang w:val="fr-FR"/>
        </w:rPr>
        <w:t>étrangers, en particulier des</w:t>
      </w:r>
      <w:r w:rsidR="00287D67">
        <w:rPr>
          <w:lang w:val="fr-FR"/>
        </w:rPr>
        <w:t xml:space="preserve"> Marocains expulsés de Ceuta et </w:t>
      </w:r>
      <w:r w:rsidRPr="00E75333">
        <w:rPr>
          <w:lang w:val="fr-FR"/>
        </w:rPr>
        <w:t>Melilla, et</w:t>
      </w:r>
      <w:r>
        <w:rPr>
          <w:lang w:val="fr-FR"/>
        </w:rPr>
        <w:t xml:space="preserve"> qui </w:t>
      </w:r>
      <w:r w:rsidRPr="00E75333">
        <w:rPr>
          <w:lang w:val="fr-FR"/>
        </w:rPr>
        <w:t xml:space="preserve">indiquent que nombre des expulsions </w:t>
      </w:r>
      <w:r w:rsidRPr="00E75333" w:rsidDel="007E7A8B">
        <w:rPr>
          <w:lang w:val="fr-FR"/>
        </w:rPr>
        <w:t>sont</w:t>
      </w:r>
      <w:r w:rsidRPr="00E75333">
        <w:rPr>
          <w:lang w:val="fr-FR"/>
        </w:rPr>
        <w:t xml:space="preserve"> effectuées en violation </w:t>
      </w:r>
      <w:r w:rsidRPr="00E75333" w:rsidDel="007E7A8B">
        <w:rPr>
          <w:lang w:val="fr-FR"/>
        </w:rPr>
        <w:t>d</w:t>
      </w:r>
      <w:r w:rsidRPr="00E75333">
        <w:rPr>
          <w:lang w:val="fr-FR"/>
        </w:rPr>
        <w:t>es procédures migratoires en vigueur dans l</w:t>
      </w:r>
      <w:r w:rsidR="00B770C1">
        <w:rPr>
          <w:lang w:val="fr-FR"/>
        </w:rPr>
        <w:t>’</w:t>
      </w:r>
      <w:r w:rsidRPr="00E75333">
        <w:rPr>
          <w:lang w:val="fr-FR"/>
        </w:rPr>
        <w:t>État partie</w:t>
      </w:r>
      <w:r>
        <w:rPr>
          <w:lang w:val="fr-FR"/>
        </w:rPr>
        <w:t>.</w:t>
      </w:r>
    </w:p>
    <w:p w:rsidR="005B50D9" w:rsidRPr="00E75333" w:rsidRDefault="005B50D9" w:rsidP="005B50D9">
      <w:pPr>
        <w:pStyle w:val="ParNoG"/>
        <w:rPr>
          <w:lang w:val="fr-FR"/>
        </w:rPr>
      </w:pPr>
      <w:r w:rsidRPr="00E75333">
        <w:rPr>
          <w:lang w:val="fr-FR"/>
        </w:rPr>
        <w:t>À la lumière de la précédente recommandation d</w:t>
      </w:r>
      <w:r>
        <w:rPr>
          <w:lang w:val="fr-FR"/>
        </w:rPr>
        <w:t>u Comité (CCPR/C/ESP/CO/5, par. </w:t>
      </w:r>
      <w:r w:rsidRPr="00E75333">
        <w:rPr>
          <w:lang w:val="fr-FR"/>
        </w:rPr>
        <w:t>21), décrire les mesures que 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État partie a prises pour protéger les droits des mineurs non accompagnés qui arrivent sur le territoire espagnol. </w:t>
      </w:r>
      <w:r w:rsidRPr="00E75333" w:rsidDel="007E7A8B">
        <w:rPr>
          <w:lang w:val="fr-FR"/>
        </w:rPr>
        <w:t>D</w:t>
      </w:r>
      <w:r w:rsidRPr="00E75333">
        <w:rPr>
          <w:lang w:val="fr-FR"/>
        </w:rPr>
        <w:t>onner en particulier des informations sur les mesures que 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État partie a adoptées pour </w:t>
      </w:r>
      <w:r w:rsidRPr="007E7A8B">
        <w:rPr>
          <w:lang w:val="fr-FR"/>
        </w:rPr>
        <w:t>prévenir les irrégularités dans les procédures d</w:t>
      </w:r>
      <w:r w:rsidR="00B770C1">
        <w:rPr>
          <w:lang w:val="fr-FR"/>
        </w:rPr>
        <w:t>’</w:t>
      </w:r>
      <w:r w:rsidRPr="007E7A8B">
        <w:rPr>
          <w:lang w:val="fr-FR"/>
        </w:rPr>
        <w:t xml:space="preserve">expulsion </w:t>
      </w:r>
      <w:r>
        <w:rPr>
          <w:lang w:val="fr-FR"/>
        </w:rPr>
        <w:t xml:space="preserve">des </w:t>
      </w:r>
      <w:r w:rsidRPr="00E75333">
        <w:rPr>
          <w:lang w:val="fr-FR"/>
        </w:rPr>
        <w:t xml:space="preserve">mineurs non accompagnés et indiquer </w:t>
      </w:r>
      <w:r>
        <w:rPr>
          <w:lang w:val="fr-FR"/>
        </w:rPr>
        <w:t>comment est déterminé</w:t>
      </w:r>
      <w:r w:rsidRPr="00E75333">
        <w:rPr>
          <w:lang w:val="fr-FR"/>
        </w:rPr>
        <w:t xml:space="preserve"> l</w:t>
      </w:r>
      <w:r w:rsidR="00B770C1">
        <w:rPr>
          <w:lang w:val="fr-FR"/>
        </w:rPr>
        <w:t>’</w:t>
      </w:r>
      <w:r w:rsidRPr="00E75333">
        <w:rPr>
          <w:lang w:val="fr-FR"/>
        </w:rPr>
        <w:t>âge des enfants. Donner également des informations sur la situation des mineurs non accompagnés qui résident à Melilla.</w:t>
      </w:r>
    </w:p>
    <w:p w:rsidR="005B50D9" w:rsidRPr="00E75333" w:rsidRDefault="005B50D9" w:rsidP="00D73FC2">
      <w:pPr>
        <w:pStyle w:val="H1G"/>
        <w:rPr>
          <w:lang w:val="fr-FR"/>
        </w:rPr>
      </w:pPr>
      <w:r w:rsidRPr="00E75333">
        <w:rPr>
          <w:lang w:val="fr-FR"/>
        </w:rPr>
        <w:tab/>
      </w:r>
      <w:r w:rsidRPr="00E75333">
        <w:rPr>
          <w:lang w:val="fr-FR"/>
        </w:rPr>
        <w:tab/>
        <w:t>Mesures de lutte contre le terrorisme, procès équi</w:t>
      </w:r>
      <w:r>
        <w:rPr>
          <w:lang w:val="fr-FR"/>
        </w:rPr>
        <w:t>table et garanties procédurales</w:t>
      </w:r>
      <w:r w:rsidR="00D73FC2">
        <w:rPr>
          <w:lang w:val="fr-FR"/>
        </w:rPr>
        <w:t xml:space="preserve"> </w:t>
      </w:r>
      <w:r>
        <w:rPr>
          <w:lang w:val="fr-FR"/>
        </w:rPr>
        <w:t>(art. </w:t>
      </w:r>
      <w:r w:rsidRPr="00E75333">
        <w:rPr>
          <w:lang w:val="fr-FR"/>
        </w:rPr>
        <w:t>14 et 15)</w:t>
      </w:r>
    </w:p>
    <w:p w:rsidR="005B50D9" w:rsidRPr="00E75333" w:rsidRDefault="005B50D9" w:rsidP="005B50D9">
      <w:pPr>
        <w:pStyle w:val="ParNoG"/>
        <w:rPr>
          <w:lang w:val="fr-FR"/>
        </w:rPr>
      </w:pPr>
      <w:r w:rsidRPr="00E75333">
        <w:rPr>
          <w:lang w:val="fr-FR"/>
        </w:rPr>
        <w:t>À la lumière de la précédente recommandation du Comité (CCPR/C/ESP/CO/5, par.</w:t>
      </w:r>
      <w:r>
        <w:rPr>
          <w:lang w:val="fr-FR"/>
        </w:rPr>
        <w:t> </w:t>
      </w:r>
      <w:r w:rsidRPr="00E75333">
        <w:rPr>
          <w:lang w:val="fr-FR"/>
        </w:rPr>
        <w:t>10), commenter les informations indiquant que le cadre législatif relatif à 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infraction de terrorisme a donné lieu à des interprétations judiciaires extensives. Donner des </w:t>
      </w:r>
      <w:r>
        <w:rPr>
          <w:lang w:val="fr-FR"/>
        </w:rPr>
        <w:t xml:space="preserve">renseignements </w:t>
      </w:r>
      <w:r w:rsidRPr="00E75333">
        <w:rPr>
          <w:lang w:val="fr-FR"/>
        </w:rPr>
        <w:t>sur la réforme en cours du Code pénal et indiquer s</w:t>
      </w:r>
      <w:r w:rsidR="00B770C1">
        <w:rPr>
          <w:lang w:val="fr-FR"/>
        </w:rPr>
        <w:t>’</w:t>
      </w:r>
      <w:r w:rsidRPr="00E75333">
        <w:rPr>
          <w:lang w:val="fr-FR"/>
        </w:rPr>
        <w:t>il est prévu de limiter la qualification de terrorisme aux infractions revêtant incontesta</w:t>
      </w:r>
      <w:r w:rsidR="00287D67">
        <w:rPr>
          <w:lang w:val="fr-FR"/>
        </w:rPr>
        <w:t xml:space="preserve">blement un caractère terroriste. </w:t>
      </w:r>
      <w:r w:rsidRPr="00E75333" w:rsidDel="007E7A8B">
        <w:rPr>
          <w:lang w:val="fr-FR"/>
        </w:rPr>
        <w:t>D</w:t>
      </w:r>
      <w:r w:rsidRPr="00E75333">
        <w:rPr>
          <w:lang w:val="fr-FR"/>
        </w:rPr>
        <w:t>onner en particulier des informations sur la modification de</w:t>
      </w:r>
      <w:r>
        <w:rPr>
          <w:lang w:val="fr-FR"/>
        </w:rPr>
        <w:t xml:space="preserve"> la définition d</w:t>
      </w:r>
      <w:r w:rsidR="00B770C1">
        <w:rPr>
          <w:lang w:val="fr-FR"/>
        </w:rPr>
        <w:t>’</w:t>
      </w:r>
      <w:r>
        <w:rPr>
          <w:lang w:val="fr-FR"/>
        </w:rPr>
        <w:t>une «</w:t>
      </w:r>
      <w:r w:rsidRPr="00E75333">
        <w:rPr>
          <w:lang w:val="fr-FR"/>
        </w:rPr>
        <w:t>organisation criminell</w:t>
      </w:r>
      <w:r>
        <w:rPr>
          <w:lang w:val="fr-FR"/>
        </w:rPr>
        <w:t>e» et d</w:t>
      </w:r>
      <w:r w:rsidR="00B770C1">
        <w:rPr>
          <w:lang w:val="fr-FR"/>
        </w:rPr>
        <w:t>’</w:t>
      </w:r>
      <w:r>
        <w:rPr>
          <w:lang w:val="fr-FR"/>
        </w:rPr>
        <w:t>un «groupe terroriste</w:t>
      </w:r>
      <w:r w:rsidRPr="00E75333">
        <w:rPr>
          <w:lang w:val="fr-FR"/>
        </w:rPr>
        <w:t>»</w:t>
      </w:r>
      <w:r>
        <w:rPr>
          <w:lang w:val="fr-FR"/>
        </w:rPr>
        <w:t>.</w:t>
      </w:r>
    </w:p>
    <w:p w:rsidR="005B50D9" w:rsidRPr="00E75333" w:rsidRDefault="005B50D9" w:rsidP="005B50D9">
      <w:pPr>
        <w:pStyle w:val="ParNoG"/>
        <w:rPr>
          <w:lang w:val="fr-FR"/>
        </w:rPr>
      </w:pPr>
      <w:r w:rsidRPr="00E75333">
        <w:rPr>
          <w:lang w:val="fr-FR"/>
        </w:rPr>
        <w:t>Compte tenu de la précédente recommandation d</w:t>
      </w:r>
      <w:r>
        <w:rPr>
          <w:lang w:val="fr-FR"/>
        </w:rPr>
        <w:t>u Comité (CCPR/C/ESP/CO/5, par. </w:t>
      </w:r>
      <w:r w:rsidRPr="00E75333">
        <w:rPr>
          <w:lang w:val="fr-FR"/>
        </w:rPr>
        <w:t>17), fournir des renseignements sur les mesures que 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État partie a prises pour garantir pleinement le double degré de juridiction au pénal. Indiquer également quand </w:t>
      </w:r>
      <w:r>
        <w:rPr>
          <w:lang w:val="fr-FR"/>
        </w:rPr>
        <w:t xml:space="preserve">devrait être créée </w:t>
      </w:r>
      <w:r w:rsidRPr="00E75333">
        <w:rPr>
          <w:lang w:val="fr-FR"/>
        </w:rPr>
        <w:t>la cha</w:t>
      </w:r>
      <w:r>
        <w:rPr>
          <w:lang w:val="fr-FR"/>
        </w:rPr>
        <w:t>mbre d</w:t>
      </w:r>
      <w:r w:rsidR="00B770C1">
        <w:rPr>
          <w:lang w:val="fr-FR"/>
        </w:rPr>
        <w:t>’</w:t>
      </w:r>
      <w:r>
        <w:rPr>
          <w:lang w:val="fr-FR"/>
        </w:rPr>
        <w:t>appel de</w:t>
      </w:r>
      <w:r w:rsidRPr="00E75333">
        <w:rPr>
          <w:lang w:val="fr-FR"/>
        </w:rPr>
        <w:t xml:space="preserve"> l</w:t>
      </w:r>
      <w:r w:rsidR="00B770C1">
        <w:rPr>
          <w:lang w:val="fr-FR"/>
        </w:rPr>
        <w:t>’</w:t>
      </w:r>
      <w:r w:rsidRPr="00E75333">
        <w:rPr>
          <w:i/>
          <w:lang w:val="fr-FR"/>
        </w:rPr>
        <w:t>Audiencia Nacional</w:t>
      </w:r>
      <w:r>
        <w:rPr>
          <w:i/>
          <w:lang w:val="fr-FR"/>
        </w:rPr>
        <w:t>,</w:t>
      </w:r>
      <w:r w:rsidRPr="00E75333">
        <w:rPr>
          <w:lang w:val="fr-FR"/>
        </w:rPr>
        <w:t xml:space="preserve"> </w:t>
      </w:r>
      <w:r>
        <w:rPr>
          <w:lang w:val="fr-FR"/>
        </w:rPr>
        <w:t xml:space="preserve">qui sera </w:t>
      </w:r>
      <w:r w:rsidRPr="00E75333">
        <w:rPr>
          <w:lang w:val="fr-FR"/>
        </w:rPr>
        <w:t>chargée de connaître des recours formés contre des décisions rendues par la chambre pénale de ce même organe jur</w:t>
      </w:r>
      <w:r>
        <w:rPr>
          <w:lang w:val="fr-FR"/>
        </w:rPr>
        <w:t>idictionnel (CCPR/C/ESP/6, par. </w:t>
      </w:r>
      <w:r w:rsidRPr="00E75333">
        <w:rPr>
          <w:lang w:val="fr-FR"/>
        </w:rPr>
        <w:t>132).</w:t>
      </w:r>
    </w:p>
    <w:p w:rsidR="005B50D9" w:rsidRPr="009253B5" w:rsidRDefault="005B50D9" w:rsidP="005B50D9">
      <w:pPr>
        <w:pStyle w:val="ParNoG"/>
        <w:rPr>
          <w:spacing w:val="-2"/>
          <w:lang w:val="fr-FR"/>
        </w:rPr>
      </w:pPr>
      <w:r w:rsidRPr="009253B5">
        <w:rPr>
          <w:spacing w:val="-2"/>
          <w:lang w:val="fr-FR"/>
        </w:rPr>
        <w:t>Compte tenu de la précédente recommandation du Comité (CCPR/C/ESP/CO/5, par. 18), décrire les mesures que l</w:t>
      </w:r>
      <w:r w:rsidR="00B770C1" w:rsidRPr="009253B5">
        <w:rPr>
          <w:spacing w:val="-2"/>
          <w:lang w:val="fr-FR"/>
        </w:rPr>
        <w:t>’</w:t>
      </w:r>
      <w:r w:rsidRPr="009253B5">
        <w:rPr>
          <w:spacing w:val="-2"/>
          <w:lang w:val="fr-FR"/>
        </w:rPr>
        <w:t xml:space="preserve">État partie a prises pour supprimer la règle du </w:t>
      </w:r>
      <w:r w:rsidR="00623EC2" w:rsidRPr="009253B5">
        <w:rPr>
          <w:spacing w:val="-2"/>
          <w:lang w:val="fr-FR"/>
        </w:rPr>
        <w:t>«</w:t>
      </w:r>
      <w:r w:rsidR="009253B5">
        <w:rPr>
          <w:i/>
          <w:spacing w:val="-2"/>
          <w:lang w:val="fr-FR"/>
        </w:rPr>
        <w:t>secreto de </w:t>
      </w:r>
      <w:r w:rsidRPr="009253B5">
        <w:rPr>
          <w:i/>
          <w:spacing w:val="-2"/>
          <w:lang w:val="fr-FR"/>
        </w:rPr>
        <w:t>sumario</w:t>
      </w:r>
      <w:r w:rsidR="00623EC2" w:rsidRPr="009253B5">
        <w:rPr>
          <w:spacing w:val="-2"/>
          <w:lang w:val="fr-FR"/>
        </w:rPr>
        <w:t>»</w:t>
      </w:r>
      <w:r w:rsidRPr="009253B5">
        <w:rPr>
          <w:spacing w:val="-2"/>
          <w:lang w:val="fr-FR"/>
        </w:rPr>
        <w:t xml:space="preserve"> afin de garantir pleinement le principe de l</w:t>
      </w:r>
      <w:r w:rsidR="00B770C1" w:rsidRPr="009253B5">
        <w:rPr>
          <w:spacing w:val="-2"/>
          <w:lang w:val="fr-FR"/>
        </w:rPr>
        <w:t>’</w:t>
      </w:r>
      <w:r w:rsidRPr="009253B5">
        <w:rPr>
          <w:spacing w:val="-2"/>
          <w:lang w:val="fr-FR"/>
        </w:rPr>
        <w:t>égalité des armes. Commenter également les informations indiquant que la règle du «</w:t>
      </w:r>
      <w:r w:rsidRPr="009253B5">
        <w:rPr>
          <w:i/>
          <w:spacing w:val="-2"/>
          <w:lang w:val="fr-FR"/>
        </w:rPr>
        <w:t>secreto de sumario</w:t>
      </w:r>
      <w:r w:rsidRPr="009253B5">
        <w:rPr>
          <w:spacing w:val="-2"/>
          <w:lang w:val="fr-FR"/>
        </w:rPr>
        <w:t>» est souvent appliquée des années durant et que, parfois, la décision du juge n</w:t>
      </w:r>
      <w:r w:rsidR="00B770C1" w:rsidRPr="009253B5">
        <w:rPr>
          <w:spacing w:val="-2"/>
          <w:lang w:val="fr-FR"/>
        </w:rPr>
        <w:t>’</w:t>
      </w:r>
      <w:r w:rsidR="009253B5">
        <w:rPr>
          <w:spacing w:val="-2"/>
          <w:lang w:val="fr-FR"/>
        </w:rPr>
        <w:t>est pas suffisamment </w:t>
      </w:r>
      <w:r w:rsidRPr="009253B5">
        <w:rPr>
          <w:spacing w:val="-2"/>
          <w:lang w:val="fr-FR"/>
        </w:rPr>
        <w:t>motivée.</w:t>
      </w:r>
    </w:p>
    <w:p w:rsidR="005B50D9" w:rsidRPr="00E75333" w:rsidRDefault="005B50D9" w:rsidP="005B50D9">
      <w:pPr>
        <w:pStyle w:val="ParNoG"/>
        <w:rPr>
          <w:lang w:val="fr-FR"/>
        </w:rPr>
      </w:pPr>
      <w:r w:rsidRPr="00E75333">
        <w:rPr>
          <w:lang w:val="fr-FR"/>
        </w:rPr>
        <w:t xml:space="preserve">Donner des informations sur la loi </w:t>
      </w:r>
      <w:r w:rsidRPr="00B448C6">
        <w:rPr>
          <w:lang w:val="fr-FR"/>
        </w:rPr>
        <w:t>n</w:t>
      </w:r>
      <w:r w:rsidRPr="00B448C6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E75333">
        <w:rPr>
          <w:lang w:val="fr-FR"/>
        </w:rPr>
        <w:t>10/2012 qui réglemente certains frais dans le domaine de l</w:t>
      </w:r>
      <w:r w:rsidR="00B770C1">
        <w:rPr>
          <w:lang w:val="fr-FR"/>
        </w:rPr>
        <w:t>’</w:t>
      </w:r>
      <w:r w:rsidRPr="00E75333">
        <w:rPr>
          <w:lang w:val="fr-FR"/>
        </w:rPr>
        <w:t>administration de la justice et de l</w:t>
      </w:r>
      <w:r w:rsidR="00B770C1">
        <w:rPr>
          <w:lang w:val="fr-FR"/>
        </w:rPr>
        <w:t>’</w:t>
      </w:r>
      <w:r w:rsidRPr="00E75333">
        <w:rPr>
          <w:lang w:val="fr-FR"/>
        </w:rPr>
        <w:t>Institut national de toxicologie et de médecine légale</w:t>
      </w:r>
      <w:r>
        <w:rPr>
          <w:lang w:val="fr-FR"/>
        </w:rPr>
        <w:t>,</w:t>
      </w:r>
      <w:r w:rsidRPr="00E75333">
        <w:rPr>
          <w:lang w:val="fr-FR"/>
        </w:rPr>
        <w:t xml:space="preserve"> et commenter sa compatibilité avec les principes du Pacte, en particulier </w:t>
      </w:r>
      <w:r>
        <w:rPr>
          <w:lang w:val="fr-FR"/>
        </w:rPr>
        <w:t>avec l</w:t>
      </w:r>
      <w:r w:rsidR="00B770C1">
        <w:rPr>
          <w:lang w:val="fr-FR"/>
        </w:rPr>
        <w:t>’</w:t>
      </w:r>
      <w:r>
        <w:rPr>
          <w:lang w:val="fr-FR"/>
        </w:rPr>
        <w:t>article </w:t>
      </w:r>
      <w:r w:rsidRPr="00E75333">
        <w:rPr>
          <w:lang w:val="fr-FR"/>
        </w:rPr>
        <w:t xml:space="preserve">14. </w:t>
      </w:r>
      <w:r>
        <w:rPr>
          <w:lang w:val="fr-FR"/>
        </w:rPr>
        <w:t>Donner aussi</w:t>
      </w:r>
      <w:r w:rsidRPr="00E75333">
        <w:rPr>
          <w:lang w:val="fr-FR"/>
        </w:rPr>
        <w:t xml:space="preserve"> des informations sur l</w:t>
      </w:r>
      <w:r w:rsidR="00B770C1">
        <w:rPr>
          <w:lang w:val="fr-FR"/>
        </w:rPr>
        <w:t>’</w:t>
      </w:r>
      <w:r w:rsidRPr="00E75333">
        <w:rPr>
          <w:lang w:val="fr-FR"/>
        </w:rPr>
        <w:t>avant-projet de modification et de réforme de la loi sur l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aide </w:t>
      </w:r>
      <w:r w:rsidRPr="00E75333" w:rsidDel="007E7A8B">
        <w:rPr>
          <w:lang w:val="fr-FR"/>
        </w:rPr>
        <w:t xml:space="preserve">juridique </w:t>
      </w:r>
      <w:r w:rsidRPr="00E75333">
        <w:rPr>
          <w:lang w:val="fr-FR"/>
        </w:rPr>
        <w:t>gratuite.</w:t>
      </w:r>
    </w:p>
    <w:p w:rsidR="005B50D9" w:rsidRPr="00E75333" w:rsidRDefault="005B50D9" w:rsidP="00D73FC2">
      <w:pPr>
        <w:pStyle w:val="H1G"/>
        <w:rPr>
          <w:lang w:val="fr-FR"/>
        </w:rPr>
      </w:pPr>
      <w:r w:rsidRPr="00E75333">
        <w:rPr>
          <w:lang w:val="fr-FR"/>
        </w:rPr>
        <w:tab/>
      </w:r>
      <w:r w:rsidRPr="00E75333">
        <w:rPr>
          <w:lang w:val="fr-FR"/>
        </w:rPr>
        <w:tab/>
        <w:t>Liberté d</w:t>
      </w:r>
      <w:r w:rsidR="00B770C1">
        <w:rPr>
          <w:lang w:val="fr-FR"/>
        </w:rPr>
        <w:t>’</w:t>
      </w:r>
      <w:r w:rsidRPr="00E75333">
        <w:rPr>
          <w:lang w:val="fr-FR"/>
        </w:rPr>
        <w:t>opinion, d</w:t>
      </w:r>
      <w:r w:rsidR="00B770C1">
        <w:rPr>
          <w:lang w:val="fr-FR"/>
        </w:rPr>
        <w:t>’</w:t>
      </w:r>
      <w:r w:rsidRPr="00E75333">
        <w:rPr>
          <w:lang w:val="fr-FR"/>
        </w:rPr>
        <w:t>expressio</w:t>
      </w:r>
      <w:r>
        <w:rPr>
          <w:lang w:val="fr-FR"/>
        </w:rPr>
        <w:t xml:space="preserve">n et de réunion pacifique, droit à la vie et interdiction de la torture et des peines ou traitements cruels, inhumains ou dégradants (art. 6, 7, </w:t>
      </w:r>
      <w:r w:rsidR="009A6B02">
        <w:rPr>
          <w:lang w:val="fr-FR"/>
        </w:rPr>
        <w:t>19, 20 et 21)</w:t>
      </w:r>
    </w:p>
    <w:p w:rsidR="005B50D9" w:rsidRPr="00E75333" w:rsidRDefault="005B50D9" w:rsidP="005B50D9">
      <w:pPr>
        <w:pStyle w:val="ParNoG"/>
        <w:rPr>
          <w:lang w:val="fr-FR"/>
        </w:rPr>
      </w:pPr>
      <w:r w:rsidRPr="00E75333">
        <w:rPr>
          <w:lang w:val="fr-FR"/>
        </w:rPr>
        <w:t>Fournir des renseignements détaillés sur la réforme du Code pénal et la modification de l</w:t>
      </w:r>
      <w:r w:rsidR="00B770C1">
        <w:rPr>
          <w:lang w:val="fr-FR"/>
        </w:rPr>
        <w:t>’</w:t>
      </w:r>
      <w:r w:rsidRPr="00E75333">
        <w:rPr>
          <w:lang w:val="fr-FR"/>
        </w:rPr>
        <w:t>avant-projet de loi relatif à la sécurité des citoyens et sur leurs conséquences sur le droit de réunion pacifique et la liberté d</w:t>
      </w:r>
      <w:r w:rsidR="00B770C1">
        <w:rPr>
          <w:lang w:val="fr-FR"/>
        </w:rPr>
        <w:t>’</w:t>
      </w:r>
      <w:r w:rsidRPr="00E75333">
        <w:rPr>
          <w:lang w:val="fr-FR"/>
        </w:rPr>
        <w:t>expression. Donner également des informati</w:t>
      </w:r>
      <w:r>
        <w:rPr>
          <w:lang w:val="fr-FR"/>
        </w:rPr>
        <w:t>ons sur la réforme des articles 557 (par. </w:t>
      </w:r>
      <w:r w:rsidR="009253B5">
        <w:rPr>
          <w:lang w:val="fr-FR"/>
        </w:rPr>
        <w:t>2) et 559 du Code pénal.</w:t>
      </w:r>
    </w:p>
    <w:p w:rsidR="005B50D9" w:rsidRPr="00E75333" w:rsidRDefault="005B50D9" w:rsidP="005B50D9">
      <w:pPr>
        <w:pStyle w:val="ParNoG"/>
        <w:rPr>
          <w:lang w:val="fr-FR"/>
        </w:rPr>
      </w:pPr>
      <w:r w:rsidRPr="00E75333">
        <w:rPr>
          <w:lang w:val="fr-FR"/>
        </w:rPr>
        <w:t xml:space="preserve">Commenter les </w:t>
      </w:r>
      <w:r>
        <w:rPr>
          <w:lang w:val="fr-FR"/>
        </w:rPr>
        <w:t xml:space="preserve">informations </w:t>
      </w:r>
      <w:r w:rsidRPr="00E75333">
        <w:rPr>
          <w:lang w:val="fr-FR"/>
        </w:rPr>
        <w:t>qui font état d</w:t>
      </w:r>
      <w:r w:rsidR="00B770C1">
        <w:rPr>
          <w:lang w:val="fr-FR"/>
        </w:rPr>
        <w:t>’</w:t>
      </w:r>
      <w:r w:rsidRPr="00E75333">
        <w:rPr>
          <w:lang w:val="fr-FR"/>
        </w:rPr>
        <w:t xml:space="preserve">usage excessif de la force par la police dans le cadre de manifestations, en particulier </w:t>
      </w:r>
      <w:r>
        <w:rPr>
          <w:lang w:val="fr-FR"/>
        </w:rPr>
        <w:t>contre des</w:t>
      </w:r>
      <w:r w:rsidRPr="00E75333">
        <w:rPr>
          <w:lang w:val="fr-FR"/>
        </w:rPr>
        <w:t xml:space="preserve"> journalistes et </w:t>
      </w:r>
      <w:r>
        <w:rPr>
          <w:lang w:val="fr-FR"/>
        </w:rPr>
        <w:t xml:space="preserve">des </w:t>
      </w:r>
      <w:r w:rsidRPr="00E75333">
        <w:rPr>
          <w:lang w:val="fr-FR"/>
        </w:rPr>
        <w:t>femmes, et de l</w:t>
      </w:r>
      <w:r w:rsidR="00B770C1">
        <w:rPr>
          <w:lang w:val="fr-FR"/>
        </w:rPr>
        <w:t>’</w:t>
      </w:r>
      <w:r w:rsidRPr="00E75333">
        <w:rPr>
          <w:lang w:val="fr-FR"/>
        </w:rPr>
        <w:t>utilisation injustifiée de matériel antiémeute</w:t>
      </w:r>
      <w:r>
        <w:rPr>
          <w:lang w:val="fr-FR"/>
        </w:rPr>
        <w:t>s</w:t>
      </w:r>
      <w:r w:rsidRPr="00E75333">
        <w:rPr>
          <w:lang w:val="fr-FR"/>
        </w:rPr>
        <w:t xml:space="preserve">. Donner des renseignements sur les enquêtes menées </w:t>
      </w:r>
      <w:r w:rsidRPr="00E75333" w:rsidDel="007E7A8B">
        <w:rPr>
          <w:lang w:val="fr-FR"/>
        </w:rPr>
        <w:t xml:space="preserve">sur les </w:t>
      </w:r>
      <w:r w:rsidRPr="00E75333">
        <w:rPr>
          <w:lang w:val="fr-FR"/>
        </w:rPr>
        <w:t>cas d</w:t>
      </w:r>
      <w:r w:rsidR="00B770C1">
        <w:rPr>
          <w:lang w:val="fr-FR"/>
        </w:rPr>
        <w:t>’</w:t>
      </w:r>
      <w:r w:rsidRPr="00E75333">
        <w:rPr>
          <w:lang w:val="fr-FR"/>
        </w:rPr>
        <w:t>usage excessif de la force par des agents des forces et corps de sécurité, en particulier</w:t>
      </w:r>
      <w:r>
        <w:rPr>
          <w:lang w:val="fr-FR"/>
        </w:rPr>
        <w:t xml:space="preserve"> en ce qui concerne: a) l</w:t>
      </w:r>
      <w:r w:rsidRPr="00E75333">
        <w:rPr>
          <w:lang w:val="fr-FR"/>
        </w:rPr>
        <w:t xml:space="preserve">es manifestations qui </w:t>
      </w:r>
      <w:r w:rsidDel="007E7A8B">
        <w:rPr>
          <w:lang w:val="fr-FR"/>
        </w:rPr>
        <w:t xml:space="preserve">ont eu lieu </w:t>
      </w:r>
      <w:r w:rsidR="00B703B1">
        <w:rPr>
          <w:lang w:val="fr-FR"/>
        </w:rPr>
        <w:t>place de </w:t>
      </w:r>
      <w:r w:rsidR="009253B5">
        <w:rPr>
          <w:lang w:val="fr-FR"/>
        </w:rPr>
        <w:t>la </w:t>
      </w:r>
      <w:r>
        <w:rPr>
          <w:lang w:val="fr-FR"/>
        </w:rPr>
        <w:t>Catalogne à Barcelone le 27 </w:t>
      </w:r>
      <w:r w:rsidRPr="00E75333">
        <w:rPr>
          <w:lang w:val="fr-FR"/>
        </w:rPr>
        <w:t>mai 2</w:t>
      </w:r>
      <w:r>
        <w:rPr>
          <w:lang w:val="fr-FR"/>
        </w:rPr>
        <w:t>011 et à la gare d</w:t>
      </w:r>
      <w:r w:rsidR="00B770C1">
        <w:rPr>
          <w:lang w:val="fr-FR"/>
        </w:rPr>
        <w:t>’</w:t>
      </w:r>
      <w:r>
        <w:rPr>
          <w:lang w:val="fr-FR"/>
        </w:rPr>
        <w:t>Atocha-Cercanías à Madrid le</w:t>
      </w:r>
      <w:r w:rsidR="009253B5">
        <w:rPr>
          <w:lang w:val="fr-FR"/>
        </w:rPr>
        <w:t> </w:t>
      </w:r>
      <w:r>
        <w:rPr>
          <w:lang w:val="fr-FR"/>
        </w:rPr>
        <w:t>25 </w:t>
      </w:r>
      <w:r w:rsidRPr="00E75333">
        <w:rPr>
          <w:lang w:val="fr-FR"/>
        </w:rPr>
        <w:t>septembre 2012</w:t>
      </w:r>
      <w:r>
        <w:rPr>
          <w:lang w:val="fr-FR"/>
        </w:rPr>
        <w:t>; b) l</w:t>
      </w:r>
      <w:r w:rsidRPr="00E75333">
        <w:rPr>
          <w:lang w:val="fr-FR"/>
        </w:rPr>
        <w:t>es agressions dont auraient été victimes</w:t>
      </w:r>
      <w:r>
        <w:rPr>
          <w:lang w:val="fr-FR"/>
        </w:rPr>
        <w:t xml:space="preserve"> à Madrid Ángela Jaramillo, le 4 </w:t>
      </w:r>
      <w:r w:rsidRPr="00E75333">
        <w:rPr>
          <w:lang w:val="fr-FR"/>
        </w:rPr>
        <w:t>août 2011, et Paloma</w:t>
      </w:r>
      <w:r>
        <w:rPr>
          <w:lang w:val="fr-FR"/>
        </w:rPr>
        <w:t xml:space="preserve"> Aznar Fernández, le 11 </w:t>
      </w:r>
      <w:r w:rsidRPr="00E75333">
        <w:rPr>
          <w:lang w:val="fr-FR"/>
        </w:rPr>
        <w:t>juillet 2012, et communiquer les résultats de ces enquêtes. Indiquer si les agents des forces et corps de sécurité portent un badge d</w:t>
      </w:r>
      <w:r w:rsidR="00B770C1">
        <w:rPr>
          <w:lang w:val="fr-FR"/>
        </w:rPr>
        <w:t>’</w:t>
      </w:r>
      <w:r w:rsidRPr="00E75333">
        <w:rPr>
          <w:lang w:val="fr-FR"/>
        </w:rPr>
        <w:t>identité lisible lorsqu</w:t>
      </w:r>
      <w:r w:rsidR="00B770C1">
        <w:rPr>
          <w:lang w:val="fr-FR"/>
        </w:rPr>
        <w:t>’</w:t>
      </w:r>
      <w:r w:rsidRPr="00E75333">
        <w:rPr>
          <w:lang w:val="fr-FR"/>
        </w:rPr>
        <w:t>ils interviennent d</w:t>
      </w:r>
      <w:r w:rsidR="009A6B02">
        <w:rPr>
          <w:lang w:val="fr-FR"/>
        </w:rPr>
        <w:t>ans le cadre de manifestations.</w:t>
      </w:r>
    </w:p>
    <w:p w:rsidR="005B50D9" w:rsidRPr="007E7A8B" w:rsidRDefault="00D73FC2" w:rsidP="00D73FC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5B50D9" w:rsidRPr="007E7A8B">
        <w:rPr>
          <w:lang w:val="fr-FR"/>
        </w:rPr>
        <w:t>Droits des personnes appartenant à des minorités (art. 2 et 27)</w:t>
      </w:r>
    </w:p>
    <w:p w:rsidR="005B50D9" w:rsidRPr="00E75333" w:rsidRDefault="005B50D9" w:rsidP="005B50D9">
      <w:pPr>
        <w:pStyle w:val="ParNoG"/>
        <w:rPr>
          <w:lang w:val="fr-FR"/>
        </w:rPr>
      </w:pPr>
      <w:r w:rsidRPr="007E7A8B">
        <w:rPr>
          <w:lang w:val="fr-FR"/>
        </w:rPr>
        <w:t>Indiquer quelles mesures l</w:t>
      </w:r>
      <w:r w:rsidR="00B770C1">
        <w:rPr>
          <w:lang w:val="fr-FR"/>
        </w:rPr>
        <w:t>’</w:t>
      </w:r>
      <w:r w:rsidRPr="007E7A8B">
        <w:rPr>
          <w:lang w:val="fr-FR"/>
        </w:rPr>
        <w:t>État partie a prises pour combattre la discrimination raciale à l</w:t>
      </w:r>
      <w:r w:rsidR="00B770C1">
        <w:rPr>
          <w:lang w:val="fr-FR"/>
        </w:rPr>
        <w:t>’</w:t>
      </w:r>
      <w:r w:rsidRPr="007E7A8B">
        <w:rPr>
          <w:lang w:val="fr-FR"/>
        </w:rPr>
        <w:t>égard des immigrés et des minorités ethniques, en particulier la minorité rom, et prévenir cette discrimination dans les domaines de l</w:t>
      </w:r>
      <w:r w:rsidR="00B770C1">
        <w:rPr>
          <w:lang w:val="fr-FR"/>
        </w:rPr>
        <w:t>’</w:t>
      </w:r>
      <w:r w:rsidRPr="007E7A8B">
        <w:rPr>
          <w:lang w:val="fr-FR"/>
        </w:rPr>
        <w:t>accès à l</w:t>
      </w:r>
      <w:r w:rsidR="00B770C1">
        <w:rPr>
          <w:lang w:val="fr-FR"/>
        </w:rPr>
        <w:t>’</w:t>
      </w:r>
      <w:r w:rsidRPr="007E7A8B">
        <w:rPr>
          <w:lang w:val="fr-FR"/>
        </w:rPr>
        <w:t>emploi, de l</w:t>
      </w:r>
      <w:r w:rsidR="00B770C1">
        <w:rPr>
          <w:lang w:val="fr-FR"/>
        </w:rPr>
        <w:t>’</w:t>
      </w:r>
      <w:r w:rsidRPr="007E7A8B">
        <w:rPr>
          <w:lang w:val="fr-FR"/>
        </w:rPr>
        <w:t>éducation, de l</w:t>
      </w:r>
      <w:r w:rsidR="00B770C1">
        <w:rPr>
          <w:lang w:val="fr-FR"/>
        </w:rPr>
        <w:t>’</w:t>
      </w:r>
      <w:r w:rsidRPr="007E7A8B">
        <w:rPr>
          <w:lang w:val="fr-FR"/>
        </w:rPr>
        <w:t>égalité de rémunération, du logement et des soins de santé, et fournir des données chiffrées sur les effets de ces mesures. Indiquer aussi quelles mesures l</w:t>
      </w:r>
      <w:r w:rsidR="00B770C1">
        <w:rPr>
          <w:lang w:val="fr-FR"/>
        </w:rPr>
        <w:t>’</w:t>
      </w:r>
      <w:r w:rsidRPr="007E7A8B">
        <w:rPr>
          <w:lang w:val="fr-FR"/>
        </w:rPr>
        <w:t>État partie a prises pour renforcer le Forum pour l</w:t>
      </w:r>
      <w:r w:rsidR="00B770C1">
        <w:rPr>
          <w:lang w:val="fr-FR"/>
        </w:rPr>
        <w:t>’</w:t>
      </w:r>
      <w:r w:rsidRPr="007E7A8B">
        <w:rPr>
          <w:lang w:val="fr-FR"/>
        </w:rPr>
        <w:t>intégration sociale des immigrants.</w:t>
      </w:r>
    </w:p>
    <w:p w:rsidR="005B50D9" w:rsidRPr="00E75333" w:rsidRDefault="005B50D9" w:rsidP="00D73FC2">
      <w:pPr>
        <w:pStyle w:val="H1G"/>
        <w:rPr>
          <w:lang w:val="fr-FR"/>
        </w:rPr>
      </w:pPr>
      <w:r w:rsidRPr="00E75333">
        <w:rPr>
          <w:lang w:val="fr-FR"/>
        </w:rPr>
        <w:tab/>
      </w:r>
      <w:r w:rsidRPr="00E75333">
        <w:rPr>
          <w:lang w:val="fr-FR"/>
        </w:rPr>
        <w:tab/>
        <w:t>Diffusion d</w:t>
      </w:r>
      <w:r w:rsidR="00B770C1">
        <w:rPr>
          <w:lang w:val="fr-FR"/>
        </w:rPr>
        <w:t>’</w:t>
      </w:r>
      <w:r w:rsidRPr="00E75333">
        <w:rPr>
          <w:lang w:val="fr-FR"/>
        </w:rPr>
        <w:t>informations sur le Pacte et l</w:t>
      </w:r>
      <w:r>
        <w:rPr>
          <w:lang w:val="fr-FR"/>
        </w:rPr>
        <w:t>es Protocoles facultatifs (art. </w:t>
      </w:r>
      <w:r w:rsidRPr="00E75333">
        <w:rPr>
          <w:lang w:val="fr-FR"/>
        </w:rPr>
        <w:t>2)</w:t>
      </w:r>
    </w:p>
    <w:p w:rsidR="005B50D9" w:rsidRDefault="005B50D9" w:rsidP="00D73FC2">
      <w:pPr>
        <w:pStyle w:val="ParNoG"/>
        <w:rPr>
          <w:lang w:val="fr-FR"/>
        </w:rPr>
      </w:pPr>
      <w:r w:rsidRPr="00E75333">
        <w:rPr>
          <w:lang w:val="fr-FR"/>
        </w:rPr>
        <w:t>Donner des renseignements sur les mesures que l</w:t>
      </w:r>
      <w:r w:rsidR="00B770C1">
        <w:rPr>
          <w:lang w:val="fr-FR"/>
        </w:rPr>
        <w:t>’</w:t>
      </w:r>
      <w:r w:rsidRPr="00E75333">
        <w:rPr>
          <w:lang w:val="fr-FR"/>
        </w:rPr>
        <w:t>État partie a prises pour diffuser des informations sur le Pacte et les Protocoles facultatifs, la présentation du rapport de l</w:t>
      </w:r>
      <w:r w:rsidR="00B770C1">
        <w:rPr>
          <w:lang w:val="fr-FR"/>
        </w:rPr>
        <w:t>’</w:t>
      </w:r>
      <w:r w:rsidRPr="00E75333">
        <w:rPr>
          <w:lang w:val="fr-FR"/>
        </w:rPr>
        <w:t>État partie et son examen par le Comité. Donner également des renseignements plus détaillés sur la participation de la société civile, des organisations non gouvernementales et de l</w:t>
      </w:r>
      <w:r w:rsidR="00B770C1">
        <w:rPr>
          <w:lang w:val="fr-FR"/>
        </w:rPr>
        <w:t>’</w:t>
      </w:r>
      <w:r w:rsidRPr="00E75333">
        <w:rPr>
          <w:lang w:val="fr-FR"/>
        </w:rPr>
        <w:t>institution nationale des droits de l</w:t>
      </w:r>
      <w:r w:rsidR="00B770C1">
        <w:rPr>
          <w:lang w:val="fr-FR"/>
        </w:rPr>
        <w:t>’</w:t>
      </w:r>
      <w:r w:rsidRPr="00E75333">
        <w:rPr>
          <w:lang w:val="fr-FR"/>
        </w:rPr>
        <w:t>homme à l</w:t>
      </w:r>
      <w:r w:rsidR="00B770C1">
        <w:rPr>
          <w:lang w:val="fr-FR"/>
        </w:rPr>
        <w:t>’</w:t>
      </w:r>
      <w:r w:rsidRPr="00E75333">
        <w:rPr>
          <w:lang w:val="fr-FR"/>
        </w:rPr>
        <w:t>élaboration du rapport.</w:t>
      </w:r>
    </w:p>
    <w:p w:rsidR="005B50D9" w:rsidRPr="005B50D9" w:rsidRDefault="005B50D9" w:rsidP="005B50D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50D9" w:rsidRPr="005B50D9" w:rsidSect="005B50D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6A" w:rsidRDefault="00725C6A"/>
  </w:endnote>
  <w:endnote w:type="continuationSeparator" w:id="0">
    <w:p w:rsidR="00725C6A" w:rsidRDefault="00725C6A"/>
  </w:endnote>
  <w:endnote w:type="continuationNotice" w:id="1">
    <w:p w:rsidR="00725C6A" w:rsidRPr="00903B66" w:rsidRDefault="00725C6A" w:rsidP="00903B66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39T30Lfz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C2" w:rsidRPr="005B50D9" w:rsidRDefault="00D73FC2" w:rsidP="005B50D9">
    <w:pPr>
      <w:pStyle w:val="Footer"/>
      <w:tabs>
        <w:tab w:val="right" w:pos="9638"/>
      </w:tabs>
    </w:pPr>
    <w:r w:rsidRPr="005B50D9">
      <w:rPr>
        <w:b/>
        <w:sz w:val="18"/>
      </w:rPr>
      <w:fldChar w:fldCharType="begin"/>
    </w:r>
    <w:r w:rsidRPr="005B50D9">
      <w:rPr>
        <w:b/>
        <w:sz w:val="18"/>
      </w:rPr>
      <w:instrText xml:space="preserve"> PAGE  \* MERGEFORMAT </w:instrText>
    </w:r>
    <w:r w:rsidRPr="005B50D9">
      <w:rPr>
        <w:b/>
        <w:sz w:val="18"/>
      </w:rPr>
      <w:fldChar w:fldCharType="separate"/>
    </w:r>
    <w:r w:rsidR="0095038B">
      <w:rPr>
        <w:b/>
        <w:noProof/>
        <w:sz w:val="18"/>
      </w:rPr>
      <w:t>4</w:t>
    </w:r>
    <w:r w:rsidRPr="005B50D9">
      <w:rPr>
        <w:b/>
        <w:sz w:val="18"/>
      </w:rPr>
      <w:fldChar w:fldCharType="end"/>
    </w:r>
    <w:r>
      <w:rPr>
        <w:b/>
        <w:sz w:val="18"/>
      </w:rPr>
      <w:tab/>
    </w:r>
    <w:r>
      <w:t>GE.14-22486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C2" w:rsidRPr="005B50D9" w:rsidRDefault="00D73FC2" w:rsidP="005B50D9">
    <w:pPr>
      <w:pStyle w:val="Footer"/>
      <w:tabs>
        <w:tab w:val="right" w:pos="9638"/>
      </w:tabs>
      <w:rPr>
        <w:b/>
        <w:sz w:val="18"/>
      </w:rPr>
    </w:pPr>
    <w:r>
      <w:t>GE.14-22486</w:t>
    </w:r>
    <w:r>
      <w:tab/>
    </w:r>
    <w:r w:rsidRPr="005B50D9">
      <w:rPr>
        <w:b/>
        <w:sz w:val="18"/>
      </w:rPr>
      <w:fldChar w:fldCharType="begin"/>
    </w:r>
    <w:r w:rsidRPr="005B50D9">
      <w:rPr>
        <w:b/>
        <w:sz w:val="18"/>
      </w:rPr>
      <w:instrText xml:space="preserve"> PAGE  \* MERGEFORMAT </w:instrText>
    </w:r>
    <w:r w:rsidRPr="005B50D9">
      <w:rPr>
        <w:b/>
        <w:sz w:val="18"/>
      </w:rPr>
      <w:fldChar w:fldCharType="separate"/>
    </w:r>
    <w:r w:rsidR="0095038B">
      <w:rPr>
        <w:b/>
        <w:noProof/>
        <w:sz w:val="18"/>
      </w:rPr>
      <w:t>5</w:t>
    </w:r>
    <w:r w:rsidRPr="005B50D9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C2" w:rsidRDefault="00D73FC2" w:rsidP="005B50D9">
    <w:pPr>
      <w:pStyle w:val="Footer"/>
      <w:spacing w:before="120"/>
    </w:pPr>
    <w:r>
      <w:rPr>
        <w:sz w:val="20"/>
      </w:rPr>
      <w:t>GE.14-22486</w:t>
    </w: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15pt;margin-top:651.95pt;width:86.95pt;height:18.35pt;z-index:1;mso-position-horizontal-relative:margin;mso-position-vertical-relative:margin">
          <v:imagedata r:id="rId1" o:title="recycle_French"/>
          <w10:wrap anchorx="margin" anchory="margin"/>
        </v:shape>
      </w:pict>
    </w:r>
    <w:r>
      <w:rPr>
        <w:sz w:val="20"/>
      </w:rPr>
      <w:t xml:space="preserve">  (F)    041214    051214</w:t>
    </w:r>
    <w:r>
      <w:rPr>
        <w:sz w:val="20"/>
      </w:rPr>
      <w:br/>
    </w:r>
    <w:r w:rsidRPr="005B50D9">
      <w:rPr>
        <w:rFonts w:ascii="C39T30Lfz" w:hAnsi="C39T30Lfz"/>
        <w:sz w:val="56"/>
      </w:rPr>
      <w:t></w:t>
    </w:r>
    <w:r w:rsidRPr="005B50D9">
      <w:rPr>
        <w:rFonts w:ascii="C39T30Lfz" w:hAnsi="C39T30Lfz"/>
        <w:sz w:val="56"/>
      </w:rPr>
      <w:t></w:t>
    </w:r>
    <w:r w:rsidRPr="005B50D9">
      <w:rPr>
        <w:rFonts w:ascii="C39T30Lfz" w:hAnsi="C39T30Lfz"/>
        <w:sz w:val="56"/>
      </w:rPr>
      <w:t></w:t>
    </w:r>
    <w:r w:rsidRPr="005B50D9">
      <w:rPr>
        <w:rFonts w:ascii="C39T30Lfz" w:hAnsi="C39T30Lfz"/>
        <w:sz w:val="56"/>
      </w:rPr>
      <w:t></w:t>
    </w:r>
    <w:r w:rsidRPr="005B50D9">
      <w:rPr>
        <w:rFonts w:ascii="C39T30Lfz" w:hAnsi="C39T30Lfz"/>
        <w:sz w:val="56"/>
      </w:rPr>
      <w:t></w:t>
    </w:r>
    <w:r w:rsidRPr="005B50D9">
      <w:rPr>
        <w:rFonts w:ascii="C39T30Lfz" w:hAnsi="C39T30Lfz"/>
        <w:sz w:val="56"/>
      </w:rPr>
      <w:t></w:t>
    </w:r>
    <w:r w:rsidRPr="005B50D9">
      <w:rPr>
        <w:rFonts w:ascii="C39T30Lfz" w:hAnsi="C39T30Lfz"/>
        <w:sz w:val="56"/>
      </w:rPr>
      <w:t></w:t>
    </w:r>
    <w:r w:rsidRPr="005B50D9">
      <w:rPr>
        <w:rFonts w:ascii="C39T30Lfz" w:hAnsi="C39T30Lfz"/>
        <w:sz w:val="56"/>
      </w:rPr>
      <w:t></w:t>
    </w:r>
    <w:r w:rsidRPr="005B50D9">
      <w:rPr>
        <w:rFonts w:ascii="C39T30Lfz" w:hAnsi="C39T30Lfz"/>
        <w:sz w:val="56"/>
      </w:rPr>
      <w:t></w:t>
    </w:r>
    <w:r>
      <w:rPr>
        <w:noProof/>
        <w:lang w:val="fr-FR" w:eastAsia="fr-FR"/>
      </w:rPr>
      <w:pict>
        <v:shape id="_x0000_s2050" type="#_x0000_t75" style="position:absolute;margin-left:432.25pt;margin-top:632.1pt;width:50.25pt;height:50.25pt;z-index:2;mso-position-horizontal-relative:margin;mso-position-vertical-relative:margin">
          <v:imagedata r:id="rId2" o:title="6&amp;Size=2&amp;Lang=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6A" w:rsidRPr="00D27D5E" w:rsidRDefault="00725C6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5C6A" w:rsidRPr="00091505" w:rsidRDefault="00725C6A" w:rsidP="00091505">
      <w:pPr>
        <w:tabs>
          <w:tab w:val="right" w:pos="2155"/>
        </w:tabs>
        <w:spacing w:after="80"/>
        <w:ind w:left="680"/>
        <w:rPr>
          <w:u w:val="single"/>
        </w:rPr>
      </w:pPr>
      <w:r w:rsidRPr="00091505">
        <w:rPr>
          <w:u w:val="single"/>
        </w:rPr>
        <w:tab/>
      </w:r>
    </w:p>
  </w:footnote>
  <w:footnote w:type="continuationNotice" w:id="1">
    <w:p w:rsidR="00725C6A" w:rsidRPr="00903B66" w:rsidRDefault="00725C6A" w:rsidP="00903B66">
      <w:pPr>
        <w:spacing w:line="240" w:lineRule="auto"/>
        <w:rPr>
          <w:sz w:val="2"/>
          <w:szCs w:val="2"/>
        </w:rPr>
      </w:pPr>
    </w:p>
  </w:footnote>
  <w:footnote w:id="2">
    <w:p w:rsidR="00D73FC2" w:rsidRPr="00835DB6" w:rsidRDefault="00D73FC2">
      <w:pPr>
        <w:pStyle w:val="FootnoteText"/>
      </w:pPr>
      <w:r>
        <w:tab/>
      </w:r>
      <w:r w:rsidRPr="00835DB6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rPr>
          <w:lang w:eastAsia="en-GB"/>
        </w:rPr>
        <w:t xml:space="preserve">Adoptée par le Comité à sa </w:t>
      </w:r>
      <w:r w:rsidRPr="007E7A8B">
        <w:rPr>
          <w:lang w:eastAsia="en-GB"/>
        </w:rPr>
        <w:t>112</w:t>
      </w:r>
      <w:r w:rsidRPr="007E7A8B">
        <w:rPr>
          <w:vertAlign w:val="superscript"/>
          <w:lang w:eastAsia="en-GB"/>
        </w:rPr>
        <w:t>e</w:t>
      </w:r>
      <w:r>
        <w:rPr>
          <w:lang w:eastAsia="en-GB"/>
        </w:rPr>
        <w:t> </w:t>
      </w:r>
      <w:r w:rsidRPr="009A7E25">
        <w:rPr>
          <w:lang w:eastAsia="en-GB"/>
        </w:rPr>
        <w:t>session (</w:t>
      </w:r>
      <w:r>
        <w:rPr>
          <w:lang w:eastAsia="en-GB"/>
        </w:rPr>
        <w:t>7-31 </w:t>
      </w:r>
      <w:r w:rsidRPr="007E7A8B">
        <w:rPr>
          <w:lang w:eastAsia="en-GB"/>
        </w:rPr>
        <w:t>octobre 2014</w:t>
      </w:r>
      <w:r w:rsidRPr="009A7E25">
        <w:rPr>
          <w:lang w:eastAsia="en-GB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C2" w:rsidRPr="005B50D9" w:rsidRDefault="00D73FC2">
    <w:pPr>
      <w:pStyle w:val="Header"/>
    </w:pPr>
    <w:r>
      <w:t>CCPR/C/ESP/Q/6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C2" w:rsidRPr="005B50D9" w:rsidRDefault="00D73FC2" w:rsidP="005B50D9">
    <w:pPr>
      <w:pStyle w:val="Header"/>
      <w:jc w:val="right"/>
    </w:pPr>
    <w:r>
      <w:t>CCPR/C/ESP/Q/6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8304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8A49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394"/>
    <w:rsid w:val="00016AC5"/>
    <w:rsid w:val="00091505"/>
    <w:rsid w:val="000A147A"/>
    <w:rsid w:val="000C562D"/>
    <w:rsid w:val="000E61F8"/>
    <w:rsid w:val="000F41F2"/>
    <w:rsid w:val="00160540"/>
    <w:rsid w:val="00185A70"/>
    <w:rsid w:val="00192EEB"/>
    <w:rsid w:val="001A20FB"/>
    <w:rsid w:val="001B102E"/>
    <w:rsid w:val="001B5709"/>
    <w:rsid w:val="001C3080"/>
    <w:rsid w:val="001D7F8A"/>
    <w:rsid w:val="001E3FEB"/>
    <w:rsid w:val="001E4A02"/>
    <w:rsid w:val="001F25C4"/>
    <w:rsid w:val="002053FF"/>
    <w:rsid w:val="00225A8C"/>
    <w:rsid w:val="002659F1"/>
    <w:rsid w:val="0027751F"/>
    <w:rsid w:val="00287D67"/>
    <w:rsid w:val="00287E79"/>
    <w:rsid w:val="002928F9"/>
    <w:rsid w:val="002A5D07"/>
    <w:rsid w:val="002E0222"/>
    <w:rsid w:val="002E1A7F"/>
    <w:rsid w:val="003016B7"/>
    <w:rsid w:val="00326067"/>
    <w:rsid w:val="003515AA"/>
    <w:rsid w:val="00366F5B"/>
    <w:rsid w:val="00374106"/>
    <w:rsid w:val="003976D5"/>
    <w:rsid w:val="003D6C68"/>
    <w:rsid w:val="00413931"/>
    <w:rsid w:val="004159D0"/>
    <w:rsid w:val="0042795B"/>
    <w:rsid w:val="00464EEE"/>
    <w:rsid w:val="00495701"/>
    <w:rsid w:val="00543D5E"/>
    <w:rsid w:val="00571F41"/>
    <w:rsid w:val="005B50D9"/>
    <w:rsid w:val="005E5D1F"/>
    <w:rsid w:val="00611D43"/>
    <w:rsid w:val="00612D48"/>
    <w:rsid w:val="00616B45"/>
    <w:rsid w:val="00623EC2"/>
    <w:rsid w:val="00630D9B"/>
    <w:rsid w:val="00631953"/>
    <w:rsid w:val="006439EC"/>
    <w:rsid w:val="006B4590"/>
    <w:rsid w:val="006B7CD9"/>
    <w:rsid w:val="006C340C"/>
    <w:rsid w:val="006D6394"/>
    <w:rsid w:val="0070347C"/>
    <w:rsid w:val="0071451B"/>
    <w:rsid w:val="007176C1"/>
    <w:rsid w:val="00725C6A"/>
    <w:rsid w:val="00725DC9"/>
    <w:rsid w:val="00737DEE"/>
    <w:rsid w:val="00775D99"/>
    <w:rsid w:val="00796940"/>
    <w:rsid w:val="007C7846"/>
    <w:rsid w:val="007F55CB"/>
    <w:rsid w:val="0083135C"/>
    <w:rsid w:val="00835DB6"/>
    <w:rsid w:val="00844750"/>
    <w:rsid w:val="00862E59"/>
    <w:rsid w:val="00873B3C"/>
    <w:rsid w:val="00873D3D"/>
    <w:rsid w:val="00892241"/>
    <w:rsid w:val="008A39ED"/>
    <w:rsid w:val="008A6539"/>
    <w:rsid w:val="008B44C4"/>
    <w:rsid w:val="008E7FAE"/>
    <w:rsid w:val="008F53ED"/>
    <w:rsid w:val="00903B66"/>
    <w:rsid w:val="00911BF7"/>
    <w:rsid w:val="009253B5"/>
    <w:rsid w:val="00943FFD"/>
    <w:rsid w:val="00947EC8"/>
    <w:rsid w:val="0095038B"/>
    <w:rsid w:val="00977EC8"/>
    <w:rsid w:val="00993DE6"/>
    <w:rsid w:val="009A6B02"/>
    <w:rsid w:val="009D3A8C"/>
    <w:rsid w:val="009E7956"/>
    <w:rsid w:val="00A228B4"/>
    <w:rsid w:val="00A2492E"/>
    <w:rsid w:val="00A720C2"/>
    <w:rsid w:val="00A9469F"/>
    <w:rsid w:val="00AA3390"/>
    <w:rsid w:val="00AB51C8"/>
    <w:rsid w:val="00AC67A1"/>
    <w:rsid w:val="00AC777F"/>
    <w:rsid w:val="00AC7977"/>
    <w:rsid w:val="00AE352C"/>
    <w:rsid w:val="00AF1CE8"/>
    <w:rsid w:val="00B32E2D"/>
    <w:rsid w:val="00B550C5"/>
    <w:rsid w:val="00B61990"/>
    <w:rsid w:val="00B703B1"/>
    <w:rsid w:val="00B770C1"/>
    <w:rsid w:val="00B93051"/>
    <w:rsid w:val="00BF0374"/>
    <w:rsid w:val="00BF0556"/>
    <w:rsid w:val="00BF6AF3"/>
    <w:rsid w:val="00C261F8"/>
    <w:rsid w:val="00C31A24"/>
    <w:rsid w:val="00C33100"/>
    <w:rsid w:val="00C4083C"/>
    <w:rsid w:val="00CA6A02"/>
    <w:rsid w:val="00CB5A09"/>
    <w:rsid w:val="00CD1A71"/>
    <w:rsid w:val="00CD1FBB"/>
    <w:rsid w:val="00CF5128"/>
    <w:rsid w:val="00D016B5"/>
    <w:rsid w:val="00D034F1"/>
    <w:rsid w:val="00D27D5E"/>
    <w:rsid w:val="00D35B2D"/>
    <w:rsid w:val="00D552C1"/>
    <w:rsid w:val="00D72F88"/>
    <w:rsid w:val="00D73FC2"/>
    <w:rsid w:val="00DE6D90"/>
    <w:rsid w:val="00DF002F"/>
    <w:rsid w:val="00DF3BF1"/>
    <w:rsid w:val="00E0244D"/>
    <w:rsid w:val="00E12699"/>
    <w:rsid w:val="00E144C5"/>
    <w:rsid w:val="00E2601E"/>
    <w:rsid w:val="00E368FF"/>
    <w:rsid w:val="00E81E94"/>
    <w:rsid w:val="00E82607"/>
    <w:rsid w:val="00EF318A"/>
    <w:rsid w:val="00F33865"/>
    <w:rsid w:val="00FA5A79"/>
    <w:rsid w:val="00FB0BFE"/>
    <w:rsid w:val="00FB4C51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74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BF037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0374"/>
    <w:pPr>
      <w:outlineLvl w:val="1"/>
    </w:pPr>
  </w:style>
  <w:style w:type="paragraph" w:styleId="Heading3">
    <w:name w:val="heading 3"/>
    <w:basedOn w:val="Normal"/>
    <w:next w:val="Normal"/>
    <w:qFormat/>
    <w:rsid w:val="00BF0374"/>
    <w:pPr>
      <w:outlineLvl w:val="2"/>
    </w:pPr>
  </w:style>
  <w:style w:type="paragraph" w:styleId="Heading4">
    <w:name w:val="heading 4"/>
    <w:basedOn w:val="Normal"/>
    <w:next w:val="Normal"/>
    <w:qFormat/>
    <w:rsid w:val="00BF0374"/>
    <w:pPr>
      <w:outlineLvl w:val="3"/>
    </w:pPr>
  </w:style>
  <w:style w:type="paragraph" w:styleId="Heading5">
    <w:name w:val="heading 5"/>
    <w:basedOn w:val="Normal"/>
    <w:next w:val="Normal"/>
    <w:qFormat/>
    <w:rsid w:val="00BF0374"/>
    <w:pPr>
      <w:outlineLvl w:val="4"/>
    </w:pPr>
  </w:style>
  <w:style w:type="paragraph" w:styleId="Heading6">
    <w:name w:val="heading 6"/>
    <w:basedOn w:val="Normal"/>
    <w:next w:val="Normal"/>
    <w:qFormat/>
    <w:rsid w:val="00BF0374"/>
    <w:pPr>
      <w:outlineLvl w:val="5"/>
    </w:pPr>
  </w:style>
  <w:style w:type="paragraph" w:styleId="Heading7">
    <w:name w:val="heading 7"/>
    <w:basedOn w:val="Normal"/>
    <w:next w:val="Normal"/>
    <w:qFormat/>
    <w:rsid w:val="00BF0374"/>
    <w:pPr>
      <w:outlineLvl w:val="6"/>
    </w:pPr>
  </w:style>
  <w:style w:type="paragraph" w:styleId="Heading8">
    <w:name w:val="heading 8"/>
    <w:basedOn w:val="Normal"/>
    <w:next w:val="Normal"/>
    <w:qFormat/>
    <w:rsid w:val="00BF0374"/>
    <w:pPr>
      <w:outlineLvl w:val="7"/>
    </w:pPr>
  </w:style>
  <w:style w:type="paragraph" w:styleId="Heading9">
    <w:name w:val="heading 9"/>
    <w:basedOn w:val="Normal"/>
    <w:next w:val="Normal"/>
    <w:qFormat/>
    <w:rsid w:val="00BF0374"/>
    <w:pPr>
      <w:outlineLvl w:val="8"/>
    </w:pPr>
  </w:style>
  <w:style w:type="character" w:default="1" w:styleId="DefaultParagraphFont">
    <w:name w:val="Default Paragraph Font"/>
    <w:semiHidden/>
    <w:rsid w:val="00BF037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F0374"/>
  </w:style>
  <w:style w:type="paragraph" w:customStyle="1" w:styleId="HMG">
    <w:name w:val="_ H __M_G"/>
    <w:basedOn w:val="Normal"/>
    <w:next w:val="Normal"/>
    <w:rsid w:val="00BF03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BF03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BF03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F03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03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03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BF037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037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037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037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037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F0374"/>
    <w:pPr>
      <w:numPr>
        <w:numId w:val="6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0374"/>
    <w:pPr>
      <w:numPr>
        <w:numId w:val="7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BF037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0374"/>
  </w:style>
  <w:style w:type="paragraph" w:styleId="Header">
    <w:name w:val="header"/>
    <w:aliases w:val="6_G"/>
    <w:basedOn w:val="Normal"/>
    <w:next w:val="Normal"/>
    <w:rsid w:val="00BF037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BF037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0374"/>
  </w:style>
  <w:style w:type="character" w:styleId="PageNumber">
    <w:name w:val="page number"/>
    <w:aliases w:val="7_G"/>
    <w:basedOn w:val="DefaultParagraphFont"/>
    <w:rsid w:val="00BF0374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0374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semiHidden/>
    <w:rsid w:val="00BF0374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BF0374"/>
    <w:rPr>
      <w:color w:val="0000FF"/>
      <w:u w:val="none"/>
    </w:rPr>
  </w:style>
  <w:style w:type="paragraph" w:customStyle="1" w:styleId="ParNoG">
    <w:name w:val="_ParNo_G"/>
    <w:basedOn w:val="SingleTxtG"/>
    <w:rsid w:val="00BF0374"/>
    <w:pPr>
      <w:numPr>
        <w:numId w:val="8"/>
      </w:numPr>
    </w:pPr>
  </w:style>
  <w:style w:type="table" w:styleId="TableGrid">
    <w:name w:val="Table Grid"/>
    <w:basedOn w:val="TableNormal"/>
    <w:semiHidden/>
    <w:rsid w:val="00BF037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0</TotalTime>
  <Pages>5</Pages>
  <Words>2258</Words>
  <Characters>12445</Characters>
  <Application>Microsoft Office Outlook</Application>
  <DocSecurity>4</DocSecurity>
  <Lines>194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CCPR/C/ESP/Q/6</vt:lpstr>
    </vt:vector>
  </TitlesOfParts>
  <Company>CSD</Company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CCPR/C/ESP/Q/6</dc:title>
  <dc:subject>final</dc:subject>
  <dc:creator>Marie Deschamps</dc:creator>
  <cp:keywords/>
  <dc:description/>
  <cp:lastModifiedBy>Deschamps</cp:lastModifiedBy>
  <cp:revision>2</cp:revision>
  <cp:lastPrinted>2014-12-05T06:34:00Z</cp:lastPrinted>
  <dcterms:created xsi:type="dcterms:W3CDTF">2014-12-05T07:03:00Z</dcterms:created>
  <dcterms:modified xsi:type="dcterms:W3CDTF">2014-12-05T07:03:00Z</dcterms:modified>
</cp:coreProperties>
</file>