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消除对妇女歧视委员会</w:t>
      </w:r>
    </w:p>
    <w:p w:rsidR="00000000" w:rsidRDefault="00000000">
      <w:pPr>
        <w:spacing w:before="60" w:after="60"/>
        <w:jc w:val="both"/>
        <w:rPr>
          <w:rFonts w:ascii="SimHei" w:eastAsia="SimHei" w:hint="eastAsia"/>
          <w:color w:val="FF0000"/>
        </w:rPr>
      </w:pPr>
      <w:r>
        <w:rPr>
          <w:rFonts w:ascii="SimHei" w:eastAsia="SimHei" w:hint="eastAsia"/>
          <w:color w:val="FF0000"/>
        </w:rPr>
        <w:t>会前工作组</w:t>
      </w:r>
    </w:p>
    <w:p w:rsidR="00000000" w:rsidRDefault="00000000">
      <w:pPr>
        <w:spacing w:before="60" w:after="60"/>
        <w:jc w:val="both"/>
        <w:rPr>
          <w:rFonts w:ascii="SimHei" w:eastAsia="SimHei" w:hint="eastAsia"/>
          <w:color w:val="FF0000"/>
        </w:rPr>
      </w:pPr>
      <w:r>
        <w:rPr>
          <w:rFonts w:ascii="SimHei" w:eastAsia="SimHei" w:hint="eastAsia"/>
          <w:color w:val="FF0000"/>
        </w:rPr>
        <w:t>第三十四届会议</w:t>
      </w:r>
    </w:p>
    <w:p w:rsidR="00000000" w:rsidRDefault="00000000">
      <w:pPr>
        <w:jc w:val="both"/>
        <w:rPr>
          <w:rFonts w:hint="eastAsia"/>
        </w:rPr>
      </w:pPr>
      <w:r>
        <w:rPr>
          <w:rFonts w:hint="eastAsia"/>
        </w:rPr>
        <w:t>2006年1月16日至2月3日</w:t>
      </w:r>
    </w:p>
    <w:p w:rsidR="00000000" w:rsidRDefault="00000000">
      <w:pPr>
        <w:pStyle w:val="SingleTxt"/>
        <w:rPr>
          <w:rFonts w:hint="eastAsia"/>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关于审议定期报告的各种问题的清单</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40" w:after="140"/>
        <w:ind w:left="1264" w:right="1264" w:hanging="1264"/>
        <w:jc w:val="both"/>
        <w:rPr>
          <w:rFonts w:hint="eastAsia"/>
        </w:rPr>
      </w:pPr>
      <w:r>
        <w:rPr>
          <w:rFonts w:hint="eastAsia"/>
        </w:rPr>
        <w:tab/>
      </w:r>
      <w:r>
        <w:rPr>
          <w:rFonts w:hint="eastAsia"/>
        </w:rPr>
        <w:tab/>
        <w:t>泰国</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导言</w:t>
      </w:r>
    </w:p>
    <w:p w:rsidR="00000000" w:rsidRDefault="00000000">
      <w:pPr>
        <w:pStyle w:val="SingleTxt"/>
        <w:rPr>
          <w:rFonts w:hint="eastAsia"/>
        </w:rPr>
      </w:pPr>
      <w:r>
        <w:rPr>
          <w:rFonts w:hint="eastAsia"/>
        </w:rPr>
        <w:t>1.</w:t>
      </w:r>
      <w:r>
        <w:rPr>
          <w:rFonts w:hint="eastAsia"/>
        </w:rPr>
        <w:tab/>
        <w:t>会前工作组审议了泰国合并</w:t>
      </w:r>
      <w:r>
        <w:rPr>
          <w:rFonts w:hint="eastAsia"/>
          <w:spacing w:val="6"/>
        </w:rPr>
        <w:t>的第四次和第五次定期报告（CEDAW/C/</w:t>
      </w:r>
      <w:r>
        <w:rPr>
          <w:rFonts w:hint="eastAsia"/>
        </w:rPr>
        <w:t>THA/</w:t>
      </w:r>
      <w:r>
        <w:br/>
      </w:r>
      <w:r>
        <w:rPr>
          <w:rFonts w:hint="eastAsia"/>
        </w:rPr>
        <w:t>4</w:t>
      </w:r>
      <w:r>
        <w:t>-5</w:t>
      </w:r>
      <w:r>
        <w:rPr>
          <w:rFonts w:hint="eastAsia"/>
        </w:rPr>
        <w:t>）。</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宪法、立法和提高妇女地位的国家机制</w:t>
      </w:r>
    </w:p>
    <w:p w:rsidR="00000000" w:rsidRDefault="00000000">
      <w:pPr>
        <w:pStyle w:val="SingleTxt"/>
        <w:rPr>
          <w:rFonts w:hint="eastAsia"/>
        </w:rPr>
      </w:pPr>
      <w:r>
        <w:rPr>
          <w:rFonts w:hint="eastAsia"/>
        </w:rPr>
        <w:t>2.</w:t>
      </w:r>
      <w:r>
        <w:rPr>
          <w:rFonts w:hint="eastAsia"/>
        </w:rPr>
        <w:tab/>
        <w:t>委员会在其先前的结论意见中建议，应制定具体的反歧视法规。但是，该报告表示泰国的法律尚未列入关于歧视的清楚的定义，但是已在努力制定关于消除对妇女歧视的法律。请通知委员会该法的主要内容和进展以及它是否列入《消除对妇女一切形式歧视公约》中关于歧视的定义。</w:t>
      </w:r>
    </w:p>
    <w:p w:rsidR="00000000" w:rsidRDefault="00000000">
      <w:pPr>
        <w:pStyle w:val="SingleTxt"/>
        <w:rPr>
          <w:rFonts w:hint="eastAsia"/>
        </w:rPr>
      </w:pPr>
      <w:r>
        <w:rPr>
          <w:rFonts w:hint="eastAsia"/>
        </w:rPr>
        <w:t>3.</w:t>
      </w:r>
      <w:r>
        <w:rPr>
          <w:rFonts w:hint="eastAsia"/>
        </w:rPr>
        <w:tab/>
        <w:t>该报告表示，监察员办公室是维护人权的另一个机构，人民可以向它提出遭受政府不公平待遇的指控。请向委员会提供详细资料，说明在过去五年收到多少案件，其中多少与妇女权利有关。</w:t>
      </w:r>
    </w:p>
    <w:p w:rsidR="00000000" w:rsidRDefault="00000000">
      <w:pPr>
        <w:pStyle w:val="SingleTxt"/>
        <w:rPr>
          <w:rFonts w:hint="eastAsia"/>
        </w:rPr>
      </w:pPr>
      <w:r>
        <w:rPr>
          <w:rFonts w:hint="eastAsia"/>
        </w:rPr>
        <w:t>4.</w:t>
      </w:r>
      <w:r>
        <w:rPr>
          <w:rFonts w:hint="eastAsia"/>
        </w:rPr>
        <w:tab/>
        <w:t>请提供最新资料，说明提高妇女地位的国家机制在组织和任务方面最近的变动，以及那些变动对其协调执行公约的专门知识和能力的影响的评估。</w:t>
      </w:r>
    </w:p>
    <w:p w:rsidR="00000000" w:rsidRDefault="00000000">
      <w:pPr>
        <w:pStyle w:val="SingleTxt"/>
        <w:rPr>
          <w:rFonts w:hint="eastAsia"/>
        </w:rPr>
      </w:pPr>
      <w:r>
        <w:rPr>
          <w:rFonts w:hint="eastAsia"/>
        </w:rPr>
        <w:t>5.</w:t>
      </w:r>
      <w:r>
        <w:rPr>
          <w:rFonts w:hint="eastAsia"/>
        </w:rPr>
        <w:tab/>
        <w:t>该报告叙述在起草法规时考虑到性别观点所利用的两个程序：非政府组织参加一个拟订法律的特别委员会，以及泰国公民有权向议会提出要求，要求议会审议法律（第42段）。请举出具体例子，说明何时已执行那些程序。</w:t>
      </w:r>
    </w:p>
    <w:p w:rsidR="00000000" w:rsidRDefault="00000000">
      <w:pPr>
        <w:pStyle w:val="SingleTxt"/>
        <w:rPr>
          <w:rFonts w:hint="eastAsia"/>
        </w:rPr>
      </w:pPr>
      <w:r>
        <w:rPr>
          <w:rFonts w:hint="eastAsia"/>
        </w:rPr>
        <w:t>6.</w:t>
      </w:r>
      <w:r>
        <w:rPr>
          <w:rFonts w:hint="eastAsia"/>
        </w:rPr>
        <w:tab/>
        <w:t>根据委员会的意见，对第16条的保留违反公约的目的和宗旨，请提供关于计划撤回泰国的保留以及使《家庭法》与公约第16条一致的资料。</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对妇女的暴力行为</w:t>
      </w:r>
    </w:p>
    <w:p w:rsidR="00000000" w:rsidRDefault="00000000">
      <w:pPr>
        <w:pStyle w:val="SingleTxt"/>
        <w:rPr>
          <w:rFonts w:hint="eastAsia"/>
        </w:rPr>
      </w:pPr>
      <w:r>
        <w:rPr>
          <w:rFonts w:hint="eastAsia"/>
        </w:rPr>
        <w:t>7.</w:t>
      </w:r>
      <w:r>
        <w:rPr>
          <w:rFonts w:hint="eastAsia"/>
        </w:rPr>
        <w:tab/>
        <w:t>该报告指出各种形式对妇女的暴力行为持续存在，而且很少将私人领域的暴力行为提交法院。请表示是否有计划要举办全国人口为基础的调查，以评估对妇女的暴力行为的程度。该报告还写下增加对于对妇女的暴力行为的社会认识和了解的广泛措施。请对那些方案的效力以及能做什么来加强它们，以便妇女了解其权利及利用现有的程序和补救办法表示意见。</w:t>
      </w:r>
    </w:p>
    <w:p w:rsidR="00000000" w:rsidRDefault="00000000">
      <w:pPr>
        <w:pStyle w:val="SingleTxt"/>
        <w:rPr>
          <w:rFonts w:hint="eastAsia"/>
        </w:rPr>
      </w:pPr>
      <w:r>
        <w:rPr>
          <w:rFonts w:hint="eastAsia"/>
        </w:rPr>
        <w:t>8.</w:t>
      </w:r>
      <w:r>
        <w:rPr>
          <w:rFonts w:hint="eastAsia"/>
        </w:rPr>
        <w:tab/>
        <w:t>请告诉委员会反家庭暴力法草案（第62</w:t>
      </w:r>
      <w:r>
        <w:t>(</w:t>
      </w:r>
      <w:r>
        <w:rPr>
          <w:rFonts w:hint="eastAsia"/>
        </w:rPr>
        <w:t>3</w:t>
      </w:r>
      <w:r>
        <w:t>)</w:t>
      </w:r>
      <w:r>
        <w:rPr>
          <w:rFonts w:hint="eastAsia"/>
        </w:rPr>
        <w:t>段）的现况和内容。请表示它是否载有关于夫对妻的强奸和在工作场所以外的性骚扰的条款以及关于保证被殴打的妇女和女孩得到支助服务的条款。</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贩运和利用卖淫</w:t>
      </w:r>
    </w:p>
    <w:p w:rsidR="00000000" w:rsidRDefault="00000000">
      <w:pPr>
        <w:pStyle w:val="SingleTxt"/>
        <w:spacing w:before="140"/>
        <w:rPr>
          <w:rFonts w:hint="eastAsia"/>
        </w:rPr>
      </w:pPr>
      <w:r>
        <w:rPr>
          <w:rFonts w:hint="eastAsia"/>
        </w:rPr>
        <w:t>9.</w:t>
      </w:r>
      <w:r>
        <w:rPr>
          <w:rFonts w:hint="eastAsia"/>
        </w:rPr>
        <w:tab/>
        <w:t>该报告指出，1996年的《防止和压制卖淫法》涵盖利用妇女卖淫问题。请提供资料，说明在该法规下的逮捕和定罪率。</w:t>
      </w:r>
    </w:p>
    <w:p w:rsidR="00000000" w:rsidRDefault="00000000">
      <w:pPr>
        <w:pStyle w:val="SingleTxt"/>
        <w:rPr>
          <w:rFonts w:hint="eastAsia"/>
        </w:rPr>
      </w:pPr>
      <w:r>
        <w:rPr>
          <w:rFonts w:hint="eastAsia"/>
        </w:rPr>
        <w:t>10.</w:t>
      </w:r>
      <w:r>
        <w:rPr>
          <w:rFonts w:hint="eastAsia"/>
        </w:rPr>
        <w:tab/>
        <w:t>请阐明贩运的受害人在起诉商业机构的拉皮条者或所有人的案件中作证时能否获得保护证人的服务。</w:t>
      </w:r>
    </w:p>
    <w:p w:rsidR="00000000" w:rsidRDefault="00000000">
      <w:pPr>
        <w:pStyle w:val="SingleTxt"/>
        <w:rPr>
          <w:rFonts w:hint="eastAsia"/>
        </w:rPr>
      </w:pPr>
      <w:r>
        <w:rPr>
          <w:rFonts w:hint="eastAsia"/>
        </w:rPr>
        <w:t>11.</w:t>
      </w:r>
      <w:r>
        <w:rPr>
          <w:rFonts w:hint="eastAsia"/>
        </w:rPr>
        <w:tab/>
        <w:t>该报告指出泰国政府和非政府组织为了帮助贩运和商业性剥削的受害人所制定的一些方案。请提供最新资料，说明处理贩运妇女和女孩的具体措施以及其在国家一级的执行和协调情况。</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参与公共生活和决策</w:t>
      </w:r>
    </w:p>
    <w:p w:rsidR="00000000" w:rsidRDefault="00000000">
      <w:pPr>
        <w:pStyle w:val="SingleTxt"/>
        <w:rPr>
          <w:rFonts w:hint="eastAsia"/>
        </w:rPr>
      </w:pPr>
      <w:r>
        <w:rPr>
          <w:rFonts w:hint="eastAsia"/>
        </w:rPr>
        <w:t>12.</w:t>
      </w:r>
      <w:r>
        <w:rPr>
          <w:rFonts w:hint="eastAsia"/>
        </w:rPr>
        <w:tab/>
        <w:t>该报告简短地提及已执行的几项暂时性的特别措施。请详细叙述那些方案，包括是否已制定定额制度或基准，以增加妇女参加所有阶层的公共和政治生活以及各级政府和部门。</w:t>
      </w:r>
    </w:p>
    <w:p w:rsidR="00000000" w:rsidRDefault="00000000">
      <w:pPr>
        <w:pStyle w:val="SingleTxt"/>
        <w:rPr>
          <w:rFonts w:hint="eastAsia"/>
        </w:rPr>
      </w:pPr>
      <w:r>
        <w:rPr>
          <w:rFonts w:hint="eastAsia"/>
        </w:rPr>
        <w:t>13.</w:t>
      </w:r>
      <w:r>
        <w:rPr>
          <w:rFonts w:hint="eastAsia"/>
        </w:rPr>
        <w:tab/>
        <w:t>该报告举出传统的陈规定型观念和态度，作为家庭和社区不支持妇女参政的理由，以及妇女和女孩自己对公共部门没兴趣的理由（第23段）。叙述专门鼓励女孩和年轻妇女参加公民活动和培养她们成为社区领袖和政治领域的方案或活动，或在社区和整个社会举办的使对性别问题敏感的活动。</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定型观念和教育</w:t>
      </w:r>
    </w:p>
    <w:p w:rsidR="00000000" w:rsidRDefault="00000000">
      <w:pPr>
        <w:pStyle w:val="SingleTxt"/>
        <w:spacing w:before="140"/>
        <w:rPr>
          <w:rFonts w:hint="eastAsia"/>
        </w:rPr>
      </w:pPr>
      <w:r>
        <w:rPr>
          <w:rFonts w:hint="eastAsia"/>
        </w:rPr>
        <w:t>14.</w:t>
      </w:r>
      <w:r>
        <w:rPr>
          <w:rFonts w:hint="eastAsia"/>
        </w:rPr>
        <w:tab/>
        <w:t>委员会在其先前的结论意见中建议为决策者、行政人员、法律人员和在卫生与教育部门的专业人员拟订宣传方案，而且应订正教科书，以消除关于妇女和女孩的陈规定型观念。虽然该报告提到预期的教育改革是改变传统态度的方法，但是它对于将执行改革的教育领域、将列入哪些具体方案、是否在教育以外的其他部门正在计划类似措施提供很少详情。请向委员会提供前述资料。</w:t>
      </w:r>
    </w:p>
    <w:p w:rsidR="00000000" w:rsidRDefault="00000000">
      <w:pPr>
        <w:pStyle w:val="SingleTxt"/>
        <w:rPr>
          <w:rFonts w:hint="eastAsia"/>
        </w:rPr>
      </w:pPr>
      <w:r>
        <w:rPr>
          <w:rFonts w:hint="eastAsia"/>
        </w:rPr>
        <w:t>15.</w:t>
      </w:r>
      <w:r>
        <w:rPr>
          <w:rFonts w:hint="eastAsia"/>
        </w:rPr>
        <w:tab/>
        <w:t>该报告指出，女学生仍然集中在家政、商务和旅游业等传统领域，一般不鼓励她们进入非传统的部门，因为认为那样做不适当，而且她们最后会面临就业问题（第154段）。请叙述自上次报告以来女生在非传统领域就读的趋势，同时表示是否制定了有时限的指标或目标，以增加女生在非传统领域就读的人数。</w:t>
      </w:r>
    </w:p>
    <w:p w:rsidR="00000000" w:rsidRDefault="00000000">
      <w:pPr>
        <w:pStyle w:val="SingleTxt"/>
        <w:rPr>
          <w:rFonts w:hint="eastAsia"/>
        </w:rPr>
      </w:pPr>
      <w:r>
        <w:rPr>
          <w:rFonts w:hint="eastAsia"/>
        </w:rPr>
        <w:t>16.</w:t>
      </w:r>
      <w:r>
        <w:rPr>
          <w:rFonts w:hint="eastAsia"/>
        </w:rPr>
        <w:tab/>
        <w:t>请提供资料，说明在农村地区和都市地区女孩和男孩在小学的入学比例和退学率。如果父母或监护人不把其学龄儿童送去学校会发生什么？会处罚吗？</w:t>
      </w:r>
    </w:p>
    <w:p w:rsidR="00000000" w:rsidRDefault="00000000">
      <w:pPr>
        <w:pStyle w:val="SingleTxt"/>
        <w:rPr>
          <w:rFonts w:hint="eastAsia"/>
        </w:rPr>
      </w:pPr>
      <w:r>
        <w:rPr>
          <w:rFonts w:hint="eastAsia"/>
        </w:rPr>
        <w:t>17.</w:t>
      </w:r>
      <w:r>
        <w:rPr>
          <w:rFonts w:hint="eastAsia"/>
        </w:rPr>
        <w:tab/>
        <w:t>该报告对于支持妇女和男子调和其家庭和工作责任的措施，提供很少资料。请提供资料，说明已制定哪些具体措施来克服为妇女参加劳动市场制造障碍的陈规定型观念以及便利分担家庭和工作责任。</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就业和经济的赋予权力</w:t>
      </w:r>
    </w:p>
    <w:p w:rsidR="00000000" w:rsidRDefault="00000000">
      <w:pPr>
        <w:pStyle w:val="SingleTxt"/>
        <w:spacing w:before="140"/>
        <w:rPr>
          <w:rFonts w:hint="eastAsia"/>
        </w:rPr>
      </w:pPr>
      <w:r>
        <w:rPr>
          <w:rFonts w:hint="eastAsia"/>
        </w:rPr>
        <w:t>18.</w:t>
      </w:r>
      <w:r>
        <w:rPr>
          <w:rFonts w:hint="eastAsia"/>
        </w:rPr>
        <w:tab/>
        <w:t>虽然该报告指出，法律批准同酬，但它没有提供关于男女之间付薪公平的现行趋势的资料。请告诉委员会，在每个部门，在同样层级的年资、负类似层级的责任的男子和妇女之间现在是否存在工资差距。</w:t>
      </w:r>
    </w:p>
    <w:p w:rsidR="00000000" w:rsidRDefault="00000000">
      <w:pPr>
        <w:pStyle w:val="SingleTxt"/>
        <w:rPr>
          <w:rFonts w:hint="eastAsia"/>
        </w:rPr>
      </w:pPr>
      <w:r>
        <w:rPr>
          <w:rFonts w:hint="eastAsia"/>
        </w:rPr>
        <w:t>19.</w:t>
      </w:r>
      <w:r>
        <w:rPr>
          <w:rFonts w:hint="eastAsia"/>
        </w:rPr>
        <w:tab/>
        <w:t>已采取或已执行什么措施来对付在工作场所的性骚扰？有无任何方案以确保较有力地执行1998年的《劳动保护法》或加强其防止性骚扰的规定？</w:t>
      </w:r>
    </w:p>
    <w:p w:rsidR="00000000" w:rsidRDefault="00000000">
      <w:pPr>
        <w:pStyle w:val="SingleTxt"/>
        <w:rPr>
          <w:rFonts w:hint="eastAsia"/>
        </w:rPr>
      </w:pPr>
      <w:r>
        <w:rPr>
          <w:rFonts w:hint="eastAsia"/>
        </w:rPr>
        <w:t>20.</w:t>
      </w:r>
      <w:r>
        <w:rPr>
          <w:rFonts w:hint="eastAsia"/>
        </w:rPr>
        <w:tab/>
        <w:t>委员会在其以前的结论意见中对于年轻女孩离开学校进入劳动市场表示关心。请提供详细资料，说明年轻女孩参加劳动市场的比例以及已制定什么保护措施来防止剥削童工。</w:t>
      </w:r>
    </w:p>
    <w:p w:rsidR="00000000" w:rsidRDefault="00000000">
      <w:pPr>
        <w:pStyle w:val="SingleTxt"/>
        <w:rPr>
          <w:rFonts w:hint="eastAsia"/>
        </w:rPr>
      </w:pPr>
      <w:r>
        <w:rPr>
          <w:rFonts w:hint="eastAsia"/>
        </w:rPr>
        <w:t>21.</w:t>
      </w:r>
      <w:r>
        <w:rPr>
          <w:rFonts w:hint="eastAsia"/>
        </w:rPr>
        <w:tab/>
        <w:t>该报告说，在家庭劳动者中，将近80％是妇女（第187段）。福利和劳工保护部、劳工部和社会福利处关于家庭劳动者已执行什么方案和政策？有无计划要将家庭劳动者以及在非正式部门的其他工人纳入《社会保险法》？</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保健</w:t>
      </w:r>
    </w:p>
    <w:p w:rsidR="00000000" w:rsidRDefault="00000000">
      <w:pPr>
        <w:pStyle w:val="SingleTxt"/>
        <w:spacing w:before="140"/>
        <w:rPr>
          <w:rFonts w:hint="eastAsia"/>
        </w:rPr>
      </w:pPr>
      <w:r>
        <w:rPr>
          <w:rFonts w:hint="eastAsia"/>
        </w:rPr>
        <w:t>22.</w:t>
      </w:r>
      <w:r>
        <w:rPr>
          <w:rFonts w:hint="eastAsia"/>
        </w:rPr>
        <w:tab/>
        <w:t>该报告表示，在都市地区和农村地区之间在享有保健服务和工作人员的服务方面存在重大的不公平（第240段）。已采取什么措施来消除该差距？此外，提供资料，说明是否已评估30铢方案，以评估农村和都市的穷人、山区部落及其他族裔群体获得基本服务的机会。</w:t>
      </w:r>
    </w:p>
    <w:p w:rsidR="00000000" w:rsidRDefault="00000000">
      <w:pPr>
        <w:pStyle w:val="SingleTxt"/>
        <w:rPr>
          <w:rFonts w:hint="eastAsia"/>
        </w:rPr>
      </w:pPr>
      <w:r>
        <w:rPr>
          <w:rFonts w:hint="eastAsia"/>
        </w:rPr>
        <w:t>23.</w:t>
      </w:r>
      <w:r>
        <w:rPr>
          <w:rFonts w:hint="eastAsia"/>
        </w:rPr>
        <w:tab/>
        <w:t>该报告说，不是因为产妇的健康或强奸的理由所进行的堕胎都是非法的（第217段）。请提供详细资料，说明已什么措施可确保妇女和男子获得与避孕药具和计划生育有关的资料和服务，并且说明向他们提供何种生殖健康服务。</w:t>
      </w:r>
    </w:p>
    <w:p w:rsidR="00000000" w:rsidRDefault="00000000">
      <w:pPr>
        <w:pStyle w:val="SingleTxt"/>
        <w:rPr>
          <w:rFonts w:hint="eastAsia"/>
        </w:rPr>
      </w:pPr>
      <w:r>
        <w:rPr>
          <w:rFonts w:hint="eastAsia"/>
        </w:rPr>
        <w:t>24.</w:t>
      </w:r>
      <w:r>
        <w:rPr>
          <w:rFonts w:hint="eastAsia"/>
        </w:rPr>
        <w:tab/>
        <w:t>暴力侵害妇女行为及其因果问题特别报告员在其2005年关于艾滋病毒/艾滋病的报告中说，在泰国“感染艾滋病毒的妇女，75％可能是由丈夫感染的”（E/CN.4/2005/72，第33段）。请提供详细资料，说明有什么方案提高对配偶之间以及母亲和子女之间传染艾滋病毒/艾滋病的认识，并且说明其实质的内容和影响。</w:t>
      </w:r>
    </w:p>
    <w:p w:rsidR="00000000" w:rsidRDefault="00000000">
      <w:pPr>
        <w:pStyle w:val="SingleTxt"/>
        <w:rPr>
          <w:rFonts w:hint="eastAsia"/>
        </w:rPr>
      </w:pPr>
      <w:r>
        <w:rPr>
          <w:rFonts w:hint="eastAsia"/>
        </w:rPr>
        <w:t>25.</w:t>
      </w:r>
      <w:r>
        <w:rPr>
          <w:rFonts w:hint="eastAsia"/>
        </w:rPr>
        <w:tab/>
        <w:t>委员会在其先前的结论意见中对在泰国妇女之间的自杀和心理疾病的比例高表示关切。但是，该报告说，自杀率和心理疾病的存在继续上升。请叙述已制定什么措施以加强妇女的心理健康，以及叙述对那些使妇女认识心理疾病、并且指示她们如何获得她们需要的医疗注意和咨询的措施的效力进行评估的工作。</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农村的弱势妇女</w:t>
      </w:r>
    </w:p>
    <w:p w:rsidR="00000000" w:rsidRDefault="00000000">
      <w:pPr>
        <w:pStyle w:val="SingleTxt"/>
        <w:spacing w:before="140"/>
        <w:rPr>
          <w:rFonts w:hint="eastAsia"/>
        </w:rPr>
      </w:pPr>
      <w:r>
        <w:rPr>
          <w:rFonts w:hint="eastAsia"/>
        </w:rPr>
        <w:t>26.</w:t>
      </w:r>
      <w:r>
        <w:rPr>
          <w:rFonts w:hint="eastAsia"/>
        </w:rPr>
        <w:tab/>
        <w:t>请提供资料，说明生活在贫穷中的农村妇女以及由政府进行的减贫项目、尤其是针对妇女的项目的影响。</w:t>
      </w:r>
    </w:p>
    <w:p w:rsidR="00000000" w:rsidRDefault="00000000">
      <w:pPr>
        <w:pStyle w:val="SingleTxt"/>
        <w:rPr>
          <w:rFonts w:hint="eastAsia"/>
        </w:rPr>
      </w:pPr>
      <w:r>
        <w:rPr>
          <w:rFonts w:hint="eastAsia"/>
        </w:rPr>
        <w:t>27.</w:t>
      </w:r>
      <w:r>
        <w:rPr>
          <w:rFonts w:hint="eastAsia"/>
        </w:rPr>
        <w:tab/>
        <w:t>请说明农村妇女利用信贷、土地和储蓄合作社的机会。特别是，请告诉委员会人民银行提供的无担保贷款有多少是给予农村妇女以及缔约国如何打算增加农村妇女在合作社的作用。</w:t>
      </w:r>
    </w:p>
    <w:p w:rsidR="00000000" w:rsidRDefault="00000000">
      <w:pPr>
        <w:pStyle w:val="SingleTxt"/>
        <w:rPr>
          <w:rFonts w:hint="eastAsia"/>
        </w:rPr>
      </w:pPr>
      <w:r>
        <w:rPr>
          <w:rFonts w:hint="eastAsia"/>
        </w:rPr>
        <w:t>28.</w:t>
      </w:r>
      <w:r>
        <w:rPr>
          <w:rFonts w:hint="eastAsia"/>
        </w:rPr>
        <w:tab/>
        <w:t>委员会在其先前的结论意见中对山区部落妇女和女孩可能未受国家法律保护表示关切，并且建议制定立法和其他措施来保护她们。请提供资料，说明已采取什么步骤来执行那些建议。</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家庭和国籍法</w:t>
      </w:r>
    </w:p>
    <w:p w:rsidR="00000000" w:rsidRDefault="00000000">
      <w:pPr>
        <w:pStyle w:val="SingleTxt"/>
        <w:rPr>
          <w:rFonts w:hint="eastAsia"/>
        </w:rPr>
      </w:pPr>
      <w:r>
        <w:rPr>
          <w:rFonts w:hint="eastAsia"/>
        </w:rPr>
        <w:t>29.</w:t>
      </w:r>
      <w:r>
        <w:rPr>
          <w:rFonts w:hint="eastAsia"/>
        </w:rPr>
        <w:tab/>
        <w:t>该报告指出，妇女很少被指定为户主，除非她们是寡妇或被抛弃。该报告还叙述那种趋势如何妨碍妇女拥有政府分配的财产的能力。请告诉委员会缔约国是否打算修改只准许被指定的户主取得政府土地的规定，或者是否已制定其他方案以确保妇女的土地权。</w:t>
      </w:r>
    </w:p>
    <w:p w:rsidR="00000000" w:rsidRDefault="00000000">
      <w:pPr>
        <w:pStyle w:val="SingleTxt"/>
        <w:rPr>
          <w:rFonts w:hint="eastAsia"/>
        </w:rPr>
      </w:pPr>
      <w:r>
        <w:rPr>
          <w:rFonts w:hint="eastAsia"/>
        </w:rPr>
        <w:t>30.</w:t>
      </w:r>
      <w:r>
        <w:rPr>
          <w:rFonts w:hint="eastAsia"/>
        </w:rPr>
        <w:tab/>
        <w:t>缔约国在改变国籍法，以准许其女公民将公民资格延伸到其外国丈夫方面有何进展？如委员会在其先前的结论意见中建议的。</w:t>
      </w:r>
    </w:p>
    <w:p w:rsidR="00000000" w:rsidRDefault="00000000">
      <w:pPr>
        <w:pStyle w:val="SingleTxt"/>
        <w:spacing w:after="0" w:line="240" w:lineRule="auto"/>
        <w:rPr>
          <w:rFonts w:hint="eastAsia"/>
          <w:sz w:val="20"/>
        </w:rPr>
      </w:pPr>
      <w:r>
        <w:rPr>
          <w:noProof/>
          <w:sz w:val="20"/>
        </w:rPr>
        <w:pict>
          <v:line id="_x0000_s2050" style="position:absolute;left:0;text-align:left;z-index:1;mso-position-horizontal:center" from="0,30pt" to="1in,30pt" strokeweight=".25pt"/>
        </w:pict>
      </w:r>
    </w:p>
    <w:sectPr w:rsidR="00000000">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NO&gt;&gt;N0545843C&lt;&lt;ODS JOB NO&gt;&gt;</w:t>
      </w:r>
    </w:p>
    <w:p w:rsidR="00000000" w:rsidRDefault="00000000">
      <w:pPr>
        <w:pStyle w:val="CommentText"/>
      </w:pPr>
      <w:r>
        <w:t>&lt;&lt;ODS DOC SYMBOL1&gt;&gt;CEDAW/C/THA/Q/4-5&lt;&lt;ODS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4</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05-45843 (C)</w:t>
    </w:r>
  </w:p>
  <w:p w:rsidR="00000000" w:rsidRDefault="00000000">
    <w:pPr>
      <w:spacing w:before="60" w:line="200" w:lineRule="exact"/>
      <w:rPr>
        <w:rFonts w:ascii="Barcode 3 of 9 by request" w:hAnsi="Barcode 3 of 9 by request"/>
        <w:b/>
      </w:rPr>
    </w:pPr>
    <w:r>
      <w:rPr>
        <w:rFonts w:ascii="Barcode 3 of 9 by request" w:hAnsi="Barcode 3 of 9 by request"/>
        <w:b/>
      </w:rPr>
      <w:t>*0545843*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CEDAW/C/THA/Q/4-5</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CEDAW/C/THA/Q/4-5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eader"/>
            <w:spacing w:after="120"/>
          </w:pP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/C/THA/Q/4-5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p>
      </w:tc>
      <w:tc>
        <w:tcPr>
          <w:tcW w:w="5227" w:type="dxa"/>
          <w:gridSpan w:val="3"/>
          <w:tcBorders>
            <w:left w:val="nil"/>
            <w:bottom w:val="single" w:sz="12" w:space="0" w:color="auto"/>
            <w:right w:val="nil"/>
          </w:tcBorders>
        </w:tcPr>
        <w:p w:rsidR="00000000" w:rsidRDefault="00000000">
          <w:pPr>
            <w:pStyle w:val="Header"/>
            <w:spacing w:before="109"/>
          </w:pP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p>
        <w:p w:rsidR="00000000" w:rsidRDefault="00000000">
          <w:pPr>
            <w:spacing w:line="240" w:lineRule="exact"/>
            <w:rPr>
              <w:rFonts w:ascii="Times New Roman"/>
            </w:rPr>
          </w:pPr>
          <w:r>
            <w:rPr>
              <w:rFonts w:ascii="Times New Roman"/>
            </w:rPr>
            <w:t>29 July 2005</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8/10/2005 10:45 AM"/>
    <w:docVar w:name="DocCategory" w:val="PlainDoc"/>
    <w:docVar w:name="DocType" w:val="Final"/>
    <w:docVar w:name="JobNo" w:val="0545843C"/>
    <w:docVar w:name="OandT" w:val=" "/>
    <w:docVar w:name="Symbol1" w:val="CEDAW/C/THA/Q/4-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1</Pages>
  <Words>446</Words>
  <Characters>2544</Characters>
  <Application>Microsoft Office Word</Application>
  <DocSecurity>4</DocSecurity>
  <Lines>21</Lines>
  <Paragraphs>5</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CTPU.530</dc:creator>
  <cp:keywords/>
  <dc:description/>
  <cp:lastModifiedBy>CTPU.530</cp:lastModifiedBy>
  <cp:revision>11</cp:revision>
  <cp:lastPrinted>2005-10-18T12:08:00Z</cp:lastPrinted>
  <dcterms:created xsi:type="dcterms:W3CDTF">2005-10-18T08:45:00Z</dcterms:created>
  <dcterms:modified xsi:type="dcterms:W3CDTF">2005-10-18T12:09:00Z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0545843</vt:lpwstr>
  </property>
  <property fmtid="{D5CDD505-2E9C-101B-9397-08002B2CF9AE}" pid="3" name="Symbol1">
    <vt:lpwstr>CEDAW/C/THA/Q/4-5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