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6863" w14:textId="77777777" w:rsidR="002001E6" w:rsidRDefault="002001E6" w:rsidP="002001E6">
      <w:pPr>
        <w:spacing w:line="240" w:lineRule="auto"/>
        <w:rPr>
          <w:sz w:val="2"/>
        </w:rPr>
        <w:sectPr w:rsidR="002001E6" w:rsidSect="004C48B6">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687B3AF9" w14:textId="1D1D4E39" w:rsidR="004C48B6" w:rsidRDefault="004C48B6" w:rsidP="00CB4E0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C48B6">
        <w:rPr>
          <w:lang w:val="fr-FR"/>
        </w:rPr>
        <w:t>Comité pour l</w:t>
      </w:r>
      <w:r w:rsidR="008E14FD">
        <w:rPr>
          <w:lang w:val="fr-FR"/>
        </w:rPr>
        <w:t>’</w:t>
      </w:r>
      <w:r w:rsidRPr="004C48B6">
        <w:rPr>
          <w:lang w:val="fr-FR"/>
        </w:rPr>
        <w:t>él</w:t>
      </w:r>
      <w:r w:rsidR="00CB4E05">
        <w:rPr>
          <w:lang w:val="fr-FR"/>
        </w:rPr>
        <w:t xml:space="preserve">imination de la discrimination </w:t>
      </w:r>
      <w:r w:rsidR="006C2DE3">
        <w:rPr>
          <w:lang w:val="fr-FR"/>
        </w:rPr>
        <w:br/>
      </w:r>
      <w:r w:rsidRPr="004C48B6">
        <w:rPr>
          <w:lang w:val="fr-FR"/>
        </w:rPr>
        <w:t>à l</w:t>
      </w:r>
      <w:r w:rsidR="008E14FD">
        <w:rPr>
          <w:lang w:val="fr-FR"/>
        </w:rPr>
        <w:t>’</w:t>
      </w:r>
      <w:r w:rsidRPr="004C48B6">
        <w:rPr>
          <w:lang w:val="fr-FR"/>
        </w:rPr>
        <w:t xml:space="preserve">égard des femmes </w:t>
      </w:r>
    </w:p>
    <w:p w14:paraId="5E7001F6" w14:textId="02EA2FAF" w:rsidR="00CB4E05" w:rsidRPr="00CB4E05" w:rsidRDefault="00CB4E05" w:rsidP="00CB4E05">
      <w:pPr>
        <w:pStyle w:val="SingleTxt"/>
        <w:spacing w:after="0" w:line="120" w:lineRule="exact"/>
        <w:rPr>
          <w:sz w:val="10"/>
          <w:lang w:val="fr-FR"/>
        </w:rPr>
      </w:pPr>
    </w:p>
    <w:p w14:paraId="6D33EE70" w14:textId="7C4F42C9" w:rsidR="00CB4E05" w:rsidRPr="00CB4E05" w:rsidRDefault="00CB4E05" w:rsidP="00CB4E05">
      <w:pPr>
        <w:pStyle w:val="SingleTxt"/>
        <w:spacing w:after="0" w:line="120" w:lineRule="exact"/>
        <w:rPr>
          <w:sz w:val="10"/>
          <w:lang w:val="fr-FR"/>
        </w:rPr>
      </w:pPr>
    </w:p>
    <w:p w14:paraId="07C212C8" w14:textId="3B573C94" w:rsidR="00CB4E05" w:rsidRPr="00CB4E05" w:rsidRDefault="00CB4E05" w:rsidP="00CB4E05">
      <w:pPr>
        <w:pStyle w:val="SingleTxt"/>
        <w:spacing w:after="0" w:line="120" w:lineRule="exact"/>
        <w:rPr>
          <w:sz w:val="10"/>
          <w:lang w:val="fr-FR"/>
        </w:rPr>
      </w:pPr>
    </w:p>
    <w:p w14:paraId="6CA166B7" w14:textId="61A4BA48" w:rsidR="00CB4E05" w:rsidRPr="00CB4E05" w:rsidRDefault="00CB4E05" w:rsidP="00CB4E05">
      <w:pPr>
        <w:framePr w:w="9792" w:h="432" w:hSpace="180" w:wrap="notBeside" w:hAnchor="page" w:x="1210" w:yAlign="bottom"/>
        <w:spacing w:line="240" w:lineRule="auto"/>
        <w:rPr>
          <w:sz w:val="6"/>
        </w:rPr>
      </w:pPr>
      <w:r w:rsidRPr="00CB4E05">
        <w:rPr>
          <w:noProof/>
          <w:w w:val="100"/>
          <w:sz w:val="6"/>
          <w:lang w:val="fr-FR"/>
        </w:rPr>
        <mc:AlternateContent>
          <mc:Choice Requires="wps">
            <w:drawing>
              <wp:anchor distT="0" distB="0" distL="114300" distR="114300" simplePos="0" relativeHeight="251659264" behindDoc="0" locked="0" layoutInCell="1" allowOverlap="1" wp14:anchorId="078B4177" wp14:editId="302298D2">
                <wp:simplePos x="0" y="0"/>
                <wp:positionH relativeFrom="column">
                  <wp:posOffset>612140</wp:posOffset>
                </wp:positionH>
                <wp:positionV relativeFrom="paragraph">
                  <wp:posOffset>-12700</wp:posOffset>
                </wp:positionV>
                <wp:extent cx="914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1272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2pt,-1pt" to="12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" strokecolor="#010000" strokeweight=".25pt"/>
            </w:pict>
          </mc:Fallback>
        </mc:AlternateContent>
      </w:r>
    </w:p>
    <w:p w14:paraId="762BDF20" w14:textId="316E3BB6" w:rsidR="00CB4E05" w:rsidRDefault="00CB4E05" w:rsidP="00926FCD">
      <w:pPr>
        <w:pStyle w:val="FootnoteText"/>
        <w:framePr w:w="9792" w:h="432" w:hSpace="180" w:wrap="notBeside" w:hAnchor="page" w:x="1210" w:yAlign="bottom"/>
        <w:widowControl w:val="0"/>
        <w:tabs>
          <w:tab w:val="left" w:pos="1742"/>
          <w:tab w:val="left" w:pos="2218"/>
          <w:tab w:val="left" w:pos="2693"/>
        </w:tabs>
        <w:suppressAutoHyphens/>
        <w:spacing w:line="240" w:lineRule="auto"/>
        <w:ind w:left="1260" w:right="1267" w:hanging="511"/>
        <w:rPr>
          <w:spacing w:val="5"/>
          <w:lang w:val="fr-FR"/>
        </w:rPr>
      </w:pPr>
      <w:r w:rsidRPr="008E14FD">
        <w:rPr>
          <w:i/>
          <w:iCs/>
          <w:spacing w:val="5"/>
          <w:lang w:val="fr-FR"/>
        </w:rPr>
        <w:t>Note</w:t>
      </w:r>
      <w:r w:rsidR="008E14FD">
        <w:rPr>
          <w:i/>
          <w:iCs/>
          <w:spacing w:val="5"/>
          <w:lang w:val="fr-FR"/>
        </w:rPr>
        <w:t> </w:t>
      </w:r>
      <w:r w:rsidR="008E14FD" w:rsidRPr="00926FCD">
        <w:rPr>
          <w:spacing w:val="5"/>
          <w:lang w:val="fr-FR"/>
        </w:rPr>
        <w:t>:</w:t>
      </w:r>
      <w:r w:rsidR="006C2DE3">
        <w:rPr>
          <w:spacing w:val="5"/>
          <w:lang w:val="fr-FR"/>
        </w:rPr>
        <w:tab/>
      </w:r>
      <w:r w:rsidRPr="008E14FD">
        <w:rPr>
          <w:spacing w:val="5"/>
          <w:lang w:val="fr-FR"/>
        </w:rPr>
        <w:t>Le présent document est distribué en anglais, espagnol, français et russe seulement.</w:t>
      </w:r>
    </w:p>
    <w:p w14:paraId="6CF57075" w14:textId="453E0BA3" w:rsidR="00A81ADA" w:rsidRPr="00A81ADA" w:rsidRDefault="00A81ADA" w:rsidP="00A81ADA">
      <w:pPr>
        <w:pStyle w:val="FootnoteText"/>
        <w:framePr w:w="9792" w:h="432" w:hSpace="180" w:wrap="notBeside" w:hAnchor="page" w:x="1210" w:yAlign="bottom"/>
        <w:widowControl w:val="0"/>
        <w:tabs>
          <w:tab w:val="left" w:pos="1742"/>
          <w:tab w:val="left" w:pos="2218"/>
          <w:tab w:val="left" w:pos="2693"/>
        </w:tabs>
        <w:suppressAutoHyphens/>
        <w:spacing w:line="120" w:lineRule="exact"/>
        <w:ind w:left="1260" w:right="1267" w:hanging="511"/>
        <w:rPr>
          <w:spacing w:val="5"/>
          <w:sz w:val="10"/>
          <w:lang w:val="fr-FR"/>
        </w:rPr>
      </w:pPr>
    </w:p>
    <w:p w14:paraId="53793038" w14:textId="720F91AF" w:rsidR="00CB4E05" w:rsidRPr="008E14FD" w:rsidRDefault="00CB4E05" w:rsidP="00CB4E05">
      <w:pPr>
        <w:pStyle w:val="FootnoteText"/>
        <w:framePr w:w="9792" w:h="432" w:hSpace="180" w:wrap="notBeside" w:hAnchor="page" w:x="1210" w:yAlign="bottom"/>
        <w:widowControl w:val="0"/>
        <w:tabs>
          <w:tab w:val="right" w:pos="1195"/>
          <w:tab w:val="left" w:pos="1267"/>
          <w:tab w:val="left" w:pos="1742"/>
          <w:tab w:val="left" w:pos="2218"/>
          <w:tab w:val="left" w:pos="2693"/>
        </w:tabs>
        <w:suppressAutoHyphens/>
        <w:spacing w:line="240" w:lineRule="auto"/>
        <w:ind w:left="1267" w:right="1267" w:hanging="288"/>
        <w:rPr>
          <w:spacing w:val="5"/>
          <w:lang w:val="fr-FR"/>
        </w:rPr>
      </w:pPr>
      <w:r w:rsidRPr="008E14FD">
        <w:rPr>
          <w:spacing w:val="5"/>
          <w:lang w:val="fr-FR"/>
        </w:rPr>
        <w:tab/>
        <w:t>*</w:t>
      </w:r>
      <w:r w:rsidRPr="008E14FD">
        <w:rPr>
          <w:spacing w:val="5"/>
          <w:lang w:val="fr-FR"/>
        </w:rPr>
        <w:tab/>
        <w:t>La version originale du présent document n</w:t>
      </w:r>
      <w:r w:rsidR="008E14FD" w:rsidRPr="008E14FD">
        <w:rPr>
          <w:spacing w:val="5"/>
          <w:lang w:val="fr-FR"/>
        </w:rPr>
        <w:t>’</w:t>
      </w:r>
      <w:r w:rsidRPr="008E14FD">
        <w:rPr>
          <w:spacing w:val="5"/>
          <w:lang w:val="fr-FR"/>
        </w:rPr>
        <w:t>a pas été revue par les services d</w:t>
      </w:r>
      <w:r w:rsidR="008E14FD" w:rsidRPr="008E14FD">
        <w:rPr>
          <w:spacing w:val="5"/>
          <w:lang w:val="fr-FR"/>
        </w:rPr>
        <w:t>’</w:t>
      </w:r>
      <w:r w:rsidRPr="008E14FD">
        <w:rPr>
          <w:spacing w:val="5"/>
          <w:lang w:val="fr-FR"/>
        </w:rPr>
        <w:t>édition.</w:t>
      </w:r>
    </w:p>
    <w:p w14:paraId="5A925B8A" w14:textId="7377A40E" w:rsidR="004C48B6" w:rsidRPr="00CB4E05" w:rsidRDefault="00CB4E05" w:rsidP="00CB4E05">
      <w:pPr>
        <w:pStyle w:val="TitleHCH"/>
        <w:rPr>
          <w:spacing w:val="-2"/>
          <w:szCs w:val="20"/>
          <w:lang w:val="fr-FR"/>
        </w:rPr>
      </w:pPr>
      <w:r>
        <w:rPr>
          <w:lang w:val="fr-FR"/>
        </w:rPr>
        <w:tab/>
      </w:r>
      <w:r>
        <w:rPr>
          <w:lang w:val="fr-FR"/>
        </w:rPr>
        <w:tab/>
      </w:r>
      <w:r w:rsidR="004C48B6" w:rsidRPr="00CB4E05">
        <w:rPr>
          <w:spacing w:val="-2"/>
          <w:szCs w:val="20"/>
          <w:lang w:val="fr-FR"/>
        </w:rPr>
        <w:t>Sixième rapport périodique,</w:t>
      </w:r>
      <w:r w:rsidRPr="00CB4E05">
        <w:rPr>
          <w:spacing w:val="-2"/>
          <w:szCs w:val="20"/>
          <w:lang w:val="fr-FR"/>
        </w:rPr>
        <w:t xml:space="preserve"> attendu en 2017, soumis</w:t>
      </w:r>
      <w:r w:rsidR="006C2DE3">
        <w:rPr>
          <w:spacing w:val="-2"/>
          <w:szCs w:val="20"/>
          <w:lang w:val="fr-FR"/>
        </w:rPr>
        <w:t> </w:t>
      </w:r>
      <w:r w:rsidRPr="00CB4E05">
        <w:rPr>
          <w:spacing w:val="-2"/>
          <w:szCs w:val="20"/>
          <w:lang w:val="fr-FR"/>
        </w:rPr>
        <w:t>par le </w:t>
      </w:r>
      <w:r w:rsidR="004C48B6" w:rsidRPr="00CB4E05">
        <w:rPr>
          <w:spacing w:val="-2"/>
          <w:szCs w:val="20"/>
          <w:lang w:val="fr-FR"/>
        </w:rPr>
        <w:t>Tadjikistan en application de</w:t>
      </w:r>
      <w:r w:rsidR="006C2DE3">
        <w:rPr>
          <w:spacing w:val="-2"/>
          <w:szCs w:val="20"/>
          <w:lang w:val="fr-FR"/>
        </w:rPr>
        <w:t> </w:t>
      </w:r>
      <w:r w:rsidR="004C48B6" w:rsidRPr="00CB4E05">
        <w:rPr>
          <w:spacing w:val="-2"/>
          <w:szCs w:val="20"/>
          <w:lang w:val="fr-FR"/>
        </w:rPr>
        <w:t>l</w:t>
      </w:r>
      <w:r w:rsidR="008E14FD">
        <w:rPr>
          <w:spacing w:val="-2"/>
          <w:szCs w:val="20"/>
          <w:lang w:val="fr-FR"/>
        </w:rPr>
        <w:t>’</w:t>
      </w:r>
      <w:r w:rsidR="004C48B6" w:rsidRPr="00CB4E05">
        <w:rPr>
          <w:spacing w:val="-2"/>
          <w:szCs w:val="20"/>
          <w:lang w:val="fr-FR"/>
        </w:rPr>
        <w:t>article</w:t>
      </w:r>
      <w:r w:rsidR="006C2DE3">
        <w:rPr>
          <w:spacing w:val="-2"/>
          <w:szCs w:val="20"/>
          <w:lang w:val="fr-FR"/>
        </w:rPr>
        <w:t> </w:t>
      </w:r>
      <w:r w:rsidR="004C48B6" w:rsidRPr="00CB4E05">
        <w:rPr>
          <w:spacing w:val="-2"/>
          <w:szCs w:val="20"/>
          <w:lang w:val="fr-FR"/>
        </w:rPr>
        <w:t>18</w:t>
      </w:r>
      <w:r w:rsidR="006C2DE3">
        <w:rPr>
          <w:spacing w:val="-2"/>
          <w:szCs w:val="20"/>
          <w:lang w:val="fr-FR"/>
        </w:rPr>
        <w:t> </w:t>
      </w:r>
      <w:r>
        <w:rPr>
          <w:spacing w:val="-2"/>
          <w:szCs w:val="20"/>
          <w:lang w:val="fr-FR"/>
        </w:rPr>
        <w:t>de </w:t>
      </w:r>
      <w:r w:rsidRPr="00CB4E05">
        <w:rPr>
          <w:spacing w:val="-2"/>
          <w:szCs w:val="20"/>
          <w:lang w:val="fr-FR"/>
        </w:rPr>
        <w:t>la</w:t>
      </w:r>
      <w:r>
        <w:rPr>
          <w:spacing w:val="-2"/>
          <w:szCs w:val="20"/>
          <w:lang w:val="fr-FR"/>
        </w:rPr>
        <w:t> </w:t>
      </w:r>
      <w:r w:rsidR="004C48B6" w:rsidRPr="00CB4E05">
        <w:rPr>
          <w:spacing w:val="-2"/>
          <w:szCs w:val="20"/>
          <w:lang w:val="fr-FR"/>
        </w:rPr>
        <w:t>Convention</w:t>
      </w:r>
      <w:r w:rsidR="004C48B6" w:rsidRPr="00926FCD">
        <w:rPr>
          <w:b w:val="0"/>
          <w:bCs/>
          <w:spacing w:val="-2"/>
          <w:sz w:val="20"/>
          <w:szCs w:val="20"/>
          <w:lang w:val="fr-FR"/>
        </w:rPr>
        <w:t>*</w:t>
      </w:r>
    </w:p>
    <w:p w14:paraId="549E126A" w14:textId="0E45480F" w:rsidR="00CB4E05" w:rsidRPr="00CB4E05" w:rsidRDefault="00CB4E05" w:rsidP="00CB4E05">
      <w:pPr>
        <w:spacing w:line="120" w:lineRule="exact"/>
        <w:rPr>
          <w:sz w:val="10"/>
          <w:lang w:val="fr-FR"/>
        </w:rPr>
      </w:pPr>
    </w:p>
    <w:p w14:paraId="12EA27AB" w14:textId="3C0088CA" w:rsidR="00CB4E05" w:rsidRPr="00CB4E05" w:rsidRDefault="00CB4E05" w:rsidP="00CB4E05">
      <w:pPr>
        <w:spacing w:line="120" w:lineRule="exact"/>
        <w:rPr>
          <w:sz w:val="10"/>
          <w:lang w:val="fr-FR"/>
        </w:rPr>
      </w:pPr>
    </w:p>
    <w:p w14:paraId="3BCEAB5A" w14:textId="0CD93FC2" w:rsidR="004C48B6" w:rsidRPr="004C48B6" w:rsidRDefault="004C48B6" w:rsidP="00CB4E05">
      <w:pPr>
        <w:pStyle w:val="SingleTxt"/>
        <w:jc w:val="right"/>
        <w:rPr>
          <w:lang w:val="fr-FR"/>
        </w:rPr>
      </w:pPr>
      <w:r w:rsidRPr="004C48B6">
        <w:rPr>
          <w:lang w:val="fr-FR"/>
        </w:rPr>
        <w:t>[Date de réception</w:t>
      </w:r>
      <w:r w:rsidR="008E14FD">
        <w:rPr>
          <w:lang w:val="fr-FR"/>
        </w:rPr>
        <w:t> :</w:t>
      </w:r>
      <w:r w:rsidRPr="004C48B6">
        <w:rPr>
          <w:lang w:val="fr-FR"/>
        </w:rPr>
        <w:t xml:space="preserve"> 2 octobre 2017]</w:t>
      </w:r>
      <w:r w:rsidR="008E14FD">
        <w:rPr>
          <w:lang w:val="fr-FR"/>
        </w:rPr>
        <w:t xml:space="preserve"> </w:t>
      </w:r>
    </w:p>
    <w:p w14:paraId="02907CF5" w14:textId="77777777" w:rsidR="004C48B6" w:rsidRPr="004C48B6" w:rsidRDefault="004C48B6" w:rsidP="004C48B6">
      <w:pPr>
        <w:pStyle w:val="SingleTxt"/>
        <w:rPr>
          <w:lang w:val="fr-FR"/>
        </w:rPr>
      </w:pPr>
      <w:bookmarkStart w:id="1" w:name="_GoBack"/>
      <w:bookmarkEnd w:id="1"/>
    </w:p>
    <w:p w14:paraId="7C166DA3" w14:textId="0F58EDBA" w:rsidR="00CB4E05" w:rsidRPr="00CB4E05" w:rsidRDefault="00CB4E05" w:rsidP="00CB4E05">
      <w:pPr>
        <w:spacing w:after="200" w:line="240" w:lineRule="auto"/>
        <w:rPr>
          <w:lang w:val="fr-FR"/>
        </w:rPr>
      </w:pPr>
      <w:r w:rsidRPr="00CB4E05">
        <w:rPr>
          <w:lang w:val="fr-FR"/>
        </w:rPr>
        <w:br w:type="page"/>
      </w:r>
    </w:p>
    <w:p w14:paraId="6BF46B1D" w14:textId="0CC0E3D6" w:rsidR="004C48B6" w:rsidRDefault="00CB4E05" w:rsidP="00CB4E0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t>I.</w:t>
      </w:r>
      <w:r>
        <w:rPr>
          <w:lang w:val="fr-FR"/>
        </w:rPr>
        <w:tab/>
        <w:t>Introduction</w:t>
      </w:r>
    </w:p>
    <w:p w14:paraId="5EF13F10" w14:textId="4B22E848" w:rsidR="00CB4E05" w:rsidRPr="00CB4E05" w:rsidRDefault="00CB4E05" w:rsidP="00CB4E05">
      <w:pPr>
        <w:pStyle w:val="SingleTxt"/>
        <w:spacing w:after="0" w:line="120" w:lineRule="exact"/>
        <w:rPr>
          <w:sz w:val="10"/>
          <w:lang w:val="fr-FR"/>
        </w:rPr>
      </w:pPr>
    </w:p>
    <w:p w14:paraId="1535EE9F" w14:textId="6A38C035" w:rsidR="00CB4E05" w:rsidRPr="00CB4E05" w:rsidRDefault="00CB4E05" w:rsidP="00CB4E05">
      <w:pPr>
        <w:pStyle w:val="SingleTxt"/>
        <w:spacing w:after="0" w:line="120" w:lineRule="exact"/>
        <w:rPr>
          <w:sz w:val="10"/>
          <w:lang w:val="fr-FR"/>
        </w:rPr>
      </w:pPr>
    </w:p>
    <w:p w14:paraId="1ABE33B2" w14:textId="710B07AE" w:rsidR="004C48B6" w:rsidRPr="004C48B6" w:rsidRDefault="004C48B6" w:rsidP="00746391">
      <w:pPr>
        <w:pStyle w:val="SingleTxt"/>
        <w:numPr>
          <w:ilvl w:val="0"/>
          <w:numId w:val="6"/>
        </w:numPr>
        <w:spacing w:line="240" w:lineRule="exact"/>
        <w:ind w:left="1267"/>
        <w:rPr>
          <w:lang w:val="fr-FR"/>
        </w:rPr>
      </w:pPr>
      <w:r w:rsidRPr="004C48B6">
        <w:rPr>
          <w:lang w:val="fr-FR"/>
        </w:rPr>
        <w:t>On trouvera dans le présent document le sixième rapport périodique soumis par la République du Tadjikistan au Comité pour l</w:t>
      </w:r>
      <w:r w:rsidR="008E14FD">
        <w:rPr>
          <w:lang w:val="fr-FR"/>
        </w:rPr>
        <w:t>’</w:t>
      </w:r>
      <w:r w:rsidRPr="004C48B6">
        <w:rPr>
          <w:lang w:val="fr-FR"/>
        </w:rPr>
        <w:t>élimination de la discrimination à l</w:t>
      </w:r>
      <w:r w:rsidR="008E14FD">
        <w:rPr>
          <w:lang w:val="fr-FR"/>
        </w:rPr>
        <w:t>’</w:t>
      </w:r>
      <w:r w:rsidRPr="004C48B6">
        <w:rPr>
          <w:lang w:val="fr-FR"/>
        </w:rPr>
        <w:t>égard des femmes concernant la mise en œuvre de la Convention sur l</w:t>
      </w:r>
      <w:r w:rsidR="008E14FD">
        <w:rPr>
          <w:lang w:val="fr-FR"/>
        </w:rPr>
        <w:t>’</w:t>
      </w:r>
      <w:r w:rsidRPr="004C48B6">
        <w:rPr>
          <w:lang w:val="fr-FR"/>
        </w:rPr>
        <w:t>élimination de toutes les formes de discrimination à l</w:t>
      </w:r>
      <w:r w:rsidR="008E14FD">
        <w:rPr>
          <w:lang w:val="fr-FR"/>
        </w:rPr>
        <w:t>’</w:t>
      </w:r>
      <w:r w:rsidRPr="004C48B6">
        <w:rPr>
          <w:lang w:val="fr-FR"/>
        </w:rPr>
        <w:t>égard des femmes (ci-après, la Convention).</w:t>
      </w:r>
    </w:p>
    <w:p w14:paraId="0DD1E665" w14:textId="1777DFA8" w:rsidR="004C48B6" w:rsidRPr="004C48B6" w:rsidRDefault="004C48B6" w:rsidP="00746391">
      <w:pPr>
        <w:pStyle w:val="SingleTxt"/>
        <w:numPr>
          <w:ilvl w:val="0"/>
          <w:numId w:val="6"/>
        </w:numPr>
        <w:spacing w:line="240" w:lineRule="exact"/>
        <w:ind w:left="1267"/>
        <w:rPr>
          <w:lang w:val="fr-FR"/>
        </w:rPr>
      </w:pPr>
      <w:r w:rsidRPr="004C48B6">
        <w:rPr>
          <w:lang w:val="fr-FR"/>
        </w:rPr>
        <w:t>Le présent rapport, établi conformément aux directives générales concernant la présentation et le contenu des rapports périodiques, couvre la période 2012-2017. Il apporte des réponses aux observations finales concernant le rapport valant quatrième et cinquième rapports périodiques du Tadjikistan (</w:t>
      </w:r>
      <w:hyperlink r:id="rId15" w:history="1">
        <w:r w:rsidRPr="008E14FD">
          <w:rPr>
            <w:rStyle w:val="Hyperlink"/>
            <w:lang w:val="fr-FR"/>
          </w:rPr>
          <w:t>CEDAW/C/TJK/CO/4-5</w:t>
        </w:r>
      </w:hyperlink>
      <w:r w:rsidRPr="004C48B6">
        <w:rPr>
          <w:lang w:val="fr-FR"/>
        </w:rPr>
        <w:t>), que le Comité pour l</w:t>
      </w:r>
      <w:r w:rsidR="008E14FD">
        <w:rPr>
          <w:lang w:val="fr-FR"/>
        </w:rPr>
        <w:t>’</w:t>
      </w:r>
      <w:r w:rsidRPr="004C48B6">
        <w:rPr>
          <w:lang w:val="fr-FR"/>
        </w:rPr>
        <w:t>élimination de la discrimination à l</w:t>
      </w:r>
      <w:r w:rsidR="008E14FD">
        <w:rPr>
          <w:lang w:val="fr-FR"/>
        </w:rPr>
        <w:t>’</w:t>
      </w:r>
      <w:r w:rsidRPr="004C48B6">
        <w:rPr>
          <w:lang w:val="fr-FR"/>
        </w:rPr>
        <w:t>égard des femmes a formulées le 29 octobre 2013 (ci-après, les observations finales). Des informations provisoires relatives à la mise en œuvre des recommandations du Comité énoncées aux alinéas</w:t>
      </w:r>
      <w:r w:rsidR="00B91FA3">
        <w:rPr>
          <w:lang w:val="fr-FR"/>
        </w:rPr>
        <w:t> </w:t>
      </w:r>
      <w:r w:rsidRPr="004C48B6">
        <w:rPr>
          <w:lang w:val="fr-FR"/>
        </w:rPr>
        <w:t>a), b), d) et e) du paragraphe 18 ainsi qu</w:t>
      </w:r>
      <w:r w:rsidR="008E14FD">
        <w:rPr>
          <w:lang w:val="fr-FR"/>
        </w:rPr>
        <w:t>’</w:t>
      </w:r>
      <w:r w:rsidRPr="004C48B6">
        <w:rPr>
          <w:lang w:val="fr-FR"/>
        </w:rPr>
        <w:t>aux alinéas b), d) et e) du paragraphe 32 des observations finales ont été présentées le 28 septembre 2015.</w:t>
      </w:r>
    </w:p>
    <w:p w14:paraId="4880630B" w14:textId="42978BB1" w:rsidR="004C48B6" w:rsidRPr="004C48B6" w:rsidRDefault="004C48B6" w:rsidP="00746391">
      <w:pPr>
        <w:pStyle w:val="SingleTxt"/>
        <w:numPr>
          <w:ilvl w:val="0"/>
          <w:numId w:val="6"/>
        </w:numPr>
        <w:spacing w:line="240" w:lineRule="exact"/>
        <w:ind w:left="1267"/>
        <w:rPr>
          <w:lang w:val="fr-FR"/>
        </w:rPr>
      </w:pPr>
      <w:r w:rsidRPr="004C48B6">
        <w:rPr>
          <w:lang w:val="fr-FR"/>
        </w:rPr>
        <w:t>Le rapport a été établi par un groupe de travail de la Commission gouvernementale pour la mise en œuvre des obligations internationales du Tadjikistan dans le domaine des droits de l</w:t>
      </w:r>
      <w:r w:rsidR="008E14FD">
        <w:rPr>
          <w:lang w:val="fr-FR"/>
        </w:rPr>
        <w:t>’</w:t>
      </w:r>
      <w:r w:rsidRPr="004C48B6">
        <w:rPr>
          <w:lang w:val="fr-FR"/>
        </w:rPr>
        <w:t>homme sur la base d</w:t>
      </w:r>
      <w:r w:rsidR="008E14FD">
        <w:rPr>
          <w:lang w:val="fr-FR"/>
        </w:rPr>
        <w:t>’</w:t>
      </w:r>
      <w:r w:rsidRPr="004C48B6">
        <w:rPr>
          <w:lang w:val="fr-FR"/>
        </w:rPr>
        <w:t>une analyse de la mise en œuvre du Plan d</w:t>
      </w:r>
      <w:r w:rsidR="008E14FD">
        <w:rPr>
          <w:lang w:val="fr-FR"/>
        </w:rPr>
        <w:t>’</w:t>
      </w:r>
      <w:r w:rsidRPr="004C48B6">
        <w:rPr>
          <w:lang w:val="fr-FR"/>
        </w:rPr>
        <w:t>action national pour la mise en œuvre des recommandations formulées par le Comité pour l</w:t>
      </w:r>
      <w:r w:rsidR="008E14FD">
        <w:rPr>
          <w:lang w:val="fr-FR"/>
        </w:rPr>
        <w:t>’</w:t>
      </w:r>
      <w:r w:rsidRPr="004C48B6">
        <w:rPr>
          <w:lang w:val="fr-FR"/>
        </w:rPr>
        <w:t>élimination de la discrimination à l</w:t>
      </w:r>
      <w:r w:rsidR="008E14FD">
        <w:rPr>
          <w:lang w:val="fr-FR"/>
        </w:rPr>
        <w:t>’</w:t>
      </w:r>
      <w:r w:rsidRPr="004C48B6">
        <w:rPr>
          <w:lang w:val="fr-FR"/>
        </w:rPr>
        <w:t>égard des femmes concernant le rapport valant quatrième et cinquième rapports périodiques du Tadjikistan. Des informations sur la mise en œuvre de ce Plan d</w:t>
      </w:r>
      <w:r w:rsidR="008E14FD">
        <w:rPr>
          <w:lang w:val="fr-FR"/>
        </w:rPr>
        <w:t>’</w:t>
      </w:r>
      <w:r w:rsidRPr="004C48B6">
        <w:rPr>
          <w:lang w:val="fr-FR"/>
        </w:rPr>
        <w:t>action ont été recueillies tous les six mois et communiquées aux organes de l</w:t>
      </w:r>
      <w:r w:rsidR="008E14FD">
        <w:rPr>
          <w:lang w:val="fr-FR"/>
        </w:rPr>
        <w:t>’</w:t>
      </w:r>
      <w:r w:rsidRPr="004C48B6">
        <w:rPr>
          <w:lang w:val="fr-FR"/>
        </w:rPr>
        <w:t>État et aux représentants de la société civile.</w:t>
      </w:r>
    </w:p>
    <w:p w14:paraId="0064793D" w14:textId="7AE9FEBE" w:rsidR="004C48B6" w:rsidRDefault="004C48B6" w:rsidP="00746391">
      <w:pPr>
        <w:pStyle w:val="SingleTxt"/>
        <w:numPr>
          <w:ilvl w:val="0"/>
          <w:numId w:val="6"/>
        </w:numPr>
        <w:spacing w:line="240" w:lineRule="exact"/>
        <w:ind w:left="1267"/>
        <w:rPr>
          <w:lang w:val="fr-FR"/>
        </w:rPr>
      </w:pPr>
      <w:r w:rsidRPr="004C48B6">
        <w:rPr>
          <w:lang w:val="fr-FR"/>
        </w:rPr>
        <w:t>Pendant l</w:t>
      </w:r>
      <w:r w:rsidR="008E14FD">
        <w:rPr>
          <w:lang w:val="fr-FR"/>
        </w:rPr>
        <w:t>’</w:t>
      </w:r>
      <w:r w:rsidRPr="004C48B6">
        <w:rPr>
          <w:lang w:val="fr-FR"/>
        </w:rPr>
        <w:t>élaboration du rapport, le groupe de travail a tenu de larges consultations avec des représentants des pouvoirs publics et des institutions de la société civile. Le 18 septembre 2017, le projet de rapport a été présenté avec la participation de représentants du pouvoir exécutif et du pouvoir judiciaire, des forces de l</w:t>
      </w:r>
      <w:r w:rsidR="008E14FD">
        <w:rPr>
          <w:lang w:val="fr-FR"/>
        </w:rPr>
        <w:t>’</w:t>
      </w:r>
      <w:r w:rsidRPr="004C48B6">
        <w:rPr>
          <w:lang w:val="fr-FR"/>
        </w:rPr>
        <w:t>ordre, du Médiateur pour les droits de l</w:t>
      </w:r>
      <w:r w:rsidR="008E14FD">
        <w:rPr>
          <w:lang w:val="fr-FR"/>
        </w:rPr>
        <w:t>’</w:t>
      </w:r>
      <w:r w:rsidRPr="004C48B6">
        <w:rPr>
          <w:lang w:val="fr-FR"/>
        </w:rPr>
        <w:t>homme, des milieux universitaires, des organisations internationales et des organisations de la société civile. Les recommandations soumises par les parties prenantes ont été prises en compte lors de l</w:t>
      </w:r>
      <w:r w:rsidR="008E14FD">
        <w:rPr>
          <w:lang w:val="fr-FR"/>
        </w:rPr>
        <w:t>’</w:t>
      </w:r>
      <w:r w:rsidRPr="004C48B6">
        <w:rPr>
          <w:lang w:val="fr-FR"/>
        </w:rPr>
        <w:t>élaboration de la version définitive du rapport national.</w:t>
      </w:r>
    </w:p>
    <w:p w14:paraId="7B34B5FE" w14:textId="486BABB3" w:rsidR="00CB4E05" w:rsidRPr="00CB4E05" w:rsidRDefault="00CB4E05" w:rsidP="00CB4E05">
      <w:pPr>
        <w:pStyle w:val="SingleTxt"/>
        <w:spacing w:after="0" w:line="120" w:lineRule="exact"/>
        <w:rPr>
          <w:sz w:val="10"/>
          <w:lang w:val="fr-FR"/>
        </w:rPr>
      </w:pPr>
    </w:p>
    <w:p w14:paraId="65A6D455" w14:textId="60F5B004" w:rsidR="00CB4E05" w:rsidRPr="00CB4E05" w:rsidRDefault="00CB4E05" w:rsidP="00CB4E05">
      <w:pPr>
        <w:pStyle w:val="SingleTxt"/>
        <w:spacing w:after="0" w:line="120" w:lineRule="exact"/>
        <w:rPr>
          <w:sz w:val="10"/>
          <w:lang w:val="fr-FR"/>
        </w:rPr>
      </w:pPr>
    </w:p>
    <w:p w14:paraId="298BBD47" w14:textId="41F5BB2B" w:rsidR="004C48B6" w:rsidRDefault="00CB4E05" w:rsidP="00CB4E0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C48B6" w:rsidRPr="004C48B6">
        <w:rPr>
          <w:lang w:val="fr-FR"/>
        </w:rPr>
        <w:t>II.</w:t>
      </w:r>
      <w:r w:rsidR="004C48B6" w:rsidRPr="004C48B6">
        <w:rPr>
          <w:lang w:val="fr-FR"/>
        </w:rPr>
        <w:tab/>
        <w:t>Informations relatives à la mise en œuvre des observations finales</w:t>
      </w:r>
    </w:p>
    <w:p w14:paraId="0B1A4B79" w14:textId="1F1690E5" w:rsidR="00CB4E05" w:rsidRPr="00CB4E05" w:rsidRDefault="00CB4E05" w:rsidP="00CB4E05">
      <w:pPr>
        <w:pStyle w:val="SingleTxt"/>
        <w:spacing w:after="0" w:line="120" w:lineRule="exact"/>
        <w:rPr>
          <w:sz w:val="10"/>
          <w:lang w:val="fr-FR"/>
        </w:rPr>
      </w:pPr>
    </w:p>
    <w:p w14:paraId="3FC16DB2" w14:textId="558DAD81" w:rsidR="00CB4E05" w:rsidRPr="00CB4E05" w:rsidRDefault="00CB4E05" w:rsidP="00CB4E05">
      <w:pPr>
        <w:pStyle w:val="SingleTxt"/>
        <w:spacing w:after="0" w:line="120" w:lineRule="exact"/>
        <w:rPr>
          <w:sz w:val="10"/>
          <w:lang w:val="fr-FR"/>
        </w:rPr>
      </w:pPr>
    </w:p>
    <w:p w14:paraId="70E91566" w14:textId="0D6D2E49" w:rsidR="004C48B6" w:rsidRDefault="00CB4E05" w:rsidP="00CB4E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C48B6" w:rsidRPr="004C48B6">
        <w:rPr>
          <w:lang w:val="fr-FR"/>
        </w:rPr>
        <w:t xml:space="preserve">Visibilité de la Convention et des recommandations générales du Comité </w:t>
      </w:r>
    </w:p>
    <w:p w14:paraId="309564C9" w14:textId="0C11D78B" w:rsidR="00CB4E05" w:rsidRPr="00CB4E05" w:rsidRDefault="00CB4E05" w:rsidP="00CB4E05">
      <w:pPr>
        <w:pStyle w:val="SingleTxt"/>
        <w:spacing w:after="0" w:line="120" w:lineRule="exact"/>
        <w:rPr>
          <w:sz w:val="10"/>
          <w:lang w:val="fr-FR"/>
        </w:rPr>
      </w:pPr>
    </w:p>
    <w:p w14:paraId="38E6D2A8" w14:textId="542B61F1" w:rsidR="004C48B6" w:rsidRDefault="00CB4E05" w:rsidP="00CB4E0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C48B6" w:rsidRPr="004C48B6">
        <w:rPr>
          <w:lang w:val="fr-FR"/>
        </w:rPr>
        <w:t>Paragraphe 8 des observations finales</w:t>
      </w:r>
    </w:p>
    <w:p w14:paraId="1F593C7C" w14:textId="0F67D33A" w:rsidR="00CB4E05" w:rsidRPr="00CB4E05" w:rsidRDefault="00CB4E05" w:rsidP="00CB4E05">
      <w:pPr>
        <w:pStyle w:val="SingleTxt"/>
        <w:spacing w:after="0" w:line="120" w:lineRule="exact"/>
        <w:rPr>
          <w:sz w:val="10"/>
          <w:lang w:val="fr-FR"/>
        </w:rPr>
      </w:pPr>
    </w:p>
    <w:p w14:paraId="0A2C4064" w14:textId="3CF10975" w:rsidR="004C48B6" w:rsidRPr="004C48B6" w:rsidRDefault="004C48B6" w:rsidP="00746391">
      <w:pPr>
        <w:pStyle w:val="SingleTxt"/>
        <w:numPr>
          <w:ilvl w:val="0"/>
          <w:numId w:val="6"/>
        </w:numPr>
        <w:spacing w:line="240" w:lineRule="exact"/>
        <w:ind w:left="1267"/>
        <w:rPr>
          <w:lang w:val="fr-FR"/>
        </w:rPr>
      </w:pPr>
      <w:r w:rsidRPr="004C48B6">
        <w:rPr>
          <w:lang w:val="fr-FR"/>
        </w:rPr>
        <w:t>Depuis l</w:t>
      </w:r>
      <w:r w:rsidR="008E14FD">
        <w:rPr>
          <w:lang w:val="fr-FR"/>
        </w:rPr>
        <w:t>’</w:t>
      </w:r>
      <w:r w:rsidRPr="004C48B6">
        <w:rPr>
          <w:lang w:val="fr-FR"/>
        </w:rPr>
        <w:t>indépendance du pays, le Gouvernement a beaucoup progressé sur la voie de l</w:t>
      </w:r>
      <w:r w:rsidR="008E14FD">
        <w:rPr>
          <w:lang w:val="fr-FR"/>
        </w:rPr>
        <w:t>’</w:t>
      </w:r>
      <w:r w:rsidRPr="004C48B6">
        <w:rPr>
          <w:lang w:val="fr-FR"/>
        </w:rPr>
        <w:t>élimination des stéréotypes sexistes et de l</w:t>
      </w:r>
      <w:r w:rsidR="008E14FD">
        <w:rPr>
          <w:lang w:val="fr-FR"/>
        </w:rPr>
        <w:t>’</w:t>
      </w:r>
      <w:r w:rsidRPr="004C48B6">
        <w:rPr>
          <w:lang w:val="fr-FR"/>
        </w:rPr>
        <w:t>égalité réelle des hommes et des femmes dans tous les domaines.</w:t>
      </w:r>
    </w:p>
    <w:p w14:paraId="5EAEE922" w14:textId="738450DA" w:rsidR="004C48B6" w:rsidRPr="004C48B6" w:rsidRDefault="004C48B6" w:rsidP="00746391">
      <w:pPr>
        <w:pStyle w:val="SingleTxt"/>
        <w:numPr>
          <w:ilvl w:val="0"/>
          <w:numId w:val="6"/>
        </w:numPr>
        <w:spacing w:line="240" w:lineRule="exact"/>
        <w:ind w:left="1267"/>
        <w:rPr>
          <w:lang w:val="fr-FR"/>
        </w:rPr>
      </w:pPr>
      <w:r w:rsidRPr="004C48B6">
        <w:rPr>
          <w:lang w:val="fr-FR"/>
        </w:rPr>
        <w:t>La Commission gouvernementale pour la mise en œuvre des obligations internationales du Tadjikistan dans le domaine des droits de l</w:t>
      </w:r>
      <w:r w:rsidR="008E14FD">
        <w:rPr>
          <w:lang w:val="fr-FR"/>
        </w:rPr>
        <w:t>’homme a adopté, le 23 </w:t>
      </w:r>
      <w:r w:rsidRPr="004C48B6">
        <w:rPr>
          <w:lang w:val="fr-FR"/>
        </w:rPr>
        <w:t>juillet 2014, le Plan d</w:t>
      </w:r>
      <w:r w:rsidR="008E14FD">
        <w:rPr>
          <w:lang w:val="fr-FR"/>
        </w:rPr>
        <w:t>’</w:t>
      </w:r>
      <w:r w:rsidRPr="004C48B6">
        <w:rPr>
          <w:lang w:val="fr-FR"/>
        </w:rPr>
        <w:t>action national pour la mise en œuvre des recommandations formulées par le Comité pour l</w:t>
      </w:r>
      <w:r w:rsidR="008E14FD">
        <w:rPr>
          <w:lang w:val="fr-FR"/>
        </w:rPr>
        <w:t>’</w:t>
      </w:r>
      <w:r w:rsidRPr="004C48B6">
        <w:rPr>
          <w:lang w:val="fr-FR"/>
        </w:rPr>
        <w:t>élimination de la discrimination à l</w:t>
      </w:r>
      <w:r w:rsidR="008E14FD">
        <w:rPr>
          <w:lang w:val="fr-FR"/>
        </w:rPr>
        <w:t>’</w:t>
      </w:r>
      <w:r w:rsidRPr="004C48B6">
        <w:rPr>
          <w:lang w:val="fr-FR"/>
        </w:rPr>
        <w:t>égard des femmes concernant le rapport valant quatrième et cinquième rapports périodiques du Tadjikistan (ci-après, le Plan d</w:t>
      </w:r>
      <w:r w:rsidR="008E14FD">
        <w:rPr>
          <w:lang w:val="fr-FR"/>
        </w:rPr>
        <w:t>’</w:t>
      </w:r>
      <w:r w:rsidRPr="004C48B6">
        <w:rPr>
          <w:lang w:val="fr-FR"/>
        </w:rPr>
        <w:t xml:space="preserve">action national). </w:t>
      </w:r>
    </w:p>
    <w:p w14:paraId="7732AF04" w14:textId="2D138A84" w:rsidR="004C48B6" w:rsidRPr="004C48B6" w:rsidRDefault="004C48B6" w:rsidP="00746391">
      <w:pPr>
        <w:pStyle w:val="SingleTxt"/>
        <w:numPr>
          <w:ilvl w:val="0"/>
          <w:numId w:val="6"/>
        </w:numPr>
        <w:spacing w:line="240" w:lineRule="exact"/>
        <w:ind w:left="1267"/>
        <w:rPr>
          <w:lang w:val="fr-FR"/>
        </w:rPr>
      </w:pPr>
      <w:r w:rsidRPr="004C48B6">
        <w:rPr>
          <w:lang w:val="fr-FR"/>
        </w:rPr>
        <w:lastRenderedPageBreak/>
        <w:t>Conformément au Plan d</w:t>
      </w:r>
      <w:r w:rsidR="008E14FD">
        <w:rPr>
          <w:lang w:val="fr-FR"/>
        </w:rPr>
        <w:t>’</w:t>
      </w:r>
      <w:r w:rsidRPr="004C48B6">
        <w:rPr>
          <w:lang w:val="fr-FR"/>
        </w:rPr>
        <w:t xml:space="preserve">action national, la Commission de la femme et de la famille a organisé, au cours de la période 2014-2017, </w:t>
      </w:r>
      <w:r w:rsidR="00B91FA3">
        <w:rPr>
          <w:lang w:val="fr-FR"/>
        </w:rPr>
        <w:t>9</w:t>
      </w:r>
      <w:r w:rsidR="00B91FA3" w:rsidRPr="004C48B6">
        <w:rPr>
          <w:lang w:val="fr-FR"/>
        </w:rPr>
        <w:t xml:space="preserve"> </w:t>
      </w:r>
      <w:r w:rsidRPr="004C48B6">
        <w:rPr>
          <w:lang w:val="fr-FR"/>
        </w:rPr>
        <w:t>conférences, 125 tables rondes et 270 réunions destinées aux agents de la fonction publique concernant la diffusion du texte de la Convention et des recommandations finales, et s</w:t>
      </w:r>
      <w:r w:rsidR="008E14FD">
        <w:rPr>
          <w:lang w:val="fr-FR"/>
        </w:rPr>
        <w:t>’</w:t>
      </w:r>
      <w:r w:rsidRPr="004C48B6">
        <w:rPr>
          <w:lang w:val="fr-FR"/>
        </w:rPr>
        <w:t>est activement employée à communiquer au grand public des renseignements sur les droits des femmes en général</w:t>
      </w:r>
      <w:r w:rsidRPr="004C48B6" w:rsidDel="006102D2">
        <w:rPr>
          <w:lang w:val="fr-FR"/>
        </w:rPr>
        <w:t xml:space="preserve"> </w:t>
      </w:r>
      <w:r w:rsidRPr="004C48B6">
        <w:rPr>
          <w:lang w:val="fr-FR"/>
        </w:rPr>
        <w:t>dans un format</w:t>
      </w:r>
      <w:r w:rsidR="008E14FD">
        <w:rPr>
          <w:lang w:val="fr-FR"/>
        </w:rPr>
        <w:t xml:space="preserve"> </w:t>
      </w:r>
      <w:r w:rsidRPr="004C48B6">
        <w:rPr>
          <w:lang w:val="fr-FR"/>
        </w:rPr>
        <w:t>accessible (brochures et documents d</w:t>
      </w:r>
      <w:r w:rsidR="008E14FD">
        <w:rPr>
          <w:lang w:val="fr-FR"/>
        </w:rPr>
        <w:t>’</w:t>
      </w:r>
      <w:r w:rsidRPr="004C48B6">
        <w:rPr>
          <w:lang w:val="fr-FR"/>
        </w:rPr>
        <w:t>information).</w:t>
      </w:r>
    </w:p>
    <w:p w14:paraId="6E711B58" w14:textId="7751CC55" w:rsidR="004C48B6" w:rsidRPr="004C48B6" w:rsidRDefault="004C48B6" w:rsidP="00746391">
      <w:pPr>
        <w:pStyle w:val="SingleTxt"/>
        <w:numPr>
          <w:ilvl w:val="0"/>
          <w:numId w:val="6"/>
        </w:numPr>
        <w:spacing w:line="240" w:lineRule="exact"/>
        <w:ind w:left="1267"/>
        <w:rPr>
          <w:lang w:val="fr-FR"/>
        </w:rPr>
      </w:pPr>
      <w:r w:rsidRPr="004C48B6">
        <w:rPr>
          <w:lang w:val="fr-FR"/>
        </w:rPr>
        <w:t>Des formations ont été organisées afin de renforcer les capacités des membres des forces de l</w:t>
      </w:r>
      <w:r w:rsidR="008E14FD">
        <w:rPr>
          <w:lang w:val="fr-FR"/>
        </w:rPr>
        <w:t>’</w:t>
      </w:r>
      <w:r w:rsidRPr="004C48B6">
        <w:rPr>
          <w:lang w:val="fr-FR"/>
        </w:rPr>
        <w:t>ordre et de l</w:t>
      </w:r>
      <w:r w:rsidR="008E14FD">
        <w:rPr>
          <w:lang w:val="fr-FR"/>
        </w:rPr>
        <w:t>’</w:t>
      </w:r>
      <w:r w:rsidRPr="004C48B6">
        <w:rPr>
          <w:lang w:val="fr-FR"/>
        </w:rPr>
        <w:t>armée, des juges, du personnel des ministères, des juristes et du personnel des administrations locales en matière de promotion des droits des femmes et de l</w:t>
      </w:r>
      <w:r w:rsidR="008E14FD">
        <w:rPr>
          <w:lang w:val="fr-FR"/>
        </w:rPr>
        <w:t>’</w:t>
      </w:r>
      <w:r w:rsidRPr="004C48B6">
        <w:rPr>
          <w:lang w:val="fr-FR"/>
        </w:rPr>
        <w:t>égalité des sexes.</w:t>
      </w:r>
    </w:p>
    <w:p w14:paraId="0432F895" w14:textId="6CCBF08B" w:rsidR="004C48B6" w:rsidRPr="004C48B6" w:rsidRDefault="004C48B6" w:rsidP="00746391">
      <w:pPr>
        <w:pStyle w:val="SingleTxt"/>
        <w:numPr>
          <w:ilvl w:val="0"/>
          <w:numId w:val="6"/>
        </w:numPr>
        <w:spacing w:line="240" w:lineRule="exact"/>
        <w:ind w:left="1267"/>
        <w:rPr>
          <w:lang w:val="fr-FR"/>
        </w:rPr>
      </w:pPr>
      <w:r w:rsidRPr="004C48B6">
        <w:rPr>
          <w:lang w:val="fr-FR"/>
        </w:rPr>
        <w:t>Le site Web de la Commission gouvernementale pour la mise en œuvre des obligations internationales du Tadjikistan dans le domaine des droits de l</w:t>
      </w:r>
      <w:r w:rsidR="008E14FD">
        <w:rPr>
          <w:lang w:val="fr-FR"/>
        </w:rPr>
        <w:t>’</w:t>
      </w:r>
      <w:r w:rsidRPr="004C48B6">
        <w:rPr>
          <w:lang w:val="fr-FR"/>
        </w:rPr>
        <w:t>homme (</w:t>
      </w:r>
      <w:hyperlink r:id="rId16" w:history="1">
        <w:r w:rsidRPr="004C48B6">
          <w:rPr>
            <w:rStyle w:val="Hyperlink"/>
            <w:lang w:val="fr-FR"/>
          </w:rPr>
          <w:t>http://khit.tj</w:t>
        </w:r>
      </w:hyperlink>
      <w:r w:rsidRPr="004C48B6">
        <w:rPr>
          <w:lang w:val="fr-FR"/>
        </w:rPr>
        <w:t>), destiné à diffuser des informations sur les obligations internationales du Tadjikistan en matière de droits de l</w:t>
      </w:r>
      <w:r w:rsidR="008E14FD">
        <w:rPr>
          <w:lang w:val="fr-FR"/>
        </w:rPr>
        <w:t>’</w:t>
      </w:r>
      <w:r w:rsidRPr="004C48B6">
        <w:rPr>
          <w:lang w:val="fr-FR"/>
        </w:rPr>
        <w:t>homme, a été officiellement lancé en février 2016, avec l</w:t>
      </w:r>
      <w:r w:rsidR="008E14FD">
        <w:rPr>
          <w:lang w:val="fr-FR"/>
        </w:rPr>
        <w:t>’</w:t>
      </w:r>
      <w:r w:rsidRPr="004C48B6">
        <w:rPr>
          <w:lang w:val="fr-FR"/>
        </w:rPr>
        <w:t>appui du bureau régional pour l</w:t>
      </w:r>
      <w:r w:rsidR="008E14FD">
        <w:rPr>
          <w:lang w:val="fr-FR"/>
        </w:rPr>
        <w:t>’</w:t>
      </w:r>
      <w:r w:rsidRPr="004C48B6">
        <w:rPr>
          <w:lang w:val="fr-FR"/>
        </w:rPr>
        <w:t>Asie centrale du Haut-Commissariat des Nations Unies aux droits de l</w:t>
      </w:r>
      <w:r w:rsidR="008E14FD">
        <w:rPr>
          <w:lang w:val="fr-FR"/>
        </w:rPr>
        <w:t>’</w:t>
      </w:r>
      <w:r w:rsidRPr="004C48B6">
        <w:rPr>
          <w:lang w:val="fr-FR"/>
        </w:rPr>
        <w:t>homme (</w:t>
      </w:r>
      <w:bookmarkStart w:id="2" w:name="_Hlk505331283"/>
      <w:r w:rsidRPr="004C48B6">
        <w:rPr>
          <w:lang w:val="fr-FR"/>
        </w:rPr>
        <w:t>HCDH</w:t>
      </w:r>
      <w:bookmarkEnd w:id="2"/>
      <w:r w:rsidRPr="004C48B6">
        <w:rPr>
          <w:lang w:val="fr-FR"/>
        </w:rPr>
        <w:t>). Il permet de consulter les textes juridiques internationaux dans le domaine des droits de l</w:t>
      </w:r>
      <w:r w:rsidR="008E14FD">
        <w:rPr>
          <w:lang w:val="fr-FR"/>
        </w:rPr>
        <w:t>’</w:t>
      </w:r>
      <w:r w:rsidRPr="004C48B6">
        <w:rPr>
          <w:lang w:val="fr-FR"/>
        </w:rPr>
        <w:t>homme reconnus par le Tadjikistan, les rapports nationaux et les recommandations des organes de l</w:t>
      </w:r>
      <w:r w:rsidR="008E14FD">
        <w:rPr>
          <w:lang w:val="fr-FR"/>
        </w:rPr>
        <w:t>’</w:t>
      </w:r>
      <w:r w:rsidRPr="004C48B6">
        <w:rPr>
          <w:lang w:val="fr-FR"/>
        </w:rPr>
        <w:t>ONU, ainsi que les résultats des mesures prises par Gouvernement pour les mettre en œuvre. Le site est proposé en trois langues</w:t>
      </w:r>
      <w:r w:rsidR="00B91FA3">
        <w:rPr>
          <w:lang w:val="fr-FR"/>
        </w:rPr>
        <w:t> </w:t>
      </w:r>
      <w:r w:rsidRPr="004C48B6">
        <w:rPr>
          <w:lang w:val="fr-FR"/>
        </w:rPr>
        <w:t>: le tadjik, le russe et l</w:t>
      </w:r>
      <w:r w:rsidR="008E14FD">
        <w:rPr>
          <w:lang w:val="fr-FR"/>
        </w:rPr>
        <w:t>’</w:t>
      </w:r>
      <w:r w:rsidRPr="004C48B6">
        <w:rPr>
          <w:lang w:val="fr-FR"/>
        </w:rPr>
        <w:t>anglais. Des informations sur les obligations internationales en matière de droits de l</w:t>
      </w:r>
      <w:r w:rsidR="008E14FD">
        <w:rPr>
          <w:lang w:val="fr-FR"/>
        </w:rPr>
        <w:t>’</w:t>
      </w:r>
      <w:r w:rsidRPr="004C48B6">
        <w:rPr>
          <w:lang w:val="fr-FR"/>
        </w:rPr>
        <w:t>homme sont également disponibles sur les sites Web du Ministère des affaires étrangères et du Médiateur pour les droits de l</w:t>
      </w:r>
      <w:r w:rsidR="008E14FD">
        <w:rPr>
          <w:lang w:val="fr-FR"/>
        </w:rPr>
        <w:t>’</w:t>
      </w:r>
      <w:r w:rsidRPr="004C48B6">
        <w:rPr>
          <w:lang w:val="fr-FR"/>
        </w:rPr>
        <w:t>homme.</w:t>
      </w:r>
    </w:p>
    <w:p w14:paraId="3277181D" w14:textId="073E8628" w:rsidR="004C48B6" w:rsidRPr="00CB4E05" w:rsidRDefault="004C48B6" w:rsidP="00CB4E05">
      <w:pPr>
        <w:pStyle w:val="SingleTxt"/>
        <w:spacing w:after="0" w:line="120" w:lineRule="exact"/>
        <w:rPr>
          <w:sz w:val="10"/>
          <w:lang w:val="fr-FR"/>
        </w:rPr>
      </w:pPr>
    </w:p>
    <w:p w14:paraId="1DE4DBEA" w14:textId="7AE69D55" w:rsidR="004C48B6" w:rsidRDefault="00CB4E05" w:rsidP="00CB4E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C48B6" w:rsidRPr="004C48B6">
        <w:rPr>
          <w:lang w:val="fr-FR"/>
        </w:rPr>
        <w:t>Définition de la discrimination à l</w:t>
      </w:r>
      <w:r w:rsidR="008E14FD">
        <w:rPr>
          <w:lang w:val="fr-FR"/>
        </w:rPr>
        <w:t>’</w:t>
      </w:r>
      <w:r w:rsidR="004C48B6" w:rsidRPr="004C48B6">
        <w:rPr>
          <w:lang w:val="fr-FR"/>
        </w:rPr>
        <w:t>égard des femmes</w:t>
      </w:r>
    </w:p>
    <w:p w14:paraId="3774661B" w14:textId="44F9B6FA" w:rsidR="00CB4E05" w:rsidRPr="00CB4E05" w:rsidRDefault="00CB4E05" w:rsidP="00CB4E05">
      <w:pPr>
        <w:pStyle w:val="SingleTxt"/>
        <w:spacing w:after="0" w:line="120" w:lineRule="exact"/>
        <w:rPr>
          <w:sz w:val="10"/>
          <w:lang w:val="fr-FR"/>
        </w:rPr>
      </w:pPr>
    </w:p>
    <w:p w14:paraId="6FD56F81" w14:textId="1EDB8722" w:rsidR="004C48B6" w:rsidRDefault="00CB4E05" w:rsidP="00CB4E0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C48B6" w:rsidRPr="004C48B6">
        <w:rPr>
          <w:lang w:val="fr-FR"/>
        </w:rPr>
        <w:t>Paragraphe 10 des observations finales</w:t>
      </w:r>
    </w:p>
    <w:p w14:paraId="66DBD627" w14:textId="40075278" w:rsidR="00CB4E05" w:rsidRPr="00CB4E05" w:rsidRDefault="00CB4E05" w:rsidP="00CB4E05">
      <w:pPr>
        <w:pStyle w:val="SingleTxt"/>
        <w:spacing w:after="0" w:line="120" w:lineRule="exact"/>
        <w:rPr>
          <w:sz w:val="10"/>
          <w:lang w:val="fr-FR"/>
        </w:rPr>
      </w:pPr>
    </w:p>
    <w:p w14:paraId="6A239D59" w14:textId="5E8E2D42" w:rsidR="004C48B6" w:rsidRPr="004C48B6" w:rsidRDefault="004C48B6" w:rsidP="00746391">
      <w:pPr>
        <w:pStyle w:val="SingleTxt"/>
        <w:numPr>
          <w:ilvl w:val="0"/>
          <w:numId w:val="6"/>
        </w:numPr>
        <w:spacing w:line="240" w:lineRule="exact"/>
        <w:ind w:left="1267"/>
        <w:rPr>
          <w:lang w:val="fr-FR"/>
        </w:rPr>
      </w:pPr>
      <w:r w:rsidRPr="004C48B6">
        <w:rPr>
          <w:lang w:val="fr-FR"/>
        </w:rPr>
        <w:t>La législation tadjike interdit totalement toute forme de discrimination, y compris à l</w:t>
      </w:r>
      <w:r w:rsidR="008E14FD">
        <w:rPr>
          <w:lang w:val="fr-FR"/>
        </w:rPr>
        <w:t>’</w:t>
      </w:r>
      <w:r w:rsidRPr="004C48B6">
        <w:rPr>
          <w:lang w:val="fr-FR"/>
        </w:rPr>
        <w:t>égard des femmes. L</w:t>
      </w:r>
      <w:r w:rsidR="008E14FD">
        <w:rPr>
          <w:lang w:val="fr-FR"/>
        </w:rPr>
        <w:t>’</w:t>
      </w:r>
      <w:r w:rsidRPr="004C48B6">
        <w:rPr>
          <w:lang w:val="fr-FR"/>
        </w:rPr>
        <w:t>article 17 de la Constitution dispose que l</w:t>
      </w:r>
      <w:r w:rsidR="008E14FD">
        <w:rPr>
          <w:lang w:val="fr-FR"/>
        </w:rPr>
        <w:t>’</w:t>
      </w:r>
      <w:r w:rsidRPr="004C48B6">
        <w:rPr>
          <w:lang w:val="fr-FR"/>
        </w:rPr>
        <w:t>État garantit le respect des droits et des libertés de chacun indépendamment de l</w:t>
      </w:r>
      <w:r w:rsidR="008E14FD">
        <w:rPr>
          <w:lang w:val="fr-FR"/>
        </w:rPr>
        <w:t>’</w:t>
      </w:r>
      <w:r w:rsidRPr="004C48B6">
        <w:rPr>
          <w:lang w:val="fr-FR"/>
        </w:rPr>
        <w:t>appartenance nationale, de la race, du sexe, de la langue, de la religion, des opinions politiques, de l</w:t>
      </w:r>
      <w:r w:rsidR="008E14FD">
        <w:rPr>
          <w:lang w:val="fr-FR"/>
        </w:rPr>
        <w:t>’</w:t>
      </w:r>
      <w:r w:rsidRPr="004C48B6">
        <w:rPr>
          <w:lang w:val="fr-FR"/>
        </w:rPr>
        <w:t>éducation, du statut social et de la situation patrimoniale.</w:t>
      </w:r>
    </w:p>
    <w:p w14:paraId="73585857" w14:textId="2BD66F4A" w:rsidR="004C48B6" w:rsidRPr="004C48B6" w:rsidRDefault="004C48B6" w:rsidP="00746391">
      <w:pPr>
        <w:pStyle w:val="SingleTxt"/>
        <w:numPr>
          <w:ilvl w:val="0"/>
          <w:numId w:val="6"/>
        </w:numPr>
        <w:tabs>
          <w:tab w:val="num" w:pos="2804"/>
        </w:tabs>
        <w:spacing w:line="240" w:lineRule="exact"/>
        <w:ind w:left="1267"/>
        <w:rPr>
          <w:lang w:val="fr-FR"/>
        </w:rPr>
      </w:pPr>
      <w:r w:rsidRPr="004C48B6">
        <w:rPr>
          <w:lang w:val="fr-FR"/>
        </w:rPr>
        <w:t>Une loi sur la garantie de l</w:t>
      </w:r>
      <w:r w:rsidR="008E14FD">
        <w:rPr>
          <w:lang w:val="fr-FR"/>
        </w:rPr>
        <w:t>’</w:t>
      </w:r>
      <w:r w:rsidRPr="004C48B6">
        <w:rPr>
          <w:lang w:val="fr-FR"/>
        </w:rPr>
        <w:t>égalité des droits des hommes et des femmes et de l</w:t>
      </w:r>
      <w:r w:rsidR="008E14FD">
        <w:rPr>
          <w:lang w:val="fr-FR"/>
        </w:rPr>
        <w:t>’</w:t>
      </w:r>
      <w:r w:rsidRPr="004C48B6">
        <w:rPr>
          <w:lang w:val="fr-FR"/>
        </w:rPr>
        <w:t>égalité des chances dans l</w:t>
      </w:r>
      <w:r w:rsidR="008E14FD">
        <w:rPr>
          <w:lang w:val="fr-FR"/>
        </w:rPr>
        <w:t>’</w:t>
      </w:r>
      <w:r w:rsidRPr="004C48B6">
        <w:rPr>
          <w:lang w:val="fr-FR"/>
        </w:rPr>
        <w:t>exercice de ces droits</w:t>
      </w:r>
      <w:r w:rsidR="008E14FD">
        <w:rPr>
          <w:lang w:val="fr-FR"/>
        </w:rPr>
        <w:t xml:space="preserve"> </w:t>
      </w:r>
      <w:r w:rsidRPr="004C48B6">
        <w:rPr>
          <w:lang w:val="fr-FR"/>
        </w:rPr>
        <w:t>est en vigueur dans le pays. Elle régit les mesures prises pour veiller au respect des garanties constitutionnelles concernant l</w:t>
      </w:r>
      <w:r w:rsidR="008E14FD">
        <w:rPr>
          <w:lang w:val="fr-FR"/>
        </w:rPr>
        <w:t>’</w:t>
      </w:r>
      <w:r w:rsidRPr="004C48B6">
        <w:rPr>
          <w:lang w:val="fr-FR"/>
        </w:rPr>
        <w:t>égalité des sexes dans les sphères sociale, politique, culturelle, ainsi que dans tous les autres domaines de la vie en société ; elle vise à prévenir la discrimination fondée sur le sexe et définit les garanties apportées par l</w:t>
      </w:r>
      <w:r w:rsidR="008E14FD">
        <w:rPr>
          <w:lang w:val="fr-FR"/>
        </w:rPr>
        <w:t>’</w:t>
      </w:r>
      <w:r w:rsidRPr="004C48B6">
        <w:rPr>
          <w:lang w:val="fr-FR"/>
        </w:rPr>
        <w:t>État en matière d</w:t>
      </w:r>
      <w:r w:rsidR="008E14FD">
        <w:rPr>
          <w:lang w:val="fr-FR"/>
        </w:rPr>
        <w:t>’</w:t>
      </w:r>
      <w:r w:rsidRPr="004C48B6">
        <w:rPr>
          <w:lang w:val="fr-FR"/>
        </w:rPr>
        <w:t>égalité des chances entre les hommes et les femmes. Définie à l</w:t>
      </w:r>
      <w:r w:rsidR="008E14FD">
        <w:rPr>
          <w:lang w:val="fr-FR"/>
        </w:rPr>
        <w:t>’</w:t>
      </w:r>
      <w:r w:rsidRPr="004C48B6">
        <w:rPr>
          <w:lang w:val="fr-FR"/>
        </w:rPr>
        <w:t>article 1,</w:t>
      </w:r>
      <w:r w:rsidR="008E14FD">
        <w:rPr>
          <w:lang w:val="fr-FR"/>
        </w:rPr>
        <w:t xml:space="preserve"> </w:t>
      </w:r>
      <w:r w:rsidRPr="004C48B6">
        <w:rPr>
          <w:lang w:val="fr-FR"/>
        </w:rPr>
        <w:t>la discrimination</w:t>
      </w:r>
      <w:r w:rsidR="008E14FD">
        <w:rPr>
          <w:lang w:val="fr-FR"/>
        </w:rPr>
        <w:t xml:space="preserve"> </w:t>
      </w:r>
      <w:r w:rsidRPr="004C48B6">
        <w:rPr>
          <w:lang w:val="fr-FR"/>
        </w:rPr>
        <w:t>s</w:t>
      </w:r>
      <w:r w:rsidR="008E14FD">
        <w:rPr>
          <w:lang w:val="fr-FR"/>
        </w:rPr>
        <w:t>’</w:t>
      </w:r>
      <w:r w:rsidRPr="004C48B6">
        <w:rPr>
          <w:lang w:val="fr-FR"/>
        </w:rPr>
        <w:t>entend de toute distinction, exclusion ou restriction fondée sur le sexe qui vise à remettre en question ou à nier l</w:t>
      </w:r>
      <w:r w:rsidR="008E14FD">
        <w:rPr>
          <w:lang w:val="fr-FR"/>
        </w:rPr>
        <w:t>’</w:t>
      </w:r>
      <w:r w:rsidRPr="004C48B6">
        <w:rPr>
          <w:lang w:val="fr-FR"/>
        </w:rPr>
        <w:t>égalité entre les hommes et les femmes dans les sphères politique, économique, sociale, culturelle, ainsi que dans tous les autres domaines de la vie en société.</w:t>
      </w:r>
    </w:p>
    <w:p w14:paraId="1F41E8DC" w14:textId="32F287F4" w:rsidR="004C48B6" w:rsidRPr="004C48B6" w:rsidRDefault="004C48B6" w:rsidP="00746391">
      <w:pPr>
        <w:pStyle w:val="SingleTxt"/>
        <w:numPr>
          <w:ilvl w:val="0"/>
          <w:numId w:val="6"/>
        </w:numPr>
        <w:tabs>
          <w:tab w:val="num" w:pos="2804"/>
        </w:tabs>
        <w:spacing w:line="240" w:lineRule="exact"/>
        <w:ind w:left="1267"/>
        <w:rPr>
          <w:lang w:val="fr-FR"/>
        </w:rPr>
      </w:pPr>
      <w:r w:rsidRPr="004C48B6">
        <w:rPr>
          <w:lang w:val="fr-FR"/>
        </w:rPr>
        <w:t>Les normes antidiscriminatoires sont prises en considération dans pratiquement tous les textes juridiques afférents à différents domaines. En particulier</w:t>
      </w:r>
      <w:r w:rsidR="008E14FD">
        <w:rPr>
          <w:lang w:val="fr-FR"/>
        </w:rPr>
        <w:t> :</w:t>
      </w:r>
    </w:p>
    <w:p w14:paraId="3E8EFF16" w14:textId="61B5B40E" w:rsidR="004C48B6" w:rsidRPr="004C48B6" w:rsidRDefault="00CB4E05" w:rsidP="00926FCD">
      <w:pPr>
        <w:pStyle w:val="SingleTxt"/>
        <w:tabs>
          <w:tab w:val="right" w:pos="1685"/>
        </w:tabs>
        <w:ind w:left="1742" w:hanging="475"/>
        <w:rPr>
          <w:lang w:val="fr-FR"/>
        </w:rPr>
      </w:pPr>
      <w:r>
        <w:rPr>
          <w:lang w:val="fr-FR"/>
        </w:rPr>
        <w:tab/>
        <w:t>•</w:t>
      </w:r>
      <w:r>
        <w:rPr>
          <w:lang w:val="fr-FR"/>
        </w:rPr>
        <w:tab/>
      </w:r>
      <w:r w:rsidR="00ED549D">
        <w:rPr>
          <w:lang w:val="fr-FR"/>
        </w:rPr>
        <w:t>L</w:t>
      </w:r>
      <w:r w:rsidR="008E14FD">
        <w:rPr>
          <w:lang w:val="fr-FR"/>
        </w:rPr>
        <w:t>’</w:t>
      </w:r>
      <w:r w:rsidR="004C48B6" w:rsidRPr="004C48B6">
        <w:rPr>
          <w:lang w:val="fr-FR"/>
        </w:rPr>
        <w:t>article 4 de la loi sur les institutions autonomes</w:t>
      </w:r>
      <w:r w:rsidR="004C48B6" w:rsidRPr="004C48B6">
        <w:rPr>
          <w:b/>
          <w:lang w:val="fr-FR"/>
        </w:rPr>
        <w:t xml:space="preserve"> </w:t>
      </w:r>
      <w:r w:rsidR="004C48B6" w:rsidRPr="004C48B6">
        <w:rPr>
          <w:lang w:val="fr-FR"/>
        </w:rPr>
        <w:t>des agglomérations et des villages interdit toute restriction du droit des citoyens de la République du Tadjikistan de participer à la création et au fonctionnement d</w:t>
      </w:r>
      <w:r w:rsidR="008E14FD">
        <w:rPr>
          <w:lang w:val="fr-FR"/>
        </w:rPr>
        <w:t>’</w:t>
      </w:r>
      <w:r w:rsidR="004C48B6" w:rsidRPr="004C48B6">
        <w:rPr>
          <w:lang w:val="fr-FR"/>
        </w:rPr>
        <w:t xml:space="preserve">institutions </w:t>
      </w:r>
      <w:r w:rsidR="004C48B6" w:rsidRPr="004C48B6">
        <w:rPr>
          <w:lang w:val="fr-FR"/>
        </w:rPr>
        <w:lastRenderedPageBreak/>
        <w:t>autonomes</w:t>
      </w:r>
      <w:r w:rsidR="004C48B6" w:rsidRPr="004C48B6">
        <w:rPr>
          <w:b/>
          <w:lang w:val="fr-FR"/>
        </w:rPr>
        <w:t xml:space="preserve"> </w:t>
      </w:r>
      <w:r w:rsidR="004C48B6" w:rsidRPr="004C48B6">
        <w:rPr>
          <w:bCs/>
          <w:lang w:val="fr-FR"/>
        </w:rPr>
        <w:t>représentant l</w:t>
      </w:r>
      <w:r w:rsidR="004C48B6" w:rsidRPr="004C48B6">
        <w:rPr>
          <w:lang w:val="fr-FR"/>
        </w:rPr>
        <w:t>es agglomérations et les villages, indépendamment de leur appartenance nationale, de leur origine raciale, de leur sexe, de leur langue, de leur religion, de leur opinion politique, de leur situation sociale, de leur éducation et de leur situation patrimoniale, sauf dans les cas spécifiés dans ladite loi</w:t>
      </w:r>
      <w:r w:rsidR="00ED549D">
        <w:rPr>
          <w:lang w:val="fr-FR"/>
        </w:rPr>
        <w:t> </w:t>
      </w:r>
      <w:r w:rsidR="004C48B6" w:rsidRPr="004C48B6">
        <w:rPr>
          <w:lang w:val="fr-FR"/>
        </w:rPr>
        <w:t>;</w:t>
      </w:r>
    </w:p>
    <w:p w14:paraId="0EDCCD8E" w14:textId="12C96F94" w:rsidR="004C48B6" w:rsidRPr="004C48B6" w:rsidRDefault="00CB4E05" w:rsidP="00843EC7">
      <w:pPr>
        <w:pStyle w:val="SingleTxt"/>
        <w:tabs>
          <w:tab w:val="right" w:pos="1685"/>
        </w:tabs>
        <w:ind w:left="1742" w:hanging="475"/>
        <w:rPr>
          <w:lang w:val="fr-FR"/>
        </w:rPr>
      </w:pPr>
      <w:r>
        <w:rPr>
          <w:lang w:val="fr-FR"/>
        </w:rPr>
        <w:tab/>
      </w:r>
      <w:r w:rsidR="00843EC7">
        <w:rPr>
          <w:lang w:val="fr-FR"/>
        </w:rPr>
        <w:t>•</w:t>
      </w:r>
      <w:r>
        <w:rPr>
          <w:lang w:val="fr-FR"/>
        </w:rPr>
        <w:tab/>
      </w:r>
      <w:r w:rsidR="00ED549D">
        <w:rPr>
          <w:lang w:val="fr-FR"/>
        </w:rPr>
        <w:t>L</w:t>
      </w:r>
      <w:r w:rsidR="008E14FD">
        <w:rPr>
          <w:lang w:val="fr-FR"/>
        </w:rPr>
        <w:t>’</w:t>
      </w:r>
      <w:r w:rsidR="004C48B6" w:rsidRPr="004C48B6">
        <w:rPr>
          <w:lang w:val="fr-FR"/>
        </w:rPr>
        <w:t>article 5 de la loi sur les recours des personnes physiques et morales dispose que, dans le cadre de l</w:t>
      </w:r>
      <w:r w:rsidR="008E14FD">
        <w:rPr>
          <w:lang w:val="fr-FR"/>
        </w:rPr>
        <w:t>’</w:t>
      </w:r>
      <w:r w:rsidR="004C48B6" w:rsidRPr="004C48B6">
        <w:rPr>
          <w:lang w:val="fr-FR"/>
        </w:rPr>
        <w:t>application du droit de recours, il est interdit d</w:t>
      </w:r>
      <w:r w:rsidR="008E14FD">
        <w:rPr>
          <w:lang w:val="fr-FR"/>
        </w:rPr>
        <w:t>’</w:t>
      </w:r>
      <w:r w:rsidR="004C48B6" w:rsidRPr="004C48B6">
        <w:rPr>
          <w:lang w:val="fr-FR"/>
        </w:rPr>
        <w:t>exercer toute forme de discrimination fondée sur l</w:t>
      </w:r>
      <w:r w:rsidR="008E14FD">
        <w:rPr>
          <w:lang w:val="fr-FR"/>
        </w:rPr>
        <w:t>’</w:t>
      </w:r>
      <w:r w:rsidR="004C48B6" w:rsidRPr="004C48B6">
        <w:rPr>
          <w:lang w:val="fr-FR"/>
        </w:rPr>
        <w:t>appartenance nationale, la race, le sexe, la langue, la religion, l</w:t>
      </w:r>
      <w:r w:rsidR="008E14FD">
        <w:rPr>
          <w:lang w:val="fr-FR"/>
        </w:rPr>
        <w:t>’</w:t>
      </w:r>
      <w:r w:rsidR="004C48B6" w:rsidRPr="004C48B6">
        <w:rPr>
          <w:lang w:val="fr-FR"/>
        </w:rPr>
        <w:t>opinion politique, la situation sociale, l</w:t>
      </w:r>
      <w:r w:rsidR="008E14FD">
        <w:rPr>
          <w:lang w:val="fr-FR"/>
        </w:rPr>
        <w:t>’</w:t>
      </w:r>
      <w:r w:rsidR="004C48B6" w:rsidRPr="004C48B6">
        <w:rPr>
          <w:lang w:val="fr-FR"/>
        </w:rPr>
        <w:t>éducation et la situation patrimoniale, ainsi que sur la forme de propriété, l</w:t>
      </w:r>
      <w:r w:rsidR="008E14FD">
        <w:rPr>
          <w:lang w:val="fr-FR"/>
        </w:rPr>
        <w:t>’</w:t>
      </w:r>
      <w:r w:rsidR="004C48B6" w:rsidRPr="004C48B6">
        <w:rPr>
          <w:lang w:val="fr-FR"/>
        </w:rPr>
        <w:t>emplacement ou la structure organisationnelle et juridique des personnes morales</w:t>
      </w:r>
      <w:r w:rsidR="00ED549D">
        <w:rPr>
          <w:lang w:val="fr-FR"/>
        </w:rPr>
        <w:t> </w:t>
      </w:r>
      <w:r w:rsidR="004C48B6" w:rsidRPr="004C48B6">
        <w:rPr>
          <w:lang w:val="fr-FR"/>
        </w:rPr>
        <w:t>;</w:t>
      </w:r>
    </w:p>
    <w:p w14:paraId="47C67CE7" w14:textId="54CA4938" w:rsidR="004C48B6" w:rsidRPr="004C48B6" w:rsidRDefault="00843EC7" w:rsidP="00843EC7">
      <w:pPr>
        <w:pStyle w:val="SingleTxt"/>
        <w:tabs>
          <w:tab w:val="right" w:pos="1685"/>
        </w:tabs>
        <w:ind w:left="1742" w:hanging="475"/>
        <w:rPr>
          <w:lang w:val="fr-FR"/>
        </w:rPr>
      </w:pPr>
      <w:r>
        <w:rPr>
          <w:lang w:val="fr-FR"/>
        </w:rPr>
        <w:tab/>
        <w:t>•</w:t>
      </w:r>
      <w:r>
        <w:rPr>
          <w:lang w:val="fr-FR"/>
        </w:rPr>
        <w:tab/>
      </w:r>
      <w:r w:rsidR="00ED549D">
        <w:rPr>
          <w:lang w:val="fr-FR"/>
        </w:rPr>
        <w:t>L</w:t>
      </w:r>
      <w:r w:rsidR="008E14FD">
        <w:rPr>
          <w:lang w:val="fr-FR"/>
        </w:rPr>
        <w:t>’</w:t>
      </w:r>
      <w:r w:rsidR="004C48B6" w:rsidRPr="004C48B6">
        <w:rPr>
          <w:lang w:val="fr-FR"/>
        </w:rPr>
        <w:t>article 3 de la loi relative au statut juridique des étrangers</w:t>
      </w:r>
      <w:r w:rsidR="004C48B6" w:rsidRPr="004C48B6">
        <w:rPr>
          <w:b/>
          <w:lang w:val="fr-FR"/>
        </w:rPr>
        <w:t xml:space="preserve"> </w:t>
      </w:r>
      <w:r w:rsidR="004C48B6" w:rsidRPr="004C48B6">
        <w:rPr>
          <w:lang w:val="fr-FR"/>
        </w:rPr>
        <w:t>stipule que les citoyens étrangers sont égaux devant la loi, indépendamment de leur origine, de leur situation sociale et de leur situation patrimoniale, de leur origine raciale et nationale, de leur sexe, de leur éducation, de leur langue, de leurs croyances religieuses, du type et de la nature de leurs activités ainsi que d</w:t>
      </w:r>
      <w:r w:rsidR="008E14FD">
        <w:rPr>
          <w:lang w:val="fr-FR"/>
        </w:rPr>
        <w:t>’</w:t>
      </w:r>
      <w:r w:rsidR="004C48B6" w:rsidRPr="004C48B6">
        <w:rPr>
          <w:lang w:val="fr-FR"/>
        </w:rPr>
        <w:t>autres critères</w:t>
      </w:r>
      <w:r w:rsidR="00ED549D">
        <w:rPr>
          <w:lang w:val="fr-FR"/>
        </w:rPr>
        <w:t> </w:t>
      </w:r>
      <w:r w:rsidR="004C48B6" w:rsidRPr="004C48B6">
        <w:rPr>
          <w:lang w:val="fr-FR"/>
        </w:rPr>
        <w:t>;</w:t>
      </w:r>
    </w:p>
    <w:p w14:paraId="24B28C3A" w14:textId="6F67DBFB" w:rsidR="004C48B6" w:rsidRPr="004C48B6" w:rsidRDefault="00843EC7" w:rsidP="00926FCD">
      <w:pPr>
        <w:pStyle w:val="SingleTxt"/>
        <w:tabs>
          <w:tab w:val="right" w:pos="1685"/>
        </w:tabs>
        <w:ind w:left="1742" w:hanging="475"/>
        <w:rPr>
          <w:lang w:val="fr-FR"/>
        </w:rPr>
      </w:pPr>
      <w:r>
        <w:rPr>
          <w:lang w:val="fr-FR"/>
        </w:rPr>
        <w:tab/>
        <w:t>•</w:t>
      </w:r>
      <w:r>
        <w:rPr>
          <w:lang w:val="fr-FR"/>
        </w:rPr>
        <w:tab/>
      </w:r>
      <w:r w:rsidR="00ED549D">
        <w:rPr>
          <w:lang w:val="fr-FR"/>
        </w:rPr>
        <w:t>L</w:t>
      </w:r>
      <w:r w:rsidR="008E14FD">
        <w:rPr>
          <w:lang w:val="fr-FR"/>
        </w:rPr>
        <w:t>’</w:t>
      </w:r>
      <w:r w:rsidR="004C48B6" w:rsidRPr="004C48B6">
        <w:rPr>
          <w:lang w:val="fr-FR"/>
        </w:rPr>
        <w:t>article 35 du Code des infractions administratives dispose que toute sanction prise à l</w:t>
      </w:r>
      <w:r w:rsidR="008E14FD">
        <w:rPr>
          <w:lang w:val="fr-FR"/>
        </w:rPr>
        <w:t>’</w:t>
      </w:r>
      <w:r w:rsidR="004C48B6" w:rsidRPr="004C48B6">
        <w:rPr>
          <w:lang w:val="fr-FR"/>
        </w:rPr>
        <w:t>encontre d</w:t>
      </w:r>
      <w:r w:rsidR="008E14FD">
        <w:rPr>
          <w:lang w:val="fr-FR"/>
        </w:rPr>
        <w:t>’</w:t>
      </w:r>
      <w:r w:rsidR="004C48B6" w:rsidRPr="004C48B6">
        <w:rPr>
          <w:lang w:val="fr-FR"/>
        </w:rPr>
        <w:t>une personne ayant commis une infraction administrative ne saurait avoir pour but de l</w:t>
      </w:r>
      <w:r w:rsidR="008E14FD">
        <w:rPr>
          <w:lang w:val="fr-FR"/>
        </w:rPr>
        <w:t>’</w:t>
      </w:r>
      <w:r w:rsidR="004C48B6" w:rsidRPr="004C48B6">
        <w:rPr>
          <w:lang w:val="fr-FR"/>
        </w:rPr>
        <w:t>humilier, de lui infliger une douleur ou une souffrance physique ou morale, de l</w:t>
      </w:r>
      <w:r w:rsidR="008E14FD">
        <w:rPr>
          <w:lang w:val="fr-FR"/>
        </w:rPr>
        <w:t>’</w:t>
      </w:r>
      <w:r w:rsidR="004C48B6" w:rsidRPr="004C48B6">
        <w:rPr>
          <w:lang w:val="fr-FR"/>
        </w:rPr>
        <w:t>intimider, d</w:t>
      </w:r>
      <w:r w:rsidR="008E14FD">
        <w:rPr>
          <w:lang w:val="fr-FR"/>
        </w:rPr>
        <w:t>’</w:t>
      </w:r>
      <w:r w:rsidR="004C48B6" w:rsidRPr="004C48B6">
        <w:rPr>
          <w:lang w:val="fr-FR"/>
        </w:rPr>
        <w:t>exercer contre elle une quelconque discrimination ni de porter atteinte à sa dignité, ou</w:t>
      </w:r>
      <w:r w:rsidR="00ED549D">
        <w:rPr>
          <w:lang w:val="fr-FR"/>
        </w:rPr>
        <w:t>,</w:t>
      </w:r>
      <w:r w:rsidR="004C48B6" w:rsidRPr="004C48B6">
        <w:rPr>
          <w:lang w:val="fr-FR"/>
        </w:rPr>
        <w:t xml:space="preserve"> dans le cas d</w:t>
      </w:r>
      <w:r w:rsidR="008E14FD">
        <w:rPr>
          <w:lang w:val="fr-FR"/>
        </w:rPr>
        <w:t>’</w:t>
      </w:r>
      <w:r w:rsidR="004C48B6" w:rsidRPr="004C48B6">
        <w:rPr>
          <w:lang w:val="fr-FR"/>
        </w:rPr>
        <w:t>une personne morale, de porter préjudice à sa réputation professionnelle</w:t>
      </w:r>
      <w:r w:rsidR="00ED549D">
        <w:rPr>
          <w:lang w:val="fr-FR"/>
        </w:rPr>
        <w:t> </w:t>
      </w:r>
      <w:r w:rsidR="004C48B6" w:rsidRPr="004C48B6">
        <w:rPr>
          <w:lang w:val="fr-FR"/>
        </w:rPr>
        <w:t>;</w:t>
      </w:r>
    </w:p>
    <w:p w14:paraId="70BA4C88" w14:textId="7E6F28F0" w:rsidR="004C48B6" w:rsidRPr="004C48B6" w:rsidRDefault="00843EC7" w:rsidP="00843EC7">
      <w:pPr>
        <w:pStyle w:val="SingleTxt"/>
        <w:tabs>
          <w:tab w:val="right" w:pos="1685"/>
        </w:tabs>
        <w:ind w:left="1742" w:hanging="475"/>
        <w:rPr>
          <w:lang w:val="fr-FR"/>
        </w:rPr>
      </w:pPr>
      <w:r>
        <w:rPr>
          <w:lang w:val="fr-FR"/>
        </w:rPr>
        <w:tab/>
        <w:t>•</w:t>
      </w:r>
      <w:r>
        <w:rPr>
          <w:lang w:val="fr-FR"/>
        </w:rPr>
        <w:tab/>
      </w:r>
      <w:r w:rsidR="00ED549D">
        <w:rPr>
          <w:lang w:val="fr-FR"/>
        </w:rPr>
        <w:t>L</w:t>
      </w:r>
      <w:r w:rsidR="008E14FD">
        <w:rPr>
          <w:lang w:val="fr-FR"/>
        </w:rPr>
        <w:t>’</w:t>
      </w:r>
      <w:r w:rsidR="004C48B6" w:rsidRPr="004C48B6">
        <w:rPr>
          <w:lang w:val="fr-FR"/>
        </w:rPr>
        <w:t>article 5 de la loi sur la police dispose que les services de police protègent les libertés et les droits fondamentaux de chacun sans distinction de nationalité, de lieu de résidence, d</w:t>
      </w:r>
      <w:r w:rsidR="008E14FD">
        <w:rPr>
          <w:lang w:val="fr-FR"/>
        </w:rPr>
        <w:t>’</w:t>
      </w:r>
      <w:r w:rsidR="004C48B6" w:rsidRPr="004C48B6">
        <w:rPr>
          <w:lang w:val="fr-FR"/>
        </w:rPr>
        <w:t>appartenance nationale, de race, de sexe, de langue, d</w:t>
      </w:r>
      <w:r w:rsidR="008E14FD">
        <w:rPr>
          <w:lang w:val="fr-FR"/>
        </w:rPr>
        <w:t>’</w:t>
      </w:r>
      <w:r w:rsidR="004C48B6" w:rsidRPr="004C48B6">
        <w:rPr>
          <w:lang w:val="fr-FR"/>
        </w:rPr>
        <w:t>attitude à l</w:t>
      </w:r>
      <w:r w:rsidR="008E14FD">
        <w:rPr>
          <w:lang w:val="fr-FR"/>
        </w:rPr>
        <w:t>’</w:t>
      </w:r>
      <w:r w:rsidR="004C48B6" w:rsidRPr="004C48B6">
        <w:rPr>
          <w:lang w:val="fr-FR"/>
        </w:rPr>
        <w:t>égard de la religion, de convictions politiques, d</w:t>
      </w:r>
      <w:r w:rsidR="008E14FD">
        <w:rPr>
          <w:lang w:val="fr-FR"/>
        </w:rPr>
        <w:t>’</w:t>
      </w:r>
      <w:r w:rsidR="004C48B6" w:rsidRPr="004C48B6">
        <w:rPr>
          <w:lang w:val="fr-FR"/>
        </w:rPr>
        <w:t>éducation, de statut social ou de situation patrimoniale</w:t>
      </w:r>
      <w:r w:rsidR="00ED549D">
        <w:rPr>
          <w:lang w:val="fr-FR"/>
        </w:rPr>
        <w:t> </w:t>
      </w:r>
      <w:r w:rsidR="004C48B6" w:rsidRPr="004C48B6">
        <w:rPr>
          <w:lang w:val="fr-FR"/>
        </w:rPr>
        <w:t>;</w:t>
      </w:r>
    </w:p>
    <w:p w14:paraId="3616F7D7" w14:textId="6B1C5694" w:rsidR="004C48B6" w:rsidRPr="004C48B6" w:rsidRDefault="00843EC7" w:rsidP="00843EC7">
      <w:pPr>
        <w:pStyle w:val="SingleTxt"/>
        <w:tabs>
          <w:tab w:val="right" w:pos="1685"/>
        </w:tabs>
        <w:ind w:left="1742" w:hanging="475"/>
        <w:rPr>
          <w:lang w:val="fr-FR"/>
        </w:rPr>
      </w:pPr>
      <w:r>
        <w:rPr>
          <w:lang w:val="fr-FR"/>
        </w:rPr>
        <w:tab/>
        <w:t>•</w:t>
      </w:r>
      <w:r>
        <w:rPr>
          <w:lang w:val="fr-FR"/>
        </w:rPr>
        <w:tab/>
      </w:r>
      <w:r w:rsidR="00ED549D">
        <w:rPr>
          <w:lang w:val="fr-FR"/>
        </w:rPr>
        <w:t>L</w:t>
      </w:r>
      <w:r w:rsidR="008E14FD">
        <w:rPr>
          <w:lang w:val="fr-FR"/>
        </w:rPr>
        <w:t>’</w:t>
      </w:r>
      <w:r w:rsidR="004C48B6" w:rsidRPr="004C48B6">
        <w:rPr>
          <w:lang w:val="fr-FR"/>
        </w:rPr>
        <w:t xml:space="preserve">article </w:t>
      </w:r>
      <w:r w:rsidR="0008344B">
        <w:rPr>
          <w:lang w:val="fr-FR"/>
        </w:rPr>
        <w:t>1</w:t>
      </w:r>
      <w:r w:rsidR="0008344B" w:rsidRPr="004C48B6">
        <w:rPr>
          <w:lang w:val="fr-FR"/>
        </w:rPr>
        <w:t xml:space="preserve"> </w:t>
      </w:r>
      <w:r w:rsidR="004C48B6" w:rsidRPr="004C48B6">
        <w:rPr>
          <w:lang w:val="fr-FR"/>
        </w:rPr>
        <w:t>du Code de la famille interdit toute restriction des droits des citoyens ayant trait au mariage et aux relations familiales fondée sur le statut social, la race, l</w:t>
      </w:r>
      <w:r w:rsidR="008E14FD">
        <w:rPr>
          <w:lang w:val="fr-FR"/>
        </w:rPr>
        <w:t>’</w:t>
      </w:r>
      <w:r w:rsidR="004C48B6" w:rsidRPr="004C48B6">
        <w:rPr>
          <w:lang w:val="fr-FR"/>
        </w:rPr>
        <w:t>appartenance nationale, la langue ou la religion, ainsi que sur l</w:t>
      </w:r>
      <w:r w:rsidR="008E14FD">
        <w:rPr>
          <w:lang w:val="fr-FR"/>
        </w:rPr>
        <w:t>’</w:t>
      </w:r>
      <w:r w:rsidR="004C48B6" w:rsidRPr="004C48B6">
        <w:rPr>
          <w:lang w:val="fr-FR"/>
        </w:rPr>
        <w:t>éducation ou la situation patrimoniale. Voir aussi la réponse faite à la recommandation 14.</w:t>
      </w:r>
    </w:p>
    <w:p w14:paraId="2A2EC574" w14:textId="09330B44" w:rsidR="004C48B6" w:rsidRPr="004C48B6" w:rsidRDefault="004C48B6" w:rsidP="00746391">
      <w:pPr>
        <w:pStyle w:val="SingleTxt"/>
        <w:numPr>
          <w:ilvl w:val="0"/>
          <w:numId w:val="6"/>
        </w:numPr>
        <w:spacing w:line="240" w:lineRule="exact"/>
        <w:ind w:left="1267"/>
        <w:rPr>
          <w:lang w:val="fr-FR"/>
        </w:rPr>
      </w:pPr>
      <w:r w:rsidRPr="004C48B6">
        <w:rPr>
          <w:lang w:val="fr-FR"/>
        </w:rPr>
        <w:t>Afin de prévenir la discrimination, l</w:t>
      </w:r>
      <w:r w:rsidR="008E14FD">
        <w:rPr>
          <w:lang w:val="fr-FR"/>
        </w:rPr>
        <w:t>’</w:t>
      </w:r>
      <w:r w:rsidRPr="004C48B6">
        <w:rPr>
          <w:lang w:val="fr-FR"/>
        </w:rPr>
        <w:t>article 143 du Code pénal érige en infraction toute violation ou restriction intentionnelle directe ou indirecte des droits et libertés de certains citoyens ou tout octroi</w:t>
      </w:r>
      <w:r w:rsidR="008E14FD">
        <w:rPr>
          <w:lang w:val="fr-FR"/>
        </w:rPr>
        <w:t xml:space="preserve"> </w:t>
      </w:r>
      <w:r w:rsidRPr="004C48B6">
        <w:rPr>
          <w:lang w:val="fr-FR"/>
        </w:rPr>
        <w:t>d</w:t>
      </w:r>
      <w:r w:rsidR="008E14FD">
        <w:rPr>
          <w:lang w:val="fr-FR"/>
        </w:rPr>
        <w:t>’</w:t>
      </w:r>
      <w:r w:rsidRPr="004C48B6">
        <w:rPr>
          <w:lang w:val="fr-FR"/>
        </w:rPr>
        <w:t>avantages directs ou indirects à certains citoyens, en fonction de leur sexe, de leur race, de leur appartenance nationale, de leur langue, de leur origine, de leur situation personnelle, patrimoniale ou professionnelle, de leur lieu de résidence, de leur attitude à l</w:t>
      </w:r>
      <w:r w:rsidR="008E14FD">
        <w:rPr>
          <w:lang w:val="fr-FR"/>
        </w:rPr>
        <w:t>’</w:t>
      </w:r>
      <w:r w:rsidRPr="004C48B6">
        <w:rPr>
          <w:lang w:val="fr-FR"/>
        </w:rPr>
        <w:t>égard de la religion, de leurs convictions ou de leur appartenance à un parti politique ou à une association publique, cette violation ou restriction étant susceptible de nuire aux droits ou aux intérêts légitimes des intéressés.</w:t>
      </w:r>
    </w:p>
    <w:p w14:paraId="5F59BE84" w14:textId="12113C67" w:rsidR="004C48B6" w:rsidRDefault="004C48B6" w:rsidP="00746391">
      <w:pPr>
        <w:pStyle w:val="SingleTxt"/>
        <w:numPr>
          <w:ilvl w:val="0"/>
          <w:numId w:val="6"/>
        </w:numPr>
        <w:spacing w:line="240" w:lineRule="exact"/>
        <w:ind w:left="1267"/>
        <w:rPr>
          <w:lang w:val="fr-FR"/>
        </w:rPr>
      </w:pPr>
      <w:r w:rsidRPr="004C48B6">
        <w:rPr>
          <w:lang w:val="fr-FR"/>
        </w:rPr>
        <w:t>Conformément au paragraphe 31 du Plan d</w:t>
      </w:r>
      <w:r w:rsidR="008E14FD">
        <w:rPr>
          <w:lang w:val="fr-FR"/>
        </w:rPr>
        <w:t>’</w:t>
      </w:r>
      <w:r w:rsidRPr="004C48B6">
        <w:rPr>
          <w:lang w:val="fr-FR"/>
        </w:rPr>
        <w:t>action national pour la mise en œuvre des recommandations formulées par les États membres du Conseil des droits de l</w:t>
      </w:r>
      <w:r w:rsidR="008E14FD">
        <w:rPr>
          <w:lang w:val="fr-FR"/>
        </w:rPr>
        <w:t>’</w:t>
      </w:r>
      <w:r w:rsidRPr="004C48B6">
        <w:rPr>
          <w:lang w:val="fr-FR"/>
        </w:rPr>
        <w:t>homme et à la procédure d</w:t>
      </w:r>
      <w:r w:rsidR="008E14FD">
        <w:rPr>
          <w:lang w:val="fr-FR"/>
        </w:rPr>
        <w:t>’</w:t>
      </w:r>
      <w:r w:rsidRPr="004C48B6">
        <w:rPr>
          <w:lang w:val="fr-FR"/>
        </w:rPr>
        <w:t>Examen périodique universel (deuxième cycle) pour la période 2017-2020 approuvée par décret présidentiel le 7 juin 2017, il est prévu d</w:t>
      </w:r>
      <w:r w:rsidR="008E14FD">
        <w:rPr>
          <w:lang w:val="fr-FR"/>
        </w:rPr>
        <w:t>’</w:t>
      </w:r>
      <w:r w:rsidRPr="004C48B6">
        <w:rPr>
          <w:lang w:val="fr-FR"/>
        </w:rPr>
        <w:t>examiner la question de l</w:t>
      </w:r>
      <w:r w:rsidR="008E14FD">
        <w:rPr>
          <w:lang w:val="fr-FR"/>
        </w:rPr>
        <w:t>’</w:t>
      </w:r>
      <w:r w:rsidRPr="004C48B6">
        <w:rPr>
          <w:lang w:val="fr-FR"/>
        </w:rPr>
        <w:t>élaboration d</w:t>
      </w:r>
      <w:r w:rsidR="008E14FD">
        <w:rPr>
          <w:lang w:val="fr-FR"/>
        </w:rPr>
        <w:t>’</w:t>
      </w:r>
      <w:r w:rsidRPr="004C48B6">
        <w:rPr>
          <w:lang w:val="fr-FR"/>
        </w:rPr>
        <w:t>une loi traitant spécifiquement de la lutte globale contre la discrimination et d</w:t>
      </w:r>
      <w:r w:rsidR="008E14FD">
        <w:rPr>
          <w:lang w:val="fr-FR"/>
        </w:rPr>
        <w:t>’</w:t>
      </w:r>
      <w:r w:rsidRPr="004C48B6">
        <w:rPr>
          <w:lang w:val="fr-FR"/>
        </w:rPr>
        <w:t>améliorer un certain nombre de lois au cours de la période 2018-2019.</w:t>
      </w:r>
    </w:p>
    <w:p w14:paraId="10EEC3D2" w14:textId="21E00FF7" w:rsidR="004C48B6" w:rsidRDefault="00843EC7" w:rsidP="00843E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4C48B6" w:rsidRPr="004C48B6">
        <w:rPr>
          <w:lang w:val="fr-FR"/>
        </w:rPr>
        <w:t>Mécanisme national de promotion de la femme</w:t>
      </w:r>
    </w:p>
    <w:p w14:paraId="2BD14854" w14:textId="706AC614" w:rsidR="00843EC7" w:rsidRPr="00843EC7" w:rsidRDefault="00843EC7" w:rsidP="00843EC7">
      <w:pPr>
        <w:pStyle w:val="SingleTxt"/>
        <w:spacing w:after="0" w:line="120" w:lineRule="exact"/>
        <w:rPr>
          <w:sz w:val="10"/>
          <w:lang w:val="fr-FR"/>
        </w:rPr>
      </w:pPr>
    </w:p>
    <w:p w14:paraId="32DAF80D" w14:textId="574DAC66" w:rsidR="004C48B6" w:rsidRDefault="00843EC7" w:rsidP="00843E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C48B6" w:rsidRPr="004C48B6">
        <w:rPr>
          <w:lang w:val="fr-FR"/>
        </w:rPr>
        <w:t>Paragraphe 12 des observations finales</w:t>
      </w:r>
    </w:p>
    <w:p w14:paraId="59DBA842" w14:textId="3645CF6A" w:rsidR="00843EC7" w:rsidRPr="00843EC7" w:rsidRDefault="00843EC7" w:rsidP="00843EC7">
      <w:pPr>
        <w:pStyle w:val="SingleTxt"/>
        <w:spacing w:after="0" w:line="120" w:lineRule="exact"/>
        <w:rPr>
          <w:sz w:val="10"/>
          <w:lang w:val="fr-FR"/>
        </w:rPr>
      </w:pPr>
    </w:p>
    <w:p w14:paraId="156ADD5F" w14:textId="1778A043" w:rsidR="004C48B6" w:rsidRPr="004C48B6" w:rsidRDefault="004C48B6" w:rsidP="00746391">
      <w:pPr>
        <w:pStyle w:val="SingleTxt"/>
        <w:numPr>
          <w:ilvl w:val="0"/>
          <w:numId w:val="6"/>
        </w:numPr>
        <w:spacing w:line="240" w:lineRule="exact"/>
        <w:ind w:left="1267"/>
        <w:rPr>
          <w:lang w:val="fr-FR"/>
        </w:rPr>
      </w:pPr>
      <w:r w:rsidRPr="004C48B6">
        <w:rPr>
          <w:lang w:val="fr-FR"/>
        </w:rPr>
        <w:t>Dans le cadre du Plan d</w:t>
      </w:r>
      <w:r w:rsidR="008E14FD">
        <w:rPr>
          <w:lang w:val="fr-FR"/>
        </w:rPr>
        <w:t>’</w:t>
      </w:r>
      <w:r w:rsidRPr="004C48B6">
        <w:rPr>
          <w:lang w:val="fr-FR"/>
        </w:rPr>
        <w:t>action national, la Commission de la femme et de la famille</w:t>
      </w:r>
      <w:r w:rsidRPr="004C48B6">
        <w:rPr>
          <w:b/>
          <w:lang w:val="fr-FR"/>
        </w:rPr>
        <w:t xml:space="preserve"> </w:t>
      </w:r>
      <w:r w:rsidRPr="004C48B6">
        <w:rPr>
          <w:lang w:val="fr-FR"/>
        </w:rPr>
        <w:t>s</w:t>
      </w:r>
      <w:r w:rsidR="008E14FD">
        <w:rPr>
          <w:lang w:val="fr-FR"/>
        </w:rPr>
        <w:t>’</w:t>
      </w:r>
      <w:r w:rsidRPr="004C48B6">
        <w:rPr>
          <w:lang w:val="fr-FR"/>
        </w:rPr>
        <w:t>est dotée, le 1</w:t>
      </w:r>
      <w:r w:rsidRPr="004C48B6">
        <w:rPr>
          <w:vertAlign w:val="superscript"/>
          <w:lang w:val="fr-FR"/>
        </w:rPr>
        <w:t>er</w:t>
      </w:r>
      <w:r w:rsidRPr="004C48B6">
        <w:rPr>
          <w:lang w:val="fr-FR"/>
        </w:rPr>
        <w:t xml:space="preserve"> janvier 2015, d</w:t>
      </w:r>
      <w:r w:rsidR="008E14FD">
        <w:rPr>
          <w:lang w:val="fr-FR"/>
        </w:rPr>
        <w:t>’</w:t>
      </w:r>
      <w:r w:rsidRPr="004C48B6">
        <w:rPr>
          <w:lang w:val="fr-FR"/>
        </w:rPr>
        <w:t>un service juridique et d</w:t>
      </w:r>
      <w:r w:rsidR="008E14FD">
        <w:rPr>
          <w:lang w:val="fr-FR"/>
        </w:rPr>
        <w:t>’</w:t>
      </w:r>
      <w:r w:rsidRPr="004C48B6">
        <w:rPr>
          <w:lang w:val="fr-FR"/>
        </w:rPr>
        <w:t>un groupe d</w:t>
      </w:r>
      <w:r w:rsidR="008E14FD">
        <w:rPr>
          <w:lang w:val="fr-FR"/>
        </w:rPr>
        <w:t>’</w:t>
      </w:r>
      <w:r w:rsidRPr="004C48B6">
        <w:rPr>
          <w:lang w:val="fr-FR"/>
        </w:rPr>
        <w:t>experts chargé d</w:t>
      </w:r>
      <w:r w:rsidR="008E14FD">
        <w:rPr>
          <w:lang w:val="fr-FR"/>
        </w:rPr>
        <w:t>’</w:t>
      </w:r>
      <w:r w:rsidRPr="004C48B6">
        <w:rPr>
          <w:lang w:val="fr-FR"/>
        </w:rPr>
        <w:t>analyser les questions liées à l</w:t>
      </w:r>
      <w:r w:rsidR="008E14FD">
        <w:rPr>
          <w:lang w:val="fr-FR"/>
        </w:rPr>
        <w:t>’</w:t>
      </w:r>
      <w:r w:rsidRPr="004C48B6">
        <w:rPr>
          <w:lang w:val="fr-FR"/>
        </w:rPr>
        <w:t>égalité des sexes dans la législation. Les activités de ce groupe d</w:t>
      </w:r>
      <w:r w:rsidR="008E14FD">
        <w:rPr>
          <w:lang w:val="fr-FR"/>
        </w:rPr>
        <w:t>’</w:t>
      </w:r>
      <w:r w:rsidRPr="004C48B6">
        <w:rPr>
          <w:lang w:val="fr-FR"/>
        </w:rPr>
        <w:t>experts visent à analyser les projets de loi sous l</w:t>
      </w:r>
      <w:r w:rsidR="008E14FD">
        <w:rPr>
          <w:lang w:val="fr-FR"/>
        </w:rPr>
        <w:t>’</w:t>
      </w:r>
      <w:r w:rsidRPr="004C48B6">
        <w:rPr>
          <w:lang w:val="fr-FR"/>
        </w:rPr>
        <w:t>angle de la problématique hommes-femmes avant qu</w:t>
      </w:r>
      <w:r w:rsidR="008E14FD">
        <w:rPr>
          <w:lang w:val="fr-FR"/>
        </w:rPr>
        <w:t>’</w:t>
      </w:r>
      <w:r w:rsidRPr="004C48B6">
        <w:rPr>
          <w:lang w:val="fr-FR"/>
        </w:rPr>
        <w:t>ils ne soient soumis au Gouvernement et au Parlement. Un réseau consacré aux questions liées à l</w:t>
      </w:r>
      <w:r w:rsidR="008E14FD">
        <w:rPr>
          <w:lang w:val="fr-FR"/>
        </w:rPr>
        <w:t>’</w:t>
      </w:r>
      <w:r w:rsidRPr="004C48B6">
        <w:rPr>
          <w:lang w:val="fr-FR"/>
        </w:rPr>
        <w:t>égalité des sexes a été créé en vue d</w:t>
      </w:r>
      <w:r w:rsidR="008E14FD">
        <w:rPr>
          <w:lang w:val="fr-FR"/>
        </w:rPr>
        <w:t>’</w:t>
      </w:r>
      <w:r w:rsidRPr="004C48B6">
        <w:rPr>
          <w:lang w:val="fr-FR"/>
        </w:rPr>
        <w:t>intégrer une approche tenant compte de ces questions dans les activités des ministères et des départements.</w:t>
      </w:r>
    </w:p>
    <w:p w14:paraId="3FBB4666" w14:textId="6F609E5B" w:rsidR="004C48B6" w:rsidRPr="004C48B6" w:rsidRDefault="004C48B6" w:rsidP="00746391">
      <w:pPr>
        <w:pStyle w:val="SingleTxt"/>
        <w:numPr>
          <w:ilvl w:val="0"/>
          <w:numId w:val="6"/>
        </w:numPr>
        <w:spacing w:line="240" w:lineRule="exact"/>
        <w:ind w:left="1267"/>
        <w:rPr>
          <w:lang w:val="fr-FR"/>
        </w:rPr>
      </w:pPr>
      <w:r w:rsidRPr="004C48B6">
        <w:rPr>
          <w:lang w:val="fr-FR"/>
        </w:rPr>
        <w:t>Le groupe d</w:t>
      </w:r>
      <w:r w:rsidR="008E14FD">
        <w:rPr>
          <w:lang w:val="fr-FR"/>
        </w:rPr>
        <w:t>’</w:t>
      </w:r>
      <w:r w:rsidRPr="004C48B6">
        <w:rPr>
          <w:lang w:val="fr-FR"/>
        </w:rPr>
        <w:t>experts a étudié et proposé un programme national pour la formation et la sélection de femmes compétentes en vue de leur affectation à des postes de direction de l</w:t>
      </w:r>
      <w:r w:rsidR="008E14FD">
        <w:rPr>
          <w:lang w:val="fr-FR"/>
        </w:rPr>
        <w:t>’</w:t>
      </w:r>
      <w:r w:rsidRPr="004C48B6">
        <w:rPr>
          <w:lang w:val="fr-FR"/>
        </w:rPr>
        <w:t>administration tadjike pour la période 2017-2022.</w:t>
      </w:r>
    </w:p>
    <w:p w14:paraId="0E889C70" w14:textId="5AEB4F20" w:rsidR="004C48B6" w:rsidRPr="004C48B6" w:rsidRDefault="004C48B6" w:rsidP="00746391">
      <w:pPr>
        <w:pStyle w:val="SingleTxt"/>
        <w:numPr>
          <w:ilvl w:val="0"/>
          <w:numId w:val="6"/>
        </w:numPr>
        <w:spacing w:line="240" w:lineRule="exact"/>
        <w:ind w:left="1267"/>
        <w:rPr>
          <w:lang w:val="fr-FR"/>
        </w:rPr>
      </w:pPr>
      <w:r w:rsidRPr="004C48B6">
        <w:rPr>
          <w:lang w:val="fr-FR"/>
        </w:rPr>
        <w:t>Le Gouvernement a pris des mesures structurelles et financières en vue de renforcer les capacités du principal mécanisme institutionnel chargé de la promotion de la femme et de la coordination de la mise en œuvre de la politique relative à l</w:t>
      </w:r>
      <w:r w:rsidR="008E14FD">
        <w:rPr>
          <w:lang w:val="fr-FR"/>
        </w:rPr>
        <w:t>’</w:t>
      </w:r>
      <w:r w:rsidRPr="004C48B6">
        <w:rPr>
          <w:lang w:val="fr-FR"/>
        </w:rPr>
        <w:t>égalité des hommes et des femmes, à savoir la Commission de la femme et de la famille. Le nombre et le volume des financements ont augmenté. Le 1</w:t>
      </w:r>
      <w:r w:rsidRPr="004C48B6">
        <w:rPr>
          <w:vertAlign w:val="superscript"/>
          <w:lang w:val="fr-FR"/>
        </w:rPr>
        <w:t>er</w:t>
      </w:r>
      <w:r w:rsidRPr="004C48B6">
        <w:rPr>
          <w:lang w:val="fr-FR"/>
        </w:rPr>
        <w:t xml:space="preserve"> novembre 2014, le Gouvernement a pris un arrêté</w:t>
      </w:r>
      <w:r w:rsidRPr="004C48B6">
        <w:rPr>
          <w:b/>
          <w:lang w:val="fr-FR"/>
        </w:rPr>
        <w:t xml:space="preserve"> </w:t>
      </w:r>
      <w:r w:rsidRPr="004C48B6">
        <w:rPr>
          <w:lang w:val="fr-FR"/>
        </w:rPr>
        <w:t>prévoyant l</w:t>
      </w:r>
      <w:r w:rsidR="008E14FD">
        <w:rPr>
          <w:lang w:val="fr-FR"/>
        </w:rPr>
        <w:t>’</w:t>
      </w:r>
      <w:r w:rsidRPr="004C48B6">
        <w:rPr>
          <w:lang w:val="fr-FR"/>
        </w:rPr>
        <w:t xml:space="preserve">augmentation des effectifs de </w:t>
      </w:r>
      <w:r w:rsidR="008C12D6">
        <w:rPr>
          <w:lang w:val="fr-FR"/>
        </w:rPr>
        <w:t>7 </w:t>
      </w:r>
      <w:r w:rsidRPr="004C48B6">
        <w:rPr>
          <w:lang w:val="fr-FR"/>
        </w:rPr>
        <w:t>unités au niveau national et de 105 unités au niveau local. Le budget du Comité augmente chaque année</w:t>
      </w:r>
      <w:r w:rsidR="008C12D6">
        <w:rPr>
          <w:lang w:val="fr-FR"/>
        </w:rPr>
        <w:t> </w:t>
      </w:r>
      <w:r w:rsidRPr="004C48B6">
        <w:rPr>
          <w:lang w:val="fr-FR"/>
        </w:rPr>
        <w:t>: il s</w:t>
      </w:r>
      <w:r w:rsidR="008E14FD">
        <w:rPr>
          <w:lang w:val="fr-FR"/>
        </w:rPr>
        <w:t>’</w:t>
      </w:r>
      <w:r w:rsidRPr="004C48B6">
        <w:rPr>
          <w:lang w:val="fr-FR"/>
        </w:rPr>
        <w:t>élevait à 750 991 somoni en 2013, à 823 300 somoni en 2014, à 892 910 somoni en 2015, à 939 355 somoni en 2016 et à 996 110 somoni en 2017, soit une augmentation de 33</w:t>
      </w:r>
      <w:r w:rsidR="008C12D6">
        <w:rPr>
          <w:lang w:val="fr-FR"/>
        </w:rPr>
        <w:t> </w:t>
      </w:r>
      <w:r w:rsidRPr="004C48B6">
        <w:rPr>
          <w:lang w:val="fr-FR"/>
        </w:rPr>
        <w:t>% par rapport à 2013. Les effectifs des différents départements, divisions ou services travaillant sur les questions liées aux femmes et à la famille aux niveaux régional, municipal et territ</w:t>
      </w:r>
      <w:r w:rsidR="008E14FD">
        <w:rPr>
          <w:lang w:val="fr-FR"/>
        </w:rPr>
        <w:t>orial sont compris entre 3 et 7 </w:t>
      </w:r>
      <w:r w:rsidRPr="004C48B6">
        <w:rPr>
          <w:lang w:val="fr-FR"/>
        </w:rPr>
        <w:t>personnes (247 dans l</w:t>
      </w:r>
      <w:r w:rsidR="008E14FD">
        <w:rPr>
          <w:lang w:val="fr-FR"/>
        </w:rPr>
        <w:t>’</w:t>
      </w:r>
      <w:r w:rsidRPr="004C48B6">
        <w:rPr>
          <w:lang w:val="fr-FR"/>
        </w:rPr>
        <w:t>ensemble du pays) et leurs activités sont financées par les budgets locaux. En outre, des centres d</w:t>
      </w:r>
      <w:r w:rsidR="008E14FD">
        <w:rPr>
          <w:lang w:val="fr-FR"/>
        </w:rPr>
        <w:t>’</w:t>
      </w:r>
      <w:r w:rsidRPr="004C48B6">
        <w:rPr>
          <w:lang w:val="fr-FR"/>
        </w:rPr>
        <w:t>information et de consultation territoriaux fonctionnent dans le cadre de ces divisions et se</w:t>
      </w:r>
      <w:r w:rsidR="008E14FD">
        <w:rPr>
          <w:lang w:val="fr-FR"/>
        </w:rPr>
        <w:t>rvices et emploient plus de 200 </w:t>
      </w:r>
      <w:r w:rsidRPr="004C48B6">
        <w:rPr>
          <w:lang w:val="fr-FR"/>
        </w:rPr>
        <w:t>personnes à travers le pays. Le Centre national de formation pour orphelines Charogi Khidoyat emploie 31 personnes et dispose d</w:t>
      </w:r>
      <w:r w:rsidR="008E14FD">
        <w:rPr>
          <w:lang w:val="fr-FR"/>
        </w:rPr>
        <w:t>’</w:t>
      </w:r>
      <w:r w:rsidRPr="004C48B6">
        <w:rPr>
          <w:lang w:val="fr-FR"/>
        </w:rPr>
        <w:t>un budget de 1 336 355 somoni.</w:t>
      </w:r>
    </w:p>
    <w:p w14:paraId="29E61EF3" w14:textId="10475911" w:rsidR="004C48B6" w:rsidRPr="004C48B6" w:rsidRDefault="004C48B6" w:rsidP="00746391">
      <w:pPr>
        <w:pStyle w:val="SingleTxt"/>
        <w:numPr>
          <w:ilvl w:val="0"/>
          <w:numId w:val="6"/>
        </w:numPr>
        <w:spacing w:line="240" w:lineRule="exact"/>
        <w:ind w:left="1267"/>
        <w:rPr>
          <w:lang w:val="fr-FR"/>
        </w:rPr>
      </w:pPr>
      <w:r w:rsidRPr="004C48B6">
        <w:rPr>
          <w:lang w:val="fr-FR"/>
        </w:rPr>
        <w:t>Le Gouvernement a adopté un plan d</w:t>
      </w:r>
      <w:r w:rsidR="008E14FD">
        <w:rPr>
          <w:lang w:val="fr-FR"/>
        </w:rPr>
        <w:t>’</w:t>
      </w:r>
      <w:r w:rsidRPr="004C48B6">
        <w:rPr>
          <w:lang w:val="fr-FR"/>
        </w:rPr>
        <w:t xml:space="preserve">action relatif à la Stratégie nationale de promotion de la femme au Tadjikistan pour la période 2015-2020. Conformément au </w:t>
      </w:r>
      <w:r w:rsidR="0057050D" w:rsidRPr="004C48B6">
        <w:rPr>
          <w:lang w:val="fr-FR"/>
        </w:rPr>
        <w:t>p</w:t>
      </w:r>
      <w:r w:rsidR="0057050D">
        <w:rPr>
          <w:lang w:val="fr-FR"/>
        </w:rPr>
        <w:t>aragraphe</w:t>
      </w:r>
      <w:r w:rsidR="0057050D" w:rsidRPr="004C48B6">
        <w:rPr>
          <w:lang w:val="fr-FR"/>
        </w:rPr>
        <w:t xml:space="preserve"> </w:t>
      </w:r>
      <w:r w:rsidRPr="004C48B6">
        <w:rPr>
          <w:lang w:val="fr-FR"/>
        </w:rPr>
        <w:t>14 de ce document, le décret présidentiel modifiant et complétant le décret présidentiel n° 647 du 10 mars 2016 a été adopté le 19 avril 2017 dans le but d</w:t>
      </w:r>
      <w:r w:rsidR="008E14FD">
        <w:rPr>
          <w:lang w:val="fr-FR"/>
        </w:rPr>
        <w:t>’</w:t>
      </w:r>
      <w:r w:rsidRPr="004C48B6">
        <w:rPr>
          <w:lang w:val="fr-FR"/>
        </w:rPr>
        <w:t>inciter les femmes à travailler dans la fonction publique. Conformément à ce décret, le Règlement relatif à la procédure de concours visant à pourvoir les postes vacants dans la fonction publique prévoit d</w:t>
      </w:r>
      <w:r w:rsidR="008E14FD">
        <w:rPr>
          <w:lang w:val="fr-FR"/>
        </w:rPr>
        <w:t>’</w:t>
      </w:r>
      <w:r w:rsidRPr="004C48B6">
        <w:rPr>
          <w:lang w:val="fr-FR"/>
        </w:rPr>
        <w:t>offrir des avantages aux femmes et de leur attribuer trois points supplémentaires lorsqu</w:t>
      </w:r>
      <w:r w:rsidR="008E14FD">
        <w:rPr>
          <w:lang w:val="fr-FR"/>
        </w:rPr>
        <w:t>’</w:t>
      </w:r>
      <w:r w:rsidRPr="004C48B6">
        <w:rPr>
          <w:lang w:val="fr-FR"/>
        </w:rPr>
        <w:t>il s</w:t>
      </w:r>
      <w:r w:rsidR="008E14FD">
        <w:rPr>
          <w:lang w:val="fr-FR"/>
        </w:rPr>
        <w:t>’</w:t>
      </w:r>
      <w:r w:rsidRPr="004C48B6">
        <w:rPr>
          <w:lang w:val="fr-FR"/>
        </w:rPr>
        <w:t>agit de leur première affectation dans la fonction publique.</w:t>
      </w:r>
    </w:p>
    <w:p w14:paraId="7C3E14D5" w14:textId="1C309DDF" w:rsidR="004C48B6" w:rsidRPr="004C48B6" w:rsidRDefault="004C48B6" w:rsidP="00746391">
      <w:pPr>
        <w:pStyle w:val="SingleTxt"/>
        <w:numPr>
          <w:ilvl w:val="0"/>
          <w:numId w:val="6"/>
        </w:numPr>
        <w:spacing w:line="240" w:lineRule="exact"/>
        <w:ind w:left="1267"/>
        <w:rPr>
          <w:lang w:val="fr-FR"/>
        </w:rPr>
      </w:pPr>
      <w:r w:rsidRPr="004C48B6">
        <w:rPr>
          <w:lang w:val="fr-FR"/>
        </w:rPr>
        <w:t xml:space="preserve">Au cours des neuf dernières années, des crédits budgétaires pour un montant de 630 000 somoni ont été alloués au </w:t>
      </w:r>
      <w:r w:rsidR="002A6AD0">
        <w:rPr>
          <w:lang w:val="fr-FR"/>
        </w:rPr>
        <w:t>P</w:t>
      </w:r>
      <w:r w:rsidRPr="004C48B6">
        <w:rPr>
          <w:lang w:val="fr-FR"/>
        </w:rPr>
        <w:t>rogramme national pour la formation et la sélection de femmes compétentes en vue de leur affectation à des postes de direction de l</w:t>
      </w:r>
      <w:r w:rsidR="008E14FD">
        <w:rPr>
          <w:lang w:val="fr-FR"/>
        </w:rPr>
        <w:t>’</w:t>
      </w:r>
      <w:r w:rsidRPr="004C48B6">
        <w:rPr>
          <w:lang w:val="fr-FR"/>
        </w:rPr>
        <w:t>administration tadjike pour la période 2007-2016, et il est prévu d</w:t>
      </w:r>
      <w:r w:rsidR="008E14FD">
        <w:rPr>
          <w:lang w:val="fr-FR"/>
        </w:rPr>
        <w:t>’</w:t>
      </w:r>
      <w:r w:rsidRPr="004C48B6">
        <w:rPr>
          <w:lang w:val="fr-FR"/>
        </w:rPr>
        <w:t>allouer 78 000 somoni à la mise en œuvre de ce programme en 2017.</w:t>
      </w:r>
    </w:p>
    <w:p w14:paraId="74B2374C" w14:textId="461717D8" w:rsidR="004C48B6" w:rsidRPr="004C48B6" w:rsidRDefault="004C48B6" w:rsidP="00746391">
      <w:pPr>
        <w:pStyle w:val="SingleTxt"/>
        <w:numPr>
          <w:ilvl w:val="0"/>
          <w:numId w:val="6"/>
        </w:numPr>
        <w:spacing w:line="240" w:lineRule="exact"/>
        <w:ind w:left="1267"/>
        <w:rPr>
          <w:lang w:val="fr-FR"/>
        </w:rPr>
      </w:pPr>
      <w:r w:rsidRPr="004C48B6">
        <w:rPr>
          <w:lang w:val="fr-FR"/>
        </w:rPr>
        <w:t>Soixante-sept projets d</w:t>
      </w:r>
      <w:r w:rsidR="008E14FD">
        <w:rPr>
          <w:lang w:val="fr-FR"/>
        </w:rPr>
        <w:t>’</w:t>
      </w:r>
      <w:r w:rsidRPr="004C48B6">
        <w:rPr>
          <w:lang w:val="fr-FR"/>
        </w:rPr>
        <w:t>investissement, d</w:t>
      </w:r>
      <w:r w:rsidR="008E14FD">
        <w:rPr>
          <w:lang w:val="fr-FR"/>
        </w:rPr>
        <w:t>’</w:t>
      </w:r>
      <w:r w:rsidRPr="004C48B6">
        <w:rPr>
          <w:lang w:val="fr-FR"/>
        </w:rPr>
        <w:t>un montant total de 2,5 milliards de dollars des États-Unis, sont actuellement réalisés en coopération avec les institutions financières internationales</w:t>
      </w:r>
      <w:r w:rsidR="0057050D">
        <w:rPr>
          <w:lang w:val="fr-FR"/>
        </w:rPr>
        <w:t>,</w:t>
      </w:r>
      <w:r w:rsidRPr="004C48B6">
        <w:rPr>
          <w:lang w:val="fr-FR"/>
        </w:rPr>
        <w:t xml:space="preserve"> et le respect de l</w:t>
      </w:r>
      <w:r w:rsidR="008E14FD">
        <w:rPr>
          <w:lang w:val="fr-FR"/>
        </w:rPr>
        <w:t>’</w:t>
      </w:r>
      <w:r w:rsidRPr="004C48B6">
        <w:rPr>
          <w:lang w:val="fr-FR"/>
        </w:rPr>
        <w:t>égalité des sexes est strictement garanti dans le cadre de leur mise en œuvre.</w:t>
      </w:r>
    </w:p>
    <w:p w14:paraId="74004BA1" w14:textId="469223CD" w:rsidR="004C48B6" w:rsidRDefault="004C48B6" w:rsidP="00746391">
      <w:pPr>
        <w:pStyle w:val="SingleTxt"/>
        <w:numPr>
          <w:ilvl w:val="0"/>
          <w:numId w:val="6"/>
        </w:numPr>
        <w:spacing w:line="240" w:lineRule="exact"/>
        <w:ind w:left="1267"/>
        <w:rPr>
          <w:lang w:val="fr-FR"/>
        </w:rPr>
      </w:pPr>
      <w:r w:rsidRPr="004C48B6">
        <w:rPr>
          <w:lang w:val="fr-FR"/>
        </w:rPr>
        <w:lastRenderedPageBreak/>
        <w:t>Le Centre national pour l</w:t>
      </w:r>
      <w:r w:rsidR="008E14FD">
        <w:rPr>
          <w:lang w:val="fr-FR"/>
        </w:rPr>
        <w:t>’</w:t>
      </w:r>
      <w:r w:rsidRPr="004C48B6">
        <w:rPr>
          <w:lang w:val="fr-FR"/>
        </w:rPr>
        <w:t>accès au financement vert et aux fonds destinés au développement des zones rurales, qui relève du Ministère des finances, exécute actuellement un projet de commercialisation de la production agricole d</w:t>
      </w:r>
      <w:r w:rsidR="008E14FD">
        <w:rPr>
          <w:lang w:val="fr-FR"/>
        </w:rPr>
        <w:t>’</w:t>
      </w:r>
      <w:r w:rsidRPr="004C48B6">
        <w:rPr>
          <w:lang w:val="fr-FR"/>
        </w:rPr>
        <w:t>un montant total de 25 millions de dollars, dont 8 millions de dollars sont prévus pour la création d</w:t>
      </w:r>
      <w:r w:rsidR="008E14FD">
        <w:rPr>
          <w:lang w:val="fr-FR"/>
        </w:rPr>
        <w:t>’</w:t>
      </w:r>
      <w:r w:rsidRPr="004C48B6">
        <w:rPr>
          <w:lang w:val="fr-FR"/>
        </w:rPr>
        <w:t>une ligne de crédit. Parallèlement, il met en œuvre un projet pour l</w:t>
      </w:r>
      <w:r w:rsidR="008E14FD">
        <w:rPr>
          <w:lang w:val="fr-FR"/>
        </w:rPr>
        <w:t>’</w:t>
      </w:r>
      <w:r w:rsidRPr="004C48B6">
        <w:rPr>
          <w:lang w:val="fr-FR"/>
        </w:rPr>
        <w:t>accès au financement vert, d</w:t>
      </w:r>
      <w:r w:rsidR="008E14FD">
        <w:rPr>
          <w:lang w:val="fr-FR"/>
        </w:rPr>
        <w:t>’</w:t>
      </w:r>
      <w:r w:rsidRPr="004C48B6">
        <w:rPr>
          <w:lang w:val="fr-FR"/>
        </w:rPr>
        <w:t>un montant total de 10</w:t>
      </w:r>
      <w:r w:rsidR="00D14468">
        <w:rPr>
          <w:lang w:val="fr-FR"/>
        </w:rPr>
        <w:t> </w:t>
      </w:r>
      <w:r w:rsidRPr="004C48B6">
        <w:rPr>
          <w:lang w:val="fr-FR"/>
        </w:rPr>
        <w:t>millions de dollars, dont 8,8</w:t>
      </w:r>
      <w:r w:rsidR="00D14468">
        <w:rPr>
          <w:lang w:val="fr-FR"/>
        </w:rPr>
        <w:t> </w:t>
      </w:r>
      <w:r w:rsidRPr="004C48B6">
        <w:rPr>
          <w:lang w:val="fr-FR"/>
        </w:rPr>
        <w:t>millions de dollars sont destinés à la création de lignes de crédit et d</w:t>
      </w:r>
      <w:r w:rsidR="008E14FD">
        <w:rPr>
          <w:lang w:val="fr-FR"/>
        </w:rPr>
        <w:t>’</w:t>
      </w:r>
      <w:r w:rsidRPr="004C48B6">
        <w:rPr>
          <w:lang w:val="fr-FR"/>
        </w:rPr>
        <w:t>un volet d</w:t>
      </w:r>
      <w:r w:rsidR="008E14FD">
        <w:rPr>
          <w:lang w:val="fr-FR"/>
        </w:rPr>
        <w:t>’</w:t>
      </w:r>
      <w:r w:rsidRPr="004C48B6">
        <w:rPr>
          <w:lang w:val="fr-FR"/>
        </w:rPr>
        <w:t>une ligne de crédit dans le cadre du projet destiné à renforcer la résilience aux changements climatiques dans le bassin de la rivière Piandj, d</w:t>
      </w:r>
      <w:r w:rsidR="008E14FD">
        <w:rPr>
          <w:lang w:val="fr-FR"/>
        </w:rPr>
        <w:t>’</w:t>
      </w:r>
      <w:r w:rsidRPr="004C48B6">
        <w:rPr>
          <w:lang w:val="fr-FR"/>
        </w:rPr>
        <w:t>un montant de 2,8</w:t>
      </w:r>
      <w:r w:rsidR="00D14468">
        <w:rPr>
          <w:lang w:val="fr-FR"/>
        </w:rPr>
        <w:t> </w:t>
      </w:r>
      <w:r w:rsidRPr="004C48B6">
        <w:rPr>
          <w:lang w:val="fr-FR"/>
        </w:rPr>
        <w:t>millions de dollars. Une des principales exigences associées à ces projets est qu</w:t>
      </w:r>
      <w:r w:rsidR="008E14FD">
        <w:rPr>
          <w:lang w:val="fr-FR"/>
        </w:rPr>
        <w:t>’</w:t>
      </w:r>
      <w:r w:rsidRPr="004C48B6">
        <w:rPr>
          <w:lang w:val="fr-FR"/>
        </w:rPr>
        <w:t>au moins 30</w:t>
      </w:r>
      <w:r w:rsidR="00365A31">
        <w:rPr>
          <w:lang w:val="fr-FR"/>
        </w:rPr>
        <w:t> %</w:t>
      </w:r>
      <w:r w:rsidRPr="004C48B6">
        <w:rPr>
          <w:lang w:val="fr-FR"/>
        </w:rPr>
        <w:t xml:space="preserve"> des bénéficiaires d</w:t>
      </w:r>
      <w:r w:rsidR="008E14FD">
        <w:rPr>
          <w:lang w:val="fr-FR"/>
        </w:rPr>
        <w:t>’</w:t>
      </w:r>
      <w:r w:rsidRPr="004C48B6">
        <w:rPr>
          <w:lang w:val="fr-FR"/>
        </w:rPr>
        <w:t xml:space="preserve">un crédit soient des femmes. À ce </w:t>
      </w:r>
      <w:r w:rsidR="00843EC7">
        <w:rPr>
          <w:lang w:val="fr-FR"/>
        </w:rPr>
        <w:t>jour, dans le cadre du projet « </w:t>
      </w:r>
      <w:r w:rsidRPr="004C48B6">
        <w:rPr>
          <w:lang w:val="fr-FR"/>
        </w:rPr>
        <w:t>Accès au financement vert</w:t>
      </w:r>
      <w:r w:rsidR="00843EC7">
        <w:rPr>
          <w:lang w:val="fr-FR"/>
        </w:rPr>
        <w:t> </w:t>
      </w:r>
      <w:r w:rsidRPr="004C48B6">
        <w:rPr>
          <w:lang w:val="fr-FR"/>
        </w:rPr>
        <w:t>», 8,8 millions de dollars ont été mis à la disposition de bénéficiaires, dont 41</w:t>
      </w:r>
      <w:r w:rsidR="00365A31">
        <w:rPr>
          <w:lang w:val="fr-FR"/>
        </w:rPr>
        <w:t> %</w:t>
      </w:r>
      <w:r w:rsidRPr="004C48B6">
        <w:rPr>
          <w:lang w:val="fr-FR"/>
        </w:rPr>
        <w:t xml:space="preserve"> de femmes</w:t>
      </w:r>
      <w:r w:rsidR="00843EC7">
        <w:rPr>
          <w:lang w:val="fr-FR"/>
        </w:rPr>
        <w:t>, et, dans le cadre du projet « </w:t>
      </w:r>
      <w:r w:rsidRPr="004C48B6">
        <w:rPr>
          <w:lang w:val="fr-FR"/>
        </w:rPr>
        <w:t>Renforcement de la résilience aux changements climatiques dans</w:t>
      </w:r>
      <w:r w:rsidR="00843EC7">
        <w:rPr>
          <w:lang w:val="fr-FR"/>
        </w:rPr>
        <w:t xml:space="preserve"> le bassin de la rivière Piandj </w:t>
      </w:r>
      <w:r w:rsidR="008E14FD">
        <w:rPr>
          <w:lang w:val="fr-FR"/>
        </w:rPr>
        <w:t>», 2,1 </w:t>
      </w:r>
      <w:r w:rsidRPr="004C48B6">
        <w:rPr>
          <w:lang w:val="fr-FR"/>
        </w:rPr>
        <w:t>millions de dollars ont été mis à la disposition de bénéficiaires, dont 23</w:t>
      </w:r>
      <w:r w:rsidR="00365A31">
        <w:rPr>
          <w:lang w:val="fr-FR"/>
        </w:rPr>
        <w:t> %</w:t>
      </w:r>
      <w:r w:rsidRPr="004C48B6">
        <w:rPr>
          <w:lang w:val="fr-FR"/>
        </w:rPr>
        <w:t xml:space="preserve"> des femmes.</w:t>
      </w:r>
    </w:p>
    <w:p w14:paraId="39B0D657" w14:textId="75CBC0FF" w:rsidR="00843EC7" w:rsidRPr="00843EC7" w:rsidRDefault="00843EC7" w:rsidP="00843EC7">
      <w:pPr>
        <w:pStyle w:val="SingleTxt"/>
        <w:spacing w:after="0" w:line="120" w:lineRule="exact"/>
        <w:rPr>
          <w:sz w:val="10"/>
          <w:lang w:val="fr-FR"/>
        </w:rPr>
      </w:pPr>
    </w:p>
    <w:p w14:paraId="4A62446B" w14:textId="0C191AAD" w:rsidR="004C48B6" w:rsidRDefault="00843EC7" w:rsidP="00843E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C48B6" w:rsidRPr="004C48B6">
        <w:rPr>
          <w:lang w:val="fr-FR"/>
        </w:rPr>
        <w:t>Mesures temporaires spéciales</w:t>
      </w:r>
    </w:p>
    <w:p w14:paraId="3A21146C" w14:textId="2A2E861C" w:rsidR="00843EC7" w:rsidRPr="00843EC7" w:rsidRDefault="00843EC7" w:rsidP="00843EC7">
      <w:pPr>
        <w:pStyle w:val="SingleTxt"/>
        <w:spacing w:after="0" w:line="120" w:lineRule="exact"/>
        <w:rPr>
          <w:sz w:val="10"/>
          <w:lang w:val="fr-FR"/>
        </w:rPr>
      </w:pPr>
    </w:p>
    <w:p w14:paraId="36E78A1F" w14:textId="4BD4CB9F" w:rsidR="004C48B6" w:rsidRDefault="00843EC7" w:rsidP="00843E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C48B6" w:rsidRPr="004C48B6">
        <w:rPr>
          <w:lang w:val="fr-FR"/>
        </w:rPr>
        <w:t>Paragraphe 14 des observations finales</w:t>
      </w:r>
    </w:p>
    <w:p w14:paraId="3D94719F" w14:textId="69004310" w:rsidR="00843EC7" w:rsidRPr="00843EC7" w:rsidRDefault="00843EC7" w:rsidP="00843EC7">
      <w:pPr>
        <w:pStyle w:val="SingleTxt"/>
        <w:spacing w:after="0" w:line="120" w:lineRule="exact"/>
        <w:rPr>
          <w:sz w:val="10"/>
          <w:lang w:val="fr-FR"/>
        </w:rPr>
      </w:pPr>
    </w:p>
    <w:p w14:paraId="6BAAAB83" w14:textId="58CC8A16" w:rsidR="004C48B6" w:rsidRPr="004C48B6" w:rsidRDefault="004C48B6" w:rsidP="00746391">
      <w:pPr>
        <w:pStyle w:val="SingleTxt"/>
        <w:numPr>
          <w:ilvl w:val="0"/>
          <w:numId w:val="6"/>
        </w:numPr>
        <w:spacing w:line="240" w:lineRule="exact"/>
        <w:ind w:left="1267"/>
        <w:rPr>
          <w:lang w:val="fr-FR"/>
        </w:rPr>
      </w:pPr>
      <w:r w:rsidRPr="004C48B6">
        <w:rPr>
          <w:lang w:val="fr-FR"/>
        </w:rPr>
        <w:t>Un des principaux indicateurs de l</w:t>
      </w:r>
      <w:r w:rsidR="008E14FD">
        <w:rPr>
          <w:lang w:val="fr-FR"/>
        </w:rPr>
        <w:t>’</w:t>
      </w:r>
      <w:r w:rsidRPr="004C48B6">
        <w:rPr>
          <w:lang w:val="fr-FR"/>
        </w:rPr>
        <w:t>efficacité d</w:t>
      </w:r>
      <w:r w:rsidR="008E14FD">
        <w:rPr>
          <w:lang w:val="fr-FR"/>
        </w:rPr>
        <w:t>’</w:t>
      </w:r>
      <w:r w:rsidRPr="004C48B6">
        <w:rPr>
          <w:lang w:val="fr-FR"/>
        </w:rPr>
        <w:t>une politique d</w:t>
      </w:r>
      <w:r w:rsidR="008E14FD">
        <w:rPr>
          <w:lang w:val="fr-FR"/>
        </w:rPr>
        <w:t>’</w:t>
      </w:r>
      <w:r w:rsidRPr="004C48B6">
        <w:rPr>
          <w:lang w:val="fr-FR"/>
        </w:rPr>
        <w:t>égalité entre les sexes est la mesure dans laquelle les femmes ont accès aux ressources économiques et financières. L</w:t>
      </w:r>
      <w:r w:rsidR="008E14FD">
        <w:rPr>
          <w:lang w:val="fr-FR"/>
        </w:rPr>
        <w:t>’</w:t>
      </w:r>
      <w:r w:rsidRPr="004C48B6">
        <w:rPr>
          <w:lang w:val="fr-FR"/>
        </w:rPr>
        <w:t>égalité des sexes est un élément transversal de la Stratégie nationale de développement du Tadjikistan</w:t>
      </w:r>
      <w:r w:rsidRPr="004C48B6">
        <w:rPr>
          <w:b/>
          <w:lang w:val="fr-FR"/>
        </w:rPr>
        <w:t xml:space="preserve"> </w:t>
      </w:r>
      <w:r w:rsidRPr="004C48B6">
        <w:rPr>
          <w:lang w:val="fr-FR"/>
        </w:rPr>
        <w:t>à l</w:t>
      </w:r>
      <w:r w:rsidR="008E14FD">
        <w:rPr>
          <w:lang w:val="fr-FR"/>
        </w:rPr>
        <w:t>’</w:t>
      </w:r>
      <w:r w:rsidRPr="004C48B6">
        <w:rPr>
          <w:lang w:val="fr-FR"/>
        </w:rPr>
        <w:t>horizon 2030, et les principes relatifs à l</w:t>
      </w:r>
      <w:r w:rsidR="008E14FD">
        <w:rPr>
          <w:lang w:val="fr-FR"/>
        </w:rPr>
        <w:t>’</w:t>
      </w:r>
      <w:r w:rsidRPr="004C48B6">
        <w:rPr>
          <w:lang w:val="fr-FR"/>
        </w:rPr>
        <w:t>égalité entre les hommes et les femmes sont pris en compte dans les lois et les politiques qui touchent les questions concernant l</w:t>
      </w:r>
      <w:r w:rsidR="008E14FD">
        <w:rPr>
          <w:lang w:val="fr-FR"/>
        </w:rPr>
        <w:t>’</w:t>
      </w:r>
      <w:r w:rsidRPr="004C48B6">
        <w:rPr>
          <w:lang w:val="fr-FR"/>
        </w:rPr>
        <w:t>accès à la terre.</w:t>
      </w:r>
    </w:p>
    <w:p w14:paraId="0D82C225" w14:textId="4E260D97" w:rsidR="004C48B6" w:rsidRPr="004C48B6" w:rsidRDefault="004C48B6" w:rsidP="00746391">
      <w:pPr>
        <w:pStyle w:val="SingleTxt"/>
        <w:numPr>
          <w:ilvl w:val="0"/>
          <w:numId w:val="6"/>
        </w:numPr>
        <w:spacing w:line="240" w:lineRule="exact"/>
        <w:ind w:left="1267"/>
        <w:rPr>
          <w:lang w:val="fr-FR"/>
        </w:rPr>
      </w:pPr>
      <w:r w:rsidRPr="004C48B6">
        <w:rPr>
          <w:lang w:val="fr-FR"/>
        </w:rPr>
        <w:t>L</w:t>
      </w:r>
      <w:r w:rsidR="008E14FD">
        <w:rPr>
          <w:lang w:val="fr-FR"/>
        </w:rPr>
        <w:t>’</w:t>
      </w:r>
      <w:r w:rsidRPr="004C48B6">
        <w:rPr>
          <w:lang w:val="fr-FR"/>
        </w:rPr>
        <w:t>article 17 de la Constitution stipule que les hommes et les femmes sont égaux. En outre, l</w:t>
      </w:r>
      <w:r w:rsidR="008E14FD">
        <w:rPr>
          <w:lang w:val="fr-FR"/>
        </w:rPr>
        <w:t>’</w:t>
      </w:r>
      <w:r w:rsidRPr="004C48B6">
        <w:rPr>
          <w:lang w:val="fr-FR"/>
        </w:rPr>
        <w:t>article 35 de la Constitution dispose que toute personne a le droit de travailler, de choisir sa profession, son emploi ainsi que son régime de protection des travailleurs et de protection sociale en cas de perte d</w:t>
      </w:r>
      <w:r w:rsidR="008E14FD">
        <w:rPr>
          <w:lang w:val="fr-FR"/>
        </w:rPr>
        <w:t>’</w:t>
      </w:r>
      <w:r w:rsidRPr="004C48B6">
        <w:rPr>
          <w:lang w:val="fr-FR"/>
        </w:rPr>
        <w:t>emploi. Toute restriction en la matière est interdite. Le principe de l</w:t>
      </w:r>
      <w:r w:rsidR="008E14FD">
        <w:rPr>
          <w:lang w:val="fr-FR"/>
        </w:rPr>
        <w:t>’</w:t>
      </w:r>
      <w:r w:rsidRPr="004C48B6">
        <w:rPr>
          <w:lang w:val="fr-FR"/>
        </w:rPr>
        <w:t>égalité de salaire à travail égal est appliqué. Nul ne peut être soumis au travail forcé, sauf dans les cas prévus par la loi. Le Code du travail interdit la discrimination dans le cadre des relations de travail (art</w:t>
      </w:r>
      <w:r w:rsidR="00821580">
        <w:rPr>
          <w:lang w:val="fr-FR"/>
        </w:rPr>
        <w:t>. </w:t>
      </w:r>
      <w:r w:rsidRPr="004C48B6">
        <w:rPr>
          <w:lang w:val="fr-FR"/>
        </w:rPr>
        <w:t>7). Le principe de l</w:t>
      </w:r>
      <w:r w:rsidR="008E14FD">
        <w:rPr>
          <w:lang w:val="fr-FR"/>
        </w:rPr>
        <w:t>’</w:t>
      </w:r>
      <w:r w:rsidRPr="004C48B6">
        <w:rPr>
          <w:lang w:val="fr-FR"/>
        </w:rPr>
        <w:t>égalité des chances dans le domaine des relations de travail est appliqué. Toute distinction, exclusion ou préférence fondée sur le sexe, ainsi que le refus d</w:t>
      </w:r>
      <w:r w:rsidR="008E14FD">
        <w:rPr>
          <w:lang w:val="fr-FR"/>
        </w:rPr>
        <w:t>’</w:t>
      </w:r>
      <w:r w:rsidRPr="004C48B6">
        <w:rPr>
          <w:lang w:val="fr-FR"/>
        </w:rPr>
        <w:t>engager une personne pour un tel motif, constituent une violation du principe d</w:t>
      </w:r>
      <w:r w:rsidR="008E14FD">
        <w:rPr>
          <w:lang w:val="fr-FR"/>
        </w:rPr>
        <w:t>’</w:t>
      </w:r>
      <w:r w:rsidRPr="004C48B6">
        <w:rPr>
          <w:lang w:val="fr-FR"/>
        </w:rPr>
        <w:t>égalité des chances dans le domaine du travail et sont interdits. Les différences appliquées dans le domaine de l</w:t>
      </w:r>
      <w:r w:rsidR="008E14FD">
        <w:rPr>
          <w:lang w:val="fr-FR"/>
        </w:rPr>
        <w:t>’</w:t>
      </w:r>
      <w:r w:rsidRPr="004C48B6">
        <w:rPr>
          <w:lang w:val="fr-FR"/>
        </w:rPr>
        <w:t>emploi en raison des exigences spécifiques à un type de travail ou des préoccupations particulières de l</w:t>
      </w:r>
      <w:r w:rsidR="008E14FD">
        <w:rPr>
          <w:lang w:val="fr-FR"/>
        </w:rPr>
        <w:t>’</w:t>
      </w:r>
      <w:r w:rsidRPr="004C48B6">
        <w:rPr>
          <w:lang w:val="fr-FR"/>
        </w:rPr>
        <w:t>État concernant les personnes ayant besoin d</w:t>
      </w:r>
      <w:r w:rsidR="008E14FD">
        <w:rPr>
          <w:lang w:val="fr-FR"/>
        </w:rPr>
        <w:t>’</w:t>
      </w:r>
      <w:r w:rsidRPr="004C48B6">
        <w:rPr>
          <w:lang w:val="fr-FR"/>
        </w:rPr>
        <w:t>une protection sociale renforcée (femmes, mineurs, personnes handicapées) ne sont pas considérées comme des formes de discrimination. Les personnes qui estiment avoir été victime de discrimination dans le domaine des relations de travail peuvent introduire une requête à ce sujet auprès du tribunal compétent. Le Code du travail prévoit des garanties supplémentaires pour les femmes</w:t>
      </w:r>
      <w:r w:rsidR="008E14FD">
        <w:rPr>
          <w:lang w:val="fr-FR"/>
        </w:rPr>
        <w:t> :</w:t>
      </w:r>
      <w:r w:rsidRPr="004C48B6">
        <w:rPr>
          <w:lang w:val="fr-FR"/>
        </w:rPr>
        <w:t xml:space="preserve"> horaires de travail restreints pour les femmes enceintes ou ayant des enfants et limitation du travail de nuit, des heures supplémentaires et du travail le week-end, les jours fériés ou dans le cadre de voyages officiels pour les femmes et les personnes ayant des responsabilités familiales (chap</w:t>
      </w:r>
      <w:r w:rsidR="00821580">
        <w:rPr>
          <w:lang w:val="fr-FR"/>
        </w:rPr>
        <w:t>. </w:t>
      </w:r>
      <w:r w:rsidRPr="004C48B6">
        <w:rPr>
          <w:lang w:val="fr-FR"/>
        </w:rPr>
        <w:t>12).</w:t>
      </w:r>
    </w:p>
    <w:p w14:paraId="6C5EBB2A" w14:textId="1A93E583" w:rsidR="004C48B6" w:rsidRPr="004C48B6" w:rsidRDefault="004C48B6" w:rsidP="00746391">
      <w:pPr>
        <w:pStyle w:val="SingleTxt"/>
        <w:numPr>
          <w:ilvl w:val="0"/>
          <w:numId w:val="6"/>
        </w:numPr>
        <w:spacing w:line="240" w:lineRule="exact"/>
        <w:ind w:left="1267"/>
        <w:rPr>
          <w:lang w:val="fr-FR"/>
        </w:rPr>
      </w:pPr>
      <w:r w:rsidRPr="004C48B6">
        <w:rPr>
          <w:lang w:val="fr-FR"/>
        </w:rPr>
        <w:t>La situation des femmes est déterminée par l</w:t>
      </w:r>
      <w:r w:rsidR="008E14FD">
        <w:rPr>
          <w:lang w:val="fr-FR"/>
        </w:rPr>
        <w:t>’</w:t>
      </w:r>
      <w:r w:rsidRPr="004C48B6">
        <w:rPr>
          <w:lang w:val="fr-FR"/>
        </w:rPr>
        <w:t>étendue de leurs droits civils. Conformément à la législation en vigueur, les femmes ont les mêmes droits que les hommes, c</w:t>
      </w:r>
      <w:r w:rsidR="008E14FD">
        <w:rPr>
          <w:lang w:val="fr-FR"/>
        </w:rPr>
        <w:t>’</w:t>
      </w:r>
      <w:r w:rsidRPr="004C48B6">
        <w:rPr>
          <w:lang w:val="fr-FR"/>
        </w:rPr>
        <w:t>est-à-dire qu</w:t>
      </w:r>
      <w:r w:rsidR="008E14FD">
        <w:rPr>
          <w:lang w:val="fr-FR"/>
        </w:rPr>
        <w:t>’</w:t>
      </w:r>
      <w:r w:rsidRPr="004C48B6">
        <w:rPr>
          <w:lang w:val="fr-FR"/>
        </w:rPr>
        <w:t>elles peuvent, dans des conditions d</w:t>
      </w:r>
      <w:r w:rsidR="008E14FD">
        <w:rPr>
          <w:lang w:val="fr-FR"/>
        </w:rPr>
        <w:t>’</w:t>
      </w:r>
      <w:r w:rsidRPr="004C48B6">
        <w:rPr>
          <w:lang w:val="fr-FR"/>
        </w:rPr>
        <w:t xml:space="preserve">égalité avec les </w:t>
      </w:r>
      <w:r w:rsidRPr="004C48B6">
        <w:rPr>
          <w:lang w:val="fr-FR"/>
        </w:rPr>
        <w:lastRenderedPageBreak/>
        <w:t>hommes, posséder, utiliser et aliéner des biens, conclure des contrats et exercer d</w:t>
      </w:r>
      <w:r w:rsidR="008E14FD">
        <w:rPr>
          <w:lang w:val="fr-FR"/>
        </w:rPr>
        <w:t>’</w:t>
      </w:r>
      <w:r w:rsidRPr="004C48B6">
        <w:rPr>
          <w:lang w:val="fr-FR"/>
        </w:rPr>
        <w:t>autres droits civils. La capacité juridique des hommes et des femmes est consacrée par le Code civil et ne peut être limitée que par une loi ou une décision judiciaire. Les femmes jouissent, dans des conditions d</w:t>
      </w:r>
      <w:r w:rsidR="008E14FD">
        <w:rPr>
          <w:lang w:val="fr-FR"/>
        </w:rPr>
        <w:t>’</w:t>
      </w:r>
      <w:r w:rsidRPr="004C48B6">
        <w:rPr>
          <w:lang w:val="fr-FR"/>
        </w:rPr>
        <w:t>égalité avec les hommes, de la liberté de circulation et du droit de choisir leur lieu de résidence. L</w:t>
      </w:r>
      <w:r w:rsidR="008E14FD">
        <w:rPr>
          <w:lang w:val="fr-FR"/>
        </w:rPr>
        <w:t>’</w:t>
      </w:r>
      <w:r w:rsidRPr="004C48B6">
        <w:rPr>
          <w:lang w:val="fr-FR"/>
        </w:rPr>
        <w:t>article 19 du Code civil dispose que les citoyens peuvent circuler librement dans le pays, choisir un lieu de résidence, sortir du pays et y retourner. Le Code civil confère en outre aux femmes le droit d</w:t>
      </w:r>
      <w:r w:rsidR="008E14FD">
        <w:rPr>
          <w:lang w:val="fr-FR"/>
        </w:rPr>
        <w:t>’</w:t>
      </w:r>
      <w:r w:rsidRPr="004C48B6">
        <w:rPr>
          <w:lang w:val="fr-FR"/>
        </w:rPr>
        <w:t>être indemnisées pour des torts subis à la suite d</w:t>
      </w:r>
      <w:r w:rsidR="008E14FD">
        <w:rPr>
          <w:lang w:val="fr-FR"/>
        </w:rPr>
        <w:t>’</w:t>
      </w:r>
      <w:r w:rsidRPr="004C48B6">
        <w:rPr>
          <w:lang w:val="fr-FR"/>
        </w:rPr>
        <w:t>actes illicites, et celles-ci sont donc habilitées à demander à un tribunal réparation pour les dommages matériels ou le préjudice moral subi.</w:t>
      </w:r>
    </w:p>
    <w:p w14:paraId="093F1D2B" w14:textId="63213401" w:rsidR="004C48B6" w:rsidRPr="004C48B6" w:rsidRDefault="004C48B6" w:rsidP="00746391">
      <w:pPr>
        <w:pStyle w:val="SingleTxt"/>
        <w:numPr>
          <w:ilvl w:val="0"/>
          <w:numId w:val="6"/>
        </w:numPr>
        <w:spacing w:line="240" w:lineRule="exact"/>
        <w:ind w:left="1267"/>
        <w:rPr>
          <w:lang w:val="fr-FR"/>
        </w:rPr>
      </w:pPr>
      <w:r w:rsidRPr="004C48B6">
        <w:rPr>
          <w:lang w:val="fr-FR"/>
        </w:rPr>
        <w:t>Le Code pénal (art</w:t>
      </w:r>
      <w:r w:rsidR="008909E3">
        <w:rPr>
          <w:lang w:val="fr-FR"/>
        </w:rPr>
        <w:t>. </w:t>
      </w:r>
      <w:r w:rsidRPr="004C48B6">
        <w:rPr>
          <w:lang w:val="fr-FR"/>
        </w:rPr>
        <w:t>143, partie 1) prévoit des sanctions pénales pour les violations de l</w:t>
      </w:r>
      <w:r w:rsidR="008E14FD">
        <w:rPr>
          <w:lang w:val="fr-FR"/>
        </w:rPr>
        <w:t>’</w:t>
      </w:r>
      <w:r w:rsidRPr="004C48B6">
        <w:rPr>
          <w:lang w:val="fr-FR"/>
        </w:rPr>
        <w:t>égalité de droits des citoyens, notamment celles fondées sur le sexe, à savoir une amende d</w:t>
      </w:r>
      <w:r w:rsidR="008E14FD">
        <w:rPr>
          <w:lang w:val="fr-FR"/>
        </w:rPr>
        <w:t>’</w:t>
      </w:r>
      <w:r w:rsidRPr="004C48B6">
        <w:rPr>
          <w:lang w:val="fr-FR"/>
        </w:rPr>
        <w:t>un montant équivalent à entre 200 et 500 unités de calcul et une peine de prison d</w:t>
      </w:r>
      <w:r w:rsidR="008E14FD">
        <w:rPr>
          <w:lang w:val="fr-FR"/>
        </w:rPr>
        <w:t>’</w:t>
      </w:r>
      <w:r w:rsidRPr="004C48B6">
        <w:rPr>
          <w:lang w:val="fr-FR"/>
        </w:rPr>
        <w:t xml:space="preserve">une durée maximale de deux ans. </w:t>
      </w:r>
    </w:p>
    <w:p w14:paraId="554EA51B" w14:textId="06DFDC78" w:rsidR="004C48B6" w:rsidRPr="004C48B6" w:rsidRDefault="004C48B6" w:rsidP="00926FCD">
      <w:pPr>
        <w:pStyle w:val="SingleTxt"/>
        <w:numPr>
          <w:ilvl w:val="0"/>
          <w:numId w:val="6"/>
        </w:numPr>
        <w:spacing w:line="240" w:lineRule="exact"/>
        <w:ind w:left="1267"/>
        <w:rPr>
          <w:lang w:val="fr-FR"/>
        </w:rPr>
      </w:pPr>
      <w:r w:rsidRPr="004C48B6">
        <w:rPr>
          <w:lang w:val="fr-FR"/>
        </w:rPr>
        <w:t>La loi sur la garantie de l</w:t>
      </w:r>
      <w:r w:rsidR="008E14FD">
        <w:rPr>
          <w:lang w:val="fr-FR"/>
        </w:rPr>
        <w:t>’</w:t>
      </w:r>
      <w:r w:rsidRPr="004C48B6">
        <w:rPr>
          <w:lang w:val="fr-FR"/>
        </w:rPr>
        <w:t>égalité des droits des hommes et des femmes et de l</w:t>
      </w:r>
      <w:r w:rsidR="008E14FD">
        <w:rPr>
          <w:lang w:val="fr-FR"/>
        </w:rPr>
        <w:t>’</w:t>
      </w:r>
      <w:r w:rsidRPr="004C48B6">
        <w:rPr>
          <w:lang w:val="fr-FR"/>
        </w:rPr>
        <w:t>égalité des chances dans l</w:t>
      </w:r>
      <w:r w:rsidR="008E14FD">
        <w:rPr>
          <w:lang w:val="fr-FR"/>
        </w:rPr>
        <w:t>’</w:t>
      </w:r>
      <w:r w:rsidRPr="004C48B6">
        <w:rPr>
          <w:lang w:val="fr-FR"/>
        </w:rPr>
        <w:t>exercice de ces droits définit la discrimination et interdit toute forme de discrimination fondée sur le sexe en matière d</w:t>
      </w:r>
      <w:r w:rsidR="008E14FD">
        <w:rPr>
          <w:lang w:val="fr-FR"/>
        </w:rPr>
        <w:t>’</w:t>
      </w:r>
      <w:r w:rsidRPr="004C48B6">
        <w:rPr>
          <w:lang w:val="fr-FR"/>
        </w:rPr>
        <w:t>exercice des droits (art</w:t>
      </w:r>
      <w:r w:rsidR="008909E3">
        <w:rPr>
          <w:lang w:val="fr-FR"/>
        </w:rPr>
        <w:t>. </w:t>
      </w:r>
      <w:r w:rsidRPr="004C48B6">
        <w:rPr>
          <w:lang w:val="fr-FR"/>
        </w:rPr>
        <w:t>1 et 3). La Commission de la femme et de la famille, en tant qu</w:t>
      </w:r>
      <w:r w:rsidR="008E14FD">
        <w:rPr>
          <w:lang w:val="fr-FR"/>
        </w:rPr>
        <w:t>’</w:t>
      </w:r>
      <w:r w:rsidRPr="004C48B6">
        <w:rPr>
          <w:lang w:val="fr-FR"/>
        </w:rPr>
        <w:t>organe public chargé de garantir la promotion de l</w:t>
      </w:r>
      <w:r w:rsidR="008E14FD">
        <w:rPr>
          <w:lang w:val="fr-FR"/>
        </w:rPr>
        <w:t>’</w:t>
      </w:r>
      <w:r w:rsidRPr="004C48B6">
        <w:rPr>
          <w:lang w:val="fr-FR"/>
        </w:rPr>
        <w:t>égalité des sexes au Tadjikistan, veille dans les limites de ses compétences à assurer le respect de cette loi (art</w:t>
      </w:r>
      <w:r w:rsidR="008909E3">
        <w:rPr>
          <w:lang w:val="fr-FR"/>
        </w:rPr>
        <w:t>. </w:t>
      </w:r>
      <w:r w:rsidRPr="004C48B6">
        <w:rPr>
          <w:lang w:val="fr-FR"/>
        </w:rPr>
        <w:t>19).</w:t>
      </w:r>
    </w:p>
    <w:p w14:paraId="4520D646" w14:textId="71D0DCB3" w:rsidR="004C48B6" w:rsidRPr="004C48B6" w:rsidRDefault="004C48B6" w:rsidP="00746391">
      <w:pPr>
        <w:pStyle w:val="SingleTxt"/>
        <w:numPr>
          <w:ilvl w:val="0"/>
          <w:numId w:val="6"/>
        </w:numPr>
        <w:spacing w:line="240" w:lineRule="exact"/>
        <w:ind w:left="1267"/>
        <w:rPr>
          <w:lang w:val="fr-FR"/>
        </w:rPr>
      </w:pPr>
      <w:r w:rsidRPr="004C48B6">
        <w:rPr>
          <w:lang w:val="fr-FR"/>
        </w:rPr>
        <w:t>La politique relative à l</w:t>
      </w:r>
      <w:r w:rsidR="008E14FD">
        <w:rPr>
          <w:lang w:val="fr-FR"/>
        </w:rPr>
        <w:t>’</w:t>
      </w:r>
      <w:r w:rsidRPr="004C48B6">
        <w:rPr>
          <w:lang w:val="fr-FR"/>
        </w:rPr>
        <w:t>égalité des sexes menée actuellement par le Gouvernement promeut l</w:t>
      </w:r>
      <w:r w:rsidR="008E14FD">
        <w:rPr>
          <w:lang w:val="fr-FR"/>
        </w:rPr>
        <w:t>’</w:t>
      </w:r>
      <w:r w:rsidRPr="004C48B6">
        <w:rPr>
          <w:lang w:val="fr-FR"/>
        </w:rPr>
        <w:t>activité des femmes dans la sphère publique. L</w:t>
      </w:r>
      <w:r w:rsidR="008E14FD">
        <w:rPr>
          <w:lang w:val="fr-FR"/>
        </w:rPr>
        <w:t>’</w:t>
      </w:r>
      <w:r w:rsidRPr="004C48B6">
        <w:rPr>
          <w:lang w:val="fr-FR"/>
        </w:rPr>
        <w:t>économie de marché stimule l</w:t>
      </w:r>
      <w:r w:rsidR="008E14FD">
        <w:rPr>
          <w:lang w:val="fr-FR"/>
        </w:rPr>
        <w:t>’</w:t>
      </w:r>
      <w:r w:rsidRPr="004C48B6">
        <w:rPr>
          <w:lang w:val="fr-FR"/>
        </w:rPr>
        <w:t>initiative privée des femmes. L</w:t>
      </w:r>
      <w:r w:rsidR="008E14FD">
        <w:rPr>
          <w:lang w:val="fr-FR"/>
        </w:rPr>
        <w:t>’</w:t>
      </w:r>
      <w:r w:rsidRPr="004C48B6">
        <w:rPr>
          <w:lang w:val="fr-FR"/>
        </w:rPr>
        <w:t>augmentation du nombre de femmes créant leur propre entreprise a contribué à constituer des</w:t>
      </w:r>
      <w:r w:rsidR="008E14FD">
        <w:rPr>
          <w:lang w:val="fr-FR"/>
        </w:rPr>
        <w:t xml:space="preserve"> </w:t>
      </w:r>
      <w:r w:rsidRPr="004C48B6">
        <w:rPr>
          <w:lang w:val="fr-FR"/>
        </w:rPr>
        <w:t>groupes de femmes indépendantes sur le plan économique. De nouvelles formes d</w:t>
      </w:r>
      <w:r w:rsidR="008E14FD">
        <w:rPr>
          <w:lang w:val="fr-FR"/>
        </w:rPr>
        <w:t>’</w:t>
      </w:r>
      <w:r w:rsidRPr="004C48B6">
        <w:rPr>
          <w:lang w:val="fr-FR"/>
        </w:rPr>
        <w:t>activités telles que l</w:t>
      </w:r>
      <w:r w:rsidR="008E14FD">
        <w:rPr>
          <w:lang w:val="fr-FR"/>
        </w:rPr>
        <w:t>’</w:t>
      </w:r>
      <w:r w:rsidRPr="004C48B6">
        <w:rPr>
          <w:lang w:val="fr-FR"/>
        </w:rPr>
        <w:t>entrepreneuriat privé, la création individuelle et les activités du secteur civil commence</w:t>
      </w:r>
      <w:r w:rsidR="00355D69">
        <w:rPr>
          <w:lang w:val="fr-FR"/>
        </w:rPr>
        <w:t>nt</w:t>
      </w:r>
      <w:r w:rsidRPr="004C48B6">
        <w:rPr>
          <w:lang w:val="fr-FR"/>
        </w:rPr>
        <w:t xml:space="preserve"> à susciter de l</w:t>
      </w:r>
      <w:r w:rsidR="008E14FD">
        <w:rPr>
          <w:lang w:val="fr-FR"/>
        </w:rPr>
        <w:t>’</w:t>
      </w:r>
      <w:r w:rsidRPr="004C48B6">
        <w:rPr>
          <w:lang w:val="fr-FR"/>
        </w:rPr>
        <w:t>intérêt. Le système d</w:t>
      </w:r>
      <w:r w:rsidR="008E14FD">
        <w:rPr>
          <w:lang w:val="fr-FR"/>
        </w:rPr>
        <w:t>’</w:t>
      </w:r>
      <w:r w:rsidRPr="004C48B6">
        <w:rPr>
          <w:lang w:val="fr-FR"/>
        </w:rPr>
        <w:t>entrepreneuriat féminin prend de plus en plus d</w:t>
      </w:r>
      <w:r w:rsidR="008E14FD">
        <w:rPr>
          <w:lang w:val="fr-FR"/>
        </w:rPr>
        <w:t>’</w:t>
      </w:r>
      <w:r w:rsidRPr="004C48B6">
        <w:rPr>
          <w:lang w:val="fr-FR"/>
        </w:rPr>
        <w:t>ampleur. Conformément à l</w:t>
      </w:r>
      <w:r w:rsidR="008E14FD">
        <w:rPr>
          <w:lang w:val="fr-FR"/>
        </w:rPr>
        <w:t>’</w:t>
      </w:r>
      <w:r w:rsidRPr="004C48B6">
        <w:rPr>
          <w:lang w:val="fr-FR"/>
        </w:rPr>
        <w:t>arrêté du Gouvernement en date du 2 avril 2011 portant sur la création et l</w:t>
      </w:r>
      <w:r w:rsidR="008E14FD">
        <w:rPr>
          <w:lang w:val="fr-FR"/>
        </w:rPr>
        <w:t>’</w:t>
      </w:r>
      <w:r w:rsidRPr="004C48B6">
        <w:rPr>
          <w:lang w:val="fr-FR"/>
        </w:rPr>
        <w:t>attribution de subventions du Président de la République du Tadjikistan visant à soutenir et à développer l</w:t>
      </w:r>
      <w:r w:rsidR="008E14FD">
        <w:rPr>
          <w:lang w:val="fr-FR"/>
        </w:rPr>
        <w:t>’</w:t>
      </w:r>
      <w:r w:rsidRPr="004C48B6">
        <w:rPr>
          <w:lang w:val="fr-FR"/>
        </w:rPr>
        <w:t>entreprenariat féminin pour la période 2011-2015, 40 subventions étaient allouées chaque année pour un montant total d</w:t>
      </w:r>
      <w:r w:rsidR="00355D69">
        <w:rPr>
          <w:lang w:val="fr-FR"/>
        </w:rPr>
        <w:t>e 1</w:t>
      </w:r>
      <w:r w:rsidRPr="004C48B6">
        <w:rPr>
          <w:lang w:val="fr-FR"/>
        </w:rPr>
        <w:t xml:space="preserve"> million de somoni. Depuis 2013, l</w:t>
      </w:r>
      <w:r w:rsidR="008E14FD">
        <w:rPr>
          <w:lang w:val="fr-FR"/>
        </w:rPr>
        <w:t>’</w:t>
      </w:r>
      <w:r w:rsidRPr="004C48B6">
        <w:rPr>
          <w:lang w:val="fr-FR"/>
        </w:rPr>
        <w:t>arrêté pris par le Gouvernement le 5</w:t>
      </w:r>
      <w:r w:rsidR="00355D69">
        <w:rPr>
          <w:lang w:val="fr-FR"/>
        </w:rPr>
        <w:t> </w:t>
      </w:r>
      <w:r w:rsidRPr="004C48B6">
        <w:rPr>
          <w:lang w:val="fr-FR"/>
        </w:rPr>
        <w:t>décembre 2013 a fait passer le nombre de subventions de 40 à 80 et porté le montant alloué à 2 millions de somoni. Conformément à l</w:t>
      </w:r>
      <w:r w:rsidR="008E14FD">
        <w:rPr>
          <w:lang w:val="fr-FR"/>
        </w:rPr>
        <w:t>’</w:t>
      </w:r>
      <w:r w:rsidRPr="004C48B6">
        <w:rPr>
          <w:lang w:val="fr-FR"/>
        </w:rPr>
        <w:t>arrêté</w:t>
      </w:r>
      <w:r w:rsidRPr="004C48B6">
        <w:rPr>
          <w:b/>
          <w:lang w:val="fr-FR"/>
        </w:rPr>
        <w:t xml:space="preserve"> </w:t>
      </w:r>
      <w:r w:rsidRPr="004C48B6">
        <w:rPr>
          <w:lang w:val="fr-FR"/>
        </w:rPr>
        <w:t>du Gouvernement en date du 2 novembre 2015 portant sur la création et l</w:t>
      </w:r>
      <w:r w:rsidR="008E14FD">
        <w:rPr>
          <w:lang w:val="fr-FR"/>
        </w:rPr>
        <w:t>’</w:t>
      </w:r>
      <w:r w:rsidRPr="004C48B6">
        <w:rPr>
          <w:lang w:val="fr-FR"/>
        </w:rPr>
        <w:t>attribution de subventions du Président visant à soutenir et à développer l</w:t>
      </w:r>
      <w:r w:rsidR="008E14FD">
        <w:rPr>
          <w:lang w:val="fr-FR"/>
        </w:rPr>
        <w:t>’</w:t>
      </w:r>
      <w:r w:rsidRPr="004C48B6">
        <w:rPr>
          <w:lang w:val="fr-FR"/>
        </w:rPr>
        <w:t>entreprenariat féminin pour la période 2016-2020, la politique d</w:t>
      </w:r>
      <w:r w:rsidR="008E14FD">
        <w:rPr>
          <w:lang w:val="fr-FR"/>
        </w:rPr>
        <w:t>’</w:t>
      </w:r>
      <w:r w:rsidRPr="004C48B6">
        <w:rPr>
          <w:lang w:val="fr-FR"/>
        </w:rPr>
        <w:t>appui de l</w:t>
      </w:r>
      <w:r w:rsidR="008E14FD">
        <w:rPr>
          <w:lang w:val="fr-FR"/>
        </w:rPr>
        <w:t>’</w:t>
      </w:r>
      <w:r w:rsidRPr="004C48B6">
        <w:rPr>
          <w:lang w:val="fr-FR"/>
        </w:rPr>
        <w:t>État à l</w:t>
      </w:r>
      <w:r w:rsidR="008E14FD">
        <w:rPr>
          <w:lang w:val="fr-FR"/>
        </w:rPr>
        <w:t>’</w:t>
      </w:r>
      <w:r w:rsidRPr="004C48B6">
        <w:rPr>
          <w:lang w:val="fr-FR"/>
        </w:rPr>
        <w:t>entrepreneuriat féminin se poursuivra jusqu</w:t>
      </w:r>
      <w:r w:rsidR="008E14FD">
        <w:rPr>
          <w:lang w:val="fr-FR"/>
        </w:rPr>
        <w:t>’</w:t>
      </w:r>
      <w:r w:rsidRPr="004C48B6">
        <w:rPr>
          <w:lang w:val="fr-FR"/>
        </w:rPr>
        <w:t>en 2020 et des subventions seront allouées comme indiqué ci-après</w:t>
      </w:r>
      <w:r w:rsidR="00355D69">
        <w:rPr>
          <w:lang w:val="fr-FR"/>
        </w:rPr>
        <w:t> </w:t>
      </w:r>
      <w:r w:rsidRPr="004C48B6">
        <w:rPr>
          <w:lang w:val="fr-FR"/>
        </w:rPr>
        <w:t>:</w:t>
      </w:r>
    </w:p>
    <w:p w14:paraId="17C910A0" w14:textId="50194E2F" w:rsidR="004C48B6" w:rsidRPr="004C48B6" w:rsidRDefault="00843EC7" w:rsidP="00843EC7">
      <w:pPr>
        <w:pStyle w:val="SingleTxt"/>
        <w:tabs>
          <w:tab w:val="right" w:pos="1685"/>
        </w:tabs>
        <w:ind w:left="1742" w:hanging="475"/>
        <w:rPr>
          <w:lang w:val="fr-FR"/>
        </w:rPr>
      </w:pPr>
      <w:r>
        <w:rPr>
          <w:lang w:val="fr-FR"/>
        </w:rPr>
        <w:tab/>
        <w:t>•</w:t>
      </w:r>
      <w:r>
        <w:rPr>
          <w:lang w:val="fr-FR"/>
        </w:rPr>
        <w:tab/>
      </w:r>
      <w:r w:rsidR="00A81ADA">
        <w:rPr>
          <w:lang w:val="fr-FR"/>
        </w:rPr>
        <w:t>Vingt</w:t>
      </w:r>
      <w:r w:rsidR="004C48B6" w:rsidRPr="004C48B6">
        <w:rPr>
          <w:lang w:val="fr-FR"/>
        </w:rPr>
        <w:t xml:space="preserve"> subventions d</w:t>
      </w:r>
      <w:r w:rsidR="008E14FD">
        <w:rPr>
          <w:lang w:val="fr-FR"/>
        </w:rPr>
        <w:t>’</w:t>
      </w:r>
      <w:r w:rsidR="004C48B6" w:rsidRPr="004C48B6">
        <w:rPr>
          <w:lang w:val="fr-FR"/>
        </w:rPr>
        <w:t>un montant de 40 000 somoni</w:t>
      </w:r>
      <w:r w:rsidR="00355D69">
        <w:rPr>
          <w:lang w:val="fr-FR"/>
        </w:rPr>
        <w:t> </w:t>
      </w:r>
      <w:r w:rsidR="004C48B6" w:rsidRPr="004C48B6">
        <w:rPr>
          <w:lang w:val="fr-FR"/>
        </w:rPr>
        <w:t>;</w:t>
      </w:r>
    </w:p>
    <w:p w14:paraId="178F91C2" w14:textId="66BC540F" w:rsidR="004C48B6" w:rsidRPr="004C48B6" w:rsidRDefault="00843EC7" w:rsidP="00843EC7">
      <w:pPr>
        <w:pStyle w:val="SingleTxt"/>
        <w:tabs>
          <w:tab w:val="right" w:pos="1685"/>
        </w:tabs>
        <w:ind w:left="1742" w:hanging="475"/>
        <w:rPr>
          <w:lang w:val="fr-FR"/>
        </w:rPr>
      </w:pPr>
      <w:r>
        <w:rPr>
          <w:lang w:val="fr-FR"/>
        </w:rPr>
        <w:tab/>
        <w:t>•</w:t>
      </w:r>
      <w:r>
        <w:rPr>
          <w:lang w:val="fr-FR"/>
        </w:rPr>
        <w:tab/>
      </w:r>
      <w:r w:rsidR="00A81ADA">
        <w:rPr>
          <w:lang w:val="fr-FR"/>
        </w:rPr>
        <w:t>Vingt</w:t>
      </w:r>
      <w:r w:rsidR="004C48B6" w:rsidRPr="004C48B6">
        <w:rPr>
          <w:lang w:val="fr-FR"/>
        </w:rPr>
        <w:t xml:space="preserve"> subventions d</w:t>
      </w:r>
      <w:r w:rsidR="008E14FD">
        <w:rPr>
          <w:lang w:val="fr-FR"/>
        </w:rPr>
        <w:t>’</w:t>
      </w:r>
      <w:r w:rsidR="004C48B6" w:rsidRPr="004C48B6">
        <w:rPr>
          <w:lang w:val="fr-FR"/>
        </w:rPr>
        <w:t>un montant de 30 000 somoni</w:t>
      </w:r>
      <w:r w:rsidR="00355D69">
        <w:rPr>
          <w:lang w:val="fr-FR"/>
        </w:rPr>
        <w:t> </w:t>
      </w:r>
      <w:r w:rsidR="004C48B6" w:rsidRPr="004C48B6">
        <w:rPr>
          <w:lang w:val="fr-FR"/>
        </w:rPr>
        <w:t>;</w:t>
      </w:r>
    </w:p>
    <w:p w14:paraId="79D78BD3" w14:textId="26EF5015" w:rsidR="004C48B6" w:rsidRPr="004C48B6" w:rsidRDefault="00843EC7" w:rsidP="00843EC7">
      <w:pPr>
        <w:pStyle w:val="SingleTxt"/>
        <w:tabs>
          <w:tab w:val="right" w:pos="1685"/>
        </w:tabs>
        <w:ind w:left="1742" w:hanging="475"/>
        <w:rPr>
          <w:lang w:val="fr-FR"/>
        </w:rPr>
      </w:pPr>
      <w:r>
        <w:rPr>
          <w:lang w:val="fr-FR"/>
        </w:rPr>
        <w:tab/>
        <w:t>•</w:t>
      </w:r>
      <w:r>
        <w:rPr>
          <w:lang w:val="fr-FR"/>
        </w:rPr>
        <w:tab/>
      </w:r>
      <w:r w:rsidR="00A81ADA">
        <w:rPr>
          <w:lang w:val="fr-FR"/>
        </w:rPr>
        <w:t>Vingt</w:t>
      </w:r>
      <w:r w:rsidR="004C48B6" w:rsidRPr="004C48B6">
        <w:rPr>
          <w:lang w:val="fr-FR"/>
        </w:rPr>
        <w:t xml:space="preserve"> subventions d</w:t>
      </w:r>
      <w:r w:rsidR="008E14FD">
        <w:rPr>
          <w:lang w:val="fr-FR"/>
        </w:rPr>
        <w:t>’</w:t>
      </w:r>
      <w:r w:rsidR="004C48B6" w:rsidRPr="004C48B6">
        <w:rPr>
          <w:lang w:val="fr-FR"/>
        </w:rPr>
        <w:t>un montant de 20 000 somoni</w:t>
      </w:r>
      <w:r w:rsidR="00355D69">
        <w:rPr>
          <w:lang w:val="fr-FR"/>
        </w:rPr>
        <w:t> </w:t>
      </w:r>
      <w:r w:rsidR="004C48B6" w:rsidRPr="004C48B6">
        <w:rPr>
          <w:lang w:val="fr-FR"/>
        </w:rPr>
        <w:t>;</w:t>
      </w:r>
    </w:p>
    <w:p w14:paraId="5D1C2160" w14:textId="3B19F647" w:rsidR="004C48B6" w:rsidRPr="004C48B6" w:rsidRDefault="00843EC7" w:rsidP="00843EC7">
      <w:pPr>
        <w:pStyle w:val="SingleTxt"/>
        <w:tabs>
          <w:tab w:val="right" w:pos="1685"/>
        </w:tabs>
        <w:ind w:left="1742" w:hanging="475"/>
        <w:rPr>
          <w:lang w:val="fr-FR"/>
        </w:rPr>
      </w:pPr>
      <w:r>
        <w:rPr>
          <w:lang w:val="fr-FR"/>
        </w:rPr>
        <w:tab/>
        <w:t>•</w:t>
      </w:r>
      <w:r>
        <w:rPr>
          <w:lang w:val="fr-FR"/>
        </w:rPr>
        <w:tab/>
      </w:r>
      <w:r w:rsidR="00A81ADA">
        <w:rPr>
          <w:lang w:val="fr-FR"/>
        </w:rPr>
        <w:t>Vingt</w:t>
      </w:r>
      <w:r w:rsidR="004C48B6" w:rsidRPr="004C48B6">
        <w:rPr>
          <w:lang w:val="fr-FR"/>
        </w:rPr>
        <w:t xml:space="preserve"> subventions d</w:t>
      </w:r>
      <w:r w:rsidR="008E14FD">
        <w:rPr>
          <w:lang w:val="fr-FR"/>
        </w:rPr>
        <w:t>’</w:t>
      </w:r>
      <w:r w:rsidR="004C48B6" w:rsidRPr="004C48B6">
        <w:rPr>
          <w:lang w:val="fr-FR"/>
        </w:rPr>
        <w:t>un montant de 10 000 somoni.</w:t>
      </w:r>
    </w:p>
    <w:p w14:paraId="1B39464E" w14:textId="4B58E14A" w:rsidR="004C48B6" w:rsidRPr="004C48B6" w:rsidRDefault="004C48B6" w:rsidP="00746391">
      <w:pPr>
        <w:pStyle w:val="SingleTxt"/>
        <w:numPr>
          <w:ilvl w:val="0"/>
          <w:numId w:val="6"/>
        </w:numPr>
        <w:spacing w:line="240" w:lineRule="exact"/>
        <w:ind w:left="1267"/>
        <w:rPr>
          <w:lang w:val="fr-FR"/>
        </w:rPr>
      </w:pPr>
      <w:r w:rsidRPr="004C48B6">
        <w:rPr>
          <w:lang w:val="fr-FR"/>
        </w:rPr>
        <w:t>L</w:t>
      </w:r>
      <w:r w:rsidR="008E14FD">
        <w:rPr>
          <w:lang w:val="fr-FR"/>
        </w:rPr>
        <w:t>’</w:t>
      </w:r>
      <w:r w:rsidRPr="004C48B6">
        <w:rPr>
          <w:lang w:val="fr-FR"/>
        </w:rPr>
        <w:t>élargissement des possibilités économiques offertes aux femmes, le renforcement de leur compétitivité sur le marché du travail et le développement de l</w:t>
      </w:r>
      <w:r w:rsidR="008E14FD">
        <w:rPr>
          <w:lang w:val="fr-FR"/>
        </w:rPr>
        <w:t>’</w:t>
      </w:r>
      <w:r w:rsidRPr="004C48B6">
        <w:rPr>
          <w:lang w:val="fr-FR"/>
        </w:rPr>
        <w:t>entrepreneuriat féminin jouent un rôle crucial s</w:t>
      </w:r>
      <w:r w:rsidR="008E14FD">
        <w:rPr>
          <w:lang w:val="fr-FR"/>
        </w:rPr>
        <w:t>’</w:t>
      </w:r>
      <w:r w:rsidRPr="004C48B6">
        <w:rPr>
          <w:lang w:val="fr-FR"/>
        </w:rPr>
        <w:t>agissant d</w:t>
      </w:r>
      <w:r w:rsidR="008E14FD">
        <w:rPr>
          <w:lang w:val="fr-FR"/>
        </w:rPr>
        <w:t>’</w:t>
      </w:r>
      <w:r w:rsidRPr="004C48B6">
        <w:rPr>
          <w:lang w:val="fr-FR"/>
        </w:rPr>
        <w:t>assurer l</w:t>
      </w:r>
      <w:r w:rsidR="008E14FD">
        <w:rPr>
          <w:lang w:val="fr-FR"/>
        </w:rPr>
        <w:t>’</w:t>
      </w:r>
      <w:r w:rsidRPr="004C48B6">
        <w:rPr>
          <w:lang w:val="fr-FR"/>
        </w:rPr>
        <w:t>égalité des hommes et des femmes. En 2012, le Gouvernement a élaboré et approuvé le Programme national de formation de femmes spécialistes et d</w:t>
      </w:r>
      <w:r w:rsidR="008E14FD">
        <w:rPr>
          <w:lang w:val="fr-FR"/>
        </w:rPr>
        <w:t>’</w:t>
      </w:r>
      <w:r w:rsidRPr="004C48B6">
        <w:rPr>
          <w:lang w:val="fr-FR"/>
        </w:rPr>
        <w:t>aide à l</w:t>
      </w:r>
      <w:r w:rsidR="008E14FD">
        <w:rPr>
          <w:lang w:val="fr-FR"/>
        </w:rPr>
        <w:t>’</w:t>
      </w:r>
      <w:r w:rsidRPr="004C48B6">
        <w:rPr>
          <w:lang w:val="fr-FR"/>
        </w:rPr>
        <w:t xml:space="preserve">emploi pour la période 2012-2015, qui prévoit des mesures visant à réduire le taux de chômage des </w:t>
      </w:r>
      <w:r w:rsidRPr="004C48B6">
        <w:rPr>
          <w:lang w:val="fr-FR"/>
        </w:rPr>
        <w:lastRenderedPageBreak/>
        <w:t>femmes en favorisant leur emploi. L</w:t>
      </w:r>
      <w:r w:rsidR="008E14FD">
        <w:rPr>
          <w:lang w:val="fr-FR"/>
        </w:rPr>
        <w:t>’</w:t>
      </w:r>
      <w:r w:rsidRPr="004C48B6">
        <w:rPr>
          <w:lang w:val="fr-FR"/>
        </w:rPr>
        <w:t>une des principales mesures prévues dans</w:t>
      </w:r>
      <w:r w:rsidR="008E14FD">
        <w:rPr>
          <w:lang w:val="fr-FR"/>
        </w:rPr>
        <w:t xml:space="preserve"> </w:t>
      </w:r>
      <w:r w:rsidRPr="004C48B6">
        <w:rPr>
          <w:lang w:val="fr-FR"/>
        </w:rPr>
        <w:t>la politique relative à l</w:t>
      </w:r>
      <w:r w:rsidR="008E14FD">
        <w:rPr>
          <w:lang w:val="fr-FR"/>
        </w:rPr>
        <w:t>’</w:t>
      </w:r>
      <w:r w:rsidRPr="004C48B6">
        <w:rPr>
          <w:lang w:val="fr-FR"/>
        </w:rPr>
        <w:t>emploi des femmes consiste à aider les femmes qui se lancent dans le travail indépendant ou l</w:t>
      </w:r>
      <w:r w:rsidR="008E14FD">
        <w:rPr>
          <w:lang w:val="fr-FR"/>
        </w:rPr>
        <w:t>’</w:t>
      </w:r>
      <w:r w:rsidRPr="004C48B6">
        <w:rPr>
          <w:lang w:val="fr-FR"/>
        </w:rPr>
        <w:t>entrepreneuriat en leur donnant accès au microcrédit, qui constitue un moyen efficace de réduire la pauvreté.</w:t>
      </w:r>
    </w:p>
    <w:p w14:paraId="7F4ADD6C" w14:textId="15704A5F" w:rsidR="004C48B6" w:rsidRDefault="004C48B6" w:rsidP="00746391">
      <w:pPr>
        <w:pStyle w:val="SingleTxt"/>
        <w:numPr>
          <w:ilvl w:val="0"/>
          <w:numId w:val="6"/>
        </w:numPr>
        <w:spacing w:line="240" w:lineRule="exact"/>
        <w:ind w:left="1267"/>
        <w:rPr>
          <w:lang w:val="fr-FR"/>
        </w:rPr>
      </w:pPr>
      <w:r w:rsidRPr="004C48B6">
        <w:rPr>
          <w:lang w:val="fr-FR"/>
        </w:rPr>
        <w:t>Le Gouvernement a adopté un certain nombre de lois et de dispositions</w:t>
      </w:r>
      <w:r w:rsidRPr="004C48B6">
        <w:rPr>
          <w:b/>
          <w:lang w:val="fr-FR"/>
        </w:rPr>
        <w:t xml:space="preserve"> </w:t>
      </w:r>
      <w:r w:rsidRPr="004C48B6">
        <w:rPr>
          <w:lang w:val="fr-FR"/>
        </w:rPr>
        <w:t>destinées à assurer la mise en œuvre des droits des femmes, notamment le Programme national pour la formation et la sélection de femmes compétentes en vue de leur affectation à des postes de direction de l</w:t>
      </w:r>
      <w:r w:rsidR="008E14FD">
        <w:rPr>
          <w:lang w:val="fr-FR"/>
        </w:rPr>
        <w:t>’</w:t>
      </w:r>
      <w:r w:rsidRPr="004C48B6">
        <w:rPr>
          <w:lang w:val="fr-FR"/>
        </w:rPr>
        <w:t>administration tadjike pour la période 2017-2022, en date du 1</w:t>
      </w:r>
      <w:r w:rsidRPr="00926FCD">
        <w:rPr>
          <w:vertAlign w:val="superscript"/>
          <w:lang w:val="fr-FR"/>
        </w:rPr>
        <w:t>er</w:t>
      </w:r>
      <w:r w:rsidR="002A6AD0">
        <w:rPr>
          <w:lang w:val="fr-FR"/>
        </w:rPr>
        <w:t> </w:t>
      </w:r>
      <w:r w:rsidRPr="004C48B6">
        <w:rPr>
          <w:lang w:val="fr-FR"/>
        </w:rPr>
        <w:t>avril 2017, la Stratégie nationale de promotion de la femme au Tadjikistan pour la période 2011-2020, en date du 29 mai 2010, et le Plan d</w:t>
      </w:r>
      <w:r w:rsidR="008E14FD">
        <w:rPr>
          <w:lang w:val="fr-FR"/>
        </w:rPr>
        <w:t>’</w:t>
      </w:r>
      <w:r w:rsidRPr="004C48B6">
        <w:rPr>
          <w:lang w:val="fr-FR"/>
        </w:rPr>
        <w:t>action national de</w:t>
      </w:r>
      <w:r w:rsidRPr="004C48B6">
        <w:rPr>
          <w:b/>
          <w:lang w:val="fr-FR"/>
        </w:rPr>
        <w:t xml:space="preserve"> </w:t>
      </w:r>
      <w:r w:rsidRPr="004C48B6">
        <w:rPr>
          <w:lang w:val="fr-FR"/>
        </w:rPr>
        <w:t>la Stratégie nationale de promotion de la femme au Tadjikistan pour la période 2015</w:t>
      </w:r>
      <w:r w:rsidR="002A6AD0">
        <w:rPr>
          <w:lang w:val="fr-FR"/>
        </w:rPr>
        <w:noBreakHyphen/>
      </w:r>
      <w:r w:rsidRPr="004C48B6">
        <w:rPr>
          <w:lang w:val="fr-FR"/>
        </w:rPr>
        <w:t>2020, en date du 29 août 2015.</w:t>
      </w:r>
    </w:p>
    <w:p w14:paraId="78D5FAC3" w14:textId="52AF72E7" w:rsidR="00843EC7" w:rsidRPr="00843EC7" w:rsidRDefault="00843EC7" w:rsidP="00843EC7">
      <w:pPr>
        <w:pStyle w:val="SingleTxt"/>
        <w:spacing w:after="0" w:line="120" w:lineRule="exact"/>
        <w:rPr>
          <w:sz w:val="10"/>
          <w:lang w:val="fr-FR"/>
        </w:rPr>
      </w:pPr>
    </w:p>
    <w:p w14:paraId="761D7630" w14:textId="56B46517" w:rsidR="004C48B6" w:rsidRDefault="00843EC7" w:rsidP="00843E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C48B6" w:rsidRPr="004C48B6">
        <w:rPr>
          <w:lang w:val="fr-FR"/>
        </w:rPr>
        <w:t>Stéréotypes</w:t>
      </w:r>
    </w:p>
    <w:p w14:paraId="619712B2" w14:textId="20FE16C1" w:rsidR="00843EC7" w:rsidRPr="00843EC7" w:rsidRDefault="00843EC7" w:rsidP="00843EC7">
      <w:pPr>
        <w:pStyle w:val="SingleTxt"/>
        <w:spacing w:after="0" w:line="120" w:lineRule="exact"/>
        <w:rPr>
          <w:sz w:val="10"/>
          <w:lang w:val="fr-FR"/>
        </w:rPr>
      </w:pPr>
    </w:p>
    <w:p w14:paraId="634BF650" w14:textId="7AAFFC66" w:rsidR="004C48B6" w:rsidRDefault="00843EC7" w:rsidP="00843E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C48B6" w:rsidRPr="004C48B6">
        <w:rPr>
          <w:lang w:val="fr-FR"/>
        </w:rPr>
        <w:t>Paragraphe 16 des observations finales</w:t>
      </w:r>
    </w:p>
    <w:p w14:paraId="4C72D721" w14:textId="274D33F7" w:rsidR="00843EC7" w:rsidRPr="00843EC7" w:rsidRDefault="00843EC7" w:rsidP="00843EC7">
      <w:pPr>
        <w:pStyle w:val="SingleTxt"/>
        <w:spacing w:after="0" w:line="120" w:lineRule="exact"/>
        <w:rPr>
          <w:sz w:val="10"/>
          <w:lang w:val="fr-FR"/>
        </w:rPr>
      </w:pPr>
    </w:p>
    <w:p w14:paraId="74354409" w14:textId="39FCF8D7" w:rsidR="004C48B6" w:rsidRPr="004C48B6" w:rsidRDefault="004C48B6" w:rsidP="00746391">
      <w:pPr>
        <w:pStyle w:val="SingleTxt"/>
        <w:numPr>
          <w:ilvl w:val="0"/>
          <w:numId w:val="6"/>
        </w:numPr>
        <w:spacing w:line="240" w:lineRule="exact"/>
        <w:ind w:left="1267"/>
        <w:rPr>
          <w:lang w:val="fr-FR"/>
        </w:rPr>
      </w:pPr>
      <w:r w:rsidRPr="004C48B6">
        <w:rPr>
          <w:lang w:val="fr-FR"/>
        </w:rPr>
        <w:t>Depuis l</w:t>
      </w:r>
      <w:r w:rsidR="008E14FD">
        <w:rPr>
          <w:lang w:val="fr-FR"/>
        </w:rPr>
        <w:t>’</w:t>
      </w:r>
      <w:r w:rsidRPr="004C48B6">
        <w:rPr>
          <w:lang w:val="fr-FR"/>
        </w:rPr>
        <w:t>indépendance, le Tadjikistan a réalisé de gigantesques progrès en matière de lutte contre les stéréotypes sexistes et d</w:t>
      </w:r>
      <w:r w:rsidR="008E14FD">
        <w:rPr>
          <w:lang w:val="fr-FR"/>
        </w:rPr>
        <w:t>’</w:t>
      </w:r>
      <w:r w:rsidRPr="004C48B6">
        <w:rPr>
          <w:lang w:val="fr-FR"/>
        </w:rPr>
        <w:t>égalité réelle entre les hommes et les femmes dans tous les domaines. Conformément au Programme national et au Plan d</w:t>
      </w:r>
      <w:r w:rsidR="008E14FD">
        <w:rPr>
          <w:lang w:val="fr-FR"/>
        </w:rPr>
        <w:t>’</w:t>
      </w:r>
      <w:r w:rsidRPr="004C48B6">
        <w:rPr>
          <w:lang w:val="fr-FR"/>
        </w:rPr>
        <w:t>action national de prévention de la violence familiale pour la période 2011-2023, qui contiennent des chapitres portant spécifiquement sur la lutte contre les stéréotypes et les attitudes patriarcales à l</w:t>
      </w:r>
      <w:r w:rsidR="008E14FD">
        <w:rPr>
          <w:lang w:val="fr-FR"/>
        </w:rPr>
        <w:t>’</w:t>
      </w:r>
      <w:r w:rsidRPr="004C48B6">
        <w:rPr>
          <w:lang w:val="fr-FR"/>
        </w:rPr>
        <w:t>égard des femmes et prévoient toute une série de mesures en ce sens, d</w:t>
      </w:r>
      <w:r w:rsidR="008E14FD">
        <w:rPr>
          <w:lang w:val="fr-FR"/>
        </w:rPr>
        <w:t>’</w:t>
      </w:r>
      <w:r w:rsidRPr="004C48B6">
        <w:rPr>
          <w:lang w:val="fr-FR"/>
        </w:rPr>
        <w:t>importantes activités de sensibilisation sont menées auprès de la population.</w:t>
      </w:r>
    </w:p>
    <w:p w14:paraId="3A7FF977" w14:textId="1709C62B" w:rsidR="004C48B6" w:rsidRPr="004C48B6" w:rsidRDefault="004C48B6" w:rsidP="00746391">
      <w:pPr>
        <w:pStyle w:val="SingleTxt"/>
        <w:numPr>
          <w:ilvl w:val="0"/>
          <w:numId w:val="6"/>
        </w:numPr>
        <w:spacing w:line="240" w:lineRule="exact"/>
        <w:ind w:left="1267"/>
        <w:rPr>
          <w:lang w:val="fr-FR"/>
        </w:rPr>
      </w:pPr>
      <w:r w:rsidRPr="004C48B6">
        <w:rPr>
          <w:lang w:val="fr-FR"/>
        </w:rPr>
        <w:t>À l</w:t>
      </w:r>
      <w:r w:rsidR="008E14FD">
        <w:rPr>
          <w:lang w:val="fr-FR"/>
        </w:rPr>
        <w:t>’</w:t>
      </w:r>
      <w:r w:rsidRPr="004C48B6">
        <w:rPr>
          <w:lang w:val="fr-FR"/>
        </w:rPr>
        <w:t>échelon local, les pouvoirs publics mènent, en collaboration avec les organisations de la société civile, les présidents des conseils d</w:t>
      </w:r>
      <w:r w:rsidR="008E14FD">
        <w:rPr>
          <w:lang w:val="fr-FR"/>
        </w:rPr>
        <w:t>’</w:t>
      </w:r>
      <w:r w:rsidRPr="004C48B6">
        <w:rPr>
          <w:lang w:val="fr-FR"/>
        </w:rPr>
        <w:t>arrondissement (</w:t>
      </w:r>
      <w:r w:rsidRPr="00926FCD">
        <w:rPr>
          <w:i/>
          <w:iCs/>
          <w:lang w:val="fr-FR"/>
        </w:rPr>
        <w:t>makhallya</w:t>
      </w:r>
      <w:r w:rsidRPr="004C48B6">
        <w:rPr>
          <w:lang w:val="fr-FR"/>
        </w:rPr>
        <w:t>), les femmes actives et les représentants du clergé, des activités d</w:t>
      </w:r>
      <w:r w:rsidR="008E14FD">
        <w:rPr>
          <w:lang w:val="fr-FR"/>
        </w:rPr>
        <w:t>’</w:t>
      </w:r>
      <w:r w:rsidRPr="004C48B6">
        <w:rPr>
          <w:lang w:val="fr-FR"/>
        </w:rPr>
        <w:t>information et de sensibilisation auprès de la population</w:t>
      </w:r>
      <w:r w:rsidRPr="004C48B6" w:rsidDel="00903D80">
        <w:rPr>
          <w:lang w:val="fr-FR"/>
        </w:rPr>
        <w:t xml:space="preserve"> </w:t>
      </w:r>
      <w:r w:rsidRPr="004C48B6">
        <w:rPr>
          <w:lang w:val="fr-FR"/>
        </w:rPr>
        <w:t>sur la responsabilité des hommes dans la famille, l</w:t>
      </w:r>
      <w:r w:rsidR="008E14FD">
        <w:rPr>
          <w:lang w:val="fr-FR"/>
        </w:rPr>
        <w:t>’</w:t>
      </w:r>
      <w:r w:rsidRPr="004C48B6">
        <w:rPr>
          <w:lang w:val="fr-FR"/>
        </w:rPr>
        <w:t>égalité entre les hommes et les femmes ainsi que la responsabilité des parents dans l</w:t>
      </w:r>
      <w:r w:rsidR="008E14FD">
        <w:rPr>
          <w:lang w:val="fr-FR"/>
        </w:rPr>
        <w:t>’</w:t>
      </w:r>
      <w:r w:rsidRPr="004C48B6">
        <w:rPr>
          <w:lang w:val="fr-FR"/>
        </w:rPr>
        <w:t>éducation des enfants.</w:t>
      </w:r>
    </w:p>
    <w:p w14:paraId="5A922F28" w14:textId="6E47E7EF" w:rsidR="004C48B6" w:rsidRPr="004C48B6" w:rsidRDefault="004C48B6" w:rsidP="00746391">
      <w:pPr>
        <w:pStyle w:val="SingleTxt"/>
        <w:numPr>
          <w:ilvl w:val="0"/>
          <w:numId w:val="6"/>
        </w:numPr>
        <w:spacing w:line="240" w:lineRule="exact"/>
        <w:ind w:left="1267"/>
        <w:rPr>
          <w:lang w:val="fr-FR"/>
        </w:rPr>
      </w:pPr>
      <w:r w:rsidRPr="004C48B6">
        <w:rPr>
          <w:lang w:val="fr-FR"/>
        </w:rPr>
        <w:t>Avec l</w:t>
      </w:r>
      <w:r w:rsidR="008E14FD">
        <w:rPr>
          <w:lang w:val="fr-FR"/>
        </w:rPr>
        <w:t>’</w:t>
      </w:r>
      <w:r w:rsidRPr="004C48B6">
        <w:rPr>
          <w:lang w:val="fr-FR"/>
        </w:rPr>
        <w:t>appui d</w:t>
      </w:r>
      <w:r w:rsidR="008E14FD">
        <w:rPr>
          <w:lang w:val="fr-FR"/>
        </w:rPr>
        <w:t>’</w:t>
      </w:r>
      <w:r w:rsidRPr="004C48B6">
        <w:rPr>
          <w:lang w:val="fr-FR"/>
        </w:rPr>
        <w:t>un projet de prévention de la violence familiale financé par la Direction suisse du développement et de la coopération, des séminaires et des formations ont été organisés à l</w:t>
      </w:r>
      <w:r w:rsidR="008E14FD">
        <w:rPr>
          <w:lang w:val="fr-FR"/>
        </w:rPr>
        <w:t>’</w:t>
      </w:r>
      <w:r w:rsidRPr="004C48B6">
        <w:rPr>
          <w:lang w:val="fr-FR"/>
        </w:rPr>
        <w:t>intention de représentants des forces de l</w:t>
      </w:r>
      <w:r w:rsidR="008E14FD">
        <w:rPr>
          <w:lang w:val="fr-FR"/>
        </w:rPr>
        <w:t>’</w:t>
      </w:r>
      <w:r w:rsidRPr="004C48B6">
        <w:rPr>
          <w:lang w:val="fr-FR"/>
        </w:rPr>
        <w:t>ordre, de la magistrature, des autorités locales et d</w:t>
      </w:r>
      <w:r w:rsidR="008E14FD">
        <w:rPr>
          <w:lang w:val="fr-FR"/>
        </w:rPr>
        <w:t>’</w:t>
      </w:r>
      <w:r w:rsidRPr="004C48B6">
        <w:rPr>
          <w:lang w:val="fr-FR"/>
        </w:rPr>
        <w:t>autres organismes locaux en vue de renforcer la coordination des actions visant à lutter contre les stéréotypes sexistes et à mettre en œuvre la politique nationale de prévention de la violence familiale.</w:t>
      </w:r>
    </w:p>
    <w:p w14:paraId="35280512" w14:textId="6918BC5A" w:rsidR="004C48B6" w:rsidRPr="004C48B6" w:rsidRDefault="004C48B6" w:rsidP="00746391">
      <w:pPr>
        <w:pStyle w:val="SingleTxt"/>
        <w:numPr>
          <w:ilvl w:val="0"/>
          <w:numId w:val="6"/>
        </w:numPr>
        <w:spacing w:line="240" w:lineRule="exact"/>
        <w:ind w:left="1267"/>
        <w:rPr>
          <w:lang w:val="fr-FR"/>
        </w:rPr>
      </w:pPr>
      <w:r w:rsidRPr="004C48B6">
        <w:rPr>
          <w:lang w:val="fr-FR"/>
        </w:rPr>
        <w:t>En coopération avec l</w:t>
      </w:r>
      <w:r w:rsidR="008E14FD">
        <w:rPr>
          <w:lang w:val="fr-FR"/>
        </w:rPr>
        <w:t>’</w:t>
      </w:r>
      <w:r w:rsidRPr="004C48B6">
        <w:rPr>
          <w:lang w:val="fr-FR"/>
        </w:rPr>
        <w:t>organisation de</w:t>
      </w:r>
      <w:r w:rsidR="008E14FD">
        <w:rPr>
          <w:lang w:val="fr-FR"/>
        </w:rPr>
        <w:t xml:space="preserve"> la société civile Bovary ba </w:t>
      </w:r>
      <w:r w:rsidRPr="004C48B6">
        <w:rPr>
          <w:lang w:val="fr-FR"/>
        </w:rPr>
        <w:t>fardo, des activités de sensibilisation sont menées dans les écoles d</w:t>
      </w:r>
      <w:r w:rsidR="008E14FD">
        <w:rPr>
          <w:lang w:val="fr-FR"/>
        </w:rPr>
        <w:t>’</w:t>
      </w:r>
      <w:r w:rsidRPr="004C48B6">
        <w:rPr>
          <w:lang w:val="fr-FR"/>
        </w:rPr>
        <w:t>arrondissement de Douchanbé en vue d</w:t>
      </w:r>
      <w:r w:rsidR="008E14FD">
        <w:rPr>
          <w:lang w:val="fr-FR"/>
        </w:rPr>
        <w:t>’</w:t>
      </w:r>
      <w:r w:rsidRPr="004C48B6">
        <w:rPr>
          <w:lang w:val="fr-FR"/>
        </w:rPr>
        <w:t>éliminer les stéréotypes sexistes, de prévenir la violence contre les femmes et les filles et de vaincre les obstacles à l</w:t>
      </w:r>
      <w:r w:rsidR="008E14FD">
        <w:rPr>
          <w:lang w:val="fr-FR"/>
        </w:rPr>
        <w:t>’</w:t>
      </w:r>
      <w:r w:rsidRPr="004C48B6">
        <w:rPr>
          <w:lang w:val="fr-FR"/>
        </w:rPr>
        <w:t>éducation des filles.</w:t>
      </w:r>
    </w:p>
    <w:p w14:paraId="5B5760D3" w14:textId="1030CE0C" w:rsidR="004C48B6" w:rsidRPr="004C48B6" w:rsidRDefault="004C48B6" w:rsidP="00746391">
      <w:pPr>
        <w:pStyle w:val="SingleTxt"/>
        <w:numPr>
          <w:ilvl w:val="0"/>
          <w:numId w:val="6"/>
        </w:numPr>
        <w:spacing w:line="240" w:lineRule="exact"/>
        <w:ind w:left="1267"/>
        <w:rPr>
          <w:lang w:val="fr-FR"/>
        </w:rPr>
      </w:pPr>
      <w:r w:rsidRPr="004C48B6">
        <w:rPr>
          <w:lang w:val="fr-FR"/>
        </w:rPr>
        <w:t>Avec l</w:t>
      </w:r>
      <w:r w:rsidR="008E14FD">
        <w:rPr>
          <w:lang w:val="fr-FR"/>
        </w:rPr>
        <w:t>’</w:t>
      </w:r>
      <w:r w:rsidRPr="004C48B6">
        <w:rPr>
          <w:lang w:val="fr-FR"/>
        </w:rPr>
        <w:t>appui du projet de prévention de la violence familiale, des rencontres avec des étudiants de sexe masculin sont organisées dans les établissements d</w:t>
      </w:r>
      <w:r w:rsidR="008E14FD">
        <w:rPr>
          <w:lang w:val="fr-FR"/>
        </w:rPr>
        <w:t>’</w:t>
      </w:r>
      <w:r w:rsidRPr="004C48B6">
        <w:rPr>
          <w:lang w:val="fr-FR"/>
        </w:rPr>
        <w:t>enseignement supérieur du pays afin de les amener à rejeter catégoriquement la violence contre les femmes et les enfants.</w:t>
      </w:r>
    </w:p>
    <w:p w14:paraId="422A5DF6" w14:textId="691E22E3" w:rsidR="004C48B6" w:rsidRPr="004C48B6" w:rsidRDefault="004C48B6" w:rsidP="00746391">
      <w:pPr>
        <w:pStyle w:val="SingleTxt"/>
        <w:numPr>
          <w:ilvl w:val="0"/>
          <w:numId w:val="6"/>
        </w:numPr>
        <w:spacing w:line="240" w:lineRule="exact"/>
        <w:ind w:left="1267"/>
        <w:rPr>
          <w:lang w:val="fr-FR"/>
        </w:rPr>
      </w:pPr>
      <w:r w:rsidRPr="004C48B6">
        <w:rPr>
          <w:lang w:val="fr-FR"/>
        </w:rPr>
        <w:t>Des programmes spéciaux de formation sont mis au point dans le but d</w:t>
      </w:r>
      <w:r w:rsidR="008E14FD">
        <w:rPr>
          <w:lang w:val="fr-FR"/>
        </w:rPr>
        <w:t>’</w:t>
      </w:r>
      <w:r w:rsidRPr="004C48B6">
        <w:rPr>
          <w:lang w:val="fr-FR"/>
        </w:rPr>
        <w:t>inciter la population, notamment les filles qui n</w:t>
      </w:r>
      <w:r w:rsidR="008E14FD">
        <w:rPr>
          <w:lang w:val="fr-FR"/>
        </w:rPr>
        <w:t>’</w:t>
      </w:r>
      <w:r w:rsidRPr="004C48B6">
        <w:rPr>
          <w:lang w:val="fr-FR"/>
        </w:rPr>
        <w:t xml:space="preserve">ont pas achevé leur scolarité, à suivre une formation professionnelle. En outre, en partenariat avec </w:t>
      </w:r>
      <w:r w:rsidR="002D5F93">
        <w:rPr>
          <w:lang w:val="fr-FR"/>
        </w:rPr>
        <w:t>le</w:t>
      </w:r>
      <w:r w:rsidR="002D5F93" w:rsidRPr="00206C7A">
        <w:rPr>
          <w:lang w:val="fr-FR"/>
        </w:rPr>
        <w:t xml:space="preserve"> Fonds des Nations Unies pour l</w:t>
      </w:r>
      <w:r w:rsidR="002D5F93">
        <w:rPr>
          <w:lang w:val="fr-FR"/>
        </w:rPr>
        <w:t>’</w:t>
      </w:r>
      <w:r w:rsidR="002D5F93" w:rsidRPr="00206C7A">
        <w:rPr>
          <w:lang w:val="fr-FR"/>
        </w:rPr>
        <w:t xml:space="preserve">enfance </w:t>
      </w:r>
      <w:r w:rsidR="002D5F93">
        <w:rPr>
          <w:lang w:val="fr-FR"/>
        </w:rPr>
        <w:t>(</w:t>
      </w:r>
      <w:r w:rsidRPr="004C48B6">
        <w:rPr>
          <w:lang w:val="fr-FR"/>
        </w:rPr>
        <w:t>UNICEF</w:t>
      </w:r>
      <w:r w:rsidR="002D5F93">
        <w:rPr>
          <w:lang w:val="fr-FR"/>
        </w:rPr>
        <w:t>)</w:t>
      </w:r>
      <w:r w:rsidRPr="004C48B6">
        <w:rPr>
          <w:lang w:val="fr-FR"/>
        </w:rPr>
        <w:t xml:space="preserve"> et des associations de la société civile, le Ministère de l</w:t>
      </w:r>
      <w:r w:rsidR="008E14FD">
        <w:rPr>
          <w:lang w:val="fr-FR"/>
        </w:rPr>
        <w:t>’</w:t>
      </w:r>
      <w:r w:rsidRPr="004C48B6">
        <w:rPr>
          <w:lang w:val="fr-FR"/>
        </w:rPr>
        <w:t>éducation et des sciences a pour la première fois procédé à une</w:t>
      </w:r>
      <w:r w:rsidR="008E14FD">
        <w:rPr>
          <w:lang w:val="fr-FR"/>
        </w:rPr>
        <w:t xml:space="preserve"> </w:t>
      </w:r>
      <w:r w:rsidRPr="004C48B6">
        <w:rPr>
          <w:lang w:val="fr-FR"/>
        </w:rPr>
        <w:t xml:space="preserve">analyse des manuels </w:t>
      </w:r>
      <w:r w:rsidRPr="004C48B6">
        <w:rPr>
          <w:lang w:val="fr-FR"/>
        </w:rPr>
        <w:lastRenderedPageBreak/>
        <w:t>scolaires sous l</w:t>
      </w:r>
      <w:r w:rsidR="008E14FD">
        <w:rPr>
          <w:lang w:val="fr-FR"/>
        </w:rPr>
        <w:t>’</w:t>
      </w:r>
      <w:r w:rsidRPr="004C48B6">
        <w:rPr>
          <w:lang w:val="fr-FR"/>
        </w:rPr>
        <w:t>angle de la problématique hommes-femmes afin de faire en sorte que le système éducatif contribue à modifier les schémas sociaux et culturels de comportement des hommes et des femmes et de lutter contre les préjugés et les pratiques fondées sur des conceptions stéréotypées du rôle des hommes et des femmes. Cette analyse a donné lieu à l</w:t>
      </w:r>
      <w:r w:rsidR="008E14FD">
        <w:rPr>
          <w:lang w:val="fr-FR"/>
        </w:rPr>
        <w:t>’</w:t>
      </w:r>
      <w:r w:rsidRPr="004C48B6">
        <w:rPr>
          <w:lang w:val="fr-FR"/>
        </w:rPr>
        <w:t>élaboration de recommandations visant à éliminer les stéréotypes sexistes dans les manuels scolaires.</w:t>
      </w:r>
    </w:p>
    <w:p w14:paraId="6E638201" w14:textId="4292DE88" w:rsidR="004C48B6" w:rsidRPr="004C48B6" w:rsidRDefault="004C48B6" w:rsidP="00746391">
      <w:pPr>
        <w:pStyle w:val="SingleTxt"/>
        <w:numPr>
          <w:ilvl w:val="0"/>
          <w:numId w:val="6"/>
        </w:numPr>
        <w:spacing w:line="240" w:lineRule="exact"/>
        <w:ind w:left="1267"/>
        <w:rPr>
          <w:lang w:val="fr-FR"/>
        </w:rPr>
      </w:pPr>
      <w:r w:rsidRPr="004C48B6">
        <w:rPr>
          <w:lang w:val="fr-FR"/>
        </w:rPr>
        <w:t>Des groupes de sensibilisation composés d</w:t>
      </w:r>
      <w:r w:rsidR="008E14FD">
        <w:rPr>
          <w:lang w:val="fr-FR"/>
        </w:rPr>
        <w:t>’</w:t>
      </w:r>
      <w:r w:rsidRPr="004C48B6">
        <w:rPr>
          <w:lang w:val="fr-FR"/>
        </w:rPr>
        <w:t>experts et de membres du personnel enseignant sont créés chaque année dans les établissements d</w:t>
      </w:r>
      <w:r w:rsidR="008E14FD">
        <w:rPr>
          <w:lang w:val="fr-FR"/>
        </w:rPr>
        <w:t>’</w:t>
      </w:r>
      <w:r w:rsidRPr="004C48B6">
        <w:rPr>
          <w:lang w:val="fr-FR"/>
        </w:rPr>
        <w:t>enseignement supérieur pour lutter contre les stéréotypes traditionnels. Lors de rencontres avec les diplômés des établissements d</w:t>
      </w:r>
      <w:r w:rsidR="008E14FD">
        <w:rPr>
          <w:lang w:val="fr-FR"/>
        </w:rPr>
        <w:t>’</w:t>
      </w:r>
      <w:r w:rsidRPr="004C48B6">
        <w:rPr>
          <w:lang w:val="fr-FR"/>
        </w:rPr>
        <w:t>enseignement général et leurs parents, divers sujets sont abordés, y compris les moyens d</w:t>
      </w:r>
      <w:r w:rsidR="008E14FD">
        <w:rPr>
          <w:lang w:val="fr-FR"/>
        </w:rPr>
        <w:t>’</w:t>
      </w:r>
      <w:r w:rsidRPr="004C48B6">
        <w:rPr>
          <w:lang w:val="fr-FR"/>
        </w:rPr>
        <w:t>inciter les filles à poursuivre des études supérieures, les conditions d</w:t>
      </w:r>
      <w:r w:rsidR="008E14FD">
        <w:rPr>
          <w:lang w:val="fr-FR"/>
        </w:rPr>
        <w:t>’</w:t>
      </w:r>
      <w:r w:rsidRPr="004C48B6">
        <w:rPr>
          <w:lang w:val="fr-FR"/>
        </w:rPr>
        <w:t>enseignement et d</w:t>
      </w:r>
      <w:r w:rsidR="008E14FD">
        <w:rPr>
          <w:lang w:val="fr-FR"/>
        </w:rPr>
        <w:t>’</w:t>
      </w:r>
      <w:r w:rsidRPr="004C48B6">
        <w:rPr>
          <w:lang w:val="fr-FR"/>
        </w:rPr>
        <w:t>hébergement dont celles-ci bénéficient, et les services supplémentaires mis à leur disposition, ce qui contribue non seulement à motiver les filles à faire des études supérieures</w:t>
      </w:r>
      <w:r w:rsidR="00BB3921">
        <w:rPr>
          <w:lang w:val="fr-FR"/>
        </w:rPr>
        <w:t>,</w:t>
      </w:r>
      <w:r w:rsidRPr="004C48B6">
        <w:rPr>
          <w:lang w:val="fr-FR"/>
        </w:rPr>
        <w:t xml:space="preserve"> mais aussi à assurer leur accès à l</w:t>
      </w:r>
      <w:r w:rsidR="008E14FD">
        <w:rPr>
          <w:lang w:val="fr-FR"/>
        </w:rPr>
        <w:t>’</w:t>
      </w:r>
      <w:r w:rsidRPr="004C48B6">
        <w:rPr>
          <w:lang w:val="fr-FR"/>
        </w:rPr>
        <w:t>enseignement de manière générale.</w:t>
      </w:r>
    </w:p>
    <w:p w14:paraId="7A7F3FD2" w14:textId="5AE6C7C3" w:rsidR="004C48B6" w:rsidRPr="004C48B6" w:rsidRDefault="004C48B6" w:rsidP="00746391">
      <w:pPr>
        <w:pStyle w:val="SingleTxt"/>
        <w:numPr>
          <w:ilvl w:val="0"/>
          <w:numId w:val="6"/>
        </w:numPr>
        <w:spacing w:line="240" w:lineRule="exact"/>
        <w:ind w:left="1267"/>
        <w:rPr>
          <w:lang w:val="fr-FR"/>
        </w:rPr>
      </w:pPr>
      <w:r w:rsidRPr="004C48B6">
        <w:rPr>
          <w:lang w:val="fr-FR"/>
        </w:rPr>
        <w:t>Un certain nombre d</w:t>
      </w:r>
      <w:r w:rsidR="008E14FD">
        <w:rPr>
          <w:lang w:val="fr-FR"/>
        </w:rPr>
        <w:t>’</w:t>
      </w:r>
      <w:r w:rsidRPr="004C48B6">
        <w:rPr>
          <w:lang w:val="fr-FR"/>
        </w:rPr>
        <w:t>activités sont menées avec différents groupes de la société et il est fait largement usage des moyens offerts par les médias aux fins de lutter contre les stéréotypes relatifs aux rôles et aux responsabilités des femmes et des hommes au sein de la famille et de la société, de sensibiliser à cette question et de faire mieux percevoir la nécessité de garantir l</w:t>
      </w:r>
      <w:r w:rsidR="008E14FD">
        <w:rPr>
          <w:lang w:val="fr-FR"/>
        </w:rPr>
        <w:t>’</w:t>
      </w:r>
      <w:r w:rsidRPr="004C48B6">
        <w:rPr>
          <w:lang w:val="fr-FR"/>
        </w:rPr>
        <w:t>égalité des droits et des chances et d</w:t>
      </w:r>
      <w:r w:rsidR="008E14FD">
        <w:rPr>
          <w:lang w:val="fr-FR"/>
        </w:rPr>
        <w:t>’</w:t>
      </w:r>
      <w:r w:rsidRPr="004C48B6">
        <w:rPr>
          <w:lang w:val="fr-FR"/>
        </w:rPr>
        <w:t>éliminer les stéréotypes sexistes. Des membres de la Commission de la femme et de la famille ont réalisé et diffusé sur différentes chaînes de télévision na</w:t>
      </w:r>
      <w:r w:rsidR="008E14FD">
        <w:rPr>
          <w:lang w:val="fr-FR"/>
        </w:rPr>
        <w:t>tionales et locales plus de 200 </w:t>
      </w:r>
      <w:r w:rsidRPr="004C48B6">
        <w:rPr>
          <w:lang w:val="fr-FR"/>
        </w:rPr>
        <w:t>programmes visant à communiquer l</w:t>
      </w:r>
      <w:r w:rsidR="008E14FD">
        <w:rPr>
          <w:lang w:val="fr-FR"/>
        </w:rPr>
        <w:t>’</w:t>
      </w:r>
      <w:r w:rsidRPr="004C48B6">
        <w:rPr>
          <w:lang w:val="fr-FR"/>
        </w:rPr>
        <w:t>importance de l</w:t>
      </w:r>
      <w:r w:rsidR="008E14FD">
        <w:rPr>
          <w:lang w:val="fr-FR"/>
        </w:rPr>
        <w:t>’</w:t>
      </w:r>
      <w:r w:rsidRPr="004C48B6">
        <w:rPr>
          <w:lang w:val="fr-FR"/>
        </w:rPr>
        <w:t>égalité des droits et des chances entre les hommes et les femmes.</w:t>
      </w:r>
    </w:p>
    <w:p w14:paraId="7EC04502" w14:textId="442D4198" w:rsidR="004C48B6" w:rsidRPr="004C48B6" w:rsidRDefault="004C48B6" w:rsidP="00746391">
      <w:pPr>
        <w:pStyle w:val="SingleTxt"/>
        <w:numPr>
          <w:ilvl w:val="0"/>
          <w:numId w:val="6"/>
        </w:numPr>
        <w:spacing w:line="240" w:lineRule="exact"/>
        <w:ind w:left="1267"/>
        <w:rPr>
          <w:lang w:val="fr-FR"/>
        </w:rPr>
      </w:pPr>
      <w:r w:rsidRPr="004C48B6">
        <w:rPr>
          <w:lang w:val="fr-FR"/>
        </w:rPr>
        <w:t>En collaboration avec le projet pour la prévention de la violence familiale, le Fonds des Nations Unies pour la population (</w:t>
      </w:r>
      <w:r w:rsidRPr="004C48B6">
        <w:rPr>
          <w:bCs/>
          <w:lang w:val="fr-FR"/>
        </w:rPr>
        <w:t>FNUAP</w:t>
      </w:r>
      <w:r w:rsidRPr="004C48B6">
        <w:rPr>
          <w:lang w:val="fr-FR"/>
        </w:rPr>
        <w:t>), l</w:t>
      </w:r>
      <w:r w:rsidR="008E14FD">
        <w:rPr>
          <w:lang w:val="fr-FR"/>
        </w:rPr>
        <w:t>’</w:t>
      </w:r>
      <w:r w:rsidRPr="004C48B6">
        <w:rPr>
          <w:bCs/>
          <w:lang w:val="fr-FR"/>
        </w:rPr>
        <w:t>Entité des Nations Unies pour l</w:t>
      </w:r>
      <w:r w:rsidR="008E14FD">
        <w:rPr>
          <w:bCs/>
          <w:lang w:val="fr-FR"/>
        </w:rPr>
        <w:t>’</w:t>
      </w:r>
      <w:r w:rsidRPr="004C48B6">
        <w:rPr>
          <w:bCs/>
          <w:lang w:val="fr-FR"/>
        </w:rPr>
        <w:t>égalité des sexes et l</w:t>
      </w:r>
      <w:r w:rsidR="008E14FD">
        <w:rPr>
          <w:bCs/>
          <w:lang w:val="fr-FR"/>
        </w:rPr>
        <w:t>’</w:t>
      </w:r>
      <w:r w:rsidRPr="004C48B6">
        <w:rPr>
          <w:bCs/>
          <w:lang w:val="fr-FR"/>
        </w:rPr>
        <w:t>autonomisation des femmes</w:t>
      </w:r>
      <w:r w:rsidRPr="004C48B6">
        <w:rPr>
          <w:b/>
          <w:bCs/>
          <w:lang w:val="fr-FR"/>
        </w:rPr>
        <w:t xml:space="preserve"> (</w:t>
      </w:r>
      <w:r w:rsidRPr="004C48B6">
        <w:rPr>
          <w:lang w:val="fr-FR"/>
        </w:rPr>
        <w:t>ONU-Femmes), OXFAM, Helvetas et l</w:t>
      </w:r>
      <w:r w:rsidR="008E14FD">
        <w:rPr>
          <w:lang w:val="fr-FR"/>
        </w:rPr>
        <w:t>’</w:t>
      </w:r>
      <w:r w:rsidRPr="004C48B6">
        <w:rPr>
          <w:lang w:val="fr-FR"/>
        </w:rPr>
        <w:t>Association Taekwondo au Tadjikistan, on a produit et diffusé des films portant sur l</w:t>
      </w:r>
      <w:r w:rsidR="008E14FD">
        <w:rPr>
          <w:lang w:val="fr-FR"/>
        </w:rPr>
        <w:t>’</w:t>
      </w:r>
      <w:r w:rsidRPr="004C48B6">
        <w:rPr>
          <w:lang w:val="fr-FR"/>
        </w:rPr>
        <w:t>égalité des hommes et des femmes dans la société, le respect des femmes dans la famille, les droits des femmes et des enfants dans la famille, la prévention de la violence familiale au moyen de débats publics sur les valeurs familiales, l</w:t>
      </w:r>
      <w:r w:rsidR="008E14FD">
        <w:rPr>
          <w:lang w:val="fr-FR"/>
        </w:rPr>
        <w:t>’</w:t>
      </w:r>
      <w:r w:rsidRPr="004C48B6">
        <w:rPr>
          <w:lang w:val="fr-FR"/>
        </w:rPr>
        <w:t>égalité des sexes, le caractère prioritaire de l</w:t>
      </w:r>
      <w:r w:rsidR="008E14FD">
        <w:rPr>
          <w:lang w:val="fr-FR"/>
        </w:rPr>
        <w:t>’</w:t>
      </w:r>
      <w:r w:rsidRPr="004C48B6">
        <w:rPr>
          <w:lang w:val="fr-FR"/>
        </w:rPr>
        <w:t>éducation pour les garçons et les filles, la non</w:t>
      </w:r>
      <w:r w:rsidR="00BB3921">
        <w:rPr>
          <w:lang w:val="fr-FR"/>
        </w:rPr>
        <w:noBreakHyphen/>
      </w:r>
      <w:r w:rsidRPr="004C48B6">
        <w:rPr>
          <w:lang w:val="fr-FR"/>
        </w:rPr>
        <w:t>tolérance envers la violence familiale, la lutte contre les mariages précoces et l</w:t>
      </w:r>
      <w:r w:rsidR="008E14FD">
        <w:rPr>
          <w:lang w:val="fr-FR"/>
        </w:rPr>
        <w:t>’</w:t>
      </w:r>
      <w:r w:rsidRPr="004C48B6">
        <w:rPr>
          <w:lang w:val="fr-FR"/>
        </w:rPr>
        <w:t>enregistrement obligatoire des mariages auprès des autorités. Des brochures, dépliants et autres documents d</w:t>
      </w:r>
      <w:r w:rsidR="008E14FD">
        <w:rPr>
          <w:lang w:val="fr-FR"/>
        </w:rPr>
        <w:t>’</w:t>
      </w:r>
      <w:r w:rsidRPr="004C48B6">
        <w:rPr>
          <w:lang w:val="fr-FR"/>
        </w:rPr>
        <w:t>information sur ces questions ont été élaborés et publiés.</w:t>
      </w:r>
    </w:p>
    <w:p w14:paraId="31246952" w14:textId="037FD941" w:rsidR="004C48B6" w:rsidRPr="004C48B6" w:rsidRDefault="004C48B6" w:rsidP="00746391">
      <w:pPr>
        <w:pStyle w:val="SingleTxt"/>
        <w:numPr>
          <w:ilvl w:val="0"/>
          <w:numId w:val="6"/>
        </w:numPr>
        <w:spacing w:line="240" w:lineRule="exact"/>
        <w:ind w:left="1267"/>
        <w:rPr>
          <w:lang w:val="fr-FR"/>
        </w:rPr>
      </w:pPr>
      <w:r w:rsidRPr="004C48B6">
        <w:rPr>
          <w:lang w:val="fr-FR"/>
        </w:rPr>
        <w:t>Dans un arrêté du 30 décembre 2015, le Gouvernement a approuvé le Plan-cadre pour le développement de la famille au Tadjikistan, qui définit l</w:t>
      </w:r>
      <w:r w:rsidR="008E14FD">
        <w:rPr>
          <w:lang w:val="fr-FR"/>
        </w:rPr>
        <w:t>’</w:t>
      </w:r>
      <w:r w:rsidRPr="004C48B6">
        <w:rPr>
          <w:lang w:val="fr-FR"/>
        </w:rPr>
        <w:t>orientation de la politique nationale en ce qui concerne le renforcement de la famille en tant qu</w:t>
      </w:r>
      <w:r w:rsidR="008E14FD">
        <w:rPr>
          <w:lang w:val="fr-FR"/>
        </w:rPr>
        <w:t>’</w:t>
      </w:r>
      <w:r w:rsidRPr="004C48B6">
        <w:rPr>
          <w:lang w:val="fr-FR"/>
        </w:rPr>
        <w:t>institution sociale majeure et fondement de la société, la protection des intérêts des membres de la famille et son amélioration au regard de l</w:t>
      </w:r>
      <w:r w:rsidR="008E14FD">
        <w:rPr>
          <w:lang w:val="fr-FR"/>
        </w:rPr>
        <w:t>’</w:t>
      </w:r>
      <w:r w:rsidRPr="004C48B6">
        <w:rPr>
          <w:lang w:val="fr-FR"/>
        </w:rPr>
        <w:t>évolution actuelle de la société, la famille en tant qu</w:t>
      </w:r>
      <w:r w:rsidR="008E14FD">
        <w:rPr>
          <w:lang w:val="fr-FR"/>
        </w:rPr>
        <w:t>’</w:t>
      </w:r>
      <w:r w:rsidRPr="004C48B6">
        <w:rPr>
          <w:lang w:val="fr-FR"/>
        </w:rPr>
        <w:t>institution sociale et lieu d</w:t>
      </w:r>
      <w:r w:rsidR="008E14FD">
        <w:rPr>
          <w:lang w:val="fr-FR"/>
        </w:rPr>
        <w:t>’</w:t>
      </w:r>
      <w:r w:rsidRPr="004C48B6">
        <w:rPr>
          <w:lang w:val="fr-FR"/>
        </w:rPr>
        <w:t>éducation des enfants, les fondements économiques et sociaux du renforcement de la famille, l</w:t>
      </w:r>
      <w:r w:rsidR="008E14FD">
        <w:rPr>
          <w:lang w:val="fr-FR"/>
        </w:rPr>
        <w:t>’</w:t>
      </w:r>
      <w:r w:rsidRPr="004C48B6">
        <w:rPr>
          <w:lang w:val="fr-FR"/>
        </w:rPr>
        <w:t>amélioration de l</w:t>
      </w:r>
      <w:r w:rsidR="008E14FD">
        <w:rPr>
          <w:lang w:val="fr-FR"/>
        </w:rPr>
        <w:t>’</w:t>
      </w:r>
      <w:r w:rsidRPr="004C48B6">
        <w:rPr>
          <w:lang w:val="fr-FR"/>
        </w:rPr>
        <w:t>éducation et du développement au sein de la famille, ainsi que la stricte application du principe constitutionnel de l</w:t>
      </w:r>
      <w:r w:rsidR="008E14FD">
        <w:rPr>
          <w:lang w:val="fr-FR"/>
        </w:rPr>
        <w:t>’</w:t>
      </w:r>
      <w:r w:rsidRPr="004C48B6">
        <w:rPr>
          <w:lang w:val="fr-FR"/>
        </w:rPr>
        <w:t>égalité des hommes et des femmes dans les relations familiales.</w:t>
      </w:r>
    </w:p>
    <w:p w14:paraId="3D1F2B70" w14:textId="4F3AC18C" w:rsidR="004C48B6" w:rsidRDefault="00843EC7" w:rsidP="00926FC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lastRenderedPageBreak/>
        <w:tab/>
      </w:r>
      <w:r>
        <w:rPr>
          <w:lang w:val="fr-FR"/>
        </w:rPr>
        <w:tab/>
      </w:r>
      <w:r w:rsidR="004C48B6" w:rsidRPr="00206C7A">
        <w:rPr>
          <w:lang w:val="fr-FR"/>
        </w:rPr>
        <w:t>Violence à l</w:t>
      </w:r>
      <w:r w:rsidR="008E14FD">
        <w:rPr>
          <w:lang w:val="fr-FR"/>
        </w:rPr>
        <w:t>’</w:t>
      </w:r>
      <w:r w:rsidR="004C48B6" w:rsidRPr="00206C7A">
        <w:rPr>
          <w:lang w:val="fr-FR"/>
        </w:rPr>
        <w:t xml:space="preserve">égard des femmes </w:t>
      </w:r>
    </w:p>
    <w:p w14:paraId="6B0F6B98" w14:textId="77427F69" w:rsidR="00843EC7" w:rsidRPr="00843EC7" w:rsidRDefault="00843EC7" w:rsidP="00926FCD">
      <w:pPr>
        <w:keepNext/>
        <w:keepLines/>
        <w:spacing w:line="120" w:lineRule="exact"/>
        <w:rPr>
          <w:sz w:val="10"/>
          <w:lang w:val="fr-FR"/>
        </w:rPr>
      </w:pPr>
    </w:p>
    <w:p w14:paraId="6FD2433F" w14:textId="6424E632" w:rsidR="004C48B6" w:rsidRDefault="00843EC7" w:rsidP="00926FCD">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4C48B6" w:rsidRPr="008E5EF8">
        <w:rPr>
          <w:lang w:val="fr-FR"/>
        </w:rPr>
        <w:t>Paragraphe</w:t>
      </w:r>
      <w:r w:rsidR="004C48B6" w:rsidRPr="00206C7A">
        <w:rPr>
          <w:lang w:val="fr-FR"/>
        </w:rPr>
        <w:t xml:space="preserve"> 18 des observations finales </w:t>
      </w:r>
    </w:p>
    <w:p w14:paraId="76A009AA" w14:textId="3DF65B1B" w:rsidR="00843EC7" w:rsidRPr="00843EC7" w:rsidRDefault="00843EC7" w:rsidP="00926FCD">
      <w:pPr>
        <w:keepNext/>
        <w:keepLines/>
        <w:spacing w:line="120" w:lineRule="exact"/>
        <w:rPr>
          <w:sz w:val="10"/>
          <w:lang w:val="fr-FR"/>
        </w:rPr>
      </w:pPr>
    </w:p>
    <w:p w14:paraId="706AC6BD" w14:textId="6CD08996" w:rsidR="004C48B6" w:rsidRPr="00206C7A" w:rsidRDefault="004C48B6" w:rsidP="00926FCD">
      <w:pPr>
        <w:pStyle w:val="SingleTxt"/>
        <w:keepNext/>
        <w:keepLines/>
        <w:numPr>
          <w:ilvl w:val="0"/>
          <w:numId w:val="6"/>
        </w:numPr>
        <w:tabs>
          <w:tab w:val="num" w:pos="2804"/>
        </w:tabs>
        <w:spacing w:line="240" w:lineRule="exact"/>
        <w:ind w:left="1267"/>
        <w:rPr>
          <w:lang w:val="fr-FR"/>
        </w:rPr>
      </w:pPr>
      <w:r w:rsidRPr="00206C7A">
        <w:rPr>
          <w:lang w:val="fr-FR"/>
        </w:rPr>
        <w:t>En 2013, des lois modifiant et complétant le Code des infractions administratives et la loi sur la police ont été élaborées et adoptées.</w:t>
      </w:r>
      <w:r w:rsidR="008E14FD">
        <w:rPr>
          <w:lang w:val="fr-FR"/>
        </w:rPr>
        <w:t xml:space="preserve"> </w:t>
      </w:r>
      <w:r w:rsidRPr="00206C7A">
        <w:rPr>
          <w:lang w:val="fr-FR"/>
        </w:rPr>
        <w:t>Deux articles ont été ajoutés au Code des infractions administratives</w:t>
      </w:r>
      <w:r w:rsidR="008E14FD">
        <w:rPr>
          <w:lang w:val="fr-FR"/>
        </w:rPr>
        <w:t> :</w:t>
      </w:r>
      <w:r w:rsidRPr="00206C7A">
        <w:rPr>
          <w:lang w:val="fr-FR"/>
        </w:rPr>
        <w:t xml:space="preserve"> l</w:t>
      </w:r>
      <w:r w:rsidR="008E14FD">
        <w:rPr>
          <w:lang w:val="fr-FR"/>
        </w:rPr>
        <w:t>’</w:t>
      </w:r>
      <w:r w:rsidRPr="00206C7A">
        <w:rPr>
          <w:lang w:val="fr-FR"/>
        </w:rPr>
        <w:t>article 93</w:t>
      </w:r>
      <w:r w:rsidR="008E14FD">
        <w:rPr>
          <w:lang w:val="fr-FR"/>
        </w:rPr>
        <w:t xml:space="preserve"> (</w:t>
      </w:r>
      <w:r w:rsidRPr="00206C7A">
        <w:rPr>
          <w:lang w:val="fr-FR"/>
        </w:rPr>
        <w:t>Violation de la législation relative à la prévention</w:t>
      </w:r>
      <w:r w:rsidR="008E14FD">
        <w:rPr>
          <w:lang w:val="fr-FR"/>
        </w:rPr>
        <w:t xml:space="preserve"> de la violence dans la famille</w:t>
      </w:r>
      <w:r w:rsidRPr="00206C7A">
        <w:rPr>
          <w:lang w:val="fr-FR"/>
        </w:rPr>
        <w:t>) et l</w:t>
      </w:r>
      <w:r w:rsidR="008E14FD">
        <w:rPr>
          <w:lang w:val="fr-FR"/>
        </w:rPr>
        <w:t>’</w:t>
      </w:r>
      <w:r w:rsidRPr="00206C7A">
        <w:rPr>
          <w:lang w:val="fr-FR"/>
        </w:rPr>
        <w:t>article 93 (Violation de l</w:t>
      </w:r>
      <w:r w:rsidR="008E14FD">
        <w:rPr>
          <w:lang w:val="fr-FR"/>
        </w:rPr>
        <w:t>’</w:t>
      </w:r>
      <w:r w:rsidRPr="00206C7A">
        <w:rPr>
          <w:lang w:val="fr-FR"/>
        </w:rPr>
        <w:t>ordonn</w:t>
      </w:r>
      <w:r w:rsidR="008E14FD">
        <w:rPr>
          <w:lang w:val="fr-FR"/>
        </w:rPr>
        <w:t>ance de protection</w:t>
      </w:r>
      <w:r w:rsidRPr="00206C7A">
        <w:rPr>
          <w:lang w:val="fr-FR"/>
        </w:rPr>
        <w:t>). Ces articles prévoient, en l</w:t>
      </w:r>
      <w:r w:rsidR="008E14FD">
        <w:rPr>
          <w:lang w:val="fr-FR"/>
        </w:rPr>
        <w:t>’</w:t>
      </w:r>
      <w:r w:rsidRPr="00206C7A">
        <w:rPr>
          <w:lang w:val="fr-FR"/>
        </w:rPr>
        <w:t>absence d</w:t>
      </w:r>
      <w:r w:rsidR="008E14FD">
        <w:rPr>
          <w:lang w:val="fr-FR"/>
        </w:rPr>
        <w:t>’</w:t>
      </w:r>
      <w:r w:rsidRPr="00206C7A">
        <w:rPr>
          <w:lang w:val="fr-FR"/>
        </w:rPr>
        <w:t>éléments constitutifs de l</w:t>
      </w:r>
      <w:r w:rsidR="008E14FD">
        <w:rPr>
          <w:lang w:val="fr-FR"/>
        </w:rPr>
        <w:t>’</w:t>
      </w:r>
      <w:r w:rsidRPr="00206C7A">
        <w:rPr>
          <w:lang w:val="fr-FR"/>
        </w:rPr>
        <w:t>infraction, un régime de responsabilité en cas de violation de la législation relative à la prévention de la violence dans la famille, c</w:t>
      </w:r>
      <w:r w:rsidR="008E14FD">
        <w:rPr>
          <w:lang w:val="fr-FR"/>
        </w:rPr>
        <w:t>’</w:t>
      </w:r>
      <w:r w:rsidRPr="00206C7A">
        <w:rPr>
          <w:lang w:val="fr-FR"/>
        </w:rPr>
        <w:t>est-à-dire le recours volontaire à la violence physique, psychologique ou économique ainsi que la menace d</w:t>
      </w:r>
      <w:r w:rsidR="008E14FD">
        <w:rPr>
          <w:lang w:val="fr-FR"/>
        </w:rPr>
        <w:t>’</w:t>
      </w:r>
      <w:r w:rsidRPr="00206C7A">
        <w:rPr>
          <w:lang w:val="fr-FR"/>
        </w:rPr>
        <w:t>y recourir au sein de la famille, si ces violences portent atteinte aux droits et liberté</w:t>
      </w:r>
      <w:r>
        <w:rPr>
          <w:lang w:val="fr-FR"/>
        </w:rPr>
        <w:t>s</w:t>
      </w:r>
      <w:r w:rsidRPr="00206C7A">
        <w:rPr>
          <w:lang w:val="fr-FR"/>
        </w:rPr>
        <w:t xml:space="preserve"> d</w:t>
      </w:r>
      <w:r w:rsidR="008E14FD">
        <w:rPr>
          <w:lang w:val="fr-FR"/>
        </w:rPr>
        <w:t>’</w:t>
      </w:r>
      <w:r w:rsidRPr="00206C7A">
        <w:rPr>
          <w:lang w:val="fr-FR"/>
        </w:rPr>
        <w:t>un membre de la famille. Cette responsabilité est également prévue en cas de non-respect d</w:t>
      </w:r>
      <w:r w:rsidR="008E14FD">
        <w:rPr>
          <w:lang w:val="fr-FR"/>
        </w:rPr>
        <w:t>’</w:t>
      </w:r>
      <w:r w:rsidRPr="00206C7A">
        <w:rPr>
          <w:lang w:val="fr-FR"/>
        </w:rPr>
        <w:t>une ordonnance de protection. La peine encourue est une amende ou la détention administrative. De plus, la loi sur la police prévoit désormais que le recours à des mesures particulières en matière de prévention de la violence familiale figure au rang des attributions des agents de police. À l</w:t>
      </w:r>
      <w:r w:rsidR="008E14FD">
        <w:rPr>
          <w:lang w:val="fr-FR"/>
        </w:rPr>
        <w:t>’</w:t>
      </w:r>
      <w:r w:rsidRPr="00206C7A">
        <w:rPr>
          <w:lang w:val="fr-FR"/>
        </w:rPr>
        <w:t>heure actuelle, le Code pénal réprime</w:t>
      </w:r>
      <w:r>
        <w:rPr>
          <w:lang w:val="fr-FR"/>
        </w:rPr>
        <w:t>, entre autres,</w:t>
      </w:r>
      <w:r w:rsidRPr="00206C7A">
        <w:rPr>
          <w:lang w:val="fr-FR"/>
        </w:rPr>
        <w:t xml:space="preserve"> les actes à caractère violent suivants</w:t>
      </w:r>
      <w:r w:rsidR="008E14FD">
        <w:rPr>
          <w:lang w:val="fr-FR"/>
        </w:rPr>
        <w:t> :</w:t>
      </w:r>
      <w:r w:rsidRPr="00206C7A">
        <w:rPr>
          <w:lang w:val="fr-FR"/>
        </w:rPr>
        <w:t xml:space="preserve"> les voies de fait (art. 116), la torture (art. 117), la traite d</w:t>
      </w:r>
      <w:r w:rsidR="008E14FD">
        <w:rPr>
          <w:lang w:val="fr-FR"/>
        </w:rPr>
        <w:t>’</w:t>
      </w:r>
      <w:r w:rsidRPr="00206C7A">
        <w:rPr>
          <w:lang w:val="fr-FR"/>
        </w:rPr>
        <w:t>êtres humains (art. 130), le recrutement de personnes aux fins de l</w:t>
      </w:r>
      <w:r w:rsidR="008E14FD">
        <w:rPr>
          <w:lang w:val="fr-FR"/>
        </w:rPr>
        <w:t>’</w:t>
      </w:r>
      <w:r w:rsidRPr="00206C7A">
        <w:rPr>
          <w:lang w:val="fr-FR"/>
        </w:rPr>
        <w:t>exploitation sexuelle ou autre (art. 132), le viol (art. 138), les agressions sexuelles (art. 139), les rapports sexuels ou autres actes sexuels obtenus sous la contrainte (art. 140), les rapports sexuels ou autres actes sexuels avec une personne de moins de 16 ans (art. 141), l</w:t>
      </w:r>
      <w:r w:rsidR="008E14FD">
        <w:rPr>
          <w:lang w:val="fr-FR"/>
        </w:rPr>
        <w:t>’</w:t>
      </w:r>
      <w:r>
        <w:rPr>
          <w:lang w:val="fr-FR"/>
        </w:rPr>
        <w:t>attentat à la pudeur</w:t>
      </w:r>
      <w:r w:rsidRPr="00206C7A">
        <w:rPr>
          <w:lang w:val="fr-FR"/>
        </w:rPr>
        <w:t xml:space="preserve"> (art. 142), la bigamie ou la polygamie (art. 170), l</w:t>
      </w:r>
      <w:r w:rsidR="008E14FD">
        <w:rPr>
          <w:lang w:val="fr-FR"/>
        </w:rPr>
        <w:t>’</w:t>
      </w:r>
      <w:r w:rsidRPr="00206C7A">
        <w:rPr>
          <w:lang w:val="fr-FR"/>
        </w:rPr>
        <w:t>incitation à la prostitution (art. 238), l</w:t>
      </w:r>
      <w:r w:rsidR="008E14FD">
        <w:rPr>
          <w:lang w:val="fr-FR"/>
        </w:rPr>
        <w:t>’</w:t>
      </w:r>
      <w:r w:rsidRPr="00206C7A">
        <w:rPr>
          <w:lang w:val="fr-FR"/>
        </w:rPr>
        <w:t>organisation ou l</w:t>
      </w:r>
      <w:r w:rsidR="008E14FD">
        <w:rPr>
          <w:lang w:val="fr-FR"/>
        </w:rPr>
        <w:t>’</w:t>
      </w:r>
      <w:r w:rsidRPr="00206C7A">
        <w:rPr>
          <w:lang w:val="fr-FR"/>
        </w:rPr>
        <w:t>exploitation d</w:t>
      </w:r>
      <w:r w:rsidR="008E14FD">
        <w:rPr>
          <w:lang w:val="fr-FR"/>
        </w:rPr>
        <w:t>’</w:t>
      </w:r>
      <w:r w:rsidRPr="00206C7A">
        <w:rPr>
          <w:lang w:val="fr-FR"/>
        </w:rPr>
        <w:t>une maison de prostitution et le proxénétisme sous t</w:t>
      </w:r>
      <w:r>
        <w:rPr>
          <w:lang w:val="fr-FR"/>
        </w:rPr>
        <w:t>outes ses formes (art. 239)</w:t>
      </w:r>
      <w:r w:rsidRPr="00206C7A">
        <w:rPr>
          <w:lang w:val="fr-FR"/>
        </w:rPr>
        <w:t>. En 2014, le Gouvernement a adopté un programme national de prévention de la violence familiale pour la période 2014-2023. L</w:t>
      </w:r>
      <w:r w:rsidR="008E14FD">
        <w:rPr>
          <w:lang w:val="fr-FR"/>
        </w:rPr>
        <w:t>’</w:t>
      </w:r>
      <w:r w:rsidRPr="00206C7A">
        <w:rPr>
          <w:lang w:val="fr-FR"/>
        </w:rPr>
        <w:t>objectif stratégique du programme est de garantir</w:t>
      </w:r>
      <w:r w:rsidR="008E14FD">
        <w:rPr>
          <w:lang w:val="fr-FR"/>
        </w:rPr>
        <w:t> :</w:t>
      </w:r>
      <w:r w:rsidRPr="00206C7A">
        <w:rPr>
          <w:lang w:val="fr-FR"/>
        </w:rPr>
        <w:t xml:space="preserve"> </w:t>
      </w:r>
      <w:r>
        <w:rPr>
          <w:lang w:val="fr-FR"/>
        </w:rPr>
        <w:t xml:space="preserve">la mise en place effective </w:t>
      </w:r>
      <w:r w:rsidRPr="00206C7A">
        <w:rPr>
          <w:lang w:val="fr-FR"/>
        </w:rPr>
        <w:t>de mécanismes de prévention de la violence familiale avec la participation de tous les acteurs étatiques et de la collectivité</w:t>
      </w:r>
      <w:r w:rsidR="006A444D">
        <w:rPr>
          <w:lang w:val="fr-FR"/>
        </w:rPr>
        <w:t> </w:t>
      </w:r>
      <w:r w:rsidRPr="00206C7A">
        <w:rPr>
          <w:lang w:val="fr-FR"/>
        </w:rPr>
        <w:t>; l</w:t>
      </w:r>
      <w:r w:rsidR="008E14FD">
        <w:rPr>
          <w:lang w:val="fr-FR"/>
        </w:rPr>
        <w:t>’</w:t>
      </w:r>
      <w:r w:rsidRPr="00206C7A">
        <w:rPr>
          <w:lang w:val="fr-FR"/>
        </w:rPr>
        <w:t>amélioration notable du système de lutte contre la criminalité</w:t>
      </w:r>
      <w:r w:rsidR="006A444D">
        <w:rPr>
          <w:lang w:val="fr-FR"/>
        </w:rPr>
        <w:t> </w:t>
      </w:r>
      <w:r w:rsidRPr="00206C7A">
        <w:rPr>
          <w:lang w:val="fr-FR"/>
        </w:rPr>
        <w:t>; la réelle protection des droits et libertés des citoyens</w:t>
      </w:r>
      <w:r w:rsidR="006A444D">
        <w:rPr>
          <w:lang w:val="fr-FR"/>
        </w:rPr>
        <w:t> </w:t>
      </w:r>
      <w:r w:rsidRPr="00206C7A">
        <w:rPr>
          <w:lang w:val="fr-FR"/>
        </w:rPr>
        <w:t>; la défense des dispositions constitutionnelles</w:t>
      </w:r>
      <w:r w:rsidR="006A444D">
        <w:rPr>
          <w:lang w:val="fr-FR"/>
        </w:rPr>
        <w:t> </w:t>
      </w:r>
      <w:r w:rsidRPr="00206C7A">
        <w:rPr>
          <w:lang w:val="fr-FR"/>
        </w:rPr>
        <w:t xml:space="preserve">; la stabilité familiale et la prévention de la violence familiale. </w:t>
      </w:r>
    </w:p>
    <w:p w14:paraId="4B572E6E" w14:textId="2C352734"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Aux fins de l</w:t>
      </w:r>
      <w:r w:rsidR="008E14FD">
        <w:rPr>
          <w:lang w:val="fr-FR"/>
        </w:rPr>
        <w:t>’</w:t>
      </w:r>
      <w:r w:rsidRPr="00206C7A">
        <w:rPr>
          <w:lang w:val="fr-FR"/>
        </w:rPr>
        <w:t>application effective de la législation relative à la prévention de la violence familiale, de la fourniture d</w:t>
      </w:r>
      <w:r w:rsidR="008E14FD">
        <w:rPr>
          <w:lang w:val="fr-FR"/>
        </w:rPr>
        <w:t>’</w:t>
      </w:r>
      <w:r w:rsidRPr="00206C7A">
        <w:rPr>
          <w:lang w:val="fr-FR"/>
        </w:rPr>
        <w:t>un appui aux femmes victimes de violence, de la prévention et de la répression de la violence familiale, ainsi que de la protection des droits, des libertés et des garanties constitutionnelles des femmes dans la famille, 33 centres d</w:t>
      </w:r>
      <w:r w:rsidR="008E14FD">
        <w:rPr>
          <w:lang w:val="fr-FR"/>
        </w:rPr>
        <w:t>’</w:t>
      </w:r>
      <w:r w:rsidRPr="00206C7A">
        <w:rPr>
          <w:lang w:val="fr-FR"/>
        </w:rPr>
        <w:t>accueil d</w:t>
      </w:r>
      <w:r w:rsidR="008E14FD">
        <w:rPr>
          <w:lang w:val="fr-FR"/>
        </w:rPr>
        <w:t>’</w:t>
      </w:r>
      <w:r w:rsidRPr="00206C7A">
        <w:rPr>
          <w:lang w:val="fr-FR"/>
        </w:rPr>
        <w:t>urgence et 3 antennes ont été créés dans le pays.</w:t>
      </w:r>
      <w:r w:rsidR="008E14FD">
        <w:rPr>
          <w:lang w:val="fr-FR"/>
        </w:rPr>
        <w:t xml:space="preserve"> </w:t>
      </w:r>
      <w:r w:rsidRPr="00206C7A">
        <w:rPr>
          <w:lang w:val="fr-FR"/>
        </w:rPr>
        <w:t>Des cabinets de consultation et de soins destinés aux victimes de violence familiale ont été mis en place dans les maternités de plusieurs villes et districts du pays. La plupart des personnes qui s</w:t>
      </w:r>
      <w:r w:rsidR="008E14FD">
        <w:rPr>
          <w:lang w:val="fr-FR"/>
        </w:rPr>
        <w:t>’</w:t>
      </w:r>
      <w:r w:rsidRPr="00206C7A">
        <w:rPr>
          <w:lang w:val="fr-FR"/>
        </w:rPr>
        <w:t>y rendent sont des femmes et des mineurs.</w:t>
      </w:r>
      <w:r w:rsidR="008E14FD">
        <w:rPr>
          <w:lang w:val="fr-FR"/>
        </w:rPr>
        <w:t xml:space="preserve"> </w:t>
      </w:r>
    </w:p>
    <w:p w14:paraId="6A9D0FD8" w14:textId="6F48A4A5"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Dans le cadre du Plan d</w:t>
      </w:r>
      <w:r w:rsidR="008E14FD">
        <w:rPr>
          <w:lang w:val="fr-FR"/>
        </w:rPr>
        <w:t>’</w:t>
      </w:r>
      <w:r w:rsidRPr="00206C7A">
        <w:rPr>
          <w:lang w:val="fr-FR"/>
        </w:rPr>
        <w:t>action de l</w:t>
      </w:r>
      <w:r w:rsidR="008E14FD">
        <w:rPr>
          <w:lang w:val="fr-FR"/>
        </w:rPr>
        <w:t>’</w:t>
      </w:r>
      <w:r w:rsidRPr="00206C7A">
        <w:rPr>
          <w:lang w:val="fr-FR"/>
        </w:rPr>
        <w:t xml:space="preserve">Organisation pour la sécurité et la coopération en Europe </w:t>
      </w:r>
      <w:r>
        <w:rPr>
          <w:lang w:val="fr-FR"/>
        </w:rPr>
        <w:t xml:space="preserve">(OSCE) </w:t>
      </w:r>
      <w:r w:rsidRPr="00206C7A">
        <w:rPr>
          <w:lang w:val="fr-FR"/>
        </w:rPr>
        <w:t>pour la promotion de l</w:t>
      </w:r>
      <w:r w:rsidR="008E14FD">
        <w:rPr>
          <w:lang w:val="fr-FR"/>
        </w:rPr>
        <w:t>’</w:t>
      </w:r>
      <w:r w:rsidRPr="00206C7A">
        <w:rPr>
          <w:lang w:val="fr-FR"/>
        </w:rPr>
        <w:t>égalité entre les sexes,</w:t>
      </w:r>
      <w:r w:rsidR="008E14FD">
        <w:rPr>
          <w:lang w:val="fr-FR"/>
        </w:rPr>
        <w:t xml:space="preserve"> </w:t>
      </w:r>
      <w:r w:rsidRPr="00206C7A">
        <w:rPr>
          <w:lang w:val="fr-FR"/>
        </w:rPr>
        <w:t>l</w:t>
      </w:r>
      <w:r w:rsidR="008E14FD">
        <w:rPr>
          <w:lang w:val="fr-FR"/>
        </w:rPr>
        <w:t>’</w:t>
      </w:r>
      <w:r w:rsidRPr="00206C7A">
        <w:rPr>
          <w:lang w:val="fr-FR"/>
        </w:rPr>
        <w:t>Académie du Ministère de l</w:t>
      </w:r>
      <w:r w:rsidR="008E14FD">
        <w:rPr>
          <w:lang w:val="fr-FR"/>
        </w:rPr>
        <w:t>’</w:t>
      </w:r>
      <w:r w:rsidRPr="00206C7A">
        <w:rPr>
          <w:lang w:val="fr-FR"/>
        </w:rPr>
        <w:t>intérieur dispense, depuis 2010, un</w:t>
      </w:r>
      <w:r>
        <w:rPr>
          <w:lang w:val="fr-FR"/>
        </w:rPr>
        <w:t xml:space="preserve"> nouveau</w:t>
      </w:r>
      <w:r w:rsidRPr="00206C7A">
        <w:rPr>
          <w:lang w:val="fr-FR"/>
        </w:rPr>
        <w:t xml:space="preserve"> </w:t>
      </w:r>
      <w:r>
        <w:rPr>
          <w:lang w:val="fr-FR"/>
        </w:rPr>
        <w:t>cours</w:t>
      </w:r>
      <w:r w:rsidRPr="00206C7A">
        <w:rPr>
          <w:lang w:val="fr-FR"/>
        </w:rPr>
        <w:t xml:space="preserve"> sur la violence familiale. Jusqu</w:t>
      </w:r>
      <w:r w:rsidR="008E14FD">
        <w:rPr>
          <w:lang w:val="fr-FR"/>
        </w:rPr>
        <w:t>’</w:t>
      </w:r>
      <w:r w:rsidRPr="00206C7A">
        <w:rPr>
          <w:lang w:val="fr-FR"/>
        </w:rPr>
        <w:t xml:space="preserve">en février 2016, </w:t>
      </w:r>
      <w:r>
        <w:rPr>
          <w:lang w:val="fr-FR"/>
        </w:rPr>
        <w:t>il</w:t>
      </w:r>
      <w:r w:rsidRPr="00206C7A">
        <w:rPr>
          <w:lang w:val="fr-FR"/>
        </w:rPr>
        <w:t xml:space="preserve"> comprenait 20 heures </w:t>
      </w:r>
      <w:r>
        <w:rPr>
          <w:lang w:val="fr-FR"/>
        </w:rPr>
        <w:t>d</w:t>
      </w:r>
      <w:r w:rsidR="008E14FD">
        <w:rPr>
          <w:lang w:val="fr-FR"/>
        </w:rPr>
        <w:t>’</w:t>
      </w:r>
      <w:r>
        <w:rPr>
          <w:lang w:val="fr-FR"/>
        </w:rPr>
        <w:t>enseignement</w:t>
      </w:r>
      <w:r w:rsidRPr="00206C7A">
        <w:rPr>
          <w:lang w:val="fr-FR"/>
        </w:rPr>
        <w:t xml:space="preserve"> et était validé au moyen d</w:t>
      </w:r>
      <w:r w:rsidR="008E14FD">
        <w:rPr>
          <w:lang w:val="fr-FR"/>
        </w:rPr>
        <w:t>’</w:t>
      </w:r>
      <w:r w:rsidRPr="00206C7A">
        <w:rPr>
          <w:lang w:val="fr-FR"/>
        </w:rPr>
        <w:t xml:space="preserve">un test. Depuis lors, la prévention de la violence familiale est une matière à part entière qui comprend 36 heures de cours et est sanctionnée par un examen. </w:t>
      </w:r>
    </w:p>
    <w:p w14:paraId="2675C22A" w14:textId="6F31EB2B" w:rsidR="004C48B6" w:rsidRPr="00206C7A" w:rsidRDefault="004C48B6" w:rsidP="00746391">
      <w:pPr>
        <w:pStyle w:val="SingleTxt"/>
        <w:numPr>
          <w:ilvl w:val="0"/>
          <w:numId w:val="6"/>
        </w:numPr>
        <w:tabs>
          <w:tab w:val="num" w:pos="2804"/>
        </w:tabs>
        <w:spacing w:line="240" w:lineRule="exact"/>
        <w:ind w:left="1267"/>
        <w:rPr>
          <w:bCs/>
          <w:lang w:val="fr-FR"/>
        </w:rPr>
      </w:pPr>
      <w:r w:rsidRPr="00206C7A">
        <w:rPr>
          <w:bCs/>
          <w:lang w:val="fr-FR"/>
        </w:rPr>
        <w:t>En 2007, une association de femmes a été créée au sein du Ministère de l</w:t>
      </w:r>
      <w:r w:rsidR="008E14FD">
        <w:rPr>
          <w:bCs/>
          <w:lang w:val="fr-FR"/>
        </w:rPr>
        <w:t>’</w:t>
      </w:r>
      <w:r w:rsidRPr="00206C7A">
        <w:rPr>
          <w:bCs/>
          <w:lang w:val="fr-FR"/>
        </w:rPr>
        <w:t>intérieur. Elle a</w:t>
      </w:r>
      <w:r>
        <w:rPr>
          <w:bCs/>
          <w:lang w:val="fr-FR"/>
        </w:rPr>
        <w:t xml:space="preserve"> </w:t>
      </w:r>
      <w:r w:rsidRPr="00206C7A">
        <w:rPr>
          <w:bCs/>
          <w:lang w:val="fr-FR"/>
        </w:rPr>
        <w:t>pour principaux objectifs</w:t>
      </w:r>
      <w:r>
        <w:rPr>
          <w:bCs/>
          <w:lang w:val="fr-FR"/>
        </w:rPr>
        <w:t>, entre autres,</w:t>
      </w:r>
      <w:r w:rsidRPr="00206C7A">
        <w:rPr>
          <w:bCs/>
          <w:lang w:val="fr-FR"/>
        </w:rPr>
        <w:t xml:space="preserve"> de promouvoir la participation des femmes </w:t>
      </w:r>
      <w:r>
        <w:rPr>
          <w:bCs/>
          <w:lang w:val="fr-FR"/>
        </w:rPr>
        <w:t>dans les services du</w:t>
      </w:r>
      <w:r w:rsidRPr="00206C7A">
        <w:rPr>
          <w:bCs/>
          <w:lang w:val="fr-FR"/>
        </w:rPr>
        <w:t xml:space="preserve"> Ministère </w:t>
      </w:r>
      <w:r w:rsidRPr="008778E0">
        <w:rPr>
          <w:bCs/>
          <w:lang w:val="fr-FR"/>
        </w:rPr>
        <w:t xml:space="preserve">en vue de créer de conditions </w:t>
      </w:r>
      <w:r w:rsidRPr="008778E0">
        <w:rPr>
          <w:bCs/>
          <w:lang w:val="fr-FR"/>
        </w:rPr>
        <w:lastRenderedPageBreak/>
        <w:t>propices à la résolution des problèmes opérationnels et de renforcer le rôle et les pouvoirs des femmes du Ministère de l</w:t>
      </w:r>
      <w:r w:rsidR="008E14FD">
        <w:rPr>
          <w:bCs/>
          <w:lang w:val="fr-FR"/>
        </w:rPr>
        <w:t>’</w:t>
      </w:r>
      <w:r w:rsidRPr="008778E0">
        <w:rPr>
          <w:bCs/>
          <w:lang w:val="fr-FR"/>
        </w:rPr>
        <w:t>intérieur dans la fonction publique.</w:t>
      </w:r>
      <w:r w:rsidR="008E14FD">
        <w:rPr>
          <w:bCs/>
          <w:lang w:val="fr-FR"/>
        </w:rPr>
        <w:t xml:space="preserve"> </w:t>
      </w:r>
    </w:p>
    <w:p w14:paraId="0EA67FEE" w14:textId="44DF84D4"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 xml:space="preserve">Conformément à la </w:t>
      </w:r>
      <w:r>
        <w:rPr>
          <w:lang w:val="fr-FR"/>
        </w:rPr>
        <w:t>s</w:t>
      </w:r>
      <w:r w:rsidRPr="00206C7A">
        <w:rPr>
          <w:lang w:val="fr-FR"/>
        </w:rPr>
        <w:t>tratégie de réforme de la police, approuvée par décret présidentiel en mars 2013, la réforme des services du Ministère de l</w:t>
      </w:r>
      <w:r w:rsidR="008E14FD">
        <w:rPr>
          <w:lang w:val="fr-FR"/>
        </w:rPr>
        <w:t>’</w:t>
      </w:r>
      <w:r w:rsidRPr="00206C7A">
        <w:rPr>
          <w:lang w:val="fr-FR"/>
        </w:rPr>
        <w:t>intérieur et leur intégration</w:t>
      </w:r>
      <w:r w:rsidR="008E14FD">
        <w:rPr>
          <w:lang w:val="fr-FR"/>
        </w:rPr>
        <w:t xml:space="preserve"> </w:t>
      </w:r>
      <w:r w:rsidRPr="00206C7A">
        <w:rPr>
          <w:lang w:val="fr-FR"/>
        </w:rPr>
        <w:t>dans le système mondial suppose une large participation des femmes dans le domaine de l</w:t>
      </w:r>
      <w:r w:rsidR="008E14FD">
        <w:rPr>
          <w:lang w:val="fr-FR"/>
        </w:rPr>
        <w:t>’</w:t>
      </w:r>
      <w:r w:rsidRPr="00206C7A">
        <w:rPr>
          <w:lang w:val="fr-FR"/>
        </w:rPr>
        <w:t>application des lois. Le Ministère de l</w:t>
      </w:r>
      <w:r w:rsidR="008E14FD">
        <w:rPr>
          <w:lang w:val="fr-FR"/>
        </w:rPr>
        <w:t>’</w:t>
      </w:r>
      <w:r w:rsidRPr="00206C7A">
        <w:rPr>
          <w:lang w:val="fr-FR"/>
        </w:rPr>
        <w:t>intérieur analysera en permanence les procédures de sélection du personnel et les attributions du point de vue de l</w:t>
      </w:r>
      <w:r w:rsidR="008E14FD">
        <w:rPr>
          <w:lang w:val="fr-FR"/>
        </w:rPr>
        <w:t>’</w:t>
      </w:r>
      <w:r w:rsidRPr="00206C7A">
        <w:rPr>
          <w:lang w:val="fr-FR"/>
        </w:rPr>
        <w:t>égalité entre les sexes afin de déceler les éventuels préjugés à l</w:t>
      </w:r>
      <w:r w:rsidR="008E14FD">
        <w:rPr>
          <w:lang w:val="fr-FR"/>
        </w:rPr>
        <w:t>’</w:t>
      </w:r>
      <w:r w:rsidRPr="00206C7A">
        <w:rPr>
          <w:lang w:val="fr-FR"/>
        </w:rPr>
        <w:t>égard des candidates et obstacles à leur recrutement et, le cas échéant, apportera les corrections voulues à ces procédures.</w:t>
      </w:r>
      <w:r w:rsidR="008E14FD">
        <w:rPr>
          <w:lang w:val="fr-FR"/>
        </w:rPr>
        <w:t xml:space="preserve"> </w:t>
      </w:r>
    </w:p>
    <w:p w14:paraId="2486898E" w14:textId="57AB39F7"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En coopération avec le Bureau de l</w:t>
      </w:r>
      <w:r w:rsidR="008E14FD">
        <w:rPr>
          <w:lang w:val="fr-FR"/>
        </w:rPr>
        <w:t>’</w:t>
      </w:r>
      <w:r w:rsidRPr="00206C7A">
        <w:rPr>
          <w:lang w:val="fr-FR"/>
        </w:rPr>
        <w:t>O</w:t>
      </w:r>
      <w:r>
        <w:rPr>
          <w:lang w:val="fr-FR"/>
        </w:rPr>
        <w:t>SCE</w:t>
      </w:r>
      <w:r w:rsidRPr="00206C7A">
        <w:rPr>
          <w:lang w:val="fr-FR"/>
        </w:rPr>
        <w:t xml:space="preserve"> au Tadjikistan, le Ministère de l</w:t>
      </w:r>
      <w:r w:rsidR="008E14FD">
        <w:rPr>
          <w:lang w:val="fr-FR"/>
        </w:rPr>
        <w:t>’</w:t>
      </w:r>
      <w:r w:rsidRPr="00206C7A">
        <w:rPr>
          <w:lang w:val="fr-FR"/>
        </w:rPr>
        <w:t xml:space="preserve">intérieur a </w:t>
      </w:r>
      <w:r>
        <w:rPr>
          <w:lang w:val="fr-FR"/>
        </w:rPr>
        <w:t xml:space="preserve">exécuté un projet </w:t>
      </w:r>
      <w:r w:rsidRPr="006B05FC">
        <w:rPr>
          <w:lang w:val="fr-FR"/>
        </w:rPr>
        <w:t>de</w:t>
      </w:r>
      <w:r>
        <w:rPr>
          <w:lang w:val="fr-FR"/>
        </w:rPr>
        <w:t>stinée à</w:t>
      </w:r>
      <w:r w:rsidRPr="006B05FC">
        <w:rPr>
          <w:lang w:val="fr-FR"/>
        </w:rPr>
        <w:t xml:space="preserve"> sensibilis</w:t>
      </w:r>
      <w:r>
        <w:rPr>
          <w:lang w:val="fr-FR"/>
        </w:rPr>
        <w:t xml:space="preserve">er les </w:t>
      </w:r>
      <w:r w:rsidRPr="00206C7A">
        <w:rPr>
          <w:lang w:val="fr-FR"/>
        </w:rPr>
        <w:t>organes chargés de l</w:t>
      </w:r>
      <w:r w:rsidR="008E14FD">
        <w:rPr>
          <w:lang w:val="fr-FR"/>
        </w:rPr>
        <w:t>’</w:t>
      </w:r>
      <w:r w:rsidRPr="00206C7A">
        <w:rPr>
          <w:lang w:val="fr-FR"/>
        </w:rPr>
        <w:t xml:space="preserve">application des lois </w:t>
      </w:r>
      <w:r>
        <w:rPr>
          <w:lang w:val="fr-FR"/>
        </w:rPr>
        <w:t>à la problématique</w:t>
      </w:r>
      <w:r w:rsidR="00C318D2">
        <w:rPr>
          <w:lang w:val="fr-FR"/>
        </w:rPr>
        <w:t xml:space="preserve"> </w:t>
      </w:r>
      <w:r>
        <w:rPr>
          <w:lang w:val="fr-FR"/>
        </w:rPr>
        <w:t>hommes</w:t>
      </w:r>
      <w:r w:rsidR="00C318D2">
        <w:rPr>
          <w:lang w:val="fr-FR"/>
        </w:rPr>
        <w:t>-</w:t>
      </w:r>
      <w:r>
        <w:rPr>
          <w:lang w:val="fr-FR"/>
        </w:rPr>
        <w:t xml:space="preserve">femmes </w:t>
      </w:r>
      <w:r w:rsidRPr="00206C7A">
        <w:rPr>
          <w:lang w:val="fr-FR"/>
        </w:rPr>
        <w:t>afin que les cas de violence familiale fassent l</w:t>
      </w:r>
      <w:r w:rsidR="008E14FD">
        <w:rPr>
          <w:lang w:val="fr-FR"/>
        </w:rPr>
        <w:t>’</w:t>
      </w:r>
      <w:r w:rsidRPr="00206C7A">
        <w:rPr>
          <w:lang w:val="fr-FR"/>
        </w:rPr>
        <w:t>objet d</w:t>
      </w:r>
      <w:r w:rsidR="008E14FD">
        <w:rPr>
          <w:lang w:val="fr-FR"/>
        </w:rPr>
        <w:t>’</w:t>
      </w:r>
      <w:r w:rsidRPr="00206C7A">
        <w:rPr>
          <w:lang w:val="fr-FR"/>
        </w:rPr>
        <w:t>enquêtes en bonne et due forme, que les auteurs soient traduits en justice et que les victimes soient protégées. Dans le cadre de ce</w:t>
      </w:r>
      <w:r>
        <w:rPr>
          <w:lang w:val="fr-FR"/>
        </w:rPr>
        <w:t xml:space="preserve"> projet</w:t>
      </w:r>
      <w:r w:rsidRPr="00C33278">
        <w:rPr>
          <w:lang w:val="fr-FR"/>
        </w:rPr>
        <w:t>, une nouvelle fonction d</w:t>
      </w:r>
      <w:r w:rsidR="008E14FD">
        <w:rPr>
          <w:lang w:val="fr-FR"/>
        </w:rPr>
        <w:t>’</w:t>
      </w:r>
      <w:r w:rsidRPr="00C33278">
        <w:rPr>
          <w:lang w:val="fr-FR"/>
        </w:rPr>
        <w:t>inspecteur chargé de la prévention de la violence familiale a été créée.</w:t>
      </w:r>
      <w:r w:rsidR="008E14FD">
        <w:rPr>
          <w:lang w:val="fr-FR"/>
        </w:rPr>
        <w:t xml:space="preserve"> </w:t>
      </w:r>
    </w:p>
    <w:p w14:paraId="5857D9FC" w14:textId="6763E10C" w:rsidR="004C48B6" w:rsidRPr="00206C7A" w:rsidRDefault="004C48B6" w:rsidP="00746391">
      <w:pPr>
        <w:pStyle w:val="SingleTxt"/>
        <w:numPr>
          <w:ilvl w:val="0"/>
          <w:numId w:val="6"/>
        </w:numPr>
        <w:tabs>
          <w:tab w:val="num" w:pos="2804"/>
        </w:tabs>
        <w:spacing w:line="240" w:lineRule="exact"/>
        <w:ind w:left="1267"/>
        <w:rPr>
          <w:lang w:val="fr-FR"/>
        </w:rPr>
      </w:pPr>
      <w:r>
        <w:rPr>
          <w:lang w:val="fr-FR"/>
        </w:rPr>
        <w:t>Ainsi, d</w:t>
      </w:r>
      <w:r w:rsidRPr="00206C7A">
        <w:rPr>
          <w:lang w:val="fr-FR"/>
        </w:rPr>
        <w:t xml:space="preserve">epuis mars 2010, </w:t>
      </w:r>
      <w:r w:rsidR="00636121">
        <w:rPr>
          <w:lang w:val="fr-FR"/>
        </w:rPr>
        <w:t>14</w:t>
      </w:r>
      <w:r w:rsidR="00636121" w:rsidRPr="00206C7A">
        <w:rPr>
          <w:lang w:val="fr-FR"/>
        </w:rPr>
        <w:t xml:space="preserve"> </w:t>
      </w:r>
      <w:r w:rsidRPr="00206C7A">
        <w:rPr>
          <w:lang w:val="fr-FR"/>
        </w:rPr>
        <w:t xml:space="preserve">inspectrices chargées de la lutte contre la violence familiale ont été désignées et </w:t>
      </w:r>
      <w:r w:rsidR="00636121">
        <w:rPr>
          <w:lang w:val="fr-FR"/>
        </w:rPr>
        <w:t>14</w:t>
      </w:r>
      <w:r w:rsidRPr="00206C7A">
        <w:rPr>
          <w:lang w:val="fr-FR"/>
        </w:rPr>
        <w:t xml:space="preserve"> services de prévention de la v</w:t>
      </w:r>
      <w:r>
        <w:rPr>
          <w:lang w:val="fr-FR"/>
        </w:rPr>
        <w:t>iolence familiale ont été créés</w:t>
      </w:r>
      <w:r w:rsidRPr="00206C7A">
        <w:rPr>
          <w:lang w:val="fr-FR"/>
        </w:rPr>
        <w:t>.</w:t>
      </w:r>
      <w:r w:rsidR="008E14FD">
        <w:rPr>
          <w:lang w:val="fr-FR"/>
        </w:rPr>
        <w:t xml:space="preserve"> </w:t>
      </w:r>
    </w:p>
    <w:p w14:paraId="3D528ABD" w14:textId="52F3B88A"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Depuis le 28 septembre 2011, les fonctions des inspecteurs chargés de la prévention de la violence familiale ont été approuvées</w:t>
      </w:r>
      <w:r>
        <w:rPr>
          <w:lang w:val="fr-FR"/>
        </w:rPr>
        <w:t xml:space="preserve"> et</w:t>
      </w:r>
      <w:r w:rsidRPr="00206C7A">
        <w:rPr>
          <w:lang w:val="fr-FR"/>
        </w:rPr>
        <w:t xml:space="preserve"> des statistiques sur ce type d</w:t>
      </w:r>
      <w:r w:rsidR="008E14FD">
        <w:rPr>
          <w:lang w:val="fr-FR"/>
        </w:rPr>
        <w:t>’</w:t>
      </w:r>
      <w:r w:rsidRPr="00206C7A">
        <w:rPr>
          <w:lang w:val="fr-FR"/>
        </w:rPr>
        <w:t>infractions ont été établies, des recommandations méthod</w:t>
      </w:r>
      <w:r>
        <w:rPr>
          <w:lang w:val="fr-FR"/>
        </w:rPr>
        <w:t>olog</w:t>
      </w:r>
      <w:r w:rsidRPr="00206C7A">
        <w:rPr>
          <w:lang w:val="fr-FR"/>
        </w:rPr>
        <w:t>iques à l</w:t>
      </w:r>
      <w:r w:rsidR="008E14FD">
        <w:rPr>
          <w:lang w:val="fr-FR"/>
        </w:rPr>
        <w:t>’</w:t>
      </w:r>
      <w:r w:rsidRPr="00206C7A">
        <w:rPr>
          <w:lang w:val="fr-FR"/>
        </w:rPr>
        <w:t>intention des inspecteurs de police de quartier et des inspecteurs chargés de la prévention de la violence familiale concernant le respect et l</w:t>
      </w:r>
      <w:r w:rsidR="008E14FD">
        <w:rPr>
          <w:lang w:val="fr-FR"/>
        </w:rPr>
        <w:t>’</w:t>
      </w:r>
      <w:r w:rsidRPr="00206C7A">
        <w:rPr>
          <w:lang w:val="fr-FR"/>
        </w:rPr>
        <w:t>application de la loi sur la prévention de la violence dans la famille ont été approuvées le 25 novembre 2013, et une directive relative à l</w:t>
      </w:r>
      <w:r w:rsidR="008E14FD">
        <w:rPr>
          <w:lang w:val="fr-FR"/>
        </w:rPr>
        <w:t>’</w:t>
      </w:r>
      <w:r w:rsidRPr="00206C7A">
        <w:rPr>
          <w:lang w:val="fr-FR"/>
        </w:rPr>
        <w:t>organisation des activités menées par les agents des services de l</w:t>
      </w:r>
      <w:r w:rsidR="008E14FD">
        <w:rPr>
          <w:lang w:val="fr-FR"/>
        </w:rPr>
        <w:t>’</w:t>
      </w:r>
      <w:r w:rsidRPr="00206C7A">
        <w:rPr>
          <w:lang w:val="fr-FR"/>
        </w:rPr>
        <w:t>intérieur en vue de prévenir, d</w:t>
      </w:r>
      <w:r w:rsidR="008E14FD">
        <w:rPr>
          <w:lang w:val="fr-FR"/>
        </w:rPr>
        <w:t>’</w:t>
      </w:r>
      <w:r w:rsidRPr="00206C7A">
        <w:rPr>
          <w:lang w:val="fr-FR"/>
        </w:rPr>
        <w:t>éliminer et de réprimer les cas de violence familiale a été adoptée le 20 avril 2016.</w:t>
      </w:r>
      <w:r w:rsidR="008E14FD">
        <w:rPr>
          <w:lang w:val="fr-FR"/>
        </w:rPr>
        <w:t xml:space="preserve"> </w:t>
      </w:r>
    </w:p>
    <w:p w14:paraId="22A1479C" w14:textId="3847E8C5"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 xml:space="preserve">Tous les inspecteurs de police sont en contact étroit avec les inspecteurs chargés de la prévention de la violence familiale. </w:t>
      </w:r>
    </w:p>
    <w:p w14:paraId="2044E212" w14:textId="0209BB33" w:rsidR="004C48B6" w:rsidRPr="00206C7A" w:rsidRDefault="004C48B6" w:rsidP="00746391">
      <w:pPr>
        <w:pStyle w:val="SingleTxt"/>
        <w:numPr>
          <w:ilvl w:val="0"/>
          <w:numId w:val="6"/>
        </w:numPr>
        <w:tabs>
          <w:tab w:val="num" w:pos="2804"/>
        </w:tabs>
        <w:spacing w:line="240" w:lineRule="exact"/>
        <w:ind w:left="1267"/>
        <w:rPr>
          <w:lang w:val="fr-FR"/>
        </w:rPr>
      </w:pPr>
      <w:r>
        <w:rPr>
          <w:lang w:val="fr-FR"/>
        </w:rPr>
        <w:t>L</w:t>
      </w:r>
      <w:r w:rsidRPr="00206C7A">
        <w:rPr>
          <w:lang w:val="fr-FR"/>
        </w:rPr>
        <w:t xml:space="preserve">es inspecteurs de police de quartier et les inspecteurs chargés de la prévention de la violence familiale ont mené </w:t>
      </w:r>
      <w:r>
        <w:rPr>
          <w:lang w:val="fr-FR"/>
        </w:rPr>
        <w:t>un certain nombre d</w:t>
      </w:r>
      <w:r w:rsidR="008E14FD">
        <w:rPr>
          <w:lang w:val="fr-FR"/>
        </w:rPr>
        <w:t>’</w:t>
      </w:r>
      <w:r w:rsidRPr="00206C7A">
        <w:rPr>
          <w:lang w:val="fr-FR"/>
        </w:rPr>
        <w:t xml:space="preserve">activités </w:t>
      </w:r>
      <w:r>
        <w:rPr>
          <w:lang w:val="fr-FR"/>
        </w:rPr>
        <w:t>e</w:t>
      </w:r>
      <w:r w:rsidRPr="00206C7A">
        <w:rPr>
          <w:lang w:val="fr-FR"/>
        </w:rPr>
        <w:t>n application de la loi sur la prévention d</w:t>
      </w:r>
      <w:r>
        <w:rPr>
          <w:lang w:val="fr-FR"/>
        </w:rPr>
        <w:t>e la violence dans la famille</w:t>
      </w:r>
      <w:r w:rsidRPr="00206C7A">
        <w:rPr>
          <w:lang w:val="fr-FR"/>
        </w:rPr>
        <w:t>. Au cours de la période considérée en 2017,</w:t>
      </w:r>
      <w:r w:rsidR="008E14FD">
        <w:rPr>
          <w:lang w:val="fr-FR"/>
        </w:rPr>
        <w:t xml:space="preserve"> </w:t>
      </w:r>
      <w:r w:rsidRPr="00206C7A">
        <w:rPr>
          <w:lang w:val="fr-FR"/>
        </w:rPr>
        <w:t>ils ont reçu 1</w:t>
      </w:r>
      <w:r w:rsidR="00636121">
        <w:rPr>
          <w:lang w:val="fr-FR"/>
        </w:rPr>
        <w:t> </w:t>
      </w:r>
      <w:r w:rsidRPr="00206C7A">
        <w:rPr>
          <w:lang w:val="fr-FR"/>
        </w:rPr>
        <w:t xml:space="preserve">296 plaintes au total, dont 996 contre des hommes et 296 contre des femmes, et en </w:t>
      </w:r>
      <w:r w:rsidRPr="00C33278">
        <w:rPr>
          <w:lang w:val="fr-FR"/>
        </w:rPr>
        <w:t xml:space="preserve">ont examiné </w:t>
      </w:r>
      <w:r w:rsidRPr="006B05FC">
        <w:rPr>
          <w:lang w:val="fr-FR"/>
        </w:rPr>
        <w:t>respectivement 1</w:t>
      </w:r>
      <w:r w:rsidR="00636121">
        <w:rPr>
          <w:lang w:val="fr-FR"/>
        </w:rPr>
        <w:t> </w:t>
      </w:r>
      <w:r w:rsidRPr="006B05FC">
        <w:rPr>
          <w:lang w:val="fr-FR"/>
        </w:rPr>
        <w:t>036 et 260</w:t>
      </w:r>
      <w:r w:rsidRPr="00C33278">
        <w:rPr>
          <w:lang w:val="fr-FR"/>
        </w:rPr>
        <w:t>.</w:t>
      </w:r>
      <w:r w:rsidR="008E14FD">
        <w:rPr>
          <w:lang w:val="fr-FR"/>
        </w:rPr>
        <w:t xml:space="preserve"> </w:t>
      </w:r>
      <w:r w:rsidRPr="00206C7A">
        <w:rPr>
          <w:lang w:val="fr-FR"/>
        </w:rPr>
        <w:t>À l</w:t>
      </w:r>
      <w:r w:rsidR="008E14FD">
        <w:rPr>
          <w:lang w:val="fr-FR"/>
        </w:rPr>
        <w:t>’</w:t>
      </w:r>
      <w:r w:rsidRPr="00206C7A">
        <w:rPr>
          <w:lang w:val="fr-FR"/>
        </w:rPr>
        <w:t>issue des enquêtes, 65 actions pénales ont été engagées en vertu de différents articles du Code pénal, 1 003 plaintes ont été classées sans suite, 131 sont en cours d</w:t>
      </w:r>
      <w:r w:rsidR="008E14FD">
        <w:rPr>
          <w:lang w:val="fr-FR"/>
        </w:rPr>
        <w:t>’</w:t>
      </w:r>
      <w:r w:rsidRPr="00206C7A">
        <w:rPr>
          <w:lang w:val="fr-FR"/>
        </w:rPr>
        <w:t>examen et 76 ont été renvoyées à l</w:t>
      </w:r>
      <w:r w:rsidR="008E14FD">
        <w:rPr>
          <w:lang w:val="fr-FR"/>
        </w:rPr>
        <w:t>’</w:t>
      </w:r>
      <w:r w:rsidRPr="00206C7A">
        <w:rPr>
          <w:lang w:val="fr-FR"/>
        </w:rPr>
        <w:t>organe d</w:t>
      </w:r>
      <w:r w:rsidR="008E14FD">
        <w:rPr>
          <w:lang w:val="fr-FR"/>
        </w:rPr>
        <w:t>’</w:t>
      </w:r>
      <w:r w:rsidRPr="00206C7A">
        <w:rPr>
          <w:lang w:val="fr-FR"/>
        </w:rPr>
        <w:t>instruction compétent. Cent quatre-vingt-un procès-verbaux ont été établis contre des auteurs d</w:t>
      </w:r>
      <w:r w:rsidR="008E14FD">
        <w:rPr>
          <w:lang w:val="fr-FR"/>
        </w:rPr>
        <w:t>’</w:t>
      </w:r>
      <w:r w:rsidRPr="00206C7A">
        <w:rPr>
          <w:lang w:val="fr-FR"/>
        </w:rPr>
        <w:t>infraction en vertu des articles 93 (Violation de la législation relative à la prévention</w:t>
      </w:r>
      <w:r w:rsidR="008E14FD">
        <w:rPr>
          <w:lang w:val="fr-FR"/>
        </w:rPr>
        <w:t xml:space="preserve"> de la violence dans la famille</w:t>
      </w:r>
      <w:r w:rsidRPr="00206C7A">
        <w:rPr>
          <w:lang w:val="fr-FR"/>
        </w:rPr>
        <w:t>) et 93</w:t>
      </w:r>
      <w:r w:rsidR="008E14FD">
        <w:rPr>
          <w:lang w:val="fr-FR"/>
        </w:rPr>
        <w:t xml:space="preserve"> (</w:t>
      </w:r>
      <w:r w:rsidRPr="00206C7A">
        <w:rPr>
          <w:lang w:val="fr-FR"/>
        </w:rPr>
        <w:t>Violation de l</w:t>
      </w:r>
      <w:r w:rsidR="008E14FD">
        <w:rPr>
          <w:lang w:val="fr-FR"/>
        </w:rPr>
        <w:t>’ordonnance de protection</w:t>
      </w:r>
      <w:r w:rsidRPr="00206C7A">
        <w:rPr>
          <w:lang w:val="fr-FR"/>
        </w:rPr>
        <w:t>) du Code des infractions administratives, et 52 ont été établis en vertu d</w:t>
      </w:r>
      <w:r w:rsidR="008E14FD">
        <w:rPr>
          <w:lang w:val="fr-FR"/>
        </w:rPr>
        <w:t>’</w:t>
      </w:r>
      <w:r w:rsidRPr="00206C7A">
        <w:rPr>
          <w:lang w:val="fr-FR"/>
        </w:rPr>
        <w:t xml:space="preserve">autres articles du même Code. </w:t>
      </w:r>
    </w:p>
    <w:p w14:paraId="0DA1A170" w14:textId="25AA0018"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Une loi sur le barreau et la profession d</w:t>
      </w:r>
      <w:r w:rsidR="008E14FD">
        <w:rPr>
          <w:lang w:val="fr-FR"/>
        </w:rPr>
        <w:t>’</w:t>
      </w:r>
      <w:r w:rsidRPr="00206C7A">
        <w:rPr>
          <w:lang w:val="fr-FR"/>
        </w:rPr>
        <w:t>avocat a été adoptée afin de définir, entre autres, les bases juridiques de la profession d</w:t>
      </w:r>
      <w:r w:rsidR="008E14FD">
        <w:rPr>
          <w:lang w:val="fr-FR"/>
        </w:rPr>
        <w:t>’</w:t>
      </w:r>
      <w:r w:rsidRPr="00206C7A">
        <w:rPr>
          <w:lang w:val="fr-FR"/>
        </w:rPr>
        <w:t>avocat, les droits et obligations des avocats, les garanties du respect du droit des citoyens à une assistance juridique compétente et les fondements institutionnels et juridiques pour la formation de systèmes gouvernementaux et non gouvernementaux d</w:t>
      </w:r>
      <w:r w:rsidR="008E14FD">
        <w:rPr>
          <w:lang w:val="fr-FR"/>
        </w:rPr>
        <w:t>’</w:t>
      </w:r>
      <w:r w:rsidRPr="00206C7A">
        <w:rPr>
          <w:lang w:val="fr-FR"/>
        </w:rPr>
        <w:t xml:space="preserve">assistance juridique gratuite. </w:t>
      </w:r>
    </w:p>
    <w:p w14:paraId="0CBAF173" w14:textId="142BDF81"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lastRenderedPageBreak/>
        <w:t>Par arrêté du 2 juillet 2015, le Gouvernement a adopté le schéma directeur pour l</w:t>
      </w:r>
      <w:r w:rsidR="008E14FD">
        <w:rPr>
          <w:lang w:val="fr-FR"/>
        </w:rPr>
        <w:t>’</w:t>
      </w:r>
      <w:r w:rsidRPr="00206C7A">
        <w:rPr>
          <w:lang w:val="fr-FR"/>
        </w:rPr>
        <w:t>octroi d</w:t>
      </w:r>
      <w:r w:rsidR="008E14FD">
        <w:rPr>
          <w:lang w:val="fr-FR"/>
        </w:rPr>
        <w:t>’</w:t>
      </w:r>
      <w:r w:rsidRPr="00206C7A">
        <w:rPr>
          <w:lang w:val="fr-FR"/>
        </w:rPr>
        <w:t>un appui juridique gratuit à la population</w:t>
      </w:r>
      <w:r>
        <w:rPr>
          <w:lang w:val="fr-FR"/>
        </w:rPr>
        <w:t>, qui</w:t>
      </w:r>
      <w:r w:rsidR="008E14FD">
        <w:rPr>
          <w:lang w:val="fr-FR"/>
        </w:rPr>
        <w:t xml:space="preserve"> </w:t>
      </w:r>
      <w:r w:rsidRPr="00206C7A">
        <w:rPr>
          <w:lang w:val="fr-FR"/>
        </w:rPr>
        <w:t>prévoit la mise en place</w:t>
      </w:r>
      <w:r>
        <w:rPr>
          <w:lang w:val="fr-FR"/>
        </w:rPr>
        <w:t xml:space="preserve">, à titre </w:t>
      </w:r>
      <w:r w:rsidRPr="00206C7A">
        <w:rPr>
          <w:lang w:val="fr-FR"/>
        </w:rPr>
        <w:t>expérimental</w:t>
      </w:r>
      <w:r>
        <w:rPr>
          <w:lang w:val="fr-FR"/>
        </w:rPr>
        <w:t>,</w:t>
      </w:r>
      <w:r w:rsidRPr="00206C7A">
        <w:rPr>
          <w:lang w:val="fr-FR"/>
        </w:rPr>
        <w:t xml:space="preserve"> d</w:t>
      </w:r>
      <w:r w:rsidR="008E14FD">
        <w:rPr>
          <w:lang w:val="fr-FR"/>
        </w:rPr>
        <w:t>’</w:t>
      </w:r>
      <w:r w:rsidRPr="00206C7A">
        <w:rPr>
          <w:lang w:val="fr-FR"/>
        </w:rPr>
        <w:t xml:space="preserve">un système </w:t>
      </w:r>
      <w:r>
        <w:rPr>
          <w:lang w:val="fr-FR"/>
        </w:rPr>
        <w:t>permettant d</w:t>
      </w:r>
      <w:r w:rsidR="008E14FD">
        <w:rPr>
          <w:lang w:val="fr-FR"/>
        </w:rPr>
        <w:t>’</w:t>
      </w:r>
      <w:r>
        <w:rPr>
          <w:lang w:val="fr-FR"/>
        </w:rPr>
        <w:t>offrir</w:t>
      </w:r>
      <w:r w:rsidRPr="00206C7A">
        <w:rPr>
          <w:lang w:val="fr-FR"/>
        </w:rPr>
        <w:t xml:space="preserve"> un</w:t>
      </w:r>
      <w:r>
        <w:rPr>
          <w:lang w:val="fr-FR"/>
        </w:rPr>
        <w:t>e assistance</w:t>
      </w:r>
      <w:r w:rsidRPr="00206C7A">
        <w:rPr>
          <w:lang w:val="fr-FR"/>
        </w:rPr>
        <w:t xml:space="preserve"> juridique gratuit</w:t>
      </w:r>
      <w:r>
        <w:rPr>
          <w:lang w:val="fr-FR"/>
        </w:rPr>
        <w:t>e</w:t>
      </w:r>
      <w:r w:rsidRPr="00206C7A">
        <w:rPr>
          <w:lang w:val="fr-FR"/>
        </w:rPr>
        <w:t xml:space="preserve"> dans certaines </w:t>
      </w:r>
      <w:r>
        <w:rPr>
          <w:lang w:val="fr-FR"/>
        </w:rPr>
        <w:t>localités</w:t>
      </w:r>
      <w:r w:rsidRPr="00206C7A">
        <w:rPr>
          <w:lang w:val="fr-FR"/>
        </w:rPr>
        <w:t xml:space="preserve"> et traite également de la question du financement de </w:t>
      </w:r>
      <w:r>
        <w:rPr>
          <w:lang w:val="fr-FR"/>
        </w:rPr>
        <w:t xml:space="preserve">cette </w:t>
      </w:r>
      <w:r w:rsidRPr="00206C7A">
        <w:rPr>
          <w:lang w:val="fr-FR"/>
        </w:rPr>
        <w:t>assistance. Aux termes de ce texte, tout citoyen faisant appel aux services des bureaux juridiques publics a droit à une assistance juridique primaire gratuite (consultations orales). En outre, conformément au paragraphe 25 du schéma, les victimes de violence familiale ou de torture, ainsi que leurs proches, font partie des personnes ayant droit à une assistance juridique secondaire (représentation par un avocat devant un tribunal ou d</w:t>
      </w:r>
      <w:r w:rsidR="008E14FD">
        <w:rPr>
          <w:lang w:val="fr-FR"/>
        </w:rPr>
        <w:t>’</w:t>
      </w:r>
      <w:r w:rsidRPr="00206C7A">
        <w:rPr>
          <w:lang w:val="fr-FR"/>
        </w:rPr>
        <w:t>autres instances).</w:t>
      </w:r>
      <w:r w:rsidR="008E14FD">
        <w:rPr>
          <w:lang w:val="fr-FR"/>
        </w:rPr>
        <w:t xml:space="preserve"> </w:t>
      </w:r>
    </w:p>
    <w:p w14:paraId="7ACD7F3F" w14:textId="1E7D7079"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Aux fins de la mise en œuvre du schéma, un centre national d</w:t>
      </w:r>
      <w:r w:rsidR="008E14FD">
        <w:rPr>
          <w:lang w:val="fr-FR"/>
        </w:rPr>
        <w:t>’</w:t>
      </w:r>
      <w:r w:rsidRPr="00206C7A">
        <w:rPr>
          <w:lang w:val="fr-FR"/>
        </w:rPr>
        <w:t>assistance juridique a été c</w:t>
      </w:r>
      <w:r>
        <w:rPr>
          <w:lang w:val="fr-FR"/>
        </w:rPr>
        <w:t xml:space="preserve">hargé </w:t>
      </w:r>
      <w:r w:rsidRPr="00C33278">
        <w:rPr>
          <w:lang w:val="fr-FR"/>
        </w:rPr>
        <w:t>d</w:t>
      </w:r>
      <w:r w:rsidR="008E14FD">
        <w:rPr>
          <w:lang w:val="fr-FR"/>
        </w:rPr>
        <w:t>’</w:t>
      </w:r>
      <w:r w:rsidRPr="00C33278">
        <w:rPr>
          <w:lang w:val="fr-FR"/>
        </w:rPr>
        <w:t>expérimenter différents modèles</w:t>
      </w:r>
      <w:r w:rsidRPr="00206C7A">
        <w:rPr>
          <w:lang w:val="fr-FR"/>
        </w:rPr>
        <w:t xml:space="preserve"> d</w:t>
      </w:r>
      <w:r w:rsidR="008E14FD">
        <w:rPr>
          <w:lang w:val="fr-FR"/>
        </w:rPr>
        <w:t>’</w:t>
      </w:r>
      <w:r w:rsidRPr="00206C7A">
        <w:rPr>
          <w:lang w:val="fr-FR"/>
        </w:rPr>
        <w:t xml:space="preserve">assistance juridique aux personnes vulnérables. </w:t>
      </w:r>
    </w:p>
    <w:p w14:paraId="3897961D" w14:textId="26AFECB7"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 xml:space="preserve">En 2016 et 2017, </w:t>
      </w:r>
      <w:r>
        <w:rPr>
          <w:lang w:val="fr-FR"/>
        </w:rPr>
        <w:t>16</w:t>
      </w:r>
      <w:r w:rsidRPr="00206C7A">
        <w:rPr>
          <w:lang w:val="fr-FR"/>
        </w:rPr>
        <w:t xml:space="preserve"> bureaux juridiques publics ont été mis en place dans </w:t>
      </w:r>
      <w:r>
        <w:rPr>
          <w:lang w:val="fr-FR"/>
        </w:rPr>
        <w:t>12</w:t>
      </w:r>
      <w:r w:rsidR="008E14FD">
        <w:rPr>
          <w:lang w:val="fr-FR"/>
        </w:rPr>
        <w:t> </w:t>
      </w:r>
      <w:r w:rsidRPr="00206C7A">
        <w:rPr>
          <w:lang w:val="fr-FR"/>
        </w:rPr>
        <w:t xml:space="preserve">villes et districts du pays. </w:t>
      </w:r>
    </w:p>
    <w:p w14:paraId="2A66A4B0" w14:textId="1D0E1B00"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 xml:space="preserve">Depuis que ces bureaux ont ouvert leurs portes, 3 985 personnes, dont 1 626 hommes, 2 020 femmes </w:t>
      </w:r>
      <w:r>
        <w:rPr>
          <w:lang w:val="fr-FR"/>
        </w:rPr>
        <w:t xml:space="preserve">et 340 personnes handicapées, </w:t>
      </w:r>
      <w:r w:rsidRPr="00206C7A">
        <w:rPr>
          <w:lang w:val="fr-FR"/>
        </w:rPr>
        <w:t xml:space="preserve">ont </w:t>
      </w:r>
      <w:r>
        <w:rPr>
          <w:lang w:val="fr-FR"/>
        </w:rPr>
        <w:t>bénéficié d</w:t>
      </w:r>
      <w:r w:rsidR="008E14FD">
        <w:rPr>
          <w:lang w:val="fr-FR"/>
        </w:rPr>
        <w:t>’</w:t>
      </w:r>
      <w:r w:rsidRPr="00206C7A">
        <w:rPr>
          <w:lang w:val="fr-FR"/>
        </w:rPr>
        <w:t>une assistance juridique gratuite.</w:t>
      </w:r>
      <w:r w:rsidR="008E14FD">
        <w:rPr>
          <w:lang w:val="fr-FR"/>
        </w:rPr>
        <w:t xml:space="preserve"> </w:t>
      </w:r>
    </w:p>
    <w:p w14:paraId="3EC8B8B9" w14:textId="2ACF18B5" w:rsidR="004C48B6" w:rsidRPr="00206C7A" w:rsidRDefault="004C48B6" w:rsidP="00746391">
      <w:pPr>
        <w:pStyle w:val="SingleTxt"/>
        <w:numPr>
          <w:ilvl w:val="0"/>
          <w:numId w:val="6"/>
        </w:numPr>
        <w:tabs>
          <w:tab w:val="num" w:pos="2804"/>
        </w:tabs>
        <w:spacing w:line="240" w:lineRule="exact"/>
        <w:ind w:left="1267"/>
        <w:rPr>
          <w:lang w:val="fr-FR"/>
        </w:rPr>
      </w:pPr>
      <w:r>
        <w:rPr>
          <w:lang w:val="fr-FR"/>
        </w:rPr>
        <w:t xml:space="preserve">Divers </w:t>
      </w:r>
      <w:r w:rsidRPr="00206C7A">
        <w:rPr>
          <w:lang w:val="fr-FR"/>
        </w:rPr>
        <w:t xml:space="preserve">établissements publics et associations apportent une aide concrète aux femmes victimes de violence familiale au Tadjikistan : la Commission </w:t>
      </w:r>
      <w:r>
        <w:rPr>
          <w:lang w:val="fr-FR"/>
        </w:rPr>
        <w:t xml:space="preserve">de la femme </w:t>
      </w:r>
      <w:r w:rsidRPr="00206C7A">
        <w:rPr>
          <w:lang w:val="fr-FR"/>
        </w:rPr>
        <w:t>et</w:t>
      </w:r>
      <w:r>
        <w:rPr>
          <w:lang w:val="fr-FR"/>
        </w:rPr>
        <w:t xml:space="preserve"> de</w:t>
      </w:r>
      <w:r w:rsidRPr="00206C7A">
        <w:rPr>
          <w:lang w:val="fr-FR"/>
        </w:rPr>
        <w:t xml:space="preserve"> la famille, le centre d</w:t>
      </w:r>
      <w:r w:rsidR="008E14FD">
        <w:rPr>
          <w:lang w:val="fr-FR"/>
        </w:rPr>
        <w:t>’</w:t>
      </w:r>
      <w:r w:rsidRPr="00206C7A">
        <w:rPr>
          <w:lang w:val="fr-FR"/>
        </w:rPr>
        <w:t>accueil d</w:t>
      </w:r>
      <w:r w:rsidR="008E14FD">
        <w:rPr>
          <w:lang w:val="fr-FR"/>
        </w:rPr>
        <w:t>’</w:t>
      </w:r>
      <w:r w:rsidRPr="00206C7A">
        <w:rPr>
          <w:lang w:val="fr-FR"/>
        </w:rPr>
        <w:t>urgence pour femmes de l</w:t>
      </w:r>
      <w:r w:rsidR="008E14FD">
        <w:rPr>
          <w:lang w:val="fr-FR"/>
        </w:rPr>
        <w:t>’</w:t>
      </w:r>
      <w:r w:rsidRPr="00206C7A">
        <w:rPr>
          <w:lang w:val="fr-FR"/>
        </w:rPr>
        <w:t>association Bovari ba fardo (Confiance en l</w:t>
      </w:r>
      <w:r w:rsidR="008E14FD">
        <w:rPr>
          <w:lang w:val="fr-FR"/>
        </w:rPr>
        <w:t>’</w:t>
      </w:r>
      <w:r w:rsidRPr="00206C7A">
        <w:rPr>
          <w:lang w:val="fr-FR"/>
        </w:rPr>
        <w:t>avenir), le centre d</w:t>
      </w:r>
      <w:r w:rsidR="008E14FD">
        <w:rPr>
          <w:lang w:val="fr-FR"/>
        </w:rPr>
        <w:t>’</w:t>
      </w:r>
      <w:r w:rsidRPr="00206C7A">
        <w:rPr>
          <w:lang w:val="fr-FR"/>
        </w:rPr>
        <w:t>aide aux filles victimes de violence familiale, le Ministère de l</w:t>
      </w:r>
      <w:r w:rsidR="008E14FD">
        <w:rPr>
          <w:lang w:val="fr-FR"/>
        </w:rPr>
        <w:t>’</w:t>
      </w:r>
      <w:r w:rsidRPr="00206C7A">
        <w:rPr>
          <w:lang w:val="fr-FR"/>
        </w:rPr>
        <w:t>intérieur par l</w:t>
      </w:r>
      <w:r w:rsidR="008E14FD">
        <w:rPr>
          <w:lang w:val="fr-FR"/>
        </w:rPr>
        <w:t>’</w:t>
      </w:r>
      <w:r w:rsidRPr="00206C7A">
        <w:rPr>
          <w:lang w:val="fr-FR"/>
        </w:rPr>
        <w:t xml:space="preserve">intermédiaire des inspecteurs chargés de la prévention de la violence familiale, </w:t>
      </w:r>
      <w:r>
        <w:rPr>
          <w:lang w:val="fr-CH"/>
        </w:rPr>
        <w:t>l</w:t>
      </w:r>
      <w:r w:rsidRPr="00206C7A">
        <w:rPr>
          <w:lang w:val="fr-FR"/>
        </w:rPr>
        <w:t>es centres d</w:t>
      </w:r>
      <w:r w:rsidR="008E14FD">
        <w:rPr>
          <w:lang w:val="fr-FR"/>
        </w:rPr>
        <w:t>’</w:t>
      </w:r>
      <w:r w:rsidRPr="00206C7A">
        <w:rPr>
          <w:lang w:val="fr-FR"/>
        </w:rPr>
        <w:t>information et de consultation relevant des autorités locales</w:t>
      </w:r>
      <w:r w:rsidR="008E14FD">
        <w:rPr>
          <w:lang w:val="fr-FR"/>
        </w:rPr>
        <w:t xml:space="preserve"> </w:t>
      </w:r>
      <w:r w:rsidRPr="00206C7A">
        <w:rPr>
          <w:lang w:val="fr-FR"/>
        </w:rPr>
        <w:t xml:space="preserve">(110) et </w:t>
      </w:r>
      <w:r>
        <w:rPr>
          <w:lang w:val="fr-FR"/>
        </w:rPr>
        <w:t>l</w:t>
      </w:r>
      <w:r w:rsidRPr="00206C7A">
        <w:rPr>
          <w:lang w:val="fr-FR"/>
        </w:rPr>
        <w:t xml:space="preserve">es centres de réadaptation destinés aux femmes victimes de violence (18) tenus par des ONG. </w:t>
      </w:r>
    </w:p>
    <w:p w14:paraId="3563614E" w14:textId="335854AC"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 xml:space="preserve">Grâce au soutien de partenaires sociaux des </w:t>
      </w:r>
      <w:r w:rsidRPr="00926FCD">
        <w:rPr>
          <w:lang w:val="fr-FR"/>
        </w:rPr>
        <w:t>services des affaires féminines et familiales relevant des autorités régionales, municipales et</w:t>
      </w:r>
      <w:r w:rsidRPr="00206C7A">
        <w:rPr>
          <w:lang w:val="fr-FR"/>
        </w:rPr>
        <w:t xml:space="preserve"> locales, 110 centres d</w:t>
      </w:r>
      <w:r w:rsidR="008E14FD">
        <w:rPr>
          <w:lang w:val="fr-FR"/>
        </w:rPr>
        <w:t>’</w:t>
      </w:r>
      <w:r w:rsidRPr="00206C7A">
        <w:rPr>
          <w:lang w:val="fr-FR"/>
        </w:rPr>
        <w:t>information et de consultation ont été mis en place afin d</w:t>
      </w:r>
      <w:r w:rsidR="008E14FD">
        <w:rPr>
          <w:lang w:val="fr-FR"/>
        </w:rPr>
        <w:t>’</w:t>
      </w:r>
      <w:r w:rsidRPr="00206C7A">
        <w:rPr>
          <w:lang w:val="fr-FR"/>
        </w:rPr>
        <w:t>accroître les connaissances juridiques du public</w:t>
      </w:r>
      <w:r>
        <w:rPr>
          <w:lang w:val="fr-FR"/>
        </w:rPr>
        <w:t xml:space="preserve"> et </w:t>
      </w:r>
      <w:r w:rsidRPr="00206C7A">
        <w:rPr>
          <w:lang w:val="fr-FR"/>
        </w:rPr>
        <w:t>de prévenir les actes indignes, notamment la violence familiale. Ces centres emploient des juristes et des psychologues qui offrent leur assistance à la population. Ils relèvent des services chargés des affaires féminines et familiales et sont financés par les autorités l</w:t>
      </w:r>
      <w:r w:rsidR="008E14FD">
        <w:rPr>
          <w:lang w:val="fr-FR"/>
        </w:rPr>
        <w:t>ocales. Ces centres ont reçu 10 </w:t>
      </w:r>
      <w:r w:rsidRPr="00206C7A">
        <w:rPr>
          <w:lang w:val="fr-FR"/>
        </w:rPr>
        <w:t>638 personnes en 2014, 6 833 en 2015, 22 364 en 2016 et 6 464 pendant le premier semestre de 2017, et ont donn</w:t>
      </w:r>
      <w:r>
        <w:rPr>
          <w:lang w:val="fr-FR"/>
        </w:rPr>
        <w:t>é</w:t>
      </w:r>
      <w:r w:rsidRPr="00206C7A">
        <w:rPr>
          <w:lang w:val="fr-FR"/>
        </w:rPr>
        <w:t xml:space="preserve"> </w:t>
      </w:r>
      <w:r>
        <w:rPr>
          <w:lang w:val="fr-FR"/>
        </w:rPr>
        <w:t xml:space="preserve">une </w:t>
      </w:r>
      <w:r w:rsidRPr="00206C7A">
        <w:rPr>
          <w:lang w:val="fr-FR"/>
        </w:rPr>
        <w:t xml:space="preserve">suite </w:t>
      </w:r>
      <w:r>
        <w:rPr>
          <w:lang w:val="fr-FR"/>
        </w:rPr>
        <w:t xml:space="preserve">favorable </w:t>
      </w:r>
      <w:r w:rsidRPr="00206C7A">
        <w:rPr>
          <w:lang w:val="fr-FR"/>
        </w:rPr>
        <w:t>à plus de 70</w:t>
      </w:r>
      <w:r w:rsidR="00636121">
        <w:rPr>
          <w:lang w:val="fr-FR"/>
        </w:rPr>
        <w:t> </w:t>
      </w:r>
      <w:r w:rsidRPr="00206C7A">
        <w:rPr>
          <w:lang w:val="fr-FR"/>
        </w:rPr>
        <w:t>% de</w:t>
      </w:r>
      <w:r>
        <w:rPr>
          <w:lang w:val="fr-FR"/>
        </w:rPr>
        <w:t>s</w:t>
      </w:r>
      <w:r w:rsidR="008E14FD">
        <w:rPr>
          <w:lang w:val="fr-FR"/>
        </w:rPr>
        <w:t xml:space="preserve"> demandes. En outre, plus de 92</w:t>
      </w:r>
      <w:r w:rsidR="00365A31">
        <w:rPr>
          <w:lang w:val="fr-FR"/>
        </w:rPr>
        <w:t> %</w:t>
      </w:r>
      <w:r w:rsidRPr="00206C7A">
        <w:rPr>
          <w:lang w:val="fr-FR"/>
        </w:rPr>
        <w:t xml:space="preserve"> des femmes ont bénéficié de conseils juridiques spécialisés. </w:t>
      </w:r>
    </w:p>
    <w:p w14:paraId="4098CDD8" w14:textId="27007FB7"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Grâce à l</w:t>
      </w:r>
      <w:r w:rsidR="008E14FD">
        <w:rPr>
          <w:lang w:val="fr-FR"/>
        </w:rPr>
        <w:t>’</w:t>
      </w:r>
      <w:r w:rsidRPr="00206C7A">
        <w:rPr>
          <w:lang w:val="fr-FR"/>
        </w:rPr>
        <w:t>appui et à l</w:t>
      </w:r>
      <w:r w:rsidR="008E14FD">
        <w:rPr>
          <w:lang w:val="fr-FR"/>
        </w:rPr>
        <w:t>’</w:t>
      </w:r>
      <w:r w:rsidRPr="00206C7A">
        <w:rPr>
          <w:lang w:val="fr-FR"/>
        </w:rPr>
        <w:t>aide financière du bureau d</w:t>
      </w:r>
      <w:r w:rsidR="008E14FD">
        <w:rPr>
          <w:lang w:val="fr-FR"/>
        </w:rPr>
        <w:t>’</w:t>
      </w:r>
      <w:r w:rsidRPr="00206C7A">
        <w:rPr>
          <w:lang w:val="fr-FR"/>
        </w:rPr>
        <w:t xml:space="preserve">ONU-Femmes au Tadjikistan, un recueil statistique intitulé « Femmes et hommes » est publié tous les deux ans. Il </w:t>
      </w:r>
      <w:r>
        <w:rPr>
          <w:lang w:val="fr-FR"/>
        </w:rPr>
        <w:t xml:space="preserve">présente </w:t>
      </w:r>
      <w:r w:rsidRPr="00206C7A">
        <w:rPr>
          <w:lang w:val="fr-FR"/>
        </w:rPr>
        <w:t>un aperçu de la situation des femmes et des hommes dans tous les secteurs de l</w:t>
      </w:r>
      <w:r w:rsidR="008E14FD">
        <w:rPr>
          <w:lang w:val="fr-FR"/>
        </w:rPr>
        <w:t>’</w:t>
      </w:r>
      <w:r w:rsidRPr="00206C7A">
        <w:rPr>
          <w:lang w:val="fr-FR"/>
        </w:rPr>
        <w:t xml:space="preserve">économie et </w:t>
      </w:r>
      <w:r>
        <w:rPr>
          <w:lang w:val="fr-FR"/>
        </w:rPr>
        <w:t>sur le plan</w:t>
      </w:r>
      <w:r w:rsidRPr="00206C7A">
        <w:rPr>
          <w:lang w:val="fr-FR"/>
        </w:rPr>
        <w:t xml:space="preserve"> socia</w:t>
      </w:r>
      <w:r>
        <w:rPr>
          <w:lang w:val="fr-FR"/>
        </w:rPr>
        <w:t>l</w:t>
      </w:r>
      <w:r w:rsidRPr="00206C7A">
        <w:rPr>
          <w:lang w:val="fr-FR"/>
        </w:rPr>
        <w:t xml:space="preserve"> par rapport aux années précédentes. Le dernier recueil a été publié en 2016. </w:t>
      </w:r>
    </w:p>
    <w:p w14:paraId="411DAF82" w14:textId="4F983E22"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En 2012, avec l</w:t>
      </w:r>
      <w:r w:rsidR="008E14FD">
        <w:rPr>
          <w:lang w:val="fr-FR"/>
        </w:rPr>
        <w:t>’</w:t>
      </w:r>
      <w:r w:rsidRPr="00206C7A">
        <w:rPr>
          <w:lang w:val="fr-FR"/>
        </w:rPr>
        <w:t>appui de l</w:t>
      </w:r>
      <w:r w:rsidR="008E14FD">
        <w:rPr>
          <w:lang w:val="fr-FR"/>
        </w:rPr>
        <w:t>’</w:t>
      </w:r>
      <w:r w:rsidRPr="00206C7A">
        <w:rPr>
          <w:lang w:val="fr-FR"/>
        </w:rPr>
        <w:t xml:space="preserve">Agence des États-Unis pour le développement international (USAID), </w:t>
      </w:r>
      <w:r>
        <w:rPr>
          <w:lang w:val="fr-FR"/>
        </w:rPr>
        <w:t xml:space="preserve">la toute première </w:t>
      </w:r>
      <w:r w:rsidRPr="00206C7A">
        <w:rPr>
          <w:lang w:val="fr-FR"/>
        </w:rPr>
        <w:t xml:space="preserve">étude démographique </w:t>
      </w:r>
      <w:r>
        <w:rPr>
          <w:lang w:val="fr-FR"/>
        </w:rPr>
        <w:t xml:space="preserve">et sanitaire tadjike </w:t>
      </w:r>
      <w:r w:rsidRPr="00206C7A">
        <w:rPr>
          <w:lang w:val="fr-FR"/>
        </w:rPr>
        <w:t>a été réalisée afin d</w:t>
      </w:r>
      <w:r w:rsidR="008E14FD">
        <w:rPr>
          <w:lang w:val="fr-FR"/>
        </w:rPr>
        <w:t>’</w:t>
      </w:r>
      <w:r w:rsidRPr="00206C7A">
        <w:rPr>
          <w:lang w:val="fr-FR"/>
        </w:rPr>
        <w:t>étudier l</w:t>
      </w:r>
      <w:r>
        <w:rPr>
          <w:lang w:val="fr-FR"/>
        </w:rPr>
        <w:t>es droits et possibilités</w:t>
      </w:r>
      <w:r w:rsidRPr="00206C7A">
        <w:rPr>
          <w:lang w:val="fr-FR"/>
        </w:rPr>
        <w:t xml:space="preserve"> des femmes dans le pays et de recenser les cas de violence familiale </w:t>
      </w:r>
      <w:r>
        <w:rPr>
          <w:lang w:val="fr-FR"/>
        </w:rPr>
        <w:t>parmi l</w:t>
      </w:r>
      <w:r w:rsidRPr="00206C7A">
        <w:rPr>
          <w:lang w:val="fr-FR"/>
        </w:rPr>
        <w:t>es femmes en âge de procréer. Les résultats de cette étude ont été publiés en 2013.</w:t>
      </w:r>
      <w:r w:rsidR="008E14FD">
        <w:rPr>
          <w:lang w:val="fr-FR"/>
        </w:rPr>
        <w:t xml:space="preserve"> </w:t>
      </w:r>
    </w:p>
    <w:p w14:paraId="2AE2F87A" w14:textId="02579031"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Avec l</w:t>
      </w:r>
      <w:r w:rsidR="008E14FD">
        <w:rPr>
          <w:lang w:val="fr-FR"/>
        </w:rPr>
        <w:t>’</w:t>
      </w:r>
      <w:r w:rsidRPr="00206C7A">
        <w:rPr>
          <w:lang w:val="fr-FR"/>
        </w:rPr>
        <w:t>appui de l</w:t>
      </w:r>
      <w:r w:rsidR="008E14FD">
        <w:rPr>
          <w:lang w:val="fr-FR"/>
        </w:rPr>
        <w:t>’</w:t>
      </w:r>
      <w:r w:rsidRPr="00206C7A">
        <w:rPr>
          <w:lang w:val="fr-FR"/>
        </w:rPr>
        <w:t xml:space="preserve">USAID, du FNUAP et </w:t>
      </w:r>
      <w:r w:rsidR="002D5F93">
        <w:rPr>
          <w:lang w:val="fr-FR"/>
        </w:rPr>
        <w:t>de l’</w:t>
      </w:r>
      <w:r w:rsidRPr="00206C7A">
        <w:rPr>
          <w:lang w:val="fr-FR"/>
        </w:rPr>
        <w:t>UNICEF, l</w:t>
      </w:r>
      <w:r w:rsidR="008E14FD">
        <w:rPr>
          <w:lang w:val="fr-FR"/>
        </w:rPr>
        <w:t>’</w:t>
      </w:r>
      <w:r>
        <w:rPr>
          <w:lang w:val="fr-FR"/>
        </w:rPr>
        <w:t xml:space="preserve">Agence de la </w:t>
      </w:r>
      <w:r w:rsidRPr="00206C7A">
        <w:rPr>
          <w:lang w:val="fr-FR"/>
        </w:rPr>
        <w:t>statistique conduit actuellement une deuxième enquête démographique</w:t>
      </w:r>
      <w:r>
        <w:rPr>
          <w:lang w:val="fr-FR"/>
        </w:rPr>
        <w:t xml:space="preserve"> et sanitaire</w:t>
      </w:r>
      <w:r w:rsidRPr="00206C7A">
        <w:rPr>
          <w:lang w:val="fr-FR"/>
        </w:rPr>
        <w:t xml:space="preserve">, qui est axée </w:t>
      </w:r>
      <w:r w:rsidRPr="00206C7A">
        <w:rPr>
          <w:lang w:val="fr-FR"/>
        </w:rPr>
        <w:lastRenderedPageBreak/>
        <w:t>sur les droits et possibilités des femmes et la violence familiale à l</w:t>
      </w:r>
      <w:r w:rsidR="008E14FD">
        <w:rPr>
          <w:lang w:val="fr-FR"/>
        </w:rPr>
        <w:t>’</w:t>
      </w:r>
      <w:r w:rsidRPr="00206C7A">
        <w:rPr>
          <w:lang w:val="fr-FR"/>
        </w:rPr>
        <w:t>égard des femmes. Elle sera menée auprès de plus de 8 000 ménages dans toutes les régions du pays, ce qui permettra de récolter des données représentatives de l</w:t>
      </w:r>
      <w:r w:rsidR="008E14FD">
        <w:rPr>
          <w:lang w:val="fr-FR"/>
        </w:rPr>
        <w:t>’</w:t>
      </w:r>
      <w:r w:rsidRPr="00206C7A">
        <w:rPr>
          <w:lang w:val="fr-FR"/>
        </w:rPr>
        <w:t>ensem</w:t>
      </w:r>
      <w:r w:rsidRPr="00C33278">
        <w:rPr>
          <w:lang w:val="fr-FR"/>
        </w:rPr>
        <w:t>ble du pays, ainsi que dans les cinq principales régions.</w:t>
      </w:r>
      <w:r w:rsidRPr="00206C7A">
        <w:rPr>
          <w:lang w:val="fr-FR"/>
        </w:rPr>
        <w:t xml:space="preserve"> Les résultats seront présentés en 2018. </w:t>
      </w:r>
    </w:p>
    <w:p w14:paraId="60632986" w14:textId="1D9BA1AA"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Selon les données de la Cour suprême, au cours de l</w:t>
      </w:r>
      <w:r w:rsidR="008E14FD">
        <w:rPr>
          <w:lang w:val="fr-FR"/>
        </w:rPr>
        <w:t>’</w:t>
      </w:r>
      <w:r w:rsidRPr="00206C7A">
        <w:rPr>
          <w:lang w:val="fr-FR"/>
        </w:rPr>
        <w:t>année 2016 et du premier semestre de 2017, les tribunaux de la République ont examiné 28 affaires pénales concernant 30 personnes accusées d</w:t>
      </w:r>
      <w:r w:rsidR="008E14FD">
        <w:rPr>
          <w:lang w:val="fr-FR"/>
        </w:rPr>
        <w:t>’</w:t>
      </w:r>
      <w:r w:rsidRPr="00206C7A">
        <w:rPr>
          <w:lang w:val="fr-FR"/>
        </w:rPr>
        <w:t>avoir commis des actes de violence famil</w:t>
      </w:r>
      <w:r>
        <w:rPr>
          <w:lang w:val="fr-FR"/>
        </w:rPr>
        <w:t>iale</w:t>
      </w:r>
      <w:r w:rsidRPr="00206C7A">
        <w:rPr>
          <w:lang w:val="fr-FR"/>
        </w:rPr>
        <w:t xml:space="preserve">, dont 23 hommes et 7 femmes. Ils ont également examiné </w:t>
      </w:r>
      <w:r w:rsidR="00FC7C26">
        <w:rPr>
          <w:lang w:val="fr-FR"/>
        </w:rPr>
        <w:t>4</w:t>
      </w:r>
      <w:r w:rsidR="00FC7C26" w:rsidRPr="00206C7A">
        <w:rPr>
          <w:lang w:val="fr-FR"/>
        </w:rPr>
        <w:t xml:space="preserve"> </w:t>
      </w:r>
      <w:r w:rsidRPr="00206C7A">
        <w:rPr>
          <w:lang w:val="fr-FR"/>
        </w:rPr>
        <w:t>affaires de traite d</w:t>
      </w:r>
      <w:r w:rsidR="008E14FD">
        <w:rPr>
          <w:lang w:val="fr-FR"/>
        </w:rPr>
        <w:t>’</w:t>
      </w:r>
      <w:r w:rsidRPr="00206C7A">
        <w:rPr>
          <w:lang w:val="fr-FR"/>
        </w:rPr>
        <w:t xml:space="preserve">êtres humains </w:t>
      </w:r>
      <w:r>
        <w:rPr>
          <w:lang w:val="fr-FR"/>
        </w:rPr>
        <w:t xml:space="preserve">mettant en cause </w:t>
      </w:r>
      <w:r w:rsidR="00FC7C26">
        <w:rPr>
          <w:lang w:val="fr-FR"/>
        </w:rPr>
        <w:t>4</w:t>
      </w:r>
      <w:r w:rsidR="00FC7C26" w:rsidRPr="00206C7A">
        <w:rPr>
          <w:lang w:val="fr-FR"/>
        </w:rPr>
        <w:t xml:space="preserve"> </w:t>
      </w:r>
      <w:r w:rsidRPr="00206C7A">
        <w:rPr>
          <w:lang w:val="fr-FR"/>
        </w:rPr>
        <w:t xml:space="preserve">personnes (dont </w:t>
      </w:r>
      <w:r w:rsidR="00FC7C26">
        <w:rPr>
          <w:lang w:val="fr-FR"/>
        </w:rPr>
        <w:t>3</w:t>
      </w:r>
      <w:r w:rsidR="00FC7C26" w:rsidRPr="00206C7A">
        <w:rPr>
          <w:lang w:val="fr-FR"/>
        </w:rPr>
        <w:t xml:space="preserve"> </w:t>
      </w:r>
      <w:r w:rsidRPr="00206C7A">
        <w:rPr>
          <w:lang w:val="fr-FR"/>
        </w:rPr>
        <w:t xml:space="preserve">femmes) ainsi que </w:t>
      </w:r>
      <w:r w:rsidR="00FC7C26">
        <w:rPr>
          <w:lang w:val="fr-FR"/>
        </w:rPr>
        <w:t>4</w:t>
      </w:r>
      <w:r w:rsidR="00FC7C26" w:rsidRPr="00206C7A">
        <w:rPr>
          <w:lang w:val="fr-FR"/>
        </w:rPr>
        <w:t xml:space="preserve"> </w:t>
      </w:r>
      <w:r w:rsidRPr="00206C7A">
        <w:rPr>
          <w:lang w:val="fr-FR"/>
        </w:rPr>
        <w:t xml:space="preserve">affaires de traite de mineurs impliquant </w:t>
      </w:r>
      <w:r w:rsidR="00FC7C26">
        <w:rPr>
          <w:lang w:val="fr-FR"/>
        </w:rPr>
        <w:t>7</w:t>
      </w:r>
      <w:r w:rsidR="00FC7C26" w:rsidRPr="00206C7A">
        <w:rPr>
          <w:lang w:val="fr-FR"/>
        </w:rPr>
        <w:t xml:space="preserve"> </w:t>
      </w:r>
      <w:r w:rsidRPr="00206C7A">
        <w:rPr>
          <w:lang w:val="fr-FR"/>
        </w:rPr>
        <w:t>femmes. Pendant la même période, ils ont en outre examiné 53 affaires pénales concernant 55 personnes, dont 33 femmes, accusées d</w:t>
      </w:r>
      <w:r w:rsidR="008E14FD">
        <w:rPr>
          <w:lang w:val="fr-FR"/>
        </w:rPr>
        <w:t>’</w:t>
      </w:r>
      <w:r w:rsidRPr="00206C7A">
        <w:rPr>
          <w:lang w:val="fr-FR"/>
        </w:rPr>
        <w:t xml:space="preserve">incitation à la prostitution </w:t>
      </w:r>
      <w:r>
        <w:rPr>
          <w:lang w:val="fr-CH"/>
        </w:rPr>
        <w:t>par</w:t>
      </w:r>
      <w:r>
        <w:rPr>
          <w:lang w:val="fr-FR"/>
        </w:rPr>
        <w:t xml:space="preserve"> la force ou </w:t>
      </w:r>
      <w:r w:rsidRPr="00206C7A">
        <w:rPr>
          <w:lang w:val="fr-FR"/>
        </w:rPr>
        <w:t>la menace d</w:t>
      </w:r>
      <w:r w:rsidR="008E14FD">
        <w:rPr>
          <w:lang w:val="fr-FR"/>
        </w:rPr>
        <w:t>’</w:t>
      </w:r>
      <w:r w:rsidRPr="00206C7A">
        <w:rPr>
          <w:lang w:val="fr-FR"/>
        </w:rPr>
        <w:t>y recourir, l</w:t>
      </w:r>
      <w:r w:rsidR="008E14FD">
        <w:rPr>
          <w:lang w:val="fr-FR"/>
        </w:rPr>
        <w:t>’</w:t>
      </w:r>
      <w:r w:rsidRPr="00206C7A">
        <w:rPr>
          <w:lang w:val="fr-FR"/>
        </w:rPr>
        <w:t>exploitation d</w:t>
      </w:r>
      <w:r w:rsidR="008E14FD">
        <w:rPr>
          <w:lang w:val="fr-FR"/>
        </w:rPr>
        <w:t>’</w:t>
      </w:r>
      <w:r w:rsidRPr="00206C7A">
        <w:rPr>
          <w:lang w:val="fr-FR"/>
        </w:rPr>
        <w:t xml:space="preserve">une situation de dépendance, </w:t>
      </w:r>
      <w:r>
        <w:rPr>
          <w:lang w:val="fr-FR"/>
        </w:rPr>
        <w:t>le</w:t>
      </w:r>
      <w:r w:rsidRPr="00206C7A">
        <w:rPr>
          <w:lang w:val="fr-FR"/>
        </w:rPr>
        <w:t xml:space="preserve"> chantage ou la tromperie, d</w:t>
      </w:r>
      <w:r>
        <w:rPr>
          <w:lang w:val="fr-FR"/>
        </w:rPr>
        <w:t>e mise en place</w:t>
      </w:r>
      <w:r w:rsidRPr="00206C7A">
        <w:rPr>
          <w:lang w:val="fr-FR"/>
        </w:rPr>
        <w:t xml:space="preserve"> ou d</w:t>
      </w:r>
      <w:r w:rsidR="008E14FD">
        <w:rPr>
          <w:lang w:val="fr-FR"/>
        </w:rPr>
        <w:t>’</w:t>
      </w:r>
      <w:r w:rsidRPr="00206C7A">
        <w:rPr>
          <w:lang w:val="fr-FR"/>
        </w:rPr>
        <w:t>exploitation de maisons closes, ou encore de proxénétisme,</w:t>
      </w:r>
      <w:r>
        <w:rPr>
          <w:lang w:val="fr-FR"/>
        </w:rPr>
        <w:t xml:space="preserve"> autant d</w:t>
      </w:r>
      <w:r w:rsidR="008E14FD">
        <w:rPr>
          <w:lang w:val="fr-FR"/>
        </w:rPr>
        <w:t>’</w:t>
      </w:r>
      <w:r>
        <w:rPr>
          <w:lang w:val="fr-FR"/>
        </w:rPr>
        <w:t>activités</w:t>
      </w:r>
      <w:r w:rsidRPr="00206C7A">
        <w:rPr>
          <w:lang w:val="fr-FR"/>
        </w:rPr>
        <w:t xml:space="preserve"> </w:t>
      </w:r>
      <w:r>
        <w:rPr>
          <w:lang w:val="fr-FR"/>
        </w:rPr>
        <w:t xml:space="preserve">visant à </w:t>
      </w:r>
      <w:r w:rsidRPr="00206C7A">
        <w:rPr>
          <w:lang w:val="fr-FR"/>
        </w:rPr>
        <w:t>tirer des revenus illicites.</w:t>
      </w:r>
      <w:r w:rsidR="008E14FD">
        <w:rPr>
          <w:lang w:val="fr-FR"/>
        </w:rPr>
        <w:t xml:space="preserve"> </w:t>
      </w:r>
    </w:p>
    <w:p w14:paraId="573CE547" w14:textId="08A5205A" w:rsidR="004C48B6" w:rsidRPr="00843EC7" w:rsidRDefault="004C48B6" w:rsidP="00843EC7">
      <w:pPr>
        <w:pStyle w:val="SingleTxtG"/>
        <w:spacing w:after="0" w:line="120" w:lineRule="exact"/>
        <w:rPr>
          <w:sz w:val="10"/>
          <w:lang w:val="fr-FR"/>
        </w:rPr>
      </w:pPr>
    </w:p>
    <w:tbl>
      <w:tblPr>
        <w:tblW w:w="7362" w:type="dxa"/>
        <w:tblInd w:w="1260" w:type="dxa"/>
        <w:tblLayout w:type="fixed"/>
        <w:tblCellMar>
          <w:left w:w="0" w:type="dxa"/>
          <w:right w:w="0" w:type="dxa"/>
        </w:tblCellMar>
        <w:tblLook w:val="04A0" w:firstRow="1" w:lastRow="0" w:firstColumn="1" w:lastColumn="0" w:noHBand="0" w:noVBand="1"/>
      </w:tblPr>
      <w:tblGrid>
        <w:gridCol w:w="3240"/>
        <w:gridCol w:w="960"/>
        <w:gridCol w:w="960"/>
        <w:gridCol w:w="960"/>
        <w:gridCol w:w="1242"/>
      </w:tblGrid>
      <w:tr w:rsidR="004C48B6" w:rsidRPr="00922DB7" w14:paraId="35382F2E" w14:textId="77777777" w:rsidTr="00A81ADA">
        <w:trPr>
          <w:cantSplit/>
          <w:tblHeader/>
        </w:trPr>
        <w:tc>
          <w:tcPr>
            <w:tcW w:w="3240" w:type="dxa"/>
            <w:tcBorders>
              <w:top w:val="single" w:sz="4" w:space="0" w:color="auto"/>
              <w:bottom w:val="single" w:sz="12" w:space="0" w:color="auto"/>
            </w:tcBorders>
            <w:shd w:val="clear" w:color="auto" w:fill="auto"/>
            <w:vAlign w:val="bottom"/>
          </w:tcPr>
          <w:p w14:paraId="7D678F33" w14:textId="77777777" w:rsidR="004C48B6" w:rsidRPr="00922DB7" w:rsidRDefault="004C48B6" w:rsidP="00922DB7">
            <w:pPr>
              <w:suppressAutoHyphens/>
              <w:spacing w:before="80" w:after="80" w:line="160" w:lineRule="exact"/>
              <w:ind w:right="40"/>
              <w:rPr>
                <w:rFonts w:eastAsia="Times New Roman"/>
                <w:i/>
                <w:spacing w:val="0"/>
                <w:w w:val="100"/>
                <w:kern w:val="0"/>
                <w:sz w:val="14"/>
                <w:szCs w:val="20"/>
                <w:lang w:val="fr-FR"/>
              </w:rPr>
            </w:pPr>
          </w:p>
        </w:tc>
        <w:tc>
          <w:tcPr>
            <w:tcW w:w="960" w:type="dxa"/>
            <w:tcBorders>
              <w:top w:val="single" w:sz="4" w:space="0" w:color="auto"/>
              <w:bottom w:val="single" w:sz="12" w:space="0" w:color="auto"/>
            </w:tcBorders>
            <w:shd w:val="clear" w:color="auto" w:fill="auto"/>
            <w:vAlign w:val="bottom"/>
          </w:tcPr>
          <w:p w14:paraId="08ED817B" w14:textId="77777777" w:rsidR="004C48B6" w:rsidRPr="00922DB7" w:rsidRDefault="004C48B6" w:rsidP="00922DB7">
            <w:pPr>
              <w:suppressAutoHyphens/>
              <w:spacing w:before="80" w:after="80" w:line="160" w:lineRule="exact"/>
              <w:ind w:left="144" w:right="43"/>
              <w:jc w:val="right"/>
              <w:rPr>
                <w:rFonts w:eastAsia="Times New Roman"/>
                <w:i/>
                <w:spacing w:val="0"/>
                <w:w w:val="100"/>
                <w:kern w:val="0"/>
                <w:sz w:val="14"/>
                <w:szCs w:val="20"/>
                <w:lang w:val="fr-FR"/>
              </w:rPr>
            </w:pPr>
            <w:r w:rsidRPr="00922DB7">
              <w:rPr>
                <w:rFonts w:eastAsia="Times New Roman"/>
                <w:i/>
                <w:spacing w:val="0"/>
                <w:w w:val="100"/>
                <w:kern w:val="0"/>
                <w:sz w:val="14"/>
                <w:szCs w:val="20"/>
                <w:lang w:val="fr-FR"/>
              </w:rPr>
              <w:t>2014</w:t>
            </w:r>
          </w:p>
        </w:tc>
        <w:tc>
          <w:tcPr>
            <w:tcW w:w="960" w:type="dxa"/>
            <w:tcBorders>
              <w:top w:val="single" w:sz="4" w:space="0" w:color="auto"/>
              <w:bottom w:val="single" w:sz="12" w:space="0" w:color="auto"/>
            </w:tcBorders>
            <w:shd w:val="clear" w:color="auto" w:fill="auto"/>
            <w:vAlign w:val="bottom"/>
          </w:tcPr>
          <w:p w14:paraId="1A8CF92B" w14:textId="77777777" w:rsidR="004C48B6" w:rsidRPr="00922DB7" w:rsidRDefault="004C48B6" w:rsidP="00922DB7">
            <w:pPr>
              <w:suppressAutoHyphens/>
              <w:spacing w:before="80" w:after="80" w:line="160" w:lineRule="exact"/>
              <w:ind w:left="144" w:right="43"/>
              <w:jc w:val="right"/>
              <w:rPr>
                <w:rFonts w:eastAsia="Times New Roman"/>
                <w:i/>
                <w:spacing w:val="0"/>
                <w:w w:val="100"/>
                <w:kern w:val="0"/>
                <w:sz w:val="14"/>
                <w:szCs w:val="20"/>
                <w:lang w:val="fr-FR"/>
              </w:rPr>
            </w:pPr>
            <w:r w:rsidRPr="00922DB7">
              <w:rPr>
                <w:rFonts w:eastAsia="Times New Roman"/>
                <w:i/>
                <w:spacing w:val="0"/>
                <w:w w:val="100"/>
                <w:kern w:val="0"/>
                <w:sz w:val="14"/>
                <w:szCs w:val="20"/>
                <w:lang w:val="fr-FR"/>
              </w:rPr>
              <w:t>2015</w:t>
            </w:r>
          </w:p>
        </w:tc>
        <w:tc>
          <w:tcPr>
            <w:tcW w:w="960" w:type="dxa"/>
            <w:tcBorders>
              <w:top w:val="single" w:sz="4" w:space="0" w:color="auto"/>
              <w:bottom w:val="single" w:sz="12" w:space="0" w:color="auto"/>
            </w:tcBorders>
            <w:shd w:val="clear" w:color="auto" w:fill="auto"/>
            <w:vAlign w:val="bottom"/>
          </w:tcPr>
          <w:p w14:paraId="2D3FA3EA" w14:textId="77777777" w:rsidR="004C48B6" w:rsidRPr="00922DB7" w:rsidRDefault="004C48B6" w:rsidP="00922DB7">
            <w:pPr>
              <w:suppressAutoHyphens/>
              <w:spacing w:before="80" w:after="80" w:line="160" w:lineRule="exact"/>
              <w:ind w:left="144" w:right="43"/>
              <w:jc w:val="right"/>
              <w:rPr>
                <w:rFonts w:eastAsia="Times New Roman"/>
                <w:i/>
                <w:spacing w:val="0"/>
                <w:w w:val="100"/>
                <w:kern w:val="0"/>
                <w:sz w:val="14"/>
                <w:szCs w:val="20"/>
                <w:lang w:val="fr-FR"/>
              </w:rPr>
            </w:pPr>
            <w:r w:rsidRPr="00922DB7">
              <w:rPr>
                <w:rFonts w:eastAsia="Times New Roman"/>
                <w:i/>
                <w:spacing w:val="0"/>
                <w:w w:val="100"/>
                <w:kern w:val="0"/>
                <w:sz w:val="14"/>
                <w:szCs w:val="20"/>
                <w:lang w:val="fr-FR"/>
              </w:rPr>
              <w:t>2016</w:t>
            </w:r>
          </w:p>
        </w:tc>
        <w:tc>
          <w:tcPr>
            <w:tcW w:w="1242" w:type="dxa"/>
            <w:tcBorders>
              <w:top w:val="single" w:sz="4" w:space="0" w:color="auto"/>
              <w:bottom w:val="single" w:sz="12" w:space="0" w:color="auto"/>
            </w:tcBorders>
            <w:shd w:val="clear" w:color="auto" w:fill="auto"/>
            <w:vAlign w:val="bottom"/>
          </w:tcPr>
          <w:p w14:paraId="7D8011CF" w14:textId="77777777" w:rsidR="004C48B6" w:rsidRPr="00922DB7" w:rsidRDefault="004C48B6" w:rsidP="00922DB7">
            <w:pPr>
              <w:suppressAutoHyphens/>
              <w:spacing w:before="80" w:after="80" w:line="160" w:lineRule="exact"/>
              <w:ind w:left="144" w:right="43"/>
              <w:jc w:val="right"/>
              <w:rPr>
                <w:rFonts w:eastAsia="Times New Roman"/>
                <w:i/>
                <w:spacing w:val="0"/>
                <w:w w:val="100"/>
                <w:kern w:val="0"/>
                <w:sz w:val="14"/>
                <w:szCs w:val="20"/>
                <w:lang w:val="fr-FR"/>
              </w:rPr>
            </w:pPr>
            <w:r w:rsidRPr="00922DB7">
              <w:rPr>
                <w:rFonts w:eastAsia="Times New Roman"/>
                <w:i/>
                <w:spacing w:val="0"/>
                <w:w w:val="100"/>
                <w:kern w:val="0"/>
                <w:sz w:val="14"/>
                <w:szCs w:val="20"/>
                <w:lang w:val="fr-FR"/>
              </w:rPr>
              <w:t>Premier semestre de 2017</w:t>
            </w:r>
          </w:p>
        </w:tc>
      </w:tr>
      <w:tr w:rsidR="00922DB7" w:rsidRPr="00922DB7" w14:paraId="6EBE42FE" w14:textId="77777777" w:rsidTr="00A81ADA">
        <w:trPr>
          <w:cantSplit/>
          <w:trHeight w:hRule="exact" w:val="115"/>
          <w:tblHeader/>
        </w:trPr>
        <w:tc>
          <w:tcPr>
            <w:tcW w:w="3240" w:type="dxa"/>
            <w:tcBorders>
              <w:top w:val="single" w:sz="12" w:space="0" w:color="auto"/>
            </w:tcBorders>
            <w:shd w:val="clear" w:color="auto" w:fill="auto"/>
            <w:vAlign w:val="bottom"/>
          </w:tcPr>
          <w:p w14:paraId="74FBC744" w14:textId="77777777" w:rsidR="00922DB7" w:rsidRPr="00922DB7" w:rsidRDefault="00922DB7" w:rsidP="00922DB7">
            <w:pPr>
              <w:suppressAutoHyphens/>
              <w:spacing w:before="40" w:after="40" w:line="210" w:lineRule="exact"/>
              <w:ind w:right="40"/>
              <w:rPr>
                <w:rFonts w:eastAsia="Times New Roman"/>
                <w:spacing w:val="0"/>
                <w:w w:val="100"/>
                <w:kern w:val="0"/>
                <w:sz w:val="17"/>
                <w:szCs w:val="20"/>
                <w:lang w:val="fr-FR"/>
              </w:rPr>
            </w:pPr>
          </w:p>
        </w:tc>
        <w:tc>
          <w:tcPr>
            <w:tcW w:w="960" w:type="dxa"/>
            <w:tcBorders>
              <w:top w:val="single" w:sz="12" w:space="0" w:color="auto"/>
            </w:tcBorders>
            <w:shd w:val="clear" w:color="auto" w:fill="auto"/>
            <w:vAlign w:val="bottom"/>
          </w:tcPr>
          <w:p w14:paraId="7A1877EE" w14:textId="77777777" w:rsidR="00922DB7" w:rsidRPr="00922DB7" w:rsidRDefault="00922DB7" w:rsidP="00922DB7">
            <w:pPr>
              <w:suppressAutoHyphens/>
              <w:spacing w:before="40" w:after="40" w:line="210" w:lineRule="exact"/>
              <w:ind w:right="40"/>
              <w:jc w:val="right"/>
              <w:rPr>
                <w:rFonts w:eastAsia="Times New Roman"/>
                <w:spacing w:val="0"/>
                <w:w w:val="100"/>
                <w:kern w:val="0"/>
                <w:sz w:val="17"/>
                <w:szCs w:val="20"/>
                <w:lang w:val="fr-FR"/>
              </w:rPr>
            </w:pPr>
          </w:p>
        </w:tc>
        <w:tc>
          <w:tcPr>
            <w:tcW w:w="960" w:type="dxa"/>
            <w:tcBorders>
              <w:top w:val="single" w:sz="12" w:space="0" w:color="auto"/>
            </w:tcBorders>
            <w:shd w:val="clear" w:color="auto" w:fill="auto"/>
            <w:vAlign w:val="bottom"/>
          </w:tcPr>
          <w:p w14:paraId="17BDEBF6" w14:textId="77777777" w:rsidR="00922DB7" w:rsidRPr="00922DB7" w:rsidRDefault="00922DB7" w:rsidP="00922DB7">
            <w:pPr>
              <w:suppressAutoHyphens/>
              <w:spacing w:before="40" w:after="40" w:line="210" w:lineRule="exact"/>
              <w:ind w:right="40"/>
              <w:jc w:val="right"/>
              <w:rPr>
                <w:rFonts w:eastAsia="Times New Roman"/>
                <w:spacing w:val="0"/>
                <w:w w:val="100"/>
                <w:kern w:val="0"/>
                <w:sz w:val="17"/>
                <w:szCs w:val="20"/>
                <w:lang w:val="fr-FR"/>
              </w:rPr>
            </w:pPr>
          </w:p>
        </w:tc>
        <w:tc>
          <w:tcPr>
            <w:tcW w:w="960" w:type="dxa"/>
            <w:tcBorders>
              <w:top w:val="single" w:sz="12" w:space="0" w:color="auto"/>
            </w:tcBorders>
            <w:shd w:val="clear" w:color="auto" w:fill="auto"/>
            <w:vAlign w:val="bottom"/>
          </w:tcPr>
          <w:p w14:paraId="6C11F1A4" w14:textId="77777777" w:rsidR="00922DB7" w:rsidRPr="00922DB7" w:rsidRDefault="00922DB7" w:rsidP="00922DB7">
            <w:pPr>
              <w:suppressAutoHyphens/>
              <w:spacing w:before="40" w:after="40" w:line="210" w:lineRule="exact"/>
              <w:ind w:right="40"/>
              <w:jc w:val="right"/>
              <w:rPr>
                <w:rFonts w:eastAsia="Times New Roman"/>
                <w:spacing w:val="0"/>
                <w:w w:val="100"/>
                <w:kern w:val="0"/>
                <w:sz w:val="17"/>
                <w:szCs w:val="20"/>
                <w:lang w:val="fr-FR"/>
              </w:rPr>
            </w:pPr>
          </w:p>
        </w:tc>
        <w:tc>
          <w:tcPr>
            <w:tcW w:w="1242" w:type="dxa"/>
            <w:tcBorders>
              <w:top w:val="single" w:sz="12" w:space="0" w:color="auto"/>
            </w:tcBorders>
            <w:shd w:val="clear" w:color="auto" w:fill="auto"/>
            <w:vAlign w:val="bottom"/>
          </w:tcPr>
          <w:p w14:paraId="0770000A" w14:textId="77777777" w:rsidR="00922DB7" w:rsidRPr="00922DB7" w:rsidRDefault="00922DB7" w:rsidP="00922DB7">
            <w:pPr>
              <w:suppressAutoHyphens/>
              <w:spacing w:before="40" w:after="40" w:line="210" w:lineRule="exact"/>
              <w:ind w:right="40"/>
              <w:jc w:val="right"/>
              <w:rPr>
                <w:rFonts w:eastAsia="Times New Roman"/>
                <w:spacing w:val="0"/>
                <w:w w:val="100"/>
                <w:kern w:val="0"/>
                <w:sz w:val="17"/>
                <w:szCs w:val="20"/>
                <w:lang w:val="fr-FR"/>
              </w:rPr>
            </w:pPr>
          </w:p>
        </w:tc>
      </w:tr>
      <w:tr w:rsidR="004C48B6" w:rsidRPr="00452A6A" w14:paraId="1E4A5DAA" w14:textId="77777777" w:rsidTr="00A81ADA">
        <w:trPr>
          <w:cantSplit/>
        </w:trPr>
        <w:tc>
          <w:tcPr>
            <w:tcW w:w="3240" w:type="dxa"/>
            <w:shd w:val="clear" w:color="auto" w:fill="auto"/>
            <w:vAlign w:val="bottom"/>
          </w:tcPr>
          <w:p w14:paraId="4776D0A7" w14:textId="0A9F6AB3" w:rsidR="004C48B6" w:rsidRPr="00452A6A" w:rsidRDefault="004C48B6" w:rsidP="00C35A7D">
            <w:pPr>
              <w:tabs>
                <w:tab w:val="left" w:pos="288"/>
                <w:tab w:val="left" w:pos="576"/>
                <w:tab w:val="left" w:pos="864"/>
                <w:tab w:val="left" w:pos="1152"/>
              </w:tabs>
              <w:suppressAutoHyphens/>
              <w:spacing w:before="40" w:after="40" w:line="210" w:lineRule="exact"/>
              <w:ind w:right="43"/>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Nombre d</w:t>
            </w:r>
            <w:r w:rsidR="008E14FD" w:rsidRPr="00452A6A">
              <w:rPr>
                <w:rFonts w:asciiTheme="majorBidi" w:eastAsia="Times New Roman" w:hAnsiTheme="majorBidi" w:cstheme="majorBidi"/>
                <w:spacing w:val="0"/>
                <w:w w:val="100"/>
                <w:kern w:val="0"/>
                <w:sz w:val="17"/>
                <w:szCs w:val="17"/>
                <w:lang w:val="fr-FR"/>
              </w:rPr>
              <w:t>’</w:t>
            </w:r>
            <w:r w:rsidRPr="00452A6A">
              <w:rPr>
                <w:rFonts w:asciiTheme="majorBidi" w:eastAsia="Times New Roman" w:hAnsiTheme="majorBidi" w:cstheme="majorBidi"/>
                <w:spacing w:val="0"/>
                <w:w w:val="100"/>
                <w:kern w:val="0"/>
                <w:sz w:val="17"/>
                <w:szCs w:val="17"/>
                <w:lang w:val="fr-FR"/>
              </w:rPr>
              <w:t>affaires d</w:t>
            </w:r>
            <w:r w:rsidR="008E14FD" w:rsidRPr="00452A6A">
              <w:rPr>
                <w:rFonts w:asciiTheme="majorBidi" w:eastAsia="Times New Roman" w:hAnsiTheme="majorBidi" w:cstheme="majorBidi"/>
                <w:spacing w:val="0"/>
                <w:w w:val="100"/>
                <w:kern w:val="0"/>
                <w:sz w:val="17"/>
                <w:szCs w:val="17"/>
                <w:lang w:val="fr-FR"/>
              </w:rPr>
              <w:t>’</w:t>
            </w:r>
            <w:r w:rsidRPr="00452A6A">
              <w:rPr>
                <w:rFonts w:asciiTheme="majorBidi" w:eastAsia="Times New Roman" w:hAnsiTheme="majorBidi" w:cstheme="majorBidi"/>
                <w:spacing w:val="0"/>
                <w:w w:val="100"/>
                <w:kern w:val="0"/>
                <w:sz w:val="17"/>
                <w:szCs w:val="17"/>
                <w:lang w:val="fr-FR"/>
              </w:rPr>
              <w:t>incitation à la prostitution</w:t>
            </w:r>
            <w:r w:rsidR="008E14FD" w:rsidRPr="00452A6A">
              <w:rPr>
                <w:rFonts w:asciiTheme="majorBidi" w:eastAsia="Times New Roman" w:hAnsiTheme="majorBidi" w:cstheme="majorBidi"/>
                <w:spacing w:val="0"/>
                <w:w w:val="100"/>
                <w:kern w:val="0"/>
                <w:sz w:val="17"/>
                <w:szCs w:val="17"/>
                <w:lang w:val="fr-FR"/>
              </w:rPr>
              <w:t xml:space="preserve"> </w:t>
            </w:r>
            <w:r w:rsidRPr="00452A6A">
              <w:rPr>
                <w:rFonts w:asciiTheme="majorBidi" w:eastAsia="Times New Roman" w:hAnsiTheme="majorBidi" w:cstheme="majorBidi"/>
                <w:spacing w:val="0"/>
                <w:w w:val="100"/>
                <w:kern w:val="0"/>
                <w:sz w:val="17"/>
                <w:szCs w:val="17"/>
                <w:lang w:val="fr-FR"/>
              </w:rPr>
              <w:t xml:space="preserve">examinées </w:t>
            </w:r>
          </w:p>
        </w:tc>
        <w:tc>
          <w:tcPr>
            <w:tcW w:w="960" w:type="dxa"/>
            <w:shd w:val="clear" w:color="auto" w:fill="auto"/>
            <w:vAlign w:val="bottom"/>
          </w:tcPr>
          <w:p w14:paraId="342F6173" w14:textId="77777777" w:rsidR="004C48B6" w:rsidRPr="00452A6A" w:rsidRDefault="004C48B6" w:rsidP="00C35A7D">
            <w:pPr>
              <w:tabs>
                <w:tab w:val="left" w:pos="288"/>
                <w:tab w:val="left" w:pos="576"/>
                <w:tab w:val="left" w:pos="864"/>
                <w:tab w:val="left" w:pos="1152"/>
              </w:tabs>
              <w:suppressAutoHyphens/>
              <w:spacing w:before="40" w:after="40" w:line="210" w:lineRule="exact"/>
              <w:ind w:right="43"/>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158</w:t>
            </w:r>
          </w:p>
        </w:tc>
        <w:tc>
          <w:tcPr>
            <w:tcW w:w="960" w:type="dxa"/>
            <w:shd w:val="clear" w:color="auto" w:fill="auto"/>
            <w:vAlign w:val="bottom"/>
          </w:tcPr>
          <w:p w14:paraId="18BA36E5" w14:textId="77777777" w:rsidR="004C48B6" w:rsidRPr="00452A6A" w:rsidRDefault="004C48B6" w:rsidP="00C35A7D">
            <w:pPr>
              <w:tabs>
                <w:tab w:val="left" w:pos="288"/>
                <w:tab w:val="left" w:pos="576"/>
                <w:tab w:val="left" w:pos="864"/>
                <w:tab w:val="left" w:pos="1152"/>
              </w:tabs>
              <w:suppressAutoHyphens/>
              <w:spacing w:before="40" w:after="40" w:line="210" w:lineRule="exact"/>
              <w:ind w:right="43"/>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117</w:t>
            </w:r>
          </w:p>
        </w:tc>
        <w:tc>
          <w:tcPr>
            <w:tcW w:w="960" w:type="dxa"/>
            <w:shd w:val="clear" w:color="auto" w:fill="auto"/>
            <w:vAlign w:val="bottom"/>
          </w:tcPr>
          <w:p w14:paraId="3AD8B8EC" w14:textId="77777777" w:rsidR="004C48B6" w:rsidRPr="00452A6A" w:rsidRDefault="004C48B6" w:rsidP="00C35A7D">
            <w:pPr>
              <w:tabs>
                <w:tab w:val="left" w:pos="288"/>
                <w:tab w:val="left" w:pos="576"/>
                <w:tab w:val="left" w:pos="864"/>
                <w:tab w:val="left" w:pos="1152"/>
              </w:tabs>
              <w:suppressAutoHyphens/>
              <w:spacing w:before="40" w:after="40" w:line="210" w:lineRule="exact"/>
              <w:ind w:right="43"/>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98</w:t>
            </w:r>
          </w:p>
        </w:tc>
        <w:tc>
          <w:tcPr>
            <w:tcW w:w="1242" w:type="dxa"/>
            <w:shd w:val="clear" w:color="auto" w:fill="auto"/>
            <w:vAlign w:val="bottom"/>
          </w:tcPr>
          <w:p w14:paraId="273B0563" w14:textId="77777777" w:rsidR="004C48B6" w:rsidRPr="00452A6A" w:rsidRDefault="004C48B6" w:rsidP="00C35A7D">
            <w:pPr>
              <w:tabs>
                <w:tab w:val="left" w:pos="288"/>
                <w:tab w:val="left" w:pos="576"/>
                <w:tab w:val="left" w:pos="864"/>
                <w:tab w:val="left" w:pos="1152"/>
              </w:tabs>
              <w:suppressAutoHyphens/>
              <w:spacing w:before="40" w:after="40" w:line="210" w:lineRule="exact"/>
              <w:ind w:right="43"/>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53</w:t>
            </w:r>
          </w:p>
        </w:tc>
      </w:tr>
      <w:tr w:rsidR="004C48B6" w:rsidRPr="00452A6A" w14:paraId="3FC2F3ED" w14:textId="77777777" w:rsidTr="00A81ADA">
        <w:trPr>
          <w:cantSplit/>
        </w:trPr>
        <w:tc>
          <w:tcPr>
            <w:tcW w:w="3240" w:type="dxa"/>
            <w:shd w:val="clear" w:color="auto" w:fill="auto"/>
            <w:vAlign w:val="bottom"/>
          </w:tcPr>
          <w:p w14:paraId="25F80D2A"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Nombre de personnes mises en cause</w:t>
            </w:r>
          </w:p>
        </w:tc>
        <w:tc>
          <w:tcPr>
            <w:tcW w:w="960" w:type="dxa"/>
            <w:shd w:val="clear" w:color="auto" w:fill="auto"/>
            <w:vAlign w:val="bottom"/>
          </w:tcPr>
          <w:p w14:paraId="381DC5E5"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163</w:t>
            </w:r>
          </w:p>
        </w:tc>
        <w:tc>
          <w:tcPr>
            <w:tcW w:w="960" w:type="dxa"/>
            <w:shd w:val="clear" w:color="auto" w:fill="auto"/>
            <w:vAlign w:val="bottom"/>
          </w:tcPr>
          <w:p w14:paraId="693DC086"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117</w:t>
            </w:r>
          </w:p>
        </w:tc>
        <w:tc>
          <w:tcPr>
            <w:tcW w:w="960" w:type="dxa"/>
            <w:shd w:val="clear" w:color="auto" w:fill="auto"/>
            <w:vAlign w:val="bottom"/>
          </w:tcPr>
          <w:p w14:paraId="010FC8D3"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99</w:t>
            </w:r>
          </w:p>
        </w:tc>
        <w:tc>
          <w:tcPr>
            <w:tcW w:w="1242" w:type="dxa"/>
            <w:shd w:val="clear" w:color="auto" w:fill="auto"/>
            <w:vAlign w:val="bottom"/>
          </w:tcPr>
          <w:p w14:paraId="5597E898"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55</w:t>
            </w:r>
          </w:p>
        </w:tc>
      </w:tr>
      <w:tr w:rsidR="00926FCD" w:rsidRPr="00452A6A" w14:paraId="70B86302" w14:textId="77777777" w:rsidTr="00A81ADA">
        <w:trPr>
          <w:cantSplit/>
        </w:trPr>
        <w:tc>
          <w:tcPr>
            <w:tcW w:w="3240" w:type="dxa"/>
            <w:shd w:val="clear" w:color="auto" w:fill="auto"/>
            <w:vAlign w:val="bottom"/>
          </w:tcPr>
          <w:p w14:paraId="00C702C9" w14:textId="77777777" w:rsidR="00926FCD"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dont</w:t>
            </w:r>
            <w:r>
              <w:rPr>
                <w:rFonts w:asciiTheme="majorBidi" w:eastAsia="Times New Roman" w:hAnsiTheme="majorBidi" w:cstheme="majorBidi"/>
                <w:spacing w:val="0"/>
                <w:w w:val="100"/>
                <w:kern w:val="0"/>
                <w:sz w:val="17"/>
                <w:szCs w:val="17"/>
                <w:lang w:val="fr-FR"/>
              </w:rPr>
              <w:t> </w:t>
            </w:r>
            <w:r w:rsidRPr="00452A6A">
              <w:rPr>
                <w:rFonts w:asciiTheme="majorBidi" w:eastAsia="Times New Roman" w:hAnsiTheme="majorBidi" w:cstheme="majorBidi"/>
                <w:spacing w:val="0"/>
                <w:w w:val="100"/>
                <w:kern w:val="0"/>
                <w:sz w:val="17"/>
                <w:szCs w:val="17"/>
                <w:lang w:val="fr-FR"/>
              </w:rPr>
              <w:t>:</w:t>
            </w:r>
          </w:p>
        </w:tc>
        <w:tc>
          <w:tcPr>
            <w:tcW w:w="960" w:type="dxa"/>
            <w:shd w:val="clear" w:color="auto" w:fill="auto"/>
            <w:vAlign w:val="bottom"/>
          </w:tcPr>
          <w:p w14:paraId="6DC28AB2" w14:textId="77777777" w:rsidR="00926FCD"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p>
        </w:tc>
        <w:tc>
          <w:tcPr>
            <w:tcW w:w="960" w:type="dxa"/>
            <w:shd w:val="clear" w:color="auto" w:fill="auto"/>
            <w:vAlign w:val="bottom"/>
          </w:tcPr>
          <w:p w14:paraId="5B4FB8EA" w14:textId="77777777" w:rsidR="00926FCD"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p>
        </w:tc>
        <w:tc>
          <w:tcPr>
            <w:tcW w:w="960" w:type="dxa"/>
            <w:shd w:val="clear" w:color="auto" w:fill="auto"/>
            <w:vAlign w:val="bottom"/>
          </w:tcPr>
          <w:p w14:paraId="1C75BDC1" w14:textId="77777777" w:rsidR="00926FCD"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p>
        </w:tc>
        <w:tc>
          <w:tcPr>
            <w:tcW w:w="1242" w:type="dxa"/>
            <w:shd w:val="clear" w:color="auto" w:fill="auto"/>
            <w:vAlign w:val="bottom"/>
          </w:tcPr>
          <w:p w14:paraId="35148ED5" w14:textId="5C3F3AFE" w:rsidR="00926FCD"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p>
        </w:tc>
      </w:tr>
      <w:tr w:rsidR="004C48B6" w:rsidRPr="00452A6A" w14:paraId="0D057FB9" w14:textId="77777777" w:rsidTr="00A81ADA">
        <w:trPr>
          <w:cantSplit/>
        </w:trPr>
        <w:tc>
          <w:tcPr>
            <w:tcW w:w="3240" w:type="dxa"/>
            <w:shd w:val="clear" w:color="auto" w:fill="auto"/>
            <w:vAlign w:val="bottom"/>
          </w:tcPr>
          <w:p w14:paraId="6CBB3790" w14:textId="745FDF73" w:rsidR="004C48B6"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r>
              <w:rPr>
                <w:rFonts w:asciiTheme="majorBidi" w:eastAsia="Times New Roman" w:hAnsiTheme="majorBidi" w:cstheme="majorBidi"/>
                <w:spacing w:val="0"/>
                <w:w w:val="100"/>
                <w:kern w:val="0"/>
                <w:sz w:val="17"/>
                <w:szCs w:val="17"/>
                <w:lang w:val="fr-FR"/>
              </w:rPr>
              <w:tab/>
            </w:r>
            <w:r w:rsidR="004C48B6" w:rsidRPr="00452A6A">
              <w:rPr>
                <w:rFonts w:asciiTheme="majorBidi" w:eastAsia="Times New Roman" w:hAnsiTheme="majorBidi" w:cstheme="majorBidi"/>
                <w:spacing w:val="0"/>
                <w:w w:val="100"/>
                <w:kern w:val="0"/>
                <w:sz w:val="17"/>
                <w:szCs w:val="17"/>
                <w:lang w:val="fr-FR"/>
              </w:rPr>
              <w:t>Nombre d</w:t>
            </w:r>
            <w:r w:rsidR="008E14FD" w:rsidRPr="00452A6A">
              <w:rPr>
                <w:rFonts w:asciiTheme="majorBidi" w:eastAsia="Times New Roman" w:hAnsiTheme="majorBidi" w:cstheme="majorBidi"/>
                <w:spacing w:val="0"/>
                <w:w w:val="100"/>
                <w:kern w:val="0"/>
                <w:sz w:val="17"/>
                <w:szCs w:val="17"/>
                <w:lang w:val="fr-FR"/>
              </w:rPr>
              <w:t>’</w:t>
            </w:r>
            <w:r w:rsidR="004C48B6" w:rsidRPr="00452A6A">
              <w:rPr>
                <w:rFonts w:asciiTheme="majorBidi" w:eastAsia="Times New Roman" w:hAnsiTheme="majorBidi" w:cstheme="majorBidi"/>
                <w:spacing w:val="0"/>
                <w:w w:val="100"/>
                <w:kern w:val="0"/>
                <w:sz w:val="17"/>
                <w:szCs w:val="17"/>
                <w:lang w:val="fr-FR"/>
              </w:rPr>
              <w:t>hommes</w:t>
            </w:r>
          </w:p>
        </w:tc>
        <w:tc>
          <w:tcPr>
            <w:tcW w:w="960" w:type="dxa"/>
            <w:shd w:val="clear" w:color="auto" w:fill="auto"/>
            <w:vAlign w:val="bottom"/>
          </w:tcPr>
          <w:p w14:paraId="654F889F"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66</w:t>
            </w:r>
          </w:p>
        </w:tc>
        <w:tc>
          <w:tcPr>
            <w:tcW w:w="960" w:type="dxa"/>
            <w:shd w:val="clear" w:color="auto" w:fill="auto"/>
            <w:vAlign w:val="bottom"/>
          </w:tcPr>
          <w:p w14:paraId="37391899"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47</w:t>
            </w:r>
          </w:p>
        </w:tc>
        <w:tc>
          <w:tcPr>
            <w:tcW w:w="960" w:type="dxa"/>
            <w:shd w:val="clear" w:color="auto" w:fill="auto"/>
            <w:vAlign w:val="bottom"/>
          </w:tcPr>
          <w:p w14:paraId="24718172"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54</w:t>
            </w:r>
          </w:p>
        </w:tc>
        <w:tc>
          <w:tcPr>
            <w:tcW w:w="1242" w:type="dxa"/>
            <w:shd w:val="clear" w:color="auto" w:fill="auto"/>
            <w:vAlign w:val="bottom"/>
          </w:tcPr>
          <w:p w14:paraId="317FC06A"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22</w:t>
            </w:r>
          </w:p>
        </w:tc>
      </w:tr>
      <w:tr w:rsidR="004C48B6" w:rsidRPr="00452A6A" w14:paraId="12B9BC30" w14:textId="77777777" w:rsidTr="00A81ADA">
        <w:trPr>
          <w:cantSplit/>
        </w:trPr>
        <w:tc>
          <w:tcPr>
            <w:tcW w:w="3240" w:type="dxa"/>
            <w:shd w:val="clear" w:color="auto" w:fill="auto"/>
            <w:vAlign w:val="bottom"/>
          </w:tcPr>
          <w:p w14:paraId="27018E30" w14:textId="1471DC16" w:rsidR="004C48B6"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r>
              <w:rPr>
                <w:rFonts w:asciiTheme="majorBidi" w:eastAsia="Times New Roman" w:hAnsiTheme="majorBidi" w:cstheme="majorBidi"/>
                <w:spacing w:val="0"/>
                <w:w w:val="100"/>
                <w:kern w:val="0"/>
                <w:sz w:val="17"/>
                <w:szCs w:val="17"/>
                <w:lang w:val="fr-FR"/>
              </w:rPr>
              <w:tab/>
            </w:r>
            <w:r w:rsidR="004C48B6" w:rsidRPr="00452A6A">
              <w:rPr>
                <w:rFonts w:asciiTheme="majorBidi" w:eastAsia="Times New Roman" w:hAnsiTheme="majorBidi" w:cstheme="majorBidi"/>
                <w:spacing w:val="0"/>
                <w:w w:val="100"/>
                <w:kern w:val="0"/>
                <w:sz w:val="17"/>
                <w:szCs w:val="17"/>
                <w:lang w:val="fr-FR"/>
              </w:rPr>
              <w:t>Nombre de femmes</w:t>
            </w:r>
          </w:p>
        </w:tc>
        <w:tc>
          <w:tcPr>
            <w:tcW w:w="960" w:type="dxa"/>
            <w:shd w:val="clear" w:color="auto" w:fill="auto"/>
            <w:vAlign w:val="bottom"/>
          </w:tcPr>
          <w:p w14:paraId="01B880D6"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97</w:t>
            </w:r>
          </w:p>
        </w:tc>
        <w:tc>
          <w:tcPr>
            <w:tcW w:w="960" w:type="dxa"/>
            <w:shd w:val="clear" w:color="auto" w:fill="auto"/>
            <w:vAlign w:val="bottom"/>
          </w:tcPr>
          <w:p w14:paraId="1E334A77"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70</w:t>
            </w:r>
          </w:p>
        </w:tc>
        <w:tc>
          <w:tcPr>
            <w:tcW w:w="960" w:type="dxa"/>
            <w:shd w:val="clear" w:color="auto" w:fill="auto"/>
            <w:vAlign w:val="bottom"/>
          </w:tcPr>
          <w:p w14:paraId="30BC7DF7"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45</w:t>
            </w:r>
          </w:p>
        </w:tc>
        <w:tc>
          <w:tcPr>
            <w:tcW w:w="1242" w:type="dxa"/>
            <w:shd w:val="clear" w:color="auto" w:fill="auto"/>
            <w:vAlign w:val="bottom"/>
          </w:tcPr>
          <w:p w14:paraId="4A394931"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33</w:t>
            </w:r>
          </w:p>
        </w:tc>
      </w:tr>
      <w:tr w:rsidR="004C48B6" w:rsidRPr="00452A6A" w14:paraId="7D2443A7" w14:textId="77777777" w:rsidTr="00A81ADA">
        <w:trPr>
          <w:cantSplit/>
        </w:trPr>
        <w:tc>
          <w:tcPr>
            <w:tcW w:w="3240" w:type="dxa"/>
            <w:shd w:val="clear" w:color="auto" w:fill="auto"/>
            <w:vAlign w:val="bottom"/>
          </w:tcPr>
          <w:p w14:paraId="7A7539AD" w14:textId="1D14EBFE" w:rsidR="004C48B6" w:rsidRPr="00452A6A" w:rsidRDefault="004C48B6" w:rsidP="00C35A7D">
            <w:pPr>
              <w:tabs>
                <w:tab w:val="left" w:pos="288"/>
                <w:tab w:val="left" w:pos="576"/>
                <w:tab w:val="left" w:pos="864"/>
                <w:tab w:val="left" w:pos="1152"/>
              </w:tabs>
              <w:suppressAutoHyphens/>
              <w:spacing w:before="40" w:after="40" w:line="210" w:lineRule="exact"/>
              <w:ind w:right="43"/>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Nombre d</w:t>
            </w:r>
            <w:r w:rsidR="008E14FD" w:rsidRPr="00452A6A">
              <w:rPr>
                <w:rFonts w:asciiTheme="majorBidi" w:eastAsia="Times New Roman" w:hAnsiTheme="majorBidi" w:cstheme="majorBidi"/>
                <w:spacing w:val="0"/>
                <w:w w:val="100"/>
                <w:kern w:val="0"/>
                <w:sz w:val="17"/>
                <w:szCs w:val="17"/>
                <w:lang w:val="fr-FR"/>
              </w:rPr>
              <w:t>’</w:t>
            </w:r>
            <w:r w:rsidRPr="00452A6A">
              <w:rPr>
                <w:rFonts w:asciiTheme="majorBidi" w:eastAsia="Times New Roman" w:hAnsiTheme="majorBidi" w:cstheme="majorBidi"/>
                <w:spacing w:val="0"/>
                <w:w w:val="100"/>
                <w:kern w:val="0"/>
                <w:sz w:val="17"/>
                <w:szCs w:val="17"/>
                <w:lang w:val="fr-FR"/>
              </w:rPr>
              <w:t>affaires de traite d</w:t>
            </w:r>
            <w:r w:rsidR="008E14FD" w:rsidRPr="00452A6A">
              <w:rPr>
                <w:rFonts w:asciiTheme="majorBidi" w:eastAsia="Times New Roman" w:hAnsiTheme="majorBidi" w:cstheme="majorBidi"/>
                <w:spacing w:val="0"/>
                <w:w w:val="100"/>
                <w:kern w:val="0"/>
                <w:sz w:val="17"/>
                <w:szCs w:val="17"/>
                <w:lang w:val="fr-FR"/>
              </w:rPr>
              <w:t>’</w:t>
            </w:r>
            <w:r w:rsidRPr="00452A6A">
              <w:rPr>
                <w:rFonts w:asciiTheme="majorBidi" w:eastAsia="Times New Roman" w:hAnsiTheme="majorBidi" w:cstheme="majorBidi"/>
                <w:spacing w:val="0"/>
                <w:w w:val="100"/>
                <w:kern w:val="0"/>
                <w:sz w:val="17"/>
                <w:szCs w:val="17"/>
                <w:lang w:val="fr-FR"/>
              </w:rPr>
              <w:t xml:space="preserve">êtres humains examinées </w:t>
            </w:r>
          </w:p>
        </w:tc>
        <w:tc>
          <w:tcPr>
            <w:tcW w:w="960" w:type="dxa"/>
            <w:shd w:val="clear" w:color="auto" w:fill="auto"/>
            <w:vAlign w:val="bottom"/>
          </w:tcPr>
          <w:p w14:paraId="7E32A38C"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8</w:t>
            </w:r>
          </w:p>
        </w:tc>
        <w:tc>
          <w:tcPr>
            <w:tcW w:w="960" w:type="dxa"/>
            <w:shd w:val="clear" w:color="auto" w:fill="auto"/>
            <w:vAlign w:val="bottom"/>
          </w:tcPr>
          <w:p w14:paraId="77B91BE1"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5</w:t>
            </w:r>
          </w:p>
        </w:tc>
        <w:tc>
          <w:tcPr>
            <w:tcW w:w="960" w:type="dxa"/>
            <w:shd w:val="clear" w:color="auto" w:fill="auto"/>
            <w:vAlign w:val="bottom"/>
          </w:tcPr>
          <w:p w14:paraId="136F87D8" w14:textId="504ECBD1" w:rsidR="004C48B6" w:rsidRPr="00452A6A" w:rsidRDefault="00C35A7D"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Pr>
                <w:rFonts w:asciiTheme="majorBidi" w:eastAsia="Times New Roman" w:hAnsiTheme="majorBidi" w:cstheme="majorBidi"/>
                <w:spacing w:val="0"/>
                <w:w w:val="100"/>
                <w:kern w:val="0"/>
                <w:sz w:val="17"/>
                <w:szCs w:val="17"/>
                <w:lang w:val="fr-FR"/>
              </w:rPr>
              <w:t>–</w:t>
            </w:r>
          </w:p>
        </w:tc>
        <w:tc>
          <w:tcPr>
            <w:tcW w:w="1242" w:type="dxa"/>
            <w:shd w:val="clear" w:color="auto" w:fill="auto"/>
            <w:vAlign w:val="bottom"/>
          </w:tcPr>
          <w:p w14:paraId="38BB1BBF"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4</w:t>
            </w:r>
          </w:p>
        </w:tc>
      </w:tr>
      <w:tr w:rsidR="004C48B6" w:rsidRPr="00452A6A" w14:paraId="532A940F" w14:textId="77777777" w:rsidTr="00A81ADA">
        <w:trPr>
          <w:cantSplit/>
        </w:trPr>
        <w:tc>
          <w:tcPr>
            <w:tcW w:w="3240" w:type="dxa"/>
            <w:shd w:val="clear" w:color="auto" w:fill="auto"/>
            <w:vAlign w:val="bottom"/>
          </w:tcPr>
          <w:p w14:paraId="734452A1"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Nombre de personnes mises en cause</w:t>
            </w:r>
          </w:p>
        </w:tc>
        <w:tc>
          <w:tcPr>
            <w:tcW w:w="960" w:type="dxa"/>
            <w:shd w:val="clear" w:color="auto" w:fill="auto"/>
            <w:vAlign w:val="bottom"/>
          </w:tcPr>
          <w:p w14:paraId="1F22D929"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14</w:t>
            </w:r>
          </w:p>
        </w:tc>
        <w:tc>
          <w:tcPr>
            <w:tcW w:w="960" w:type="dxa"/>
            <w:shd w:val="clear" w:color="auto" w:fill="auto"/>
            <w:vAlign w:val="bottom"/>
          </w:tcPr>
          <w:p w14:paraId="16F1B850"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6</w:t>
            </w:r>
          </w:p>
        </w:tc>
        <w:tc>
          <w:tcPr>
            <w:tcW w:w="960" w:type="dxa"/>
            <w:shd w:val="clear" w:color="auto" w:fill="auto"/>
            <w:vAlign w:val="bottom"/>
          </w:tcPr>
          <w:p w14:paraId="5238944D" w14:textId="36116B6F" w:rsidR="004C48B6" w:rsidRPr="00452A6A" w:rsidRDefault="00C35A7D"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Pr>
                <w:rFonts w:asciiTheme="majorBidi" w:eastAsia="Times New Roman" w:hAnsiTheme="majorBidi" w:cstheme="majorBidi"/>
                <w:spacing w:val="0"/>
                <w:w w:val="100"/>
                <w:kern w:val="0"/>
                <w:sz w:val="17"/>
                <w:szCs w:val="17"/>
                <w:lang w:val="fr-FR"/>
              </w:rPr>
              <w:t>–</w:t>
            </w:r>
          </w:p>
        </w:tc>
        <w:tc>
          <w:tcPr>
            <w:tcW w:w="1242" w:type="dxa"/>
            <w:shd w:val="clear" w:color="auto" w:fill="auto"/>
            <w:vAlign w:val="bottom"/>
          </w:tcPr>
          <w:p w14:paraId="5F9E3380"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4</w:t>
            </w:r>
          </w:p>
        </w:tc>
      </w:tr>
      <w:tr w:rsidR="00926FCD" w:rsidRPr="00452A6A" w14:paraId="564F624B" w14:textId="77777777" w:rsidTr="00A81ADA">
        <w:trPr>
          <w:cantSplit/>
        </w:trPr>
        <w:tc>
          <w:tcPr>
            <w:tcW w:w="3240" w:type="dxa"/>
            <w:shd w:val="clear" w:color="auto" w:fill="auto"/>
            <w:vAlign w:val="bottom"/>
          </w:tcPr>
          <w:p w14:paraId="6264946A" w14:textId="77777777" w:rsidR="00926FCD"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dont</w:t>
            </w:r>
            <w:r>
              <w:rPr>
                <w:rFonts w:asciiTheme="majorBidi" w:eastAsia="Times New Roman" w:hAnsiTheme="majorBidi" w:cstheme="majorBidi"/>
                <w:spacing w:val="0"/>
                <w:w w:val="100"/>
                <w:kern w:val="0"/>
                <w:sz w:val="17"/>
                <w:szCs w:val="17"/>
                <w:lang w:val="fr-FR"/>
              </w:rPr>
              <w:t> </w:t>
            </w:r>
            <w:r w:rsidRPr="00452A6A">
              <w:rPr>
                <w:rFonts w:asciiTheme="majorBidi" w:eastAsia="Times New Roman" w:hAnsiTheme="majorBidi" w:cstheme="majorBidi"/>
                <w:spacing w:val="0"/>
                <w:w w:val="100"/>
                <w:kern w:val="0"/>
                <w:sz w:val="17"/>
                <w:szCs w:val="17"/>
                <w:lang w:val="fr-FR"/>
              </w:rPr>
              <w:t>:</w:t>
            </w:r>
          </w:p>
        </w:tc>
        <w:tc>
          <w:tcPr>
            <w:tcW w:w="960" w:type="dxa"/>
            <w:shd w:val="clear" w:color="auto" w:fill="auto"/>
            <w:vAlign w:val="bottom"/>
          </w:tcPr>
          <w:p w14:paraId="479E963A" w14:textId="77777777" w:rsidR="00926FCD"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p>
        </w:tc>
        <w:tc>
          <w:tcPr>
            <w:tcW w:w="960" w:type="dxa"/>
            <w:shd w:val="clear" w:color="auto" w:fill="auto"/>
            <w:vAlign w:val="bottom"/>
          </w:tcPr>
          <w:p w14:paraId="29F6023E" w14:textId="77777777" w:rsidR="00926FCD"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p>
        </w:tc>
        <w:tc>
          <w:tcPr>
            <w:tcW w:w="960" w:type="dxa"/>
            <w:shd w:val="clear" w:color="auto" w:fill="auto"/>
            <w:vAlign w:val="bottom"/>
          </w:tcPr>
          <w:p w14:paraId="5DC0CFD3" w14:textId="77777777" w:rsidR="00926FCD"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p>
        </w:tc>
        <w:tc>
          <w:tcPr>
            <w:tcW w:w="1242" w:type="dxa"/>
            <w:shd w:val="clear" w:color="auto" w:fill="auto"/>
            <w:vAlign w:val="bottom"/>
          </w:tcPr>
          <w:p w14:paraId="237EE622" w14:textId="3BEBDC06" w:rsidR="00926FCD"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p>
        </w:tc>
      </w:tr>
      <w:tr w:rsidR="004C48B6" w:rsidRPr="00452A6A" w14:paraId="01DBDF7B" w14:textId="77777777" w:rsidTr="00A81ADA">
        <w:trPr>
          <w:cantSplit/>
        </w:trPr>
        <w:tc>
          <w:tcPr>
            <w:tcW w:w="3240" w:type="dxa"/>
            <w:shd w:val="clear" w:color="auto" w:fill="auto"/>
            <w:vAlign w:val="bottom"/>
          </w:tcPr>
          <w:p w14:paraId="3E7ABD13" w14:textId="3FF33896" w:rsidR="004C48B6"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r>
              <w:rPr>
                <w:rFonts w:asciiTheme="majorBidi" w:eastAsia="Times New Roman" w:hAnsiTheme="majorBidi" w:cstheme="majorBidi"/>
                <w:spacing w:val="0"/>
                <w:w w:val="100"/>
                <w:kern w:val="0"/>
                <w:sz w:val="17"/>
                <w:szCs w:val="17"/>
                <w:lang w:val="fr-FR"/>
              </w:rPr>
              <w:tab/>
            </w:r>
            <w:r w:rsidR="004C48B6" w:rsidRPr="00452A6A">
              <w:rPr>
                <w:rFonts w:asciiTheme="majorBidi" w:eastAsia="Times New Roman" w:hAnsiTheme="majorBidi" w:cstheme="majorBidi"/>
                <w:spacing w:val="0"/>
                <w:w w:val="100"/>
                <w:kern w:val="0"/>
                <w:sz w:val="17"/>
                <w:szCs w:val="17"/>
                <w:lang w:val="fr-FR"/>
              </w:rPr>
              <w:t>Nombre d</w:t>
            </w:r>
            <w:r w:rsidR="008E14FD" w:rsidRPr="00452A6A">
              <w:rPr>
                <w:rFonts w:asciiTheme="majorBidi" w:eastAsia="Times New Roman" w:hAnsiTheme="majorBidi" w:cstheme="majorBidi"/>
                <w:spacing w:val="0"/>
                <w:w w:val="100"/>
                <w:kern w:val="0"/>
                <w:sz w:val="17"/>
                <w:szCs w:val="17"/>
                <w:lang w:val="fr-FR"/>
              </w:rPr>
              <w:t>’</w:t>
            </w:r>
            <w:r w:rsidR="004C48B6" w:rsidRPr="00452A6A">
              <w:rPr>
                <w:rFonts w:asciiTheme="majorBidi" w:eastAsia="Times New Roman" w:hAnsiTheme="majorBidi" w:cstheme="majorBidi"/>
                <w:spacing w:val="0"/>
                <w:w w:val="100"/>
                <w:kern w:val="0"/>
                <w:sz w:val="17"/>
                <w:szCs w:val="17"/>
                <w:lang w:val="fr-FR"/>
              </w:rPr>
              <w:t>hommes</w:t>
            </w:r>
          </w:p>
        </w:tc>
        <w:tc>
          <w:tcPr>
            <w:tcW w:w="960" w:type="dxa"/>
            <w:shd w:val="clear" w:color="auto" w:fill="auto"/>
            <w:vAlign w:val="bottom"/>
          </w:tcPr>
          <w:p w14:paraId="05B455FA" w14:textId="7BD73F8F" w:rsidR="004C48B6" w:rsidRPr="00452A6A" w:rsidRDefault="00C35A7D"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Pr>
                <w:rFonts w:asciiTheme="majorBidi" w:eastAsia="Times New Roman" w:hAnsiTheme="majorBidi" w:cstheme="majorBidi"/>
                <w:spacing w:val="0"/>
                <w:w w:val="100"/>
                <w:kern w:val="0"/>
                <w:sz w:val="17"/>
                <w:szCs w:val="17"/>
                <w:lang w:val="fr-FR"/>
              </w:rPr>
              <w:t>–</w:t>
            </w:r>
          </w:p>
        </w:tc>
        <w:tc>
          <w:tcPr>
            <w:tcW w:w="960" w:type="dxa"/>
            <w:shd w:val="clear" w:color="auto" w:fill="auto"/>
            <w:vAlign w:val="bottom"/>
          </w:tcPr>
          <w:p w14:paraId="725303A7" w14:textId="72840F5F" w:rsidR="004C48B6" w:rsidRPr="00452A6A" w:rsidRDefault="00C35A7D"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Pr>
                <w:rFonts w:asciiTheme="majorBidi" w:eastAsia="Times New Roman" w:hAnsiTheme="majorBidi" w:cstheme="majorBidi"/>
                <w:spacing w:val="0"/>
                <w:w w:val="100"/>
                <w:kern w:val="0"/>
                <w:sz w:val="17"/>
                <w:szCs w:val="17"/>
                <w:lang w:val="fr-FR"/>
              </w:rPr>
              <w:t>–</w:t>
            </w:r>
          </w:p>
        </w:tc>
        <w:tc>
          <w:tcPr>
            <w:tcW w:w="960" w:type="dxa"/>
            <w:shd w:val="clear" w:color="auto" w:fill="auto"/>
            <w:vAlign w:val="bottom"/>
          </w:tcPr>
          <w:p w14:paraId="75C00178" w14:textId="008D9663" w:rsidR="004C48B6" w:rsidRPr="00452A6A" w:rsidRDefault="00C35A7D"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Pr>
                <w:rFonts w:asciiTheme="majorBidi" w:eastAsia="Times New Roman" w:hAnsiTheme="majorBidi" w:cstheme="majorBidi"/>
                <w:spacing w:val="0"/>
                <w:w w:val="100"/>
                <w:kern w:val="0"/>
                <w:sz w:val="17"/>
                <w:szCs w:val="17"/>
                <w:lang w:val="fr-FR"/>
              </w:rPr>
              <w:t>–</w:t>
            </w:r>
          </w:p>
        </w:tc>
        <w:tc>
          <w:tcPr>
            <w:tcW w:w="1242" w:type="dxa"/>
            <w:shd w:val="clear" w:color="auto" w:fill="auto"/>
            <w:vAlign w:val="bottom"/>
          </w:tcPr>
          <w:p w14:paraId="620556B2"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1</w:t>
            </w:r>
          </w:p>
        </w:tc>
      </w:tr>
      <w:tr w:rsidR="004C48B6" w:rsidRPr="00452A6A" w14:paraId="56A96EB2" w14:textId="77777777" w:rsidTr="00A81ADA">
        <w:trPr>
          <w:cantSplit/>
        </w:trPr>
        <w:tc>
          <w:tcPr>
            <w:tcW w:w="3240" w:type="dxa"/>
            <w:shd w:val="clear" w:color="auto" w:fill="auto"/>
            <w:vAlign w:val="bottom"/>
          </w:tcPr>
          <w:p w14:paraId="6B192BFA" w14:textId="10AE5532" w:rsidR="004C48B6"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r>
              <w:rPr>
                <w:rFonts w:asciiTheme="majorBidi" w:eastAsia="Times New Roman" w:hAnsiTheme="majorBidi" w:cstheme="majorBidi"/>
                <w:spacing w:val="0"/>
                <w:w w:val="100"/>
                <w:kern w:val="0"/>
                <w:sz w:val="17"/>
                <w:szCs w:val="17"/>
                <w:lang w:val="fr-FR"/>
              </w:rPr>
              <w:tab/>
            </w:r>
            <w:r w:rsidR="004C48B6" w:rsidRPr="00452A6A">
              <w:rPr>
                <w:rFonts w:asciiTheme="majorBidi" w:eastAsia="Times New Roman" w:hAnsiTheme="majorBidi" w:cstheme="majorBidi"/>
                <w:spacing w:val="0"/>
                <w:w w:val="100"/>
                <w:kern w:val="0"/>
                <w:sz w:val="17"/>
                <w:szCs w:val="17"/>
                <w:lang w:val="fr-FR"/>
              </w:rPr>
              <w:t>Nombre de femmes</w:t>
            </w:r>
          </w:p>
        </w:tc>
        <w:tc>
          <w:tcPr>
            <w:tcW w:w="960" w:type="dxa"/>
            <w:shd w:val="clear" w:color="auto" w:fill="auto"/>
            <w:vAlign w:val="bottom"/>
          </w:tcPr>
          <w:p w14:paraId="3FB8FBCD"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14</w:t>
            </w:r>
          </w:p>
        </w:tc>
        <w:tc>
          <w:tcPr>
            <w:tcW w:w="960" w:type="dxa"/>
            <w:shd w:val="clear" w:color="auto" w:fill="auto"/>
            <w:vAlign w:val="bottom"/>
          </w:tcPr>
          <w:p w14:paraId="36A0BA1F"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6</w:t>
            </w:r>
          </w:p>
        </w:tc>
        <w:tc>
          <w:tcPr>
            <w:tcW w:w="960" w:type="dxa"/>
            <w:shd w:val="clear" w:color="auto" w:fill="auto"/>
            <w:vAlign w:val="bottom"/>
          </w:tcPr>
          <w:p w14:paraId="4F10F826" w14:textId="2AD277DB" w:rsidR="004C48B6" w:rsidRPr="00452A6A" w:rsidRDefault="00C35A7D"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Pr>
                <w:rFonts w:asciiTheme="majorBidi" w:eastAsia="Times New Roman" w:hAnsiTheme="majorBidi" w:cstheme="majorBidi"/>
                <w:spacing w:val="0"/>
                <w:w w:val="100"/>
                <w:kern w:val="0"/>
                <w:sz w:val="17"/>
                <w:szCs w:val="17"/>
                <w:lang w:val="fr-FR"/>
              </w:rPr>
              <w:t>–</w:t>
            </w:r>
          </w:p>
        </w:tc>
        <w:tc>
          <w:tcPr>
            <w:tcW w:w="1242" w:type="dxa"/>
            <w:shd w:val="clear" w:color="auto" w:fill="auto"/>
            <w:vAlign w:val="bottom"/>
          </w:tcPr>
          <w:p w14:paraId="590CAF2E"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3</w:t>
            </w:r>
          </w:p>
        </w:tc>
      </w:tr>
      <w:tr w:rsidR="004C48B6" w:rsidRPr="00452A6A" w14:paraId="75678B19" w14:textId="77777777" w:rsidTr="00A81ADA">
        <w:trPr>
          <w:cantSplit/>
        </w:trPr>
        <w:tc>
          <w:tcPr>
            <w:tcW w:w="3240" w:type="dxa"/>
            <w:shd w:val="clear" w:color="auto" w:fill="auto"/>
            <w:vAlign w:val="bottom"/>
          </w:tcPr>
          <w:p w14:paraId="3D088D96" w14:textId="15264C31" w:rsidR="004C48B6" w:rsidRPr="00452A6A" w:rsidRDefault="004C48B6"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Nombre d</w:t>
            </w:r>
            <w:r w:rsidR="008E14FD" w:rsidRPr="00452A6A">
              <w:rPr>
                <w:rFonts w:asciiTheme="majorBidi" w:eastAsia="Times New Roman" w:hAnsiTheme="majorBidi" w:cstheme="majorBidi"/>
                <w:spacing w:val="0"/>
                <w:w w:val="100"/>
                <w:kern w:val="0"/>
                <w:sz w:val="17"/>
                <w:szCs w:val="17"/>
                <w:lang w:val="fr-FR"/>
              </w:rPr>
              <w:t>’</w:t>
            </w:r>
            <w:r w:rsidRPr="00452A6A">
              <w:rPr>
                <w:rFonts w:asciiTheme="majorBidi" w:eastAsia="Times New Roman" w:hAnsiTheme="majorBidi" w:cstheme="majorBidi"/>
                <w:spacing w:val="0"/>
                <w:w w:val="100"/>
                <w:kern w:val="0"/>
                <w:sz w:val="17"/>
                <w:szCs w:val="17"/>
                <w:lang w:val="fr-FR"/>
              </w:rPr>
              <w:t xml:space="preserve">affaires de violence familiale examinées </w:t>
            </w:r>
          </w:p>
        </w:tc>
        <w:tc>
          <w:tcPr>
            <w:tcW w:w="960" w:type="dxa"/>
            <w:shd w:val="clear" w:color="auto" w:fill="auto"/>
            <w:vAlign w:val="bottom"/>
          </w:tcPr>
          <w:p w14:paraId="0C2C950D"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24</w:t>
            </w:r>
          </w:p>
        </w:tc>
        <w:tc>
          <w:tcPr>
            <w:tcW w:w="960" w:type="dxa"/>
            <w:shd w:val="clear" w:color="auto" w:fill="auto"/>
            <w:vAlign w:val="bottom"/>
          </w:tcPr>
          <w:p w14:paraId="255EDA3B"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15</w:t>
            </w:r>
          </w:p>
        </w:tc>
        <w:tc>
          <w:tcPr>
            <w:tcW w:w="960" w:type="dxa"/>
            <w:shd w:val="clear" w:color="auto" w:fill="auto"/>
            <w:vAlign w:val="bottom"/>
          </w:tcPr>
          <w:p w14:paraId="42E6E05A"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82</w:t>
            </w:r>
          </w:p>
        </w:tc>
        <w:tc>
          <w:tcPr>
            <w:tcW w:w="1242" w:type="dxa"/>
            <w:shd w:val="clear" w:color="auto" w:fill="auto"/>
            <w:vAlign w:val="bottom"/>
          </w:tcPr>
          <w:p w14:paraId="2E39AB26"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28</w:t>
            </w:r>
          </w:p>
        </w:tc>
      </w:tr>
      <w:tr w:rsidR="004C48B6" w:rsidRPr="00452A6A" w14:paraId="1ED298B4" w14:textId="77777777" w:rsidTr="00A81ADA">
        <w:trPr>
          <w:cantSplit/>
        </w:trPr>
        <w:tc>
          <w:tcPr>
            <w:tcW w:w="3240" w:type="dxa"/>
            <w:shd w:val="clear" w:color="auto" w:fill="auto"/>
            <w:vAlign w:val="bottom"/>
          </w:tcPr>
          <w:p w14:paraId="20502410"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Nombre de personnes mises en cause</w:t>
            </w:r>
          </w:p>
        </w:tc>
        <w:tc>
          <w:tcPr>
            <w:tcW w:w="960" w:type="dxa"/>
            <w:shd w:val="clear" w:color="auto" w:fill="auto"/>
            <w:vAlign w:val="bottom"/>
          </w:tcPr>
          <w:p w14:paraId="3D843588"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25</w:t>
            </w:r>
          </w:p>
        </w:tc>
        <w:tc>
          <w:tcPr>
            <w:tcW w:w="960" w:type="dxa"/>
            <w:shd w:val="clear" w:color="auto" w:fill="auto"/>
            <w:vAlign w:val="bottom"/>
          </w:tcPr>
          <w:p w14:paraId="14067355"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16</w:t>
            </w:r>
          </w:p>
        </w:tc>
        <w:tc>
          <w:tcPr>
            <w:tcW w:w="960" w:type="dxa"/>
            <w:shd w:val="clear" w:color="auto" w:fill="auto"/>
            <w:vAlign w:val="bottom"/>
          </w:tcPr>
          <w:p w14:paraId="56833DF3"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86</w:t>
            </w:r>
          </w:p>
        </w:tc>
        <w:tc>
          <w:tcPr>
            <w:tcW w:w="1242" w:type="dxa"/>
            <w:shd w:val="clear" w:color="auto" w:fill="auto"/>
            <w:vAlign w:val="bottom"/>
          </w:tcPr>
          <w:p w14:paraId="03EC645B"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30</w:t>
            </w:r>
          </w:p>
        </w:tc>
      </w:tr>
      <w:tr w:rsidR="00926FCD" w:rsidRPr="00452A6A" w14:paraId="74E42576" w14:textId="77777777" w:rsidTr="00A81ADA">
        <w:trPr>
          <w:cantSplit/>
        </w:trPr>
        <w:tc>
          <w:tcPr>
            <w:tcW w:w="3240" w:type="dxa"/>
            <w:shd w:val="clear" w:color="auto" w:fill="auto"/>
            <w:vAlign w:val="bottom"/>
          </w:tcPr>
          <w:p w14:paraId="094A6CC7" w14:textId="77777777" w:rsidR="00926FCD"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dont</w:t>
            </w:r>
            <w:r>
              <w:rPr>
                <w:rFonts w:asciiTheme="majorBidi" w:eastAsia="Times New Roman" w:hAnsiTheme="majorBidi" w:cstheme="majorBidi"/>
                <w:spacing w:val="0"/>
                <w:w w:val="100"/>
                <w:kern w:val="0"/>
                <w:sz w:val="17"/>
                <w:szCs w:val="17"/>
                <w:lang w:val="fr-FR"/>
              </w:rPr>
              <w:t> </w:t>
            </w:r>
            <w:r w:rsidRPr="00452A6A">
              <w:rPr>
                <w:rFonts w:asciiTheme="majorBidi" w:eastAsia="Times New Roman" w:hAnsiTheme="majorBidi" w:cstheme="majorBidi"/>
                <w:spacing w:val="0"/>
                <w:w w:val="100"/>
                <w:kern w:val="0"/>
                <w:sz w:val="17"/>
                <w:szCs w:val="17"/>
                <w:lang w:val="fr-FR"/>
              </w:rPr>
              <w:t>:</w:t>
            </w:r>
          </w:p>
        </w:tc>
        <w:tc>
          <w:tcPr>
            <w:tcW w:w="960" w:type="dxa"/>
            <w:shd w:val="clear" w:color="auto" w:fill="auto"/>
            <w:vAlign w:val="bottom"/>
          </w:tcPr>
          <w:p w14:paraId="073BCECF" w14:textId="77777777" w:rsidR="00926FCD"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p>
        </w:tc>
        <w:tc>
          <w:tcPr>
            <w:tcW w:w="960" w:type="dxa"/>
            <w:shd w:val="clear" w:color="auto" w:fill="auto"/>
            <w:vAlign w:val="bottom"/>
          </w:tcPr>
          <w:p w14:paraId="1C799DBD" w14:textId="77777777" w:rsidR="00926FCD"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p>
        </w:tc>
        <w:tc>
          <w:tcPr>
            <w:tcW w:w="960" w:type="dxa"/>
            <w:shd w:val="clear" w:color="auto" w:fill="auto"/>
            <w:vAlign w:val="bottom"/>
          </w:tcPr>
          <w:p w14:paraId="00A51A87" w14:textId="77777777" w:rsidR="00926FCD"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p>
        </w:tc>
        <w:tc>
          <w:tcPr>
            <w:tcW w:w="1242" w:type="dxa"/>
            <w:shd w:val="clear" w:color="auto" w:fill="auto"/>
            <w:vAlign w:val="bottom"/>
          </w:tcPr>
          <w:p w14:paraId="1038FA39" w14:textId="293249EA" w:rsidR="00926FCD"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p>
        </w:tc>
      </w:tr>
      <w:tr w:rsidR="004C48B6" w:rsidRPr="00452A6A" w14:paraId="5B42B762" w14:textId="77777777" w:rsidTr="00A81ADA">
        <w:trPr>
          <w:cantSplit/>
        </w:trPr>
        <w:tc>
          <w:tcPr>
            <w:tcW w:w="3240" w:type="dxa"/>
            <w:shd w:val="clear" w:color="auto" w:fill="auto"/>
            <w:vAlign w:val="bottom"/>
          </w:tcPr>
          <w:p w14:paraId="6F7E0804" w14:textId="5B0BF962" w:rsidR="004C48B6"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r>
              <w:rPr>
                <w:rFonts w:asciiTheme="majorBidi" w:eastAsia="Times New Roman" w:hAnsiTheme="majorBidi" w:cstheme="majorBidi"/>
                <w:spacing w:val="0"/>
                <w:w w:val="100"/>
                <w:kern w:val="0"/>
                <w:sz w:val="17"/>
                <w:szCs w:val="17"/>
                <w:lang w:val="fr-FR"/>
              </w:rPr>
              <w:tab/>
            </w:r>
            <w:r w:rsidR="004C48B6" w:rsidRPr="00452A6A">
              <w:rPr>
                <w:rFonts w:asciiTheme="majorBidi" w:eastAsia="Times New Roman" w:hAnsiTheme="majorBidi" w:cstheme="majorBidi"/>
                <w:spacing w:val="0"/>
                <w:w w:val="100"/>
                <w:kern w:val="0"/>
                <w:sz w:val="17"/>
                <w:szCs w:val="17"/>
                <w:lang w:val="fr-FR"/>
              </w:rPr>
              <w:t>Nombre d</w:t>
            </w:r>
            <w:r w:rsidR="008E14FD" w:rsidRPr="00452A6A">
              <w:rPr>
                <w:rFonts w:asciiTheme="majorBidi" w:eastAsia="Times New Roman" w:hAnsiTheme="majorBidi" w:cstheme="majorBidi"/>
                <w:spacing w:val="0"/>
                <w:w w:val="100"/>
                <w:kern w:val="0"/>
                <w:sz w:val="17"/>
                <w:szCs w:val="17"/>
                <w:lang w:val="fr-FR"/>
              </w:rPr>
              <w:t>’</w:t>
            </w:r>
            <w:r w:rsidR="004C48B6" w:rsidRPr="00452A6A">
              <w:rPr>
                <w:rFonts w:asciiTheme="majorBidi" w:eastAsia="Times New Roman" w:hAnsiTheme="majorBidi" w:cstheme="majorBidi"/>
                <w:spacing w:val="0"/>
                <w:w w:val="100"/>
                <w:kern w:val="0"/>
                <w:sz w:val="17"/>
                <w:szCs w:val="17"/>
                <w:lang w:val="fr-FR"/>
              </w:rPr>
              <w:t>hommes</w:t>
            </w:r>
          </w:p>
        </w:tc>
        <w:tc>
          <w:tcPr>
            <w:tcW w:w="960" w:type="dxa"/>
            <w:shd w:val="clear" w:color="auto" w:fill="auto"/>
            <w:vAlign w:val="bottom"/>
          </w:tcPr>
          <w:p w14:paraId="51066DE0"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25</w:t>
            </w:r>
          </w:p>
        </w:tc>
        <w:tc>
          <w:tcPr>
            <w:tcW w:w="960" w:type="dxa"/>
            <w:shd w:val="clear" w:color="auto" w:fill="auto"/>
            <w:vAlign w:val="bottom"/>
          </w:tcPr>
          <w:p w14:paraId="7EB1FDEB"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15</w:t>
            </w:r>
          </w:p>
        </w:tc>
        <w:tc>
          <w:tcPr>
            <w:tcW w:w="960" w:type="dxa"/>
            <w:shd w:val="clear" w:color="auto" w:fill="auto"/>
            <w:vAlign w:val="bottom"/>
          </w:tcPr>
          <w:p w14:paraId="0D670E85"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81</w:t>
            </w:r>
          </w:p>
        </w:tc>
        <w:tc>
          <w:tcPr>
            <w:tcW w:w="1242" w:type="dxa"/>
            <w:shd w:val="clear" w:color="auto" w:fill="auto"/>
            <w:vAlign w:val="bottom"/>
          </w:tcPr>
          <w:p w14:paraId="45A4B864"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23</w:t>
            </w:r>
          </w:p>
        </w:tc>
      </w:tr>
      <w:tr w:rsidR="004C48B6" w:rsidRPr="00452A6A" w14:paraId="146EB756" w14:textId="77777777" w:rsidTr="00A81ADA">
        <w:trPr>
          <w:cantSplit/>
        </w:trPr>
        <w:tc>
          <w:tcPr>
            <w:tcW w:w="3240" w:type="dxa"/>
            <w:tcBorders>
              <w:bottom w:val="single" w:sz="12" w:space="0" w:color="auto"/>
            </w:tcBorders>
            <w:shd w:val="clear" w:color="auto" w:fill="auto"/>
            <w:vAlign w:val="bottom"/>
          </w:tcPr>
          <w:p w14:paraId="29820963" w14:textId="4B1BA8F6" w:rsidR="004C48B6" w:rsidRPr="00452A6A" w:rsidRDefault="00926FCD" w:rsidP="00C35A7D">
            <w:pPr>
              <w:tabs>
                <w:tab w:val="left" w:pos="288"/>
                <w:tab w:val="left" w:pos="576"/>
                <w:tab w:val="left" w:pos="864"/>
                <w:tab w:val="left" w:pos="1152"/>
              </w:tabs>
              <w:suppressAutoHyphens/>
              <w:spacing w:before="40" w:after="40" w:line="210" w:lineRule="exact"/>
              <w:ind w:right="40"/>
              <w:rPr>
                <w:rFonts w:asciiTheme="majorBidi" w:eastAsia="Times New Roman" w:hAnsiTheme="majorBidi" w:cstheme="majorBidi"/>
                <w:spacing w:val="0"/>
                <w:w w:val="100"/>
                <w:kern w:val="0"/>
                <w:sz w:val="17"/>
                <w:szCs w:val="17"/>
                <w:lang w:val="fr-FR"/>
              </w:rPr>
            </w:pPr>
            <w:r>
              <w:rPr>
                <w:rFonts w:asciiTheme="majorBidi" w:eastAsia="Times New Roman" w:hAnsiTheme="majorBidi" w:cstheme="majorBidi"/>
                <w:spacing w:val="0"/>
                <w:w w:val="100"/>
                <w:kern w:val="0"/>
                <w:sz w:val="17"/>
                <w:szCs w:val="17"/>
                <w:lang w:val="fr-FR"/>
              </w:rPr>
              <w:tab/>
            </w:r>
            <w:r w:rsidR="004C48B6" w:rsidRPr="00452A6A">
              <w:rPr>
                <w:rFonts w:asciiTheme="majorBidi" w:eastAsia="Times New Roman" w:hAnsiTheme="majorBidi" w:cstheme="majorBidi"/>
                <w:spacing w:val="0"/>
                <w:w w:val="100"/>
                <w:kern w:val="0"/>
                <w:sz w:val="17"/>
                <w:szCs w:val="17"/>
                <w:lang w:val="fr-FR"/>
              </w:rPr>
              <w:t>Nombre de femmes</w:t>
            </w:r>
          </w:p>
        </w:tc>
        <w:tc>
          <w:tcPr>
            <w:tcW w:w="960" w:type="dxa"/>
            <w:tcBorders>
              <w:bottom w:val="single" w:sz="12" w:space="0" w:color="auto"/>
            </w:tcBorders>
            <w:shd w:val="clear" w:color="auto" w:fill="auto"/>
            <w:vAlign w:val="bottom"/>
          </w:tcPr>
          <w:p w14:paraId="7CAEEC2F" w14:textId="2FE67630" w:rsidR="004C48B6" w:rsidRPr="00452A6A" w:rsidRDefault="00C35A7D"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Pr>
                <w:rFonts w:asciiTheme="majorBidi" w:eastAsia="Times New Roman" w:hAnsiTheme="majorBidi" w:cstheme="majorBidi"/>
                <w:spacing w:val="0"/>
                <w:w w:val="100"/>
                <w:kern w:val="0"/>
                <w:sz w:val="17"/>
                <w:szCs w:val="17"/>
                <w:lang w:val="fr-FR"/>
              </w:rPr>
              <w:t>–</w:t>
            </w:r>
          </w:p>
        </w:tc>
        <w:tc>
          <w:tcPr>
            <w:tcW w:w="960" w:type="dxa"/>
            <w:tcBorders>
              <w:bottom w:val="single" w:sz="12" w:space="0" w:color="auto"/>
            </w:tcBorders>
            <w:shd w:val="clear" w:color="auto" w:fill="auto"/>
            <w:vAlign w:val="bottom"/>
          </w:tcPr>
          <w:p w14:paraId="5DA7C361"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1</w:t>
            </w:r>
          </w:p>
        </w:tc>
        <w:tc>
          <w:tcPr>
            <w:tcW w:w="960" w:type="dxa"/>
            <w:tcBorders>
              <w:bottom w:val="single" w:sz="12" w:space="0" w:color="auto"/>
            </w:tcBorders>
            <w:shd w:val="clear" w:color="auto" w:fill="auto"/>
            <w:vAlign w:val="bottom"/>
          </w:tcPr>
          <w:p w14:paraId="07FF4745"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5</w:t>
            </w:r>
          </w:p>
        </w:tc>
        <w:tc>
          <w:tcPr>
            <w:tcW w:w="1242" w:type="dxa"/>
            <w:tcBorders>
              <w:bottom w:val="single" w:sz="12" w:space="0" w:color="auto"/>
            </w:tcBorders>
            <w:shd w:val="clear" w:color="auto" w:fill="auto"/>
            <w:vAlign w:val="bottom"/>
          </w:tcPr>
          <w:p w14:paraId="675DCC2D"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jc w:val="right"/>
              <w:rPr>
                <w:rFonts w:asciiTheme="majorBidi" w:eastAsia="Times New Roman" w:hAnsiTheme="majorBidi" w:cstheme="majorBidi"/>
                <w:spacing w:val="0"/>
                <w:w w:val="100"/>
                <w:kern w:val="0"/>
                <w:sz w:val="17"/>
                <w:szCs w:val="17"/>
                <w:lang w:val="fr-FR"/>
              </w:rPr>
            </w:pPr>
            <w:r w:rsidRPr="00452A6A">
              <w:rPr>
                <w:rFonts w:asciiTheme="majorBidi" w:eastAsia="Times New Roman" w:hAnsiTheme="majorBidi" w:cstheme="majorBidi"/>
                <w:spacing w:val="0"/>
                <w:w w:val="100"/>
                <w:kern w:val="0"/>
                <w:sz w:val="17"/>
                <w:szCs w:val="17"/>
                <w:lang w:val="fr-FR"/>
              </w:rPr>
              <w:t>7</w:t>
            </w:r>
          </w:p>
        </w:tc>
      </w:tr>
    </w:tbl>
    <w:p w14:paraId="6E4D8E51" w14:textId="769552DD" w:rsidR="004C48B6" w:rsidRPr="00926FCD" w:rsidRDefault="004C48B6" w:rsidP="00926FCD">
      <w:pPr>
        <w:pStyle w:val="SingleTxt"/>
        <w:spacing w:after="0" w:line="120" w:lineRule="exact"/>
        <w:rPr>
          <w:rFonts w:asciiTheme="majorBidi" w:hAnsiTheme="majorBidi" w:cstheme="majorBidi"/>
          <w:sz w:val="10"/>
          <w:szCs w:val="17"/>
          <w:lang w:val="fr-FR"/>
        </w:rPr>
      </w:pPr>
    </w:p>
    <w:p w14:paraId="5998EBEF" w14:textId="77777777" w:rsidR="00FC7C26" w:rsidRPr="00926FCD" w:rsidRDefault="00FC7C26" w:rsidP="00926FCD">
      <w:pPr>
        <w:pStyle w:val="SingleTxt"/>
        <w:spacing w:after="0" w:line="120" w:lineRule="exact"/>
        <w:rPr>
          <w:rFonts w:asciiTheme="majorBidi" w:hAnsiTheme="majorBidi" w:cstheme="majorBidi"/>
          <w:sz w:val="10"/>
          <w:szCs w:val="17"/>
          <w:lang w:val="fr-FR"/>
        </w:rPr>
      </w:pPr>
    </w:p>
    <w:p w14:paraId="441C23B0" w14:textId="1DCDBC16" w:rsidR="004C48B6" w:rsidRPr="00206C7A" w:rsidRDefault="004C48B6" w:rsidP="00746391">
      <w:pPr>
        <w:pStyle w:val="SingleTxt"/>
        <w:numPr>
          <w:ilvl w:val="0"/>
          <w:numId w:val="6"/>
        </w:numPr>
        <w:tabs>
          <w:tab w:val="num" w:pos="2804"/>
        </w:tabs>
        <w:spacing w:line="240" w:lineRule="exact"/>
        <w:ind w:left="1267"/>
        <w:rPr>
          <w:lang w:val="fr-FR"/>
        </w:rPr>
      </w:pPr>
      <w:r w:rsidRPr="00206C7A">
        <w:rPr>
          <w:lang w:val="fr-FR"/>
        </w:rPr>
        <w:t>Au cours des sept premiers mois de 2017, le Ministère de l</w:t>
      </w:r>
      <w:r w:rsidR="008E14FD">
        <w:rPr>
          <w:lang w:val="fr-FR"/>
        </w:rPr>
        <w:t>’</w:t>
      </w:r>
      <w:r w:rsidRPr="00206C7A">
        <w:rPr>
          <w:lang w:val="fr-FR"/>
        </w:rPr>
        <w:t xml:space="preserve">intérieur a enregistré 65 affaires pénales de violence familiale. </w:t>
      </w:r>
    </w:p>
    <w:p w14:paraId="60A1265D" w14:textId="64C611D9" w:rsidR="004C48B6" w:rsidRPr="00922DB7" w:rsidRDefault="004C48B6" w:rsidP="00922DB7">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3420"/>
        <w:gridCol w:w="1350"/>
        <w:gridCol w:w="1350"/>
        <w:gridCol w:w="1242"/>
      </w:tblGrid>
      <w:tr w:rsidR="00843EC7" w:rsidRPr="00922DB7" w14:paraId="762A015F" w14:textId="77777777" w:rsidTr="00AF71F5">
        <w:trPr>
          <w:cantSplit/>
          <w:tblHeader/>
        </w:trPr>
        <w:tc>
          <w:tcPr>
            <w:tcW w:w="3420" w:type="dxa"/>
            <w:tcBorders>
              <w:top w:val="single" w:sz="4" w:space="0" w:color="auto"/>
              <w:bottom w:val="single" w:sz="12" w:space="0" w:color="auto"/>
            </w:tcBorders>
            <w:shd w:val="clear" w:color="auto" w:fill="auto"/>
            <w:vAlign w:val="bottom"/>
          </w:tcPr>
          <w:p w14:paraId="16ADA33E" w14:textId="77777777" w:rsidR="00843EC7" w:rsidRPr="00922DB7" w:rsidRDefault="00843EC7" w:rsidP="00922DB7">
            <w:pPr>
              <w:suppressAutoHyphens/>
              <w:spacing w:before="80" w:after="80" w:line="160" w:lineRule="exact"/>
              <w:ind w:right="40"/>
              <w:rPr>
                <w:rFonts w:eastAsia="Times New Roman"/>
                <w:i/>
                <w:spacing w:val="0"/>
                <w:w w:val="100"/>
                <w:kern w:val="0"/>
                <w:sz w:val="14"/>
                <w:szCs w:val="20"/>
                <w:lang w:val="fr-FR"/>
              </w:rPr>
            </w:pPr>
            <w:bookmarkStart w:id="3" w:name="_Hlk505249908"/>
          </w:p>
        </w:tc>
        <w:tc>
          <w:tcPr>
            <w:tcW w:w="1350" w:type="dxa"/>
            <w:tcBorders>
              <w:top w:val="single" w:sz="4" w:space="0" w:color="auto"/>
              <w:bottom w:val="single" w:sz="12" w:space="0" w:color="auto"/>
            </w:tcBorders>
            <w:shd w:val="clear" w:color="auto" w:fill="auto"/>
            <w:vAlign w:val="bottom"/>
          </w:tcPr>
          <w:p w14:paraId="1E5C39B9" w14:textId="77777777" w:rsidR="00843EC7" w:rsidRPr="00922DB7" w:rsidRDefault="00843EC7" w:rsidP="00922DB7">
            <w:pPr>
              <w:suppressAutoHyphens/>
              <w:spacing w:before="80" w:after="80" w:line="160" w:lineRule="exact"/>
              <w:ind w:left="144" w:right="43"/>
              <w:jc w:val="right"/>
              <w:rPr>
                <w:rFonts w:eastAsia="Times New Roman"/>
                <w:i/>
                <w:spacing w:val="0"/>
                <w:w w:val="100"/>
                <w:kern w:val="0"/>
                <w:sz w:val="14"/>
                <w:szCs w:val="20"/>
                <w:lang w:val="fr-FR"/>
              </w:rPr>
            </w:pPr>
            <w:r w:rsidRPr="00922DB7">
              <w:rPr>
                <w:rFonts w:eastAsia="Times New Roman"/>
                <w:i/>
                <w:spacing w:val="0"/>
                <w:w w:val="100"/>
                <w:kern w:val="0"/>
                <w:sz w:val="14"/>
                <w:szCs w:val="20"/>
                <w:lang w:val="fr-FR"/>
              </w:rPr>
              <w:t>2015</w:t>
            </w:r>
          </w:p>
        </w:tc>
        <w:tc>
          <w:tcPr>
            <w:tcW w:w="1350" w:type="dxa"/>
            <w:tcBorders>
              <w:top w:val="single" w:sz="4" w:space="0" w:color="auto"/>
              <w:bottom w:val="single" w:sz="12" w:space="0" w:color="auto"/>
            </w:tcBorders>
            <w:shd w:val="clear" w:color="auto" w:fill="auto"/>
            <w:vAlign w:val="bottom"/>
          </w:tcPr>
          <w:p w14:paraId="531F2A86" w14:textId="77777777" w:rsidR="00843EC7" w:rsidRPr="00922DB7" w:rsidRDefault="00843EC7" w:rsidP="00922DB7">
            <w:pPr>
              <w:suppressAutoHyphens/>
              <w:spacing w:before="80" w:after="80" w:line="160" w:lineRule="exact"/>
              <w:ind w:left="144" w:right="43"/>
              <w:jc w:val="right"/>
              <w:rPr>
                <w:rFonts w:eastAsia="Times New Roman"/>
                <w:i/>
                <w:spacing w:val="0"/>
                <w:w w:val="100"/>
                <w:kern w:val="0"/>
                <w:sz w:val="14"/>
                <w:szCs w:val="20"/>
                <w:lang w:val="fr-FR"/>
              </w:rPr>
            </w:pPr>
            <w:r w:rsidRPr="00922DB7">
              <w:rPr>
                <w:rFonts w:eastAsia="Times New Roman"/>
                <w:i/>
                <w:spacing w:val="0"/>
                <w:w w:val="100"/>
                <w:kern w:val="0"/>
                <w:sz w:val="14"/>
                <w:szCs w:val="20"/>
                <w:lang w:val="fr-FR"/>
              </w:rPr>
              <w:t>2016</w:t>
            </w:r>
          </w:p>
        </w:tc>
        <w:tc>
          <w:tcPr>
            <w:tcW w:w="1242" w:type="dxa"/>
            <w:tcBorders>
              <w:top w:val="single" w:sz="4" w:space="0" w:color="auto"/>
              <w:bottom w:val="single" w:sz="12" w:space="0" w:color="auto"/>
            </w:tcBorders>
            <w:shd w:val="clear" w:color="auto" w:fill="auto"/>
            <w:vAlign w:val="bottom"/>
          </w:tcPr>
          <w:p w14:paraId="6DAF38FC" w14:textId="77777777" w:rsidR="00843EC7" w:rsidRPr="00922DB7" w:rsidRDefault="00843EC7" w:rsidP="00922DB7">
            <w:pPr>
              <w:suppressAutoHyphens/>
              <w:spacing w:before="80" w:after="80" w:line="160" w:lineRule="exact"/>
              <w:ind w:left="144" w:right="43"/>
              <w:jc w:val="right"/>
              <w:rPr>
                <w:rFonts w:eastAsia="Times New Roman"/>
                <w:i/>
                <w:spacing w:val="0"/>
                <w:w w:val="100"/>
                <w:kern w:val="0"/>
                <w:sz w:val="14"/>
                <w:szCs w:val="20"/>
                <w:lang w:val="fr-FR"/>
              </w:rPr>
            </w:pPr>
            <w:r w:rsidRPr="00922DB7">
              <w:rPr>
                <w:rFonts w:eastAsia="Times New Roman"/>
                <w:i/>
                <w:spacing w:val="0"/>
                <w:w w:val="100"/>
                <w:kern w:val="0"/>
                <w:sz w:val="14"/>
                <w:szCs w:val="20"/>
                <w:lang w:val="fr-FR"/>
              </w:rPr>
              <w:t>7 premiers mois de 2017</w:t>
            </w:r>
          </w:p>
        </w:tc>
      </w:tr>
      <w:tr w:rsidR="00922DB7" w:rsidRPr="00922DB7" w14:paraId="67CA1E5C" w14:textId="77777777" w:rsidTr="00AF71F5">
        <w:trPr>
          <w:cantSplit/>
          <w:trHeight w:hRule="exact" w:val="115"/>
          <w:tblHeader/>
        </w:trPr>
        <w:tc>
          <w:tcPr>
            <w:tcW w:w="3420" w:type="dxa"/>
            <w:tcBorders>
              <w:top w:val="single" w:sz="12" w:space="0" w:color="auto"/>
            </w:tcBorders>
            <w:shd w:val="clear" w:color="auto" w:fill="auto"/>
            <w:vAlign w:val="bottom"/>
          </w:tcPr>
          <w:p w14:paraId="15BBFDEE" w14:textId="77777777" w:rsidR="00922DB7" w:rsidRPr="00922DB7" w:rsidRDefault="00922DB7" w:rsidP="00922DB7">
            <w:pPr>
              <w:suppressAutoHyphens/>
              <w:spacing w:before="40" w:after="40" w:line="210" w:lineRule="exact"/>
              <w:ind w:right="40"/>
              <w:rPr>
                <w:rFonts w:eastAsia="Times New Roman"/>
                <w:spacing w:val="0"/>
                <w:w w:val="100"/>
                <w:kern w:val="0"/>
                <w:sz w:val="17"/>
                <w:szCs w:val="20"/>
                <w:lang w:val="fr-FR"/>
              </w:rPr>
            </w:pPr>
          </w:p>
        </w:tc>
        <w:tc>
          <w:tcPr>
            <w:tcW w:w="1350" w:type="dxa"/>
            <w:tcBorders>
              <w:top w:val="single" w:sz="12" w:space="0" w:color="auto"/>
            </w:tcBorders>
            <w:shd w:val="clear" w:color="auto" w:fill="auto"/>
            <w:vAlign w:val="bottom"/>
          </w:tcPr>
          <w:p w14:paraId="68095E9D" w14:textId="77777777" w:rsidR="00922DB7" w:rsidRPr="00922DB7" w:rsidRDefault="00922DB7" w:rsidP="00922DB7">
            <w:pPr>
              <w:suppressAutoHyphens/>
              <w:spacing w:before="40" w:after="40" w:line="210" w:lineRule="exact"/>
              <w:ind w:left="144" w:right="43"/>
              <w:jc w:val="right"/>
              <w:rPr>
                <w:rFonts w:eastAsia="Times New Roman"/>
                <w:spacing w:val="0"/>
                <w:w w:val="100"/>
                <w:kern w:val="0"/>
                <w:sz w:val="17"/>
                <w:szCs w:val="20"/>
                <w:lang w:val="fr-FR"/>
              </w:rPr>
            </w:pPr>
          </w:p>
        </w:tc>
        <w:tc>
          <w:tcPr>
            <w:tcW w:w="1350" w:type="dxa"/>
            <w:tcBorders>
              <w:top w:val="single" w:sz="12" w:space="0" w:color="auto"/>
            </w:tcBorders>
            <w:shd w:val="clear" w:color="auto" w:fill="auto"/>
            <w:vAlign w:val="bottom"/>
          </w:tcPr>
          <w:p w14:paraId="4A7F8DFE" w14:textId="77777777" w:rsidR="00922DB7" w:rsidRPr="00922DB7" w:rsidRDefault="00922DB7" w:rsidP="00922DB7">
            <w:pPr>
              <w:suppressAutoHyphens/>
              <w:spacing w:before="40" w:after="40" w:line="210" w:lineRule="exact"/>
              <w:ind w:left="144" w:right="43"/>
              <w:jc w:val="right"/>
              <w:rPr>
                <w:rFonts w:eastAsia="Times New Roman"/>
                <w:spacing w:val="0"/>
                <w:w w:val="100"/>
                <w:kern w:val="0"/>
                <w:sz w:val="17"/>
                <w:szCs w:val="20"/>
                <w:lang w:val="fr-FR"/>
              </w:rPr>
            </w:pPr>
          </w:p>
        </w:tc>
        <w:tc>
          <w:tcPr>
            <w:tcW w:w="1242" w:type="dxa"/>
            <w:tcBorders>
              <w:top w:val="single" w:sz="12" w:space="0" w:color="auto"/>
            </w:tcBorders>
            <w:shd w:val="clear" w:color="auto" w:fill="auto"/>
            <w:vAlign w:val="bottom"/>
          </w:tcPr>
          <w:p w14:paraId="1A7724C3" w14:textId="77777777" w:rsidR="00922DB7" w:rsidRPr="00922DB7" w:rsidRDefault="00922DB7" w:rsidP="00922DB7">
            <w:pPr>
              <w:suppressAutoHyphens/>
              <w:spacing w:before="40" w:after="40" w:line="210" w:lineRule="exact"/>
              <w:ind w:left="144" w:right="43"/>
              <w:jc w:val="right"/>
              <w:rPr>
                <w:rFonts w:eastAsia="Times New Roman"/>
                <w:spacing w:val="0"/>
                <w:w w:val="100"/>
                <w:kern w:val="0"/>
                <w:sz w:val="17"/>
                <w:szCs w:val="20"/>
                <w:lang w:val="fr-FR"/>
              </w:rPr>
            </w:pPr>
          </w:p>
        </w:tc>
      </w:tr>
      <w:tr w:rsidR="00843EC7" w:rsidRPr="00922DB7" w14:paraId="4889CE42" w14:textId="77777777" w:rsidTr="00AF71F5">
        <w:trPr>
          <w:cantSplit/>
        </w:trPr>
        <w:tc>
          <w:tcPr>
            <w:tcW w:w="3420" w:type="dxa"/>
            <w:tcBorders>
              <w:bottom w:val="single" w:sz="12" w:space="0" w:color="auto"/>
            </w:tcBorders>
            <w:shd w:val="clear" w:color="auto" w:fill="auto"/>
            <w:vAlign w:val="bottom"/>
          </w:tcPr>
          <w:p w14:paraId="44839405" w14:textId="5D7EF361" w:rsidR="00843EC7" w:rsidRPr="00922DB7" w:rsidRDefault="00843EC7" w:rsidP="00C35A7D">
            <w:pPr>
              <w:tabs>
                <w:tab w:val="left" w:pos="288"/>
                <w:tab w:val="left" w:pos="576"/>
                <w:tab w:val="left" w:pos="864"/>
                <w:tab w:val="left" w:pos="1152"/>
              </w:tabs>
              <w:suppressAutoHyphens/>
              <w:spacing w:before="40" w:after="40" w:line="210" w:lineRule="exact"/>
              <w:ind w:right="40"/>
              <w:rPr>
                <w:rFonts w:eastAsia="Times New Roman"/>
                <w:spacing w:val="0"/>
                <w:w w:val="100"/>
                <w:kern w:val="0"/>
                <w:sz w:val="17"/>
                <w:szCs w:val="20"/>
                <w:lang w:val="fr-FR"/>
              </w:rPr>
            </w:pPr>
            <w:r w:rsidRPr="00922DB7">
              <w:rPr>
                <w:rFonts w:eastAsia="Times New Roman"/>
                <w:spacing w:val="0"/>
                <w:w w:val="100"/>
                <w:kern w:val="0"/>
                <w:sz w:val="17"/>
                <w:szCs w:val="20"/>
                <w:lang w:val="fr-FR"/>
              </w:rPr>
              <w:t>Nombre d</w:t>
            </w:r>
            <w:r w:rsidR="008E14FD" w:rsidRPr="00922DB7">
              <w:rPr>
                <w:rFonts w:eastAsia="Times New Roman"/>
                <w:spacing w:val="0"/>
                <w:w w:val="100"/>
                <w:kern w:val="0"/>
                <w:sz w:val="17"/>
                <w:szCs w:val="20"/>
                <w:lang w:val="fr-FR"/>
              </w:rPr>
              <w:t>’</w:t>
            </w:r>
            <w:r w:rsidRPr="00922DB7">
              <w:rPr>
                <w:rFonts w:eastAsia="Times New Roman"/>
                <w:spacing w:val="0"/>
                <w:w w:val="100"/>
                <w:kern w:val="0"/>
                <w:sz w:val="17"/>
                <w:szCs w:val="20"/>
                <w:lang w:val="fr-FR"/>
              </w:rPr>
              <w:t>affaires pénales de violence familiale</w:t>
            </w:r>
          </w:p>
        </w:tc>
        <w:tc>
          <w:tcPr>
            <w:tcW w:w="1350" w:type="dxa"/>
            <w:tcBorders>
              <w:bottom w:val="single" w:sz="12" w:space="0" w:color="auto"/>
            </w:tcBorders>
            <w:shd w:val="clear" w:color="auto" w:fill="auto"/>
            <w:vAlign w:val="bottom"/>
          </w:tcPr>
          <w:p w14:paraId="06D25D0F" w14:textId="3A129818" w:rsidR="00843EC7" w:rsidRPr="00922DB7" w:rsidRDefault="00843EC7"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lang w:val="fr-FR"/>
              </w:rPr>
            </w:pPr>
            <w:r w:rsidRPr="00922DB7">
              <w:rPr>
                <w:rFonts w:eastAsia="Times New Roman"/>
                <w:spacing w:val="0"/>
                <w:w w:val="100"/>
                <w:kern w:val="0"/>
                <w:sz w:val="17"/>
                <w:szCs w:val="20"/>
                <w:lang w:val="fr-FR"/>
              </w:rPr>
              <w:t>146</w:t>
            </w:r>
          </w:p>
        </w:tc>
        <w:tc>
          <w:tcPr>
            <w:tcW w:w="1350" w:type="dxa"/>
            <w:tcBorders>
              <w:bottom w:val="single" w:sz="12" w:space="0" w:color="auto"/>
            </w:tcBorders>
            <w:shd w:val="clear" w:color="auto" w:fill="auto"/>
            <w:vAlign w:val="bottom"/>
          </w:tcPr>
          <w:p w14:paraId="4F48C8BD" w14:textId="77777777" w:rsidR="00843EC7" w:rsidRPr="00922DB7" w:rsidRDefault="00843EC7"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lang w:val="fr-FR"/>
              </w:rPr>
            </w:pPr>
            <w:r w:rsidRPr="00922DB7">
              <w:rPr>
                <w:rFonts w:eastAsia="Times New Roman"/>
                <w:spacing w:val="0"/>
                <w:w w:val="100"/>
                <w:kern w:val="0"/>
                <w:sz w:val="17"/>
                <w:szCs w:val="20"/>
                <w:lang w:val="fr-FR"/>
              </w:rPr>
              <w:t>257</w:t>
            </w:r>
          </w:p>
        </w:tc>
        <w:tc>
          <w:tcPr>
            <w:tcW w:w="1242" w:type="dxa"/>
            <w:tcBorders>
              <w:bottom w:val="single" w:sz="12" w:space="0" w:color="auto"/>
            </w:tcBorders>
            <w:shd w:val="clear" w:color="auto" w:fill="auto"/>
            <w:vAlign w:val="bottom"/>
          </w:tcPr>
          <w:p w14:paraId="3649CEA8" w14:textId="77777777" w:rsidR="00843EC7" w:rsidRPr="00922DB7" w:rsidRDefault="00843EC7"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lang w:val="fr-FR"/>
              </w:rPr>
            </w:pPr>
            <w:r w:rsidRPr="00922DB7">
              <w:rPr>
                <w:rFonts w:eastAsia="Times New Roman"/>
                <w:spacing w:val="0"/>
                <w:w w:val="100"/>
                <w:kern w:val="0"/>
                <w:sz w:val="17"/>
                <w:szCs w:val="20"/>
                <w:lang w:val="fr-FR"/>
              </w:rPr>
              <w:t>65</w:t>
            </w:r>
          </w:p>
        </w:tc>
      </w:tr>
      <w:bookmarkEnd w:id="3"/>
    </w:tbl>
    <w:p w14:paraId="4A593F0A" w14:textId="4B9D1278" w:rsidR="00843EC7" w:rsidRPr="00843EC7" w:rsidRDefault="00843EC7" w:rsidP="00843EC7">
      <w:pPr>
        <w:pStyle w:val="SingleTxt"/>
        <w:spacing w:after="0" w:line="120" w:lineRule="exact"/>
        <w:rPr>
          <w:sz w:val="10"/>
          <w:lang w:val="fr-FR"/>
        </w:rPr>
      </w:pPr>
    </w:p>
    <w:p w14:paraId="63DA5CBC" w14:textId="43B49E91" w:rsidR="00843EC7" w:rsidRPr="00843EC7" w:rsidRDefault="00843EC7" w:rsidP="00843EC7">
      <w:pPr>
        <w:pStyle w:val="SingleTxt"/>
        <w:spacing w:after="0" w:line="120" w:lineRule="exact"/>
        <w:rPr>
          <w:sz w:val="10"/>
          <w:lang w:val="fr-FR"/>
        </w:rPr>
      </w:pPr>
    </w:p>
    <w:p w14:paraId="7E226A5A" w14:textId="75E0021E" w:rsidR="004C48B6" w:rsidRDefault="004C48B6" w:rsidP="00746391">
      <w:pPr>
        <w:pStyle w:val="SingleTxt"/>
        <w:numPr>
          <w:ilvl w:val="0"/>
          <w:numId w:val="6"/>
        </w:numPr>
        <w:spacing w:line="240" w:lineRule="exact"/>
        <w:ind w:left="1267"/>
        <w:rPr>
          <w:lang w:val="fr-FR"/>
        </w:rPr>
      </w:pPr>
      <w:r w:rsidRPr="004C48B6">
        <w:rPr>
          <w:lang w:val="fr-FR"/>
        </w:rPr>
        <w:t>Comme le montrent les tableaux ci-dessus, le nombre d</w:t>
      </w:r>
      <w:r w:rsidR="008E14FD">
        <w:rPr>
          <w:lang w:val="fr-FR"/>
        </w:rPr>
        <w:t>’</w:t>
      </w:r>
      <w:r w:rsidRPr="004C48B6">
        <w:rPr>
          <w:lang w:val="fr-FR"/>
        </w:rPr>
        <w:t>infractions liées à la violence à l</w:t>
      </w:r>
      <w:r w:rsidR="008E14FD">
        <w:rPr>
          <w:lang w:val="fr-FR"/>
        </w:rPr>
        <w:t>’</w:t>
      </w:r>
      <w:r w:rsidRPr="004C48B6">
        <w:rPr>
          <w:lang w:val="fr-FR"/>
        </w:rPr>
        <w:t>égard des femmes ne diminue pas et tend même à augmenter pour certaines catégories.</w:t>
      </w:r>
      <w:r w:rsidR="008E14FD">
        <w:rPr>
          <w:lang w:val="fr-FR"/>
        </w:rPr>
        <w:t xml:space="preserve"> </w:t>
      </w:r>
    </w:p>
    <w:p w14:paraId="0956E9B2" w14:textId="4D87D0A1" w:rsidR="004C48B6" w:rsidRDefault="00843EC7" w:rsidP="00843E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4C48B6" w:rsidRPr="004C48B6">
        <w:rPr>
          <w:lang w:val="fr-FR"/>
        </w:rPr>
        <w:t>Traite et exploitation de la prostitution</w:t>
      </w:r>
    </w:p>
    <w:p w14:paraId="6E5B9F01" w14:textId="09FB5439" w:rsidR="00843EC7" w:rsidRPr="00843EC7" w:rsidRDefault="00843EC7" w:rsidP="00843EC7">
      <w:pPr>
        <w:pStyle w:val="SingleTxt"/>
        <w:spacing w:after="0" w:line="120" w:lineRule="exact"/>
        <w:rPr>
          <w:sz w:val="10"/>
          <w:lang w:val="fr-FR"/>
        </w:rPr>
      </w:pPr>
    </w:p>
    <w:p w14:paraId="665013D3" w14:textId="0131C672" w:rsidR="004C48B6" w:rsidRDefault="00843EC7" w:rsidP="00843E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C48B6" w:rsidRPr="004C48B6">
        <w:rPr>
          <w:lang w:val="fr-FR"/>
        </w:rPr>
        <w:t>Paragraphe 20 des observations finales</w:t>
      </w:r>
    </w:p>
    <w:p w14:paraId="6D96A534" w14:textId="4CFB59DA" w:rsidR="00843EC7" w:rsidRPr="00843EC7" w:rsidRDefault="00843EC7" w:rsidP="00843EC7">
      <w:pPr>
        <w:pStyle w:val="SingleTxt"/>
        <w:spacing w:after="0" w:line="120" w:lineRule="exact"/>
        <w:rPr>
          <w:sz w:val="10"/>
          <w:lang w:val="fr-FR"/>
        </w:rPr>
      </w:pPr>
    </w:p>
    <w:p w14:paraId="29156E67" w14:textId="66635EF9" w:rsidR="004C48B6" w:rsidRPr="004C48B6" w:rsidRDefault="004C48B6" w:rsidP="00746391">
      <w:pPr>
        <w:pStyle w:val="SingleTxt"/>
        <w:numPr>
          <w:ilvl w:val="0"/>
          <w:numId w:val="6"/>
        </w:numPr>
        <w:spacing w:line="240" w:lineRule="exact"/>
        <w:ind w:left="1267"/>
        <w:rPr>
          <w:lang w:val="fr-FR"/>
        </w:rPr>
      </w:pPr>
      <w:r w:rsidRPr="004C48B6">
        <w:rPr>
          <w:lang w:val="fr-FR"/>
        </w:rPr>
        <w:t>Le Tadjikistan est partie à plusieurs instruments multilatéraux relatifs à la lutte contre la traite des êtres humains, notamment la Convention pour la répression de la traite des êtres humains et de l</w:t>
      </w:r>
      <w:r w:rsidR="008E14FD">
        <w:rPr>
          <w:lang w:val="fr-FR"/>
        </w:rPr>
        <w:t>’</w:t>
      </w:r>
      <w:r w:rsidRPr="004C48B6">
        <w:rPr>
          <w:lang w:val="fr-FR"/>
        </w:rPr>
        <w:t>exploitation de la prostitution d</w:t>
      </w:r>
      <w:r w:rsidR="008E14FD">
        <w:rPr>
          <w:lang w:val="fr-FR"/>
        </w:rPr>
        <w:t>’</w:t>
      </w:r>
      <w:r w:rsidRPr="004C48B6">
        <w:rPr>
          <w:lang w:val="fr-FR"/>
        </w:rPr>
        <w:t>autrui du 2 décembre 1949, la</w:t>
      </w:r>
      <w:r w:rsidR="008E14FD">
        <w:rPr>
          <w:lang w:val="fr-FR"/>
        </w:rPr>
        <w:t xml:space="preserve"> </w:t>
      </w:r>
      <w:r w:rsidRPr="004C48B6">
        <w:rPr>
          <w:lang w:val="fr-FR"/>
        </w:rPr>
        <w:t>Convention des Nations Unies contre la criminalité transnationale organisée, le</w:t>
      </w:r>
      <w:r w:rsidR="008E14FD">
        <w:rPr>
          <w:lang w:val="fr-FR"/>
        </w:rPr>
        <w:t xml:space="preserve"> </w:t>
      </w:r>
      <w:r w:rsidRPr="004C48B6">
        <w:rPr>
          <w:lang w:val="fr-FR"/>
        </w:rPr>
        <w:t>Protocole additionnel à la Convention des Nations Unies contre la criminalité transnationale organisée visant à prévenir, réprimer et punir la traite des personnes, en particulier des femmes et des enfants, le Protocole contre le trafic illicite de migrants par terre, air et mer, additionnel à la Convention des Nations Unies contre la criminalité transnationale organisée de décembre 2000 et l</w:t>
      </w:r>
      <w:r w:rsidR="008E14FD">
        <w:rPr>
          <w:lang w:val="fr-FR"/>
        </w:rPr>
        <w:t>’</w:t>
      </w:r>
      <w:r w:rsidRPr="004C48B6">
        <w:rPr>
          <w:lang w:val="fr-FR"/>
        </w:rPr>
        <w:t>Accord de coopération des ministères de l</w:t>
      </w:r>
      <w:r w:rsidR="008E14FD">
        <w:rPr>
          <w:lang w:val="fr-FR"/>
        </w:rPr>
        <w:t>’</w:t>
      </w:r>
      <w:r w:rsidRPr="004C48B6">
        <w:rPr>
          <w:lang w:val="fr-FR"/>
        </w:rPr>
        <w:t>intérieur (de la police) des États membres de la</w:t>
      </w:r>
      <w:r w:rsidR="008E14FD">
        <w:rPr>
          <w:lang w:val="fr-FR"/>
        </w:rPr>
        <w:t xml:space="preserve"> </w:t>
      </w:r>
      <w:r w:rsidRPr="004C48B6">
        <w:rPr>
          <w:lang w:val="fr-FR"/>
        </w:rPr>
        <w:t>Communauté d</w:t>
      </w:r>
      <w:r w:rsidR="008E14FD">
        <w:rPr>
          <w:lang w:val="fr-FR"/>
        </w:rPr>
        <w:t>’</w:t>
      </w:r>
      <w:r w:rsidRPr="004C48B6">
        <w:rPr>
          <w:lang w:val="fr-FR"/>
        </w:rPr>
        <w:t xml:space="preserve">États indépendants dans le domaine de la lutte contre la traite des êtres humains. </w:t>
      </w:r>
    </w:p>
    <w:p w14:paraId="36393CB6" w14:textId="6B200A6D" w:rsidR="004C48B6" w:rsidRPr="004C48B6" w:rsidRDefault="004C48B6" w:rsidP="00746391">
      <w:pPr>
        <w:pStyle w:val="SingleTxt"/>
        <w:numPr>
          <w:ilvl w:val="0"/>
          <w:numId w:val="6"/>
        </w:numPr>
        <w:tabs>
          <w:tab w:val="num" w:pos="2804"/>
        </w:tabs>
        <w:spacing w:line="240" w:lineRule="exact"/>
        <w:ind w:left="1267"/>
        <w:rPr>
          <w:lang w:val="fr-FR"/>
        </w:rPr>
      </w:pPr>
      <w:r w:rsidRPr="004C48B6">
        <w:rPr>
          <w:lang w:val="fr-FR"/>
        </w:rPr>
        <w:t>Jusqu</w:t>
      </w:r>
      <w:r w:rsidR="008E14FD">
        <w:rPr>
          <w:lang w:val="fr-FR"/>
        </w:rPr>
        <w:t>’</w:t>
      </w:r>
      <w:r w:rsidRPr="004C48B6">
        <w:rPr>
          <w:lang w:val="fr-FR"/>
        </w:rPr>
        <w:t>en juillet 2014, la lutte contre la traite des êtres humains était régie par la loi y relative, qui a été remplacée le 26 juillet 2014 par une loi sur la lutte contre la traite des êtres humains et l</w:t>
      </w:r>
      <w:r w:rsidR="008E14FD">
        <w:rPr>
          <w:lang w:val="fr-FR"/>
        </w:rPr>
        <w:t>’</w:t>
      </w:r>
      <w:r w:rsidRPr="004C48B6">
        <w:rPr>
          <w:lang w:val="fr-FR"/>
        </w:rPr>
        <w:t>aide aux victimes de la traite. Cette loi pose les fondements organisationnels et juridiques de la lutte contre la traite, prévoit un ensemble de mesures visant à protéger les victimes, à leur prêter assistance et à assurer leur réintégration, et règlemente les relations sociales dans le domaine de la lutte contre la traite et de l</w:t>
      </w:r>
      <w:r w:rsidR="008E14FD">
        <w:rPr>
          <w:lang w:val="fr-FR"/>
        </w:rPr>
        <w:t>’</w:t>
      </w:r>
      <w:r w:rsidRPr="004C48B6">
        <w:rPr>
          <w:lang w:val="fr-FR"/>
        </w:rPr>
        <w:t>aide aux victimes. La nouvelle loi se distingue notamment en ce qu</w:t>
      </w:r>
      <w:r w:rsidR="008E14FD">
        <w:rPr>
          <w:lang w:val="fr-FR"/>
        </w:rPr>
        <w:t>’</w:t>
      </w:r>
      <w:r w:rsidRPr="004C48B6">
        <w:rPr>
          <w:lang w:val="fr-FR"/>
        </w:rPr>
        <w:t>elle prévoit la mise en œuvre d</w:t>
      </w:r>
      <w:r w:rsidR="008E14FD">
        <w:rPr>
          <w:lang w:val="fr-FR"/>
        </w:rPr>
        <w:t>’</w:t>
      </w:r>
      <w:r w:rsidRPr="004C48B6">
        <w:rPr>
          <w:lang w:val="fr-FR"/>
        </w:rPr>
        <w:t xml:space="preserve">un ensemble de mesures destinées à aider les victimes de la traite. </w:t>
      </w:r>
    </w:p>
    <w:p w14:paraId="4CDADD0C" w14:textId="57E7DB4E" w:rsidR="004C48B6" w:rsidRPr="004C48B6" w:rsidRDefault="004C48B6" w:rsidP="00746391">
      <w:pPr>
        <w:pStyle w:val="SingleTxt"/>
        <w:numPr>
          <w:ilvl w:val="0"/>
          <w:numId w:val="6"/>
        </w:numPr>
        <w:tabs>
          <w:tab w:val="num" w:pos="2804"/>
        </w:tabs>
        <w:spacing w:line="240" w:lineRule="exact"/>
        <w:ind w:left="1267"/>
        <w:rPr>
          <w:lang w:val="fr-FR"/>
        </w:rPr>
      </w:pPr>
      <w:r w:rsidRPr="004C48B6">
        <w:rPr>
          <w:lang w:val="fr-FR"/>
        </w:rPr>
        <w:t>Afin de renforcer l</w:t>
      </w:r>
      <w:r w:rsidR="008E14FD">
        <w:rPr>
          <w:lang w:val="fr-FR"/>
        </w:rPr>
        <w:t>’</w:t>
      </w:r>
      <w:r w:rsidRPr="004C48B6">
        <w:rPr>
          <w:lang w:val="fr-FR"/>
        </w:rPr>
        <w:t>action menée pour combattre la traite des êtres humains, un programme global en la matière a été adopté pour la période 2014-2016 et la législation y relative est en cours d</w:t>
      </w:r>
      <w:r w:rsidR="008E14FD">
        <w:rPr>
          <w:lang w:val="fr-FR"/>
        </w:rPr>
        <w:t>’</w:t>
      </w:r>
      <w:r w:rsidRPr="004C48B6">
        <w:rPr>
          <w:lang w:val="fr-FR"/>
        </w:rPr>
        <w:t xml:space="preserve">amélioration. On a également mis sur pied une commission interministérielle de lutte contre la traite des êtres humains relevant du Gouvernement, qui est composée de représentants des ministères et départements compétents, ainsi que de représentants de la société civile. </w:t>
      </w:r>
    </w:p>
    <w:p w14:paraId="035EE16A" w14:textId="54148175" w:rsidR="004C48B6" w:rsidRPr="004C48B6" w:rsidRDefault="004C48B6" w:rsidP="00746391">
      <w:pPr>
        <w:pStyle w:val="SingleTxt"/>
        <w:numPr>
          <w:ilvl w:val="0"/>
          <w:numId w:val="6"/>
        </w:numPr>
        <w:tabs>
          <w:tab w:val="num" w:pos="2804"/>
        </w:tabs>
        <w:spacing w:line="240" w:lineRule="exact"/>
        <w:ind w:left="1267"/>
        <w:rPr>
          <w:lang w:val="fr-FR"/>
        </w:rPr>
      </w:pPr>
      <w:r w:rsidRPr="004C48B6">
        <w:rPr>
          <w:lang w:val="fr-FR"/>
        </w:rPr>
        <w:t>Par arrêté du 27 juillet 2016, le Gouvernement</w:t>
      </w:r>
      <w:r w:rsidR="008E14FD">
        <w:rPr>
          <w:lang w:val="fr-FR"/>
        </w:rPr>
        <w:t xml:space="preserve"> </w:t>
      </w:r>
      <w:r w:rsidRPr="004C48B6">
        <w:rPr>
          <w:lang w:val="fr-FR"/>
        </w:rPr>
        <w:t>a approuvé le Plan national de lutte contre la traite des êtres humains pour la période 2016-2018, qui prévoit un ensemble de mesures visant à combattre la traite et à engager des poursuites pénales contre les responsables, ainsi qu</w:t>
      </w:r>
      <w:r w:rsidR="008E14FD">
        <w:rPr>
          <w:lang w:val="fr-FR"/>
        </w:rPr>
        <w:t>’</w:t>
      </w:r>
      <w:r w:rsidRPr="004C48B6">
        <w:rPr>
          <w:lang w:val="fr-FR"/>
        </w:rPr>
        <w:t xml:space="preserve">à protéger les victimes et leur prêter assistance. </w:t>
      </w:r>
    </w:p>
    <w:p w14:paraId="69FA60FE" w14:textId="4710F967" w:rsidR="004C48B6" w:rsidRPr="004C48B6" w:rsidRDefault="004C48B6" w:rsidP="00746391">
      <w:pPr>
        <w:pStyle w:val="SingleTxt"/>
        <w:numPr>
          <w:ilvl w:val="0"/>
          <w:numId w:val="6"/>
        </w:numPr>
        <w:tabs>
          <w:tab w:val="num" w:pos="2804"/>
        </w:tabs>
        <w:spacing w:line="240" w:lineRule="exact"/>
        <w:ind w:left="1267"/>
        <w:rPr>
          <w:lang w:val="fr-FR"/>
        </w:rPr>
      </w:pPr>
      <w:r w:rsidRPr="004C48B6">
        <w:rPr>
          <w:lang w:val="fr-FR"/>
        </w:rPr>
        <w:t>Bien que la législation tadjike n</w:t>
      </w:r>
      <w:r w:rsidR="008E14FD">
        <w:rPr>
          <w:lang w:val="fr-FR"/>
        </w:rPr>
        <w:t>’</w:t>
      </w:r>
      <w:r w:rsidRPr="004C48B6">
        <w:rPr>
          <w:lang w:val="fr-FR"/>
        </w:rPr>
        <w:t>incrimine pas la prostitution, le Code pénal érige en infraction l</w:t>
      </w:r>
      <w:r w:rsidR="008E14FD">
        <w:rPr>
          <w:lang w:val="fr-FR"/>
        </w:rPr>
        <w:t>’</w:t>
      </w:r>
      <w:r w:rsidRPr="004C48B6">
        <w:rPr>
          <w:lang w:val="fr-FR"/>
        </w:rPr>
        <w:t xml:space="preserve">incitation à la prostitution, la mise en place et la tenue de maisons closes ainsi que le proxénétisme sous toutes ses formes (articles 238 et 239). </w:t>
      </w:r>
    </w:p>
    <w:p w14:paraId="4567E709" w14:textId="589A4A69" w:rsidR="004C48B6" w:rsidRPr="004C48B6" w:rsidRDefault="004C48B6" w:rsidP="00746391">
      <w:pPr>
        <w:pStyle w:val="SingleTxt"/>
        <w:numPr>
          <w:ilvl w:val="0"/>
          <w:numId w:val="6"/>
        </w:numPr>
        <w:tabs>
          <w:tab w:val="num" w:pos="2804"/>
        </w:tabs>
        <w:spacing w:line="240" w:lineRule="exact"/>
        <w:ind w:left="1267"/>
        <w:rPr>
          <w:lang w:val="fr-FR"/>
        </w:rPr>
      </w:pPr>
      <w:r w:rsidRPr="004C48B6">
        <w:rPr>
          <w:lang w:val="fr-FR"/>
        </w:rPr>
        <w:t>Conformément à l</w:t>
      </w:r>
      <w:r w:rsidR="008E14FD">
        <w:rPr>
          <w:lang w:val="fr-FR"/>
        </w:rPr>
        <w:t>’</w:t>
      </w:r>
      <w:r w:rsidRPr="004C48B6">
        <w:rPr>
          <w:lang w:val="fr-FR"/>
        </w:rPr>
        <w:t>article 130 du Code des infractions administratives, la prostitution est passible de sanctions administratives uniquement, sous la forme d</w:t>
      </w:r>
      <w:r w:rsidR="008E14FD">
        <w:rPr>
          <w:lang w:val="fr-FR"/>
        </w:rPr>
        <w:t>’</w:t>
      </w:r>
      <w:r w:rsidRPr="004C48B6">
        <w:rPr>
          <w:lang w:val="fr-FR"/>
        </w:rPr>
        <w:t>une amende ou d</w:t>
      </w:r>
      <w:r w:rsidR="008E14FD">
        <w:rPr>
          <w:lang w:val="fr-FR"/>
        </w:rPr>
        <w:t>’</w:t>
      </w:r>
      <w:r w:rsidRPr="004C48B6">
        <w:rPr>
          <w:lang w:val="fr-FR"/>
        </w:rPr>
        <w:t>une détention administrative d</w:t>
      </w:r>
      <w:r w:rsidR="008E14FD">
        <w:rPr>
          <w:lang w:val="fr-FR"/>
        </w:rPr>
        <w:t>’</w:t>
      </w:r>
      <w:r w:rsidRPr="004C48B6">
        <w:rPr>
          <w:lang w:val="fr-FR"/>
        </w:rPr>
        <w:t xml:space="preserve">une durée de 10 à 15 jours. </w:t>
      </w:r>
    </w:p>
    <w:p w14:paraId="3E171A4A" w14:textId="537FE525" w:rsidR="004C48B6" w:rsidRPr="004C48B6" w:rsidRDefault="004C48B6" w:rsidP="00746391">
      <w:pPr>
        <w:pStyle w:val="SingleTxt"/>
        <w:numPr>
          <w:ilvl w:val="0"/>
          <w:numId w:val="6"/>
        </w:numPr>
        <w:tabs>
          <w:tab w:val="num" w:pos="2804"/>
        </w:tabs>
        <w:spacing w:line="240" w:lineRule="exact"/>
        <w:ind w:left="1267"/>
        <w:rPr>
          <w:lang w:val="fr-FR"/>
        </w:rPr>
      </w:pPr>
      <w:r w:rsidRPr="004C48B6">
        <w:rPr>
          <w:lang w:val="fr-FR"/>
        </w:rPr>
        <w:t>Dans le cadre du Programme national en faveur de l</w:t>
      </w:r>
      <w:r w:rsidR="008E14FD">
        <w:rPr>
          <w:lang w:val="fr-FR"/>
        </w:rPr>
        <w:t>’</w:t>
      </w:r>
      <w:r w:rsidRPr="004C48B6">
        <w:rPr>
          <w:lang w:val="fr-FR"/>
        </w:rPr>
        <w:t>emploi, plus de 14,6 millions de somoni ont été imputés au budget de l</w:t>
      </w:r>
      <w:r w:rsidR="008E14FD">
        <w:rPr>
          <w:lang w:val="fr-FR"/>
        </w:rPr>
        <w:t>’</w:t>
      </w:r>
      <w:r w:rsidRPr="004C48B6">
        <w:rPr>
          <w:lang w:val="fr-FR"/>
        </w:rPr>
        <w:t>État jusqu</w:t>
      </w:r>
      <w:r w:rsidR="008E14FD">
        <w:rPr>
          <w:lang w:val="fr-FR"/>
        </w:rPr>
        <w:t>’</w:t>
      </w:r>
      <w:r w:rsidRPr="004C48B6">
        <w:rPr>
          <w:lang w:val="fr-FR"/>
        </w:rPr>
        <w:t>en 2017 afin d</w:t>
      </w:r>
      <w:r w:rsidR="008E14FD">
        <w:rPr>
          <w:lang w:val="fr-FR"/>
        </w:rPr>
        <w:t>’</w:t>
      </w:r>
      <w:r w:rsidRPr="004C48B6">
        <w:rPr>
          <w:lang w:val="fr-FR"/>
        </w:rPr>
        <w:t>octroyer des microcrédits visant à créer des emplois supplémentaires en vue d</w:t>
      </w:r>
      <w:r w:rsidR="008E14FD">
        <w:rPr>
          <w:lang w:val="fr-FR"/>
        </w:rPr>
        <w:t>’</w:t>
      </w:r>
      <w:r w:rsidRPr="004C48B6">
        <w:rPr>
          <w:lang w:val="fr-FR"/>
        </w:rPr>
        <w:t>aider les chômeurs et de promouvoir l</w:t>
      </w:r>
      <w:r w:rsidR="008E14FD">
        <w:rPr>
          <w:lang w:val="fr-FR"/>
        </w:rPr>
        <w:t>’</w:t>
      </w:r>
      <w:r w:rsidRPr="004C48B6">
        <w:rPr>
          <w:lang w:val="fr-FR"/>
        </w:rPr>
        <w:t>auto-entreprenariat. Pendant les 8 premiers mois de 2017, les services de l</w:t>
      </w:r>
      <w:r w:rsidR="008E14FD">
        <w:rPr>
          <w:lang w:val="fr-FR"/>
        </w:rPr>
        <w:t>’</w:t>
      </w:r>
      <w:r w:rsidRPr="004C48B6">
        <w:rPr>
          <w:lang w:val="fr-FR"/>
        </w:rPr>
        <w:t>emploi du pays ont octroyé des microcrédits d</w:t>
      </w:r>
      <w:r w:rsidR="008E14FD">
        <w:rPr>
          <w:lang w:val="fr-FR"/>
        </w:rPr>
        <w:t>’</w:t>
      </w:r>
      <w:r w:rsidRPr="004C48B6">
        <w:rPr>
          <w:lang w:val="fr-FR"/>
        </w:rPr>
        <w:t>un montant global de 4 823 850 somoni à 1 516 chômeuses afin qu</w:t>
      </w:r>
      <w:r w:rsidR="008E14FD">
        <w:rPr>
          <w:lang w:val="fr-FR"/>
        </w:rPr>
        <w:t>’</w:t>
      </w:r>
      <w:r w:rsidRPr="004C48B6">
        <w:rPr>
          <w:lang w:val="fr-FR"/>
        </w:rPr>
        <w:t xml:space="preserve">elles puissent lancer leur propre entreprise. </w:t>
      </w:r>
    </w:p>
    <w:p w14:paraId="17585071" w14:textId="2460C14F" w:rsidR="004C48B6" w:rsidRPr="004C48B6" w:rsidRDefault="004C48B6" w:rsidP="00746391">
      <w:pPr>
        <w:pStyle w:val="SingleTxt"/>
        <w:numPr>
          <w:ilvl w:val="0"/>
          <w:numId w:val="6"/>
        </w:numPr>
        <w:tabs>
          <w:tab w:val="num" w:pos="2804"/>
        </w:tabs>
        <w:spacing w:line="240" w:lineRule="exact"/>
        <w:ind w:left="1267"/>
        <w:rPr>
          <w:lang w:val="fr-FR"/>
        </w:rPr>
      </w:pPr>
      <w:r w:rsidRPr="004C48B6">
        <w:rPr>
          <w:lang w:val="fr-FR"/>
        </w:rPr>
        <w:t>Conformément à l</w:t>
      </w:r>
      <w:r w:rsidR="008E14FD">
        <w:rPr>
          <w:lang w:val="fr-FR"/>
        </w:rPr>
        <w:t>’</w:t>
      </w:r>
      <w:r w:rsidRPr="004C48B6">
        <w:rPr>
          <w:lang w:val="fr-FR"/>
        </w:rPr>
        <w:t>arrêté du Gouvernement portant sur la création et l</w:t>
      </w:r>
      <w:r w:rsidR="008E14FD">
        <w:rPr>
          <w:lang w:val="fr-FR"/>
        </w:rPr>
        <w:t>’</w:t>
      </w:r>
      <w:r w:rsidRPr="004C48B6">
        <w:rPr>
          <w:lang w:val="fr-FR"/>
        </w:rPr>
        <w:t xml:space="preserve">attribution de subventions du Président visant à soutenir et à développer </w:t>
      </w:r>
      <w:r w:rsidRPr="004C48B6">
        <w:rPr>
          <w:lang w:val="fr-FR"/>
        </w:rPr>
        <w:lastRenderedPageBreak/>
        <w:t>l</w:t>
      </w:r>
      <w:r w:rsidR="008E14FD">
        <w:rPr>
          <w:lang w:val="fr-FR"/>
        </w:rPr>
        <w:t>’</w:t>
      </w:r>
      <w:r w:rsidRPr="004C48B6">
        <w:rPr>
          <w:lang w:val="fr-FR"/>
        </w:rPr>
        <w:t>entreprenariat féminin pour la période 2016-2020,</w:t>
      </w:r>
      <w:r w:rsidR="008E14FD">
        <w:rPr>
          <w:lang w:val="fr-FR"/>
        </w:rPr>
        <w:t xml:space="preserve"> </w:t>
      </w:r>
      <w:r w:rsidRPr="004C48B6">
        <w:rPr>
          <w:lang w:val="fr-FR"/>
        </w:rPr>
        <w:t>une somme de 2 millions de somoni a été respectivement imputée au budget de 2016 et prévue au budget de 2017 afin de promouvoir l</w:t>
      </w:r>
      <w:r w:rsidR="008E14FD">
        <w:rPr>
          <w:lang w:val="fr-FR"/>
        </w:rPr>
        <w:t>’</w:t>
      </w:r>
      <w:r w:rsidRPr="004C48B6">
        <w:rPr>
          <w:lang w:val="fr-FR"/>
        </w:rPr>
        <w:t>entreprenariat féminin, de créer de nouveaux emplois, d</w:t>
      </w:r>
      <w:r w:rsidR="008E14FD">
        <w:rPr>
          <w:lang w:val="fr-FR"/>
        </w:rPr>
        <w:t>’</w:t>
      </w:r>
      <w:r w:rsidRPr="004C48B6">
        <w:rPr>
          <w:lang w:val="fr-FR"/>
        </w:rPr>
        <w:t>accroître la participation des femmes dans le secteur de l</w:t>
      </w:r>
      <w:r w:rsidR="008E14FD">
        <w:rPr>
          <w:lang w:val="fr-FR"/>
        </w:rPr>
        <w:t>’</w:t>
      </w:r>
      <w:r w:rsidRPr="004C48B6">
        <w:rPr>
          <w:lang w:val="fr-FR"/>
        </w:rPr>
        <w:t>économie, de faire en sorte qu</w:t>
      </w:r>
      <w:r w:rsidR="008E14FD">
        <w:rPr>
          <w:lang w:val="fr-FR"/>
        </w:rPr>
        <w:t>’</w:t>
      </w:r>
      <w:r w:rsidRPr="004C48B6">
        <w:rPr>
          <w:lang w:val="fr-FR"/>
        </w:rPr>
        <w:t>elles soient compétitives sur le marché du travail et d</w:t>
      </w:r>
      <w:r w:rsidR="008E14FD">
        <w:rPr>
          <w:lang w:val="fr-FR"/>
        </w:rPr>
        <w:t>’</w:t>
      </w:r>
      <w:r w:rsidRPr="004C48B6">
        <w:rPr>
          <w:lang w:val="fr-FR"/>
        </w:rPr>
        <w:t>assurer un emploi aux femmes et aux jeunes filles.</w:t>
      </w:r>
      <w:r w:rsidR="008E14FD">
        <w:rPr>
          <w:lang w:val="fr-FR"/>
        </w:rPr>
        <w:t xml:space="preserve"> </w:t>
      </w:r>
    </w:p>
    <w:p w14:paraId="3212C470" w14:textId="29DD38FC" w:rsidR="004C48B6" w:rsidRPr="004C48B6" w:rsidRDefault="004C48B6" w:rsidP="00746391">
      <w:pPr>
        <w:pStyle w:val="SingleTxt"/>
        <w:numPr>
          <w:ilvl w:val="0"/>
          <w:numId w:val="6"/>
        </w:numPr>
        <w:tabs>
          <w:tab w:val="num" w:pos="2804"/>
        </w:tabs>
        <w:spacing w:line="240" w:lineRule="exact"/>
        <w:ind w:left="1267"/>
        <w:rPr>
          <w:lang w:val="fr-FR"/>
        </w:rPr>
      </w:pPr>
      <w:r w:rsidRPr="004C48B6">
        <w:rPr>
          <w:lang w:val="fr-FR"/>
        </w:rPr>
        <w:t>Afin d</w:t>
      </w:r>
      <w:r w:rsidR="008E14FD">
        <w:rPr>
          <w:lang w:val="fr-FR"/>
        </w:rPr>
        <w:t>’</w:t>
      </w:r>
      <w:r w:rsidRPr="004C48B6">
        <w:rPr>
          <w:lang w:val="fr-FR"/>
        </w:rPr>
        <w:t>instaurer des relations commerciales fondées sur le soutien à l</w:t>
      </w:r>
      <w:r w:rsidR="008E14FD">
        <w:rPr>
          <w:lang w:val="fr-FR"/>
        </w:rPr>
        <w:t>’</w:t>
      </w:r>
      <w:r w:rsidRPr="004C48B6">
        <w:rPr>
          <w:lang w:val="fr-FR"/>
        </w:rPr>
        <w:t>entreprenariat et le développement de la concurrence grâce à la promotion et à la mise en œuvre de programmes, projets et mesures en faveur du secteur des petites et moyennes entreprises, un fonds de soutien à l</w:t>
      </w:r>
      <w:r w:rsidR="008E14FD">
        <w:rPr>
          <w:lang w:val="fr-FR"/>
        </w:rPr>
        <w:t>’</w:t>
      </w:r>
      <w:r w:rsidRPr="004C48B6">
        <w:rPr>
          <w:lang w:val="fr-FR"/>
        </w:rPr>
        <w:t>entreprenariat a été créé au sein du Gouvernement. Une somme de 133 millions de somoni a été imputée aux budgets de l</w:t>
      </w:r>
      <w:r w:rsidR="008E14FD">
        <w:rPr>
          <w:lang w:val="fr-FR"/>
        </w:rPr>
        <w:t>’</w:t>
      </w:r>
      <w:r w:rsidRPr="004C48B6">
        <w:rPr>
          <w:lang w:val="fr-FR"/>
        </w:rPr>
        <w:t>État de 2013 à 2015 et une somme supplémentaire de 70 millions de somoni est prévue au budget de 2017 pour compléter le capital social du fonds. Les crédits alloués contribuent à la lutte contre la traite des êtres humains et à l</w:t>
      </w:r>
      <w:r w:rsidR="008E14FD">
        <w:rPr>
          <w:lang w:val="fr-FR"/>
        </w:rPr>
        <w:t>’</w:t>
      </w:r>
      <w:r w:rsidRPr="004C48B6">
        <w:rPr>
          <w:lang w:val="fr-FR"/>
        </w:rPr>
        <w:t>aide aux victimes de la traite, ainsi qu</w:t>
      </w:r>
      <w:r w:rsidR="008E14FD">
        <w:rPr>
          <w:lang w:val="fr-FR"/>
        </w:rPr>
        <w:t>’</w:t>
      </w:r>
      <w:r w:rsidRPr="004C48B6">
        <w:rPr>
          <w:lang w:val="fr-FR"/>
        </w:rPr>
        <w:t>au développement de l</w:t>
      </w:r>
      <w:r w:rsidR="008E14FD">
        <w:rPr>
          <w:lang w:val="fr-FR"/>
        </w:rPr>
        <w:t>’</w:t>
      </w:r>
      <w:r w:rsidRPr="004C48B6">
        <w:rPr>
          <w:lang w:val="fr-FR"/>
        </w:rPr>
        <w:t>entreprenariat parmi les femmes, sur un pied d</w:t>
      </w:r>
      <w:r w:rsidR="008E14FD">
        <w:rPr>
          <w:lang w:val="fr-FR"/>
        </w:rPr>
        <w:t>’</w:t>
      </w:r>
      <w:r w:rsidRPr="004C48B6">
        <w:rPr>
          <w:lang w:val="fr-FR"/>
        </w:rPr>
        <w:t xml:space="preserve">égalité avec les hommes. </w:t>
      </w:r>
    </w:p>
    <w:p w14:paraId="1506B7CF" w14:textId="6B9FDA51" w:rsidR="004C48B6" w:rsidRPr="004C48B6" w:rsidRDefault="004C48B6" w:rsidP="00746391">
      <w:pPr>
        <w:pStyle w:val="SingleTxt"/>
        <w:numPr>
          <w:ilvl w:val="0"/>
          <w:numId w:val="6"/>
        </w:numPr>
        <w:tabs>
          <w:tab w:val="num" w:pos="2804"/>
        </w:tabs>
        <w:spacing w:line="240" w:lineRule="exact"/>
        <w:ind w:left="1267"/>
        <w:rPr>
          <w:bCs/>
          <w:lang w:val="fr-FR"/>
        </w:rPr>
      </w:pPr>
      <w:r w:rsidRPr="004C48B6">
        <w:rPr>
          <w:bCs/>
          <w:lang w:val="fr-FR"/>
        </w:rPr>
        <w:t>Au printemps 2004, le Ministère tadjik de l</w:t>
      </w:r>
      <w:r w:rsidR="008E14FD">
        <w:rPr>
          <w:bCs/>
          <w:lang w:val="fr-FR"/>
        </w:rPr>
        <w:t>’</w:t>
      </w:r>
      <w:r w:rsidRPr="004C48B6">
        <w:rPr>
          <w:bCs/>
          <w:lang w:val="fr-FR"/>
        </w:rPr>
        <w:t>intérieur a été l</w:t>
      </w:r>
      <w:r w:rsidR="008E14FD">
        <w:rPr>
          <w:bCs/>
          <w:lang w:val="fr-FR"/>
        </w:rPr>
        <w:t>’</w:t>
      </w:r>
      <w:r w:rsidRPr="004C48B6">
        <w:rPr>
          <w:bCs/>
          <w:lang w:val="fr-FR"/>
        </w:rPr>
        <w:t>un des premiers en Asie centrale à créer une unité spécialisée de lutte contre la traite des êtres humains, relevant de la Direction de la lutte contre la criminalité organisée du Ministère de l</w:t>
      </w:r>
      <w:r w:rsidR="008E14FD">
        <w:rPr>
          <w:bCs/>
          <w:lang w:val="fr-FR"/>
        </w:rPr>
        <w:t>’</w:t>
      </w:r>
      <w:r w:rsidRPr="004C48B6">
        <w:rPr>
          <w:bCs/>
          <w:lang w:val="fr-FR"/>
        </w:rPr>
        <w:t xml:space="preserve">intérieur, qui est devenue un mécanisme de référence dans ce domaine. </w:t>
      </w:r>
      <w:r w:rsidRPr="004C48B6">
        <w:rPr>
          <w:lang w:val="fr-FR"/>
        </w:rPr>
        <w:t>Le Ministère a constamment perfectionné les activités menées dans ce sens en tenant compte des meilleures pratiques internationales et nationales, ainsi qu</w:t>
      </w:r>
      <w:r w:rsidR="008E14FD">
        <w:rPr>
          <w:lang w:val="fr-FR"/>
        </w:rPr>
        <w:t>’</w:t>
      </w:r>
      <w:r w:rsidRPr="004C48B6">
        <w:rPr>
          <w:lang w:val="fr-FR"/>
        </w:rPr>
        <w:t>en élaborant des modèles d</w:t>
      </w:r>
      <w:r w:rsidR="008E14FD">
        <w:rPr>
          <w:lang w:val="fr-FR"/>
        </w:rPr>
        <w:t>’</w:t>
      </w:r>
      <w:r w:rsidRPr="004C48B6">
        <w:rPr>
          <w:lang w:val="fr-FR"/>
        </w:rPr>
        <w:t>information totalement nouveaux sur ce type de crimes et des algorithmes spécifiques sur les activités d</w:t>
      </w:r>
      <w:r w:rsidR="008E14FD">
        <w:rPr>
          <w:lang w:val="fr-FR"/>
        </w:rPr>
        <w:t>’</w:t>
      </w:r>
      <w:r w:rsidRPr="004C48B6">
        <w:rPr>
          <w:lang w:val="fr-FR"/>
        </w:rPr>
        <w:t>information et d</w:t>
      </w:r>
      <w:r w:rsidR="008E14FD">
        <w:rPr>
          <w:lang w:val="fr-FR"/>
        </w:rPr>
        <w:t>’</w:t>
      </w:r>
      <w:r w:rsidRPr="004C48B6">
        <w:rPr>
          <w:lang w:val="fr-FR"/>
        </w:rPr>
        <w:t>instruction, corrélés avec les particularités régionales et locales. Il s</w:t>
      </w:r>
      <w:r w:rsidR="008E14FD">
        <w:rPr>
          <w:lang w:val="fr-FR"/>
        </w:rPr>
        <w:t>’</w:t>
      </w:r>
      <w:r w:rsidRPr="004C48B6">
        <w:rPr>
          <w:lang w:val="fr-FR"/>
        </w:rPr>
        <w:t>en est suivi une nette augmentation des indicateurs de détection de cette catégorie de crimes et d</w:t>
      </w:r>
      <w:r w:rsidR="008E14FD">
        <w:rPr>
          <w:lang w:val="fr-FR"/>
        </w:rPr>
        <w:t>’</w:t>
      </w:r>
      <w:r w:rsidRPr="004C48B6">
        <w:rPr>
          <w:lang w:val="fr-FR"/>
        </w:rPr>
        <w:t xml:space="preserve">efficacité des enquêtes menées en la matière. </w:t>
      </w:r>
    </w:p>
    <w:p w14:paraId="3DC63FBD" w14:textId="40288F38" w:rsidR="004C48B6" w:rsidRPr="004C48B6" w:rsidRDefault="004C48B6" w:rsidP="00746391">
      <w:pPr>
        <w:pStyle w:val="SingleTxt"/>
        <w:numPr>
          <w:ilvl w:val="0"/>
          <w:numId w:val="6"/>
        </w:numPr>
        <w:tabs>
          <w:tab w:val="num" w:pos="2804"/>
        </w:tabs>
        <w:spacing w:line="240" w:lineRule="exact"/>
        <w:ind w:left="1267"/>
        <w:rPr>
          <w:bCs/>
          <w:lang w:val="fr-FR"/>
        </w:rPr>
      </w:pPr>
      <w:r w:rsidRPr="004C48B6">
        <w:rPr>
          <w:bCs/>
          <w:lang w:val="fr-FR"/>
        </w:rPr>
        <w:t>Les activités du Ministère de l</w:t>
      </w:r>
      <w:r w:rsidR="008E14FD">
        <w:rPr>
          <w:bCs/>
          <w:lang w:val="fr-FR"/>
        </w:rPr>
        <w:t>’</w:t>
      </w:r>
      <w:r w:rsidRPr="004C48B6">
        <w:rPr>
          <w:bCs/>
          <w:lang w:val="fr-FR"/>
        </w:rPr>
        <w:t>intérieur dans ce domaine consistent aussi à aider les victimes de traite, qu</w:t>
      </w:r>
      <w:r w:rsidR="008E14FD">
        <w:rPr>
          <w:bCs/>
          <w:lang w:val="fr-FR"/>
        </w:rPr>
        <w:t>’</w:t>
      </w:r>
      <w:r w:rsidRPr="004C48B6">
        <w:rPr>
          <w:bCs/>
          <w:lang w:val="fr-FR"/>
        </w:rPr>
        <w:t>elles aient accepté ou non de coopérer avec les services chargés de l</w:t>
      </w:r>
      <w:r w:rsidR="008E14FD">
        <w:rPr>
          <w:bCs/>
          <w:lang w:val="fr-FR"/>
        </w:rPr>
        <w:t>’</w:t>
      </w:r>
      <w:r w:rsidRPr="004C48B6">
        <w:rPr>
          <w:bCs/>
          <w:lang w:val="fr-FR"/>
        </w:rPr>
        <w:t>application des lois, ce qui constitue l</w:t>
      </w:r>
      <w:r w:rsidR="008E14FD">
        <w:rPr>
          <w:bCs/>
          <w:lang w:val="fr-FR"/>
        </w:rPr>
        <w:t>’</w:t>
      </w:r>
      <w:r w:rsidRPr="004C48B6">
        <w:rPr>
          <w:bCs/>
          <w:lang w:val="fr-FR"/>
        </w:rPr>
        <w:t>un des éléments centraux de la position du pays</w:t>
      </w:r>
      <w:r w:rsidR="008E14FD">
        <w:rPr>
          <w:bCs/>
          <w:lang w:val="fr-FR"/>
        </w:rPr>
        <w:t xml:space="preserve"> </w:t>
      </w:r>
      <w:r w:rsidRPr="004C48B6">
        <w:rPr>
          <w:bCs/>
          <w:lang w:val="fr-FR"/>
        </w:rPr>
        <w:t>en la matière. En d</w:t>
      </w:r>
      <w:r w:rsidR="008E14FD">
        <w:rPr>
          <w:bCs/>
          <w:lang w:val="fr-FR"/>
        </w:rPr>
        <w:t>’</w:t>
      </w:r>
      <w:r w:rsidRPr="004C48B6">
        <w:rPr>
          <w:bCs/>
          <w:lang w:val="fr-FR"/>
        </w:rPr>
        <w:t xml:space="preserve">autres termes, les intérêts des victimes priment ceux de la procédure pénale. </w:t>
      </w:r>
      <w:r w:rsidRPr="004C48B6">
        <w:rPr>
          <w:bCs/>
          <w:lang w:val="fr-CH"/>
        </w:rPr>
        <w:t>Dans le cadre de ces activités, l</w:t>
      </w:r>
      <w:r w:rsidR="008E14FD">
        <w:rPr>
          <w:bCs/>
          <w:lang w:val="fr-CH"/>
        </w:rPr>
        <w:t>’</w:t>
      </w:r>
      <w:r w:rsidRPr="004C48B6">
        <w:rPr>
          <w:bCs/>
          <w:lang w:val="fr-CH"/>
        </w:rPr>
        <w:t>unité collabore régulièrement avec des institutions de la société civile et des organisations humanitaires pour mener des activités de prévention, recueillir des renseignements opérationnels ou autres, procéder à des rapatriements, et protéger les victimes et assurer leur réintégration sur de multiples plans dans les centres spécialisés du pays.</w:t>
      </w:r>
      <w:r w:rsidR="008E14FD">
        <w:rPr>
          <w:bCs/>
          <w:lang w:val="fr-CH"/>
        </w:rPr>
        <w:t xml:space="preserve"> </w:t>
      </w:r>
    </w:p>
    <w:p w14:paraId="798810B2" w14:textId="236AF238" w:rsidR="004C48B6" w:rsidRPr="004C48B6" w:rsidRDefault="004C48B6" w:rsidP="00746391">
      <w:pPr>
        <w:pStyle w:val="SingleTxt"/>
        <w:numPr>
          <w:ilvl w:val="0"/>
          <w:numId w:val="6"/>
        </w:numPr>
        <w:tabs>
          <w:tab w:val="num" w:pos="2804"/>
        </w:tabs>
        <w:spacing w:line="240" w:lineRule="exact"/>
        <w:ind w:left="1267"/>
        <w:rPr>
          <w:bCs/>
          <w:lang w:val="fr-FR"/>
        </w:rPr>
      </w:pPr>
      <w:r w:rsidRPr="004C48B6">
        <w:rPr>
          <w:bCs/>
          <w:lang w:val="fr-FR"/>
        </w:rPr>
        <w:t>Le Ministère de l</w:t>
      </w:r>
      <w:r w:rsidR="008E14FD">
        <w:rPr>
          <w:bCs/>
          <w:lang w:val="fr-FR"/>
        </w:rPr>
        <w:t>’</w:t>
      </w:r>
      <w:r w:rsidRPr="004C48B6">
        <w:rPr>
          <w:bCs/>
          <w:lang w:val="fr-FR"/>
        </w:rPr>
        <w:t>intérieur coopère également au plus haut niveau sur le plan international et régional dans le domaine de la lutte contre la traite en échangeant des informations sur les infractions, les filières, les itinéraires empruntés et d</w:t>
      </w:r>
      <w:r w:rsidR="008E14FD">
        <w:rPr>
          <w:bCs/>
          <w:lang w:val="fr-FR"/>
        </w:rPr>
        <w:t>’</w:t>
      </w:r>
      <w:r w:rsidRPr="004C48B6">
        <w:rPr>
          <w:bCs/>
          <w:lang w:val="fr-FR"/>
        </w:rPr>
        <w:t>autres éléments, les victimes, etc. La coopération se fonde sur l</w:t>
      </w:r>
      <w:r w:rsidR="008E14FD">
        <w:rPr>
          <w:bCs/>
          <w:lang w:val="fr-FR"/>
        </w:rPr>
        <w:t>’</w:t>
      </w:r>
      <w:r w:rsidRPr="004C48B6">
        <w:rPr>
          <w:bCs/>
          <w:lang w:val="fr-FR"/>
        </w:rPr>
        <w:t>exploitation d</w:t>
      </w:r>
      <w:r w:rsidR="008E14FD">
        <w:rPr>
          <w:bCs/>
          <w:lang w:val="fr-FR"/>
        </w:rPr>
        <w:t>’</w:t>
      </w:r>
      <w:r w:rsidRPr="004C48B6">
        <w:rPr>
          <w:bCs/>
          <w:lang w:val="fr-FR"/>
        </w:rPr>
        <w:t>un ensemble d</w:t>
      </w:r>
      <w:r w:rsidR="008E14FD">
        <w:rPr>
          <w:bCs/>
          <w:lang w:val="fr-FR"/>
        </w:rPr>
        <w:t>’</w:t>
      </w:r>
      <w:r w:rsidRPr="004C48B6">
        <w:rPr>
          <w:bCs/>
          <w:lang w:val="fr-FR"/>
        </w:rPr>
        <w:t>informations figurant dans les registres opérationnels et spécialisés des organismes chargés de l</w:t>
      </w:r>
      <w:r w:rsidR="008E14FD">
        <w:rPr>
          <w:bCs/>
          <w:lang w:val="fr-FR"/>
        </w:rPr>
        <w:t>’</w:t>
      </w:r>
      <w:r w:rsidRPr="004C48B6">
        <w:rPr>
          <w:bCs/>
          <w:lang w:val="fr-FR"/>
        </w:rPr>
        <w:t>application des lois. Les renseignements relatifs aux enquêtes menées et d</w:t>
      </w:r>
      <w:r w:rsidR="008E14FD">
        <w:rPr>
          <w:bCs/>
          <w:lang w:val="fr-FR"/>
        </w:rPr>
        <w:t>’</w:t>
      </w:r>
      <w:r w:rsidRPr="004C48B6">
        <w:rPr>
          <w:bCs/>
          <w:lang w:val="fr-FR"/>
        </w:rPr>
        <w:t>autres informations juridiques sont échangés conformément aux instruments internationaux ratifiés, par l</w:t>
      </w:r>
      <w:r w:rsidR="008E14FD">
        <w:rPr>
          <w:bCs/>
          <w:lang w:val="fr-FR"/>
        </w:rPr>
        <w:t>’</w:t>
      </w:r>
      <w:r w:rsidRPr="004C48B6">
        <w:rPr>
          <w:bCs/>
          <w:lang w:val="fr-FR"/>
        </w:rPr>
        <w:t>intermédiaire du Bureau central national d</w:t>
      </w:r>
      <w:r w:rsidR="008E14FD">
        <w:rPr>
          <w:bCs/>
          <w:lang w:val="fr-FR"/>
        </w:rPr>
        <w:t>’</w:t>
      </w:r>
      <w:r w:rsidRPr="004C48B6">
        <w:rPr>
          <w:bCs/>
          <w:lang w:val="fr-FR"/>
        </w:rPr>
        <w:t>Interpol au Tadjikistan, ainsi qu</w:t>
      </w:r>
      <w:r w:rsidR="008E14FD">
        <w:rPr>
          <w:bCs/>
          <w:lang w:val="fr-FR"/>
        </w:rPr>
        <w:t>’</w:t>
      </w:r>
      <w:r w:rsidRPr="004C48B6">
        <w:rPr>
          <w:bCs/>
          <w:lang w:val="fr-FR"/>
        </w:rPr>
        <w:t>en application d</w:t>
      </w:r>
      <w:r w:rsidR="008E14FD">
        <w:rPr>
          <w:bCs/>
          <w:lang w:val="fr-FR"/>
        </w:rPr>
        <w:t>’</w:t>
      </w:r>
      <w:r w:rsidRPr="004C48B6">
        <w:rPr>
          <w:bCs/>
          <w:lang w:val="fr-FR"/>
        </w:rPr>
        <w:t>autres accords juridiques conclus entre ministères des pays de la Communauté d</w:t>
      </w:r>
      <w:r w:rsidR="008E14FD">
        <w:rPr>
          <w:bCs/>
          <w:lang w:val="fr-FR"/>
        </w:rPr>
        <w:t>’</w:t>
      </w:r>
      <w:r w:rsidRPr="004C48B6">
        <w:rPr>
          <w:bCs/>
          <w:lang w:val="fr-FR"/>
        </w:rPr>
        <w:t xml:space="preserve">États indépendants. </w:t>
      </w:r>
    </w:p>
    <w:p w14:paraId="73F5711A" w14:textId="4C68C163" w:rsidR="004C48B6" w:rsidRDefault="004C48B6" w:rsidP="00746391">
      <w:pPr>
        <w:pStyle w:val="SingleTxt"/>
        <w:numPr>
          <w:ilvl w:val="0"/>
          <w:numId w:val="6"/>
        </w:numPr>
        <w:tabs>
          <w:tab w:val="num" w:pos="2804"/>
        </w:tabs>
        <w:spacing w:line="240" w:lineRule="exact"/>
        <w:ind w:left="1267"/>
        <w:rPr>
          <w:lang w:val="fr-FR"/>
        </w:rPr>
      </w:pPr>
      <w:r w:rsidRPr="004C48B6">
        <w:rPr>
          <w:lang w:val="fr-FR"/>
        </w:rPr>
        <w:t xml:space="preserve">Le tableau ci-après présente un aperçu des infractions commises dans le domaine de la traite des êtres humains au cours des sept premiers mois de 2017 (par </w:t>
      </w:r>
      <w:r w:rsidRPr="004C48B6">
        <w:rPr>
          <w:lang w:val="fr-FR"/>
        </w:rPr>
        <w:lastRenderedPageBreak/>
        <w:t>rapport à 2016), fondé sur les données du centre principal d</w:t>
      </w:r>
      <w:r w:rsidR="008E14FD">
        <w:rPr>
          <w:lang w:val="fr-FR"/>
        </w:rPr>
        <w:t>’</w:t>
      </w:r>
      <w:r w:rsidRPr="004C48B6">
        <w:rPr>
          <w:lang w:val="fr-FR"/>
        </w:rPr>
        <w:t>analyse et d</w:t>
      </w:r>
      <w:r w:rsidR="008E14FD">
        <w:rPr>
          <w:lang w:val="fr-FR"/>
        </w:rPr>
        <w:t>’</w:t>
      </w:r>
      <w:r w:rsidRPr="004C48B6">
        <w:rPr>
          <w:lang w:val="fr-FR"/>
        </w:rPr>
        <w:t>information du Ministère de l</w:t>
      </w:r>
      <w:r w:rsidR="008E14FD">
        <w:rPr>
          <w:lang w:val="fr-FR"/>
        </w:rPr>
        <w:t>’</w:t>
      </w:r>
      <w:r w:rsidRPr="004C48B6">
        <w:rPr>
          <w:lang w:val="fr-FR"/>
        </w:rPr>
        <w:t xml:space="preserve">intérieur. </w:t>
      </w:r>
    </w:p>
    <w:p w14:paraId="18EA5B91" w14:textId="65DFECF1" w:rsidR="00843EC7" w:rsidRPr="00197067" w:rsidRDefault="00843EC7" w:rsidP="00197067">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630"/>
        <w:gridCol w:w="4320"/>
        <w:gridCol w:w="1185"/>
        <w:gridCol w:w="1185"/>
      </w:tblGrid>
      <w:tr w:rsidR="004C48B6" w:rsidRPr="00197067" w14:paraId="6800DCA3" w14:textId="77777777" w:rsidTr="00A81ADA">
        <w:trPr>
          <w:cantSplit/>
          <w:tblHeader/>
        </w:trPr>
        <w:tc>
          <w:tcPr>
            <w:tcW w:w="630" w:type="dxa"/>
            <w:tcBorders>
              <w:top w:val="single" w:sz="4" w:space="0" w:color="auto"/>
              <w:bottom w:val="single" w:sz="12" w:space="0" w:color="auto"/>
            </w:tcBorders>
            <w:shd w:val="clear" w:color="auto" w:fill="auto"/>
            <w:vAlign w:val="bottom"/>
          </w:tcPr>
          <w:p w14:paraId="095D40B8" w14:textId="77777777" w:rsidR="004C48B6" w:rsidRPr="00197067" w:rsidRDefault="004C48B6" w:rsidP="00197067">
            <w:pPr>
              <w:suppressAutoHyphens/>
              <w:spacing w:before="81" w:after="81" w:line="160" w:lineRule="exact"/>
              <w:ind w:right="40"/>
              <w:rPr>
                <w:rFonts w:eastAsia="Times New Roman"/>
                <w:bCs/>
                <w:i/>
                <w:spacing w:val="0"/>
                <w:w w:val="100"/>
                <w:kern w:val="0"/>
                <w:sz w:val="14"/>
                <w:szCs w:val="20"/>
                <w:lang w:val="fr-FR"/>
              </w:rPr>
            </w:pPr>
            <w:r w:rsidRPr="00197067">
              <w:rPr>
                <w:rFonts w:eastAsia="Times New Roman"/>
                <w:bCs/>
                <w:i/>
                <w:spacing w:val="0"/>
                <w:w w:val="100"/>
                <w:kern w:val="0"/>
                <w:sz w:val="14"/>
                <w:szCs w:val="20"/>
                <w:lang w:val="fr-FR"/>
              </w:rPr>
              <w:t xml:space="preserve">№ </w:t>
            </w:r>
          </w:p>
        </w:tc>
        <w:tc>
          <w:tcPr>
            <w:tcW w:w="4320" w:type="dxa"/>
            <w:tcBorders>
              <w:top w:val="single" w:sz="4" w:space="0" w:color="auto"/>
              <w:bottom w:val="single" w:sz="12" w:space="0" w:color="auto"/>
            </w:tcBorders>
            <w:shd w:val="clear" w:color="auto" w:fill="auto"/>
            <w:vAlign w:val="bottom"/>
          </w:tcPr>
          <w:p w14:paraId="59888CC3" w14:textId="77777777" w:rsidR="004C48B6" w:rsidRPr="00197067" w:rsidRDefault="004C48B6" w:rsidP="00C35A7D">
            <w:pPr>
              <w:suppressAutoHyphens/>
              <w:spacing w:before="81" w:after="81" w:line="160" w:lineRule="exact"/>
              <w:ind w:right="40"/>
              <w:rPr>
                <w:rFonts w:eastAsia="Times New Roman"/>
                <w:bCs/>
                <w:i/>
                <w:spacing w:val="0"/>
                <w:w w:val="100"/>
                <w:kern w:val="0"/>
                <w:sz w:val="14"/>
                <w:szCs w:val="20"/>
                <w:lang w:val="fr-FR"/>
              </w:rPr>
            </w:pPr>
            <w:r w:rsidRPr="00197067">
              <w:rPr>
                <w:rFonts w:eastAsia="Times New Roman"/>
                <w:bCs/>
                <w:i/>
                <w:spacing w:val="0"/>
                <w:w w:val="100"/>
                <w:kern w:val="0"/>
                <w:sz w:val="14"/>
                <w:szCs w:val="20"/>
                <w:lang w:val="fr-FR"/>
              </w:rPr>
              <w:t xml:space="preserve">Article du Code pénal visé </w:t>
            </w:r>
          </w:p>
        </w:tc>
        <w:tc>
          <w:tcPr>
            <w:tcW w:w="1185" w:type="dxa"/>
            <w:tcBorders>
              <w:top w:val="single" w:sz="4" w:space="0" w:color="auto"/>
              <w:bottom w:val="single" w:sz="12" w:space="0" w:color="auto"/>
            </w:tcBorders>
            <w:shd w:val="clear" w:color="auto" w:fill="auto"/>
            <w:vAlign w:val="bottom"/>
          </w:tcPr>
          <w:p w14:paraId="668CFE56" w14:textId="77777777" w:rsidR="004C48B6" w:rsidRPr="00197067" w:rsidRDefault="004C48B6" w:rsidP="00197067">
            <w:pPr>
              <w:suppressAutoHyphens/>
              <w:spacing w:before="81" w:after="81" w:line="160" w:lineRule="exact"/>
              <w:ind w:left="144" w:right="43"/>
              <w:jc w:val="right"/>
              <w:rPr>
                <w:rFonts w:eastAsia="Times New Roman"/>
                <w:i/>
                <w:spacing w:val="0"/>
                <w:w w:val="100"/>
                <w:kern w:val="0"/>
                <w:sz w:val="14"/>
                <w:szCs w:val="20"/>
                <w:lang w:val="fr-FR"/>
              </w:rPr>
            </w:pPr>
            <w:r w:rsidRPr="00197067">
              <w:rPr>
                <w:rFonts w:eastAsia="Times New Roman"/>
                <w:i/>
                <w:spacing w:val="0"/>
                <w:w w:val="100"/>
                <w:kern w:val="0"/>
                <w:sz w:val="14"/>
                <w:szCs w:val="20"/>
                <w:lang w:val="fr-FR"/>
              </w:rPr>
              <w:t>7 premiers mois de 2016</w:t>
            </w:r>
          </w:p>
        </w:tc>
        <w:tc>
          <w:tcPr>
            <w:tcW w:w="1185" w:type="dxa"/>
            <w:tcBorders>
              <w:top w:val="single" w:sz="4" w:space="0" w:color="auto"/>
              <w:bottom w:val="single" w:sz="12" w:space="0" w:color="auto"/>
            </w:tcBorders>
            <w:shd w:val="clear" w:color="auto" w:fill="auto"/>
            <w:vAlign w:val="bottom"/>
          </w:tcPr>
          <w:p w14:paraId="4A061FDA" w14:textId="77777777" w:rsidR="004C48B6" w:rsidRPr="00197067" w:rsidRDefault="004C48B6" w:rsidP="00197067">
            <w:pPr>
              <w:suppressAutoHyphens/>
              <w:spacing w:before="81" w:after="81" w:line="160" w:lineRule="exact"/>
              <w:ind w:left="144" w:right="43"/>
              <w:jc w:val="right"/>
              <w:rPr>
                <w:rFonts w:eastAsia="Times New Roman"/>
                <w:i/>
                <w:spacing w:val="0"/>
                <w:w w:val="100"/>
                <w:kern w:val="0"/>
                <w:sz w:val="14"/>
                <w:szCs w:val="20"/>
                <w:lang w:val="fr-FR"/>
              </w:rPr>
            </w:pPr>
            <w:r w:rsidRPr="00197067">
              <w:rPr>
                <w:rFonts w:eastAsia="Times New Roman"/>
                <w:i/>
                <w:spacing w:val="0"/>
                <w:w w:val="100"/>
                <w:kern w:val="0"/>
                <w:sz w:val="14"/>
                <w:szCs w:val="20"/>
                <w:lang w:val="fr-FR"/>
              </w:rPr>
              <w:t>7 premiers mois de 2017</w:t>
            </w:r>
          </w:p>
        </w:tc>
      </w:tr>
      <w:tr w:rsidR="00197067" w:rsidRPr="00197067" w14:paraId="095EB220" w14:textId="77777777" w:rsidTr="00A81ADA">
        <w:trPr>
          <w:cantSplit/>
          <w:trHeight w:hRule="exact" w:val="115"/>
          <w:tblHeader/>
        </w:trPr>
        <w:tc>
          <w:tcPr>
            <w:tcW w:w="630" w:type="dxa"/>
            <w:tcBorders>
              <w:top w:val="single" w:sz="12" w:space="0" w:color="auto"/>
            </w:tcBorders>
            <w:shd w:val="clear" w:color="auto" w:fill="auto"/>
            <w:vAlign w:val="bottom"/>
          </w:tcPr>
          <w:p w14:paraId="3D7D9D88" w14:textId="77777777" w:rsidR="00197067" w:rsidRPr="00197067" w:rsidRDefault="00197067" w:rsidP="00197067">
            <w:pPr>
              <w:suppressAutoHyphens/>
              <w:spacing w:before="40" w:after="40" w:line="210" w:lineRule="exact"/>
              <w:ind w:right="40"/>
              <w:rPr>
                <w:rFonts w:eastAsia="Times New Roman"/>
                <w:spacing w:val="0"/>
                <w:w w:val="100"/>
                <w:kern w:val="0"/>
                <w:sz w:val="17"/>
                <w:szCs w:val="20"/>
                <w:lang w:val="fr-FR"/>
              </w:rPr>
            </w:pPr>
          </w:p>
        </w:tc>
        <w:tc>
          <w:tcPr>
            <w:tcW w:w="4320" w:type="dxa"/>
            <w:tcBorders>
              <w:top w:val="single" w:sz="12" w:space="0" w:color="auto"/>
            </w:tcBorders>
            <w:shd w:val="clear" w:color="auto" w:fill="auto"/>
            <w:vAlign w:val="bottom"/>
          </w:tcPr>
          <w:p w14:paraId="17113BDB" w14:textId="77777777" w:rsidR="00197067" w:rsidRPr="00197067" w:rsidRDefault="00197067" w:rsidP="00197067">
            <w:pPr>
              <w:suppressAutoHyphens/>
              <w:spacing w:before="40" w:after="40" w:line="210" w:lineRule="exact"/>
              <w:ind w:left="144" w:right="43"/>
              <w:rPr>
                <w:rFonts w:eastAsia="Times New Roman"/>
                <w:spacing w:val="0"/>
                <w:w w:val="100"/>
                <w:kern w:val="0"/>
                <w:sz w:val="17"/>
                <w:szCs w:val="20"/>
                <w:lang w:val="fr-FR"/>
              </w:rPr>
            </w:pPr>
          </w:p>
        </w:tc>
        <w:tc>
          <w:tcPr>
            <w:tcW w:w="1185" w:type="dxa"/>
            <w:tcBorders>
              <w:top w:val="single" w:sz="12" w:space="0" w:color="auto"/>
            </w:tcBorders>
            <w:shd w:val="clear" w:color="auto" w:fill="auto"/>
            <w:vAlign w:val="bottom"/>
          </w:tcPr>
          <w:p w14:paraId="0B32050C" w14:textId="77777777" w:rsidR="00197067" w:rsidRPr="00197067" w:rsidRDefault="00197067" w:rsidP="00197067">
            <w:pPr>
              <w:suppressAutoHyphens/>
              <w:spacing w:before="40" w:after="40" w:line="210" w:lineRule="exact"/>
              <w:ind w:left="144" w:right="43"/>
              <w:jc w:val="right"/>
              <w:rPr>
                <w:rFonts w:eastAsia="Times New Roman"/>
                <w:spacing w:val="0"/>
                <w:w w:val="100"/>
                <w:kern w:val="0"/>
                <w:sz w:val="17"/>
                <w:szCs w:val="20"/>
                <w:lang w:val="fr-FR"/>
              </w:rPr>
            </w:pPr>
          </w:p>
        </w:tc>
        <w:tc>
          <w:tcPr>
            <w:tcW w:w="1185" w:type="dxa"/>
            <w:tcBorders>
              <w:top w:val="single" w:sz="12" w:space="0" w:color="auto"/>
            </w:tcBorders>
            <w:shd w:val="clear" w:color="auto" w:fill="auto"/>
            <w:vAlign w:val="bottom"/>
          </w:tcPr>
          <w:p w14:paraId="18F85196" w14:textId="77777777" w:rsidR="00197067" w:rsidRPr="00197067" w:rsidRDefault="00197067" w:rsidP="00197067">
            <w:pPr>
              <w:suppressAutoHyphens/>
              <w:spacing w:before="40" w:after="40" w:line="210" w:lineRule="exact"/>
              <w:ind w:left="144" w:right="43"/>
              <w:jc w:val="right"/>
              <w:rPr>
                <w:rFonts w:eastAsia="Times New Roman"/>
                <w:spacing w:val="0"/>
                <w:w w:val="100"/>
                <w:kern w:val="0"/>
                <w:sz w:val="17"/>
                <w:szCs w:val="20"/>
                <w:lang w:val="fr-FR"/>
              </w:rPr>
            </w:pPr>
          </w:p>
        </w:tc>
      </w:tr>
      <w:tr w:rsidR="004C48B6" w:rsidRPr="00C35A7D" w14:paraId="3DF6807B" w14:textId="77777777" w:rsidTr="00A81ADA">
        <w:trPr>
          <w:cantSplit/>
        </w:trPr>
        <w:tc>
          <w:tcPr>
            <w:tcW w:w="630" w:type="dxa"/>
            <w:shd w:val="clear" w:color="auto" w:fill="auto"/>
            <w:vAlign w:val="bottom"/>
          </w:tcPr>
          <w:p w14:paraId="041D4F61"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1</w:t>
            </w:r>
          </w:p>
        </w:tc>
        <w:tc>
          <w:tcPr>
            <w:tcW w:w="4320" w:type="dxa"/>
            <w:shd w:val="clear" w:color="auto" w:fill="auto"/>
            <w:vAlign w:val="bottom"/>
          </w:tcPr>
          <w:p w14:paraId="737B00DF"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Article 130 (enlèvement)</w:t>
            </w:r>
          </w:p>
        </w:tc>
        <w:tc>
          <w:tcPr>
            <w:tcW w:w="1185" w:type="dxa"/>
            <w:shd w:val="clear" w:color="auto" w:fill="auto"/>
            <w:vAlign w:val="bottom"/>
          </w:tcPr>
          <w:p w14:paraId="50DD5389"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2</w:t>
            </w:r>
          </w:p>
        </w:tc>
        <w:tc>
          <w:tcPr>
            <w:tcW w:w="1185" w:type="dxa"/>
            <w:shd w:val="clear" w:color="auto" w:fill="auto"/>
            <w:vAlign w:val="bottom"/>
          </w:tcPr>
          <w:p w14:paraId="55DA9798"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p>
        </w:tc>
      </w:tr>
      <w:tr w:rsidR="004C48B6" w:rsidRPr="00C35A7D" w14:paraId="0E6B3E60" w14:textId="77777777" w:rsidTr="00A81ADA">
        <w:trPr>
          <w:cantSplit/>
        </w:trPr>
        <w:tc>
          <w:tcPr>
            <w:tcW w:w="630" w:type="dxa"/>
            <w:shd w:val="clear" w:color="auto" w:fill="auto"/>
            <w:vAlign w:val="bottom"/>
          </w:tcPr>
          <w:p w14:paraId="34ABB57E"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2</w:t>
            </w:r>
          </w:p>
        </w:tc>
        <w:tc>
          <w:tcPr>
            <w:tcW w:w="4320" w:type="dxa"/>
            <w:shd w:val="clear" w:color="auto" w:fill="auto"/>
            <w:vAlign w:val="bottom"/>
          </w:tcPr>
          <w:p w14:paraId="3A5E6F33" w14:textId="6321D5D1"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Article 1301 (traite d</w:t>
            </w:r>
            <w:r w:rsidR="008E14FD" w:rsidRPr="00C35A7D">
              <w:rPr>
                <w:rFonts w:eastAsia="Times New Roman"/>
                <w:bCs/>
                <w:iCs/>
                <w:spacing w:val="0"/>
                <w:w w:val="100"/>
                <w:kern w:val="0"/>
                <w:sz w:val="17"/>
                <w:szCs w:val="17"/>
                <w:lang w:val="fr-FR"/>
              </w:rPr>
              <w:t>’</w:t>
            </w:r>
            <w:r w:rsidRPr="00C35A7D">
              <w:rPr>
                <w:rFonts w:eastAsia="Times New Roman"/>
                <w:bCs/>
                <w:iCs/>
                <w:spacing w:val="0"/>
                <w:w w:val="100"/>
                <w:kern w:val="0"/>
                <w:sz w:val="17"/>
                <w:szCs w:val="17"/>
                <w:lang w:val="fr-FR"/>
              </w:rPr>
              <w:t>êtres humains)</w:t>
            </w:r>
          </w:p>
        </w:tc>
        <w:tc>
          <w:tcPr>
            <w:tcW w:w="1185" w:type="dxa"/>
            <w:shd w:val="clear" w:color="auto" w:fill="auto"/>
            <w:vAlign w:val="bottom"/>
          </w:tcPr>
          <w:p w14:paraId="53DCDBDB"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8</w:t>
            </w:r>
          </w:p>
        </w:tc>
        <w:tc>
          <w:tcPr>
            <w:tcW w:w="1185" w:type="dxa"/>
            <w:shd w:val="clear" w:color="auto" w:fill="auto"/>
            <w:vAlign w:val="bottom"/>
          </w:tcPr>
          <w:p w14:paraId="5AEB42B7"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20</w:t>
            </w:r>
          </w:p>
        </w:tc>
      </w:tr>
      <w:tr w:rsidR="004C48B6" w:rsidRPr="00C35A7D" w14:paraId="293BED6E" w14:textId="77777777" w:rsidTr="00A81ADA">
        <w:trPr>
          <w:cantSplit/>
        </w:trPr>
        <w:tc>
          <w:tcPr>
            <w:tcW w:w="630" w:type="dxa"/>
            <w:shd w:val="clear" w:color="auto" w:fill="auto"/>
            <w:vAlign w:val="bottom"/>
          </w:tcPr>
          <w:p w14:paraId="43449ED3"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3</w:t>
            </w:r>
          </w:p>
        </w:tc>
        <w:tc>
          <w:tcPr>
            <w:tcW w:w="4320" w:type="dxa"/>
            <w:shd w:val="clear" w:color="auto" w:fill="auto"/>
            <w:vAlign w:val="bottom"/>
          </w:tcPr>
          <w:p w14:paraId="3A8DD61A" w14:textId="7AC207F2"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Article</w:t>
            </w:r>
            <w:r w:rsidR="0015017B">
              <w:rPr>
                <w:rFonts w:eastAsia="Times New Roman"/>
                <w:bCs/>
                <w:iCs/>
                <w:spacing w:val="0"/>
                <w:w w:val="100"/>
                <w:kern w:val="0"/>
                <w:sz w:val="17"/>
                <w:szCs w:val="17"/>
                <w:lang w:val="fr-FR"/>
              </w:rPr>
              <w:t xml:space="preserve"> </w:t>
            </w:r>
            <w:r w:rsidRPr="00C35A7D">
              <w:rPr>
                <w:rFonts w:eastAsia="Times New Roman"/>
                <w:bCs/>
                <w:iCs/>
                <w:spacing w:val="0"/>
                <w:w w:val="100"/>
                <w:kern w:val="0"/>
                <w:sz w:val="17"/>
                <w:szCs w:val="17"/>
                <w:lang w:val="fr-FR"/>
              </w:rPr>
              <w:t>1302 (esclavage)</w:t>
            </w:r>
          </w:p>
        </w:tc>
        <w:tc>
          <w:tcPr>
            <w:tcW w:w="1185" w:type="dxa"/>
            <w:shd w:val="clear" w:color="auto" w:fill="auto"/>
            <w:vAlign w:val="bottom"/>
          </w:tcPr>
          <w:p w14:paraId="6E5B67ED"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p>
        </w:tc>
        <w:tc>
          <w:tcPr>
            <w:tcW w:w="1185" w:type="dxa"/>
            <w:shd w:val="clear" w:color="auto" w:fill="auto"/>
            <w:vAlign w:val="bottom"/>
          </w:tcPr>
          <w:p w14:paraId="43AEF00D"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p>
        </w:tc>
      </w:tr>
      <w:tr w:rsidR="004C48B6" w:rsidRPr="00C35A7D" w14:paraId="1ED4251C" w14:textId="77777777" w:rsidTr="00A81ADA">
        <w:trPr>
          <w:cantSplit/>
        </w:trPr>
        <w:tc>
          <w:tcPr>
            <w:tcW w:w="630" w:type="dxa"/>
            <w:shd w:val="clear" w:color="auto" w:fill="auto"/>
            <w:vAlign w:val="bottom"/>
          </w:tcPr>
          <w:p w14:paraId="7B104C1B"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4</w:t>
            </w:r>
          </w:p>
        </w:tc>
        <w:tc>
          <w:tcPr>
            <w:tcW w:w="4320" w:type="dxa"/>
            <w:shd w:val="clear" w:color="auto" w:fill="auto"/>
            <w:vAlign w:val="bottom"/>
          </w:tcPr>
          <w:p w14:paraId="3B449C06"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 xml:space="preserve">Article 131 (privation illégale de liberté) </w:t>
            </w:r>
          </w:p>
        </w:tc>
        <w:tc>
          <w:tcPr>
            <w:tcW w:w="1185" w:type="dxa"/>
            <w:shd w:val="clear" w:color="auto" w:fill="auto"/>
            <w:vAlign w:val="bottom"/>
          </w:tcPr>
          <w:p w14:paraId="52226187"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p>
        </w:tc>
        <w:tc>
          <w:tcPr>
            <w:tcW w:w="1185" w:type="dxa"/>
            <w:shd w:val="clear" w:color="auto" w:fill="auto"/>
            <w:vAlign w:val="bottom"/>
          </w:tcPr>
          <w:p w14:paraId="0C045F99"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p>
        </w:tc>
      </w:tr>
      <w:tr w:rsidR="004C48B6" w:rsidRPr="00C35A7D" w14:paraId="79060394" w14:textId="77777777" w:rsidTr="00A81ADA">
        <w:trPr>
          <w:cantSplit/>
        </w:trPr>
        <w:tc>
          <w:tcPr>
            <w:tcW w:w="630" w:type="dxa"/>
            <w:shd w:val="clear" w:color="auto" w:fill="auto"/>
            <w:vAlign w:val="bottom"/>
          </w:tcPr>
          <w:p w14:paraId="4BA0634F"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5</w:t>
            </w:r>
          </w:p>
        </w:tc>
        <w:tc>
          <w:tcPr>
            <w:tcW w:w="4320" w:type="dxa"/>
            <w:shd w:val="clear" w:color="auto" w:fill="auto"/>
            <w:vAlign w:val="bottom"/>
          </w:tcPr>
          <w:p w14:paraId="630EBA1E" w14:textId="60FAEF2E"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Article</w:t>
            </w:r>
            <w:r w:rsidR="0015017B">
              <w:rPr>
                <w:rFonts w:eastAsia="Times New Roman"/>
                <w:bCs/>
                <w:iCs/>
                <w:spacing w:val="0"/>
                <w:w w:val="100"/>
                <w:kern w:val="0"/>
                <w:sz w:val="17"/>
                <w:szCs w:val="17"/>
                <w:lang w:val="fr-FR"/>
              </w:rPr>
              <w:t xml:space="preserve"> </w:t>
            </w:r>
            <w:r w:rsidRPr="00C35A7D">
              <w:rPr>
                <w:rFonts w:eastAsia="Times New Roman"/>
                <w:bCs/>
                <w:iCs/>
                <w:spacing w:val="0"/>
                <w:w w:val="100"/>
                <w:kern w:val="0"/>
                <w:sz w:val="17"/>
                <w:szCs w:val="17"/>
                <w:lang w:val="fr-FR"/>
              </w:rPr>
              <w:t>132 (recrutement à des fins d</w:t>
            </w:r>
            <w:r w:rsidR="008E14FD" w:rsidRPr="00C35A7D">
              <w:rPr>
                <w:rFonts w:eastAsia="Times New Roman"/>
                <w:bCs/>
                <w:iCs/>
                <w:spacing w:val="0"/>
                <w:w w:val="100"/>
                <w:kern w:val="0"/>
                <w:sz w:val="17"/>
                <w:szCs w:val="17"/>
                <w:lang w:val="fr-FR"/>
              </w:rPr>
              <w:t>’</w:t>
            </w:r>
            <w:r w:rsidRPr="00C35A7D">
              <w:rPr>
                <w:rFonts w:eastAsia="Times New Roman"/>
                <w:bCs/>
                <w:iCs/>
                <w:spacing w:val="0"/>
                <w:w w:val="100"/>
                <w:kern w:val="0"/>
                <w:sz w:val="17"/>
                <w:szCs w:val="17"/>
                <w:lang w:val="fr-FR"/>
              </w:rPr>
              <w:t>exploitation)</w:t>
            </w:r>
          </w:p>
        </w:tc>
        <w:tc>
          <w:tcPr>
            <w:tcW w:w="1185" w:type="dxa"/>
            <w:shd w:val="clear" w:color="auto" w:fill="auto"/>
            <w:vAlign w:val="bottom"/>
          </w:tcPr>
          <w:p w14:paraId="47070ABB"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11</w:t>
            </w:r>
          </w:p>
        </w:tc>
        <w:tc>
          <w:tcPr>
            <w:tcW w:w="1185" w:type="dxa"/>
            <w:shd w:val="clear" w:color="auto" w:fill="auto"/>
            <w:vAlign w:val="bottom"/>
          </w:tcPr>
          <w:p w14:paraId="74338F1B"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13</w:t>
            </w:r>
          </w:p>
        </w:tc>
      </w:tr>
      <w:tr w:rsidR="004C48B6" w:rsidRPr="00C35A7D" w14:paraId="1829EA52" w14:textId="77777777" w:rsidTr="00A81ADA">
        <w:trPr>
          <w:cantSplit/>
        </w:trPr>
        <w:tc>
          <w:tcPr>
            <w:tcW w:w="630" w:type="dxa"/>
            <w:shd w:val="clear" w:color="auto" w:fill="auto"/>
            <w:vAlign w:val="bottom"/>
          </w:tcPr>
          <w:p w14:paraId="76C43FDF"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6</w:t>
            </w:r>
          </w:p>
        </w:tc>
        <w:tc>
          <w:tcPr>
            <w:tcW w:w="4320" w:type="dxa"/>
            <w:shd w:val="clear" w:color="auto" w:fill="auto"/>
            <w:vAlign w:val="bottom"/>
          </w:tcPr>
          <w:p w14:paraId="61D338A2"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Article 167 (traite de mineurs)</w:t>
            </w:r>
          </w:p>
        </w:tc>
        <w:tc>
          <w:tcPr>
            <w:tcW w:w="1185" w:type="dxa"/>
            <w:shd w:val="clear" w:color="auto" w:fill="auto"/>
            <w:vAlign w:val="bottom"/>
          </w:tcPr>
          <w:p w14:paraId="7F308AF8"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6</w:t>
            </w:r>
          </w:p>
        </w:tc>
        <w:tc>
          <w:tcPr>
            <w:tcW w:w="1185" w:type="dxa"/>
            <w:shd w:val="clear" w:color="auto" w:fill="auto"/>
            <w:vAlign w:val="bottom"/>
          </w:tcPr>
          <w:p w14:paraId="0450506C"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10</w:t>
            </w:r>
          </w:p>
        </w:tc>
      </w:tr>
      <w:tr w:rsidR="004C48B6" w:rsidRPr="00C35A7D" w14:paraId="0B6609FB" w14:textId="77777777" w:rsidTr="00A81ADA">
        <w:trPr>
          <w:cantSplit/>
        </w:trPr>
        <w:tc>
          <w:tcPr>
            <w:tcW w:w="630" w:type="dxa"/>
            <w:shd w:val="clear" w:color="auto" w:fill="auto"/>
            <w:vAlign w:val="bottom"/>
          </w:tcPr>
          <w:p w14:paraId="1B0F1047"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7</w:t>
            </w:r>
          </w:p>
        </w:tc>
        <w:tc>
          <w:tcPr>
            <w:tcW w:w="4320" w:type="dxa"/>
            <w:shd w:val="clear" w:color="auto" w:fill="auto"/>
            <w:vAlign w:val="bottom"/>
          </w:tcPr>
          <w:p w14:paraId="2BF02805" w14:textId="12650674"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Article 2411 (production et distribution de matériel ou d</w:t>
            </w:r>
            <w:r w:rsidR="008E14FD" w:rsidRPr="00C35A7D">
              <w:rPr>
                <w:rFonts w:eastAsia="Times New Roman"/>
                <w:bCs/>
                <w:iCs/>
                <w:spacing w:val="0"/>
                <w:w w:val="100"/>
                <w:kern w:val="0"/>
                <w:sz w:val="17"/>
                <w:szCs w:val="17"/>
                <w:lang w:val="fr-FR"/>
              </w:rPr>
              <w:t>’</w:t>
            </w:r>
            <w:r w:rsidRPr="00C35A7D">
              <w:rPr>
                <w:rFonts w:eastAsia="Times New Roman"/>
                <w:bCs/>
                <w:iCs/>
                <w:spacing w:val="0"/>
                <w:w w:val="100"/>
                <w:kern w:val="0"/>
                <w:sz w:val="17"/>
                <w:szCs w:val="17"/>
                <w:lang w:val="fr-FR"/>
              </w:rPr>
              <w:t xml:space="preserve">articles pornographiques mettant en scène des mineurs) </w:t>
            </w:r>
          </w:p>
        </w:tc>
        <w:tc>
          <w:tcPr>
            <w:tcW w:w="1185" w:type="dxa"/>
            <w:shd w:val="clear" w:color="auto" w:fill="auto"/>
            <w:vAlign w:val="bottom"/>
          </w:tcPr>
          <w:p w14:paraId="373C1272"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p>
        </w:tc>
        <w:tc>
          <w:tcPr>
            <w:tcW w:w="1185" w:type="dxa"/>
            <w:shd w:val="clear" w:color="auto" w:fill="auto"/>
            <w:vAlign w:val="bottom"/>
          </w:tcPr>
          <w:p w14:paraId="169C75F6"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p>
        </w:tc>
      </w:tr>
      <w:tr w:rsidR="004C48B6" w:rsidRPr="00C35A7D" w14:paraId="26D688AB" w14:textId="77777777" w:rsidTr="00A81ADA">
        <w:trPr>
          <w:cantSplit/>
        </w:trPr>
        <w:tc>
          <w:tcPr>
            <w:tcW w:w="630" w:type="dxa"/>
            <w:shd w:val="clear" w:color="auto" w:fill="auto"/>
            <w:vAlign w:val="bottom"/>
          </w:tcPr>
          <w:p w14:paraId="64998AB8"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8</w:t>
            </w:r>
          </w:p>
        </w:tc>
        <w:tc>
          <w:tcPr>
            <w:tcW w:w="4320" w:type="dxa"/>
            <w:shd w:val="clear" w:color="auto" w:fill="auto"/>
            <w:vAlign w:val="bottom"/>
          </w:tcPr>
          <w:p w14:paraId="716B98F2" w14:textId="70C6E9D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Article 2412 (exploitation de mineurs aux fins de la production de matériel ou d</w:t>
            </w:r>
            <w:r w:rsidR="008E14FD" w:rsidRPr="00C35A7D">
              <w:rPr>
                <w:rFonts w:eastAsia="Times New Roman"/>
                <w:bCs/>
                <w:iCs/>
                <w:spacing w:val="0"/>
                <w:w w:val="100"/>
                <w:kern w:val="0"/>
                <w:sz w:val="17"/>
                <w:szCs w:val="17"/>
                <w:lang w:val="fr-FR"/>
              </w:rPr>
              <w:t>’</w:t>
            </w:r>
            <w:r w:rsidRPr="00C35A7D">
              <w:rPr>
                <w:rFonts w:eastAsia="Times New Roman"/>
                <w:bCs/>
                <w:iCs/>
                <w:spacing w:val="0"/>
                <w:w w:val="100"/>
                <w:kern w:val="0"/>
                <w:sz w:val="17"/>
                <w:szCs w:val="17"/>
                <w:lang w:val="fr-FR"/>
              </w:rPr>
              <w:t xml:space="preserve">articles pornographiques) </w:t>
            </w:r>
          </w:p>
        </w:tc>
        <w:tc>
          <w:tcPr>
            <w:tcW w:w="1185" w:type="dxa"/>
            <w:shd w:val="clear" w:color="auto" w:fill="auto"/>
            <w:vAlign w:val="bottom"/>
          </w:tcPr>
          <w:p w14:paraId="47D76F87"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p>
        </w:tc>
        <w:tc>
          <w:tcPr>
            <w:tcW w:w="1185" w:type="dxa"/>
            <w:shd w:val="clear" w:color="auto" w:fill="auto"/>
            <w:vAlign w:val="bottom"/>
          </w:tcPr>
          <w:p w14:paraId="2EDE7260"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p>
        </w:tc>
      </w:tr>
      <w:tr w:rsidR="004C48B6" w:rsidRPr="00C35A7D" w14:paraId="53B5E2F0" w14:textId="77777777" w:rsidTr="00A81ADA">
        <w:trPr>
          <w:cantSplit/>
        </w:trPr>
        <w:tc>
          <w:tcPr>
            <w:tcW w:w="630" w:type="dxa"/>
            <w:shd w:val="clear" w:color="auto" w:fill="auto"/>
            <w:vAlign w:val="bottom"/>
          </w:tcPr>
          <w:p w14:paraId="0F45E004"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9</w:t>
            </w:r>
          </w:p>
        </w:tc>
        <w:tc>
          <w:tcPr>
            <w:tcW w:w="4320" w:type="dxa"/>
            <w:shd w:val="clear" w:color="auto" w:fill="auto"/>
            <w:vAlign w:val="bottom"/>
          </w:tcPr>
          <w:p w14:paraId="06AFAF68" w14:textId="051B622D"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Article 3351 (organisation de l</w:t>
            </w:r>
            <w:r w:rsidR="008E14FD" w:rsidRPr="00C35A7D">
              <w:rPr>
                <w:rFonts w:eastAsia="Times New Roman"/>
                <w:bCs/>
                <w:iCs/>
                <w:spacing w:val="0"/>
                <w:w w:val="100"/>
                <w:kern w:val="0"/>
                <w:sz w:val="17"/>
                <w:szCs w:val="17"/>
                <w:lang w:val="fr-FR"/>
              </w:rPr>
              <w:t>’</w:t>
            </w:r>
            <w:r w:rsidRPr="00C35A7D">
              <w:rPr>
                <w:rFonts w:eastAsia="Times New Roman"/>
                <w:bCs/>
                <w:iCs/>
                <w:spacing w:val="0"/>
                <w:w w:val="100"/>
                <w:kern w:val="0"/>
                <w:sz w:val="17"/>
                <w:szCs w:val="17"/>
                <w:lang w:val="fr-FR"/>
              </w:rPr>
              <w:t>entrée ou du passage illicite sur le territoire de la République du Tadjikistan de ressortissants étrangers ou d</w:t>
            </w:r>
            <w:r w:rsidR="008E14FD" w:rsidRPr="00C35A7D">
              <w:rPr>
                <w:rFonts w:eastAsia="Times New Roman"/>
                <w:bCs/>
                <w:iCs/>
                <w:spacing w:val="0"/>
                <w:w w:val="100"/>
                <w:kern w:val="0"/>
                <w:sz w:val="17"/>
                <w:szCs w:val="17"/>
                <w:lang w:val="fr-FR"/>
              </w:rPr>
              <w:t>’</w:t>
            </w:r>
            <w:r w:rsidRPr="00C35A7D">
              <w:rPr>
                <w:rFonts w:eastAsia="Times New Roman"/>
                <w:bCs/>
                <w:iCs/>
                <w:spacing w:val="0"/>
                <w:w w:val="100"/>
                <w:kern w:val="0"/>
                <w:sz w:val="17"/>
                <w:szCs w:val="17"/>
                <w:lang w:val="fr-FR"/>
              </w:rPr>
              <w:t xml:space="preserve">apatrides) </w:t>
            </w:r>
          </w:p>
        </w:tc>
        <w:tc>
          <w:tcPr>
            <w:tcW w:w="1185" w:type="dxa"/>
            <w:shd w:val="clear" w:color="auto" w:fill="auto"/>
            <w:vAlign w:val="bottom"/>
          </w:tcPr>
          <w:p w14:paraId="1CE8D3DE"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2</w:t>
            </w:r>
          </w:p>
        </w:tc>
        <w:tc>
          <w:tcPr>
            <w:tcW w:w="1185" w:type="dxa"/>
            <w:shd w:val="clear" w:color="auto" w:fill="auto"/>
            <w:vAlign w:val="bottom"/>
          </w:tcPr>
          <w:p w14:paraId="2B14B022"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1</w:t>
            </w:r>
          </w:p>
        </w:tc>
      </w:tr>
      <w:tr w:rsidR="004C48B6" w:rsidRPr="00C35A7D" w14:paraId="7126F581" w14:textId="77777777" w:rsidTr="00A81ADA">
        <w:trPr>
          <w:cantSplit/>
        </w:trPr>
        <w:tc>
          <w:tcPr>
            <w:tcW w:w="630" w:type="dxa"/>
            <w:shd w:val="clear" w:color="auto" w:fill="auto"/>
            <w:vAlign w:val="bottom"/>
          </w:tcPr>
          <w:p w14:paraId="03D0022F"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10</w:t>
            </w:r>
          </w:p>
        </w:tc>
        <w:tc>
          <w:tcPr>
            <w:tcW w:w="4320" w:type="dxa"/>
            <w:shd w:val="clear" w:color="auto" w:fill="auto"/>
            <w:vAlign w:val="bottom"/>
          </w:tcPr>
          <w:p w14:paraId="5DF07540"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Article 3352 (organisation de migrations illégales)</w:t>
            </w:r>
          </w:p>
        </w:tc>
        <w:tc>
          <w:tcPr>
            <w:tcW w:w="1185" w:type="dxa"/>
            <w:shd w:val="clear" w:color="auto" w:fill="auto"/>
            <w:vAlign w:val="bottom"/>
          </w:tcPr>
          <w:p w14:paraId="6CCF1095"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p>
        </w:tc>
        <w:tc>
          <w:tcPr>
            <w:tcW w:w="1185" w:type="dxa"/>
            <w:shd w:val="clear" w:color="auto" w:fill="auto"/>
            <w:vAlign w:val="bottom"/>
          </w:tcPr>
          <w:p w14:paraId="5EBC1964"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3</w:t>
            </w:r>
          </w:p>
        </w:tc>
      </w:tr>
      <w:tr w:rsidR="004C48B6" w:rsidRPr="00C35A7D" w14:paraId="6AB7BACA" w14:textId="77777777" w:rsidTr="00A81ADA">
        <w:trPr>
          <w:cantSplit/>
        </w:trPr>
        <w:tc>
          <w:tcPr>
            <w:tcW w:w="630" w:type="dxa"/>
            <w:shd w:val="clear" w:color="auto" w:fill="auto"/>
            <w:vAlign w:val="bottom"/>
          </w:tcPr>
          <w:p w14:paraId="7EA55071"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11</w:t>
            </w:r>
          </w:p>
        </w:tc>
        <w:tc>
          <w:tcPr>
            <w:tcW w:w="4320" w:type="dxa"/>
            <w:shd w:val="clear" w:color="auto" w:fill="auto"/>
            <w:vAlign w:val="bottom"/>
          </w:tcPr>
          <w:p w14:paraId="270C058D" w14:textId="77777777" w:rsidR="004C48B6" w:rsidRPr="00C35A7D" w:rsidRDefault="004C48B6" w:rsidP="00C35A7D">
            <w:pPr>
              <w:suppressAutoHyphens/>
              <w:spacing w:before="40" w:after="40"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 xml:space="preserve">Article 339 (vol ou détérioration de documents, tampons ou sceaux) </w:t>
            </w:r>
          </w:p>
        </w:tc>
        <w:tc>
          <w:tcPr>
            <w:tcW w:w="1185" w:type="dxa"/>
            <w:shd w:val="clear" w:color="auto" w:fill="auto"/>
            <w:vAlign w:val="bottom"/>
          </w:tcPr>
          <w:p w14:paraId="133DA780"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p>
        </w:tc>
        <w:tc>
          <w:tcPr>
            <w:tcW w:w="1185" w:type="dxa"/>
            <w:shd w:val="clear" w:color="auto" w:fill="auto"/>
            <w:vAlign w:val="bottom"/>
          </w:tcPr>
          <w:p w14:paraId="3F4F9299" w14:textId="77777777" w:rsidR="004C48B6" w:rsidRPr="00C35A7D" w:rsidRDefault="004C48B6" w:rsidP="00C35A7D">
            <w:pPr>
              <w:suppressAutoHyphens/>
              <w:spacing w:before="40" w:after="40" w:line="210" w:lineRule="exact"/>
              <w:ind w:right="43"/>
              <w:jc w:val="right"/>
              <w:rPr>
                <w:rFonts w:eastAsia="Times New Roman"/>
                <w:bCs/>
                <w:iCs/>
                <w:spacing w:val="0"/>
                <w:w w:val="100"/>
                <w:kern w:val="0"/>
                <w:sz w:val="17"/>
                <w:szCs w:val="17"/>
                <w:lang w:val="fr-FR"/>
              </w:rPr>
            </w:pPr>
          </w:p>
        </w:tc>
      </w:tr>
      <w:tr w:rsidR="004C48B6" w:rsidRPr="00C35A7D" w14:paraId="0219383F" w14:textId="77777777" w:rsidTr="00A81ADA">
        <w:trPr>
          <w:cantSplit/>
        </w:trPr>
        <w:tc>
          <w:tcPr>
            <w:tcW w:w="630" w:type="dxa"/>
            <w:tcBorders>
              <w:bottom w:val="single" w:sz="4" w:space="0" w:color="auto"/>
            </w:tcBorders>
            <w:shd w:val="clear" w:color="auto" w:fill="auto"/>
            <w:vAlign w:val="bottom"/>
          </w:tcPr>
          <w:p w14:paraId="2585D4F7" w14:textId="77777777" w:rsidR="004C48B6" w:rsidRPr="00C35A7D" w:rsidRDefault="004C48B6" w:rsidP="0015017B">
            <w:pPr>
              <w:suppressAutoHyphens/>
              <w:spacing w:before="40" w:after="81"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12</w:t>
            </w:r>
          </w:p>
        </w:tc>
        <w:tc>
          <w:tcPr>
            <w:tcW w:w="4320" w:type="dxa"/>
            <w:tcBorders>
              <w:bottom w:val="single" w:sz="4" w:space="0" w:color="auto"/>
            </w:tcBorders>
            <w:shd w:val="clear" w:color="auto" w:fill="auto"/>
            <w:vAlign w:val="bottom"/>
          </w:tcPr>
          <w:p w14:paraId="1A47CBB1" w14:textId="7DC81391" w:rsidR="004C48B6" w:rsidRPr="00C35A7D" w:rsidRDefault="004C48B6" w:rsidP="0015017B">
            <w:pPr>
              <w:suppressAutoHyphens/>
              <w:spacing w:before="40" w:after="81" w:line="210" w:lineRule="exact"/>
              <w:ind w:right="43"/>
              <w:rPr>
                <w:rFonts w:eastAsia="Times New Roman"/>
                <w:bCs/>
                <w:iCs/>
                <w:spacing w:val="0"/>
                <w:w w:val="100"/>
                <w:kern w:val="0"/>
                <w:sz w:val="17"/>
                <w:szCs w:val="17"/>
                <w:lang w:val="fr-FR"/>
              </w:rPr>
            </w:pPr>
            <w:r w:rsidRPr="00C35A7D">
              <w:rPr>
                <w:rFonts w:eastAsia="Times New Roman"/>
                <w:bCs/>
                <w:iCs/>
                <w:spacing w:val="0"/>
                <w:w w:val="100"/>
                <w:kern w:val="0"/>
                <w:sz w:val="17"/>
                <w:szCs w:val="17"/>
                <w:lang w:val="fr-FR"/>
              </w:rPr>
              <w:t>Article 340 (contrefaçon, fabrication ou vente de faux documents, récompenses, tampons, sceaux ou documents à en-tête de l</w:t>
            </w:r>
            <w:r w:rsidR="008E14FD" w:rsidRPr="00C35A7D">
              <w:rPr>
                <w:rFonts w:eastAsia="Times New Roman"/>
                <w:bCs/>
                <w:iCs/>
                <w:spacing w:val="0"/>
                <w:w w:val="100"/>
                <w:kern w:val="0"/>
                <w:sz w:val="17"/>
                <w:szCs w:val="17"/>
                <w:lang w:val="fr-FR"/>
              </w:rPr>
              <w:t>’</w:t>
            </w:r>
            <w:r w:rsidRPr="00C35A7D">
              <w:rPr>
                <w:rFonts w:eastAsia="Times New Roman"/>
                <w:bCs/>
                <w:iCs/>
                <w:spacing w:val="0"/>
                <w:w w:val="100"/>
                <w:kern w:val="0"/>
                <w:sz w:val="17"/>
                <w:szCs w:val="17"/>
                <w:lang w:val="fr-FR"/>
              </w:rPr>
              <w:t>État aux fins de la traite d</w:t>
            </w:r>
            <w:r w:rsidR="008E14FD" w:rsidRPr="00C35A7D">
              <w:rPr>
                <w:rFonts w:eastAsia="Times New Roman"/>
                <w:bCs/>
                <w:iCs/>
                <w:spacing w:val="0"/>
                <w:w w:val="100"/>
                <w:kern w:val="0"/>
                <w:sz w:val="17"/>
                <w:szCs w:val="17"/>
                <w:lang w:val="fr-FR"/>
              </w:rPr>
              <w:t>’</w:t>
            </w:r>
            <w:r w:rsidRPr="00C35A7D">
              <w:rPr>
                <w:rFonts w:eastAsia="Times New Roman"/>
                <w:bCs/>
                <w:iCs/>
                <w:spacing w:val="0"/>
                <w:w w:val="100"/>
                <w:kern w:val="0"/>
                <w:sz w:val="17"/>
                <w:szCs w:val="17"/>
                <w:lang w:val="fr-FR"/>
              </w:rPr>
              <w:t xml:space="preserve">êtres humains) </w:t>
            </w:r>
          </w:p>
        </w:tc>
        <w:tc>
          <w:tcPr>
            <w:tcW w:w="1185" w:type="dxa"/>
            <w:tcBorders>
              <w:bottom w:val="single" w:sz="4" w:space="0" w:color="auto"/>
            </w:tcBorders>
            <w:shd w:val="clear" w:color="auto" w:fill="auto"/>
            <w:vAlign w:val="bottom"/>
          </w:tcPr>
          <w:p w14:paraId="4F5E1579" w14:textId="77777777" w:rsidR="004C48B6" w:rsidRPr="00C35A7D" w:rsidRDefault="004C48B6" w:rsidP="0015017B">
            <w:pPr>
              <w:suppressAutoHyphens/>
              <w:spacing w:before="40" w:after="81" w:line="210" w:lineRule="exact"/>
              <w:ind w:right="43"/>
              <w:jc w:val="right"/>
              <w:rPr>
                <w:rFonts w:eastAsia="Times New Roman"/>
                <w:bCs/>
                <w:iCs/>
                <w:spacing w:val="0"/>
                <w:w w:val="100"/>
                <w:kern w:val="0"/>
                <w:sz w:val="17"/>
                <w:szCs w:val="17"/>
                <w:lang w:val="fr-FR"/>
              </w:rPr>
            </w:pPr>
          </w:p>
        </w:tc>
        <w:tc>
          <w:tcPr>
            <w:tcW w:w="1185" w:type="dxa"/>
            <w:tcBorders>
              <w:bottom w:val="single" w:sz="4" w:space="0" w:color="auto"/>
            </w:tcBorders>
            <w:shd w:val="clear" w:color="auto" w:fill="auto"/>
            <w:vAlign w:val="bottom"/>
          </w:tcPr>
          <w:p w14:paraId="676AAA6E" w14:textId="77777777" w:rsidR="004C48B6" w:rsidRPr="00C35A7D" w:rsidRDefault="004C48B6" w:rsidP="0015017B">
            <w:pPr>
              <w:suppressAutoHyphens/>
              <w:spacing w:before="40" w:after="81" w:line="210" w:lineRule="exact"/>
              <w:ind w:right="43"/>
              <w:jc w:val="right"/>
              <w:rPr>
                <w:rFonts w:eastAsia="Times New Roman"/>
                <w:bCs/>
                <w:iCs/>
                <w:spacing w:val="0"/>
                <w:w w:val="100"/>
                <w:kern w:val="0"/>
                <w:sz w:val="17"/>
                <w:szCs w:val="17"/>
                <w:lang w:val="fr-FR"/>
              </w:rPr>
            </w:pPr>
          </w:p>
        </w:tc>
      </w:tr>
      <w:tr w:rsidR="004C48B6" w:rsidRPr="0015017B" w14:paraId="1FBB1C66" w14:textId="77777777" w:rsidTr="00A81ADA">
        <w:trPr>
          <w:cantSplit/>
        </w:trPr>
        <w:tc>
          <w:tcPr>
            <w:tcW w:w="630" w:type="dxa"/>
            <w:tcBorders>
              <w:top w:val="single" w:sz="4" w:space="0" w:color="auto"/>
              <w:bottom w:val="single" w:sz="12" w:space="0" w:color="auto"/>
            </w:tcBorders>
            <w:shd w:val="clear" w:color="auto" w:fill="auto"/>
            <w:vAlign w:val="bottom"/>
          </w:tcPr>
          <w:p w14:paraId="1C8F8D26" w14:textId="77777777" w:rsidR="004C48B6" w:rsidRPr="0015017B" w:rsidRDefault="004C48B6" w:rsidP="0015017B">
            <w:pPr>
              <w:suppressAutoHyphens/>
              <w:spacing w:before="81" w:after="81" w:line="210" w:lineRule="exact"/>
              <w:ind w:right="43"/>
              <w:rPr>
                <w:rFonts w:eastAsia="Times New Roman"/>
                <w:b/>
                <w:bCs/>
                <w:iCs/>
                <w:spacing w:val="0"/>
                <w:w w:val="100"/>
                <w:kern w:val="0"/>
                <w:sz w:val="17"/>
                <w:szCs w:val="17"/>
                <w:lang w:val="fr-FR"/>
              </w:rPr>
            </w:pPr>
          </w:p>
        </w:tc>
        <w:tc>
          <w:tcPr>
            <w:tcW w:w="4320" w:type="dxa"/>
            <w:tcBorders>
              <w:top w:val="single" w:sz="4" w:space="0" w:color="auto"/>
              <w:bottom w:val="single" w:sz="12" w:space="0" w:color="auto"/>
            </w:tcBorders>
            <w:shd w:val="clear" w:color="auto" w:fill="auto"/>
            <w:vAlign w:val="bottom"/>
          </w:tcPr>
          <w:p w14:paraId="494D9968" w14:textId="2794EF87" w:rsidR="004C48B6" w:rsidRPr="0015017B" w:rsidRDefault="004C48B6" w:rsidP="0015017B">
            <w:pPr>
              <w:suppressAutoHyphens/>
              <w:spacing w:before="81" w:after="81" w:line="210" w:lineRule="exact"/>
              <w:ind w:right="43"/>
              <w:rPr>
                <w:rFonts w:eastAsia="Times New Roman"/>
                <w:b/>
                <w:bCs/>
                <w:iCs/>
                <w:spacing w:val="0"/>
                <w:w w:val="100"/>
                <w:kern w:val="0"/>
                <w:sz w:val="17"/>
                <w:szCs w:val="17"/>
                <w:lang w:val="fr-FR"/>
              </w:rPr>
            </w:pPr>
            <w:r w:rsidRPr="0015017B">
              <w:rPr>
                <w:rFonts w:eastAsia="Times New Roman"/>
                <w:b/>
                <w:bCs/>
                <w:iCs/>
                <w:spacing w:val="0"/>
                <w:w w:val="100"/>
                <w:kern w:val="0"/>
                <w:sz w:val="17"/>
                <w:szCs w:val="17"/>
                <w:lang w:val="fr-FR"/>
              </w:rPr>
              <w:t>Total</w:t>
            </w:r>
          </w:p>
        </w:tc>
        <w:tc>
          <w:tcPr>
            <w:tcW w:w="1185" w:type="dxa"/>
            <w:tcBorders>
              <w:top w:val="single" w:sz="4" w:space="0" w:color="auto"/>
              <w:bottom w:val="single" w:sz="12" w:space="0" w:color="auto"/>
            </w:tcBorders>
            <w:shd w:val="clear" w:color="auto" w:fill="auto"/>
            <w:vAlign w:val="bottom"/>
          </w:tcPr>
          <w:p w14:paraId="4102F722" w14:textId="77777777" w:rsidR="004C48B6" w:rsidRPr="0015017B" w:rsidRDefault="004C48B6" w:rsidP="0015017B">
            <w:pPr>
              <w:suppressAutoHyphens/>
              <w:spacing w:before="81" w:after="81" w:line="210" w:lineRule="exact"/>
              <w:ind w:right="43"/>
              <w:jc w:val="right"/>
              <w:rPr>
                <w:rFonts w:eastAsia="Times New Roman"/>
                <w:b/>
                <w:bCs/>
                <w:iCs/>
                <w:spacing w:val="0"/>
                <w:w w:val="100"/>
                <w:kern w:val="0"/>
                <w:sz w:val="17"/>
                <w:szCs w:val="17"/>
                <w:lang w:val="fr-FR"/>
              </w:rPr>
            </w:pPr>
            <w:r w:rsidRPr="0015017B">
              <w:rPr>
                <w:rFonts w:eastAsia="Times New Roman"/>
                <w:b/>
                <w:bCs/>
                <w:iCs/>
                <w:spacing w:val="0"/>
                <w:w w:val="100"/>
                <w:kern w:val="0"/>
                <w:sz w:val="17"/>
                <w:szCs w:val="17"/>
                <w:lang w:val="fr-FR"/>
              </w:rPr>
              <w:t>29</w:t>
            </w:r>
          </w:p>
        </w:tc>
        <w:tc>
          <w:tcPr>
            <w:tcW w:w="1185" w:type="dxa"/>
            <w:tcBorders>
              <w:top w:val="single" w:sz="4" w:space="0" w:color="auto"/>
              <w:bottom w:val="single" w:sz="12" w:space="0" w:color="auto"/>
            </w:tcBorders>
            <w:shd w:val="clear" w:color="auto" w:fill="auto"/>
            <w:vAlign w:val="bottom"/>
          </w:tcPr>
          <w:p w14:paraId="29CFB0B7" w14:textId="77777777" w:rsidR="004C48B6" w:rsidRPr="0015017B" w:rsidRDefault="004C48B6" w:rsidP="0015017B">
            <w:pPr>
              <w:suppressAutoHyphens/>
              <w:spacing w:before="81" w:after="81" w:line="210" w:lineRule="exact"/>
              <w:ind w:right="43"/>
              <w:jc w:val="right"/>
              <w:rPr>
                <w:rFonts w:eastAsia="Times New Roman"/>
                <w:b/>
                <w:bCs/>
                <w:iCs/>
                <w:spacing w:val="0"/>
                <w:w w:val="100"/>
                <w:kern w:val="0"/>
                <w:sz w:val="17"/>
                <w:szCs w:val="17"/>
                <w:lang w:val="fr-FR"/>
              </w:rPr>
            </w:pPr>
            <w:r w:rsidRPr="0015017B">
              <w:rPr>
                <w:rFonts w:eastAsia="Times New Roman"/>
                <w:b/>
                <w:bCs/>
                <w:iCs/>
                <w:spacing w:val="0"/>
                <w:w w:val="100"/>
                <w:kern w:val="0"/>
                <w:sz w:val="17"/>
                <w:szCs w:val="17"/>
                <w:lang w:val="fr-FR"/>
              </w:rPr>
              <w:t>47</w:t>
            </w:r>
          </w:p>
        </w:tc>
      </w:tr>
    </w:tbl>
    <w:p w14:paraId="0CBC15A7" w14:textId="5B0D65BD" w:rsidR="004C48B6" w:rsidRPr="0015017B" w:rsidRDefault="004C48B6" w:rsidP="0015017B">
      <w:pPr>
        <w:pStyle w:val="SingleTxt"/>
        <w:spacing w:after="0" w:line="120" w:lineRule="exact"/>
        <w:rPr>
          <w:w w:val="100"/>
          <w:sz w:val="10"/>
          <w:lang w:val="fr-FR"/>
        </w:rPr>
      </w:pPr>
    </w:p>
    <w:p w14:paraId="2C04E931" w14:textId="3C70849A" w:rsidR="0015017B" w:rsidRPr="0015017B" w:rsidRDefault="0015017B" w:rsidP="0015017B">
      <w:pPr>
        <w:pStyle w:val="SingleTxt"/>
        <w:spacing w:after="0" w:line="120" w:lineRule="exact"/>
        <w:rPr>
          <w:w w:val="100"/>
          <w:sz w:val="10"/>
          <w:lang w:val="fr-FR"/>
        </w:rPr>
      </w:pPr>
    </w:p>
    <w:p w14:paraId="541719EC" w14:textId="628F0FDB" w:rsidR="004C48B6" w:rsidRPr="004C48B6" w:rsidRDefault="004C48B6" w:rsidP="00746391">
      <w:pPr>
        <w:pStyle w:val="SingleTxt"/>
        <w:numPr>
          <w:ilvl w:val="0"/>
          <w:numId w:val="6"/>
        </w:numPr>
        <w:spacing w:line="240" w:lineRule="exact"/>
        <w:ind w:left="1267"/>
        <w:rPr>
          <w:lang w:val="fr-FR"/>
        </w:rPr>
      </w:pPr>
      <w:r w:rsidRPr="004C48B6">
        <w:rPr>
          <w:lang w:val="fr-FR"/>
        </w:rPr>
        <w:t>Au cours des sept premiers mois de 2017, le Ministère de l</w:t>
      </w:r>
      <w:r w:rsidR="008E14FD">
        <w:rPr>
          <w:lang w:val="fr-FR"/>
        </w:rPr>
        <w:t>’</w:t>
      </w:r>
      <w:r w:rsidRPr="004C48B6">
        <w:rPr>
          <w:lang w:val="fr-FR"/>
        </w:rPr>
        <w:t xml:space="preserve">intérieur a rapatrié au Tadjikistan quatre victimes depuis les </w:t>
      </w:r>
      <w:r w:rsidRPr="004C48B6">
        <w:rPr>
          <w:bCs/>
          <w:lang w:val="fr-FR"/>
        </w:rPr>
        <w:t>Émirats arabes unis et une depuis Istanbul (Turquie).</w:t>
      </w:r>
      <w:r w:rsidR="008E14FD">
        <w:rPr>
          <w:bCs/>
          <w:lang w:val="fr-FR"/>
        </w:rPr>
        <w:t xml:space="preserve"> </w:t>
      </w:r>
      <w:r w:rsidRPr="004C48B6">
        <w:rPr>
          <w:bCs/>
          <w:lang w:val="fr-FR"/>
        </w:rPr>
        <w:t>Les victimes de la traite ont accès à une assistance complète qui comprend l</w:t>
      </w:r>
      <w:r w:rsidR="008E14FD">
        <w:rPr>
          <w:bCs/>
          <w:lang w:val="fr-FR"/>
        </w:rPr>
        <w:t>’</w:t>
      </w:r>
      <w:r w:rsidRPr="004C48B6">
        <w:rPr>
          <w:bCs/>
          <w:lang w:val="fr-FR"/>
        </w:rPr>
        <w:t>hébergement, des soins médicaux et psychologiques et des services de réadaptation. Elles peuvent également bénéficier de mesures de réintégration. Celles qui en ont besoin se voient remettre des documents d</w:t>
      </w:r>
      <w:r w:rsidR="008E14FD">
        <w:rPr>
          <w:bCs/>
          <w:lang w:val="fr-FR"/>
        </w:rPr>
        <w:t>’</w:t>
      </w:r>
      <w:r w:rsidRPr="004C48B6">
        <w:rPr>
          <w:bCs/>
          <w:lang w:val="fr-FR"/>
        </w:rPr>
        <w:t>identité. Un avocat désigné d</w:t>
      </w:r>
      <w:r w:rsidR="008E14FD">
        <w:rPr>
          <w:bCs/>
          <w:lang w:val="fr-FR"/>
        </w:rPr>
        <w:t>’</w:t>
      </w:r>
      <w:r w:rsidRPr="004C48B6">
        <w:rPr>
          <w:bCs/>
          <w:lang w:val="fr-FR"/>
        </w:rPr>
        <w:t>office les accompagne de la phase de l</w:t>
      </w:r>
      <w:r w:rsidR="008E14FD">
        <w:rPr>
          <w:bCs/>
          <w:lang w:val="fr-FR"/>
        </w:rPr>
        <w:t>’</w:t>
      </w:r>
      <w:r w:rsidRPr="004C48B6">
        <w:rPr>
          <w:bCs/>
          <w:lang w:val="fr-FR"/>
        </w:rPr>
        <w:t>instruction jusqu</w:t>
      </w:r>
      <w:r w:rsidR="008E14FD">
        <w:rPr>
          <w:bCs/>
          <w:lang w:val="fr-FR"/>
        </w:rPr>
        <w:t>’</w:t>
      </w:r>
      <w:r w:rsidRPr="004C48B6">
        <w:rPr>
          <w:bCs/>
          <w:lang w:val="fr-FR"/>
        </w:rPr>
        <w:t>au prononcé du jugement et si, à l</w:t>
      </w:r>
      <w:r w:rsidR="008E14FD">
        <w:rPr>
          <w:bCs/>
          <w:lang w:val="fr-FR"/>
        </w:rPr>
        <w:t>’</w:t>
      </w:r>
      <w:r w:rsidRPr="004C48B6">
        <w:rPr>
          <w:bCs/>
          <w:lang w:val="fr-FR"/>
        </w:rPr>
        <w:t>issue du jugement, l</w:t>
      </w:r>
      <w:r w:rsidR="008E14FD">
        <w:rPr>
          <w:bCs/>
          <w:lang w:val="fr-FR"/>
        </w:rPr>
        <w:t>’</w:t>
      </w:r>
      <w:r w:rsidRPr="004C48B6">
        <w:rPr>
          <w:bCs/>
          <w:lang w:val="fr-FR"/>
        </w:rPr>
        <w:t>accusé refuse de réparer le préjudice moral ou matériel subi,</w:t>
      </w:r>
      <w:r w:rsidR="008E14FD">
        <w:rPr>
          <w:bCs/>
          <w:lang w:val="fr-FR"/>
        </w:rPr>
        <w:t xml:space="preserve"> </w:t>
      </w:r>
      <w:r w:rsidRPr="004C48B6">
        <w:rPr>
          <w:bCs/>
          <w:lang w:val="fr-FR"/>
        </w:rPr>
        <w:t xml:space="preserve">celui-ci peut engager une action civile pour obtenir réparation (à la demande de la victime). </w:t>
      </w:r>
    </w:p>
    <w:p w14:paraId="154A5F29" w14:textId="1B0D4FBB" w:rsidR="004C48B6" w:rsidRPr="004C48B6" w:rsidRDefault="004C48B6" w:rsidP="00746391">
      <w:pPr>
        <w:pStyle w:val="SingleTxt"/>
        <w:numPr>
          <w:ilvl w:val="0"/>
          <w:numId w:val="6"/>
        </w:numPr>
        <w:spacing w:line="240" w:lineRule="exact"/>
        <w:ind w:left="1267"/>
        <w:rPr>
          <w:lang w:val="fr-FR"/>
        </w:rPr>
      </w:pPr>
      <w:r w:rsidRPr="004C48B6">
        <w:rPr>
          <w:lang w:val="fr-FR"/>
        </w:rPr>
        <w:t>L</w:t>
      </w:r>
      <w:r w:rsidR="008E14FD">
        <w:rPr>
          <w:lang w:val="fr-FR"/>
        </w:rPr>
        <w:t>’</w:t>
      </w:r>
      <w:r w:rsidRPr="004C48B6">
        <w:rPr>
          <w:lang w:val="fr-FR"/>
        </w:rPr>
        <w:t>association « Femida » propose actuellement aux victimes de la traite des services d</w:t>
      </w:r>
      <w:r w:rsidR="008E14FD">
        <w:rPr>
          <w:lang w:val="fr-FR"/>
        </w:rPr>
        <w:t>’</w:t>
      </w:r>
      <w:r w:rsidRPr="004C48B6">
        <w:rPr>
          <w:lang w:val="fr-FR"/>
        </w:rPr>
        <w:t xml:space="preserve">aide à la réadaptation et à la réinsertion sociale, avec le soutien financier </w:t>
      </w:r>
      <w:r w:rsidRPr="004C48B6">
        <w:rPr>
          <w:lang w:val="fr-FR"/>
        </w:rPr>
        <w:lastRenderedPageBreak/>
        <w:t>de l</w:t>
      </w:r>
      <w:r w:rsidR="008E14FD">
        <w:rPr>
          <w:lang w:val="fr-FR"/>
        </w:rPr>
        <w:t>’</w:t>
      </w:r>
      <w:r w:rsidRPr="004C48B6">
        <w:rPr>
          <w:lang w:val="fr-FR"/>
        </w:rPr>
        <w:t>Agence de protection sociale du Ministère de la santé et de la protection sociale ainsi que de l</w:t>
      </w:r>
      <w:r w:rsidR="008E14FD">
        <w:rPr>
          <w:lang w:val="fr-FR"/>
        </w:rPr>
        <w:t>’</w:t>
      </w:r>
      <w:r w:rsidRPr="004C48B6">
        <w:rPr>
          <w:lang w:val="fr-FR"/>
        </w:rPr>
        <w:t>Organisation internationale pour les migrations.</w:t>
      </w:r>
      <w:r w:rsidR="008E14FD">
        <w:rPr>
          <w:lang w:val="fr-FR"/>
        </w:rPr>
        <w:t xml:space="preserve"> </w:t>
      </w:r>
    </w:p>
    <w:p w14:paraId="61315500" w14:textId="7FBF2EDB" w:rsidR="004C48B6" w:rsidRPr="004C48B6" w:rsidRDefault="004C48B6" w:rsidP="00746391">
      <w:pPr>
        <w:pStyle w:val="SingleTxt"/>
        <w:numPr>
          <w:ilvl w:val="0"/>
          <w:numId w:val="6"/>
        </w:numPr>
        <w:spacing w:line="240" w:lineRule="exact"/>
        <w:ind w:left="1267"/>
        <w:rPr>
          <w:lang w:val="fr-FR"/>
        </w:rPr>
      </w:pPr>
      <w:r w:rsidRPr="004C48B6">
        <w:rPr>
          <w:lang w:val="fr-FR"/>
        </w:rPr>
        <w:t>Deux à trois fois par an, un débat est mené sur la prévention de la traite des êtres humains et les moyens de combattre ce fléau avec les partenaires sociaux et représentants diplomatiques d</w:t>
      </w:r>
      <w:r w:rsidR="008E14FD">
        <w:rPr>
          <w:lang w:val="fr-FR"/>
        </w:rPr>
        <w:t>’</w:t>
      </w:r>
      <w:r w:rsidRPr="004C48B6">
        <w:rPr>
          <w:lang w:val="fr-FR"/>
        </w:rPr>
        <w:t xml:space="preserve">autres États et des membres de la Commission interministérielle. </w:t>
      </w:r>
    </w:p>
    <w:p w14:paraId="3C96C82D" w14:textId="1D1CA797" w:rsidR="004C48B6" w:rsidRPr="00843EC7" w:rsidRDefault="004C48B6" w:rsidP="00843EC7">
      <w:pPr>
        <w:pStyle w:val="SingleTxt"/>
        <w:spacing w:after="0" w:line="120" w:lineRule="exact"/>
        <w:rPr>
          <w:sz w:val="10"/>
          <w:lang w:val="fr-FR"/>
        </w:rPr>
      </w:pPr>
    </w:p>
    <w:p w14:paraId="5C07E7F2" w14:textId="6CD11924" w:rsidR="004C48B6" w:rsidRDefault="00843EC7" w:rsidP="00A81A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4C48B6" w:rsidRPr="004C48B6">
        <w:rPr>
          <w:lang w:val="fr-CH"/>
        </w:rPr>
        <w:t>Participation à la vie politique et publique</w:t>
      </w:r>
    </w:p>
    <w:p w14:paraId="2CBE6CB8" w14:textId="6284A698" w:rsidR="00843EC7" w:rsidRPr="00843EC7" w:rsidRDefault="00843EC7" w:rsidP="00A81ADA">
      <w:pPr>
        <w:pStyle w:val="SingleTxt"/>
        <w:keepNext/>
        <w:keepLines/>
        <w:spacing w:after="0" w:line="120" w:lineRule="exact"/>
        <w:rPr>
          <w:sz w:val="10"/>
          <w:lang w:val="fr-CH"/>
        </w:rPr>
      </w:pPr>
    </w:p>
    <w:p w14:paraId="365A20F5" w14:textId="27F07DBD" w:rsidR="004C48B6" w:rsidRDefault="00843EC7" w:rsidP="00A81A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4C48B6" w:rsidRPr="004C48B6">
        <w:rPr>
          <w:lang w:val="fr-CH"/>
        </w:rPr>
        <w:t xml:space="preserve">Paragraphe 22 des observations finales </w:t>
      </w:r>
    </w:p>
    <w:p w14:paraId="50148C95" w14:textId="042B7A5A" w:rsidR="00843EC7" w:rsidRPr="00843EC7" w:rsidRDefault="00843EC7" w:rsidP="00A81ADA">
      <w:pPr>
        <w:pStyle w:val="SingleTxt"/>
        <w:keepNext/>
        <w:keepLines/>
        <w:spacing w:after="0" w:line="120" w:lineRule="exact"/>
        <w:rPr>
          <w:sz w:val="10"/>
          <w:lang w:val="fr-CH"/>
        </w:rPr>
      </w:pPr>
    </w:p>
    <w:p w14:paraId="3AAF1C03" w14:textId="7D773ACD" w:rsidR="004C48B6" w:rsidRPr="004C48B6" w:rsidRDefault="004C48B6" w:rsidP="00746391">
      <w:pPr>
        <w:pStyle w:val="SingleTxt"/>
        <w:numPr>
          <w:ilvl w:val="0"/>
          <w:numId w:val="6"/>
        </w:numPr>
        <w:spacing w:line="240" w:lineRule="exact"/>
        <w:ind w:left="1267"/>
        <w:rPr>
          <w:lang w:val="fr-CH"/>
        </w:rPr>
      </w:pPr>
      <w:r w:rsidRPr="004C48B6">
        <w:rPr>
          <w:lang w:val="fr-CH"/>
        </w:rPr>
        <w:t>Un cadre législatif est en place pour garantir l</w:t>
      </w:r>
      <w:r w:rsidR="008E14FD">
        <w:rPr>
          <w:lang w:val="fr-CH"/>
        </w:rPr>
        <w:t>’</w:t>
      </w:r>
      <w:r w:rsidRPr="004C48B6">
        <w:rPr>
          <w:lang w:val="fr-CH"/>
        </w:rPr>
        <w:t>égalité des droits entre citoyens, quels que soient leur sexe, leur race, leur appartenance nationale, leur langue, leur origine, leur situation matérielle ou professionnelle, leur lieu de résidence, leur affiliation religieuse ou leurs convictions, ou qu</w:t>
      </w:r>
      <w:r w:rsidR="008E14FD">
        <w:rPr>
          <w:lang w:val="fr-CH"/>
        </w:rPr>
        <w:t>’</w:t>
      </w:r>
      <w:r w:rsidRPr="004C48B6">
        <w:rPr>
          <w:lang w:val="fr-CH"/>
        </w:rPr>
        <w:t>ils appartiennent ou non à une association publique ou à un groupement social quelconque. Selon l</w:t>
      </w:r>
      <w:r w:rsidR="008E14FD">
        <w:rPr>
          <w:lang w:val="fr-CH"/>
        </w:rPr>
        <w:t>’</w:t>
      </w:r>
      <w:r w:rsidRPr="004C48B6">
        <w:rPr>
          <w:lang w:val="fr-CH"/>
        </w:rPr>
        <w:t>article 27 de la Constitution, les citoyens peuvent tous entrer dans la fonction publique, ce que confirme l</w:t>
      </w:r>
      <w:r w:rsidR="008E14FD">
        <w:rPr>
          <w:lang w:val="fr-CH"/>
        </w:rPr>
        <w:t>’</w:t>
      </w:r>
      <w:r w:rsidRPr="004C48B6">
        <w:rPr>
          <w:lang w:val="fr-CH"/>
        </w:rPr>
        <w:t>article 2 de la loi relative à la fonction publique. Aussi les citoyens de la République du Tadjikistan sont-ils égaux devant la loi vis-à-vis de l</w:t>
      </w:r>
      <w:r w:rsidR="008E14FD">
        <w:rPr>
          <w:lang w:val="fr-CH"/>
        </w:rPr>
        <w:t>’</w:t>
      </w:r>
      <w:r w:rsidRPr="004C48B6">
        <w:rPr>
          <w:lang w:val="fr-CH"/>
        </w:rPr>
        <w:t>emploi dans la fonction publique, sans distinction d</w:t>
      </w:r>
      <w:r w:rsidR="008E14FD">
        <w:rPr>
          <w:lang w:val="fr-CH"/>
        </w:rPr>
        <w:t>’</w:t>
      </w:r>
      <w:r w:rsidRPr="004C48B6">
        <w:rPr>
          <w:lang w:val="fr-CH"/>
        </w:rPr>
        <w:t>appartenance nationale, de race, de sexe, de langue, de croyance, de conviction politique ou de situation matérielle ou sociale. Une attention particulière est portée au rôle des femmes dans la société et au principe de la représentation équilibrée des sexes. Des textes législatifs régissant les questions d</w:t>
      </w:r>
      <w:r w:rsidR="008E14FD">
        <w:rPr>
          <w:lang w:val="fr-CH"/>
        </w:rPr>
        <w:t>’</w:t>
      </w:r>
      <w:r w:rsidRPr="004C48B6">
        <w:rPr>
          <w:lang w:val="fr-CH"/>
        </w:rPr>
        <w:t>égalité des droits entre hommes et femmes ont été adoptés à cet effet.</w:t>
      </w:r>
    </w:p>
    <w:p w14:paraId="6AD28417" w14:textId="5FA60BFC" w:rsidR="004C48B6" w:rsidRPr="004C48B6" w:rsidRDefault="004C48B6" w:rsidP="00746391">
      <w:pPr>
        <w:pStyle w:val="SingleTxt"/>
        <w:numPr>
          <w:ilvl w:val="0"/>
          <w:numId w:val="6"/>
        </w:numPr>
        <w:spacing w:line="240" w:lineRule="exact"/>
        <w:ind w:left="1267"/>
        <w:rPr>
          <w:lang w:val="fr-FR"/>
        </w:rPr>
      </w:pPr>
      <w:r w:rsidRPr="004C48B6">
        <w:rPr>
          <w:lang w:val="fr-CH"/>
        </w:rPr>
        <w:t>Le 1</w:t>
      </w:r>
      <w:r w:rsidRPr="004C48B6">
        <w:rPr>
          <w:vertAlign w:val="superscript"/>
          <w:lang w:val="fr-CH"/>
        </w:rPr>
        <w:t>er</w:t>
      </w:r>
      <w:r w:rsidRPr="004C48B6">
        <w:rPr>
          <w:lang w:val="fr-CH"/>
        </w:rPr>
        <w:t xml:space="preserve"> mars 2005 a été adoptée la </w:t>
      </w:r>
      <w:r w:rsidRPr="004C48B6">
        <w:rPr>
          <w:lang w:val="fr-FR"/>
        </w:rPr>
        <w:t>loi sur la garantie de l</w:t>
      </w:r>
      <w:r w:rsidR="008E14FD">
        <w:rPr>
          <w:lang w:val="fr-FR"/>
        </w:rPr>
        <w:t>’</w:t>
      </w:r>
      <w:r w:rsidRPr="004C48B6">
        <w:rPr>
          <w:lang w:val="fr-FR"/>
        </w:rPr>
        <w:t>égalité des droits des hommes et des femmes et de l</w:t>
      </w:r>
      <w:r w:rsidR="008E14FD">
        <w:rPr>
          <w:lang w:val="fr-FR"/>
        </w:rPr>
        <w:t>’</w:t>
      </w:r>
      <w:r w:rsidRPr="004C48B6">
        <w:rPr>
          <w:lang w:val="fr-FR"/>
        </w:rPr>
        <w:t>égalité des chances dans l</w:t>
      </w:r>
      <w:r w:rsidR="008E14FD">
        <w:rPr>
          <w:lang w:val="fr-FR"/>
        </w:rPr>
        <w:t>’</w:t>
      </w:r>
      <w:r w:rsidRPr="004C48B6">
        <w:rPr>
          <w:lang w:val="fr-FR"/>
        </w:rPr>
        <w:t>exercice de ces droits</w:t>
      </w:r>
      <w:r w:rsidRPr="004C48B6">
        <w:rPr>
          <w:lang w:val="fr-CH"/>
        </w:rPr>
        <w:t>, qui réglemente l</w:t>
      </w:r>
      <w:r w:rsidR="008E14FD">
        <w:rPr>
          <w:lang w:val="fr-CH"/>
        </w:rPr>
        <w:t>’</w:t>
      </w:r>
      <w:r w:rsidRPr="004C48B6">
        <w:rPr>
          <w:lang w:val="fr-CH"/>
        </w:rPr>
        <w:t>application des garanties constitutionnelles relatives à l</w:t>
      </w:r>
      <w:r w:rsidR="008E14FD">
        <w:rPr>
          <w:lang w:val="fr-CH"/>
        </w:rPr>
        <w:t>’</w:t>
      </w:r>
      <w:r w:rsidRPr="004C48B6">
        <w:rPr>
          <w:lang w:val="fr-CH"/>
        </w:rPr>
        <w:t>égalité des droits entre hommes et femmes dans les sphères sociale, politique et culturelle, notamment, et dispose que l</w:t>
      </w:r>
      <w:r w:rsidR="008E14FD">
        <w:rPr>
          <w:lang w:val="fr-CH"/>
        </w:rPr>
        <w:t>’</w:t>
      </w:r>
      <w:r w:rsidRPr="004C48B6">
        <w:rPr>
          <w:lang w:val="fr-CH"/>
        </w:rPr>
        <w:t>État garantit à toute personne, sans distinction de sexe ou d</w:t>
      </w:r>
      <w:r w:rsidR="008E14FD">
        <w:rPr>
          <w:lang w:val="fr-CH"/>
        </w:rPr>
        <w:t>’</w:t>
      </w:r>
      <w:r w:rsidRPr="004C48B6">
        <w:rPr>
          <w:lang w:val="fr-CH"/>
        </w:rPr>
        <w:t>appartenance nationale, des chances égales. L</w:t>
      </w:r>
      <w:r w:rsidR="008E14FD">
        <w:rPr>
          <w:lang w:val="fr-CH"/>
        </w:rPr>
        <w:t>’</w:t>
      </w:r>
      <w:r w:rsidRPr="004C48B6">
        <w:rPr>
          <w:lang w:val="fr-CH"/>
        </w:rPr>
        <w:t>article 20 de cette loi évoque la participation aux syndicats et associations, y compris les associations ayant pour objectif la réalisation du principe constitutionnel d</w:t>
      </w:r>
      <w:r w:rsidR="008E14FD">
        <w:rPr>
          <w:lang w:val="fr-CH"/>
        </w:rPr>
        <w:t>’</w:t>
      </w:r>
      <w:r w:rsidRPr="004C48B6">
        <w:rPr>
          <w:lang w:val="fr-CH"/>
        </w:rPr>
        <w:t>égalité des droits et d</w:t>
      </w:r>
      <w:r w:rsidR="008E14FD">
        <w:rPr>
          <w:lang w:val="fr-CH"/>
        </w:rPr>
        <w:t>’</w:t>
      </w:r>
      <w:r w:rsidRPr="004C48B6">
        <w:rPr>
          <w:lang w:val="fr-CH"/>
        </w:rPr>
        <w:t xml:space="preserve">égalité des chances entre hommes et femmes. Le Gouvernement a mené à bien un programme national </w:t>
      </w:r>
      <w:r w:rsidRPr="004C48B6">
        <w:rPr>
          <w:lang w:val="fr-FR"/>
        </w:rPr>
        <w:t xml:space="preserve">intitulé </w:t>
      </w:r>
      <w:r w:rsidRPr="004C48B6">
        <w:rPr>
          <w:lang w:val="fr-CH"/>
        </w:rPr>
        <w:t>«</w:t>
      </w:r>
      <w:r w:rsidRPr="004C48B6">
        <w:rPr>
          <w:lang w:val="fr-FR"/>
        </w:rPr>
        <w:t> Form</w:t>
      </w:r>
      <w:r w:rsidRPr="004C48B6">
        <w:rPr>
          <w:lang w:val="fr-CH"/>
        </w:rPr>
        <w:t>ation</w:t>
      </w:r>
      <w:r w:rsidRPr="004C48B6">
        <w:rPr>
          <w:lang w:val="fr-FR"/>
        </w:rPr>
        <w:t xml:space="preserve"> et</w:t>
      </w:r>
      <w:r w:rsidRPr="004C48B6">
        <w:rPr>
          <w:lang w:val="fr-CH"/>
        </w:rPr>
        <w:t xml:space="preserve"> sélection de femmes </w:t>
      </w:r>
      <w:r w:rsidRPr="004C48B6">
        <w:rPr>
          <w:lang w:val="fr-FR"/>
        </w:rPr>
        <w:t xml:space="preserve">compétentes en vue de leur affectation à des postes </w:t>
      </w:r>
      <w:r w:rsidRPr="004C48B6">
        <w:rPr>
          <w:lang w:val="fr-CH"/>
        </w:rPr>
        <w:t xml:space="preserve">de direction de </w:t>
      </w:r>
      <w:r w:rsidRPr="004C48B6">
        <w:rPr>
          <w:lang w:val="fr-FR"/>
        </w:rPr>
        <w:t>l</w:t>
      </w:r>
      <w:r w:rsidR="008E14FD">
        <w:rPr>
          <w:lang w:val="fr-FR"/>
        </w:rPr>
        <w:t>’</w:t>
      </w:r>
      <w:r w:rsidRPr="004C48B6">
        <w:rPr>
          <w:lang w:val="fr-FR"/>
        </w:rPr>
        <w:t>administration t</w:t>
      </w:r>
      <w:r w:rsidRPr="004C48B6">
        <w:rPr>
          <w:lang w:val="fr-CH"/>
        </w:rPr>
        <w:t>adjik</w:t>
      </w:r>
      <w:r w:rsidRPr="004C48B6">
        <w:rPr>
          <w:lang w:val="fr-FR"/>
        </w:rPr>
        <w:t>e pour la période 2007-2016 »</w:t>
      </w:r>
      <w:r w:rsidRPr="004C48B6">
        <w:rPr>
          <w:lang w:val="fr-CH"/>
        </w:rPr>
        <w:t>. Ce programme visait essentiellement à : définir une politique nationale à long terme en vue de garantir les droits et les chances des femmes et des filles en ce qui concerne l</w:t>
      </w:r>
      <w:r w:rsidR="008E14FD">
        <w:rPr>
          <w:lang w:val="fr-CH"/>
        </w:rPr>
        <w:t>’</w:t>
      </w:r>
      <w:r w:rsidRPr="004C48B6">
        <w:rPr>
          <w:lang w:val="fr-CH"/>
        </w:rPr>
        <w:t>éducation, la sélection et le placement</w:t>
      </w:r>
      <w:r w:rsidR="008E14FD">
        <w:rPr>
          <w:lang w:val="fr-CH"/>
        </w:rPr>
        <w:t xml:space="preserve"> </w:t>
      </w:r>
      <w:r w:rsidRPr="004C48B6">
        <w:rPr>
          <w:lang w:val="fr-CH"/>
        </w:rPr>
        <w:t>à des postes de direction; garantir l</w:t>
      </w:r>
      <w:r w:rsidR="008E14FD">
        <w:rPr>
          <w:lang w:val="fr-CH"/>
        </w:rPr>
        <w:t>’</w:t>
      </w:r>
      <w:r w:rsidRPr="004C48B6">
        <w:rPr>
          <w:lang w:val="fr-CH"/>
        </w:rPr>
        <w:t xml:space="preserve">égalité des droits entre les femmes et les hommes en matière de promotion et de nomination à des postes de direction ; </w:t>
      </w:r>
      <w:r w:rsidRPr="004C48B6">
        <w:rPr>
          <w:lang w:val="fr-FR"/>
        </w:rPr>
        <w:t>veiller</w:t>
      </w:r>
      <w:r w:rsidRPr="004C48B6">
        <w:rPr>
          <w:lang w:val="fr-CH"/>
        </w:rPr>
        <w:t xml:space="preserve"> à ce que les femmes et les filles puissent étudier dans des conditions optimales. Il a permis de mettre en place un mécanisme d</w:t>
      </w:r>
      <w:r w:rsidR="008E14FD">
        <w:rPr>
          <w:lang w:val="fr-CH"/>
        </w:rPr>
        <w:t>’</w:t>
      </w:r>
      <w:r w:rsidRPr="004C48B6">
        <w:rPr>
          <w:lang w:val="fr-CH"/>
        </w:rPr>
        <w:t>éducation et de sélection et de placement</w:t>
      </w:r>
      <w:r w:rsidR="008E14FD">
        <w:rPr>
          <w:lang w:val="fr-CH"/>
        </w:rPr>
        <w:t xml:space="preserve"> </w:t>
      </w:r>
      <w:r w:rsidRPr="004C48B6">
        <w:rPr>
          <w:lang w:val="fr-CH"/>
        </w:rPr>
        <w:t>de femmes et de filles compétentes à des postes de direction, ainsi qu</w:t>
      </w:r>
      <w:r w:rsidR="008E14FD">
        <w:rPr>
          <w:lang w:val="fr-CH"/>
        </w:rPr>
        <w:t>’</w:t>
      </w:r>
      <w:r w:rsidRPr="004C48B6">
        <w:rPr>
          <w:lang w:val="fr-CH"/>
        </w:rPr>
        <w:t xml:space="preserve">un mécanisme de collaboration entre les pouvoirs publics et les organisations non gouvernementales. Les conditions de travail et de repos des femmes se sont améliorées. La </w:t>
      </w:r>
      <w:r w:rsidRPr="004C48B6">
        <w:rPr>
          <w:lang w:val="fr-FR"/>
        </w:rPr>
        <w:t>Stratégie nationale de promotion de la femme au Tadjikistan pour la période</w:t>
      </w:r>
      <w:r w:rsidRPr="004C48B6">
        <w:rPr>
          <w:i/>
          <w:lang w:val="fr-FR"/>
        </w:rPr>
        <w:t xml:space="preserve"> </w:t>
      </w:r>
      <w:r w:rsidRPr="004C48B6">
        <w:rPr>
          <w:lang w:val="fr-CH"/>
        </w:rPr>
        <w:t>2011-2020 prévoit : l</w:t>
      </w:r>
      <w:r w:rsidR="008E14FD">
        <w:rPr>
          <w:lang w:val="fr-CH"/>
        </w:rPr>
        <w:t>’</w:t>
      </w:r>
      <w:r w:rsidRPr="004C48B6">
        <w:rPr>
          <w:lang w:val="fr-CH"/>
        </w:rPr>
        <w:t>instauration de la parité des sexes dans les organes exécutifs et représentatifs à tous les niveaux ; la possibilité de mettre en place, à titre de mesure temporaire, des quotas destinés à garantir une plus large représentation des femmes dans les organes exécutifs et représentatifs ; l</w:t>
      </w:r>
      <w:r w:rsidR="008E14FD">
        <w:rPr>
          <w:lang w:val="fr-CH"/>
        </w:rPr>
        <w:t>’</w:t>
      </w:r>
      <w:r w:rsidRPr="004C48B6">
        <w:rPr>
          <w:lang w:val="fr-CH"/>
        </w:rPr>
        <w:t>exécution, en coopération avec les organisations internationales, d</w:t>
      </w:r>
      <w:r w:rsidR="008E14FD">
        <w:rPr>
          <w:lang w:val="fr-CH"/>
        </w:rPr>
        <w:t>’</w:t>
      </w:r>
      <w:r w:rsidRPr="004C48B6">
        <w:rPr>
          <w:lang w:val="fr-CH"/>
        </w:rPr>
        <w:t>activités visant à assurer l</w:t>
      </w:r>
      <w:r w:rsidR="008E14FD">
        <w:rPr>
          <w:lang w:val="fr-CH"/>
        </w:rPr>
        <w:t>’</w:t>
      </w:r>
      <w:r w:rsidRPr="004C48B6">
        <w:rPr>
          <w:lang w:val="fr-CH"/>
        </w:rPr>
        <w:t>égalité des chances entre hommes et femmes ; la promotion du rôle des femmes dans la société et la possibilité de tirer des leçons de l</w:t>
      </w:r>
      <w:r w:rsidR="008E14FD">
        <w:rPr>
          <w:lang w:val="fr-CH"/>
        </w:rPr>
        <w:t>’</w:t>
      </w:r>
      <w:r w:rsidRPr="004C48B6">
        <w:rPr>
          <w:lang w:val="fr-CH"/>
        </w:rPr>
        <w:t xml:space="preserve">expérience des pays développés en </w:t>
      </w:r>
      <w:r w:rsidRPr="004C48B6">
        <w:rPr>
          <w:lang w:val="fr-CH"/>
        </w:rPr>
        <w:lastRenderedPageBreak/>
        <w:t>matière de promotion de la participation des femmes à la vie politique; la garantie de l</w:t>
      </w:r>
      <w:r w:rsidR="008E14FD">
        <w:rPr>
          <w:lang w:val="fr-CH"/>
        </w:rPr>
        <w:t>’</w:t>
      </w:r>
      <w:r w:rsidRPr="004C48B6">
        <w:rPr>
          <w:lang w:val="fr-CH"/>
        </w:rPr>
        <w:t>égalité hommes-femmes dans le domaine professionnel ; l</w:t>
      </w:r>
      <w:r w:rsidR="008E14FD">
        <w:rPr>
          <w:lang w:val="fr-CH"/>
        </w:rPr>
        <w:t>’</w:t>
      </w:r>
      <w:r w:rsidRPr="004C48B6">
        <w:rPr>
          <w:lang w:val="fr-CH"/>
        </w:rPr>
        <w:t>application de systèmes de quotas souples dans les concours de la fonction publique à tous les niveaux. La Stratégie accorde en outre une attention spéciale aux mécanismes de mise en place d</w:t>
      </w:r>
      <w:r w:rsidR="008E14FD">
        <w:rPr>
          <w:lang w:val="fr-CH"/>
        </w:rPr>
        <w:t>’</w:t>
      </w:r>
      <w:r w:rsidRPr="004C48B6">
        <w:rPr>
          <w:lang w:val="fr-CH"/>
        </w:rPr>
        <w:t>un État social et de développement de la société civile et à la collaboration entre les autorités et les associations, en mettant l</w:t>
      </w:r>
      <w:r w:rsidR="008E14FD">
        <w:rPr>
          <w:lang w:val="fr-CH"/>
        </w:rPr>
        <w:t>’</w:t>
      </w:r>
      <w:r w:rsidRPr="004C48B6">
        <w:rPr>
          <w:lang w:val="fr-CH"/>
        </w:rPr>
        <w:t>accent sur l</w:t>
      </w:r>
      <w:r w:rsidR="008E14FD">
        <w:rPr>
          <w:lang w:val="fr-CH"/>
        </w:rPr>
        <w:t>’</w:t>
      </w:r>
      <w:r w:rsidRPr="004C48B6">
        <w:rPr>
          <w:lang w:val="fr-CH"/>
        </w:rPr>
        <w:t>initiative, l</w:t>
      </w:r>
      <w:r w:rsidR="008E14FD">
        <w:rPr>
          <w:lang w:val="fr-CH"/>
        </w:rPr>
        <w:t>’</w:t>
      </w:r>
      <w:r w:rsidRPr="004C48B6">
        <w:rPr>
          <w:lang w:val="fr-CH"/>
        </w:rPr>
        <w:t>indépendance d</w:t>
      </w:r>
      <w:r w:rsidR="008E14FD">
        <w:rPr>
          <w:lang w:val="fr-CH"/>
        </w:rPr>
        <w:t>’</w:t>
      </w:r>
      <w:r w:rsidRPr="004C48B6">
        <w:rPr>
          <w:lang w:val="fr-CH"/>
        </w:rPr>
        <w:t>action et l</w:t>
      </w:r>
      <w:r w:rsidR="008E14FD">
        <w:rPr>
          <w:lang w:val="fr-CH"/>
        </w:rPr>
        <w:t>’</w:t>
      </w:r>
      <w:r w:rsidRPr="004C48B6">
        <w:rPr>
          <w:lang w:val="fr-CH"/>
        </w:rPr>
        <w:t>autogestion des citoyens des deux sexes dans la résolution des problèmes socioéconomiques. Afin de mener à bien cette stratégie, un plan d</w:t>
      </w:r>
      <w:r w:rsidR="008E14FD">
        <w:rPr>
          <w:lang w:val="fr-CH"/>
        </w:rPr>
        <w:t>’</w:t>
      </w:r>
      <w:r w:rsidRPr="004C48B6">
        <w:rPr>
          <w:lang w:val="fr-CH"/>
        </w:rPr>
        <w:t>action pour la période 2015-2020 a été adopté par décret gouvernemental le 29 août 2015. Ce plan prévoit les mesures suivantes : renforcement des capacités de la Commission de la femme et de la famille dans le domaine de la problématique hommes-femmes ; exécution d</w:t>
      </w:r>
      <w:r w:rsidR="008E14FD">
        <w:rPr>
          <w:lang w:val="fr-CH"/>
        </w:rPr>
        <w:t>’</w:t>
      </w:r>
      <w:r w:rsidRPr="004C48B6">
        <w:rPr>
          <w:lang w:val="fr-CH"/>
        </w:rPr>
        <w:t>activités de recherche et de suivi des programmes portant sur les questions féminines ; renforcement des capacités des fonctionnaires des ministères et départements chargés d</w:t>
      </w:r>
      <w:r w:rsidR="008E14FD">
        <w:rPr>
          <w:lang w:val="fr-CH"/>
        </w:rPr>
        <w:t>’</w:t>
      </w:r>
      <w:r w:rsidRPr="004C48B6">
        <w:rPr>
          <w:lang w:val="fr-CH"/>
        </w:rPr>
        <w:t>exécuter la politique d</w:t>
      </w:r>
      <w:r w:rsidR="008E14FD">
        <w:rPr>
          <w:lang w:val="fr-CH"/>
        </w:rPr>
        <w:t>’</w:t>
      </w:r>
      <w:r w:rsidRPr="004C48B6">
        <w:rPr>
          <w:lang w:val="fr-CH"/>
        </w:rPr>
        <w:t>égalité des sexes ; organisation de formations et de séminaires visant à renforcer les compétences en matière d</w:t>
      </w:r>
      <w:r w:rsidR="008E14FD">
        <w:rPr>
          <w:lang w:val="fr-CH"/>
        </w:rPr>
        <w:t>’</w:t>
      </w:r>
      <w:r w:rsidRPr="004C48B6">
        <w:rPr>
          <w:lang w:val="fr-CH"/>
        </w:rPr>
        <w:t>élaboration de stratégies et de programmes gouvernementaux ainsi qu</w:t>
      </w:r>
      <w:r w:rsidR="008E14FD">
        <w:rPr>
          <w:lang w:val="fr-CH"/>
        </w:rPr>
        <w:t>’</w:t>
      </w:r>
      <w:r w:rsidRPr="004C48B6">
        <w:rPr>
          <w:lang w:val="fr-CH"/>
        </w:rPr>
        <w:t>à analyser les processus sociaux sous l</w:t>
      </w:r>
      <w:r w:rsidR="008E14FD">
        <w:rPr>
          <w:lang w:val="fr-CH"/>
        </w:rPr>
        <w:t>’</w:t>
      </w:r>
      <w:r w:rsidRPr="004C48B6">
        <w:rPr>
          <w:lang w:val="fr-CH"/>
        </w:rPr>
        <w:t>angle de la problématique hommes-femmes ; organisation de cours de perfectionnement à l</w:t>
      </w:r>
      <w:r w:rsidR="008E14FD">
        <w:rPr>
          <w:lang w:val="fr-CH"/>
        </w:rPr>
        <w:t>’</w:t>
      </w:r>
      <w:r w:rsidRPr="004C48B6">
        <w:rPr>
          <w:lang w:val="fr-CH"/>
        </w:rPr>
        <w:t>intention des femmes actives dans les institutions de l</w:t>
      </w:r>
      <w:r w:rsidR="008E14FD">
        <w:rPr>
          <w:lang w:val="fr-CH"/>
        </w:rPr>
        <w:t>’</w:t>
      </w:r>
      <w:r w:rsidRPr="004C48B6">
        <w:rPr>
          <w:lang w:val="fr-CH"/>
        </w:rPr>
        <w:t>État et la société civile ; introduction de systèmes de quotas dans les concours de la fonction publique à tous les niveaux ; renforcement des capacités et des compétences des dirigeantes ; accroissement du niveau d</w:t>
      </w:r>
      <w:r w:rsidR="008E14FD">
        <w:rPr>
          <w:lang w:val="fr-CH"/>
        </w:rPr>
        <w:t>’</w:t>
      </w:r>
      <w:r w:rsidRPr="004C48B6">
        <w:rPr>
          <w:lang w:val="fr-CH"/>
        </w:rPr>
        <w:t>instruction et du taux d</w:t>
      </w:r>
      <w:r w:rsidR="008E14FD">
        <w:rPr>
          <w:lang w:val="fr-CH"/>
        </w:rPr>
        <w:t>’</w:t>
      </w:r>
      <w:r w:rsidRPr="004C48B6">
        <w:rPr>
          <w:lang w:val="fr-CH"/>
        </w:rPr>
        <w:t xml:space="preserve">activité </w:t>
      </w:r>
      <w:r w:rsidRPr="004C48B6">
        <w:rPr>
          <w:lang w:val="fr-FR"/>
        </w:rPr>
        <w:t xml:space="preserve">des femmes selon </w:t>
      </w:r>
      <w:r w:rsidRPr="004C48B6">
        <w:rPr>
          <w:lang w:val="fr-CH"/>
        </w:rPr>
        <w:t>le principe de l</w:t>
      </w:r>
      <w:r w:rsidR="008E14FD">
        <w:rPr>
          <w:lang w:val="fr-CH"/>
        </w:rPr>
        <w:t>’</w:t>
      </w:r>
      <w:r w:rsidRPr="004C48B6">
        <w:rPr>
          <w:lang w:val="fr-CH"/>
        </w:rPr>
        <w:t>égalité hommes-femmes ; baisse du taux de chômage. Des activités ciblées sont menées dans le cadre de l</w:t>
      </w:r>
      <w:r w:rsidR="008E14FD">
        <w:rPr>
          <w:lang w:val="fr-CH"/>
        </w:rPr>
        <w:t>’</w:t>
      </w:r>
      <w:r w:rsidRPr="004C48B6">
        <w:rPr>
          <w:lang w:val="fr-CH"/>
        </w:rPr>
        <w:t>exécution du plan d</w:t>
      </w:r>
      <w:r w:rsidR="008E14FD">
        <w:rPr>
          <w:lang w:val="fr-CH"/>
        </w:rPr>
        <w:t>’</w:t>
      </w:r>
      <w:r w:rsidRPr="004C48B6">
        <w:rPr>
          <w:lang w:val="fr-CH"/>
        </w:rPr>
        <w:t>action. En 2013 a été adoptée la loi sur la prévention de la violence dans la famille, qui a permis d</w:t>
      </w:r>
      <w:r w:rsidR="008E14FD">
        <w:rPr>
          <w:lang w:val="fr-CH"/>
        </w:rPr>
        <w:t>’</w:t>
      </w:r>
      <w:r w:rsidRPr="004C48B6">
        <w:rPr>
          <w:lang w:val="fr-CH"/>
        </w:rPr>
        <w:t>établir une définition juridique claire des infractions commises dans la sphère domestique et de fournir une aide concrète aux victimes et aux autres membres des familles concernées</w:t>
      </w:r>
      <w:r w:rsidR="0015017B">
        <w:rPr>
          <w:lang w:val="fr-CH"/>
        </w:rPr>
        <w:t>,</w:t>
      </w:r>
      <w:r w:rsidRPr="004C48B6">
        <w:rPr>
          <w:lang w:val="fr-CH"/>
        </w:rPr>
        <w:t xml:space="preserve"> subissant directement ou indirectement les violences. Aux fins de la bonne application de cette loi, le Gouvernement a adopté en 2014 le Programme national de prévention de la violence familiale pour la période 2014-2023, qui prévoit une série de mesures consistant, entre autres, à renforcer les mécanismes de prévention de la violence familiale, à lutter contre la délinquance, en particulier les facteurs contribuant à la violence familiale, à enregistrer les mises en garde individuelles dans le cadre de la prévention des déviances sociales et des comportements indignes ou amoraux dans le cadre familial, et à fournir une aide sociale et juridique aux citoyens. En outre, le 1</w:t>
      </w:r>
      <w:r w:rsidRPr="004C48B6">
        <w:rPr>
          <w:vertAlign w:val="superscript"/>
          <w:lang w:val="fr-CH"/>
        </w:rPr>
        <w:t>er</w:t>
      </w:r>
      <w:r w:rsidRPr="004C48B6">
        <w:rPr>
          <w:lang w:val="fr-CH"/>
        </w:rPr>
        <w:t xml:space="preserve"> avril 2017, le Gouvernement a adopté le programme </w:t>
      </w:r>
      <w:r w:rsidRPr="004C48B6">
        <w:rPr>
          <w:lang w:val="fr-FR"/>
        </w:rPr>
        <w:t xml:space="preserve">national intitulé </w:t>
      </w:r>
      <w:r w:rsidRPr="004C48B6">
        <w:rPr>
          <w:lang w:val="fr-CH"/>
        </w:rPr>
        <w:t>«</w:t>
      </w:r>
      <w:r w:rsidRPr="004C48B6">
        <w:rPr>
          <w:lang w:val="fr-FR"/>
        </w:rPr>
        <w:t> Form</w:t>
      </w:r>
      <w:r w:rsidRPr="004C48B6">
        <w:rPr>
          <w:lang w:val="fr-CH"/>
        </w:rPr>
        <w:t>ation</w:t>
      </w:r>
      <w:r w:rsidRPr="004C48B6">
        <w:rPr>
          <w:lang w:val="fr-FR"/>
        </w:rPr>
        <w:t xml:space="preserve"> et</w:t>
      </w:r>
      <w:r w:rsidRPr="004C48B6">
        <w:rPr>
          <w:lang w:val="fr-CH"/>
        </w:rPr>
        <w:t xml:space="preserve"> sélection de femmes </w:t>
      </w:r>
      <w:r w:rsidRPr="004C48B6">
        <w:rPr>
          <w:lang w:val="fr-FR"/>
        </w:rPr>
        <w:t xml:space="preserve">compétentes en vue de leur affectation à des postes </w:t>
      </w:r>
      <w:r w:rsidRPr="004C48B6">
        <w:rPr>
          <w:lang w:val="fr-CH"/>
        </w:rPr>
        <w:t xml:space="preserve">de direction de </w:t>
      </w:r>
      <w:r w:rsidRPr="004C48B6">
        <w:rPr>
          <w:lang w:val="fr-FR"/>
        </w:rPr>
        <w:t>l</w:t>
      </w:r>
      <w:r w:rsidR="008E14FD">
        <w:rPr>
          <w:lang w:val="fr-FR"/>
        </w:rPr>
        <w:t>’</w:t>
      </w:r>
      <w:r w:rsidRPr="004C48B6">
        <w:rPr>
          <w:lang w:val="fr-FR"/>
        </w:rPr>
        <w:t>administration t</w:t>
      </w:r>
      <w:r w:rsidRPr="004C48B6">
        <w:rPr>
          <w:lang w:val="fr-CH"/>
        </w:rPr>
        <w:t>adjik</w:t>
      </w:r>
      <w:r w:rsidRPr="004C48B6">
        <w:rPr>
          <w:lang w:val="fr-FR"/>
        </w:rPr>
        <w:t xml:space="preserve">e pour la période </w:t>
      </w:r>
      <w:r w:rsidR="00365A31">
        <w:rPr>
          <w:lang w:val="fr-CH"/>
        </w:rPr>
        <w:t>2017-2022 </w:t>
      </w:r>
      <w:r w:rsidRPr="004C48B6">
        <w:rPr>
          <w:lang w:val="fr-CH"/>
        </w:rPr>
        <w:t>», par lequel le Tadjikistan s</w:t>
      </w:r>
      <w:r w:rsidR="008E14FD">
        <w:rPr>
          <w:lang w:val="fr-CH"/>
        </w:rPr>
        <w:t>’</w:t>
      </w:r>
      <w:r w:rsidRPr="004C48B6">
        <w:rPr>
          <w:lang w:val="fr-CH"/>
        </w:rPr>
        <w:t>efforcera de s</w:t>
      </w:r>
      <w:r w:rsidR="008E14FD">
        <w:rPr>
          <w:lang w:val="fr-CH"/>
        </w:rPr>
        <w:t>’</w:t>
      </w:r>
      <w:r w:rsidRPr="004C48B6">
        <w:rPr>
          <w:lang w:val="fr-CH"/>
        </w:rPr>
        <w:t>acquitter de ses obligations internationales en matière de réduction des inégalités hommes-femmes conformément aux principes et orientations de la Convention sur l</w:t>
      </w:r>
      <w:r w:rsidR="008E14FD">
        <w:rPr>
          <w:lang w:val="fr-CH"/>
        </w:rPr>
        <w:t>’</w:t>
      </w:r>
      <w:r w:rsidRPr="004C48B6">
        <w:rPr>
          <w:lang w:val="fr-CH"/>
        </w:rPr>
        <w:t>élimination de toutes les formes de discrimination à l</w:t>
      </w:r>
      <w:r w:rsidR="008E14FD">
        <w:rPr>
          <w:lang w:val="fr-CH"/>
        </w:rPr>
        <w:t>’</w:t>
      </w:r>
      <w:r w:rsidRPr="004C48B6">
        <w:rPr>
          <w:lang w:val="fr-CH"/>
        </w:rPr>
        <w:t>égard des femmes,</w:t>
      </w:r>
      <w:r w:rsidR="008E14FD">
        <w:rPr>
          <w:lang w:val="fr-CH"/>
        </w:rPr>
        <w:t xml:space="preserve"> </w:t>
      </w:r>
      <w:r w:rsidRPr="004C48B6">
        <w:rPr>
          <w:lang w:val="fr-CH"/>
        </w:rPr>
        <w:t>de la Déclaration et du Programme d</w:t>
      </w:r>
      <w:r w:rsidR="008E14FD">
        <w:rPr>
          <w:lang w:val="fr-CH"/>
        </w:rPr>
        <w:t>’</w:t>
      </w:r>
      <w:r w:rsidRPr="004C48B6">
        <w:rPr>
          <w:lang w:val="fr-CH"/>
        </w:rPr>
        <w:t>action de Beijing, des objectifs de développement durable et des autres cibles et objectifs relatifs à la problématique hommes-femmes.</w:t>
      </w:r>
    </w:p>
    <w:p w14:paraId="292260DD" w14:textId="45B2ED7F" w:rsidR="004C48B6" w:rsidRPr="004C48B6" w:rsidRDefault="004C48B6" w:rsidP="00746391">
      <w:pPr>
        <w:pStyle w:val="SingleTxt"/>
        <w:numPr>
          <w:ilvl w:val="0"/>
          <w:numId w:val="6"/>
        </w:numPr>
        <w:spacing w:line="240" w:lineRule="exact"/>
        <w:ind w:left="1267"/>
        <w:rPr>
          <w:bCs/>
          <w:iCs/>
          <w:lang w:val="fr-CH"/>
        </w:rPr>
      </w:pPr>
      <w:r w:rsidRPr="004C48B6">
        <w:rPr>
          <w:bCs/>
          <w:iCs/>
          <w:lang w:val="fr-CH"/>
        </w:rPr>
        <w:t>En 2014, la Commission de la femme et de la famille s</w:t>
      </w:r>
      <w:r w:rsidR="008E14FD">
        <w:rPr>
          <w:bCs/>
          <w:iCs/>
          <w:lang w:val="fr-CH"/>
        </w:rPr>
        <w:t>’</w:t>
      </w:r>
      <w:r w:rsidRPr="004C48B6">
        <w:rPr>
          <w:bCs/>
          <w:iCs/>
          <w:lang w:val="fr-CH"/>
        </w:rPr>
        <w:t>est dotée d</w:t>
      </w:r>
      <w:r w:rsidR="008E14FD">
        <w:rPr>
          <w:bCs/>
          <w:iCs/>
          <w:lang w:val="fr-CH"/>
        </w:rPr>
        <w:t>’</w:t>
      </w:r>
      <w:r w:rsidRPr="004C48B6">
        <w:rPr>
          <w:bCs/>
          <w:iCs/>
          <w:lang w:val="fr-CH"/>
        </w:rPr>
        <w:t xml:space="preserve"> un conseil des étudiantes, qui administre une école de jeunes femmes dirigeantes, où l</w:t>
      </w:r>
      <w:r w:rsidR="008E14FD">
        <w:rPr>
          <w:bCs/>
          <w:iCs/>
          <w:lang w:val="fr-CH"/>
        </w:rPr>
        <w:t>’</w:t>
      </w:r>
      <w:r w:rsidRPr="004C48B6">
        <w:rPr>
          <w:bCs/>
          <w:iCs/>
          <w:lang w:val="fr-CH"/>
        </w:rPr>
        <w:t>enseignement est assuré par des professeurs expérimentés et qualifiés. Chaque année, la Commission accorde à 11 des meilleures étudiantes des établissements d</w:t>
      </w:r>
      <w:r w:rsidR="008E14FD">
        <w:rPr>
          <w:bCs/>
          <w:iCs/>
          <w:lang w:val="fr-CH"/>
        </w:rPr>
        <w:t>’</w:t>
      </w:r>
      <w:r w:rsidRPr="004C48B6">
        <w:rPr>
          <w:bCs/>
          <w:iCs/>
          <w:lang w:val="fr-CH"/>
        </w:rPr>
        <w:t>enseignement supérieur du pays une bourse de 100 somoni par mois. En 2016, le nombre de bourses octroyées</w:t>
      </w:r>
      <w:r w:rsidR="008E14FD">
        <w:rPr>
          <w:bCs/>
          <w:iCs/>
          <w:lang w:val="fr-CH"/>
        </w:rPr>
        <w:t xml:space="preserve"> </w:t>
      </w:r>
      <w:r w:rsidRPr="004C48B6">
        <w:rPr>
          <w:bCs/>
          <w:iCs/>
          <w:lang w:val="fr-CH"/>
        </w:rPr>
        <w:t>a été porté à 15. En 2001 a été créé le centre public de formation féminine « Sarvar », qui relève du Ministère de l</w:t>
      </w:r>
      <w:r w:rsidR="008E14FD">
        <w:rPr>
          <w:bCs/>
          <w:iCs/>
          <w:lang w:val="fr-CH"/>
        </w:rPr>
        <w:t>’</w:t>
      </w:r>
      <w:r w:rsidRPr="004C48B6">
        <w:rPr>
          <w:bCs/>
          <w:iCs/>
          <w:lang w:val="fr-CH"/>
        </w:rPr>
        <w:t>éducation et des sciences et dont l</w:t>
      </w:r>
      <w:r w:rsidR="008E14FD">
        <w:rPr>
          <w:bCs/>
          <w:iCs/>
          <w:lang w:val="fr-CH"/>
        </w:rPr>
        <w:t>’</w:t>
      </w:r>
      <w:r w:rsidRPr="004C48B6">
        <w:rPr>
          <w:bCs/>
          <w:iCs/>
          <w:lang w:val="fr-CH"/>
        </w:rPr>
        <w:t xml:space="preserve">objectif est de former les jeunes femmes ayant intégré un établissement </w:t>
      </w:r>
      <w:r w:rsidRPr="004C48B6">
        <w:rPr>
          <w:bCs/>
          <w:iCs/>
          <w:lang w:val="fr-CH"/>
        </w:rPr>
        <w:lastRenderedPageBreak/>
        <w:t>d</w:t>
      </w:r>
      <w:r w:rsidR="008E14FD">
        <w:rPr>
          <w:bCs/>
          <w:iCs/>
          <w:lang w:val="fr-CH"/>
        </w:rPr>
        <w:t>’</w:t>
      </w:r>
      <w:r w:rsidRPr="004C48B6">
        <w:rPr>
          <w:bCs/>
          <w:iCs/>
          <w:lang w:val="fr-CH"/>
        </w:rPr>
        <w:t>enseignement supérieur du pays au titre du quota institué par le Président et plus généralement les jeunes femmes compétentes afin de les préparer à devenir des dirigeantes. L</w:t>
      </w:r>
      <w:r w:rsidR="008E14FD">
        <w:rPr>
          <w:bCs/>
          <w:iCs/>
          <w:lang w:val="fr-CH"/>
        </w:rPr>
        <w:t>’</w:t>
      </w:r>
      <w:r w:rsidRPr="004C48B6">
        <w:rPr>
          <w:bCs/>
          <w:iCs/>
          <w:lang w:val="fr-CH"/>
        </w:rPr>
        <w:t>enseignement y est gratuit. Toutes les étudiantes du Centre perçoivent en outre une bourse, et celles qui viennent de régions reculées du pays se voient attribuer un logement dans un foyer. Le financement du Centre est prévu au budget de l</w:t>
      </w:r>
      <w:r w:rsidR="008E14FD">
        <w:rPr>
          <w:bCs/>
          <w:iCs/>
          <w:lang w:val="fr-CH"/>
        </w:rPr>
        <w:t>’</w:t>
      </w:r>
      <w:r w:rsidRPr="004C48B6">
        <w:rPr>
          <w:bCs/>
          <w:iCs/>
          <w:lang w:val="fr-CH"/>
        </w:rPr>
        <w:t>État, à hauteur de 1 124 013 somoni par an. Ces cinq dernières années, le Centre a formé 378 jeunes femmes issues de toutes les régions du pays, dont 233 ont achevé avec succès la formation au leadership. En 2016, un nouveau plan d</w:t>
      </w:r>
      <w:r w:rsidR="008E14FD">
        <w:rPr>
          <w:bCs/>
          <w:iCs/>
          <w:lang w:val="fr-CH"/>
        </w:rPr>
        <w:t>’</w:t>
      </w:r>
      <w:r w:rsidRPr="004C48B6">
        <w:rPr>
          <w:bCs/>
          <w:iCs/>
          <w:lang w:val="fr-CH"/>
        </w:rPr>
        <w:t>études a été introduit. Parallèlement à l</w:t>
      </w:r>
      <w:r w:rsidR="008E14FD">
        <w:rPr>
          <w:bCs/>
          <w:iCs/>
          <w:lang w:val="fr-CH"/>
        </w:rPr>
        <w:t>’</w:t>
      </w:r>
      <w:r w:rsidRPr="004C48B6">
        <w:rPr>
          <w:bCs/>
          <w:iCs/>
          <w:lang w:val="fr-CH"/>
        </w:rPr>
        <w:t>enseignement de matières telles que la psychologie du leadership, les techniques et méthodes de leadership, la gestion, les fondements du droit public, le secrétariat dans la langue nationale et l</w:t>
      </w:r>
      <w:r w:rsidR="008E14FD">
        <w:rPr>
          <w:bCs/>
          <w:iCs/>
          <w:lang w:val="fr-CH"/>
        </w:rPr>
        <w:t>’</w:t>
      </w:r>
      <w:r w:rsidRPr="004C48B6">
        <w:rPr>
          <w:bCs/>
          <w:iCs/>
          <w:lang w:val="fr-CH"/>
        </w:rPr>
        <w:t>informatique, toutes les jeunes femmes suivent des cours intensifs de langues étrangères. Au terme de la formation, les étudiantes se voient remettre un certificat.</w:t>
      </w:r>
    </w:p>
    <w:p w14:paraId="26EAD787" w14:textId="40CE1FC5" w:rsidR="004C48B6" w:rsidRPr="004C48B6" w:rsidRDefault="004C48B6" w:rsidP="00746391">
      <w:pPr>
        <w:pStyle w:val="SingleTxt"/>
        <w:numPr>
          <w:ilvl w:val="0"/>
          <w:numId w:val="6"/>
        </w:numPr>
        <w:spacing w:line="240" w:lineRule="exact"/>
        <w:ind w:left="1267"/>
        <w:rPr>
          <w:bCs/>
          <w:iCs/>
          <w:lang w:val="fr-CH"/>
        </w:rPr>
      </w:pPr>
      <w:r w:rsidRPr="004C48B6">
        <w:rPr>
          <w:bCs/>
          <w:iCs/>
          <w:lang w:val="fr-CH"/>
        </w:rPr>
        <w:t>Afin d</w:t>
      </w:r>
      <w:r w:rsidR="008E14FD">
        <w:rPr>
          <w:bCs/>
          <w:iCs/>
          <w:lang w:val="fr-CH"/>
        </w:rPr>
        <w:t>’</w:t>
      </w:r>
      <w:r w:rsidRPr="004C48B6">
        <w:rPr>
          <w:bCs/>
          <w:iCs/>
          <w:lang w:val="fr-CH"/>
        </w:rPr>
        <w:t>encadrer l</w:t>
      </w:r>
      <w:r w:rsidR="008E14FD">
        <w:rPr>
          <w:bCs/>
          <w:iCs/>
          <w:lang w:val="fr-CH"/>
        </w:rPr>
        <w:t>’</w:t>
      </w:r>
      <w:r w:rsidRPr="004C48B6">
        <w:rPr>
          <w:bCs/>
          <w:iCs/>
          <w:lang w:val="fr-CH"/>
        </w:rPr>
        <w:t>application des programmes et des instruments normatifs relatifs à la problématique hommes-femmes et le recrutement de femmes dans la fonction publique, l</w:t>
      </w:r>
      <w:r w:rsidR="008E14FD">
        <w:rPr>
          <w:bCs/>
          <w:iCs/>
          <w:lang w:val="fr-CH"/>
        </w:rPr>
        <w:t>’</w:t>
      </w:r>
      <w:r w:rsidRPr="004C48B6">
        <w:rPr>
          <w:bCs/>
          <w:iCs/>
          <w:lang w:val="fr-CH"/>
        </w:rPr>
        <w:t>Agence de la fonction publique et l</w:t>
      </w:r>
      <w:r w:rsidR="008E14FD">
        <w:rPr>
          <w:bCs/>
          <w:iCs/>
          <w:lang w:val="fr-CH"/>
        </w:rPr>
        <w:t>’</w:t>
      </w:r>
      <w:r w:rsidRPr="004C48B6">
        <w:rPr>
          <w:bCs/>
          <w:iCs/>
          <w:lang w:val="fr-CH"/>
        </w:rPr>
        <w:t>Institut d</w:t>
      </w:r>
      <w:r w:rsidR="008E14FD">
        <w:rPr>
          <w:bCs/>
          <w:iCs/>
          <w:lang w:val="fr-CH"/>
        </w:rPr>
        <w:t>’</w:t>
      </w:r>
      <w:r w:rsidRPr="004C48B6">
        <w:rPr>
          <w:bCs/>
          <w:iCs/>
          <w:lang w:val="fr-CH"/>
        </w:rPr>
        <w:t>administration publique ont organisé, en 2016, 35 formations visant à renforcer les compétences des fonctionnaires, soit 3 cours de perfectionnement, 13 cours axés sur l</w:t>
      </w:r>
      <w:r w:rsidR="008E14FD">
        <w:rPr>
          <w:bCs/>
          <w:iCs/>
          <w:lang w:val="fr-CH"/>
        </w:rPr>
        <w:t>’</w:t>
      </w:r>
      <w:r w:rsidRPr="004C48B6">
        <w:rPr>
          <w:bCs/>
          <w:iCs/>
          <w:lang w:val="fr-CH"/>
        </w:rPr>
        <w:t>apprentissage de compétences,</w:t>
      </w:r>
      <w:r w:rsidR="008E14FD">
        <w:rPr>
          <w:bCs/>
          <w:iCs/>
          <w:lang w:val="fr-CH"/>
        </w:rPr>
        <w:t xml:space="preserve"> </w:t>
      </w:r>
      <w:r w:rsidRPr="004C48B6">
        <w:rPr>
          <w:bCs/>
          <w:iCs/>
          <w:lang w:val="fr-CH"/>
        </w:rPr>
        <w:t>18 formations sur le terrain et un stage. Ces formations ont été suivies par 1 330 personnes, auxquelles s</w:t>
      </w:r>
      <w:r w:rsidR="008E14FD">
        <w:rPr>
          <w:bCs/>
          <w:iCs/>
          <w:lang w:val="fr-CH"/>
        </w:rPr>
        <w:t>’</w:t>
      </w:r>
      <w:r w:rsidRPr="004C48B6">
        <w:rPr>
          <w:bCs/>
          <w:iCs/>
          <w:lang w:val="fr-CH"/>
        </w:rPr>
        <w:t>ajoutent 276 personnes ayant participé à la réalisation de projets distincts, soit au total 1 606 foncti</w:t>
      </w:r>
      <w:r w:rsidR="00365A31">
        <w:rPr>
          <w:bCs/>
          <w:iCs/>
          <w:lang w:val="fr-CH"/>
        </w:rPr>
        <w:t>onnaires, dont 535 femmes (33,3 %</w:t>
      </w:r>
      <w:r w:rsidRPr="004C48B6">
        <w:rPr>
          <w:bCs/>
          <w:iCs/>
          <w:lang w:val="fr-CH"/>
        </w:rPr>
        <w:t>). Au premier semestre 2017, ont été organisées</w:t>
      </w:r>
      <w:r w:rsidR="0015017B">
        <w:rPr>
          <w:bCs/>
          <w:iCs/>
          <w:lang w:val="fr-CH"/>
        </w:rPr>
        <w:t>,</w:t>
      </w:r>
      <w:r w:rsidRPr="004C48B6">
        <w:rPr>
          <w:bCs/>
          <w:iCs/>
          <w:lang w:val="fr-CH"/>
        </w:rPr>
        <w:t xml:space="preserve"> en collaboration avec l</w:t>
      </w:r>
      <w:r w:rsidR="008E14FD">
        <w:rPr>
          <w:bCs/>
          <w:iCs/>
          <w:lang w:val="fr-CH"/>
        </w:rPr>
        <w:t>’</w:t>
      </w:r>
      <w:r w:rsidRPr="004C48B6">
        <w:rPr>
          <w:bCs/>
          <w:iCs/>
          <w:lang w:val="fr-CH"/>
        </w:rPr>
        <w:t>Institut d</w:t>
      </w:r>
      <w:r w:rsidR="008E14FD">
        <w:rPr>
          <w:bCs/>
          <w:iCs/>
          <w:lang w:val="fr-CH"/>
        </w:rPr>
        <w:t>’</w:t>
      </w:r>
      <w:r w:rsidRPr="004C48B6">
        <w:rPr>
          <w:bCs/>
          <w:iCs/>
          <w:lang w:val="fr-CH"/>
        </w:rPr>
        <w:t>administration publique</w:t>
      </w:r>
      <w:r w:rsidR="0015017B">
        <w:rPr>
          <w:bCs/>
          <w:iCs/>
          <w:lang w:val="fr-CH"/>
        </w:rPr>
        <w:t>,</w:t>
      </w:r>
      <w:r w:rsidRPr="004C48B6">
        <w:rPr>
          <w:bCs/>
          <w:iCs/>
          <w:lang w:val="fr-CH"/>
        </w:rPr>
        <w:t xml:space="preserve"> 22 formations visant à renforcer les compétences des fonctionnaires (3 cours de perfectionnement et 19 cours axés sur l</w:t>
      </w:r>
      <w:r w:rsidR="008E14FD">
        <w:rPr>
          <w:bCs/>
          <w:iCs/>
          <w:lang w:val="fr-CH"/>
        </w:rPr>
        <w:t>’</w:t>
      </w:r>
      <w:r w:rsidRPr="004C48B6">
        <w:rPr>
          <w:bCs/>
          <w:iCs/>
          <w:lang w:val="fr-CH"/>
        </w:rPr>
        <w:t>apprentissage de compétences) ainsi que 10 formations sur le terrain ;</w:t>
      </w:r>
      <w:r w:rsidR="0015017B">
        <w:rPr>
          <w:bCs/>
          <w:iCs/>
          <w:lang w:val="fr-CH"/>
        </w:rPr>
        <w:t xml:space="preserve"> </w:t>
      </w:r>
      <w:r w:rsidRPr="004C48B6">
        <w:rPr>
          <w:bCs/>
          <w:iCs/>
          <w:lang w:val="fr-CH"/>
        </w:rPr>
        <w:t>ces formations ont été suivies par 712 personnes, auxquelles s</w:t>
      </w:r>
      <w:r w:rsidR="008E14FD">
        <w:rPr>
          <w:bCs/>
          <w:iCs/>
          <w:lang w:val="fr-CH"/>
        </w:rPr>
        <w:t>’</w:t>
      </w:r>
      <w:r w:rsidRPr="004C48B6">
        <w:rPr>
          <w:bCs/>
          <w:iCs/>
          <w:lang w:val="fr-CH"/>
        </w:rPr>
        <w:t>ajoutent 195 personnes ayant participé à la réalisation de projets distincts, soit au total 907 foncti</w:t>
      </w:r>
      <w:r w:rsidR="00365A31">
        <w:rPr>
          <w:bCs/>
          <w:iCs/>
          <w:lang w:val="fr-CH"/>
        </w:rPr>
        <w:t>onnaires, dont 195 femmes (21,4 %</w:t>
      </w:r>
      <w:r w:rsidRPr="004C48B6">
        <w:rPr>
          <w:bCs/>
          <w:iCs/>
          <w:lang w:val="fr-CH"/>
        </w:rPr>
        <w:t>). Par l</w:t>
      </w:r>
      <w:r w:rsidR="008E14FD">
        <w:rPr>
          <w:bCs/>
          <w:iCs/>
          <w:lang w:val="fr-CH"/>
        </w:rPr>
        <w:t>’</w:t>
      </w:r>
      <w:r w:rsidRPr="004C48B6">
        <w:rPr>
          <w:bCs/>
          <w:iCs/>
          <w:lang w:val="fr-CH"/>
        </w:rPr>
        <w:t>entremise de la Commission de la femme et de la famille, l</w:t>
      </w:r>
      <w:r w:rsidR="008E14FD">
        <w:rPr>
          <w:bCs/>
          <w:iCs/>
          <w:lang w:val="fr-CH"/>
        </w:rPr>
        <w:t>’</w:t>
      </w:r>
      <w:r w:rsidRPr="004C48B6">
        <w:rPr>
          <w:bCs/>
          <w:iCs/>
          <w:lang w:val="fr-CH"/>
        </w:rPr>
        <w:t>Institut a dispensé des formations à l</w:t>
      </w:r>
      <w:r w:rsidR="008E14FD">
        <w:rPr>
          <w:bCs/>
          <w:iCs/>
          <w:lang w:val="fr-CH"/>
        </w:rPr>
        <w:t>’</w:t>
      </w:r>
      <w:r w:rsidRPr="004C48B6">
        <w:rPr>
          <w:bCs/>
          <w:iCs/>
          <w:lang w:val="fr-CH"/>
        </w:rPr>
        <w:t>intention des femmes dirigeantes sur les thèmes suivants : gestion du personnel, caractéristiques des femmes dirigeantes dans le système de gestion publique, et fondements juridiques de l</w:t>
      </w:r>
      <w:r w:rsidR="008E14FD">
        <w:rPr>
          <w:bCs/>
          <w:iCs/>
          <w:lang w:val="fr-CH"/>
        </w:rPr>
        <w:t>’</w:t>
      </w:r>
      <w:r w:rsidRPr="004C48B6">
        <w:rPr>
          <w:bCs/>
          <w:iCs/>
          <w:lang w:val="fr-CH"/>
        </w:rPr>
        <w:t>égalité hommes-femmes en République du Tadjikistan. S</w:t>
      </w:r>
      <w:r w:rsidR="008E14FD">
        <w:rPr>
          <w:bCs/>
          <w:iCs/>
          <w:lang w:val="fr-CH"/>
        </w:rPr>
        <w:t>’</w:t>
      </w:r>
      <w:r w:rsidRPr="004C48B6">
        <w:rPr>
          <w:bCs/>
          <w:iCs/>
          <w:lang w:val="fr-CH"/>
        </w:rPr>
        <w:t>agissant des mesures concrètes prises par le Gouvernement afin d</w:t>
      </w:r>
      <w:r w:rsidR="008E14FD">
        <w:rPr>
          <w:bCs/>
          <w:iCs/>
          <w:lang w:val="fr-CH"/>
        </w:rPr>
        <w:t>’</w:t>
      </w:r>
      <w:r w:rsidRPr="004C48B6">
        <w:rPr>
          <w:bCs/>
          <w:iCs/>
          <w:lang w:val="fr-CH"/>
        </w:rPr>
        <w:t>augmenter la représentation des femmes aux charges électives et de former le personnel à devenir des candidats, l</w:t>
      </w:r>
      <w:r w:rsidR="008E14FD">
        <w:rPr>
          <w:bCs/>
          <w:iCs/>
          <w:lang w:val="fr-CH"/>
        </w:rPr>
        <w:t>’</w:t>
      </w:r>
      <w:r w:rsidRPr="004C48B6">
        <w:rPr>
          <w:bCs/>
          <w:iCs/>
          <w:lang w:val="fr-CH"/>
        </w:rPr>
        <w:t>Institut dispense depuis 2009 des formations de maîtrise dans le domaine de l</w:t>
      </w:r>
      <w:r w:rsidR="008E14FD">
        <w:rPr>
          <w:bCs/>
          <w:iCs/>
          <w:lang w:val="fr-CH"/>
        </w:rPr>
        <w:t>’</w:t>
      </w:r>
      <w:r w:rsidRPr="004C48B6">
        <w:rPr>
          <w:bCs/>
          <w:iCs/>
          <w:lang w:val="fr-CH"/>
        </w:rPr>
        <w:t>administration publique afin d</w:t>
      </w:r>
      <w:r w:rsidR="008E14FD">
        <w:rPr>
          <w:bCs/>
          <w:iCs/>
          <w:lang w:val="fr-CH"/>
        </w:rPr>
        <w:t>’</w:t>
      </w:r>
      <w:r w:rsidRPr="004C48B6">
        <w:rPr>
          <w:bCs/>
          <w:iCs/>
          <w:lang w:val="fr-CH"/>
        </w:rPr>
        <w:t>attirer des candidats aux fonctions de direction des organes de l</w:t>
      </w:r>
      <w:r w:rsidR="008E14FD">
        <w:rPr>
          <w:bCs/>
          <w:iCs/>
          <w:lang w:val="fr-CH"/>
        </w:rPr>
        <w:t>’</w:t>
      </w:r>
      <w:r w:rsidRPr="004C48B6">
        <w:rPr>
          <w:bCs/>
          <w:iCs/>
          <w:lang w:val="fr-CH"/>
        </w:rPr>
        <w:t>État. Entre 2009 et aujourd</w:t>
      </w:r>
      <w:r w:rsidR="008E14FD">
        <w:rPr>
          <w:bCs/>
          <w:iCs/>
          <w:lang w:val="fr-CH"/>
        </w:rPr>
        <w:t>’</w:t>
      </w:r>
      <w:r w:rsidR="00365A31">
        <w:rPr>
          <w:bCs/>
          <w:iCs/>
          <w:lang w:val="fr-CH"/>
        </w:rPr>
        <w:t>hui, 488 </w:t>
      </w:r>
      <w:r w:rsidRPr="004C48B6">
        <w:rPr>
          <w:bCs/>
          <w:iCs/>
          <w:lang w:val="fr-CH"/>
        </w:rPr>
        <w:t>spécialistes ont été formés, dont 154 femmes (31</w:t>
      </w:r>
      <w:r w:rsidR="00365A31">
        <w:rPr>
          <w:bCs/>
          <w:iCs/>
          <w:lang w:val="fr-CH"/>
        </w:rPr>
        <w:t> %</w:t>
      </w:r>
      <w:r w:rsidRPr="004C48B6">
        <w:rPr>
          <w:bCs/>
          <w:iCs/>
          <w:lang w:val="fr-CH"/>
        </w:rPr>
        <w:t>).</w:t>
      </w:r>
    </w:p>
    <w:p w14:paraId="1A5B1656" w14:textId="281973E9" w:rsidR="004C48B6" w:rsidRPr="004C48B6" w:rsidRDefault="004C48B6" w:rsidP="00746391">
      <w:pPr>
        <w:pStyle w:val="SingleTxt"/>
        <w:numPr>
          <w:ilvl w:val="0"/>
          <w:numId w:val="6"/>
        </w:numPr>
        <w:spacing w:line="240" w:lineRule="exact"/>
        <w:ind w:left="1267"/>
        <w:rPr>
          <w:bCs/>
          <w:iCs/>
          <w:lang w:val="fr-CH"/>
        </w:rPr>
      </w:pPr>
      <w:r w:rsidRPr="004C48B6">
        <w:rPr>
          <w:bCs/>
          <w:iCs/>
          <w:lang w:val="fr-CH"/>
        </w:rPr>
        <w:t>Sur la base du formulaire de rapport statistique n</w:t>
      </w:r>
      <w:r w:rsidRPr="004C48B6">
        <w:rPr>
          <w:bCs/>
          <w:iCs/>
          <w:vertAlign w:val="superscript"/>
          <w:lang w:val="fr-CH"/>
        </w:rPr>
        <w:t>o</w:t>
      </w:r>
      <w:r w:rsidRPr="004C48B6">
        <w:rPr>
          <w:bCs/>
          <w:iCs/>
          <w:lang w:val="fr-CH"/>
        </w:rPr>
        <w:t xml:space="preserve"> 1-GS, relatif à la taille et à la composition des effectifs de la fonction publique, l</w:t>
      </w:r>
      <w:r w:rsidR="008E14FD">
        <w:rPr>
          <w:bCs/>
          <w:iCs/>
          <w:lang w:val="fr-CH"/>
        </w:rPr>
        <w:t>’</w:t>
      </w:r>
      <w:r w:rsidRPr="004C48B6">
        <w:rPr>
          <w:bCs/>
          <w:iCs/>
          <w:lang w:val="fr-CH"/>
        </w:rPr>
        <w:t xml:space="preserve">Agence de la fonction publique </w:t>
      </w:r>
      <w:r w:rsidRPr="004C48B6">
        <w:rPr>
          <w:lang w:val="fr-FR"/>
        </w:rPr>
        <w:t>effectue un suivi trimestriel à l</w:t>
      </w:r>
      <w:r w:rsidR="008E14FD">
        <w:rPr>
          <w:lang w:val="fr-FR"/>
        </w:rPr>
        <w:t>’</w:t>
      </w:r>
      <w:r w:rsidRPr="004C48B6">
        <w:rPr>
          <w:lang w:val="fr-FR"/>
        </w:rPr>
        <w:t xml:space="preserve">issue duquel elle établit un rapport statistique qui contient également des informations sur </w:t>
      </w:r>
      <w:r w:rsidRPr="004C48B6">
        <w:rPr>
          <w:bCs/>
          <w:iCs/>
          <w:lang w:val="fr-CH"/>
        </w:rPr>
        <w:t>le nombre de femmes et d</w:t>
      </w:r>
      <w:r w:rsidR="008E14FD">
        <w:rPr>
          <w:bCs/>
          <w:iCs/>
          <w:lang w:val="fr-CH"/>
        </w:rPr>
        <w:t>’</w:t>
      </w:r>
      <w:r w:rsidRPr="004C48B6">
        <w:rPr>
          <w:bCs/>
          <w:iCs/>
          <w:lang w:val="fr-CH"/>
        </w:rPr>
        <w:t>étrangers parmi les fonctionnaires. Les résultats sont communiqués aux organes de l</w:t>
      </w:r>
      <w:r w:rsidR="008E14FD">
        <w:rPr>
          <w:bCs/>
          <w:iCs/>
          <w:lang w:val="fr-CH"/>
        </w:rPr>
        <w:t>’</w:t>
      </w:r>
      <w:r w:rsidRPr="004C48B6">
        <w:rPr>
          <w:bCs/>
          <w:iCs/>
          <w:lang w:val="fr-CH"/>
        </w:rPr>
        <w:t>État concernés afin qu</w:t>
      </w:r>
      <w:r w:rsidR="008E14FD">
        <w:rPr>
          <w:bCs/>
          <w:iCs/>
          <w:lang w:val="fr-CH"/>
        </w:rPr>
        <w:t>’</w:t>
      </w:r>
      <w:r w:rsidRPr="004C48B6">
        <w:rPr>
          <w:bCs/>
          <w:iCs/>
          <w:lang w:val="fr-CH"/>
        </w:rPr>
        <w:t>ils puissent prendre les mesures qui s</w:t>
      </w:r>
      <w:r w:rsidR="008E14FD">
        <w:rPr>
          <w:bCs/>
          <w:iCs/>
          <w:lang w:val="fr-CH"/>
        </w:rPr>
        <w:t>’</w:t>
      </w:r>
      <w:r w:rsidRPr="004C48B6">
        <w:rPr>
          <w:bCs/>
          <w:iCs/>
          <w:lang w:val="fr-CH"/>
        </w:rPr>
        <w:t>imposent.</w:t>
      </w:r>
    </w:p>
    <w:p w14:paraId="33748EE0" w14:textId="461643B7" w:rsidR="004C48B6" w:rsidRPr="004C48B6" w:rsidRDefault="004C48B6" w:rsidP="00746391">
      <w:pPr>
        <w:pStyle w:val="SingleTxt"/>
        <w:numPr>
          <w:ilvl w:val="0"/>
          <w:numId w:val="6"/>
        </w:numPr>
        <w:spacing w:line="240" w:lineRule="exact"/>
        <w:ind w:left="1267"/>
        <w:rPr>
          <w:bCs/>
          <w:iCs/>
          <w:lang w:val="fr-CH"/>
        </w:rPr>
      </w:pPr>
      <w:r w:rsidRPr="004C48B6">
        <w:rPr>
          <w:bCs/>
          <w:iCs/>
          <w:lang w:val="fr-CH"/>
        </w:rPr>
        <w:t>Au 1</w:t>
      </w:r>
      <w:r w:rsidRPr="004C48B6">
        <w:rPr>
          <w:bCs/>
          <w:iCs/>
          <w:vertAlign w:val="superscript"/>
          <w:lang w:val="fr-CH"/>
        </w:rPr>
        <w:t>er</w:t>
      </w:r>
      <w:r w:rsidRPr="004C48B6">
        <w:rPr>
          <w:bCs/>
          <w:iCs/>
          <w:lang w:val="fr-CH"/>
        </w:rPr>
        <w:t xml:space="preserve"> juillet 2017, le nombre total de postes de la fonction publique s</w:t>
      </w:r>
      <w:r w:rsidR="008E14FD">
        <w:rPr>
          <w:bCs/>
          <w:iCs/>
          <w:lang w:val="fr-CH"/>
        </w:rPr>
        <w:t>’</w:t>
      </w:r>
      <w:r w:rsidRPr="004C48B6">
        <w:rPr>
          <w:bCs/>
          <w:iCs/>
          <w:lang w:val="fr-CH"/>
        </w:rPr>
        <w:t>établissait à 20 987, dont 1 726 postes vacants et 19 261 postes effectivement pourvus. Les femmes occupaient 4 340 de ces postes (22,5</w:t>
      </w:r>
      <w:r w:rsidR="00365A31">
        <w:rPr>
          <w:bCs/>
          <w:iCs/>
          <w:lang w:val="fr-CH"/>
        </w:rPr>
        <w:t> %</w:t>
      </w:r>
      <w:r w:rsidRPr="004C48B6">
        <w:rPr>
          <w:bCs/>
          <w:iCs/>
          <w:lang w:val="fr-CH"/>
        </w:rPr>
        <w:t>). Au total,</w:t>
      </w:r>
      <w:r w:rsidR="008E14FD">
        <w:rPr>
          <w:bCs/>
          <w:iCs/>
          <w:lang w:val="fr-CH"/>
        </w:rPr>
        <w:t xml:space="preserve"> </w:t>
      </w:r>
      <w:r w:rsidRPr="004C48B6">
        <w:rPr>
          <w:bCs/>
          <w:iCs/>
          <w:lang w:val="fr-CH"/>
        </w:rPr>
        <w:t>5 779 personnes, soit 30</w:t>
      </w:r>
      <w:r w:rsidR="00365A31">
        <w:rPr>
          <w:bCs/>
          <w:iCs/>
          <w:lang w:val="fr-CH"/>
        </w:rPr>
        <w:t> %</w:t>
      </w:r>
      <w:r w:rsidRPr="004C48B6">
        <w:rPr>
          <w:bCs/>
          <w:iCs/>
          <w:lang w:val="fr-CH"/>
        </w:rPr>
        <w:t xml:space="preserve"> de l</w:t>
      </w:r>
      <w:r w:rsidR="008E14FD">
        <w:rPr>
          <w:bCs/>
          <w:iCs/>
          <w:lang w:val="fr-CH"/>
        </w:rPr>
        <w:t>’</w:t>
      </w:r>
      <w:r w:rsidRPr="004C48B6">
        <w:rPr>
          <w:bCs/>
          <w:iCs/>
          <w:lang w:val="fr-CH"/>
        </w:rPr>
        <w:t xml:space="preserve">effectif total de la fonction publique, </w:t>
      </w:r>
      <w:r w:rsidRPr="004C48B6">
        <w:rPr>
          <w:lang w:val="fr-CH"/>
        </w:rPr>
        <w:t>occupaient un poste de direction;</w:t>
      </w:r>
      <w:r w:rsidRPr="004C48B6">
        <w:rPr>
          <w:bCs/>
          <w:iCs/>
          <w:lang w:val="fr-CH"/>
        </w:rPr>
        <w:t xml:space="preserve"> 1 081 d</w:t>
      </w:r>
      <w:r w:rsidR="008E14FD">
        <w:rPr>
          <w:bCs/>
          <w:iCs/>
          <w:lang w:val="fr-CH"/>
        </w:rPr>
        <w:t>’</w:t>
      </w:r>
      <w:r w:rsidRPr="004C48B6">
        <w:rPr>
          <w:bCs/>
          <w:iCs/>
          <w:lang w:val="fr-CH"/>
        </w:rPr>
        <w:t>entre elles étaient des femmes (18,7</w:t>
      </w:r>
      <w:r w:rsidR="00365A31">
        <w:rPr>
          <w:bCs/>
          <w:iCs/>
          <w:lang w:val="fr-CH"/>
        </w:rPr>
        <w:t> %</w:t>
      </w:r>
      <w:r w:rsidRPr="004C48B6">
        <w:rPr>
          <w:bCs/>
          <w:iCs/>
          <w:lang w:val="fr-CH"/>
        </w:rPr>
        <w:t>). Dans les administrations centrales et leurs subdivisions, on comptait 11 991 fonctionnaires, dont 2 795 femmes (23,3</w:t>
      </w:r>
      <w:r w:rsidR="00365A31">
        <w:rPr>
          <w:bCs/>
          <w:iCs/>
          <w:lang w:val="fr-CH"/>
        </w:rPr>
        <w:t> %</w:t>
      </w:r>
      <w:r w:rsidRPr="004C48B6">
        <w:rPr>
          <w:bCs/>
          <w:iCs/>
          <w:lang w:val="fr-CH"/>
        </w:rPr>
        <w:t>) ; sur ce nombre, 3 146 fonctionnaires, dont 542 femmes (17,2</w:t>
      </w:r>
      <w:r w:rsidR="00365A31">
        <w:rPr>
          <w:bCs/>
          <w:iCs/>
          <w:lang w:val="fr-CH"/>
        </w:rPr>
        <w:t> %</w:t>
      </w:r>
      <w:r w:rsidRPr="004C48B6">
        <w:rPr>
          <w:bCs/>
          <w:iCs/>
          <w:lang w:val="fr-CH"/>
        </w:rPr>
        <w:t xml:space="preserve">), occupaient un poste de </w:t>
      </w:r>
      <w:r w:rsidRPr="004C48B6">
        <w:rPr>
          <w:bCs/>
          <w:iCs/>
          <w:lang w:val="fr-CH"/>
        </w:rPr>
        <w:lastRenderedPageBreak/>
        <w:t>direction. Les administrations locales employaient 3 728 foncti</w:t>
      </w:r>
      <w:r w:rsidR="00365A31">
        <w:rPr>
          <w:bCs/>
          <w:iCs/>
          <w:lang w:val="fr-CH"/>
        </w:rPr>
        <w:t>onnaires, dont 974 femmes (26,1 %</w:t>
      </w:r>
      <w:r w:rsidRPr="004C48B6">
        <w:rPr>
          <w:bCs/>
          <w:iCs/>
          <w:lang w:val="fr-CH"/>
        </w:rPr>
        <w:t>), et on comptait 1 467 fonctionnaires, dont 304 femmes (20,7</w:t>
      </w:r>
      <w:r w:rsidR="00365A31">
        <w:rPr>
          <w:bCs/>
          <w:iCs/>
          <w:lang w:val="fr-CH"/>
        </w:rPr>
        <w:t> %</w:t>
      </w:r>
      <w:r w:rsidRPr="004C48B6">
        <w:rPr>
          <w:bCs/>
          <w:iCs/>
          <w:lang w:val="fr-CH"/>
        </w:rPr>
        <w:t>), aux postes de direction. Dans les organes de décision des villages et dekhot, les fonctionnaires étaient au nombre de 3 542, dont 571 femmes (16,1</w:t>
      </w:r>
      <w:r w:rsidR="00365A31">
        <w:rPr>
          <w:bCs/>
          <w:iCs/>
          <w:lang w:val="fr-CH"/>
        </w:rPr>
        <w:t> %</w:t>
      </w:r>
      <w:r w:rsidRPr="004C48B6">
        <w:rPr>
          <w:bCs/>
          <w:iCs/>
          <w:lang w:val="fr-CH"/>
        </w:rPr>
        <w:t>) ; parmi eux, 1 166 fonctionnaires occupaient des fonctions de direction, dont 235 femmes (20,1</w:t>
      </w:r>
      <w:r w:rsidR="00365A31">
        <w:rPr>
          <w:bCs/>
          <w:iCs/>
          <w:lang w:val="fr-CH"/>
        </w:rPr>
        <w:t> %</w:t>
      </w:r>
      <w:r w:rsidRPr="004C48B6">
        <w:rPr>
          <w:bCs/>
          <w:iCs/>
          <w:lang w:val="fr-CH"/>
        </w:rPr>
        <w:t>). Sur un total de 1 081 femmes occupant un poste de direction, 7 étaient présidentes de district, 64 étaient vice-présidentes de district, et une était le chef de cabinet du Président.</w:t>
      </w:r>
    </w:p>
    <w:p w14:paraId="1999F29B" w14:textId="5E7FA3C1" w:rsidR="004C48B6" w:rsidRPr="004C48B6" w:rsidRDefault="004C48B6" w:rsidP="00746391">
      <w:pPr>
        <w:pStyle w:val="SingleTxt"/>
        <w:numPr>
          <w:ilvl w:val="0"/>
          <w:numId w:val="6"/>
        </w:numPr>
        <w:spacing w:line="240" w:lineRule="exact"/>
        <w:ind w:left="1267"/>
        <w:rPr>
          <w:lang w:val="fr-CH"/>
        </w:rPr>
      </w:pPr>
      <w:r w:rsidRPr="004C48B6">
        <w:rPr>
          <w:lang w:val="fr-CH"/>
        </w:rPr>
        <w:t>Pendant la période considérée, les femmes représentaient 21,1</w:t>
      </w:r>
      <w:r w:rsidR="00365A31">
        <w:rPr>
          <w:lang w:val="fr-CH"/>
        </w:rPr>
        <w:t> %</w:t>
      </w:r>
      <w:r w:rsidRPr="004C48B6">
        <w:rPr>
          <w:lang w:val="fr-CH"/>
        </w:rPr>
        <w:t xml:space="preserve"> des membres de la chambre haute du Parlement et 20,6</w:t>
      </w:r>
      <w:r w:rsidR="00365A31">
        <w:rPr>
          <w:lang w:val="fr-CH"/>
        </w:rPr>
        <w:t> %</w:t>
      </w:r>
      <w:r w:rsidRPr="004C48B6">
        <w:rPr>
          <w:lang w:val="fr-CH"/>
        </w:rPr>
        <w:t xml:space="preserve"> des membres de la chambre basse ; l</w:t>
      </w:r>
      <w:r w:rsidR="008E14FD">
        <w:rPr>
          <w:lang w:val="fr-CH"/>
        </w:rPr>
        <w:t>’</w:t>
      </w:r>
      <w:r w:rsidRPr="004C48B6">
        <w:rPr>
          <w:lang w:val="fr-CH"/>
        </w:rPr>
        <w:t>une d</w:t>
      </w:r>
      <w:r w:rsidR="008E14FD">
        <w:rPr>
          <w:lang w:val="fr-CH"/>
        </w:rPr>
        <w:t>’</w:t>
      </w:r>
      <w:r w:rsidRPr="004C48B6">
        <w:rPr>
          <w:lang w:val="fr-CH"/>
        </w:rPr>
        <w:t>elles était vice-présidente et deux étaient présidentes de commission. C</w:t>
      </w:r>
      <w:r w:rsidR="008E14FD">
        <w:rPr>
          <w:lang w:val="fr-CH"/>
        </w:rPr>
        <w:t>’</w:t>
      </w:r>
      <w:r w:rsidRPr="004C48B6">
        <w:rPr>
          <w:lang w:val="fr-CH"/>
        </w:rPr>
        <w:t>est une femme qui occupe actuellement la fonction de ministre du travail, des migrations et de l</w:t>
      </w:r>
      <w:r w:rsidR="008E14FD">
        <w:rPr>
          <w:lang w:val="fr-CH"/>
        </w:rPr>
        <w:t>’</w:t>
      </w:r>
      <w:r w:rsidRPr="004C48B6">
        <w:rPr>
          <w:lang w:val="fr-CH"/>
        </w:rPr>
        <w:t>emploi. En outre, la Commission des femmes et de la famille, la Commission de la langue et de la terminologie et l</w:t>
      </w:r>
      <w:r w:rsidR="008E14FD">
        <w:rPr>
          <w:lang w:val="fr-CH"/>
        </w:rPr>
        <w:t>’</w:t>
      </w:r>
      <w:r w:rsidRPr="004C48B6">
        <w:rPr>
          <w:lang w:val="fr-CH"/>
        </w:rPr>
        <w:t>Agence de la statistique sont dirigées par des femmes.</w:t>
      </w:r>
    </w:p>
    <w:p w14:paraId="41FCE5DF" w14:textId="2D451C45" w:rsidR="004C48B6" w:rsidRPr="004C48B6" w:rsidRDefault="004C48B6" w:rsidP="00746391">
      <w:pPr>
        <w:pStyle w:val="SingleTxt"/>
        <w:numPr>
          <w:ilvl w:val="0"/>
          <w:numId w:val="6"/>
        </w:numPr>
        <w:spacing w:line="240" w:lineRule="exact"/>
        <w:ind w:left="1267"/>
        <w:rPr>
          <w:lang w:val="fr-CH"/>
        </w:rPr>
      </w:pPr>
      <w:r w:rsidRPr="004C48B6">
        <w:rPr>
          <w:lang w:val="fr-CH"/>
        </w:rPr>
        <w:t>En général, dans les autres structures gouvernementales, ministères et collectivités locales, un des chefs adjoints est une femme.</w:t>
      </w:r>
    </w:p>
    <w:p w14:paraId="1E0B7361" w14:textId="09DC24B8" w:rsidR="004C48B6" w:rsidRPr="004C48B6" w:rsidRDefault="004C48B6" w:rsidP="00746391">
      <w:pPr>
        <w:pStyle w:val="SingleTxt"/>
        <w:numPr>
          <w:ilvl w:val="0"/>
          <w:numId w:val="6"/>
        </w:numPr>
        <w:spacing w:line="240" w:lineRule="exact"/>
        <w:ind w:left="1267"/>
        <w:rPr>
          <w:lang w:val="fr-CH"/>
        </w:rPr>
      </w:pPr>
      <w:r w:rsidRPr="004C48B6">
        <w:rPr>
          <w:lang w:val="fr-CH"/>
        </w:rPr>
        <w:t>Sur un total de 369 juges, 56 sont des femmes (15</w:t>
      </w:r>
      <w:r w:rsidR="00365A31">
        <w:rPr>
          <w:lang w:val="fr-CH"/>
        </w:rPr>
        <w:t> %</w:t>
      </w:r>
      <w:r w:rsidRPr="004C48B6">
        <w:rPr>
          <w:lang w:val="fr-CH"/>
        </w:rPr>
        <w:t>). L</w:t>
      </w:r>
      <w:r w:rsidR="008E14FD">
        <w:rPr>
          <w:lang w:val="fr-CH"/>
        </w:rPr>
        <w:t>’</w:t>
      </w:r>
      <w:r w:rsidRPr="004C48B6">
        <w:rPr>
          <w:lang w:val="fr-CH"/>
        </w:rPr>
        <w:t>une d</w:t>
      </w:r>
      <w:r w:rsidR="008E14FD">
        <w:rPr>
          <w:lang w:val="fr-CH"/>
        </w:rPr>
        <w:t>’</w:t>
      </w:r>
      <w:r w:rsidRPr="004C48B6">
        <w:rPr>
          <w:lang w:val="fr-CH"/>
        </w:rPr>
        <w:t>elles est la présidente de la Haute Cour économique, 5 sont présidentes et 6 vice-présidentes d</w:t>
      </w:r>
      <w:r w:rsidR="008E14FD">
        <w:rPr>
          <w:lang w:val="fr-CH"/>
        </w:rPr>
        <w:t>’</w:t>
      </w:r>
      <w:r w:rsidRPr="004C48B6">
        <w:rPr>
          <w:lang w:val="fr-CH"/>
        </w:rPr>
        <w:t>un tribunal de région, de ville ou de district. À la Cour suprême, sur un total de 39 juges, 10 sont des femmes (25,6</w:t>
      </w:r>
      <w:r w:rsidR="00365A31">
        <w:rPr>
          <w:lang w:val="fr-CH"/>
        </w:rPr>
        <w:t> %</w:t>
      </w:r>
      <w:r w:rsidRPr="004C48B6">
        <w:rPr>
          <w:lang w:val="fr-CH"/>
        </w:rPr>
        <w:t>). Au total, 90 femmes</w:t>
      </w:r>
      <w:r w:rsidRPr="004C48B6" w:rsidDel="00C20205">
        <w:rPr>
          <w:lang w:val="fr-CH"/>
        </w:rPr>
        <w:t xml:space="preserve"> </w:t>
      </w:r>
      <w:r w:rsidRPr="004C48B6">
        <w:rPr>
          <w:lang w:val="fr-CH"/>
        </w:rPr>
        <w:t>travaillent à la Cour constitutionnelle et dans les organes judiciaires, et 745 exercent des fonctions d</w:t>
      </w:r>
      <w:r w:rsidR="008E14FD">
        <w:rPr>
          <w:lang w:val="fr-CH"/>
        </w:rPr>
        <w:t>’</w:t>
      </w:r>
      <w:r w:rsidRPr="004C48B6">
        <w:rPr>
          <w:lang w:val="fr-CH"/>
        </w:rPr>
        <w:t>encadrement dans les forces de l</w:t>
      </w:r>
      <w:r w:rsidR="008E14FD">
        <w:rPr>
          <w:lang w:val="fr-CH"/>
        </w:rPr>
        <w:t>’</w:t>
      </w:r>
      <w:r w:rsidRPr="004C48B6">
        <w:rPr>
          <w:lang w:val="fr-CH"/>
        </w:rPr>
        <w:t>ordre.</w:t>
      </w:r>
    </w:p>
    <w:p w14:paraId="38562223" w14:textId="1C586EAB" w:rsidR="004C48B6" w:rsidRPr="004C48B6" w:rsidRDefault="004C48B6" w:rsidP="00746391">
      <w:pPr>
        <w:pStyle w:val="SingleTxt"/>
        <w:numPr>
          <w:ilvl w:val="0"/>
          <w:numId w:val="6"/>
        </w:numPr>
        <w:spacing w:line="240" w:lineRule="exact"/>
        <w:ind w:left="1267"/>
        <w:rPr>
          <w:lang w:val="fr-CH"/>
        </w:rPr>
      </w:pPr>
      <w:r w:rsidRPr="004C48B6">
        <w:rPr>
          <w:lang w:val="fr-CH"/>
        </w:rPr>
        <w:t>Dans l</w:t>
      </w:r>
      <w:r w:rsidR="008E14FD">
        <w:rPr>
          <w:lang w:val="fr-CH"/>
        </w:rPr>
        <w:t>’</w:t>
      </w:r>
      <w:r w:rsidRPr="004C48B6">
        <w:rPr>
          <w:lang w:val="fr-CH"/>
        </w:rPr>
        <w:t>enseignement, 4 353 femmes occ</w:t>
      </w:r>
      <w:r w:rsidR="00365A31">
        <w:rPr>
          <w:lang w:val="fr-CH"/>
        </w:rPr>
        <w:t>upent un poste de direction : 1 </w:t>
      </w:r>
      <w:r w:rsidRPr="004C48B6">
        <w:rPr>
          <w:lang w:val="fr-CH"/>
        </w:rPr>
        <w:t>fonctionnaire de l</w:t>
      </w:r>
      <w:r w:rsidR="008E14FD">
        <w:rPr>
          <w:lang w:val="fr-CH"/>
        </w:rPr>
        <w:t>’</w:t>
      </w:r>
      <w:r w:rsidRPr="004C48B6">
        <w:rPr>
          <w:lang w:val="fr-CH"/>
        </w:rPr>
        <w:t>administration centrale du Ministère de l</w:t>
      </w:r>
      <w:r w:rsidR="008E14FD">
        <w:rPr>
          <w:lang w:val="fr-CH"/>
        </w:rPr>
        <w:t>’</w:t>
      </w:r>
      <w:r w:rsidRPr="004C48B6">
        <w:rPr>
          <w:lang w:val="fr-CH"/>
        </w:rPr>
        <w:t>éducation et des sciences, 7 fonctionnaires d</w:t>
      </w:r>
      <w:r w:rsidR="008E14FD">
        <w:rPr>
          <w:lang w:val="fr-CH"/>
        </w:rPr>
        <w:t>’</w:t>
      </w:r>
      <w:r w:rsidRPr="004C48B6">
        <w:rPr>
          <w:lang w:val="fr-CH"/>
        </w:rPr>
        <w:t>organismes relevant du Ministère,</w:t>
      </w:r>
      <w:r w:rsidR="008E14FD">
        <w:rPr>
          <w:lang w:val="fr-CH"/>
        </w:rPr>
        <w:t xml:space="preserve"> </w:t>
      </w:r>
      <w:r w:rsidR="00365A31">
        <w:rPr>
          <w:lang w:val="fr-CH"/>
        </w:rPr>
        <w:t>3 rectrices, 34 </w:t>
      </w:r>
      <w:r w:rsidRPr="004C48B6">
        <w:rPr>
          <w:lang w:val="fr-CH"/>
        </w:rPr>
        <w:t>directrices et directrices adjointes d</w:t>
      </w:r>
      <w:r w:rsidR="008E14FD">
        <w:rPr>
          <w:lang w:val="fr-CH"/>
        </w:rPr>
        <w:t>’</w:t>
      </w:r>
      <w:r w:rsidRPr="004C48B6">
        <w:rPr>
          <w:lang w:val="fr-CH"/>
        </w:rPr>
        <w:t>établissements d</w:t>
      </w:r>
      <w:r w:rsidR="008E14FD">
        <w:rPr>
          <w:lang w:val="fr-CH"/>
        </w:rPr>
        <w:t>’</w:t>
      </w:r>
      <w:r w:rsidR="00365A31">
        <w:rPr>
          <w:lang w:val="fr-CH"/>
        </w:rPr>
        <w:t>enseignement secondaire, 14 </w:t>
      </w:r>
      <w:r w:rsidRPr="004C48B6">
        <w:rPr>
          <w:lang w:val="fr-CH"/>
        </w:rPr>
        <w:t>responsables du département de l</w:t>
      </w:r>
      <w:r w:rsidR="008E14FD">
        <w:rPr>
          <w:lang w:val="fr-CH"/>
        </w:rPr>
        <w:t>’</w:t>
      </w:r>
      <w:r w:rsidRPr="004C48B6">
        <w:rPr>
          <w:lang w:val="fr-CH"/>
        </w:rPr>
        <w:t>enseignement de districts et de villes, 3 691 directrices et directrices adjointes d</w:t>
      </w:r>
      <w:r w:rsidR="008E14FD">
        <w:rPr>
          <w:lang w:val="fr-CH"/>
        </w:rPr>
        <w:t>’</w:t>
      </w:r>
      <w:r w:rsidRPr="004C48B6">
        <w:rPr>
          <w:lang w:val="fr-CH"/>
        </w:rPr>
        <w:t>établissements d</w:t>
      </w:r>
      <w:r w:rsidR="008E14FD">
        <w:rPr>
          <w:lang w:val="fr-CH"/>
        </w:rPr>
        <w:t>’</w:t>
      </w:r>
      <w:r w:rsidR="00365A31">
        <w:rPr>
          <w:lang w:val="fr-CH"/>
        </w:rPr>
        <w:t>enseignement général et 603 </w:t>
      </w:r>
      <w:r w:rsidRPr="004C48B6">
        <w:rPr>
          <w:lang w:val="fr-CH"/>
        </w:rPr>
        <w:t>directrices d</w:t>
      </w:r>
      <w:r w:rsidR="008E14FD">
        <w:rPr>
          <w:lang w:val="fr-CH"/>
        </w:rPr>
        <w:t>’</w:t>
      </w:r>
      <w:r w:rsidRPr="004C48B6">
        <w:rPr>
          <w:lang w:val="fr-CH"/>
        </w:rPr>
        <w:t>établissements d</w:t>
      </w:r>
      <w:r w:rsidR="008E14FD">
        <w:rPr>
          <w:lang w:val="fr-CH"/>
        </w:rPr>
        <w:t>’</w:t>
      </w:r>
      <w:r w:rsidRPr="004C48B6">
        <w:rPr>
          <w:lang w:val="fr-CH"/>
        </w:rPr>
        <w:t>enseignement préscolaire. Afin de promouvoir l</w:t>
      </w:r>
      <w:r w:rsidR="008E14FD">
        <w:rPr>
          <w:lang w:val="fr-CH"/>
        </w:rPr>
        <w:t>’</w:t>
      </w:r>
      <w:r w:rsidRPr="004C48B6">
        <w:rPr>
          <w:lang w:val="fr-CH"/>
        </w:rPr>
        <w:t>affectation de jeunes spécialistes compétents à des fonctions de direction, le Ministère a établi une base de données constituée de 82 personnes, dont 27 femmes (33</w:t>
      </w:r>
      <w:r w:rsidR="00365A31">
        <w:rPr>
          <w:lang w:val="fr-CH"/>
        </w:rPr>
        <w:t> %</w:t>
      </w:r>
      <w:r w:rsidRPr="004C48B6">
        <w:rPr>
          <w:lang w:val="fr-CH"/>
        </w:rPr>
        <w:t>). Parmi les directeurs d</w:t>
      </w:r>
      <w:r w:rsidR="008E14FD">
        <w:rPr>
          <w:lang w:val="fr-CH"/>
        </w:rPr>
        <w:t>’</w:t>
      </w:r>
      <w:r w:rsidRPr="004C48B6">
        <w:rPr>
          <w:lang w:val="fr-CH"/>
        </w:rPr>
        <w:t>établissements publics d</w:t>
      </w:r>
      <w:r w:rsidR="008E14FD">
        <w:rPr>
          <w:lang w:val="fr-CH"/>
        </w:rPr>
        <w:t>’</w:t>
      </w:r>
      <w:r w:rsidRPr="004C48B6">
        <w:rPr>
          <w:lang w:val="fr-CH"/>
        </w:rPr>
        <w:t>enseignement professionnel fondamental, 12 sont des femmes (19</w:t>
      </w:r>
      <w:r w:rsidR="00365A31">
        <w:rPr>
          <w:lang w:val="fr-CH"/>
        </w:rPr>
        <w:t> %</w:t>
      </w:r>
      <w:r w:rsidRPr="004C48B6">
        <w:rPr>
          <w:lang w:val="fr-CH"/>
        </w:rPr>
        <w:t>). En outre, le Ministère compte 1 femme titulaire d</w:t>
      </w:r>
      <w:r w:rsidR="008E14FD">
        <w:rPr>
          <w:lang w:val="fr-CH"/>
        </w:rPr>
        <w:t>’</w:t>
      </w:r>
      <w:r w:rsidRPr="004C48B6">
        <w:rPr>
          <w:lang w:val="fr-CH"/>
        </w:rPr>
        <w:t>un doctorat et 4 doctorantes.</w:t>
      </w:r>
    </w:p>
    <w:p w14:paraId="5B6860A5" w14:textId="18F2115C" w:rsidR="004C48B6" w:rsidRPr="004C48B6" w:rsidRDefault="004C48B6" w:rsidP="00746391">
      <w:pPr>
        <w:pStyle w:val="SingleTxt"/>
        <w:numPr>
          <w:ilvl w:val="0"/>
          <w:numId w:val="6"/>
        </w:numPr>
        <w:spacing w:line="240" w:lineRule="exact"/>
        <w:ind w:left="1267"/>
        <w:rPr>
          <w:lang w:val="fr-CH"/>
        </w:rPr>
      </w:pPr>
      <w:r w:rsidRPr="004C48B6">
        <w:rPr>
          <w:lang w:val="fr-CH"/>
        </w:rPr>
        <w:t>À l</w:t>
      </w:r>
      <w:r w:rsidR="008E14FD">
        <w:rPr>
          <w:lang w:val="fr-CH"/>
        </w:rPr>
        <w:t>’</w:t>
      </w:r>
      <w:r w:rsidRPr="004C48B6">
        <w:rPr>
          <w:lang w:val="fr-CH"/>
        </w:rPr>
        <w:t>échelle du pays, le secteur de la santé compte 18 044 spécialistes diplômés d</w:t>
      </w:r>
      <w:r w:rsidR="008E14FD">
        <w:rPr>
          <w:lang w:val="fr-CH"/>
        </w:rPr>
        <w:t>’</w:t>
      </w:r>
      <w:r w:rsidRPr="004C48B6">
        <w:rPr>
          <w:lang w:val="fr-CH"/>
        </w:rPr>
        <w:t>études médicales post-secondaire</w:t>
      </w:r>
      <w:r w:rsidR="0015017B">
        <w:rPr>
          <w:lang w:val="fr-CH"/>
        </w:rPr>
        <w:t>s</w:t>
      </w:r>
      <w:r w:rsidRPr="004C48B6">
        <w:rPr>
          <w:lang w:val="fr-CH"/>
        </w:rPr>
        <w:t xml:space="preserve"> et 49 434 spécialistes diplômés d</w:t>
      </w:r>
      <w:r w:rsidR="008E14FD">
        <w:rPr>
          <w:lang w:val="fr-CH"/>
        </w:rPr>
        <w:t>’</w:t>
      </w:r>
      <w:r w:rsidRPr="004C48B6">
        <w:rPr>
          <w:lang w:val="fr-CH"/>
        </w:rPr>
        <w:t>études médicales secondaires, dont 19 323 hommes et 48 155 femmes (71,4</w:t>
      </w:r>
      <w:r w:rsidR="00365A31">
        <w:rPr>
          <w:lang w:val="fr-CH"/>
        </w:rPr>
        <w:t> %</w:t>
      </w:r>
      <w:r w:rsidRPr="004C48B6">
        <w:rPr>
          <w:lang w:val="fr-CH"/>
        </w:rPr>
        <w:t>).</w:t>
      </w:r>
    </w:p>
    <w:p w14:paraId="4E50822B" w14:textId="6A241BFC" w:rsidR="004C48B6" w:rsidRPr="004C48B6" w:rsidRDefault="004C48B6" w:rsidP="00746391">
      <w:pPr>
        <w:pStyle w:val="SingleTxt"/>
        <w:numPr>
          <w:ilvl w:val="0"/>
          <w:numId w:val="6"/>
        </w:numPr>
        <w:spacing w:line="240" w:lineRule="exact"/>
        <w:ind w:left="1267"/>
        <w:rPr>
          <w:lang w:val="fr-CH"/>
        </w:rPr>
      </w:pPr>
      <w:r w:rsidRPr="004C48B6">
        <w:rPr>
          <w:lang w:val="fr-CH"/>
        </w:rPr>
        <w:t xml:space="preserve">Le Ministère des finances et les institutions qui en relèvent </w:t>
      </w:r>
      <w:r w:rsidRPr="004C48B6">
        <w:rPr>
          <w:lang w:val="fr-FR"/>
        </w:rPr>
        <w:t>ont</w:t>
      </w:r>
      <w:r w:rsidRPr="004C48B6">
        <w:rPr>
          <w:lang w:val="fr-CH"/>
        </w:rPr>
        <w:t xml:space="preserve"> un effectif de base de 1 453 personnes, parmi lesquelles 1 31</w:t>
      </w:r>
      <w:r w:rsidR="00365A31">
        <w:rPr>
          <w:lang w:val="fr-CH"/>
        </w:rPr>
        <w:t>8 sont fonctionnaires, dont 986 </w:t>
      </w:r>
      <w:r w:rsidRPr="004C48B6">
        <w:rPr>
          <w:lang w:val="fr-CH"/>
        </w:rPr>
        <w:t>hommes et 332 femmes, la part des femmes dans l</w:t>
      </w:r>
      <w:r w:rsidR="008E14FD">
        <w:rPr>
          <w:lang w:val="fr-CH"/>
        </w:rPr>
        <w:t>’</w:t>
      </w:r>
      <w:r w:rsidRPr="004C48B6">
        <w:rPr>
          <w:lang w:val="fr-CH"/>
        </w:rPr>
        <w:t>effectif total étant de l</w:t>
      </w:r>
      <w:r w:rsidR="008E14FD">
        <w:rPr>
          <w:lang w:val="fr-CH"/>
        </w:rPr>
        <w:t>’</w:t>
      </w:r>
      <w:r w:rsidRPr="004C48B6">
        <w:rPr>
          <w:lang w:val="fr-CH"/>
        </w:rPr>
        <w:t>ordre de 25,2</w:t>
      </w:r>
      <w:r w:rsidR="00365A31">
        <w:rPr>
          <w:lang w:val="fr-CH"/>
        </w:rPr>
        <w:t> %</w:t>
      </w:r>
      <w:r w:rsidRPr="004C48B6">
        <w:rPr>
          <w:lang w:val="fr-CH"/>
        </w:rPr>
        <w:t>. Dans l</w:t>
      </w:r>
      <w:r w:rsidR="008E14FD">
        <w:rPr>
          <w:lang w:val="fr-CH"/>
        </w:rPr>
        <w:t>’</w:t>
      </w:r>
      <w:r w:rsidRPr="004C48B6">
        <w:rPr>
          <w:lang w:val="fr-CH"/>
        </w:rPr>
        <w:t>administration centrale du Ministère des finances, l</w:t>
      </w:r>
      <w:r w:rsidR="008E14FD">
        <w:rPr>
          <w:lang w:val="fr-CH"/>
        </w:rPr>
        <w:t>’</w:t>
      </w:r>
      <w:r w:rsidRPr="004C48B6">
        <w:rPr>
          <w:lang w:val="fr-CH"/>
        </w:rPr>
        <w:t>effectif total est de 292 fonctionnaires, et parmi les 228 qui sont en fonction, 85 sont des femmes, dont 18, soit 21,2</w:t>
      </w:r>
      <w:r w:rsidR="00365A31">
        <w:rPr>
          <w:lang w:val="fr-CH"/>
        </w:rPr>
        <w:t> %</w:t>
      </w:r>
      <w:r w:rsidRPr="004C48B6">
        <w:rPr>
          <w:lang w:val="fr-CH"/>
        </w:rPr>
        <w:t xml:space="preserve"> des femmes</w:t>
      </w:r>
      <w:r w:rsidR="0015017B">
        <w:rPr>
          <w:lang w:val="fr-CH"/>
        </w:rPr>
        <w:t>,</w:t>
      </w:r>
      <w:r w:rsidRPr="004C48B6">
        <w:rPr>
          <w:lang w:val="fr-CH"/>
        </w:rPr>
        <w:t xml:space="preserve"> occupent un poste de directrice ou de directrice adjointe d</w:t>
      </w:r>
      <w:r w:rsidR="008E14FD">
        <w:rPr>
          <w:lang w:val="fr-CH"/>
        </w:rPr>
        <w:t>’</w:t>
      </w:r>
      <w:r w:rsidRPr="004C48B6">
        <w:rPr>
          <w:lang w:val="fr-CH"/>
        </w:rPr>
        <w:t>une administration ou d</w:t>
      </w:r>
      <w:r w:rsidR="008E14FD">
        <w:rPr>
          <w:lang w:val="fr-CH"/>
        </w:rPr>
        <w:t>’</w:t>
      </w:r>
      <w:r w:rsidRPr="004C48B6">
        <w:rPr>
          <w:lang w:val="fr-CH"/>
        </w:rPr>
        <w:t>un département. Un des postes de vice-ministre des finances est occupé par une femme, et deux branches du Trésor public (une branche régionale et une branche municipale) sont dirigées par des femmes, tout comme l</w:t>
      </w:r>
      <w:r w:rsidR="008E14FD">
        <w:rPr>
          <w:lang w:val="fr-CH"/>
        </w:rPr>
        <w:t>’</w:t>
      </w:r>
      <w:r w:rsidRPr="004C48B6">
        <w:rPr>
          <w:lang w:val="fr-CH"/>
        </w:rPr>
        <w:t>organisme dépositaire des valeurs d</w:t>
      </w:r>
      <w:r w:rsidR="008E14FD">
        <w:rPr>
          <w:lang w:val="fr-CH"/>
        </w:rPr>
        <w:t>’</w:t>
      </w:r>
      <w:r w:rsidRPr="004C48B6">
        <w:rPr>
          <w:lang w:val="fr-CH"/>
        </w:rPr>
        <w:t>État, qui relève du Ministère des finances.</w:t>
      </w:r>
    </w:p>
    <w:p w14:paraId="019E7880" w14:textId="3CF0FD88" w:rsidR="004C48B6" w:rsidRPr="004C48B6" w:rsidRDefault="004C48B6" w:rsidP="00746391">
      <w:pPr>
        <w:pStyle w:val="SingleTxt"/>
        <w:numPr>
          <w:ilvl w:val="0"/>
          <w:numId w:val="6"/>
        </w:numPr>
        <w:spacing w:line="240" w:lineRule="exact"/>
        <w:ind w:left="1267"/>
        <w:rPr>
          <w:lang w:val="fr-CH"/>
        </w:rPr>
      </w:pPr>
      <w:r w:rsidRPr="004C48B6">
        <w:rPr>
          <w:lang w:val="fr-CH"/>
        </w:rPr>
        <w:lastRenderedPageBreak/>
        <w:t>Le système du Ministère des affaires étrangères et le service diplomatique emploient 314 fonctionnaires, dont 53 (16,8</w:t>
      </w:r>
      <w:r w:rsidR="00365A31">
        <w:rPr>
          <w:lang w:val="fr-CH"/>
        </w:rPr>
        <w:t> %</w:t>
      </w:r>
      <w:r w:rsidRPr="004C48B6">
        <w:rPr>
          <w:lang w:val="fr-CH"/>
        </w:rPr>
        <w:t>) sont des femmes.</w:t>
      </w:r>
    </w:p>
    <w:p w14:paraId="378187EA" w14:textId="53EDB86A" w:rsidR="004C48B6" w:rsidRDefault="004C48B6" w:rsidP="00746391">
      <w:pPr>
        <w:pStyle w:val="SingleTxt"/>
        <w:numPr>
          <w:ilvl w:val="0"/>
          <w:numId w:val="6"/>
        </w:numPr>
        <w:spacing w:line="240" w:lineRule="exact"/>
        <w:ind w:left="1267"/>
        <w:rPr>
          <w:lang w:val="fr-CH"/>
        </w:rPr>
      </w:pPr>
      <w:r w:rsidRPr="004C48B6">
        <w:rPr>
          <w:lang w:val="fr-CH"/>
        </w:rPr>
        <w:t>Conformément aux objectifs fondamentaux énoncés dans les documents stratégiques, les ministères et administrations s</w:t>
      </w:r>
      <w:r w:rsidR="008E14FD">
        <w:rPr>
          <w:lang w:val="fr-CH"/>
        </w:rPr>
        <w:t>’</w:t>
      </w:r>
      <w:r w:rsidRPr="004C48B6">
        <w:rPr>
          <w:lang w:val="fr-CH"/>
        </w:rPr>
        <w:t>acquittent des tâches suivantes : définir la politique gouvernementale à long terme concernant la garantie des droits et des chances pour les femmes et les filles en matière de formation, de sélection et de placement aux postes de direction de l</w:t>
      </w:r>
      <w:r w:rsidR="008E14FD">
        <w:rPr>
          <w:lang w:val="fr-CH"/>
        </w:rPr>
        <w:t>’</w:t>
      </w:r>
      <w:r w:rsidRPr="004C48B6">
        <w:rPr>
          <w:lang w:val="fr-CH"/>
        </w:rPr>
        <w:t>administration ; garantir des droits égaux aux femmes et aux hommes en matière de promotion et de nomination aux fonctions de direction ; garantir des conditions optimales d</w:t>
      </w:r>
      <w:r w:rsidR="008E14FD">
        <w:rPr>
          <w:lang w:val="fr-CH"/>
        </w:rPr>
        <w:t>’</w:t>
      </w:r>
      <w:r w:rsidRPr="004C48B6">
        <w:rPr>
          <w:lang w:val="fr-CH"/>
        </w:rPr>
        <w:t>études ; inciter les filles à suivre des études ; préparer et mettre à disposition des logements ; et délivrer des bourses aux jeunes femmes étudiant dans des établissements d</w:t>
      </w:r>
      <w:r w:rsidR="008E14FD">
        <w:rPr>
          <w:lang w:val="fr-CH"/>
        </w:rPr>
        <w:t>’</w:t>
      </w:r>
      <w:r w:rsidRPr="004C48B6">
        <w:rPr>
          <w:lang w:val="fr-CH"/>
        </w:rPr>
        <w:t>enseignement supérieur. Grâce aux mesures prises et aux stratégies, programmes et plans d</w:t>
      </w:r>
      <w:r w:rsidR="008E14FD">
        <w:rPr>
          <w:lang w:val="fr-CH"/>
        </w:rPr>
        <w:t>’</w:t>
      </w:r>
      <w:r w:rsidRPr="004C48B6">
        <w:rPr>
          <w:lang w:val="fr-CH"/>
        </w:rPr>
        <w:t>intervention exposés ci-dessus, le nombre de femmes associées aux décisions augmente de façon régulière.</w:t>
      </w:r>
    </w:p>
    <w:p w14:paraId="7C613A15" w14:textId="1EE65539" w:rsidR="00843EC7" w:rsidRPr="00843EC7" w:rsidRDefault="00843EC7" w:rsidP="00843EC7">
      <w:pPr>
        <w:pStyle w:val="SingleTxt"/>
        <w:spacing w:after="0" w:line="120" w:lineRule="exact"/>
        <w:rPr>
          <w:sz w:val="10"/>
          <w:lang w:val="fr-CH"/>
        </w:rPr>
      </w:pPr>
    </w:p>
    <w:p w14:paraId="7F47E56F" w14:textId="6C793F39" w:rsidR="004C48B6" w:rsidRDefault="00843EC7" w:rsidP="00843E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4C48B6" w:rsidRPr="004C48B6">
        <w:rPr>
          <w:lang w:val="fr-CH"/>
        </w:rPr>
        <w:t>Éducation</w:t>
      </w:r>
    </w:p>
    <w:p w14:paraId="027B4F6B" w14:textId="6D848D2D" w:rsidR="00843EC7" w:rsidRPr="00843EC7" w:rsidRDefault="00843EC7" w:rsidP="00843EC7">
      <w:pPr>
        <w:pStyle w:val="SingleTxt"/>
        <w:spacing w:after="0" w:line="120" w:lineRule="exact"/>
        <w:rPr>
          <w:sz w:val="10"/>
          <w:lang w:val="fr-CH"/>
        </w:rPr>
      </w:pPr>
    </w:p>
    <w:p w14:paraId="0439DF4B" w14:textId="45ACCCC1" w:rsidR="004C48B6" w:rsidRDefault="00843EC7" w:rsidP="00843E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4C48B6" w:rsidRPr="004C48B6">
        <w:rPr>
          <w:lang w:val="fr-CH"/>
        </w:rPr>
        <w:t xml:space="preserve">Paragraphe 24 des observations finales </w:t>
      </w:r>
    </w:p>
    <w:p w14:paraId="1137E002" w14:textId="0C3BA6DA" w:rsidR="00843EC7" w:rsidRPr="00843EC7" w:rsidRDefault="00843EC7" w:rsidP="00843EC7">
      <w:pPr>
        <w:pStyle w:val="SingleTxt"/>
        <w:spacing w:after="0" w:line="120" w:lineRule="exact"/>
        <w:rPr>
          <w:sz w:val="10"/>
          <w:lang w:val="fr-CH"/>
        </w:rPr>
      </w:pPr>
    </w:p>
    <w:p w14:paraId="3B37FF69" w14:textId="65FAA9EE" w:rsidR="004C48B6" w:rsidRPr="004C48B6" w:rsidRDefault="004C48B6" w:rsidP="00746391">
      <w:pPr>
        <w:pStyle w:val="SingleTxt"/>
        <w:numPr>
          <w:ilvl w:val="0"/>
          <w:numId w:val="6"/>
        </w:numPr>
        <w:spacing w:line="240" w:lineRule="exact"/>
        <w:ind w:left="1267"/>
        <w:rPr>
          <w:lang w:val="fr-CH"/>
        </w:rPr>
      </w:pPr>
      <w:r w:rsidRPr="004C48B6">
        <w:rPr>
          <w:lang w:val="fr-CH"/>
        </w:rPr>
        <w:t>Le cadre législatif en vigueur dans le pays rejette toute discrimination fondée sur le sexe dans l</w:t>
      </w:r>
      <w:r w:rsidR="008E14FD">
        <w:rPr>
          <w:lang w:val="fr-CH"/>
        </w:rPr>
        <w:t>’</w:t>
      </w:r>
      <w:r w:rsidRPr="004C48B6">
        <w:rPr>
          <w:lang w:val="fr-CH"/>
        </w:rPr>
        <w:t>éducation. Conformément à l</w:t>
      </w:r>
      <w:r w:rsidR="008E14FD">
        <w:rPr>
          <w:lang w:val="fr-CH"/>
        </w:rPr>
        <w:t>’</w:t>
      </w:r>
      <w:r w:rsidRPr="004C48B6">
        <w:rPr>
          <w:lang w:val="fr-CH"/>
        </w:rPr>
        <w:t>article 16 de la loi relative à l</w:t>
      </w:r>
      <w:r w:rsidR="008E14FD">
        <w:rPr>
          <w:lang w:val="fr-CH"/>
        </w:rPr>
        <w:t>’</w:t>
      </w:r>
      <w:r w:rsidRPr="004C48B6">
        <w:rPr>
          <w:lang w:val="fr-CH"/>
        </w:rPr>
        <w:t>éducation, les citoyens de la République du Tadjikistan sont tenus de suivre un enseignement fondamental commun de la 1</w:t>
      </w:r>
      <w:r w:rsidRPr="004C48B6">
        <w:rPr>
          <w:vertAlign w:val="superscript"/>
          <w:lang w:val="fr-CH"/>
        </w:rPr>
        <w:t>ère</w:t>
      </w:r>
      <w:r w:rsidRPr="004C48B6">
        <w:rPr>
          <w:lang w:val="fr-CH"/>
        </w:rPr>
        <w:t xml:space="preserve"> à la 9</w:t>
      </w:r>
      <w:r w:rsidRPr="004C48B6">
        <w:rPr>
          <w:vertAlign w:val="superscript"/>
          <w:lang w:val="fr-CH"/>
        </w:rPr>
        <w:t>e</w:t>
      </w:r>
      <w:r w:rsidRPr="004C48B6">
        <w:rPr>
          <w:lang w:val="fr-CH"/>
        </w:rPr>
        <w:t xml:space="preserve"> classe (de 7 à 16 ans).</w:t>
      </w:r>
    </w:p>
    <w:p w14:paraId="6E4E3DB4" w14:textId="3F6E5D7F" w:rsidR="004C48B6" w:rsidRPr="004C48B6" w:rsidRDefault="004C48B6" w:rsidP="00746391">
      <w:pPr>
        <w:pStyle w:val="SingleTxt"/>
        <w:numPr>
          <w:ilvl w:val="0"/>
          <w:numId w:val="6"/>
        </w:numPr>
        <w:spacing w:line="240" w:lineRule="exact"/>
        <w:ind w:left="1267"/>
        <w:rPr>
          <w:lang w:val="fr-CH"/>
        </w:rPr>
      </w:pPr>
      <w:r w:rsidRPr="004C48B6">
        <w:rPr>
          <w:lang w:val="fr-CH"/>
        </w:rPr>
        <w:t>Pendant l</w:t>
      </w:r>
      <w:r w:rsidR="008E14FD">
        <w:rPr>
          <w:lang w:val="fr-CH"/>
        </w:rPr>
        <w:t>’</w:t>
      </w:r>
      <w:r w:rsidRPr="004C48B6">
        <w:rPr>
          <w:lang w:val="fr-CH"/>
        </w:rPr>
        <w:t>année scolaire 2016-2017, les établissements d</w:t>
      </w:r>
      <w:r w:rsidR="008E14FD">
        <w:rPr>
          <w:lang w:val="fr-CH"/>
        </w:rPr>
        <w:t>’</w:t>
      </w:r>
      <w:r w:rsidRPr="004C48B6">
        <w:rPr>
          <w:lang w:val="fr-CH"/>
        </w:rPr>
        <w:t>enseignement général comptaient 1 837 762 élèves, dont 877 952 filles (47,7</w:t>
      </w:r>
      <w:r w:rsidR="00365A31">
        <w:rPr>
          <w:lang w:val="fr-CH"/>
        </w:rPr>
        <w:t> %</w:t>
      </w:r>
      <w:r w:rsidRPr="004C48B6">
        <w:rPr>
          <w:lang w:val="fr-CH"/>
        </w:rPr>
        <w:t>). Les classes de la 1</w:t>
      </w:r>
      <w:r w:rsidRPr="004C48B6">
        <w:rPr>
          <w:vertAlign w:val="superscript"/>
          <w:lang w:val="fr-CH"/>
        </w:rPr>
        <w:t>ère</w:t>
      </w:r>
      <w:r w:rsidRPr="004C48B6">
        <w:rPr>
          <w:lang w:val="fr-CH"/>
        </w:rPr>
        <w:t xml:space="preserve"> à la 9</w:t>
      </w:r>
      <w:r w:rsidRPr="004C48B6">
        <w:rPr>
          <w:vertAlign w:val="superscript"/>
          <w:lang w:val="fr-CH"/>
        </w:rPr>
        <w:t>e</w:t>
      </w:r>
      <w:r w:rsidRPr="004C48B6">
        <w:rPr>
          <w:lang w:val="fr-CH"/>
        </w:rPr>
        <w:t xml:space="preserve"> accueillaient 1 580 685 de ces élèves, dont 760 740 filles (48,2</w:t>
      </w:r>
      <w:r w:rsidR="00365A31">
        <w:rPr>
          <w:lang w:val="fr-CH"/>
        </w:rPr>
        <w:t> %</w:t>
      </w:r>
      <w:r w:rsidRPr="004C48B6">
        <w:rPr>
          <w:lang w:val="fr-CH"/>
        </w:rPr>
        <w:t>).</w:t>
      </w:r>
    </w:p>
    <w:p w14:paraId="4AA20512" w14:textId="3D7FA588" w:rsidR="004C48B6" w:rsidRPr="004C48B6" w:rsidRDefault="004C48B6" w:rsidP="00746391">
      <w:pPr>
        <w:pStyle w:val="SingleTxt"/>
        <w:numPr>
          <w:ilvl w:val="0"/>
          <w:numId w:val="6"/>
        </w:numPr>
        <w:spacing w:line="240" w:lineRule="exact"/>
        <w:ind w:left="1267"/>
        <w:rPr>
          <w:lang w:val="fr-CH"/>
        </w:rPr>
      </w:pPr>
      <w:r w:rsidRPr="004C48B6">
        <w:rPr>
          <w:lang w:val="fr-CH"/>
        </w:rPr>
        <w:t>La tendance constatée ces dernières années montre que le taux de rétention des filles dans le système scolaire en 10</w:t>
      </w:r>
      <w:r w:rsidRPr="004C48B6">
        <w:rPr>
          <w:vertAlign w:val="superscript"/>
          <w:lang w:val="fr-CH"/>
        </w:rPr>
        <w:t>e</w:t>
      </w:r>
      <w:r w:rsidRPr="004C48B6">
        <w:rPr>
          <w:lang w:val="fr-CH"/>
        </w:rPr>
        <w:t xml:space="preserve"> et 11</w:t>
      </w:r>
      <w:r w:rsidRPr="004C48B6">
        <w:rPr>
          <w:vertAlign w:val="superscript"/>
          <w:lang w:val="fr-CH"/>
        </w:rPr>
        <w:t>e</w:t>
      </w:r>
      <w:r w:rsidRPr="004C48B6">
        <w:rPr>
          <w:lang w:val="fr-CH"/>
        </w:rPr>
        <w:t xml:space="preserve"> classes augmente d</w:t>
      </w:r>
      <w:r w:rsidR="008E14FD">
        <w:rPr>
          <w:lang w:val="fr-CH"/>
        </w:rPr>
        <w:t>’</w:t>
      </w:r>
      <w:r w:rsidRPr="004C48B6">
        <w:rPr>
          <w:lang w:val="fr-CH"/>
        </w:rPr>
        <w:t>année en année. En 2014, 56 331 étaient inscrites en 10</w:t>
      </w:r>
      <w:r w:rsidRPr="004C48B6">
        <w:rPr>
          <w:vertAlign w:val="superscript"/>
          <w:lang w:val="fr-CH"/>
        </w:rPr>
        <w:t>e</w:t>
      </w:r>
      <w:r w:rsidRPr="004C48B6">
        <w:rPr>
          <w:lang w:val="fr-CH"/>
        </w:rPr>
        <w:t>, et 50 097 en 11</w:t>
      </w:r>
      <w:r w:rsidRPr="004C48B6">
        <w:rPr>
          <w:vertAlign w:val="superscript"/>
          <w:lang w:val="fr-CH"/>
        </w:rPr>
        <w:t>e</w:t>
      </w:r>
      <w:r w:rsidRPr="004C48B6">
        <w:rPr>
          <w:lang w:val="fr-CH"/>
        </w:rPr>
        <w:t>. En 2015, on comptait 58 817 filles en 10</w:t>
      </w:r>
      <w:r w:rsidRPr="004C48B6">
        <w:rPr>
          <w:vertAlign w:val="superscript"/>
          <w:lang w:val="fr-CH"/>
        </w:rPr>
        <w:t>e</w:t>
      </w:r>
      <w:r w:rsidRPr="004C48B6">
        <w:rPr>
          <w:lang w:val="fr-CH"/>
        </w:rPr>
        <w:t xml:space="preserve"> et 52 592 en 11</w:t>
      </w:r>
      <w:r w:rsidRPr="004C48B6">
        <w:rPr>
          <w:vertAlign w:val="superscript"/>
          <w:lang w:val="fr-CH"/>
        </w:rPr>
        <w:t>e</w:t>
      </w:r>
      <w:r w:rsidRPr="004C48B6">
        <w:rPr>
          <w:lang w:val="fr-CH"/>
        </w:rPr>
        <w:t>. En 2016, ces chiffres étaient passés respectivement à 60 233 et 55 606. Ces données montrent une progression évidente de la volonté des filles de poursuivre leurs études en 10</w:t>
      </w:r>
      <w:r w:rsidRPr="004C48B6">
        <w:rPr>
          <w:vertAlign w:val="superscript"/>
          <w:lang w:val="fr-CH"/>
        </w:rPr>
        <w:t>e</w:t>
      </w:r>
      <w:r w:rsidRPr="004C48B6">
        <w:rPr>
          <w:lang w:val="fr-CH"/>
        </w:rPr>
        <w:t xml:space="preserve"> et 11</w:t>
      </w:r>
      <w:r w:rsidRPr="004C48B6">
        <w:rPr>
          <w:vertAlign w:val="superscript"/>
          <w:lang w:val="fr-CH"/>
        </w:rPr>
        <w:t>e</w:t>
      </w:r>
      <w:r w:rsidRPr="004C48B6">
        <w:rPr>
          <w:lang w:val="fr-CH"/>
        </w:rPr>
        <w:t xml:space="preserve"> classe.</w:t>
      </w:r>
    </w:p>
    <w:p w14:paraId="44A965EC" w14:textId="52DA5538" w:rsidR="004C48B6" w:rsidRPr="004C48B6" w:rsidRDefault="004C48B6" w:rsidP="00746391">
      <w:pPr>
        <w:pStyle w:val="SingleTxt"/>
        <w:numPr>
          <w:ilvl w:val="0"/>
          <w:numId w:val="6"/>
        </w:numPr>
        <w:spacing w:line="240" w:lineRule="exact"/>
        <w:ind w:left="1267"/>
        <w:rPr>
          <w:lang w:val="fr-CH"/>
        </w:rPr>
      </w:pPr>
      <w:r w:rsidRPr="004C48B6">
        <w:rPr>
          <w:lang w:val="fr-CH"/>
        </w:rPr>
        <w:t>Après avoir terminé le cycle d</w:t>
      </w:r>
      <w:r w:rsidR="008E14FD">
        <w:rPr>
          <w:lang w:val="fr-CH"/>
        </w:rPr>
        <w:t>’</w:t>
      </w:r>
      <w:r w:rsidRPr="004C48B6">
        <w:rPr>
          <w:lang w:val="fr-CH"/>
        </w:rPr>
        <w:t>enseignement fondamental secondaire, un grand nombre de filles poursuivent leurs études dans des établissements d</w:t>
      </w:r>
      <w:r w:rsidR="008E14FD">
        <w:rPr>
          <w:lang w:val="fr-CH"/>
        </w:rPr>
        <w:t>’</w:t>
      </w:r>
      <w:r w:rsidRPr="004C48B6">
        <w:rPr>
          <w:lang w:val="fr-CH"/>
        </w:rPr>
        <w:t>enseignement professionnel fondamental et intermédiaire. À l</w:t>
      </w:r>
      <w:r w:rsidR="008E14FD">
        <w:rPr>
          <w:lang w:val="fr-CH"/>
        </w:rPr>
        <w:t>’</w:t>
      </w:r>
      <w:r w:rsidRPr="004C48B6">
        <w:rPr>
          <w:lang w:val="fr-CH"/>
        </w:rPr>
        <w:t>heure actuelle, 5 005 filles sont inscrites dans des établissements d</w:t>
      </w:r>
      <w:r w:rsidR="008E14FD">
        <w:rPr>
          <w:lang w:val="fr-CH"/>
        </w:rPr>
        <w:t>’</w:t>
      </w:r>
      <w:r w:rsidRPr="004C48B6">
        <w:rPr>
          <w:lang w:val="fr-CH"/>
        </w:rPr>
        <w:t>enseignement professionnel fondamental, soit 22</w:t>
      </w:r>
      <w:r w:rsidR="00365A31">
        <w:rPr>
          <w:lang w:val="fr-CH"/>
        </w:rPr>
        <w:t> %</w:t>
      </w:r>
      <w:r w:rsidRPr="004C48B6">
        <w:rPr>
          <w:lang w:val="fr-CH"/>
        </w:rPr>
        <w:t xml:space="preserve"> du nombre total d</w:t>
      </w:r>
      <w:r w:rsidR="008E14FD">
        <w:rPr>
          <w:lang w:val="fr-CH"/>
        </w:rPr>
        <w:t>’</w:t>
      </w:r>
      <w:r w:rsidRPr="004C48B6">
        <w:rPr>
          <w:lang w:val="fr-CH"/>
        </w:rPr>
        <w:t>inscrits (22 779), et 43 372 filles sont inscrites dans des établissements d</w:t>
      </w:r>
      <w:r w:rsidR="008E14FD">
        <w:rPr>
          <w:lang w:val="fr-CH"/>
        </w:rPr>
        <w:t>’</w:t>
      </w:r>
      <w:r w:rsidRPr="004C48B6">
        <w:rPr>
          <w:lang w:val="fr-CH"/>
        </w:rPr>
        <w:t>enseignement professionnel intermédiaire, soit 59</w:t>
      </w:r>
      <w:r w:rsidR="00365A31">
        <w:rPr>
          <w:lang w:val="fr-CH"/>
        </w:rPr>
        <w:t> %</w:t>
      </w:r>
      <w:r w:rsidRPr="004C48B6">
        <w:rPr>
          <w:lang w:val="fr-CH"/>
        </w:rPr>
        <w:t xml:space="preserve"> du nombre total d</w:t>
      </w:r>
      <w:r w:rsidR="008E14FD">
        <w:rPr>
          <w:lang w:val="fr-CH"/>
        </w:rPr>
        <w:t>’</w:t>
      </w:r>
      <w:r w:rsidRPr="004C48B6">
        <w:rPr>
          <w:lang w:val="fr-CH"/>
        </w:rPr>
        <w:t>inscrits (73 333). Après avoir terminé le cycle d</w:t>
      </w:r>
      <w:r w:rsidR="008E14FD">
        <w:rPr>
          <w:lang w:val="fr-CH"/>
        </w:rPr>
        <w:t>’</w:t>
      </w:r>
      <w:r w:rsidRPr="004C48B6">
        <w:rPr>
          <w:lang w:val="fr-CH"/>
        </w:rPr>
        <w:t>enseignement général, 65 519 ont poursuivi leurs études dans un des établissements d</w:t>
      </w:r>
      <w:r w:rsidR="008E14FD">
        <w:rPr>
          <w:lang w:val="fr-CH"/>
        </w:rPr>
        <w:t>’</w:t>
      </w:r>
      <w:r w:rsidRPr="004C48B6">
        <w:rPr>
          <w:lang w:val="fr-CH"/>
        </w:rPr>
        <w:t>enseignement supérieur du pays, où elles représentaient 35</w:t>
      </w:r>
      <w:r w:rsidR="00365A31">
        <w:rPr>
          <w:lang w:val="fr-CH"/>
        </w:rPr>
        <w:t> %</w:t>
      </w:r>
      <w:r w:rsidRPr="004C48B6">
        <w:rPr>
          <w:lang w:val="fr-CH"/>
        </w:rPr>
        <w:t xml:space="preserve"> du nombre total d</w:t>
      </w:r>
      <w:r w:rsidR="008E14FD">
        <w:rPr>
          <w:lang w:val="fr-CH"/>
        </w:rPr>
        <w:t>’</w:t>
      </w:r>
      <w:r w:rsidRPr="004C48B6">
        <w:rPr>
          <w:lang w:val="fr-CH"/>
        </w:rPr>
        <w:t>étudiants (189 711). Ces filles provenaient pour l</w:t>
      </w:r>
      <w:r w:rsidR="008E14FD">
        <w:rPr>
          <w:lang w:val="fr-CH"/>
        </w:rPr>
        <w:t>’</w:t>
      </w:r>
      <w:r w:rsidRPr="004C48B6">
        <w:rPr>
          <w:lang w:val="fr-CH"/>
        </w:rPr>
        <w:t>essentiel de régions reculées du pays.</w:t>
      </w:r>
    </w:p>
    <w:p w14:paraId="31B7D52B" w14:textId="798D5577" w:rsidR="004C48B6" w:rsidRPr="004C48B6" w:rsidRDefault="004C48B6" w:rsidP="00746391">
      <w:pPr>
        <w:pStyle w:val="SingleTxt"/>
        <w:numPr>
          <w:ilvl w:val="0"/>
          <w:numId w:val="6"/>
        </w:numPr>
        <w:spacing w:line="240" w:lineRule="exact"/>
        <w:ind w:left="1267"/>
        <w:rPr>
          <w:lang w:val="fr-CH"/>
        </w:rPr>
      </w:pPr>
      <w:r w:rsidRPr="004C48B6">
        <w:rPr>
          <w:lang w:val="fr-CH"/>
        </w:rPr>
        <w:t>Afin d</w:t>
      </w:r>
      <w:r w:rsidR="008E14FD">
        <w:rPr>
          <w:lang w:val="fr-CH"/>
        </w:rPr>
        <w:t>’</w:t>
      </w:r>
      <w:r w:rsidRPr="004C48B6">
        <w:rPr>
          <w:lang w:val="fr-CH"/>
        </w:rPr>
        <w:t>inciter davantage de filles issues de régions reculées du pays à étudier et à entrer sur le marché du travail, le Président a mis en place un quota réservant chaque année à des filles une place dans un des établissement d</w:t>
      </w:r>
      <w:r w:rsidR="008E14FD">
        <w:rPr>
          <w:lang w:val="fr-CH"/>
        </w:rPr>
        <w:t>’</w:t>
      </w:r>
      <w:r w:rsidRPr="004C48B6">
        <w:rPr>
          <w:lang w:val="fr-CH"/>
        </w:rPr>
        <w:t>enseignement supérieur du pays. À l</w:t>
      </w:r>
      <w:r w:rsidR="008E14FD">
        <w:rPr>
          <w:lang w:val="fr-CH"/>
        </w:rPr>
        <w:t>’</w:t>
      </w:r>
      <w:r w:rsidRPr="004C48B6">
        <w:rPr>
          <w:lang w:val="fr-CH"/>
        </w:rPr>
        <w:t>heure actuelle, 3 218 filles venant de régions reculées du pays étudient dans des établissements d</w:t>
      </w:r>
      <w:r w:rsidR="008E14FD">
        <w:rPr>
          <w:lang w:val="fr-CH"/>
        </w:rPr>
        <w:t>’</w:t>
      </w:r>
      <w:r w:rsidRPr="004C48B6">
        <w:rPr>
          <w:lang w:val="fr-CH"/>
        </w:rPr>
        <w:t>enseignement supérieur du pays à la faveur de ce quota.</w:t>
      </w:r>
    </w:p>
    <w:p w14:paraId="7479A291" w14:textId="03D7CBF5" w:rsidR="004C48B6" w:rsidRPr="004C48B6" w:rsidRDefault="004C48B6" w:rsidP="00746391">
      <w:pPr>
        <w:pStyle w:val="SingleTxt"/>
        <w:numPr>
          <w:ilvl w:val="0"/>
          <w:numId w:val="6"/>
        </w:numPr>
        <w:spacing w:line="240" w:lineRule="exact"/>
        <w:ind w:left="1267"/>
        <w:rPr>
          <w:lang w:val="fr-CH"/>
        </w:rPr>
      </w:pPr>
      <w:r w:rsidRPr="004C48B6">
        <w:rPr>
          <w:lang w:val="fr-CH"/>
        </w:rPr>
        <w:t>Des cours d</w:t>
      </w:r>
      <w:r w:rsidR="008E14FD">
        <w:rPr>
          <w:lang w:val="fr-CH"/>
        </w:rPr>
        <w:t>’</w:t>
      </w:r>
      <w:r w:rsidRPr="004C48B6">
        <w:rPr>
          <w:lang w:val="fr-CH"/>
        </w:rPr>
        <w:t>enseignement général par correspondance ont été mis en place par le Ministère de l</w:t>
      </w:r>
      <w:r w:rsidR="008E14FD">
        <w:rPr>
          <w:lang w:val="fr-CH"/>
        </w:rPr>
        <w:t>’</w:t>
      </w:r>
      <w:r w:rsidRPr="004C48B6">
        <w:rPr>
          <w:lang w:val="fr-CH"/>
        </w:rPr>
        <w:t>éducation et des sciences. Ils sont suivis actuellement par 264 filles qui, pour une raison ou une autre, n</w:t>
      </w:r>
      <w:r w:rsidR="008E14FD">
        <w:rPr>
          <w:lang w:val="fr-CH"/>
        </w:rPr>
        <w:t>’</w:t>
      </w:r>
      <w:r w:rsidRPr="004C48B6">
        <w:rPr>
          <w:lang w:val="fr-CH"/>
        </w:rPr>
        <w:t>ont pas pu être scolarisées dans le secondaire.</w:t>
      </w:r>
    </w:p>
    <w:p w14:paraId="795E8D9B" w14:textId="28F6E975" w:rsidR="004C48B6" w:rsidRPr="004C48B6" w:rsidRDefault="004C48B6" w:rsidP="00746391">
      <w:pPr>
        <w:pStyle w:val="SingleTxt"/>
        <w:numPr>
          <w:ilvl w:val="0"/>
          <w:numId w:val="6"/>
        </w:numPr>
        <w:spacing w:line="240" w:lineRule="exact"/>
        <w:ind w:left="1267"/>
        <w:rPr>
          <w:lang w:val="fr-CH"/>
        </w:rPr>
      </w:pPr>
      <w:r w:rsidRPr="004C48B6">
        <w:rPr>
          <w:lang w:val="fr-CH"/>
        </w:rPr>
        <w:lastRenderedPageBreak/>
        <w:t>Au premier semestre de 2016, le réseau d</w:t>
      </w:r>
      <w:r w:rsidR="008E14FD">
        <w:rPr>
          <w:lang w:val="fr-CH"/>
        </w:rPr>
        <w:t>’</w:t>
      </w:r>
      <w:r w:rsidRPr="004C48B6">
        <w:rPr>
          <w:lang w:val="fr-CH"/>
        </w:rPr>
        <w:t>enseignement professionnel fondamental du pays était constitué de 61 établissements publics. Ces établissements forment des spécialistes dans 14 filières et 96 spécialités, pour le marché du travail tant intérieur qu</w:t>
      </w:r>
      <w:r w:rsidR="008E14FD">
        <w:rPr>
          <w:lang w:val="fr-CH"/>
        </w:rPr>
        <w:t>’</w:t>
      </w:r>
      <w:r w:rsidRPr="004C48B6">
        <w:rPr>
          <w:lang w:val="fr-CH"/>
        </w:rPr>
        <w:t>extérieur. À l</w:t>
      </w:r>
      <w:r w:rsidR="008E14FD">
        <w:rPr>
          <w:lang w:val="fr-CH"/>
        </w:rPr>
        <w:t>’</w:t>
      </w:r>
      <w:r w:rsidRPr="004C48B6">
        <w:rPr>
          <w:lang w:val="fr-CH"/>
        </w:rPr>
        <w:t>issue de l</w:t>
      </w:r>
      <w:r w:rsidR="008E14FD">
        <w:rPr>
          <w:lang w:val="fr-CH"/>
        </w:rPr>
        <w:t>’</w:t>
      </w:r>
      <w:r w:rsidRPr="004C48B6">
        <w:rPr>
          <w:lang w:val="fr-CH"/>
        </w:rPr>
        <w:t>année scolaire 2016-2017, 23 143 élèves ont été diplômés de ces établissements, dont 4 805 (20,7</w:t>
      </w:r>
      <w:r w:rsidR="00365A31">
        <w:rPr>
          <w:lang w:val="fr-CH"/>
        </w:rPr>
        <w:t> %</w:t>
      </w:r>
      <w:r w:rsidRPr="004C48B6">
        <w:rPr>
          <w:lang w:val="fr-CH"/>
        </w:rPr>
        <w:t>) étaient des femmes. Au premier semestre de 2017, 64 957 personnes étudiaient dans les établissements et centres d</w:t>
      </w:r>
      <w:r w:rsidR="008E14FD">
        <w:rPr>
          <w:lang w:val="fr-CH"/>
        </w:rPr>
        <w:t>’</w:t>
      </w:r>
      <w:r w:rsidRPr="004C48B6">
        <w:rPr>
          <w:lang w:val="fr-CH"/>
        </w:rPr>
        <w:t>enseignement du réseau d</w:t>
      </w:r>
      <w:r w:rsidR="008E14FD">
        <w:rPr>
          <w:lang w:val="fr-CH"/>
        </w:rPr>
        <w:t>’</w:t>
      </w:r>
      <w:r w:rsidRPr="004C48B6">
        <w:rPr>
          <w:lang w:val="fr-CH"/>
        </w:rPr>
        <w:t>enseignement professionnel fondamental du Ministère. Pendant cette même période, le Programme national d</w:t>
      </w:r>
      <w:r w:rsidR="008E14FD">
        <w:rPr>
          <w:lang w:val="fr-CH"/>
        </w:rPr>
        <w:t>’</w:t>
      </w:r>
      <w:r w:rsidRPr="004C48B6">
        <w:rPr>
          <w:lang w:val="fr-CH"/>
        </w:rPr>
        <w:t>aide à l</w:t>
      </w:r>
      <w:r w:rsidR="008E14FD">
        <w:rPr>
          <w:lang w:val="fr-CH"/>
        </w:rPr>
        <w:t>’</w:t>
      </w:r>
      <w:r w:rsidRPr="004C48B6">
        <w:rPr>
          <w:lang w:val="fr-CH"/>
        </w:rPr>
        <w:t>emploi pour la période 2016-2017 a permis d</w:t>
      </w:r>
      <w:r w:rsidR="008E14FD">
        <w:rPr>
          <w:lang w:val="fr-CH"/>
        </w:rPr>
        <w:t>’</w:t>
      </w:r>
      <w:r w:rsidRPr="004C48B6">
        <w:rPr>
          <w:lang w:val="fr-CH"/>
        </w:rPr>
        <w:t>offrir une formation professionnelle à 12 259 personnes, dont 9 265 femmes (75,6</w:t>
      </w:r>
      <w:r w:rsidR="00365A31">
        <w:rPr>
          <w:lang w:val="fr-CH"/>
        </w:rPr>
        <w:t> %</w:t>
      </w:r>
      <w:r w:rsidRPr="004C48B6">
        <w:rPr>
          <w:lang w:val="fr-CH"/>
        </w:rPr>
        <w:t>). En outre, 11 537 femmes étaient inscrites à des formations dans l</w:t>
      </w:r>
      <w:r w:rsidR="008E14FD">
        <w:rPr>
          <w:lang w:val="fr-CH"/>
        </w:rPr>
        <w:t>’</w:t>
      </w:r>
      <w:r w:rsidRPr="004C48B6">
        <w:rPr>
          <w:lang w:val="fr-CH"/>
        </w:rPr>
        <w:t>artisanat national.</w:t>
      </w:r>
    </w:p>
    <w:p w14:paraId="3B6B7A1B" w14:textId="54466327" w:rsidR="004C48B6" w:rsidRPr="004C48B6" w:rsidRDefault="004C48B6" w:rsidP="00746391">
      <w:pPr>
        <w:pStyle w:val="SingleTxt"/>
        <w:numPr>
          <w:ilvl w:val="0"/>
          <w:numId w:val="6"/>
        </w:numPr>
        <w:spacing w:line="240" w:lineRule="exact"/>
        <w:ind w:left="1267"/>
        <w:rPr>
          <w:lang w:val="fr-CH"/>
        </w:rPr>
      </w:pPr>
      <w:r w:rsidRPr="004C48B6">
        <w:rPr>
          <w:lang w:val="fr-CH"/>
        </w:rPr>
        <w:t>Des campagnes d</w:t>
      </w:r>
      <w:r w:rsidR="008E14FD">
        <w:rPr>
          <w:lang w:val="fr-CH"/>
        </w:rPr>
        <w:t>’</w:t>
      </w:r>
      <w:r w:rsidRPr="004C48B6">
        <w:rPr>
          <w:lang w:val="fr-CH"/>
        </w:rPr>
        <w:t>information et de sensibilisation sont régulièrement menées sur le terrain auprès de la population en collaboration avec des associations, d</w:t>
      </w:r>
      <w:r w:rsidRPr="004C48B6">
        <w:rPr>
          <w:lang w:val="fr-FR"/>
        </w:rPr>
        <w:t>es présidents de conseils d</w:t>
      </w:r>
      <w:r w:rsidR="008E14FD">
        <w:rPr>
          <w:lang w:val="fr-FR"/>
        </w:rPr>
        <w:t>’</w:t>
      </w:r>
      <w:r w:rsidRPr="004C48B6">
        <w:rPr>
          <w:lang w:val="fr-FR"/>
        </w:rPr>
        <w:t>arrondissement (makhallya), des femmes actives et des représentants du clergé concernant la responsabilité des hommes dans la famille, l</w:t>
      </w:r>
      <w:r w:rsidR="008E14FD">
        <w:rPr>
          <w:lang w:val="fr-FR"/>
        </w:rPr>
        <w:t>’</w:t>
      </w:r>
      <w:r w:rsidRPr="004C48B6">
        <w:rPr>
          <w:lang w:val="fr-FR"/>
        </w:rPr>
        <w:t>égalité entre les hommes et les femmes, la responsabilité des parents dans l</w:t>
      </w:r>
      <w:r w:rsidR="008E14FD">
        <w:rPr>
          <w:lang w:val="fr-FR"/>
        </w:rPr>
        <w:t>’</w:t>
      </w:r>
      <w:r w:rsidRPr="004C48B6">
        <w:rPr>
          <w:lang w:val="fr-FR"/>
        </w:rPr>
        <w:t xml:space="preserve">éducation des enfants </w:t>
      </w:r>
      <w:r w:rsidRPr="004C48B6">
        <w:rPr>
          <w:lang w:val="fr-CH"/>
        </w:rPr>
        <w:t>et la rétention scolaire des filles. Au premier semestre de 2017, le Ministère de l</w:t>
      </w:r>
      <w:r w:rsidR="008E14FD">
        <w:rPr>
          <w:lang w:val="fr-CH"/>
        </w:rPr>
        <w:t>’</w:t>
      </w:r>
      <w:r w:rsidRPr="004C48B6">
        <w:rPr>
          <w:lang w:val="fr-CH"/>
        </w:rPr>
        <w:t xml:space="preserve">éducation et des sciences et </w:t>
      </w:r>
      <w:r w:rsidR="00365A31">
        <w:rPr>
          <w:lang w:val="fr-CH"/>
        </w:rPr>
        <w:t>ses structures ont organisé 320 </w:t>
      </w:r>
      <w:r w:rsidRPr="004C48B6">
        <w:rPr>
          <w:lang w:val="fr-CH"/>
        </w:rPr>
        <w:t>rencontres sur des thèmes d</w:t>
      </w:r>
      <w:r w:rsidR="008E14FD">
        <w:rPr>
          <w:lang w:val="fr-CH"/>
        </w:rPr>
        <w:t>’</w:t>
      </w:r>
      <w:r w:rsidRPr="004C48B6">
        <w:rPr>
          <w:lang w:val="fr-CH"/>
        </w:rPr>
        <w:t>actualité, auxquelles ont participé 30 830 personnes.</w:t>
      </w:r>
    </w:p>
    <w:p w14:paraId="25382EF5" w14:textId="16494863" w:rsidR="004C48B6" w:rsidRPr="004C48B6" w:rsidRDefault="004C48B6" w:rsidP="00746391">
      <w:pPr>
        <w:pStyle w:val="SingleTxt"/>
        <w:numPr>
          <w:ilvl w:val="0"/>
          <w:numId w:val="6"/>
        </w:numPr>
        <w:spacing w:line="240" w:lineRule="exact"/>
        <w:ind w:left="1267"/>
        <w:rPr>
          <w:lang w:val="fr-CH"/>
        </w:rPr>
      </w:pPr>
      <w:r w:rsidRPr="004C48B6">
        <w:rPr>
          <w:lang w:val="fr-CH"/>
        </w:rPr>
        <w:t>L</w:t>
      </w:r>
      <w:r w:rsidR="008E14FD">
        <w:rPr>
          <w:lang w:val="fr-CH"/>
        </w:rPr>
        <w:t>’</w:t>
      </w:r>
      <w:r w:rsidRPr="004C48B6">
        <w:rPr>
          <w:lang w:val="fr-CH"/>
        </w:rPr>
        <w:t>Académie de l</w:t>
      </w:r>
      <w:r w:rsidR="008E14FD">
        <w:rPr>
          <w:lang w:val="fr-CH"/>
        </w:rPr>
        <w:t>’</w:t>
      </w:r>
      <w:r w:rsidRPr="004C48B6">
        <w:rPr>
          <w:lang w:val="fr-CH"/>
        </w:rPr>
        <w:t>éducation a ouvert un Centre pédagogique spécialisé dans la problématique hommes-femmes, dont la mission principale est de contribuer à promouvoir les concepts liés à l</w:t>
      </w:r>
      <w:r w:rsidR="008E14FD">
        <w:rPr>
          <w:lang w:val="fr-CH"/>
        </w:rPr>
        <w:t>’</w:t>
      </w:r>
      <w:r w:rsidRPr="004C48B6">
        <w:rPr>
          <w:lang w:val="fr-CH"/>
        </w:rPr>
        <w:t>égalité des sexes à tous les niveaux de l</w:t>
      </w:r>
      <w:r w:rsidR="008E14FD">
        <w:rPr>
          <w:lang w:val="fr-CH"/>
        </w:rPr>
        <w:t>’</w:t>
      </w:r>
      <w:r w:rsidRPr="004C48B6">
        <w:rPr>
          <w:lang w:val="fr-CH"/>
        </w:rPr>
        <w:t>enseignement, dès l</w:t>
      </w:r>
      <w:r w:rsidR="008E14FD">
        <w:rPr>
          <w:lang w:val="fr-CH"/>
        </w:rPr>
        <w:t>’</w:t>
      </w:r>
      <w:r w:rsidRPr="004C48B6">
        <w:rPr>
          <w:lang w:val="fr-CH"/>
        </w:rPr>
        <w:t>enseignement préscolaire. Ce centre offre la possibilité d</w:t>
      </w:r>
      <w:r w:rsidR="008E14FD">
        <w:rPr>
          <w:lang w:val="fr-CH"/>
        </w:rPr>
        <w:t>’</w:t>
      </w:r>
      <w:r w:rsidRPr="004C48B6">
        <w:rPr>
          <w:lang w:val="fr-CH"/>
        </w:rPr>
        <w:t>analyser, de mieux comprendre et d</w:t>
      </w:r>
      <w:r w:rsidR="008E14FD">
        <w:rPr>
          <w:lang w:val="fr-CH"/>
        </w:rPr>
        <w:t>’</w:t>
      </w:r>
      <w:r w:rsidRPr="004C48B6">
        <w:rPr>
          <w:lang w:val="fr-CH"/>
        </w:rPr>
        <w:t>établir les principaux concepts et approches de la problématique hommes-femmes, et de les adapter au contexte historique et culturel du pays.</w:t>
      </w:r>
      <w:r w:rsidR="008E14FD">
        <w:rPr>
          <w:lang w:val="fr-CH"/>
        </w:rPr>
        <w:t xml:space="preserve"> </w:t>
      </w:r>
    </w:p>
    <w:p w14:paraId="776E3BFA" w14:textId="60A18FA1" w:rsidR="004C48B6" w:rsidRPr="004C48B6" w:rsidRDefault="004C48B6" w:rsidP="00746391">
      <w:pPr>
        <w:pStyle w:val="SingleTxt"/>
        <w:numPr>
          <w:ilvl w:val="0"/>
          <w:numId w:val="6"/>
        </w:numPr>
        <w:spacing w:line="240" w:lineRule="exact"/>
        <w:ind w:left="1267"/>
        <w:rPr>
          <w:lang w:val="fr-CH"/>
        </w:rPr>
      </w:pPr>
      <w:r w:rsidRPr="004C48B6">
        <w:rPr>
          <w:lang w:val="fr-CH"/>
        </w:rPr>
        <w:t>Dans le cadre de la réforme du système d</w:t>
      </w:r>
      <w:r w:rsidR="008E14FD">
        <w:rPr>
          <w:lang w:val="fr-CH"/>
        </w:rPr>
        <w:t>’</w:t>
      </w:r>
      <w:r w:rsidRPr="004C48B6">
        <w:rPr>
          <w:lang w:val="fr-CH"/>
        </w:rPr>
        <w:t>enseignement professionnel fondamental et de formation des adultes et de la modernisation du matériel technique des établissements d</w:t>
      </w:r>
      <w:r w:rsidR="008E14FD">
        <w:rPr>
          <w:lang w:val="fr-CH"/>
        </w:rPr>
        <w:t>’</w:t>
      </w:r>
      <w:r w:rsidRPr="004C48B6">
        <w:rPr>
          <w:lang w:val="fr-CH"/>
        </w:rPr>
        <w:t>enseignement, un projet de renforcement de l</w:t>
      </w:r>
      <w:r w:rsidR="008E14FD">
        <w:rPr>
          <w:lang w:val="fr-CH"/>
        </w:rPr>
        <w:t>’</w:t>
      </w:r>
      <w:r w:rsidRPr="004C48B6">
        <w:rPr>
          <w:lang w:val="fr-CH"/>
        </w:rPr>
        <w:t>enseignement et de l</w:t>
      </w:r>
      <w:r w:rsidR="008E14FD">
        <w:rPr>
          <w:lang w:val="fr-CH"/>
        </w:rPr>
        <w:t>’</w:t>
      </w:r>
      <w:r w:rsidRPr="004C48B6">
        <w:rPr>
          <w:lang w:val="fr-CH"/>
        </w:rPr>
        <w:t>apprentissage professionnels a été mis en place en collaboration avec la Banque asiatique de développement. Ce projet consistera à modifier les programmes pédagogiques des établissements d</w:t>
      </w:r>
      <w:r w:rsidR="008E14FD">
        <w:rPr>
          <w:lang w:val="fr-CH"/>
        </w:rPr>
        <w:t>’</w:t>
      </w:r>
      <w:r w:rsidRPr="004C48B6">
        <w:rPr>
          <w:lang w:val="fr-CH"/>
        </w:rPr>
        <w:t>enseignement professionnel fondamental et de formation des adultes en tenant compte de la problématique hommes-femmes. Il est également prévu d</w:t>
      </w:r>
      <w:r w:rsidR="008E14FD">
        <w:rPr>
          <w:lang w:val="fr-CH"/>
        </w:rPr>
        <w:t>’</w:t>
      </w:r>
      <w:r w:rsidRPr="004C48B6">
        <w:rPr>
          <w:lang w:val="fr-CH"/>
        </w:rPr>
        <w:t>élaborer de nouveaux programmes dans des filières traditionnellement réservées aux garçons (spécialités techniques dans le système d</w:t>
      </w:r>
      <w:r w:rsidR="008E14FD">
        <w:rPr>
          <w:lang w:val="fr-CH"/>
        </w:rPr>
        <w:t>’</w:t>
      </w:r>
      <w:r w:rsidRPr="004C48B6">
        <w:rPr>
          <w:lang w:val="fr-CH"/>
        </w:rPr>
        <w:t>enseignement professionnel fondamental et de formation des adultes).</w:t>
      </w:r>
    </w:p>
    <w:p w14:paraId="5AFFD0E4" w14:textId="3D9B05CE" w:rsidR="004C48B6" w:rsidRPr="004C48B6" w:rsidRDefault="004C48B6" w:rsidP="00746391">
      <w:pPr>
        <w:pStyle w:val="SingleTxt"/>
        <w:numPr>
          <w:ilvl w:val="0"/>
          <w:numId w:val="6"/>
        </w:numPr>
        <w:spacing w:line="240" w:lineRule="exact"/>
        <w:ind w:left="1267"/>
        <w:rPr>
          <w:lang w:val="fr-CH"/>
        </w:rPr>
      </w:pPr>
      <w:r w:rsidRPr="004C48B6">
        <w:rPr>
          <w:lang w:val="fr-CH"/>
        </w:rPr>
        <w:t>L</w:t>
      </w:r>
      <w:r w:rsidR="008E14FD">
        <w:rPr>
          <w:lang w:val="fr-CH"/>
        </w:rPr>
        <w:t>’</w:t>
      </w:r>
      <w:r w:rsidRPr="004C48B6">
        <w:rPr>
          <w:lang w:val="fr-CH"/>
        </w:rPr>
        <w:t>aide aux jeunes femmes actives et compétentes est l</w:t>
      </w:r>
      <w:r w:rsidR="008E14FD">
        <w:rPr>
          <w:lang w:val="fr-CH"/>
        </w:rPr>
        <w:t>’</w:t>
      </w:r>
      <w:r w:rsidRPr="004C48B6">
        <w:rPr>
          <w:lang w:val="fr-CH"/>
        </w:rPr>
        <w:t>une des orientations prioritaires. Le Centre de renforcement des compétences et de formation continue des fonctionnaires travaillant dans le domaine du travail, des migrations et de l</w:t>
      </w:r>
      <w:r w:rsidR="008E14FD">
        <w:rPr>
          <w:lang w:val="fr-CH"/>
        </w:rPr>
        <w:t>’</w:t>
      </w:r>
      <w:r w:rsidRPr="004C48B6">
        <w:rPr>
          <w:lang w:val="fr-CH"/>
        </w:rPr>
        <w:t>emploi offre aux employées du Ministère de l</w:t>
      </w:r>
      <w:r w:rsidR="008E14FD">
        <w:rPr>
          <w:lang w:val="fr-CH"/>
        </w:rPr>
        <w:t>’</w:t>
      </w:r>
      <w:r w:rsidRPr="004C48B6">
        <w:rPr>
          <w:lang w:val="fr-CH"/>
        </w:rPr>
        <w:t>éducation et des sciences des formations destinées à renforcer leurs compétences, notamment sur le thème des femmes dirigeantes. De début 2015 à la fin du premier semestre de 2017, le Centre a dispensé 86 formations, auxquelles ont participé plus de 1 500 personnes, dont 532 femmes (35</w:t>
      </w:r>
      <w:r w:rsidR="00365A31">
        <w:rPr>
          <w:lang w:val="fr-CH"/>
        </w:rPr>
        <w:t> %</w:t>
      </w:r>
      <w:r w:rsidRPr="004C48B6">
        <w:rPr>
          <w:lang w:val="fr-CH"/>
        </w:rPr>
        <w:t>).</w:t>
      </w:r>
    </w:p>
    <w:p w14:paraId="22FDAA66" w14:textId="45C2CD2B" w:rsidR="004C48B6" w:rsidRPr="004C48B6" w:rsidRDefault="004C48B6" w:rsidP="00746391">
      <w:pPr>
        <w:pStyle w:val="SingleTxt"/>
        <w:numPr>
          <w:ilvl w:val="0"/>
          <w:numId w:val="6"/>
        </w:numPr>
        <w:spacing w:line="240" w:lineRule="exact"/>
        <w:ind w:left="1267"/>
        <w:rPr>
          <w:lang w:val="fr-CH"/>
        </w:rPr>
      </w:pPr>
      <w:r w:rsidRPr="004C48B6">
        <w:rPr>
          <w:lang w:val="fr-CH"/>
        </w:rPr>
        <w:t>D</w:t>
      </w:r>
      <w:r w:rsidR="008E14FD">
        <w:rPr>
          <w:lang w:val="fr-CH"/>
        </w:rPr>
        <w:t>’</w:t>
      </w:r>
      <w:r w:rsidRPr="004C48B6">
        <w:rPr>
          <w:lang w:val="fr-CH"/>
        </w:rPr>
        <w:t>après les statistiques, durant l</w:t>
      </w:r>
      <w:r w:rsidR="008E14FD">
        <w:rPr>
          <w:lang w:val="fr-CH"/>
        </w:rPr>
        <w:t>’</w:t>
      </w:r>
      <w:r w:rsidRPr="004C48B6">
        <w:rPr>
          <w:lang w:val="fr-CH"/>
        </w:rPr>
        <w:t>année scolaire 2014-2015, le nombre de jeunes femmes inscrites dans des établissements d</w:t>
      </w:r>
      <w:r w:rsidR="008E14FD">
        <w:rPr>
          <w:lang w:val="fr-CH"/>
        </w:rPr>
        <w:t>’</w:t>
      </w:r>
      <w:r w:rsidRPr="004C48B6">
        <w:rPr>
          <w:lang w:val="fr-CH"/>
        </w:rPr>
        <w:t>enseignement professionnel supérieur s</w:t>
      </w:r>
      <w:r w:rsidR="008E14FD">
        <w:rPr>
          <w:lang w:val="fr-CH"/>
        </w:rPr>
        <w:t>’</w:t>
      </w:r>
      <w:r w:rsidRPr="004C48B6">
        <w:rPr>
          <w:lang w:val="fr-CH"/>
        </w:rPr>
        <w:t>élevait à 11 097, ce qui représentait 31,3</w:t>
      </w:r>
      <w:r w:rsidR="00365A31">
        <w:rPr>
          <w:lang w:val="fr-CH"/>
        </w:rPr>
        <w:t> %</w:t>
      </w:r>
      <w:r w:rsidRPr="004C48B6">
        <w:rPr>
          <w:lang w:val="fr-CH"/>
        </w:rPr>
        <w:t xml:space="preserve"> des étudiants. Ce chiffre est passé à 12 751 (32,9</w:t>
      </w:r>
      <w:r w:rsidR="00365A31">
        <w:rPr>
          <w:lang w:val="fr-CH"/>
        </w:rPr>
        <w:t> %</w:t>
      </w:r>
      <w:r w:rsidRPr="004C48B6">
        <w:rPr>
          <w:lang w:val="fr-CH"/>
        </w:rPr>
        <w:t>) en</w:t>
      </w:r>
      <w:r w:rsidR="008E14FD">
        <w:rPr>
          <w:lang w:val="fr-CH"/>
        </w:rPr>
        <w:t xml:space="preserve"> </w:t>
      </w:r>
      <w:r w:rsidRPr="004C48B6">
        <w:rPr>
          <w:lang w:val="fr-CH"/>
        </w:rPr>
        <w:t>2015-2016 et à 16 120 (33,5%) en 2016-2017, ce qui témoigne de l</w:t>
      </w:r>
      <w:r w:rsidR="008E14FD">
        <w:rPr>
          <w:lang w:val="fr-CH"/>
        </w:rPr>
        <w:t>’</w:t>
      </w:r>
      <w:r w:rsidRPr="004C48B6">
        <w:rPr>
          <w:lang w:val="fr-CH"/>
        </w:rPr>
        <w:t xml:space="preserve">intérêt croissant des femmes pour les formations professionnelles supérieures. Les </w:t>
      </w:r>
      <w:r w:rsidRPr="004C48B6">
        <w:rPr>
          <w:lang w:val="fr-CH"/>
        </w:rPr>
        <w:lastRenderedPageBreak/>
        <w:t>établissements d</w:t>
      </w:r>
      <w:r w:rsidR="008E14FD">
        <w:rPr>
          <w:lang w:val="fr-CH"/>
        </w:rPr>
        <w:t>’</w:t>
      </w:r>
      <w:r w:rsidRPr="004C48B6">
        <w:rPr>
          <w:lang w:val="fr-CH"/>
        </w:rPr>
        <w:t>enseignement professionnel supérieur accueillent actuellement 221</w:t>
      </w:r>
      <w:r w:rsidR="00365A31">
        <w:rPr>
          <w:lang w:val="fr-CH"/>
        </w:rPr>
        <w:t> </w:t>
      </w:r>
      <w:r w:rsidRPr="004C48B6">
        <w:rPr>
          <w:lang w:val="fr-CH"/>
        </w:rPr>
        <w:t>femmes (25,6</w:t>
      </w:r>
      <w:r w:rsidR="00365A31">
        <w:rPr>
          <w:lang w:val="fr-CH"/>
        </w:rPr>
        <w:t> %</w:t>
      </w:r>
      <w:r w:rsidRPr="004C48B6">
        <w:rPr>
          <w:lang w:val="fr-CH"/>
        </w:rPr>
        <w:t>) dans les filières spécialisées en mathématiques, 56 (22,5</w:t>
      </w:r>
      <w:r w:rsidR="00365A31">
        <w:rPr>
          <w:lang w:val="fr-CH"/>
        </w:rPr>
        <w:t> %</w:t>
      </w:r>
      <w:r w:rsidRPr="004C48B6">
        <w:rPr>
          <w:lang w:val="fr-CH"/>
        </w:rPr>
        <w:t>) en informatique, 673 (60,8%) en sciences naturelles, et 2731 (11,5</w:t>
      </w:r>
      <w:r w:rsidR="00365A31">
        <w:rPr>
          <w:lang w:val="fr-CH"/>
        </w:rPr>
        <w:t> %</w:t>
      </w:r>
      <w:r w:rsidRPr="004C48B6">
        <w:rPr>
          <w:lang w:val="fr-CH"/>
        </w:rPr>
        <w:t>) en technique et technologie. L</w:t>
      </w:r>
      <w:r w:rsidR="008E14FD">
        <w:rPr>
          <w:lang w:val="fr-CH"/>
        </w:rPr>
        <w:t>’</w:t>
      </w:r>
      <w:r w:rsidRPr="004C48B6">
        <w:rPr>
          <w:lang w:val="fr-CH"/>
        </w:rPr>
        <w:t>analyse de ces données montre que le nombre de femmes étudiant dans ces filières est en augmentation.</w:t>
      </w:r>
    </w:p>
    <w:p w14:paraId="787ED049" w14:textId="4F8D202A" w:rsidR="004C48B6" w:rsidRPr="004C48B6" w:rsidRDefault="004C48B6" w:rsidP="00746391">
      <w:pPr>
        <w:pStyle w:val="SingleTxt"/>
        <w:numPr>
          <w:ilvl w:val="0"/>
          <w:numId w:val="6"/>
        </w:numPr>
        <w:spacing w:line="240" w:lineRule="exact"/>
        <w:ind w:left="1267"/>
        <w:rPr>
          <w:lang w:val="fr-CH"/>
        </w:rPr>
      </w:pPr>
      <w:r w:rsidRPr="004C48B6">
        <w:rPr>
          <w:lang w:val="fr-CH"/>
        </w:rPr>
        <w:t>Les établissements d</w:t>
      </w:r>
      <w:r w:rsidR="008E14FD">
        <w:rPr>
          <w:lang w:val="fr-CH"/>
        </w:rPr>
        <w:t>’</w:t>
      </w:r>
      <w:r w:rsidRPr="004C48B6">
        <w:rPr>
          <w:lang w:val="fr-CH"/>
        </w:rPr>
        <w:t>enseignement professionnel intermédiaire accueillent actuellement 363 femmes suivant des études spécialisées pour devenir professeurs de mathématiques et d</w:t>
      </w:r>
      <w:r w:rsidR="008E14FD">
        <w:rPr>
          <w:lang w:val="fr-CH"/>
        </w:rPr>
        <w:t>’</w:t>
      </w:r>
      <w:r w:rsidRPr="004C48B6">
        <w:rPr>
          <w:lang w:val="fr-CH"/>
        </w:rPr>
        <w:t>informatique.</w:t>
      </w:r>
    </w:p>
    <w:p w14:paraId="34097A6E" w14:textId="5215FD8B" w:rsidR="004C48B6" w:rsidRPr="004C48B6" w:rsidRDefault="004C48B6" w:rsidP="00746391">
      <w:pPr>
        <w:pStyle w:val="SingleTxt"/>
        <w:numPr>
          <w:ilvl w:val="0"/>
          <w:numId w:val="6"/>
        </w:numPr>
        <w:spacing w:line="240" w:lineRule="exact"/>
        <w:ind w:left="1267"/>
        <w:rPr>
          <w:lang w:val="fr-CH"/>
        </w:rPr>
      </w:pPr>
      <w:r w:rsidRPr="004C48B6">
        <w:rPr>
          <w:lang w:val="fr-CH"/>
        </w:rPr>
        <w:t>Le tableau ci-après présente un bref récapitulatif du nombre de cadres que comptent actuellement le Ministère de l</w:t>
      </w:r>
      <w:r w:rsidR="008E14FD">
        <w:rPr>
          <w:lang w:val="fr-CH"/>
        </w:rPr>
        <w:t>’</w:t>
      </w:r>
      <w:r w:rsidRPr="004C48B6">
        <w:rPr>
          <w:lang w:val="fr-CH"/>
        </w:rPr>
        <w:t xml:space="preserve">éducation et des sciences et de ses départements. </w:t>
      </w:r>
    </w:p>
    <w:p w14:paraId="7F8A44C1" w14:textId="2125CDCF" w:rsidR="004C48B6" w:rsidRPr="00197067" w:rsidRDefault="004C48B6" w:rsidP="00197067">
      <w:pPr>
        <w:pStyle w:val="SingleTxt"/>
        <w:spacing w:after="0" w:line="120" w:lineRule="exact"/>
        <w:rPr>
          <w:sz w:val="10"/>
          <w:lang w:val="fr-CH"/>
        </w:rPr>
      </w:pPr>
    </w:p>
    <w:tbl>
      <w:tblPr>
        <w:tblW w:w="0" w:type="auto"/>
        <w:tblInd w:w="1260" w:type="dxa"/>
        <w:tblLayout w:type="fixed"/>
        <w:tblCellMar>
          <w:left w:w="0" w:type="dxa"/>
          <w:right w:w="0" w:type="dxa"/>
        </w:tblCellMar>
        <w:tblLook w:val="04A0" w:firstRow="1" w:lastRow="0" w:firstColumn="1" w:lastColumn="0" w:noHBand="0" w:noVBand="1"/>
      </w:tblPr>
      <w:tblGrid>
        <w:gridCol w:w="450"/>
        <w:gridCol w:w="4860"/>
        <w:gridCol w:w="1005"/>
        <w:gridCol w:w="1005"/>
      </w:tblGrid>
      <w:tr w:rsidR="00F9014D" w:rsidRPr="00110E43" w14:paraId="24B8758A" w14:textId="77777777" w:rsidTr="00A81ADA">
        <w:trPr>
          <w:cantSplit/>
          <w:tblHeader/>
        </w:trPr>
        <w:tc>
          <w:tcPr>
            <w:tcW w:w="450" w:type="dxa"/>
            <w:tcBorders>
              <w:top w:val="single" w:sz="4" w:space="0" w:color="auto"/>
              <w:bottom w:val="single" w:sz="12" w:space="0" w:color="auto"/>
            </w:tcBorders>
            <w:shd w:val="clear" w:color="auto" w:fill="auto"/>
            <w:vAlign w:val="bottom"/>
          </w:tcPr>
          <w:p w14:paraId="69340F9B" w14:textId="77777777" w:rsidR="004C48B6" w:rsidRPr="00110E43" w:rsidRDefault="004C48B6" w:rsidP="00110E43">
            <w:pPr>
              <w:rPr>
                <w:i/>
                <w:iCs/>
                <w:w w:val="100"/>
                <w:sz w:val="14"/>
                <w:szCs w:val="14"/>
                <w:lang w:val="fr-CH"/>
              </w:rPr>
            </w:pPr>
            <w:r w:rsidRPr="00110E43">
              <w:rPr>
                <w:i/>
                <w:iCs/>
                <w:w w:val="100"/>
                <w:sz w:val="14"/>
                <w:szCs w:val="14"/>
                <w:lang w:val="fr-CH"/>
              </w:rPr>
              <w:t>N</w:t>
            </w:r>
            <w:r w:rsidRPr="00110E43">
              <w:rPr>
                <w:i/>
                <w:iCs/>
                <w:w w:val="100"/>
                <w:sz w:val="14"/>
                <w:szCs w:val="14"/>
                <w:vertAlign w:val="superscript"/>
                <w:lang w:val="fr-CH"/>
              </w:rPr>
              <w:t>o</w:t>
            </w:r>
          </w:p>
        </w:tc>
        <w:tc>
          <w:tcPr>
            <w:tcW w:w="4860" w:type="dxa"/>
            <w:tcBorders>
              <w:top w:val="single" w:sz="4" w:space="0" w:color="auto"/>
              <w:bottom w:val="single" w:sz="12" w:space="0" w:color="auto"/>
            </w:tcBorders>
            <w:shd w:val="clear" w:color="auto" w:fill="auto"/>
            <w:vAlign w:val="bottom"/>
          </w:tcPr>
          <w:p w14:paraId="0D47ACEA" w14:textId="77777777" w:rsidR="004C48B6" w:rsidRPr="00110E43" w:rsidRDefault="004C48B6" w:rsidP="00110E43">
            <w:pPr>
              <w:rPr>
                <w:i/>
                <w:iCs/>
                <w:w w:val="100"/>
                <w:sz w:val="14"/>
                <w:szCs w:val="14"/>
                <w:lang w:val="fr-CH"/>
              </w:rPr>
            </w:pPr>
            <w:r w:rsidRPr="00110E43">
              <w:rPr>
                <w:i/>
                <w:iCs/>
                <w:w w:val="100"/>
                <w:sz w:val="14"/>
                <w:szCs w:val="14"/>
                <w:lang w:val="ru-RU"/>
              </w:rPr>
              <w:t>Désignation</w:t>
            </w:r>
          </w:p>
        </w:tc>
        <w:tc>
          <w:tcPr>
            <w:tcW w:w="1005" w:type="dxa"/>
            <w:tcBorders>
              <w:top w:val="single" w:sz="4" w:space="0" w:color="auto"/>
              <w:bottom w:val="single" w:sz="12" w:space="0" w:color="auto"/>
            </w:tcBorders>
            <w:shd w:val="clear" w:color="auto" w:fill="auto"/>
          </w:tcPr>
          <w:p w14:paraId="11C14D4D" w14:textId="77777777" w:rsidR="004C48B6" w:rsidRPr="00110E43" w:rsidRDefault="004C48B6" w:rsidP="00767A80">
            <w:pPr>
              <w:jc w:val="right"/>
              <w:rPr>
                <w:i/>
                <w:iCs/>
                <w:w w:val="100"/>
                <w:sz w:val="14"/>
                <w:szCs w:val="14"/>
                <w:lang w:val="fr-CH"/>
              </w:rPr>
            </w:pPr>
            <w:r w:rsidRPr="00110E43">
              <w:rPr>
                <w:i/>
                <w:iCs/>
                <w:w w:val="100"/>
                <w:sz w:val="14"/>
                <w:szCs w:val="14"/>
                <w:lang w:val="fr-CH"/>
              </w:rPr>
              <w:t>Total</w:t>
            </w:r>
          </w:p>
        </w:tc>
        <w:tc>
          <w:tcPr>
            <w:tcW w:w="1005" w:type="dxa"/>
            <w:tcBorders>
              <w:top w:val="single" w:sz="4" w:space="0" w:color="auto"/>
              <w:bottom w:val="single" w:sz="12" w:space="0" w:color="auto"/>
            </w:tcBorders>
            <w:shd w:val="clear" w:color="auto" w:fill="auto"/>
          </w:tcPr>
          <w:p w14:paraId="3FBF309B" w14:textId="77777777" w:rsidR="004C48B6" w:rsidRPr="00110E43" w:rsidRDefault="004C48B6" w:rsidP="00767A80">
            <w:pPr>
              <w:jc w:val="right"/>
              <w:rPr>
                <w:i/>
                <w:iCs/>
                <w:w w:val="100"/>
                <w:sz w:val="14"/>
                <w:szCs w:val="14"/>
                <w:lang w:val="fr-CH"/>
              </w:rPr>
            </w:pPr>
            <w:r w:rsidRPr="00110E43">
              <w:rPr>
                <w:i/>
                <w:iCs/>
                <w:w w:val="100"/>
                <w:sz w:val="14"/>
                <w:szCs w:val="14"/>
                <w:lang w:val="fr-CH"/>
              </w:rPr>
              <w:t>Femmes</w:t>
            </w:r>
          </w:p>
        </w:tc>
      </w:tr>
      <w:tr w:rsidR="00197067" w:rsidRPr="00197067" w14:paraId="068BD5CA" w14:textId="77777777" w:rsidTr="00A81ADA">
        <w:trPr>
          <w:cantSplit/>
          <w:trHeight w:hRule="exact" w:val="115"/>
          <w:tblHeader/>
        </w:trPr>
        <w:tc>
          <w:tcPr>
            <w:tcW w:w="450" w:type="dxa"/>
            <w:tcBorders>
              <w:top w:val="single" w:sz="12" w:space="0" w:color="auto"/>
            </w:tcBorders>
            <w:shd w:val="clear" w:color="auto" w:fill="auto"/>
            <w:vAlign w:val="bottom"/>
          </w:tcPr>
          <w:p w14:paraId="4098DA4B" w14:textId="77777777" w:rsidR="00197067" w:rsidRPr="00197067" w:rsidRDefault="00197067" w:rsidP="00197067">
            <w:pPr>
              <w:suppressAutoHyphens/>
              <w:spacing w:before="40" w:after="40" w:line="210" w:lineRule="exact"/>
              <w:ind w:right="40"/>
              <w:rPr>
                <w:rFonts w:eastAsia="Times New Roman"/>
                <w:spacing w:val="0"/>
                <w:w w:val="100"/>
                <w:kern w:val="0"/>
                <w:sz w:val="17"/>
                <w:szCs w:val="20"/>
                <w:lang w:val="ru-RU"/>
              </w:rPr>
            </w:pPr>
          </w:p>
        </w:tc>
        <w:tc>
          <w:tcPr>
            <w:tcW w:w="4860" w:type="dxa"/>
            <w:tcBorders>
              <w:top w:val="single" w:sz="12" w:space="0" w:color="auto"/>
            </w:tcBorders>
            <w:shd w:val="clear" w:color="auto" w:fill="auto"/>
            <w:vAlign w:val="bottom"/>
          </w:tcPr>
          <w:p w14:paraId="42FB47E3" w14:textId="77777777" w:rsidR="00197067" w:rsidRPr="00197067" w:rsidRDefault="00197067" w:rsidP="00197067">
            <w:pPr>
              <w:suppressAutoHyphens/>
              <w:spacing w:before="40" w:after="40" w:line="210" w:lineRule="exact"/>
              <w:ind w:left="144" w:right="43"/>
              <w:rPr>
                <w:rFonts w:eastAsia="Times New Roman"/>
                <w:spacing w:val="0"/>
                <w:w w:val="100"/>
                <w:kern w:val="0"/>
                <w:sz w:val="17"/>
                <w:szCs w:val="20"/>
                <w:lang w:val="fr-CH"/>
              </w:rPr>
            </w:pPr>
          </w:p>
        </w:tc>
        <w:tc>
          <w:tcPr>
            <w:tcW w:w="1005" w:type="dxa"/>
            <w:tcBorders>
              <w:top w:val="single" w:sz="12" w:space="0" w:color="auto"/>
            </w:tcBorders>
            <w:shd w:val="clear" w:color="auto" w:fill="auto"/>
            <w:vAlign w:val="bottom"/>
          </w:tcPr>
          <w:p w14:paraId="3D01A4BC" w14:textId="77777777" w:rsidR="00197067" w:rsidRPr="00197067" w:rsidRDefault="00197067" w:rsidP="00197067">
            <w:pPr>
              <w:suppressAutoHyphens/>
              <w:spacing w:before="40" w:after="40" w:line="210" w:lineRule="exact"/>
              <w:ind w:left="144" w:right="43"/>
              <w:jc w:val="right"/>
              <w:rPr>
                <w:rFonts w:eastAsia="Times New Roman"/>
                <w:spacing w:val="0"/>
                <w:w w:val="100"/>
                <w:kern w:val="0"/>
                <w:sz w:val="17"/>
                <w:szCs w:val="20"/>
                <w:lang w:val="ru-RU"/>
              </w:rPr>
            </w:pPr>
          </w:p>
        </w:tc>
        <w:tc>
          <w:tcPr>
            <w:tcW w:w="1005" w:type="dxa"/>
            <w:tcBorders>
              <w:top w:val="single" w:sz="12" w:space="0" w:color="auto"/>
            </w:tcBorders>
            <w:shd w:val="clear" w:color="auto" w:fill="auto"/>
            <w:vAlign w:val="bottom"/>
          </w:tcPr>
          <w:p w14:paraId="03198EE7" w14:textId="77777777" w:rsidR="00197067" w:rsidRPr="00197067" w:rsidRDefault="00197067" w:rsidP="00197067">
            <w:pPr>
              <w:suppressAutoHyphens/>
              <w:spacing w:before="40" w:after="40" w:line="210" w:lineRule="exact"/>
              <w:ind w:left="144" w:right="43"/>
              <w:jc w:val="right"/>
              <w:rPr>
                <w:rFonts w:eastAsia="Times New Roman"/>
                <w:spacing w:val="0"/>
                <w:w w:val="100"/>
                <w:kern w:val="0"/>
                <w:sz w:val="17"/>
                <w:szCs w:val="20"/>
                <w:lang w:val="ru-RU"/>
              </w:rPr>
            </w:pPr>
          </w:p>
        </w:tc>
      </w:tr>
      <w:tr w:rsidR="00F9014D" w:rsidRPr="00452A6A" w14:paraId="2F293D6E" w14:textId="77777777" w:rsidTr="00A81ADA">
        <w:trPr>
          <w:cantSplit/>
        </w:trPr>
        <w:tc>
          <w:tcPr>
            <w:tcW w:w="450" w:type="dxa"/>
            <w:shd w:val="clear" w:color="auto" w:fill="auto"/>
            <w:vAlign w:val="bottom"/>
          </w:tcPr>
          <w:p w14:paraId="5381F0B2"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rPr>
                <w:rFonts w:eastAsia="Times New Roman"/>
                <w:spacing w:val="0"/>
                <w:w w:val="100"/>
                <w:kern w:val="0"/>
                <w:sz w:val="17"/>
                <w:szCs w:val="17"/>
                <w:lang w:val="ru-RU"/>
              </w:rPr>
            </w:pPr>
            <w:r w:rsidRPr="00452A6A">
              <w:rPr>
                <w:rFonts w:eastAsia="Times New Roman"/>
                <w:spacing w:val="0"/>
                <w:w w:val="100"/>
                <w:kern w:val="0"/>
                <w:sz w:val="17"/>
                <w:szCs w:val="17"/>
                <w:lang w:val="ru-RU"/>
              </w:rPr>
              <w:t>1</w:t>
            </w:r>
          </w:p>
        </w:tc>
        <w:tc>
          <w:tcPr>
            <w:tcW w:w="4860" w:type="dxa"/>
            <w:shd w:val="clear" w:color="auto" w:fill="auto"/>
            <w:vAlign w:val="bottom"/>
          </w:tcPr>
          <w:p w14:paraId="3AFBB408" w14:textId="77777777" w:rsidR="004C48B6" w:rsidRPr="00452A6A" w:rsidRDefault="004C48B6" w:rsidP="00C35A7D">
            <w:pPr>
              <w:spacing w:before="40" w:after="40" w:line="210" w:lineRule="exact"/>
              <w:rPr>
                <w:w w:val="100"/>
                <w:sz w:val="17"/>
                <w:szCs w:val="17"/>
                <w:lang w:val="ru-RU"/>
              </w:rPr>
            </w:pPr>
            <w:r w:rsidRPr="00452A6A">
              <w:rPr>
                <w:w w:val="100"/>
                <w:sz w:val="17"/>
                <w:szCs w:val="17"/>
                <w:lang w:val="ru-RU"/>
              </w:rPr>
              <w:t>Enseignement préscolaire</w:t>
            </w:r>
          </w:p>
        </w:tc>
        <w:tc>
          <w:tcPr>
            <w:tcW w:w="1005" w:type="dxa"/>
            <w:shd w:val="clear" w:color="auto" w:fill="auto"/>
            <w:vAlign w:val="bottom"/>
          </w:tcPr>
          <w:p w14:paraId="653668CD" w14:textId="77777777" w:rsidR="004C48B6" w:rsidRPr="00452A6A" w:rsidRDefault="004C48B6"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17"/>
                <w:lang w:val="ru-RU"/>
              </w:rPr>
            </w:pPr>
            <w:r w:rsidRPr="00452A6A">
              <w:rPr>
                <w:rFonts w:eastAsia="Times New Roman"/>
                <w:spacing w:val="0"/>
                <w:w w:val="100"/>
                <w:kern w:val="0"/>
                <w:sz w:val="17"/>
                <w:szCs w:val="17"/>
                <w:lang w:val="ru-RU"/>
              </w:rPr>
              <w:t>602</w:t>
            </w:r>
          </w:p>
        </w:tc>
        <w:tc>
          <w:tcPr>
            <w:tcW w:w="1005" w:type="dxa"/>
            <w:shd w:val="clear" w:color="auto" w:fill="auto"/>
            <w:vAlign w:val="bottom"/>
          </w:tcPr>
          <w:p w14:paraId="735F6EC4" w14:textId="77777777" w:rsidR="004C48B6" w:rsidRPr="00452A6A" w:rsidRDefault="004C48B6"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17"/>
                <w:lang w:val="ru-RU"/>
              </w:rPr>
            </w:pPr>
            <w:r w:rsidRPr="00452A6A">
              <w:rPr>
                <w:rFonts w:eastAsia="Times New Roman"/>
                <w:spacing w:val="0"/>
                <w:w w:val="100"/>
                <w:kern w:val="0"/>
                <w:sz w:val="17"/>
                <w:szCs w:val="17"/>
                <w:lang w:val="ru-RU"/>
              </w:rPr>
              <w:t>602</w:t>
            </w:r>
          </w:p>
        </w:tc>
      </w:tr>
      <w:tr w:rsidR="004C48B6" w:rsidRPr="00452A6A" w14:paraId="5CD59B98" w14:textId="77777777" w:rsidTr="00A81ADA">
        <w:trPr>
          <w:cantSplit/>
        </w:trPr>
        <w:tc>
          <w:tcPr>
            <w:tcW w:w="450" w:type="dxa"/>
            <w:shd w:val="clear" w:color="auto" w:fill="auto"/>
            <w:vAlign w:val="bottom"/>
          </w:tcPr>
          <w:p w14:paraId="5C2671E9"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rPr>
                <w:rFonts w:eastAsia="Times New Roman"/>
                <w:spacing w:val="0"/>
                <w:w w:val="100"/>
                <w:kern w:val="0"/>
                <w:sz w:val="17"/>
                <w:szCs w:val="17"/>
                <w:lang w:val="ru-RU"/>
              </w:rPr>
            </w:pPr>
            <w:r w:rsidRPr="00452A6A">
              <w:rPr>
                <w:rFonts w:eastAsia="Times New Roman"/>
                <w:spacing w:val="0"/>
                <w:w w:val="100"/>
                <w:kern w:val="0"/>
                <w:sz w:val="17"/>
                <w:szCs w:val="17"/>
                <w:lang w:val="ru-RU"/>
              </w:rPr>
              <w:t>2</w:t>
            </w:r>
          </w:p>
        </w:tc>
        <w:tc>
          <w:tcPr>
            <w:tcW w:w="4860" w:type="dxa"/>
            <w:shd w:val="clear" w:color="auto" w:fill="auto"/>
            <w:vAlign w:val="bottom"/>
          </w:tcPr>
          <w:p w14:paraId="49ECE663" w14:textId="77777777" w:rsidR="004C48B6" w:rsidRPr="00452A6A" w:rsidRDefault="004C48B6" w:rsidP="00C35A7D">
            <w:pPr>
              <w:spacing w:before="40" w:after="40" w:line="210" w:lineRule="exact"/>
              <w:rPr>
                <w:w w:val="100"/>
                <w:sz w:val="17"/>
                <w:szCs w:val="17"/>
                <w:lang w:val="ru-RU"/>
              </w:rPr>
            </w:pPr>
            <w:r w:rsidRPr="00452A6A">
              <w:rPr>
                <w:w w:val="100"/>
                <w:sz w:val="17"/>
                <w:szCs w:val="17"/>
                <w:lang w:val="ru-RU"/>
              </w:rPr>
              <w:t>Enseignement secondaire</w:t>
            </w:r>
          </w:p>
        </w:tc>
        <w:tc>
          <w:tcPr>
            <w:tcW w:w="1005" w:type="dxa"/>
            <w:shd w:val="clear" w:color="auto" w:fill="auto"/>
            <w:vAlign w:val="bottom"/>
          </w:tcPr>
          <w:p w14:paraId="204F4FA4" w14:textId="77777777" w:rsidR="004C48B6" w:rsidRPr="00452A6A" w:rsidRDefault="004C48B6"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17"/>
                <w:lang w:val="ru-RU"/>
              </w:rPr>
            </w:pPr>
            <w:r w:rsidRPr="00452A6A">
              <w:rPr>
                <w:rFonts w:eastAsia="Times New Roman"/>
                <w:spacing w:val="0"/>
                <w:w w:val="100"/>
                <w:kern w:val="0"/>
                <w:sz w:val="17"/>
                <w:szCs w:val="17"/>
                <w:lang w:val="ru-RU"/>
              </w:rPr>
              <w:t>11</w:t>
            </w:r>
            <w:r w:rsidRPr="00452A6A">
              <w:rPr>
                <w:rFonts w:eastAsia="Times New Roman"/>
                <w:spacing w:val="0"/>
                <w:w w:val="100"/>
                <w:kern w:val="0"/>
                <w:sz w:val="17"/>
                <w:szCs w:val="17"/>
                <w:lang w:val="fr-CH"/>
              </w:rPr>
              <w:t> </w:t>
            </w:r>
            <w:r w:rsidRPr="00452A6A">
              <w:rPr>
                <w:rFonts w:eastAsia="Times New Roman"/>
                <w:spacing w:val="0"/>
                <w:w w:val="100"/>
                <w:kern w:val="0"/>
                <w:sz w:val="17"/>
                <w:szCs w:val="17"/>
                <w:lang w:val="ru-RU"/>
              </w:rPr>
              <w:t>294</w:t>
            </w:r>
          </w:p>
        </w:tc>
        <w:tc>
          <w:tcPr>
            <w:tcW w:w="1005" w:type="dxa"/>
            <w:shd w:val="clear" w:color="auto" w:fill="auto"/>
            <w:vAlign w:val="bottom"/>
          </w:tcPr>
          <w:p w14:paraId="1DAEFABB" w14:textId="1E6521B5" w:rsidR="004C48B6" w:rsidRPr="00452A6A" w:rsidRDefault="004C48B6"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17"/>
                <w:lang w:val="ru-RU"/>
              </w:rPr>
            </w:pPr>
            <w:r w:rsidRPr="00452A6A">
              <w:rPr>
                <w:rFonts w:eastAsia="Times New Roman"/>
                <w:spacing w:val="0"/>
                <w:w w:val="100"/>
                <w:kern w:val="0"/>
                <w:sz w:val="17"/>
                <w:szCs w:val="17"/>
                <w:lang w:val="ru-RU"/>
              </w:rPr>
              <w:t>3</w:t>
            </w:r>
            <w:r w:rsidR="00B23120">
              <w:rPr>
                <w:rFonts w:eastAsia="Times New Roman"/>
                <w:spacing w:val="0"/>
                <w:w w:val="100"/>
                <w:kern w:val="0"/>
                <w:sz w:val="17"/>
                <w:szCs w:val="17"/>
                <w:lang w:val="en-US"/>
              </w:rPr>
              <w:t> </w:t>
            </w:r>
            <w:r w:rsidRPr="00452A6A">
              <w:rPr>
                <w:rFonts w:eastAsia="Times New Roman"/>
                <w:spacing w:val="0"/>
                <w:w w:val="100"/>
                <w:kern w:val="0"/>
                <w:sz w:val="17"/>
                <w:szCs w:val="17"/>
                <w:lang w:val="ru-RU"/>
              </w:rPr>
              <w:t>691</w:t>
            </w:r>
          </w:p>
        </w:tc>
      </w:tr>
      <w:tr w:rsidR="004C48B6" w:rsidRPr="00452A6A" w14:paraId="22159501" w14:textId="77777777" w:rsidTr="00A81ADA">
        <w:trPr>
          <w:cantSplit/>
        </w:trPr>
        <w:tc>
          <w:tcPr>
            <w:tcW w:w="450" w:type="dxa"/>
            <w:shd w:val="clear" w:color="auto" w:fill="auto"/>
            <w:vAlign w:val="bottom"/>
          </w:tcPr>
          <w:p w14:paraId="09BEF0E3"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rPr>
                <w:rFonts w:eastAsia="Times New Roman"/>
                <w:spacing w:val="0"/>
                <w:w w:val="100"/>
                <w:kern w:val="0"/>
                <w:sz w:val="17"/>
                <w:szCs w:val="17"/>
                <w:lang w:val="ru-RU"/>
              </w:rPr>
            </w:pPr>
            <w:r w:rsidRPr="00452A6A">
              <w:rPr>
                <w:rFonts w:eastAsia="Times New Roman"/>
                <w:spacing w:val="0"/>
                <w:w w:val="100"/>
                <w:kern w:val="0"/>
                <w:sz w:val="17"/>
                <w:szCs w:val="17"/>
                <w:lang w:val="ru-RU"/>
              </w:rPr>
              <w:t>3</w:t>
            </w:r>
          </w:p>
        </w:tc>
        <w:tc>
          <w:tcPr>
            <w:tcW w:w="4860" w:type="dxa"/>
            <w:shd w:val="clear" w:color="auto" w:fill="auto"/>
            <w:vAlign w:val="bottom"/>
          </w:tcPr>
          <w:p w14:paraId="7D2BDFB2" w14:textId="77777777" w:rsidR="004C48B6" w:rsidRPr="00452A6A" w:rsidRDefault="004C48B6" w:rsidP="00C35A7D">
            <w:pPr>
              <w:spacing w:before="40" w:after="40" w:line="210" w:lineRule="exact"/>
              <w:rPr>
                <w:w w:val="100"/>
                <w:sz w:val="17"/>
                <w:szCs w:val="17"/>
                <w:lang w:val="ru-RU"/>
              </w:rPr>
            </w:pPr>
            <w:r w:rsidRPr="00452A6A">
              <w:rPr>
                <w:w w:val="100"/>
                <w:sz w:val="17"/>
                <w:szCs w:val="17"/>
                <w:lang w:val="ru-RU"/>
              </w:rPr>
              <w:t>Enseignement professionnel fondamental</w:t>
            </w:r>
          </w:p>
        </w:tc>
        <w:tc>
          <w:tcPr>
            <w:tcW w:w="1005" w:type="dxa"/>
            <w:shd w:val="clear" w:color="auto" w:fill="auto"/>
            <w:vAlign w:val="bottom"/>
          </w:tcPr>
          <w:p w14:paraId="1731A874" w14:textId="77777777" w:rsidR="004C48B6" w:rsidRPr="00452A6A" w:rsidRDefault="004C48B6"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17"/>
                <w:lang w:val="ru-RU"/>
              </w:rPr>
            </w:pPr>
            <w:r w:rsidRPr="00452A6A">
              <w:rPr>
                <w:rFonts w:eastAsia="Times New Roman"/>
                <w:spacing w:val="0"/>
                <w:w w:val="100"/>
                <w:kern w:val="0"/>
                <w:sz w:val="17"/>
                <w:szCs w:val="17"/>
                <w:lang w:val="ru-RU"/>
              </w:rPr>
              <w:t>454</w:t>
            </w:r>
          </w:p>
        </w:tc>
        <w:tc>
          <w:tcPr>
            <w:tcW w:w="1005" w:type="dxa"/>
            <w:shd w:val="clear" w:color="auto" w:fill="auto"/>
            <w:vAlign w:val="bottom"/>
          </w:tcPr>
          <w:p w14:paraId="6718161F" w14:textId="77777777" w:rsidR="004C48B6" w:rsidRPr="00452A6A" w:rsidRDefault="004C48B6"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17"/>
                <w:lang w:val="ru-RU"/>
              </w:rPr>
            </w:pPr>
            <w:r w:rsidRPr="00452A6A">
              <w:rPr>
                <w:rFonts w:eastAsia="Times New Roman"/>
                <w:spacing w:val="0"/>
                <w:w w:val="100"/>
                <w:kern w:val="0"/>
                <w:sz w:val="17"/>
                <w:szCs w:val="17"/>
                <w:lang w:val="ru-RU"/>
              </w:rPr>
              <w:t>148</w:t>
            </w:r>
          </w:p>
        </w:tc>
      </w:tr>
      <w:tr w:rsidR="004C48B6" w:rsidRPr="00452A6A" w14:paraId="0C393D3C" w14:textId="77777777" w:rsidTr="00A81ADA">
        <w:trPr>
          <w:cantSplit/>
        </w:trPr>
        <w:tc>
          <w:tcPr>
            <w:tcW w:w="450" w:type="dxa"/>
            <w:shd w:val="clear" w:color="auto" w:fill="auto"/>
            <w:vAlign w:val="bottom"/>
          </w:tcPr>
          <w:p w14:paraId="310216DD"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rPr>
                <w:rFonts w:eastAsia="Times New Roman"/>
                <w:spacing w:val="0"/>
                <w:w w:val="100"/>
                <w:kern w:val="0"/>
                <w:sz w:val="17"/>
                <w:szCs w:val="17"/>
                <w:lang w:val="ru-RU"/>
              </w:rPr>
            </w:pPr>
            <w:r w:rsidRPr="00452A6A">
              <w:rPr>
                <w:rFonts w:eastAsia="Times New Roman"/>
                <w:spacing w:val="0"/>
                <w:w w:val="100"/>
                <w:kern w:val="0"/>
                <w:sz w:val="17"/>
                <w:szCs w:val="17"/>
                <w:lang w:val="ru-RU"/>
              </w:rPr>
              <w:t>4</w:t>
            </w:r>
          </w:p>
        </w:tc>
        <w:tc>
          <w:tcPr>
            <w:tcW w:w="4860" w:type="dxa"/>
            <w:shd w:val="clear" w:color="auto" w:fill="auto"/>
            <w:vAlign w:val="bottom"/>
          </w:tcPr>
          <w:p w14:paraId="3833EB69" w14:textId="77777777" w:rsidR="004C48B6" w:rsidRPr="00452A6A" w:rsidRDefault="004C48B6" w:rsidP="00C35A7D">
            <w:pPr>
              <w:spacing w:before="40" w:after="40" w:line="210" w:lineRule="exact"/>
              <w:rPr>
                <w:w w:val="100"/>
                <w:sz w:val="17"/>
                <w:szCs w:val="17"/>
                <w:lang w:val="ru-RU"/>
              </w:rPr>
            </w:pPr>
            <w:r w:rsidRPr="00452A6A">
              <w:rPr>
                <w:w w:val="100"/>
                <w:sz w:val="17"/>
                <w:szCs w:val="17"/>
                <w:lang w:val="ru-RU"/>
              </w:rPr>
              <w:t>Enseignement professionnel intermédiaire</w:t>
            </w:r>
          </w:p>
        </w:tc>
        <w:tc>
          <w:tcPr>
            <w:tcW w:w="1005" w:type="dxa"/>
            <w:shd w:val="clear" w:color="auto" w:fill="auto"/>
            <w:vAlign w:val="bottom"/>
          </w:tcPr>
          <w:p w14:paraId="3ADAEDCB" w14:textId="77777777" w:rsidR="004C48B6" w:rsidRPr="00452A6A" w:rsidRDefault="004C48B6"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17"/>
                <w:lang w:val="ru-RU"/>
              </w:rPr>
            </w:pPr>
            <w:r w:rsidRPr="00452A6A">
              <w:rPr>
                <w:rFonts w:eastAsia="Times New Roman"/>
                <w:spacing w:val="0"/>
                <w:w w:val="100"/>
                <w:kern w:val="0"/>
                <w:sz w:val="17"/>
                <w:szCs w:val="17"/>
                <w:lang w:val="ru-RU"/>
              </w:rPr>
              <w:t>720</w:t>
            </w:r>
          </w:p>
        </w:tc>
        <w:tc>
          <w:tcPr>
            <w:tcW w:w="1005" w:type="dxa"/>
            <w:shd w:val="clear" w:color="auto" w:fill="auto"/>
            <w:vAlign w:val="bottom"/>
          </w:tcPr>
          <w:p w14:paraId="7BE145A1" w14:textId="77777777" w:rsidR="004C48B6" w:rsidRPr="00452A6A" w:rsidRDefault="004C48B6"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17"/>
                <w:lang w:val="ru-RU"/>
              </w:rPr>
            </w:pPr>
            <w:r w:rsidRPr="00452A6A">
              <w:rPr>
                <w:rFonts w:eastAsia="Times New Roman"/>
                <w:spacing w:val="0"/>
                <w:w w:val="100"/>
                <w:kern w:val="0"/>
                <w:sz w:val="17"/>
                <w:szCs w:val="17"/>
                <w:lang w:val="ru-RU"/>
              </w:rPr>
              <w:t>298</w:t>
            </w:r>
          </w:p>
        </w:tc>
      </w:tr>
      <w:tr w:rsidR="004C48B6" w:rsidRPr="00452A6A" w14:paraId="7A4008FA" w14:textId="77777777" w:rsidTr="00A81ADA">
        <w:trPr>
          <w:cantSplit/>
        </w:trPr>
        <w:tc>
          <w:tcPr>
            <w:tcW w:w="450" w:type="dxa"/>
            <w:shd w:val="clear" w:color="auto" w:fill="auto"/>
            <w:vAlign w:val="bottom"/>
          </w:tcPr>
          <w:p w14:paraId="0AEED123"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rPr>
                <w:rFonts w:eastAsia="Times New Roman"/>
                <w:spacing w:val="0"/>
                <w:w w:val="100"/>
                <w:kern w:val="0"/>
                <w:sz w:val="17"/>
                <w:szCs w:val="17"/>
                <w:lang w:val="ru-RU"/>
              </w:rPr>
            </w:pPr>
            <w:r w:rsidRPr="00452A6A">
              <w:rPr>
                <w:rFonts w:eastAsia="Times New Roman"/>
                <w:spacing w:val="0"/>
                <w:w w:val="100"/>
                <w:kern w:val="0"/>
                <w:sz w:val="17"/>
                <w:szCs w:val="17"/>
                <w:lang w:val="ru-RU"/>
              </w:rPr>
              <w:t>5</w:t>
            </w:r>
          </w:p>
        </w:tc>
        <w:tc>
          <w:tcPr>
            <w:tcW w:w="4860" w:type="dxa"/>
            <w:shd w:val="clear" w:color="auto" w:fill="auto"/>
            <w:vAlign w:val="bottom"/>
          </w:tcPr>
          <w:p w14:paraId="06D9D0E2" w14:textId="77777777" w:rsidR="004C48B6" w:rsidRPr="00452A6A" w:rsidRDefault="004C48B6" w:rsidP="00C35A7D">
            <w:pPr>
              <w:spacing w:before="40" w:after="40" w:line="210" w:lineRule="exact"/>
              <w:rPr>
                <w:w w:val="100"/>
                <w:sz w:val="17"/>
                <w:szCs w:val="17"/>
                <w:lang w:val="ru-RU"/>
              </w:rPr>
            </w:pPr>
            <w:r w:rsidRPr="00452A6A">
              <w:rPr>
                <w:w w:val="100"/>
                <w:sz w:val="17"/>
                <w:szCs w:val="17"/>
                <w:lang w:val="ru-RU"/>
              </w:rPr>
              <w:t>Enseignement professionnel supérieur</w:t>
            </w:r>
          </w:p>
        </w:tc>
        <w:tc>
          <w:tcPr>
            <w:tcW w:w="1005" w:type="dxa"/>
            <w:shd w:val="clear" w:color="auto" w:fill="auto"/>
            <w:vAlign w:val="bottom"/>
          </w:tcPr>
          <w:p w14:paraId="6D2F252C" w14:textId="77777777" w:rsidR="004C48B6" w:rsidRPr="00452A6A" w:rsidRDefault="004C48B6"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17"/>
                <w:lang w:val="ru-RU"/>
              </w:rPr>
            </w:pPr>
            <w:r w:rsidRPr="00452A6A">
              <w:rPr>
                <w:rFonts w:eastAsia="Times New Roman"/>
                <w:spacing w:val="0"/>
                <w:w w:val="100"/>
                <w:kern w:val="0"/>
                <w:sz w:val="17"/>
                <w:szCs w:val="17"/>
                <w:lang w:val="ru-RU"/>
              </w:rPr>
              <w:t>1</w:t>
            </w:r>
            <w:r w:rsidRPr="00452A6A">
              <w:rPr>
                <w:rFonts w:eastAsia="Times New Roman"/>
                <w:spacing w:val="0"/>
                <w:w w:val="100"/>
                <w:kern w:val="0"/>
                <w:sz w:val="17"/>
                <w:szCs w:val="17"/>
                <w:lang w:val="fr-CH"/>
              </w:rPr>
              <w:t> </w:t>
            </w:r>
            <w:r w:rsidRPr="00452A6A">
              <w:rPr>
                <w:rFonts w:eastAsia="Times New Roman"/>
                <w:spacing w:val="0"/>
                <w:w w:val="100"/>
                <w:kern w:val="0"/>
                <w:sz w:val="17"/>
                <w:szCs w:val="17"/>
                <w:lang w:val="ru-RU"/>
              </w:rPr>
              <w:t>783</w:t>
            </w:r>
          </w:p>
        </w:tc>
        <w:tc>
          <w:tcPr>
            <w:tcW w:w="1005" w:type="dxa"/>
            <w:shd w:val="clear" w:color="auto" w:fill="auto"/>
            <w:vAlign w:val="bottom"/>
          </w:tcPr>
          <w:p w14:paraId="44B1F63B" w14:textId="77777777" w:rsidR="004C48B6" w:rsidRPr="00452A6A" w:rsidRDefault="004C48B6"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17"/>
                <w:lang w:val="ru-RU"/>
              </w:rPr>
            </w:pPr>
            <w:r w:rsidRPr="00452A6A">
              <w:rPr>
                <w:rFonts w:eastAsia="Times New Roman"/>
                <w:spacing w:val="0"/>
                <w:w w:val="100"/>
                <w:kern w:val="0"/>
                <w:sz w:val="17"/>
                <w:szCs w:val="17"/>
                <w:lang w:val="ru-RU"/>
              </w:rPr>
              <w:t>525</w:t>
            </w:r>
          </w:p>
        </w:tc>
      </w:tr>
      <w:tr w:rsidR="00F9014D" w:rsidRPr="00452A6A" w14:paraId="02802D14" w14:textId="77777777" w:rsidTr="00A81ADA">
        <w:trPr>
          <w:cantSplit/>
        </w:trPr>
        <w:tc>
          <w:tcPr>
            <w:tcW w:w="450" w:type="dxa"/>
            <w:shd w:val="clear" w:color="auto" w:fill="auto"/>
            <w:vAlign w:val="bottom"/>
          </w:tcPr>
          <w:p w14:paraId="05A54CF8"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rPr>
                <w:rFonts w:eastAsia="Times New Roman"/>
                <w:spacing w:val="0"/>
                <w:w w:val="100"/>
                <w:kern w:val="0"/>
                <w:sz w:val="17"/>
                <w:szCs w:val="17"/>
                <w:lang w:val="ru-RU"/>
              </w:rPr>
            </w:pPr>
            <w:r w:rsidRPr="00452A6A">
              <w:rPr>
                <w:rFonts w:eastAsia="Times New Roman"/>
                <w:spacing w:val="0"/>
                <w:w w:val="100"/>
                <w:kern w:val="0"/>
                <w:sz w:val="17"/>
                <w:szCs w:val="17"/>
                <w:lang w:val="ru-RU"/>
              </w:rPr>
              <w:t>6</w:t>
            </w:r>
          </w:p>
        </w:tc>
        <w:tc>
          <w:tcPr>
            <w:tcW w:w="4860" w:type="dxa"/>
            <w:shd w:val="clear" w:color="auto" w:fill="auto"/>
            <w:vAlign w:val="bottom"/>
          </w:tcPr>
          <w:p w14:paraId="31867A2C" w14:textId="67B8159A" w:rsidR="004C48B6" w:rsidRPr="00926FCD" w:rsidRDefault="004C48B6" w:rsidP="00C35A7D">
            <w:pPr>
              <w:spacing w:before="40" w:after="40" w:line="210" w:lineRule="exact"/>
              <w:rPr>
                <w:w w:val="100"/>
                <w:sz w:val="17"/>
                <w:szCs w:val="17"/>
                <w:lang w:val="fr-FR"/>
              </w:rPr>
            </w:pPr>
            <w:r w:rsidRPr="00926FCD">
              <w:rPr>
                <w:w w:val="100"/>
                <w:sz w:val="17"/>
                <w:szCs w:val="17"/>
                <w:lang w:val="fr-FR"/>
              </w:rPr>
              <w:t>Institutions relevant du Ministère de l</w:t>
            </w:r>
            <w:r w:rsidR="008E14FD" w:rsidRPr="00926FCD">
              <w:rPr>
                <w:w w:val="100"/>
                <w:sz w:val="17"/>
                <w:szCs w:val="17"/>
                <w:lang w:val="fr-FR"/>
              </w:rPr>
              <w:t>’</w:t>
            </w:r>
            <w:r w:rsidRPr="00926FCD">
              <w:rPr>
                <w:w w:val="100"/>
                <w:sz w:val="17"/>
                <w:szCs w:val="17"/>
                <w:lang w:val="fr-FR"/>
              </w:rPr>
              <w:t>éducation et des sciences</w:t>
            </w:r>
          </w:p>
        </w:tc>
        <w:tc>
          <w:tcPr>
            <w:tcW w:w="1005" w:type="dxa"/>
            <w:shd w:val="clear" w:color="auto" w:fill="auto"/>
            <w:vAlign w:val="bottom"/>
          </w:tcPr>
          <w:p w14:paraId="0F09A6AE" w14:textId="77777777" w:rsidR="004C48B6" w:rsidRPr="00452A6A" w:rsidRDefault="004C48B6"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17"/>
                <w:lang w:val="ru-RU"/>
              </w:rPr>
            </w:pPr>
            <w:r w:rsidRPr="00452A6A">
              <w:rPr>
                <w:rFonts w:eastAsia="Times New Roman"/>
                <w:spacing w:val="0"/>
                <w:w w:val="100"/>
                <w:kern w:val="0"/>
                <w:sz w:val="17"/>
                <w:szCs w:val="17"/>
                <w:lang w:val="ru-RU"/>
              </w:rPr>
              <w:t>140</w:t>
            </w:r>
          </w:p>
        </w:tc>
        <w:tc>
          <w:tcPr>
            <w:tcW w:w="1005" w:type="dxa"/>
            <w:shd w:val="clear" w:color="auto" w:fill="auto"/>
            <w:vAlign w:val="bottom"/>
          </w:tcPr>
          <w:p w14:paraId="004C19A3" w14:textId="77777777" w:rsidR="004C48B6" w:rsidRPr="00452A6A" w:rsidRDefault="004C48B6"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17"/>
                <w:lang w:val="ru-RU"/>
              </w:rPr>
            </w:pPr>
            <w:r w:rsidRPr="00452A6A">
              <w:rPr>
                <w:rFonts w:eastAsia="Times New Roman"/>
                <w:spacing w:val="0"/>
                <w:w w:val="100"/>
                <w:kern w:val="0"/>
                <w:sz w:val="17"/>
                <w:szCs w:val="17"/>
                <w:lang w:val="ru-RU"/>
              </w:rPr>
              <w:t>41</w:t>
            </w:r>
          </w:p>
        </w:tc>
      </w:tr>
      <w:tr w:rsidR="00F9014D" w:rsidRPr="00452A6A" w14:paraId="37085525" w14:textId="77777777" w:rsidTr="00A81ADA">
        <w:trPr>
          <w:cantSplit/>
        </w:trPr>
        <w:tc>
          <w:tcPr>
            <w:tcW w:w="450" w:type="dxa"/>
            <w:tcBorders>
              <w:bottom w:val="single" w:sz="12" w:space="0" w:color="auto"/>
            </w:tcBorders>
            <w:shd w:val="clear" w:color="auto" w:fill="auto"/>
            <w:vAlign w:val="bottom"/>
          </w:tcPr>
          <w:p w14:paraId="0A4E07DA" w14:textId="77777777" w:rsidR="004C48B6" w:rsidRPr="00452A6A" w:rsidRDefault="004C48B6" w:rsidP="00C35A7D">
            <w:pPr>
              <w:tabs>
                <w:tab w:val="left" w:pos="288"/>
                <w:tab w:val="left" w:pos="576"/>
                <w:tab w:val="left" w:pos="864"/>
                <w:tab w:val="left" w:pos="1152"/>
              </w:tabs>
              <w:suppressAutoHyphens/>
              <w:spacing w:before="40" w:after="40" w:line="210" w:lineRule="exact"/>
              <w:ind w:right="40"/>
              <w:rPr>
                <w:rFonts w:eastAsia="Times New Roman"/>
                <w:spacing w:val="0"/>
                <w:w w:val="100"/>
                <w:kern w:val="0"/>
                <w:sz w:val="17"/>
                <w:szCs w:val="17"/>
                <w:lang w:val="ru-RU"/>
              </w:rPr>
            </w:pPr>
            <w:r w:rsidRPr="00452A6A">
              <w:rPr>
                <w:rFonts w:eastAsia="Times New Roman"/>
                <w:spacing w:val="0"/>
                <w:w w:val="100"/>
                <w:kern w:val="0"/>
                <w:sz w:val="17"/>
                <w:szCs w:val="17"/>
                <w:lang w:val="ru-RU"/>
              </w:rPr>
              <w:t>7</w:t>
            </w:r>
          </w:p>
        </w:tc>
        <w:tc>
          <w:tcPr>
            <w:tcW w:w="4860" w:type="dxa"/>
            <w:tcBorders>
              <w:bottom w:val="single" w:sz="12" w:space="0" w:color="auto"/>
            </w:tcBorders>
            <w:shd w:val="clear" w:color="auto" w:fill="auto"/>
            <w:vAlign w:val="bottom"/>
          </w:tcPr>
          <w:p w14:paraId="6E8FDECB" w14:textId="528B975B" w:rsidR="004C48B6" w:rsidRPr="00926FCD" w:rsidRDefault="004C48B6" w:rsidP="00C35A7D">
            <w:pPr>
              <w:spacing w:before="40" w:after="40" w:line="210" w:lineRule="exact"/>
              <w:rPr>
                <w:w w:val="100"/>
                <w:sz w:val="17"/>
                <w:szCs w:val="17"/>
                <w:lang w:val="fr-FR"/>
              </w:rPr>
            </w:pPr>
            <w:r w:rsidRPr="00926FCD">
              <w:rPr>
                <w:w w:val="100"/>
                <w:sz w:val="17"/>
                <w:szCs w:val="17"/>
                <w:lang w:val="fr-FR"/>
              </w:rPr>
              <w:t>Administration du Ministère de l</w:t>
            </w:r>
            <w:r w:rsidR="008E14FD" w:rsidRPr="00926FCD">
              <w:rPr>
                <w:w w:val="100"/>
                <w:sz w:val="17"/>
                <w:szCs w:val="17"/>
                <w:lang w:val="fr-FR"/>
              </w:rPr>
              <w:t>’</w:t>
            </w:r>
            <w:r w:rsidRPr="00926FCD">
              <w:rPr>
                <w:w w:val="100"/>
                <w:sz w:val="17"/>
                <w:szCs w:val="17"/>
                <w:lang w:val="fr-FR"/>
              </w:rPr>
              <w:t>éducation et des sciences</w:t>
            </w:r>
          </w:p>
        </w:tc>
        <w:tc>
          <w:tcPr>
            <w:tcW w:w="1005" w:type="dxa"/>
            <w:tcBorders>
              <w:bottom w:val="single" w:sz="12" w:space="0" w:color="auto"/>
            </w:tcBorders>
            <w:shd w:val="clear" w:color="auto" w:fill="auto"/>
            <w:vAlign w:val="bottom"/>
          </w:tcPr>
          <w:p w14:paraId="2062FCEF" w14:textId="77777777" w:rsidR="004C48B6" w:rsidRPr="00452A6A" w:rsidRDefault="004C48B6"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17"/>
                <w:lang w:val="ru-RU"/>
              </w:rPr>
            </w:pPr>
            <w:r w:rsidRPr="00452A6A">
              <w:rPr>
                <w:rFonts w:eastAsia="Times New Roman"/>
                <w:spacing w:val="0"/>
                <w:w w:val="100"/>
                <w:kern w:val="0"/>
                <w:sz w:val="17"/>
                <w:szCs w:val="17"/>
                <w:lang w:val="ru-RU"/>
              </w:rPr>
              <w:t>19</w:t>
            </w:r>
          </w:p>
        </w:tc>
        <w:tc>
          <w:tcPr>
            <w:tcW w:w="1005" w:type="dxa"/>
            <w:tcBorders>
              <w:bottom w:val="single" w:sz="12" w:space="0" w:color="auto"/>
            </w:tcBorders>
            <w:shd w:val="clear" w:color="auto" w:fill="auto"/>
            <w:vAlign w:val="bottom"/>
          </w:tcPr>
          <w:p w14:paraId="108E1D57" w14:textId="77777777" w:rsidR="004C48B6" w:rsidRPr="00452A6A" w:rsidRDefault="004C48B6" w:rsidP="00C35A7D">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17"/>
                <w:lang w:val="ru-RU"/>
              </w:rPr>
            </w:pPr>
            <w:r w:rsidRPr="00452A6A">
              <w:rPr>
                <w:rFonts w:eastAsia="Times New Roman"/>
                <w:spacing w:val="0"/>
                <w:w w:val="100"/>
                <w:kern w:val="0"/>
                <w:sz w:val="17"/>
                <w:szCs w:val="17"/>
                <w:lang w:val="ru-RU"/>
              </w:rPr>
              <w:t>1</w:t>
            </w:r>
          </w:p>
        </w:tc>
      </w:tr>
    </w:tbl>
    <w:p w14:paraId="38825C76" w14:textId="19552D8E" w:rsidR="004C48B6" w:rsidRPr="00365A31" w:rsidRDefault="004C48B6" w:rsidP="00365A31">
      <w:pPr>
        <w:pStyle w:val="SingleTxt"/>
        <w:spacing w:after="0" w:line="120" w:lineRule="exact"/>
        <w:rPr>
          <w:sz w:val="10"/>
          <w:lang w:val="fr-FR"/>
        </w:rPr>
      </w:pPr>
    </w:p>
    <w:p w14:paraId="73C15B8D" w14:textId="0E772EB5" w:rsidR="00365A31" w:rsidRPr="00365A31" w:rsidRDefault="00365A31" w:rsidP="00365A31">
      <w:pPr>
        <w:pStyle w:val="SingleTxt"/>
        <w:spacing w:after="0" w:line="120" w:lineRule="exact"/>
        <w:rPr>
          <w:sz w:val="10"/>
          <w:lang w:val="fr-FR"/>
        </w:rPr>
      </w:pPr>
    </w:p>
    <w:p w14:paraId="0D478317" w14:textId="77777777" w:rsidR="00365A31" w:rsidRPr="00365A31" w:rsidRDefault="00365A31" w:rsidP="00365A31">
      <w:pPr>
        <w:pStyle w:val="SingleTxt"/>
        <w:spacing w:after="0" w:line="120" w:lineRule="exact"/>
        <w:rPr>
          <w:sz w:val="10"/>
          <w:lang w:val="fr-FR"/>
        </w:rPr>
      </w:pPr>
    </w:p>
    <w:p w14:paraId="601B7132" w14:textId="4F3AE9E2" w:rsidR="002A37CD" w:rsidRDefault="00365A31" w:rsidP="00365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37CD" w:rsidRPr="002A37CD">
        <w:rPr>
          <w:lang w:val="fr-FR"/>
        </w:rPr>
        <w:t>Emploi</w:t>
      </w:r>
    </w:p>
    <w:p w14:paraId="222B6E67" w14:textId="372BA852" w:rsidR="00365A31" w:rsidRPr="00365A31" w:rsidRDefault="00365A31" w:rsidP="00365A31">
      <w:pPr>
        <w:pStyle w:val="SingleTxt"/>
        <w:spacing w:after="0" w:line="120" w:lineRule="exact"/>
        <w:rPr>
          <w:sz w:val="10"/>
          <w:lang w:val="fr-FR"/>
        </w:rPr>
      </w:pPr>
    </w:p>
    <w:p w14:paraId="17D27557" w14:textId="5FC1A667" w:rsidR="002A37CD" w:rsidRDefault="00365A31" w:rsidP="00365A3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37CD" w:rsidRPr="002A37CD">
        <w:rPr>
          <w:lang w:val="fr-FR"/>
        </w:rPr>
        <w:t>Paragraphe 26 des observations finales</w:t>
      </w:r>
    </w:p>
    <w:p w14:paraId="23199769" w14:textId="06F00E52" w:rsidR="00365A31" w:rsidRPr="00365A31" w:rsidRDefault="00365A31" w:rsidP="00365A31">
      <w:pPr>
        <w:pStyle w:val="SingleTxt"/>
        <w:spacing w:after="0" w:line="120" w:lineRule="exact"/>
        <w:rPr>
          <w:sz w:val="10"/>
          <w:lang w:val="fr-FR"/>
        </w:rPr>
      </w:pPr>
    </w:p>
    <w:p w14:paraId="7FEC4CD7" w14:textId="23BE5B18" w:rsidR="002A37CD" w:rsidRPr="002A37CD" w:rsidRDefault="002A37CD" w:rsidP="00746391">
      <w:pPr>
        <w:pStyle w:val="SingleTxt"/>
        <w:numPr>
          <w:ilvl w:val="0"/>
          <w:numId w:val="6"/>
        </w:numPr>
        <w:spacing w:line="240" w:lineRule="exact"/>
        <w:ind w:left="1267"/>
        <w:rPr>
          <w:lang w:val="fr-FR"/>
        </w:rPr>
      </w:pPr>
      <w:r w:rsidRPr="002A37CD">
        <w:rPr>
          <w:lang w:val="fr-FR"/>
        </w:rPr>
        <w:t>Le Code du travail prévoit l</w:t>
      </w:r>
      <w:r w:rsidR="008E14FD">
        <w:rPr>
          <w:lang w:val="fr-FR"/>
        </w:rPr>
        <w:t>’</w:t>
      </w:r>
      <w:r w:rsidRPr="002A37CD">
        <w:rPr>
          <w:lang w:val="fr-FR"/>
        </w:rPr>
        <w:t>obligation de tenir compte des prescriptions de la législation relatives aux droits des travailleurs des deux sexes et aux garanties s</w:t>
      </w:r>
      <w:r w:rsidR="008E14FD">
        <w:rPr>
          <w:lang w:val="fr-FR"/>
        </w:rPr>
        <w:t>’</w:t>
      </w:r>
      <w:r w:rsidRPr="002A37CD">
        <w:rPr>
          <w:lang w:val="fr-FR"/>
        </w:rPr>
        <w:t>y rapportant dans le cadre du recrutement, de la promotion, de la formation professionnelle, de l</w:t>
      </w:r>
      <w:r w:rsidR="008E14FD">
        <w:rPr>
          <w:lang w:val="fr-FR"/>
        </w:rPr>
        <w:t>’</w:t>
      </w:r>
      <w:r w:rsidRPr="002A37CD">
        <w:rPr>
          <w:lang w:val="fr-FR"/>
        </w:rPr>
        <w:t>organisation du travail et du licenciement des travailleurs, notamment des agents de la fonction publique. Selon les dispositions du Code du travail, le salaire ou toute autre forme de rémunération du travail fait partie des conditions fondamentales de tout contrat de travail. Le salaire est la rétribution du travail effectué. Il est interdit d</w:t>
      </w:r>
      <w:r w:rsidR="008E14FD">
        <w:rPr>
          <w:lang w:val="fr-FR"/>
        </w:rPr>
        <w:t>’</w:t>
      </w:r>
      <w:r w:rsidRPr="002A37CD">
        <w:rPr>
          <w:lang w:val="fr-FR"/>
        </w:rPr>
        <w:t>exercer une discrimination en matière de rémunération. L</w:t>
      </w:r>
      <w:r w:rsidR="008E14FD">
        <w:rPr>
          <w:lang w:val="fr-FR"/>
        </w:rPr>
        <w:t>’</w:t>
      </w:r>
      <w:r w:rsidRPr="002A37CD">
        <w:rPr>
          <w:lang w:val="fr-FR"/>
        </w:rPr>
        <w:t>employeur est tenu de verser aux travailleurs un salaire égal pour l</w:t>
      </w:r>
      <w:r w:rsidR="008E14FD">
        <w:rPr>
          <w:lang w:val="fr-FR"/>
        </w:rPr>
        <w:t>’</w:t>
      </w:r>
      <w:r w:rsidRPr="002A37CD">
        <w:rPr>
          <w:lang w:val="fr-FR"/>
        </w:rPr>
        <w:t>exécution d</w:t>
      </w:r>
      <w:r w:rsidR="008E14FD">
        <w:rPr>
          <w:lang w:val="fr-FR"/>
        </w:rPr>
        <w:t>’</w:t>
      </w:r>
      <w:r w:rsidRPr="002A37CD">
        <w:rPr>
          <w:lang w:val="fr-FR"/>
        </w:rPr>
        <w:t>un travail égal.</w:t>
      </w:r>
    </w:p>
    <w:p w14:paraId="274CC3D3" w14:textId="53FE1D58" w:rsidR="002A37CD" w:rsidRPr="002A37CD" w:rsidRDefault="002A37CD" w:rsidP="00746391">
      <w:pPr>
        <w:pStyle w:val="SingleTxt"/>
        <w:numPr>
          <w:ilvl w:val="0"/>
          <w:numId w:val="6"/>
        </w:numPr>
        <w:tabs>
          <w:tab w:val="num" w:pos="2804"/>
        </w:tabs>
        <w:spacing w:line="240" w:lineRule="exact"/>
        <w:ind w:left="1267"/>
        <w:rPr>
          <w:lang w:val="fr-FR"/>
        </w:rPr>
      </w:pPr>
      <w:r w:rsidRPr="002A37CD">
        <w:rPr>
          <w:lang w:val="fr-FR"/>
        </w:rPr>
        <w:t>Conformément aux dispositions de la loi relative à la garantie de l</w:t>
      </w:r>
      <w:r w:rsidR="008E14FD">
        <w:rPr>
          <w:lang w:val="fr-FR"/>
        </w:rPr>
        <w:t>’</w:t>
      </w:r>
      <w:r w:rsidRPr="002A37CD">
        <w:rPr>
          <w:lang w:val="fr-FR"/>
        </w:rPr>
        <w:t>égalité des droits des hommes et des femmes et de l</w:t>
      </w:r>
      <w:r w:rsidR="008E14FD">
        <w:rPr>
          <w:lang w:val="fr-FR"/>
        </w:rPr>
        <w:t>’</w:t>
      </w:r>
      <w:r w:rsidRPr="002A37CD">
        <w:rPr>
          <w:lang w:val="fr-FR"/>
        </w:rPr>
        <w:t>égalité des chances dans l</w:t>
      </w:r>
      <w:r w:rsidR="008E14FD">
        <w:rPr>
          <w:lang w:val="fr-FR"/>
        </w:rPr>
        <w:t>’</w:t>
      </w:r>
      <w:r w:rsidRPr="002A37CD">
        <w:rPr>
          <w:lang w:val="fr-FR"/>
        </w:rPr>
        <w:t>exercice de ces droits, des mesures sont prises pour assurer la mise en œuvre progressive de ces droits dans le cadre des politiques publiques relatives à l</w:t>
      </w:r>
      <w:r w:rsidR="008E14FD">
        <w:rPr>
          <w:lang w:val="fr-FR"/>
        </w:rPr>
        <w:t>’</w:t>
      </w:r>
      <w:r w:rsidRPr="002A37CD">
        <w:rPr>
          <w:lang w:val="fr-FR"/>
        </w:rPr>
        <w:t>emploi. Sur la base de cette loi et afin de promouvoir l</w:t>
      </w:r>
      <w:r w:rsidR="008E14FD">
        <w:rPr>
          <w:lang w:val="fr-FR"/>
        </w:rPr>
        <w:t>’</w:t>
      </w:r>
      <w:r w:rsidRPr="002A37CD">
        <w:rPr>
          <w:lang w:val="fr-FR"/>
        </w:rPr>
        <w:t>égalité des sexes dans les relations de travail, l</w:t>
      </w:r>
      <w:r w:rsidR="008E14FD">
        <w:rPr>
          <w:lang w:val="fr-FR"/>
        </w:rPr>
        <w:t>’</w:t>
      </w:r>
      <w:r w:rsidRPr="002A37CD">
        <w:rPr>
          <w:lang w:val="fr-FR"/>
        </w:rPr>
        <w:t>employeur (directeur d</w:t>
      </w:r>
      <w:r w:rsidR="008E14FD">
        <w:rPr>
          <w:lang w:val="fr-FR"/>
        </w:rPr>
        <w:t>’</w:t>
      </w:r>
      <w:r w:rsidRPr="002A37CD">
        <w:rPr>
          <w:lang w:val="fr-FR"/>
        </w:rPr>
        <w:t>un service public, d</w:t>
      </w:r>
      <w:r w:rsidR="008E14FD">
        <w:rPr>
          <w:lang w:val="fr-FR"/>
        </w:rPr>
        <w:t>’</w:t>
      </w:r>
      <w:r w:rsidRPr="002A37CD">
        <w:rPr>
          <w:lang w:val="fr-FR"/>
        </w:rPr>
        <w:t>une organisation ou d</w:t>
      </w:r>
      <w:r w:rsidR="008E14FD">
        <w:rPr>
          <w:lang w:val="fr-FR"/>
        </w:rPr>
        <w:t>’</w:t>
      </w:r>
      <w:r w:rsidRPr="002A37CD">
        <w:rPr>
          <w:lang w:val="fr-FR"/>
        </w:rPr>
        <w:t>un autre type de personne morale) garantit:</w:t>
      </w:r>
    </w:p>
    <w:p w14:paraId="470148E6" w14:textId="2C580DA0" w:rsidR="002A37CD" w:rsidRPr="002A37CD" w:rsidRDefault="00C35A7D" w:rsidP="00C35A7D">
      <w:pPr>
        <w:pStyle w:val="SingleTxt"/>
        <w:tabs>
          <w:tab w:val="right" w:pos="1685"/>
        </w:tabs>
        <w:spacing w:line="240" w:lineRule="exact"/>
        <w:ind w:left="1742" w:hanging="475"/>
        <w:rPr>
          <w:lang w:val="fr-FR"/>
        </w:rPr>
      </w:pPr>
      <w:r>
        <w:rPr>
          <w:lang w:val="fr-FR"/>
        </w:rPr>
        <w:tab/>
        <w:t>•</w:t>
      </w:r>
      <w:r>
        <w:rPr>
          <w:lang w:val="fr-FR"/>
        </w:rPr>
        <w:tab/>
      </w:r>
      <w:r w:rsidR="002A37CD" w:rsidRPr="002A37CD">
        <w:rPr>
          <w:lang w:val="fr-FR"/>
        </w:rPr>
        <w:t>L</w:t>
      </w:r>
      <w:r w:rsidR="008E14FD">
        <w:rPr>
          <w:lang w:val="fr-FR"/>
        </w:rPr>
        <w:t>’</w:t>
      </w:r>
      <w:r w:rsidR="002A37CD" w:rsidRPr="002A37CD">
        <w:rPr>
          <w:lang w:val="fr-FR"/>
        </w:rPr>
        <w:t>égalité des chances pour les hommes et les femmes en matière de contrats de travail;</w:t>
      </w:r>
    </w:p>
    <w:p w14:paraId="175671D4" w14:textId="2C3A76B4" w:rsidR="002A37CD" w:rsidRPr="002A37CD" w:rsidRDefault="00C35A7D" w:rsidP="00C35A7D">
      <w:pPr>
        <w:pStyle w:val="SingleTxt"/>
        <w:tabs>
          <w:tab w:val="right" w:pos="1685"/>
        </w:tabs>
        <w:spacing w:line="240" w:lineRule="exact"/>
        <w:ind w:left="1742" w:hanging="475"/>
        <w:rPr>
          <w:lang w:val="fr-FR"/>
        </w:rPr>
      </w:pPr>
      <w:r>
        <w:rPr>
          <w:lang w:val="fr-FR"/>
        </w:rPr>
        <w:tab/>
        <w:t>•</w:t>
      </w:r>
      <w:r>
        <w:rPr>
          <w:lang w:val="fr-FR"/>
        </w:rPr>
        <w:tab/>
      </w:r>
      <w:r w:rsidR="002A37CD" w:rsidRPr="002A37CD">
        <w:rPr>
          <w:lang w:val="fr-FR"/>
        </w:rPr>
        <w:t>L</w:t>
      </w:r>
      <w:r w:rsidR="008E14FD">
        <w:rPr>
          <w:lang w:val="fr-FR"/>
        </w:rPr>
        <w:t>’</w:t>
      </w:r>
      <w:r w:rsidR="002A37CD" w:rsidRPr="002A37CD">
        <w:rPr>
          <w:lang w:val="fr-FR"/>
        </w:rPr>
        <w:t>égalité d</w:t>
      </w:r>
      <w:r w:rsidR="008E14FD">
        <w:rPr>
          <w:lang w:val="fr-FR"/>
        </w:rPr>
        <w:t>’</w:t>
      </w:r>
      <w:r w:rsidR="002A37CD" w:rsidRPr="002A37CD">
        <w:rPr>
          <w:lang w:val="fr-FR"/>
        </w:rPr>
        <w:t>accès des hommes et des femmes aux postes vacants;</w:t>
      </w:r>
    </w:p>
    <w:p w14:paraId="6A59966C" w14:textId="5FC05E4E" w:rsidR="002A37CD" w:rsidRPr="002A37CD" w:rsidRDefault="00C35A7D" w:rsidP="00C35A7D">
      <w:pPr>
        <w:pStyle w:val="SingleTxt"/>
        <w:tabs>
          <w:tab w:val="right" w:pos="1685"/>
        </w:tabs>
        <w:spacing w:line="240" w:lineRule="exact"/>
        <w:ind w:left="1742" w:hanging="475"/>
        <w:rPr>
          <w:lang w:val="fr-FR"/>
        </w:rPr>
      </w:pPr>
      <w:r>
        <w:rPr>
          <w:lang w:val="fr-FR"/>
        </w:rPr>
        <w:tab/>
        <w:t>•</w:t>
      </w:r>
      <w:r>
        <w:rPr>
          <w:lang w:val="fr-FR"/>
        </w:rPr>
        <w:tab/>
      </w:r>
      <w:r w:rsidR="002A37CD" w:rsidRPr="002A37CD">
        <w:rPr>
          <w:lang w:val="fr-FR"/>
        </w:rPr>
        <w:t>Un salaire égal pour les hommes et les femmes qui</w:t>
      </w:r>
      <w:r w:rsidR="008E14FD">
        <w:rPr>
          <w:lang w:val="fr-FR"/>
        </w:rPr>
        <w:t xml:space="preserve"> </w:t>
      </w:r>
      <w:r w:rsidR="002A37CD" w:rsidRPr="002A37CD">
        <w:rPr>
          <w:lang w:val="fr-FR"/>
        </w:rPr>
        <w:t>ont les mêmes fonctions ou effectuent un travail de valeur égale;</w:t>
      </w:r>
    </w:p>
    <w:p w14:paraId="09ECA739" w14:textId="33151DEA" w:rsidR="002A37CD" w:rsidRPr="002A37CD" w:rsidRDefault="00C35A7D" w:rsidP="00C35A7D">
      <w:pPr>
        <w:pStyle w:val="SingleTxt"/>
        <w:tabs>
          <w:tab w:val="right" w:pos="1685"/>
        </w:tabs>
        <w:spacing w:line="240" w:lineRule="exact"/>
        <w:ind w:left="1742" w:hanging="475"/>
        <w:rPr>
          <w:lang w:val="fr-FR"/>
        </w:rPr>
      </w:pPr>
      <w:r>
        <w:rPr>
          <w:lang w:val="fr-FR"/>
        </w:rPr>
        <w:lastRenderedPageBreak/>
        <w:tab/>
        <w:t>•</w:t>
      </w:r>
      <w:r>
        <w:rPr>
          <w:lang w:val="fr-FR"/>
        </w:rPr>
        <w:tab/>
      </w:r>
      <w:r w:rsidR="002A37CD" w:rsidRPr="002A37CD">
        <w:rPr>
          <w:lang w:val="fr-FR"/>
        </w:rPr>
        <w:t>L</w:t>
      </w:r>
      <w:r w:rsidR="008E14FD">
        <w:rPr>
          <w:lang w:val="fr-FR"/>
        </w:rPr>
        <w:t>’</w:t>
      </w:r>
      <w:r w:rsidR="002A37CD" w:rsidRPr="002A37CD">
        <w:rPr>
          <w:lang w:val="fr-FR"/>
        </w:rPr>
        <w:t>égalité des chances en matière de formation continue, de recyclage ou</w:t>
      </w:r>
      <w:r w:rsidR="008E14FD">
        <w:rPr>
          <w:lang w:val="fr-FR"/>
        </w:rPr>
        <w:t xml:space="preserve"> </w:t>
      </w:r>
      <w:r w:rsidR="002A37CD" w:rsidRPr="002A37CD">
        <w:rPr>
          <w:lang w:val="fr-FR"/>
        </w:rPr>
        <w:t xml:space="preserve">de promotion professionnelle; </w:t>
      </w:r>
    </w:p>
    <w:p w14:paraId="56D7DE18" w14:textId="1577D7A0" w:rsidR="002A37CD" w:rsidRPr="002A37CD" w:rsidRDefault="00C35A7D" w:rsidP="00C35A7D">
      <w:pPr>
        <w:pStyle w:val="SingleTxt"/>
        <w:tabs>
          <w:tab w:val="right" w:pos="1685"/>
        </w:tabs>
        <w:spacing w:line="240" w:lineRule="exact"/>
        <w:ind w:left="1742" w:hanging="475"/>
        <w:rPr>
          <w:lang w:val="fr-FR"/>
        </w:rPr>
      </w:pPr>
      <w:r>
        <w:rPr>
          <w:lang w:val="fr-FR"/>
        </w:rPr>
        <w:tab/>
        <w:t>•</w:t>
      </w:r>
      <w:r>
        <w:rPr>
          <w:lang w:val="fr-FR"/>
        </w:rPr>
        <w:tab/>
      </w:r>
      <w:r w:rsidR="002A37CD" w:rsidRPr="002A37CD">
        <w:rPr>
          <w:lang w:val="fr-FR"/>
        </w:rPr>
        <w:t>Des conditions de travail sûres ne mettant pas en danger la vie ou la santé des hommes comme des femmes.</w:t>
      </w:r>
    </w:p>
    <w:p w14:paraId="327014E3" w14:textId="3C389702" w:rsidR="002A37CD" w:rsidRPr="002A37CD" w:rsidRDefault="002A37CD" w:rsidP="00746391">
      <w:pPr>
        <w:pStyle w:val="SingleTxt"/>
        <w:numPr>
          <w:ilvl w:val="0"/>
          <w:numId w:val="6"/>
        </w:numPr>
        <w:tabs>
          <w:tab w:val="num" w:pos="2804"/>
        </w:tabs>
        <w:spacing w:line="240" w:lineRule="exact"/>
        <w:ind w:left="1267"/>
        <w:rPr>
          <w:lang w:val="fr-FR"/>
        </w:rPr>
      </w:pPr>
      <w:r w:rsidRPr="002A37CD">
        <w:rPr>
          <w:lang w:val="fr-FR"/>
        </w:rPr>
        <w:t>Ce texte dispose que, lors d</w:t>
      </w:r>
      <w:r w:rsidR="008E14FD">
        <w:rPr>
          <w:lang w:val="fr-FR"/>
        </w:rPr>
        <w:t>’</w:t>
      </w:r>
      <w:r w:rsidRPr="002A37CD">
        <w:rPr>
          <w:lang w:val="fr-FR"/>
        </w:rPr>
        <w:t>un licenciement collectif dans une organisation, le nombre de personnes d</w:t>
      </w:r>
      <w:r w:rsidR="008E14FD">
        <w:rPr>
          <w:lang w:val="fr-FR"/>
        </w:rPr>
        <w:t>’</w:t>
      </w:r>
      <w:r w:rsidRPr="002A37CD">
        <w:rPr>
          <w:lang w:val="fr-FR"/>
        </w:rPr>
        <w:t>un sexe donné qui sont licenciées doit être proportionnel au nombre total de membres du personnel dudit sexe.</w:t>
      </w:r>
    </w:p>
    <w:p w14:paraId="10DE1DF6" w14:textId="51B3A675" w:rsidR="002A37CD" w:rsidRPr="002A37CD" w:rsidRDefault="002A37CD" w:rsidP="00746391">
      <w:pPr>
        <w:pStyle w:val="SingleTxt"/>
        <w:numPr>
          <w:ilvl w:val="0"/>
          <w:numId w:val="6"/>
        </w:numPr>
        <w:tabs>
          <w:tab w:val="num" w:pos="2804"/>
        </w:tabs>
        <w:spacing w:line="240" w:lineRule="exact"/>
        <w:ind w:left="1267"/>
        <w:rPr>
          <w:lang w:val="fr-FR"/>
        </w:rPr>
      </w:pPr>
      <w:r w:rsidRPr="002A37CD">
        <w:rPr>
          <w:lang w:val="fr-FR"/>
        </w:rPr>
        <w:t>L</w:t>
      </w:r>
      <w:r w:rsidR="008E14FD">
        <w:rPr>
          <w:lang w:val="fr-FR"/>
        </w:rPr>
        <w:t>’</w:t>
      </w:r>
      <w:r w:rsidRPr="002A37CD">
        <w:rPr>
          <w:lang w:val="fr-FR"/>
        </w:rPr>
        <w:t>une des grandes mesures prévues par</w:t>
      </w:r>
      <w:r w:rsidR="008E14FD">
        <w:rPr>
          <w:lang w:val="fr-FR"/>
        </w:rPr>
        <w:t xml:space="preserve"> </w:t>
      </w:r>
      <w:r w:rsidRPr="002A37CD">
        <w:rPr>
          <w:lang w:val="fr-FR"/>
        </w:rPr>
        <w:t>la politique relative à l</w:t>
      </w:r>
      <w:r w:rsidR="008E14FD">
        <w:rPr>
          <w:lang w:val="fr-FR"/>
        </w:rPr>
        <w:t>’</w:t>
      </w:r>
      <w:r w:rsidRPr="002A37CD">
        <w:rPr>
          <w:lang w:val="fr-FR"/>
        </w:rPr>
        <w:t>emploi des femmes consiste à aider les femmes qui se lancent dans le travail indépendant ou l</w:t>
      </w:r>
      <w:r w:rsidR="008E14FD">
        <w:rPr>
          <w:lang w:val="fr-FR"/>
        </w:rPr>
        <w:t>’</w:t>
      </w:r>
      <w:r w:rsidRPr="002A37CD">
        <w:rPr>
          <w:lang w:val="fr-FR"/>
        </w:rPr>
        <w:t>entreprenariat en leur donnant accès au microcrédit, qui constitue un moyen efficace de réduire la pauvreté. En effet, les femmes qui créent leur propre entreprise non seulement s</w:t>
      </w:r>
      <w:r w:rsidR="008E14FD">
        <w:rPr>
          <w:lang w:val="fr-FR"/>
        </w:rPr>
        <w:t>’</w:t>
      </w:r>
      <w:r w:rsidRPr="002A37CD">
        <w:rPr>
          <w:lang w:val="fr-FR"/>
        </w:rPr>
        <w:t>assurent un emploi et des revenus mais peuvent aussi créer des emplois pour d</w:t>
      </w:r>
      <w:r w:rsidR="008E14FD">
        <w:rPr>
          <w:lang w:val="fr-FR"/>
        </w:rPr>
        <w:t>’</w:t>
      </w:r>
      <w:r w:rsidRPr="002A37CD">
        <w:rPr>
          <w:lang w:val="fr-FR"/>
        </w:rPr>
        <w:t>autres femmes. En 2016, plus de 150 000 femmes ont bénéficié de microcrédits d</w:t>
      </w:r>
      <w:r w:rsidR="008E14FD">
        <w:rPr>
          <w:lang w:val="fr-FR"/>
        </w:rPr>
        <w:t>’</w:t>
      </w:r>
      <w:r w:rsidRPr="002A37CD">
        <w:rPr>
          <w:lang w:val="fr-FR"/>
        </w:rPr>
        <w:t>un montant total de 1 165 345,5 somoni en vue de la création et du développement de petites entreprises, d</w:t>
      </w:r>
      <w:r w:rsidR="008E14FD">
        <w:rPr>
          <w:lang w:val="fr-FR"/>
        </w:rPr>
        <w:t>’</w:t>
      </w:r>
      <w:r w:rsidRPr="002A37CD">
        <w:rPr>
          <w:lang w:val="fr-FR"/>
        </w:rPr>
        <w:t>ateliers de production et d</w:t>
      </w:r>
      <w:r w:rsidR="008E14FD">
        <w:rPr>
          <w:lang w:val="fr-FR"/>
        </w:rPr>
        <w:t>’</w:t>
      </w:r>
      <w:r w:rsidRPr="002A37CD">
        <w:rPr>
          <w:lang w:val="fr-FR"/>
        </w:rPr>
        <w:t>autres initiatives.</w:t>
      </w:r>
    </w:p>
    <w:p w14:paraId="34302382" w14:textId="0E3EC4C2" w:rsidR="002A37CD" w:rsidRPr="002A37CD" w:rsidRDefault="002A37CD" w:rsidP="00746391">
      <w:pPr>
        <w:pStyle w:val="SingleTxt"/>
        <w:numPr>
          <w:ilvl w:val="0"/>
          <w:numId w:val="6"/>
        </w:numPr>
        <w:tabs>
          <w:tab w:val="num" w:pos="2804"/>
        </w:tabs>
        <w:spacing w:line="240" w:lineRule="exact"/>
        <w:ind w:left="1267"/>
        <w:rPr>
          <w:lang w:val="fr-FR"/>
        </w:rPr>
      </w:pPr>
      <w:r w:rsidRPr="002A37CD">
        <w:rPr>
          <w:lang w:val="fr-FR"/>
        </w:rPr>
        <w:t>La répartition hommes-femmes par type d</w:t>
      </w:r>
      <w:r w:rsidR="008E14FD">
        <w:rPr>
          <w:lang w:val="fr-FR"/>
        </w:rPr>
        <w:t>’</w:t>
      </w:r>
      <w:r w:rsidRPr="002A37CD">
        <w:rPr>
          <w:lang w:val="fr-FR"/>
        </w:rPr>
        <w:t>activité varie considérablement. On observe une prédominance des femmes dans certaines professions (le plus souvent mal rémunérées) tandis que les hommes sont majoritaires dans d</w:t>
      </w:r>
      <w:r w:rsidR="008E14FD">
        <w:rPr>
          <w:lang w:val="fr-FR"/>
        </w:rPr>
        <w:t>’</w:t>
      </w:r>
      <w:r w:rsidRPr="002A37CD">
        <w:rPr>
          <w:lang w:val="fr-FR"/>
        </w:rPr>
        <w:t>autres activités. Les femmes travaillent en majorité dans le secteur des services et l</w:t>
      </w:r>
      <w:r w:rsidR="008E14FD">
        <w:rPr>
          <w:lang w:val="fr-FR"/>
        </w:rPr>
        <w:t>’</w:t>
      </w:r>
      <w:r w:rsidRPr="002A37CD">
        <w:rPr>
          <w:lang w:val="fr-FR"/>
        </w:rPr>
        <w:t>agriculture. En 2016, les femmes représentaient 66,7</w:t>
      </w:r>
      <w:r w:rsidR="00365A31">
        <w:rPr>
          <w:lang w:val="fr-FR"/>
        </w:rPr>
        <w:t> </w:t>
      </w:r>
      <w:r w:rsidRPr="002A37CD">
        <w:rPr>
          <w:lang w:val="fr-FR"/>
        </w:rPr>
        <w:t>% des employés du secteur de la santé, 46</w:t>
      </w:r>
      <w:r w:rsidR="00365A31">
        <w:rPr>
          <w:lang w:val="fr-FR"/>
        </w:rPr>
        <w:t> </w:t>
      </w:r>
      <w:r w:rsidRPr="002A37CD">
        <w:rPr>
          <w:lang w:val="fr-FR"/>
        </w:rPr>
        <w:t>% des travailleurs agricoles et 61,6</w:t>
      </w:r>
      <w:r w:rsidR="00365A31">
        <w:rPr>
          <w:lang w:val="fr-FR"/>
        </w:rPr>
        <w:t> </w:t>
      </w:r>
      <w:r w:rsidRPr="002A37CD">
        <w:rPr>
          <w:lang w:val="fr-FR"/>
        </w:rPr>
        <w:t>% des travailleurs du secteur de l</w:t>
      </w:r>
      <w:r w:rsidR="008E14FD">
        <w:rPr>
          <w:lang w:val="fr-FR"/>
        </w:rPr>
        <w:t>’</w:t>
      </w:r>
      <w:r w:rsidRPr="002A37CD">
        <w:rPr>
          <w:lang w:val="fr-FR"/>
        </w:rPr>
        <w:t>éducation.</w:t>
      </w:r>
    </w:p>
    <w:p w14:paraId="35CF1475" w14:textId="2DC1E546" w:rsidR="002A37CD" w:rsidRPr="00F9014D" w:rsidRDefault="002A37CD" w:rsidP="00F9014D">
      <w:pPr>
        <w:pStyle w:val="SingleTxt"/>
        <w:tabs>
          <w:tab w:val="num" w:pos="2804"/>
        </w:tabs>
        <w:spacing w:after="0" w:line="120" w:lineRule="exact"/>
        <w:rPr>
          <w:sz w:val="10"/>
          <w:lang w:val="fr-FR"/>
        </w:rPr>
      </w:pPr>
    </w:p>
    <w:p w14:paraId="05CAE6FB" w14:textId="018275E5" w:rsidR="002A37CD" w:rsidRPr="002A37CD" w:rsidRDefault="00F9014D" w:rsidP="00F901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37CD" w:rsidRPr="002A37CD">
        <w:rPr>
          <w:lang w:val="fr-FR"/>
        </w:rPr>
        <w:t>Répartition de la population active et des personnes employées par type d</w:t>
      </w:r>
      <w:r w:rsidR="008E14FD">
        <w:rPr>
          <w:lang w:val="fr-FR"/>
        </w:rPr>
        <w:t>’</w:t>
      </w:r>
      <w:r w:rsidR="002A37CD" w:rsidRPr="002A37CD">
        <w:rPr>
          <w:lang w:val="fr-FR"/>
        </w:rPr>
        <w:t>activité économique en 2016</w:t>
      </w:r>
    </w:p>
    <w:p w14:paraId="540BD6A4" w14:textId="47500081" w:rsidR="002A37CD" w:rsidRPr="00677C1C" w:rsidRDefault="00F9014D" w:rsidP="00F901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lang w:val="fr-FR"/>
        </w:rPr>
      </w:pPr>
      <w:r>
        <w:rPr>
          <w:lang w:val="fr-FR"/>
        </w:rPr>
        <w:tab/>
      </w:r>
      <w:r>
        <w:rPr>
          <w:lang w:val="fr-FR"/>
        </w:rPr>
        <w:tab/>
      </w:r>
      <w:r w:rsidR="002A37CD" w:rsidRPr="00677C1C">
        <w:rPr>
          <w:b w:val="0"/>
          <w:bCs/>
          <w:sz w:val="14"/>
          <w:szCs w:val="14"/>
          <w:lang w:val="fr-FR"/>
        </w:rPr>
        <w:t>(selon les données des rapports annuels, en nombre de personnes)</w:t>
      </w:r>
    </w:p>
    <w:p w14:paraId="5F3EEA26" w14:textId="69CC8DAA" w:rsidR="002A37CD" w:rsidRPr="00F9014D" w:rsidRDefault="002A37CD" w:rsidP="00F9014D">
      <w:pPr>
        <w:pStyle w:val="SingleTxt"/>
        <w:spacing w:after="0" w:line="120" w:lineRule="exact"/>
        <w:rPr>
          <w:sz w:val="10"/>
          <w:lang w:val="fr-FR"/>
        </w:rPr>
      </w:pPr>
    </w:p>
    <w:tbl>
      <w:tblPr>
        <w:tblW w:w="0" w:type="auto"/>
        <w:tblInd w:w="1260" w:type="dxa"/>
        <w:tblLayout w:type="fixed"/>
        <w:tblCellMar>
          <w:left w:w="0" w:type="dxa"/>
          <w:right w:w="0" w:type="dxa"/>
        </w:tblCellMar>
        <w:tblLook w:val="01E0" w:firstRow="1" w:lastRow="1" w:firstColumn="1" w:lastColumn="1" w:noHBand="0" w:noVBand="0"/>
      </w:tblPr>
      <w:tblGrid>
        <w:gridCol w:w="2700"/>
        <w:gridCol w:w="900"/>
        <w:gridCol w:w="962"/>
        <w:gridCol w:w="1108"/>
        <w:gridCol w:w="1574"/>
      </w:tblGrid>
      <w:tr w:rsidR="00DE45B9" w:rsidRPr="002A37CD" w14:paraId="499BAB1B" w14:textId="77777777" w:rsidTr="00F0198E">
        <w:trPr>
          <w:tblHeader/>
        </w:trPr>
        <w:tc>
          <w:tcPr>
            <w:tcW w:w="2700" w:type="dxa"/>
            <w:shd w:val="clear" w:color="auto" w:fill="auto"/>
            <w:vAlign w:val="bottom"/>
          </w:tcPr>
          <w:p w14:paraId="7755B4D4" w14:textId="77777777" w:rsidR="00DE45B9" w:rsidRPr="002A37CD" w:rsidRDefault="00DE45B9" w:rsidP="00D905BF">
            <w:pPr>
              <w:suppressAutoHyphens/>
              <w:spacing w:before="80" w:after="80" w:line="160" w:lineRule="exact"/>
              <w:ind w:right="40"/>
              <w:rPr>
                <w:rFonts w:eastAsia="Times New Roman"/>
                <w:spacing w:val="0"/>
                <w:w w:val="100"/>
                <w:kern w:val="0"/>
                <w:sz w:val="16"/>
                <w:szCs w:val="24"/>
                <w:lang w:val="fr-FR"/>
              </w:rPr>
            </w:pPr>
            <w:bookmarkStart w:id="4" w:name="_Hlk505250647"/>
          </w:p>
        </w:tc>
        <w:tc>
          <w:tcPr>
            <w:tcW w:w="2970" w:type="dxa"/>
            <w:gridSpan w:val="3"/>
            <w:tcBorders>
              <w:bottom w:val="single" w:sz="4" w:space="0" w:color="auto"/>
            </w:tcBorders>
            <w:shd w:val="clear" w:color="auto" w:fill="auto"/>
            <w:vAlign w:val="bottom"/>
          </w:tcPr>
          <w:p w14:paraId="2E070F98" w14:textId="087D446E" w:rsidR="00DE45B9" w:rsidRPr="00DE45B9" w:rsidRDefault="00DE45B9" w:rsidP="00D905BF">
            <w:pPr>
              <w:suppressAutoHyphens/>
              <w:spacing w:before="80" w:after="80" w:line="160" w:lineRule="exact"/>
              <w:ind w:left="144" w:right="43"/>
              <w:jc w:val="center"/>
              <w:rPr>
                <w:rFonts w:eastAsia="Times New Roman"/>
                <w:i/>
                <w:iCs/>
                <w:spacing w:val="0"/>
                <w:w w:val="100"/>
                <w:kern w:val="0"/>
                <w:sz w:val="14"/>
                <w:szCs w:val="14"/>
                <w:lang w:val="fr-FR"/>
              </w:rPr>
            </w:pPr>
            <w:r w:rsidRPr="00DE45B9">
              <w:rPr>
                <w:rFonts w:eastAsia="Times New Roman"/>
                <w:i/>
                <w:iCs/>
                <w:spacing w:val="0"/>
                <w:w w:val="100"/>
                <w:kern w:val="0"/>
                <w:sz w:val="14"/>
                <w:szCs w:val="14"/>
                <w:lang w:val="fr-FR"/>
              </w:rPr>
              <w:t>Nombre annuel moyen d’employés</w:t>
            </w:r>
          </w:p>
        </w:tc>
        <w:tc>
          <w:tcPr>
            <w:tcW w:w="1574" w:type="dxa"/>
            <w:vMerge w:val="restart"/>
            <w:tcBorders>
              <w:bottom w:val="single" w:sz="12" w:space="0" w:color="auto"/>
            </w:tcBorders>
            <w:shd w:val="clear" w:color="auto" w:fill="auto"/>
            <w:vAlign w:val="bottom"/>
          </w:tcPr>
          <w:p w14:paraId="5FEE0751" w14:textId="2974260E" w:rsidR="00DE45B9" w:rsidRPr="00DE45B9" w:rsidRDefault="00DE45B9" w:rsidP="00D905BF">
            <w:pPr>
              <w:suppressAutoHyphens/>
              <w:spacing w:before="80" w:after="80" w:line="160" w:lineRule="exact"/>
              <w:ind w:right="40"/>
              <w:jc w:val="right"/>
              <w:rPr>
                <w:rFonts w:eastAsia="Times New Roman"/>
                <w:i/>
                <w:iCs/>
                <w:spacing w:val="0"/>
                <w:w w:val="100"/>
                <w:kern w:val="0"/>
                <w:sz w:val="14"/>
                <w:szCs w:val="14"/>
                <w:lang w:val="fr-FR"/>
              </w:rPr>
            </w:pPr>
            <w:r w:rsidRPr="00DE45B9">
              <w:rPr>
                <w:rFonts w:eastAsia="Times New Roman"/>
                <w:i/>
                <w:iCs/>
                <w:spacing w:val="0"/>
                <w:w w:val="100"/>
                <w:kern w:val="0"/>
                <w:sz w:val="14"/>
                <w:szCs w:val="14"/>
                <w:lang w:val="fr-FR"/>
              </w:rPr>
              <w:t>Proportion de femmes en pourcentage du nombre total d’employés</w:t>
            </w:r>
          </w:p>
        </w:tc>
      </w:tr>
      <w:tr w:rsidR="00DE45B9" w:rsidRPr="002A37CD" w14:paraId="4D583F1D" w14:textId="77777777" w:rsidTr="00F0198E">
        <w:trPr>
          <w:tblHeader/>
        </w:trPr>
        <w:tc>
          <w:tcPr>
            <w:tcW w:w="2700" w:type="dxa"/>
            <w:tcBorders>
              <w:bottom w:val="single" w:sz="12" w:space="0" w:color="auto"/>
            </w:tcBorders>
            <w:shd w:val="clear" w:color="auto" w:fill="auto"/>
            <w:vAlign w:val="bottom"/>
          </w:tcPr>
          <w:p w14:paraId="74000E3C" w14:textId="77777777" w:rsidR="00DE45B9" w:rsidRPr="002A37CD" w:rsidRDefault="00DE45B9" w:rsidP="00D905BF">
            <w:pPr>
              <w:suppressAutoHyphens/>
              <w:spacing w:before="80" w:after="80" w:line="160" w:lineRule="exact"/>
              <w:ind w:right="40"/>
              <w:rPr>
                <w:rFonts w:asciiTheme="minorHAnsi" w:hAnsiTheme="minorHAnsi" w:cstheme="minorBidi"/>
                <w:spacing w:val="0"/>
                <w:w w:val="100"/>
                <w:kern w:val="0"/>
                <w:sz w:val="18"/>
                <w:szCs w:val="24"/>
                <w:lang w:val="fr-FR"/>
              </w:rPr>
            </w:pPr>
          </w:p>
        </w:tc>
        <w:tc>
          <w:tcPr>
            <w:tcW w:w="900" w:type="dxa"/>
            <w:tcBorders>
              <w:top w:val="single" w:sz="4" w:space="0" w:color="auto"/>
              <w:bottom w:val="single" w:sz="12" w:space="0" w:color="auto"/>
            </w:tcBorders>
            <w:shd w:val="clear" w:color="auto" w:fill="auto"/>
            <w:vAlign w:val="bottom"/>
          </w:tcPr>
          <w:p w14:paraId="412F156C" w14:textId="77777777" w:rsidR="00DE45B9" w:rsidRPr="00DE45B9" w:rsidRDefault="00DE45B9" w:rsidP="00D905BF">
            <w:pPr>
              <w:suppressAutoHyphens/>
              <w:spacing w:before="80" w:after="80" w:line="160" w:lineRule="exact"/>
              <w:ind w:left="144" w:right="43"/>
              <w:jc w:val="right"/>
              <w:rPr>
                <w:rFonts w:eastAsia="Times New Roman"/>
                <w:i/>
                <w:iCs/>
                <w:spacing w:val="0"/>
                <w:w w:val="100"/>
                <w:kern w:val="0"/>
                <w:sz w:val="14"/>
                <w:szCs w:val="14"/>
                <w:lang w:val="fr-FR"/>
              </w:rPr>
            </w:pPr>
            <w:r w:rsidRPr="00DE45B9">
              <w:rPr>
                <w:rFonts w:eastAsia="Times New Roman"/>
                <w:i/>
                <w:iCs/>
                <w:spacing w:val="0"/>
                <w:w w:val="100"/>
                <w:kern w:val="0"/>
                <w:sz w:val="14"/>
                <w:szCs w:val="14"/>
                <w:lang w:val="fr-FR"/>
              </w:rPr>
              <w:t>Total</w:t>
            </w:r>
          </w:p>
        </w:tc>
        <w:tc>
          <w:tcPr>
            <w:tcW w:w="962" w:type="dxa"/>
            <w:tcBorders>
              <w:top w:val="single" w:sz="4" w:space="0" w:color="auto"/>
              <w:bottom w:val="single" w:sz="12" w:space="0" w:color="auto"/>
            </w:tcBorders>
            <w:shd w:val="clear" w:color="auto" w:fill="auto"/>
            <w:vAlign w:val="bottom"/>
          </w:tcPr>
          <w:p w14:paraId="4655B35D" w14:textId="77777777" w:rsidR="00DE45B9" w:rsidRPr="00DE45B9" w:rsidRDefault="00DE45B9" w:rsidP="00D905BF">
            <w:pPr>
              <w:suppressAutoHyphens/>
              <w:spacing w:before="80" w:after="80" w:line="160" w:lineRule="exact"/>
              <w:ind w:left="144" w:right="43"/>
              <w:jc w:val="right"/>
              <w:rPr>
                <w:rFonts w:eastAsia="Times New Roman"/>
                <w:i/>
                <w:iCs/>
                <w:spacing w:val="0"/>
                <w:w w:val="100"/>
                <w:kern w:val="0"/>
                <w:sz w:val="14"/>
                <w:szCs w:val="14"/>
                <w:lang w:val="fr-FR"/>
              </w:rPr>
            </w:pPr>
            <w:r w:rsidRPr="00DE45B9">
              <w:rPr>
                <w:rFonts w:eastAsia="Times New Roman"/>
                <w:i/>
                <w:iCs/>
                <w:spacing w:val="0"/>
                <w:w w:val="100"/>
                <w:kern w:val="0"/>
                <w:sz w:val="14"/>
                <w:szCs w:val="14"/>
                <w:lang w:val="fr-FR"/>
              </w:rPr>
              <w:t xml:space="preserve">Hommes </w:t>
            </w:r>
          </w:p>
        </w:tc>
        <w:tc>
          <w:tcPr>
            <w:tcW w:w="1108" w:type="dxa"/>
            <w:tcBorders>
              <w:top w:val="single" w:sz="4" w:space="0" w:color="auto"/>
              <w:bottom w:val="single" w:sz="12" w:space="0" w:color="auto"/>
            </w:tcBorders>
            <w:shd w:val="clear" w:color="auto" w:fill="auto"/>
            <w:vAlign w:val="bottom"/>
          </w:tcPr>
          <w:p w14:paraId="60CEDC89" w14:textId="77777777" w:rsidR="00DE45B9" w:rsidRPr="00DE45B9" w:rsidRDefault="00DE45B9" w:rsidP="00D905BF">
            <w:pPr>
              <w:suppressAutoHyphens/>
              <w:spacing w:before="80" w:after="80" w:line="160" w:lineRule="exact"/>
              <w:ind w:left="144" w:right="43"/>
              <w:jc w:val="right"/>
              <w:rPr>
                <w:rFonts w:eastAsia="Times New Roman"/>
                <w:i/>
                <w:iCs/>
                <w:spacing w:val="0"/>
                <w:w w:val="100"/>
                <w:kern w:val="0"/>
                <w:sz w:val="14"/>
                <w:szCs w:val="14"/>
                <w:lang w:val="fr-FR"/>
              </w:rPr>
            </w:pPr>
            <w:r w:rsidRPr="00DE45B9">
              <w:rPr>
                <w:rFonts w:eastAsia="Times New Roman"/>
                <w:i/>
                <w:iCs/>
                <w:spacing w:val="0"/>
                <w:w w:val="100"/>
                <w:kern w:val="0"/>
                <w:sz w:val="14"/>
                <w:szCs w:val="14"/>
                <w:lang w:val="fr-FR"/>
              </w:rPr>
              <w:t>Femmes</w:t>
            </w:r>
          </w:p>
        </w:tc>
        <w:tc>
          <w:tcPr>
            <w:tcW w:w="1574" w:type="dxa"/>
            <w:vMerge/>
            <w:tcBorders>
              <w:bottom w:val="single" w:sz="12" w:space="0" w:color="auto"/>
            </w:tcBorders>
            <w:shd w:val="clear" w:color="auto" w:fill="auto"/>
            <w:vAlign w:val="bottom"/>
          </w:tcPr>
          <w:p w14:paraId="7AEF673B" w14:textId="77777777" w:rsidR="00DE45B9" w:rsidRPr="002A37CD" w:rsidRDefault="00DE45B9" w:rsidP="00D905BF">
            <w:pPr>
              <w:suppressAutoHyphens/>
              <w:spacing w:before="80" w:after="80" w:line="160" w:lineRule="exact"/>
              <w:ind w:right="40"/>
              <w:jc w:val="right"/>
              <w:rPr>
                <w:rFonts w:asciiTheme="minorHAnsi" w:hAnsiTheme="minorHAnsi" w:cstheme="minorBidi"/>
                <w:spacing w:val="0"/>
                <w:w w:val="100"/>
                <w:kern w:val="0"/>
                <w:sz w:val="18"/>
                <w:szCs w:val="24"/>
                <w:lang w:val="fr-FR"/>
              </w:rPr>
            </w:pPr>
          </w:p>
        </w:tc>
      </w:tr>
      <w:tr w:rsidR="00F0198E" w:rsidRPr="00F0198E" w14:paraId="1C224994" w14:textId="77777777" w:rsidTr="006F18FE">
        <w:trPr>
          <w:trHeight w:val="69"/>
        </w:trPr>
        <w:tc>
          <w:tcPr>
            <w:tcW w:w="2700" w:type="dxa"/>
            <w:tcBorders>
              <w:top w:val="single" w:sz="12" w:space="0" w:color="auto"/>
            </w:tcBorders>
            <w:shd w:val="clear" w:color="auto" w:fill="auto"/>
            <w:vAlign w:val="bottom"/>
          </w:tcPr>
          <w:p w14:paraId="365CB967" w14:textId="77777777" w:rsidR="00F0198E" w:rsidRPr="00F0198E" w:rsidRDefault="00F0198E" w:rsidP="00D905BF">
            <w:pPr>
              <w:suppressAutoHyphens/>
              <w:spacing w:line="240" w:lineRule="auto"/>
              <w:ind w:right="40"/>
              <w:rPr>
                <w:rFonts w:asciiTheme="minorHAnsi" w:hAnsiTheme="minorHAnsi" w:cstheme="minorBidi"/>
                <w:spacing w:val="0"/>
                <w:w w:val="100"/>
                <w:kern w:val="0"/>
                <w:sz w:val="2"/>
                <w:szCs w:val="24"/>
                <w:lang w:val="fr-FR"/>
              </w:rPr>
            </w:pPr>
          </w:p>
        </w:tc>
        <w:tc>
          <w:tcPr>
            <w:tcW w:w="900" w:type="dxa"/>
            <w:tcBorders>
              <w:top w:val="single" w:sz="12" w:space="0" w:color="auto"/>
            </w:tcBorders>
            <w:shd w:val="clear" w:color="auto" w:fill="auto"/>
            <w:vAlign w:val="bottom"/>
          </w:tcPr>
          <w:p w14:paraId="1E41768B" w14:textId="77777777" w:rsidR="00F0198E" w:rsidRPr="00F0198E" w:rsidRDefault="00F0198E" w:rsidP="00D905BF">
            <w:pPr>
              <w:suppressAutoHyphens/>
              <w:spacing w:line="240" w:lineRule="auto"/>
              <w:ind w:right="40"/>
              <w:jc w:val="right"/>
              <w:rPr>
                <w:rFonts w:asciiTheme="minorHAnsi" w:hAnsiTheme="minorHAnsi" w:cstheme="minorBidi"/>
                <w:spacing w:val="0"/>
                <w:w w:val="100"/>
                <w:kern w:val="0"/>
                <w:sz w:val="2"/>
                <w:szCs w:val="24"/>
                <w:lang w:val="fr-FR"/>
              </w:rPr>
            </w:pPr>
          </w:p>
        </w:tc>
        <w:tc>
          <w:tcPr>
            <w:tcW w:w="962" w:type="dxa"/>
            <w:tcBorders>
              <w:top w:val="single" w:sz="12" w:space="0" w:color="auto"/>
            </w:tcBorders>
            <w:shd w:val="clear" w:color="auto" w:fill="auto"/>
            <w:vAlign w:val="bottom"/>
          </w:tcPr>
          <w:p w14:paraId="506D68F8" w14:textId="77777777" w:rsidR="00F0198E" w:rsidRPr="00F0198E" w:rsidRDefault="00F0198E" w:rsidP="00D905BF">
            <w:pPr>
              <w:suppressAutoHyphens/>
              <w:spacing w:line="240" w:lineRule="auto"/>
              <w:ind w:right="40"/>
              <w:jc w:val="right"/>
              <w:rPr>
                <w:rFonts w:asciiTheme="minorHAnsi" w:hAnsiTheme="minorHAnsi" w:cstheme="minorBidi"/>
                <w:bCs/>
                <w:spacing w:val="0"/>
                <w:w w:val="100"/>
                <w:kern w:val="0"/>
                <w:sz w:val="2"/>
                <w:szCs w:val="24"/>
                <w:lang w:val="fr-FR"/>
              </w:rPr>
            </w:pPr>
          </w:p>
        </w:tc>
        <w:tc>
          <w:tcPr>
            <w:tcW w:w="1108" w:type="dxa"/>
            <w:tcBorders>
              <w:top w:val="single" w:sz="12" w:space="0" w:color="auto"/>
            </w:tcBorders>
            <w:shd w:val="clear" w:color="auto" w:fill="auto"/>
            <w:vAlign w:val="bottom"/>
          </w:tcPr>
          <w:p w14:paraId="1060CDF6" w14:textId="77777777" w:rsidR="00F0198E" w:rsidRPr="00F0198E" w:rsidRDefault="00F0198E" w:rsidP="00D905BF">
            <w:pPr>
              <w:suppressAutoHyphens/>
              <w:spacing w:line="240" w:lineRule="auto"/>
              <w:ind w:right="40"/>
              <w:jc w:val="right"/>
              <w:rPr>
                <w:rFonts w:asciiTheme="minorHAnsi" w:hAnsiTheme="minorHAnsi" w:cstheme="minorBidi"/>
                <w:spacing w:val="0"/>
                <w:w w:val="100"/>
                <w:kern w:val="0"/>
                <w:sz w:val="2"/>
                <w:szCs w:val="24"/>
                <w:lang w:val="fr-FR"/>
              </w:rPr>
            </w:pPr>
          </w:p>
        </w:tc>
        <w:tc>
          <w:tcPr>
            <w:tcW w:w="1574" w:type="dxa"/>
            <w:tcBorders>
              <w:top w:val="single" w:sz="12" w:space="0" w:color="auto"/>
            </w:tcBorders>
            <w:shd w:val="clear" w:color="auto" w:fill="auto"/>
            <w:vAlign w:val="bottom"/>
          </w:tcPr>
          <w:p w14:paraId="6CC9FE00" w14:textId="77777777" w:rsidR="00F0198E" w:rsidRPr="00F0198E" w:rsidRDefault="00F0198E" w:rsidP="00D905BF">
            <w:pPr>
              <w:suppressAutoHyphens/>
              <w:spacing w:line="240" w:lineRule="auto"/>
              <w:ind w:right="40"/>
              <w:jc w:val="right"/>
              <w:rPr>
                <w:rFonts w:asciiTheme="minorHAnsi" w:hAnsiTheme="minorHAnsi" w:cstheme="minorBidi"/>
                <w:spacing w:val="0"/>
                <w:w w:val="100"/>
                <w:kern w:val="0"/>
                <w:sz w:val="2"/>
                <w:szCs w:val="24"/>
                <w:lang w:val="fr-FR"/>
              </w:rPr>
            </w:pPr>
          </w:p>
        </w:tc>
      </w:tr>
      <w:tr w:rsidR="002A37CD" w:rsidRPr="00D905BF" w14:paraId="5975B2FA" w14:textId="77777777" w:rsidTr="00F0198E">
        <w:tc>
          <w:tcPr>
            <w:tcW w:w="2700" w:type="dxa"/>
            <w:shd w:val="clear" w:color="auto" w:fill="auto"/>
            <w:vAlign w:val="bottom"/>
          </w:tcPr>
          <w:p w14:paraId="4D7A1EF7" w14:textId="77777777" w:rsidR="002A37CD" w:rsidRPr="00D905BF" w:rsidRDefault="002A37CD" w:rsidP="00D905BF">
            <w:pPr>
              <w:suppressAutoHyphens/>
              <w:spacing w:before="40" w:after="40" w:line="210" w:lineRule="exact"/>
              <w:ind w:right="43"/>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 xml:space="preserve">Tous les secteurs </w:t>
            </w:r>
          </w:p>
        </w:tc>
        <w:tc>
          <w:tcPr>
            <w:tcW w:w="900" w:type="dxa"/>
            <w:shd w:val="clear" w:color="auto" w:fill="auto"/>
            <w:vAlign w:val="bottom"/>
          </w:tcPr>
          <w:p w14:paraId="6102C4FE" w14:textId="033FB17B"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050</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713</w:t>
            </w:r>
          </w:p>
        </w:tc>
        <w:tc>
          <w:tcPr>
            <w:tcW w:w="962" w:type="dxa"/>
            <w:shd w:val="clear" w:color="auto" w:fill="auto"/>
            <w:vAlign w:val="bottom"/>
          </w:tcPr>
          <w:p w14:paraId="424C2741" w14:textId="05F978E3"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566</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090</w:t>
            </w:r>
          </w:p>
        </w:tc>
        <w:tc>
          <w:tcPr>
            <w:tcW w:w="1108" w:type="dxa"/>
            <w:shd w:val="clear" w:color="auto" w:fill="auto"/>
            <w:vAlign w:val="bottom"/>
          </w:tcPr>
          <w:p w14:paraId="7E8AC06D" w14:textId="1B6475B3"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484</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623</w:t>
            </w:r>
          </w:p>
        </w:tc>
        <w:tc>
          <w:tcPr>
            <w:tcW w:w="1574" w:type="dxa"/>
            <w:shd w:val="clear" w:color="auto" w:fill="auto"/>
            <w:vAlign w:val="bottom"/>
          </w:tcPr>
          <w:p w14:paraId="2C05114E"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46,1</w:t>
            </w:r>
          </w:p>
        </w:tc>
      </w:tr>
      <w:tr w:rsidR="002A37CD" w:rsidRPr="00D905BF" w14:paraId="26FD72FE" w14:textId="77777777" w:rsidTr="00F0198E">
        <w:tc>
          <w:tcPr>
            <w:tcW w:w="2700" w:type="dxa"/>
            <w:shd w:val="clear" w:color="auto" w:fill="auto"/>
            <w:vAlign w:val="bottom"/>
          </w:tcPr>
          <w:p w14:paraId="13601244" w14:textId="490D0C58" w:rsidR="002A37CD" w:rsidRPr="00D905BF" w:rsidRDefault="002A37CD" w:rsidP="00D905BF">
            <w:pPr>
              <w:suppressAutoHyphens/>
              <w:spacing w:before="40" w:after="40" w:line="210" w:lineRule="exact"/>
              <w:ind w:right="43"/>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Secteur de l</w:t>
            </w:r>
            <w:r w:rsidR="008E14FD" w:rsidRPr="00D905BF">
              <w:rPr>
                <w:rFonts w:asciiTheme="majorBidi" w:eastAsia="Times New Roman" w:hAnsiTheme="majorBidi" w:cstheme="majorBidi"/>
                <w:spacing w:val="0"/>
                <w:w w:val="100"/>
                <w:kern w:val="0"/>
                <w:sz w:val="17"/>
                <w:szCs w:val="17"/>
                <w:lang w:val="fr-FR" w:eastAsia="ru-RU"/>
              </w:rPr>
              <w:t>’</w:t>
            </w:r>
            <w:r w:rsidRPr="00D905BF">
              <w:rPr>
                <w:rFonts w:asciiTheme="majorBidi" w:eastAsia="Times New Roman" w:hAnsiTheme="majorBidi" w:cstheme="majorBidi"/>
                <w:spacing w:val="0"/>
                <w:w w:val="100"/>
                <w:kern w:val="0"/>
                <w:sz w:val="17"/>
                <w:szCs w:val="17"/>
                <w:lang w:val="fr-FR" w:eastAsia="ru-RU"/>
              </w:rPr>
              <w:t>économie réelle</w:t>
            </w:r>
          </w:p>
        </w:tc>
        <w:tc>
          <w:tcPr>
            <w:tcW w:w="900" w:type="dxa"/>
            <w:shd w:val="clear" w:color="auto" w:fill="auto"/>
            <w:vAlign w:val="bottom"/>
          </w:tcPr>
          <w:p w14:paraId="67A96E54" w14:textId="2B8E233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553</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966</w:t>
            </w:r>
          </w:p>
        </w:tc>
        <w:tc>
          <w:tcPr>
            <w:tcW w:w="962" w:type="dxa"/>
            <w:shd w:val="clear" w:color="auto" w:fill="auto"/>
            <w:vAlign w:val="bottom"/>
          </w:tcPr>
          <w:p w14:paraId="69FA6C1F" w14:textId="4E85F912"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328</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489</w:t>
            </w:r>
          </w:p>
        </w:tc>
        <w:tc>
          <w:tcPr>
            <w:tcW w:w="1108" w:type="dxa"/>
            <w:shd w:val="clear" w:color="auto" w:fill="auto"/>
            <w:vAlign w:val="bottom"/>
          </w:tcPr>
          <w:p w14:paraId="4712D8C6"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225477</w:t>
            </w:r>
          </w:p>
        </w:tc>
        <w:tc>
          <w:tcPr>
            <w:tcW w:w="1574" w:type="dxa"/>
            <w:shd w:val="clear" w:color="auto" w:fill="auto"/>
            <w:vAlign w:val="bottom"/>
          </w:tcPr>
          <w:p w14:paraId="3912F2E8"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40,7</w:t>
            </w:r>
          </w:p>
        </w:tc>
      </w:tr>
      <w:tr w:rsidR="002A37CD" w:rsidRPr="00D905BF" w14:paraId="506DD7B7" w14:textId="77777777" w:rsidTr="00F0198E">
        <w:tc>
          <w:tcPr>
            <w:tcW w:w="2700" w:type="dxa"/>
            <w:shd w:val="clear" w:color="auto" w:fill="auto"/>
            <w:vAlign w:val="bottom"/>
          </w:tcPr>
          <w:p w14:paraId="64314367" w14:textId="14751DC7" w:rsidR="002A37CD" w:rsidRPr="00D905BF" w:rsidRDefault="00A81ADA" w:rsidP="00D905BF">
            <w:pPr>
              <w:suppressAutoHyphens/>
              <w:spacing w:before="40" w:after="40" w:line="210" w:lineRule="exact"/>
              <w:ind w:right="43"/>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d</w:t>
            </w:r>
            <w:r w:rsidR="002A37CD" w:rsidRPr="00D905BF">
              <w:rPr>
                <w:rFonts w:asciiTheme="majorBidi" w:eastAsia="Times New Roman" w:hAnsiTheme="majorBidi" w:cstheme="majorBidi"/>
                <w:spacing w:val="0"/>
                <w:w w:val="100"/>
                <w:kern w:val="0"/>
                <w:sz w:val="17"/>
                <w:szCs w:val="17"/>
                <w:lang w:val="fr-FR" w:eastAsia="ru-RU"/>
              </w:rPr>
              <w:t>ont</w:t>
            </w:r>
            <w:r w:rsidR="00767A80">
              <w:rPr>
                <w:rFonts w:asciiTheme="majorBidi" w:eastAsia="Times New Roman" w:hAnsiTheme="majorBidi" w:cstheme="majorBidi"/>
                <w:spacing w:val="0"/>
                <w:w w:val="100"/>
                <w:kern w:val="0"/>
                <w:sz w:val="17"/>
                <w:szCs w:val="17"/>
                <w:lang w:val="fr-FR" w:eastAsia="ru-RU"/>
              </w:rPr>
              <w:t> </w:t>
            </w:r>
            <w:r w:rsidR="002A37CD" w:rsidRPr="00D905BF">
              <w:rPr>
                <w:rFonts w:asciiTheme="majorBidi" w:eastAsia="Times New Roman" w:hAnsiTheme="majorBidi" w:cstheme="majorBidi"/>
                <w:spacing w:val="0"/>
                <w:w w:val="100"/>
                <w:kern w:val="0"/>
                <w:sz w:val="17"/>
                <w:szCs w:val="17"/>
                <w:lang w:val="fr-FR" w:eastAsia="ru-RU"/>
              </w:rPr>
              <w:t>:</w:t>
            </w:r>
          </w:p>
        </w:tc>
        <w:tc>
          <w:tcPr>
            <w:tcW w:w="900" w:type="dxa"/>
            <w:shd w:val="clear" w:color="auto" w:fill="auto"/>
            <w:vAlign w:val="bottom"/>
          </w:tcPr>
          <w:p w14:paraId="50F3AB0C"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p>
        </w:tc>
        <w:tc>
          <w:tcPr>
            <w:tcW w:w="962" w:type="dxa"/>
            <w:shd w:val="clear" w:color="auto" w:fill="auto"/>
            <w:vAlign w:val="bottom"/>
          </w:tcPr>
          <w:p w14:paraId="2EF5C307"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p>
        </w:tc>
        <w:tc>
          <w:tcPr>
            <w:tcW w:w="1108" w:type="dxa"/>
            <w:shd w:val="clear" w:color="auto" w:fill="auto"/>
            <w:vAlign w:val="bottom"/>
          </w:tcPr>
          <w:p w14:paraId="2547AAF4"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p>
        </w:tc>
        <w:tc>
          <w:tcPr>
            <w:tcW w:w="1574" w:type="dxa"/>
            <w:shd w:val="clear" w:color="auto" w:fill="auto"/>
            <w:vAlign w:val="bottom"/>
          </w:tcPr>
          <w:p w14:paraId="49760A16"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 </w:t>
            </w:r>
          </w:p>
        </w:tc>
      </w:tr>
      <w:tr w:rsidR="002A37CD" w:rsidRPr="00D905BF" w14:paraId="33C0BCCB" w14:textId="77777777" w:rsidTr="00F0198E">
        <w:tc>
          <w:tcPr>
            <w:tcW w:w="2700" w:type="dxa"/>
            <w:shd w:val="clear" w:color="auto" w:fill="auto"/>
            <w:vAlign w:val="bottom"/>
          </w:tcPr>
          <w:p w14:paraId="20F96CA3" w14:textId="575992C5" w:rsidR="002A37CD" w:rsidRPr="00D905BF" w:rsidRDefault="00F0198E" w:rsidP="00D905BF">
            <w:pPr>
              <w:tabs>
                <w:tab w:val="left" w:pos="178"/>
              </w:tabs>
              <w:suppressAutoHyphens/>
              <w:spacing w:before="40" w:after="40" w:line="210" w:lineRule="exact"/>
              <w:ind w:right="43"/>
              <w:rPr>
                <w:rFonts w:asciiTheme="majorBidi" w:eastAsia="Times New Roman" w:hAnsiTheme="majorBidi" w:cstheme="majorBidi"/>
                <w:spacing w:val="0"/>
                <w:w w:val="100"/>
                <w:kern w:val="0"/>
                <w:sz w:val="17"/>
                <w:szCs w:val="17"/>
                <w:lang w:val="fr-FR" w:eastAsia="ru-RU"/>
              </w:rPr>
            </w:pPr>
            <w:r w:rsidRPr="00D905BF">
              <w:rPr>
                <w:sz w:val="17"/>
                <w:szCs w:val="17"/>
              </w:rPr>
              <w:t>-</w:t>
            </w:r>
            <w:r w:rsidR="00C93C16" w:rsidRPr="00D905BF">
              <w:rPr>
                <w:sz w:val="17"/>
                <w:szCs w:val="17"/>
              </w:rPr>
              <w:tab/>
            </w:r>
            <w:r w:rsidR="00767A80">
              <w:rPr>
                <w:sz w:val="17"/>
                <w:szCs w:val="17"/>
              </w:rPr>
              <w:t>A</w:t>
            </w:r>
            <w:r w:rsidR="002A37CD" w:rsidRPr="00D905BF">
              <w:rPr>
                <w:rFonts w:asciiTheme="majorBidi" w:eastAsia="Times New Roman" w:hAnsiTheme="majorBidi" w:cstheme="majorBidi"/>
                <w:spacing w:val="0"/>
                <w:w w:val="100"/>
                <w:kern w:val="0"/>
                <w:sz w:val="17"/>
                <w:szCs w:val="17"/>
                <w:lang w:val="fr-FR" w:eastAsia="ru-RU"/>
              </w:rPr>
              <w:t>griculture, chasse et foresterie</w:t>
            </w:r>
          </w:p>
        </w:tc>
        <w:tc>
          <w:tcPr>
            <w:tcW w:w="900" w:type="dxa"/>
            <w:shd w:val="clear" w:color="auto" w:fill="auto"/>
            <w:vAlign w:val="bottom"/>
          </w:tcPr>
          <w:p w14:paraId="1BC964EF" w14:textId="710E8096"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443</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511</w:t>
            </w:r>
          </w:p>
        </w:tc>
        <w:tc>
          <w:tcPr>
            <w:tcW w:w="962" w:type="dxa"/>
            <w:shd w:val="clear" w:color="auto" w:fill="auto"/>
            <w:vAlign w:val="bottom"/>
          </w:tcPr>
          <w:p w14:paraId="1831F5C0" w14:textId="2AD0822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239</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358</w:t>
            </w:r>
          </w:p>
        </w:tc>
        <w:tc>
          <w:tcPr>
            <w:tcW w:w="1108" w:type="dxa"/>
            <w:shd w:val="clear" w:color="auto" w:fill="auto"/>
            <w:vAlign w:val="bottom"/>
          </w:tcPr>
          <w:p w14:paraId="4FAD80D2" w14:textId="754E1ECF"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204</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153</w:t>
            </w:r>
          </w:p>
        </w:tc>
        <w:tc>
          <w:tcPr>
            <w:tcW w:w="1574" w:type="dxa"/>
            <w:shd w:val="clear" w:color="auto" w:fill="auto"/>
            <w:vAlign w:val="bottom"/>
          </w:tcPr>
          <w:p w14:paraId="4E33C95C"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46,0</w:t>
            </w:r>
          </w:p>
        </w:tc>
      </w:tr>
      <w:tr w:rsidR="002A37CD" w:rsidRPr="00D905BF" w14:paraId="4D5E911C" w14:textId="77777777" w:rsidTr="00F0198E">
        <w:tc>
          <w:tcPr>
            <w:tcW w:w="2700" w:type="dxa"/>
            <w:shd w:val="clear" w:color="auto" w:fill="auto"/>
            <w:vAlign w:val="bottom"/>
          </w:tcPr>
          <w:p w14:paraId="04178095" w14:textId="7037A357" w:rsidR="002A37CD" w:rsidRPr="00D905BF" w:rsidRDefault="00C93C16" w:rsidP="00D905BF">
            <w:pPr>
              <w:tabs>
                <w:tab w:val="left" w:pos="178"/>
              </w:tabs>
              <w:suppressAutoHyphens/>
              <w:spacing w:before="40" w:after="40" w:line="210" w:lineRule="exact"/>
              <w:ind w:right="43"/>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w:t>
            </w:r>
            <w:r w:rsidRPr="00D905BF">
              <w:rPr>
                <w:rFonts w:asciiTheme="majorBidi" w:eastAsia="Times New Roman" w:hAnsiTheme="majorBidi" w:cstheme="majorBidi"/>
                <w:spacing w:val="0"/>
                <w:w w:val="100"/>
                <w:kern w:val="0"/>
                <w:sz w:val="17"/>
                <w:szCs w:val="17"/>
                <w:lang w:val="fr-FR" w:eastAsia="ru-RU"/>
              </w:rPr>
              <w:tab/>
            </w:r>
            <w:r w:rsidR="00767A80">
              <w:rPr>
                <w:rFonts w:asciiTheme="majorBidi" w:eastAsia="Times New Roman" w:hAnsiTheme="majorBidi" w:cstheme="majorBidi"/>
                <w:spacing w:val="0"/>
                <w:w w:val="100"/>
                <w:kern w:val="0"/>
                <w:sz w:val="17"/>
                <w:szCs w:val="17"/>
                <w:lang w:val="fr-FR" w:eastAsia="ru-RU"/>
              </w:rPr>
              <w:t>P</w:t>
            </w:r>
            <w:r w:rsidR="002A37CD" w:rsidRPr="00D905BF">
              <w:rPr>
                <w:rFonts w:asciiTheme="majorBidi" w:eastAsia="Times New Roman" w:hAnsiTheme="majorBidi" w:cstheme="majorBidi"/>
                <w:spacing w:val="0"/>
                <w:w w:val="100"/>
                <w:kern w:val="0"/>
                <w:sz w:val="17"/>
                <w:szCs w:val="17"/>
                <w:lang w:val="fr-FR" w:eastAsia="ru-RU"/>
              </w:rPr>
              <w:t>isciculture</w:t>
            </w:r>
          </w:p>
        </w:tc>
        <w:tc>
          <w:tcPr>
            <w:tcW w:w="900" w:type="dxa"/>
            <w:shd w:val="clear" w:color="auto" w:fill="auto"/>
            <w:vAlign w:val="bottom"/>
          </w:tcPr>
          <w:p w14:paraId="14AC7686"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194</w:t>
            </w:r>
          </w:p>
        </w:tc>
        <w:tc>
          <w:tcPr>
            <w:tcW w:w="962" w:type="dxa"/>
            <w:shd w:val="clear" w:color="auto" w:fill="auto"/>
            <w:vAlign w:val="bottom"/>
          </w:tcPr>
          <w:p w14:paraId="374BB478"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177</w:t>
            </w:r>
          </w:p>
        </w:tc>
        <w:tc>
          <w:tcPr>
            <w:tcW w:w="1108" w:type="dxa"/>
            <w:shd w:val="clear" w:color="auto" w:fill="auto"/>
            <w:vAlign w:val="bottom"/>
          </w:tcPr>
          <w:p w14:paraId="6E572580"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17</w:t>
            </w:r>
          </w:p>
        </w:tc>
        <w:tc>
          <w:tcPr>
            <w:tcW w:w="1574" w:type="dxa"/>
            <w:shd w:val="clear" w:color="auto" w:fill="auto"/>
            <w:vAlign w:val="bottom"/>
          </w:tcPr>
          <w:p w14:paraId="20468B66"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8,8</w:t>
            </w:r>
          </w:p>
        </w:tc>
      </w:tr>
      <w:tr w:rsidR="002A37CD" w:rsidRPr="00D905BF" w14:paraId="036BC504" w14:textId="77777777" w:rsidTr="00F0198E">
        <w:tc>
          <w:tcPr>
            <w:tcW w:w="2700" w:type="dxa"/>
            <w:shd w:val="clear" w:color="auto" w:fill="auto"/>
            <w:vAlign w:val="bottom"/>
          </w:tcPr>
          <w:p w14:paraId="3FF1BCD5" w14:textId="29EFD5A2" w:rsidR="002A37CD" w:rsidRPr="00D905BF" w:rsidRDefault="002A37CD" w:rsidP="00D905BF">
            <w:pPr>
              <w:tabs>
                <w:tab w:val="left" w:pos="178"/>
              </w:tabs>
              <w:suppressAutoHyphens/>
              <w:spacing w:before="40" w:after="40" w:line="210" w:lineRule="exact"/>
              <w:ind w:right="43"/>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w:t>
            </w:r>
            <w:r w:rsidR="00C93C16" w:rsidRPr="00D905BF">
              <w:rPr>
                <w:rFonts w:asciiTheme="majorBidi" w:eastAsia="Times New Roman" w:hAnsiTheme="majorBidi" w:cstheme="majorBidi"/>
                <w:spacing w:val="0"/>
                <w:w w:val="100"/>
                <w:kern w:val="0"/>
                <w:sz w:val="17"/>
                <w:szCs w:val="17"/>
                <w:lang w:val="fr-FR" w:eastAsia="ru-RU"/>
              </w:rPr>
              <w:tab/>
            </w:r>
            <w:r w:rsidR="00767A80">
              <w:rPr>
                <w:rFonts w:asciiTheme="majorBidi" w:eastAsia="Times New Roman" w:hAnsiTheme="majorBidi" w:cstheme="majorBidi"/>
                <w:spacing w:val="0"/>
                <w:w w:val="100"/>
                <w:kern w:val="0"/>
                <w:sz w:val="17"/>
                <w:szCs w:val="17"/>
                <w:lang w:val="fr-FR" w:eastAsia="ru-RU"/>
              </w:rPr>
              <w:t>M</w:t>
            </w:r>
            <w:r w:rsidRPr="00D905BF">
              <w:rPr>
                <w:rFonts w:asciiTheme="majorBidi" w:eastAsia="Times New Roman" w:hAnsiTheme="majorBidi" w:cstheme="majorBidi"/>
                <w:spacing w:val="0"/>
                <w:w w:val="100"/>
                <w:kern w:val="0"/>
                <w:sz w:val="17"/>
                <w:szCs w:val="17"/>
                <w:lang w:val="fr-FR" w:eastAsia="ru-RU"/>
              </w:rPr>
              <w:t>ines et carrières</w:t>
            </w:r>
          </w:p>
        </w:tc>
        <w:tc>
          <w:tcPr>
            <w:tcW w:w="900" w:type="dxa"/>
            <w:shd w:val="clear" w:color="auto" w:fill="auto"/>
            <w:vAlign w:val="bottom"/>
          </w:tcPr>
          <w:p w14:paraId="37E6132B" w14:textId="01A5D702"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10</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600</w:t>
            </w:r>
          </w:p>
        </w:tc>
        <w:tc>
          <w:tcPr>
            <w:tcW w:w="962" w:type="dxa"/>
            <w:shd w:val="clear" w:color="auto" w:fill="auto"/>
            <w:vAlign w:val="bottom"/>
          </w:tcPr>
          <w:p w14:paraId="107A1FA8" w14:textId="7C2D61BB"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9</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351</w:t>
            </w:r>
          </w:p>
        </w:tc>
        <w:tc>
          <w:tcPr>
            <w:tcW w:w="1108" w:type="dxa"/>
            <w:shd w:val="clear" w:color="auto" w:fill="auto"/>
            <w:vAlign w:val="bottom"/>
          </w:tcPr>
          <w:p w14:paraId="381D2B00"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1249</w:t>
            </w:r>
          </w:p>
        </w:tc>
        <w:tc>
          <w:tcPr>
            <w:tcW w:w="1574" w:type="dxa"/>
            <w:shd w:val="clear" w:color="auto" w:fill="auto"/>
            <w:vAlign w:val="bottom"/>
          </w:tcPr>
          <w:p w14:paraId="520776F7"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11,8</w:t>
            </w:r>
          </w:p>
        </w:tc>
      </w:tr>
      <w:tr w:rsidR="006F18FE" w:rsidRPr="006F18FE" w14:paraId="1DA81042" w14:textId="77777777" w:rsidTr="006F18FE">
        <w:trPr>
          <w:trHeight w:val="81"/>
        </w:trPr>
        <w:tc>
          <w:tcPr>
            <w:tcW w:w="2700" w:type="dxa"/>
            <w:shd w:val="clear" w:color="auto" w:fill="auto"/>
            <w:vAlign w:val="bottom"/>
          </w:tcPr>
          <w:p w14:paraId="4CF10348" w14:textId="77777777" w:rsidR="006F18FE" w:rsidRPr="006F18FE" w:rsidRDefault="006F18FE" w:rsidP="006F18FE">
            <w:pPr>
              <w:tabs>
                <w:tab w:val="left" w:pos="178"/>
              </w:tabs>
              <w:suppressAutoHyphens/>
              <w:spacing w:line="240" w:lineRule="auto"/>
              <w:ind w:right="43"/>
              <w:rPr>
                <w:rFonts w:asciiTheme="majorBidi" w:eastAsia="Times New Roman" w:hAnsiTheme="majorBidi" w:cstheme="majorBidi"/>
                <w:spacing w:val="0"/>
                <w:w w:val="100"/>
                <w:kern w:val="0"/>
                <w:sz w:val="2"/>
                <w:szCs w:val="17"/>
                <w:lang w:val="fr-FR" w:eastAsia="ru-RU"/>
              </w:rPr>
            </w:pPr>
          </w:p>
        </w:tc>
        <w:tc>
          <w:tcPr>
            <w:tcW w:w="900" w:type="dxa"/>
            <w:shd w:val="clear" w:color="auto" w:fill="auto"/>
            <w:vAlign w:val="bottom"/>
          </w:tcPr>
          <w:p w14:paraId="5517C2C9" w14:textId="77777777" w:rsidR="006F18FE" w:rsidRPr="006F18FE" w:rsidRDefault="006F18FE" w:rsidP="006F18FE">
            <w:pPr>
              <w:suppressAutoHyphens/>
              <w:spacing w:line="240" w:lineRule="auto"/>
              <w:ind w:right="43"/>
              <w:jc w:val="right"/>
              <w:rPr>
                <w:rFonts w:asciiTheme="majorBidi" w:hAnsiTheme="majorBidi" w:cstheme="majorBidi"/>
                <w:spacing w:val="0"/>
                <w:w w:val="100"/>
                <w:kern w:val="0"/>
                <w:sz w:val="2"/>
                <w:szCs w:val="17"/>
                <w:lang w:val="fr-FR"/>
              </w:rPr>
            </w:pPr>
          </w:p>
        </w:tc>
        <w:tc>
          <w:tcPr>
            <w:tcW w:w="962" w:type="dxa"/>
            <w:shd w:val="clear" w:color="auto" w:fill="auto"/>
            <w:vAlign w:val="bottom"/>
          </w:tcPr>
          <w:p w14:paraId="0B988CDD" w14:textId="77777777" w:rsidR="006F18FE" w:rsidRPr="006F18FE" w:rsidRDefault="006F18FE" w:rsidP="006F18FE">
            <w:pPr>
              <w:suppressAutoHyphens/>
              <w:spacing w:line="240" w:lineRule="auto"/>
              <w:ind w:right="43"/>
              <w:jc w:val="right"/>
              <w:rPr>
                <w:rFonts w:asciiTheme="majorBidi" w:hAnsiTheme="majorBidi" w:cstheme="majorBidi"/>
                <w:spacing w:val="0"/>
                <w:w w:val="100"/>
                <w:kern w:val="0"/>
                <w:sz w:val="2"/>
                <w:szCs w:val="17"/>
                <w:lang w:val="fr-FR"/>
              </w:rPr>
            </w:pPr>
          </w:p>
        </w:tc>
        <w:tc>
          <w:tcPr>
            <w:tcW w:w="1108" w:type="dxa"/>
            <w:shd w:val="clear" w:color="auto" w:fill="auto"/>
            <w:vAlign w:val="bottom"/>
          </w:tcPr>
          <w:p w14:paraId="7660A6B7" w14:textId="77777777" w:rsidR="006F18FE" w:rsidRPr="006F18FE" w:rsidRDefault="006F18FE" w:rsidP="006F18FE">
            <w:pPr>
              <w:suppressAutoHyphens/>
              <w:spacing w:line="240" w:lineRule="auto"/>
              <w:ind w:right="43"/>
              <w:jc w:val="right"/>
              <w:rPr>
                <w:rFonts w:asciiTheme="majorBidi" w:hAnsiTheme="majorBidi" w:cstheme="majorBidi"/>
                <w:spacing w:val="0"/>
                <w:w w:val="100"/>
                <w:kern w:val="0"/>
                <w:sz w:val="2"/>
                <w:szCs w:val="17"/>
                <w:lang w:val="fr-FR"/>
              </w:rPr>
            </w:pPr>
          </w:p>
        </w:tc>
        <w:tc>
          <w:tcPr>
            <w:tcW w:w="1574" w:type="dxa"/>
            <w:shd w:val="clear" w:color="auto" w:fill="auto"/>
            <w:vAlign w:val="bottom"/>
          </w:tcPr>
          <w:p w14:paraId="74E8AFAA" w14:textId="77777777" w:rsidR="006F18FE" w:rsidRPr="006F18FE" w:rsidRDefault="006F18FE" w:rsidP="006F18FE">
            <w:pPr>
              <w:suppressAutoHyphens/>
              <w:spacing w:line="240" w:lineRule="auto"/>
              <w:ind w:right="43"/>
              <w:jc w:val="right"/>
              <w:rPr>
                <w:rFonts w:asciiTheme="majorBidi" w:hAnsiTheme="majorBidi" w:cstheme="majorBidi"/>
                <w:spacing w:val="0"/>
                <w:w w:val="100"/>
                <w:kern w:val="0"/>
                <w:sz w:val="2"/>
                <w:szCs w:val="17"/>
                <w:lang w:val="fr-FR"/>
              </w:rPr>
            </w:pPr>
          </w:p>
        </w:tc>
      </w:tr>
      <w:tr w:rsidR="002A37CD" w:rsidRPr="00D905BF" w14:paraId="68CF8CF6" w14:textId="77777777" w:rsidTr="00F0198E">
        <w:tc>
          <w:tcPr>
            <w:tcW w:w="2700" w:type="dxa"/>
            <w:shd w:val="clear" w:color="auto" w:fill="auto"/>
            <w:vAlign w:val="bottom"/>
          </w:tcPr>
          <w:p w14:paraId="5871D16A" w14:textId="3AAE08E0" w:rsidR="002A37CD" w:rsidRPr="00D905BF" w:rsidRDefault="00C93C16" w:rsidP="00D905BF">
            <w:pPr>
              <w:tabs>
                <w:tab w:val="left" w:pos="178"/>
              </w:tabs>
              <w:suppressAutoHyphens/>
              <w:spacing w:before="40" w:after="40" w:line="210" w:lineRule="exact"/>
              <w:ind w:right="43"/>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w:t>
            </w:r>
            <w:r w:rsidRPr="00D905BF">
              <w:rPr>
                <w:rFonts w:asciiTheme="majorBidi" w:eastAsia="Times New Roman" w:hAnsiTheme="majorBidi" w:cstheme="majorBidi"/>
                <w:spacing w:val="0"/>
                <w:w w:val="100"/>
                <w:kern w:val="0"/>
                <w:sz w:val="17"/>
                <w:szCs w:val="17"/>
                <w:lang w:val="fr-FR" w:eastAsia="ru-RU"/>
              </w:rPr>
              <w:tab/>
            </w:r>
            <w:r w:rsidR="00767A80">
              <w:rPr>
                <w:rFonts w:asciiTheme="majorBidi" w:eastAsia="Times New Roman" w:hAnsiTheme="majorBidi" w:cstheme="majorBidi"/>
                <w:spacing w:val="0"/>
                <w:w w:val="100"/>
                <w:kern w:val="0"/>
                <w:sz w:val="17"/>
                <w:szCs w:val="17"/>
                <w:lang w:val="fr-FR" w:eastAsia="ru-RU"/>
              </w:rPr>
              <w:t>I</w:t>
            </w:r>
            <w:r w:rsidR="002A37CD" w:rsidRPr="00D905BF">
              <w:rPr>
                <w:rFonts w:asciiTheme="majorBidi" w:eastAsia="Times New Roman" w:hAnsiTheme="majorBidi" w:cstheme="majorBidi"/>
                <w:spacing w:val="0"/>
                <w:w w:val="100"/>
                <w:kern w:val="0"/>
                <w:sz w:val="17"/>
                <w:szCs w:val="17"/>
                <w:lang w:val="fr-FR" w:eastAsia="ru-RU"/>
              </w:rPr>
              <w:t>ndustrie manufacturière</w:t>
            </w:r>
          </w:p>
        </w:tc>
        <w:tc>
          <w:tcPr>
            <w:tcW w:w="900" w:type="dxa"/>
            <w:shd w:val="clear" w:color="auto" w:fill="auto"/>
            <w:vAlign w:val="bottom"/>
          </w:tcPr>
          <w:p w14:paraId="217BBABB"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52294</w:t>
            </w:r>
          </w:p>
        </w:tc>
        <w:tc>
          <w:tcPr>
            <w:tcW w:w="962" w:type="dxa"/>
            <w:shd w:val="clear" w:color="auto" w:fill="auto"/>
            <w:vAlign w:val="bottom"/>
          </w:tcPr>
          <w:p w14:paraId="22B76F01" w14:textId="0EECEE7B"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36</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980</w:t>
            </w:r>
          </w:p>
        </w:tc>
        <w:tc>
          <w:tcPr>
            <w:tcW w:w="1108" w:type="dxa"/>
            <w:shd w:val="clear" w:color="auto" w:fill="auto"/>
            <w:vAlign w:val="bottom"/>
          </w:tcPr>
          <w:p w14:paraId="722A2F62" w14:textId="0A3A4E4A"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15</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314</w:t>
            </w:r>
          </w:p>
        </w:tc>
        <w:tc>
          <w:tcPr>
            <w:tcW w:w="1574" w:type="dxa"/>
            <w:shd w:val="clear" w:color="auto" w:fill="auto"/>
            <w:vAlign w:val="bottom"/>
          </w:tcPr>
          <w:p w14:paraId="5768C161"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29,3</w:t>
            </w:r>
          </w:p>
        </w:tc>
      </w:tr>
      <w:tr w:rsidR="002A37CD" w:rsidRPr="00D905BF" w14:paraId="2FC834F8" w14:textId="77777777" w:rsidTr="00F0198E">
        <w:tc>
          <w:tcPr>
            <w:tcW w:w="2700" w:type="dxa"/>
            <w:shd w:val="clear" w:color="auto" w:fill="auto"/>
            <w:vAlign w:val="bottom"/>
          </w:tcPr>
          <w:p w14:paraId="7D5FBAB1" w14:textId="6DE2024A" w:rsidR="002A37CD" w:rsidRPr="00D905BF" w:rsidRDefault="00C93C16" w:rsidP="00D905BF">
            <w:pPr>
              <w:tabs>
                <w:tab w:val="left" w:pos="178"/>
              </w:tabs>
              <w:suppressAutoHyphens/>
              <w:spacing w:before="40" w:after="40" w:line="210" w:lineRule="exact"/>
              <w:ind w:right="43"/>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w:t>
            </w:r>
            <w:r w:rsidRPr="00D905BF">
              <w:rPr>
                <w:rFonts w:asciiTheme="majorBidi" w:eastAsia="Times New Roman" w:hAnsiTheme="majorBidi" w:cstheme="majorBidi"/>
                <w:spacing w:val="0"/>
                <w:w w:val="100"/>
                <w:kern w:val="0"/>
                <w:sz w:val="17"/>
                <w:szCs w:val="17"/>
                <w:lang w:val="fr-FR" w:eastAsia="ru-RU"/>
              </w:rPr>
              <w:tab/>
            </w:r>
            <w:r w:rsidR="00767A80">
              <w:rPr>
                <w:rFonts w:asciiTheme="majorBidi" w:eastAsia="Times New Roman" w:hAnsiTheme="majorBidi" w:cstheme="majorBidi"/>
                <w:spacing w:val="0"/>
                <w:w w:val="100"/>
                <w:kern w:val="0"/>
                <w:sz w:val="17"/>
                <w:szCs w:val="17"/>
                <w:lang w:val="fr-FR" w:eastAsia="ru-RU"/>
              </w:rPr>
              <w:t>E</w:t>
            </w:r>
            <w:r w:rsidR="002A37CD" w:rsidRPr="00D905BF">
              <w:rPr>
                <w:rFonts w:asciiTheme="majorBidi" w:eastAsia="Times New Roman" w:hAnsiTheme="majorBidi" w:cstheme="majorBidi"/>
                <w:spacing w:val="0"/>
                <w:w w:val="100"/>
                <w:kern w:val="0"/>
                <w:sz w:val="17"/>
                <w:szCs w:val="17"/>
                <w:lang w:val="fr-FR" w:eastAsia="ru-RU"/>
              </w:rPr>
              <w:t>lectricité, gaz et eau</w:t>
            </w:r>
          </w:p>
        </w:tc>
        <w:tc>
          <w:tcPr>
            <w:tcW w:w="900" w:type="dxa"/>
            <w:shd w:val="clear" w:color="auto" w:fill="auto"/>
            <w:vAlign w:val="bottom"/>
          </w:tcPr>
          <w:p w14:paraId="5C8A05C5"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17557</w:t>
            </w:r>
          </w:p>
        </w:tc>
        <w:tc>
          <w:tcPr>
            <w:tcW w:w="962" w:type="dxa"/>
            <w:shd w:val="clear" w:color="auto" w:fill="auto"/>
            <w:vAlign w:val="bottom"/>
          </w:tcPr>
          <w:p w14:paraId="360C3EF1" w14:textId="13EDCBE8"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15</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201</w:t>
            </w:r>
          </w:p>
        </w:tc>
        <w:tc>
          <w:tcPr>
            <w:tcW w:w="1108" w:type="dxa"/>
            <w:shd w:val="clear" w:color="auto" w:fill="auto"/>
            <w:vAlign w:val="bottom"/>
          </w:tcPr>
          <w:p w14:paraId="0ED77E5E" w14:textId="284231D5"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356</w:t>
            </w:r>
          </w:p>
        </w:tc>
        <w:tc>
          <w:tcPr>
            <w:tcW w:w="1574" w:type="dxa"/>
            <w:shd w:val="clear" w:color="auto" w:fill="auto"/>
            <w:vAlign w:val="bottom"/>
          </w:tcPr>
          <w:p w14:paraId="7C179551"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13,4</w:t>
            </w:r>
          </w:p>
        </w:tc>
      </w:tr>
      <w:tr w:rsidR="002A37CD" w:rsidRPr="00D905BF" w14:paraId="16A54881" w14:textId="77777777" w:rsidTr="00F0198E">
        <w:tc>
          <w:tcPr>
            <w:tcW w:w="2700" w:type="dxa"/>
            <w:shd w:val="clear" w:color="auto" w:fill="auto"/>
            <w:vAlign w:val="bottom"/>
          </w:tcPr>
          <w:p w14:paraId="2EA4E157" w14:textId="47CA4C18" w:rsidR="002A37CD" w:rsidRPr="00D905BF" w:rsidRDefault="00C93C16" w:rsidP="00D905BF">
            <w:pPr>
              <w:tabs>
                <w:tab w:val="left" w:pos="178"/>
              </w:tabs>
              <w:suppressAutoHyphens/>
              <w:spacing w:before="40" w:after="40" w:line="210" w:lineRule="exact"/>
              <w:ind w:right="43"/>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w:t>
            </w:r>
            <w:r w:rsidRPr="00D905BF">
              <w:rPr>
                <w:rFonts w:asciiTheme="majorBidi" w:eastAsia="Times New Roman" w:hAnsiTheme="majorBidi" w:cstheme="majorBidi"/>
                <w:spacing w:val="0"/>
                <w:w w:val="100"/>
                <w:kern w:val="0"/>
                <w:sz w:val="17"/>
                <w:szCs w:val="17"/>
                <w:lang w:val="fr-FR" w:eastAsia="ru-RU"/>
              </w:rPr>
              <w:tab/>
            </w:r>
            <w:r w:rsidR="00767A80">
              <w:rPr>
                <w:rFonts w:asciiTheme="majorBidi" w:eastAsia="Times New Roman" w:hAnsiTheme="majorBidi" w:cstheme="majorBidi"/>
                <w:spacing w:val="0"/>
                <w:w w:val="100"/>
                <w:kern w:val="0"/>
                <w:sz w:val="17"/>
                <w:szCs w:val="17"/>
                <w:lang w:val="fr-FR" w:eastAsia="ru-RU"/>
              </w:rPr>
              <w:t>C</w:t>
            </w:r>
            <w:r w:rsidR="002A37CD" w:rsidRPr="00D905BF">
              <w:rPr>
                <w:rFonts w:asciiTheme="majorBidi" w:eastAsia="Times New Roman" w:hAnsiTheme="majorBidi" w:cstheme="majorBidi"/>
                <w:spacing w:val="0"/>
                <w:w w:val="100"/>
                <w:kern w:val="0"/>
                <w:sz w:val="17"/>
                <w:szCs w:val="17"/>
                <w:lang w:val="fr-FR" w:eastAsia="ru-RU"/>
              </w:rPr>
              <w:t>onstruction</w:t>
            </w:r>
          </w:p>
        </w:tc>
        <w:tc>
          <w:tcPr>
            <w:tcW w:w="900" w:type="dxa"/>
            <w:shd w:val="clear" w:color="auto" w:fill="auto"/>
            <w:vAlign w:val="bottom"/>
          </w:tcPr>
          <w:p w14:paraId="066598E1" w14:textId="6C73257C"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29</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810</w:t>
            </w:r>
          </w:p>
        </w:tc>
        <w:tc>
          <w:tcPr>
            <w:tcW w:w="962" w:type="dxa"/>
            <w:shd w:val="clear" w:color="auto" w:fill="auto"/>
            <w:vAlign w:val="bottom"/>
          </w:tcPr>
          <w:p w14:paraId="02A6B427" w14:textId="1F00DDA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27</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422</w:t>
            </w:r>
          </w:p>
        </w:tc>
        <w:tc>
          <w:tcPr>
            <w:tcW w:w="1108" w:type="dxa"/>
            <w:shd w:val="clear" w:color="auto" w:fill="auto"/>
            <w:vAlign w:val="bottom"/>
          </w:tcPr>
          <w:p w14:paraId="5059E96D" w14:textId="438CE4AC"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388</w:t>
            </w:r>
          </w:p>
        </w:tc>
        <w:tc>
          <w:tcPr>
            <w:tcW w:w="1574" w:type="dxa"/>
            <w:shd w:val="clear" w:color="auto" w:fill="auto"/>
            <w:vAlign w:val="bottom"/>
          </w:tcPr>
          <w:p w14:paraId="245CC95A"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8,0</w:t>
            </w:r>
          </w:p>
        </w:tc>
      </w:tr>
      <w:tr w:rsidR="002A37CD" w:rsidRPr="00D905BF" w14:paraId="57EEA164" w14:textId="77777777" w:rsidTr="00F0198E">
        <w:tc>
          <w:tcPr>
            <w:tcW w:w="2700" w:type="dxa"/>
            <w:shd w:val="clear" w:color="auto" w:fill="auto"/>
            <w:vAlign w:val="bottom"/>
          </w:tcPr>
          <w:p w14:paraId="5DDB494A" w14:textId="77777777" w:rsidR="002A37CD" w:rsidRPr="00D905BF" w:rsidRDefault="002A37CD" w:rsidP="00D905BF">
            <w:pPr>
              <w:suppressAutoHyphens/>
              <w:spacing w:before="40" w:after="40" w:line="210" w:lineRule="exact"/>
              <w:ind w:right="43"/>
              <w:rPr>
                <w:rFonts w:asciiTheme="majorBidi" w:eastAsia="Times New Roman" w:hAnsiTheme="majorBidi" w:cstheme="majorBidi"/>
                <w:bCs/>
                <w:spacing w:val="0"/>
                <w:w w:val="100"/>
                <w:kern w:val="0"/>
                <w:sz w:val="17"/>
                <w:szCs w:val="17"/>
                <w:lang w:val="fr-FR" w:eastAsia="ru-RU"/>
              </w:rPr>
            </w:pPr>
            <w:r w:rsidRPr="00D905BF">
              <w:rPr>
                <w:rFonts w:asciiTheme="majorBidi" w:eastAsia="Times New Roman" w:hAnsiTheme="majorBidi" w:cstheme="majorBidi"/>
                <w:bCs/>
                <w:spacing w:val="0"/>
                <w:w w:val="100"/>
                <w:kern w:val="0"/>
                <w:sz w:val="17"/>
                <w:szCs w:val="17"/>
                <w:lang w:val="fr-FR" w:eastAsia="ru-RU"/>
              </w:rPr>
              <w:t xml:space="preserve">Secteur des services </w:t>
            </w:r>
          </w:p>
        </w:tc>
        <w:tc>
          <w:tcPr>
            <w:tcW w:w="900" w:type="dxa"/>
            <w:shd w:val="clear" w:color="auto" w:fill="auto"/>
            <w:vAlign w:val="bottom"/>
          </w:tcPr>
          <w:p w14:paraId="40978036" w14:textId="4CC72492" w:rsidR="002A37CD" w:rsidRPr="00D905BF" w:rsidRDefault="002A37CD" w:rsidP="00D905BF">
            <w:pPr>
              <w:suppressAutoHyphens/>
              <w:spacing w:before="40" w:after="40" w:line="210" w:lineRule="exact"/>
              <w:ind w:right="43"/>
              <w:jc w:val="right"/>
              <w:rPr>
                <w:rFonts w:asciiTheme="majorBidi" w:hAnsiTheme="majorBidi" w:cstheme="majorBidi"/>
                <w:bCs/>
                <w:spacing w:val="0"/>
                <w:w w:val="100"/>
                <w:kern w:val="0"/>
                <w:sz w:val="17"/>
                <w:szCs w:val="17"/>
                <w:lang w:val="fr-FR"/>
              </w:rPr>
            </w:pPr>
            <w:r w:rsidRPr="00D905BF">
              <w:rPr>
                <w:rFonts w:asciiTheme="majorBidi" w:hAnsiTheme="majorBidi" w:cstheme="majorBidi"/>
                <w:bCs/>
                <w:spacing w:val="0"/>
                <w:w w:val="100"/>
                <w:kern w:val="0"/>
                <w:sz w:val="17"/>
                <w:szCs w:val="17"/>
                <w:lang w:val="fr-FR"/>
              </w:rPr>
              <w:t>496</w:t>
            </w:r>
            <w:r w:rsidR="00677C1C">
              <w:rPr>
                <w:rFonts w:asciiTheme="majorBidi" w:hAnsiTheme="majorBidi" w:cstheme="majorBidi"/>
                <w:bCs/>
                <w:spacing w:val="0"/>
                <w:w w:val="100"/>
                <w:kern w:val="0"/>
                <w:sz w:val="17"/>
                <w:szCs w:val="17"/>
                <w:lang w:val="fr-FR"/>
              </w:rPr>
              <w:t> </w:t>
            </w:r>
            <w:r w:rsidRPr="00D905BF">
              <w:rPr>
                <w:rFonts w:asciiTheme="majorBidi" w:hAnsiTheme="majorBidi" w:cstheme="majorBidi"/>
                <w:bCs/>
                <w:spacing w:val="0"/>
                <w:w w:val="100"/>
                <w:kern w:val="0"/>
                <w:sz w:val="17"/>
                <w:szCs w:val="17"/>
                <w:lang w:val="fr-FR"/>
              </w:rPr>
              <w:t>747</w:t>
            </w:r>
          </w:p>
        </w:tc>
        <w:tc>
          <w:tcPr>
            <w:tcW w:w="962" w:type="dxa"/>
            <w:shd w:val="clear" w:color="auto" w:fill="auto"/>
            <w:vAlign w:val="bottom"/>
          </w:tcPr>
          <w:p w14:paraId="0F1E79C7" w14:textId="577D0C6F" w:rsidR="002A37CD" w:rsidRPr="00D905BF" w:rsidRDefault="002A37CD" w:rsidP="00D905BF">
            <w:pPr>
              <w:suppressAutoHyphens/>
              <w:spacing w:before="40" w:after="40" w:line="210" w:lineRule="exact"/>
              <w:ind w:right="43"/>
              <w:jc w:val="right"/>
              <w:rPr>
                <w:rFonts w:asciiTheme="majorBidi" w:hAnsiTheme="majorBidi" w:cstheme="majorBidi"/>
                <w:bCs/>
                <w:spacing w:val="0"/>
                <w:w w:val="100"/>
                <w:kern w:val="0"/>
                <w:sz w:val="17"/>
                <w:szCs w:val="17"/>
                <w:lang w:val="fr-FR"/>
              </w:rPr>
            </w:pPr>
            <w:r w:rsidRPr="00D905BF">
              <w:rPr>
                <w:rFonts w:asciiTheme="majorBidi" w:hAnsiTheme="majorBidi" w:cstheme="majorBidi"/>
                <w:bCs/>
                <w:spacing w:val="0"/>
                <w:w w:val="100"/>
                <w:kern w:val="0"/>
                <w:sz w:val="17"/>
                <w:szCs w:val="17"/>
                <w:lang w:val="fr-FR"/>
              </w:rPr>
              <w:t>237</w:t>
            </w:r>
            <w:r w:rsidR="00677C1C">
              <w:rPr>
                <w:rFonts w:asciiTheme="majorBidi" w:hAnsiTheme="majorBidi" w:cstheme="majorBidi"/>
                <w:bCs/>
                <w:spacing w:val="0"/>
                <w:w w:val="100"/>
                <w:kern w:val="0"/>
                <w:sz w:val="17"/>
                <w:szCs w:val="17"/>
                <w:lang w:val="fr-FR"/>
              </w:rPr>
              <w:t> </w:t>
            </w:r>
            <w:r w:rsidRPr="00D905BF">
              <w:rPr>
                <w:rFonts w:asciiTheme="majorBidi" w:hAnsiTheme="majorBidi" w:cstheme="majorBidi"/>
                <w:bCs/>
                <w:spacing w:val="0"/>
                <w:w w:val="100"/>
                <w:kern w:val="0"/>
                <w:sz w:val="17"/>
                <w:szCs w:val="17"/>
                <w:lang w:val="fr-FR"/>
              </w:rPr>
              <w:t>601</w:t>
            </w:r>
          </w:p>
        </w:tc>
        <w:tc>
          <w:tcPr>
            <w:tcW w:w="1108" w:type="dxa"/>
            <w:shd w:val="clear" w:color="auto" w:fill="auto"/>
            <w:vAlign w:val="bottom"/>
          </w:tcPr>
          <w:p w14:paraId="1F3278D3" w14:textId="0B879101" w:rsidR="002A37CD" w:rsidRPr="00D905BF" w:rsidRDefault="002A37CD" w:rsidP="00D905BF">
            <w:pPr>
              <w:suppressAutoHyphens/>
              <w:spacing w:before="40" w:after="40" w:line="210" w:lineRule="exact"/>
              <w:ind w:right="43"/>
              <w:jc w:val="right"/>
              <w:rPr>
                <w:rFonts w:asciiTheme="majorBidi" w:hAnsiTheme="majorBidi" w:cstheme="majorBidi"/>
                <w:bCs/>
                <w:spacing w:val="0"/>
                <w:w w:val="100"/>
                <w:kern w:val="0"/>
                <w:sz w:val="17"/>
                <w:szCs w:val="17"/>
                <w:lang w:val="fr-FR"/>
              </w:rPr>
            </w:pPr>
            <w:r w:rsidRPr="00D905BF">
              <w:rPr>
                <w:rFonts w:asciiTheme="majorBidi" w:hAnsiTheme="majorBidi" w:cstheme="majorBidi"/>
                <w:bCs/>
                <w:spacing w:val="0"/>
                <w:w w:val="100"/>
                <w:kern w:val="0"/>
                <w:sz w:val="17"/>
                <w:szCs w:val="17"/>
                <w:lang w:val="fr-FR"/>
              </w:rPr>
              <w:t>259</w:t>
            </w:r>
            <w:r w:rsidR="00677C1C">
              <w:rPr>
                <w:rFonts w:asciiTheme="majorBidi" w:hAnsiTheme="majorBidi" w:cstheme="majorBidi"/>
                <w:bCs/>
                <w:spacing w:val="0"/>
                <w:w w:val="100"/>
                <w:kern w:val="0"/>
                <w:sz w:val="17"/>
                <w:szCs w:val="17"/>
                <w:lang w:val="fr-FR"/>
              </w:rPr>
              <w:t> </w:t>
            </w:r>
            <w:r w:rsidRPr="00D905BF">
              <w:rPr>
                <w:rFonts w:asciiTheme="majorBidi" w:hAnsiTheme="majorBidi" w:cstheme="majorBidi"/>
                <w:bCs/>
                <w:spacing w:val="0"/>
                <w:w w:val="100"/>
                <w:kern w:val="0"/>
                <w:sz w:val="17"/>
                <w:szCs w:val="17"/>
                <w:lang w:val="fr-FR"/>
              </w:rPr>
              <w:t>146</w:t>
            </w:r>
          </w:p>
        </w:tc>
        <w:tc>
          <w:tcPr>
            <w:tcW w:w="1574" w:type="dxa"/>
            <w:shd w:val="clear" w:color="auto" w:fill="auto"/>
            <w:vAlign w:val="bottom"/>
          </w:tcPr>
          <w:p w14:paraId="6E51EC99" w14:textId="77777777" w:rsidR="002A37CD" w:rsidRPr="00D905BF" w:rsidRDefault="002A37CD" w:rsidP="00D905BF">
            <w:pPr>
              <w:suppressAutoHyphens/>
              <w:spacing w:before="40" w:after="40" w:line="210" w:lineRule="exact"/>
              <w:ind w:right="43"/>
              <w:jc w:val="right"/>
              <w:rPr>
                <w:rFonts w:asciiTheme="majorBidi" w:hAnsiTheme="majorBidi" w:cstheme="majorBidi"/>
                <w:bCs/>
                <w:spacing w:val="0"/>
                <w:w w:val="100"/>
                <w:kern w:val="0"/>
                <w:sz w:val="17"/>
                <w:szCs w:val="17"/>
                <w:lang w:val="fr-FR"/>
              </w:rPr>
            </w:pPr>
            <w:r w:rsidRPr="00D905BF">
              <w:rPr>
                <w:rFonts w:asciiTheme="majorBidi" w:hAnsiTheme="majorBidi" w:cstheme="majorBidi"/>
                <w:bCs/>
                <w:spacing w:val="0"/>
                <w:w w:val="100"/>
                <w:kern w:val="0"/>
                <w:sz w:val="17"/>
                <w:szCs w:val="17"/>
                <w:lang w:val="fr-FR"/>
              </w:rPr>
              <w:t>52,2</w:t>
            </w:r>
          </w:p>
        </w:tc>
      </w:tr>
      <w:tr w:rsidR="002A37CD" w:rsidRPr="00D905BF" w14:paraId="71B328C7" w14:textId="77777777" w:rsidTr="00F0198E">
        <w:tc>
          <w:tcPr>
            <w:tcW w:w="2700" w:type="dxa"/>
            <w:shd w:val="clear" w:color="auto" w:fill="auto"/>
            <w:vAlign w:val="bottom"/>
          </w:tcPr>
          <w:p w14:paraId="78B2643F" w14:textId="759B0707" w:rsidR="002A37CD" w:rsidRPr="00D905BF" w:rsidRDefault="00A81ADA" w:rsidP="00D905BF">
            <w:pPr>
              <w:suppressAutoHyphens/>
              <w:spacing w:before="40" w:after="40" w:line="210" w:lineRule="exact"/>
              <w:ind w:right="43"/>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Dont</w:t>
            </w:r>
            <w:r>
              <w:rPr>
                <w:rFonts w:asciiTheme="majorBidi" w:eastAsia="Times New Roman" w:hAnsiTheme="majorBidi" w:cstheme="majorBidi"/>
                <w:spacing w:val="0"/>
                <w:w w:val="100"/>
                <w:kern w:val="0"/>
                <w:sz w:val="17"/>
                <w:szCs w:val="17"/>
                <w:lang w:val="fr-FR" w:eastAsia="ru-RU"/>
              </w:rPr>
              <w:t> </w:t>
            </w:r>
            <w:r w:rsidR="002A37CD" w:rsidRPr="00D905BF">
              <w:rPr>
                <w:rFonts w:asciiTheme="majorBidi" w:eastAsia="Times New Roman" w:hAnsiTheme="majorBidi" w:cstheme="majorBidi"/>
                <w:spacing w:val="0"/>
                <w:w w:val="100"/>
                <w:kern w:val="0"/>
                <w:sz w:val="17"/>
                <w:szCs w:val="17"/>
                <w:lang w:val="fr-FR" w:eastAsia="ru-RU"/>
              </w:rPr>
              <w:t>:</w:t>
            </w:r>
          </w:p>
        </w:tc>
        <w:tc>
          <w:tcPr>
            <w:tcW w:w="900" w:type="dxa"/>
            <w:shd w:val="clear" w:color="auto" w:fill="auto"/>
            <w:vAlign w:val="bottom"/>
          </w:tcPr>
          <w:p w14:paraId="6EBCCCCE"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p>
        </w:tc>
        <w:tc>
          <w:tcPr>
            <w:tcW w:w="962" w:type="dxa"/>
            <w:shd w:val="clear" w:color="auto" w:fill="auto"/>
            <w:vAlign w:val="bottom"/>
          </w:tcPr>
          <w:p w14:paraId="5C09E7DB"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p>
        </w:tc>
        <w:tc>
          <w:tcPr>
            <w:tcW w:w="1108" w:type="dxa"/>
            <w:shd w:val="clear" w:color="auto" w:fill="auto"/>
            <w:vAlign w:val="bottom"/>
          </w:tcPr>
          <w:p w14:paraId="0310A17E"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p>
        </w:tc>
        <w:tc>
          <w:tcPr>
            <w:tcW w:w="1574" w:type="dxa"/>
            <w:shd w:val="clear" w:color="auto" w:fill="auto"/>
            <w:vAlign w:val="bottom"/>
          </w:tcPr>
          <w:p w14:paraId="30100596"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 </w:t>
            </w:r>
          </w:p>
        </w:tc>
      </w:tr>
      <w:tr w:rsidR="002A37CD" w:rsidRPr="00D905BF" w14:paraId="54E2A191" w14:textId="77777777" w:rsidTr="00F0198E">
        <w:tc>
          <w:tcPr>
            <w:tcW w:w="2700" w:type="dxa"/>
            <w:shd w:val="clear" w:color="auto" w:fill="auto"/>
            <w:vAlign w:val="bottom"/>
          </w:tcPr>
          <w:p w14:paraId="0130509C" w14:textId="22BD8046" w:rsidR="002A37CD" w:rsidRPr="00D905BF" w:rsidRDefault="002A37CD" w:rsidP="00A81ADA">
            <w:pPr>
              <w:tabs>
                <w:tab w:val="left" w:pos="178"/>
              </w:tabs>
              <w:suppressAutoHyphens/>
              <w:spacing w:before="40" w:after="40" w:line="210" w:lineRule="exact"/>
              <w:ind w:left="178" w:right="43" w:hanging="178"/>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w:t>
            </w:r>
            <w:r w:rsidR="00C93C16" w:rsidRPr="00D905BF">
              <w:rPr>
                <w:rFonts w:asciiTheme="majorBidi" w:eastAsia="Times New Roman" w:hAnsiTheme="majorBidi" w:cstheme="majorBidi"/>
                <w:spacing w:val="0"/>
                <w:w w:val="100"/>
                <w:kern w:val="0"/>
                <w:sz w:val="17"/>
                <w:szCs w:val="17"/>
                <w:lang w:val="fr-FR" w:eastAsia="ru-RU"/>
              </w:rPr>
              <w:tab/>
            </w:r>
            <w:r w:rsidR="00A81ADA" w:rsidRPr="00D905BF">
              <w:rPr>
                <w:rFonts w:asciiTheme="majorBidi" w:eastAsia="Times New Roman" w:hAnsiTheme="majorBidi" w:cstheme="majorBidi"/>
                <w:spacing w:val="0"/>
                <w:w w:val="100"/>
                <w:kern w:val="0"/>
                <w:sz w:val="17"/>
                <w:szCs w:val="17"/>
                <w:lang w:val="fr-FR" w:eastAsia="ru-RU"/>
              </w:rPr>
              <w:t xml:space="preserve">Commerce </w:t>
            </w:r>
            <w:r w:rsidRPr="00D905BF">
              <w:rPr>
                <w:rFonts w:asciiTheme="majorBidi" w:eastAsia="Times New Roman" w:hAnsiTheme="majorBidi" w:cstheme="majorBidi"/>
                <w:spacing w:val="0"/>
                <w:w w:val="100"/>
                <w:kern w:val="0"/>
                <w:sz w:val="17"/>
                <w:szCs w:val="17"/>
                <w:lang w:val="fr-FR" w:eastAsia="ru-RU"/>
              </w:rPr>
              <w:t>de gros et de détail, réparation de voitures, de motocycles, d</w:t>
            </w:r>
            <w:r w:rsidR="008E14FD" w:rsidRPr="00D905BF">
              <w:rPr>
                <w:rFonts w:asciiTheme="majorBidi" w:eastAsia="Times New Roman" w:hAnsiTheme="majorBidi" w:cstheme="majorBidi"/>
                <w:spacing w:val="0"/>
                <w:w w:val="100"/>
                <w:kern w:val="0"/>
                <w:sz w:val="17"/>
                <w:szCs w:val="17"/>
                <w:lang w:val="fr-FR" w:eastAsia="ru-RU"/>
              </w:rPr>
              <w:t>’</w:t>
            </w:r>
            <w:r w:rsidRPr="00D905BF">
              <w:rPr>
                <w:rFonts w:asciiTheme="majorBidi" w:eastAsia="Times New Roman" w:hAnsiTheme="majorBidi" w:cstheme="majorBidi"/>
                <w:spacing w:val="0"/>
                <w:w w:val="100"/>
                <w:kern w:val="0"/>
                <w:sz w:val="17"/>
                <w:szCs w:val="17"/>
                <w:lang w:val="fr-FR" w:eastAsia="ru-RU"/>
              </w:rPr>
              <w:t>articles ménagers et d</w:t>
            </w:r>
            <w:r w:rsidR="008E14FD" w:rsidRPr="00D905BF">
              <w:rPr>
                <w:rFonts w:asciiTheme="majorBidi" w:eastAsia="Times New Roman" w:hAnsiTheme="majorBidi" w:cstheme="majorBidi"/>
                <w:spacing w:val="0"/>
                <w:w w:val="100"/>
                <w:kern w:val="0"/>
                <w:sz w:val="17"/>
                <w:szCs w:val="17"/>
                <w:lang w:val="fr-FR" w:eastAsia="ru-RU"/>
              </w:rPr>
              <w:t>’</w:t>
            </w:r>
            <w:r w:rsidRPr="00D905BF">
              <w:rPr>
                <w:rFonts w:asciiTheme="majorBidi" w:eastAsia="Times New Roman" w:hAnsiTheme="majorBidi" w:cstheme="majorBidi"/>
                <w:spacing w:val="0"/>
                <w:w w:val="100"/>
                <w:kern w:val="0"/>
                <w:sz w:val="17"/>
                <w:szCs w:val="17"/>
                <w:lang w:val="fr-FR" w:eastAsia="ru-RU"/>
              </w:rPr>
              <w:t>objets personnels</w:t>
            </w:r>
          </w:p>
        </w:tc>
        <w:tc>
          <w:tcPr>
            <w:tcW w:w="900" w:type="dxa"/>
            <w:shd w:val="clear" w:color="auto" w:fill="auto"/>
            <w:vAlign w:val="bottom"/>
          </w:tcPr>
          <w:p w14:paraId="35911CF5" w14:textId="082AD9A8"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24</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542</w:t>
            </w:r>
          </w:p>
        </w:tc>
        <w:tc>
          <w:tcPr>
            <w:tcW w:w="962" w:type="dxa"/>
            <w:shd w:val="clear" w:color="auto" w:fill="auto"/>
            <w:vAlign w:val="bottom"/>
          </w:tcPr>
          <w:p w14:paraId="1B10A3E5" w14:textId="52F3C279"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18</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761</w:t>
            </w:r>
          </w:p>
        </w:tc>
        <w:tc>
          <w:tcPr>
            <w:tcW w:w="1108" w:type="dxa"/>
            <w:shd w:val="clear" w:color="auto" w:fill="auto"/>
            <w:vAlign w:val="bottom"/>
          </w:tcPr>
          <w:p w14:paraId="686C52AB" w14:textId="4D8EA23A"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5</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781</w:t>
            </w:r>
          </w:p>
        </w:tc>
        <w:tc>
          <w:tcPr>
            <w:tcW w:w="1574" w:type="dxa"/>
            <w:shd w:val="clear" w:color="auto" w:fill="auto"/>
            <w:vAlign w:val="bottom"/>
          </w:tcPr>
          <w:p w14:paraId="1EAC5918"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23,6</w:t>
            </w:r>
          </w:p>
        </w:tc>
      </w:tr>
      <w:tr w:rsidR="002A37CD" w:rsidRPr="00D905BF" w14:paraId="174F26E7" w14:textId="77777777" w:rsidTr="00F0198E">
        <w:tc>
          <w:tcPr>
            <w:tcW w:w="2700" w:type="dxa"/>
            <w:shd w:val="clear" w:color="auto" w:fill="auto"/>
            <w:vAlign w:val="bottom"/>
          </w:tcPr>
          <w:p w14:paraId="155D2C31" w14:textId="50401265" w:rsidR="002A37CD" w:rsidRPr="00D905BF" w:rsidRDefault="00C93C16" w:rsidP="00D905BF">
            <w:pPr>
              <w:tabs>
                <w:tab w:val="left" w:pos="178"/>
              </w:tabs>
              <w:suppressAutoHyphens/>
              <w:spacing w:before="40" w:after="40" w:line="210" w:lineRule="exact"/>
              <w:ind w:right="43"/>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w:t>
            </w:r>
            <w:r w:rsidRPr="00D905BF">
              <w:rPr>
                <w:rFonts w:asciiTheme="majorBidi" w:eastAsia="Times New Roman" w:hAnsiTheme="majorBidi" w:cstheme="majorBidi"/>
                <w:spacing w:val="0"/>
                <w:w w:val="100"/>
                <w:kern w:val="0"/>
                <w:sz w:val="17"/>
                <w:szCs w:val="17"/>
                <w:lang w:val="fr-FR" w:eastAsia="ru-RU"/>
              </w:rPr>
              <w:tab/>
            </w:r>
            <w:r w:rsidR="00A81ADA" w:rsidRPr="00D905BF">
              <w:rPr>
                <w:rFonts w:asciiTheme="majorBidi" w:eastAsia="Times New Roman" w:hAnsiTheme="majorBidi" w:cstheme="majorBidi"/>
                <w:spacing w:val="0"/>
                <w:w w:val="100"/>
                <w:kern w:val="0"/>
                <w:sz w:val="17"/>
                <w:szCs w:val="17"/>
                <w:lang w:val="fr-FR" w:eastAsia="ru-RU"/>
              </w:rPr>
              <w:t xml:space="preserve">Hôtels </w:t>
            </w:r>
            <w:r w:rsidR="002A37CD" w:rsidRPr="00D905BF">
              <w:rPr>
                <w:rFonts w:asciiTheme="majorBidi" w:eastAsia="Times New Roman" w:hAnsiTheme="majorBidi" w:cstheme="majorBidi"/>
                <w:spacing w:val="0"/>
                <w:w w:val="100"/>
                <w:kern w:val="0"/>
                <w:sz w:val="17"/>
                <w:szCs w:val="17"/>
                <w:lang w:val="fr-FR" w:eastAsia="ru-RU"/>
              </w:rPr>
              <w:t xml:space="preserve">et restaurants </w:t>
            </w:r>
          </w:p>
        </w:tc>
        <w:tc>
          <w:tcPr>
            <w:tcW w:w="900" w:type="dxa"/>
            <w:shd w:val="clear" w:color="auto" w:fill="auto"/>
            <w:vAlign w:val="bottom"/>
          </w:tcPr>
          <w:p w14:paraId="32751896" w14:textId="4E58EB64"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5</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465</w:t>
            </w:r>
          </w:p>
        </w:tc>
        <w:tc>
          <w:tcPr>
            <w:tcW w:w="962" w:type="dxa"/>
            <w:shd w:val="clear" w:color="auto" w:fill="auto"/>
            <w:vAlign w:val="bottom"/>
          </w:tcPr>
          <w:p w14:paraId="513D0297" w14:textId="7D50D9AF"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951</w:t>
            </w:r>
          </w:p>
        </w:tc>
        <w:tc>
          <w:tcPr>
            <w:tcW w:w="1108" w:type="dxa"/>
            <w:shd w:val="clear" w:color="auto" w:fill="auto"/>
            <w:vAlign w:val="bottom"/>
          </w:tcPr>
          <w:p w14:paraId="2C993B5D" w14:textId="233AB513"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514</w:t>
            </w:r>
          </w:p>
        </w:tc>
        <w:tc>
          <w:tcPr>
            <w:tcW w:w="1574" w:type="dxa"/>
            <w:shd w:val="clear" w:color="auto" w:fill="auto"/>
            <w:vAlign w:val="bottom"/>
          </w:tcPr>
          <w:p w14:paraId="0D8736D4"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46,0</w:t>
            </w:r>
          </w:p>
        </w:tc>
      </w:tr>
      <w:tr w:rsidR="002A37CD" w:rsidRPr="00D905BF" w14:paraId="1708FC61" w14:textId="77777777" w:rsidTr="00F0198E">
        <w:tc>
          <w:tcPr>
            <w:tcW w:w="2700" w:type="dxa"/>
            <w:shd w:val="clear" w:color="auto" w:fill="auto"/>
            <w:vAlign w:val="bottom"/>
          </w:tcPr>
          <w:p w14:paraId="5294351F" w14:textId="131B01B7" w:rsidR="002A37CD" w:rsidRPr="00D905BF" w:rsidRDefault="00C93C16" w:rsidP="00A81ADA">
            <w:pPr>
              <w:tabs>
                <w:tab w:val="left" w:pos="178"/>
              </w:tabs>
              <w:suppressAutoHyphens/>
              <w:spacing w:before="40" w:after="40" w:line="210" w:lineRule="exact"/>
              <w:ind w:left="178" w:right="43" w:hanging="178"/>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w:t>
            </w:r>
            <w:r w:rsidRPr="00D905BF">
              <w:rPr>
                <w:rFonts w:asciiTheme="majorBidi" w:eastAsia="Times New Roman" w:hAnsiTheme="majorBidi" w:cstheme="majorBidi"/>
                <w:spacing w:val="0"/>
                <w:w w:val="100"/>
                <w:kern w:val="0"/>
                <w:sz w:val="17"/>
                <w:szCs w:val="17"/>
                <w:lang w:val="fr-FR" w:eastAsia="ru-RU"/>
              </w:rPr>
              <w:tab/>
            </w:r>
            <w:r w:rsidR="00A81ADA" w:rsidRPr="00D905BF">
              <w:rPr>
                <w:rFonts w:asciiTheme="majorBidi" w:eastAsia="Times New Roman" w:hAnsiTheme="majorBidi" w:cstheme="majorBidi"/>
                <w:spacing w:val="0"/>
                <w:w w:val="100"/>
                <w:kern w:val="0"/>
                <w:sz w:val="17"/>
                <w:szCs w:val="17"/>
                <w:lang w:val="fr-FR" w:eastAsia="ru-RU"/>
              </w:rPr>
              <w:t>Transport</w:t>
            </w:r>
            <w:r w:rsidR="002A37CD" w:rsidRPr="00D905BF">
              <w:rPr>
                <w:rFonts w:asciiTheme="majorBidi" w:eastAsia="Times New Roman" w:hAnsiTheme="majorBidi" w:cstheme="majorBidi"/>
                <w:spacing w:val="0"/>
                <w:w w:val="100"/>
                <w:kern w:val="0"/>
                <w:sz w:val="17"/>
                <w:szCs w:val="17"/>
                <w:lang w:val="fr-FR" w:eastAsia="ru-RU"/>
              </w:rPr>
              <w:t>, entreposage et communications</w:t>
            </w:r>
          </w:p>
        </w:tc>
        <w:tc>
          <w:tcPr>
            <w:tcW w:w="900" w:type="dxa"/>
            <w:shd w:val="clear" w:color="auto" w:fill="auto"/>
            <w:vAlign w:val="bottom"/>
          </w:tcPr>
          <w:p w14:paraId="1AC6D1DD" w14:textId="6077592F"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23</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128</w:t>
            </w:r>
          </w:p>
        </w:tc>
        <w:tc>
          <w:tcPr>
            <w:tcW w:w="962" w:type="dxa"/>
            <w:shd w:val="clear" w:color="auto" w:fill="auto"/>
            <w:vAlign w:val="bottom"/>
          </w:tcPr>
          <w:p w14:paraId="586DB877" w14:textId="69385BB2"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17</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607</w:t>
            </w:r>
          </w:p>
        </w:tc>
        <w:tc>
          <w:tcPr>
            <w:tcW w:w="1108" w:type="dxa"/>
            <w:shd w:val="clear" w:color="auto" w:fill="auto"/>
            <w:vAlign w:val="bottom"/>
          </w:tcPr>
          <w:p w14:paraId="044A9B61" w14:textId="72E26BF5"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5</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521</w:t>
            </w:r>
          </w:p>
        </w:tc>
        <w:tc>
          <w:tcPr>
            <w:tcW w:w="1574" w:type="dxa"/>
            <w:shd w:val="clear" w:color="auto" w:fill="auto"/>
            <w:vAlign w:val="bottom"/>
          </w:tcPr>
          <w:p w14:paraId="3D378C2A"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23,9</w:t>
            </w:r>
          </w:p>
        </w:tc>
      </w:tr>
      <w:tr w:rsidR="002A37CD" w:rsidRPr="00D905BF" w14:paraId="707A2A07" w14:textId="77777777" w:rsidTr="00F0198E">
        <w:tc>
          <w:tcPr>
            <w:tcW w:w="2700" w:type="dxa"/>
            <w:shd w:val="clear" w:color="auto" w:fill="auto"/>
            <w:vAlign w:val="bottom"/>
          </w:tcPr>
          <w:p w14:paraId="4EC6D5E7" w14:textId="38056849" w:rsidR="002A37CD" w:rsidRPr="00D905BF" w:rsidRDefault="00C93C16" w:rsidP="00D905BF">
            <w:pPr>
              <w:tabs>
                <w:tab w:val="left" w:pos="178"/>
              </w:tabs>
              <w:suppressAutoHyphens/>
              <w:spacing w:before="40" w:after="40" w:line="210" w:lineRule="exact"/>
              <w:ind w:right="43"/>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lastRenderedPageBreak/>
              <w:t>-</w:t>
            </w:r>
            <w:r w:rsidRPr="00D905BF">
              <w:rPr>
                <w:rFonts w:asciiTheme="majorBidi" w:eastAsia="Times New Roman" w:hAnsiTheme="majorBidi" w:cstheme="majorBidi"/>
                <w:spacing w:val="0"/>
                <w:w w:val="100"/>
                <w:kern w:val="0"/>
                <w:sz w:val="17"/>
                <w:szCs w:val="17"/>
                <w:lang w:val="fr-FR" w:eastAsia="ru-RU"/>
              </w:rPr>
              <w:tab/>
            </w:r>
            <w:r w:rsidR="00A81ADA" w:rsidRPr="00D905BF">
              <w:rPr>
                <w:rFonts w:asciiTheme="majorBidi" w:eastAsia="Times New Roman" w:hAnsiTheme="majorBidi" w:cstheme="majorBidi"/>
                <w:spacing w:val="0"/>
                <w:w w:val="100"/>
                <w:kern w:val="0"/>
                <w:sz w:val="17"/>
                <w:szCs w:val="17"/>
                <w:lang w:val="fr-FR" w:eastAsia="ru-RU"/>
              </w:rPr>
              <w:t xml:space="preserve">Courtage </w:t>
            </w:r>
            <w:r w:rsidR="002A37CD" w:rsidRPr="00D905BF">
              <w:rPr>
                <w:rFonts w:asciiTheme="majorBidi" w:eastAsia="Times New Roman" w:hAnsiTheme="majorBidi" w:cstheme="majorBidi"/>
                <w:spacing w:val="0"/>
                <w:w w:val="100"/>
                <w:kern w:val="0"/>
                <w:sz w:val="17"/>
                <w:szCs w:val="17"/>
                <w:lang w:val="fr-FR" w:eastAsia="ru-RU"/>
              </w:rPr>
              <w:t>financier</w:t>
            </w:r>
          </w:p>
        </w:tc>
        <w:tc>
          <w:tcPr>
            <w:tcW w:w="900" w:type="dxa"/>
            <w:shd w:val="clear" w:color="auto" w:fill="auto"/>
            <w:vAlign w:val="bottom"/>
          </w:tcPr>
          <w:p w14:paraId="3D08CF64" w14:textId="0F2E7C76"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22</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315</w:t>
            </w:r>
          </w:p>
        </w:tc>
        <w:tc>
          <w:tcPr>
            <w:tcW w:w="962" w:type="dxa"/>
            <w:shd w:val="clear" w:color="auto" w:fill="auto"/>
            <w:vAlign w:val="bottom"/>
          </w:tcPr>
          <w:p w14:paraId="16090C51" w14:textId="788D91CC"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15</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829</w:t>
            </w:r>
          </w:p>
        </w:tc>
        <w:tc>
          <w:tcPr>
            <w:tcW w:w="1108" w:type="dxa"/>
            <w:shd w:val="clear" w:color="auto" w:fill="auto"/>
            <w:vAlign w:val="bottom"/>
          </w:tcPr>
          <w:p w14:paraId="742A42DC" w14:textId="55E159FE"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6</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486</w:t>
            </w:r>
          </w:p>
        </w:tc>
        <w:tc>
          <w:tcPr>
            <w:tcW w:w="1574" w:type="dxa"/>
            <w:shd w:val="clear" w:color="auto" w:fill="auto"/>
            <w:vAlign w:val="bottom"/>
          </w:tcPr>
          <w:p w14:paraId="1453DE0C"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29,1</w:t>
            </w:r>
          </w:p>
        </w:tc>
      </w:tr>
      <w:tr w:rsidR="002A37CD" w:rsidRPr="00D905BF" w14:paraId="10785189" w14:textId="77777777" w:rsidTr="00F0198E">
        <w:tc>
          <w:tcPr>
            <w:tcW w:w="2700" w:type="dxa"/>
            <w:shd w:val="clear" w:color="auto" w:fill="auto"/>
            <w:vAlign w:val="bottom"/>
          </w:tcPr>
          <w:p w14:paraId="19AB4D2D" w14:textId="44842C80" w:rsidR="002A37CD" w:rsidRPr="00D905BF" w:rsidRDefault="00C93C16" w:rsidP="00A81ADA">
            <w:pPr>
              <w:tabs>
                <w:tab w:val="left" w:pos="178"/>
              </w:tabs>
              <w:suppressAutoHyphens/>
              <w:spacing w:before="40" w:after="40" w:line="210" w:lineRule="exact"/>
              <w:ind w:left="178" w:right="43" w:hanging="178"/>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w:t>
            </w:r>
            <w:r w:rsidRPr="00D905BF">
              <w:rPr>
                <w:rFonts w:asciiTheme="majorBidi" w:eastAsia="Times New Roman" w:hAnsiTheme="majorBidi" w:cstheme="majorBidi"/>
                <w:spacing w:val="0"/>
                <w:w w:val="100"/>
                <w:kern w:val="0"/>
                <w:sz w:val="17"/>
                <w:szCs w:val="17"/>
                <w:lang w:val="fr-FR" w:eastAsia="ru-RU"/>
              </w:rPr>
              <w:tab/>
            </w:r>
            <w:r w:rsidR="00A81ADA" w:rsidRPr="00D905BF">
              <w:rPr>
                <w:rFonts w:asciiTheme="majorBidi" w:eastAsia="Times New Roman" w:hAnsiTheme="majorBidi" w:cstheme="majorBidi"/>
                <w:spacing w:val="0"/>
                <w:w w:val="100"/>
                <w:kern w:val="0"/>
                <w:sz w:val="17"/>
                <w:szCs w:val="17"/>
                <w:lang w:val="fr-FR" w:eastAsia="ru-RU"/>
              </w:rPr>
              <w:t xml:space="preserve">Opérations </w:t>
            </w:r>
            <w:r w:rsidR="002A37CD" w:rsidRPr="00D905BF">
              <w:rPr>
                <w:rFonts w:asciiTheme="majorBidi" w:eastAsia="Times New Roman" w:hAnsiTheme="majorBidi" w:cstheme="majorBidi"/>
                <w:spacing w:val="0"/>
                <w:w w:val="100"/>
                <w:kern w:val="0"/>
                <w:sz w:val="17"/>
                <w:szCs w:val="17"/>
                <w:lang w:val="fr-FR" w:eastAsia="ru-RU"/>
              </w:rPr>
              <w:t>immobilières, location et activités commerciales</w:t>
            </w:r>
          </w:p>
        </w:tc>
        <w:tc>
          <w:tcPr>
            <w:tcW w:w="900" w:type="dxa"/>
            <w:shd w:val="clear" w:color="auto" w:fill="auto"/>
            <w:vAlign w:val="bottom"/>
          </w:tcPr>
          <w:p w14:paraId="5BBC69EC" w14:textId="167E3A3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19</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291</w:t>
            </w:r>
          </w:p>
        </w:tc>
        <w:tc>
          <w:tcPr>
            <w:tcW w:w="962" w:type="dxa"/>
            <w:shd w:val="clear" w:color="auto" w:fill="auto"/>
            <w:vAlign w:val="bottom"/>
          </w:tcPr>
          <w:p w14:paraId="663873E0" w14:textId="3D4EC2A0"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14</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041</w:t>
            </w:r>
          </w:p>
        </w:tc>
        <w:tc>
          <w:tcPr>
            <w:tcW w:w="1108" w:type="dxa"/>
            <w:shd w:val="clear" w:color="auto" w:fill="auto"/>
            <w:vAlign w:val="bottom"/>
          </w:tcPr>
          <w:p w14:paraId="1EC23CDB" w14:textId="5CAC73C3"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5</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250</w:t>
            </w:r>
          </w:p>
        </w:tc>
        <w:tc>
          <w:tcPr>
            <w:tcW w:w="1574" w:type="dxa"/>
            <w:shd w:val="clear" w:color="auto" w:fill="auto"/>
            <w:vAlign w:val="bottom"/>
          </w:tcPr>
          <w:p w14:paraId="1CA5674A"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27,2</w:t>
            </w:r>
          </w:p>
        </w:tc>
      </w:tr>
      <w:tr w:rsidR="002A37CD" w:rsidRPr="00D905BF" w14:paraId="457D8882" w14:textId="77777777" w:rsidTr="00F0198E">
        <w:tc>
          <w:tcPr>
            <w:tcW w:w="2700" w:type="dxa"/>
            <w:shd w:val="clear" w:color="auto" w:fill="auto"/>
            <w:vAlign w:val="bottom"/>
          </w:tcPr>
          <w:p w14:paraId="72DCAB77" w14:textId="1237E065" w:rsidR="002A37CD" w:rsidRPr="00D905BF" w:rsidRDefault="00C93C16" w:rsidP="00A81ADA">
            <w:pPr>
              <w:tabs>
                <w:tab w:val="left" w:pos="178"/>
              </w:tabs>
              <w:suppressAutoHyphens/>
              <w:spacing w:before="40" w:after="40" w:line="210" w:lineRule="exact"/>
              <w:ind w:left="178" w:right="43" w:hanging="178"/>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w:t>
            </w:r>
            <w:r w:rsidRPr="00D905BF">
              <w:rPr>
                <w:rFonts w:asciiTheme="majorBidi" w:eastAsia="Times New Roman" w:hAnsiTheme="majorBidi" w:cstheme="majorBidi"/>
                <w:spacing w:val="0"/>
                <w:w w:val="100"/>
                <w:kern w:val="0"/>
                <w:sz w:val="17"/>
                <w:szCs w:val="17"/>
                <w:lang w:val="fr-FR" w:eastAsia="ru-RU"/>
              </w:rPr>
              <w:tab/>
            </w:r>
            <w:r w:rsidR="00A81ADA" w:rsidRPr="00D905BF">
              <w:rPr>
                <w:rFonts w:asciiTheme="majorBidi" w:eastAsia="Times New Roman" w:hAnsiTheme="majorBidi" w:cstheme="majorBidi"/>
                <w:spacing w:val="0"/>
                <w:w w:val="100"/>
                <w:kern w:val="0"/>
                <w:sz w:val="17"/>
                <w:szCs w:val="17"/>
                <w:lang w:val="fr-FR" w:eastAsia="ru-RU"/>
              </w:rPr>
              <w:t xml:space="preserve">Administration </w:t>
            </w:r>
            <w:r w:rsidR="002A37CD" w:rsidRPr="00D905BF">
              <w:rPr>
                <w:rFonts w:asciiTheme="majorBidi" w:eastAsia="Times New Roman" w:hAnsiTheme="majorBidi" w:cstheme="majorBidi"/>
                <w:spacing w:val="0"/>
                <w:w w:val="100"/>
                <w:kern w:val="0"/>
                <w:sz w:val="17"/>
                <w:szCs w:val="17"/>
                <w:lang w:val="fr-FR" w:eastAsia="ru-RU"/>
              </w:rPr>
              <w:t>publique et défense, assurance sociale obligatoire</w:t>
            </w:r>
          </w:p>
        </w:tc>
        <w:tc>
          <w:tcPr>
            <w:tcW w:w="900" w:type="dxa"/>
            <w:shd w:val="clear" w:color="auto" w:fill="auto"/>
            <w:vAlign w:val="bottom"/>
          </w:tcPr>
          <w:p w14:paraId="16AAE500" w14:textId="1236F62E"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35</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748</w:t>
            </w:r>
          </w:p>
        </w:tc>
        <w:tc>
          <w:tcPr>
            <w:tcW w:w="962" w:type="dxa"/>
            <w:shd w:val="clear" w:color="auto" w:fill="auto"/>
            <w:vAlign w:val="bottom"/>
          </w:tcPr>
          <w:p w14:paraId="351FF2B7" w14:textId="0E55E416"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24</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887</w:t>
            </w:r>
          </w:p>
        </w:tc>
        <w:tc>
          <w:tcPr>
            <w:tcW w:w="1108" w:type="dxa"/>
            <w:shd w:val="clear" w:color="auto" w:fill="auto"/>
            <w:vAlign w:val="bottom"/>
          </w:tcPr>
          <w:p w14:paraId="25AF156C" w14:textId="6854483F"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10</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861</w:t>
            </w:r>
          </w:p>
        </w:tc>
        <w:tc>
          <w:tcPr>
            <w:tcW w:w="1574" w:type="dxa"/>
            <w:shd w:val="clear" w:color="auto" w:fill="auto"/>
            <w:vAlign w:val="bottom"/>
          </w:tcPr>
          <w:p w14:paraId="48D599E4"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30,4</w:t>
            </w:r>
          </w:p>
        </w:tc>
      </w:tr>
      <w:tr w:rsidR="002A37CD" w:rsidRPr="00D905BF" w14:paraId="707F8076" w14:textId="77777777" w:rsidTr="00F0198E">
        <w:tc>
          <w:tcPr>
            <w:tcW w:w="2700" w:type="dxa"/>
            <w:shd w:val="clear" w:color="auto" w:fill="auto"/>
            <w:vAlign w:val="bottom"/>
          </w:tcPr>
          <w:p w14:paraId="7BEAC468" w14:textId="081D8C44" w:rsidR="002A37CD" w:rsidRPr="00D905BF" w:rsidRDefault="00C93C16" w:rsidP="00D905BF">
            <w:pPr>
              <w:tabs>
                <w:tab w:val="left" w:pos="178"/>
              </w:tabs>
              <w:suppressAutoHyphens/>
              <w:spacing w:before="40" w:after="40" w:line="210" w:lineRule="exact"/>
              <w:ind w:right="43"/>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w:t>
            </w:r>
            <w:r w:rsidRPr="00D905BF">
              <w:rPr>
                <w:rFonts w:asciiTheme="majorBidi" w:eastAsia="Times New Roman" w:hAnsiTheme="majorBidi" w:cstheme="majorBidi"/>
                <w:spacing w:val="0"/>
                <w:w w:val="100"/>
                <w:kern w:val="0"/>
                <w:sz w:val="17"/>
                <w:szCs w:val="17"/>
                <w:lang w:val="fr-FR" w:eastAsia="ru-RU"/>
              </w:rPr>
              <w:tab/>
            </w:r>
            <w:r w:rsidR="00A81ADA" w:rsidRPr="00D905BF">
              <w:rPr>
                <w:rFonts w:asciiTheme="majorBidi" w:eastAsia="Times New Roman" w:hAnsiTheme="majorBidi" w:cstheme="majorBidi"/>
                <w:spacing w:val="0"/>
                <w:w w:val="100"/>
                <w:kern w:val="0"/>
                <w:sz w:val="17"/>
                <w:szCs w:val="17"/>
                <w:lang w:val="fr-FR" w:eastAsia="ru-RU"/>
              </w:rPr>
              <w:t>Éducation</w:t>
            </w:r>
          </w:p>
        </w:tc>
        <w:tc>
          <w:tcPr>
            <w:tcW w:w="900" w:type="dxa"/>
            <w:shd w:val="clear" w:color="auto" w:fill="auto"/>
            <w:vAlign w:val="bottom"/>
          </w:tcPr>
          <w:p w14:paraId="787DBA2C" w14:textId="7F65B336"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219</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312</w:t>
            </w:r>
          </w:p>
        </w:tc>
        <w:tc>
          <w:tcPr>
            <w:tcW w:w="962" w:type="dxa"/>
            <w:shd w:val="clear" w:color="auto" w:fill="auto"/>
            <w:vAlign w:val="bottom"/>
          </w:tcPr>
          <w:p w14:paraId="0A5C1583" w14:textId="149F8D5B"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84</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148</w:t>
            </w:r>
          </w:p>
        </w:tc>
        <w:tc>
          <w:tcPr>
            <w:tcW w:w="1108" w:type="dxa"/>
            <w:shd w:val="clear" w:color="auto" w:fill="auto"/>
            <w:vAlign w:val="bottom"/>
          </w:tcPr>
          <w:p w14:paraId="09B1E8E2" w14:textId="77D4EB5E"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135</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164</w:t>
            </w:r>
          </w:p>
        </w:tc>
        <w:tc>
          <w:tcPr>
            <w:tcW w:w="1574" w:type="dxa"/>
            <w:shd w:val="clear" w:color="auto" w:fill="auto"/>
            <w:vAlign w:val="bottom"/>
          </w:tcPr>
          <w:p w14:paraId="093FD29D"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61,6</w:t>
            </w:r>
          </w:p>
        </w:tc>
      </w:tr>
      <w:tr w:rsidR="002A37CD" w:rsidRPr="00D905BF" w14:paraId="662CB4A1" w14:textId="77777777" w:rsidTr="00F0198E">
        <w:tc>
          <w:tcPr>
            <w:tcW w:w="2700" w:type="dxa"/>
            <w:shd w:val="clear" w:color="auto" w:fill="auto"/>
            <w:vAlign w:val="bottom"/>
          </w:tcPr>
          <w:p w14:paraId="66702E3E" w14:textId="25C19DC8" w:rsidR="002A37CD" w:rsidRPr="00D905BF" w:rsidRDefault="00C93C16" w:rsidP="00D905BF">
            <w:pPr>
              <w:tabs>
                <w:tab w:val="left" w:pos="178"/>
              </w:tabs>
              <w:suppressAutoHyphens/>
              <w:spacing w:before="40" w:after="40" w:line="210" w:lineRule="exact"/>
              <w:ind w:right="43"/>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w:t>
            </w:r>
            <w:r w:rsidRPr="00D905BF">
              <w:rPr>
                <w:rFonts w:asciiTheme="majorBidi" w:eastAsia="Times New Roman" w:hAnsiTheme="majorBidi" w:cstheme="majorBidi"/>
                <w:spacing w:val="0"/>
                <w:w w:val="100"/>
                <w:kern w:val="0"/>
                <w:sz w:val="17"/>
                <w:szCs w:val="17"/>
                <w:lang w:val="fr-FR" w:eastAsia="ru-RU"/>
              </w:rPr>
              <w:tab/>
            </w:r>
            <w:r w:rsidR="00A81ADA" w:rsidRPr="00D905BF">
              <w:rPr>
                <w:rFonts w:asciiTheme="majorBidi" w:eastAsia="Times New Roman" w:hAnsiTheme="majorBidi" w:cstheme="majorBidi"/>
                <w:spacing w:val="0"/>
                <w:w w:val="100"/>
                <w:kern w:val="0"/>
                <w:sz w:val="17"/>
                <w:szCs w:val="17"/>
                <w:lang w:val="fr-FR" w:eastAsia="ru-RU"/>
              </w:rPr>
              <w:t xml:space="preserve">Santé </w:t>
            </w:r>
            <w:r w:rsidR="002A37CD" w:rsidRPr="00D905BF">
              <w:rPr>
                <w:rFonts w:asciiTheme="majorBidi" w:eastAsia="Times New Roman" w:hAnsiTheme="majorBidi" w:cstheme="majorBidi"/>
                <w:spacing w:val="0"/>
                <w:w w:val="100"/>
                <w:kern w:val="0"/>
                <w:sz w:val="17"/>
                <w:szCs w:val="17"/>
                <w:lang w:val="fr-FR" w:eastAsia="ru-RU"/>
              </w:rPr>
              <w:t>et services sociaux</w:t>
            </w:r>
          </w:p>
        </w:tc>
        <w:tc>
          <w:tcPr>
            <w:tcW w:w="900" w:type="dxa"/>
            <w:shd w:val="clear" w:color="auto" w:fill="auto"/>
            <w:vAlign w:val="bottom"/>
          </w:tcPr>
          <w:p w14:paraId="78AAF8A1" w14:textId="0DFE2748"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104</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265</w:t>
            </w:r>
          </w:p>
        </w:tc>
        <w:tc>
          <w:tcPr>
            <w:tcW w:w="962" w:type="dxa"/>
            <w:shd w:val="clear" w:color="auto" w:fill="auto"/>
            <w:vAlign w:val="bottom"/>
          </w:tcPr>
          <w:p w14:paraId="52113F35" w14:textId="3900F4DC"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34</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688</w:t>
            </w:r>
          </w:p>
        </w:tc>
        <w:tc>
          <w:tcPr>
            <w:tcW w:w="1108" w:type="dxa"/>
            <w:shd w:val="clear" w:color="auto" w:fill="auto"/>
            <w:vAlign w:val="bottom"/>
          </w:tcPr>
          <w:p w14:paraId="7AB2C4DE" w14:textId="03CD47E1"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69</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577</w:t>
            </w:r>
          </w:p>
        </w:tc>
        <w:tc>
          <w:tcPr>
            <w:tcW w:w="1574" w:type="dxa"/>
            <w:shd w:val="clear" w:color="auto" w:fill="auto"/>
            <w:vAlign w:val="bottom"/>
          </w:tcPr>
          <w:p w14:paraId="37377914"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66,7</w:t>
            </w:r>
          </w:p>
        </w:tc>
      </w:tr>
      <w:tr w:rsidR="002A37CD" w:rsidRPr="00D905BF" w14:paraId="2E20E45E" w14:textId="77777777" w:rsidTr="002F4FC9">
        <w:tc>
          <w:tcPr>
            <w:tcW w:w="2700" w:type="dxa"/>
            <w:shd w:val="clear" w:color="auto" w:fill="auto"/>
            <w:vAlign w:val="bottom"/>
          </w:tcPr>
          <w:p w14:paraId="5C1A5F73" w14:textId="33E7B8A0" w:rsidR="002A37CD" w:rsidRPr="00D905BF" w:rsidRDefault="00C93C16" w:rsidP="00A81ADA">
            <w:pPr>
              <w:tabs>
                <w:tab w:val="left" w:pos="178"/>
              </w:tabs>
              <w:suppressAutoHyphens/>
              <w:spacing w:before="40" w:after="40" w:line="210" w:lineRule="exact"/>
              <w:ind w:left="178" w:right="43" w:hanging="178"/>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w:t>
            </w:r>
            <w:r w:rsidRPr="00D905BF">
              <w:rPr>
                <w:rFonts w:asciiTheme="majorBidi" w:eastAsia="Times New Roman" w:hAnsiTheme="majorBidi" w:cstheme="majorBidi"/>
                <w:spacing w:val="0"/>
                <w:w w:val="100"/>
                <w:kern w:val="0"/>
                <w:sz w:val="17"/>
                <w:szCs w:val="17"/>
                <w:lang w:val="fr-FR" w:eastAsia="ru-RU"/>
              </w:rPr>
              <w:tab/>
            </w:r>
            <w:r w:rsidR="00A81ADA" w:rsidRPr="00D905BF">
              <w:rPr>
                <w:rFonts w:asciiTheme="majorBidi" w:eastAsia="Times New Roman" w:hAnsiTheme="majorBidi" w:cstheme="majorBidi"/>
                <w:spacing w:val="0"/>
                <w:w w:val="100"/>
                <w:kern w:val="0"/>
                <w:sz w:val="17"/>
                <w:szCs w:val="17"/>
                <w:lang w:val="fr-FR" w:eastAsia="ru-RU"/>
              </w:rPr>
              <w:t xml:space="preserve">Autres </w:t>
            </w:r>
            <w:r w:rsidR="002A37CD" w:rsidRPr="00D905BF">
              <w:rPr>
                <w:rFonts w:asciiTheme="majorBidi" w:eastAsia="Times New Roman" w:hAnsiTheme="majorBidi" w:cstheme="majorBidi"/>
                <w:spacing w:val="0"/>
                <w:w w:val="100"/>
                <w:kern w:val="0"/>
                <w:sz w:val="17"/>
                <w:szCs w:val="17"/>
                <w:lang w:val="fr-FR" w:eastAsia="ru-RU"/>
              </w:rPr>
              <w:t>services communaux, sociaux et personnels</w:t>
            </w:r>
          </w:p>
        </w:tc>
        <w:tc>
          <w:tcPr>
            <w:tcW w:w="900" w:type="dxa"/>
            <w:shd w:val="clear" w:color="auto" w:fill="auto"/>
            <w:vAlign w:val="bottom"/>
          </w:tcPr>
          <w:p w14:paraId="7ACCAC3F" w14:textId="2A8E0214"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41</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945</w:t>
            </w:r>
          </w:p>
        </w:tc>
        <w:tc>
          <w:tcPr>
            <w:tcW w:w="962" w:type="dxa"/>
            <w:shd w:val="clear" w:color="auto" w:fill="auto"/>
            <w:vAlign w:val="bottom"/>
          </w:tcPr>
          <w:p w14:paraId="18F8D531" w14:textId="4A2503A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24</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219</w:t>
            </w:r>
          </w:p>
        </w:tc>
        <w:tc>
          <w:tcPr>
            <w:tcW w:w="1108" w:type="dxa"/>
            <w:shd w:val="clear" w:color="auto" w:fill="auto"/>
            <w:vAlign w:val="bottom"/>
          </w:tcPr>
          <w:p w14:paraId="1D176649" w14:textId="47A1E5F2"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17</w:t>
            </w:r>
            <w:r w:rsidR="00677C1C">
              <w:rPr>
                <w:rFonts w:asciiTheme="majorBidi" w:hAnsiTheme="majorBidi" w:cstheme="majorBidi"/>
                <w:spacing w:val="0"/>
                <w:w w:val="100"/>
                <w:kern w:val="0"/>
                <w:sz w:val="17"/>
                <w:szCs w:val="17"/>
                <w:lang w:val="fr-FR"/>
              </w:rPr>
              <w:t> </w:t>
            </w:r>
            <w:r w:rsidRPr="00D905BF">
              <w:rPr>
                <w:rFonts w:asciiTheme="majorBidi" w:hAnsiTheme="majorBidi" w:cstheme="majorBidi"/>
                <w:spacing w:val="0"/>
                <w:w w:val="100"/>
                <w:kern w:val="0"/>
                <w:sz w:val="17"/>
                <w:szCs w:val="17"/>
                <w:lang w:val="fr-FR"/>
              </w:rPr>
              <w:t>726</w:t>
            </w:r>
          </w:p>
        </w:tc>
        <w:tc>
          <w:tcPr>
            <w:tcW w:w="1574" w:type="dxa"/>
            <w:shd w:val="clear" w:color="auto" w:fill="auto"/>
            <w:vAlign w:val="bottom"/>
          </w:tcPr>
          <w:p w14:paraId="25BBBBD0"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42,3</w:t>
            </w:r>
          </w:p>
        </w:tc>
      </w:tr>
      <w:tr w:rsidR="002A37CD" w:rsidRPr="00D905BF" w14:paraId="1DCBD520" w14:textId="77777777" w:rsidTr="002F4FC9">
        <w:tc>
          <w:tcPr>
            <w:tcW w:w="2700" w:type="dxa"/>
            <w:tcBorders>
              <w:bottom w:val="single" w:sz="12" w:space="0" w:color="auto"/>
            </w:tcBorders>
            <w:shd w:val="clear" w:color="auto" w:fill="auto"/>
            <w:vAlign w:val="bottom"/>
          </w:tcPr>
          <w:p w14:paraId="3EE5C0C4" w14:textId="42FD287A" w:rsidR="002A37CD" w:rsidRPr="00D905BF" w:rsidRDefault="00C93C16" w:rsidP="00A81ADA">
            <w:pPr>
              <w:tabs>
                <w:tab w:val="left" w:pos="178"/>
              </w:tabs>
              <w:suppressAutoHyphens/>
              <w:spacing w:before="40" w:after="40" w:line="210" w:lineRule="exact"/>
              <w:ind w:left="178" w:right="43" w:hanging="178"/>
              <w:rPr>
                <w:rFonts w:asciiTheme="majorBidi" w:eastAsia="Times New Roman" w:hAnsiTheme="majorBidi" w:cstheme="majorBidi"/>
                <w:spacing w:val="0"/>
                <w:w w:val="100"/>
                <w:kern w:val="0"/>
                <w:sz w:val="17"/>
                <w:szCs w:val="17"/>
                <w:lang w:val="fr-FR" w:eastAsia="ru-RU"/>
              </w:rPr>
            </w:pPr>
            <w:r w:rsidRPr="00D905BF">
              <w:rPr>
                <w:rFonts w:asciiTheme="majorBidi" w:eastAsia="Times New Roman" w:hAnsiTheme="majorBidi" w:cstheme="majorBidi"/>
                <w:spacing w:val="0"/>
                <w:w w:val="100"/>
                <w:kern w:val="0"/>
                <w:sz w:val="17"/>
                <w:szCs w:val="17"/>
                <w:lang w:val="fr-FR" w:eastAsia="ru-RU"/>
              </w:rPr>
              <w:t>-</w:t>
            </w:r>
            <w:r w:rsidRPr="00D905BF">
              <w:rPr>
                <w:rFonts w:asciiTheme="majorBidi" w:eastAsia="Times New Roman" w:hAnsiTheme="majorBidi" w:cstheme="majorBidi"/>
                <w:spacing w:val="0"/>
                <w:w w:val="100"/>
                <w:kern w:val="0"/>
                <w:sz w:val="17"/>
                <w:szCs w:val="17"/>
                <w:lang w:val="fr-FR" w:eastAsia="ru-RU"/>
              </w:rPr>
              <w:tab/>
            </w:r>
            <w:r w:rsidR="00A81ADA" w:rsidRPr="00D905BF">
              <w:rPr>
                <w:rFonts w:asciiTheme="majorBidi" w:eastAsia="Times New Roman" w:hAnsiTheme="majorBidi" w:cstheme="majorBidi"/>
                <w:spacing w:val="0"/>
                <w:w w:val="100"/>
                <w:kern w:val="0"/>
                <w:sz w:val="17"/>
                <w:szCs w:val="17"/>
                <w:lang w:val="fr-FR" w:eastAsia="ru-RU"/>
              </w:rPr>
              <w:t xml:space="preserve">Organisations </w:t>
            </w:r>
            <w:r w:rsidR="002A37CD" w:rsidRPr="00D905BF">
              <w:rPr>
                <w:rFonts w:asciiTheme="majorBidi" w:eastAsia="Times New Roman" w:hAnsiTheme="majorBidi" w:cstheme="majorBidi"/>
                <w:spacing w:val="0"/>
                <w:w w:val="100"/>
                <w:kern w:val="0"/>
                <w:sz w:val="17"/>
                <w:szCs w:val="17"/>
                <w:lang w:val="fr-FR" w:eastAsia="ru-RU"/>
              </w:rPr>
              <w:t>et organismes extraterritoriaux</w:t>
            </w:r>
          </w:p>
        </w:tc>
        <w:tc>
          <w:tcPr>
            <w:tcW w:w="900" w:type="dxa"/>
            <w:tcBorders>
              <w:bottom w:val="single" w:sz="12" w:space="0" w:color="auto"/>
            </w:tcBorders>
            <w:shd w:val="clear" w:color="auto" w:fill="auto"/>
            <w:vAlign w:val="bottom"/>
          </w:tcPr>
          <w:p w14:paraId="0F20F825"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736</w:t>
            </w:r>
          </w:p>
        </w:tc>
        <w:tc>
          <w:tcPr>
            <w:tcW w:w="962" w:type="dxa"/>
            <w:tcBorders>
              <w:bottom w:val="single" w:sz="12" w:space="0" w:color="auto"/>
            </w:tcBorders>
            <w:shd w:val="clear" w:color="auto" w:fill="auto"/>
            <w:vAlign w:val="bottom"/>
          </w:tcPr>
          <w:p w14:paraId="7EDC6E37"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483</w:t>
            </w:r>
          </w:p>
        </w:tc>
        <w:tc>
          <w:tcPr>
            <w:tcW w:w="1108" w:type="dxa"/>
            <w:tcBorders>
              <w:bottom w:val="single" w:sz="12" w:space="0" w:color="auto"/>
            </w:tcBorders>
            <w:shd w:val="clear" w:color="auto" w:fill="auto"/>
            <w:vAlign w:val="bottom"/>
          </w:tcPr>
          <w:p w14:paraId="697D3ED2"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253</w:t>
            </w:r>
          </w:p>
        </w:tc>
        <w:tc>
          <w:tcPr>
            <w:tcW w:w="1574" w:type="dxa"/>
            <w:tcBorders>
              <w:bottom w:val="single" w:sz="12" w:space="0" w:color="auto"/>
            </w:tcBorders>
            <w:shd w:val="clear" w:color="auto" w:fill="auto"/>
            <w:vAlign w:val="bottom"/>
          </w:tcPr>
          <w:p w14:paraId="04DFEE76" w14:textId="77777777" w:rsidR="002A37CD" w:rsidRPr="00D905BF" w:rsidRDefault="002A37CD" w:rsidP="00D905BF">
            <w:pPr>
              <w:suppressAutoHyphens/>
              <w:spacing w:before="40" w:after="40" w:line="210" w:lineRule="exact"/>
              <w:ind w:right="43"/>
              <w:jc w:val="right"/>
              <w:rPr>
                <w:rFonts w:asciiTheme="majorBidi" w:hAnsiTheme="majorBidi" w:cstheme="majorBidi"/>
                <w:spacing w:val="0"/>
                <w:w w:val="100"/>
                <w:kern w:val="0"/>
                <w:sz w:val="17"/>
                <w:szCs w:val="17"/>
                <w:lang w:val="fr-FR"/>
              </w:rPr>
            </w:pPr>
            <w:r w:rsidRPr="00D905BF">
              <w:rPr>
                <w:rFonts w:asciiTheme="majorBidi" w:hAnsiTheme="majorBidi" w:cstheme="majorBidi"/>
                <w:spacing w:val="0"/>
                <w:w w:val="100"/>
                <w:kern w:val="0"/>
                <w:sz w:val="17"/>
                <w:szCs w:val="17"/>
                <w:lang w:val="fr-FR"/>
              </w:rPr>
              <w:t>34,4</w:t>
            </w:r>
          </w:p>
        </w:tc>
      </w:tr>
      <w:bookmarkEnd w:id="4"/>
    </w:tbl>
    <w:p w14:paraId="06C31DBF" w14:textId="3BFC7D12" w:rsidR="002A37CD" w:rsidRPr="00A81ADA" w:rsidRDefault="002A37CD" w:rsidP="00A81ADA">
      <w:pPr>
        <w:pStyle w:val="SingleTxt"/>
        <w:spacing w:after="0" w:line="120" w:lineRule="exact"/>
        <w:rPr>
          <w:sz w:val="10"/>
          <w:lang w:val="fr-FR"/>
        </w:rPr>
      </w:pPr>
    </w:p>
    <w:p w14:paraId="6056E44B" w14:textId="6F618AB5" w:rsidR="00A81ADA" w:rsidRPr="00A81ADA" w:rsidRDefault="00A81ADA" w:rsidP="00A81ADA">
      <w:pPr>
        <w:pStyle w:val="SingleTxt"/>
        <w:spacing w:after="0" w:line="120" w:lineRule="exact"/>
        <w:rPr>
          <w:sz w:val="10"/>
          <w:lang w:val="fr-FR"/>
        </w:rPr>
      </w:pPr>
    </w:p>
    <w:p w14:paraId="4E3FF71B" w14:textId="48A47130" w:rsidR="00CB4E05" w:rsidRPr="00CB4E05" w:rsidRDefault="00CB4E05" w:rsidP="00746391">
      <w:pPr>
        <w:pStyle w:val="SingleTxt"/>
        <w:numPr>
          <w:ilvl w:val="0"/>
          <w:numId w:val="6"/>
        </w:numPr>
        <w:tabs>
          <w:tab w:val="num" w:pos="2804"/>
        </w:tabs>
        <w:spacing w:line="240" w:lineRule="exact"/>
        <w:ind w:left="1267"/>
        <w:rPr>
          <w:lang w:val="fr-FR"/>
        </w:rPr>
      </w:pPr>
      <w:r w:rsidRPr="00CB4E05">
        <w:rPr>
          <w:lang w:val="fr-FR"/>
        </w:rPr>
        <w:t>Les personnes de moins de 18 ans jouissent d</w:t>
      </w:r>
      <w:r w:rsidR="008E14FD">
        <w:rPr>
          <w:lang w:val="fr-FR"/>
        </w:rPr>
        <w:t>’</w:t>
      </w:r>
      <w:r w:rsidRPr="00CB4E05">
        <w:rPr>
          <w:lang w:val="fr-FR"/>
        </w:rPr>
        <w:t>une protection particulière. L</w:t>
      </w:r>
      <w:r w:rsidR="008E14FD">
        <w:rPr>
          <w:lang w:val="fr-FR"/>
        </w:rPr>
        <w:t>’</w:t>
      </w:r>
      <w:r w:rsidRPr="00CB4E05">
        <w:rPr>
          <w:lang w:val="fr-FR"/>
        </w:rPr>
        <w:t>État garantit le droit des mineurs à la formation professionnelle et l</w:t>
      </w:r>
      <w:r w:rsidR="008E14FD">
        <w:rPr>
          <w:lang w:val="fr-FR"/>
        </w:rPr>
        <w:t>’</w:t>
      </w:r>
      <w:r w:rsidRPr="00CB4E05">
        <w:rPr>
          <w:lang w:val="fr-FR"/>
        </w:rPr>
        <w:t>emploi, à l</w:t>
      </w:r>
      <w:r w:rsidR="008E14FD">
        <w:rPr>
          <w:lang w:val="fr-FR"/>
        </w:rPr>
        <w:t>’</w:t>
      </w:r>
      <w:r w:rsidRPr="00CB4E05">
        <w:rPr>
          <w:lang w:val="fr-FR"/>
        </w:rPr>
        <w:t>éducation, aux soins médicaux, aux loisirs, aux activités culturelles, à la culture physique et au sport, sans distinction de race, de sexe, de religion, d</w:t>
      </w:r>
      <w:r w:rsidR="008E14FD">
        <w:rPr>
          <w:lang w:val="fr-FR"/>
        </w:rPr>
        <w:t>’</w:t>
      </w:r>
      <w:r w:rsidRPr="00CB4E05">
        <w:rPr>
          <w:lang w:val="fr-FR"/>
        </w:rPr>
        <w:t>appartenance nationale ou de statut social. Il apporte le soutien financier nécessaire et d</w:t>
      </w:r>
      <w:r w:rsidR="008E14FD">
        <w:rPr>
          <w:lang w:val="fr-FR"/>
        </w:rPr>
        <w:t>’</w:t>
      </w:r>
      <w:r w:rsidRPr="00CB4E05">
        <w:rPr>
          <w:lang w:val="fr-FR"/>
        </w:rPr>
        <w:t>autres formes d</w:t>
      </w:r>
      <w:r w:rsidR="008E14FD">
        <w:rPr>
          <w:lang w:val="fr-FR"/>
        </w:rPr>
        <w:t>’</w:t>
      </w:r>
      <w:r w:rsidRPr="00CB4E05">
        <w:rPr>
          <w:lang w:val="fr-FR"/>
        </w:rPr>
        <w:t>appui matériel aux organisations de la société civile et autres qui œuvrent pour la promotion sociale des mineurs, et a mis en place un régime préférentiel pour leurs activités.</w:t>
      </w:r>
    </w:p>
    <w:p w14:paraId="06F7A885" w14:textId="44913FCD" w:rsidR="00CB4E05" w:rsidRPr="00CB4E05" w:rsidRDefault="00CB4E05" w:rsidP="00746391">
      <w:pPr>
        <w:pStyle w:val="SingleTxt"/>
        <w:numPr>
          <w:ilvl w:val="0"/>
          <w:numId w:val="6"/>
        </w:numPr>
        <w:spacing w:line="240" w:lineRule="exact"/>
        <w:ind w:left="1267"/>
        <w:rPr>
          <w:lang w:val="fr-FR"/>
        </w:rPr>
      </w:pPr>
      <w:r w:rsidRPr="00CB4E05">
        <w:rPr>
          <w:lang w:val="fr-FR"/>
        </w:rPr>
        <w:t>Aux termes de l</w:t>
      </w:r>
      <w:r w:rsidR="008E14FD">
        <w:rPr>
          <w:lang w:val="fr-FR"/>
        </w:rPr>
        <w:t>’</w:t>
      </w:r>
      <w:r w:rsidRPr="00CB4E05">
        <w:rPr>
          <w:lang w:val="fr-FR"/>
        </w:rPr>
        <w:t>article 26 de la loi sur l</w:t>
      </w:r>
      <w:r w:rsidR="008E14FD">
        <w:rPr>
          <w:lang w:val="fr-FR"/>
        </w:rPr>
        <w:t>’</w:t>
      </w:r>
      <w:r w:rsidRPr="00CB4E05">
        <w:rPr>
          <w:lang w:val="fr-FR"/>
        </w:rPr>
        <w:t>éducation, les établissements d</w:t>
      </w:r>
      <w:r w:rsidR="008E14FD">
        <w:rPr>
          <w:lang w:val="fr-FR"/>
        </w:rPr>
        <w:t>’</w:t>
      </w:r>
      <w:r w:rsidRPr="00CB4E05">
        <w:rPr>
          <w:lang w:val="fr-FR"/>
        </w:rPr>
        <w:t>enseignement, quel que soit leur statut juridique ou leur forme de propriété, ont l</w:t>
      </w:r>
      <w:r w:rsidR="008E14FD">
        <w:rPr>
          <w:lang w:val="fr-FR"/>
        </w:rPr>
        <w:t>’</w:t>
      </w:r>
      <w:r w:rsidRPr="00CB4E05">
        <w:rPr>
          <w:lang w:val="fr-FR"/>
        </w:rPr>
        <w:t>interdiction de confier aux membres du personnel enseignant des activités qui les détournent de leurs fonctions essentielles et de faire participer les élèves et les étudiants à des travaux agricoles ou à d</w:t>
      </w:r>
      <w:r w:rsidR="008E14FD">
        <w:rPr>
          <w:lang w:val="fr-FR"/>
        </w:rPr>
        <w:t>’</w:t>
      </w:r>
      <w:r w:rsidRPr="00CB4E05">
        <w:rPr>
          <w:lang w:val="fr-FR"/>
        </w:rPr>
        <w:t xml:space="preserve">autres activités </w:t>
      </w:r>
      <w:r w:rsidR="00543258">
        <w:rPr>
          <w:lang w:val="fr-FR"/>
        </w:rPr>
        <w:t xml:space="preserve">sans rapport avec leurs études </w:t>
      </w:r>
    </w:p>
    <w:p w14:paraId="6608A465" w14:textId="0C916CBF" w:rsidR="00CB4E05" w:rsidRPr="00CB4E05" w:rsidRDefault="00CB4E05" w:rsidP="00746391">
      <w:pPr>
        <w:pStyle w:val="SingleTxt"/>
        <w:numPr>
          <w:ilvl w:val="0"/>
          <w:numId w:val="6"/>
        </w:numPr>
        <w:spacing w:line="240" w:lineRule="exact"/>
        <w:ind w:left="1267"/>
        <w:rPr>
          <w:lang w:val="fr-FR"/>
        </w:rPr>
      </w:pPr>
      <w:r w:rsidRPr="00CB4E05">
        <w:rPr>
          <w:lang w:val="fr-FR"/>
        </w:rPr>
        <w:t>Dans le nouveau Code du travail, une section distincte est consacrée à la réglementation du travail des personnes de moins de 18 ans. En vertu de l</w:t>
      </w:r>
      <w:r w:rsidR="008E14FD">
        <w:rPr>
          <w:lang w:val="fr-FR"/>
        </w:rPr>
        <w:t>’</w:t>
      </w:r>
      <w:r w:rsidRPr="00CB4E05">
        <w:rPr>
          <w:lang w:val="fr-FR"/>
        </w:rPr>
        <w:t>article 208 de cet instrument, il est interdit d</w:t>
      </w:r>
      <w:r w:rsidR="008E14FD">
        <w:rPr>
          <w:lang w:val="fr-FR"/>
        </w:rPr>
        <w:t>’</w:t>
      </w:r>
      <w:r w:rsidRPr="00CB4E05">
        <w:rPr>
          <w:lang w:val="fr-FR"/>
        </w:rPr>
        <w:t>employer de personnes de moins de dix-huit ans aux fins de l</w:t>
      </w:r>
      <w:r w:rsidR="008E14FD">
        <w:rPr>
          <w:lang w:val="fr-FR"/>
        </w:rPr>
        <w:t>’</w:t>
      </w:r>
      <w:r w:rsidRPr="00CB4E05">
        <w:rPr>
          <w:lang w:val="fr-FR"/>
        </w:rPr>
        <w:t>exécution de travaux pénibles, de travaux souterrains dans des conditions nuisibles ou dangereuses ainsi que de travaux susceptibles de nuire à leur santé ou à leur développement moral. Dans un arrêté du 4 mars 2014, le Gouvernement a adopté une liste des emplois interdits aux personnes de moins de 18 ans du fait qu</w:t>
      </w:r>
      <w:r w:rsidR="008E14FD">
        <w:rPr>
          <w:lang w:val="fr-FR"/>
        </w:rPr>
        <w:t>’</w:t>
      </w:r>
      <w:r w:rsidRPr="00CB4E05">
        <w:rPr>
          <w:lang w:val="fr-FR"/>
        </w:rPr>
        <w:t>ils imposent des conditions de travail nuisibles ou dangereu</w:t>
      </w:r>
      <w:r w:rsidR="00677C1C">
        <w:rPr>
          <w:lang w:val="fr-FR"/>
        </w:rPr>
        <w:t>ses</w:t>
      </w:r>
      <w:r w:rsidRPr="00CB4E05">
        <w:rPr>
          <w:lang w:val="fr-FR"/>
        </w:rPr>
        <w:t xml:space="preserve"> et a fixé des normes relatives au poids maximal des charges pouvant être soulevées ou déplacées manuellement. En outre, dans son arrêté du 31 octobre 2014, il a approuvé le Programme national pour l</w:t>
      </w:r>
      <w:r w:rsidR="008E14FD">
        <w:rPr>
          <w:lang w:val="fr-FR"/>
        </w:rPr>
        <w:t>’</w:t>
      </w:r>
      <w:r w:rsidRPr="00CB4E05">
        <w:rPr>
          <w:lang w:val="fr-FR"/>
        </w:rPr>
        <w:t>élimination des pires formes de travail des enfants pour la période 2015-2020. Il est prévu de prendre dans ce cadre des mesures en vue de favoriser l</w:t>
      </w:r>
      <w:r w:rsidR="008E14FD">
        <w:rPr>
          <w:lang w:val="fr-FR"/>
        </w:rPr>
        <w:t>’</w:t>
      </w:r>
      <w:r w:rsidRPr="00CB4E05">
        <w:rPr>
          <w:lang w:val="fr-FR"/>
        </w:rPr>
        <w:t>accès des enfants à un enseignement général obligatoire de qualité, de développer les programmes d</w:t>
      </w:r>
      <w:r w:rsidR="008E14FD">
        <w:rPr>
          <w:lang w:val="fr-FR"/>
        </w:rPr>
        <w:t>’</w:t>
      </w:r>
      <w:r w:rsidRPr="00CB4E05">
        <w:rPr>
          <w:lang w:val="fr-FR"/>
        </w:rPr>
        <w:t xml:space="preserve">éducation non formelle et de formation professionnelle, et de lutter contre les pires formes de travail des enfants. </w:t>
      </w:r>
    </w:p>
    <w:p w14:paraId="7497ABBA" w14:textId="7BE50012" w:rsidR="00CB4E05" w:rsidRPr="00CB4E05" w:rsidRDefault="00CB4E05" w:rsidP="00746391">
      <w:pPr>
        <w:pStyle w:val="SingleTxt"/>
        <w:numPr>
          <w:ilvl w:val="0"/>
          <w:numId w:val="6"/>
        </w:numPr>
        <w:spacing w:line="240" w:lineRule="exact"/>
        <w:ind w:left="1267"/>
        <w:rPr>
          <w:lang w:val="fr-FR"/>
        </w:rPr>
      </w:pPr>
      <w:r w:rsidRPr="00CB4E05">
        <w:rPr>
          <w:lang w:val="fr-FR"/>
        </w:rPr>
        <w:t>Les principales dispositions de la Convention concernant l</w:t>
      </w:r>
      <w:r w:rsidR="008E14FD">
        <w:rPr>
          <w:lang w:val="fr-FR"/>
        </w:rPr>
        <w:t>’</w:t>
      </w:r>
      <w:r w:rsidRPr="00CB4E05">
        <w:rPr>
          <w:lang w:val="fr-FR"/>
        </w:rPr>
        <w:t>égalité de chances et de traitement pour les travailleurs des deux sexes: travailleurs ayant des responsabilités familiales (n° 156) ont été incorporées dans la législation tadjike. Si nécessaire, le Tadjikistan examinera une proposition relative au lancement des activités à mener aux fins de la ratification de la Convention n°156 sur les travailleurs ayant des responsabilités familiales.</w:t>
      </w:r>
    </w:p>
    <w:p w14:paraId="79A3F421" w14:textId="179AF044" w:rsidR="00CB4E05" w:rsidRPr="00CB4E05" w:rsidRDefault="00CB4E05" w:rsidP="00746391">
      <w:pPr>
        <w:pStyle w:val="SingleTxt"/>
        <w:numPr>
          <w:ilvl w:val="0"/>
          <w:numId w:val="6"/>
        </w:numPr>
        <w:spacing w:line="240" w:lineRule="exact"/>
        <w:ind w:left="1267"/>
        <w:rPr>
          <w:lang w:val="fr-FR"/>
        </w:rPr>
      </w:pPr>
      <w:r w:rsidRPr="00CB4E05">
        <w:rPr>
          <w:lang w:val="fr-FR"/>
        </w:rPr>
        <w:lastRenderedPageBreak/>
        <w:t>Le Gouvernement continuera de s</w:t>
      </w:r>
      <w:r w:rsidR="008E14FD">
        <w:rPr>
          <w:lang w:val="fr-FR"/>
        </w:rPr>
        <w:t>’</w:t>
      </w:r>
      <w:r w:rsidRPr="00CB4E05">
        <w:rPr>
          <w:lang w:val="fr-FR"/>
        </w:rPr>
        <w:t>employer à éliminer les pires formes de travail des enfants et la traite des enfants. Les institutions publiques, des organisations de la société civile et les organisations internationales ont toujours accordé une attention particulière au travail forcé, en effectuant des recherches et mettant en œuvre des programmes et des projets visant à prévenir le travail des enfants ou à faire en sorte qu</w:t>
      </w:r>
      <w:r w:rsidR="008E14FD">
        <w:rPr>
          <w:lang w:val="fr-FR"/>
        </w:rPr>
        <w:t>’</w:t>
      </w:r>
      <w:r w:rsidRPr="00CB4E05">
        <w:rPr>
          <w:lang w:val="fr-FR"/>
        </w:rPr>
        <w:t>ils quittent le marché du travail grâce à l</w:t>
      </w:r>
      <w:r w:rsidR="008E14FD">
        <w:rPr>
          <w:lang w:val="fr-FR"/>
        </w:rPr>
        <w:t>’</w:t>
      </w:r>
      <w:r w:rsidRPr="00CB4E05">
        <w:rPr>
          <w:lang w:val="fr-FR"/>
        </w:rPr>
        <w:t>éducation (en particulier au moyen de l</w:t>
      </w:r>
      <w:r w:rsidR="008E14FD">
        <w:rPr>
          <w:lang w:val="fr-FR"/>
        </w:rPr>
        <w:t>’</w:t>
      </w:r>
      <w:r w:rsidRPr="00CB4E05">
        <w:rPr>
          <w:lang w:val="fr-FR"/>
        </w:rPr>
        <w:t>éducation inclusive, de la formation professionnelle, de l</w:t>
      </w:r>
      <w:r w:rsidR="008E14FD">
        <w:rPr>
          <w:lang w:val="fr-FR"/>
        </w:rPr>
        <w:t>’</w:t>
      </w:r>
      <w:r w:rsidRPr="00CB4E05">
        <w:rPr>
          <w:lang w:val="fr-FR"/>
        </w:rPr>
        <w:t>orientation professionnelle, du développement des capacités entrepreneuriales des jeunes de 15 à 17 ans et de l</w:t>
      </w:r>
      <w:r w:rsidR="008E14FD">
        <w:rPr>
          <w:lang w:val="fr-FR"/>
        </w:rPr>
        <w:t>’</w:t>
      </w:r>
      <w:r w:rsidRPr="00CB4E05">
        <w:rPr>
          <w:lang w:val="fr-FR"/>
        </w:rPr>
        <w:t xml:space="preserve">information des jeunes sur les droits dans le milieu du travail). </w:t>
      </w:r>
    </w:p>
    <w:p w14:paraId="21D9960B" w14:textId="311E797D" w:rsidR="00CB4E05" w:rsidRPr="00CB4E05" w:rsidRDefault="00CB4E05" w:rsidP="00746391">
      <w:pPr>
        <w:pStyle w:val="SingleTxt"/>
        <w:numPr>
          <w:ilvl w:val="0"/>
          <w:numId w:val="6"/>
        </w:numPr>
        <w:spacing w:line="240" w:lineRule="exact"/>
        <w:ind w:left="1267"/>
        <w:rPr>
          <w:lang w:val="fr-FR"/>
        </w:rPr>
      </w:pPr>
      <w:r w:rsidRPr="00CB4E05">
        <w:rPr>
          <w:lang w:val="fr-FR"/>
        </w:rPr>
        <w:t>Afin de régler les problèmes susvisés grâce à l</w:t>
      </w:r>
      <w:r w:rsidR="008E14FD">
        <w:rPr>
          <w:lang w:val="fr-FR"/>
        </w:rPr>
        <w:t>’</w:t>
      </w:r>
      <w:r w:rsidRPr="00CB4E05">
        <w:rPr>
          <w:lang w:val="fr-FR"/>
        </w:rPr>
        <w:t>éducation, en garantissant un passage en douceur de l</w:t>
      </w:r>
      <w:r w:rsidR="008E14FD">
        <w:rPr>
          <w:lang w:val="fr-FR"/>
        </w:rPr>
        <w:t>’</w:t>
      </w:r>
      <w:r w:rsidRPr="00CB4E05">
        <w:rPr>
          <w:lang w:val="fr-FR"/>
        </w:rPr>
        <w:t>école au monde du travail et en assurant l</w:t>
      </w:r>
      <w:r w:rsidR="008E14FD">
        <w:rPr>
          <w:lang w:val="fr-FR"/>
        </w:rPr>
        <w:t>’</w:t>
      </w:r>
      <w:r w:rsidRPr="00CB4E05">
        <w:rPr>
          <w:lang w:val="fr-FR"/>
        </w:rPr>
        <w:t>accès des jeunes à un travail décent, le pays a adopté les documents d</w:t>
      </w:r>
      <w:r w:rsidR="008E14FD">
        <w:rPr>
          <w:lang w:val="fr-FR"/>
        </w:rPr>
        <w:t>’</w:t>
      </w:r>
      <w:r w:rsidRPr="00CB4E05">
        <w:rPr>
          <w:lang w:val="fr-FR"/>
        </w:rPr>
        <w:t>orientation suivants</w:t>
      </w:r>
      <w:r w:rsidR="008E14FD">
        <w:rPr>
          <w:lang w:val="fr-FR"/>
        </w:rPr>
        <w:t> :</w:t>
      </w:r>
    </w:p>
    <w:p w14:paraId="335DE7CF" w14:textId="6712BF42" w:rsidR="00CB4E05" w:rsidRPr="00CB4E05" w:rsidRDefault="002A37CD" w:rsidP="002A37CD">
      <w:pPr>
        <w:pStyle w:val="SingleTxt"/>
        <w:tabs>
          <w:tab w:val="right" w:pos="1685"/>
        </w:tabs>
        <w:ind w:left="1742" w:hanging="475"/>
        <w:rPr>
          <w:lang w:val="fr-FR"/>
        </w:rPr>
      </w:pPr>
      <w:r>
        <w:rPr>
          <w:lang w:val="fr-FR"/>
        </w:rPr>
        <w:tab/>
        <w:t>•</w:t>
      </w:r>
      <w:r>
        <w:rPr>
          <w:lang w:val="fr-FR"/>
        </w:rPr>
        <w:tab/>
      </w:r>
      <w:r w:rsidR="00CB4E05" w:rsidRPr="00CB4E05">
        <w:rPr>
          <w:lang w:val="fr-FR"/>
        </w:rPr>
        <w:t>Le 2 juin 2011, le Gouvernement a pris un arrêté sur la stratégie nationale de développement du marché du travail au Tadjikistan à l</w:t>
      </w:r>
      <w:r w:rsidR="008E14FD">
        <w:rPr>
          <w:lang w:val="fr-FR"/>
        </w:rPr>
        <w:t>’</w:t>
      </w:r>
      <w:r w:rsidR="00CB4E05" w:rsidRPr="00CB4E05">
        <w:rPr>
          <w:lang w:val="fr-FR"/>
        </w:rPr>
        <w:t>horizon 2020, qui prévoit d</w:t>
      </w:r>
      <w:r w:rsidR="008E14FD">
        <w:rPr>
          <w:lang w:val="fr-FR"/>
        </w:rPr>
        <w:t>’</w:t>
      </w:r>
      <w:r w:rsidR="00CB4E05" w:rsidRPr="00CB4E05">
        <w:rPr>
          <w:lang w:val="fr-FR"/>
        </w:rPr>
        <w:t>inclure dans le programme d</w:t>
      </w:r>
      <w:r w:rsidR="008E14FD">
        <w:rPr>
          <w:lang w:val="fr-FR"/>
        </w:rPr>
        <w:t>’</w:t>
      </w:r>
      <w:r w:rsidR="00CB4E05" w:rsidRPr="00CB4E05">
        <w:rPr>
          <w:lang w:val="fr-FR"/>
        </w:rPr>
        <w:t>enseignement secondaire général des cours visant à préparer les élèves à l</w:t>
      </w:r>
      <w:r w:rsidR="008E14FD">
        <w:rPr>
          <w:lang w:val="fr-FR"/>
        </w:rPr>
        <w:t>’</w:t>
      </w:r>
      <w:r w:rsidR="00CB4E05" w:rsidRPr="00CB4E05">
        <w:rPr>
          <w:lang w:val="fr-FR"/>
        </w:rPr>
        <w:t>entrée sur le marché du travail, à les familiariser avec le fonctionnement des entreprises et à les aider à</w:t>
      </w:r>
      <w:r w:rsidR="008E14FD">
        <w:rPr>
          <w:lang w:val="fr-FR"/>
        </w:rPr>
        <w:t xml:space="preserve"> </w:t>
      </w:r>
      <w:r w:rsidR="00CB4E05" w:rsidRPr="00CB4E05">
        <w:rPr>
          <w:lang w:val="fr-FR"/>
        </w:rPr>
        <w:t>améliorer leur niveau d</w:t>
      </w:r>
      <w:r w:rsidR="008E14FD">
        <w:rPr>
          <w:lang w:val="fr-FR"/>
        </w:rPr>
        <w:t>’</w:t>
      </w:r>
      <w:r w:rsidR="00CB4E05" w:rsidRPr="00CB4E05">
        <w:rPr>
          <w:lang w:val="fr-FR"/>
        </w:rPr>
        <w:t>alphabétisation fonctionnelle et à développer leurs capacités de raisonnement</w:t>
      </w:r>
      <w:r w:rsidR="008E14FD">
        <w:rPr>
          <w:lang w:val="fr-FR"/>
        </w:rPr>
        <w:t xml:space="preserve"> </w:t>
      </w:r>
      <w:r w:rsidR="00CB4E05" w:rsidRPr="00CB4E05">
        <w:rPr>
          <w:lang w:val="fr-FR"/>
        </w:rPr>
        <w:t>logique. Il est en outre prévu de mettre en place, dans les écoles secondaires, des services d</w:t>
      </w:r>
      <w:r w:rsidR="008E14FD">
        <w:rPr>
          <w:lang w:val="fr-FR"/>
        </w:rPr>
        <w:t>’</w:t>
      </w:r>
      <w:r w:rsidR="00CB4E05" w:rsidRPr="00CB4E05">
        <w:rPr>
          <w:lang w:val="fr-FR"/>
        </w:rPr>
        <w:t>orientation professionnelle et de formation professionnelle pour les jeunes. Le paragraphe 2.5.1 de la stratégie prévoit, à des fins d</w:t>
      </w:r>
      <w:r w:rsidR="008E14FD">
        <w:rPr>
          <w:lang w:val="fr-FR"/>
        </w:rPr>
        <w:t>’</w:t>
      </w:r>
      <w:r w:rsidR="00CB4E05" w:rsidRPr="00CB4E05">
        <w:rPr>
          <w:lang w:val="fr-FR"/>
        </w:rPr>
        <w:t>intégration sociale, la mise en place de services de formation complémentaire pour les jeunes, les chômeurs et les demandeurs d</w:t>
      </w:r>
      <w:r w:rsidR="008E14FD">
        <w:rPr>
          <w:lang w:val="fr-FR"/>
        </w:rPr>
        <w:t>’</w:t>
      </w:r>
      <w:r w:rsidR="00CB4E05" w:rsidRPr="00CB4E05">
        <w:rPr>
          <w:lang w:val="fr-FR"/>
        </w:rPr>
        <w:t>emploi dans des matières qu</w:t>
      </w:r>
      <w:r w:rsidR="008E14FD">
        <w:rPr>
          <w:lang w:val="fr-FR"/>
        </w:rPr>
        <w:t>’</w:t>
      </w:r>
      <w:r w:rsidR="00CB4E05" w:rsidRPr="00CB4E05">
        <w:rPr>
          <w:lang w:val="fr-FR"/>
        </w:rPr>
        <w:t>il est nécessaire de maîtriser pour poursuivre des études et trouver un emploi (élimination des lacunes dans les connaissances acquises plus tôt). En outre, des possibilités d</w:t>
      </w:r>
      <w:r w:rsidR="008E14FD">
        <w:rPr>
          <w:lang w:val="fr-FR"/>
        </w:rPr>
        <w:t>’</w:t>
      </w:r>
      <w:r w:rsidR="00CB4E05" w:rsidRPr="00CB4E05">
        <w:rPr>
          <w:lang w:val="fr-FR"/>
        </w:rPr>
        <w:t>enseignement seront créées pour</w:t>
      </w:r>
      <w:r w:rsidR="00365A31">
        <w:rPr>
          <w:lang w:val="fr-FR"/>
        </w:rPr>
        <w:t xml:space="preserve"> les analphabètes de plus de 15 </w:t>
      </w:r>
      <w:r w:rsidR="00CB4E05" w:rsidRPr="00CB4E05">
        <w:rPr>
          <w:lang w:val="fr-FR"/>
        </w:rPr>
        <w:t>ans en vue de leur intégration sur le marché du travail. Le problème du travail des enfants est évoqué au paragraphe 3.3.3 de la stratégie, qui prévoit l</w:t>
      </w:r>
      <w:r w:rsidR="008E14FD">
        <w:rPr>
          <w:lang w:val="fr-FR"/>
        </w:rPr>
        <w:t>’</w:t>
      </w:r>
      <w:r w:rsidR="00CB4E05" w:rsidRPr="00CB4E05">
        <w:rPr>
          <w:lang w:val="fr-FR"/>
        </w:rPr>
        <w:t>intensification de l</w:t>
      </w:r>
      <w:r w:rsidR="008E14FD">
        <w:rPr>
          <w:lang w:val="fr-FR"/>
        </w:rPr>
        <w:t>’</w:t>
      </w:r>
      <w:r w:rsidR="00CB4E05" w:rsidRPr="00CB4E05">
        <w:rPr>
          <w:lang w:val="fr-FR"/>
        </w:rPr>
        <w:t>action menée pour éliminer les pires formes de travail des enfants moyennant l</w:t>
      </w:r>
      <w:r w:rsidR="008E14FD">
        <w:rPr>
          <w:lang w:val="fr-FR"/>
        </w:rPr>
        <w:t>’</w:t>
      </w:r>
      <w:r w:rsidR="00CB4E05" w:rsidRPr="00CB4E05">
        <w:rPr>
          <w:lang w:val="fr-FR"/>
        </w:rPr>
        <w:t>élaboration d</w:t>
      </w:r>
      <w:r w:rsidR="008E14FD">
        <w:rPr>
          <w:lang w:val="fr-FR"/>
        </w:rPr>
        <w:t>’</w:t>
      </w:r>
      <w:r w:rsidR="00CB4E05" w:rsidRPr="00CB4E05">
        <w:rPr>
          <w:lang w:val="fr-FR"/>
        </w:rPr>
        <w:t>un plan d</w:t>
      </w:r>
      <w:r w:rsidR="008E14FD">
        <w:rPr>
          <w:lang w:val="fr-FR"/>
        </w:rPr>
        <w:t>’</w:t>
      </w:r>
      <w:r w:rsidR="00CB4E05" w:rsidRPr="00CB4E05">
        <w:rPr>
          <w:lang w:val="fr-FR"/>
        </w:rPr>
        <w:t>action national à cet effet;</w:t>
      </w:r>
    </w:p>
    <w:p w14:paraId="3492B270" w14:textId="33AFF88F" w:rsidR="00CB4E05" w:rsidRPr="00CB4E05" w:rsidRDefault="002A37CD" w:rsidP="002A37CD">
      <w:pPr>
        <w:pStyle w:val="SingleTxt"/>
        <w:tabs>
          <w:tab w:val="right" w:pos="1685"/>
        </w:tabs>
        <w:ind w:left="1742" w:hanging="475"/>
        <w:rPr>
          <w:lang w:val="fr-FR"/>
        </w:rPr>
      </w:pPr>
      <w:r>
        <w:rPr>
          <w:lang w:val="fr-FR"/>
        </w:rPr>
        <w:tab/>
        <w:t>•</w:t>
      </w:r>
      <w:r>
        <w:rPr>
          <w:lang w:val="fr-FR"/>
        </w:rPr>
        <w:tab/>
      </w:r>
      <w:r w:rsidR="00CB4E05" w:rsidRPr="00CB4E05">
        <w:rPr>
          <w:lang w:val="fr-FR"/>
        </w:rPr>
        <w:t>Le programme national pour l</w:t>
      </w:r>
      <w:r w:rsidR="008E14FD">
        <w:rPr>
          <w:lang w:val="fr-FR"/>
        </w:rPr>
        <w:t>’</w:t>
      </w:r>
      <w:r w:rsidR="00CB4E05" w:rsidRPr="00CB4E05">
        <w:rPr>
          <w:lang w:val="fr-FR"/>
        </w:rPr>
        <w:t>élimination des pires formes de travail des enfants pour la période 2015-2020. Le plan d</w:t>
      </w:r>
      <w:r w:rsidR="008E14FD">
        <w:rPr>
          <w:lang w:val="fr-FR"/>
        </w:rPr>
        <w:t>’</w:t>
      </w:r>
      <w:r w:rsidR="00CB4E05" w:rsidRPr="00CB4E05">
        <w:rPr>
          <w:lang w:val="fr-FR"/>
        </w:rPr>
        <w:t>action pour l</w:t>
      </w:r>
      <w:r w:rsidR="008E14FD">
        <w:rPr>
          <w:lang w:val="fr-FR"/>
        </w:rPr>
        <w:t>’</w:t>
      </w:r>
      <w:r w:rsidR="00CB4E05" w:rsidRPr="00CB4E05">
        <w:rPr>
          <w:lang w:val="fr-FR"/>
        </w:rPr>
        <w:t>élimination des pires formes de travail des enfants vise à coordonner les mesures prises pour mettre en œuvre ledit programme;</w:t>
      </w:r>
    </w:p>
    <w:p w14:paraId="7AD43C0A" w14:textId="220A7931" w:rsidR="00CB4E05" w:rsidRPr="00CB4E05" w:rsidRDefault="002A37CD" w:rsidP="002A37CD">
      <w:pPr>
        <w:pStyle w:val="SingleTxt"/>
        <w:tabs>
          <w:tab w:val="right" w:pos="1685"/>
        </w:tabs>
        <w:ind w:left="1742" w:hanging="475"/>
        <w:rPr>
          <w:lang w:val="fr-FR"/>
        </w:rPr>
      </w:pPr>
      <w:r>
        <w:rPr>
          <w:lang w:val="fr-FR"/>
        </w:rPr>
        <w:tab/>
        <w:t>•</w:t>
      </w:r>
      <w:r>
        <w:rPr>
          <w:lang w:val="fr-FR"/>
        </w:rPr>
        <w:tab/>
      </w:r>
      <w:r w:rsidR="00CB4E05" w:rsidRPr="00CB4E05">
        <w:rPr>
          <w:lang w:val="fr-FR"/>
        </w:rPr>
        <w:t>Le plan national de lutte contre la traite des êtres humains pour la période 2016-2018 a été approuvé par le Gouvernement dans son arrêté du 27 juillet 2016 ;</w:t>
      </w:r>
      <w:r w:rsidR="008E14FD">
        <w:rPr>
          <w:lang w:val="fr-FR"/>
        </w:rPr>
        <w:t xml:space="preserve"> </w:t>
      </w:r>
      <w:r w:rsidR="00CB4E05" w:rsidRPr="00CB4E05">
        <w:rPr>
          <w:lang w:val="fr-FR"/>
        </w:rPr>
        <w:t>le cinquième objectif de ce plan vise à prévenir la traite des enfants, tandis que le sixième prévoit l</w:t>
      </w:r>
      <w:r w:rsidR="008E14FD">
        <w:rPr>
          <w:lang w:val="fr-FR"/>
        </w:rPr>
        <w:t>’</w:t>
      </w:r>
      <w:r w:rsidR="00CB4E05" w:rsidRPr="00CB4E05">
        <w:rPr>
          <w:lang w:val="fr-FR"/>
        </w:rPr>
        <w:t>élargissement du partenariat social aux fins de la lutte contre la traite des êtres humains, et trois mesures sont prévues pour réaliser chacun de ces objectifs. Ce plan d</w:t>
      </w:r>
      <w:r w:rsidR="008E14FD">
        <w:rPr>
          <w:lang w:val="fr-FR"/>
        </w:rPr>
        <w:t>’</w:t>
      </w:r>
      <w:r w:rsidR="00CB4E05" w:rsidRPr="00CB4E05">
        <w:rPr>
          <w:lang w:val="fr-FR"/>
        </w:rPr>
        <w:t>action comprend 50 mesures concrètes;</w:t>
      </w:r>
    </w:p>
    <w:p w14:paraId="3B10452B" w14:textId="54941B30" w:rsidR="00CB4E05" w:rsidRPr="00CB4E05" w:rsidRDefault="002A37CD" w:rsidP="002A37CD">
      <w:pPr>
        <w:pStyle w:val="SingleTxt"/>
        <w:tabs>
          <w:tab w:val="right" w:pos="1685"/>
        </w:tabs>
        <w:ind w:left="1742" w:hanging="475"/>
        <w:rPr>
          <w:lang w:val="fr-FR"/>
        </w:rPr>
      </w:pPr>
      <w:r>
        <w:rPr>
          <w:lang w:val="fr-FR"/>
        </w:rPr>
        <w:tab/>
        <w:t>•</w:t>
      </w:r>
      <w:r>
        <w:rPr>
          <w:lang w:val="fr-FR"/>
        </w:rPr>
        <w:tab/>
      </w:r>
      <w:r w:rsidR="00CB4E05" w:rsidRPr="00CB4E05">
        <w:rPr>
          <w:lang w:val="fr-FR"/>
        </w:rPr>
        <w:t>Le problème du travail des enfants a été pris en compte dans le plan de travail pour la mise en œuvre du Plan-cadre des Nations Unies pour l</w:t>
      </w:r>
      <w:r w:rsidR="008E14FD">
        <w:rPr>
          <w:lang w:val="fr-FR"/>
        </w:rPr>
        <w:t>’</w:t>
      </w:r>
      <w:r w:rsidR="00CB4E05" w:rsidRPr="00CB4E05">
        <w:rPr>
          <w:lang w:val="fr-FR"/>
        </w:rPr>
        <w:t>aide au développement (PNUAD) au Tadjikistan pour la période 2016-2020, en tant qu</w:t>
      </w:r>
      <w:r w:rsidR="008E14FD">
        <w:rPr>
          <w:lang w:val="fr-FR"/>
        </w:rPr>
        <w:t>’</w:t>
      </w:r>
      <w:r w:rsidR="00CB4E05" w:rsidRPr="00CB4E05">
        <w:rPr>
          <w:lang w:val="fr-FR"/>
        </w:rPr>
        <w:t>élément de l</w:t>
      </w:r>
      <w:r w:rsidR="008E14FD">
        <w:rPr>
          <w:lang w:val="fr-FR"/>
        </w:rPr>
        <w:t>’</w:t>
      </w:r>
      <w:r w:rsidR="00CB4E05" w:rsidRPr="00CB4E05">
        <w:rPr>
          <w:lang w:val="fr-FR"/>
        </w:rPr>
        <w:t>objectif 3</w:t>
      </w:r>
      <w:r w:rsidR="00CB4E05" w:rsidRPr="00CB4E05">
        <w:rPr>
          <w:b/>
          <w:lang w:val="fr-FR"/>
        </w:rPr>
        <w:t xml:space="preserve"> </w:t>
      </w:r>
      <w:r w:rsidR="00365A31">
        <w:rPr>
          <w:lang w:val="fr-FR"/>
        </w:rPr>
        <w:t>« </w:t>
      </w:r>
      <w:r w:rsidR="00CB4E05" w:rsidRPr="00CB4E05">
        <w:rPr>
          <w:lang w:val="fr-FR"/>
        </w:rPr>
        <w:t>Développement social, inclusion sociale et autonomisation</w:t>
      </w:r>
      <w:r w:rsidR="00365A31">
        <w:rPr>
          <w:lang w:val="fr-FR"/>
        </w:rPr>
        <w:t> </w:t>
      </w:r>
      <w:r w:rsidR="00CB4E05" w:rsidRPr="00CB4E05">
        <w:rPr>
          <w:lang w:val="fr-FR"/>
        </w:rPr>
        <w:t>» et de l</w:t>
      </w:r>
      <w:r w:rsidR="008E14FD">
        <w:rPr>
          <w:lang w:val="fr-FR"/>
        </w:rPr>
        <w:t>’</w:t>
      </w:r>
      <w:r w:rsidR="00365A31">
        <w:rPr>
          <w:lang w:val="fr-FR"/>
        </w:rPr>
        <w:t>objectif 5 « </w:t>
      </w:r>
      <w:r w:rsidR="00CB4E05" w:rsidRPr="00CB4E05">
        <w:rPr>
          <w:lang w:val="fr-FR"/>
        </w:rPr>
        <w:t>Égalité des hommes et des femmes, travail des enfants et vulnérabilité »;</w:t>
      </w:r>
    </w:p>
    <w:p w14:paraId="7A3A4E12" w14:textId="5241AE5D" w:rsidR="00CB4E05" w:rsidRPr="00CB4E05" w:rsidRDefault="002A37CD" w:rsidP="002A37CD">
      <w:pPr>
        <w:pStyle w:val="SingleTxt"/>
        <w:tabs>
          <w:tab w:val="right" w:pos="1685"/>
        </w:tabs>
        <w:ind w:left="1742" w:hanging="475"/>
        <w:rPr>
          <w:lang w:val="fr-FR"/>
        </w:rPr>
      </w:pPr>
      <w:r>
        <w:rPr>
          <w:lang w:val="fr-FR"/>
        </w:rPr>
        <w:tab/>
        <w:t>•</w:t>
      </w:r>
      <w:r>
        <w:rPr>
          <w:lang w:val="fr-FR"/>
        </w:rPr>
        <w:tab/>
      </w:r>
      <w:r w:rsidR="00CB4E05" w:rsidRPr="00CB4E05">
        <w:rPr>
          <w:lang w:val="fr-FR"/>
        </w:rPr>
        <w:t>Le pays a adopté la stratégie nationale de développement à l</w:t>
      </w:r>
      <w:r w:rsidR="008E14FD">
        <w:rPr>
          <w:lang w:val="fr-FR"/>
        </w:rPr>
        <w:t>’</w:t>
      </w:r>
      <w:r w:rsidR="00CB4E05" w:rsidRPr="00CB4E05">
        <w:rPr>
          <w:lang w:val="fr-FR"/>
        </w:rPr>
        <w:t>horizon 2030, qui est fondée sur les objectifs de développement durable et vise à réduire de moitié la pauvreté dans le pays ainsi qu</w:t>
      </w:r>
      <w:r w:rsidR="008E14FD">
        <w:rPr>
          <w:lang w:val="fr-FR"/>
        </w:rPr>
        <w:t>’</w:t>
      </w:r>
      <w:r w:rsidR="00CB4E05" w:rsidRPr="00CB4E05">
        <w:rPr>
          <w:lang w:val="fr-FR"/>
        </w:rPr>
        <w:t xml:space="preserve">à augmenter le nombre de citoyens dont les </w:t>
      </w:r>
      <w:r w:rsidR="00CB4E05" w:rsidRPr="00CB4E05">
        <w:rPr>
          <w:lang w:val="fr-FR"/>
        </w:rPr>
        <w:lastRenderedPageBreak/>
        <w:t>revenus ne sont pas inférieurs au revenu moyen. Cette stratégie facilitera la mise en œuvre effective des cibles 8.7 et 4.4 des objectifs de développement durable;</w:t>
      </w:r>
    </w:p>
    <w:p w14:paraId="29D2055F" w14:textId="673787C5" w:rsidR="00CB4E05" w:rsidRPr="00CB4E05" w:rsidRDefault="002A37CD" w:rsidP="002A37CD">
      <w:pPr>
        <w:pStyle w:val="SingleTxt"/>
        <w:tabs>
          <w:tab w:val="right" w:pos="1685"/>
        </w:tabs>
        <w:ind w:left="1742" w:hanging="475"/>
        <w:rPr>
          <w:lang w:val="fr-FR"/>
        </w:rPr>
      </w:pPr>
      <w:r>
        <w:rPr>
          <w:lang w:val="fr-FR"/>
        </w:rPr>
        <w:tab/>
        <w:t>•</w:t>
      </w:r>
      <w:r>
        <w:rPr>
          <w:lang w:val="fr-FR"/>
        </w:rPr>
        <w:tab/>
      </w:r>
      <w:r w:rsidR="00CB4E05" w:rsidRPr="00CB4E05">
        <w:rPr>
          <w:lang w:val="fr-FR"/>
        </w:rPr>
        <w:t>Une stratégie nationale de promotion de l</w:t>
      </w:r>
      <w:r w:rsidR="008E14FD">
        <w:rPr>
          <w:lang w:val="fr-FR"/>
        </w:rPr>
        <w:t>’</w:t>
      </w:r>
      <w:r w:rsidR="00CB4E05" w:rsidRPr="00CB4E05">
        <w:rPr>
          <w:lang w:val="fr-FR"/>
        </w:rPr>
        <w:t>éducation à l</w:t>
      </w:r>
      <w:r w:rsidR="008E14FD">
        <w:rPr>
          <w:lang w:val="fr-FR"/>
        </w:rPr>
        <w:t>’</w:t>
      </w:r>
      <w:r w:rsidR="00CB4E05" w:rsidRPr="00CB4E05">
        <w:rPr>
          <w:lang w:val="fr-FR"/>
        </w:rPr>
        <w:t>horizon 2020 a été approuvée et mise en œuvre en vue d</w:t>
      </w:r>
      <w:r w:rsidR="008E14FD">
        <w:rPr>
          <w:lang w:val="fr-FR"/>
        </w:rPr>
        <w:t>’</w:t>
      </w:r>
      <w:r w:rsidR="00CB4E05" w:rsidRPr="00CB4E05">
        <w:rPr>
          <w:lang w:val="fr-FR"/>
        </w:rPr>
        <w:t>assurer l</w:t>
      </w:r>
      <w:r w:rsidR="008E14FD">
        <w:rPr>
          <w:lang w:val="fr-FR"/>
        </w:rPr>
        <w:t>’</w:t>
      </w:r>
      <w:r w:rsidR="00CB4E05" w:rsidRPr="00CB4E05">
        <w:rPr>
          <w:lang w:val="fr-FR"/>
        </w:rPr>
        <w:t>accès à une éducation de qualité et la transition de l</w:t>
      </w:r>
      <w:r w:rsidR="008E14FD">
        <w:rPr>
          <w:lang w:val="fr-FR"/>
        </w:rPr>
        <w:t>’</w:t>
      </w:r>
      <w:r w:rsidR="00CB4E05" w:rsidRPr="00CB4E05">
        <w:rPr>
          <w:lang w:val="fr-FR"/>
        </w:rPr>
        <w:t>école à la vie active;</w:t>
      </w:r>
    </w:p>
    <w:p w14:paraId="7924D8A9" w14:textId="466EDC0D" w:rsidR="00CB4E05" w:rsidRPr="00CB4E05" w:rsidRDefault="002A37CD" w:rsidP="002A37CD">
      <w:pPr>
        <w:pStyle w:val="SingleTxt"/>
        <w:tabs>
          <w:tab w:val="right" w:pos="1685"/>
        </w:tabs>
        <w:ind w:left="1742" w:hanging="475"/>
        <w:rPr>
          <w:lang w:val="fr-FR"/>
        </w:rPr>
      </w:pPr>
      <w:r>
        <w:rPr>
          <w:lang w:val="fr-FR"/>
        </w:rPr>
        <w:tab/>
        <w:t>•</w:t>
      </w:r>
      <w:r>
        <w:rPr>
          <w:lang w:val="fr-FR"/>
        </w:rPr>
        <w:tab/>
      </w:r>
      <w:r w:rsidR="00CB4E05" w:rsidRPr="00CB4E05">
        <w:rPr>
          <w:lang w:val="fr-FR"/>
        </w:rPr>
        <w:t>Le Programme national en faveur de l</w:t>
      </w:r>
      <w:r w:rsidR="008E14FD">
        <w:rPr>
          <w:lang w:val="fr-FR"/>
        </w:rPr>
        <w:t>’</w:t>
      </w:r>
      <w:r w:rsidR="00CB4E05" w:rsidRPr="00CB4E05">
        <w:rPr>
          <w:lang w:val="fr-FR"/>
        </w:rPr>
        <w:t>emploi pour la période 2016-2017, approuvé par le Gouvernement dans son arrêté du 28 novembre 2015, vise à mettre en œuvre la politique nationale relative aux garanties sociales offertes par l</w:t>
      </w:r>
      <w:r w:rsidR="008E14FD">
        <w:rPr>
          <w:lang w:val="fr-FR"/>
        </w:rPr>
        <w:t>’</w:t>
      </w:r>
      <w:r w:rsidR="00CB4E05" w:rsidRPr="00CB4E05">
        <w:rPr>
          <w:lang w:val="fr-FR"/>
        </w:rPr>
        <w:t>État, à promouvoir l</w:t>
      </w:r>
      <w:r w:rsidR="008E14FD">
        <w:rPr>
          <w:lang w:val="fr-FR"/>
        </w:rPr>
        <w:t>’</w:t>
      </w:r>
      <w:r w:rsidR="00CB4E05" w:rsidRPr="00CB4E05">
        <w:rPr>
          <w:lang w:val="fr-FR"/>
        </w:rPr>
        <w:t>emploi et à réglementer le marché du travail national.</w:t>
      </w:r>
    </w:p>
    <w:p w14:paraId="1598D2B8" w14:textId="3FEC017F" w:rsidR="00CB4E05" w:rsidRPr="00CB4E05" w:rsidRDefault="00CB4E05" w:rsidP="00746391">
      <w:pPr>
        <w:pStyle w:val="SingleTxt"/>
        <w:numPr>
          <w:ilvl w:val="0"/>
          <w:numId w:val="6"/>
        </w:numPr>
        <w:spacing w:line="240" w:lineRule="exact"/>
        <w:ind w:left="1267"/>
        <w:rPr>
          <w:lang w:val="fr-FR"/>
        </w:rPr>
      </w:pPr>
      <w:r w:rsidRPr="00CB4E05">
        <w:rPr>
          <w:lang w:val="fr-FR"/>
        </w:rPr>
        <w:t>Le système de surveillance du travail des enfants, approuvé par le Gouvernement et les partenaires sociaux, est le principal mécanisme chargé d</w:t>
      </w:r>
      <w:r w:rsidR="008E14FD">
        <w:rPr>
          <w:lang w:val="fr-FR"/>
        </w:rPr>
        <w:t>’</w:t>
      </w:r>
      <w:r w:rsidRPr="00CB4E05">
        <w:rPr>
          <w:lang w:val="fr-FR"/>
        </w:rPr>
        <w:t>examiner les liens entre l</w:t>
      </w:r>
      <w:r w:rsidR="008E14FD">
        <w:rPr>
          <w:lang w:val="fr-FR"/>
        </w:rPr>
        <w:t>’</w:t>
      </w:r>
      <w:r w:rsidRPr="00CB4E05">
        <w:rPr>
          <w:lang w:val="fr-FR"/>
        </w:rPr>
        <w:t>éducation et les pires formes de travail des enfants. Il a pour objectif de permettre aux enfants de mettre fin à ces relations de travail, de prendre des mesures propres à prévenir le recrutement d</w:t>
      </w:r>
      <w:r w:rsidR="008E14FD">
        <w:rPr>
          <w:lang w:val="fr-FR"/>
        </w:rPr>
        <w:t>’</w:t>
      </w:r>
      <w:r w:rsidRPr="00CB4E05">
        <w:rPr>
          <w:lang w:val="fr-FR"/>
        </w:rPr>
        <w:t>enfants dans les pires formes de travail et d</w:t>
      </w:r>
      <w:r w:rsidR="008E14FD">
        <w:rPr>
          <w:lang w:val="fr-FR"/>
        </w:rPr>
        <w:t>’</w:t>
      </w:r>
      <w:r w:rsidRPr="00CB4E05">
        <w:rPr>
          <w:lang w:val="fr-FR"/>
        </w:rPr>
        <w:t>aider à créer les conditions leur permettant d</w:t>
      </w:r>
      <w:r w:rsidR="008E14FD">
        <w:rPr>
          <w:lang w:val="fr-FR"/>
        </w:rPr>
        <w:t>’</w:t>
      </w:r>
      <w:r w:rsidRPr="00CB4E05">
        <w:rPr>
          <w:lang w:val="fr-FR"/>
        </w:rPr>
        <w:t>avoir accès aux services sociaux, à l</w:t>
      </w:r>
      <w:r w:rsidR="008E14FD">
        <w:rPr>
          <w:lang w:val="fr-FR"/>
        </w:rPr>
        <w:t>’</w:t>
      </w:r>
      <w:r w:rsidRPr="00CB4E05">
        <w:rPr>
          <w:lang w:val="fr-FR"/>
        </w:rPr>
        <w:t>éducation et à l</w:t>
      </w:r>
      <w:r w:rsidR="008E14FD">
        <w:rPr>
          <w:lang w:val="fr-FR"/>
        </w:rPr>
        <w:t>’</w:t>
      </w:r>
      <w:r w:rsidRPr="00CB4E05">
        <w:rPr>
          <w:lang w:val="fr-FR"/>
        </w:rPr>
        <w:t>emploi. Il vise également à aider ces enfants à faciliter la transition entre la formation professionnelle et l</w:t>
      </w:r>
      <w:r w:rsidR="008E14FD">
        <w:rPr>
          <w:lang w:val="fr-FR"/>
        </w:rPr>
        <w:t>’</w:t>
      </w:r>
      <w:r w:rsidRPr="00CB4E05">
        <w:rPr>
          <w:lang w:val="fr-FR"/>
        </w:rPr>
        <w:t>obtention d</w:t>
      </w:r>
      <w:r w:rsidR="008E14FD">
        <w:rPr>
          <w:lang w:val="fr-FR"/>
        </w:rPr>
        <w:t>’</w:t>
      </w:r>
      <w:r w:rsidRPr="00CB4E05">
        <w:rPr>
          <w:lang w:val="fr-FR"/>
        </w:rPr>
        <w:t>un travail décent.</w:t>
      </w:r>
    </w:p>
    <w:p w14:paraId="22D8921F" w14:textId="452DE91A" w:rsidR="00CB4E05" w:rsidRDefault="00CB4E05" w:rsidP="00746391">
      <w:pPr>
        <w:pStyle w:val="SingleTxt"/>
        <w:numPr>
          <w:ilvl w:val="0"/>
          <w:numId w:val="6"/>
        </w:numPr>
        <w:tabs>
          <w:tab w:val="num" w:pos="2804"/>
        </w:tabs>
        <w:spacing w:line="240" w:lineRule="exact"/>
        <w:ind w:left="1267"/>
        <w:rPr>
          <w:lang w:val="fr-FR"/>
        </w:rPr>
      </w:pPr>
      <w:r w:rsidRPr="00CB4E05">
        <w:rPr>
          <w:lang w:val="fr-FR"/>
        </w:rPr>
        <w:t>Depuis 2012, ce système de surveillance a été mis en place dans 11 villes et districts, à savoir Douchanbé, Isfara, Kouliab, Khoroug, Shougnan, Roudaki, Aïni, Istaravshan, Rochtkala, Dangar et Vossé. Le Ministère du travail, des migrations et de l</w:t>
      </w:r>
      <w:r w:rsidR="008E14FD">
        <w:rPr>
          <w:lang w:val="fr-FR"/>
        </w:rPr>
        <w:t>’</w:t>
      </w:r>
      <w:r w:rsidRPr="00CB4E05">
        <w:rPr>
          <w:lang w:val="fr-FR"/>
        </w:rPr>
        <w:t>emploi s</w:t>
      </w:r>
      <w:r w:rsidR="008E14FD">
        <w:rPr>
          <w:lang w:val="fr-FR"/>
        </w:rPr>
        <w:t>’</w:t>
      </w:r>
      <w:r w:rsidRPr="00CB4E05">
        <w:rPr>
          <w:lang w:val="fr-FR"/>
        </w:rPr>
        <w:t>efforce, avec l</w:t>
      </w:r>
      <w:r w:rsidR="008E14FD">
        <w:rPr>
          <w:lang w:val="fr-FR"/>
        </w:rPr>
        <w:t>’</w:t>
      </w:r>
      <w:r w:rsidRPr="00CB4E05">
        <w:rPr>
          <w:lang w:val="fr-FR"/>
        </w:rPr>
        <w:t>assistance technique et financière du Programme international pour l</w:t>
      </w:r>
      <w:r w:rsidR="008E14FD">
        <w:rPr>
          <w:lang w:val="fr-FR"/>
        </w:rPr>
        <w:t>’</w:t>
      </w:r>
      <w:r w:rsidRPr="00CB4E05">
        <w:rPr>
          <w:lang w:val="fr-FR"/>
        </w:rPr>
        <w:t>abolition du travail des enfants de l</w:t>
      </w:r>
      <w:r w:rsidR="008E14FD">
        <w:rPr>
          <w:lang w:val="fr-FR"/>
        </w:rPr>
        <w:t>’</w:t>
      </w:r>
      <w:r w:rsidRPr="00CB4E05">
        <w:rPr>
          <w:lang w:val="fr-FR"/>
        </w:rPr>
        <w:t>Organisation internationale du travail (OIT) et grâce à ses propres ressources, de renforcer le système et d</w:t>
      </w:r>
      <w:r w:rsidR="008E14FD">
        <w:rPr>
          <w:lang w:val="fr-FR"/>
        </w:rPr>
        <w:t>’</w:t>
      </w:r>
      <w:r w:rsidRPr="00CB4E05">
        <w:rPr>
          <w:lang w:val="fr-FR"/>
        </w:rPr>
        <w:t>en faire bénéficier l</w:t>
      </w:r>
      <w:r w:rsidR="008E14FD">
        <w:rPr>
          <w:lang w:val="fr-FR"/>
        </w:rPr>
        <w:t>’</w:t>
      </w:r>
      <w:r w:rsidRPr="00CB4E05">
        <w:rPr>
          <w:lang w:val="fr-FR"/>
        </w:rPr>
        <w:t>ensemble du pays.</w:t>
      </w:r>
    </w:p>
    <w:p w14:paraId="4CEB2B2F" w14:textId="49949D05" w:rsidR="002A37CD" w:rsidRPr="002A37CD" w:rsidRDefault="002A37CD" w:rsidP="002A37CD">
      <w:pPr>
        <w:pStyle w:val="SingleTxt"/>
        <w:spacing w:after="0" w:line="120" w:lineRule="exact"/>
        <w:rPr>
          <w:sz w:val="10"/>
          <w:lang w:val="fr-FR"/>
        </w:rPr>
      </w:pPr>
    </w:p>
    <w:p w14:paraId="696A685B" w14:textId="23768974" w:rsidR="00CB4E05" w:rsidRDefault="002A37CD" w:rsidP="002A37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B4E05" w:rsidRPr="00CB4E05">
        <w:rPr>
          <w:lang w:val="fr-FR"/>
        </w:rPr>
        <w:t xml:space="preserve">Santé </w:t>
      </w:r>
    </w:p>
    <w:p w14:paraId="1583E0EA" w14:textId="4EE745BA" w:rsidR="002A37CD" w:rsidRPr="002A37CD" w:rsidRDefault="002A37CD" w:rsidP="002A37CD">
      <w:pPr>
        <w:pStyle w:val="SingleTxt"/>
        <w:spacing w:after="0" w:line="120" w:lineRule="exact"/>
        <w:rPr>
          <w:sz w:val="10"/>
          <w:lang w:val="fr-FR"/>
        </w:rPr>
      </w:pPr>
    </w:p>
    <w:p w14:paraId="323254A2" w14:textId="6E21EBC5" w:rsidR="00CB4E05" w:rsidRDefault="002A37CD" w:rsidP="002A37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B4E05" w:rsidRPr="00CB4E05">
        <w:rPr>
          <w:lang w:val="fr-FR"/>
        </w:rPr>
        <w:t>Paragraphe 28 des observations finales</w:t>
      </w:r>
    </w:p>
    <w:p w14:paraId="265ECDB1" w14:textId="6B8EEDC7" w:rsidR="002A37CD" w:rsidRPr="002A37CD" w:rsidRDefault="002A37CD" w:rsidP="002A37CD">
      <w:pPr>
        <w:pStyle w:val="SingleTxt"/>
        <w:spacing w:after="0" w:line="120" w:lineRule="exact"/>
        <w:rPr>
          <w:sz w:val="10"/>
          <w:lang w:val="fr-FR"/>
        </w:rPr>
      </w:pPr>
    </w:p>
    <w:p w14:paraId="4FE5A211" w14:textId="3DC15CA1" w:rsidR="00CB4E05" w:rsidRPr="00CB4E05" w:rsidRDefault="00CB4E05" w:rsidP="00746391">
      <w:pPr>
        <w:pStyle w:val="SingleTxt"/>
        <w:numPr>
          <w:ilvl w:val="0"/>
          <w:numId w:val="7"/>
        </w:numPr>
        <w:spacing w:line="240" w:lineRule="exact"/>
        <w:ind w:left="1267"/>
        <w:rPr>
          <w:lang w:val="fr-FR"/>
        </w:rPr>
      </w:pPr>
      <w:r w:rsidRPr="00CB4E05">
        <w:rPr>
          <w:lang w:val="fr-FR"/>
        </w:rPr>
        <w:t>Le réseau des établissements de soins de santé primaires est chargé de veiller à la qualité des soins fournis et d</w:t>
      </w:r>
      <w:r w:rsidR="008E14FD">
        <w:rPr>
          <w:lang w:val="fr-FR"/>
        </w:rPr>
        <w:t>’</w:t>
      </w:r>
      <w:r w:rsidRPr="00CB4E05">
        <w:rPr>
          <w:lang w:val="fr-FR"/>
        </w:rPr>
        <w:t>améliorer l</w:t>
      </w:r>
      <w:r w:rsidR="008E14FD">
        <w:rPr>
          <w:lang w:val="fr-FR"/>
        </w:rPr>
        <w:t>’</w:t>
      </w:r>
      <w:r w:rsidRPr="00CB4E05">
        <w:rPr>
          <w:lang w:val="fr-FR"/>
        </w:rPr>
        <w:t>infrastructure des soins de santé primaires dans les zones rurales en fournissant des équipements médicaux de base, ce qui contribue à faciliter l</w:t>
      </w:r>
      <w:r w:rsidR="008E14FD">
        <w:rPr>
          <w:lang w:val="fr-FR"/>
        </w:rPr>
        <w:t>’</w:t>
      </w:r>
      <w:r w:rsidRPr="00CB4E05">
        <w:rPr>
          <w:lang w:val="fr-FR"/>
        </w:rPr>
        <w:t>accès aux services de soins de santé primaires, en particulier pour les femmes et les filles.</w:t>
      </w:r>
    </w:p>
    <w:p w14:paraId="37875080" w14:textId="1C1E1283" w:rsidR="00CB4E05" w:rsidRPr="00CB4E05" w:rsidRDefault="00CB4E05" w:rsidP="00746391">
      <w:pPr>
        <w:pStyle w:val="SingleTxt"/>
        <w:numPr>
          <w:ilvl w:val="0"/>
          <w:numId w:val="8"/>
        </w:numPr>
        <w:spacing w:line="240" w:lineRule="exact"/>
        <w:ind w:left="1267"/>
        <w:rPr>
          <w:lang w:val="fr-FR"/>
        </w:rPr>
      </w:pPr>
      <w:r w:rsidRPr="00CB4E05">
        <w:rPr>
          <w:lang w:val="fr-FR"/>
        </w:rPr>
        <w:t>Actuellement, le pays compte 48 centres de santé municipaux et 54 centres de santé de district, ainsi que 856 centres médicaux ruraux et 1</w:t>
      </w:r>
      <w:r w:rsidR="00677C1C">
        <w:rPr>
          <w:lang w:val="fr-FR"/>
        </w:rPr>
        <w:t> </w:t>
      </w:r>
      <w:r w:rsidRPr="00CB4E05">
        <w:rPr>
          <w:lang w:val="fr-FR"/>
        </w:rPr>
        <w:t>706 maisons de santé qui fournissent des soins de santé primaires à la population, y compris aux femmes et aux filles vivant dans des régions éloignées. Chaque année, plus d</w:t>
      </w:r>
      <w:r w:rsidR="008E14FD">
        <w:rPr>
          <w:lang w:val="fr-FR"/>
        </w:rPr>
        <w:t>’</w:t>
      </w:r>
      <w:r w:rsidRPr="00CB4E05">
        <w:rPr>
          <w:lang w:val="fr-FR"/>
        </w:rPr>
        <w:t>une vingtaine de maisons de santé et plus d</w:t>
      </w:r>
      <w:r w:rsidR="008E14FD">
        <w:rPr>
          <w:lang w:val="fr-FR"/>
        </w:rPr>
        <w:t>’</w:t>
      </w:r>
      <w:r w:rsidRPr="00CB4E05">
        <w:rPr>
          <w:lang w:val="fr-FR"/>
        </w:rPr>
        <w:t>une dizaine de centres médicaux ruraux sont construits à l</w:t>
      </w:r>
      <w:r w:rsidR="008E14FD">
        <w:rPr>
          <w:lang w:val="fr-FR"/>
        </w:rPr>
        <w:t>’</w:t>
      </w:r>
      <w:r w:rsidRPr="00CB4E05">
        <w:rPr>
          <w:lang w:val="fr-FR"/>
        </w:rPr>
        <w:t>aide de fonds provenant des budgets des collectivités locales, de donateurs et d</w:t>
      </w:r>
      <w:r w:rsidR="008E14FD">
        <w:rPr>
          <w:lang w:val="fr-FR"/>
        </w:rPr>
        <w:t>’</w:t>
      </w:r>
      <w:r w:rsidRPr="00CB4E05">
        <w:rPr>
          <w:lang w:val="fr-FR"/>
        </w:rPr>
        <w:t>entrepreneurs locaux.</w:t>
      </w:r>
      <w:r w:rsidR="008E14FD">
        <w:rPr>
          <w:lang w:val="fr-FR"/>
        </w:rPr>
        <w:t xml:space="preserve"> </w:t>
      </w:r>
      <w:r w:rsidRPr="00CB4E05">
        <w:rPr>
          <w:lang w:val="fr-FR"/>
        </w:rPr>
        <w:t>Au cours des cinq dernières années, l</w:t>
      </w:r>
      <w:r w:rsidR="008E14FD">
        <w:rPr>
          <w:lang w:val="fr-FR"/>
        </w:rPr>
        <w:t>’</w:t>
      </w:r>
      <w:r w:rsidRPr="00CB4E05">
        <w:rPr>
          <w:lang w:val="fr-FR"/>
        </w:rPr>
        <w:t>infrastructure matérielle et technique des services obstétriques de la ville de Khoroug, des maternités municipales et régionales de la région de Soughd, et des maternités des districts</w:t>
      </w:r>
      <w:r w:rsidRPr="00CB4E05">
        <w:rPr>
          <w:b/>
          <w:lang w:val="fr-FR"/>
        </w:rPr>
        <w:t xml:space="preserve"> </w:t>
      </w:r>
      <w:r w:rsidRPr="00CB4E05">
        <w:rPr>
          <w:lang w:val="fr-FR"/>
        </w:rPr>
        <w:t>de Yavan, Khourosson, Khamadoni,</w:t>
      </w:r>
      <w:r w:rsidR="008E14FD">
        <w:rPr>
          <w:lang w:val="fr-FR"/>
        </w:rPr>
        <w:t xml:space="preserve"> </w:t>
      </w:r>
      <w:r w:rsidRPr="00CB4E05">
        <w:rPr>
          <w:lang w:val="fr-FR"/>
        </w:rPr>
        <w:t>A.Djami, Farhor, Dousti, Lakch et Nourabad a été améliorée. La construction et la mise en service du complexe médical Istiklol, à Douchanbé, ont été menées à bien en 2016: sur 650 lits, 490 ont été réservés à la prise en charge médicale des enfants et des mères. Ce complexe est doté d</w:t>
      </w:r>
      <w:r w:rsidR="008E14FD">
        <w:rPr>
          <w:lang w:val="fr-FR"/>
        </w:rPr>
        <w:t>’</w:t>
      </w:r>
      <w:r w:rsidRPr="00CB4E05">
        <w:rPr>
          <w:lang w:val="fr-FR"/>
        </w:rPr>
        <w:t>équipements modernes qui permettent de fournir des soins médicaux de haute qualité aux femmes et aux enfants. En outre, la maternité du jamoat</w:t>
      </w:r>
      <w:r w:rsidRPr="00CB4E05">
        <w:rPr>
          <w:b/>
          <w:lang w:val="fr-FR"/>
        </w:rPr>
        <w:t xml:space="preserve"> </w:t>
      </w:r>
      <w:r w:rsidRPr="00CB4E05">
        <w:rPr>
          <w:lang w:val="fr-FR"/>
        </w:rPr>
        <w:t xml:space="preserve">de Sarikhossor, </w:t>
      </w:r>
      <w:r w:rsidRPr="00CB4E05">
        <w:rPr>
          <w:lang w:val="fr-FR"/>
        </w:rPr>
        <w:lastRenderedPageBreak/>
        <w:t>dans le district</w:t>
      </w:r>
      <w:r w:rsidRPr="00CB4E05">
        <w:rPr>
          <w:b/>
          <w:lang w:val="fr-FR"/>
        </w:rPr>
        <w:t xml:space="preserve"> </w:t>
      </w:r>
      <w:r w:rsidRPr="00CB4E05">
        <w:rPr>
          <w:lang w:val="fr-FR"/>
        </w:rPr>
        <w:t>de</w:t>
      </w:r>
      <w:r w:rsidRPr="00CB4E05">
        <w:rPr>
          <w:b/>
          <w:lang w:val="fr-FR"/>
        </w:rPr>
        <w:t xml:space="preserve"> </w:t>
      </w:r>
      <w:r w:rsidRPr="00CB4E05">
        <w:rPr>
          <w:lang w:val="fr-FR"/>
        </w:rPr>
        <w:t>Baldjouvan de la</w:t>
      </w:r>
      <w:r w:rsidRPr="00CB4E05">
        <w:rPr>
          <w:b/>
          <w:lang w:val="fr-FR"/>
        </w:rPr>
        <w:t xml:space="preserve"> </w:t>
      </w:r>
      <w:r w:rsidRPr="00CB4E05">
        <w:rPr>
          <w:lang w:val="fr-FR"/>
        </w:rPr>
        <w:t>région de Khatlon, a été mise en service et dotée d</w:t>
      </w:r>
      <w:r w:rsidR="008E14FD">
        <w:rPr>
          <w:lang w:val="fr-FR"/>
        </w:rPr>
        <w:t>’</w:t>
      </w:r>
      <w:r w:rsidRPr="00CB4E05">
        <w:rPr>
          <w:lang w:val="fr-FR"/>
        </w:rPr>
        <w:t>équipements modernes un mois avant la rédaction du présent rapport.</w:t>
      </w:r>
    </w:p>
    <w:p w14:paraId="5D280EAC" w14:textId="77777777" w:rsidR="00CB4E05" w:rsidRPr="00CB4E05" w:rsidRDefault="00CB4E05" w:rsidP="00746391">
      <w:pPr>
        <w:pStyle w:val="SingleTxt"/>
        <w:numPr>
          <w:ilvl w:val="0"/>
          <w:numId w:val="8"/>
        </w:numPr>
        <w:spacing w:line="240" w:lineRule="exact"/>
        <w:ind w:left="1267"/>
        <w:rPr>
          <w:lang w:val="fr-FR"/>
        </w:rPr>
      </w:pPr>
      <w:r w:rsidRPr="00CB4E05">
        <w:rPr>
          <w:lang w:val="fr-FR"/>
        </w:rPr>
        <w:t>Les services médicaux sont dispensés par des médecins de famille, des sages-femmes et des obstétriciens. On trouve dans tous les centres de santé municipaux et de district des services de santé procréative qui fournissent des soins professionnels aux femmes enceintes et en âge de procréer (15 à 49 ans). Des normes et des protocoles cliniques pour la prise en charge des grossesses normales et pathologiques ont été élaborés et mis en pratique.</w:t>
      </w:r>
    </w:p>
    <w:p w14:paraId="64C7C3F5" w14:textId="6DAAFEE0" w:rsidR="00CB4E05" w:rsidRPr="00CB4E05" w:rsidRDefault="00CB4E05" w:rsidP="00746391">
      <w:pPr>
        <w:pStyle w:val="SingleTxt"/>
        <w:numPr>
          <w:ilvl w:val="0"/>
          <w:numId w:val="8"/>
        </w:numPr>
        <w:spacing w:line="240" w:lineRule="exact"/>
        <w:ind w:left="1267"/>
        <w:rPr>
          <w:lang w:val="fr-FR"/>
        </w:rPr>
      </w:pPr>
      <w:r w:rsidRPr="00CB4E05">
        <w:rPr>
          <w:lang w:val="fr-FR"/>
        </w:rPr>
        <w:t>Le Plan d</w:t>
      </w:r>
      <w:r w:rsidR="008E14FD">
        <w:rPr>
          <w:lang w:val="fr-FR"/>
        </w:rPr>
        <w:t>’</w:t>
      </w:r>
      <w:r w:rsidRPr="00CB4E05">
        <w:rPr>
          <w:lang w:val="fr-FR"/>
        </w:rPr>
        <w:t>action pour la santé sexuelle et procréative des mères, des nouveau-nés, des enfants et des adolescents a été approuvé dans le cadre de la Stratégie nationale de santé publique pour la période 2016-2020.</w:t>
      </w:r>
    </w:p>
    <w:p w14:paraId="5EB58849" w14:textId="64A47EA0" w:rsidR="00CB4E05" w:rsidRPr="00CB4E05" w:rsidRDefault="00CB4E05" w:rsidP="00746391">
      <w:pPr>
        <w:pStyle w:val="SingleTxt"/>
        <w:numPr>
          <w:ilvl w:val="0"/>
          <w:numId w:val="8"/>
        </w:numPr>
        <w:spacing w:line="240" w:lineRule="exact"/>
        <w:ind w:left="1267"/>
        <w:rPr>
          <w:lang w:val="fr-FR"/>
        </w:rPr>
      </w:pPr>
      <w:r w:rsidRPr="00CB4E05">
        <w:rPr>
          <w:lang w:val="fr-FR"/>
        </w:rPr>
        <w:t>Toutes les femmes enceintes ont accès, pendant la journée, aux services offerts par les établissements de soins de santé primaires et peuvent s</w:t>
      </w:r>
      <w:r w:rsidR="008E14FD">
        <w:rPr>
          <w:lang w:val="fr-FR"/>
        </w:rPr>
        <w:t>’</w:t>
      </w:r>
      <w:r w:rsidRPr="00CB4E05">
        <w:rPr>
          <w:lang w:val="fr-FR"/>
        </w:rPr>
        <w:t>adresser, le soir, aux hôpitaux offrant des soins de santé primaires (hôpitaux centraux de district). En outre, une procédure d</w:t>
      </w:r>
      <w:r w:rsidR="008E14FD">
        <w:rPr>
          <w:lang w:val="fr-FR"/>
        </w:rPr>
        <w:t>’</w:t>
      </w:r>
      <w:r w:rsidRPr="00CB4E05">
        <w:rPr>
          <w:lang w:val="fr-FR"/>
        </w:rPr>
        <w:t>orientation des femmes enceintes vers des soins de santé secondaires et tertiaires a été mise au point.</w:t>
      </w:r>
    </w:p>
    <w:p w14:paraId="753A4324" w14:textId="38C8BFE5" w:rsidR="00CB4E05" w:rsidRPr="00CB4E05" w:rsidRDefault="00CB4E05" w:rsidP="00746391">
      <w:pPr>
        <w:pStyle w:val="SingleTxt"/>
        <w:numPr>
          <w:ilvl w:val="0"/>
          <w:numId w:val="8"/>
        </w:numPr>
        <w:spacing w:line="240" w:lineRule="exact"/>
        <w:ind w:left="1267"/>
        <w:rPr>
          <w:lang w:val="fr-FR"/>
        </w:rPr>
      </w:pPr>
      <w:r w:rsidRPr="00CB4E05">
        <w:rPr>
          <w:lang w:val="fr-FR"/>
        </w:rPr>
        <w:t>Grâce à l</w:t>
      </w:r>
      <w:r w:rsidR="008E14FD">
        <w:rPr>
          <w:lang w:val="fr-FR"/>
        </w:rPr>
        <w:t>’</w:t>
      </w:r>
      <w:r w:rsidRPr="00CB4E05">
        <w:rPr>
          <w:lang w:val="fr-FR"/>
        </w:rPr>
        <w:t>amélioration de l</w:t>
      </w:r>
      <w:r w:rsidR="008E14FD">
        <w:rPr>
          <w:lang w:val="fr-FR"/>
        </w:rPr>
        <w:t>’</w:t>
      </w:r>
      <w:r w:rsidRPr="00CB4E05">
        <w:rPr>
          <w:lang w:val="fr-FR"/>
        </w:rPr>
        <w:t>accès à ces services, la proportion d</w:t>
      </w:r>
      <w:r w:rsidR="008E14FD">
        <w:rPr>
          <w:lang w:val="fr-FR"/>
        </w:rPr>
        <w:t>’</w:t>
      </w:r>
      <w:r w:rsidRPr="00CB4E05">
        <w:rPr>
          <w:lang w:val="fr-FR"/>
        </w:rPr>
        <w:t>accouchements à domicile est tombée de 12</w:t>
      </w:r>
      <w:r w:rsidR="00365A31">
        <w:rPr>
          <w:lang w:val="fr-FR"/>
        </w:rPr>
        <w:t> </w:t>
      </w:r>
      <w:r w:rsidRPr="00CB4E05">
        <w:rPr>
          <w:lang w:val="fr-FR"/>
        </w:rPr>
        <w:t>% à 4,9</w:t>
      </w:r>
      <w:r w:rsidR="00365A31">
        <w:rPr>
          <w:lang w:val="fr-FR"/>
        </w:rPr>
        <w:t> </w:t>
      </w:r>
      <w:r w:rsidRPr="00CB4E05">
        <w:rPr>
          <w:lang w:val="fr-FR"/>
        </w:rPr>
        <w:t>%.</w:t>
      </w:r>
    </w:p>
    <w:p w14:paraId="572EA820" w14:textId="7B617619" w:rsidR="00CB4E05" w:rsidRPr="00CB4E05" w:rsidRDefault="00CB4E05" w:rsidP="00746391">
      <w:pPr>
        <w:pStyle w:val="SingleTxt"/>
        <w:numPr>
          <w:ilvl w:val="0"/>
          <w:numId w:val="8"/>
        </w:numPr>
        <w:spacing w:line="240" w:lineRule="exact"/>
        <w:ind w:left="1267"/>
        <w:rPr>
          <w:lang w:val="fr-FR"/>
        </w:rPr>
      </w:pPr>
      <w:r w:rsidRPr="00CB4E05">
        <w:rPr>
          <w:lang w:val="fr-FR"/>
        </w:rPr>
        <w:t>Dans son arrêté du 28 novembre 2015, le Gouvernement a approuvé le règlement relatif aux services de consultation médicale en matière de santé procréative</w:t>
      </w:r>
      <w:r w:rsidRPr="00CB4E05">
        <w:rPr>
          <w:b/>
          <w:lang w:val="fr-FR"/>
        </w:rPr>
        <w:t xml:space="preserve"> </w:t>
      </w:r>
      <w:r w:rsidRPr="00CB4E05">
        <w:rPr>
          <w:bCs/>
          <w:lang w:val="fr-FR"/>
        </w:rPr>
        <w:t>à l</w:t>
      </w:r>
      <w:r w:rsidR="008E14FD">
        <w:rPr>
          <w:bCs/>
          <w:lang w:val="fr-FR"/>
        </w:rPr>
        <w:t>’</w:t>
      </w:r>
      <w:r w:rsidRPr="00CB4E05">
        <w:rPr>
          <w:bCs/>
          <w:lang w:val="fr-FR"/>
        </w:rPr>
        <w:t xml:space="preserve">intention </w:t>
      </w:r>
      <w:r w:rsidRPr="00CB4E05">
        <w:rPr>
          <w:lang w:val="fr-FR"/>
        </w:rPr>
        <w:t>des mineurs, y compris les membres de groupes à risque.</w:t>
      </w:r>
    </w:p>
    <w:p w14:paraId="33F4AAC5" w14:textId="77777777" w:rsidR="00CB4E05" w:rsidRPr="00CB4E05" w:rsidRDefault="00CB4E05" w:rsidP="00746391">
      <w:pPr>
        <w:pStyle w:val="SingleTxt"/>
        <w:numPr>
          <w:ilvl w:val="0"/>
          <w:numId w:val="8"/>
        </w:numPr>
        <w:spacing w:line="240" w:lineRule="exact"/>
        <w:ind w:left="1267"/>
        <w:rPr>
          <w:lang w:val="fr-FR"/>
        </w:rPr>
      </w:pPr>
      <w:r w:rsidRPr="00CB4E05">
        <w:rPr>
          <w:lang w:val="fr-FR"/>
        </w:rPr>
        <w:t>Vingt et une unités de consultation médicale offrant des soins médicaux et une assistance psychologique aux jeunes à risque ont été mis en place dans des centres de santé procréative.</w:t>
      </w:r>
    </w:p>
    <w:p w14:paraId="4C48048F" w14:textId="77777777" w:rsidR="00CB4E05" w:rsidRPr="00CB4E05" w:rsidRDefault="00CB4E05" w:rsidP="00746391">
      <w:pPr>
        <w:pStyle w:val="SingleTxt"/>
        <w:numPr>
          <w:ilvl w:val="0"/>
          <w:numId w:val="8"/>
        </w:numPr>
        <w:spacing w:line="240" w:lineRule="exact"/>
        <w:ind w:left="1267"/>
        <w:rPr>
          <w:lang w:val="fr-FR"/>
        </w:rPr>
      </w:pPr>
      <w:r w:rsidRPr="00CB4E05">
        <w:rPr>
          <w:lang w:val="fr-FR"/>
        </w:rPr>
        <w:t>Le système de santé compte actuellement 1 640 obstétriciens et 5 008 sages-femmes.</w:t>
      </w:r>
    </w:p>
    <w:p w14:paraId="01E3B63F" w14:textId="17AB6F25" w:rsidR="00CB4E05" w:rsidRPr="00CB4E05" w:rsidRDefault="00CB4E05" w:rsidP="00746391">
      <w:pPr>
        <w:pStyle w:val="SingleTxt"/>
        <w:numPr>
          <w:ilvl w:val="0"/>
          <w:numId w:val="8"/>
        </w:numPr>
        <w:spacing w:line="240" w:lineRule="exact"/>
        <w:ind w:left="1267"/>
        <w:rPr>
          <w:lang w:val="fr-FR"/>
        </w:rPr>
      </w:pPr>
      <w:r w:rsidRPr="00CB4E05">
        <w:rPr>
          <w:lang w:val="fr-FR"/>
        </w:rPr>
        <w:t>Au cours du premier semestre de 2017, 84 obstétriciens et 56 sages-femmes ont suivi une formation de perfectionnement et de spécialisation dispensée par l</w:t>
      </w:r>
      <w:r w:rsidR="008E14FD">
        <w:rPr>
          <w:lang w:val="fr-FR"/>
        </w:rPr>
        <w:t>’</w:t>
      </w:r>
      <w:r w:rsidRPr="00CB4E05">
        <w:rPr>
          <w:lang w:val="fr-FR"/>
        </w:rPr>
        <w:t>Institut de médecine du troisième cycle</w:t>
      </w:r>
      <w:r w:rsidRPr="00CB4E05">
        <w:rPr>
          <w:b/>
          <w:lang w:val="fr-FR"/>
        </w:rPr>
        <w:t xml:space="preserve"> </w:t>
      </w:r>
      <w:r w:rsidRPr="00CB4E05">
        <w:rPr>
          <w:lang w:val="fr-FR"/>
        </w:rPr>
        <w:t>du Tadjikistan. D</w:t>
      </w:r>
      <w:r w:rsidR="00365A31">
        <w:rPr>
          <w:lang w:val="fr-FR"/>
        </w:rPr>
        <w:t>urant la même période, 62 </w:t>
      </w:r>
      <w:r w:rsidRPr="00CB4E05">
        <w:rPr>
          <w:lang w:val="fr-FR"/>
        </w:rPr>
        <w:t>spécialistes ont également suivi des cours de perfectionnement dans ce domaine à l</w:t>
      </w:r>
      <w:r w:rsidR="008E14FD">
        <w:rPr>
          <w:lang w:val="fr-FR"/>
        </w:rPr>
        <w:t>’</w:t>
      </w:r>
      <w:r w:rsidRPr="00CB4E05">
        <w:rPr>
          <w:lang w:val="fr-FR"/>
        </w:rPr>
        <w:t>université tadjike de médecine Abou Ali Ibn-Sina, établissement d</w:t>
      </w:r>
      <w:r w:rsidR="008E14FD">
        <w:rPr>
          <w:lang w:val="fr-FR"/>
        </w:rPr>
        <w:t>’</w:t>
      </w:r>
      <w:r w:rsidRPr="00CB4E05">
        <w:rPr>
          <w:lang w:val="fr-FR"/>
        </w:rPr>
        <w:t>enseignement du troisième cycle.</w:t>
      </w:r>
      <w:r w:rsidRPr="00CB4E05">
        <w:rPr>
          <w:b/>
          <w:lang w:val="fr-FR"/>
        </w:rPr>
        <w:t xml:space="preserve"> </w:t>
      </w:r>
      <w:r w:rsidRPr="00CB4E05">
        <w:rPr>
          <w:bCs/>
          <w:lang w:val="fr-FR"/>
        </w:rPr>
        <w:t>En outre</w:t>
      </w:r>
      <w:r w:rsidRPr="00CB4E05">
        <w:rPr>
          <w:lang w:val="fr-FR"/>
        </w:rPr>
        <w:t>, en 2017, 140 spécialistes diplômés de cette université de médecine</w:t>
      </w:r>
      <w:r w:rsidRPr="00CB4E05">
        <w:rPr>
          <w:b/>
          <w:lang w:val="fr-FR"/>
        </w:rPr>
        <w:t xml:space="preserve"> </w:t>
      </w:r>
      <w:r w:rsidRPr="00CB4E05">
        <w:rPr>
          <w:lang w:val="fr-FR"/>
        </w:rPr>
        <w:t>ont été désignés par le Ministère pour effectuer un stage de pratique clinique.</w:t>
      </w:r>
    </w:p>
    <w:p w14:paraId="17D34FA1" w14:textId="175A0B96" w:rsidR="00CB4E05" w:rsidRPr="00CB4E05" w:rsidRDefault="00CB4E05" w:rsidP="00746391">
      <w:pPr>
        <w:pStyle w:val="SingleTxt"/>
        <w:numPr>
          <w:ilvl w:val="0"/>
          <w:numId w:val="8"/>
        </w:numPr>
        <w:spacing w:line="240" w:lineRule="exact"/>
        <w:ind w:left="1267"/>
        <w:rPr>
          <w:lang w:val="fr-FR"/>
        </w:rPr>
      </w:pPr>
      <w:r w:rsidRPr="00CB4E05">
        <w:rPr>
          <w:lang w:val="fr-FR"/>
        </w:rPr>
        <w:t>Conformément à une ordonnance du Ministère de la santé et de la protection sociale, en 2017, plus d</w:t>
      </w:r>
      <w:r w:rsidR="008E14FD">
        <w:rPr>
          <w:lang w:val="fr-FR"/>
        </w:rPr>
        <w:t>’</w:t>
      </w:r>
      <w:r w:rsidRPr="00CB4E05">
        <w:rPr>
          <w:lang w:val="fr-FR"/>
        </w:rPr>
        <w:t>une vingtaine d</w:t>
      </w:r>
      <w:r w:rsidR="008E14FD">
        <w:rPr>
          <w:lang w:val="fr-FR"/>
        </w:rPr>
        <w:t>’</w:t>
      </w:r>
      <w:r w:rsidRPr="00CB4E05">
        <w:rPr>
          <w:lang w:val="fr-FR"/>
        </w:rPr>
        <w:t>obstétriciens issus de régions reculées ou montagneuses ont suivi une formation d</w:t>
      </w:r>
      <w:r w:rsidR="008E14FD">
        <w:rPr>
          <w:lang w:val="fr-FR"/>
        </w:rPr>
        <w:t>’</w:t>
      </w:r>
      <w:r w:rsidRPr="00CB4E05">
        <w:rPr>
          <w:lang w:val="fr-FR"/>
        </w:rPr>
        <w:t>un mois aux soins obstétriques d</w:t>
      </w:r>
      <w:r w:rsidR="008E14FD">
        <w:rPr>
          <w:lang w:val="fr-FR"/>
        </w:rPr>
        <w:t>’</w:t>
      </w:r>
      <w:r w:rsidRPr="00CB4E05">
        <w:rPr>
          <w:lang w:val="fr-FR"/>
        </w:rPr>
        <w:t>urgence destinée à renforcer leurs compétences en la</w:t>
      </w:r>
      <w:r w:rsidR="000C2EA1">
        <w:rPr>
          <w:lang w:val="fr-FR"/>
        </w:rPr>
        <w:t xml:space="preserve"> matière. En outre, plus de 120 </w:t>
      </w:r>
      <w:r w:rsidRPr="00CB4E05">
        <w:rPr>
          <w:lang w:val="fr-FR"/>
        </w:rPr>
        <w:t>spécialistes des soins obstétriques ont été formés à la prise en charge d</w:t>
      </w:r>
      <w:r w:rsidR="008E14FD">
        <w:rPr>
          <w:lang w:val="fr-FR"/>
        </w:rPr>
        <w:t>’</w:t>
      </w:r>
      <w:r w:rsidRPr="00CB4E05">
        <w:rPr>
          <w:lang w:val="fr-FR"/>
        </w:rPr>
        <w:t>urgence des femmes souffrant d</w:t>
      </w:r>
      <w:r w:rsidR="008E14FD">
        <w:rPr>
          <w:lang w:val="fr-FR"/>
        </w:rPr>
        <w:t>’</w:t>
      </w:r>
      <w:r w:rsidRPr="00CB4E05">
        <w:rPr>
          <w:lang w:val="fr-FR"/>
        </w:rPr>
        <w:t>hémorragie obstétricale ou d</w:t>
      </w:r>
      <w:r w:rsidR="008E14FD">
        <w:rPr>
          <w:lang w:val="fr-FR"/>
        </w:rPr>
        <w:t>’</w:t>
      </w:r>
      <w:r w:rsidRPr="00CB4E05">
        <w:rPr>
          <w:lang w:val="fr-FR"/>
        </w:rPr>
        <w:t>éclampsie. Toutes les maternités du pays ont été dotées des équipements médicaux de base nécessaires à la fourniture de soins d</w:t>
      </w:r>
      <w:r w:rsidR="008E14FD">
        <w:rPr>
          <w:lang w:val="fr-FR"/>
        </w:rPr>
        <w:t>’</w:t>
      </w:r>
      <w:r w:rsidRPr="00CB4E05">
        <w:rPr>
          <w:lang w:val="fr-FR"/>
        </w:rPr>
        <w:t>urgence aux femmes enceintes et aux nouveau-nés, ainsi que de salles de simulation équipées de mannequins en vue de la formation du personnel médical. Afin d</w:t>
      </w:r>
      <w:r w:rsidR="008E14FD">
        <w:rPr>
          <w:lang w:val="fr-FR"/>
        </w:rPr>
        <w:t>’</w:t>
      </w:r>
      <w:r w:rsidRPr="00CB4E05">
        <w:rPr>
          <w:lang w:val="fr-FR"/>
        </w:rPr>
        <w:t>améliorer la qualité des soins de santé destinés aux mères et aux enfants, le Ministère de la santé et de la protection sociale a</w:t>
      </w:r>
      <w:r w:rsidR="000C2EA1">
        <w:rPr>
          <w:lang w:val="fr-FR"/>
        </w:rPr>
        <w:t xml:space="preserve"> approuvé par ordonnance, le 26 </w:t>
      </w:r>
      <w:r w:rsidRPr="00CB4E05">
        <w:rPr>
          <w:lang w:val="fr-FR"/>
        </w:rPr>
        <w:t xml:space="preserve">décembre 2016, un règlement relatif au mentorat dans le domaine de la santé </w:t>
      </w:r>
      <w:r w:rsidRPr="00CB4E05">
        <w:rPr>
          <w:lang w:val="fr-FR"/>
        </w:rPr>
        <w:lastRenderedPageBreak/>
        <w:t>maternelle et infantile ainsi que des directives cliniques sur la nutrition des femmes enceintes et allaitantes, et sur l</w:t>
      </w:r>
      <w:r w:rsidR="008E14FD">
        <w:rPr>
          <w:lang w:val="fr-FR"/>
        </w:rPr>
        <w:t>’</w:t>
      </w:r>
      <w:r w:rsidRPr="00CB4E05">
        <w:rPr>
          <w:lang w:val="fr-FR"/>
        </w:rPr>
        <w:t>avortement sans risque et le contrôle de cette pratique.</w:t>
      </w:r>
    </w:p>
    <w:p w14:paraId="20A28492" w14:textId="0C304F22" w:rsidR="00CB4E05" w:rsidRPr="00CB4E05" w:rsidRDefault="00CB4E05" w:rsidP="00746391">
      <w:pPr>
        <w:pStyle w:val="SingleTxt"/>
        <w:numPr>
          <w:ilvl w:val="0"/>
          <w:numId w:val="8"/>
        </w:numPr>
        <w:spacing w:line="240" w:lineRule="exact"/>
        <w:ind w:left="1267"/>
        <w:rPr>
          <w:lang w:val="fr-FR"/>
        </w:rPr>
      </w:pPr>
      <w:r w:rsidRPr="00CB4E05">
        <w:rPr>
          <w:lang w:val="fr-FR"/>
        </w:rPr>
        <w:t>La prise en compte des questions liées à l</w:t>
      </w:r>
      <w:r w:rsidR="008E14FD">
        <w:rPr>
          <w:lang w:val="fr-FR"/>
        </w:rPr>
        <w:t>’</w:t>
      </w:r>
      <w:r w:rsidRPr="00CB4E05">
        <w:rPr>
          <w:lang w:val="fr-FR"/>
        </w:rPr>
        <w:t>égalité des sexes dans l</w:t>
      </w:r>
      <w:r w:rsidR="008E14FD">
        <w:rPr>
          <w:lang w:val="fr-FR"/>
        </w:rPr>
        <w:t>’</w:t>
      </w:r>
      <w:r w:rsidRPr="00CB4E05">
        <w:rPr>
          <w:lang w:val="fr-FR"/>
        </w:rPr>
        <w:t>action menée pour lutter contre l</w:t>
      </w:r>
      <w:r w:rsidR="008E14FD">
        <w:rPr>
          <w:lang w:val="fr-FR"/>
        </w:rPr>
        <w:t>’</w:t>
      </w:r>
      <w:r w:rsidRPr="00CB4E05">
        <w:rPr>
          <w:lang w:val="fr-FR"/>
        </w:rPr>
        <w:t>épidémie de VIH est l</w:t>
      </w:r>
      <w:r w:rsidR="008E14FD">
        <w:rPr>
          <w:lang w:val="fr-FR"/>
        </w:rPr>
        <w:t>’</w:t>
      </w:r>
      <w:r w:rsidRPr="00CB4E05">
        <w:rPr>
          <w:lang w:val="fr-FR"/>
        </w:rPr>
        <w:t>une des priorités du système de santé publique du pays. Les questions liées à l</w:t>
      </w:r>
      <w:r w:rsidR="008E14FD">
        <w:rPr>
          <w:lang w:val="fr-FR"/>
        </w:rPr>
        <w:t>’</w:t>
      </w:r>
      <w:r w:rsidRPr="00CB4E05">
        <w:rPr>
          <w:lang w:val="fr-FR"/>
        </w:rPr>
        <w:t>égalité des sexes sous-tendent de nombreuses orientations stratégiques, telles que la stratégie nationale de santé publique pour la période 2010-2020 et le programme national de lutte contre l</w:t>
      </w:r>
      <w:r w:rsidR="008E14FD">
        <w:rPr>
          <w:lang w:val="fr-FR"/>
        </w:rPr>
        <w:t>’</w:t>
      </w:r>
      <w:r w:rsidRPr="00CB4E05">
        <w:rPr>
          <w:lang w:val="fr-FR"/>
        </w:rPr>
        <w:t>épidémie de VIH/sida pour la période 2017-2020. Les domaines stratégiques de ce programme en ce qui concerne la problématique hommes-femmes sont notamment la prévention et le dépistage du VIH/sida, le traitement et la prise en charge des personnes concernées, ainsi que les dispositions juridiques visant à lutter contre la stigmatisation et la discrimination dont les personnes touchées par l</w:t>
      </w:r>
      <w:r w:rsidR="008E14FD">
        <w:rPr>
          <w:lang w:val="fr-FR"/>
        </w:rPr>
        <w:t>’</w:t>
      </w:r>
      <w:r w:rsidRPr="00CB4E05">
        <w:rPr>
          <w:lang w:val="fr-FR"/>
        </w:rPr>
        <w:t>épidémie sont victimes. Dans le cadre de la prévention du VIH/sida, des programmes de réduction des risques sont proposés gratuitement aux membres des groupes à risque, quel que soit leur sexe.</w:t>
      </w:r>
    </w:p>
    <w:p w14:paraId="15C49E8C" w14:textId="43598D6D" w:rsidR="00CB4E05" w:rsidRPr="00CB4E05" w:rsidRDefault="00CB4E05" w:rsidP="00746391">
      <w:pPr>
        <w:pStyle w:val="SingleTxt"/>
        <w:numPr>
          <w:ilvl w:val="0"/>
          <w:numId w:val="8"/>
        </w:numPr>
        <w:spacing w:line="240" w:lineRule="exact"/>
        <w:ind w:left="1267"/>
        <w:rPr>
          <w:lang w:val="fr-FR"/>
        </w:rPr>
      </w:pPr>
      <w:r w:rsidRPr="00CB4E05">
        <w:rPr>
          <w:lang w:val="fr-FR"/>
        </w:rPr>
        <w:t> Au cours de la période 2016-2017, les protocoles cliniques applicables aux soins prénatals offerts aux femmes enceintes ont été révisés et modifiés. Le dépistage du VIH est proposé gratuitement aux membres des groupes à risque et aux personnes vulnérables tels que les femmes enceintes et les enfants, dans le cadre du programme de prévention de la transmission du VIH de la mère à l</w:t>
      </w:r>
      <w:r w:rsidR="008E14FD">
        <w:rPr>
          <w:lang w:val="fr-FR"/>
        </w:rPr>
        <w:t>’</w:t>
      </w:r>
      <w:r w:rsidRPr="00CB4E05">
        <w:rPr>
          <w:lang w:val="fr-FR"/>
        </w:rPr>
        <w:t>enfant.</w:t>
      </w:r>
    </w:p>
    <w:p w14:paraId="33031B9B" w14:textId="77777777" w:rsidR="00CB4E05" w:rsidRPr="00CB4E05" w:rsidRDefault="00CB4E05" w:rsidP="00746391">
      <w:pPr>
        <w:pStyle w:val="SingleTxt"/>
        <w:numPr>
          <w:ilvl w:val="0"/>
          <w:numId w:val="8"/>
        </w:numPr>
        <w:spacing w:line="240" w:lineRule="exact"/>
        <w:ind w:left="1267"/>
        <w:rPr>
          <w:lang w:val="fr-FR"/>
        </w:rPr>
      </w:pPr>
      <w:r w:rsidRPr="00CB4E05">
        <w:rPr>
          <w:lang w:val="fr-FR"/>
        </w:rPr>
        <w:t>Le traitement du VIH/sida (traitements antirétroviraux) est dispensé gratuitement aux personnes séropositives indépendamment de leur sexe et de leur âge, y compris aux femmes enceintes et aux enfants. Les recherches cliniques sur le VIH effectuées dans le cadre du traitement des patients sont également gratuites. En outre, les personnes séropositives bénéficient gratuitement de services de prévention des maladies secondaires, notamment des infections opportunistes.</w:t>
      </w:r>
    </w:p>
    <w:p w14:paraId="1946CC5F" w14:textId="59D61F9D" w:rsidR="00CB4E05" w:rsidRPr="00CB4E05" w:rsidRDefault="00CB4E05" w:rsidP="00746391">
      <w:pPr>
        <w:pStyle w:val="SingleTxt"/>
        <w:numPr>
          <w:ilvl w:val="0"/>
          <w:numId w:val="8"/>
        </w:numPr>
        <w:spacing w:line="240" w:lineRule="exact"/>
        <w:ind w:left="1267"/>
        <w:rPr>
          <w:lang w:val="fr-FR"/>
        </w:rPr>
      </w:pPr>
      <w:r w:rsidRPr="00CB4E05">
        <w:rPr>
          <w:lang w:val="fr-FR"/>
        </w:rPr>
        <w:t>Les questions relatives à la lutte contre la stigmatisation et la discrimination à l</w:t>
      </w:r>
      <w:r w:rsidR="008E14FD">
        <w:rPr>
          <w:lang w:val="fr-FR"/>
        </w:rPr>
        <w:t>’</w:t>
      </w:r>
      <w:r w:rsidRPr="00CB4E05">
        <w:rPr>
          <w:lang w:val="fr-FR"/>
        </w:rPr>
        <w:t>égard des personnes séropositives sont abordées dans le cadre des points 5 et 6 du programme national de lutte contre l</w:t>
      </w:r>
      <w:r w:rsidR="008E14FD">
        <w:rPr>
          <w:lang w:val="fr-FR"/>
        </w:rPr>
        <w:t>’</w:t>
      </w:r>
      <w:r w:rsidRPr="00CB4E05">
        <w:rPr>
          <w:lang w:val="fr-FR"/>
        </w:rPr>
        <w:t>épidémie de VIH/sida pour la période 2017-2020. Il est prévu, durant la mise en œuvre de ce programme, de mener diverses activités pour lutter contre la stigmatisation et la discrimination, en particulier à l</w:t>
      </w:r>
      <w:r w:rsidR="008E14FD">
        <w:rPr>
          <w:lang w:val="fr-FR"/>
        </w:rPr>
        <w:t>’</w:t>
      </w:r>
      <w:r w:rsidRPr="00CB4E05">
        <w:rPr>
          <w:lang w:val="fr-FR"/>
        </w:rPr>
        <w:t>égard des femmes infectées par le VIH.</w:t>
      </w:r>
    </w:p>
    <w:p w14:paraId="4C1B21CB" w14:textId="1CAF39A9" w:rsidR="00CB4E05" w:rsidRPr="00CB4E05" w:rsidRDefault="00CB4E05" w:rsidP="00746391">
      <w:pPr>
        <w:pStyle w:val="SingleTxt"/>
        <w:numPr>
          <w:ilvl w:val="0"/>
          <w:numId w:val="8"/>
        </w:numPr>
        <w:spacing w:line="240" w:lineRule="exact"/>
        <w:ind w:left="1267"/>
        <w:rPr>
          <w:lang w:val="fr-FR"/>
        </w:rPr>
      </w:pPr>
      <w:r w:rsidRPr="00CB4E05">
        <w:rPr>
          <w:lang w:val="fr-FR"/>
        </w:rPr>
        <w:t>Dans toutes les régions du pays, les mesures voulues ont été prises pour permettre le dépistage du VIH/sida chez les femmes enceintes ainsi que le traitement de l</w:t>
      </w:r>
      <w:r w:rsidR="008E14FD">
        <w:rPr>
          <w:lang w:val="fr-FR"/>
        </w:rPr>
        <w:t>’</w:t>
      </w:r>
      <w:r w:rsidRPr="00CB4E05">
        <w:rPr>
          <w:lang w:val="fr-FR"/>
        </w:rPr>
        <w:t>infection au moyen de médicaments antirétroviraux.</w:t>
      </w:r>
    </w:p>
    <w:p w14:paraId="47EC34F3" w14:textId="4BFBA316" w:rsidR="00CB4E05" w:rsidRPr="002A37CD" w:rsidRDefault="00CB4E05" w:rsidP="002A37CD">
      <w:pPr>
        <w:pStyle w:val="SingleTxt"/>
        <w:spacing w:after="0" w:line="120" w:lineRule="exact"/>
        <w:rPr>
          <w:b/>
          <w:sz w:val="10"/>
          <w:lang w:val="fr-FR"/>
        </w:rPr>
      </w:pPr>
    </w:p>
    <w:p w14:paraId="4BB81DB3" w14:textId="49C94757" w:rsidR="00CB4E05" w:rsidRDefault="002A37CD" w:rsidP="00A81AD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Pr>
          <w:lang w:val="fr-FR"/>
        </w:rPr>
        <w:lastRenderedPageBreak/>
        <w:tab/>
      </w:r>
      <w:r>
        <w:rPr>
          <w:lang w:val="fr-FR"/>
        </w:rPr>
        <w:tab/>
      </w:r>
      <w:r w:rsidR="00CB4E05" w:rsidRPr="00CB4E05">
        <w:rPr>
          <w:lang w:val="fr-FR"/>
        </w:rPr>
        <w:t>Femmes rurales</w:t>
      </w:r>
    </w:p>
    <w:p w14:paraId="49C2B8DC" w14:textId="73509F81" w:rsidR="002A37CD" w:rsidRPr="002A37CD" w:rsidRDefault="002A37CD" w:rsidP="00A81ADA">
      <w:pPr>
        <w:pStyle w:val="SingleTxt"/>
        <w:spacing w:after="0" w:line="120" w:lineRule="exact"/>
        <w:rPr>
          <w:sz w:val="10"/>
          <w:lang w:val="fr-FR"/>
        </w:rPr>
      </w:pPr>
    </w:p>
    <w:p w14:paraId="71584A8B" w14:textId="4E542C1C" w:rsidR="00CB4E05" w:rsidRDefault="002A37CD" w:rsidP="00A81ADA">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B4E05" w:rsidRPr="00CB4E05">
        <w:rPr>
          <w:lang w:val="fr-FR"/>
        </w:rPr>
        <w:t>Paragraphe 30 des observations finales</w:t>
      </w:r>
    </w:p>
    <w:p w14:paraId="0E2D1786" w14:textId="243D1621" w:rsidR="002A37CD" w:rsidRPr="002A37CD" w:rsidRDefault="002A37CD" w:rsidP="00A81ADA">
      <w:pPr>
        <w:pStyle w:val="SingleTxt"/>
        <w:spacing w:after="0" w:line="120" w:lineRule="exact"/>
        <w:rPr>
          <w:sz w:val="10"/>
          <w:lang w:val="fr-FR"/>
        </w:rPr>
      </w:pPr>
    </w:p>
    <w:p w14:paraId="6330B3A0" w14:textId="20B9F41A" w:rsidR="00CB4E05" w:rsidRPr="00CB4E05" w:rsidRDefault="00CB4E05" w:rsidP="00A81ADA">
      <w:pPr>
        <w:pStyle w:val="SingleTxt"/>
        <w:numPr>
          <w:ilvl w:val="0"/>
          <w:numId w:val="8"/>
        </w:numPr>
        <w:spacing w:line="240" w:lineRule="exact"/>
        <w:ind w:left="1267"/>
        <w:rPr>
          <w:lang w:val="fr-FR"/>
        </w:rPr>
      </w:pPr>
      <w:r w:rsidRPr="00CB4E05">
        <w:rPr>
          <w:lang w:val="fr-FR"/>
        </w:rPr>
        <w:t>La stratégie nationale de développement du Tadjikistan</w:t>
      </w:r>
      <w:r w:rsidRPr="00CB4E05">
        <w:rPr>
          <w:b/>
          <w:lang w:val="fr-FR"/>
        </w:rPr>
        <w:t xml:space="preserve"> </w:t>
      </w:r>
      <w:r w:rsidRPr="00CB4E05">
        <w:rPr>
          <w:lang w:val="fr-FR"/>
        </w:rPr>
        <w:t>à l</w:t>
      </w:r>
      <w:r w:rsidR="008E14FD">
        <w:rPr>
          <w:lang w:val="fr-FR"/>
        </w:rPr>
        <w:t>’</w:t>
      </w:r>
      <w:r w:rsidRPr="00CB4E05">
        <w:rPr>
          <w:lang w:val="fr-FR"/>
        </w:rPr>
        <w:t>horizon 2030 comporte une section consacrée spécifiquement à la réduction des inégalités sociales, qui traite des inégalités et de la discrimination visant les femmes, en particulier celles qui vivent dans les zones rurales, et des moyens d</w:t>
      </w:r>
      <w:r w:rsidR="008E14FD">
        <w:rPr>
          <w:lang w:val="fr-FR"/>
        </w:rPr>
        <w:t>’</w:t>
      </w:r>
      <w:r w:rsidRPr="00CB4E05">
        <w:rPr>
          <w:lang w:val="fr-FR"/>
        </w:rPr>
        <w:t>y remédier.</w:t>
      </w:r>
    </w:p>
    <w:p w14:paraId="5E67E826" w14:textId="33834C3F" w:rsidR="00CB4E05" w:rsidRPr="00CB4E05" w:rsidRDefault="00CB4E05" w:rsidP="00A81ADA">
      <w:pPr>
        <w:pStyle w:val="SingleTxt"/>
        <w:numPr>
          <w:ilvl w:val="0"/>
          <w:numId w:val="9"/>
        </w:numPr>
        <w:spacing w:line="240" w:lineRule="exact"/>
        <w:ind w:left="1267"/>
        <w:rPr>
          <w:lang w:val="fr-FR"/>
        </w:rPr>
      </w:pPr>
      <w:r w:rsidRPr="00CB4E05">
        <w:rPr>
          <w:lang w:val="fr-FR"/>
        </w:rPr>
        <w:t>À cet égard, dans un arrêté du 28 novembre 2015, le Gouvernement a adopté un plan d</w:t>
      </w:r>
      <w:r w:rsidR="008E14FD">
        <w:rPr>
          <w:lang w:val="fr-FR"/>
        </w:rPr>
        <w:t>’</w:t>
      </w:r>
      <w:r w:rsidRPr="00CB4E05">
        <w:rPr>
          <w:lang w:val="fr-FR"/>
        </w:rPr>
        <w:t>admission dans les établissements d</w:t>
      </w:r>
      <w:r w:rsidR="008E14FD">
        <w:rPr>
          <w:lang w:val="fr-FR"/>
        </w:rPr>
        <w:t>’</w:t>
      </w:r>
      <w:r w:rsidRPr="00CB4E05">
        <w:rPr>
          <w:lang w:val="fr-FR"/>
        </w:rPr>
        <w:t>enseignement professionnel supérieur selon le quota fixé par le Président pour la période 2016-2020, qui prévoit de réserver chaque année plus de 625 places à des jeunes filles originaires de régions montagneuses reculées afin de leur permettre de suivre une formation spécialisée. On prévoit d</w:t>
      </w:r>
      <w:r w:rsidR="008E14FD">
        <w:rPr>
          <w:lang w:val="fr-FR"/>
        </w:rPr>
        <w:t>’</w:t>
      </w:r>
      <w:r w:rsidRPr="00CB4E05">
        <w:rPr>
          <w:lang w:val="fr-FR"/>
        </w:rPr>
        <w:t>admettre au total 1 227 étudiants, dont 629 (51,2</w:t>
      </w:r>
      <w:r w:rsidR="00365A31">
        <w:rPr>
          <w:lang w:val="fr-FR"/>
        </w:rPr>
        <w:t> %</w:t>
      </w:r>
      <w:r w:rsidRPr="00CB4E05">
        <w:rPr>
          <w:lang w:val="fr-FR"/>
        </w:rPr>
        <w:t>) à la faveur dudit quota. Le plan prévoit également un quota de 56 places dans les disciplines agricoles, dont 14 réservées aux filles.</w:t>
      </w:r>
    </w:p>
    <w:p w14:paraId="5341F0A4" w14:textId="01B49B08" w:rsidR="00CB4E05" w:rsidRDefault="00CB4E05" w:rsidP="00A81ADA">
      <w:pPr>
        <w:pStyle w:val="SingleTxt"/>
        <w:numPr>
          <w:ilvl w:val="0"/>
          <w:numId w:val="9"/>
        </w:numPr>
        <w:spacing w:line="240" w:lineRule="exact"/>
        <w:ind w:left="1267"/>
        <w:rPr>
          <w:lang w:val="fr-FR"/>
        </w:rPr>
      </w:pPr>
      <w:r w:rsidRPr="00CB4E05">
        <w:rPr>
          <w:lang w:val="fr-FR"/>
        </w:rPr>
        <w:t>Conformément aux règles relatives à l</w:t>
      </w:r>
      <w:r w:rsidR="008E14FD">
        <w:rPr>
          <w:lang w:val="fr-FR"/>
        </w:rPr>
        <w:t>’</w:t>
      </w:r>
      <w:r w:rsidRPr="00CB4E05">
        <w:rPr>
          <w:lang w:val="fr-FR"/>
        </w:rPr>
        <w:t>admission d</w:t>
      </w:r>
      <w:r w:rsidR="008E14FD">
        <w:rPr>
          <w:lang w:val="fr-FR"/>
        </w:rPr>
        <w:t>’</w:t>
      </w:r>
      <w:r w:rsidRPr="00CB4E05">
        <w:rPr>
          <w:lang w:val="fr-FR"/>
        </w:rPr>
        <w:t>étudiants dans les établissements d</w:t>
      </w:r>
      <w:r w:rsidR="008E14FD">
        <w:rPr>
          <w:lang w:val="fr-FR"/>
        </w:rPr>
        <w:t>’</w:t>
      </w:r>
      <w:r w:rsidRPr="00CB4E05">
        <w:rPr>
          <w:lang w:val="fr-FR"/>
        </w:rPr>
        <w:t>enseignement professionnel supérieur selon les quotas fixés par le Président (approuvées par un arrêté du Gouvernement en date du 2 juillet 2015), la priorité lors de l</w:t>
      </w:r>
      <w:r w:rsidR="008E14FD">
        <w:rPr>
          <w:lang w:val="fr-FR"/>
        </w:rPr>
        <w:t>’</w:t>
      </w:r>
      <w:r w:rsidRPr="00CB4E05">
        <w:rPr>
          <w:lang w:val="fr-FR"/>
        </w:rPr>
        <w:t>admission est accordée aux jeunes filles originaires des zones rurales.</w:t>
      </w:r>
    </w:p>
    <w:p w14:paraId="23B9A091" w14:textId="2D3351E1" w:rsidR="00CB4E05" w:rsidRDefault="002A37CD" w:rsidP="00A81AD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B4E05" w:rsidRPr="00CB4E05">
        <w:rPr>
          <w:lang w:val="fr-FR"/>
        </w:rPr>
        <w:t>Groupes de femmes désavantagées</w:t>
      </w:r>
    </w:p>
    <w:p w14:paraId="24D9021A" w14:textId="7D4D2A3E" w:rsidR="002A37CD" w:rsidRPr="002A37CD" w:rsidRDefault="002A37CD" w:rsidP="00A81ADA">
      <w:pPr>
        <w:pStyle w:val="SingleTxt"/>
        <w:spacing w:after="0" w:line="120" w:lineRule="exact"/>
        <w:rPr>
          <w:sz w:val="10"/>
          <w:lang w:val="fr-FR"/>
        </w:rPr>
      </w:pPr>
    </w:p>
    <w:p w14:paraId="23519E1D" w14:textId="1839B9CF" w:rsidR="00CB4E05" w:rsidRDefault="002A37CD" w:rsidP="00A81ADA">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B4E05" w:rsidRPr="00CB4E05">
        <w:rPr>
          <w:lang w:val="fr-FR"/>
        </w:rPr>
        <w:t>Paragraphe 32 des observations finales</w:t>
      </w:r>
    </w:p>
    <w:p w14:paraId="7999EC66" w14:textId="02A0AE9D" w:rsidR="002A37CD" w:rsidRPr="002A37CD" w:rsidRDefault="002A37CD" w:rsidP="00A81ADA">
      <w:pPr>
        <w:pStyle w:val="SingleTxt"/>
        <w:spacing w:after="0" w:line="120" w:lineRule="exact"/>
        <w:rPr>
          <w:sz w:val="10"/>
          <w:lang w:val="fr-FR"/>
        </w:rPr>
      </w:pPr>
    </w:p>
    <w:p w14:paraId="0D2B844C" w14:textId="1A34EF60" w:rsidR="00CB4E05" w:rsidRPr="00CB4E05" w:rsidRDefault="00CB4E05" w:rsidP="00A81ADA">
      <w:pPr>
        <w:pStyle w:val="SingleTxt"/>
        <w:numPr>
          <w:ilvl w:val="0"/>
          <w:numId w:val="9"/>
        </w:numPr>
        <w:spacing w:line="240" w:lineRule="exact"/>
        <w:ind w:left="1267"/>
        <w:rPr>
          <w:lang w:val="fr-FR"/>
        </w:rPr>
      </w:pPr>
      <w:r w:rsidRPr="00CB4E05">
        <w:rPr>
          <w:lang w:val="fr-FR"/>
        </w:rPr>
        <w:t>Dans le cadre de la mise en œuvre de l</w:t>
      </w:r>
      <w:r w:rsidR="008E14FD">
        <w:rPr>
          <w:lang w:val="fr-FR"/>
        </w:rPr>
        <w:t>’</w:t>
      </w:r>
      <w:r w:rsidRPr="00CB4E05">
        <w:rPr>
          <w:lang w:val="fr-FR"/>
        </w:rPr>
        <w:t>arrêt</w:t>
      </w:r>
      <w:r w:rsidR="000C2EA1">
        <w:rPr>
          <w:lang w:val="fr-FR"/>
        </w:rPr>
        <w:t>é du Gouvernement en date du 13 </w:t>
      </w:r>
      <w:r w:rsidRPr="00CB4E05">
        <w:rPr>
          <w:lang w:val="fr-FR"/>
        </w:rPr>
        <w:t>décembre 2012 relatif à l</w:t>
      </w:r>
      <w:r w:rsidR="008E14FD">
        <w:rPr>
          <w:lang w:val="fr-FR"/>
        </w:rPr>
        <w:t>’</w:t>
      </w:r>
      <w:r w:rsidRPr="00CB4E05">
        <w:rPr>
          <w:lang w:val="fr-FR"/>
        </w:rPr>
        <w:t>organisation et à la couverture des services sociaux gratuits, les groupes de la population qui sont dans une situation difficile ont le droit de bénéficier de services sociaux ; en particulier, les femmes et les enfants ayant subi des violences ont accès à des services sociaux gratuits offerts par les services de protection sociale à domicile ou les centres de santé.</w:t>
      </w:r>
    </w:p>
    <w:p w14:paraId="597F0F34" w14:textId="56C2B95E" w:rsidR="00CB4E05" w:rsidRPr="00CB4E05" w:rsidRDefault="00CB4E05" w:rsidP="00746391">
      <w:pPr>
        <w:pStyle w:val="SingleTxt"/>
        <w:numPr>
          <w:ilvl w:val="0"/>
          <w:numId w:val="10"/>
        </w:numPr>
        <w:spacing w:line="240" w:lineRule="exact"/>
        <w:ind w:left="1267"/>
        <w:rPr>
          <w:lang w:val="fr-FR"/>
        </w:rPr>
      </w:pPr>
      <w:r w:rsidRPr="00CB4E05">
        <w:rPr>
          <w:lang w:val="fr-FR"/>
        </w:rPr>
        <w:t>Afin d</w:t>
      </w:r>
      <w:r w:rsidR="008E14FD">
        <w:rPr>
          <w:lang w:val="fr-FR"/>
        </w:rPr>
        <w:t>’</w:t>
      </w:r>
      <w:r w:rsidRPr="00CB4E05">
        <w:rPr>
          <w:lang w:val="fr-FR"/>
        </w:rPr>
        <w:t>éviter le placement des enfants dans des internats, d</w:t>
      </w:r>
      <w:r w:rsidR="008E14FD">
        <w:rPr>
          <w:lang w:val="fr-FR"/>
        </w:rPr>
        <w:t>’</w:t>
      </w:r>
      <w:r w:rsidRPr="00CB4E05">
        <w:rPr>
          <w:lang w:val="fr-FR"/>
        </w:rPr>
        <w:t>autres types d</w:t>
      </w:r>
      <w:r w:rsidR="008E14FD">
        <w:rPr>
          <w:lang w:val="fr-FR"/>
        </w:rPr>
        <w:t>’</w:t>
      </w:r>
      <w:r w:rsidRPr="00CB4E05">
        <w:rPr>
          <w:lang w:val="fr-FR"/>
        </w:rPr>
        <w:t>institutions ont été créées, en particulier 30 centres de prise en charge de jour. Des services sociaux financés par l</w:t>
      </w:r>
      <w:r w:rsidR="008E14FD">
        <w:rPr>
          <w:lang w:val="fr-FR"/>
        </w:rPr>
        <w:t>’</w:t>
      </w:r>
      <w:r w:rsidRPr="00CB4E05">
        <w:rPr>
          <w:lang w:val="fr-FR"/>
        </w:rPr>
        <w:t>État y sont fournis par des organisations non gouvernementales. Il existe actuellement quatre centres de services sociaux pour personnes âgées et personnes seules handicapées.</w:t>
      </w:r>
    </w:p>
    <w:p w14:paraId="7A77358C" w14:textId="150F390D" w:rsidR="00CB4E05" w:rsidRPr="00CB4E05" w:rsidRDefault="00CB4E05" w:rsidP="00746391">
      <w:pPr>
        <w:pStyle w:val="SingleTxt"/>
        <w:numPr>
          <w:ilvl w:val="0"/>
          <w:numId w:val="10"/>
        </w:numPr>
        <w:spacing w:line="240" w:lineRule="exact"/>
        <w:ind w:left="1267"/>
        <w:rPr>
          <w:lang w:val="fr-FR"/>
        </w:rPr>
      </w:pPr>
      <w:r w:rsidRPr="00CB4E05">
        <w:rPr>
          <w:lang w:val="fr-FR"/>
        </w:rPr>
        <w:t>Tous les deux ans, le Gouvernement adopte par arrêté un programme</w:t>
      </w:r>
      <w:r w:rsidRPr="00CB4E05">
        <w:rPr>
          <w:b/>
          <w:lang w:val="fr-FR"/>
        </w:rPr>
        <w:t xml:space="preserve"> </w:t>
      </w:r>
      <w:r w:rsidRPr="00CB4E05">
        <w:rPr>
          <w:lang w:val="fr-FR"/>
        </w:rPr>
        <w:t>national en faveur de</w:t>
      </w:r>
      <w:r w:rsidRPr="00CB4E05">
        <w:rPr>
          <w:b/>
          <w:lang w:val="fr-FR"/>
        </w:rPr>
        <w:t xml:space="preserve"> </w:t>
      </w:r>
      <w:r w:rsidRPr="00CB4E05">
        <w:rPr>
          <w:lang w:val="fr-FR"/>
        </w:rPr>
        <w:t>l</w:t>
      </w:r>
      <w:r w:rsidR="008E14FD">
        <w:rPr>
          <w:lang w:val="fr-FR"/>
        </w:rPr>
        <w:t>’</w:t>
      </w:r>
      <w:r w:rsidRPr="00CB4E05">
        <w:rPr>
          <w:lang w:val="fr-FR"/>
        </w:rPr>
        <w:t>emploi destiné notamment aux groupes vulnérables qui ne sont pas compétitifs sur le marché du travail. Une fois le programme adopté, chaque région élaboré et approuve des mesures visant à en assurer l</w:t>
      </w:r>
      <w:r w:rsidR="008E14FD">
        <w:rPr>
          <w:lang w:val="fr-FR"/>
        </w:rPr>
        <w:t>’</w:t>
      </w:r>
      <w:r w:rsidRPr="00CB4E05">
        <w:rPr>
          <w:lang w:val="fr-FR"/>
        </w:rPr>
        <w:t>exécution. Les principales mesures prises dans le cadre de ces programmes portent notamment sur la formation professionnelle, le recyclage et le perfectionnement, l</w:t>
      </w:r>
      <w:r w:rsidR="008E14FD">
        <w:rPr>
          <w:lang w:val="fr-FR"/>
        </w:rPr>
        <w:t>’</w:t>
      </w:r>
      <w:r w:rsidRPr="00CB4E05">
        <w:rPr>
          <w:lang w:val="fr-FR"/>
        </w:rPr>
        <w:t>accès à l</w:t>
      </w:r>
      <w:r w:rsidR="008E14FD">
        <w:rPr>
          <w:lang w:val="fr-FR"/>
        </w:rPr>
        <w:t>’</w:t>
      </w:r>
      <w:r w:rsidRPr="00CB4E05">
        <w:rPr>
          <w:lang w:val="fr-FR"/>
        </w:rPr>
        <w:t>emploi moyennant le recrutement à des postes vacants et à des emplois à pourvoir sur la base de quotas, la création d</w:t>
      </w:r>
      <w:r w:rsidR="008E14FD">
        <w:rPr>
          <w:lang w:val="fr-FR"/>
        </w:rPr>
        <w:t>’</w:t>
      </w:r>
      <w:r w:rsidRPr="00CB4E05">
        <w:rPr>
          <w:lang w:val="fr-FR"/>
        </w:rPr>
        <w:t>emplois grâce à l</w:t>
      </w:r>
      <w:r w:rsidR="008E14FD">
        <w:rPr>
          <w:lang w:val="fr-FR"/>
        </w:rPr>
        <w:t>’</w:t>
      </w:r>
      <w:r w:rsidRPr="00CB4E05">
        <w:rPr>
          <w:lang w:val="fr-FR"/>
        </w:rPr>
        <w:t>octroi de microcrédits favorisant le travail indépendant, l</w:t>
      </w:r>
      <w:r w:rsidR="008E14FD">
        <w:rPr>
          <w:lang w:val="fr-FR"/>
        </w:rPr>
        <w:t>’</w:t>
      </w:r>
      <w:r w:rsidRPr="00CB4E05">
        <w:rPr>
          <w:lang w:val="fr-FR"/>
        </w:rPr>
        <w:t>octroi et le versement d</w:t>
      </w:r>
      <w:r w:rsidR="008E14FD">
        <w:rPr>
          <w:lang w:val="fr-FR"/>
        </w:rPr>
        <w:t>’</w:t>
      </w:r>
      <w:r w:rsidRPr="00CB4E05">
        <w:rPr>
          <w:lang w:val="fr-FR"/>
        </w:rPr>
        <w:t>allocations de chômage, la prestation de services d</w:t>
      </w:r>
      <w:r w:rsidR="008E14FD">
        <w:rPr>
          <w:lang w:val="fr-FR"/>
        </w:rPr>
        <w:t>’</w:t>
      </w:r>
      <w:r w:rsidRPr="00CB4E05">
        <w:rPr>
          <w:lang w:val="fr-FR"/>
        </w:rPr>
        <w:t>orientation professionnelle et la participation à des travaux d</w:t>
      </w:r>
      <w:r w:rsidR="008E14FD">
        <w:rPr>
          <w:lang w:val="fr-FR"/>
        </w:rPr>
        <w:t>’</w:t>
      </w:r>
      <w:r w:rsidRPr="00CB4E05">
        <w:rPr>
          <w:lang w:val="fr-FR"/>
        </w:rPr>
        <w:t>intérêt public. En 2015, 420 femmes ont reçu des allocations de chômage d</w:t>
      </w:r>
      <w:r w:rsidR="008E14FD">
        <w:rPr>
          <w:lang w:val="fr-FR"/>
        </w:rPr>
        <w:t>’</w:t>
      </w:r>
      <w:r w:rsidRPr="00CB4E05">
        <w:rPr>
          <w:lang w:val="fr-FR"/>
        </w:rPr>
        <w:t>un montant de 9 839 somoni dans le cadre de ce programme.</w:t>
      </w:r>
    </w:p>
    <w:p w14:paraId="4A4E3F22" w14:textId="4EE7E922" w:rsidR="00CB4E05" w:rsidRPr="00CB4E05" w:rsidRDefault="00CB4E05" w:rsidP="00746391">
      <w:pPr>
        <w:pStyle w:val="SingleTxt"/>
        <w:numPr>
          <w:ilvl w:val="0"/>
          <w:numId w:val="10"/>
        </w:numPr>
        <w:spacing w:line="240" w:lineRule="exact"/>
        <w:ind w:left="1267"/>
        <w:rPr>
          <w:lang w:val="fr-FR"/>
        </w:rPr>
      </w:pPr>
      <w:r w:rsidRPr="00CB4E05">
        <w:rPr>
          <w:lang w:val="fr-FR"/>
        </w:rPr>
        <w:t>En août 2014, la loi sur les réfugiés a été modifiée et complétée. Un projet de nouvelle disposition relative à la Commission est en cours de rédaction, ainsi qu</w:t>
      </w:r>
      <w:r w:rsidR="008E14FD">
        <w:rPr>
          <w:lang w:val="fr-FR"/>
        </w:rPr>
        <w:t>’</w:t>
      </w:r>
      <w:r w:rsidRPr="00CB4E05">
        <w:rPr>
          <w:lang w:val="fr-FR"/>
        </w:rPr>
        <w:t xml:space="preserve">un </w:t>
      </w:r>
      <w:r w:rsidRPr="00CB4E05">
        <w:rPr>
          <w:lang w:val="fr-FR"/>
        </w:rPr>
        <w:lastRenderedPageBreak/>
        <w:t>règlement sur la procédure d</w:t>
      </w:r>
      <w:r w:rsidR="008E14FD">
        <w:rPr>
          <w:lang w:val="fr-FR"/>
        </w:rPr>
        <w:t>’</w:t>
      </w:r>
      <w:r w:rsidRPr="00CB4E05">
        <w:rPr>
          <w:lang w:val="fr-FR"/>
        </w:rPr>
        <w:t>examen et d</w:t>
      </w:r>
      <w:r w:rsidR="008E14FD">
        <w:rPr>
          <w:lang w:val="fr-FR"/>
        </w:rPr>
        <w:t>’</w:t>
      </w:r>
      <w:r w:rsidRPr="00CB4E05">
        <w:rPr>
          <w:lang w:val="fr-FR"/>
        </w:rPr>
        <w:t>octroi du statut de réfugié, qui consacre les normes fondamentales de protection des réfugiés tout en tenant compte de l</w:t>
      </w:r>
      <w:r w:rsidR="008E14FD">
        <w:rPr>
          <w:lang w:val="fr-FR"/>
        </w:rPr>
        <w:t>’</w:t>
      </w:r>
      <w:r w:rsidRPr="00CB4E05">
        <w:rPr>
          <w:lang w:val="fr-FR"/>
        </w:rPr>
        <w:t>expérience d</w:t>
      </w:r>
      <w:r w:rsidR="008E14FD">
        <w:rPr>
          <w:lang w:val="fr-FR"/>
        </w:rPr>
        <w:t>’</w:t>
      </w:r>
      <w:r w:rsidRPr="00CB4E05">
        <w:rPr>
          <w:lang w:val="fr-FR"/>
        </w:rPr>
        <w:t>autres pays. Avec l</w:t>
      </w:r>
      <w:r w:rsidR="008E14FD">
        <w:rPr>
          <w:lang w:val="fr-FR"/>
        </w:rPr>
        <w:t>’</w:t>
      </w:r>
      <w:r w:rsidRPr="00CB4E05">
        <w:rPr>
          <w:lang w:val="fr-FR"/>
        </w:rPr>
        <w:t>appui direct et la participation du Bureau du Haut-Commissariat des Nations Unies pour les réfugiés (HCR) au Tadjikistan, une base de données centralisée d</w:t>
      </w:r>
      <w:r w:rsidR="008E14FD">
        <w:rPr>
          <w:lang w:val="fr-FR"/>
        </w:rPr>
        <w:t>’</w:t>
      </w:r>
      <w:r w:rsidRPr="00CB4E05">
        <w:rPr>
          <w:lang w:val="fr-FR"/>
        </w:rPr>
        <w:t>enregistrement des réfugiés et des demandeurs d</w:t>
      </w:r>
      <w:r w:rsidR="008E14FD">
        <w:rPr>
          <w:lang w:val="fr-FR"/>
        </w:rPr>
        <w:t>’</w:t>
      </w:r>
      <w:r w:rsidRPr="00CB4E05">
        <w:rPr>
          <w:lang w:val="fr-FR"/>
        </w:rPr>
        <w:t>asile a été créée, ce qui a simplifié considérablement le travail des personnes s</w:t>
      </w:r>
      <w:r w:rsidR="008E14FD">
        <w:rPr>
          <w:lang w:val="fr-FR"/>
        </w:rPr>
        <w:t>’</w:t>
      </w:r>
      <w:r w:rsidRPr="00CB4E05">
        <w:rPr>
          <w:lang w:val="fr-FR"/>
        </w:rPr>
        <w:t>occupant des questions liées aux demandeurs d</w:t>
      </w:r>
      <w:r w:rsidR="008E14FD">
        <w:rPr>
          <w:lang w:val="fr-FR"/>
        </w:rPr>
        <w:t>’</w:t>
      </w:r>
      <w:r w:rsidRPr="00CB4E05">
        <w:rPr>
          <w:lang w:val="fr-FR"/>
        </w:rPr>
        <w:t>asile et aux réfugiés. À ce jour, 2 266 réfugiés et demandeurs d</w:t>
      </w:r>
      <w:r w:rsidR="008E14FD">
        <w:rPr>
          <w:lang w:val="fr-FR"/>
        </w:rPr>
        <w:t>’</w:t>
      </w:r>
      <w:r w:rsidRPr="00CB4E05">
        <w:rPr>
          <w:lang w:val="fr-FR"/>
        </w:rPr>
        <w:t>asile, dont 812 femmes, sont enregistrés dans le pays. Conformément à la loi sur les réfugiés, les réfugiés et les demandeurs d</w:t>
      </w:r>
      <w:r w:rsidR="008E14FD">
        <w:rPr>
          <w:lang w:val="fr-FR"/>
        </w:rPr>
        <w:t>’</w:t>
      </w:r>
      <w:r w:rsidRPr="00CB4E05">
        <w:rPr>
          <w:lang w:val="fr-FR"/>
        </w:rPr>
        <w:t>asile jouissent des mêmes droits à l</w:t>
      </w:r>
      <w:r w:rsidR="008E14FD">
        <w:rPr>
          <w:lang w:val="fr-FR"/>
        </w:rPr>
        <w:t>’</w:t>
      </w:r>
      <w:r w:rsidRPr="00CB4E05">
        <w:rPr>
          <w:lang w:val="fr-FR"/>
        </w:rPr>
        <w:t>éducation, au travail et aux soins de santé que les citoyens tadjiks, sauf pour ce qui concerne l</w:t>
      </w:r>
      <w:r w:rsidR="008E14FD">
        <w:rPr>
          <w:lang w:val="fr-FR"/>
        </w:rPr>
        <w:t>’</w:t>
      </w:r>
      <w:r w:rsidRPr="00CB4E05">
        <w:rPr>
          <w:lang w:val="fr-FR"/>
        </w:rPr>
        <w:t>emploi dans les établissements publics.</w:t>
      </w:r>
    </w:p>
    <w:p w14:paraId="36D8DE2F" w14:textId="63A38662" w:rsidR="00CB4E05" w:rsidRDefault="00CB4E05" w:rsidP="00746391">
      <w:pPr>
        <w:pStyle w:val="SingleTxt"/>
        <w:numPr>
          <w:ilvl w:val="0"/>
          <w:numId w:val="10"/>
        </w:numPr>
        <w:spacing w:line="240" w:lineRule="exact"/>
        <w:ind w:left="1267"/>
        <w:rPr>
          <w:lang w:val="fr-FR"/>
        </w:rPr>
      </w:pPr>
      <w:r w:rsidRPr="00CB4E05">
        <w:rPr>
          <w:lang w:val="fr-FR"/>
        </w:rPr>
        <w:t>Un projet de loi sur l</w:t>
      </w:r>
      <w:r w:rsidR="008E14FD">
        <w:rPr>
          <w:lang w:val="fr-FR"/>
        </w:rPr>
        <w:t>’</w:t>
      </w:r>
      <w:r w:rsidRPr="00CB4E05">
        <w:rPr>
          <w:lang w:val="fr-FR"/>
        </w:rPr>
        <w:t>amnistie dans le cadre de la légalisation de la situation des apatrides et des étrangers séjournant illégalement sur le territoire du Tadjikistan a été élaboré et fait actuellement l</w:t>
      </w:r>
      <w:r w:rsidR="008E14FD">
        <w:rPr>
          <w:lang w:val="fr-FR"/>
        </w:rPr>
        <w:t>’</w:t>
      </w:r>
      <w:r w:rsidRPr="00CB4E05">
        <w:rPr>
          <w:lang w:val="fr-FR"/>
        </w:rPr>
        <w:t>objet d</w:t>
      </w:r>
      <w:r w:rsidR="008E14FD">
        <w:rPr>
          <w:lang w:val="fr-FR"/>
        </w:rPr>
        <w:t>’</w:t>
      </w:r>
      <w:r w:rsidRPr="00CB4E05">
        <w:rPr>
          <w:lang w:val="fr-FR"/>
        </w:rPr>
        <w:t>une harmonisation au sein du Gouvernement.</w:t>
      </w:r>
    </w:p>
    <w:p w14:paraId="112606C2" w14:textId="3FE0558C" w:rsidR="002A37CD" w:rsidRPr="002A37CD" w:rsidRDefault="002A37CD" w:rsidP="002A37CD">
      <w:pPr>
        <w:pStyle w:val="SingleTxt"/>
        <w:spacing w:after="0" w:line="120" w:lineRule="exact"/>
        <w:rPr>
          <w:sz w:val="10"/>
          <w:lang w:val="fr-FR"/>
        </w:rPr>
      </w:pPr>
    </w:p>
    <w:p w14:paraId="38D07AF4" w14:textId="50840CB1" w:rsidR="00CB4E05" w:rsidRDefault="002A37CD" w:rsidP="002A37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B4E05" w:rsidRPr="00CB4E05">
        <w:rPr>
          <w:lang w:val="fr-FR"/>
        </w:rPr>
        <w:t>Mariage et relations familiales</w:t>
      </w:r>
    </w:p>
    <w:p w14:paraId="74E7BE76" w14:textId="3F30C6CA" w:rsidR="002A37CD" w:rsidRPr="002A37CD" w:rsidRDefault="002A37CD" w:rsidP="002A37CD">
      <w:pPr>
        <w:pStyle w:val="SingleTxt"/>
        <w:spacing w:after="0" w:line="120" w:lineRule="exact"/>
        <w:rPr>
          <w:sz w:val="10"/>
          <w:lang w:val="fr-FR"/>
        </w:rPr>
      </w:pPr>
    </w:p>
    <w:p w14:paraId="3109C03A" w14:textId="4F3A29B9" w:rsidR="00CB4E05" w:rsidRDefault="002A37CD" w:rsidP="002A37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B4E05" w:rsidRPr="00CB4E05">
        <w:rPr>
          <w:lang w:val="fr-FR"/>
        </w:rPr>
        <w:t>Paragraphe 34 des observations finales</w:t>
      </w:r>
    </w:p>
    <w:p w14:paraId="055F9067" w14:textId="25FBFCFE" w:rsidR="002A37CD" w:rsidRPr="002A37CD" w:rsidRDefault="002A37CD" w:rsidP="002A37CD">
      <w:pPr>
        <w:pStyle w:val="SingleTxt"/>
        <w:spacing w:after="0" w:line="120" w:lineRule="exact"/>
        <w:rPr>
          <w:sz w:val="10"/>
          <w:lang w:val="fr-FR"/>
        </w:rPr>
      </w:pPr>
    </w:p>
    <w:p w14:paraId="5E2045E3" w14:textId="104655DB" w:rsidR="00CB4E05" w:rsidRPr="00CB4E05" w:rsidRDefault="00CB4E05" w:rsidP="00746391">
      <w:pPr>
        <w:pStyle w:val="SingleTxt"/>
        <w:numPr>
          <w:ilvl w:val="0"/>
          <w:numId w:val="10"/>
        </w:numPr>
        <w:spacing w:line="240" w:lineRule="exact"/>
        <w:ind w:left="1267"/>
        <w:rPr>
          <w:lang w:val="fr-FR"/>
        </w:rPr>
      </w:pPr>
      <w:r w:rsidRPr="00CB4E05">
        <w:rPr>
          <w:lang w:val="fr-FR"/>
        </w:rPr>
        <w:t>De début 2016 à la fin du premier semestre de 2017, 102 affaires pénales pour violence familiale de nature physique ou sexuelle ont été ouvertes</w:t>
      </w:r>
      <w:r w:rsidRPr="00CB4E05">
        <w:rPr>
          <w:b/>
          <w:lang w:val="fr-FR"/>
        </w:rPr>
        <w:t xml:space="preserve"> </w:t>
      </w:r>
      <w:r w:rsidRPr="00CB4E05">
        <w:rPr>
          <w:lang w:val="fr-FR"/>
        </w:rPr>
        <w:t>et ont donné lieu à une enquête</w:t>
      </w:r>
      <w:r w:rsidR="000C2EA1">
        <w:rPr>
          <w:b/>
          <w:lang w:val="fr-FR"/>
        </w:rPr>
        <w:t> </w:t>
      </w:r>
      <w:r w:rsidRPr="00CB4E05">
        <w:rPr>
          <w:lang w:val="fr-FR"/>
        </w:rPr>
        <w:t>; plus précisément, 21 affaires ont été ouvertes en 2016 et 14 au premier semestre de 2017 pour homicide volontaire, 19 en 2016 et 5 au premier semestre de 2017 pour incitation au suicide, 4 en 2016 et au premier semestre de 2017 pour meurtre d</w:t>
      </w:r>
      <w:r w:rsidR="008E14FD">
        <w:rPr>
          <w:lang w:val="fr-FR"/>
        </w:rPr>
        <w:t>’</w:t>
      </w:r>
      <w:r w:rsidRPr="00CB4E05">
        <w:rPr>
          <w:lang w:val="fr-FR"/>
        </w:rPr>
        <w:t>un nouveau-né par sa mère, 19 en 2016 et 14 au premier semestre de 2017 pour viol. Le pays a enregistré 44 cas de viol en 2016, et 26 au premier semestre de 2017. Des affaires pénales ont été ouvertes concernant tous ces faits et une enquête a été menée à leur sujet. Dans 16 affaires pénales, les victimes étaient des petites filles.</w:t>
      </w:r>
    </w:p>
    <w:p w14:paraId="172606FC" w14:textId="69A07323" w:rsidR="00CB4E05" w:rsidRPr="00CB4E05" w:rsidRDefault="00CB4E05" w:rsidP="00746391">
      <w:pPr>
        <w:pStyle w:val="SingleTxt"/>
        <w:numPr>
          <w:ilvl w:val="0"/>
          <w:numId w:val="11"/>
        </w:numPr>
        <w:spacing w:line="240" w:lineRule="exact"/>
        <w:ind w:left="1267"/>
        <w:rPr>
          <w:lang w:val="fr-FR"/>
        </w:rPr>
      </w:pPr>
      <w:r w:rsidRPr="00CB4E05">
        <w:rPr>
          <w:lang w:val="fr-FR"/>
        </w:rPr>
        <w:t>Les actes suicidaires sont une des conséquences négatives de la violence familiale à l</w:t>
      </w:r>
      <w:r w:rsidR="008E14FD">
        <w:rPr>
          <w:lang w:val="fr-FR"/>
        </w:rPr>
        <w:t>’</w:t>
      </w:r>
      <w:r w:rsidRPr="00CB4E05">
        <w:rPr>
          <w:lang w:val="fr-FR"/>
        </w:rPr>
        <w:t>égard des femmes. Ainsi, 169 femmes en 2016 et 118 femmes au premier semestre de 2017 se sont suicidées ou ont tenté de se suicider, ce qui représente respectivement 52,4% et 43,7% de tous les cas de suicide. Au cours de la période considérée, 24 affaires pénales (19 en 2016 et 5 au premier semestre de 2017) concernant des faits d</w:t>
      </w:r>
      <w:r w:rsidR="008E14FD">
        <w:rPr>
          <w:lang w:val="fr-FR"/>
        </w:rPr>
        <w:t>’</w:t>
      </w:r>
      <w:r w:rsidRPr="00CB4E05">
        <w:rPr>
          <w:lang w:val="fr-FR"/>
        </w:rPr>
        <w:t>incitation au suicide ont été ouvertes en vertu de l</w:t>
      </w:r>
      <w:r w:rsidR="008E14FD">
        <w:rPr>
          <w:lang w:val="fr-FR"/>
        </w:rPr>
        <w:t>’</w:t>
      </w:r>
      <w:r w:rsidRPr="00CB4E05">
        <w:rPr>
          <w:lang w:val="fr-FR"/>
        </w:rPr>
        <w:t>article 109 du Code pénal et entendues par les tribunaux.</w:t>
      </w:r>
    </w:p>
    <w:p w14:paraId="28E6AC24" w14:textId="50D3B27A" w:rsidR="00CB4E05" w:rsidRDefault="00CB4E05" w:rsidP="00746391">
      <w:pPr>
        <w:pStyle w:val="SingleTxt"/>
        <w:numPr>
          <w:ilvl w:val="0"/>
          <w:numId w:val="11"/>
        </w:numPr>
        <w:spacing w:line="240" w:lineRule="exact"/>
        <w:ind w:left="1267"/>
        <w:rPr>
          <w:lang w:val="fr-FR"/>
        </w:rPr>
      </w:pPr>
      <w:r w:rsidRPr="00CB4E05">
        <w:rPr>
          <w:lang w:val="fr-FR"/>
        </w:rPr>
        <w:t>Au cours du premier semestre de 2017, les organismes chargés de l</w:t>
      </w:r>
      <w:r w:rsidR="008E14FD">
        <w:rPr>
          <w:lang w:val="fr-FR"/>
        </w:rPr>
        <w:t>’</w:t>
      </w:r>
      <w:r w:rsidRPr="00CB4E05">
        <w:rPr>
          <w:lang w:val="fr-FR"/>
        </w:rPr>
        <w:t>application des lois ont engagé 29 affaires pénales à l</w:t>
      </w:r>
      <w:r w:rsidR="008E14FD">
        <w:rPr>
          <w:lang w:val="fr-FR"/>
        </w:rPr>
        <w:t>’</w:t>
      </w:r>
      <w:r w:rsidRPr="00CB4E05">
        <w:rPr>
          <w:lang w:val="fr-FR"/>
        </w:rPr>
        <w:t>encontre de 51 personnes (contre 12 affaires à l</w:t>
      </w:r>
      <w:r w:rsidR="008E14FD">
        <w:rPr>
          <w:lang w:val="fr-FR"/>
        </w:rPr>
        <w:t>’</w:t>
      </w:r>
      <w:r w:rsidRPr="00CB4E05">
        <w:rPr>
          <w:lang w:val="fr-FR"/>
        </w:rPr>
        <w:t>encontre de 18 personnes au premier semestre de 2016) pour des infractions liées à la traite des personnes, dont 14 à l</w:t>
      </w:r>
      <w:r w:rsidR="008E14FD">
        <w:rPr>
          <w:lang w:val="fr-FR"/>
        </w:rPr>
        <w:t>’</w:t>
      </w:r>
      <w:r w:rsidRPr="00CB4E05">
        <w:rPr>
          <w:lang w:val="fr-FR"/>
        </w:rPr>
        <w:t>encontre de 17 personnes en vertu de l</w:t>
      </w:r>
      <w:r w:rsidR="008E14FD">
        <w:rPr>
          <w:lang w:val="fr-FR"/>
        </w:rPr>
        <w:t>’</w:t>
      </w:r>
      <w:r w:rsidRPr="00CB4E05">
        <w:rPr>
          <w:lang w:val="fr-FR"/>
        </w:rPr>
        <w:t>article 130.1 (traite des personnes) du Code pénal (contre 2 affaires à l</w:t>
      </w:r>
      <w:r w:rsidR="008E14FD">
        <w:rPr>
          <w:lang w:val="fr-FR"/>
        </w:rPr>
        <w:t>’</w:t>
      </w:r>
      <w:r w:rsidR="000C2EA1">
        <w:rPr>
          <w:lang w:val="fr-FR"/>
        </w:rPr>
        <w:t>encontre de 2 </w:t>
      </w:r>
      <w:r w:rsidRPr="00CB4E05">
        <w:rPr>
          <w:lang w:val="fr-FR"/>
        </w:rPr>
        <w:t>personnes au premier semestre de 2016), 6 à l</w:t>
      </w:r>
      <w:r w:rsidR="008E14FD">
        <w:rPr>
          <w:lang w:val="fr-FR"/>
        </w:rPr>
        <w:t>’</w:t>
      </w:r>
      <w:r w:rsidRPr="00CB4E05">
        <w:rPr>
          <w:lang w:val="fr-FR"/>
        </w:rPr>
        <w:t>encontre de 9</w:t>
      </w:r>
      <w:r w:rsidR="008E14FD">
        <w:rPr>
          <w:lang w:val="fr-FR"/>
        </w:rPr>
        <w:t xml:space="preserve"> </w:t>
      </w:r>
      <w:r w:rsidRPr="00CB4E05">
        <w:rPr>
          <w:lang w:val="fr-FR"/>
        </w:rPr>
        <w:t>personnes en vertu de l</w:t>
      </w:r>
      <w:r w:rsidR="008E14FD">
        <w:rPr>
          <w:lang w:val="fr-FR"/>
        </w:rPr>
        <w:t>’</w:t>
      </w:r>
      <w:r w:rsidRPr="00CB4E05">
        <w:rPr>
          <w:lang w:val="fr-FR"/>
        </w:rPr>
        <w:t>article 132 (recrutement d</w:t>
      </w:r>
      <w:r w:rsidR="008E14FD">
        <w:rPr>
          <w:lang w:val="fr-FR"/>
        </w:rPr>
        <w:t>’</w:t>
      </w:r>
      <w:r w:rsidRPr="00CB4E05">
        <w:rPr>
          <w:lang w:val="fr-FR"/>
        </w:rPr>
        <w:t>êtres humains aux fins d</w:t>
      </w:r>
      <w:r w:rsidR="008E14FD">
        <w:rPr>
          <w:lang w:val="fr-FR"/>
        </w:rPr>
        <w:t>’</w:t>
      </w:r>
      <w:r w:rsidRPr="00CB4E05">
        <w:rPr>
          <w:lang w:val="fr-FR"/>
        </w:rPr>
        <w:t>exploitation) du Code pénal (contre 6 affaires à l</w:t>
      </w:r>
      <w:r w:rsidR="008E14FD">
        <w:rPr>
          <w:lang w:val="fr-FR"/>
        </w:rPr>
        <w:t>’</w:t>
      </w:r>
      <w:r w:rsidRPr="00CB4E05">
        <w:rPr>
          <w:lang w:val="fr-FR"/>
        </w:rPr>
        <w:t>encontre de 7 personnes au premier semestre de 2016), 7 affaires pénales à l</w:t>
      </w:r>
      <w:r w:rsidR="008E14FD">
        <w:rPr>
          <w:lang w:val="fr-FR"/>
        </w:rPr>
        <w:t>’</w:t>
      </w:r>
      <w:r w:rsidRPr="00CB4E05">
        <w:rPr>
          <w:lang w:val="fr-FR"/>
        </w:rPr>
        <w:t>encontre de 23 personnes en vertu de l</w:t>
      </w:r>
      <w:r w:rsidR="008E14FD">
        <w:rPr>
          <w:lang w:val="fr-FR"/>
        </w:rPr>
        <w:t>’</w:t>
      </w:r>
      <w:r w:rsidRPr="00CB4E05">
        <w:rPr>
          <w:lang w:val="fr-FR"/>
        </w:rPr>
        <w:t>article 167 (traite des mineurs) du Code pénal (contre 5 affaires à l</w:t>
      </w:r>
      <w:r w:rsidR="008E14FD">
        <w:rPr>
          <w:lang w:val="fr-FR"/>
        </w:rPr>
        <w:t>’</w:t>
      </w:r>
      <w:r w:rsidRPr="00CB4E05">
        <w:rPr>
          <w:lang w:val="fr-FR"/>
        </w:rPr>
        <w:t>encontre de 10 personnes au premier semestre de 2016), et 2 à l</w:t>
      </w:r>
      <w:r w:rsidR="008E14FD">
        <w:rPr>
          <w:lang w:val="fr-FR"/>
        </w:rPr>
        <w:t>’</w:t>
      </w:r>
      <w:r w:rsidRPr="00CB4E05">
        <w:rPr>
          <w:lang w:val="fr-FR"/>
        </w:rPr>
        <w:t>encontre de 2 personnes en vertu de l</w:t>
      </w:r>
      <w:r w:rsidR="008E14FD">
        <w:rPr>
          <w:lang w:val="fr-FR"/>
        </w:rPr>
        <w:t>’</w:t>
      </w:r>
      <w:r w:rsidRPr="00CB4E05">
        <w:rPr>
          <w:lang w:val="fr-FR"/>
        </w:rPr>
        <w:t>article 335.2 (organisation de migrations illégales) du Code pénal (aucune infraction de ce type n</w:t>
      </w:r>
      <w:r w:rsidR="008E14FD">
        <w:rPr>
          <w:lang w:val="fr-FR"/>
        </w:rPr>
        <w:t>’</w:t>
      </w:r>
      <w:r w:rsidRPr="00CB4E05">
        <w:rPr>
          <w:lang w:val="fr-FR"/>
        </w:rPr>
        <w:t>a été enregistrée au premier semestre de 2016). Bien que 20 affaires pénales aient été ouvertes à l</w:t>
      </w:r>
      <w:r w:rsidR="008E14FD">
        <w:rPr>
          <w:lang w:val="fr-FR"/>
        </w:rPr>
        <w:t>’</w:t>
      </w:r>
      <w:r w:rsidRPr="00CB4E05">
        <w:rPr>
          <w:lang w:val="fr-FR"/>
        </w:rPr>
        <w:t>encontre de 26 personnes au premier semestre de 2017 pour traite et recrutement d</w:t>
      </w:r>
      <w:r w:rsidR="008E14FD">
        <w:rPr>
          <w:lang w:val="fr-FR"/>
        </w:rPr>
        <w:t>’</w:t>
      </w:r>
      <w:r w:rsidRPr="00CB4E05">
        <w:rPr>
          <w:lang w:val="fr-FR"/>
        </w:rPr>
        <w:t>êtres humains aux fins d</w:t>
      </w:r>
      <w:r w:rsidR="008E14FD">
        <w:rPr>
          <w:lang w:val="fr-FR"/>
        </w:rPr>
        <w:t>’</w:t>
      </w:r>
      <w:r w:rsidRPr="00CB4E05">
        <w:rPr>
          <w:lang w:val="fr-FR"/>
        </w:rPr>
        <w:t xml:space="preserve">exploitation sexuelle ou autre, toutes ces infractions ont </w:t>
      </w:r>
      <w:r w:rsidRPr="00CB4E05">
        <w:rPr>
          <w:lang w:val="fr-FR"/>
        </w:rPr>
        <w:lastRenderedPageBreak/>
        <w:t>été commises entre 2014 et 2016 à l</w:t>
      </w:r>
      <w:r w:rsidR="008E14FD">
        <w:rPr>
          <w:lang w:val="fr-FR"/>
        </w:rPr>
        <w:t>’</w:t>
      </w:r>
      <w:r w:rsidRPr="00CB4E05">
        <w:rPr>
          <w:lang w:val="fr-FR"/>
        </w:rPr>
        <w:t>extérieur du pays avec la complicité de citoyens des Émirats arabes unis et de la République de Turquie.</w:t>
      </w:r>
    </w:p>
    <w:p w14:paraId="053627CF" w14:textId="603CEEA9" w:rsidR="00AF1CBE" w:rsidRPr="00746391" w:rsidRDefault="00AF1CBE" w:rsidP="00746391">
      <w:pPr>
        <w:pStyle w:val="SingleTxt"/>
        <w:spacing w:after="0" w:line="120" w:lineRule="exact"/>
        <w:rPr>
          <w:sz w:val="10"/>
          <w:lang w:val="fr-FR"/>
        </w:rPr>
      </w:pPr>
    </w:p>
    <w:p w14:paraId="34A3C263" w14:textId="5FA97C5D" w:rsidR="00746391" w:rsidRDefault="00746391" w:rsidP="007463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B4E05" w:rsidRPr="00CB4E05">
        <w:rPr>
          <w:lang w:val="fr-FR"/>
        </w:rPr>
        <w:t>Protocole facultatif à la Convention sur l</w:t>
      </w:r>
      <w:r w:rsidR="008E14FD">
        <w:rPr>
          <w:lang w:val="fr-FR"/>
        </w:rPr>
        <w:t>’</w:t>
      </w:r>
      <w:r w:rsidR="00CB4E05" w:rsidRPr="00CB4E05">
        <w:rPr>
          <w:lang w:val="fr-FR"/>
        </w:rPr>
        <w:t>él</w:t>
      </w:r>
      <w:r>
        <w:rPr>
          <w:lang w:val="fr-FR"/>
        </w:rPr>
        <w:t>imination de toutes les formes de </w:t>
      </w:r>
      <w:r w:rsidR="00CB4E05" w:rsidRPr="00CB4E05">
        <w:rPr>
          <w:lang w:val="fr-FR"/>
        </w:rPr>
        <w:t>discrimination à l</w:t>
      </w:r>
      <w:r w:rsidR="008E14FD">
        <w:rPr>
          <w:lang w:val="fr-FR"/>
        </w:rPr>
        <w:t>’</w:t>
      </w:r>
      <w:r w:rsidR="00CB4E05" w:rsidRPr="00CB4E05">
        <w:rPr>
          <w:lang w:val="fr-FR"/>
        </w:rPr>
        <w:t>égard des femmes et ratification d</w:t>
      </w:r>
      <w:r w:rsidR="008E14FD">
        <w:rPr>
          <w:lang w:val="fr-FR"/>
        </w:rPr>
        <w:t>’</w:t>
      </w:r>
      <w:r w:rsidR="00CB4E05" w:rsidRPr="00CB4E05">
        <w:rPr>
          <w:lang w:val="fr-FR"/>
        </w:rPr>
        <w:t>autres traités</w:t>
      </w:r>
      <w:r>
        <w:rPr>
          <w:lang w:val="fr-FR"/>
        </w:rPr>
        <w:t xml:space="preserve"> </w:t>
      </w:r>
    </w:p>
    <w:p w14:paraId="33085BE5" w14:textId="676DC0F3" w:rsidR="00746391" w:rsidRPr="00746391" w:rsidRDefault="00746391" w:rsidP="007463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14:paraId="3466BC91" w14:textId="406A823D" w:rsidR="00CB4E05" w:rsidRDefault="00746391" w:rsidP="0074639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B4E05" w:rsidRPr="00CB4E05">
        <w:rPr>
          <w:lang w:val="fr-FR"/>
        </w:rPr>
        <w:t>Paragraphes 35 et 39 des observations finales</w:t>
      </w:r>
    </w:p>
    <w:p w14:paraId="5113257E" w14:textId="7578AC10" w:rsidR="00746391" w:rsidRPr="00746391" w:rsidRDefault="00746391" w:rsidP="00746391">
      <w:pPr>
        <w:pStyle w:val="SingleTxt"/>
        <w:spacing w:after="0" w:line="120" w:lineRule="exact"/>
        <w:rPr>
          <w:sz w:val="10"/>
          <w:lang w:val="fr-FR"/>
        </w:rPr>
      </w:pPr>
    </w:p>
    <w:p w14:paraId="645CD832" w14:textId="1E9A4BD3" w:rsidR="00CB4E05" w:rsidRPr="00CB4E05" w:rsidRDefault="00CB4E05" w:rsidP="00746391">
      <w:pPr>
        <w:pStyle w:val="SingleTxt"/>
        <w:numPr>
          <w:ilvl w:val="0"/>
          <w:numId w:val="11"/>
        </w:numPr>
        <w:spacing w:line="240" w:lineRule="exact"/>
        <w:ind w:left="1267"/>
        <w:rPr>
          <w:lang w:val="fr-FR"/>
        </w:rPr>
      </w:pPr>
      <w:r w:rsidRPr="00CB4E05">
        <w:rPr>
          <w:lang w:val="fr-FR"/>
        </w:rPr>
        <w:t>Le Tadjikistan a ratifié le Protocole facultatif à la Convention sur l</w:t>
      </w:r>
      <w:r w:rsidR="008E14FD">
        <w:rPr>
          <w:lang w:val="fr-FR"/>
        </w:rPr>
        <w:t>’</w:t>
      </w:r>
      <w:r w:rsidRPr="00CB4E05">
        <w:rPr>
          <w:lang w:val="fr-FR"/>
        </w:rPr>
        <w:t>élimination de toutes les formes de discrimination à l</w:t>
      </w:r>
      <w:r w:rsidR="008E14FD">
        <w:rPr>
          <w:lang w:val="fr-FR"/>
        </w:rPr>
        <w:t>’</w:t>
      </w:r>
      <w:r w:rsidRPr="00CB4E05">
        <w:rPr>
          <w:lang w:val="fr-FR"/>
        </w:rPr>
        <w:t>égard des femmes</w:t>
      </w:r>
      <w:r w:rsidR="008E14FD">
        <w:rPr>
          <w:lang w:val="fr-FR"/>
        </w:rPr>
        <w:t xml:space="preserve"> </w:t>
      </w:r>
      <w:r w:rsidRPr="00CB4E05">
        <w:rPr>
          <w:lang w:val="fr-FR"/>
        </w:rPr>
        <w:t>en 2014.</w:t>
      </w:r>
    </w:p>
    <w:p w14:paraId="58DEE7FB" w14:textId="542B7F6B" w:rsidR="00CB4E05" w:rsidRPr="00CB4E05" w:rsidRDefault="00CB4E05" w:rsidP="00746391">
      <w:pPr>
        <w:pStyle w:val="SingleTxt"/>
        <w:numPr>
          <w:ilvl w:val="0"/>
          <w:numId w:val="12"/>
        </w:numPr>
        <w:spacing w:line="240" w:lineRule="exact"/>
        <w:ind w:left="1267"/>
        <w:rPr>
          <w:lang w:val="fr-FR"/>
        </w:rPr>
      </w:pPr>
      <w:r w:rsidRPr="00CB4E05">
        <w:rPr>
          <w:lang w:val="fr-FR"/>
        </w:rPr>
        <w:t>En vertu du paragraphe 1 du plan d</w:t>
      </w:r>
      <w:r w:rsidR="008E14FD">
        <w:rPr>
          <w:lang w:val="fr-FR"/>
        </w:rPr>
        <w:t>’</w:t>
      </w:r>
      <w:r w:rsidRPr="00CB4E05">
        <w:rPr>
          <w:lang w:val="fr-FR"/>
        </w:rPr>
        <w:t>action national pour la mise en œuvre des recommandations formulées par les États membres du Conseil des droits de l</w:t>
      </w:r>
      <w:r w:rsidR="008E14FD">
        <w:rPr>
          <w:lang w:val="fr-FR"/>
        </w:rPr>
        <w:t>’</w:t>
      </w:r>
      <w:r w:rsidRPr="00CB4E05">
        <w:rPr>
          <w:lang w:val="fr-FR"/>
        </w:rPr>
        <w:t>homme dans le cadre du deuxième examen périodique universel pour la période 2017-2020, le Tadjikistan s</w:t>
      </w:r>
      <w:r w:rsidR="008E14FD">
        <w:rPr>
          <w:lang w:val="fr-FR"/>
        </w:rPr>
        <w:t>’</w:t>
      </w:r>
      <w:r w:rsidRPr="00CB4E05">
        <w:rPr>
          <w:lang w:val="fr-FR"/>
        </w:rPr>
        <w:t>est engagé à signer la Convention relative aux droits des personnes handicapées en 2017.</w:t>
      </w:r>
    </w:p>
    <w:p w14:paraId="312CDF0A" w14:textId="008B9949" w:rsidR="00CB4E05" w:rsidRPr="004C48B6" w:rsidRDefault="008E14FD" w:rsidP="008E14FD">
      <w:pPr>
        <w:pStyle w:val="SingleTxt"/>
        <w:spacing w:after="0" w:line="240" w:lineRule="auto"/>
        <w:rPr>
          <w:lang w:val="fr-FR"/>
        </w:rPr>
      </w:pPr>
      <w:r>
        <w:rPr>
          <w:noProof/>
          <w:w w:val="100"/>
          <w:lang w:val="fr-FR"/>
        </w:rPr>
        <mc:AlternateContent>
          <mc:Choice Requires="wps">
            <w:drawing>
              <wp:anchor distT="0" distB="0" distL="114300" distR="114300" simplePos="0" relativeHeight="251660288" behindDoc="0" locked="0" layoutInCell="1" allowOverlap="1" wp14:anchorId="5EBAFA8A" wp14:editId="39EDEB8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C6A3E"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B4E05" w:rsidRPr="004C48B6" w:rsidSect="00CB4E05">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2-01T11:59:00Z" w:initials="Start">
    <w:p w14:paraId="39115F0C" w14:textId="77777777" w:rsidR="0015017B" w:rsidRPr="004C48B6" w:rsidRDefault="0015017B">
      <w:pPr>
        <w:pStyle w:val="CommentText"/>
        <w:rPr>
          <w:lang w:val="en-US"/>
        </w:rPr>
      </w:pPr>
      <w:r>
        <w:fldChar w:fldCharType="begin"/>
      </w:r>
      <w:r w:rsidRPr="004C48B6">
        <w:rPr>
          <w:rStyle w:val="CommentReference"/>
          <w:lang w:val="en-US"/>
        </w:rPr>
        <w:instrText xml:space="preserve"> </w:instrText>
      </w:r>
      <w:r w:rsidRPr="004C48B6">
        <w:rPr>
          <w:lang w:val="en-US"/>
        </w:rPr>
        <w:instrText>PAGE \# "'Page: '#'</w:instrText>
      </w:r>
      <w:r w:rsidRPr="004C48B6">
        <w:rPr>
          <w:lang w:val="en-US"/>
        </w:rPr>
        <w:br/>
        <w:instrText>'"</w:instrText>
      </w:r>
      <w:r w:rsidRPr="004C48B6">
        <w:rPr>
          <w:rStyle w:val="CommentReference"/>
          <w:lang w:val="en-US"/>
        </w:rPr>
        <w:instrText xml:space="preserve"> </w:instrText>
      </w:r>
      <w:r>
        <w:fldChar w:fldCharType="end"/>
      </w:r>
      <w:r>
        <w:rPr>
          <w:rStyle w:val="CommentReference"/>
        </w:rPr>
        <w:annotationRef/>
      </w:r>
      <w:r w:rsidRPr="004C48B6">
        <w:rPr>
          <w:lang w:val="en-US"/>
        </w:rPr>
        <w:t>&lt;&lt;ODS JOB NO&gt;&gt;N1736111F&lt;&lt;ODS JOB NO&gt;&gt;</w:t>
      </w:r>
    </w:p>
    <w:p w14:paraId="6A7830EB" w14:textId="77777777" w:rsidR="0015017B" w:rsidRDefault="0015017B">
      <w:pPr>
        <w:pStyle w:val="CommentText"/>
      </w:pPr>
      <w:r>
        <w:t>&lt;&lt;ODS DOC SYMBOL1&gt;&gt;CEDAW/C/TJK/6&lt;&lt;ODS DOC SYMBOL1&gt;&gt;</w:t>
      </w:r>
    </w:p>
    <w:p w14:paraId="1FF984E2" w14:textId="77777777" w:rsidR="0015017B" w:rsidRDefault="0015017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F984E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34E17" w14:textId="77777777" w:rsidR="0015017B" w:rsidRDefault="0015017B" w:rsidP="00101B18">
      <w:pPr>
        <w:spacing w:line="240" w:lineRule="auto"/>
      </w:pPr>
      <w:r>
        <w:separator/>
      </w:r>
    </w:p>
  </w:endnote>
  <w:endnote w:type="continuationSeparator" w:id="0">
    <w:p w14:paraId="2E88937B" w14:textId="77777777" w:rsidR="0015017B" w:rsidRDefault="0015017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5017B" w14:paraId="19CA64D8" w14:textId="77777777" w:rsidTr="002001E6">
      <w:tc>
        <w:tcPr>
          <w:tcW w:w="4920" w:type="dxa"/>
          <w:shd w:val="clear" w:color="auto" w:fill="auto"/>
        </w:tcPr>
        <w:p w14:paraId="4D2EB880" w14:textId="2EDFDB96" w:rsidR="0015017B" w:rsidRPr="002001E6" w:rsidRDefault="0015017B" w:rsidP="002001E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0519">
            <w:rPr>
              <w:b w:val="0"/>
              <w:w w:val="103"/>
              <w:sz w:val="14"/>
            </w:rPr>
            <w:t>17-19400</w:t>
          </w:r>
          <w:r>
            <w:rPr>
              <w:b w:val="0"/>
              <w:w w:val="103"/>
              <w:sz w:val="14"/>
            </w:rPr>
            <w:fldChar w:fldCharType="end"/>
          </w:r>
        </w:p>
      </w:tc>
      <w:tc>
        <w:tcPr>
          <w:tcW w:w="4920" w:type="dxa"/>
          <w:shd w:val="clear" w:color="auto" w:fill="auto"/>
        </w:tcPr>
        <w:p w14:paraId="1468F6A2" w14:textId="314DD1B9" w:rsidR="0015017B" w:rsidRPr="002001E6" w:rsidRDefault="0015017B" w:rsidP="002001E6">
          <w:pPr>
            <w:pStyle w:val="Footer"/>
            <w:rPr>
              <w:w w:val="103"/>
            </w:rPr>
          </w:pPr>
          <w:r>
            <w:rPr>
              <w:w w:val="103"/>
            </w:rPr>
            <w:fldChar w:fldCharType="begin"/>
          </w:r>
          <w:r>
            <w:rPr>
              <w:w w:val="103"/>
            </w:rPr>
            <w:instrText xml:space="preserve"> PAGE  \* Arabic  \* MERGEFORMAT </w:instrText>
          </w:r>
          <w:r>
            <w:rPr>
              <w:w w:val="103"/>
            </w:rPr>
            <w:fldChar w:fldCharType="separate"/>
          </w:r>
          <w:r w:rsidR="00F50519">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50519">
            <w:rPr>
              <w:noProof/>
              <w:w w:val="103"/>
            </w:rPr>
            <w:t>31</w:t>
          </w:r>
          <w:r>
            <w:rPr>
              <w:w w:val="103"/>
            </w:rPr>
            <w:fldChar w:fldCharType="end"/>
          </w:r>
        </w:p>
      </w:tc>
    </w:tr>
  </w:tbl>
  <w:p w14:paraId="048B6A98" w14:textId="77777777" w:rsidR="0015017B" w:rsidRPr="002001E6" w:rsidRDefault="0015017B" w:rsidP="00200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5017B" w14:paraId="6E5DF004" w14:textId="77777777" w:rsidTr="002001E6">
      <w:tc>
        <w:tcPr>
          <w:tcW w:w="4920" w:type="dxa"/>
          <w:shd w:val="clear" w:color="auto" w:fill="auto"/>
        </w:tcPr>
        <w:p w14:paraId="5026E71A" w14:textId="31856B68" w:rsidR="0015017B" w:rsidRPr="002001E6" w:rsidRDefault="0015017B" w:rsidP="002001E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50519">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50519">
            <w:rPr>
              <w:noProof/>
              <w:w w:val="103"/>
            </w:rPr>
            <w:t>31</w:t>
          </w:r>
          <w:r>
            <w:rPr>
              <w:w w:val="103"/>
            </w:rPr>
            <w:fldChar w:fldCharType="end"/>
          </w:r>
        </w:p>
      </w:tc>
      <w:tc>
        <w:tcPr>
          <w:tcW w:w="4920" w:type="dxa"/>
          <w:shd w:val="clear" w:color="auto" w:fill="auto"/>
        </w:tcPr>
        <w:p w14:paraId="7F7CB5F8" w14:textId="07442EA3" w:rsidR="0015017B" w:rsidRPr="002001E6" w:rsidRDefault="0015017B" w:rsidP="002001E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0519">
            <w:rPr>
              <w:b w:val="0"/>
              <w:w w:val="103"/>
              <w:sz w:val="14"/>
            </w:rPr>
            <w:t>17-19400</w:t>
          </w:r>
          <w:r>
            <w:rPr>
              <w:b w:val="0"/>
              <w:w w:val="103"/>
              <w:sz w:val="14"/>
            </w:rPr>
            <w:fldChar w:fldCharType="end"/>
          </w:r>
        </w:p>
      </w:tc>
    </w:tr>
  </w:tbl>
  <w:p w14:paraId="24CDAC49" w14:textId="77777777" w:rsidR="0015017B" w:rsidRPr="002001E6" w:rsidRDefault="0015017B" w:rsidP="00200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A061" w14:textId="77777777" w:rsidR="0015017B" w:rsidRDefault="0015017B">
    <w:pPr>
      <w:pStyle w:val="Footer"/>
    </w:pPr>
  </w:p>
  <w:tbl>
    <w:tblPr>
      <w:tblW w:w="0" w:type="auto"/>
      <w:tblLayout w:type="fixed"/>
      <w:tblLook w:val="0000" w:firstRow="0" w:lastRow="0" w:firstColumn="0" w:lastColumn="0" w:noHBand="0" w:noVBand="0"/>
    </w:tblPr>
    <w:tblGrid>
      <w:gridCol w:w="3758"/>
      <w:gridCol w:w="4920"/>
    </w:tblGrid>
    <w:tr w:rsidR="0015017B" w14:paraId="49B9AC10" w14:textId="77777777" w:rsidTr="002001E6">
      <w:tc>
        <w:tcPr>
          <w:tcW w:w="3758" w:type="dxa"/>
        </w:tcPr>
        <w:p w14:paraId="5A4C5705" w14:textId="5466D28D" w:rsidR="0015017B" w:rsidRDefault="0015017B" w:rsidP="002001E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50519">
            <w:rPr>
              <w:b w:val="0"/>
              <w:sz w:val="20"/>
            </w:rPr>
            <w:t>17-19400 (F)</w:t>
          </w:r>
          <w:r>
            <w:rPr>
              <w:b w:val="0"/>
              <w:sz w:val="20"/>
            </w:rPr>
            <w:fldChar w:fldCharType="end"/>
          </w:r>
          <w:r>
            <w:rPr>
              <w:b w:val="0"/>
              <w:sz w:val="20"/>
            </w:rPr>
            <w:t xml:space="preserve">    010218    020218</w:t>
          </w:r>
        </w:p>
        <w:p w14:paraId="3DB333FC" w14:textId="619E783E" w:rsidR="0015017B" w:rsidRPr="002001E6" w:rsidRDefault="0015017B" w:rsidP="002001E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50519">
            <w:rPr>
              <w:rFonts w:ascii="Barcode 3 of 9 by request" w:hAnsi="Barcode 3 of 9 by request"/>
              <w:b w:val="0"/>
              <w:spacing w:val="0"/>
              <w:w w:val="100"/>
              <w:sz w:val="24"/>
            </w:rPr>
            <w:t>*1719400*</w:t>
          </w:r>
          <w:r>
            <w:rPr>
              <w:rFonts w:ascii="Barcode 3 of 9 by request" w:hAnsi="Barcode 3 of 9 by request"/>
              <w:b w:val="0"/>
              <w:spacing w:val="0"/>
              <w:w w:val="100"/>
              <w:sz w:val="24"/>
            </w:rPr>
            <w:fldChar w:fldCharType="end"/>
          </w:r>
        </w:p>
      </w:tc>
      <w:tc>
        <w:tcPr>
          <w:tcW w:w="4920" w:type="dxa"/>
        </w:tcPr>
        <w:p w14:paraId="1EDE1ADF" w14:textId="77777777" w:rsidR="0015017B" w:rsidRDefault="0015017B" w:rsidP="002001E6">
          <w:pPr>
            <w:pStyle w:val="Footer"/>
            <w:spacing w:line="240" w:lineRule="atLeast"/>
            <w:jc w:val="right"/>
            <w:rPr>
              <w:b w:val="0"/>
              <w:sz w:val="20"/>
            </w:rPr>
          </w:pPr>
          <w:r>
            <w:rPr>
              <w:b w:val="0"/>
              <w:noProof/>
              <w:sz w:val="20"/>
            </w:rPr>
            <w:drawing>
              <wp:inline distT="0" distB="0" distL="0" distR="0" wp14:anchorId="76245AF3" wp14:editId="6BC203D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30AAD7D" w14:textId="77777777" w:rsidR="0015017B" w:rsidRPr="002001E6" w:rsidRDefault="0015017B" w:rsidP="002001E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422EA" w14:textId="77777777" w:rsidR="0015017B" w:rsidRDefault="0015017B" w:rsidP="00101B18">
      <w:pPr>
        <w:spacing w:line="240" w:lineRule="auto"/>
      </w:pPr>
      <w:r>
        <w:separator/>
      </w:r>
    </w:p>
  </w:footnote>
  <w:footnote w:type="continuationSeparator" w:id="0">
    <w:p w14:paraId="348CBEDE" w14:textId="77777777" w:rsidR="0015017B" w:rsidRDefault="0015017B"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5017B" w14:paraId="6525AD6B" w14:textId="77777777" w:rsidTr="002001E6">
      <w:trPr>
        <w:trHeight w:hRule="exact" w:val="864"/>
      </w:trPr>
      <w:tc>
        <w:tcPr>
          <w:tcW w:w="4920" w:type="dxa"/>
          <w:shd w:val="clear" w:color="auto" w:fill="auto"/>
          <w:vAlign w:val="bottom"/>
        </w:tcPr>
        <w:p w14:paraId="2283954A" w14:textId="69E2955F" w:rsidR="0015017B" w:rsidRPr="002001E6" w:rsidRDefault="0015017B" w:rsidP="002001E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0519">
            <w:rPr>
              <w:b/>
              <w:color w:val="000000"/>
            </w:rPr>
            <w:t>CEDAW/C/TJK/6</w:t>
          </w:r>
          <w:r>
            <w:rPr>
              <w:b/>
              <w:color w:val="000000"/>
            </w:rPr>
            <w:fldChar w:fldCharType="end"/>
          </w:r>
        </w:p>
      </w:tc>
      <w:tc>
        <w:tcPr>
          <w:tcW w:w="4920" w:type="dxa"/>
          <w:shd w:val="clear" w:color="auto" w:fill="auto"/>
          <w:vAlign w:val="bottom"/>
        </w:tcPr>
        <w:p w14:paraId="2D02F2B4" w14:textId="77777777" w:rsidR="0015017B" w:rsidRDefault="0015017B" w:rsidP="002001E6">
          <w:pPr>
            <w:pStyle w:val="Header"/>
          </w:pPr>
        </w:p>
      </w:tc>
    </w:tr>
  </w:tbl>
  <w:p w14:paraId="717ACD64" w14:textId="77777777" w:rsidR="0015017B" w:rsidRPr="002001E6" w:rsidRDefault="0015017B" w:rsidP="002001E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5017B" w14:paraId="01A12727" w14:textId="77777777" w:rsidTr="002001E6">
      <w:trPr>
        <w:trHeight w:hRule="exact" w:val="864"/>
      </w:trPr>
      <w:tc>
        <w:tcPr>
          <w:tcW w:w="4920" w:type="dxa"/>
          <w:shd w:val="clear" w:color="auto" w:fill="auto"/>
          <w:vAlign w:val="bottom"/>
        </w:tcPr>
        <w:p w14:paraId="4F7AEB1E" w14:textId="77777777" w:rsidR="0015017B" w:rsidRDefault="0015017B" w:rsidP="002001E6">
          <w:pPr>
            <w:pStyle w:val="Header"/>
          </w:pPr>
        </w:p>
      </w:tc>
      <w:tc>
        <w:tcPr>
          <w:tcW w:w="4920" w:type="dxa"/>
          <w:shd w:val="clear" w:color="auto" w:fill="auto"/>
          <w:vAlign w:val="bottom"/>
        </w:tcPr>
        <w:p w14:paraId="399AC5C0" w14:textId="1347B964" w:rsidR="0015017B" w:rsidRPr="002001E6" w:rsidRDefault="0015017B" w:rsidP="002001E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0519">
            <w:rPr>
              <w:b/>
              <w:color w:val="000000"/>
            </w:rPr>
            <w:t>CEDAW/C/TJK/6</w:t>
          </w:r>
          <w:r>
            <w:rPr>
              <w:b/>
              <w:color w:val="000000"/>
            </w:rPr>
            <w:fldChar w:fldCharType="end"/>
          </w:r>
        </w:p>
      </w:tc>
    </w:tr>
  </w:tbl>
  <w:p w14:paraId="1E67B2D3" w14:textId="77777777" w:rsidR="0015017B" w:rsidRPr="002001E6" w:rsidRDefault="0015017B" w:rsidP="002001E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5017B" w14:paraId="0BE34E4C" w14:textId="77777777" w:rsidTr="002001E6">
      <w:trPr>
        <w:trHeight w:hRule="exact" w:val="864"/>
      </w:trPr>
      <w:tc>
        <w:tcPr>
          <w:tcW w:w="1267" w:type="dxa"/>
          <w:tcBorders>
            <w:bottom w:val="single" w:sz="4" w:space="0" w:color="auto"/>
          </w:tcBorders>
          <w:shd w:val="clear" w:color="auto" w:fill="auto"/>
          <w:vAlign w:val="bottom"/>
        </w:tcPr>
        <w:p w14:paraId="09D1A484" w14:textId="77777777" w:rsidR="0015017B" w:rsidRDefault="0015017B" w:rsidP="002001E6">
          <w:pPr>
            <w:pStyle w:val="Header"/>
            <w:spacing w:after="120"/>
          </w:pPr>
        </w:p>
      </w:tc>
      <w:tc>
        <w:tcPr>
          <w:tcW w:w="2059" w:type="dxa"/>
          <w:tcBorders>
            <w:bottom w:val="single" w:sz="4" w:space="0" w:color="auto"/>
          </w:tcBorders>
          <w:shd w:val="clear" w:color="auto" w:fill="auto"/>
          <w:vAlign w:val="bottom"/>
        </w:tcPr>
        <w:p w14:paraId="4AA1064A" w14:textId="77777777" w:rsidR="0015017B" w:rsidRPr="002001E6" w:rsidRDefault="0015017B" w:rsidP="002001E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E7B1BEA" w14:textId="77777777" w:rsidR="0015017B" w:rsidRDefault="0015017B" w:rsidP="002001E6">
          <w:pPr>
            <w:pStyle w:val="Header"/>
            <w:spacing w:after="120"/>
          </w:pPr>
        </w:p>
      </w:tc>
      <w:tc>
        <w:tcPr>
          <w:tcW w:w="6466" w:type="dxa"/>
          <w:gridSpan w:val="3"/>
          <w:tcBorders>
            <w:bottom w:val="single" w:sz="4" w:space="0" w:color="auto"/>
          </w:tcBorders>
          <w:shd w:val="clear" w:color="auto" w:fill="auto"/>
          <w:vAlign w:val="bottom"/>
        </w:tcPr>
        <w:p w14:paraId="73EAA5B0" w14:textId="77777777" w:rsidR="0015017B" w:rsidRPr="002001E6" w:rsidRDefault="0015017B" w:rsidP="002001E6">
          <w:pPr>
            <w:spacing w:after="80" w:line="240" w:lineRule="auto"/>
            <w:jc w:val="right"/>
            <w:rPr>
              <w:position w:val="-4"/>
            </w:rPr>
          </w:pPr>
          <w:r>
            <w:rPr>
              <w:position w:val="-4"/>
              <w:sz w:val="40"/>
            </w:rPr>
            <w:t>CEDAW</w:t>
          </w:r>
          <w:r>
            <w:rPr>
              <w:position w:val="-4"/>
            </w:rPr>
            <w:t>/C/TJK/6</w:t>
          </w:r>
        </w:p>
      </w:tc>
    </w:tr>
    <w:tr w:rsidR="0015017B" w:rsidRPr="002001E6" w14:paraId="7340BCAB" w14:textId="77777777" w:rsidTr="002001E6">
      <w:trPr>
        <w:trHeight w:hRule="exact" w:val="2880"/>
      </w:trPr>
      <w:tc>
        <w:tcPr>
          <w:tcW w:w="1267" w:type="dxa"/>
          <w:tcBorders>
            <w:top w:val="single" w:sz="4" w:space="0" w:color="auto"/>
            <w:bottom w:val="single" w:sz="12" w:space="0" w:color="auto"/>
          </w:tcBorders>
          <w:shd w:val="clear" w:color="auto" w:fill="auto"/>
        </w:tcPr>
        <w:p w14:paraId="2A3F68BE" w14:textId="77777777" w:rsidR="0015017B" w:rsidRPr="002001E6" w:rsidRDefault="0015017B" w:rsidP="002001E6">
          <w:pPr>
            <w:pStyle w:val="Header"/>
            <w:spacing w:before="120" w:line="240" w:lineRule="auto"/>
            <w:ind w:left="-72"/>
            <w:jc w:val="center"/>
          </w:pPr>
          <w:r>
            <w:t xml:space="preserve">  </w:t>
          </w:r>
          <w:r>
            <w:rPr>
              <w:noProof/>
            </w:rPr>
            <w:drawing>
              <wp:inline distT="0" distB="0" distL="0" distR="0" wp14:anchorId="3E10B117" wp14:editId="21668C6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DA1FE2A" w14:textId="14B962E3" w:rsidR="0015017B" w:rsidRPr="002001E6" w:rsidRDefault="0015017B" w:rsidP="002001E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AA0737E" w14:textId="77777777" w:rsidR="0015017B" w:rsidRPr="004C48B6" w:rsidRDefault="0015017B" w:rsidP="002001E6">
          <w:pPr>
            <w:pStyle w:val="Header"/>
            <w:spacing w:before="109"/>
            <w:rPr>
              <w:lang w:val="fr-FR"/>
            </w:rPr>
          </w:pPr>
        </w:p>
      </w:tc>
      <w:tc>
        <w:tcPr>
          <w:tcW w:w="3110" w:type="dxa"/>
          <w:tcBorders>
            <w:top w:val="single" w:sz="4" w:space="0" w:color="auto"/>
            <w:bottom w:val="single" w:sz="12" w:space="0" w:color="auto"/>
          </w:tcBorders>
          <w:shd w:val="clear" w:color="auto" w:fill="auto"/>
        </w:tcPr>
        <w:p w14:paraId="687B6144" w14:textId="77777777" w:rsidR="0015017B" w:rsidRPr="004C48B6" w:rsidRDefault="0015017B" w:rsidP="002001E6">
          <w:pPr>
            <w:pStyle w:val="Distribution"/>
            <w:rPr>
              <w:color w:val="000000"/>
              <w:lang w:val="fr-FR"/>
            </w:rPr>
          </w:pPr>
          <w:r w:rsidRPr="004C48B6">
            <w:rPr>
              <w:color w:val="000000"/>
              <w:lang w:val="fr-FR"/>
            </w:rPr>
            <w:t>Distr. générale</w:t>
          </w:r>
        </w:p>
        <w:p w14:paraId="604F6C41" w14:textId="77777777" w:rsidR="0015017B" w:rsidRPr="004C48B6" w:rsidRDefault="0015017B" w:rsidP="002001E6">
          <w:pPr>
            <w:pStyle w:val="Publication"/>
            <w:rPr>
              <w:color w:val="000000"/>
              <w:lang w:val="fr-FR"/>
            </w:rPr>
          </w:pPr>
          <w:r w:rsidRPr="004C48B6">
            <w:rPr>
              <w:color w:val="000000"/>
              <w:lang w:val="fr-FR"/>
            </w:rPr>
            <w:t>2 novembre 2017</w:t>
          </w:r>
        </w:p>
        <w:p w14:paraId="61F8F1CC" w14:textId="77777777" w:rsidR="0015017B" w:rsidRPr="004C48B6" w:rsidRDefault="0015017B" w:rsidP="002001E6">
          <w:pPr>
            <w:rPr>
              <w:lang w:val="fr-FR"/>
            </w:rPr>
          </w:pPr>
          <w:r w:rsidRPr="004C48B6">
            <w:rPr>
              <w:lang w:val="fr-FR"/>
            </w:rPr>
            <w:t>Français</w:t>
          </w:r>
        </w:p>
        <w:p w14:paraId="26610670" w14:textId="268F1760" w:rsidR="0015017B" w:rsidRPr="004C48B6" w:rsidRDefault="0015017B" w:rsidP="002001E6">
          <w:pPr>
            <w:pStyle w:val="Original"/>
            <w:rPr>
              <w:color w:val="000000"/>
              <w:lang w:val="fr-FR"/>
            </w:rPr>
          </w:pPr>
          <w:r w:rsidRPr="004C48B6">
            <w:rPr>
              <w:color w:val="000000"/>
              <w:lang w:val="fr-FR"/>
            </w:rPr>
            <w:t>Original</w:t>
          </w:r>
          <w:r>
            <w:rPr>
              <w:color w:val="000000"/>
              <w:lang w:val="fr-FR"/>
            </w:rPr>
            <w:t> :</w:t>
          </w:r>
          <w:r w:rsidRPr="004C48B6">
            <w:rPr>
              <w:color w:val="000000"/>
              <w:lang w:val="fr-FR"/>
            </w:rPr>
            <w:t xml:space="preserve"> russe</w:t>
          </w:r>
        </w:p>
      </w:tc>
    </w:tr>
  </w:tbl>
  <w:p w14:paraId="1592DEFD" w14:textId="77777777" w:rsidR="0015017B" w:rsidRPr="004C48B6" w:rsidRDefault="0015017B" w:rsidP="002001E6">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5290"/>
    <w:multiLevelType w:val="hybridMultilevel"/>
    <w:tmpl w:val="C47AF99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78A5E01"/>
    <w:multiLevelType w:val="singleLevel"/>
    <w:tmpl w:val="7F5691BE"/>
    <w:lvl w:ilvl="0">
      <w:start w:val="1"/>
      <w:numFmt w:val="decimal"/>
      <w:lvlRestart w:val="0"/>
      <w:lvlText w:val="%1."/>
      <w:lvlJc w:val="left"/>
      <w:pPr>
        <w:tabs>
          <w:tab w:val="num" w:pos="475"/>
        </w:tabs>
        <w:ind w:left="0" w:firstLine="0"/>
      </w:pPr>
      <w:rPr>
        <w:w w:val="100"/>
      </w:rPr>
    </w:lvl>
  </w:abstractNum>
  <w:abstractNum w:abstractNumId="3" w15:restartNumberingAfterBreak="0">
    <w:nsid w:val="12D06B23"/>
    <w:multiLevelType w:val="multilevel"/>
    <w:tmpl w:val="1DAA847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1BC2393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B7C240A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2"/>
    <w:lvlOverride w:ilvl="0">
      <w:lvl w:ilvl="0">
        <w:start w:val="1"/>
        <w:numFmt w:val="decimal"/>
        <w:lvlRestart w:val="0"/>
        <w:lvlText w:val="%1."/>
        <w:lvlJc w:val="left"/>
        <w:pPr>
          <w:tabs>
            <w:tab w:val="num" w:pos="475"/>
          </w:tabs>
          <w:ind w:left="0" w:firstLine="0"/>
        </w:pPr>
        <w:rPr>
          <w:w w:val="100"/>
        </w:rPr>
      </w:lvl>
    </w:lvlOverride>
  </w:num>
  <w:num w:numId="8">
    <w:abstractNumId w:val="2"/>
    <w:lvlOverride w:ilvl="0">
      <w:lvl w:ilvl="0">
        <w:start w:val="1"/>
        <w:numFmt w:val="decimal"/>
        <w:lvlRestart w:val="0"/>
        <w:lvlText w:val="%1."/>
        <w:lvlJc w:val="left"/>
        <w:pPr>
          <w:tabs>
            <w:tab w:val="num" w:pos="475"/>
          </w:tabs>
          <w:ind w:left="0" w:firstLine="0"/>
        </w:pPr>
        <w:rPr>
          <w:w w:val="100"/>
        </w:rPr>
      </w:lvl>
    </w:lvlOverride>
  </w:num>
  <w:num w:numId="9">
    <w:abstractNumId w:val="2"/>
    <w:lvlOverride w:ilvl="0">
      <w:lvl w:ilvl="0">
        <w:start w:val="1"/>
        <w:numFmt w:val="decimal"/>
        <w:lvlRestart w:val="0"/>
        <w:lvlText w:val="%1."/>
        <w:lvlJc w:val="left"/>
        <w:pPr>
          <w:tabs>
            <w:tab w:val="num" w:pos="475"/>
          </w:tabs>
          <w:ind w:left="0" w:firstLine="0"/>
        </w:pPr>
        <w:rPr>
          <w:w w:val="100"/>
        </w:rPr>
      </w:lvl>
    </w:lvlOverride>
  </w:num>
  <w:num w:numId="10">
    <w:abstractNumId w:val="2"/>
    <w:lvlOverride w:ilvl="0">
      <w:lvl w:ilvl="0">
        <w:start w:val="1"/>
        <w:numFmt w:val="decimal"/>
        <w:lvlRestart w:val="0"/>
        <w:lvlText w:val="%1."/>
        <w:lvlJc w:val="left"/>
        <w:pPr>
          <w:tabs>
            <w:tab w:val="num" w:pos="475"/>
          </w:tabs>
          <w:ind w:left="0" w:firstLine="0"/>
        </w:pPr>
        <w:rPr>
          <w:w w:val="100"/>
        </w:rPr>
      </w:lvl>
    </w:lvlOverride>
  </w:num>
  <w:num w:numId="11">
    <w:abstractNumId w:val="2"/>
    <w:lvlOverride w:ilvl="0">
      <w:lvl w:ilvl="0">
        <w:start w:val="1"/>
        <w:numFmt w:val="decimal"/>
        <w:lvlRestart w:val="0"/>
        <w:lvlText w:val="%1."/>
        <w:lvlJc w:val="left"/>
        <w:pPr>
          <w:tabs>
            <w:tab w:val="num" w:pos="475"/>
          </w:tabs>
          <w:ind w:left="0" w:firstLine="0"/>
        </w:pPr>
        <w:rPr>
          <w:w w:val="100"/>
        </w:rPr>
      </w:lvl>
    </w:lvlOverride>
  </w:num>
  <w:num w:numId="12">
    <w:abstractNumId w:val="2"/>
    <w:lvlOverride w:ilvl="0">
      <w:lvl w:ilvl="0">
        <w:start w:val="1"/>
        <w:numFmt w:val="decimal"/>
        <w:lvlRestart w:val="0"/>
        <w:lvlText w:val="%1."/>
        <w:lvlJc w:val="left"/>
        <w:pPr>
          <w:tabs>
            <w:tab w:val="num" w:pos="475"/>
          </w:tabs>
          <w:ind w:left="0" w:firstLine="0"/>
        </w:pPr>
        <w:rPr>
          <w:w w:val="100"/>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revisionView w:markup="0"/>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9400*"/>
    <w:docVar w:name="CreationDt" w:val="01/02/2018 11:58 AM"/>
    <w:docVar w:name="DocCategory" w:val="Doc"/>
    <w:docVar w:name="DocType" w:val="Final"/>
    <w:docVar w:name="DutyStation" w:val="New York"/>
    <w:docVar w:name="FooterJN" w:val="17-19400"/>
    <w:docVar w:name="jobn" w:val="17-19400 (F)"/>
    <w:docVar w:name="jobnDT" w:val="17-19400 (F)   010218"/>
    <w:docVar w:name="jobnDTDT" w:val="17-19400 (F)   010218   010218"/>
    <w:docVar w:name="JobNo" w:val="1719400F"/>
    <w:docVar w:name="JobNo2" w:val="1736111F"/>
    <w:docVar w:name="LocalDrive" w:val="0"/>
    <w:docVar w:name="OandT" w:val="JND"/>
    <w:docVar w:name="sss1" w:val="CEDAW/C/TJK/6"/>
    <w:docVar w:name="sss2" w:val="-"/>
    <w:docVar w:name="Symbol1" w:val="CEDAW/C/TJK/6"/>
    <w:docVar w:name="Symbol2" w:val="-"/>
  </w:docVars>
  <w:rsids>
    <w:rsidRoot w:val="00DA2BDA"/>
    <w:rsid w:val="00002584"/>
    <w:rsid w:val="00071D43"/>
    <w:rsid w:val="0008344B"/>
    <w:rsid w:val="00090DE5"/>
    <w:rsid w:val="000935DE"/>
    <w:rsid w:val="000B537E"/>
    <w:rsid w:val="000C2EA1"/>
    <w:rsid w:val="000D5828"/>
    <w:rsid w:val="000D6454"/>
    <w:rsid w:val="000F26CD"/>
    <w:rsid w:val="00101B18"/>
    <w:rsid w:val="00110E43"/>
    <w:rsid w:val="00122A56"/>
    <w:rsid w:val="00131D66"/>
    <w:rsid w:val="00146C6A"/>
    <w:rsid w:val="0015017B"/>
    <w:rsid w:val="00166A0D"/>
    <w:rsid w:val="00197067"/>
    <w:rsid w:val="001A1222"/>
    <w:rsid w:val="001E4B50"/>
    <w:rsid w:val="002001E6"/>
    <w:rsid w:val="002464AD"/>
    <w:rsid w:val="002478A0"/>
    <w:rsid w:val="0025494D"/>
    <w:rsid w:val="00262AEE"/>
    <w:rsid w:val="00263CD9"/>
    <w:rsid w:val="002A0065"/>
    <w:rsid w:val="002A37CD"/>
    <w:rsid w:val="002A6AD0"/>
    <w:rsid w:val="002B3BC5"/>
    <w:rsid w:val="002C2F1F"/>
    <w:rsid w:val="002D5961"/>
    <w:rsid w:val="002D5F93"/>
    <w:rsid w:val="002D7306"/>
    <w:rsid w:val="002F4FC9"/>
    <w:rsid w:val="003003F4"/>
    <w:rsid w:val="00333097"/>
    <w:rsid w:val="00355D69"/>
    <w:rsid w:val="00365A31"/>
    <w:rsid w:val="003E7480"/>
    <w:rsid w:val="00414847"/>
    <w:rsid w:val="004176B9"/>
    <w:rsid w:val="00440C93"/>
    <w:rsid w:val="00452A6A"/>
    <w:rsid w:val="00463FF2"/>
    <w:rsid w:val="00480B84"/>
    <w:rsid w:val="004B35EE"/>
    <w:rsid w:val="004C1A25"/>
    <w:rsid w:val="004C48B6"/>
    <w:rsid w:val="004E37CE"/>
    <w:rsid w:val="00515991"/>
    <w:rsid w:val="005225EC"/>
    <w:rsid w:val="00526BCD"/>
    <w:rsid w:val="00543258"/>
    <w:rsid w:val="0057050D"/>
    <w:rsid w:val="005F1F5F"/>
    <w:rsid w:val="005F6107"/>
    <w:rsid w:val="0061580E"/>
    <w:rsid w:val="00636121"/>
    <w:rsid w:val="00677C1C"/>
    <w:rsid w:val="00692BEB"/>
    <w:rsid w:val="006A444D"/>
    <w:rsid w:val="006C2DE3"/>
    <w:rsid w:val="006E33D0"/>
    <w:rsid w:val="006F18FE"/>
    <w:rsid w:val="007459AE"/>
    <w:rsid w:val="00745EDC"/>
    <w:rsid w:val="00746391"/>
    <w:rsid w:val="007531A5"/>
    <w:rsid w:val="00767A80"/>
    <w:rsid w:val="00771C9E"/>
    <w:rsid w:val="00775E4B"/>
    <w:rsid w:val="007A2E39"/>
    <w:rsid w:val="007E0E85"/>
    <w:rsid w:val="0082045E"/>
    <w:rsid w:val="00821580"/>
    <w:rsid w:val="008222A3"/>
    <w:rsid w:val="00835FE3"/>
    <w:rsid w:val="00843EC7"/>
    <w:rsid w:val="008909E3"/>
    <w:rsid w:val="008C12D6"/>
    <w:rsid w:val="008D4F8E"/>
    <w:rsid w:val="008E14FD"/>
    <w:rsid w:val="00922DB7"/>
    <w:rsid w:val="00926FCD"/>
    <w:rsid w:val="00935932"/>
    <w:rsid w:val="00956C33"/>
    <w:rsid w:val="00991E28"/>
    <w:rsid w:val="00993CB7"/>
    <w:rsid w:val="009C1569"/>
    <w:rsid w:val="00A0283C"/>
    <w:rsid w:val="00A10751"/>
    <w:rsid w:val="00A16CDE"/>
    <w:rsid w:val="00A2494D"/>
    <w:rsid w:val="00A32937"/>
    <w:rsid w:val="00A81ADA"/>
    <w:rsid w:val="00A843A3"/>
    <w:rsid w:val="00A9528A"/>
    <w:rsid w:val="00AB0B7D"/>
    <w:rsid w:val="00AB55DE"/>
    <w:rsid w:val="00AC0C41"/>
    <w:rsid w:val="00AD5F2F"/>
    <w:rsid w:val="00AE3A76"/>
    <w:rsid w:val="00AF1CBE"/>
    <w:rsid w:val="00AF71F5"/>
    <w:rsid w:val="00B22316"/>
    <w:rsid w:val="00B23120"/>
    <w:rsid w:val="00B858D5"/>
    <w:rsid w:val="00B91FA3"/>
    <w:rsid w:val="00BB3921"/>
    <w:rsid w:val="00BC4B3F"/>
    <w:rsid w:val="00BD30EB"/>
    <w:rsid w:val="00BE20A5"/>
    <w:rsid w:val="00BE33E5"/>
    <w:rsid w:val="00C10174"/>
    <w:rsid w:val="00C318D2"/>
    <w:rsid w:val="00C35A7D"/>
    <w:rsid w:val="00C51B55"/>
    <w:rsid w:val="00C93C16"/>
    <w:rsid w:val="00CB06FB"/>
    <w:rsid w:val="00CB4E05"/>
    <w:rsid w:val="00CB63C5"/>
    <w:rsid w:val="00CE378E"/>
    <w:rsid w:val="00D11FEC"/>
    <w:rsid w:val="00D14468"/>
    <w:rsid w:val="00D90034"/>
    <w:rsid w:val="00D905BF"/>
    <w:rsid w:val="00DA2BDA"/>
    <w:rsid w:val="00DB4590"/>
    <w:rsid w:val="00DE4150"/>
    <w:rsid w:val="00DE45B9"/>
    <w:rsid w:val="00DE69E4"/>
    <w:rsid w:val="00E343A6"/>
    <w:rsid w:val="00E43151"/>
    <w:rsid w:val="00E44CC5"/>
    <w:rsid w:val="00E7105F"/>
    <w:rsid w:val="00E85A28"/>
    <w:rsid w:val="00EB5404"/>
    <w:rsid w:val="00EC2FDA"/>
    <w:rsid w:val="00ED1003"/>
    <w:rsid w:val="00ED2B71"/>
    <w:rsid w:val="00ED549D"/>
    <w:rsid w:val="00EE106E"/>
    <w:rsid w:val="00EE37EC"/>
    <w:rsid w:val="00EF1E78"/>
    <w:rsid w:val="00EF2DFA"/>
    <w:rsid w:val="00F0198E"/>
    <w:rsid w:val="00F334CB"/>
    <w:rsid w:val="00F5012D"/>
    <w:rsid w:val="00F50519"/>
    <w:rsid w:val="00F5276D"/>
    <w:rsid w:val="00F67D88"/>
    <w:rsid w:val="00F73093"/>
    <w:rsid w:val="00F80299"/>
    <w:rsid w:val="00F9014D"/>
    <w:rsid w:val="00FA3D05"/>
    <w:rsid w:val="00FA5CC9"/>
    <w:rsid w:val="00FB0A2C"/>
    <w:rsid w:val="00FB4729"/>
    <w:rsid w:val="00FC59F1"/>
    <w:rsid w:val="00FC7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19B70F"/>
  <w15:chartTrackingRefBased/>
  <w15:docId w15:val="{D1F5DA4E-35EC-4472-8F1B-F86298C9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0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2D7306"/>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D7306"/>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D7306"/>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D730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D730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D730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D730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D730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D730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2D7306"/>
    <w:pPr>
      <w:keepNext/>
      <w:keepLines/>
      <w:suppressAutoHyphens/>
      <w:spacing w:line="270" w:lineRule="exact"/>
      <w:outlineLvl w:val="0"/>
    </w:pPr>
    <w:rPr>
      <w:b/>
      <w:sz w:val="24"/>
    </w:rPr>
  </w:style>
  <w:style w:type="paragraph" w:customStyle="1" w:styleId="HCH">
    <w:name w:val="_ H _CH"/>
    <w:basedOn w:val="H1"/>
    <w:next w:val="SingleTxt"/>
    <w:qFormat/>
    <w:rsid w:val="002D7306"/>
    <w:pPr>
      <w:spacing w:line="300" w:lineRule="exact"/>
    </w:pPr>
    <w:rPr>
      <w:spacing w:val="-2"/>
      <w:sz w:val="28"/>
    </w:rPr>
  </w:style>
  <w:style w:type="paragraph" w:customStyle="1" w:styleId="HM">
    <w:name w:val="_ H __M"/>
    <w:basedOn w:val="HCH"/>
    <w:next w:val="Normal"/>
    <w:qFormat/>
    <w:rsid w:val="002D7306"/>
    <w:pPr>
      <w:spacing w:line="360" w:lineRule="exact"/>
    </w:pPr>
    <w:rPr>
      <w:spacing w:val="-3"/>
      <w:w w:val="99"/>
      <w:sz w:val="34"/>
    </w:rPr>
  </w:style>
  <w:style w:type="paragraph" w:customStyle="1" w:styleId="H23">
    <w:name w:val="_ H_2/3"/>
    <w:basedOn w:val="H1"/>
    <w:next w:val="SingleTxt"/>
    <w:qFormat/>
    <w:rsid w:val="002D7306"/>
    <w:pPr>
      <w:spacing w:line="240" w:lineRule="exact"/>
      <w:outlineLvl w:val="1"/>
    </w:pPr>
    <w:rPr>
      <w:spacing w:val="2"/>
      <w:sz w:val="20"/>
    </w:rPr>
  </w:style>
  <w:style w:type="paragraph" w:customStyle="1" w:styleId="H4">
    <w:name w:val="_ H_4"/>
    <w:basedOn w:val="Normal"/>
    <w:next w:val="SingleTxt"/>
    <w:qFormat/>
    <w:rsid w:val="002D7306"/>
    <w:pPr>
      <w:keepNext/>
      <w:keepLines/>
      <w:tabs>
        <w:tab w:val="right" w:pos="360"/>
      </w:tabs>
      <w:suppressAutoHyphens/>
      <w:outlineLvl w:val="3"/>
    </w:pPr>
    <w:rPr>
      <w:i/>
      <w:spacing w:val="3"/>
    </w:rPr>
  </w:style>
  <w:style w:type="paragraph" w:customStyle="1" w:styleId="H56">
    <w:name w:val="_ H_5/6"/>
    <w:basedOn w:val="Normal"/>
    <w:next w:val="Normal"/>
    <w:qFormat/>
    <w:rsid w:val="002D730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D730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D730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D7306"/>
    <w:pPr>
      <w:spacing w:line="540" w:lineRule="exact"/>
    </w:pPr>
    <w:rPr>
      <w:spacing w:val="-8"/>
      <w:w w:val="96"/>
      <w:sz w:val="57"/>
    </w:rPr>
  </w:style>
  <w:style w:type="paragraph" w:customStyle="1" w:styleId="SS">
    <w:name w:val="__S_S"/>
    <w:basedOn w:val="HCH"/>
    <w:next w:val="Normal"/>
    <w:qFormat/>
    <w:rsid w:val="002D7306"/>
    <w:pPr>
      <w:ind w:left="1267" w:right="1267"/>
    </w:pPr>
  </w:style>
  <w:style w:type="paragraph" w:customStyle="1" w:styleId="SingleTxt">
    <w:name w:val="__Single Txt"/>
    <w:basedOn w:val="Normal"/>
    <w:qFormat/>
    <w:rsid w:val="002D73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D730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2D73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2D730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2D73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D730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2D7306"/>
    <w:pPr>
      <w:numPr>
        <w:numId w:val="1"/>
      </w:numPr>
      <w:spacing w:after="120"/>
      <w:ind w:right="1267"/>
      <w:jc w:val="both"/>
    </w:pPr>
  </w:style>
  <w:style w:type="paragraph" w:customStyle="1" w:styleId="Bullet2">
    <w:name w:val="Bullet 2"/>
    <w:basedOn w:val="Normal"/>
    <w:qFormat/>
    <w:rsid w:val="002D7306"/>
    <w:pPr>
      <w:numPr>
        <w:numId w:val="2"/>
      </w:numPr>
      <w:spacing w:after="120"/>
      <w:ind w:right="1264"/>
      <w:jc w:val="both"/>
    </w:pPr>
  </w:style>
  <w:style w:type="paragraph" w:customStyle="1" w:styleId="Bullet3">
    <w:name w:val="Bullet 3"/>
    <w:basedOn w:val="SingleTxt"/>
    <w:qFormat/>
    <w:rsid w:val="002D730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D730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2D730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2D7306"/>
    <w:pPr>
      <w:spacing w:line="210" w:lineRule="exact"/>
    </w:pPr>
    <w:rPr>
      <w:sz w:val="17"/>
      <w:szCs w:val="20"/>
    </w:rPr>
  </w:style>
  <w:style w:type="character" w:customStyle="1" w:styleId="EndnoteTextChar">
    <w:name w:val="Endnote Text Char"/>
    <w:link w:val="EndnoteText"/>
    <w:uiPriority w:val="99"/>
    <w:semiHidden/>
    <w:rsid w:val="002D730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2D730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2D7306"/>
    <w:rPr>
      <w:rFonts w:ascii="Times New Roman" w:eastAsiaTheme="minorHAnsi" w:hAnsi="Times New Roman" w:cs="Times New Roman"/>
      <w:b/>
      <w:spacing w:val="3"/>
      <w:w w:val="105"/>
      <w:sz w:val="17"/>
      <w:lang w:val="en-US" w:eastAsia="en-US"/>
    </w:rPr>
  </w:style>
  <w:style w:type="character" w:styleId="FootnoteReference">
    <w:name w:val="footnote reference"/>
    <w:aliases w:val="4_G,Ref,de nota al pie,Footnote Reference Number"/>
    <w:qFormat/>
    <w:rsid w:val="002D730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2D7306"/>
    <w:pPr>
      <w:spacing w:line="210" w:lineRule="exact"/>
    </w:pPr>
    <w:rPr>
      <w:sz w:val="17"/>
      <w:szCs w:val="20"/>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link w:val="FootnoteText"/>
    <w:rsid w:val="002D7306"/>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2D730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2D730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2D730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D730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D730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D730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D730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D730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D730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D730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D730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2D7306"/>
    <w:rPr>
      <w:sz w:val="14"/>
    </w:rPr>
  </w:style>
  <w:style w:type="paragraph" w:styleId="ListParagraph">
    <w:name w:val="List Paragraph"/>
    <w:basedOn w:val="Normal"/>
    <w:uiPriority w:val="34"/>
    <w:rsid w:val="002D7306"/>
    <w:pPr>
      <w:ind w:left="720"/>
      <w:contextualSpacing/>
    </w:pPr>
  </w:style>
  <w:style w:type="paragraph" w:styleId="NoSpacing">
    <w:name w:val="No Spacing"/>
    <w:uiPriority w:val="1"/>
    <w:rsid w:val="002D730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2D730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2D730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2D730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D7306"/>
    <w:pPr>
      <w:tabs>
        <w:tab w:val="right" w:pos="9965"/>
      </w:tabs>
      <w:spacing w:line="210" w:lineRule="exact"/>
    </w:pPr>
    <w:rPr>
      <w:spacing w:val="5"/>
      <w:w w:val="104"/>
      <w:sz w:val="17"/>
    </w:rPr>
  </w:style>
  <w:style w:type="paragraph" w:customStyle="1" w:styleId="SmallX">
    <w:name w:val="SmallX"/>
    <w:basedOn w:val="Small"/>
    <w:next w:val="Normal"/>
    <w:qFormat/>
    <w:rsid w:val="002D7306"/>
    <w:pPr>
      <w:spacing w:line="180" w:lineRule="exact"/>
      <w:jc w:val="right"/>
    </w:pPr>
    <w:rPr>
      <w:spacing w:val="6"/>
      <w:w w:val="106"/>
      <w:sz w:val="14"/>
    </w:rPr>
  </w:style>
  <w:style w:type="character" w:styleId="Strong">
    <w:name w:val="Strong"/>
    <w:uiPriority w:val="22"/>
    <w:rsid w:val="002D7306"/>
    <w:rPr>
      <w:b/>
      <w:bCs/>
    </w:rPr>
  </w:style>
  <w:style w:type="paragraph" w:customStyle="1" w:styleId="Style1">
    <w:name w:val="Style1"/>
    <w:basedOn w:val="Normal"/>
    <w:qFormat/>
    <w:rsid w:val="002D7306"/>
  </w:style>
  <w:style w:type="paragraph" w:customStyle="1" w:styleId="Style2">
    <w:name w:val="Style2"/>
    <w:basedOn w:val="Normal"/>
    <w:autoRedefine/>
    <w:qFormat/>
    <w:rsid w:val="002D7306"/>
  </w:style>
  <w:style w:type="paragraph" w:customStyle="1" w:styleId="TitleHCH">
    <w:name w:val="Title_H_CH"/>
    <w:basedOn w:val="H1"/>
    <w:next w:val="Normal"/>
    <w:qFormat/>
    <w:rsid w:val="002D73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2D73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2D7306"/>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2001E6"/>
    <w:rPr>
      <w:sz w:val="16"/>
      <w:szCs w:val="16"/>
    </w:rPr>
  </w:style>
  <w:style w:type="paragraph" w:styleId="CommentText">
    <w:name w:val="annotation text"/>
    <w:basedOn w:val="Normal"/>
    <w:link w:val="CommentTextChar"/>
    <w:uiPriority w:val="99"/>
    <w:semiHidden/>
    <w:unhideWhenUsed/>
    <w:rsid w:val="002001E6"/>
    <w:pPr>
      <w:spacing w:line="240" w:lineRule="auto"/>
    </w:pPr>
    <w:rPr>
      <w:szCs w:val="20"/>
    </w:rPr>
  </w:style>
  <w:style w:type="character" w:customStyle="1" w:styleId="CommentTextChar">
    <w:name w:val="Comment Text Char"/>
    <w:basedOn w:val="DefaultParagraphFont"/>
    <w:link w:val="CommentText"/>
    <w:uiPriority w:val="99"/>
    <w:semiHidden/>
    <w:rsid w:val="002001E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001E6"/>
    <w:rPr>
      <w:b/>
      <w:bCs/>
    </w:rPr>
  </w:style>
  <w:style w:type="character" w:customStyle="1" w:styleId="CommentSubjectChar">
    <w:name w:val="Comment Subject Char"/>
    <w:basedOn w:val="CommentTextChar"/>
    <w:link w:val="CommentSubject"/>
    <w:uiPriority w:val="99"/>
    <w:semiHidden/>
    <w:rsid w:val="002001E6"/>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4C48B6"/>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SingleTxtG">
    <w:name w:val="_ Single Txt_G"/>
    <w:basedOn w:val="Normal"/>
    <w:qFormat/>
    <w:rsid w:val="004C48B6"/>
    <w:pPr>
      <w:suppressAutoHyphens/>
      <w:spacing w:after="120" w:line="240" w:lineRule="atLeast"/>
      <w:ind w:left="1134" w:right="1134"/>
      <w:jc w:val="both"/>
    </w:pPr>
    <w:rPr>
      <w:rFonts w:eastAsia="Times New Roman"/>
      <w:spacing w:val="0"/>
      <w:w w:val="100"/>
      <w:kern w:val="0"/>
      <w:szCs w:val="20"/>
      <w:lang w:val="en-GB"/>
    </w:rPr>
  </w:style>
  <w:style w:type="paragraph" w:customStyle="1" w:styleId="Bullet1G">
    <w:name w:val="_Bullet 1_G"/>
    <w:basedOn w:val="Normal"/>
    <w:qFormat/>
    <w:rsid w:val="004C48B6"/>
    <w:pPr>
      <w:numPr>
        <w:numId w:val="5"/>
      </w:numPr>
      <w:suppressAutoHyphens/>
      <w:spacing w:after="120" w:line="240" w:lineRule="atLeast"/>
      <w:ind w:right="1134"/>
      <w:jc w:val="both"/>
    </w:pPr>
    <w:rPr>
      <w:rFonts w:eastAsia="Times New Roman"/>
      <w:spacing w:val="0"/>
      <w:w w:val="100"/>
      <w:kern w:val="0"/>
      <w:szCs w:val="20"/>
      <w:lang w:val="en-GB"/>
    </w:rPr>
  </w:style>
  <w:style w:type="character" w:styleId="Hyperlink">
    <w:name w:val="Hyperlink"/>
    <w:semiHidden/>
    <w:rsid w:val="004C48B6"/>
    <w:rPr>
      <w:color w:val="auto"/>
      <w:u w:val="none"/>
    </w:rPr>
  </w:style>
  <w:style w:type="character" w:customStyle="1" w:styleId="preferred">
    <w:name w:val="preferred"/>
    <w:basedOn w:val="DefaultParagraphFont"/>
    <w:rsid w:val="004C48B6"/>
  </w:style>
  <w:style w:type="character" w:customStyle="1" w:styleId="st">
    <w:name w:val="st"/>
    <w:basedOn w:val="DefaultParagraphFont"/>
    <w:rsid w:val="004C48B6"/>
  </w:style>
  <w:style w:type="paragraph" w:customStyle="1" w:styleId="std">
    <w:name w:val="std"/>
    <w:basedOn w:val="Normal"/>
    <w:rsid w:val="004C48B6"/>
    <w:pPr>
      <w:spacing w:line="240" w:lineRule="auto"/>
    </w:pPr>
    <w:rPr>
      <w:rFonts w:eastAsia="Times New Roman"/>
      <w:spacing w:val="0"/>
      <w:w w:val="100"/>
      <w:kern w:val="0"/>
      <w:sz w:val="24"/>
      <w:szCs w:val="24"/>
      <w:lang w:val="fr-FR" w:eastAsia="fr-FR"/>
    </w:rPr>
  </w:style>
  <w:style w:type="character" w:styleId="HTMLCite">
    <w:name w:val="HTML Cite"/>
    <w:basedOn w:val="DefaultParagraphFont"/>
    <w:uiPriority w:val="99"/>
    <w:semiHidden/>
    <w:unhideWhenUsed/>
    <w:rsid w:val="004C48B6"/>
    <w:rPr>
      <w:i/>
      <w:iCs/>
    </w:rPr>
  </w:style>
  <w:style w:type="character" w:styleId="Emphasis">
    <w:name w:val="Emphasis"/>
    <w:basedOn w:val="DefaultParagraphFont"/>
    <w:uiPriority w:val="20"/>
    <w:qFormat/>
    <w:rsid w:val="004C48B6"/>
    <w:rPr>
      <w:i/>
      <w:iCs/>
    </w:rPr>
  </w:style>
  <w:style w:type="character" w:customStyle="1" w:styleId="fr">
    <w:name w:val="fr"/>
    <w:basedOn w:val="DefaultParagraphFont"/>
    <w:rsid w:val="004C48B6"/>
  </w:style>
  <w:style w:type="character" w:styleId="Mention">
    <w:name w:val="Mention"/>
    <w:basedOn w:val="DefaultParagraphFont"/>
    <w:uiPriority w:val="99"/>
    <w:semiHidden/>
    <w:unhideWhenUsed/>
    <w:rsid w:val="004C48B6"/>
    <w:rPr>
      <w:color w:val="2B579A"/>
      <w:shd w:val="clear" w:color="auto" w:fill="E6E6E6"/>
    </w:rPr>
  </w:style>
  <w:style w:type="character" w:styleId="UnresolvedMention">
    <w:name w:val="Unresolved Mention"/>
    <w:basedOn w:val="DefaultParagraphFont"/>
    <w:uiPriority w:val="99"/>
    <w:semiHidden/>
    <w:unhideWhenUsed/>
    <w:rsid w:val="004C48B6"/>
    <w:rPr>
      <w:color w:val="808080"/>
      <w:shd w:val="clear" w:color="auto" w:fill="E6E6E6"/>
    </w:rPr>
  </w:style>
  <w:style w:type="character" w:styleId="FollowedHyperlink">
    <w:name w:val="FollowedHyperlink"/>
    <w:basedOn w:val="DefaultParagraphFont"/>
    <w:uiPriority w:val="99"/>
    <w:semiHidden/>
    <w:unhideWhenUsed/>
    <w:rsid w:val="008E14F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hit.t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TJK/CO/4-5"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16184</Words>
  <Characters>89014</Characters>
  <Application>Microsoft Office Word</Application>
  <DocSecurity>0</DocSecurity>
  <Lines>741</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Beatrice Octavie</cp:lastModifiedBy>
  <cp:revision>4</cp:revision>
  <cp:lastPrinted>2018-02-02T21:58:00Z</cp:lastPrinted>
  <dcterms:created xsi:type="dcterms:W3CDTF">2018-02-02T21:40:00Z</dcterms:created>
  <dcterms:modified xsi:type="dcterms:W3CDTF">2018-02-02T21:58:00Z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1719400F</vt:lpwstr>
  </property>
  <property fmtid="{D5CDD505-2E9C-101B-9397-08002B2CF9AE}" pid="3" name="ODSRefJobNo">
    <vt:lpwstr>1736111F</vt:lpwstr>
  </property>
  <property fmtid="{D5CDD505-2E9C-101B-9397-08002B2CF9AE}" pid="4" name="Symbol1">
    <vt:lpwstr>CEDAW/C/TJK/6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JND</vt:lpwstr>
  </property>
  <property fmtid="{D5CDD505-2E9C-101B-9397-08002B2CF9AE}" pid="12" name="Distribution">
    <vt:lpwstr>générale</vt:lpwstr>
  </property>
  <property fmtid="{D5CDD505-2E9C-101B-9397-08002B2CF9AE}" pid="13" name="Publication Date">
    <vt:lpwstr>2 novembre 2017</vt:lpwstr>
  </property>
  <property fmtid="{D5CDD505-2E9C-101B-9397-08002B2CF9AE}" pid="14" name="Release Date">
    <vt:lpwstr/>
  </property>
  <property fmtid="{D5CDD505-2E9C-101B-9397-08002B2CF9AE}" pid="15" name="Title1">
    <vt:lpwstr>		Sixième rapport périodique, attendu en 2017, soumis par le Tadjikistan en application de l’article 18 de la Convention*_x000d_</vt:lpwstr>
  </property>
</Properties>
</file>