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F9242D" w14:paraId="37FC8F57" w14:textId="77777777" w:rsidTr="00413AD0">
        <w:trPr>
          <w:trHeight w:val="851"/>
        </w:trPr>
        <w:tc>
          <w:tcPr>
            <w:tcW w:w="1259" w:type="dxa"/>
            <w:tcBorders>
              <w:top w:val="nil"/>
              <w:left w:val="nil"/>
              <w:bottom w:val="single" w:sz="4" w:space="0" w:color="auto"/>
              <w:right w:val="nil"/>
            </w:tcBorders>
          </w:tcPr>
          <w:p w14:paraId="0B76BC12" w14:textId="77777777" w:rsidR="006F0959" w:rsidRPr="00F9242D" w:rsidRDefault="006F0959" w:rsidP="00D21089">
            <w:pPr>
              <w:spacing w:after="80" w:line="340" w:lineRule="exact"/>
            </w:pPr>
          </w:p>
        </w:tc>
        <w:tc>
          <w:tcPr>
            <w:tcW w:w="2236" w:type="dxa"/>
            <w:tcBorders>
              <w:top w:val="nil"/>
              <w:left w:val="nil"/>
              <w:bottom w:val="single" w:sz="4" w:space="0" w:color="auto"/>
              <w:right w:val="nil"/>
            </w:tcBorders>
            <w:vAlign w:val="bottom"/>
          </w:tcPr>
          <w:p w14:paraId="6519ACFE" w14:textId="77777777" w:rsidR="006F0959" w:rsidRPr="00F9242D" w:rsidRDefault="006F0959" w:rsidP="00D21089">
            <w:pPr>
              <w:spacing w:after="80" w:line="340" w:lineRule="exact"/>
              <w:rPr>
                <w:sz w:val="28"/>
                <w:szCs w:val="28"/>
              </w:rPr>
            </w:pPr>
            <w:r w:rsidRPr="00F9242D">
              <w:rPr>
                <w:sz w:val="28"/>
                <w:szCs w:val="28"/>
              </w:rPr>
              <w:t>United Nations</w:t>
            </w:r>
          </w:p>
        </w:tc>
        <w:tc>
          <w:tcPr>
            <w:tcW w:w="6144" w:type="dxa"/>
            <w:gridSpan w:val="2"/>
            <w:tcBorders>
              <w:top w:val="nil"/>
              <w:left w:val="nil"/>
              <w:bottom w:val="single" w:sz="4" w:space="0" w:color="auto"/>
              <w:right w:val="nil"/>
            </w:tcBorders>
            <w:vAlign w:val="bottom"/>
          </w:tcPr>
          <w:p w14:paraId="250E7DCB" w14:textId="52BA8FF5" w:rsidR="006F0959" w:rsidRPr="00F9242D" w:rsidRDefault="0046605F" w:rsidP="00BC0F92">
            <w:pPr>
              <w:suppressAutoHyphens w:val="0"/>
              <w:spacing w:after="20"/>
              <w:jc w:val="right"/>
            </w:pPr>
            <w:r w:rsidRPr="00F9242D">
              <w:rPr>
                <w:sz w:val="40"/>
              </w:rPr>
              <w:t>CRC</w:t>
            </w:r>
            <w:r w:rsidRPr="00F9242D">
              <w:t>/C/</w:t>
            </w:r>
            <w:r w:rsidR="00A84310">
              <w:t>83</w:t>
            </w:r>
            <w:r w:rsidRPr="00F9242D">
              <w:t>/D/</w:t>
            </w:r>
            <w:r w:rsidR="00A84310">
              <w:t>60</w:t>
            </w:r>
            <w:r w:rsidRPr="00F9242D">
              <w:t>/201</w:t>
            </w:r>
            <w:r w:rsidR="00A84310">
              <w:t>8</w:t>
            </w:r>
          </w:p>
        </w:tc>
      </w:tr>
      <w:tr w:rsidR="006F0959" w:rsidRPr="00F9242D" w14:paraId="78021CC6" w14:textId="77777777" w:rsidTr="00413AD0">
        <w:trPr>
          <w:trHeight w:val="2835"/>
        </w:trPr>
        <w:tc>
          <w:tcPr>
            <w:tcW w:w="1259" w:type="dxa"/>
            <w:tcBorders>
              <w:top w:val="single" w:sz="4" w:space="0" w:color="auto"/>
              <w:left w:val="nil"/>
              <w:bottom w:val="single" w:sz="12" w:space="0" w:color="auto"/>
              <w:right w:val="nil"/>
            </w:tcBorders>
          </w:tcPr>
          <w:p w14:paraId="6F13D817" w14:textId="77777777" w:rsidR="006F0959" w:rsidRPr="00F9242D" w:rsidRDefault="006F0959" w:rsidP="00D21089">
            <w:pPr>
              <w:spacing w:before="120"/>
              <w:jc w:val="center"/>
            </w:pPr>
            <w:r w:rsidRPr="00F9242D">
              <w:rPr>
                <w:noProof/>
                <w:lang w:val="en-US" w:eastAsia="zh-CN"/>
              </w:rPr>
              <w:drawing>
                <wp:inline distT="0" distB="0" distL="0" distR="0" wp14:anchorId="533F88E8" wp14:editId="47740A5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755E23D" w14:textId="77777777" w:rsidR="006F0959" w:rsidRPr="00F9242D" w:rsidRDefault="006F0959" w:rsidP="00D21089">
            <w:pPr>
              <w:spacing w:before="120" w:line="420" w:lineRule="exact"/>
              <w:rPr>
                <w:b/>
                <w:sz w:val="40"/>
                <w:szCs w:val="40"/>
              </w:rPr>
            </w:pPr>
            <w:r w:rsidRPr="00F9242D">
              <w:rPr>
                <w:b/>
                <w:sz w:val="40"/>
                <w:szCs w:val="40"/>
              </w:rPr>
              <w:t>Convention on the</w:t>
            </w:r>
            <w:r w:rsidRPr="00F9242D">
              <w:rPr>
                <w:b/>
                <w:sz w:val="40"/>
                <w:szCs w:val="40"/>
              </w:rPr>
              <w:br/>
              <w:t>Rights of the Child</w:t>
            </w:r>
          </w:p>
        </w:tc>
        <w:tc>
          <w:tcPr>
            <w:tcW w:w="2930" w:type="dxa"/>
            <w:tcBorders>
              <w:top w:val="single" w:sz="4" w:space="0" w:color="auto"/>
              <w:left w:val="nil"/>
              <w:bottom w:val="single" w:sz="12" w:space="0" w:color="auto"/>
              <w:right w:val="nil"/>
            </w:tcBorders>
          </w:tcPr>
          <w:p w14:paraId="64D52FF9" w14:textId="1A7391CF" w:rsidR="006F0959" w:rsidRPr="00F9242D" w:rsidRDefault="00F54AE9" w:rsidP="0046605F">
            <w:pPr>
              <w:suppressAutoHyphens w:val="0"/>
              <w:spacing w:before="240" w:line="240" w:lineRule="exact"/>
            </w:pPr>
            <w:r w:rsidRPr="00F9242D">
              <w:t xml:space="preserve">Distr.: </w:t>
            </w:r>
            <w:r w:rsidR="00BC0F92">
              <w:t xml:space="preserve">General </w:t>
            </w:r>
          </w:p>
          <w:p w14:paraId="619E6049" w14:textId="2B50DC7F" w:rsidR="0046605F" w:rsidRDefault="000E7668" w:rsidP="00F56543">
            <w:pPr>
              <w:suppressAutoHyphens w:val="0"/>
            </w:pPr>
            <w:r>
              <w:t>10</w:t>
            </w:r>
            <w:r w:rsidR="00070D07">
              <w:t xml:space="preserve"> March</w:t>
            </w:r>
            <w:r w:rsidR="00BC0F92">
              <w:t xml:space="preserve"> 2020</w:t>
            </w:r>
          </w:p>
          <w:p w14:paraId="2ADFCC11" w14:textId="77777777" w:rsidR="002B13E4" w:rsidRPr="00F9242D" w:rsidRDefault="002B13E4" w:rsidP="0046605F">
            <w:pPr>
              <w:suppressAutoHyphens w:val="0"/>
            </w:pPr>
          </w:p>
          <w:p w14:paraId="13E0C1E4" w14:textId="77777777" w:rsidR="0046605F" w:rsidRPr="00F9242D" w:rsidRDefault="001D3168" w:rsidP="0046605F">
            <w:pPr>
              <w:suppressAutoHyphens w:val="0"/>
            </w:pPr>
            <w:r>
              <w:t>Original: English</w:t>
            </w:r>
          </w:p>
          <w:p w14:paraId="307AF47D" w14:textId="7780C799" w:rsidR="0046605F" w:rsidRPr="00F9242D" w:rsidRDefault="0046605F" w:rsidP="0046605F">
            <w:pPr>
              <w:suppressAutoHyphens w:val="0"/>
            </w:pPr>
          </w:p>
        </w:tc>
      </w:tr>
    </w:tbl>
    <w:p w14:paraId="0416CF12" w14:textId="77777777" w:rsidR="00F83636" w:rsidRPr="00F9242D" w:rsidRDefault="00F83636" w:rsidP="00F83636">
      <w:pPr>
        <w:spacing w:before="120"/>
        <w:rPr>
          <w:b/>
          <w:sz w:val="24"/>
          <w:szCs w:val="24"/>
        </w:rPr>
      </w:pPr>
      <w:r w:rsidRPr="00863B08">
        <w:rPr>
          <w:b/>
          <w:bCs/>
          <w:sz w:val="24"/>
        </w:rPr>
        <w:t>Committee on the Rights of the Child</w:t>
      </w:r>
    </w:p>
    <w:p w14:paraId="27CFE753" w14:textId="40FFB6B1" w:rsidR="00F83636" w:rsidRPr="00F9242D" w:rsidRDefault="00F83636" w:rsidP="00F83636">
      <w:pPr>
        <w:pStyle w:val="HChG"/>
      </w:pPr>
      <w:r w:rsidRPr="00F9242D">
        <w:tab/>
      </w:r>
      <w:r w:rsidRPr="00F9242D">
        <w:tab/>
      </w:r>
      <w:r w:rsidR="009B31D1" w:rsidRPr="00681F42">
        <w:t xml:space="preserve">Decision adopted by the Committee under the Optional Protocol to the Convention on the Rights of the Child on a communications procedure, concerning </w:t>
      </w:r>
      <w:r w:rsidR="009B31D1">
        <w:t>c</w:t>
      </w:r>
      <w:r w:rsidRPr="00F9242D">
        <w:rPr>
          <w:bCs/>
        </w:rPr>
        <w:t xml:space="preserve">ommunication </w:t>
      </w:r>
      <w:bookmarkStart w:id="0" w:name="_GoBack"/>
      <w:r w:rsidR="008E1593">
        <w:rPr>
          <w:bCs/>
        </w:rPr>
        <w:t>N</w:t>
      </w:r>
      <w:bookmarkEnd w:id="0"/>
      <w:r w:rsidR="008E1593">
        <w:rPr>
          <w:bCs/>
        </w:rPr>
        <w:t>o.</w:t>
      </w:r>
      <w:r w:rsidR="00A317CE">
        <w:rPr>
          <w:bCs/>
        </w:rPr>
        <w:t> </w:t>
      </w:r>
      <w:r w:rsidR="008E1593">
        <w:rPr>
          <w:bCs/>
        </w:rPr>
        <w:t>60/2018</w:t>
      </w:r>
      <w:r w:rsidR="009B31D1" w:rsidRPr="005968A0">
        <w:rPr>
          <w:rStyle w:val="FootnoteReference"/>
          <w:b w:val="0"/>
          <w:bCs/>
          <w:sz w:val="20"/>
          <w:szCs w:val="22"/>
          <w:vertAlign w:val="baseline"/>
        </w:rPr>
        <w:footnoteReference w:customMarkFollows="1" w:id="1"/>
        <w:sym w:font="Symbol" w:char="F02A"/>
      </w:r>
      <w:r w:rsidR="009B31D1" w:rsidRPr="005968A0">
        <w:rPr>
          <w:rStyle w:val="FootnoteReference"/>
          <w:b w:val="0"/>
          <w:bCs/>
          <w:position w:val="8"/>
          <w:sz w:val="20"/>
          <w:szCs w:val="22"/>
          <w:vertAlign w:val="baseline"/>
        </w:rPr>
        <w:t>,</w:t>
      </w:r>
      <w:r w:rsidR="00A317CE" w:rsidRPr="005968A0">
        <w:rPr>
          <w:rStyle w:val="FootnoteReference"/>
          <w:b w:val="0"/>
          <w:bCs/>
          <w:sz w:val="20"/>
          <w:szCs w:val="22"/>
          <w:vertAlign w:val="baseline"/>
        </w:rPr>
        <w:t xml:space="preserve"> </w:t>
      </w:r>
      <w:r w:rsidR="009B31D1" w:rsidRPr="005968A0">
        <w:rPr>
          <w:rStyle w:val="FootnoteReference"/>
          <w:b w:val="0"/>
          <w:bCs/>
          <w:sz w:val="20"/>
          <w:szCs w:val="22"/>
          <w:vertAlign w:val="baseline"/>
        </w:rPr>
        <w:footnoteReference w:customMarkFollows="1" w:id="2"/>
        <w:sym w:font="Symbol" w:char="F02A"/>
      </w:r>
      <w:r w:rsidR="009B31D1" w:rsidRPr="005968A0">
        <w:rPr>
          <w:rStyle w:val="FootnoteReference"/>
          <w:b w:val="0"/>
          <w:bCs/>
          <w:sz w:val="20"/>
          <w:szCs w:val="22"/>
          <w:vertAlign w:val="baseline"/>
        </w:rPr>
        <w:sym w:font="Symbol" w:char="F02A"/>
      </w:r>
    </w:p>
    <w:p w14:paraId="4884D98C" w14:textId="66B4ED27" w:rsidR="00082161" w:rsidRPr="00F9242D" w:rsidRDefault="00B65502">
      <w:pPr>
        <w:pStyle w:val="SingleTxtG"/>
        <w:tabs>
          <w:tab w:val="left" w:pos="4536"/>
        </w:tabs>
        <w:ind w:left="4536" w:hanging="3402"/>
      </w:pPr>
      <w:r>
        <w:rPr>
          <w:i/>
        </w:rPr>
        <w:t>Communication s</w:t>
      </w:r>
      <w:r w:rsidR="00082161" w:rsidRPr="00F9242D">
        <w:rPr>
          <w:i/>
        </w:rPr>
        <w:t>ubmitted by:</w:t>
      </w:r>
      <w:r w:rsidR="000C2FCA">
        <w:tab/>
        <w:t>D.C.</w:t>
      </w:r>
      <w:r w:rsidR="00825BB9">
        <w:t xml:space="preserve"> (</w:t>
      </w:r>
      <w:r w:rsidR="00825BB9" w:rsidRPr="00825BB9">
        <w:rPr>
          <w:lang w:val="en-US"/>
        </w:rPr>
        <w:t xml:space="preserve">represented </w:t>
      </w:r>
      <w:r w:rsidR="00825BB9">
        <w:rPr>
          <w:lang w:val="en-US"/>
        </w:rPr>
        <w:t xml:space="preserve">by counsel, </w:t>
      </w:r>
      <w:r w:rsidR="00825BB9" w:rsidRPr="00825BB9">
        <w:rPr>
          <w:lang w:val="en-US"/>
        </w:rPr>
        <w:t xml:space="preserve">Kurt-Peter </w:t>
      </w:r>
      <w:proofErr w:type="spellStart"/>
      <w:r w:rsidR="00825BB9" w:rsidRPr="00825BB9">
        <w:rPr>
          <w:lang w:val="en-US"/>
        </w:rPr>
        <w:t>Merk</w:t>
      </w:r>
      <w:proofErr w:type="spellEnd"/>
      <w:r w:rsidR="00825BB9">
        <w:t>)</w:t>
      </w:r>
    </w:p>
    <w:p w14:paraId="2B9AA401" w14:textId="41B8187C" w:rsidR="00082161" w:rsidRPr="00F9242D" w:rsidRDefault="00082161">
      <w:pPr>
        <w:pStyle w:val="SingleTxtG"/>
        <w:tabs>
          <w:tab w:val="left" w:pos="4536"/>
        </w:tabs>
        <w:ind w:left="4536" w:hanging="3402"/>
      </w:pPr>
      <w:r w:rsidRPr="00F9242D">
        <w:rPr>
          <w:i/>
        </w:rPr>
        <w:t>Alleged victim:</w:t>
      </w:r>
      <w:r w:rsidRPr="00F9242D">
        <w:tab/>
      </w:r>
      <w:r w:rsidR="005A72E6">
        <w:t>The author</w:t>
      </w:r>
    </w:p>
    <w:p w14:paraId="66929387" w14:textId="77777777" w:rsidR="00082161" w:rsidRPr="00F9242D" w:rsidRDefault="00082161" w:rsidP="00082161">
      <w:pPr>
        <w:pStyle w:val="SingleTxtG"/>
        <w:tabs>
          <w:tab w:val="left" w:pos="4536"/>
        </w:tabs>
        <w:ind w:left="4536" w:hanging="3402"/>
      </w:pPr>
      <w:r w:rsidRPr="00F9242D">
        <w:rPr>
          <w:i/>
        </w:rPr>
        <w:t>State party:</w:t>
      </w:r>
      <w:r w:rsidR="000C2FCA">
        <w:tab/>
        <w:t>Germany</w:t>
      </w:r>
    </w:p>
    <w:p w14:paraId="203281BB" w14:textId="3D7A68C6" w:rsidR="00082161" w:rsidRPr="00F9242D" w:rsidRDefault="00082161">
      <w:pPr>
        <w:pStyle w:val="SingleTxtG"/>
        <w:tabs>
          <w:tab w:val="left" w:pos="4536"/>
        </w:tabs>
        <w:ind w:left="4536" w:hanging="3402"/>
      </w:pPr>
      <w:r w:rsidRPr="00F9242D">
        <w:rPr>
          <w:i/>
        </w:rPr>
        <w:t>Date of complaint:</w:t>
      </w:r>
      <w:r w:rsidR="000C2FCA">
        <w:tab/>
        <w:t>27 August 2018</w:t>
      </w:r>
      <w:r w:rsidR="00B65502">
        <w:t xml:space="preserve"> (initial submission)</w:t>
      </w:r>
    </w:p>
    <w:p w14:paraId="4CA794AF" w14:textId="4E90234A" w:rsidR="00082161" w:rsidRPr="00F9242D" w:rsidRDefault="00082161" w:rsidP="00082161">
      <w:pPr>
        <w:pStyle w:val="SingleTxtG"/>
        <w:tabs>
          <w:tab w:val="left" w:pos="4536"/>
        </w:tabs>
        <w:ind w:left="4536" w:hanging="3402"/>
      </w:pPr>
      <w:r w:rsidRPr="00F9242D">
        <w:rPr>
          <w:i/>
        </w:rPr>
        <w:t xml:space="preserve">Date of </w:t>
      </w:r>
      <w:r w:rsidR="0078128F">
        <w:rPr>
          <w:i/>
        </w:rPr>
        <w:t xml:space="preserve">adoption of </w:t>
      </w:r>
      <w:r w:rsidRPr="00F9242D">
        <w:rPr>
          <w:i/>
        </w:rPr>
        <w:t>decision:</w:t>
      </w:r>
      <w:r w:rsidRPr="00F9242D">
        <w:tab/>
      </w:r>
      <w:r w:rsidR="009B31D1">
        <w:t>4 February</w:t>
      </w:r>
      <w:r w:rsidRPr="00F9242D">
        <w:t xml:space="preserve"> </w:t>
      </w:r>
      <w:r w:rsidR="000C2FCA">
        <w:t>2020</w:t>
      </w:r>
    </w:p>
    <w:p w14:paraId="53FFEECA" w14:textId="0AA6AA59" w:rsidR="00082161" w:rsidRPr="00F9242D" w:rsidRDefault="00082161">
      <w:pPr>
        <w:pStyle w:val="SingleTxtG"/>
        <w:tabs>
          <w:tab w:val="left" w:pos="4536"/>
        </w:tabs>
        <w:ind w:left="4536" w:hanging="3402"/>
      </w:pPr>
      <w:r w:rsidRPr="00F9242D">
        <w:rPr>
          <w:i/>
        </w:rPr>
        <w:t>Subject matter:</w:t>
      </w:r>
      <w:r w:rsidRPr="00F9242D">
        <w:tab/>
      </w:r>
      <w:r w:rsidR="00F943A6">
        <w:t>E</w:t>
      </w:r>
      <w:r w:rsidR="00F943A6" w:rsidRPr="00F943A6">
        <w:t>xc</w:t>
      </w:r>
      <w:r w:rsidR="00F943A6">
        <w:t xml:space="preserve">lusion from voting </w:t>
      </w:r>
      <w:r w:rsidR="0078128F">
        <w:t xml:space="preserve">on the </w:t>
      </w:r>
      <w:r w:rsidR="00F943A6">
        <w:t>bas</w:t>
      </w:r>
      <w:r w:rsidR="0078128F">
        <w:t>is of</w:t>
      </w:r>
      <w:r w:rsidR="00F943A6">
        <w:t xml:space="preserve"> age</w:t>
      </w:r>
    </w:p>
    <w:p w14:paraId="1C78A6D5" w14:textId="10294C4E" w:rsidR="00082161" w:rsidRPr="00F9242D" w:rsidRDefault="00082161">
      <w:pPr>
        <w:pStyle w:val="SingleTxtG"/>
        <w:tabs>
          <w:tab w:val="left" w:pos="4536"/>
        </w:tabs>
        <w:ind w:left="4536" w:hanging="3402"/>
      </w:pPr>
      <w:r w:rsidRPr="00F9242D">
        <w:rPr>
          <w:i/>
        </w:rPr>
        <w:t>Procedural issue:</w:t>
      </w:r>
      <w:r w:rsidRPr="00F9242D">
        <w:tab/>
      </w:r>
      <w:r w:rsidR="00F943A6">
        <w:t>Exhaustion of domestic remedies</w:t>
      </w:r>
    </w:p>
    <w:p w14:paraId="5BA4FEFC" w14:textId="1B610150" w:rsidR="00082161" w:rsidRPr="00F9242D" w:rsidRDefault="00082161">
      <w:pPr>
        <w:pStyle w:val="SingleTxtG"/>
        <w:tabs>
          <w:tab w:val="left" w:pos="4536"/>
        </w:tabs>
        <w:ind w:left="4536" w:hanging="3402"/>
      </w:pPr>
      <w:r w:rsidRPr="00F9242D">
        <w:rPr>
          <w:i/>
        </w:rPr>
        <w:t>Substantive issues:</w:t>
      </w:r>
      <w:r w:rsidR="00432A8E" w:rsidRPr="00F9242D">
        <w:rPr>
          <w:i/>
        </w:rPr>
        <w:tab/>
      </w:r>
      <w:r w:rsidR="00432A8E" w:rsidRPr="00694C8A">
        <w:t xml:space="preserve">Best interests of the child; right to </w:t>
      </w:r>
      <w:r w:rsidR="00F943A6" w:rsidRPr="00694C8A">
        <w:t>vot</w:t>
      </w:r>
      <w:r w:rsidR="0078128F">
        <w:t>e</w:t>
      </w:r>
    </w:p>
    <w:p w14:paraId="63D6FFEF" w14:textId="737C1DA5" w:rsidR="00082161" w:rsidRPr="00F9242D" w:rsidRDefault="00082161">
      <w:pPr>
        <w:pStyle w:val="SingleTxtG"/>
        <w:tabs>
          <w:tab w:val="left" w:pos="4536"/>
        </w:tabs>
        <w:ind w:left="4536" w:hanging="3402"/>
      </w:pPr>
      <w:r w:rsidRPr="00F9242D">
        <w:rPr>
          <w:i/>
        </w:rPr>
        <w:t>Articles of the Convention:</w:t>
      </w:r>
      <w:r w:rsidR="00F943A6">
        <w:tab/>
        <w:t>2</w:t>
      </w:r>
      <w:r w:rsidR="0078128F">
        <w:t xml:space="preserve"> </w:t>
      </w:r>
      <w:r w:rsidR="00F943A6">
        <w:t>(1), 3</w:t>
      </w:r>
      <w:r w:rsidR="0078128F">
        <w:t xml:space="preserve"> </w:t>
      </w:r>
      <w:r w:rsidR="00F943A6">
        <w:t>(1)</w:t>
      </w:r>
      <w:r w:rsidRPr="00F9242D">
        <w:t>, 4</w:t>
      </w:r>
      <w:r w:rsidR="005C50F0">
        <w:t xml:space="preserve"> and</w:t>
      </w:r>
      <w:r w:rsidRPr="00F9242D">
        <w:t xml:space="preserve"> </w:t>
      </w:r>
      <w:r w:rsidR="00F943A6">
        <w:t>12 (1)</w:t>
      </w:r>
    </w:p>
    <w:p w14:paraId="4A254D5D" w14:textId="6E1C50FD" w:rsidR="00082161" w:rsidRDefault="00082161" w:rsidP="00082161">
      <w:pPr>
        <w:pStyle w:val="SingleTxtG"/>
        <w:tabs>
          <w:tab w:val="left" w:pos="4536"/>
        </w:tabs>
        <w:ind w:left="4536" w:hanging="3402"/>
      </w:pPr>
      <w:r w:rsidRPr="00F9242D">
        <w:rPr>
          <w:i/>
        </w:rPr>
        <w:t>Article of the Optional Protocol:</w:t>
      </w:r>
      <w:r w:rsidR="00F943A6">
        <w:tab/>
        <w:t>7 (e</w:t>
      </w:r>
      <w:r w:rsidRPr="00F9242D">
        <w:t>)</w:t>
      </w:r>
    </w:p>
    <w:p w14:paraId="4F5BE701" w14:textId="58FBAA02" w:rsidR="00B32F9C" w:rsidRDefault="00B32F9C" w:rsidP="00082161">
      <w:pPr>
        <w:pStyle w:val="SingleTxtG"/>
        <w:tabs>
          <w:tab w:val="left" w:pos="4536"/>
        </w:tabs>
        <w:ind w:left="4536" w:hanging="3402"/>
        <w:rPr>
          <w:i/>
        </w:rPr>
      </w:pPr>
      <w:r>
        <w:rPr>
          <w:i/>
        </w:rPr>
        <w:br w:type="page"/>
      </w:r>
    </w:p>
    <w:p w14:paraId="223161CA" w14:textId="5DE041A2" w:rsidR="00F83636" w:rsidRPr="00F9242D" w:rsidRDefault="00F83636">
      <w:pPr>
        <w:pStyle w:val="SingleTxtG"/>
      </w:pPr>
      <w:r w:rsidRPr="00F9242D">
        <w:lastRenderedPageBreak/>
        <w:t>1.1</w:t>
      </w:r>
      <w:r w:rsidRPr="00F9242D">
        <w:tab/>
        <w:t>The auth</w:t>
      </w:r>
      <w:r w:rsidR="00D46D00">
        <w:t>or of the communication is D</w:t>
      </w:r>
      <w:r w:rsidRPr="00F9242D">
        <w:t>.</w:t>
      </w:r>
      <w:r w:rsidR="00D46D00">
        <w:t>C.</w:t>
      </w:r>
      <w:r w:rsidRPr="00F9242D">
        <w:t xml:space="preserve">, </w:t>
      </w:r>
      <w:r w:rsidR="00D46D00" w:rsidRPr="00D46D00">
        <w:t xml:space="preserve">a national </w:t>
      </w:r>
      <w:r w:rsidR="00D46D00">
        <w:t>of Spain,</w:t>
      </w:r>
      <w:r w:rsidR="00D11E4C">
        <w:t xml:space="preserve"> </w:t>
      </w:r>
      <w:r w:rsidR="00D46D00">
        <w:t>born on 12 April 1999</w:t>
      </w:r>
      <w:r w:rsidRPr="00F9242D">
        <w:t xml:space="preserve">. </w:t>
      </w:r>
      <w:r w:rsidR="00D46D00" w:rsidRPr="00D46D00">
        <w:t xml:space="preserve">The author, who was a </w:t>
      </w:r>
      <w:r w:rsidR="006A46C7">
        <w:t>16</w:t>
      </w:r>
      <w:r w:rsidR="007F0414">
        <w:t>-</w:t>
      </w:r>
      <w:r w:rsidR="006A46C7">
        <w:t xml:space="preserve">year-old </w:t>
      </w:r>
      <w:r w:rsidR="00D46D00" w:rsidRPr="00D46D00">
        <w:t>child at the time of the events</w:t>
      </w:r>
      <w:r w:rsidR="007F0414">
        <w:t xml:space="preserve"> in question</w:t>
      </w:r>
      <w:r w:rsidR="00D46D00" w:rsidRPr="00D46D00">
        <w:t xml:space="preserve">, claims </w:t>
      </w:r>
      <w:r w:rsidR="007F0414">
        <w:t>a violation by the State party of</w:t>
      </w:r>
      <w:r w:rsidR="007F0414" w:rsidRPr="00D46D00">
        <w:t xml:space="preserve"> </w:t>
      </w:r>
      <w:r w:rsidR="00D46D00" w:rsidRPr="00D46D00">
        <w:t xml:space="preserve">his rights under articles </w:t>
      </w:r>
      <w:r w:rsidR="00D46D00">
        <w:t>2 (1), 3</w:t>
      </w:r>
      <w:r w:rsidR="007F0414">
        <w:t xml:space="preserve"> </w:t>
      </w:r>
      <w:r w:rsidR="00D46D00">
        <w:t>(1), 4 and 12</w:t>
      </w:r>
      <w:r w:rsidR="007F0414">
        <w:t xml:space="preserve"> </w:t>
      </w:r>
      <w:r w:rsidR="00D46D00">
        <w:t>(1) of the Convention</w:t>
      </w:r>
      <w:r w:rsidR="005E2267">
        <w:t xml:space="preserve"> </w:t>
      </w:r>
      <w:r w:rsidR="007F0414">
        <w:t>by denying him</w:t>
      </w:r>
      <w:r w:rsidR="006A46C7">
        <w:t xml:space="preserve"> his </w:t>
      </w:r>
      <w:r w:rsidR="00D46D00" w:rsidRPr="00D46D00">
        <w:t xml:space="preserve">right to vote in local elections on the grounds of age. </w:t>
      </w:r>
      <w:r w:rsidR="00D46D00" w:rsidRPr="00F9242D">
        <w:t xml:space="preserve">The </w:t>
      </w:r>
      <w:r w:rsidR="00D46D00" w:rsidRPr="006A46C7">
        <w:t xml:space="preserve">author is represented by counsel. </w:t>
      </w:r>
      <w:r w:rsidRPr="006A46C7">
        <w:t>The Optional Protocol entered int</w:t>
      </w:r>
      <w:r w:rsidR="00D46D00" w:rsidRPr="006A46C7">
        <w:t>o force for the State party on 14 April 2014</w:t>
      </w:r>
      <w:r w:rsidRPr="006A46C7">
        <w:t>.</w:t>
      </w:r>
    </w:p>
    <w:p w14:paraId="5B814F1C" w14:textId="77777777" w:rsidR="00F83636" w:rsidRPr="00F9242D" w:rsidRDefault="00825BB9" w:rsidP="00F83636">
      <w:pPr>
        <w:pStyle w:val="SingleTxtG"/>
      </w:pPr>
      <w:r>
        <w:t>1.2</w:t>
      </w:r>
      <w:r>
        <w:tab/>
        <w:t>On 7 May 2019</w:t>
      </w:r>
      <w:r w:rsidR="00F83636" w:rsidRPr="00F9242D">
        <w:t>, the Committee, acting through its working group on communications, decided to consider the admissibility of the communication separately from the merits of the case.</w:t>
      </w:r>
    </w:p>
    <w:p w14:paraId="0AC4BF04" w14:textId="77777777" w:rsidR="00F83636" w:rsidRPr="00F9242D" w:rsidRDefault="00F83636" w:rsidP="00F83636">
      <w:pPr>
        <w:pStyle w:val="H23G"/>
      </w:pPr>
      <w:r w:rsidRPr="00F9242D">
        <w:tab/>
      </w:r>
      <w:r w:rsidRPr="00F9242D">
        <w:tab/>
      </w:r>
      <w:r w:rsidRPr="00F9242D">
        <w:rPr>
          <w:bCs/>
        </w:rPr>
        <w:t>Facts as submitted by the author</w:t>
      </w:r>
    </w:p>
    <w:p w14:paraId="38E0A7C3" w14:textId="15BF6C27" w:rsidR="00F83636" w:rsidRPr="00825BB9" w:rsidRDefault="00F83636">
      <w:pPr>
        <w:pStyle w:val="SingleTxtG"/>
        <w:rPr>
          <w:lang w:val="en-US"/>
        </w:rPr>
      </w:pPr>
      <w:r w:rsidRPr="00F9242D">
        <w:t>2.1</w:t>
      </w:r>
      <w:r w:rsidRPr="00F9242D">
        <w:tab/>
      </w:r>
      <w:r w:rsidR="00207133">
        <w:t xml:space="preserve">For over three months </w:t>
      </w:r>
      <w:proofErr w:type="spellStart"/>
      <w:r w:rsidR="00207133">
        <w:t>i</w:t>
      </w:r>
      <w:proofErr w:type="spellEnd"/>
      <w:r w:rsidR="006A46C7">
        <w:rPr>
          <w:lang w:val="en-US"/>
        </w:rPr>
        <w:t>n</w:t>
      </w:r>
      <w:r w:rsidR="00207133">
        <w:rPr>
          <w:lang w:val="en-US"/>
        </w:rPr>
        <w:t xml:space="preserve"> </w:t>
      </w:r>
      <w:r w:rsidR="00825BB9" w:rsidRPr="00825BB9">
        <w:rPr>
          <w:lang w:val="en-US"/>
        </w:rPr>
        <w:t xml:space="preserve">2015, </w:t>
      </w:r>
      <w:r w:rsidR="00E318B5">
        <w:rPr>
          <w:lang w:val="en-US"/>
        </w:rPr>
        <w:t xml:space="preserve">the author </w:t>
      </w:r>
      <w:r w:rsidR="006267DB">
        <w:rPr>
          <w:lang w:val="en-US"/>
        </w:rPr>
        <w:t>liv</w:t>
      </w:r>
      <w:r w:rsidR="00207133">
        <w:rPr>
          <w:lang w:val="en-US"/>
        </w:rPr>
        <w:t>ed</w:t>
      </w:r>
      <w:r w:rsidR="006267DB">
        <w:rPr>
          <w:lang w:val="en-US"/>
        </w:rPr>
        <w:t xml:space="preserve"> </w:t>
      </w:r>
      <w:r w:rsidR="00825BB9" w:rsidRPr="00825BB9">
        <w:rPr>
          <w:lang w:val="en-US"/>
        </w:rPr>
        <w:t>with his parents in the municipality of Perl in Saarland, Germany.</w:t>
      </w:r>
      <w:r w:rsidR="000F6294">
        <w:rPr>
          <w:rStyle w:val="FootnoteReference"/>
          <w:lang w:val="en-US"/>
        </w:rPr>
        <w:footnoteReference w:id="3"/>
      </w:r>
      <w:r w:rsidR="00280FF8">
        <w:rPr>
          <w:lang w:val="en-US"/>
        </w:rPr>
        <w:t xml:space="preserve"> The author wanted to </w:t>
      </w:r>
      <w:r w:rsidR="00C41C19">
        <w:rPr>
          <w:lang w:val="en-US"/>
        </w:rPr>
        <w:t>vote</w:t>
      </w:r>
      <w:r w:rsidR="00C12141">
        <w:rPr>
          <w:lang w:val="en-US"/>
        </w:rPr>
        <w:t xml:space="preserve"> in</w:t>
      </w:r>
      <w:r w:rsidR="00AA513A">
        <w:rPr>
          <w:lang w:val="en-US"/>
        </w:rPr>
        <w:t xml:space="preserve"> the local </w:t>
      </w:r>
      <w:r w:rsidR="00280FF8" w:rsidRPr="00182991">
        <w:rPr>
          <w:lang w:val="en-US"/>
        </w:rPr>
        <w:t>mayor</w:t>
      </w:r>
      <w:r w:rsidR="00AA513A">
        <w:rPr>
          <w:lang w:val="en-US"/>
        </w:rPr>
        <w:t xml:space="preserve">al election </w:t>
      </w:r>
      <w:r w:rsidR="00280FF8">
        <w:rPr>
          <w:lang w:val="en-US"/>
        </w:rPr>
        <w:t xml:space="preserve">scheduled </w:t>
      </w:r>
      <w:r w:rsidR="00280FF8" w:rsidRPr="00182991">
        <w:rPr>
          <w:lang w:val="en-US"/>
        </w:rPr>
        <w:t>on 28 June 2015</w:t>
      </w:r>
      <w:r w:rsidR="00280FF8">
        <w:rPr>
          <w:lang w:val="en-US"/>
        </w:rPr>
        <w:t>.</w:t>
      </w:r>
    </w:p>
    <w:p w14:paraId="1D90BD3B" w14:textId="6B261F5C" w:rsidR="00280FF8" w:rsidRDefault="00F83636">
      <w:pPr>
        <w:pStyle w:val="SingleTxtG"/>
        <w:rPr>
          <w:lang w:val="en-US"/>
        </w:rPr>
      </w:pPr>
      <w:r w:rsidRPr="00F9242D">
        <w:t>2.2</w:t>
      </w:r>
      <w:r w:rsidRPr="00F9242D">
        <w:tab/>
      </w:r>
      <w:r w:rsidR="00182991">
        <w:rPr>
          <w:lang w:val="en-US"/>
        </w:rPr>
        <w:t>On 7 April 201</w:t>
      </w:r>
      <w:r w:rsidR="00182991" w:rsidRPr="00182991">
        <w:rPr>
          <w:lang w:val="en-US"/>
        </w:rPr>
        <w:t xml:space="preserve">5, the author applied to the Perl Municipality Electoral Office for the purposes of exercising </w:t>
      </w:r>
      <w:r w:rsidR="00B056D2">
        <w:rPr>
          <w:lang w:val="en-US"/>
        </w:rPr>
        <w:t>his</w:t>
      </w:r>
      <w:r w:rsidR="00182991" w:rsidRPr="00182991">
        <w:rPr>
          <w:lang w:val="en-US"/>
        </w:rPr>
        <w:t xml:space="preserve"> right to vote in the election. </w:t>
      </w:r>
      <w:r w:rsidR="00B056D2">
        <w:rPr>
          <w:lang w:val="en-US"/>
        </w:rPr>
        <w:t>On</w:t>
      </w:r>
      <w:r w:rsidR="00B056D2" w:rsidRPr="00182991">
        <w:rPr>
          <w:lang w:val="en-US"/>
        </w:rPr>
        <w:t xml:space="preserve"> 8 April 2015</w:t>
      </w:r>
      <w:r w:rsidR="00B056D2">
        <w:rPr>
          <w:lang w:val="en-US"/>
        </w:rPr>
        <w:t xml:space="preserve">, </w:t>
      </w:r>
      <w:r w:rsidR="00280FF8">
        <w:rPr>
          <w:lang w:val="en-US"/>
        </w:rPr>
        <w:t>the municipality</w:t>
      </w:r>
      <w:r w:rsidR="00B056D2">
        <w:rPr>
          <w:lang w:val="en-US"/>
        </w:rPr>
        <w:t xml:space="preserve"> decided to reject the application</w:t>
      </w:r>
      <w:r w:rsidR="00182991" w:rsidRPr="00182991">
        <w:rPr>
          <w:lang w:val="en-US"/>
        </w:rPr>
        <w:t xml:space="preserve">. </w:t>
      </w:r>
    </w:p>
    <w:p w14:paraId="54B84EA8" w14:textId="43334F1B" w:rsidR="00E82BBF" w:rsidRDefault="00280FF8">
      <w:pPr>
        <w:pStyle w:val="SingleTxtG"/>
        <w:rPr>
          <w:lang w:val="en-US"/>
        </w:rPr>
      </w:pPr>
      <w:r>
        <w:rPr>
          <w:lang w:val="en-US"/>
        </w:rPr>
        <w:t>2.3</w:t>
      </w:r>
      <w:r>
        <w:rPr>
          <w:lang w:val="en-US"/>
        </w:rPr>
        <w:tab/>
      </w:r>
      <w:r w:rsidR="00E82BBF">
        <w:rPr>
          <w:lang w:val="en-US"/>
        </w:rPr>
        <w:t xml:space="preserve">On 15 May 2015, </w:t>
      </w:r>
      <w:r w:rsidR="005C4C21">
        <w:rPr>
          <w:lang w:val="en-US"/>
        </w:rPr>
        <w:t xml:space="preserve">the author lodged </w:t>
      </w:r>
      <w:r w:rsidR="00E82BBF">
        <w:rPr>
          <w:lang w:val="en-US"/>
        </w:rPr>
        <w:t>a</w:t>
      </w:r>
      <w:r w:rsidR="005C4C21">
        <w:rPr>
          <w:lang w:val="en-US"/>
        </w:rPr>
        <w:t>n appeal</w:t>
      </w:r>
      <w:r w:rsidR="00182991" w:rsidRPr="00182991">
        <w:rPr>
          <w:lang w:val="en-US"/>
        </w:rPr>
        <w:t xml:space="preserve"> </w:t>
      </w:r>
      <w:r w:rsidR="006267DB">
        <w:rPr>
          <w:lang w:val="en-US"/>
        </w:rPr>
        <w:t>to the municipalit</w:t>
      </w:r>
      <w:r w:rsidR="006267DB">
        <w:rPr>
          <w:rFonts w:eastAsia="MS Mincho" w:hint="eastAsia"/>
          <w:lang w:val="en-US" w:eastAsia="ja-JP"/>
        </w:rPr>
        <w:t>y</w:t>
      </w:r>
      <w:r w:rsidR="005C4C21">
        <w:rPr>
          <w:rFonts w:eastAsia="MS Mincho" w:hint="eastAsia"/>
          <w:lang w:val="en-US" w:eastAsia="ja-JP"/>
        </w:rPr>
        <w:t xml:space="preserve"> </w:t>
      </w:r>
      <w:r w:rsidR="005E3E94">
        <w:rPr>
          <w:rFonts w:eastAsia="MS Mincho"/>
          <w:lang w:val="en-US" w:eastAsia="ja-JP"/>
        </w:rPr>
        <w:t xml:space="preserve">claiming </w:t>
      </w:r>
      <w:r w:rsidR="006267DB">
        <w:rPr>
          <w:rFonts w:eastAsia="MS Mincho"/>
          <w:lang w:val="en-US" w:eastAsia="ja-JP"/>
        </w:rPr>
        <w:t xml:space="preserve">that </w:t>
      </w:r>
      <w:r w:rsidR="005E3E94">
        <w:rPr>
          <w:rFonts w:eastAsia="MS Mincho"/>
          <w:lang w:val="en-US" w:eastAsia="ja-JP"/>
        </w:rPr>
        <w:t xml:space="preserve">he had </w:t>
      </w:r>
      <w:r w:rsidR="00B056D2">
        <w:rPr>
          <w:rFonts w:eastAsia="MS Mincho"/>
          <w:lang w:val="en-US" w:eastAsia="ja-JP"/>
        </w:rPr>
        <w:t xml:space="preserve">the </w:t>
      </w:r>
      <w:r w:rsidR="005E3E94">
        <w:rPr>
          <w:rFonts w:eastAsia="MS Mincho"/>
          <w:lang w:val="en-US" w:eastAsia="ja-JP"/>
        </w:rPr>
        <w:t xml:space="preserve">right </w:t>
      </w:r>
      <w:r w:rsidR="00B056D2">
        <w:rPr>
          <w:rFonts w:eastAsia="MS Mincho"/>
          <w:lang w:val="en-US" w:eastAsia="ja-JP"/>
        </w:rPr>
        <w:t>to vote in</w:t>
      </w:r>
      <w:r w:rsidR="005E3E94">
        <w:rPr>
          <w:rFonts w:eastAsia="MS Mincho"/>
          <w:lang w:val="en-US" w:eastAsia="ja-JP"/>
        </w:rPr>
        <w:t xml:space="preserve"> municipal elections in </w:t>
      </w:r>
      <w:r w:rsidR="006267DB">
        <w:rPr>
          <w:rFonts w:eastAsia="MS Mincho"/>
          <w:lang w:val="en-US" w:eastAsia="ja-JP"/>
        </w:rPr>
        <w:t>his</w:t>
      </w:r>
      <w:r w:rsidR="005E3E94">
        <w:rPr>
          <w:rFonts w:eastAsia="MS Mincho"/>
          <w:lang w:val="en-US" w:eastAsia="ja-JP"/>
        </w:rPr>
        <w:t xml:space="preserve"> country of residence as a citizen of</w:t>
      </w:r>
      <w:r w:rsidR="00B056D2">
        <w:rPr>
          <w:rFonts w:eastAsia="MS Mincho"/>
          <w:lang w:val="en-US" w:eastAsia="ja-JP"/>
        </w:rPr>
        <w:t xml:space="preserve"> a State member of</w:t>
      </w:r>
      <w:r w:rsidR="005E3E94">
        <w:rPr>
          <w:rFonts w:eastAsia="MS Mincho"/>
          <w:lang w:val="en-US" w:eastAsia="ja-JP"/>
        </w:rPr>
        <w:t xml:space="preserve"> the European Union</w:t>
      </w:r>
      <w:r w:rsidR="006267DB">
        <w:rPr>
          <w:rFonts w:eastAsia="MS Mincho"/>
          <w:lang w:val="en-US" w:eastAsia="ja-JP"/>
        </w:rPr>
        <w:t>. The appeal</w:t>
      </w:r>
      <w:r w:rsidR="005C4C21">
        <w:rPr>
          <w:rFonts w:eastAsia="MS Mincho" w:hint="eastAsia"/>
          <w:lang w:val="en-US" w:eastAsia="ja-JP"/>
        </w:rPr>
        <w:t xml:space="preserve"> </w:t>
      </w:r>
      <w:r w:rsidR="005C4C21">
        <w:rPr>
          <w:lang w:val="en-US"/>
        </w:rPr>
        <w:t xml:space="preserve">was rejected on 24 June 2015 </w:t>
      </w:r>
      <w:r w:rsidR="00182991" w:rsidRPr="00182991">
        <w:rPr>
          <w:lang w:val="en-US"/>
        </w:rPr>
        <w:t>on the grounds that the applicant did not meet the minimum age requirement</w:t>
      </w:r>
      <w:r w:rsidR="005E3E94">
        <w:rPr>
          <w:lang w:val="en-US"/>
        </w:rPr>
        <w:t xml:space="preserve"> stipulated in the </w:t>
      </w:r>
      <w:r w:rsidR="00B52D97">
        <w:rPr>
          <w:rFonts w:eastAsia="MS Mincho"/>
          <w:lang w:eastAsia="ja-JP"/>
        </w:rPr>
        <w:t>l</w:t>
      </w:r>
      <w:r w:rsidR="005E3E94">
        <w:rPr>
          <w:rFonts w:eastAsia="MS Mincho"/>
          <w:lang w:eastAsia="ja-JP"/>
        </w:rPr>
        <w:t xml:space="preserve">ocal election </w:t>
      </w:r>
      <w:r w:rsidR="00B52D97">
        <w:rPr>
          <w:rFonts w:eastAsia="MS Mincho"/>
          <w:lang w:eastAsia="ja-JP"/>
        </w:rPr>
        <w:t>l</w:t>
      </w:r>
      <w:r w:rsidR="005E3E94">
        <w:rPr>
          <w:rFonts w:eastAsia="MS Mincho"/>
          <w:lang w:eastAsia="ja-JP"/>
        </w:rPr>
        <w:t>aw of Saarland</w:t>
      </w:r>
      <w:r w:rsidR="00182991" w:rsidRPr="00182991">
        <w:rPr>
          <w:lang w:val="en-US"/>
        </w:rPr>
        <w:t>.</w:t>
      </w:r>
      <w:r w:rsidR="009860BF">
        <w:rPr>
          <w:rStyle w:val="FootnoteReference"/>
          <w:lang w:val="en-US"/>
        </w:rPr>
        <w:footnoteReference w:id="4"/>
      </w:r>
      <w:r w:rsidR="00182991" w:rsidRPr="00182991">
        <w:rPr>
          <w:lang w:val="en-US"/>
        </w:rPr>
        <w:t xml:space="preserve"> </w:t>
      </w:r>
    </w:p>
    <w:p w14:paraId="3DAE7526" w14:textId="1272789D" w:rsidR="00AE4502" w:rsidRDefault="00AE4502">
      <w:pPr>
        <w:pStyle w:val="SingleTxtG"/>
        <w:rPr>
          <w:lang w:val="en-US"/>
        </w:rPr>
      </w:pPr>
      <w:r>
        <w:rPr>
          <w:lang w:val="en-US"/>
        </w:rPr>
        <w:t>2.4</w:t>
      </w:r>
      <w:r>
        <w:rPr>
          <w:lang w:val="en-US"/>
        </w:rPr>
        <w:tab/>
      </w:r>
      <w:r w:rsidR="00407EC7">
        <w:rPr>
          <w:lang w:val="en-US"/>
        </w:rPr>
        <w:t>The election took place o</w:t>
      </w:r>
      <w:r w:rsidRPr="00AE4502">
        <w:rPr>
          <w:lang w:val="en-US"/>
        </w:rPr>
        <w:t>n 28 June 2015</w:t>
      </w:r>
      <w:r>
        <w:rPr>
          <w:lang w:val="en-US"/>
        </w:rPr>
        <w:t xml:space="preserve">, </w:t>
      </w:r>
      <w:r w:rsidR="00407EC7">
        <w:rPr>
          <w:lang w:val="en-US"/>
        </w:rPr>
        <w:t>without</w:t>
      </w:r>
      <w:r>
        <w:rPr>
          <w:lang w:val="en-US"/>
        </w:rPr>
        <w:t xml:space="preserve"> the author</w:t>
      </w:r>
      <w:r w:rsidR="00407EC7">
        <w:rPr>
          <w:lang w:val="en-US"/>
        </w:rPr>
        <w:t xml:space="preserve"> being able to</w:t>
      </w:r>
      <w:r>
        <w:rPr>
          <w:lang w:val="en-US"/>
        </w:rPr>
        <w:t xml:space="preserve"> vote.</w:t>
      </w:r>
    </w:p>
    <w:p w14:paraId="68D0FEC8" w14:textId="5E51C7C2" w:rsidR="00EF4DBE" w:rsidRDefault="00E82BBF">
      <w:pPr>
        <w:pStyle w:val="SingleTxtG"/>
        <w:rPr>
          <w:lang w:val="en-US"/>
        </w:rPr>
      </w:pPr>
      <w:r>
        <w:rPr>
          <w:lang w:val="en-US"/>
        </w:rPr>
        <w:t>2.</w:t>
      </w:r>
      <w:r w:rsidR="00CE1543">
        <w:rPr>
          <w:lang w:val="en-US"/>
        </w:rPr>
        <w:t>5</w:t>
      </w:r>
      <w:r>
        <w:rPr>
          <w:lang w:val="en-US"/>
        </w:rPr>
        <w:tab/>
      </w:r>
      <w:r w:rsidR="005E3E94">
        <w:rPr>
          <w:lang w:val="en-US"/>
        </w:rPr>
        <w:t>On 29 July 2015, t</w:t>
      </w:r>
      <w:r w:rsidR="00AE4502">
        <w:rPr>
          <w:lang w:val="en-US"/>
        </w:rPr>
        <w:t>he author</w:t>
      </w:r>
      <w:r w:rsidR="00182991" w:rsidRPr="00182991">
        <w:rPr>
          <w:lang w:val="en-US"/>
        </w:rPr>
        <w:t xml:space="preserve"> filed an action with </w:t>
      </w:r>
      <w:r w:rsidR="00B55D42">
        <w:rPr>
          <w:lang w:val="en-US"/>
        </w:rPr>
        <w:t>the Administrative C</w:t>
      </w:r>
      <w:r w:rsidR="00182991" w:rsidRPr="00182991">
        <w:rPr>
          <w:lang w:val="en-US"/>
        </w:rPr>
        <w:t xml:space="preserve">ourt </w:t>
      </w:r>
      <w:r w:rsidR="005E3E94">
        <w:rPr>
          <w:lang w:val="en-US"/>
        </w:rPr>
        <w:t>of Saarland</w:t>
      </w:r>
      <w:r w:rsidR="00400889">
        <w:rPr>
          <w:lang w:val="en-US"/>
        </w:rPr>
        <w:t xml:space="preserve"> that</w:t>
      </w:r>
      <w:r w:rsidR="00182991" w:rsidRPr="00182991">
        <w:rPr>
          <w:lang w:val="en-US"/>
        </w:rPr>
        <w:t xml:space="preserve"> was dismissed by </w:t>
      </w:r>
      <w:r w:rsidR="00B55D42">
        <w:rPr>
          <w:lang w:val="en-US"/>
        </w:rPr>
        <w:t>the C</w:t>
      </w:r>
      <w:r w:rsidR="00182991" w:rsidRPr="00182991">
        <w:rPr>
          <w:lang w:val="en-US"/>
        </w:rPr>
        <w:t>ourt</w:t>
      </w:r>
      <w:r w:rsidR="006267DB">
        <w:rPr>
          <w:lang w:val="en-US"/>
        </w:rPr>
        <w:t xml:space="preserve"> in a decision </w:t>
      </w:r>
      <w:r w:rsidR="00407EC7">
        <w:rPr>
          <w:lang w:val="en-US"/>
        </w:rPr>
        <w:t>dated</w:t>
      </w:r>
      <w:r w:rsidR="00407EC7" w:rsidRPr="00182991">
        <w:rPr>
          <w:lang w:val="en-US"/>
        </w:rPr>
        <w:t xml:space="preserve"> </w:t>
      </w:r>
      <w:r w:rsidR="00182991" w:rsidRPr="00182991">
        <w:rPr>
          <w:lang w:val="en-US"/>
        </w:rPr>
        <w:t>4 November 2016.</w:t>
      </w:r>
      <w:r w:rsidR="009860BF">
        <w:rPr>
          <w:rStyle w:val="FootnoteReference"/>
          <w:lang w:val="en-US"/>
        </w:rPr>
        <w:footnoteReference w:id="5"/>
      </w:r>
      <w:r w:rsidR="00182991" w:rsidRPr="00182991">
        <w:rPr>
          <w:lang w:val="en-US"/>
        </w:rPr>
        <w:t xml:space="preserve"> </w:t>
      </w:r>
      <w:r w:rsidR="00EF4DBE" w:rsidRPr="00182991">
        <w:rPr>
          <w:lang w:val="en-US"/>
        </w:rPr>
        <w:t xml:space="preserve">The </w:t>
      </w:r>
      <w:r w:rsidR="00B55D42">
        <w:rPr>
          <w:lang w:val="en-US"/>
        </w:rPr>
        <w:t>C</w:t>
      </w:r>
      <w:r w:rsidR="00D11E4C" w:rsidRPr="00182991">
        <w:rPr>
          <w:lang w:val="en-US"/>
        </w:rPr>
        <w:t>ourt</w:t>
      </w:r>
      <w:r w:rsidR="00EF4DBE" w:rsidRPr="00182991">
        <w:rPr>
          <w:lang w:val="en-US"/>
        </w:rPr>
        <w:t xml:space="preserve"> found that depriv</w:t>
      </w:r>
      <w:r w:rsidR="00407EC7">
        <w:rPr>
          <w:lang w:val="en-US"/>
        </w:rPr>
        <w:t>ing children</w:t>
      </w:r>
      <w:r w:rsidR="00EF4DBE" w:rsidRPr="00182991">
        <w:rPr>
          <w:lang w:val="en-US"/>
        </w:rPr>
        <w:t xml:space="preserve"> of the right to vote was duly justified </w:t>
      </w:r>
      <w:r w:rsidR="00407EC7">
        <w:rPr>
          <w:lang w:val="en-US"/>
        </w:rPr>
        <w:t>by</w:t>
      </w:r>
      <w:r w:rsidR="00EF4DBE" w:rsidRPr="00182991">
        <w:rPr>
          <w:lang w:val="en-US"/>
        </w:rPr>
        <w:t xml:space="preserve"> the absence </w:t>
      </w:r>
      <w:r w:rsidR="00407EC7">
        <w:rPr>
          <w:lang w:val="en-US"/>
        </w:rPr>
        <w:t xml:space="preserve">in children </w:t>
      </w:r>
      <w:r w:rsidR="00EF4DBE" w:rsidRPr="00182991">
        <w:rPr>
          <w:lang w:val="en-US"/>
        </w:rPr>
        <w:t xml:space="preserve">of the political maturity and discernment required </w:t>
      </w:r>
      <w:r w:rsidR="00407EC7">
        <w:rPr>
          <w:lang w:val="en-US"/>
        </w:rPr>
        <w:t>to</w:t>
      </w:r>
      <w:r w:rsidR="00407EC7" w:rsidRPr="00182991">
        <w:rPr>
          <w:lang w:val="en-US"/>
        </w:rPr>
        <w:t xml:space="preserve"> </w:t>
      </w:r>
      <w:r w:rsidR="00350378">
        <w:rPr>
          <w:lang w:val="en-US"/>
        </w:rPr>
        <w:t>exercis</w:t>
      </w:r>
      <w:r w:rsidR="00407EC7">
        <w:rPr>
          <w:lang w:val="en-US"/>
        </w:rPr>
        <w:t>e</w:t>
      </w:r>
      <w:r w:rsidR="00EF4DBE" w:rsidRPr="00182991">
        <w:rPr>
          <w:lang w:val="en-US"/>
        </w:rPr>
        <w:t xml:space="preserve"> th</w:t>
      </w:r>
      <w:r w:rsidR="008D14D6">
        <w:rPr>
          <w:lang w:val="en-US"/>
        </w:rPr>
        <w:t>at</w:t>
      </w:r>
      <w:r w:rsidR="00EF4DBE" w:rsidRPr="00182991">
        <w:rPr>
          <w:lang w:val="en-US"/>
        </w:rPr>
        <w:t xml:space="preserve"> right. </w:t>
      </w:r>
    </w:p>
    <w:p w14:paraId="34CB1F8A" w14:textId="58DBAFB8" w:rsidR="00F83636" w:rsidRPr="00182991" w:rsidRDefault="00EF4DBE">
      <w:pPr>
        <w:pStyle w:val="SingleTxtG"/>
        <w:rPr>
          <w:lang w:val="en-US"/>
        </w:rPr>
      </w:pPr>
      <w:r>
        <w:rPr>
          <w:lang w:val="en-US"/>
        </w:rPr>
        <w:t>2.</w:t>
      </w:r>
      <w:r w:rsidR="00CE1543">
        <w:rPr>
          <w:lang w:val="en-US"/>
        </w:rPr>
        <w:t>6</w:t>
      </w:r>
      <w:r>
        <w:rPr>
          <w:lang w:val="en-US"/>
        </w:rPr>
        <w:tab/>
      </w:r>
      <w:r w:rsidR="005E3E94">
        <w:rPr>
          <w:lang w:val="en-US"/>
        </w:rPr>
        <w:t xml:space="preserve">The </w:t>
      </w:r>
      <w:r w:rsidR="00661367">
        <w:rPr>
          <w:lang w:val="en-US"/>
        </w:rPr>
        <w:t>author applied to</w:t>
      </w:r>
      <w:r w:rsidR="0022085D">
        <w:rPr>
          <w:lang w:val="en-US"/>
        </w:rPr>
        <w:t xml:space="preserve"> submit an</w:t>
      </w:r>
      <w:r w:rsidR="00661367">
        <w:rPr>
          <w:lang w:val="en-US"/>
        </w:rPr>
        <w:t xml:space="preserve"> appeal </w:t>
      </w:r>
      <w:r w:rsidR="00182991" w:rsidRPr="00182991">
        <w:rPr>
          <w:lang w:val="en-US"/>
        </w:rPr>
        <w:t xml:space="preserve">to the </w:t>
      </w:r>
      <w:r w:rsidR="00B55D42">
        <w:rPr>
          <w:lang w:val="en-US"/>
        </w:rPr>
        <w:t xml:space="preserve">Higher </w:t>
      </w:r>
      <w:r w:rsidR="00182991" w:rsidRPr="00182991">
        <w:rPr>
          <w:lang w:val="en-US"/>
        </w:rPr>
        <w:t xml:space="preserve">Administrative Court </w:t>
      </w:r>
      <w:r w:rsidR="00661367">
        <w:rPr>
          <w:lang w:val="en-US"/>
        </w:rPr>
        <w:t>of Saarland</w:t>
      </w:r>
      <w:r w:rsidR="008D14D6">
        <w:rPr>
          <w:lang w:val="en-US"/>
        </w:rPr>
        <w:t>,</w:t>
      </w:r>
      <w:r w:rsidR="009860BF">
        <w:rPr>
          <w:rStyle w:val="FootnoteReference"/>
          <w:lang w:val="en-US"/>
        </w:rPr>
        <w:footnoteReference w:id="6"/>
      </w:r>
      <w:r w:rsidR="00182991" w:rsidRPr="00182991">
        <w:rPr>
          <w:lang w:val="en-US"/>
        </w:rPr>
        <w:t xml:space="preserve"> </w:t>
      </w:r>
      <w:r w:rsidR="008D14D6">
        <w:rPr>
          <w:lang w:val="en-US"/>
        </w:rPr>
        <w:t>which</w:t>
      </w:r>
      <w:r w:rsidR="00182991" w:rsidRPr="00182991">
        <w:rPr>
          <w:lang w:val="en-US"/>
        </w:rPr>
        <w:t xml:space="preserve"> rejected his application on 7 November 2017.</w:t>
      </w:r>
      <w:r w:rsidR="009860BF">
        <w:rPr>
          <w:rStyle w:val="FootnoteReference"/>
          <w:lang w:val="en-US"/>
        </w:rPr>
        <w:footnoteReference w:id="7"/>
      </w:r>
      <w:r w:rsidR="00182991" w:rsidRPr="00182991">
        <w:rPr>
          <w:lang w:val="en-US"/>
        </w:rPr>
        <w:t xml:space="preserve"> </w:t>
      </w:r>
    </w:p>
    <w:p w14:paraId="6F85C5A6" w14:textId="77777777" w:rsidR="00F83636" w:rsidRPr="00F9242D" w:rsidRDefault="00F83636" w:rsidP="00F83636">
      <w:pPr>
        <w:pStyle w:val="H23G"/>
      </w:pPr>
      <w:r w:rsidRPr="00F9242D">
        <w:tab/>
      </w:r>
      <w:r w:rsidRPr="00F9242D">
        <w:tab/>
      </w:r>
      <w:r w:rsidRPr="00F9242D">
        <w:rPr>
          <w:bCs/>
        </w:rPr>
        <w:t>Complaint</w:t>
      </w:r>
    </w:p>
    <w:p w14:paraId="441CFE11" w14:textId="52B6CC0E" w:rsidR="00DE662E" w:rsidRPr="003C6C5F" w:rsidRDefault="00DE662E" w:rsidP="0022085D">
      <w:pPr>
        <w:pStyle w:val="SingleTxtG"/>
        <w:spacing w:before="120"/>
        <w:rPr>
          <w:bCs/>
          <w:lang w:val="en-US"/>
        </w:rPr>
      </w:pPr>
      <w:r>
        <w:rPr>
          <w:bCs/>
          <w:lang w:val="en-US"/>
        </w:rPr>
        <w:t>3.1</w:t>
      </w:r>
      <w:r w:rsidRPr="003C6C5F">
        <w:rPr>
          <w:bCs/>
          <w:lang w:val="en-US"/>
        </w:rPr>
        <w:tab/>
      </w:r>
      <w:r>
        <w:rPr>
          <w:bCs/>
          <w:lang w:val="en-US"/>
        </w:rPr>
        <w:t xml:space="preserve">The </w:t>
      </w:r>
      <w:r w:rsidRPr="003C6C5F">
        <w:rPr>
          <w:bCs/>
          <w:lang w:val="en-US"/>
        </w:rPr>
        <w:t>author contends that his rights under article 12</w:t>
      </w:r>
      <w:r>
        <w:rPr>
          <w:bCs/>
          <w:lang w:val="en-US"/>
        </w:rPr>
        <w:t xml:space="preserve"> </w:t>
      </w:r>
      <w:r w:rsidRPr="003C6C5F">
        <w:rPr>
          <w:bCs/>
          <w:lang w:val="en-US"/>
        </w:rPr>
        <w:t xml:space="preserve">(1) of the Convention were violated, as the current legislation </w:t>
      </w:r>
      <w:r w:rsidR="00A84E6E">
        <w:rPr>
          <w:bCs/>
          <w:lang w:val="en-US"/>
        </w:rPr>
        <w:t>of</w:t>
      </w:r>
      <w:r>
        <w:rPr>
          <w:bCs/>
          <w:lang w:val="en-US"/>
        </w:rPr>
        <w:t xml:space="preserve"> </w:t>
      </w:r>
      <w:r w:rsidRPr="003C6C5F">
        <w:rPr>
          <w:bCs/>
          <w:lang w:val="en-US"/>
        </w:rPr>
        <w:t xml:space="preserve">Saarland denies children under 18 years </w:t>
      </w:r>
      <w:r w:rsidR="00A84E6E">
        <w:rPr>
          <w:bCs/>
          <w:lang w:val="en-US"/>
        </w:rPr>
        <w:t xml:space="preserve">old </w:t>
      </w:r>
      <w:r w:rsidR="00400889">
        <w:rPr>
          <w:bCs/>
          <w:lang w:val="en-US"/>
        </w:rPr>
        <w:t xml:space="preserve">the right </w:t>
      </w:r>
      <w:r w:rsidRPr="003C6C5F">
        <w:rPr>
          <w:bCs/>
          <w:lang w:val="en-US"/>
        </w:rPr>
        <w:t xml:space="preserve">to freely express </w:t>
      </w:r>
      <w:r w:rsidR="00400889">
        <w:rPr>
          <w:bCs/>
          <w:lang w:val="en-US"/>
        </w:rPr>
        <w:t>their</w:t>
      </w:r>
      <w:r w:rsidRPr="003C6C5F">
        <w:rPr>
          <w:bCs/>
          <w:lang w:val="en-US"/>
        </w:rPr>
        <w:t xml:space="preserve"> political views </w:t>
      </w:r>
      <w:r w:rsidR="00400889">
        <w:rPr>
          <w:bCs/>
          <w:lang w:val="en-US"/>
        </w:rPr>
        <w:t>on</w:t>
      </w:r>
      <w:r w:rsidR="00A84E6E">
        <w:rPr>
          <w:bCs/>
          <w:lang w:val="en-US"/>
        </w:rPr>
        <w:t xml:space="preserve"> </w:t>
      </w:r>
      <w:r w:rsidRPr="003C6C5F">
        <w:rPr>
          <w:bCs/>
          <w:lang w:val="en-US"/>
        </w:rPr>
        <w:t xml:space="preserve">matters </w:t>
      </w:r>
      <w:r w:rsidR="008F5467">
        <w:rPr>
          <w:bCs/>
          <w:lang w:val="en-US"/>
        </w:rPr>
        <w:t>affecting</w:t>
      </w:r>
      <w:r w:rsidRPr="003C6C5F">
        <w:rPr>
          <w:bCs/>
          <w:lang w:val="en-US"/>
        </w:rPr>
        <w:t xml:space="preserve"> them. The author claims that local elections </w:t>
      </w:r>
      <w:r w:rsidR="001316EA">
        <w:rPr>
          <w:bCs/>
          <w:lang w:val="en-US"/>
        </w:rPr>
        <w:t xml:space="preserve">affect </w:t>
      </w:r>
      <w:r w:rsidRPr="003C6C5F">
        <w:rPr>
          <w:bCs/>
          <w:lang w:val="en-US"/>
        </w:rPr>
        <w:t xml:space="preserve">him and </w:t>
      </w:r>
      <w:r w:rsidR="00CC5153">
        <w:rPr>
          <w:bCs/>
          <w:lang w:val="en-US"/>
        </w:rPr>
        <w:t>that 16 years of age give him enough maturity</w:t>
      </w:r>
      <w:r w:rsidR="008918F9">
        <w:rPr>
          <w:bCs/>
          <w:lang w:val="en-US"/>
        </w:rPr>
        <w:t xml:space="preserve"> to vote, as </w:t>
      </w:r>
      <w:r w:rsidR="00400889">
        <w:rPr>
          <w:bCs/>
          <w:lang w:val="en-US"/>
        </w:rPr>
        <w:t xml:space="preserve">it does to 16-year-olds </w:t>
      </w:r>
      <w:r w:rsidR="008918F9">
        <w:rPr>
          <w:bCs/>
          <w:lang w:val="en-US"/>
        </w:rPr>
        <w:t>in other federal states.</w:t>
      </w:r>
    </w:p>
    <w:p w14:paraId="218B9383" w14:textId="0BA80422" w:rsidR="005D34D1" w:rsidRPr="003C6C5F" w:rsidRDefault="005D34D1">
      <w:pPr>
        <w:pStyle w:val="SingleTxtG"/>
        <w:spacing w:before="120"/>
        <w:rPr>
          <w:bCs/>
          <w:lang w:val="en-US"/>
        </w:rPr>
      </w:pPr>
      <w:r>
        <w:rPr>
          <w:bCs/>
          <w:lang w:val="en-US"/>
        </w:rPr>
        <w:t>3.2</w:t>
      </w:r>
      <w:r w:rsidRPr="00242F6D">
        <w:rPr>
          <w:bCs/>
          <w:lang w:val="en-US"/>
        </w:rPr>
        <w:tab/>
      </w:r>
      <w:r w:rsidR="0008674F">
        <w:rPr>
          <w:bCs/>
          <w:lang w:val="en-US"/>
        </w:rPr>
        <w:t>The</w:t>
      </w:r>
      <w:r w:rsidRPr="00242F6D">
        <w:rPr>
          <w:bCs/>
          <w:lang w:val="en-US"/>
        </w:rPr>
        <w:t xml:space="preserve"> author </w:t>
      </w:r>
      <w:r w:rsidR="00400889">
        <w:rPr>
          <w:bCs/>
          <w:lang w:val="en-US"/>
        </w:rPr>
        <w:t xml:space="preserve">also </w:t>
      </w:r>
      <w:r>
        <w:rPr>
          <w:bCs/>
          <w:lang w:val="en-US"/>
        </w:rPr>
        <w:t>claims</w:t>
      </w:r>
      <w:r w:rsidRPr="00242F6D">
        <w:rPr>
          <w:bCs/>
          <w:lang w:val="en-US"/>
        </w:rPr>
        <w:t xml:space="preserve"> that the arguments </w:t>
      </w:r>
      <w:r w:rsidR="00400889">
        <w:rPr>
          <w:bCs/>
          <w:lang w:val="en-US"/>
        </w:rPr>
        <w:t>made</w:t>
      </w:r>
      <w:r w:rsidR="00400889" w:rsidRPr="00242F6D">
        <w:rPr>
          <w:bCs/>
          <w:lang w:val="en-US"/>
        </w:rPr>
        <w:t xml:space="preserve"> </w:t>
      </w:r>
      <w:r w:rsidRPr="00242F6D">
        <w:rPr>
          <w:bCs/>
          <w:lang w:val="en-US"/>
        </w:rPr>
        <w:t>by the Administrative Court</w:t>
      </w:r>
      <w:r w:rsidR="00400889">
        <w:rPr>
          <w:bCs/>
          <w:lang w:val="en-US"/>
        </w:rPr>
        <w:t xml:space="preserve"> on the </w:t>
      </w:r>
      <w:r w:rsidRPr="00242F6D">
        <w:rPr>
          <w:bCs/>
          <w:lang w:val="en-US"/>
        </w:rPr>
        <w:t xml:space="preserve">need to </w:t>
      </w:r>
      <w:r w:rsidR="00400889">
        <w:rPr>
          <w:bCs/>
          <w:lang w:val="en-US"/>
        </w:rPr>
        <w:t>acquire</w:t>
      </w:r>
      <w:r w:rsidR="00400889" w:rsidRPr="00242F6D">
        <w:rPr>
          <w:bCs/>
          <w:lang w:val="en-US"/>
        </w:rPr>
        <w:t xml:space="preserve"> </w:t>
      </w:r>
      <w:r w:rsidRPr="00242F6D">
        <w:rPr>
          <w:bCs/>
          <w:lang w:val="en-US"/>
        </w:rPr>
        <w:t>a minimum degree of discernment and political maturity for the exercise of the right to vote can no longer be legally justifiable since the absence of a certain degree of political discernment cannot</w:t>
      </w:r>
      <w:r w:rsidR="0008674F">
        <w:rPr>
          <w:bCs/>
          <w:lang w:val="en-US"/>
        </w:rPr>
        <w:t>, for instance,</w:t>
      </w:r>
      <w:r w:rsidRPr="00242F6D">
        <w:rPr>
          <w:bCs/>
          <w:lang w:val="en-US"/>
        </w:rPr>
        <w:t xml:space="preserve"> be used as a reason to exclude persons with disabilities from exercising their right to vote. </w:t>
      </w:r>
      <w:r w:rsidRPr="00242F6D">
        <w:t xml:space="preserve">In particular, the author refers to article 29 of </w:t>
      </w:r>
      <w:proofErr w:type="gramStart"/>
      <w:r w:rsidRPr="00242F6D">
        <w:lastRenderedPageBreak/>
        <w:t>the</w:t>
      </w:r>
      <w:proofErr w:type="gramEnd"/>
      <w:r w:rsidRPr="00242F6D">
        <w:t xml:space="preserve"> Convention on the Rights of Persons with Disabilities, which recognizes the obligation of States parties to ensure that people with disabilities can exercise their political rights, including the right to vote and to be elected.</w:t>
      </w:r>
      <w:r w:rsidR="009860BF">
        <w:rPr>
          <w:rStyle w:val="FootnoteReference"/>
        </w:rPr>
        <w:footnoteReference w:id="8"/>
      </w:r>
      <w:r w:rsidRPr="003C6C5F">
        <w:rPr>
          <w:bCs/>
          <w:lang w:val="en-US"/>
        </w:rPr>
        <w:t xml:space="preserve"> </w:t>
      </w:r>
    </w:p>
    <w:p w14:paraId="79FC6D4F" w14:textId="5B87280D" w:rsidR="003C6C5F" w:rsidRPr="003C6C5F" w:rsidRDefault="00DE662E">
      <w:pPr>
        <w:pStyle w:val="SingleTxtG"/>
        <w:spacing w:before="120"/>
        <w:rPr>
          <w:bCs/>
          <w:lang w:val="en-US"/>
        </w:rPr>
      </w:pPr>
      <w:r>
        <w:rPr>
          <w:bCs/>
          <w:lang w:val="en-US"/>
        </w:rPr>
        <w:t>3.</w:t>
      </w:r>
      <w:r w:rsidR="005D34D1">
        <w:rPr>
          <w:bCs/>
          <w:lang w:val="en-US"/>
        </w:rPr>
        <w:t>3</w:t>
      </w:r>
      <w:r w:rsidR="003C6C5F" w:rsidRPr="003C6C5F">
        <w:rPr>
          <w:bCs/>
          <w:lang w:val="en-US"/>
        </w:rPr>
        <w:tab/>
        <w:t xml:space="preserve">The author </w:t>
      </w:r>
      <w:r w:rsidR="00C22DD1">
        <w:rPr>
          <w:bCs/>
          <w:lang w:val="en-US"/>
        </w:rPr>
        <w:t xml:space="preserve">further </w:t>
      </w:r>
      <w:r w:rsidR="003C6C5F" w:rsidRPr="003C6C5F">
        <w:rPr>
          <w:bCs/>
          <w:lang w:val="en-US"/>
        </w:rPr>
        <w:t xml:space="preserve">claims that </w:t>
      </w:r>
      <w:r w:rsidR="00C22DD1">
        <w:rPr>
          <w:bCs/>
          <w:lang w:val="en-US"/>
        </w:rPr>
        <w:t>denying persons</w:t>
      </w:r>
      <w:r w:rsidR="003C6C5F" w:rsidRPr="003C6C5F">
        <w:rPr>
          <w:bCs/>
          <w:lang w:val="en-US"/>
        </w:rPr>
        <w:t xml:space="preserve"> </w:t>
      </w:r>
      <w:r w:rsidR="00C22DD1">
        <w:rPr>
          <w:bCs/>
          <w:lang w:val="en-US"/>
        </w:rPr>
        <w:t>under</w:t>
      </w:r>
      <w:r w:rsidR="003C6C5F" w:rsidRPr="003C6C5F">
        <w:rPr>
          <w:bCs/>
          <w:lang w:val="en-US"/>
        </w:rPr>
        <w:t xml:space="preserve"> 18 </w:t>
      </w:r>
      <w:r w:rsidR="00C22DD1">
        <w:rPr>
          <w:bCs/>
          <w:lang w:val="en-US"/>
        </w:rPr>
        <w:t xml:space="preserve">years of age </w:t>
      </w:r>
      <w:r w:rsidR="003C6C5F" w:rsidRPr="003C6C5F">
        <w:rPr>
          <w:bCs/>
          <w:lang w:val="en-US"/>
        </w:rPr>
        <w:t>th</w:t>
      </w:r>
      <w:r w:rsidR="00761A27">
        <w:rPr>
          <w:bCs/>
          <w:lang w:val="en-US"/>
        </w:rPr>
        <w:t>e right to vote</w:t>
      </w:r>
      <w:r w:rsidR="00C22DD1">
        <w:rPr>
          <w:bCs/>
          <w:lang w:val="en-US"/>
        </w:rPr>
        <w:t>, which</w:t>
      </w:r>
      <w:r w:rsidR="00761A27">
        <w:rPr>
          <w:bCs/>
          <w:lang w:val="en-US"/>
        </w:rPr>
        <w:t xml:space="preserve"> constitute</w:t>
      </w:r>
      <w:r w:rsidR="00D4120F">
        <w:rPr>
          <w:bCs/>
          <w:lang w:val="en-US"/>
        </w:rPr>
        <w:t>s</w:t>
      </w:r>
      <w:r w:rsidR="00761A27">
        <w:rPr>
          <w:bCs/>
          <w:lang w:val="en-US"/>
        </w:rPr>
        <w:t xml:space="preserve"> </w:t>
      </w:r>
      <w:r w:rsidR="00D4120F">
        <w:rPr>
          <w:bCs/>
          <w:lang w:val="en-US"/>
        </w:rPr>
        <w:t xml:space="preserve">a </w:t>
      </w:r>
      <w:r w:rsidR="00761A27">
        <w:rPr>
          <w:bCs/>
          <w:lang w:val="en-US"/>
        </w:rPr>
        <w:t>fundamental political right</w:t>
      </w:r>
      <w:r w:rsidR="00E34EB9">
        <w:rPr>
          <w:bCs/>
          <w:lang w:val="en-US"/>
        </w:rPr>
        <w:t xml:space="preserve"> and </w:t>
      </w:r>
      <w:r w:rsidR="00C22DD1">
        <w:rPr>
          <w:bCs/>
          <w:lang w:val="en-US"/>
        </w:rPr>
        <w:t xml:space="preserve">a </w:t>
      </w:r>
      <w:r w:rsidR="00E34EB9">
        <w:rPr>
          <w:bCs/>
          <w:lang w:val="en-US"/>
        </w:rPr>
        <w:t>basis of democracy</w:t>
      </w:r>
      <w:r w:rsidR="00761A27">
        <w:rPr>
          <w:bCs/>
          <w:lang w:val="en-US"/>
        </w:rPr>
        <w:t xml:space="preserve">, </w:t>
      </w:r>
      <w:r w:rsidR="003C6C5F" w:rsidRPr="003C6C5F">
        <w:rPr>
          <w:bCs/>
          <w:lang w:val="en-US"/>
        </w:rPr>
        <w:t xml:space="preserve">violates the principle of non-discrimination set out in article </w:t>
      </w:r>
      <w:r w:rsidR="00761A27">
        <w:rPr>
          <w:bCs/>
          <w:lang w:val="en-US"/>
        </w:rPr>
        <w:t xml:space="preserve">2 </w:t>
      </w:r>
      <w:r w:rsidR="003C6C5F" w:rsidRPr="003C6C5F">
        <w:rPr>
          <w:bCs/>
          <w:lang w:val="en-US"/>
        </w:rPr>
        <w:t>of the Convention.</w:t>
      </w:r>
      <w:r w:rsidR="009860BF">
        <w:rPr>
          <w:rStyle w:val="FootnoteReference"/>
          <w:bCs/>
          <w:lang w:val="en-US"/>
        </w:rPr>
        <w:footnoteReference w:id="9"/>
      </w:r>
      <w:r w:rsidR="003C6C5F" w:rsidRPr="003C6C5F">
        <w:rPr>
          <w:bCs/>
          <w:lang w:val="en-US"/>
        </w:rPr>
        <w:t xml:space="preserve"> In th</w:t>
      </w:r>
      <w:r w:rsidR="00C22DD1">
        <w:rPr>
          <w:bCs/>
          <w:lang w:val="en-US"/>
        </w:rPr>
        <w:t>at</w:t>
      </w:r>
      <w:r w:rsidR="003C6C5F" w:rsidRPr="003C6C5F">
        <w:rPr>
          <w:bCs/>
          <w:lang w:val="en-US"/>
        </w:rPr>
        <w:t xml:space="preserve"> regard, the author contends that </w:t>
      </w:r>
      <w:r w:rsidR="00EF2577">
        <w:rPr>
          <w:bCs/>
          <w:lang w:val="en-US"/>
        </w:rPr>
        <w:t xml:space="preserve">at the </w:t>
      </w:r>
      <w:r w:rsidR="003C6C5F" w:rsidRPr="003C6C5F">
        <w:rPr>
          <w:bCs/>
          <w:lang w:val="en-US"/>
        </w:rPr>
        <w:t xml:space="preserve">time of </w:t>
      </w:r>
      <w:r w:rsidR="0008674F">
        <w:rPr>
          <w:bCs/>
          <w:lang w:val="en-US"/>
        </w:rPr>
        <w:t xml:space="preserve">the </w:t>
      </w:r>
      <w:r w:rsidR="003C6C5F" w:rsidRPr="003C6C5F">
        <w:rPr>
          <w:bCs/>
          <w:lang w:val="en-US"/>
        </w:rPr>
        <w:t>events</w:t>
      </w:r>
      <w:r w:rsidR="00D11E4C">
        <w:rPr>
          <w:bCs/>
          <w:lang w:val="en-US"/>
        </w:rPr>
        <w:t xml:space="preserve"> a large number of </w:t>
      </w:r>
      <w:r w:rsidR="00A16AB0">
        <w:rPr>
          <w:bCs/>
          <w:lang w:val="en-US"/>
        </w:rPr>
        <w:t>federal s</w:t>
      </w:r>
      <w:r w:rsidR="003C6C5F" w:rsidRPr="003C6C5F">
        <w:rPr>
          <w:bCs/>
          <w:lang w:val="en-US"/>
        </w:rPr>
        <w:t>tates</w:t>
      </w:r>
      <w:r w:rsidR="00D11E4C">
        <w:rPr>
          <w:bCs/>
          <w:lang w:val="en-US"/>
        </w:rPr>
        <w:t xml:space="preserve"> in Germany</w:t>
      </w:r>
      <w:r w:rsidR="003C6C5F" w:rsidRPr="003C6C5F">
        <w:rPr>
          <w:bCs/>
          <w:lang w:val="en-US"/>
        </w:rPr>
        <w:t xml:space="preserve"> and </w:t>
      </w:r>
      <w:r w:rsidR="00C22DD1">
        <w:rPr>
          <w:bCs/>
          <w:lang w:val="en-US"/>
        </w:rPr>
        <w:t xml:space="preserve">of </w:t>
      </w:r>
      <w:r w:rsidR="00EF2577">
        <w:rPr>
          <w:bCs/>
          <w:lang w:val="en-US"/>
        </w:rPr>
        <w:t>States</w:t>
      </w:r>
      <w:r w:rsidR="00D11E4C">
        <w:rPr>
          <w:bCs/>
          <w:lang w:val="en-US"/>
        </w:rPr>
        <w:t xml:space="preserve"> </w:t>
      </w:r>
      <w:r w:rsidR="00C22DD1">
        <w:rPr>
          <w:bCs/>
          <w:lang w:val="en-US"/>
        </w:rPr>
        <w:t xml:space="preserve">members of </w:t>
      </w:r>
      <w:r w:rsidR="003C6C5F" w:rsidRPr="003C6C5F">
        <w:rPr>
          <w:bCs/>
          <w:lang w:val="en-US"/>
        </w:rPr>
        <w:t xml:space="preserve">the European Union had decided to </w:t>
      </w:r>
      <w:r w:rsidR="00C22DD1">
        <w:rPr>
          <w:bCs/>
          <w:lang w:val="en-US"/>
        </w:rPr>
        <w:t xml:space="preserve">lower </w:t>
      </w:r>
      <w:r w:rsidR="003C6C5F" w:rsidRPr="003C6C5F">
        <w:rPr>
          <w:bCs/>
          <w:lang w:val="en-US"/>
        </w:rPr>
        <w:t xml:space="preserve">the age for exercising the </w:t>
      </w:r>
      <w:r w:rsidR="00C22DD1">
        <w:rPr>
          <w:bCs/>
          <w:lang w:val="en-US"/>
        </w:rPr>
        <w:t>right to</w:t>
      </w:r>
      <w:r w:rsidR="00C22DD1" w:rsidRPr="003C6C5F">
        <w:rPr>
          <w:bCs/>
          <w:lang w:val="en-US"/>
        </w:rPr>
        <w:t xml:space="preserve"> </w:t>
      </w:r>
      <w:r w:rsidR="003C6C5F" w:rsidRPr="003C6C5F">
        <w:rPr>
          <w:bCs/>
          <w:lang w:val="en-US"/>
        </w:rPr>
        <w:t>vot</w:t>
      </w:r>
      <w:r w:rsidR="00C22DD1">
        <w:rPr>
          <w:bCs/>
          <w:lang w:val="en-US"/>
        </w:rPr>
        <w:t>e</w:t>
      </w:r>
      <w:r w:rsidR="003C6C5F" w:rsidRPr="003C6C5F">
        <w:rPr>
          <w:bCs/>
          <w:lang w:val="en-US"/>
        </w:rPr>
        <w:t xml:space="preserve"> to 16 years. Th</w:t>
      </w:r>
      <w:r w:rsidR="00C22DD1">
        <w:rPr>
          <w:bCs/>
          <w:lang w:val="en-US"/>
        </w:rPr>
        <w:t>e</w:t>
      </w:r>
      <w:r w:rsidR="003C6C5F" w:rsidRPr="003C6C5F">
        <w:rPr>
          <w:bCs/>
          <w:lang w:val="en-US"/>
        </w:rPr>
        <w:t xml:space="preserve"> situation</w:t>
      </w:r>
      <w:r w:rsidR="00C22DD1">
        <w:rPr>
          <w:bCs/>
          <w:lang w:val="en-US"/>
        </w:rPr>
        <w:t xml:space="preserve"> at hand</w:t>
      </w:r>
      <w:r w:rsidR="003C6C5F" w:rsidRPr="003C6C5F">
        <w:rPr>
          <w:bCs/>
          <w:lang w:val="en-US"/>
        </w:rPr>
        <w:t xml:space="preserve"> therefore entails arbitrary discrimination on </w:t>
      </w:r>
      <w:r w:rsidR="00C22DD1">
        <w:rPr>
          <w:bCs/>
          <w:lang w:val="en-US"/>
        </w:rPr>
        <w:t xml:space="preserve">the </w:t>
      </w:r>
      <w:r w:rsidR="003C6C5F" w:rsidRPr="003C6C5F">
        <w:rPr>
          <w:bCs/>
          <w:lang w:val="en-US"/>
        </w:rPr>
        <w:t>grounds of age</w:t>
      </w:r>
      <w:r w:rsidR="00C22DD1">
        <w:rPr>
          <w:bCs/>
          <w:lang w:val="en-US"/>
        </w:rPr>
        <w:t>,</w:t>
      </w:r>
      <w:r w:rsidR="003C6C5F" w:rsidRPr="003C6C5F">
        <w:rPr>
          <w:bCs/>
          <w:lang w:val="en-US"/>
        </w:rPr>
        <w:t xml:space="preserve"> the place of residence and/or the nationality of the child.</w:t>
      </w:r>
      <w:r w:rsidR="009860BF">
        <w:rPr>
          <w:rStyle w:val="FootnoteReference"/>
          <w:bCs/>
          <w:lang w:val="en-US"/>
        </w:rPr>
        <w:footnoteReference w:id="10"/>
      </w:r>
    </w:p>
    <w:p w14:paraId="096EED16" w14:textId="1B25969A" w:rsidR="00DE662E" w:rsidRPr="003C6C5F" w:rsidRDefault="00DE662E">
      <w:pPr>
        <w:pStyle w:val="SingleTxtG"/>
        <w:spacing w:before="120"/>
        <w:rPr>
          <w:bCs/>
          <w:lang w:val="en-US"/>
        </w:rPr>
      </w:pPr>
      <w:r w:rsidRPr="003C6C5F">
        <w:rPr>
          <w:bCs/>
          <w:lang w:val="en-US"/>
        </w:rPr>
        <w:t>3.</w:t>
      </w:r>
      <w:r w:rsidR="005D34D1">
        <w:rPr>
          <w:bCs/>
          <w:lang w:val="en-US"/>
        </w:rPr>
        <w:t>4</w:t>
      </w:r>
      <w:r w:rsidRPr="003C6C5F">
        <w:rPr>
          <w:bCs/>
          <w:lang w:val="en-US"/>
        </w:rPr>
        <w:tab/>
        <w:t xml:space="preserve">The author submits that </w:t>
      </w:r>
      <w:r w:rsidR="00A360AE">
        <w:rPr>
          <w:bCs/>
          <w:lang w:val="en-US"/>
        </w:rPr>
        <w:t xml:space="preserve">denial of </w:t>
      </w:r>
      <w:r w:rsidRPr="003C6C5F">
        <w:rPr>
          <w:bCs/>
          <w:lang w:val="en-US"/>
        </w:rPr>
        <w:t>his right to vote contravenes the principle of the best interest</w:t>
      </w:r>
      <w:r w:rsidR="00A84310">
        <w:rPr>
          <w:bCs/>
          <w:lang w:val="en-US"/>
        </w:rPr>
        <w:t>s</w:t>
      </w:r>
      <w:r w:rsidRPr="003C6C5F">
        <w:rPr>
          <w:bCs/>
          <w:lang w:val="en-US"/>
        </w:rPr>
        <w:t xml:space="preserve"> of the child enshrined in article 3</w:t>
      </w:r>
      <w:r>
        <w:rPr>
          <w:bCs/>
          <w:lang w:val="en-US"/>
        </w:rPr>
        <w:t xml:space="preserve"> </w:t>
      </w:r>
      <w:r w:rsidRPr="003C6C5F">
        <w:rPr>
          <w:bCs/>
          <w:lang w:val="en-US"/>
        </w:rPr>
        <w:t xml:space="preserve">(1) of the Convention. </w:t>
      </w:r>
      <w:r w:rsidR="00A360AE">
        <w:rPr>
          <w:bCs/>
          <w:lang w:val="en-US"/>
        </w:rPr>
        <w:t>Denying persons</w:t>
      </w:r>
      <w:r w:rsidRPr="003C6C5F">
        <w:rPr>
          <w:bCs/>
          <w:lang w:val="en-US"/>
        </w:rPr>
        <w:t xml:space="preserve"> under 18</w:t>
      </w:r>
      <w:r w:rsidR="00A360AE">
        <w:rPr>
          <w:bCs/>
          <w:lang w:val="en-US"/>
        </w:rPr>
        <w:t xml:space="preserve"> years of age</w:t>
      </w:r>
      <w:r w:rsidRPr="003C6C5F">
        <w:rPr>
          <w:bCs/>
          <w:lang w:val="en-US"/>
        </w:rPr>
        <w:t xml:space="preserve"> </w:t>
      </w:r>
      <w:r w:rsidR="00A360AE">
        <w:rPr>
          <w:bCs/>
          <w:lang w:val="en-US"/>
        </w:rPr>
        <w:t>the</w:t>
      </w:r>
      <w:r w:rsidRPr="003C6C5F">
        <w:rPr>
          <w:bCs/>
          <w:lang w:val="en-US"/>
        </w:rPr>
        <w:t xml:space="preserve"> right to vote represents a legislative restriction</w:t>
      </w:r>
      <w:r w:rsidR="00A360AE">
        <w:rPr>
          <w:bCs/>
          <w:lang w:val="en-US"/>
        </w:rPr>
        <w:t xml:space="preserve"> that</w:t>
      </w:r>
      <w:r w:rsidRPr="003C6C5F">
        <w:rPr>
          <w:bCs/>
          <w:lang w:val="en-US"/>
        </w:rPr>
        <w:t xml:space="preserve"> cannot be in the </w:t>
      </w:r>
      <w:r w:rsidR="00A360AE">
        <w:rPr>
          <w:bCs/>
          <w:lang w:val="en-US"/>
        </w:rPr>
        <w:t xml:space="preserve">best </w:t>
      </w:r>
      <w:r w:rsidRPr="003C6C5F">
        <w:rPr>
          <w:bCs/>
          <w:lang w:val="en-US"/>
        </w:rPr>
        <w:t>interest</w:t>
      </w:r>
      <w:r w:rsidR="00A84310">
        <w:rPr>
          <w:bCs/>
          <w:lang w:val="en-US"/>
        </w:rPr>
        <w:t>s</w:t>
      </w:r>
      <w:r w:rsidRPr="003C6C5F">
        <w:rPr>
          <w:bCs/>
          <w:lang w:val="en-US"/>
        </w:rPr>
        <w:t xml:space="preserve"> of </w:t>
      </w:r>
      <w:r w:rsidR="00270450">
        <w:rPr>
          <w:bCs/>
          <w:lang w:val="en-US"/>
        </w:rPr>
        <w:t>the</w:t>
      </w:r>
      <w:r w:rsidRPr="003C6C5F">
        <w:rPr>
          <w:bCs/>
          <w:lang w:val="en-US"/>
        </w:rPr>
        <w:t xml:space="preserve"> child.</w:t>
      </w:r>
    </w:p>
    <w:p w14:paraId="68BBE542" w14:textId="6D76682F" w:rsidR="003C6C5F" w:rsidRDefault="00B32F9C" w:rsidP="00162838">
      <w:pPr>
        <w:pStyle w:val="SingleTxtG"/>
        <w:spacing w:before="120"/>
        <w:rPr>
          <w:bCs/>
          <w:lang w:val="en-US"/>
        </w:rPr>
      </w:pPr>
      <w:r>
        <w:rPr>
          <w:bCs/>
          <w:lang w:val="en-US"/>
        </w:rPr>
        <w:t>3.5</w:t>
      </w:r>
      <w:r w:rsidR="003C6C5F" w:rsidRPr="003C6C5F">
        <w:rPr>
          <w:bCs/>
          <w:lang w:val="en-US"/>
        </w:rPr>
        <w:tab/>
        <w:t>The author concludes that</w:t>
      </w:r>
      <w:r w:rsidR="00A360AE">
        <w:rPr>
          <w:bCs/>
          <w:lang w:val="en-US"/>
        </w:rPr>
        <w:t>,</w:t>
      </w:r>
      <w:r w:rsidR="003C6C5F" w:rsidRPr="003C6C5F">
        <w:rPr>
          <w:bCs/>
          <w:lang w:val="en-US"/>
        </w:rPr>
        <w:t xml:space="preserve"> </w:t>
      </w:r>
      <w:r w:rsidR="00C67984">
        <w:rPr>
          <w:bCs/>
          <w:lang w:val="en-US"/>
        </w:rPr>
        <w:t xml:space="preserve">in Saarland, </w:t>
      </w:r>
      <w:r w:rsidR="003C6C5F" w:rsidRPr="003C6C5F">
        <w:rPr>
          <w:bCs/>
          <w:lang w:val="en-US"/>
        </w:rPr>
        <w:t xml:space="preserve">immediate legislative action should be taken to </w:t>
      </w:r>
      <w:r w:rsidR="00A360AE">
        <w:rPr>
          <w:bCs/>
          <w:lang w:val="en-US"/>
        </w:rPr>
        <w:t>lower</w:t>
      </w:r>
      <w:r w:rsidR="00A360AE" w:rsidRPr="003C6C5F">
        <w:rPr>
          <w:bCs/>
          <w:lang w:val="en-US"/>
        </w:rPr>
        <w:t xml:space="preserve"> </w:t>
      </w:r>
      <w:r w:rsidR="003C6C5F" w:rsidRPr="003C6C5F">
        <w:rPr>
          <w:bCs/>
          <w:lang w:val="en-US"/>
        </w:rPr>
        <w:t xml:space="preserve">the age limit for the right to vote at least to 16 years of age, in accordance with </w:t>
      </w:r>
      <w:r>
        <w:rPr>
          <w:bCs/>
          <w:lang w:val="en-US"/>
        </w:rPr>
        <w:t>article 4 of the Convention.</w:t>
      </w:r>
    </w:p>
    <w:p w14:paraId="0B57072C" w14:textId="0E534944" w:rsidR="0084459F" w:rsidRPr="003C6C5F" w:rsidRDefault="0084459F">
      <w:pPr>
        <w:pStyle w:val="SingleTxtG"/>
        <w:rPr>
          <w:lang w:val="en-US"/>
        </w:rPr>
      </w:pPr>
      <w:r>
        <w:rPr>
          <w:lang w:val="en-US"/>
        </w:rPr>
        <w:t>3</w:t>
      </w:r>
      <w:r>
        <w:t>.6</w:t>
      </w:r>
      <w:r w:rsidRPr="00F9242D">
        <w:tab/>
      </w:r>
      <w:r w:rsidRPr="003C6C5F">
        <w:t>The author claims that all available</w:t>
      </w:r>
      <w:r w:rsidR="00156721">
        <w:t xml:space="preserve"> and</w:t>
      </w:r>
      <w:r w:rsidRPr="003C6C5F">
        <w:t xml:space="preserve"> effective domestic remedies </w:t>
      </w:r>
      <w:r w:rsidR="00156721">
        <w:t>were</w:t>
      </w:r>
      <w:r w:rsidRPr="003C6C5F">
        <w:t xml:space="preserve"> exhausted with the rejection of the author’s claims by the </w:t>
      </w:r>
      <w:r w:rsidR="00D11E4C" w:rsidRPr="00182991">
        <w:rPr>
          <w:lang w:val="en-US"/>
        </w:rPr>
        <w:t>the Highe</w:t>
      </w:r>
      <w:r w:rsidR="00765589">
        <w:rPr>
          <w:lang w:val="en-US"/>
        </w:rPr>
        <w:t>r</w:t>
      </w:r>
      <w:r w:rsidR="00D11E4C" w:rsidRPr="00182991">
        <w:rPr>
          <w:lang w:val="en-US"/>
        </w:rPr>
        <w:t xml:space="preserve"> Administrative Court</w:t>
      </w:r>
      <w:r w:rsidRPr="003C6C5F">
        <w:t xml:space="preserve"> of Saarland. Although the author </w:t>
      </w:r>
      <w:r w:rsidR="00156721">
        <w:t>could have</w:t>
      </w:r>
      <w:r w:rsidRPr="003C6C5F">
        <w:t xml:space="preserve"> submit</w:t>
      </w:r>
      <w:r w:rsidR="00156721">
        <w:t>ted</w:t>
      </w:r>
      <w:r w:rsidRPr="003C6C5F">
        <w:t xml:space="preserve"> a complaint to the Constitutional Court of Saarland, </w:t>
      </w:r>
      <w:r w:rsidR="00156721">
        <w:t>seeking</w:t>
      </w:r>
      <w:r w:rsidRPr="003C6C5F">
        <w:t xml:space="preserve"> remedy</w:t>
      </w:r>
      <w:r w:rsidR="00156721">
        <w:t xml:space="preserve"> through that avenue</w:t>
      </w:r>
      <w:r w:rsidRPr="003C6C5F">
        <w:t xml:space="preserve"> </w:t>
      </w:r>
      <w:r w:rsidR="00A16AB0">
        <w:t xml:space="preserve">would have been hopeless from the outset, as the Constitutional </w:t>
      </w:r>
      <w:r w:rsidR="00A16AB0" w:rsidRPr="00F56543">
        <w:t xml:space="preserve">Court </w:t>
      </w:r>
      <w:r w:rsidR="00F56543" w:rsidRPr="00F56543">
        <w:t>upholds</w:t>
      </w:r>
      <w:r w:rsidR="00F56543">
        <w:t xml:space="preserve"> </w:t>
      </w:r>
      <w:r w:rsidR="00A16AB0">
        <w:t xml:space="preserve">the categorical exclusion of minors from the right to vote and </w:t>
      </w:r>
      <w:r w:rsidR="00156721">
        <w:t xml:space="preserve">its decision </w:t>
      </w:r>
      <w:r w:rsidR="00A16AB0">
        <w:t>would have been based on the permanent case</w:t>
      </w:r>
      <w:r w:rsidR="00156721">
        <w:t xml:space="preserve"> </w:t>
      </w:r>
      <w:r w:rsidR="00A16AB0">
        <w:t>law of the Federal Constitutional Court, which</w:t>
      </w:r>
      <w:r w:rsidR="00156721">
        <w:t xml:space="preserve"> has</w:t>
      </w:r>
      <w:r w:rsidR="00EF2577">
        <w:t xml:space="preserve"> for decades</w:t>
      </w:r>
      <w:r w:rsidR="00A16AB0">
        <w:t xml:space="preserve"> justified exclu</w:t>
      </w:r>
      <w:r w:rsidR="00156721">
        <w:t>ding</w:t>
      </w:r>
      <w:r w:rsidR="00A16AB0">
        <w:t xml:space="preserve"> </w:t>
      </w:r>
      <w:r w:rsidR="00EF2577">
        <w:t xml:space="preserve">minors </w:t>
      </w:r>
      <w:r w:rsidR="00A16AB0">
        <w:t>from the right to vote without any discussion and with</w:t>
      </w:r>
      <w:r w:rsidR="00156721">
        <w:t xml:space="preserve">out </w:t>
      </w:r>
      <w:r w:rsidR="00162838">
        <w:t>seeking</w:t>
      </w:r>
      <w:r w:rsidR="00156721">
        <w:t xml:space="preserve"> the</w:t>
      </w:r>
      <w:r w:rsidR="00A16AB0">
        <w:t xml:space="preserve"> insight of minors.</w:t>
      </w:r>
      <w:r w:rsidR="009860BF">
        <w:rPr>
          <w:rStyle w:val="FootnoteReference"/>
        </w:rPr>
        <w:footnoteReference w:id="11"/>
      </w:r>
      <w:r w:rsidR="00A16AB0">
        <w:t xml:space="preserve"> </w:t>
      </w:r>
      <w:r w:rsidRPr="003C6C5F">
        <w:t xml:space="preserve">Since </w:t>
      </w:r>
      <w:r w:rsidR="00156721">
        <w:t>a</w:t>
      </w:r>
      <w:r w:rsidRPr="003C6C5F">
        <w:t xml:space="preserve"> national decision was </w:t>
      </w:r>
      <w:r w:rsidR="00156721">
        <w:t xml:space="preserve">last </w:t>
      </w:r>
      <w:r w:rsidRPr="003C6C5F">
        <w:t xml:space="preserve">notified to the author on 7 December 2017, the present communication was submitted </w:t>
      </w:r>
      <w:r w:rsidR="00B32F9C">
        <w:t>within the time</w:t>
      </w:r>
      <w:r w:rsidR="00156721">
        <w:t xml:space="preserve"> </w:t>
      </w:r>
      <w:r w:rsidR="00B32F9C">
        <w:t>frame</w:t>
      </w:r>
      <w:r w:rsidR="00156721">
        <w:t xml:space="preserve"> set out in article 7 (h) of the Optional Protocol on a communications procedure</w:t>
      </w:r>
      <w:r w:rsidRPr="003C6C5F">
        <w:t>.</w:t>
      </w:r>
    </w:p>
    <w:p w14:paraId="4B97FF95" w14:textId="2A0B5290" w:rsidR="00F83636" w:rsidRPr="00F9242D" w:rsidRDefault="00F536C0" w:rsidP="00F536C0">
      <w:pPr>
        <w:pStyle w:val="H23G"/>
      </w:pPr>
      <w:r>
        <w:tab/>
      </w:r>
      <w:r>
        <w:tab/>
      </w:r>
      <w:r w:rsidR="00F83636" w:rsidRPr="00F9242D">
        <w:t>State party</w:t>
      </w:r>
      <w:r w:rsidR="003D123F" w:rsidRPr="00F9242D">
        <w:t>’</w:t>
      </w:r>
      <w:r w:rsidR="00F83636" w:rsidRPr="00F9242D">
        <w:t>s observations on admissibility</w:t>
      </w:r>
    </w:p>
    <w:p w14:paraId="2134C941" w14:textId="073A2DD0" w:rsidR="00F83636" w:rsidRDefault="00F83636">
      <w:pPr>
        <w:pStyle w:val="SingleTxtG"/>
      </w:pPr>
      <w:r w:rsidRPr="008803C5">
        <w:t>4.1</w:t>
      </w:r>
      <w:r w:rsidRPr="008803C5">
        <w:tab/>
        <w:t xml:space="preserve">In </w:t>
      </w:r>
      <w:r w:rsidR="008803C5" w:rsidRPr="008803C5">
        <w:t>its observations submitted on 15 January 2019</w:t>
      </w:r>
      <w:r w:rsidRPr="008803C5">
        <w:t xml:space="preserve">, </w:t>
      </w:r>
      <w:r w:rsidR="008803C5" w:rsidRPr="008803C5">
        <w:t>the State party claim</w:t>
      </w:r>
      <w:r w:rsidR="00661F54">
        <w:t>s</w:t>
      </w:r>
      <w:r w:rsidR="008803C5" w:rsidRPr="008803C5">
        <w:t xml:space="preserve"> that the communication </w:t>
      </w:r>
      <w:r w:rsidR="00661F54">
        <w:t>is</w:t>
      </w:r>
      <w:r w:rsidR="008803C5" w:rsidRPr="008803C5">
        <w:t xml:space="preserve"> inadmissible because the author faile</w:t>
      </w:r>
      <w:r w:rsidR="00407433">
        <w:t xml:space="preserve">d to exhaust domestic remedies, </w:t>
      </w:r>
      <w:r w:rsidR="00086736">
        <w:t xml:space="preserve">as </w:t>
      </w:r>
      <w:r w:rsidR="00E924B4">
        <w:t>required under article 7 (e)</w:t>
      </w:r>
      <w:r w:rsidR="0044474D">
        <w:t xml:space="preserve"> of the Optional Protocol. The State party </w:t>
      </w:r>
      <w:r w:rsidR="00C61133">
        <w:t xml:space="preserve">submits that the author </w:t>
      </w:r>
      <w:r w:rsidR="00086736">
        <w:t>neither</w:t>
      </w:r>
      <w:r w:rsidR="00667D91">
        <w:t xml:space="preserve"> </w:t>
      </w:r>
      <w:r w:rsidR="008803C5" w:rsidRPr="008803C5">
        <w:t>file</w:t>
      </w:r>
      <w:r w:rsidR="00086736">
        <w:t>d</w:t>
      </w:r>
      <w:r w:rsidR="008803C5" w:rsidRPr="008803C5">
        <w:t xml:space="preserve"> a complaint with the Constitutional Court of Saarland</w:t>
      </w:r>
      <w:r w:rsidR="00086736">
        <w:t>,</w:t>
      </w:r>
      <w:r w:rsidR="008803C5" w:rsidRPr="008803C5">
        <w:t xml:space="preserve"> </w:t>
      </w:r>
      <w:r w:rsidR="00EF2577">
        <w:t>nor</w:t>
      </w:r>
      <w:r w:rsidR="00086736">
        <w:t xml:space="preserve"> did he</w:t>
      </w:r>
      <w:r w:rsidR="00EF2577">
        <w:t xml:space="preserve"> </w:t>
      </w:r>
      <w:r w:rsidR="008803C5" w:rsidRPr="008803C5">
        <w:t>raise the issue presented to the Committee</w:t>
      </w:r>
      <w:r w:rsidR="00EF2577">
        <w:t xml:space="preserve"> before </w:t>
      </w:r>
      <w:r w:rsidR="00086736">
        <w:t xml:space="preserve">the </w:t>
      </w:r>
      <w:r w:rsidR="00EF2577">
        <w:t>domestic courts</w:t>
      </w:r>
      <w:r w:rsidR="008803C5" w:rsidRPr="008803C5">
        <w:t>.</w:t>
      </w:r>
      <w:r w:rsidR="001571A8">
        <w:t xml:space="preserve"> The State party contends that </w:t>
      </w:r>
      <w:r w:rsidR="00086736">
        <w:t xml:space="preserve">by </w:t>
      </w:r>
      <w:r w:rsidR="001571A8">
        <w:t>immediate</w:t>
      </w:r>
      <w:r w:rsidR="00086736">
        <w:t>ly</w:t>
      </w:r>
      <w:r w:rsidR="001571A8">
        <w:t xml:space="preserve"> referr</w:t>
      </w:r>
      <w:r w:rsidR="00086736">
        <w:t>ing</w:t>
      </w:r>
      <w:r w:rsidR="001571A8">
        <w:t xml:space="preserve"> to the Committee the author deprived the domestic </w:t>
      </w:r>
      <w:r w:rsidR="00086736">
        <w:t>C</w:t>
      </w:r>
      <w:r w:rsidR="001571A8">
        <w:t xml:space="preserve">onstitutional </w:t>
      </w:r>
      <w:r w:rsidR="00086736">
        <w:t>C</w:t>
      </w:r>
      <w:r w:rsidR="001571A8">
        <w:t xml:space="preserve">ourt </w:t>
      </w:r>
      <w:r w:rsidR="00E95708">
        <w:t xml:space="preserve">of the opportunity to comment on the relations and consequence on the application of the </w:t>
      </w:r>
      <w:r w:rsidR="00E95708" w:rsidRPr="00162838">
        <w:t xml:space="preserve">Convention with regard to the </w:t>
      </w:r>
      <w:r w:rsidR="00086736" w:rsidRPr="00162838">
        <w:t xml:space="preserve">local </w:t>
      </w:r>
      <w:r w:rsidR="00E95708" w:rsidRPr="00162838">
        <w:t>election law of Saarland.</w:t>
      </w:r>
    </w:p>
    <w:p w14:paraId="47897810" w14:textId="5D0AC159" w:rsidR="00FE6634" w:rsidRPr="008803C5" w:rsidRDefault="00FE6634">
      <w:pPr>
        <w:pStyle w:val="SingleTxtG"/>
      </w:pPr>
      <w:r>
        <w:t>4.2</w:t>
      </w:r>
      <w:r>
        <w:tab/>
      </w:r>
      <w:r w:rsidR="00661F54">
        <w:t xml:space="preserve">The State party also </w:t>
      </w:r>
      <w:r w:rsidR="00235D6D">
        <w:t>notes</w:t>
      </w:r>
      <w:r w:rsidR="0048110E">
        <w:t xml:space="preserve"> that</w:t>
      </w:r>
      <w:r w:rsidR="00086736">
        <w:t>,</w:t>
      </w:r>
      <w:r w:rsidR="0048110E">
        <w:t xml:space="preserve"> p</w:t>
      </w:r>
      <w:r w:rsidR="00661F54" w:rsidRPr="00661F54">
        <w:t xml:space="preserve">ursuant to article 7 </w:t>
      </w:r>
      <w:r w:rsidR="002E61A1">
        <w:t>(</w:t>
      </w:r>
      <w:r w:rsidR="00661F54" w:rsidRPr="00661F54">
        <w:t>d</w:t>
      </w:r>
      <w:r w:rsidR="002E61A1">
        <w:t xml:space="preserve">) of </w:t>
      </w:r>
      <w:r w:rsidR="00D722D1">
        <w:t xml:space="preserve">the </w:t>
      </w:r>
      <w:r w:rsidR="00661F54" w:rsidRPr="00661F54">
        <w:t>Optional Protocol</w:t>
      </w:r>
      <w:r w:rsidR="002E61A1">
        <w:t xml:space="preserve">, </w:t>
      </w:r>
      <w:r w:rsidR="00086736">
        <w:t xml:space="preserve">the communication should be considered </w:t>
      </w:r>
      <w:r w:rsidR="00661F54" w:rsidRPr="00661F54">
        <w:t xml:space="preserve">inadmissible if the same matter has already been examined by the Committee or has been or is in the process of being examined </w:t>
      </w:r>
      <w:r w:rsidR="00270450">
        <w:t>under</w:t>
      </w:r>
      <w:r w:rsidR="00270450" w:rsidRPr="00661F54">
        <w:t xml:space="preserve"> </w:t>
      </w:r>
      <w:r w:rsidR="00661F54" w:rsidRPr="00661F54">
        <w:t xml:space="preserve">any other </w:t>
      </w:r>
      <w:r w:rsidR="00F13FC5">
        <w:t xml:space="preserve">procedure of </w:t>
      </w:r>
      <w:r w:rsidR="00661F54" w:rsidRPr="00661F54">
        <w:t>international investigation or settlement. In th</w:t>
      </w:r>
      <w:r w:rsidR="00F13FC5">
        <w:t>at</w:t>
      </w:r>
      <w:r w:rsidR="00661F54" w:rsidRPr="00661F54">
        <w:t xml:space="preserve"> regard, </w:t>
      </w:r>
      <w:r w:rsidR="00CB5904">
        <w:t xml:space="preserve">the State party </w:t>
      </w:r>
      <w:r w:rsidR="00002CEB">
        <w:t xml:space="preserve">submits that the author </w:t>
      </w:r>
      <w:r w:rsidR="00F13FC5">
        <w:t xml:space="preserve">has </w:t>
      </w:r>
      <w:r w:rsidR="00661F54" w:rsidRPr="00661F54">
        <w:t>provide</w:t>
      </w:r>
      <w:r w:rsidR="00F13FC5">
        <w:t>d</w:t>
      </w:r>
      <w:r w:rsidR="00661F54" w:rsidRPr="00661F54">
        <w:t xml:space="preserve"> no information on whether he has referred the case to other international bodies.</w:t>
      </w:r>
    </w:p>
    <w:p w14:paraId="49471CDB" w14:textId="5297023B" w:rsidR="00F83636" w:rsidRPr="00F9242D" w:rsidRDefault="00B32F9C" w:rsidP="00B32F9C">
      <w:pPr>
        <w:pStyle w:val="H23G"/>
      </w:pPr>
      <w:r>
        <w:lastRenderedPageBreak/>
        <w:tab/>
      </w:r>
      <w:r>
        <w:tab/>
      </w:r>
      <w:r w:rsidR="00F83636" w:rsidRPr="00F9242D">
        <w:t>Author</w:t>
      </w:r>
      <w:r w:rsidR="003D123F" w:rsidRPr="00F9242D">
        <w:t>’</w:t>
      </w:r>
      <w:r w:rsidR="00F83636" w:rsidRPr="00F9242D">
        <w:t>s comments on the State party</w:t>
      </w:r>
      <w:r w:rsidR="003D123F" w:rsidRPr="00F9242D">
        <w:t>’</w:t>
      </w:r>
      <w:r w:rsidR="00F83636" w:rsidRPr="00F9242D">
        <w:t>s observations</w:t>
      </w:r>
    </w:p>
    <w:p w14:paraId="363962FF" w14:textId="00A85C3C" w:rsidR="00B75DFC" w:rsidRDefault="000554BA">
      <w:pPr>
        <w:pStyle w:val="SingleTxtG"/>
      </w:pPr>
      <w:r>
        <w:t>5.1</w:t>
      </w:r>
      <w:r>
        <w:tab/>
      </w:r>
      <w:r w:rsidRPr="00407433">
        <w:t xml:space="preserve">In his comments submitted on 15 April 2019 </w:t>
      </w:r>
      <w:r>
        <w:t xml:space="preserve">regarding the exhaustion of domestic remedies pursuant to </w:t>
      </w:r>
      <w:r w:rsidRPr="00661F54">
        <w:t xml:space="preserve">article 7 </w:t>
      </w:r>
      <w:r>
        <w:t xml:space="preserve">(e) of the </w:t>
      </w:r>
      <w:r w:rsidRPr="00661F54">
        <w:t>Optional Protocol</w:t>
      </w:r>
      <w:r>
        <w:t xml:space="preserve">, </w:t>
      </w:r>
      <w:r w:rsidRPr="00407433">
        <w:t>the author notes that</w:t>
      </w:r>
      <w:r w:rsidR="00F13FC5">
        <w:t>,</w:t>
      </w:r>
      <w:r w:rsidRPr="00407433">
        <w:t xml:space="preserve"> in German law, the national legal process refers only to the civil, criminal </w:t>
      </w:r>
      <w:r>
        <w:t xml:space="preserve">and </w:t>
      </w:r>
      <w:r w:rsidRPr="00407433">
        <w:t>administrative courts and not to the Constitutional Court.</w:t>
      </w:r>
      <w:r w:rsidR="00F536C0">
        <w:rPr>
          <w:rStyle w:val="FootnoteReference"/>
        </w:rPr>
        <w:footnoteReference w:id="12"/>
      </w:r>
      <w:r w:rsidRPr="00407433">
        <w:t xml:space="preserve"> </w:t>
      </w:r>
    </w:p>
    <w:p w14:paraId="7BBC8DBB" w14:textId="4FF3A128" w:rsidR="00D722D1" w:rsidRDefault="00F83636" w:rsidP="0073322C">
      <w:pPr>
        <w:pStyle w:val="SingleTxtG"/>
        <w:keepNext/>
        <w:jc w:val="lowKashida"/>
      </w:pPr>
      <w:r w:rsidRPr="00407433">
        <w:t>5.</w:t>
      </w:r>
      <w:r w:rsidR="000554BA">
        <w:t>2</w:t>
      </w:r>
      <w:r w:rsidR="00B32F9C">
        <w:tab/>
      </w:r>
      <w:r w:rsidR="00C22C80">
        <w:t xml:space="preserve">The author contends that </w:t>
      </w:r>
      <w:r w:rsidR="00F13FC5">
        <w:t xml:space="preserve">even if </w:t>
      </w:r>
      <w:r w:rsidR="00C22C80">
        <w:t xml:space="preserve">the complaint </w:t>
      </w:r>
      <w:r w:rsidR="009B25A4">
        <w:t xml:space="preserve">to </w:t>
      </w:r>
      <w:r w:rsidR="00021C6B">
        <w:t xml:space="preserve">the </w:t>
      </w:r>
      <w:r w:rsidR="00F13FC5">
        <w:t>C</w:t>
      </w:r>
      <w:r w:rsidR="009B25A4">
        <w:t xml:space="preserve">onstitutional </w:t>
      </w:r>
      <w:r w:rsidR="00F13FC5">
        <w:t>C</w:t>
      </w:r>
      <w:r w:rsidR="009B25A4">
        <w:t xml:space="preserve">ourt </w:t>
      </w:r>
      <w:r w:rsidR="00F13FC5">
        <w:t xml:space="preserve">was </w:t>
      </w:r>
      <w:r w:rsidR="009B25A4">
        <w:t xml:space="preserve">a prerequisite for the exhaustion of </w:t>
      </w:r>
      <w:r w:rsidR="00021C6B">
        <w:t>domestic</w:t>
      </w:r>
      <w:r w:rsidR="009B25A4">
        <w:t xml:space="preserve"> remedies </w:t>
      </w:r>
      <w:r w:rsidR="00021C6B">
        <w:t xml:space="preserve">under </w:t>
      </w:r>
      <w:r w:rsidR="009B25A4">
        <w:t>article 7</w:t>
      </w:r>
      <w:r w:rsidR="00F13FC5">
        <w:t xml:space="preserve"> </w:t>
      </w:r>
      <w:r w:rsidR="00021C6B">
        <w:t>(e) of the</w:t>
      </w:r>
      <w:r w:rsidR="009B25A4">
        <w:t xml:space="preserve"> Optional Protocol, </w:t>
      </w:r>
      <w:r w:rsidR="00F13FC5">
        <w:t xml:space="preserve">such </w:t>
      </w:r>
      <w:r w:rsidR="00923EC8" w:rsidRPr="00407433">
        <w:t>a complaint had no prospect of success</w:t>
      </w:r>
      <w:r w:rsidR="001B6376">
        <w:t xml:space="preserve"> in the case of the author</w:t>
      </w:r>
      <w:r w:rsidR="001B457C">
        <w:t xml:space="preserve">. The author </w:t>
      </w:r>
      <w:r w:rsidR="00F13FC5">
        <w:t>points to</w:t>
      </w:r>
      <w:r w:rsidR="00923EC8" w:rsidRPr="00407433">
        <w:t xml:space="preserve"> article 64 of the Constitution of Saarland</w:t>
      </w:r>
      <w:r w:rsidR="00F13FC5">
        <w:t>, which</w:t>
      </w:r>
      <w:r w:rsidR="00923EC8" w:rsidRPr="00407433">
        <w:t xml:space="preserve"> provides </w:t>
      </w:r>
      <w:r w:rsidR="00B75DFC">
        <w:t xml:space="preserve">that </w:t>
      </w:r>
      <w:r w:rsidR="00923EC8" w:rsidRPr="00407433">
        <w:t>all Germans over the age of 18</w:t>
      </w:r>
      <w:r w:rsidR="00F13FC5">
        <w:t xml:space="preserve"> years</w:t>
      </w:r>
      <w:r w:rsidR="00923EC8" w:rsidRPr="00407433">
        <w:t xml:space="preserve"> are entitle</w:t>
      </w:r>
      <w:r w:rsidR="00C97455">
        <w:t>d</w:t>
      </w:r>
      <w:r w:rsidR="00923EC8" w:rsidRPr="00407433">
        <w:t xml:space="preserve"> to vote,</w:t>
      </w:r>
      <w:r w:rsidR="00F536C0">
        <w:rPr>
          <w:rStyle w:val="FootnoteReference"/>
        </w:rPr>
        <w:footnoteReference w:id="13"/>
      </w:r>
      <w:r w:rsidR="00923EC8" w:rsidRPr="00407433">
        <w:t xml:space="preserve"> </w:t>
      </w:r>
      <w:r w:rsidR="00F13FC5">
        <w:t xml:space="preserve">and submits that </w:t>
      </w:r>
      <w:r w:rsidR="00923EC8" w:rsidRPr="00407433">
        <w:t xml:space="preserve">the interpretation of the Constitutional Court </w:t>
      </w:r>
      <w:r w:rsidR="00407433" w:rsidRPr="00407433">
        <w:t>of S</w:t>
      </w:r>
      <w:r w:rsidR="00923EC8" w:rsidRPr="00407433">
        <w:t>aarland would be in line with th</w:t>
      </w:r>
      <w:r w:rsidR="00F13FC5">
        <w:t>at</w:t>
      </w:r>
      <w:r w:rsidR="00923EC8" w:rsidRPr="00407433">
        <w:t xml:space="preserve"> provision. He als</w:t>
      </w:r>
      <w:r w:rsidR="00C97455">
        <w:t xml:space="preserve">o </w:t>
      </w:r>
      <w:r w:rsidR="002019C9">
        <w:t xml:space="preserve">argues </w:t>
      </w:r>
      <w:r w:rsidR="00C97455">
        <w:t xml:space="preserve">that </w:t>
      </w:r>
      <w:r w:rsidR="00923EC8" w:rsidRPr="00407433">
        <w:t xml:space="preserve">the </w:t>
      </w:r>
      <w:r w:rsidR="00F13FC5">
        <w:t>C</w:t>
      </w:r>
      <w:r w:rsidR="00923EC8" w:rsidRPr="00407433">
        <w:t xml:space="preserve">ourt would </w:t>
      </w:r>
      <w:r w:rsidR="00B75DFC">
        <w:t>rely on</w:t>
      </w:r>
      <w:r w:rsidR="00AB2BEA">
        <w:t xml:space="preserve"> the Basic Law of Germany and</w:t>
      </w:r>
      <w:r w:rsidR="00923EC8" w:rsidRPr="00407433">
        <w:t xml:space="preserve"> </w:t>
      </w:r>
      <w:r w:rsidR="00B75DFC">
        <w:t xml:space="preserve">on </w:t>
      </w:r>
      <w:r w:rsidR="00923EC8" w:rsidRPr="00407433">
        <w:t xml:space="preserve">the case law of the Federal Constitutional Court, </w:t>
      </w:r>
      <w:r w:rsidR="00F13FC5">
        <w:t xml:space="preserve">neither of </w:t>
      </w:r>
      <w:r w:rsidR="00923EC8" w:rsidRPr="00407433">
        <w:t>which</w:t>
      </w:r>
      <w:r w:rsidR="00F13FC5">
        <w:t xml:space="preserve"> uphold minors’</w:t>
      </w:r>
      <w:r w:rsidR="00923EC8" w:rsidRPr="00407433">
        <w:t xml:space="preserve"> right to vote.</w:t>
      </w:r>
      <w:r w:rsidR="00F536C0">
        <w:rPr>
          <w:rStyle w:val="FootnoteReference"/>
        </w:rPr>
        <w:footnoteReference w:id="14"/>
      </w:r>
      <w:r w:rsidR="00D722D1" w:rsidRPr="00D722D1">
        <w:t xml:space="preserve"> </w:t>
      </w:r>
    </w:p>
    <w:p w14:paraId="796164A8" w14:textId="736B4F2E" w:rsidR="00D722D1" w:rsidRPr="00407433" w:rsidRDefault="00D722D1">
      <w:pPr>
        <w:pStyle w:val="SingleTxtG"/>
        <w:keepNext/>
      </w:pPr>
      <w:r w:rsidRPr="008B59ED">
        <w:t>5.</w:t>
      </w:r>
      <w:r w:rsidR="00B32F9C">
        <w:t>3</w:t>
      </w:r>
      <w:r w:rsidRPr="008B59ED">
        <w:tab/>
        <w:t xml:space="preserve">The author </w:t>
      </w:r>
      <w:r w:rsidR="00F13FC5">
        <w:t>states</w:t>
      </w:r>
      <w:r w:rsidR="00F13FC5" w:rsidRPr="008B59ED">
        <w:t xml:space="preserve"> </w:t>
      </w:r>
      <w:r w:rsidR="00DC0785" w:rsidRPr="008B59ED">
        <w:t xml:space="preserve">that </w:t>
      </w:r>
      <w:r w:rsidR="00F13FC5">
        <w:t xml:space="preserve">the present </w:t>
      </w:r>
      <w:r w:rsidR="00B75DFC">
        <w:t>communication</w:t>
      </w:r>
      <w:r w:rsidR="00747EF2" w:rsidRPr="008B59ED">
        <w:t xml:space="preserve"> has been submitted </w:t>
      </w:r>
      <w:r w:rsidR="00F13FC5">
        <w:t xml:space="preserve">only </w:t>
      </w:r>
      <w:r w:rsidR="00747EF2" w:rsidRPr="008B59ED">
        <w:t>to the Committee</w:t>
      </w:r>
      <w:r w:rsidR="00F13FC5">
        <w:t>,</w:t>
      </w:r>
      <w:r w:rsidR="00B0524C" w:rsidRPr="008B59ED">
        <w:t xml:space="preserve"> not to any other international bod</w:t>
      </w:r>
      <w:r w:rsidR="00F13FC5">
        <w:t>y</w:t>
      </w:r>
      <w:r w:rsidR="00B0524C" w:rsidRPr="008B59ED">
        <w:t>.</w:t>
      </w:r>
    </w:p>
    <w:p w14:paraId="590F35B1" w14:textId="77777777" w:rsidR="00F83636" w:rsidRPr="00F9242D" w:rsidRDefault="00F83636" w:rsidP="00F83636">
      <w:pPr>
        <w:pStyle w:val="H23G"/>
      </w:pPr>
      <w:r w:rsidRPr="00F9242D">
        <w:tab/>
      </w:r>
      <w:r w:rsidRPr="00F9242D">
        <w:tab/>
      </w:r>
      <w:r w:rsidRPr="00F9242D">
        <w:rPr>
          <w:bCs/>
        </w:rPr>
        <w:t>Issues and proceedings before the Committee</w:t>
      </w:r>
    </w:p>
    <w:p w14:paraId="378BB2AD" w14:textId="77777777" w:rsidR="00F83636" w:rsidRPr="00F9242D" w:rsidRDefault="00F83636" w:rsidP="00F83636">
      <w:pPr>
        <w:pStyle w:val="H4G"/>
      </w:pPr>
      <w:r w:rsidRPr="00F9242D">
        <w:tab/>
      </w:r>
      <w:r w:rsidRPr="00F9242D">
        <w:tab/>
      </w:r>
      <w:r w:rsidRPr="00F9242D">
        <w:rPr>
          <w:iCs/>
        </w:rPr>
        <w:t>Consideration of admissibility</w:t>
      </w:r>
    </w:p>
    <w:p w14:paraId="0552557E" w14:textId="76C98793" w:rsidR="00F83636" w:rsidRDefault="00F83636">
      <w:pPr>
        <w:pStyle w:val="SingleTxtG"/>
      </w:pPr>
      <w:r w:rsidRPr="00B94701">
        <w:t>6.1</w:t>
      </w:r>
      <w:r w:rsidRPr="00B94701">
        <w:tab/>
        <w:t>Before considering any claim contained in a communication, the Committee must decide, in accordance with rule 20 of its rules of procedure, whether the communication is admissible under the Optional Protocol.</w:t>
      </w:r>
    </w:p>
    <w:p w14:paraId="52B5F1D6" w14:textId="65E3CE63" w:rsidR="00B71CB3" w:rsidRDefault="00B71CB3">
      <w:pPr>
        <w:pStyle w:val="SingleTxtG"/>
      </w:pPr>
      <w:r>
        <w:t>6.2</w:t>
      </w:r>
      <w:r>
        <w:tab/>
      </w:r>
      <w:r w:rsidR="00F13FC5">
        <w:t xml:space="preserve">With </w:t>
      </w:r>
      <w:r w:rsidR="00975505">
        <w:t xml:space="preserve">regard to </w:t>
      </w:r>
      <w:r w:rsidR="00EA6E6C">
        <w:t xml:space="preserve">whether </w:t>
      </w:r>
      <w:r w:rsidR="00A259D9">
        <w:t>the same matter has been or is being examined under another procedure of international investigation or settlement</w:t>
      </w:r>
      <w:r w:rsidR="00311DC0">
        <w:t xml:space="preserve">, the Committee notes that </w:t>
      </w:r>
      <w:r w:rsidR="00285698">
        <w:t xml:space="preserve">in its observations dated </w:t>
      </w:r>
      <w:r w:rsidR="00285698" w:rsidRPr="008803C5">
        <w:t>15 January 2019</w:t>
      </w:r>
      <w:r w:rsidR="00285698">
        <w:t xml:space="preserve"> </w:t>
      </w:r>
      <w:r w:rsidR="00311DC0">
        <w:t xml:space="preserve">the State party contends </w:t>
      </w:r>
      <w:r w:rsidR="00235D6D">
        <w:t>that it is not clear that the author’s case has been or is being examined under another procedure</w:t>
      </w:r>
      <w:r w:rsidR="002371A8">
        <w:t xml:space="preserve"> and that </w:t>
      </w:r>
      <w:r w:rsidR="00B0524C">
        <w:t xml:space="preserve">in his </w:t>
      </w:r>
      <w:r w:rsidR="00A80546">
        <w:t xml:space="preserve">comments </w:t>
      </w:r>
      <w:r w:rsidR="00B0524C">
        <w:t xml:space="preserve">dated 15 April 2019 </w:t>
      </w:r>
      <w:r w:rsidR="00285698">
        <w:t xml:space="preserve">the author </w:t>
      </w:r>
      <w:r w:rsidR="00642D95" w:rsidRPr="008B59ED">
        <w:t>indicates that the same matter has not been examined under another procedure of international investigation or settlement.</w:t>
      </w:r>
    </w:p>
    <w:p w14:paraId="20C352E8" w14:textId="6BB58BC2" w:rsidR="00B0524C" w:rsidRPr="00B94701" w:rsidRDefault="00B0524C">
      <w:pPr>
        <w:pStyle w:val="SingleTxtG"/>
      </w:pPr>
      <w:r>
        <w:t>6.3</w:t>
      </w:r>
      <w:r>
        <w:tab/>
        <w:t xml:space="preserve">Thus, the Committee considers </w:t>
      </w:r>
      <w:r w:rsidR="006E2F7D">
        <w:t>the present communication</w:t>
      </w:r>
      <w:r>
        <w:t xml:space="preserve"> admissible </w:t>
      </w:r>
      <w:r w:rsidR="006E2F7D">
        <w:t xml:space="preserve">with </w:t>
      </w:r>
      <w:r>
        <w:t>regard to article 7 (</w:t>
      </w:r>
      <w:r w:rsidR="00F90071">
        <w:t xml:space="preserve">d) of the Optional Protocol. </w:t>
      </w:r>
    </w:p>
    <w:p w14:paraId="104E1812" w14:textId="2A020BFA" w:rsidR="00AA14E2" w:rsidRDefault="00F83636">
      <w:pPr>
        <w:pStyle w:val="SingleTxtG"/>
      </w:pPr>
      <w:r w:rsidRPr="009D5C42">
        <w:t>6.</w:t>
      </w:r>
      <w:r w:rsidR="00F90071">
        <w:t>4</w:t>
      </w:r>
      <w:r w:rsidRPr="009D5C42">
        <w:tab/>
        <w:t xml:space="preserve">The Committee notes </w:t>
      </w:r>
      <w:r w:rsidR="00285698">
        <w:t xml:space="preserve">that in its observations dated </w:t>
      </w:r>
      <w:r w:rsidR="00285698" w:rsidRPr="008803C5">
        <w:t>15 January 2019</w:t>
      </w:r>
      <w:r w:rsidR="00285698">
        <w:t xml:space="preserve"> </w:t>
      </w:r>
      <w:r w:rsidR="002739B4">
        <w:t>the State party</w:t>
      </w:r>
      <w:r w:rsidR="0009002F">
        <w:t xml:space="preserve"> challenge</w:t>
      </w:r>
      <w:r w:rsidR="00285698">
        <w:t>s</w:t>
      </w:r>
      <w:r w:rsidR="002739B4">
        <w:t xml:space="preserve"> </w:t>
      </w:r>
      <w:r w:rsidR="0009002F" w:rsidRPr="007D1A21">
        <w:t xml:space="preserve">the admissibility of the communication on the grounds that </w:t>
      </w:r>
      <w:r w:rsidR="00285698">
        <w:t xml:space="preserve">the author did not exhaust domestic remedies by appealing to </w:t>
      </w:r>
      <w:r w:rsidR="002739B4">
        <w:t xml:space="preserve">the </w:t>
      </w:r>
      <w:r w:rsidR="00D4120F">
        <w:t>C</w:t>
      </w:r>
      <w:r w:rsidR="00842CA8" w:rsidRPr="009D5C42">
        <w:t xml:space="preserve">onstitutional </w:t>
      </w:r>
      <w:r w:rsidR="00D4120F">
        <w:t>C</w:t>
      </w:r>
      <w:r w:rsidR="00F536C0">
        <w:t xml:space="preserve">ourt. </w:t>
      </w:r>
      <w:r w:rsidR="00285698">
        <w:t xml:space="preserve">In that regard, the </w:t>
      </w:r>
      <w:r w:rsidR="00842CA8" w:rsidRPr="009D5C42">
        <w:t xml:space="preserve">Committee notes </w:t>
      </w:r>
      <w:r w:rsidR="00285698">
        <w:t xml:space="preserve">the 15 April 2019 submission in which </w:t>
      </w:r>
      <w:r w:rsidR="006E2F7D">
        <w:t xml:space="preserve">the author </w:t>
      </w:r>
      <w:r w:rsidR="00285698">
        <w:t>indicate</w:t>
      </w:r>
      <w:r w:rsidR="006E2F7D">
        <w:t>s</w:t>
      </w:r>
      <w:r w:rsidR="00285698">
        <w:t xml:space="preserve"> that the </w:t>
      </w:r>
      <w:r w:rsidR="006E2F7D">
        <w:t>C</w:t>
      </w:r>
      <w:r w:rsidR="00285698">
        <w:t xml:space="preserve">onstitutional </w:t>
      </w:r>
      <w:r w:rsidR="006E2F7D">
        <w:t>C</w:t>
      </w:r>
      <w:r w:rsidR="00285698">
        <w:t xml:space="preserve">ourt would not have </w:t>
      </w:r>
      <w:r w:rsidR="006E2F7D">
        <w:t xml:space="preserve">provided </w:t>
      </w:r>
      <w:r w:rsidR="00285698">
        <w:t xml:space="preserve">an effective remedy since it would have ruled </w:t>
      </w:r>
      <w:r w:rsidR="006E2F7D">
        <w:t xml:space="preserve">first </w:t>
      </w:r>
      <w:r w:rsidR="00285698">
        <w:t xml:space="preserve">in line with the </w:t>
      </w:r>
      <w:r w:rsidR="00842CA8">
        <w:t xml:space="preserve">clear constitutional provision that </w:t>
      </w:r>
      <w:r w:rsidR="00285698">
        <w:t xml:space="preserve">only </w:t>
      </w:r>
      <w:r w:rsidR="00842CA8">
        <w:t xml:space="preserve">persons above </w:t>
      </w:r>
      <w:r w:rsidR="00D573FA">
        <w:t xml:space="preserve">the age of 18 </w:t>
      </w:r>
      <w:r w:rsidR="006E2F7D">
        <w:t xml:space="preserve">years </w:t>
      </w:r>
      <w:r w:rsidR="00842CA8">
        <w:t>are entitl</w:t>
      </w:r>
      <w:r w:rsidR="00897AAE">
        <w:t xml:space="preserve">ed to vote </w:t>
      </w:r>
      <w:r w:rsidR="00285698">
        <w:t xml:space="preserve">and then </w:t>
      </w:r>
      <w:r w:rsidR="00D573FA">
        <w:t xml:space="preserve">against his application. </w:t>
      </w:r>
    </w:p>
    <w:p w14:paraId="16BEF617" w14:textId="557F19C3" w:rsidR="009F2F29" w:rsidRDefault="00AA14E2">
      <w:pPr>
        <w:pStyle w:val="SingleTxtG"/>
      </w:pPr>
      <w:r>
        <w:t>6.</w:t>
      </w:r>
      <w:r w:rsidR="00BD7C7A">
        <w:t>5</w:t>
      </w:r>
      <w:r>
        <w:tab/>
      </w:r>
      <w:r w:rsidR="00285698">
        <w:t>The</w:t>
      </w:r>
      <w:r w:rsidR="005C6EFF">
        <w:t xml:space="preserve"> Committee </w:t>
      </w:r>
      <w:r w:rsidR="00285698">
        <w:t xml:space="preserve">recalls </w:t>
      </w:r>
      <w:r w:rsidR="004717C2" w:rsidRPr="004717C2">
        <w:t xml:space="preserve">that </w:t>
      </w:r>
      <w:r w:rsidR="004717C2">
        <w:t>author</w:t>
      </w:r>
      <w:r w:rsidR="006E2F7D">
        <w:t>s</w:t>
      </w:r>
      <w:r w:rsidR="004717C2" w:rsidRPr="004717C2">
        <w:t xml:space="preserve"> must make use of all judicial </w:t>
      </w:r>
      <w:r w:rsidR="00E8110E">
        <w:t>and/</w:t>
      </w:r>
      <w:r w:rsidR="004717C2" w:rsidRPr="004717C2">
        <w:t xml:space="preserve">or administrative avenues that </w:t>
      </w:r>
      <w:r w:rsidR="006E2F7D">
        <w:t xml:space="preserve">may </w:t>
      </w:r>
      <w:r w:rsidR="004717C2" w:rsidRPr="004717C2">
        <w:t>offer</w:t>
      </w:r>
      <w:r w:rsidR="006E2F7D">
        <w:t xml:space="preserve"> them</w:t>
      </w:r>
      <w:r w:rsidR="004717C2" w:rsidRPr="004717C2">
        <w:t xml:space="preserve"> a reasonable prospect of redress. </w:t>
      </w:r>
      <w:r w:rsidR="006E2F7D">
        <w:t>Moreover, t</w:t>
      </w:r>
      <w:r w:rsidR="004717C2" w:rsidRPr="004717C2">
        <w:t xml:space="preserve">he Committee </w:t>
      </w:r>
      <w:r w:rsidR="0015109B">
        <w:t>considers</w:t>
      </w:r>
      <w:r w:rsidR="004717C2" w:rsidRPr="004717C2">
        <w:t xml:space="preserve"> that domestic remedies need not be exhausted if they objectively have no prospect of success</w:t>
      </w:r>
      <w:r w:rsidR="006E2F7D">
        <w:t>, for example in cases</w:t>
      </w:r>
      <w:r w:rsidR="004717C2" w:rsidRPr="004717C2">
        <w:t xml:space="preserve"> where under applicable domestic laws the claim would inevitably be dismissed or where established jurisprudence of the highest domestic tribunals would preclude a positive result.</w:t>
      </w:r>
      <w:r w:rsidR="004717C2" w:rsidRPr="004717C2">
        <w:rPr>
          <w:vertAlign w:val="superscript"/>
        </w:rPr>
        <w:footnoteReference w:id="15"/>
      </w:r>
      <w:r w:rsidR="004717C2" w:rsidRPr="004717C2">
        <w:t xml:space="preserve"> However, the Committee </w:t>
      </w:r>
      <w:r w:rsidR="009F2F29">
        <w:t xml:space="preserve">notes that mere doubts or assumptions about </w:t>
      </w:r>
      <w:r w:rsidR="00162878">
        <w:t xml:space="preserve">the success or effectiveness of remedies </w:t>
      </w:r>
      <w:r w:rsidR="009F2F29">
        <w:t>do not absolve the authors from exhausting them.</w:t>
      </w:r>
      <w:r w:rsidR="00F536C0">
        <w:rPr>
          <w:rStyle w:val="FootnoteReference"/>
        </w:rPr>
        <w:footnoteReference w:id="16"/>
      </w:r>
    </w:p>
    <w:p w14:paraId="42A6708E" w14:textId="046D6DD4" w:rsidR="00F83636" w:rsidRPr="008B59ED" w:rsidRDefault="0015109B">
      <w:pPr>
        <w:pStyle w:val="SingleTxtG"/>
      </w:pPr>
      <w:r>
        <w:lastRenderedPageBreak/>
        <w:t>6.</w:t>
      </w:r>
      <w:r w:rsidR="00BD7C7A">
        <w:t>6</w:t>
      </w:r>
      <w:r>
        <w:tab/>
        <w:t xml:space="preserve">In </w:t>
      </w:r>
      <w:r w:rsidR="00E71E60">
        <w:t>the</w:t>
      </w:r>
      <w:r>
        <w:t xml:space="preserve"> present case, the Committee </w:t>
      </w:r>
      <w:r w:rsidR="005C6EFF">
        <w:t xml:space="preserve">considers </w:t>
      </w:r>
      <w:r w:rsidR="00D47AC9">
        <w:t>that</w:t>
      </w:r>
      <w:r w:rsidR="00FE25B2">
        <w:t xml:space="preserve">, in order to raise the claims to the national level, it would </w:t>
      </w:r>
      <w:r w:rsidR="00270450">
        <w:t>have been</w:t>
      </w:r>
      <w:r w:rsidR="00FE25B2">
        <w:t xml:space="preserve"> logical for the author to</w:t>
      </w:r>
      <w:r w:rsidR="00D47AC9">
        <w:t xml:space="preserve"> </w:t>
      </w:r>
      <w:r w:rsidR="00FE25B2">
        <w:t xml:space="preserve">submit </w:t>
      </w:r>
      <w:r w:rsidR="00D47AC9">
        <w:t xml:space="preserve">a </w:t>
      </w:r>
      <w:r w:rsidR="0009002F">
        <w:t xml:space="preserve">constitutional </w:t>
      </w:r>
      <w:r w:rsidR="0028616A">
        <w:t>complaint</w:t>
      </w:r>
      <w:r w:rsidR="00CC6CED">
        <w:t>,</w:t>
      </w:r>
      <w:r w:rsidR="0009002F" w:rsidRPr="009D5C42">
        <w:t xml:space="preserve"> </w:t>
      </w:r>
      <w:r w:rsidR="00CC6CED">
        <w:t xml:space="preserve">an </w:t>
      </w:r>
      <w:r w:rsidR="0009002F" w:rsidRPr="009D5C42">
        <w:t xml:space="preserve">avenue </w:t>
      </w:r>
      <w:r w:rsidR="00CC6CED">
        <w:t xml:space="preserve">that was </w:t>
      </w:r>
      <w:r w:rsidR="00326200">
        <w:t>available to the author at the time of</w:t>
      </w:r>
      <w:r w:rsidR="00CC6CED">
        <w:t xml:space="preserve"> the</w:t>
      </w:r>
      <w:r w:rsidR="00326200">
        <w:t xml:space="preserve"> events</w:t>
      </w:r>
      <w:r w:rsidR="00CC6CED">
        <w:t xml:space="preserve"> in question</w:t>
      </w:r>
      <w:r w:rsidR="0009002F" w:rsidRPr="009D5C42">
        <w:t xml:space="preserve">. </w:t>
      </w:r>
      <w:r w:rsidR="001C561C">
        <w:t xml:space="preserve">The </w:t>
      </w:r>
      <w:r w:rsidR="00E71E60">
        <w:t xml:space="preserve">Committee notes the author’s allegation that there is no prospect </w:t>
      </w:r>
      <w:r w:rsidR="00D47AC9">
        <w:t xml:space="preserve">of success </w:t>
      </w:r>
      <w:r w:rsidR="00E71E60">
        <w:t xml:space="preserve">in </w:t>
      </w:r>
      <w:r w:rsidR="00FE25B2">
        <w:t>seeking a</w:t>
      </w:r>
      <w:r w:rsidR="00E71E60">
        <w:t xml:space="preserve"> constitutional remedy, but it also notes that the author </w:t>
      </w:r>
      <w:r w:rsidR="00D47AC9">
        <w:t xml:space="preserve">does not substantiate his allegations </w:t>
      </w:r>
      <w:r w:rsidR="00F536C0">
        <w:t>through previous</w:t>
      </w:r>
      <w:r w:rsidR="0028616A">
        <w:t xml:space="preserve"> jurisprudence, </w:t>
      </w:r>
      <w:r w:rsidR="00326200">
        <w:t xml:space="preserve">either </w:t>
      </w:r>
      <w:r w:rsidR="0028616A">
        <w:t xml:space="preserve">of </w:t>
      </w:r>
      <w:r w:rsidR="00E71E60">
        <w:t xml:space="preserve">the Constitutional Court of Saarland or the Federal Constitutional Court. </w:t>
      </w:r>
      <w:r w:rsidR="00F536C0">
        <w:t>The Committee considers that</w:t>
      </w:r>
      <w:r w:rsidR="00F86F2E">
        <w:t xml:space="preserve"> a constitutional motion should not be considered to be bound to fail simply because of the current constitutional text</w:t>
      </w:r>
      <w:r w:rsidR="00C07598">
        <w:t>s</w:t>
      </w:r>
      <w:r w:rsidR="00F86F2E">
        <w:t xml:space="preserve"> and </w:t>
      </w:r>
      <w:r w:rsidR="00D47AC9">
        <w:t xml:space="preserve">a few </w:t>
      </w:r>
      <w:r w:rsidR="00114A6C">
        <w:t xml:space="preserve">general </w:t>
      </w:r>
      <w:r w:rsidR="00F86F2E">
        <w:t xml:space="preserve">precedents. </w:t>
      </w:r>
      <w:r w:rsidR="00326200">
        <w:t xml:space="preserve">The Committee also considers that the Constitutional Court of Saarland should have been given the opportunity to interpret the Constitution </w:t>
      </w:r>
      <w:r w:rsidR="001011A3">
        <w:t xml:space="preserve">of Saarland </w:t>
      </w:r>
      <w:r w:rsidR="00326200">
        <w:t xml:space="preserve">in light of the </w:t>
      </w:r>
      <w:r w:rsidR="00D47AC9">
        <w:t xml:space="preserve">claims of the author and the provisions of </w:t>
      </w:r>
      <w:r w:rsidR="00F536C0">
        <w:t>the Convention</w:t>
      </w:r>
      <w:r w:rsidR="00326200">
        <w:t xml:space="preserve"> invoked</w:t>
      </w:r>
      <w:r w:rsidR="00CC6CED">
        <w:t xml:space="preserve"> by him</w:t>
      </w:r>
      <w:r w:rsidR="00326200">
        <w:t xml:space="preserve">. </w:t>
      </w:r>
      <w:r w:rsidR="00AA14E2" w:rsidRPr="00AA14E2">
        <w:t xml:space="preserve">In the absence of further </w:t>
      </w:r>
      <w:r w:rsidR="001011A3">
        <w:t xml:space="preserve">reasoning </w:t>
      </w:r>
      <w:r w:rsidR="00AA14E2" w:rsidRPr="00AA14E2">
        <w:t xml:space="preserve">from the author </w:t>
      </w:r>
      <w:r w:rsidR="00D47AC9">
        <w:t xml:space="preserve">as to why he did not attempt </w:t>
      </w:r>
      <w:r w:rsidR="000D4809">
        <w:t xml:space="preserve">to </w:t>
      </w:r>
      <w:r w:rsidR="00D47AC9">
        <w:t>pursue</w:t>
      </w:r>
      <w:r w:rsidR="001011A3">
        <w:t xml:space="preserve"> the constitutional remedy</w:t>
      </w:r>
      <w:r w:rsidR="00AA14E2">
        <w:t xml:space="preserve">, </w:t>
      </w:r>
      <w:r w:rsidR="000D4809">
        <w:t xml:space="preserve">other than the mere </w:t>
      </w:r>
      <w:r w:rsidR="00C964EE">
        <w:t>doubt</w:t>
      </w:r>
      <w:r w:rsidR="000D4809">
        <w:t xml:space="preserve"> of prospects of success</w:t>
      </w:r>
      <w:r w:rsidR="000C0627">
        <w:t xml:space="preserve">, </w:t>
      </w:r>
      <w:r w:rsidR="00DE662E" w:rsidRPr="00AA14E2">
        <w:t>the Committee</w:t>
      </w:r>
      <w:r w:rsidR="00AA14E2" w:rsidRPr="00AA14E2">
        <w:t xml:space="preserve"> </w:t>
      </w:r>
      <w:r w:rsidR="000D4809">
        <w:t xml:space="preserve">considers that the author did not exhaust </w:t>
      </w:r>
      <w:r w:rsidR="00AA14E2" w:rsidRPr="00AA14E2">
        <w:t>all domestic remedies that were reasonably av</w:t>
      </w:r>
      <w:r w:rsidR="00AA14E2">
        <w:t xml:space="preserve">ailable to him to challenge the </w:t>
      </w:r>
      <w:r w:rsidR="000D4809">
        <w:t xml:space="preserve">alleged </w:t>
      </w:r>
      <w:r w:rsidR="00AA14E2" w:rsidRPr="00AA14E2">
        <w:t>violation of his rights under artic</w:t>
      </w:r>
      <w:r w:rsidR="00AA14E2">
        <w:t>le</w:t>
      </w:r>
      <w:r w:rsidR="00EB47AB">
        <w:t>s</w:t>
      </w:r>
      <w:r w:rsidR="00AA14E2">
        <w:t xml:space="preserve"> 2</w:t>
      </w:r>
      <w:r w:rsidR="00EB47AB">
        <w:t xml:space="preserve"> </w:t>
      </w:r>
      <w:r w:rsidR="00AA14E2">
        <w:t>(1), 3</w:t>
      </w:r>
      <w:r w:rsidR="00EB47AB">
        <w:t xml:space="preserve"> </w:t>
      </w:r>
      <w:r w:rsidR="00AA14E2">
        <w:t xml:space="preserve">(1), 4 and </w:t>
      </w:r>
      <w:r w:rsidR="00AA14E2" w:rsidRPr="00AA14E2">
        <w:t>12 (1)</w:t>
      </w:r>
      <w:r w:rsidR="00DE662E">
        <w:t xml:space="preserve"> </w:t>
      </w:r>
      <w:r w:rsidR="00AA14E2">
        <w:t>of the Convention.</w:t>
      </w:r>
    </w:p>
    <w:p w14:paraId="0638D0C1" w14:textId="751B1263" w:rsidR="00F83636" w:rsidRPr="00F9242D" w:rsidRDefault="00AA14E2">
      <w:pPr>
        <w:pStyle w:val="SingleTxtG"/>
      </w:pPr>
      <w:r>
        <w:t>6.</w:t>
      </w:r>
      <w:r w:rsidR="00BD7C7A">
        <w:t>7</w:t>
      </w:r>
      <w:r w:rsidR="00F83636" w:rsidRPr="00F9242D">
        <w:tab/>
        <w:t xml:space="preserve">Consequently, the Committee declares </w:t>
      </w:r>
      <w:r w:rsidR="00EB47AB">
        <w:t>the communication</w:t>
      </w:r>
      <w:r w:rsidR="00F83636" w:rsidRPr="00F9242D">
        <w:t xml:space="preserve"> inadmissible </w:t>
      </w:r>
      <w:r w:rsidR="006B7158" w:rsidRPr="004D61F3">
        <w:t xml:space="preserve">for non-exhaustion of domestic remedies </w:t>
      </w:r>
      <w:r w:rsidR="00F943A6">
        <w:t>under article 7 (e</w:t>
      </w:r>
      <w:r w:rsidR="00F83636" w:rsidRPr="00F9242D">
        <w:t>) of the Optional Protocol.</w:t>
      </w:r>
    </w:p>
    <w:p w14:paraId="4CAD356F" w14:textId="77777777" w:rsidR="00F83636" w:rsidRPr="00F9242D" w:rsidRDefault="00F83636" w:rsidP="00F83636">
      <w:pPr>
        <w:pStyle w:val="SingleTxtG"/>
        <w:keepNext/>
      </w:pPr>
      <w:r w:rsidRPr="00F9242D">
        <w:t>7.</w:t>
      </w:r>
      <w:r w:rsidRPr="00F9242D">
        <w:tab/>
        <w:t>The Committee on the Rights of the Child decides:</w:t>
      </w:r>
    </w:p>
    <w:p w14:paraId="2BE7BB71" w14:textId="77777777" w:rsidR="00F83636" w:rsidRPr="00F9242D" w:rsidRDefault="00965F23" w:rsidP="00432A3B">
      <w:pPr>
        <w:pStyle w:val="SingleTxtG"/>
      </w:pPr>
      <w:r w:rsidRPr="00F9242D">
        <w:tab/>
      </w:r>
      <w:r w:rsidR="00F83636" w:rsidRPr="00F9242D">
        <w:t>(a)</w:t>
      </w:r>
      <w:r w:rsidR="00F83636" w:rsidRPr="00F9242D">
        <w:tab/>
        <w:t>That the communication is</w:t>
      </w:r>
      <w:r w:rsidR="00F943A6">
        <w:t xml:space="preserve"> inadmissible under article 7 (e</w:t>
      </w:r>
      <w:r w:rsidR="00F83636" w:rsidRPr="00F9242D">
        <w:t>) of the Optional Protocol;</w:t>
      </w:r>
    </w:p>
    <w:p w14:paraId="740EA8E7" w14:textId="2A9D5EE5" w:rsidR="00F83636" w:rsidRPr="00F9242D" w:rsidRDefault="00965F23" w:rsidP="00432A3B">
      <w:pPr>
        <w:pStyle w:val="SingleTxtG"/>
      </w:pPr>
      <w:r w:rsidRPr="00F9242D">
        <w:tab/>
      </w:r>
      <w:r w:rsidR="00F83636" w:rsidRPr="00F9242D">
        <w:t>(b)</w:t>
      </w:r>
      <w:r w:rsidR="00F83636" w:rsidRPr="00F9242D">
        <w:tab/>
        <w:t>That th</w:t>
      </w:r>
      <w:r w:rsidR="00EB47AB">
        <w:t>e present</w:t>
      </w:r>
      <w:r w:rsidR="00F83636" w:rsidRPr="00F9242D">
        <w:t xml:space="preserve"> decision shall be transmitted to the author of the communication and, for information, to the State party.</w:t>
      </w:r>
    </w:p>
    <w:p w14:paraId="7172915D" w14:textId="49B6269F" w:rsidR="00FC708D" w:rsidRDefault="00F83636" w:rsidP="00F83636">
      <w:pPr>
        <w:pStyle w:val="SingleTxtG"/>
        <w:spacing w:before="240" w:after="0"/>
        <w:jc w:val="center"/>
        <w:rPr>
          <w:u w:val="single"/>
        </w:rPr>
      </w:pPr>
      <w:r w:rsidRPr="00F9242D">
        <w:rPr>
          <w:u w:val="single"/>
        </w:rPr>
        <w:tab/>
      </w:r>
      <w:r w:rsidRPr="00F9242D">
        <w:rPr>
          <w:u w:val="single"/>
        </w:rPr>
        <w:tab/>
      </w:r>
      <w:r w:rsidRPr="00F9242D">
        <w:rPr>
          <w:u w:val="single"/>
        </w:rPr>
        <w:tab/>
      </w:r>
    </w:p>
    <w:sectPr w:rsidR="00FC708D" w:rsidSect="0046605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E1B96" w14:textId="77777777" w:rsidR="00F13FC5" w:rsidRPr="00C60504" w:rsidRDefault="00F13FC5" w:rsidP="00C60504">
      <w:pPr>
        <w:pStyle w:val="Footer"/>
      </w:pPr>
    </w:p>
  </w:endnote>
  <w:endnote w:type="continuationSeparator" w:id="0">
    <w:p w14:paraId="53200874" w14:textId="77777777" w:rsidR="00F13FC5" w:rsidRPr="00C60504" w:rsidRDefault="00F13FC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260" w14:textId="7A773F18" w:rsidR="00F13FC5" w:rsidRPr="00FC708D" w:rsidRDefault="00FC708D" w:rsidP="00FC708D">
    <w:pPr>
      <w:pStyle w:val="Footer"/>
      <w:tabs>
        <w:tab w:val="right" w:pos="9638"/>
      </w:tabs>
    </w:pPr>
    <w:r w:rsidRPr="00FC708D">
      <w:rPr>
        <w:b/>
        <w:bCs/>
        <w:sz w:val="18"/>
      </w:rPr>
      <w:fldChar w:fldCharType="begin"/>
    </w:r>
    <w:r w:rsidRPr="00FC708D">
      <w:rPr>
        <w:b/>
        <w:bCs/>
        <w:sz w:val="18"/>
      </w:rPr>
      <w:instrText xml:space="preserve"> PAGE  \* MERGEFORMAT </w:instrText>
    </w:r>
    <w:r w:rsidRPr="00FC708D">
      <w:rPr>
        <w:b/>
        <w:bCs/>
        <w:sz w:val="18"/>
      </w:rPr>
      <w:fldChar w:fldCharType="separate"/>
    </w:r>
    <w:r w:rsidR="00A947D6">
      <w:rPr>
        <w:b/>
        <w:bCs/>
        <w:noProof/>
        <w:sz w:val="18"/>
      </w:rPr>
      <w:t>4</w:t>
    </w:r>
    <w:r w:rsidRPr="00FC708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9ECF" w14:textId="192A1BA3" w:rsidR="00F13FC5" w:rsidRPr="00FC708D" w:rsidRDefault="00FC708D" w:rsidP="00FC708D">
    <w:pPr>
      <w:pStyle w:val="Footer"/>
      <w:tabs>
        <w:tab w:val="right" w:pos="9638"/>
      </w:tabs>
    </w:pPr>
    <w:r>
      <w:tab/>
    </w:r>
    <w:r w:rsidRPr="00FC708D">
      <w:rPr>
        <w:b/>
        <w:bCs/>
        <w:sz w:val="18"/>
      </w:rPr>
      <w:fldChar w:fldCharType="begin"/>
    </w:r>
    <w:r w:rsidRPr="00FC708D">
      <w:rPr>
        <w:b/>
        <w:bCs/>
        <w:sz w:val="18"/>
      </w:rPr>
      <w:instrText xml:space="preserve"> PAGE  \* MERGEFORMAT </w:instrText>
    </w:r>
    <w:r w:rsidRPr="00FC708D">
      <w:rPr>
        <w:b/>
        <w:bCs/>
        <w:sz w:val="18"/>
      </w:rPr>
      <w:fldChar w:fldCharType="separate"/>
    </w:r>
    <w:r w:rsidR="00A947D6">
      <w:rPr>
        <w:b/>
        <w:bCs/>
        <w:noProof/>
        <w:sz w:val="18"/>
      </w:rPr>
      <w:t>5</w:t>
    </w:r>
    <w:r w:rsidRPr="00FC708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DA60" w14:textId="03C04AC7" w:rsidR="00A947D6" w:rsidRDefault="00A947D6" w:rsidP="00A947D6">
    <w:pPr>
      <w:pStyle w:val="Footer"/>
    </w:pPr>
    <w:r>
      <w:rPr>
        <w:noProof/>
        <w:lang w:val="en-US"/>
      </w:rPr>
      <w:drawing>
        <wp:anchor distT="0" distB="0" distL="114300" distR="114300" simplePos="0" relativeHeight="251659264" behindDoc="1" locked="1" layoutInCell="1" allowOverlap="1" wp14:anchorId="4B6379AA" wp14:editId="423F45F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015963" w14:textId="4D1CFF25" w:rsidR="00A947D6" w:rsidRDefault="00A947D6" w:rsidP="00A947D6">
    <w:pPr>
      <w:pStyle w:val="Footer"/>
      <w:ind w:right="1134"/>
      <w:rPr>
        <w:sz w:val="20"/>
      </w:rPr>
    </w:pPr>
    <w:r>
      <w:rPr>
        <w:sz w:val="20"/>
      </w:rPr>
      <w:t>GE.20-03702(E)</w:t>
    </w:r>
  </w:p>
  <w:p w14:paraId="6C7503B5" w14:textId="429DDEF5" w:rsidR="00A947D6" w:rsidRPr="00A947D6" w:rsidRDefault="00A947D6" w:rsidP="00A947D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C1BDD40" wp14:editId="14326789">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3/D/60/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60/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E9195" w14:textId="77777777" w:rsidR="00F13FC5" w:rsidRPr="00C60504" w:rsidRDefault="00F13FC5" w:rsidP="00C60504">
      <w:pPr>
        <w:tabs>
          <w:tab w:val="right" w:pos="2155"/>
        </w:tabs>
        <w:spacing w:after="80" w:line="240" w:lineRule="auto"/>
        <w:ind w:left="680"/>
      </w:pPr>
      <w:r>
        <w:rPr>
          <w:u w:val="single"/>
        </w:rPr>
        <w:tab/>
      </w:r>
    </w:p>
  </w:footnote>
  <w:footnote w:type="continuationSeparator" w:id="0">
    <w:p w14:paraId="780C4698" w14:textId="77777777" w:rsidR="00F13FC5" w:rsidRPr="00C60504" w:rsidRDefault="00F13FC5" w:rsidP="00C60504">
      <w:pPr>
        <w:tabs>
          <w:tab w:val="right" w:pos="2155"/>
        </w:tabs>
        <w:spacing w:after="80" w:line="240" w:lineRule="auto"/>
        <w:ind w:left="680"/>
      </w:pPr>
      <w:r>
        <w:rPr>
          <w:u w:val="single"/>
        </w:rPr>
        <w:tab/>
      </w:r>
    </w:p>
  </w:footnote>
  <w:footnote w:id="1">
    <w:p w14:paraId="38F987BD" w14:textId="5501609F" w:rsidR="00F13FC5" w:rsidRPr="009B31D1" w:rsidRDefault="00F13FC5" w:rsidP="00384309">
      <w:pPr>
        <w:pStyle w:val="FootnoteText"/>
      </w:pPr>
      <w:r>
        <w:tab/>
      </w:r>
      <w:r w:rsidRPr="004D61F3">
        <w:rPr>
          <w:rStyle w:val="FootnoteReference"/>
          <w:sz w:val="20"/>
          <w:vertAlign w:val="baseline"/>
        </w:rPr>
        <w:sym w:font="Symbol" w:char="F02A"/>
      </w:r>
      <w:r>
        <w:tab/>
      </w:r>
      <w:r w:rsidRPr="009B31D1">
        <w:t>Adopted by the Committee at its eighty-</w:t>
      </w:r>
      <w:r>
        <w:t>third</w:t>
      </w:r>
      <w:r w:rsidRPr="009B31D1">
        <w:t xml:space="preserve"> session (</w:t>
      </w:r>
      <w:r>
        <w:t>20 January–</w:t>
      </w:r>
      <w:r w:rsidRPr="009B31D1">
        <w:t xml:space="preserve">7 </w:t>
      </w:r>
      <w:r>
        <w:t>February 2020</w:t>
      </w:r>
      <w:r w:rsidRPr="009B31D1">
        <w:t>).</w:t>
      </w:r>
    </w:p>
  </w:footnote>
  <w:footnote w:id="2">
    <w:p w14:paraId="3866AB29" w14:textId="30E499BE" w:rsidR="00F13FC5" w:rsidRPr="009B31D1" w:rsidRDefault="00F13FC5">
      <w:pPr>
        <w:pStyle w:val="FootnoteText"/>
      </w:pPr>
      <w:r>
        <w:rPr>
          <w:rStyle w:val="FootnoteReference"/>
          <w:vertAlign w:val="baseline"/>
        </w:rPr>
        <w:tab/>
      </w:r>
      <w:r w:rsidRPr="004D61F3">
        <w:rPr>
          <w:rStyle w:val="FootnoteReference"/>
          <w:sz w:val="20"/>
          <w:vertAlign w:val="baseline"/>
        </w:rPr>
        <w:sym w:font="Symbol" w:char="F02A"/>
      </w:r>
      <w:r w:rsidRPr="004D61F3">
        <w:rPr>
          <w:rStyle w:val="FootnoteReference"/>
          <w:sz w:val="20"/>
          <w:vertAlign w:val="baseline"/>
        </w:rPr>
        <w:sym w:font="Symbol" w:char="F02A"/>
      </w:r>
      <w:r>
        <w:tab/>
        <w:t>The following members of the Committee participated in the consideration of the communication</w:t>
      </w:r>
      <w:r w:rsidRPr="00D2611F">
        <w:t>:</w:t>
      </w:r>
      <w:r>
        <w:t xml:space="preserve"> </w:t>
      </w:r>
      <w:r w:rsidRPr="00DE2178">
        <w:t xml:space="preserve">Suzanne </w:t>
      </w:r>
      <w:proofErr w:type="spellStart"/>
      <w:r w:rsidRPr="00DE2178">
        <w:t>Aho</w:t>
      </w:r>
      <w:proofErr w:type="spellEnd"/>
      <w:r w:rsidRPr="00DE2178">
        <w:t xml:space="preserve"> </w:t>
      </w:r>
      <w:proofErr w:type="spellStart"/>
      <w:r w:rsidRPr="00DE2178">
        <w:t>Assouma</w:t>
      </w:r>
      <w:proofErr w:type="spellEnd"/>
      <w:r w:rsidRPr="00DE2178">
        <w:t xml:space="preserve">, </w:t>
      </w:r>
      <w:proofErr w:type="spellStart"/>
      <w:r w:rsidRPr="00DE2178">
        <w:t>Aissatou</w:t>
      </w:r>
      <w:proofErr w:type="spellEnd"/>
      <w:r w:rsidRPr="00DE2178">
        <w:t xml:space="preserve"> </w:t>
      </w:r>
      <w:proofErr w:type="spellStart"/>
      <w:r w:rsidRPr="00DE2178">
        <w:t>Alassane</w:t>
      </w:r>
      <w:proofErr w:type="spellEnd"/>
      <w:r w:rsidRPr="00DE2178">
        <w:t xml:space="preserve"> </w:t>
      </w:r>
      <w:proofErr w:type="spellStart"/>
      <w:r w:rsidRPr="00DE2178">
        <w:t>Sidikou</w:t>
      </w:r>
      <w:proofErr w:type="spellEnd"/>
      <w:r w:rsidRPr="00DE2178">
        <w:t xml:space="preserve">, </w:t>
      </w:r>
      <w:proofErr w:type="spellStart"/>
      <w:r w:rsidRPr="00DE2178">
        <w:t>Amal</w:t>
      </w:r>
      <w:proofErr w:type="spellEnd"/>
      <w:r w:rsidRPr="00DE2178">
        <w:t xml:space="preserve"> Salman </w:t>
      </w:r>
      <w:proofErr w:type="spellStart"/>
      <w:r w:rsidRPr="00DE2178">
        <w:t>Aldoseri</w:t>
      </w:r>
      <w:proofErr w:type="spellEnd"/>
      <w:r w:rsidRPr="00DE2178">
        <w:t xml:space="preserve">, </w:t>
      </w:r>
      <w:proofErr w:type="spellStart"/>
      <w:r w:rsidRPr="00DE2178">
        <w:t>Hynd</w:t>
      </w:r>
      <w:proofErr w:type="spellEnd"/>
      <w:r w:rsidRPr="00DE2178">
        <w:t xml:space="preserve"> </w:t>
      </w:r>
      <w:proofErr w:type="spellStart"/>
      <w:r w:rsidRPr="00DE2178">
        <w:t>Ayoubi</w:t>
      </w:r>
      <w:proofErr w:type="spellEnd"/>
      <w:r w:rsidRPr="00DE2178">
        <w:t xml:space="preserve"> </w:t>
      </w:r>
      <w:proofErr w:type="spellStart"/>
      <w:r w:rsidRPr="00DE2178">
        <w:t>Idrissi</w:t>
      </w:r>
      <w:proofErr w:type="spellEnd"/>
      <w:r w:rsidRPr="00DE2178">
        <w:t xml:space="preserve">, </w:t>
      </w:r>
      <w:proofErr w:type="spellStart"/>
      <w:r w:rsidRPr="00DE2178">
        <w:t>Bragi</w:t>
      </w:r>
      <w:proofErr w:type="spellEnd"/>
      <w:r w:rsidRPr="00DE2178">
        <w:t xml:space="preserve"> </w:t>
      </w:r>
      <w:proofErr w:type="spellStart"/>
      <w:r w:rsidRPr="00DE2178">
        <w:t>Gudbrandsson</w:t>
      </w:r>
      <w:proofErr w:type="spellEnd"/>
      <w:r w:rsidRPr="00DE2178">
        <w:t xml:space="preserve">, Philip Jaffe, Olga A. </w:t>
      </w:r>
      <w:proofErr w:type="spellStart"/>
      <w:r w:rsidRPr="00DE2178">
        <w:t>Khazova</w:t>
      </w:r>
      <w:proofErr w:type="spellEnd"/>
      <w:r w:rsidRPr="00DE2178">
        <w:t xml:space="preserve">, Cephas Lumina, </w:t>
      </w:r>
      <w:proofErr w:type="spellStart"/>
      <w:r w:rsidRPr="00DE2178">
        <w:t>Gehad</w:t>
      </w:r>
      <w:proofErr w:type="spellEnd"/>
      <w:r w:rsidRPr="00DE2178">
        <w:t xml:space="preserve"> </w:t>
      </w:r>
      <w:proofErr w:type="spellStart"/>
      <w:r w:rsidRPr="00DE2178">
        <w:t>Madi</w:t>
      </w:r>
      <w:proofErr w:type="spellEnd"/>
      <w:r w:rsidRPr="00DE2178">
        <w:t xml:space="preserve">, Faith Marshall-Harris, </w:t>
      </w:r>
      <w:proofErr w:type="spellStart"/>
      <w:r w:rsidRPr="00DE2178">
        <w:t>Benyam</w:t>
      </w:r>
      <w:proofErr w:type="spellEnd"/>
      <w:r w:rsidRPr="00DE2178">
        <w:t xml:space="preserve"> </w:t>
      </w:r>
      <w:proofErr w:type="spellStart"/>
      <w:r w:rsidRPr="00DE2178">
        <w:t>Dawit</w:t>
      </w:r>
      <w:proofErr w:type="spellEnd"/>
      <w:r w:rsidRPr="00DE2178">
        <w:t xml:space="preserve"> </w:t>
      </w:r>
      <w:proofErr w:type="spellStart"/>
      <w:r w:rsidRPr="00DE2178">
        <w:t>Mezmur</w:t>
      </w:r>
      <w:proofErr w:type="spellEnd"/>
      <w:r w:rsidRPr="00DE2178">
        <w:t>,</w:t>
      </w:r>
      <w:r>
        <w:t xml:space="preserve"> </w:t>
      </w:r>
      <w:r w:rsidRPr="007A0F03">
        <w:t>Clarence Nelson</w:t>
      </w:r>
      <w:r>
        <w:t>,</w:t>
      </w:r>
      <w:r w:rsidRPr="00DE2178">
        <w:t xml:space="preserve"> </w:t>
      </w:r>
      <w:proofErr w:type="spellStart"/>
      <w:r w:rsidRPr="00DE2178">
        <w:t>Mikiko</w:t>
      </w:r>
      <w:proofErr w:type="spellEnd"/>
      <w:r w:rsidRPr="00DE2178">
        <w:t xml:space="preserve"> </w:t>
      </w:r>
      <w:proofErr w:type="spellStart"/>
      <w:r w:rsidRPr="00DE2178">
        <w:t>Otani</w:t>
      </w:r>
      <w:proofErr w:type="spellEnd"/>
      <w:r w:rsidRPr="00DE2178">
        <w:t xml:space="preserve">, Luis Ernesto </w:t>
      </w:r>
      <w:proofErr w:type="spellStart"/>
      <w:r w:rsidRPr="00DE2178">
        <w:t>Pedernera</w:t>
      </w:r>
      <w:proofErr w:type="spellEnd"/>
      <w:r w:rsidRPr="00DE2178">
        <w:t xml:space="preserve"> Reyna, José </w:t>
      </w:r>
      <w:proofErr w:type="spellStart"/>
      <w:r w:rsidRPr="00DE2178">
        <w:t>Ángel</w:t>
      </w:r>
      <w:proofErr w:type="spellEnd"/>
      <w:r w:rsidRPr="00DE2178">
        <w:t xml:space="preserve"> Rodríguez Reyes, Ann Marie Skelton, </w:t>
      </w:r>
      <w:proofErr w:type="spellStart"/>
      <w:r w:rsidRPr="00DE2178">
        <w:t>Velina</w:t>
      </w:r>
      <w:proofErr w:type="spellEnd"/>
      <w:r w:rsidRPr="00DE2178">
        <w:t xml:space="preserve"> Todorova </w:t>
      </w:r>
      <w:r>
        <w:t>and</w:t>
      </w:r>
      <w:r w:rsidRPr="00DE2178">
        <w:t xml:space="preserve"> Renate Winter.</w:t>
      </w:r>
    </w:p>
  </w:footnote>
  <w:footnote w:id="3">
    <w:p w14:paraId="2FE33F44" w14:textId="5CE19D22" w:rsidR="00F13FC5" w:rsidRDefault="00F13FC5" w:rsidP="009860BF">
      <w:pPr>
        <w:pStyle w:val="FootnoteText"/>
        <w:widowControl w:val="0"/>
        <w:tabs>
          <w:tab w:val="clear" w:pos="1021"/>
          <w:tab w:val="right" w:pos="1020"/>
        </w:tabs>
        <w:suppressAutoHyphens/>
        <w:jc w:val="both"/>
      </w:pPr>
      <w:r>
        <w:tab/>
      </w:r>
      <w:r>
        <w:rPr>
          <w:rStyle w:val="FootnoteReference"/>
        </w:rPr>
        <w:footnoteRef/>
      </w:r>
      <w:r>
        <w:tab/>
        <w:t xml:space="preserve">The author indicates that he was not a national of Germany </w:t>
      </w:r>
      <w:r>
        <w:rPr>
          <w:color w:val="000000" w:themeColor="text1"/>
        </w:rPr>
        <w:t>at the time of the events.</w:t>
      </w:r>
      <w:r>
        <w:t xml:space="preserve"> </w:t>
      </w:r>
    </w:p>
  </w:footnote>
  <w:footnote w:id="4">
    <w:p w14:paraId="07CF379E" w14:textId="50952D86" w:rsidR="00F13FC5" w:rsidRDefault="00F13FC5">
      <w:pPr>
        <w:pStyle w:val="FootnoteText"/>
        <w:widowControl w:val="0"/>
        <w:tabs>
          <w:tab w:val="clear" w:pos="1021"/>
          <w:tab w:val="right" w:pos="1020"/>
        </w:tabs>
        <w:suppressAutoHyphens/>
        <w:jc w:val="both"/>
      </w:pPr>
      <w:r>
        <w:tab/>
      </w:r>
      <w:r w:rsidRPr="00E52FCC">
        <w:rPr>
          <w:rStyle w:val="FootnoteReference"/>
        </w:rPr>
        <w:footnoteRef/>
      </w:r>
      <w:r w:rsidRPr="00E52FCC">
        <w:tab/>
      </w:r>
      <w:r>
        <w:rPr>
          <w:rFonts w:eastAsia="MS Mincho"/>
          <w:lang w:eastAsia="ja-JP"/>
        </w:rPr>
        <w:t>T</w:t>
      </w:r>
      <w:r w:rsidRPr="00E52FCC">
        <w:rPr>
          <w:rFonts w:eastAsia="MS Mincho"/>
          <w:lang w:eastAsia="ja-JP"/>
        </w:rPr>
        <w:t xml:space="preserve">he </w:t>
      </w:r>
      <w:r>
        <w:rPr>
          <w:rFonts w:eastAsia="MS Mincho"/>
          <w:lang w:eastAsia="ja-JP"/>
        </w:rPr>
        <w:t>l</w:t>
      </w:r>
      <w:r w:rsidRPr="00E52FCC">
        <w:rPr>
          <w:rFonts w:eastAsia="MS Mincho"/>
          <w:lang w:eastAsia="ja-JP"/>
        </w:rPr>
        <w:t xml:space="preserve">ocal </w:t>
      </w:r>
      <w:r>
        <w:rPr>
          <w:rFonts w:eastAsia="MS Mincho"/>
          <w:lang w:eastAsia="ja-JP"/>
        </w:rPr>
        <w:t>e</w:t>
      </w:r>
      <w:r w:rsidRPr="00E52FCC">
        <w:rPr>
          <w:rFonts w:eastAsia="MS Mincho"/>
          <w:lang w:eastAsia="ja-JP"/>
        </w:rPr>
        <w:t xml:space="preserve">lection </w:t>
      </w:r>
      <w:r>
        <w:rPr>
          <w:rFonts w:eastAsia="MS Mincho"/>
          <w:lang w:eastAsia="ja-JP"/>
        </w:rPr>
        <w:t>l</w:t>
      </w:r>
      <w:r w:rsidRPr="00E52FCC">
        <w:rPr>
          <w:rFonts w:eastAsia="MS Mincho"/>
          <w:lang w:eastAsia="ja-JP"/>
        </w:rPr>
        <w:t>aw of Saarland stipulates that all German citizens</w:t>
      </w:r>
      <w:r>
        <w:rPr>
          <w:rFonts w:eastAsia="MS Mincho"/>
          <w:lang w:eastAsia="ja-JP"/>
        </w:rPr>
        <w:t xml:space="preserve"> and</w:t>
      </w:r>
      <w:r w:rsidRPr="00E52FCC">
        <w:rPr>
          <w:rFonts w:eastAsia="MS Mincho"/>
          <w:lang w:eastAsia="ja-JP"/>
        </w:rPr>
        <w:t xml:space="preserve"> all citizens of </w:t>
      </w:r>
      <w:r>
        <w:rPr>
          <w:rFonts w:eastAsia="MS Mincho"/>
          <w:lang w:eastAsia="ja-JP"/>
        </w:rPr>
        <w:t xml:space="preserve">other States members of </w:t>
      </w:r>
      <w:r w:rsidRPr="00E52FCC">
        <w:rPr>
          <w:rFonts w:eastAsia="MS Mincho"/>
          <w:lang w:eastAsia="ja-JP"/>
        </w:rPr>
        <w:t>the European Union who have resided</w:t>
      </w:r>
      <w:r w:rsidRPr="004D61F3">
        <w:rPr>
          <w:rFonts w:eastAsia="MS Mincho"/>
          <w:lang w:eastAsia="ja-JP"/>
        </w:rPr>
        <w:t xml:space="preserve"> </w:t>
      </w:r>
      <w:r w:rsidRPr="00E52FCC">
        <w:rPr>
          <w:rFonts w:eastAsia="MS Mincho"/>
          <w:lang w:eastAsia="ja-JP"/>
        </w:rPr>
        <w:t xml:space="preserve">in the municipality for more than three </w:t>
      </w:r>
      <w:r w:rsidR="00156F32">
        <w:rPr>
          <w:rFonts w:eastAsia="MS Mincho"/>
          <w:lang w:eastAsia="ja-JP"/>
        </w:rPr>
        <w:t>months</w:t>
      </w:r>
      <w:r w:rsidRPr="00E52FCC">
        <w:rPr>
          <w:rFonts w:eastAsia="MS Mincho"/>
          <w:lang w:eastAsia="ja-JP"/>
        </w:rPr>
        <w:t xml:space="preserve"> and who are at least 18</w:t>
      </w:r>
      <w:r>
        <w:rPr>
          <w:rFonts w:eastAsia="MS Mincho"/>
          <w:lang w:eastAsia="ja-JP"/>
        </w:rPr>
        <w:t xml:space="preserve"> years old are eligible to vote (s</w:t>
      </w:r>
      <w:r w:rsidRPr="00E52FCC">
        <w:rPr>
          <w:rFonts w:eastAsia="MS Mincho"/>
          <w:lang w:eastAsia="ja-JP"/>
        </w:rPr>
        <w:t>ect</w:t>
      </w:r>
      <w:r>
        <w:rPr>
          <w:rFonts w:eastAsia="MS Mincho"/>
          <w:lang w:eastAsia="ja-JP"/>
        </w:rPr>
        <w:t>.</w:t>
      </w:r>
      <w:r w:rsidRPr="00E52FCC">
        <w:rPr>
          <w:rFonts w:eastAsia="MS Mincho"/>
          <w:lang w:eastAsia="ja-JP"/>
        </w:rPr>
        <w:t xml:space="preserve"> 13</w:t>
      </w:r>
      <w:r>
        <w:rPr>
          <w:rFonts w:eastAsia="MS Mincho"/>
          <w:lang w:eastAsia="ja-JP"/>
        </w:rPr>
        <w:t xml:space="preserve"> (</w:t>
      </w:r>
      <w:r w:rsidRPr="00E52FCC">
        <w:rPr>
          <w:rFonts w:eastAsia="MS Mincho"/>
          <w:lang w:eastAsia="ja-JP"/>
        </w:rPr>
        <w:t>1</w:t>
      </w:r>
      <w:r>
        <w:rPr>
          <w:rFonts w:eastAsia="MS Mincho"/>
          <w:lang w:eastAsia="ja-JP"/>
        </w:rPr>
        <w:t>))</w:t>
      </w:r>
      <w:r w:rsidRPr="00E52FCC">
        <w:rPr>
          <w:rFonts w:eastAsia="MS Mincho"/>
          <w:lang w:eastAsia="ja-JP"/>
        </w:rPr>
        <w:t>.</w:t>
      </w:r>
      <w:r>
        <w:t xml:space="preserve"> </w:t>
      </w:r>
    </w:p>
  </w:footnote>
  <w:footnote w:id="5">
    <w:p w14:paraId="193FDFCE" w14:textId="54B8DFFF" w:rsidR="00F13FC5" w:rsidRDefault="00F13FC5">
      <w:pPr>
        <w:pStyle w:val="FootnoteText"/>
        <w:widowControl w:val="0"/>
        <w:tabs>
          <w:tab w:val="clear" w:pos="1021"/>
          <w:tab w:val="right" w:pos="1020"/>
        </w:tabs>
        <w:suppressAutoHyphens/>
        <w:jc w:val="both"/>
      </w:pPr>
      <w:r>
        <w:tab/>
      </w:r>
      <w:r>
        <w:rPr>
          <w:rStyle w:val="FootnoteReference"/>
        </w:rPr>
        <w:footnoteRef/>
      </w:r>
      <w:r>
        <w:tab/>
        <w:t xml:space="preserve">The author indicates that the judgment can be identified by file number 3 K 921/15. </w:t>
      </w:r>
    </w:p>
  </w:footnote>
  <w:footnote w:id="6">
    <w:p w14:paraId="4DD5277B" w14:textId="3A62A2B3" w:rsidR="00F13FC5" w:rsidRDefault="00F13FC5">
      <w:pPr>
        <w:pStyle w:val="FootnoteText"/>
        <w:widowControl w:val="0"/>
        <w:tabs>
          <w:tab w:val="clear" w:pos="1021"/>
          <w:tab w:val="right" w:pos="1020"/>
        </w:tabs>
        <w:suppressAutoHyphens/>
        <w:jc w:val="both"/>
      </w:pPr>
      <w:r>
        <w:tab/>
      </w:r>
      <w:r>
        <w:rPr>
          <w:rStyle w:val="FootnoteReference"/>
        </w:rPr>
        <w:footnoteRef/>
      </w:r>
      <w:r>
        <w:tab/>
      </w:r>
      <w:r>
        <w:rPr>
          <w:rFonts w:eastAsia="MS Mincho"/>
          <w:lang w:eastAsia="ja-JP"/>
        </w:rPr>
        <w:t>The author indicates that the appeal was based on section 124 (2) of the Administrative Court’s code, according to which an</w:t>
      </w:r>
      <w:r w:rsidRPr="00A12CC4">
        <w:rPr>
          <w:rFonts w:eastAsia="MS Mincho"/>
          <w:lang w:eastAsia="ja-JP"/>
        </w:rPr>
        <w:t xml:space="preserve"> appeal on points of fact</w:t>
      </w:r>
      <w:r>
        <w:rPr>
          <w:rFonts w:eastAsia="MS Mincho"/>
          <w:lang w:eastAsia="ja-JP"/>
        </w:rPr>
        <w:t xml:space="preserve"> and law shall only be admitted</w:t>
      </w:r>
      <w:r w:rsidRPr="00A12CC4">
        <w:rPr>
          <w:rFonts w:eastAsia="MS Mincho"/>
          <w:lang w:eastAsia="ja-JP"/>
        </w:rPr>
        <w:t xml:space="preserve"> if serious doubts exist as to t</w:t>
      </w:r>
      <w:r>
        <w:rPr>
          <w:rFonts w:eastAsia="MS Mincho"/>
          <w:lang w:eastAsia="ja-JP"/>
        </w:rPr>
        <w:t>he correctness of the judgment,</w:t>
      </w:r>
      <w:r w:rsidRPr="00A12CC4">
        <w:rPr>
          <w:rFonts w:eastAsia="MS Mincho"/>
          <w:lang w:eastAsia="ja-JP"/>
        </w:rPr>
        <w:t xml:space="preserve"> if the case </w:t>
      </w:r>
      <w:r>
        <w:rPr>
          <w:rFonts w:eastAsia="MS Mincho"/>
          <w:lang w:eastAsia="ja-JP"/>
        </w:rPr>
        <w:t>is of fundamental significance and</w:t>
      </w:r>
      <w:r w:rsidRPr="00A12CC4">
        <w:rPr>
          <w:rFonts w:eastAsia="MS Mincho"/>
          <w:lang w:eastAsia="ja-JP"/>
        </w:rPr>
        <w:t xml:space="preserve"> if a procedural shortcoming subject to the judgment of the court of appeal on points of fact and law is claimed and applies on which the ruling can be based.</w:t>
      </w:r>
      <w:r>
        <w:t xml:space="preserve"> </w:t>
      </w:r>
    </w:p>
  </w:footnote>
  <w:footnote w:id="7">
    <w:p w14:paraId="38921E16" w14:textId="5FF7892D" w:rsidR="00F13FC5" w:rsidRDefault="00F13FC5">
      <w:pPr>
        <w:pStyle w:val="FootnoteText"/>
        <w:widowControl w:val="0"/>
        <w:tabs>
          <w:tab w:val="clear" w:pos="1021"/>
          <w:tab w:val="right" w:pos="1020"/>
        </w:tabs>
        <w:suppressAutoHyphens/>
        <w:jc w:val="both"/>
      </w:pPr>
      <w:r>
        <w:tab/>
      </w:r>
      <w:r>
        <w:rPr>
          <w:rStyle w:val="FootnoteReference"/>
        </w:rPr>
        <w:footnoteRef/>
      </w:r>
      <w:r>
        <w:tab/>
        <w:t xml:space="preserve">The author indicates that the judgment is identified by file number 2 A 433/16. </w:t>
      </w:r>
      <w:r w:rsidRPr="00B55D42">
        <w:t>The reasoning of the Higher Administrative Court of Saarland on the rejection of his claims has not been communicated to the author.</w:t>
      </w:r>
      <w:r>
        <w:t xml:space="preserve"> </w:t>
      </w:r>
    </w:p>
  </w:footnote>
  <w:footnote w:id="8">
    <w:p w14:paraId="00C2FC2C" w14:textId="5B0CB1AF" w:rsidR="00F13FC5" w:rsidRDefault="00F13FC5">
      <w:pPr>
        <w:pStyle w:val="FootnoteText"/>
        <w:widowControl w:val="0"/>
        <w:tabs>
          <w:tab w:val="clear" w:pos="1021"/>
          <w:tab w:val="right" w:pos="1020"/>
        </w:tabs>
        <w:suppressAutoHyphens/>
      </w:pPr>
      <w:r>
        <w:tab/>
      </w:r>
      <w:r>
        <w:rPr>
          <w:rStyle w:val="FootnoteReference"/>
        </w:rPr>
        <w:footnoteRef/>
      </w:r>
      <w:r>
        <w:tab/>
        <w:t xml:space="preserve">The State party ratified the </w:t>
      </w:r>
      <w:r w:rsidRPr="00201DF3">
        <w:t>Convention on the Rights of Persons with Disabilities</w:t>
      </w:r>
      <w:r>
        <w:t xml:space="preserve"> on </w:t>
      </w:r>
      <w:r w:rsidRPr="003D7B07">
        <w:t>24 Feb</w:t>
      </w:r>
      <w:r>
        <w:t>ruary</w:t>
      </w:r>
      <w:r w:rsidRPr="003D7B07">
        <w:t xml:space="preserve"> 2009</w:t>
      </w:r>
      <w:r>
        <w:t xml:space="preserve">. The author alleges that the Administrative Court failed to recognize the case law of the European Court of Justice, to which the author suggested making a referral, a suggestion that was rejected on the grounds that the European Court is not a court of last instance. </w:t>
      </w:r>
    </w:p>
  </w:footnote>
  <w:footnote w:id="9">
    <w:p w14:paraId="3778CB3D" w14:textId="3231A33E" w:rsidR="00F13FC5" w:rsidRDefault="00F13FC5">
      <w:pPr>
        <w:pStyle w:val="FootnoteText"/>
        <w:widowControl w:val="0"/>
        <w:tabs>
          <w:tab w:val="clear" w:pos="1021"/>
          <w:tab w:val="right" w:pos="1020"/>
        </w:tabs>
        <w:suppressAutoHyphens/>
      </w:pPr>
      <w:r>
        <w:tab/>
      </w:r>
      <w:r>
        <w:rPr>
          <w:rStyle w:val="FootnoteReference"/>
        </w:rPr>
        <w:footnoteRef/>
      </w:r>
      <w:r>
        <w:tab/>
      </w:r>
      <w:r>
        <w:rPr>
          <w:rFonts w:eastAsia="MS Mincho"/>
          <w:lang w:eastAsia="ja-JP"/>
        </w:rPr>
        <w:t>The author insists tha</w:t>
      </w:r>
      <w:r w:rsidR="0043628B">
        <w:rPr>
          <w:rFonts w:eastAsia="MS Mincho"/>
          <w:lang w:eastAsia="ja-JP"/>
        </w:rPr>
        <w:t>t</w:t>
      </w:r>
      <w:r>
        <w:rPr>
          <w:rFonts w:eastAsia="MS Mincho"/>
          <w:lang w:eastAsia="ja-JP"/>
        </w:rPr>
        <w:t xml:space="preserve"> denial of the right to vote is a violation of human dignity and leads to the political and economic interests of non-eligible children being subordinate to the interests of citizens entitled to vote.</w:t>
      </w:r>
      <w:r>
        <w:t xml:space="preserve"> </w:t>
      </w:r>
    </w:p>
  </w:footnote>
  <w:footnote w:id="10">
    <w:p w14:paraId="7B6C9283" w14:textId="2FFEAC0D" w:rsidR="00F13FC5" w:rsidRDefault="00F13FC5">
      <w:pPr>
        <w:pStyle w:val="FootnoteText"/>
        <w:widowControl w:val="0"/>
        <w:tabs>
          <w:tab w:val="clear" w:pos="1021"/>
          <w:tab w:val="right" w:pos="1020"/>
        </w:tabs>
        <w:suppressAutoHyphens/>
      </w:pPr>
      <w:r>
        <w:tab/>
      </w:r>
      <w:r>
        <w:rPr>
          <w:rStyle w:val="FootnoteReference"/>
        </w:rPr>
        <w:footnoteRef/>
      </w:r>
      <w:r>
        <w:tab/>
      </w:r>
      <w:r>
        <w:rPr>
          <w:rFonts w:eastAsia="MS Mincho"/>
          <w:lang w:eastAsia="ja-JP"/>
        </w:rPr>
        <w:t>The author alleges that the situation also goes against articles 21, 24 (1) and 40 of the Charter of Fundamental Rights of the European Union</w:t>
      </w:r>
      <w:r w:rsidRPr="00405529">
        <w:rPr>
          <w:rFonts w:eastAsia="MS Mincho"/>
          <w:lang w:eastAsia="ja-JP"/>
        </w:rPr>
        <w:t xml:space="preserve">, as well as article 12 of the European Convention on the </w:t>
      </w:r>
      <w:r w:rsidR="00405529" w:rsidRPr="004D61F3">
        <w:rPr>
          <w:rFonts w:eastAsia="MS Mincho"/>
          <w:lang w:eastAsia="ja-JP"/>
        </w:rPr>
        <w:t xml:space="preserve">Exercise of Children’s </w:t>
      </w:r>
      <w:r w:rsidRPr="00405529">
        <w:rPr>
          <w:rFonts w:eastAsia="MS Mincho"/>
          <w:lang w:eastAsia="ja-JP"/>
        </w:rPr>
        <w:t>Rights.</w:t>
      </w:r>
    </w:p>
  </w:footnote>
  <w:footnote w:id="11">
    <w:p w14:paraId="62A8A481" w14:textId="0196410D" w:rsidR="00F13FC5" w:rsidRDefault="00F13FC5">
      <w:pPr>
        <w:pStyle w:val="FootnoteText"/>
        <w:widowControl w:val="0"/>
        <w:tabs>
          <w:tab w:val="clear" w:pos="1021"/>
          <w:tab w:val="right" w:pos="1020"/>
        </w:tabs>
        <w:suppressAutoHyphens/>
      </w:pPr>
      <w:r>
        <w:tab/>
      </w:r>
      <w:r>
        <w:rPr>
          <w:rStyle w:val="FootnoteReference"/>
        </w:rPr>
        <w:footnoteRef/>
      </w:r>
      <w:r>
        <w:tab/>
      </w:r>
      <w:r>
        <w:rPr>
          <w:rFonts w:eastAsia="MS Mincho"/>
          <w:lang w:eastAsia="ja-JP"/>
        </w:rPr>
        <w:t>The author does not specify the case law of the Federal Constitutional Court.</w:t>
      </w:r>
    </w:p>
  </w:footnote>
  <w:footnote w:id="12">
    <w:p w14:paraId="4BB9CB07" w14:textId="32FE41A1" w:rsidR="00F13FC5" w:rsidRDefault="00F13FC5" w:rsidP="00F536C0">
      <w:pPr>
        <w:pStyle w:val="FootnoteText"/>
        <w:widowControl w:val="0"/>
        <w:tabs>
          <w:tab w:val="clear" w:pos="1021"/>
          <w:tab w:val="right" w:pos="1020"/>
        </w:tabs>
        <w:suppressAutoHyphens/>
        <w:jc w:val="both"/>
      </w:pPr>
      <w:r>
        <w:tab/>
      </w:r>
      <w:r>
        <w:rPr>
          <w:rStyle w:val="FootnoteReference"/>
        </w:rPr>
        <w:footnoteRef/>
      </w:r>
      <w:r>
        <w:tab/>
      </w:r>
      <w:r>
        <w:rPr>
          <w:rFonts w:eastAsia="MS Mincho" w:hint="eastAsia"/>
          <w:lang w:eastAsia="ja-JP"/>
        </w:rPr>
        <w:t>It is not clear from the author</w:t>
      </w:r>
      <w:r>
        <w:rPr>
          <w:rFonts w:eastAsia="MS Mincho"/>
          <w:lang w:eastAsia="ja-JP"/>
        </w:rPr>
        <w:t>’s submission which law he refers to.</w:t>
      </w:r>
      <w:r>
        <w:t xml:space="preserve"> </w:t>
      </w:r>
    </w:p>
  </w:footnote>
  <w:footnote w:id="13">
    <w:p w14:paraId="6870E33E" w14:textId="7B2228E4" w:rsidR="00F13FC5" w:rsidRDefault="00F13FC5">
      <w:pPr>
        <w:pStyle w:val="FootnoteText"/>
        <w:widowControl w:val="0"/>
        <w:tabs>
          <w:tab w:val="clear" w:pos="1021"/>
          <w:tab w:val="right" w:pos="1020"/>
        </w:tabs>
        <w:suppressAutoHyphens/>
        <w:jc w:val="both"/>
      </w:pPr>
      <w:r>
        <w:tab/>
      </w:r>
      <w:r>
        <w:rPr>
          <w:rStyle w:val="FootnoteReference"/>
        </w:rPr>
        <w:footnoteRef/>
      </w:r>
      <w:r>
        <w:tab/>
        <w:t xml:space="preserve">See the Constitution of the Saarland </w:t>
      </w:r>
      <w:r w:rsidR="000A71BE">
        <w:t>(</w:t>
      </w:r>
      <w:hyperlink r:id="rId1" w:history="1">
        <w:r w:rsidR="000A71BE" w:rsidRPr="008128C1">
          <w:rPr>
            <w:rStyle w:val="Hyperlink"/>
          </w:rPr>
          <w:t>www.bijus.eu/?p=10314</w:t>
        </w:r>
      </w:hyperlink>
      <w:r w:rsidR="000A71BE">
        <w:t>)</w:t>
      </w:r>
      <w:r>
        <w:t>.</w:t>
      </w:r>
    </w:p>
  </w:footnote>
  <w:footnote w:id="14">
    <w:p w14:paraId="254D4249" w14:textId="588E29E4" w:rsidR="00F13FC5" w:rsidRDefault="00F13FC5">
      <w:pPr>
        <w:pStyle w:val="FootnoteText"/>
        <w:widowControl w:val="0"/>
        <w:tabs>
          <w:tab w:val="clear" w:pos="1021"/>
          <w:tab w:val="right" w:pos="1020"/>
        </w:tabs>
        <w:suppressAutoHyphens/>
        <w:jc w:val="both"/>
      </w:pPr>
      <w:r>
        <w:tab/>
      </w:r>
      <w:r>
        <w:rPr>
          <w:rStyle w:val="FootnoteReference"/>
        </w:rPr>
        <w:footnoteRef/>
      </w:r>
      <w:r>
        <w:tab/>
        <w:t>In his submission, the author specifically refers to article 16 of the Basic Law of Germany, which does not, however, seem to fit the context. The author has been asked which article of the Basic Law and of the case law he would refer to in the present context.</w:t>
      </w:r>
    </w:p>
  </w:footnote>
  <w:footnote w:id="15">
    <w:p w14:paraId="3B7E6066" w14:textId="66A4B018" w:rsidR="00F13FC5" w:rsidRPr="00EB47AB" w:rsidRDefault="00F13FC5">
      <w:pPr>
        <w:pStyle w:val="FootnoteText"/>
        <w:rPr>
          <w:lang w:val="en-US" w:eastAsia="ja-JP"/>
        </w:rPr>
      </w:pPr>
      <w:r w:rsidRPr="00694C8A">
        <w:rPr>
          <w:lang w:val="en-US"/>
        </w:rPr>
        <w:tab/>
      </w:r>
      <w:r w:rsidRPr="0077023E">
        <w:rPr>
          <w:rStyle w:val="FootnoteReference"/>
        </w:rPr>
        <w:footnoteRef/>
      </w:r>
      <w:r w:rsidRPr="00694C8A">
        <w:rPr>
          <w:lang w:val="en-US"/>
        </w:rPr>
        <w:tab/>
      </w:r>
      <w:r w:rsidR="000A71BE">
        <w:rPr>
          <w:lang w:val="en-US"/>
        </w:rPr>
        <w:t>See, for example,</w:t>
      </w:r>
      <w:r w:rsidRPr="00694C8A">
        <w:rPr>
          <w:lang w:val="en-US"/>
        </w:rPr>
        <w:t xml:space="preserve"> </w:t>
      </w:r>
      <w:r w:rsidR="000A71BE">
        <w:rPr>
          <w:lang w:val="en-US"/>
        </w:rPr>
        <w:t xml:space="preserve">Human Rights Committee, </w:t>
      </w:r>
      <w:r w:rsidRPr="00694C8A">
        <w:rPr>
          <w:i/>
          <w:iCs/>
          <w:lang w:val="en-US"/>
        </w:rPr>
        <w:t xml:space="preserve">Pratt and Morgan v. </w:t>
      </w:r>
      <w:r w:rsidRPr="00EB47AB">
        <w:rPr>
          <w:i/>
          <w:iCs/>
          <w:lang w:val="en-US"/>
        </w:rPr>
        <w:t>Jamaica</w:t>
      </w:r>
      <w:r w:rsidR="000A71BE">
        <w:rPr>
          <w:lang w:val="en-US"/>
        </w:rPr>
        <w:t>,</w:t>
      </w:r>
      <w:r w:rsidRPr="00EB47AB">
        <w:rPr>
          <w:lang w:val="en-US"/>
        </w:rPr>
        <w:t xml:space="preserve"> </w:t>
      </w:r>
      <w:r w:rsidR="000A71BE">
        <w:rPr>
          <w:lang w:val="en-US"/>
        </w:rPr>
        <w:t xml:space="preserve">communication No. </w:t>
      </w:r>
      <w:r w:rsidRPr="00EB47AB">
        <w:rPr>
          <w:lang w:val="en-US"/>
        </w:rPr>
        <w:t>225/1987, para</w:t>
      </w:r>
      <w:r w:rsidR="006E2F7D" w:rsidRPr="00EB47AB">
        <w:rPr>
          <w:lang w:val="en-US"/>
        </w:rPr>
        <w:t>s</w:t>
      </w:r>
      <w:r w:rsidRPr="00EB47AB">
        <w:rPr>
          <w:lang w:val="en-US"/>
        </w:rPr>
        <w:t xml:space="preserve">. </w:t>
      </w:r>
      <w:r w:rsidRPr="004D61F3">
        <w:rPr>
          <w:lang w:val="en-US"/>
        </w:rPr>
        <w:t>12.3</w:t>
      </w:r>
      <w:r w:rsidR="006E2F7D" w:rsidRPr="004D61F3">
        <w:rPr>
          <w:lang w:val="en-US"/>
        </w:rPr>
        <w:t>–</w:t>
      </w:r>
      <w:r w:rsidRPr="004D61F3">
        <w:rPr>
          <w:lang w:val="en-US"/>
        </w:rPr>
        <w:t>12.5</w:t>
      </w:r>
      <w:r w:rsidR="000A71BE">
        <w:rPr>
          <w:lang w:val="en-US"/>
        </w:rPr>
        <w:t>;</w:t>
      </w:r>
      <w:r w:rsidRPr="004D61F3">
        <w:rPr>
          <w:lang w:val="en-US"/>
        </w:rPr>
        <w:t xml:space="preserve"> </w:t>
      </w:r>
      <w:proofErr w:type="spellStart"/>
      <w:r w:rsidRPr="004D61F3">
        <w:rPr>
          <w:i/>
          <w:iCs/>
          <w:lang w:val="en-US"/>
        </w:rPr>
        <w:t>Barzhig</w:t>
      </w:r>
      <w:proofErr w:type="spellEnd"/>
      <w:r w:rsidRPr="004D61F3">
        <w:rPr>
          <w:i/>
          <w:iCs/>
          <w:lang w:val="en-US"/>
        </w:rPr>
        <w:t xml:space="preserve"> v. France</w:t>
      </w:r>
      <w:r w:rsidR="000A71BE" w:rsidRPr="004D61F3">
        <w:rPr>
          <w:lang w:val="en-US"/>
        </w:rPr>
        <w:t>, communication No.</w:t>
      </w:r>
      <w:r w:rsidRPr="004D61F3">
        <w:rPr>
          <w:lang w:val="en-US"/>
        </w:rPr>
        <w:t xml:space="preserve"> </w:t>
      </w:r>
      <w:r w:rsidRPr="004D61F3">
        <w:rPr>
          <w:color w:val="000000"/>
          <w:lang w:val="en-US"/>
        </w:rPr>
        <w:t xml:space="preserve">327/1988, para. </w:t>
      </w:r>
      <w:r w:rsidRPr="00EB47AB">
        <w:rPr>
          <w:color w:val="000000"/>
          <w:lang w:val="en-US"/>
        </w:rPr>
        <w:t>5.1</w:t>
      </w:r>
      <w:r w:rsidR="000A71BE">
        <w:rPr>
          <w:color w:val="000000"/>
          <w:lang w:val="en-US"/>
        </w:rPr>
        <w:t xml:space="preserve">; and </w:t>
      </w:r>
      <w:r w:rsidR="000A71BE" w:rsidRPr="00496BB4">
        <w:rPr>
          <w:i/>
          <w:iCs/>
          <w:lang w:val="en-US"/>
        </w:rPr>
        <w:t>Young v. Australia</w:t>
      </w:r>
      <w:r w:rsidR="000A71BE" w:rsidRPr="00496BB4">
        <w:rPr>
          <w:lang w:val="en-US"/>
        </w:rPr>
        <w:t xml:space="preserve"> (CCPR/C/78/D/941/2000), para. 9.4</w:t>
      </w:r>
      <w:r w:rsidRPr="00EB47AB">
        <w:rPr>
          <w:color w:val="000000"/>
          <w:lang w:val="en-US"/>
        </w:rPr>
        <w:t>.</w:t>
      </w:r>
    </w:p>
  </w:footnote>
  <w:footnote w:id="16">
    <w:p w14:paraId="12033991" w14:textId="5AF50FD8" w:rsidR="00F13FC5" w:rsidRDefault="00F13FC5">
      <w:pPr>
        <w:pStyle w:val="FootnoteText"/>
        <w:widowControl w:val="0"/>
        <w:tabs>
          <w:tab w:val="clear" w:pos="1021"/>
          <w:tab w:val="right" w:pos="1020"/>
        </w:tabs>
        <w:suppressAutoHyphens/>
      </w:pPr>
      <w:r w:rsidRPr="00EB47AB">
        <w:tab/>
      </w:r>
      <w:r w:rsidRPr="00EB47AB">
        <w:rPr>
          <w:rStyle w:val="FootnoteReference"/>
        </w:rPr>
        <w:footnoteRef/>
      </w:r>
      <w:r w:rsidRPr="00EB47AB">
        <w:tab/>
        <w:t xml:space="preserve">See, </w:t>
      </w:r>
      <w:r w:rsidR="006E2F7D" w:rsidRPr="00EB47AB">
        <w:t>for example</w:t>
      </w:r>
      <w:r w:rsidRPr="00EB47AB">
        <w:t>,</w:t>
      </w:r>
      <w:r w:rsidR="000A71BE">
        <w:t xml:space="preserve"> Human Rights Committee,</w:t>
      </w:r>
      <w:r w:rsidRPr="00EB47AB">
        <w:t xml:space="preserve"> </w:t>
      </w:r>
      <w:r w:rsidRPr="00EB47AB">
        <w:rPr>
          <w:i/>
          <w:iCs/>
        </w:rPr>
        <w:t>R.T. v. France</w:t>
      </w:r>
      <w:r w:rsidR="000A71BE">
        <w:t>, communication No.</w:t>
      </w:r>
      <w:r w:rsidRPr="00EB47AB">
        <w:rPr>
          <w:i/>
          <w:iCs/>
        </w:rPr>
        <w:t xml:space="preserve"> </w:t>
      </w:r>
      <w:r w:rsidRPr="00EB47AB">
        <w:t>262/1987, para.</w:t>
      </w:r>
      <w:r>
        <w:t xml:space="preserve"> </w:t>
      </w:r>
      <w:r w:rsidRPr="00694C8A">
        <w:rPr>
          <w:lang w:val="en-US"/>
        </w:rPr>
        <w:t>7.4</w:t>
      </w:r>
      <w:r w:rsidR="000A71BE">
        <w:rPr>
          <w:lang w:val="en-US"/>
        </w:rPr>
        <w:t>;</w:t>
      </w:r>
      <w:r w:rsidR="006E2F7D">
        <w:rPr>
          <w:lang w:val="en-US"/>
        </w:rPr>
        <w:t xml:space="preserve"> and</w:t>
      </w:r>
      <w:r w:rsidRPr="00694C8A">
        <w:rPr>
          <w:lang w:val="en-US"/>
        </w:rPr>
        <w:t xml:space="preserve"> </w:t>
      </w:r>
      <w:r w:rsidRPr="00694C8A">
        <w:rPr>
          <w:i/>
          <w:iCs/>
          <w:lang w:val="en-US"/>
        </w:rPr>
        <w:t>S.S. v. Norway</w:t>
      </w:r>
      <w:r w:rsidR="000A71BE">
        <w:rPr>
          <w:lang w:val="en-US"/>
        </w:rPr>
        <w:t>, communication No.</w:t>
      </w:r>
      <w:r w:rsidRPr="00694C8A">
        <w:rPr>
          <w:i/>
          <w:iCs/>
          <w:lang w:val="en-US"/>
        </w:rPr>
        <w:t xml:space="preserve"> </w:t>
      </w:r>
      <w:r w:rsidRPr="004D61F3">
        <w:rPr>
          <w:lang w:val="en-US"/>
        </w:rPr>
        <w:t>79/1980</w:t>
      </w:r>
      <w:r w:rsidRPr="006E2F7D">
        <w:rPr>
          <w:lang w:val="en-US"/>
        </w:rPr>
        <w:t>,</w:t>
      </w:r>
      <w:r w:rsidRPr="00694C8A">
        <w:rPr>
          <w:lang w:val="en-US"/>
        </w:rPr>
        <w:t xml:space="preserve"> para. </w:t>
      </w:r>
      <w:r w:rsidRPr="008B59ED">
        <w:t>6.2</w:t>
      </w:r>
      <w:r>
        <w:t xml:space="preserve">. </w:t>
      </w:r>
      <w:r w:rsidR="009B3478">
        <w:t>S</w:t>
      </w:r>
      <w:r>
        <w:t>ee</w:t>
      </w:r>
      <w:r w:rsidR="009B3478">
        <w:t xml:space="preserve"> also</w:t>
      </w:r>
      <w:r w:rsidRPr="008B59ED">
        <w:rPr>
          <w:i/>
          <w:iCs/>
        </w:rPr>
        <w:t xml:space="preserve"> </w:t>
      </w:r>
      <w:proofErr w:type="spellStart"/>
      <w:r w:rsidRPr="008B59ED">
        <w:rPr>
          <w:i/>
          <w:iCs/>
        </w:rPr>
        <w:t>Sadic</w:t>
      </w:r>
      <w:proofErr w:type="spellEnd"/>
      <w:r w:rsidRPr="008B59ED">
        <w:rPr>
          <w:i/>
          <w:iCs/>
        </w:rPr>
        <w:t xml:space="preserve"> v. Denmark</w:t>
      </w:r>
      <w:r w:rsidR="009B3478">
        <w:rPr>
          <w:i/>
          <w:iCs/>
        </w:rPr>
        <w:t xml:space="preserve"> </w:t>
      </w:r>
      <w:r w:rsidR="009B3478">
        <w:t>(</w:t>
      </w:r>
      <w:r w:rsidR="009B3478" w:rsidRPr="009B3478">
        <w:t>CERD/C/62/D/25/2002</w:t>
      </w:r>
      <w:r w:rsidR="009B3478">
        <w:t>)</w:t>
      </w:r>
      <w:r w:rsidRPr="00583FB9">
        <w:t>, para. 6.</w:t>
      </w:r>
      <w:r>
        <w:t xml:space="preserve">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E9FE" w14:textId="724E45A3" w:rsidR="00F13FC5" w:rsidRPr="0046605F" w:rsidRDefault="00F13FC5" w:rsidP="0046605F">
    <w:pPr>
      <w:pStyle w:val="Header"/>
    </w:pPr>
    <w:r w:rsidRPr="0046605F">
      <w:t>CRC/C/</w:t>
    </w:r>
    <w:r>
      <w:t>83</w:t>
    </w:r>
    <w:r w:rsidRPr="0046605F">
      <w:t>/D/</w:t>
    </w:r>
    <w:r>
      <w:t>60</w:t>
    </w:r>
    <w:r w:rsidRPr="0046605F">
      <w:t>/201</w:t>
    </w:r>
    <w: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784F" w14:textId="3FD2853C" w:rsidR="00F13FC5" w:rsidRPr="0046605F" w:rsidRDefault="00F13FC5" w:rsidP="0046605F">
    <w:pPr>
      <w:pStyle w:val="Header"/>
      <w:jc w:val="right"/>
    </w:pPr>
    <w:r>
      <w:t>CRC/C/83</w:t>
    </w:r>
    <w:r w:rsidRPr="0046605F">
      <w:t>/D/</w:t>
    </w:r>
    <w:r>
      <w:t>60/2018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D562F"/>
    <w:multiLevelType w:val="multilevel"/>
    <w:tmpl w:val="DBB68676"/>
    <w:lvl w:ilvl="0">
      <w:start w:val="2"/>
      <w:numFmt w:val="decimal"/>
      <w:lvlText w:val="%1"/>
      <w:lvlJc w:val="left"/>
      <w:pPr>
        <w:ind w:left="360" w:hanging="360"/>
      </w:pPr>
      <w:rPr>
        <w:rFonts w:hint="default"/>
      </w:rPr>
    </w:lvl>
    <w:lvl w:ilvl="1">
      <w:start w:val="1"/>
      <w:numFmt w:val="decimal"/>
      <w:lvlText w:val="%1.%2"/>
      <w:lvlJc w:val="left"/>
      <w:pPr>
        <w:ind w:left="4755"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2253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NTc0N7A0tjQ3NrJQ0lEKTi0uzszPAykwqgUAR59+jCwAAAA="/>
  </w:docVars>
  <w:rsids>
    <w:rsidRoot w:val="002D28CF"/>
    <w:rsid w:val="00002CEB"/>
    <w:rsid w:val="00005D72"/>
    <w:rsid w:val="00021C6B"/>
    <w:rsid w:val="000253A0"/>
    <w:rsid w:val="00046E92"/>
    <w:rsid w:val="00047537"/>
    <w:rsid w:val="000554BA"/>
    <w:rsid w:val="00062E69"/>
    <w:rsid w:val="00070D07"/>
    <w:rsid w:val="00082161"/>
    <w:rsid w:val="00086736"/>
    <w:rsid w:val="0008674F"/>
    <w:rsid w:val="000876FE"/>
    <w:rsid w:val="0009002F"/>
    <w:rsid w:val="00093735"/>
    <w:rsid w:val="000A71BE"/>
    <w:rsid w:val="000B1265"/>
    <w:rsid w:val="000C0627"/>
    <w:rsid w:val="000C2ED5"/>
    <w:rsid w:val="000C2FCA"/>
    <w:rsid w:val="000C72C1"/>
    <w:rsid w:val="000D4809"/>
    <w:rsid w:val="000E7668"/>
    <w:rsid w:val="000F6294"/>
    <w:rsid w:val="001011A3"/>
    <w:rsid w:val="0010567E"/>
    <w:rsid w:val="00114A6C"/>
    <w:rsid w:val="00117C0A"/>
    <w:rsid w:val="001316EA"/>
    <w:rsid w:val="00143265"/>
    <w:rsid w:val="0015109B"/>
    <w:rsid w:val="00156721"/>
    <w:rsid w:val="00156F32"/>
    <w:rsid w:val="001571A8"/>
    <w:rsid w:val="00162838"/>
    <w:rsid w:val="00162878"/>
    <w:rsid w:val="00182991"/>
    <w:rsid w:val="001B16C1"/>
    <w:rsid w:val="001B457C"/>
    <w:rsid w:val="001B49AC"/>
    <w:rsid w:val="001B6376"/>
    <w:rsid w:val="001C1AC5"/>
    <w:rsid w:val="001C561C"/>
    <w:rsid w:val="001D0367"/>
    <w:rsid w:val="001D3168"/>
    <w:rsid w:val="001E6745"/>
    <w:rsid w:val="002019C9"/>
    <w:rsid w:val="00201DF3"/>
    <w:rsid w:val="00207133"/>
    <w:rsid w:val="0022085D"/>
    <w:rsid w:val="00226ADD"/>
    <w:rsid w:val="00235D6D"/>
    <w:rsid w:val="002371A8"/>
    <w:rsid w:val="00242F6D"/>
    <w:rsid w:val="0024414D"/>
    <w:rsid w:val="00247E2C"/>
    <w:rsid w:val="00260B70"/>
    <w:rsid w:val="00270450"/>
    <w:rsid w:val="002739B4"/>
    <w:rsid w:val="0028055F"/>
    <w:rsid w:val="00280FF8"/>
    <w:rsid w:val="00285698"/>
    <w:rsid w:val="0028616A"/>
    <w:rsid w:val="002A09CA"/>
    <w:rsid w:val="002B0A8E"/>
    <w:rsid w:val="002B13E4"/>
    <w:rsid w:val="002B4338"/>
    <w:rsid w:val="002C510D"/>
    <w:rsid w:val="002D28CF"/>
    <w:rsid w:val="002D6C53"/>
    <w:rsid w:val="002E4805"/>
    <w:rsid w:val="002E61A1"/>
    <w:rsid w:val="002E79B7"/>
    <w:rsid w:val="002F1919"/>
    <w:rsid w:val="002F5595"/>
    <w:rsid w:val="00311DC0"/>
    <w:rsid w:val="00326200"/>
    <w:rsid w:val="00334F6A"/>
    <w:rsid w:val="00342AC8"/>
    <w:rsid w:val="00350378"/>
    <w:rsid w:val="003522C2"/>
    <w:rsid w:val="00353BA8"/>
    <w:rsid w:val="00376D25"/>
    <w:rsid w:val="00381358"/>
    <w:rsid w:val="00384309"/>
    <w:rsid w:val="003B4550"/>
    <w:rsid w:val="003C0512"/>
    <w:rsid w:val="003C6C5F"/>
    <w:rsid w:val="003D123F"/>
    <w:rsid w:val="003D7B07"/>
    <w:rsid w:val="003E109C"/>
    <w:rsid w:val="003F5AE2"/>
    <w:rsid w:val="003F6A3D"/>
    <w:rsid w:val="004002CE"/>
    <w:rsid w:val="00400889"/>
    <w:rsid w:val="00405529"/>
    <w:rsid w:val="00407433"/>
    <w:rsid w:val="00407667"/>
    <w:rsid w:val="00407EC7"/>
    <w:rsid w:val="00413AD0"/>
    <w:rsid w:val="00427E12"/>
    <w:rsid w:val="00432A3B"/>
    <w:rsid w:val="00432A8E"/>
    <w:rsid w:val="004347C5"/>
    <w:rsid w:val="0043628B"/>
    <w:rsid w:val="0044474D"/>
    <w:rsid w:val="00446536"/>
    <w:rsid w:val="0045316A"/>
    <w:rsid w:val="00461253"/>
    <w:rsid w:val="00462220"/>
    <w:rsid w:val="004658F6"/>
    <w:rsid w:val="0046605F"/>
    <w:rsid w:val="004717C2"/>
    <w:rsid w:val="00475B05"/>
    <w:rsid w:val="004800ED"/>
    <w:rsid w:val="0048110E"/>
    <w:rsid w:val="00494270"/>
    <w:rsid w:val="004A6B83"/>
    <w:rsid w:val="004D61F3"/>
    <w:rsid w:val="00500EEF"/>
    <w:rsid w:val="005042C2"/>
    <w:rsid w:val="0050524C"/>
    <w:rsid w:val="00506A2A"/>
    <w:rsid w:val="00537010"/>
    <w:rsid w:val="005505A4"/>
    <w:rsid w:val="00583FB9"/>
    <w:rsid w:val="005968A0"/>
    <w:rsid w:val="005A72E6"/>
    <w:rsid w:val="005C4C21"/>
    <w:rsid w:val="005C50F0"/>
    <w:rsid w:val="005C61C8"/>
    <w:rsid w:val="005C6EFF"/>
    <w:rsid w:val="005D34D1"/>
    <w:rsid w:val="005E2267"/>
    <w:rsid w:val="005E3200"/>
    <w:rsid w:val="005E384B"/>
    <w:rsid w:val="005E3E94"/>
    <w:rsid w:val="005E7DCD"/>
    <w:rsid w:val="005F38C3"/>
    <w:rsid w:val="00602A11"/>
    <w:rsid w:val="006267DB"/>
    <w:rsid w:val="00642D95"/>
    <w:rsid w:val="00661367"/>
    <w:rsid w:val="00661F54"/>
    <w:rsid w:val="00666172"/>
    <w:rsid w:val="00667D91"/>
    <w:rsid w:val="00671529"/>
    <w:rsid w:val="00694C8A"/>
    <w:rsid w:val="006A3AD9"/>
    <w:rsid w:val="006A46C7"/>
    <w:rsid w:val="006B7158"/>
    <w:rsid w:val="006E2F7D"/>
    <w:rsid w:val="006F0959"/>
    <w:rsid w:val="007143B7"/>
    <w:rsid w:val="007268F9"/>
    <w:rsid w:val="0073322C"/>
    <w:rsid w:val="00735A33"/>
    <w:rsid w:val="00747EF2"/>
    <w:rsid w:val="007530EE"/>
    <w:rsid w:val="007602F0"/>
    <w:rsid w:val="00761A27"/>
    <w:rsid w:val="00765589"/>
    <w:rsid w:val="0078128F"/>
    <w:rsid w:val="007A0F03"/>
    <w:rsid w:val="007C52B0"/>
    <w:rsid w:val="007D2863"/>
    <w:rsid w:val="007D42B4"/>
    <w:rsid w:val="007E4058"/>
    <w:rsid w:val="007E6824"/>
    <w:rsid w:val="007F0414"/>
    <w:rsid w:val="00801A1A"/>
    <w:rsid w:val="0082210D"/>
    <w:rsid w:val="00825BB9"/>
    <w:rsid w:val="008318D3"/>
    <w:rsid w:val="00832E4B"/>
    <w:rsid w:val="00836376"/>
    <w:rsid w:val="00842CA8"/>
    <w:rsid w:val="0084459F"/>
    <w:rsid w:val="00861201"/>
    <w:rsid w:val="00863B08"/>
    <w:rsid w:val="008803C5"/>
    <w:rsid w:val="008918F9"/>
    <w:rsid w:val="00897AAE"/>
    <w:rsid w:val="008B59ED"/>
    <w:rsid w:val="008C1598"/>
    <w:rsid w:val="008C6AD7"/>
    <w:rsid w:val="008D14D6"/>
    <w:rsid w:val="008E128E"/>
    <w:rsid w:val="008E1593"/>
    <w:rsid w:val="008E6E21"/>
    <w:rsid w:val="008E700E"/>
    <w:rsid w:val="008F5467"/>
    <w:rsid w:val="00923D78"/>
    <w:rsid w:val="00923EC8"/>
    <w:rsid w:val="009411B4"/>
    <w:rsid w:val="009549C9"/>
    <w:rsid w:val="0096114B"/>
    <w:rsid w:val="00965F23"/>
    <w:rsid w:val="00975505"/>
    <w:rsid w:val="00984A77"/>
    <w:rsid w:val="009860BF"/>
    <w:rsid w:val="009A198A"/>
    <w:rsid w:val="009A2938"/>
    <w:rsid w:val="009A5202"/>
    <w:rsid w:val="009B25A4"/>
    <w:rsid w:val="009B31D1"/>
    <w:rsid w:val="009B3478"/>
    <w:rsid w:val="009D0139"/>
    <w:rsid w:val="009D5C42"/>
    <w:rsid w:val="009E7CBA"/>
    <w:rsid w:val="009F2F29"/>
    <w:rsid w:val="009F5CDC"/>
    <w:rsid w:val="00A12CC4"/>
    <w:rsid w:val="00A1406D"/>
    <w:rsid w:val="00A16AB0"/>
    <w:rsid w:val="00A21BFF"/>
    <w:rsid w:val="00A259D9"/>
    <w:rsid w:val="00A261B6"/>
    <w:rsid w:val="00A317CE"/>
    <w:rsid w:val="00A360AE"/>
    <w:rsid w:val="00A378F9"/>
    <w:rsid w:val="00A37FB1"/>
    <w:rsid w:val="00A43CF4"/>
    <w:rsid w:val="00A4715F"/>
    <w:rsid w:val="00A53F73"/>
    <w:rsid w:val="00A638B9"/>
    <w:rsid w:val="00A64CF1"/>
    <w:rsid w:val="00A70511"/>
    <w:rsid w:val="00A71BCA"/>
    <w:rsid w:val="00A75493"/>
    <w:rsid w:val="00A775CF"/>
    <w:rsid w:val="00A7770B"/>
    <w:rsid w:val="00A80546"/>
    <w:rsid w:val="00A84310"/>
    <w:rsid w:val="00A84E6E"/>
    <w:rsid w:val="00A947D6"/>
    <w:rsid w:val="00A9548D"/>
    <w:rsid w:val="00A95841"/>
    <w:rsid w:val="00AA14E2"/>
    <w:rsid w:val="00AA1759"/>
    <w:rsid w:val="00AA513A"/>
    <w:rsid w:val="00AB2BEA"/>
    <w:rsid w:val="00AB75D1"/>
    <w:rsid w:val="00AC15D7"/>
    <w:rsid w:val="00AC4A54"/>
    <w:rsid w:val="00AE4502"/>
    <w:rsid w:val="00B0524C"/>
    <w:rsid w:val="00B056D2"/>
    <w:rsid w:val="00B06045"/>
    <w:rsid w:val="00B3067A"/>
    <w:rsid w:val="00B32F9C"/>
    <w:rsid w:val="00B52D97"/>
    <w:rsid w:val="00B55D42"/>
    <w:rsid w:val="00B65502"/>
    <w:rsid w:val="00B71CB3"/>
    <w:rsid w:val="00B75DFC"/>
    <w:rsid w:val="00B81FF9"/>
    <w:rsid w:val="00B90987"/>
    <w:rsid w:val="00B92B50"/>
    <w:rsid w:val="00B94701"/>
    <w:rsid w:val="00BA74AF"/>
    <w:rsid w:val="00BC05D7"/>
    <w:rsid w:val="00BC0F92"/>
    <w:rsid w:val="00BC4D4C"/>
    <w:rsid w:val="00BD254B"/>
    <w:rsid w:val="00BD7C7A"/>
    <w:rsid w:val="00BE318B"/>
    <w:rsid w:val="00C012E2"/>
    <w:rsid w:val="00C073FD"/>
    <w:rsid w:val="00C07598"/>
    <w:rsid w:val="00C12141"/>
    <w:rsid w:val="00C13499"/>
    <w:rsid w:val="00C22C80"/>
    <w:rsid w:val="00C22DD1"/>
    <w:rsid w:val="00C35A27"/>
    <w:rsid w:val="00C37859"/>
    <w:rsid w:val="00C41C19"/>
    <w:rsid w:val="00C53B2B"/>
    <w:rsid w:val="00C57658"/>
    <w:rsid w:val="00C60504"/>
    <w:rsid w:val="00C61133"/>
    <w:rsid w:val="00C63027"/>
    <w:rsid w:val="00C67984"/>
    <w:rsid w:val="00C74ADC"/>
    <w:rsid w:val="00C964EE"/>
    <w:rsid w:val="00C97455"/>
    <w:rsid w:val="00CB42BB"/>
    <w:rsid w:val="00CB5904"/>
    <w:rsid w:val="00CC5153"/>
    <w:rsid w:val="00CC6CED"/>
    <w:rsid w:val="00CD0365"/>
    <w:rsid w:val="00CE1543"/>
    <w:rsid w:val="00D00AE7"/>
    <w:rsid w:val="00D11E4C"/>
    <w:rsid w:val="00D16777"/>
    <w:rsid w:val="00D21089"/>
    <w:rsid w:val="00D4120F"/>
    <w:rsid w:val="00D4341A"/>
    <w:rsid w:val="00D46C21"/>
    <w:rsid w:val="00D46D00"/>
    <w:rsid w:val="00D47AC9"/>
    <w:rsid w:val="00D573FA"/>
    <w:rsid w:val="00D714B9"/>
    <w:rsid w:val="00D722D1"/>
    <w:rsid w:val="00D84292"/>
    <w:rsid w:val="00D8665C"/>
    <w:rsid w:val="00DB6BC6"/>
    <w:rsid w:val="00DC0785"/>
    <w:rsid w:val="00DE2178"/>
    <w:rsid w:val="00DE662E"/>
    <w:rsid w:val="00E02C2B"/>
    <w:rsid w:val="00E07998"/>
    <w:rsid w:val="00E23BC2"/>
    <w:rsid w:val="00E318B5"/>
    <w:rsid w:val="00E34EB9"/>
    <w:rsid w:val="00E37C58"/>
    <w:rsid w:val="00E517E0"/>
    <w:rsid w:val="00E52FCC"/>
    <w:rsid w:val="00E71E60"/>
    <w:rsid w:val="00E8110E"/>
    <w:rsid w:val="00E82BBF"/>
    <w:rsid w:val="00E924B4"/>
    <w:rsid w:val="00E95708"/>
    <w:rsid w:val="00EA6E6C"/>
    <w:rsid w:val="00EB47AB"/>
    <w:rsid w:val="00ED625E"/>
    <w:rsid w:val="00ED6C48"/>
    <w:rsid w:val="00EF2577"/>
    <w:rsid w:val="00EF4DBE"/>
    <w:rsid w:val="00F13FC5"/>
    <w:rsid w:val="00F243E3"/>
    <w:rsid w:val="00F323EA"/>
    <w:rsid w:val="00F35D86"/>
    <w:rsid w:val="00F502EC"/>
    <w:rsid w:val="00F536C0"/>
    <w:rsid w:val="00F54AE9"/>
    <w:rsid w:val="00F56543"/>
    <w:rsid w:val="00F65F5D"/>
    <w:rsid w:val="00F7388D"/>
    <w:rsid w:val="00F83636"/>
    <w:rsid w:val="00F86A3A"/>
    <w:rsid w:val="00F86F2E"/>
    <w:rsid w:val="00F90071"/>
    <w:rsid w:val="00F9242D"/>
    <w:rsid w:val="00F93B75"/>
    <w:rsid w:val="00F93C73"/>
    <w:rsid w:val="00F943A6"/>
    <w:rsid w:val="00F94FD7"/>
    <w:rsid w:val="00FA2C04"/>
    <w:rsid w:val="00FA4535"/>
    <w:rsid w:val="00FC708D"/>
    <w:rsid w:val="00FD1701"/>
    <w:rsid w:val="00FE25B2"/>
    <w:rsid w:val="00FE6634"/>
    <w:rsid w:val="00FF6A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C20D68A"/>
  <w15:docId w15:val="{16E0DFEB-18BA-4241-8815-E76D2AB6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7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3067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3067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3067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HChGChar">
    <w:name w:val="_ H _Ch_G Char"/>
    <w:link w:val="HChG"/>
    <w:locked/>
    <w:rsid w:val="00F83636"/>
    <w:rPr>
      <w:rFonts w:ascii="Times New Roman" w:eastAsia="Times New Roman" w:hAnsi="Times New Roman" w:cs="Times New Roman"/>
      <w:b/>
      <w:sz w:val="28"/>
      <w:szCs w:val="20"/>
      <w:lang w:eastAsia="en-US"/>
    </w:rPr>
  </w:style>
  <w:style w:type="character" w:customStyle="1" w:styleId="H1GChar">
    <w:name w:val="_ H_1_G Char"/>
    <w:link w:val="H1G"/>
    <w:locked/>
    <w:rsid w:val="00F83636"/>
    <w:rPr>
      <w:rFonts w:ascii="Times New Roman" w:eastAsia="Times New Roman" w:hAnsi="Times New Roman" w:cs="Times New Roman"/>
      <w:b/>
      <w:sz w:val="24"/>
      <w:szCs w:val="20"/>
      <w:lang w:eastAsia="en-US"/>
    </w:rPr>
  </w:style>
  <w:style w:type="character" w:customStyle="1" w:styleId="H23GChar">
    <w:name w:val="_ H_2/3_G Char"/>
    <w:link w:val="H23G"/>
    <w:locked/>
    <w:rsid w:val="00F83636"/>
    <w:rPr>
      <w:rFonts w:ascii="Times New Roman" w:eastAsia="Times New Roman" w:hAnsi="Times New Roman" w:cs="Times New Roman"/>
      <w:b/>
      <w:sz w:val="20"/>
      <w:szCs w:val="20"/>
      <w:lang w:eastAsia="en-US"/>
    </w:rPr>
  </w:style>
  <w:style w:type="character" w:customStyle="1" w:styleId="SingleTxtGChar">
    <w:name w:val="_ Single Txt_G Char"/>
    <w:link w:val="SingleTxtG"/>
    <w:rsid w:val="00F8363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00AE7"/>
    <w:rPr>
      <w:sz w:val="16"/>
      <w:szCs w:val="16"/>
    </w:rPr>
  </w:style>
  <w:style w:type="paragraph" w:styleId="CommentText">
    <w:name w:val="annotation text"/>
    <w:basedOn w:val="Normal"/>
    <w:link w:val="CommentTextChar"/>
    <w:uiPriority w:val="99"/>
    <w:semiHidden/>
    <w:unhideWhenUsed/>
    <w:rsid w:val="00D00AE7"/>
    <w:pPr>
      <w:spacing w:line="240" w:lineRule="auto"/>
    </w:pPr>
  </w:style>
  <w:style w:type="character" w:customStyle="1" w:styleId="CommentTextChar">
    <w:name w:val="Comment Text Char"/>
    <w:basedOn w:val="DefaultParagraphFont"/>
    <w:link w:val="CommentText"/>
    <w:uiPriority w:val="99"/>
    <w:semiHidden/>
    <w:rsid w:val="00D00AE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00AE7"/>
    <w:rPr>
      <w:b/>
      <w:bCs/>
    </w:rPr>
  </w:style>
  <w:style w:type="character" w:customStyle="1" w:styleId="CommentSubjectChar">
    <w:name w:val="Comment Subject Char"/>
    <w:basedOn w:val="CommentTextChar"/>
    <w:link w:val="CommentSubject"/>
    <w:uiPriority w:val="99"/>
    <w:semiHidden/>
    <w:rsid w:val="00D00AE7"/>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4D61F3"/>
    <w:rPr>
      <w:i w:val="0"/>
      <w:color w:val="0000FF"/>
      <w:u w:val="none"/>
    </w:rPr>
  </w:style>
  <w:style w:type="character" w:customStyle="1" w:styleId="UnresolvedMention1">
    <w:name w:val="Unresolved Mention1"/>
    <w:basedOn w:val="DefaultParagraphFont"/>
    <w:uiPriority w:val="99"/>
    <w:semiHidden/>
    <w:unhideWhenUsed/>
    <w:rsid w:val="00954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875002076">
      <w:bodyDiv w:val="1"/>
      <w:marLeft w:val="0"/>
      <w:marRight w:val="0"/>
      <w:marTop w:val="0"/>
      <w:marBottom w:val="0"/>
      <w:divBdr>
        <w:top w:val="none" w:sz="0" w:space="0" w:color="auto"/>
        <w:left w:val="none" w:sz="0" w:space="0" w:color="auto"/>
        <w:bottom w:val="none" w:sz="0" w:space="0" w:color="auto"/>
        <w:right w:val="none" w:sz="0" w:space="0" w:color="auto"/>
      </w:divBdr>
    </w:div>
    <w:div w:id="1023558674">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ijus.eu/?p=103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6422-559D-400C-9BA1-90642C27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2043</Words>
  <Characters>10389</Characters>
  <Application>Microsoft Office Word</Application>
  <DocSecurity>0</DocSecurity>
  <Lines>176</Lines>
  <Paragraphs>53</Paragraphs>
  <ScaleCrop>false</ScaleCrop>
  <HeadingPairs>
    <vt:vector size="2" baseType="variant">
      <vt:variant>
        <vt:lpstr>Title</vt:lpstr>
      </vt:variant>
      <vt:variant>
        <vt:i4>1</vt:i4>
      </vt:variant>
    </vt:vector>
  </HeadingPairs>
  <TitlesOfParts>
    <vt:vector size="1" baseType="lpstr">
      <vt:lpstr>CRC/C/83/D/60/2018</vt:lpstr>
    </vt:vector>
  </TitlesOfParts>
  <Company>DCM</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CRC/C/83/D/60/2018</dc:title>
  <dc:subject>2003702</dc:subject>
  <dc:creator>cg</dc:creator>
  <cp:keywords/>
  <dc:description/>
  <cp:lastModifiedBy>Generic Pdf eng</cp:lastModifiedBy>
  <cp:revision>2</cp:revision>
  <dcterms:created xsi:type="dcterms:W3CDTF">2020-03-10T10:04:00Z</dcterms:created>
  <dcterms:modified xsi:type="dcterms:W3CDTF">2020-03-10T10:04:00Z</dcterms:modified>
</cp:coreProperties>
</file>