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56" w:rsidRDefault="00753F56" w:rsidP="00753F56">
      <w:pPr>
        <w:spacing w:line="60" w:lineRule="exact"/>
        <w:rPr>
          <w:color w:val="010000"/>
          <w:sz w:val="2"/>
        </w:rPr>
        <w:sectPr w:rsidR="00753F56" w:rsidSect="00BC1D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BC1DE0" w:rsidRPr="007B5FD6" w:rsidRDefault="00BC1DE0" w:rsidP="00BC1DE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B5FD6">
        <w:t xml:space="preserve">Комитет по ликвидации </w:t>
      </w:r>
      <w:r w:rsidRPr="00112C64">
        <w:br/>
      </w:r>
      <w:r w:rsidRPr="007B5FD6">
        <w:t>дискриминации в</w:t>
      </w:r>
      <w:r>
        <w:rPr>
          <w:lang w:val="en-US"/>
        </w:rPr>
        <w:t> </w:t>
      </w:r>
      <w:r w:rsidRPr="007B5FD6">
        <w:t>отношении женщин</w:t>
      </w:r>
    </w:p>
    <w:p w:rsidR="00BC1DE0" w:rsidRPr="000277B8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0277B8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7B5FD6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0277B8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112C64" w:rsidRDefault="00BC1DE0" w:rsidP="00AA2C6C">
      <w:pPr>
        <w:pStyle w:val="TitleHCH"/>
      </w:pPr>
      <w:r w:rsidRPr="000277B8">
        <w:tab/>
      </w:r>
      <w:r w:rsidRPr="000277B8">
        <w:tab/>
      </w:r>
      <w:r w:rsidRPr="000430BA">
        <w:t>Мнения, принятые Комитетом в соответствии с</w:t>
      </w:r>
      <w:r>
        <w:rPr>
          <w:lang w:val="en-US"/>
        </w:rPr>
        <w:t> </w:t>
      </w:r>
      <w:r w:rsidRPr="000430BA">
        <w:t>пунктом</w:t>
      </w:r>
      <w:r>
        <w:t> </w:t>
      </w:r>
      <w:r w:rsidRPr="000430BA">
        <w:t>4 статьи</w:t>
      </w:r>
      <w:r>
        <w:t> </w:t>
      </w:r>
      <w:r w:rsidRPr="000430BA">
        <w:t>7 Факультативного протокола, в</w:t>
      </w:r>
      <w:r>
        <w:rPr>
          <w:lang w:val="en-US"/>
        </w:rPr>
        <w:t> </w:t>
      </w:r>
      <w:r w:rsidRPr="000430BA">
        <w:t xml:space="preserve">отношении сообщения № </w:t>
      </w:r>
      <w:r w:rsidRPr="0037339D">
        <w:t>75/201</w:t>
      </w:r>
      <w:r w:rsidRPr="000430BA">
        <w:t>4</w:t>
      </w:r>
      <w:r w:rsidRPr="00BC1DE0">
        <w:rPr>
          <w:rStyle w:val="FootnoteReference"/>
          <w:b w:val="0"/>
          <w:sz w:val="20"/>
          <w:szCs w:val="28"/>
        </w:rPr>
        <w:footnoteReference w:customMarkFollows="1" w:id="1"/>
        <w:t>*</w:t>
      </w:r>
      <w:r w:rsidRPr="00204064">
        <w:rPr>
          <w:vertAlign w:val="superscript"/>
        </w:rPr>
        <w:t>,</w:t>
      </w:r>
      <w:r w:rsidRPr="00BC1DE0">
        <w:rPr>
          <w:rStyle w:val="FootnoteReference"/>
          <w:b w:val="0"/>
          <w:sz w:val="20"/>
          <w:szCs w:val="28"/>
        </w:rPr>
        <w:footnoteReference w:customMarkFollows="1" w:id="2"/>
        <w:t>**</w:t>
      </w:r>
    </w:p>
    <w:p w:rsidR="00BC1DE0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Default="00BC1DE0" w:rsidP="00BC1DE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3905"/>
      </w:tblGrid>
      <w:tr w:rsidR="00BC1DE0" w:rsidTr="00080FC1">
        <w:tc>
          <w:tcPr>
            <w:tcW w:w="2710" w:type="dxa"/>
            <w:hideMark/>
          </w:tcPr>
          <w:p w:rsidR="00BC1DE0" w:rsidRPr="00586B1F" w:rsidRDefault="00BC1DE0" w:rsidP="00080FC1">
            <w:pPr>
              <w:pStyle w:val="DualTxt"/>
              <w:rPr>
                <w:i/>
                <w:sz w:val="24"/>
                <w:szCs w:val="24"/>
                <w:lang w:val="es-ES" w:eastAsia="es-ES"/>
              </w:rPr>
            </w:pPr>
            <w:r w:rsidRPr="00586B1F">
              <w:rPr>
                <w:i/>
              </w:rPr>
              <w:t>Сообщение представлено:</w:t>
            </w:r>
          </w:p>
        </w:tc>
        <w:tc>
          <w:tcPr>
            <w:tcW w:w="3905" w:type="dxa"/>
            <w:vAlign w:val="bottom"/>
            <w:hideMark/>
          </w:tcPr>
          <w:p w:rsidR="00BC1DE0" w:rsidRDefault="00BC1DE0" w:rsidP="00080FC1">
            <w:pPr>
              <w:pStyle w:val="DualTxt"/>
              <w:jc w:val="left"/>
              <w:rPr>
                <w:sz w:val="24"/>
                <w:szCs w:val="24"/>
                <w:lang w:val="es-ES" w:eastAsia="es-ES"/>
              </w:rPr>
            </w:pPr>
            <w:r>
              <w:t>Рейной Трухильо Рейес и Педро Аргуэльо Моралесом (представлены адвокатами Арасели Гонсалесом и Марией Адрианой Фуэнтес)</w:t>
            </w:r>
          </w:p>
        </w:tc>
      </w:tr>
      <w:tr w:rsidR="00BC1DE0" w:rsidTr="00080FC1">
        <w:tc>
          <w:tcPr>
            <w:tcW w:w="2710" w:type="dxa"/>
            <w:hideMark/>
          </w:tcPr>
          <w:p w:rsidR="00BC1DE0" w:rsidRPr="00586B1F" w:rsidRDefault="00BC1DE0" w:rsidP="00080FC1">
            <w:pPr>
              <w:pStyle w:val="DualTxt"/>
              <w:rPr>
                <w:i/>
                <w:sz w:val="24"/>
                <w:szCs w:val="24"/>
                <w:lang w:val="es-ES" w:eastAsia="es-ES"/>
              </w:rPr>
            </w:pPr>
            <w:r w:rsidRPr="00586B1F">
              <w:rPr>
                <w:i/>
              </w:rPr>
              <w:t>Предполагаемая жертва:</w:t>
            </w:r>
          </w:p>
        </w:tc>
        <w:tc>
          <w:tcPr>
            <w:tcW w:w="3905" w:type="dxa"/>
            <w:vAlign w:val="bottom"/>
            <w:hideMark/>
          </w:tcPr>
          <w:p w:rsidR="00BC1DE0" w:rsidRDefault="00BC1DE0" w:rsidP="00080FC1">
            <w:pPr>
              <w:pStyle w:val="DualTxt"/>
              <w:jc w:val="left"/>
              <w:rPr>
                <w:sz w:val="24"/>
                <w:szCs w:val="24"/>
                <w:lang w:val="es-ES" w:eastAsia="es-ES"/>
              </w:rPr>
            </w:pPr>
            <w:r>
              <w:t>Пилар Аргуэльо Трухильо (покойная)</w:t>
            </w:r>
          </w:p>
        </w:tc>
      </w:tr>
      <w:tr w:rsidR="00BC1DE0" w:rsidTr="00080FC1">
        <w:tc>
          <w:tcPr>
            <w:tcW w:w="2710" w:type="dxa"/>
            <w:hideMark/>
          </w:tcPr>
          <w:p w:rsidR="00BC1DE0" w:rsidRPr="00586B1F" w:rsidRDefault="00BC1DE0" w:rsidP="00080FC1">
            <w:pPr>
              <w:pStyle w:val="DualTxt"/>
              <w:rPr>
                <w:i/>
                <w:sz w:val="24"/>
                <w:szCs w:val="24"/>
                <w:lang w:val="es-ES" w:eastAsia="es-ES"/>
              </w:rPr>
            </w:pPr>
            <w:r w:rsidRPr="00586B1F">
              <w:rPr>
                <w:i/>
              </w:rPr>
              <w:t>Государство-участник:</w:t>
            </w:r>
          </w:p>
        </w:tc>
        <w:tc>
          <w:tcPr>
            <w:tcW w:w="3905" w:type="dxa"/>
            <w:vAlign w:val="bottom"/>
            <w:hideMark/>
          </w:tcPr>
          <w:p w:rsidR="00BC1DE0" w:rsidRDefault="00BC1DE0" w:rsidP="00080FC1">
            <w:pPr>
              <w:pStyle w:val="DualTxt"/>
              <w:jc w:val="left"/>
              <w:rPr>
                <w:sz w:val="24"/>
                <w:szCs w:val="24"/>
                <w:lang w:val="es-ES" w:eastAsia="es-ES"/>
              </w:rPr>
            </w:pPr>
            <w:r>
              <w:t>Мексика</w:t>
            </w:r>
          </w:p>
        </w:tc>
      </w:tr>
      <w:tr w:rsidR="00BC1DE0" w:rsidTr="00080FC1">
        <w:tc>
          <w:tcPr>
            <w:tcW w:w="2710" w:type="dxa"/>
            <w:hideMark/>
          </w:tcPr>
          <w:p w:rsidR="00BC1DE0" w:rsidRPr="00586B1F" w:rsidRDefault="00BC1DE0" w:rsidP="00080FC1">
            <w:pPr>
              <w:pStyle w:val="DualTxt"/>
              <w:rPr>
                <w:i/>
                <w:sz w:val="24"/>
                <w:szCs w:val="24"/>
                <w:lang w:val="es-ES" w:eastAsia="es-ES"/>
              </w:rPr>
            </w:pPr>
            <w:r w:rsidRPr="00586B1F">
              <w:rPr>
                <w:i/>
              </w:rPr>
              <w:t>Дата сообщения:</w:t>
            </w:r>
          </w:p>
        </w:tc>
        <w:tc>
          <w:tcPr>
            <w:tcW w:w="3905" w:type="dxa"/>
            <w:vAlign w:val="bottom"/>
            <w:hideMark/>
          </w:tcPr>
          <w:p w:rsidR="00BC1DE0" w:rsidRDefault="00BC1DE0" w:rsidP="00080FC1">
            <w:pPr>
              <w:pStyle w:val="DualTxt"/>
              <w:jc w:val="left"/>
              <w:rPr>
                <w:sz w:val="24"/>
                <w:szCs w:val="24"/>
                <w:lang w:val="es-ES" w:eastAsia="es-ES"/>
              </w:rPr>
            </w:pPr>
            <w:r>
              <w:t>1 августа 2014 года (первоначальное представление)</w:t>
            </w:r>
          </w:p>
        </w:tc>
      </w:tr>
      <w:tr w:rsidR="00BC1DE0" w:rsidTr="00080FC1">
        <w:tc>
          <w:tcPr>
            <w:tcW w:w="2710" w:type="dxa"/>
            <w:hideMark/>
          </w:tcPr>
          <w:p w:rsidR="00BC1DE0" w:rsidRPr="00586B1F" w:rsidRDefault="00BC1DE0" w:rsidP="00080FC1">
            <w:pPr>
              <w:pStyle w:val="DualTxt"/>
              <w:rPr>
                <w:i/>
                <w:sz w:val="24"/>
                <w:szCs w:val="24"/>
                <w:lang w:val="es-ES" w:eastAsia="es-ES"/>
              </w:rPr>
            </w:pPr>
            <w:r w:rsidRPr="00586B1F">
              <w:rPr>
                <w:i/>
              </w:rPr>
              <w:t>Справочная документация:</w:t>
            </w:r>
          </w:p>
        </w:tc>
        <w:tc>
          <w:tcPr>
            <w:tcW w:w="3905" w:type="dxa"/>
            <w:vAlign w:val="bottom"/>
            <w:hideMark/>
          </w:tcPr>
          <w:p w:rsidR="00BC1DE0" w:rsidRDefault="00BC1DE0" w:rsidP="00080FC1">
            <w:pPr>
              <w:pStyle w:val="DualTxt"/>
              <w:jc w:val="left"/>
              <w:rPr>
                <w:sz w:val="24"/>
                <w:szCs w:val="24"/>
                <w:lang w:val="es-ES" w:eastAsia="es-ES"/>
              </w:rPr>
            </w:pPr>
            <w:r>
              <w:t>препровождена государству-участнику 12 ноября 2014 года (в виде документа не издавалась)</w:t>
            </w:r>
          </w:p>
        </w:tc>
      </w:tr>
      <w:tr w:rsidR="00BC1DE0" w:rsidTr="00080FC1">
        <w:tc>
          <w:tcPr>
            <w:tcW w:w="2710" w:type="dxa"/>
            <w:hideMark/>
          </w:tcPr>
          <w:p w:rsidR="00BC1DE0" w:rsidRPr="00586B1F" w:rsidRDefault="00BC1DE0" w:rsidP="00080FC1">
            <w:pPr>
              <w:pStyle w:val="DualTxt"/>
              <w:rPr>
                <w:i/>
                <w:sz w:val="24"/>
                <w:szCs w:val="24"/>
                <w:lang w:val="es-ES" w:eastAsia="es-ES"/>
              </w:rPr>
            </w:pPr>
            <w:r w:rsidRPr="00586B1F">
              <w:rPr>
                <w:i/>
              </w:rPr>
              <w:t>Дата принятия мнений:</w:t>
            </w:r>
          </w:p>
        </w:tc>
        <w:tc>
          <w:tcPr>
            <w:tcW w:w="3905" w:type="dxa"/>
            <w:vAlign w:val="bottom"/>
            <w:hideMark/>
          </w:tcPr>
          <w:p w:rsidR="00BC1DE0" w:rsidRDefault="00BC1DE0" w:rsidP="00080FC1">
            <w:pPr>
              <w:pStyle w:val="DualTxt"/>
              <w:jc w:val="left"/>
              <w:rPr>
                <w:sz w:val="24"/>
                <w:szCs w:val="24"/>
                <w:lang w:val="es-ES" w:eastAsia="es-ES"/>
              </w:rPr>
            </w:pPr>
            <w:r>
              <w:t>21 июля 2017 года</w:t>
            </w:r>
          </w:p>
        </w:tc>
      </w:tr>
    </w:tbl>
    <w:p w:rsidR="00BC1DE0" w:rsidRPr="007B5FD6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1B1673">
      <w:pPr>
        <w:pStyle w:val="SingleTxt"/>
        <w:rPr>
          <w:sz w:val="24"/>
          <w:szCs w:val="24"/>
        </w:rPr>
      </w:pPr>
      <w:r>
        <w:br w:type="page"/>
        <w:t>1.</w:t>
      </w:r>
      <w:r>
        <w:tab/>
        <w:t>Авторами сообщения являются Рейна Трухильо и Педро Аргуэльо Мор</w:t>
      </w:r>
      <w:r>
        <w:t>а</w:t>
      </w:r>
      <w:r>
        <w:t>лес, граждане Мексики, которые представляют настоящее сообщение касател</w:t>
      </w:r>
      <w:r>
        <w:t>ь</w:t>
      </w:r>
      <w:r>
        <w:t>но их покойной дочери, также гражданки Мексики, рожденной 7 июля 1992 года. Авторы утверждают, что в ходе расследования обстоятельств смерти их дочери государство-участник нарушило статьи 1, 2, 3, 5 и 15 Конвенции о ликвидации всех форм дискриминации в отношении женщин. Конвенция и Ф</w:t>
      </w:r>
      <w:r>
        <w:t>а</w:t>
      </w:r>
      <w:r>
        <w:t>культативный протокол к ней вступили в силу для Мексики 22 апреля 1981 года и 16 июня 2002 года соответственно. Интересы авторов представл</w:t>
      </w:r>
      <w:r>
        <w:t>я</w:t>
      </w:r>
      <w:r>
        <w:t>ют адвокаты.</w:t>
      </w:r>
    </w:p>
    <w:p w:rsidR="00BC1DE0" w:rsidRPr="003904CA" w:rsidRDefault="00BC1DE0" w:rsidP="00BC1DE0">
      <w:pPr>
        <w:pStyle w:val="SingleTxt"/>
        <w:spacing w:after="0" w:line="120" w:lineRule="exact"/>
        <w:rPr>
          <w:sz w:val="10"/>
        </w:rPr>
      </w:pPr>
      <w:r>
        <w:tab/>
      </w:r>
    </w:p>
    <w:p w:rsidR="00BC1DE0" w:rsidRPr="008967C4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 xml:space="preserve">Факты в изложении авторов </w:t>
      </w:r>
    </w:p>
    <w:p w:rsidR="00BC1DE0" w:rsidRPr="003904CA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2.1</w:t>
      </w:r>
      <w:r>
        <w:tab/>
        <w:t xml:space="preserve">Пилар Аргуэльо Трухильо была убита 3 сентября 2012 года в чайотале поселения Эспехо муниципалитета Коскоматепек (штат Веракрус). У убитой имелись признаки сексуального насилия, ей были нанесены тяжкие телесные повреждения и ранения, а труп был подброшен в одно из публичных мест, что явно свидетельствовало о факте феминицида. </w:t>
      </w:r>
    </w:p>
    <w:p w:rsidR="00BC1DE0" w:rsidRPr="008967C4" w:rsidRDefault="00BC1DE0" w:rsidP="001B1673">
      <w:pPr>
        <w:pStyle w:val="SingleTxt"/>
        <w:rPr>
          <w:sz w:val="24"/>
          <w:szCs w:val="24"/>
        </w:rPr>
      </w:pPr>
      <w:r>
        <w:t>2.2</w:t>
      </w:r>
      <w:r>
        <w:tab/>
        <w:t>В ходе проведенного прокуратурой расследования по подозрению в с</w:t>
      </w:r>
      <w:r>
        <w:t>о</w:t>
      </w:r>
      <w:r>
        <w:t>вершении преступления был задержан несовершеннолетний А.Р.М., которого доставили в отдел прокуратуры муниципалитета Уатуско по делам несове</w:t>
      </w:r>
      <w:r>
        <w:t>р</w:t>
      </w:r>
      <w:r>
        <w:t>шеннолетних и примирительным процедурам для проведения дальнейших следственных действий. Впоследствии дело было передано сотруднику прок</w:t>
      </w:r>
      <w:r>
        <w:t>у</w:t>
      </w:r>
      <w:r>
        <w:t xml:space="preserve">ратуры при суде по делам несовершеннолетних Палма-Солы в муниципалитете Альто-Лусеро.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2.3</w:t>
      </w:r>
      <w:r>
        <w:tab/>
        <w:t>По окончании следствия суд по делам несовершеннолетних признал А.Р.М. виновным в совершении убийства при отягчающих обстоятельствах. 3 ноября 2012 года временно исполняющая обязанности судьи на этапе суд</w:t>
      </w:r>
      <w:r>
        <w:t>о</w:t>
      </w:r>
      <w:r>
        <w:t>производства по делам несовершеннолетних признала вышеуказанное лицо невиновным ввиду отсутствия неопровержимых доказательств вины последн</w:t>
      </w:r>
      <w:r>
        <w:t>е</w:t>
      </w:r>
      <w:r>
        <w:t>го. Сотрудник прокуратуры, специализирующийся на делах несовершенноле</w:t>
      </w:r>
      <w:r>
        <w:t>т</w:t>
      </w:r>
      <w:r>
        <w:t>них правонарушителей, подал апелляцию, указав, что в ходе судебного разб</w:t>
      </w:r>
      <w:r>
        <w:t>и</w:t>
      </w:r>
      <w:r>
        <w:t>рательства представленные доказательства не были оценены надлежащим о</w:t>
      </w:r>
      <w:r>
        <w:t>б</w:t>
      </w:r>
      <w:r>
        <w:t>разом. Тем не менее Апелляционная палата по делам несовершеннолетних Верховного суда штата Веракрус оставила приговор в силе. Как указано в р</w:t>
      </w:r>
      <w:r>
        <w:t>е</w:t>
      </w:r>
      <w:r>
        <w:t>шении по апелляции, суд заново проанализировал представленные доказател</w:t>
      </w:r>
      <w:r>
        <w:t>ь</w:t>
      </w:r>
      <w:r>
        <w:t>ства. В решении также отмечалось, что ни одно из представленных свидетел</w:t>
      </w:r>
      <w:r>
        <w:t>ь</w:t>
      </w:r>
      <w:r>
        <w:t>ств не представляет собой весомые, прямые и убедительные доказательства т</w:t>
      </w:r>
      <w:r>
        <w:t>о</w:t>
      </w:r>
      <w:r>
        <w:t>го, что А.Р.М. причастен к преступлению. В решении также содержится ссылка на проведенный прокуратурой следственный эксперимент, в ходе которого А.Р.М. показал, каким именно образом он совершил убийство. Суд пришел к выводу, что следственный эксперимент лишен доказательной силы, поскольку он не был проведен с соблюдением предусмотренной законом процедуры. Ср</w:t>
      </w:r>
      <w:r>
        <w:t>е</w:t>
      </w:r>
      <w:r>
        <w:t>ди прочего, следственное действие было проведено до слушания дела по сущ</w:t>
      </w:r>
      <w:r>
        <w:t>е</w:t>
      </w:r>
      <w:r>
        <w:t>ству, а не в ходе последнего. Кроме того, в статье 225 Уголовно-процессуального кодекса штата Веракрус предусматривается, что следстве</w:t>
      </w:r>
      <w:r>
        <w:t>н</w:t>
      </w:r>
      <w:r>
        <w:t>ные действия можно повторно проводить столько раз, сколько потребуется. Т</w:t>
      </w:r>
      <w:r>
        <w:t>а</w:t>
      </w:r>
      <w:r>
        <w:t>ким образом, не существовало каких-либо юридических препятствий для того, чтобы сотрудники прокуратуры провели следственный эксперимент до внес</w:t>
      </w:r>
      <w:r>
        <w:t>е</w:t>
      </w:r>
      <w:r>
        <w:t>ния своего предложения и его представления на этапе судебного разбирател</w:t>
      </w:r>
      <w:r>
        <w:t>ь</w:t>
      </w:r>
      <w:r>
        <w:t>ства. Для того чтобы обвиняемый мог быть осужден или оправдан, на стадии судебного разбирательства должны быть представлены убедительные доказ</w:t>
      </w:r>
      <w:r>
        <w:t>а</w:t>
      </w:r>
      <w:r>
        <w:t>тельства. Суд пришел к выводу о том, что представленных прокуратурой док</w:t>
      </w:r>
      <w:r>
        <w:t>а</w:t>
      </w:r>
      <w:r>
        <w:t>зательств недостаточно для подтверждения виновности А.Р.М. Кроме того, в ходе судебного разбирательства обвиняемый отрицал свою причастность к рассматриваемым событиям.</w:t>
      </w:r>
    </w:p>
    <w:p w:rsidR="00BC1DE0" w:rsidRPr="008967C4" w:rsidRDefault="00BC1DE0" w:rsidP="001B1673">
      <w:pPr>
        <w:pStyle w:val="SingleTxt"/>
        <w:rPr>
          <w:sz w:val="24"/>
          <w:szCs w:val="24"/>
        </w:rPr>
      </w:pPr>
      <w:r>
        <w:t>2.4</w:t>
      </w:r>
      <w:r>
        <w:tab/>
        <w:t>23 октября 2013 года автор сообщения подала ходатайство о применении процедуры ампаро и защите в третий Коллегиальный суд по уголовным делам и трудовым спорам Седьмого округа города Халапа, указав, что в ходе выш</w:t>
      </w:r>
      <w:r>
        <w:t>е</w:t>
      </w:r>
      <w:r>
        <w:t>означенного расследования были нарушены принцип надлежащей правовой процедуры и принцип процессуального равенства сторон. 12 ноября 2013 года данное ходатайство было отклонено на том основании, что оно было подано по истечении установленного 15-дневного срока, предусмотренного в соотве</w:t>
      </w:r>
      <w:r>
        <w:t>т</w:t>
      </w:r>
      <w:r>
        <w:t>ствии со статьей 21 Закона об ампаро и начинающегося с даты получения авт</w:t>
      </w:r>
      <w:r>
        <w:t>о</w:t>
      </w:r>
      <w:r>
        <w:t>рами уведомления о решении по апелляции (то есть с 25 февраля 2013 года). Это решение было принято несмотря на тот факт, что в нем же указывалось, что автора лично не уведомили о принятом судебном решении, как того треб</w:t>
      </w:r>
      <w:r>
        <w:t>у</w:t>
      </w:r>
      <w:r>
        <w:t>ет закон. 3 декабря 2013 года авторы обжаловали решение об отклонении ход</w:t>
      </w:r>
      <w:r>
        <w:t>а</w:t>
      </w:r>
      <w:r>
        <w:t xml:space="preserve">тайства о применении процедуры ампаро. В праве обжалования также было отказано на том основании, что ходатайство о применении процедуры ампаро было подано по истечении установленного срока. </w:t>
      </w:r>
    </w:p>
    <w:p w:rsidR="00BC1DE0" w:rsidRDefault="00BC1DE0" w:rsidP="00BC1DE0">
      <w:pPr>
        <w:pStyle w:val="SingleTxt"/>
      </w:pPr>
      <w:r>
        <w:t>2.5</w:t>
      </w:r>
      <w:r>
        <w:tab/>
        <w:t>Авторы утверждают, что внутренние средства правовой защиты были н</w:t>
      </w:r>
      <w:r>
        <w:t>е</w:t>
      </w:r>
      <w:r>
        <w:t>эффективными и в конечном итоге привели к безнаказанности. Ввиду того что государственная прокуратура не представила надлежащие и достаточные док</w:t>
      </w:r>
      <w:r>
        <w:t>а</w:t>
      </w:r>
      <w:r>
        <w:t>зательства совершения преступления, суд заключил, что ответственность пр</w:t>
      </w:r>
      <w:r>
        <w:t>а</w:t>
      </w:r>
      <w:r>
        <w:t>вонарушителя не доказана должным образом. Кроме того, членам семьи п</w:t>
      </w:r>
      <w:r>
        <w:t>о</w:t>
      </w:r>
      <w:r>
        <w:t>гибшей не разрешили тем или иным образом участвовать в слушании дела в суде первой инстанции. Автор сообщения могла подать апелляционную жалобу в качестве жертвы, поскольку является матерью покойной. Однако это оказ</w:t>
      </w:r>
      <w:r>
        <w:t>а</w:t>
      </w:r>
      <w:r>
        <w:t>лось невозможным, поскольку прокуратура заявила, что, выступая в качестве представителя жертвы, именно она несет ответственность за подачу жалобы. Это ограничило для жертв возможность защищать свои собственные интересы и права. Тот факт, что авторы сообщения не умеют ни читать, ни писать, ставит их в еще более уязвимое положение, поскольку при такой ситуации они лиш</w:t>
      </w:r>
      <w:r>
        <w:t>е</w:t>
      </w:r>
      <w:r>
        <w:t>ны возможности предпринять какие-либо информированные действия в защиту своих прав и интересов</w:t>
      </w:r>
      <w:r w:rsidRPr="00BC1DE0">
        <w:rPr>
          <w:rStyle w:val="FootnoteReference"/>
        </w:rPr>
        <w:footnoteReference w:customMarkFollows="1" w:id="3"/>
        <w:t>1</w:t>
      </w:r>
      <w:r>
        <w:t>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2.6</w:t>
      </w:r>
      <w:r>
        <w:tab/>
        <w:t>Рассматриваемое убийство произошло в условиях высокого уровня нас</w:t>
      </w:r>
      <w:r>
        <w:t>и</w:t>
      </w:r>
      <w:r>
        <w:t>лия в отношении женщин, причем как по всей стране, так и непосредственно в штате Веракрус, о чем свидетельствуют различные национальные и междун</w:t>
      </w:r>
      <w:r>
        <w:t>а</w:t>
      </w:r>
      <w:r>
        <w:t>родные учреждения. Ввиду сложившейся крайне тяжелой ситуации феминицид был квалифицирован как особый вид преступления в штате Веракрус; однако такая квалификация преступления не применяется в отношении лиц, не д</w:t>
      </w:r>
      <w:r>
        <w:t>о</w:t>
      </w:r>
      <w:r>
        <w:t xml:space="preserve">стигших 18-летнего возраста. </w:t>
      </w:r>
    </w:p>
    <w:p w:rsidR="00BC1DE0" w:rsidRDefault="00BC1DE0" w:rsidP="00BC1DE0">
      <w:pPr>
        <w:pStyle w:val="SingleTxt"/>
      </w:pPr>
      <w:r>
        <w:t>2.7</w:t>
      </w:r>
      <w:r>
        <w:tab/>
        <w:t>Как отмечали авторы сообщения, при расследовании преступления соо</w:t>
      </w:r>
      <w:r>
        <w:t>т</w:t>
      </w:r>
      <w:r>
        <w:t>ветствующие органы власти проявили небрежность и не приняли мер, име</w:t>
      </w:r>
      <w:r>
        <w:t>ю</w:t>
      </w:r>
      <w:r>
        <w:t>щих решающее значение для установления истины в отношении произошедш</w:t>
      </w:r>
      <w:r>
        <w:t>е</w:t>
      </w:r>
      <w:r>
        <w:t>го. Кроме того, следственные органы не приняли во внимание показания св</w:t>
      </w:r>
      <w:r>
        <w:t>и</w:t>
      </w:r>
      <w:r>
        <w:t>детелей, уличавших в совершении этого преступления А.Р.М. К тому же сле</w:t>
      </w:r>
      <w:r>
        <w:t>д</w:t>
      </w:r>
      <w:r>
        <w:t>ственные органы не рассматривали версию феминицида и должным образом не приняли во внимание как косвенные доказательства, так и другие признаки, свидетельствующие о гендерном характере преступления, то есть феминициде, включая следы сексуального насилия, тяжкие телесные повреждения, бесп</w:t>
      </w:r>
      <w:r>
        <w:t>о</w:t>
      </w:r>
      <w:r>
        <w:t>мощное состояние жертвы и тот факт, что тело покойной было преднамеренно оставлено для всеобщего обозрения в одном из публичных мес</w:t>
      </w:r>
      <w:r w:rsidRPr="00572ABA">
        <w:t>т</w:t>
      </w:r>
      <w:r w:rsidRPr="00BC1DE0">
        <w:rPr>
          <w:rStyle w:val="FootnoteReference"/>
        </w:rPr>
        <w:footnoteReference w:id="4"/>
      </w:r>
      <w:r w:rsidRPr="00572ABA">
        <w:t>.</w:t>
      </w:r>
      <w:r>
        <w:t xml:space="preserve"> </w:t>
      </w:r>
    </w:p>
    <w:p w:rsidR="00BC1DE0" w:rsidRDefault="00BC1DE0" w:rsidP="00BC1DE0">
      <w:pPr>
        <w:pStyle w:val="SingleTxt"/>
      </w:pPr>
      <w:r>
        <w:t>2.8</w:t>
      </w:r>
      <w:r>
        <w:tab/>
        <w:t>При расследовании преступления феминицида прокуратура должна сл</w:t>
      </w:r>
      <w:r>
        <w:t>е</w:t>
      </w:r>
      <w:r>
        <w:t>довать протоколу, который регламентирует основные следственные действия и определяет минимальные мероприятия для обеспечения должной осмотр</w:t>
      </w:r>
      <w:r>
        <w:t>и</w:t>
      </w:r>
      <w:r>
        <w:t>тельности при проведении расследования, однако в рассматриваемом случае протокол применен не был, что и привело к упущениям и нарушениям в ходе следствия</w:t>
      </w:r>
      <w:r w:rsidRPr="00BC1DE0">
        <w:rPr>
          <w:vertAlign w:val="superscript"/>
        </w:rPr>
        <w:footnoteReference w:id="5"/>
      </w:r>
      <w:r w:rsidRPr="00572ABA">
        <w:t>.</w:t>
      </w:r>
    </w:p>
    <w:p w:rsidR="00BC1DE0" w:rsidRPr="008967C4" w:rsidRDefault="00BC1DE0" w:rsidP="001B1673">
      <w:pPr>
        <w:pStyle w:val="SingleTxt"/>
        <w:rPr>
          <w:sz w:val="24"/>
          <w:szCs w:val="24"/>
        </w:rPr>
      </w:pPr>
      <w:r>
        <w:t>2.9</w:t>
      </w:r>
      <w:r>
        <w:tab/>
        <w:t>Такая модель поведения обусловлена, наряду с другими факторами, о</w:t>
      </w:r>
      <w:r>
        <w:t>т</w:t>
      </w:r>
      <w:r>
        <w:t>сутствием специализированных подразделений, на которые была бы возложена ответственность за проведение эффективных и транспарентных дознавател</w:t>
      </w:r>
      <w:r>
        <w:t>ь</w:t>
      </w:r>
      <w:r>
        <w:t>ных мероприятий и предварительных следственных действий; отсутствием специальных протоколов для расследования случаев феминицида и пробелами в знаниях у сотрудников соответствующих органов; к тому же среди работн</w:t>
      </w:r>
      <w:r>
        <w:t>и</w:t>
      </w:r>
      <w:r>
        <w:t>ков судебной системы все еще преобладает патриархальная культура, из-за ч</w:t>
      </w:r>
      <w:r>
        <w:t>е</w:t>
      </w:r>
      <w:r>
        <w:t>го жертвы становятся объектом стигматизации, их заявления зачастую не пр</w:t>
      </w:r>
      <w:r>
        <w:t>и</w:t>
      </w:r>
      <w:r>
        <w:t>нимаются во внимание и порою дело доходит до крайности, когда самих же</w:t>
      </w:r>
      <w:r>
        <w:t>н</w:t>
      </w:r>
      <w:r>
        <w:t>щин обвиняют в провокации насилия, которому они подверглись и о котором они заявили. В силу перечисленных недостатков количество дел, по которым начато расследование и ведется судопроизводство, остается крайне ограниче</w:t>
      </w:r>
      <w:r>
        <w:t>н</w:t>
      </w:r>
      <w:r>
        <w:t>ным, что не соответствует весьма значительному количеству поданных заявл</w:t>
      </w:r>
      <w:r>
        <w:t>е</w:t>
      </w:r>
      <w:r>
        <w:t>ний. Даже при явном наличии состава уголовного преступления во многих случаях используются дискриминационные критерии, позволяющие устан</w:t>
      </w:r>
      <w:r>
        <w:t>о</w:t>
      </w:r>
      <w:r>
        <w:t>вить более мягкое наказание или найти смягчающие обстоятельства, особенно в тех случаях, когда сексуальное поведение жертвы не соответствует генде</w:t>
      </w:r>
      <w:r>
        <w:t>р</w:t>
      </w:r>
      <w:r>
        <w:t xml:space="preserve">ным ролям и стереотипам.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2.10</w:t>
      </w:r>
      <w:r>
        <w:tab/>
        <w:t>В данном деле временно исполняющая обязанности судьи на этапе разб</w:t>
      </w:r>
      <w:r>
        <w:t>и</w:t>
      </w:r>
      <w:r>
        <w:t xml:space="preserve">рательства в суде по делам несовершеннолетних не рассмотрела и не приняла во внимание доверительные отношения, существовавшие между жертвой и преступником, равно как и тот факт, что тело жертвы было оставлено на виду в одном из публичных мест, сам факт сексуального насилия по отношению к жертве, сопровождавшийся подчинением жертвы, доминированием над нею и проявленной при этом жестокостью. Не был учтен и тот факт, что мотивом нападения было нежелание жертвы вступать в сексуальные отношения. </w:t>
      </w:r>
    </w:p>
    <w:p w:rsidR="00BC1DE0" w:rsidRPr="00B71DCB" w:rsidRDefault="00BC1DE0" w:rsidP="00BC1DE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C1DE0" w:rsidRPr="008967C4" w:rsidRDefault="00BC1DE0" w:rsidP="00BC1DE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4"/>
          <w:szCs w:val="24"/>
        </w:rPr>
      </w:pPr>
      <w:r>
        <w:tab/>
      </w:r>
      <w:r>
        <w:tab/>
        <w:t xml:space="preserve">Жалоба </w:t>
      </w:r>
    </w:p>
    <w:p w:rsidR="00BC1DE0" w:rsidRPr="00B71DCB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3.</w:t>
      </w:r>
      <w:r>
        <w:tab/>
        <w:t xml:space="preserve">Авторы утверждают, что факты свидетельствуют об отсутствии доступа к адекватным и эффективным судебным и административным механизмам для надлежащего расследования обстоятельств смерти их дочери, что привело к безнаказанности. В этой связи они заявляют о нарушении статей 1, 2, 3, 5 и 15 Конвенции. </w:t>
      </w:r>
    </w:p>
    <w:p w:rsidR="00BC1DE0" w:rsidRPr="006A3CFB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1DE0" w:rsidRPr="008967C4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Замечания государства-участника относительно приемлемости</w:t>
      </w:r>
    </w:p>
    <w:p w:rsidR="00BC1DE0" w:rsidRPr="006A3CFB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4.1</w:t>
      </w:r>
      <w:r>
        <w:tab/>
        <w:t>12 января 2014 года государство-участник оспорило приемлемость соо</w:t>
      </w:r>
      <w:r>
        <w:t>б</w:t>
      </w:r>
      <w:r>
        <w:t xml:space="preserve">щения.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4.2</w:t>
      </w:r>
      <w:r>
        <w:tab/>
        <w:t>Государство-участник утверждает, что авторы не исчерпали внутренние средства правовой защиты, поскольку ходатайство о процедуре ампаро было подано по истечении установленного законом срока. Наилучшим средством защиты прав человека является процедура ампаро. Поскольку авторы утве</w:t>
      </w:r>
      <w:r>
        <w:t>р</w:t>
      </w:r>
      <w:r>
        <w:t>ждают, что в ходе уголовного судопроизводства в отношении А.Р.М. имели м</w:t>
      </w:r>
      <w:r>
        <w:t>е</w:t>
      </w:r>
      <w:r>
        <w:t>сто бездействие и небрежность со стороны как судебных органов, так и орг</w:t>
      </w:r>
      <w:r>
        <w:t>а</w:t>
      </w:r>
      <w:r>
        <w:t>нов прокуратуры, процедура ампаро представляется наиболее эффективным механизмом для урегулирования их претензий. Вопреки утверждениям авт</w:t>
      </w:r>
      <w:r>
        <w:t>о</w:t>
      </w:r>
      <w:r>
        <w:t>ров, Рейна Трухильо была уведомлена о решении по апелляции, принятом 17 января 2013 года. В соответствии со статьей 17 Закона об ампаро «срок п</w:t>
      </w:r>
      <w:r>
        <w:t>о</w:t>
      </w:r>
      <w:r>
        <w:t>дачи жалобы составляет 15 дней». Данное положение надлежит применять с учетом правил об уведомлении, предписанных в законодательстве Мексики. В этой связи статья 121 Уголовно-процессуального кодекса штата Веракрус гл</w:t>
      </w:r>
      <w:r>
        <w:t>а</w:t>
      </w:r>
      <w:r>
        <w:t>сит, что «если уведомление не было направлено в предусмотренной форме, но лицо, которое должно быть уведомлено, оказывается осведомленным о вын</w:t>
      </w:r>
      <w:r>
        <w:t>е</w:t>
      </w:r>
      <w:r>
        <w:t>сенном судебном решении, то такой исход рассматривается как положител</w:t>
      </w:r>
      <w:r>
        <w:t>ь</w:t>
      </w:r>
      <w:r>
        <w:t>ный, без ущерба для вынесения соответствующего наказания преступнику». В этой связи мексиканские суды установили в отношении прямого ходатайства о применении процедуры ампаро следующее: для того «чтобы определить сво</w:t>
      </w:r>
      <w:r>
        <w:t>е</w:t>
      </w:r>
      <w:r>
        <w:t>временность представления ходатайства, следует учитывать, стало ли заявит</w:t>
      </w:r>
      <w:r>
        <w:t>е</w:t>
      </w:r>
      <w:r>
        <w:t>лю известно о судебном решении или о его исполнении или узнал ли он об этом до того, как был уведомлен относительно обжалуемого решения, причем нет необходимости придерживаться сертификации, предусмотренной в ст</w:t>
      </w:r>
      <w:r>
        <w:t>а</w:t>
      </w:r>
      <w:r>
        <w:t>тье 163 Закона об ампаро»</w:t>
      </w:r>
      <w:r w:rsidRPr="00BC1DE0">
        <w:rPr>
          <w:vertAlign w:val="superscript"/>
        </w:rPr>
        <w:footnoteReference w:id="6"/>
      </w:r>
      <w:r>
        <w:t xml:space="preserve">. </w:t>
      </w:r>
    </w:p>
    <w:p w:rsidR="00BC1DE0" w:rsidRPr="008967C4" w:rsidRDefault="00BC1DE0" w:rsidP="001B1673">
      <w:pPr>
        <w:pStyle w:val="SingleTxt"/>
        <w:rPr>
          <w:sz w:val="24"/>
          <w:szCs w:val="24"/>
        </w:rPr>
      </w:pPr>
      <w:r>
        <w:t>4.3</w:t>
      </w:r>
      <w:r>
        <w:tab/>
        <w:t>В данном деле суд однозначно постановил, что в данном Законе «пред</w:t>
      </w:r>
      <w:r>
        <w:t>у</w:t>
      </w:r>
      <w:r>
        <w:t>сматривается обязанность уведомлять лично потерпевшего, жертву или его/ее законного представителя о решениях, предусматривающих возмещение уще</w:t>
      </w:r>
      <w:r>
        <w:t>р</w:t>
      </w:r>
      <w:r>
        <w:t>ба, с тем чтобы они могли осуществлять свое право на обжалование самосто</w:t>
      </w:r>
      <w:r>
        <w:t>я</w:t>
      </w:r>
      <w:r>
        <w:t xml:space="preserve">тельно, а не через (…) Генеральную прокуратуру». При этом, для того чтобы «пострадавшая сторона действительно имела возможность осуществлять свое </w:t>
      </w:r>
      <w:bookmarkStart w:id="1" w:name="_GoBack"/>
      <w:bookmarkEnd w:id="1"/>
      <w:r>
        <w:t>право на обжалование посредством процедуры ампаро судебного решения, к</w:t>
      </w:r>
      <w:r>
        <w:t>о</w:t>
      </w:r>
      <w:r>
        <w:t>торое, по ее мнению, нарушает гарантии, она должна располагать эффекти</w:t>
      </w:r>
      <w:r>
        <w:t>в</w:t>
      </w:r>
      <w:r>
        <w:t>ным средством правовой защиты и реальными сведениями об окончательном решении, вынесенном апелляционным судом». В этой связи Федеральный суд признал, что автора надлежало уведомить лично и это вполне можно было сд</w:t>
      </w:r>
      <w:r>
        <w:t>е</w:t>
      </w:r>
      <w:r>
        <w:t xml:space="preserve">лать через ее законного представителя; 15-дневный срок исчисляется с того момента, когда «лицу, которое должно быть уведомлено, становится известно о судебном решении».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4.4</w:t>
      </w:r>
      <w:r>
        <w:tab/>
        <w:t>Авторы обратились с письменной просьбой представить заверенные к</w:t>
      </w:r>
      <w:r>
        <w:t>о</w:t>
      </w:r>
      <w:r>
        <w:t>пии судебного решения от 3 ноября 2012 года; просьба была получена Ген</w:t>
      </w:r>
      <w:r>
        <w:t>е</w:t>
      </w:r>
      <w:r>
        <w:t xml:space="preserve">ральной прокуратурой 5 февраля 2013 года. Законный представитель авторов получил вышеупомянутые копии 22 февраля 2013 года, о чем свидетельствует квитанция, подписанная законным представителем. Таким образом, нельзя утверждать, что ответственность за запоздалое представление ходатайства о процедуре ампаро от 23 октября 2013 года несет государство.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4.5</w:t>
      </w:r>
      <w:r>
        <w:tab/>
        <w:t>Ввиду того что авторы не были согласны с исчислением срока для подачи ходатайства о процедуре ампаро, они имели право заявить претензию, что предусматривается статьей 103 Закона об ампаро. Причем претензия, заявле</w:t>
      </w:r>
      <w:r>
        <w:t>н</w:t>
      </w:r>
      <w:r>
        <w:t>ная представителями авторов, также была представлена после истечения уст</w:t>
      </w:r>
      <w:r>
        <w:t>а</w:t>
      </w:r>
      <w:r>
        <w:t xml:space="preserve">новленного законом срока.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4.6</w:t>
      </w:r>
      <w:r>
        <w:tab/>
        <w:t>Государство-участник утверждает, что сообщение является недостаточно обоснованным. Авторы заявляют, что мексиканские органы власти действов</w:t>
      </w:r>
      <w:r>
        <w:t>а</w:t>
      </w:r>
      <w:r>
        <w:t>ли «будучи ослепленными гендерными предрассудками, сексистской дискр</w:t>
      </w:r>
      <w:r>
        <w:t>и</w:t>
      </w:r>
      <w:r>
        <w:t>минацией и женоненавистничеством», но при этом авторы не объясняют пр</w:t>
      </w:r>
      <w:r>
        <w:t>и</w:t>
      </w:r>
      <w:r>
        <w:t xml:space="preserve">чин подобных заявлений.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4.7</w:t>
      </w:r>
      <w:r>
        <w:tab/>
        <w:t>Государство-участник утверждает также, что сообщение несовместимо с положениями Конвенции. Комитету не следует заново проводить оценку сд</w:t>
      </w:r>
      <w:r>
        <w:t>е</w:t>
      </w:r>
      <w:r>
        <w:t>ланных властями государства фактических выводов и представленных доказ</w:t>
      </w:r>
      <w:r>
        <w:t>а</w:t>
      </w:r>
      <w:r>
        <w:t>тельств, за исключением тех случаев, когда действия государства носят явно произвольный характер или равносильны отказу в правосудии. Государство-участник считает, что толкование закона, надлежащее судебное разбирател</w:t>
      </w:r>
      <w:r>
        <w:t>ь</w:t>
      </w:r>
      <w:r>
        <w:t>ство и оценка доказательств — это функции, которые относятся к внутренней юрисдикции. Кроме того, в данном случае нельзя сделать вывод о том, что действия властей, которые участвовали в уголовном судопроизводстве в отн</w:t>
      </w:r>
      <w:r>
        <w:t>о</w:t>
      </w:r>
      <w:r>
        <w:t>шении А.Р.М., носили явно произвольный характер или были равносильны о</w:t>
      </w:r>
      <w:r>
        <w:t>т</w:t>
      </w:r>
      <w:r>
        <w:t>казу в правосудии.</w:t>
      </w:r>
    </w:p>
    <w:p w:rsidR="00BC1DE0" w:rsidRPr="00730E0E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1DE0" w:rsidRPr="008967C4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Замечания государства-участника относительно существа дела</w:t>
      </w:r>
    </w:p>
    <w:p w:rsidR="00BC1DE0" w:rsidRPr="00730E0E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</w:t>
      </w:r>
      <w:r>
        <w:tab/>
        <w:t xml:space="preserve">В своих замечаниях по существу дела от 22 мая 2015 года государство-участник утверждает, что изложенные в рассматриваемом сообщении факты не представляют собой какого-либо нарушения Конвенции.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5.2</w:t>
      </w:r>
      <w:r>
        <w:tab/>
        <w:t>В соответствии со статьей 2 Конвенции на государства-участники может быть возложена ответственность за деяния, совершаемые частными лицами, в том случае, если государства не проявили должной заботы для предотвращ</w:t>
      </w:r>
      <w:r>
        <w:t>е</w:t>
      </w:r>
      <w:r>
        <w:t>ния нарушений прав или расследования актов насилия или наказания вино</w:t>
      </w:r>
      <w:r>
        <w:t>в</w:t>
      </w:r>
      <w:r>
        <w:t>ных. Рассматриваемое сообщение касается убийства Пилар Аргуэльо Трух</w:t>
      </w:r>
      <w:r>
        <w:t>и</w:t>
      </w:r>
      <w:r>
        <w:t>льо. Тем не менее ничто в информации, представленной авторами сообщения или полученной в ходе расследований, проведенных мексиканскими властями, не указывает на прямое участие государственных субъектов в совершении убийства. Таким образом, Комитету следует рассмотреть вопрос о том, выпо</w:t>
      </w:r>
      <w:r>
        <w:t>л</w:t>
      </w:r>
      <w:r>
        <w:t>нила ли Мексика свое обязательство проявлять должную осмотрительность как в предотвращении этого деяния, так и в его расследовании и наказании вино</w:t>
      </w:r>
      <w:r>
        <w:t>в</w:t>
      </w:r>
      <w:r>
        <w:t xml:space="preserve">ных.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5.3</w:t>
      </w:r>
      <w:r>
        <w:tab/>
        <w:t>Ликвидация насилия в отношении женщин является одной из приорите</w:t>
      </w:r>
      <w:r>
        <w:t>т</w:t>
      </w:r>
      <w:r>
        <w:t>ных задач и постоянной стратегией мексиканского государства, и в этой связи реализуются различные направления государственной политики, имеющие ц</w:t>
      </w:r>
      <w:r>
        <w:t>е</w:t>
      </w:r>
      <w:r>
        <w:t>лью способствовать переменам в культурном сознании и тем самым против</w:t>
      </w:r>
      <w:r>
        <w:t>о</w:t>
      </w:r>
      <w:r>
        <w:t>действовать андроцентристским традициям и патриархальным взглядам, кот</w:t>
      </w:r>
      <w:r>
        <w:t>о</w:t>
      </w:r>
      <w:r>
        <w:t>рые все еще превалируют в мексиканском обществе. В настоящее время гос</w:t>
      </w:r>
      <w:r>
        <w:t>у</w:t>
      </w:r>
      <w:r>
        <w:t>дарство принимает меры по решению этой проблемы, применяя систематич</w:t>
      </w:r>
      <w:r>
        <w:t>е</w:t>
      </w:r>
      <w:r>
        <w:t xml:space="preserve">ский, сквозной и согласованный подход и опираясь на поддержку всех слоев общества.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5.4</w:t>
      </w:r>
      <w:r>
        <w:tab/>
        <w:t>В сфере отправления правосудия государство разработало план по пред</w:t>
      </w:r>
      <w:r>
        <w:t>у</w:t>
      </w:r>
      <w:r>
        <w:t>преждению преступлений, связанных с гендерным насилием во всех его фо</w:t>
      </w:r>
      <w:r>
        <w:t>р</w:t>
      </w:r>
      <w:r>
        <w:t>мах, и по принятию надлежащих мер в этой связи. Именно поэтому в Наци</w:t>
      </w:r>
      <w:r>
        <w:t>о</w:t>
      </w:r>
      <w:r>
        <w:t>нальной программе в сфере отправления правосудия на 2013–2018 годы случаи насилия в отношении женщин признаны особо тяжкими преступлениями, и государство уделяет этому вопросу первостепенное внимание. Главная цель состоит в обеспечении того, чтобы все меры по повышению осведомленности властей и/или должностных лиц относительно необходимости оказывать жер</w:t>
      </w:r>
      <w:r>
        <w:t>т</w:t>
      </w:r>
      <w:r>
        <w:t>вам этих преступлений соответствующую помощь и надлежащую защиту пр</w:t>
      </w:r>
      <w:r>
        <w:t>и</w:t>
      </w:r>
      <w:r>
        <w:t>вели к созданию эффективных гарантий доступа к правосудию для женщин, которые сообщают об актах насилия. Данная стратегия включает разработку различных протоколов проведения расследования, содержащих руководящие принципы с учетом гендерного фактора, и их должны будут повсеместно пр</w:t>
      </w:r>
      <w:r>
        <w:t>и</w:t>
      </w:r>
      <w:r>
        <w:t>держиваться прокуроры, сотрудники полиции и эксперты при расследовании преступлений, связанных с феминицидом и насилием в отношении женщин. Цель этих протоколов заключается в том, чтобы заложить теоретические и м</w:t>
      </w:r>
      <w:r>
        <w:t>е</w:t>
      </w:r>
      <w:r>
        <w:t>тодологические основы для всестороннего учета гендерной проблематики и содействовать применению норм международного права в области прав чел</w:t>
      </w:r>
      <w:r>
        <w:t>о</w:t>
      </w:r>
      <w:r>
        <w:t xml:space="preserve">века женщин и девочек при отправлении правосудия.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5.5</w:t>
      </w:r>
      <w:r>
        <w:tab/>
        <w:t>В число вышеупомянутых протоколов входят протокол о проведении в</w:t>
      </w:r>
      <w:r>
        <w:t>е</w:t>
      </w:r>
      <w:r>
        <w:t>домственного, полицейского и экспертного расследования с учетом гендерных аспектов в случае преступления феминицида, а также протокол ведомственн</w:t>
      </w:r>
      <w:r>
        <w:t>о</w:t>
      </w:r>
      <w:r>
        <w:t>го, полицейского и экспертного расследования с учетом гендерных аспектов в случае сексуального насилия. Кроме того, протокол Верховного суда, разраб</w:t>
      </w:r>
      <w:r>
        <w:t>о</w:t>
      </w:r>
      <w:r>
        <w:t>танный для вынесения решений с учетом гендерной перспективы, имеет своей целью устранить проблемы, выявленные Межамериканским судом по правам человека в делах «Кампо Алгодонеро», «Фернандес Ортега и другие» и «Р</w:t>
      </w:r>
      <w:r>
        <w:t>о</w:t>
      </w:r>
      <w:r>
        <w:t>сендо Канту и другие», и осуществить предписанные судом меры по возмещ</w:t>
      </w:r>
      <w:r>
        <w:t>е</w:t>
      </w:r>
      <w:r>
        <w:t>нию ущерба. Главная цель упомянутых протоколов заключается в обеспечении того, чтобы прокуроры и должностные лица судебной системы были способны определять и объективно оценивать дифференцированные воздействия сове</w:t>
      </w:r>
      <w:r>
        <w:t>р</w:t>
      </w:r>
      <w:r>
        <w:t>шения и последствий преступлений, связанных с насилием по признаку пола. Протокол Верховного суда, разработанный для проведения оценки с учетом гендерной перспективы, используется на местном уровне, в том числе в штате Веракрус. Для того чтобы обеспечить надлежащее осуществление на практике вышеуказанного протокола и других существующих руководящих принципов (как национальных, так и международных), Институт профессиональной по</w:t>
      </w:r>
      <w:r>
        <w:t>д</w:t>
      </w:r>
      <w:r>
        <w:t>готовки, обучения, специализации и повышения квалификации сотрудников судебной системы, расположенный в штате Веракрус, ведет постоянную обр</w:t>
      </w:r>
      <w:r>
        <w:t>а</w:t>
      </w:r>
      <w:r>
        <w:t xml:space="preserve">зовательную деятельность среди работников судебных органов штата.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5.6</w:t>
      </w:r>
      <w:r>
        <w:tab/>
        <w:t>В соответствии со своими обязательствами по Конвенции на государства-участники может быть возложена ответственность за деяния, совершаемые частными лицами, в том случае, когда существует потенциальная опасность для какой-либо конкретной жертвы, а местные власти, несмотря на это, не пр</w:t>
      </w:r>
      <w:r>
        <w:t>о</w:t>
      </w:r>
      <w:r>
        <w:t>являют должную осмотрительность. В рассматриваемом случае не имеется убедительных доказательств того, что перед своей смертью Пилар Аргуэльо Трухильо подвергалась конкретной потенциальной опасности. Не говоря уже о наличии признаков того, что государственные органы Мексики были осведо</w:t>
      </w:r>
      <w:r>
        <w:t>м</w:t>
      </w:r>
      <w:r>
        <w:t>лены о положении, в котором оказалась жертва непосредственно перед сове</w:t>
      </w:r>
      <w:r>
        <w:t>р</w:t>
      </w:r>
      <w:r>
        <w:t>шением в отношении нее насилия. Ввиду отсутствия доказательств, которые могли бы повлечь за собой ответственность государства-участника за предо</w:t>
      </w:r>
      <w:r>
        <w:t>т</w:t>
      </w:r>
      <w:r>
        <w:t>вращение совершенного убийства, Комитету следует проанализировать искл</w:t>
      </w:r>
      <w:r>
        <w:t>ю</w:t>
      </w:r>
      <w:r>
        <w:t xml:space="preserve">чительно тот факт, действовало ли государство с должной осмотрительностью в ходе расследования данного акта насилия.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br w:type="page"/>
        <w:t>5.7</w:t>
      </w:r>
      <w:r>
        <w:tab/>
        <w:t>В соответствии со статьей 2 Конвенции государства-участники в рамках проводимой политики ликвидации дискриминации в отношении женщин об</w:t>
      </w:r>
      <w:r>
        <w:t>я</w:t>
      </w:r>
      <w:r>
        <w:t>заны обеспечить их правовую защиту</w:t>
      </w:r>
      <w:r w:rsidRPr="00BC1DE0">
        <w:rPr>
          <w:vertAlign w:val="superscript"/>
        </w:rPr>
        <w:footnoteReference w:id="7"/>
      </w:r>
      <w:r w:rsidRPr="00572ABA">
        <w:t>. Кроме того, «государства-участники должны обеспечить женщинам возможность ссылаться на принцип равенства в обоснование жалоб на противоречащие Конвенции акты дискриминации, с</w:t>
      </w:r>
      <w:r w:rsidRPr="00572ABA">
        <w:t>о</w:t>
      </w:r>
      <w:r w:rsidRPr="00572ABA">
        <w:t>вершенные государственными должностными лицами или частными субъект</w:t>
      </w:r>
      <w:r w:rsidRPr="00572ABA">
        <w:t>а</w:t>
      </w:r>
      <w:r w:rsidRPr="00572ABA">
        <w:t>ми»</w:t>
      </w:r>
      <w:r w:rsidRPr="00BC1DE0">
        <w:rPr>
          <w:vertAlign w:val="superscript"/>
        </w:rPr>
        <w:footnoteReference w:id="8"/>
      </w:r>
      <w:r w:rsidRPr="00572ABA">
        <w:t>. В этой связи Комитет указал, что «если же дискриминация в отношении женщин сопряжена с нарушением других прав человека, в частности права на жизнь и физическую неприкосновенность в случаях, например, бытового и других форм насилия, то государства-участники обязаны возбуждать уголовное дело, предавать виновного (виновных) суду и назначать соответствующие уг</w:t>
      </w:r>
      <w:r w:rsidRPr="00572ABA">
        <w:t>о</w:t>
      </w:r>
      <w:r w:rsidRPr="00572ABA">
        <w:t>ловные наказания»</w:t>
      </w:r>
      <w:r w:rsidRPr="00BC1DE0">
        <w:rPr>
          <w:vertAlign w:val="superscript"/>
        </w:rPr>
        <w:footnoteReference w:id="9"/>
      </w:r>
      <w:r w:rsidRPr="00572ABA">
        <w:t>. В этом контексте на международном уровне было призн</w:t>
      </w:r>
      <w:r w:rsidRPr="00572ABA">
        <w:t>а</w:t>
      </w:r>
      <w:r w:rsidRPr="00572ABA">
        <w:t>но, что обязанность государств расследовать деяния, совершаемые частными лицами, имеет конкретный характер, принимая во внимание, что такая обяза</w:t>
      </w:r>
      <w:r w:rsidRPr="00572ABA">
        <w:t>н</w:t>
      </w:r>
      <w:r w:rsidRPr="00572ABA">
        <w:t>ность является обязательством в отношении средства, а не результата, и дол</w:t>
      </w:r>
      <w:r w:rsidRPr="00572ABA">
        <w:t>ж</w:t>
      </w:r>
      <w:r w:rsidRPr="00572ABA">
        <w:t>на оцениваться в соответствии с совокупностью принимаемых государством мер</w:t>
      </w:r>
      <w:r w:rsidRPr="00BC1DE0">
        <w:rPr>
          <w:vertAlign w:val="superscript"/>
        </w:rPr>
        <w:footnoteReference w:id="10"/>
      </w:r>
      <w:r w:rsidRPr="00572ABA">
        <w:t>.</w:t>
      </w:r>
      <w:r>
        <w:t xml:space="preserve">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5.8</w:t>
      </w:r>
      <w:r>
        <w:tab/>
        <w:t>В данном случае авторы утверждают, что действия мексиканских властей, участвовавших в судебном разбирательстве в отношении А.Р.М., идут вразрез с обязательствами государства в соответствии с Конвенцией. Комитету следует оценить судебную процедуру, применяемую государством в отношении А.Р.М., а не итоги судебного разбирательства. Кроме того, при анализе расследований, проведенных властями, Комитету следует учитывать субсидиарный характер своей роли. В этой связи Комитет подчеркнул, что при аналитическом обзоре выполнения государством вышеуказанного обязательства он не подменяет с</w:t>
      </w:r>
      <w:r>
        <w:t>о</w:t>
      </w:r>
      <w:r>
        <w:t>бой национальные власти при оценке фактов и не принимает решение относ</w:t>
      </w:r>
      <w:r>
        <w:t>и</w:t>
      </w:r>
      <w:r>
        <w:t xml:space="preserve">тельно уголовной ответственности предполагаемого </w:t>
      </w:r>
      <w:r w:rsidRPr="00572ABA">
        <w:t>преступника</w:t>
      </w:r>
      <w:r w:rsidRPr="00BC1DE0">
        <w:rPr>
          <w:vertAlign w:val="superscript"/>
        </w:rPr>
        <w:footnoteReference w:id="11"/>
      </w:r>
      <w:r w:rsidRPr="00572ABA">
        <w:t>.</w:t>
      </w:r>
      <w:r>
        <w:t xml:space="preserve">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5.9</w:t>
      </w:r>
      <w:r>
        <w:tab/>
        <w:t>Что касается отношения мексиканских властей к данному делу, то гос</w:t>
      </w:r>
      <w:r>
        <w:t>у</w:t>
      </w:r>
      <w:r>
        <w:t>дарство-участник отмечает, что 3 сентября 2012 года муниципальная коменд</w:t>
      </w:r>
      <w:r>
        <w:t>а</w:t>
      </w:r>
      <w:r>
        <w:t>тура Коскоматепека (Веракрус) сообщила об обнаружении безжизненного тела Пилар Аргуэльо Трухильо в местный отдел прокуратуры. Прокуратура начала ведомственное расследование за номером 059/2012 в отношении лиц, сове</w:t>
      </w:r>
      <w:r>
        <w:t>р</w:t>
      </w:r>
      <w:r>
        <w:t>шивших это деяние. 5 сентября 2012 года муниципальный отдел прокуратуры отказался от своей территориальной юрисдикции и передал дело в Специал</w:t>
      </w:r>
      <w:r>
        <w:t>ь</w:t>
      </w:r>
      <w:r>
        <w:t>ную прокуратуру по делам несовершеннолетних и примирению сторон мун</w:t>
      </w:r>
      <w:r>
        <w:t>и</w:t>
      </w:r>
      <w:r>
        <w:t>ципалитета Уатуско (штат Веракрус) по причине несовершеннолетия А.Р.М. 6 сентября 2012 года вышеуказанная прокуратура препроводила материалы д</w:t>
      </w:r>
      <w:r>
        <w:t>е</w:t>
      </w:r>
      <w:r>
        <w:t>ла в Специализированную прокуратуру по делам несовершеннолетних Палма-Сосы (Веракрус), которая представила судье по вопросам защиты прав свое письменное заключение о вменении в вину образа действий (документ, в кот</w:t>
      </w:r>
      <w:r>
        <w:t>о</w:t>
      </w:r>
      <w:r>
        <w:t>ром отмечается возможная причастность обвиняемого). Судья зарегистриров</w:t>
      </w:r>
      <w:r>
        <w:t>а</w:t>
      </w:r>
      <w:r>
        <w:t>ла материалы дела и провела судебное заседание по вопросу об утверждении обвинений и оформлении ареста А.Р.М. как несовершеннолетнего лица. В к</w:t>
      </w:r>
      <w:r>
        <w:t>а</w:t>
      </w:r>
      <w:r>
        <w:t>честве меры пресечения ему было назначено временное пребывание в специ</w:t>
      </w:r>
      <w:r>
        <w:t>а</w:t>
      </w:r>
      <w:r>
        <w:t>лизированном центре содержания под стражей для несовершеннолетних пр</w:t>
      </w:r>
      <w:r>
        <w:t>а</w:t>
      </w:r>
      <w:r>
        <w:t>вонарушителей. 12 сентября 2012 года состоялось судебное заседание для предъявления обвинения А.Р.М. ввиду его возможной причастности к сове</w:t>
      </w:r>
      <w:r>
        <w:t>р</w:t>
      </w:r>
      <w:r>
        <w:t xml:space="preserve">шению преступления при отягчающих обстоятельствах. 21 и 25 сентября 2012 года судья вынесла постановление о возбуждении уголовного дела.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5.10</w:t>
      </w:r>
      <w:r>
        <w:tab/>
        <w:t>Специальная прокуратура по делам несовершеннолетних выдвинула о</w:t>
      </w:r>
      <w:r>
        <w:t>б</w:t>
      </w:r>
      <w:r>
        <w:t>винение в отношении А.Р.М. и представила доказательства в его обоснование. 29 ноября 2012 года состоялось судебное слушание, на котором было зачитано обвинение, состоялись состязательные прения между специальным прокур</w:t>
      </w:r>
      <w:r>
        <w:t>о</w:t>
      </w:r>
      <w:r>
        <w:t>ром и защитником по делам несовершеннолетних, который уточнил свою пе</w:t>
      </w:r>
      <w:r>
        <w:t>р</w:t>
      </w:r>
      <w:r>
        <w:t>воначальную позицию. В последующем от каждой из сторон были представл</w:t>
      </w:r>
      <w:r>
        <w:t>е</w:t>
      </w:r>
      <w:r>
        <w:t>ны средства доказывания. Суд по делам несовершеннолетних оценил доказ</w:t>
      </w:r>
      <w:r>
        <w:t>а</w:t>
      </w:r>
      <w:r>
        <w:t xml:space="preserve">тельства, представленные специальным прокурором (показания свидетелей, заключения экспертов и документальные свидетельства), и пришел к выводу, что имеются достаточные доказательства, позволяющие подтвердить наличие преступления, а именно убийства при таком отягчающем обстоятельстве, как </w:t>
      </w:r>
      <w:r w:rsidRPr="00572ABA">
        <w:t>преимущество</w:t>
      </w:r>
      <w:r w:rsidRPr="00BC1DE0">
        <w:rPr>
          <w:vertAlign w:val="superscript"/>
        </w:rPr>
        <w:footnoteReference w:id="12"/>
      </w:r>
      <w:r w:rsidRPr="00572ABA">
        <w:t>.</w:t>
      </w:r>
      <w:r>
        <w:t xml:space="preserve"> В противоположность тому, что утверждали авторы сообщ</w:t>
      </w:r>
      <w:r>
        <w:t>е</w:t>
      </w:r>
      <w:r>
        <w:t>ния, суд принял во внимание пол жертвы и уязвимое положение, в котором она оказалась. Суд обратил особое внимание на отличительные черты преступл</w:t>
      </w:r>
      <w:r>
        <w:t>е</w:t>
      </w:r>
      <w:r>
        <w:t>ния, в частности на тот факт, что оно было совершено в безлюдном месте, а также на то, что основной причиной смерти стало удушение. Тем не менее суд решил, что для вынесения обвинительного приговора А.Р.М. не имеется дост</w:t>
      </w:r>
      <w:r>
        <w:t>а</w:t>
      </w:r>
      <w:r>
        <w:t>точных доказательств, поскольку в ясной форме не указаны обстоятельства, при которых обвиняемого могли видеть с Пилар Аргуэльо Трухильо в день убийства. 3 ноября 2012 года А.Р.М. был оправдан ввиду отсутствия достато</w:t>
      </w:r>
      <w:r>
        <w:t>ч</w:t>
      </w:r>
      <w:r>
        <w:t>ных доказательств, подтверждающих его возможную причастность к престу</w:t>
      </w:r>
      <w:r>
        <w:t>п</w:t>
      </w:r>
      <w:r>
        <w:t xml:space="preserve">лению.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5.11</w:t>
      </w:r>
      <w:r>
        <w:tab/>
        <w:t>20 ноября 2012 года Специальная прокуратура подала апелляцию. Суд первой инстанции, ознакомившись с материалами дела, препроводил соотве</w:t>
      </w:r>
      <w:r>
        <w:t>т</w:t>
      </w:r>
      <w:r>
        <w:t>ствующие протоколы судопроизводства в Палату по делам несовершенноле</w:t>
      </w:r>
      <w:r>
        <w:t>т</w:t>
      </w:r>
      <w:r>
        <w:t>них Верховного суда штата Веракрус, который назначил слушания на 15 января 2013 года. 17 января 2013 года Палата приняла постановление, в котором по</w:t>
      </w:r>
      <w:r>
        <w:t>д</w:t>
      </w:r>
      <w:r>
        <w:t>твердила решение суда первой инстанции. Палата сочла, что решение суда первой инстанции базируется на принципах обоснованности, мотивированн</w:t>
      </w:r>
      <w:r>
        <w:t>о</w:t>
      </w:r>
      <w:r>
        <w:t>сти, точности и соответствия закону. Кроме того, был заново проведен скруп</w:t>
      </w:r>
      <w:r>
        <w:t>у</w:t>
      </w:r>
      <w:r>
        <w:t>лезный анализ всех представленных сторонами доказательств — как в отдел</w:t>
      </w:r>
      <w:r>
        <w:t>ь</w:t>
      </w:r>
      <w:r>
        <w:t>ности, так и в совокупности. Как и в решении, принятом судом первой инста</w:t>
      </w:r>
      <w:r>
        <w:t>н</w:t>
      </w:r>
      <w:r>
        <w:t xml:space="preserve">ции, суд второй инстанции в своем решении указал, что имеются достаточные доказательства, подтверждающие совершение убийства при таком отягчающем обстоятельстве, как преимущество; однако нет достаточных доказательств для установления виновности А.Р.М.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5.12</w:t>
      </w:r>
      <w:r>
        <w:tab/>
        <w:t>Решение, вынесенное Палатой по делам несовершеннолетних, было дов</w:t>
      </w:r>
      <w:r>
        <w:t>е</w:t>
      </w:r>
      <w:r>
        <w:t>дено до сведения сторон как лично, так и через реестр заседаний Палаты. В силу того что представители авторов сообщения не зарегистрировались в гос</w:t>
      </w:r>
      <w:r>
        <w:t>у</w:t>
      </w:r>
      <w:r>
        <w:t>дарственной прокуратуре в качестве стороны частного обвинения, Палата не уведомляла их напрямую. Тем не менее письмом от 5 февраля 2013 года авт</w:t>
      </w:r>
      <w:r>
        <w:t>о</w:t>
      </w:r>
      <w:r>
        <w:t>ры направили просьбу представить им простые копии постановления апелл</w:t>
      </w:r>
      <w:r>
        <w:t>я</w:t>
      </w:r>
      <w:r>
        <w:t>ционной инстанции, которые были направлены и получены представителем 22 февраля 2013 года. Лишь начиная с этой даты исчисляется 15-дневный срок, установленный Законом об ампаро для подачи ходатайства о процедуре амп</w:t>
      </w:r>
      <w:r>
        <w:t>а</w:t>
      </w:r>
      <w:r>
        <w:t>ро. Однако законные представители авторов не подали ходатайство о примен</w:t>
      </w:r>
      <w:r>
        <w:t>е</w:t>
      </w:r>
      <w:r>
        <w:t xml:space="preserve">нии процедуры ампаро в отношении постановления апелляционной инстанции в срок до 23 октября 2013 года.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5.13</w:t>
      </w:r>
      <w:r>
        <w:tab/>
        <w:t>В ходатайстве о применении процедуры ампаро указаны те же самые пункты, что были представлены в Комитет авторами сообщения, и таким обр</w:t>
      </w:r>
      <w:r>
        <w:t>а</w:t>
      </w:r>
      <w:r>
        <w:t xml:space="preserve">зом оно стало надлежащим средством правовой защиты для урегулирования их претензий на национальном уровне.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5.14</w:t>
      </w:r>
      <w:r>
        <w:tab/>
        <w:t>Статья 2 Конвенции устанавливает обязательство государств-участников воздерживаться от совершения каких-либо актов или действий, представля</w:t>
      </w:r>
      <w:r>
        <w:t>ю</w:t>
      </w:r>
      <w:r>
        <w:t>щих собой прямую или косвенную дискриминацию в отношении женщин</w:t>
      </w:r>
      <w:r w:rsidRPr="00BC1DE0">
        <w:rPr>
          <w:vertAlign w:val="superscript"/>
        </w:rPr>
        <w:footnoteReference w:id="13"/>
      </w:r>
      <w:r w:rsidRPr="00572ABA">
        <w:t>. Кроме того, государства-участники обязаны «обеспечить с помощью комп</w:t>
      </w:r>
      <w:r w:rsidRPr="00572ABA">
        <w:t>е</w:t>
      </w:r>
      <w:r w:rsidRPr="00572ABA">
        <w:t>тентных национальных судов и других государственных учреждений эффе</w:t>
      </w:r>
      <w:r w:rsidRPr="00572ABA">
        <w:t>к</w:t>
      </w:r>
      <w:r w:rsidRPr="00572ABA">
        <w:t>тивную защиту женщин от любого акта дискриминации»</w:t>
      </w:r>
      <w:r w:rsidRPr="00BC1DE0">
        <w:rPr>
          <w:vertAlign w:val="superscript"/>
        </w:rPr>
        <w:footnoteReference w:id="14"/>
      </w:r>
      <w:r w:rsidRPr="00572ABA">
        <w:t>. В то же время К</w:t>
      </w:r>
      <w:r w:rsidRPr="00572ABA">
        <w:t>о</w:t>
      </w:r>
      <w:r w:rsidRPr="00572ABA">
        <w:t>митет</w:t>
      </w:r>
      <w:r>
        <w:t xml:space="preserve"> указал, что Конвенция призывает государства-участники изменять и трансформировать укоренившиеся гендерные стереотипы посредством прин</w:t>
      </w:r>
      <w:r>
        <w:t>я</w:t>
      </w:r>
      <w:r>
        <w:t>тия различных мер институционального характера, включая законодательство и судебные системы, и путем задействования государственных субъектов во всех сферах и на всех уровнях управления</w:t>
      </w:r>
      <w:r w:rsidRPr="00BC1DE0">
        <w:rPr>
          <w:vertAlign w:val="superscript"/>
        </w:rPr>
        <w:footnoteReference w:id="15"/>
      </w:r>
      <w:r w:rsidRPr="00572ABA">
        <w:t>. В этой связи мексиканское гос</w:t>
      </w:r>
      <w:r w:rsidRPr="00572ABA">
        <w:t>у</w:t>
      </w:r>
      <w:r w:rsidRPr="00572ABA">
        <w:t>дарство признает, что стереотипы затрагивают право женщин на справедливое судебное разбирательство, в силу чего ответственность государства следует оценивать с точки зрения того, учитываются ли гендерные аспекты судебными органами в каждом конкретном случае</w:t>
      </w:r>
      <w:r w:rsidRPr="00BC1DE0">
        <w:rPr>
          <w:vertAlign w:val="superscript"/>
        </w:rPr>
        <w:footnoteReference w:id="16"/>
      </w:r>
      <w:r w:rsidRPr="00572ABA">
        <w:t>. При этом Комитет установил, что в его компетенцию не входит пересмотр проведенной национальными судами или властями оценки фактов и доказательств</w:t>
      </w:r>
      <w:r>
        <w:t>, если только такая оценка не н</w:t>
      </w:r>
      <w:r>
        <w:t>о</w:t>
      </w:r>
      <w:r>
        <w:t xml:space="preserve">сит произвольного или дискриминационного характера.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5.15</w:t>
      </w:r>
      <w:r>
        <w:tab/>
        <w:t>В качестве предварительного замечания государство-участник повторно заявляет, что авторам не удалось обосновать свое утверждение о том, что ме</w:t>
      </w:r>
      <w:r>
        <w:t>к</w:t>
      </w:r>
      <w:r>
        <w:t>сиканские власти действовали без учета гендерной перспективы или проявляли дискриминацию исходя из сексистских и женоненавистнических предрассу</w:t>
      </w:r>
      <w:r>
        <w:t>д</w:t>
      </w:r>
      <w:r>
        <w:t>ков. Учитывая вышеизложенное и руководствуясь целями рассмотрения дела по существу, государство отмечает, что авторы не отметили какой-либо стере</w:t>
      </w:r>
      <w:r>
        <w:t>о</w:t>
      </w:r>
      <w:r>
        <w:t>тип или какую-либо форму дискриминации, которые якобы повлияли на де</w:t>
      </w:r>
      <w:r>
        <w:t>й</w:t>
      </w:r>
      <w:r>
        <w:t xml:space="preserve">ствия или решения мексиканских властей.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5.16</w:t>
      </w:r>
      <w:r>
        <w:tab/>
        <w:t>Авторы утверждают, что мексиканские власти не приняли во внимание ни пол жертвы, ни конкретную ситуации уязвимости, в которой она оказалась. Государство-участник опровергает это утверждение и отмечает, что суды, в к</w:t>
      </w:r>
      <w:r>
        <w:t>о</w:t>
      </w:r>
      <w:r>
        <w:t>торых рассматривалось дело, однозначно учитывали эти факторы. Суд по д</w:t>
      </w:r>
      <w:r>
        <w:t>е</w:t>
      </w:r>
      <w:r>
        <w:t>лам несовершеннолетних, равно как и Палата по делам несовершеннолетних, пришел к выводу о том, что Пилар Аргуэльо Трухильо стала жертвой убийства при таком отягчающем обстоятельстве, как преимущество. В любом случае упоминаемые авторами недостатки могли повлиять на рассмотрение престу</w:t>
      </w:r>
      <w:r>
        <w:t>п</w:t>
      </w:r>
      <w:r>
        <w:t xml:space="preserve">ления убийства (причем этот вопрос был затронут в данном деле), но не на </w:t>
      </w:r>
      <w:r w:rsidRPr="007619F1">
        <w:br/>
      </w:r>
      <w:r>
        <w:br w:type="page"/>
        <w:t>установление виновности А.Р.М. В этой связи нет никаких оснований предп</w:t>
      </w:r>
      <w:r>
        <w:t>о</w:t>
      </w:r>
      <w:r>
        <w:t>лагать, что мексиканские власти приняли свои решения на основе дискрим</w:t>
      </w:r>
      <w:r>
        <w:t>и</w:t>
      </w:r>
      <w:r>
        <w:t xml:space="preserve">нации или гендерных стереотипов.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5.17</w:t>
      </w:r>
      <w:r>
        <w:tab/>
        <w:t>Государство-участник утверждает, что тот факт, что А.Р.М. не был осу</w:t>
      </w:r>
      <w:r>
        <w:t>ж</w:t>
      </w:r>
      <w:r>
        <w:t>ден за убийство Пилар Аргуэльо Трухильо, не влечет международной отве</w:t>
      </w:r>
      <w:r>
        <w:t>т</w:t>
      </w:r>
      <w:r>
        <w:t>ственности мексиканского государства. Обязательство государств расследовать деяния, совершаемые частными лицами, является обязательством в отношении средства, а не результата, и должно оцениваться по совокупности принима</w:t>
      </w:r>
      <w:r>
        <w:t>е</w:t>
      </w:r>
      <w:r>
        <w:t>мых государством мер. Межамериканский суд по правам человека высказался в поддержку этого принципа, указав, что «обязательство государства по пров</w:t>
      </w:r>
      <w:r>
        <w:t>е</w:t>
      </w:r>
      <w:r>
        <w:t>дению расследования заключается главным образом в установлении отве</w:t>
      </w:r>
      <w:r>
        <w:t>т</w:t>
      </w:r>
      <w:r>
        <w:t xml:space="preserve">ственности и, </w:t>
      </w:r>
      <w:r w:rsidRPr="00572ABA">
        <w:t>сообразно обстоятельствам, в судебном преследовании и во</w:t>
      </w:r>
      <w:r w:rsidRPr="00572ABA">
        <w:t>з</w:t>
      </w:r>
      <w:r w:rsidRPr="00572ABA">
        <w:t>можном назначении наказания»</w:t>
      </w:r>
      <w:r w:rsidRPr="00BC1DE0">
        <w:rPr>
          <w:vertAlign w:val="superscript"/>
        </w:rPr>
        <w:footnoteReference w:id="17"/>
      </w:r>
      <w:r w:rsidRPr="00572ABA">
        <w:t>. Вместе с тем суд уточнил, что «упоминаемое обязательство касается мер или образа действий, и его нельзя считать нев</w:t>
      </w:r>
      <w:r w:rsidRPr="00572ABA">
        <w:t>ы</w:t>
      </w:r>
      <w:r w:rsidRPr="00572ABA">
        <w:t>полненным в силу исключительно того факта, что расследование не привело к удовлетворительному результату»</w:t>
      </w:r>
      <w:r w:rsidRPr="00BC1DE0">
        <w:rPr>
          <w:vertAlign w:val="superscript"/>
        </w:rPr>
        <w:footnoteReference w:id="18"/>
      </w:r>
      <w:r w:rsidRPr="00572ABA">
        <w:t>. Кроме того, суд подчеркнул, что «дознав</w:t>
      </w:r>
      <w:r w:rsidRPr="00572ABA">
        <w:t>а</w:t>
      </w:r>
      <w:r w:rsidRPr="00572ABA">
        <w:t>тельные действия по расследованию фактов следует оценивать в совокупности, и Суд [или, как в данном случае, Комитет] в принципе не уполномочен опред</w:t>
      </w:r>
      <w:r w:rsidRPr="00572ABA">
        <w:t>е</w:t>
      </w:r>
      <w:r w:rsidRPr="00572ABA">
        <w:t>лять обоснованность следственных мероприятий»</w:t>
      </w:r>
      <w:r w:rsidRPr="00BC1DE0">
        <w:rPr>
          <w:vertAlign w:val="superscript"/>
        </w:rPr>
        <w:footnoteReference w:id="19"/>
      </w:r>
      <w:r w:rsidRPr="00572ABA">
        <w:t>. Комитет принял анал</w:t>
      </w:r>
      <w:r w:rsidRPr="00572ABA">
        <w:t>о</w:t>
      </w:r>
      <w:r w:rsidRPr="00572ABA">
        <w:t>гичное толкование, указав, что не подменяет собою национальные власти в в</w:t>
      </w:r>
      <w:r w:rsidRPr="00572ABA">
        <w:t>о</w:t>
      </w:r>
      <w:r w:rsidRPr="00572ABA">
        <w:t>просе оценки фактов, равно как и не принимает решения касательно уголовной ответственно</w:t>
      </w:r>
      <w:r>
        <w:t>сти предполагаемого преступника</w:t>
      </w:r>
      <w:r w:rsidRPr="00BC1DE0">
        <w:rPr>
          <w:vertAlign w:val="superscript"/>
        </w:rPr>
        <w:footnoteReference w:id="20"/>
      </w:r>
      <w:r>
        <w:t>. В рассматриваемом сообщ</w:t>
      </w:r>
      <w:r>
        <w:t>е</w:t>
      </w:r>
      <w:r>
        <w:t>нии мексиканское государство полностью осветило главную линию расслед</w:t>
      </w:r>
      <w:r>
        <w:t>о</w:t>
      </w:r>
      <w:r>
        <w:t>вания в отношении ответственности А.Р.М. На основании проведенных прок</w:t>
      </w:r>
      <w:r>
        <w:t>у</w:t>
      </w:r>
      <w:r>
        <w:t>ратурой следственный действий удалось лишь установить факт квалифицир</w:t>
      </w:r>
      <w:r>
        <w:t>о</w:t>
      </w:r>
      <w:r>
        <w:t>ванного убийства Пилар АргуэльоТрухильо, но невозможно было сделать в</w:t>
      </w:r>
      <w:r>
        <w:t>ы</w:t>
      </w:r>
      <w:r>
        <w:t>вод о том, что преступником является именно А.Р.М. Вынесенное мексика</w:t>
      </w:r>
      <w:r>
        <w:t>н</w:t>
      </w:r>
      <w:r>
        <w:t>скими судами решение базируется на нормах и принципах, регулирующих уг</w:t>
      </w:r>
      <w:r>
        <w:t>о</w:t>
      </w:r>
      <w:r>
        <w:t>ловное законодательство, и ни в коей мере не основано ни на гендерных ст</w:t>
      </w:r>
      <w:r>
        <w:t>е</w:t>
      </w:r>
      <w:r>
        <w:t>реотипах, ни на дискриминации в отношении женщин. Тот факт, что мексика</w:t>
      </w:r>
      <w:r>
        <w:t>н</w:t>
      </w:r>
      <w:r>
        <w:t>ские суды не установили уголовную ответственность, вытекающую из уби</w:t>
      </w:r>
      <w:r>
        <w:t>й</w:t>
      </w:r>
      <w:r>
        <w:t>ства Пилар Аргуэльо Трухильо, не является основанием для того, чтобы Ком</w:t>
      </w:r>
      <w:r>
        <w:t>и</w:t>
      </w:r>
      <w:r>
        <w:t>тет пришел к заключению, что государство-участник не выполнило свое обяз</w:t>
      </w:r>
      <w:r>
        <w:t>а</w:t>
      </w:r>
      <w:r>
        <w:t xml:space="preserve">тельство по расследованию с должной осмотрительностью. </w:t>
      </w:r>
    </w:p>
    <w:p w:rsidR="00BC1DE0" w:rsidRPr="00C51E22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1DE0" w:rsidRPr="008967C4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 xml:space="preserve">Комментарии авторов по замечаниям государства-участника </w:t>
      </w:r>
    </w:p>
    <w:p w:rsidR="00BC1DE0" w:rsidRPr="00C51E22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6.1</w:t>
      </w:r>
      <w:r>
        <w:tab/>
        <w:t xml:space="preserve">Авторы представили комментарии по замечаниям государства-участника 21 августа 2015 года.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6.2</w:t>
      </w:r>
      <w:r>
        <w:tab/>
        <w:t>Касательно замечаний государства-участника относительно приемлем</w:t>
      </w:r>
      <w:r>
        <w:t>о</w:t>
      </w:r>
      <w:r>
        <w:t>сти сообщения авторы утверждают, что они исчерпали все внутренние сре</w:t>
      </w:r>
      <w:r>
        <w:t>д</w:t>
      </w:r>
      <w:r>
        <w:t>ства правовой защиты. Авторы вновь заявляют о том, что им не было разреш</w:t>
      </w:r>
      <w:r>
        <w:t>е</w:t>
      </w:r>
      <w:r>
        <w:t>но участвовать в судебном разбирательств на том основании, что специальный прокурор является тем «лицом», которое уполномочено выступать от их им</w:t>
      </w:r>
      <w:r>
        <w:t>е</w:t>
      </w:r>
      <w:r>
        <w:t>ни. Это привело к тому, что авторов должным образом не уведомили о реш</w:t>
      </w:r>
      <w:r>
        <w:t>е</w:t>
      </w:r>
      <w:r>
        <w:t xml:space="preserve">нии по апелляции. Авторы фактически не обладали реальными сведениями о решении, поскольку их не уведомили лично, то есть по месту жительства, как предусмотрено национальным законодательством.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6.3</w:t>
      </w:r>
      <w:r>
        <w:tab/>
        <w:t>Что касается замечаний государства-участника по существу дела, то авт</w:t>
      </w:r>
      <w:r>
        <w:t>о</w:t>
      </w:r>
      <w:r>
        <w:t>ры отмечают, что, несмотря на принятые законы, призванные гарантировать права женщин, данные законы остаются недействующими и неэффективными на практике, поскольку отсутствуют надлежащие механизмы для их примен</w:t>
      </w:r>
      <w:r>
        <w:t>е</w:t>
      </w:r>
      <w:r>
        <w:t>ния. Таким образом, в рассматриваемом случае не было никакого реального доступа к правосудию, поскольку на сегодняшний день убийство Пилар Аргу</w:t>
      </w:r>
      <w:r>
        <w:t>э</w:t>
      </w:r>
      <w:r>
        <w:t>льо Трухильо так и остается безнаказанным. Отсутствие надлежащего ос</w:t>
      </w:r>
      <w:r>
        <w:t>у</w:t>
      </w:r>
      <w:r>
        <w:t>ществления мер государственной политики, призванных содействовать пер</w:t>
      </w:r>
      <w:r>
        <w:t>е</w:t>
      </w:r>
      <w:r>
        <w:t>менам в культурном сознании, к которым призывает государство, является о</w:t>
      </w:r>
      <w:r>
        <w:t>т</w:t>
      </w:r>
      <w:r>
        <w:t>ражением продолжающегося нарушения прав человека женщин. Государство-участник признает, что в стране существует насилие, однако не противоде</w:t>
      </w:r>
      <w:r>
        <w:t>й</w:t>
      </w:r>
      <w:r>
        <w:t xml:space="preserve">ствует ему путем принятия эффективных мер.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6.4</w:t>
      </w:r>
      <w:r>
        <w:tab/>
        <w:t>На момент убийства Пилар Аргуэльо Трухильо преступление феминицида уже было квалифицировано в Уголовном кодексе штата Веракрус, и само уби</w:t>
      </w:r>
      <w:r>
        <w:t>й</w:t>
      </w:r>
      <w:r>
        <w:t>ство можно было бы рассматривать и расследовать как феминицид, если бы преступник был совершеннолетним. Ввиду того что в рассматриваемом случае подозреваемый был несовершеннолетним и вследствие этого процедура ра</w:t>
      </w:r>
      <w:r>
        <w:t>с</w:t>
      </w:r>
      <w:r>
        <w:t>смотрения дела была иной, проведенное расследование было сосредоточено на преступлении убийства при отягчающих обстоятельствах, а и не на преступл</w:t>
      </w:r>
      <w:r>
        <w:t>е</w:t>
      </w:r>
      <w:r>
        <w:t>нии феминицида. Именно поэтому не были произведены основные следстве</w:t>
      </w:r>
      <w:r>
        <w:t>н</w:t>
      </w:r>
      <w:r>
        <w:t>ные действия, предписанные протоколом производства основных следстве</w:t>
      </w:r>
      <w:r>
        <w:t>н</w:t>
      </w:r>
      <w:r>
        <w:t>ных действий, которого должна придерживаться прокуратура при расследов</w:t>
      </w:r>
      <w:r>
        <w:t>а</w:t>
      </w:r>
      <w:r>
        <w:t>нии преступлений против свободы, сексуальной безопасности и семьи и пр</w:t>
      </w:r>
      <w:r>
        <w:t>е</w:t>
      </w:r>
      <w:r>
        <w:t>ступлений, связанных с гендерным насилием и феминицидом. Тем не менее убийство было совершено явно по признаку пола, поскольку само расследов</w:t>
      </w:r>
      <w:r>
        <w:t>а</w:t>
      </w:r>
      <w:r>
        <w:t xml:space="preserve">ние показало, что имеются по крайней мере две из переменных величин, предусмотренных в уголовно-правовой квалификации феминицида.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6.5</w:t>
      </w:r>
      <w:r>
        <w:tab/>
        <w:t>Несмотря на создаваемые государством-участником механизмы, призва</w:t>
      </w:r>
      <w:r>
        <w:t>н</w:t>
      </w:r>
      <w:r>
        <w:t>ные гарантировать права человека женщин, включая законодательство, прот</w:t>
      </w:r>
      <w:r>
        <w:t>о</w:t>
      </w:r>
      <w:r>
        <w:t>колы и профессиональную подготовку, подавляющее большинство случаев насилия по-прежнему остаются без официального расследования, без судебн</w:t>
      </w:r>
      <w:r>
        <w:t>о</w:t>
      </w:r>
      <w:r>
        <w:t xml:space="preserve">го преследования и без назначения наказания со стороны судебной системы как на федеральном, так и на общенациональном уровне.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6.6</w:t>
      </w:r>
      <w:r>
        <w:tab/>
        <w:t>Авторы не согласны с утверждением государства-участника о том, что в рассматриваемом случае не имеется убедительных доказательств того, что накануне своей смерти Пилар Аргуэльо Трухильо подвергалась конкретным потенциальным рискам. Авторы утверждают, что один из этих рисков состоял в том, что на момент совершения преступления феминицид не входил в пер</w:t>
      </w:r>
      <w:r>
        <w:t>е</w:t>
      </w:r>
      <w:r>
        <w:t>чень тяжких преступлений, прописанных в Законе штата Веракрус об уголо</w:t>
      </w:r>
      <w:r>
        <w:t>в</w:t>
      </w:r>
      <w:r>
        <w:t>ной ответственности несовершеннолетних</w:t>
      </w:r>
      <w:r w:rsidRPr="00BC1DE0">
        <w:rPr>
          <w:vertAlign w:val="superscript"/>
        </w:rPr>
        <w:footnoteReference w:id="21"/>
      </w:r>
      <w:r w:rsidRPr="00572ABA">
        <w:t>, и</w:t>
      </w:r>
      <w:r>
        <w:t xml:space="preserve"> по этой причине не были прои</w:t>
      </w:r>
      <w:r>
        <w:t>з</w:t>
      </w:r>
      <w:r>
        <w:t>ведены минимальные следственные действия, установленные в вышеупомян</w:t>
      </w:r>
      <w:r>
        <w:t>у</w:t>
      </w:r>
      <w:r>
        <w:t>том протоколе. Еще один потенциальный риск состоял в том, что сотрудники системы отправления правосудия не провели расследование и анализ фактов с точки зрения гендерной перспективы. Был сделан вывод о наличии такого отягчающего вину обстоятельства, как «преимущество», однако этого аспекта оказалось недостаточно. В ходе расследования необходимо было провести надлежащую оценку доказательств и принять во внимание тот факт, что соб</w:t>
      </w:r>
      <w:r>
        <w:t>ы</w:t>
      </w:r>
      <w:r>
        <w:t>тия происходили в крайне опасном контексте насилия. В рассматриваемом случае субъекты, на которых возложены ведение следствия и отправление пр</w:t>
      </w:r>
      <w:r>
        <w:t>а</w:t>
      </w:r>
      <w:r>
        <w:t>восудия, действовали без учета гендерных аспектов, руководствуясь предра</w:t>
      </w:r>
      <w:r>
        <w:t>с</w:t>
      </w:r>
      <w:r>
        <w:t>судками и проявляя дискриминацию. Это привело к небрежности и безде</w:t>
      </w:r>
      <w:r>
        <w:t>й</w:t>
      </w:r>
      <w:r>
        <w:t xml:space="preserve">ствию в отношении принятия основных мер, позволяющих узнать правду о произошедшем. </w:t>
      </w:r>
    </w:p>
    <w:p w:rsidR="00BC1DE0" w:rsidRPr="00C51E22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1DE0" w:rsidRPr="008967C4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 xml:space="preserve">Дополнительная информация, представленная сторонами </w:t>
      </w:r>
    </w:p>
    <w:p w:rsidR="00BC1DE0" w:rsidRPr="00C51E22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7.1</w:t>
      </w:r>
      <w:r>
        <w:tab/>
        <w:t>По просьбе Комитета государство-участник направило (21 октября 2016 года и 3 мая 2017 года) дополнительную информацию о действии проц</w:t>
      </w:r>
      <w:r>
        <w:t>е</w:t>
      </w:r>
      <w:r>
        <w:t>дуры ампаро. Это средство правовой защиты регулируется Законом об ампаро. Статья 5 Закона (в редакции, действовавшей на момент рассматриваемых с</w:t>
      </w:r>
      <w:r>
        <w:t>о</w:t>
      </w:r>
      <w:r>
        <w:t>бытий) устанавливает круг лиц, имеющих право инициировать процедуру а</w:t>
      </w:r>
      <w:r>
        <w:t>м</w:t>
      </w:r>
      <w:r>
        <w:t>паро: «Потерпевший или лица, которые в соответствии с законом имеют право на возмещение ущерба или право требовать привлечения к гражданской отве</w:t>
      </w:r>
      <w:r>
        <w:t>т</w:t>
      </w:r>
      <w:r>
        <w:t>ственности, вытекающей из совершения преступления, сообразно обстоятел</w:t>
      </w:r>
      <w:r>
        <w:t>ь</w:t>
      </w:r>
      <w:r>
        <w:t>ствам, в исках по процедуре ампаро, поданных в отношении судебных актов уголовного характера, при условии, что те затрагивают такое возмещение или ответственность». Что касается сроков для подачи ходатайства о процедуре ампаро, то государство подтверждает информацию, представленную в его з</w:t>
      </w:r>
      <w:r>
        <w:t>а</w:t>
      </w:r>
      <w:r>
        <w:t>мечаниях относительно приемлемости, и вновь заявляет, что сообщение явл</w:t>
      </w:r>
      <w:r>
        <w:t>я</w:t>
      </w:r>
      <w:r>
        <w:t>ется неприемлемым, поскольку внутренние средства правовой защиты исче</w:t>
      </w:r>
      <w:r>
        <w:t>р</w:t>
      </w:r>
      <w:r>
        <w:t xml:space="preserve">паны не были.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7.2</w:t>
      </w:r>
      <w:r>
        <w:tab/>
        <w:t>В своих замечаниях от 3 мая 2017 года государство-участник отметило, что, представляя ходатайство о применении процедуры ампаро в отношении решения по уголовному делу, жертвы преступления могут подавать жалобы к</w:t>
      </w:r>
      <w:r>
        <w:t>а</w:t>
      </w:r>
      <w:r>
        <w:t>сательно обстоятельств преступления, ответственности за его совершение и назначенного наказания, включая вопросы, связанные с возмещением ущерба. В рассматриваемом случае жертвы могут обжаловать посредством процедуры ампаро содержание окончательного решения и заявлять о нарушении проце</w:t>
      </w:r>
      <w:r>
        <w:t>с</w:t>
      </w:r>
      <w:r>
        <w:t>суальных норм, которое привело к лишению их надлежащей защиты в ходе с</w:t>
      </w:r>
      <w:r>
        <w:t>у</w:t>
      </w:r>
      <w:r>
        <w:t>дебного разбирательства. Ампаро является чрезвычайным средством правовой защиты, которое функционирует вне рамок системы уголовного правосудия, обладает характерными особенностями и имеет своей целью установить, де</w:t>
      </w:r>
      <w:r>
        <w:t>й</w:t>
      </w:r>
      <w:r>
        <w:t>ствовали ли власти в соответствии с Конституцией. Процедура ампаро не представляет собой какую-либо инстанцию в рамках системы уголовного пр</w:t>
      </w:r>
      <w:r>
        <w:t>а</w:t>
      </w:r>
      <w:r>
        <w:t>восудия. Если к процедуре ампаро прибегают вследствие ошибок процедурн</w:t>
      </w:r>
      <w:r>
        <w:t>о</w:t>
      </w:r>
      <w:r>
        <w:t>го характера, допущенных в ходе уголовного судопроизводства, то суд ампаро может вынести постановление о возобновлении производства по делу, с тем чтобы исправить допущенные ошибки.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7.3</w:t>
      </w:r>
      <w:r>
        <w:tab/>
        <w:t>Государство-участник повторно заявляет, что если бы ходатайство о пр</w:t>
      </w:r>
      <w:r>
        <w:t>и</w:t>
      </w:r>
      <w:r>
        <w:t>менении процедуры ампаро было представлено в течение установленного ср</w:t>
      </w:r>
      <w:r>
        <w:t>о</w:t>
      </w:r>
      <w:r>
        <w:t>ка, то эта процедура стала бы эффективным средством правовой защиты, уч</w:t>
      </w:r>
      <w:r>
        <w:t>и</w:t>
      </w:r>
      <w:r>
        <w:t>тывая, что авторы имеют право на обжалование вынесенных обычными судами решений о признании обвиняемого невиновным. К тому же авторы не оспар</w:t>
      </w:r>
      <w:r>
        <w:t>и</w:t>
      </w:r>
      <w:r>
        <w:t>вали ни квалификацию преступления, ни эффективность процедуры ампаро.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7.4</w:t>
      </w:r>
      <w:r>
        <w:tab/>
        <w:t>24 ноября 2016 года и 3 июня 2017 года авторы представили комментарии в отношении дополнительной информации, представленной государством-участником. Авторы отмечают, что оказание помощи косвенным жертвам пр</w:t>
      </w:r>
      <w:r>
        <w:t>е</w:t>
      </w:r>
      <w:r>
        <w:t>ступления убийства или феминицида, которыми в данном случае являются члены семьи покойной, происходит в государстве-участнике крайне медленно, и этот процесс начался лишь после принятия Общего закона о жертвах на ф</w:t>
      </w:r>
      <w:r>
        <w:t>е</w:t>
      </w:r>
      <w:r>
        <w:t>деральном уровне в 2013 году, то есть после событий, являющихся предметом рассматриваемого сообщения. Как поясняет государство-участник, решения, вынесенные федеральными судами в отношении прав жертв в ходе уголовного судопроизводства, свидетельствуют о том, что соответствующий закон был прописан нечетко, особенно на тот момент, когда происходили изложенные в сообщении события, и что поэтому судам приходилось давать разъяснение. Кроме того, нет ясности в определении того, какой орган компетентен уведо</w:t>
      </w:r>
      <w:r>
        <w:t>м</w:t>
      </w:r>
      <w:r>
        <w:t>лять жертв о принятом решении.</w:t>
      </w:r>
    </w:p>
    <w:p w:rsidR="00BC1DE0" w:rsidRPr="005B3485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1DE0" w:rsidRPr="008967C4" w:rsidRDefault="00BC1DE0" w:rsidP="00BC1D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Обсуждения в Комитете</w:t>
      </w:r>
    </w:p>
    <w:p w:rsidR="00BC1DE0" w:rsidRPr="005B3485" w:rsidRDefault="00BC1DE0" w:rsidP="00BC1D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1DE0" w:rsidRPr="008967C4" w:rsidRDefault="00BC1DE0" w:rsidP="00BC1D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>Рассмотрение вопроса о приемлемости</w:t>
      </w:r>
    </w:p>
    <w:p w:rsidR="00BC1DE0" w:rsidRPr="005B3485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8.1</w:t>
      </w:r>
      <w:r>
        <w:tab/>
        <w:t>В соответствии с правилом 64 своих правил процедуры Комитет должен решить, является ли сообщение приемлемым согласно Факультативному пр</w:t>
      </w:r>
      <w:r>
        <w:t>о</w:t>
      </w:r>
      <w:r>
        <w:t xml:space="preserve">токолу. В соответствии с пунктом 4 правила 72 правил процедуры Комитет должен сделать это до рассмотрения сообщения по существу.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8.2</w:t>
      </w:r>
      <w:r>
        <w:tab/>
        <w:t>В соответствии с пунктом 2 а) статьи 4 Факультативного протокола Ком</w:t>
      </w:r>
      <w:r>
        <w:t>и</w:t>
      </w:r>
      <w:r>
        <w:t>тет удостоверился в том, что тот же вопрос не рассматривался и не рассматр</w:t>
      </w:r>
      <w:r>
        <w:t>и</w:t>
      </w:r>
      <w:r>
        <w:t>вается в рамках какой-либо другой процедуры международного разбирател</w:t>
      </w:r>
      <w:r>
        <w:t>ь</w:t>
      </w:r>
      <w:r>
        <w:t xml:space="preserve">ства или урегулирования.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8.3</w:t>
      </w:r>
      <w:r>
        <w:tab/>
        <w:t>В связи с пунктом 1 статьи 4 Факультативного протокола, где изложено требование о необходимости исчерпания всех имеющихся внутренних средств правовой защиты, Комитет отмечает, что авторы должны использовать те сре</w:t>
      </w:r>
      <w:r>
        <w:t>д</w:t>
      </w:r>
      <w:r>
        <w:t>ства внутригосударственного правового порядка, которые могут их удовлетв</w:t>
      </w:r>
      <w:r>
        <w:t>о</w:t>
      </w:r>
      <w:r>
        <w:t>рить и позволят им получить возмещение за предполагаемые нарушения. К</w:t>
      </w:r>
      <w:r>
        <w:t>о</w:t>
      </w:r>
      <w:r>
        <w:t>митет отмечает, что авторы ставят под сомнение примененный прокуратурой метод проведения расследования, в частности тот факт, что не были предста</w:t>
      </w:r>
      <w:r>
        <w:t>в</w:t>
      </w:r>
      <w:r>
        <w:t>лены адекватные или достаточные доказательства для уличения А.Р.М. в с</w:t>
      </w:r>
      <w:r>
        <w:t>о</w:t>
      </w:r>
      <w:r>
        <w:t>вершении убийства, жертвой которого стала Пилар Аргуэльо Трухильо. Авт</w:t>
      </w:r>
      <w:r>
        <w:t>о</w:t>
      </w:r>
      <w:r>
        <w:t>ры также ставят под сомнение использованные судьями методы оценки доказ</w:t>
      </w:r>
      <w:r>
        <w:t>а</w:t>
      </w:r>
      <w:r>
        <w:t>тельства и фактов. Комитет также отмечает, что ввиду вышеупомянутых с</w:t>
      </w:r>
      <w:r>
        <w:t>о</w:t>
      </w:r>
      <w:r>
        <w:t>мнений автор подала ходатайство о процедуре ампаро и защите в Коллегиал</w:t>
      </w:r>
      <w:r>
        <w:t>ь</w:t>
      </w:r>
      <w:r>
        <w:t>ный суд по уголовным делам и трудовым спорам (Седьмой округ), указав, что в ходе расследования были нарушены ее право на надлежащую правовую проц</w:t>
      </w:r>
      <w:r>
        <w:t>е</w:t>
      </w:r>
      <w:r>
        <w:t>дуру и право на процессуальное равенство сторон. Кроме того, авторы утве</w:t>
      </w:r>
      <w:r>
        <w:t>р</w:t>
      </w:r>
      <w:r>
        <w:t>ждают, что после оправдания А.Р.М. государство-участник не закончило ра</w:t>
      </w:r>
      <w:r>
        <w:t>с</w:t>
      </w:r>
      <w:r>
        <w:t>следование уголовного дела и не привлекло виновных к ответственности.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8.4</w:t>
      </w:r>
      <w:r>
        <w:tab/>
        <w:t>Комитет также принимает к сведению замечания государства-участника о том, что авторы не исчерпали внутренние средства правовой защиты, поскол</w:t>
      </w:r>
      <w:r>
        <w:t>ь</w:t>
      </w:r>
      <w:r>
        <w:t>ку ходатайство о процедуре ампаро было подано после истечения предусмо</w:t>
      </w:r>
      <w:r>
        <w:t>т</w:t>
      </w:r>
      <w:r>
        <w:t xml:space="preserve">ренного законом срока.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8.5</w:t>
      </w:r>
      <w:r>
        <w:tab/>
        <w:t>Комитет по отдельности рассмотрит утверждения авторов в отношении: i) предполагаемых процессуальных недочетов и нарушений в судебном разб</w:t>
      </w:r>
      <w:r>
        <w:t>и</w:t>
      </w:r>
      <w:r>
        <w:t>рательстве; и ii) того факта, что расследование преступления не ведется, п</w:t>
      </w:r>
      <w:r>
        <w:t>о</w:t>
      </w:r>
      <w:r>
        <w:t>скольку до сих пор дело не закрыто и виновные не наказаны.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8.6</w:t>
      </w:r>
      <w:r>
        <w:tab/>
        <w:t>Что касается первой части заявления авторов, по которой они подали х</w:t>
      </w:r>
      <w:r>
        <w:t>о</w:t>
      </w:r>
      <w:r>
        <w:t>датайство о применении процедуры ампаро, то Комитет отмечает, что ходата</w:t>
      </w:r>
      <w:r>
        <w:t>й</w:t>
      </w:r>
      <w:r>
        <w:t>ство было подано 23 октября 2013 года, то есть через несколько месяцев после истечения установленного законом срока. Комитет далее отмечает, что отве</w:t>
      </w:r>
      <w:r>
        <w:t>т</w:t>
      </w:r>
      <w:r>
        <w:t>ственность за указанную задержку нельзя возложить на государство-участник, поскольку авторы не отрицают получение 25 февраля 2013 года уведомления о принятии решения по их апелляции. Таким образом, Комитет считает, что, не использовав процедуру ампаро для обжалования процессуальных нарушений, которые в настоящее время представлены Комитету, авторы не выполнили тр</w:t>
      </w:r>
      <w:r>
        <w:t>е</w:t>
      </w:r>
      <w:r>
        <w:t>бования об исчерпании внутренних средств правовой защиты, установленного в пункте 1 статьи 4 Факультативного протокола. Соответственно, эта часть с</w:t>
      </w:r>
      <w:r>
        <w:t>о</w:t>
      </w:r>
      <w:r>
        <w:t>общения объявляется неприемлемой.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8.7</w:t>
      </w:r>
      <w:r>
        <w:tab/>
        <w:t>Что касается второй части заявления, где авторы утверждают, что рассл</w:t>
      </w:r>
      <w:r>
        <w:t>е</w:t>
      </w:r>
      <w:r>
        <w:t>дование убийства Пилар Аргуэльо Трухильо более не ведется, то Комитет о</w:t>
      </w:r>
      <w:r>
        <w:t>т</w:t>
      </w:r>
      <w:r>
        <w:t>мечает, что со времени оправдания изначально подозреваемого, А.Р.М., гос</w:t>
      </w:r>
      <w:r>
        <w:t>у</w:t>
      </w:r>
      <w:r>
        <w:t>дарство-участник не сообщало о ведении какого-либо дальнейшего расслед</w:t>
      </w:r>
      <w:r>
        <w:t>о</w:t>
      </w:r>
      <w:r>
        <w:t>вания в целях установления фактов и привлечения виновных к ответственн</w:t>
      </w:r>
      <w:r>
        <w:t>о</w:t>
      </w:r>
      <w:r>
        <w:t>сти. Комитет считает, что судебное преследование за преступления, в частн</w:t>
      </w:r>
      <w:r>
        <w:t>о</w:t>
      </w:r>
      <w:r>
        <w:t>сти за убийство, является функцией, возлагаемой исключительно на госуда</w:t>
      </w:r>
      <w:r>
        <w:t>р</w:t>
      </w:r>
      <w:r>
        <w:t>ство, и эта функция должна осуществляться с надлежащим старанием, в оф</w:t>
      </w:r>
      <w:r>
        <w:t>и</w:t>
      </w:r>
      <w:r>
        <w:t>циальном порядке, в соответствии с нормами уголовно-процессуального права и независимо от любого обращения к другим судебным процедурам (включая процедуру ампаро), которые могут быть или могут не быть инициированы чл</w:t>
      </w:r>
      <w:r>
        <w:t>е</w:t>
      </w:r>
      <w:r>
        <w:t xml:space="preserve">нами семьи жертвы.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8.8</w:t>
      </w:r>
      <w:r>
        <w:tab/>
        <w:t>В данном случае Комитет принимает к сведению, что убийство Пилар А</w:t>
      </w:r>
      <w:r>
        <w:t>р</w:t>
      </w:r>
      <w:r>
        <w:t>гуэльо Трухильо произошло в сентябре 2012 года; что лицо, изначально обв</w:t>
      </w:r>
      <w:r>
        <w:t>и</w:t>
      </w:r>
      <w:r>
        <w:t>ненное в совершении убийства, было оправдано в ноябре 2012 года и при апелляционном рассмотрении данное решение было подтверждено Верховным судом штата Веракрус 17 января 2013 года; и что с тех пор нет сведений о пр</w:t>
      </w:r>
      <w:r>
        <w:t>о</w:t>
      </w:r>
      <w:r>
        <w:t>изводстве каких-либо следственных действий. В сложившихся обстоятельствах Комитет считает, что применение внутренних средств правовой защиты было неоправданно затянуто и что бездействие компетентных органов сводит на нет вероятность того, что посредством какого-либо средства правовой защиты а</w:t>
      </w:r>
      <w:r>
        <w:t>в</w:t>
      </w:r>
      <w:r>
        <w:t>торы получат эффективное возмещение. Исходя из этого, Комитет приходит к выводу о том, что сообщение является приемлемым в соответствии с пун</w:t>
      </w:r>
      <w:r>
        <w:t>к</w:t>
      </w:r>
      <w:r>
        <w:t>том 1 статьи 4 Факультативного протокола в отношении второй части заявл</w:t>
      </w:r>
      <w:r>
        <w:t>е</w:t>
      </w:r>
      <w:r>
        <w:t>ния, упомянутой в пункте 8.7 выше.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8.9</w:t>
      </w:r>
      <w:r>
        <w:tab/>
        <w:t>Комитет также принимает к сведению довод государства-участника о том, что сообщение является несовместимым с положениями Конвенции, поскольку применение соответствующего судопроизводства и оценка доказательств — это функции, которые относятся к внутренней юрисдикции, и что в данном случае нельзя сделать вывод о том, что действия органов, отвечающих за уг</w:t>
      </w:r>
      <w:r>
        <w:t>о</w:t>
      </w:r>
      <w:r>
        <w:t>ловное судопроизводство, были произвольными или равносильными отказу в правосудии. Однако в свете представленных авторами аргументов Комитет не может заключить, что представленные Комитету заявления не совместимы ratione materiae с положениями Конвенции по смыслу пункта 2 b) статьи 4 Ф</w:t>
      </w:r>
      <w:r>
        <w:t>а</w:t>
      </w:r>
      <w:r>
        <w:t xml:space="preserve">культативного протокола.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8.10</w:t>
      </w:r>
      <w:r>
        <w:tab/>
        <w:t>Комитет далее принимает к сведению утверждение государства-участника о том, что сообщение является необоснованным, поскольку авторы не обосн</w:t>
      </w:r>
      <w:r>
        <w:t>о</w:t>
      </w:r>
      <w:r>
        <w:t>вали свое утверждение о том, что мексиканские власти действовали без учета гендерной перспективы, руководствуясь женоненавистническими предрассу</w:t>
      </w:r>
      <w:r>
        <w:t>д</w:t>
      </w:r>
      <w:r>
        <w:t xml:space="preserve">ками и проявляя сексистскую дискриминацию.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8.11</w:t>
      </w:r>
      <w:r>
        <w:tab/>
        <w:t>Комитет напоминает о том, что в рассматриваемом сообщении авторы указывают на тот факт, что убийство их дочери остается безнаказанным и что следственные органы и органы, отвечающие за уголовное преследование, не приняли всех необходимых мер для выяснения фактов и назначения наказания за совершенные деяния. Комитет также напоминает о своей практике, согласно которой он не подменяет собой национальные власти при оценке фактов и д</w:t>
      </w:r>
      <w:r>
        <w:t>о</w:t>
      </w:r>
      <w:r>
        <w:t>казательств и не занимается установлением уголовной ответственности пре</w:t>
      </w:r>
      <w:r>
        <w:t>д</w:t>
      </w:r>
      <w:r>
        <w:t>полагаемого преступника</w:t>
      </w:r>
      <w:r w:rsidRPr="00BC1DE0">
        <w:rPr>
          <w:vertAlign w:val="superscript"/>
        </w:rPr>
        <w:footnoteReference w:id="22"/>
      </w:r>
      <w:r>
        <w:t>. Комитет считает, что именно в функцию судей го</w:t>
      </w:r>
      <w:r>
        <w:t>с</w:t>
      </w:r>
      <w:r>
        <w:t>ударств — участников Конвенции входит проведение оценки фактов и доказ</w:t>
      </w:r>
      <w:r>
        <w:t>а</w:t>
      </w:r>
      <w:r>
        <w:t>тельств и определение применения национального законодательства в отнош</w:t>
      </w:r>
      <w:r>
        <w:t>е</w:t>
      </w:r>
      <w:r>
        <w:t>нии конкретных дел, за исключением тех случаев, когда может быть устано</w:t>
      </w:r>
      <w:r>
        <w:t>в</w:t>
      </w:r>
      <w:r>
        <w:t>лено, что проведенная оценка носила предвзятый характер или основывалась на гендерных стереотипах, представляющих собой дискриминацию в отнош</w:t>
      </w:r>
      <w:r>
        <w:t>е</w:t>
      </w:r>
      <w:r>
        <w:t>нии женщин, или была явно произвольной или была равносильна отказу в пр</w:t>
      </w:r>
      <w:r>
        <w:t>а</w:t>
      </w:r>
      <w:r>
        <w:t>восудии.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8.12</w:t>
      </w:r>
      <w:r>
        <w:tab/>
        <w:t>Вместе с тем Комитет считает, что для целей приемлемости в рассматр</w:t>
      </w:r>
      <w:r>
        <w:t>и</w:t>
      </w:r>
      <w:r>
        <w:t>ваемом сообщении авторы в достаточной степени обосновали свою жалобу в отношении непринятия национальными властями дополнительных мер для в</w:t>
      </w:r>
      <w:r>
        <w:t>ы</w:t>
      </w:r>
      <w:r>
        <w:t>яснения обстоятельств убийства Пилар Аргуэльо Трухильо и установления с</w:t>
      </w:r>
      <w:r>
        <w:t>о</w:t>
      </w:r>
      <w:r>
        <w:t>ответствующей уголовной ответственности. Соответственно, Комитет считает, что эта часть сообщения является приемлемой в соответствии с пунктом 2 с) статьи 4 Факультативного протокола.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8.13</w:t>
      </w:r>
      <w:r>
        <w:tab/>
        <w:t>Таким образом, Комитет считает, что сообщение является приемлемым, поскольку затрагивает вопросы, касающиеся статей 1, 2, 3, 5 и 15 Конвенции, и что оно должно быть рассмотрено по существу в отношении той его части, к</w:t>
      </w:r>
      <w:r>
        <w:t>о</w:t>
      </w:r>
      <w:r>
        <w:t>торая не связана с недостатками процедурного характера и нарушениями, о к</w:t>
      </w:r>
      <w:r>
        <w:t>о</w:t>
      </w:r>
      <w:r>
        <w:t xml:space="preserve">торых утверждают авторы. </w:t>
      </w:r>
    </w:p>
    <w:p w:rsidR="00BC1DE0" w:rsidRPr="00AF0BCB" w:rsidRDefault="00BC1DE0" w:rsidP="00BC1D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1DE0" w:rsidRPr="008967C4" w:rsidRDefault="00BC1DE0" w:rsidP="00BC1D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>
        <w:tab/>
      </w:r>
      <w:r>
        <w:tab/>
        <w:t xml:space="preserve">Рассмотрение сообщения по существу </w:t>
      </w:r>
    </w:p>
    <w:p w:rsidR="00BC1DE0" w:rsidRPr="00AF0BCB" w:rsidRDefault="00BC1DE0" w:rsidP="00BC1DE0">
      <w:pPr>
        <w:pStyle w:val="SingleTxt"/>
        <w:spacing w:after="0" w:line="120" w:lineRule="exact"/>
        <w:rPr>
          <w:sz w:val="10"/>
        </w:rPr>
      </w:pP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9.1</w:t>
      </w:r>
      <w:r>
        <w:tab/>
        <w:t>Комитет рассмотрел настоящее сообщение в свете всей информации, представленной ему авторами и государством-участником, как это предусмо</w:t>
      </w:r>
      <w:r>
        <w:t>т</w:t>
      </w:r>
      <w:r>
        <w:t xml:space="preserve">рено в пункте 1 статьи 7 Факультативного протокола.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9.2</w:t>
      </w:r>
      <w:r>
        <w:tab/>
        <w:t xml:space="preserve">Комитет принимает к сведению утверждения авторов в том смысле, что данное дело вписывается в контекст высокого уровня насилия в отношении женщин и безнаказанности в тех случаях, которые обнародуются в судах. В этой связи Комитет напоминает, что в его заключительных замечаниях по Мексике отмечалось </w:t>
      </w:r>
      <w:r w:rsidRPr="00572ABA">
        <w:t>следующее</w:t>
      </w:r>
      <w:r w:rsidRPr="00BC1DE0">
        <w:rPr>
          <w:vertAlign w:val="superscript"/>
        </w:rPr>
        <w:footnoteReference w:id="23"/>
      </w:r>
      <w:r w:rsidRPr="00572ABA">
        <w:t>:</w:t>
      </w:r>
      <w:r>
        <w:t xml:space="preserve"> </w:t>
      </w:r>
    </w:p>
    <w:p w:rsidR="00BC1DE0" w:rsidRPr="008967C4" w:rsidRDefault="00BC1DE0" w:rsidP="00BC1DE0">
      <w:pPr>
        <w:pStyle w:val="SingleTxt"/>
        <w:ind w:left="1740" w:hanging="476"/>
        <w:rPr>
          <w:sz w:val="24"/>
          <w:szCs w:val="24"/>
        </w:rPr>
      </w:pPr>
      <w:r>
        <w:tab/>
      </w:r>
      <w:r>
        <w:tab/>
        <w:t>17.</w:t>
      </w:r>
      <w:r>
        <w:tab/>
        <w:t>Комитет отмечает, что статья 21 Общего закона об обеспечении д</w:t>
      </w:r>
      <w:r>
        <w:t>о</w:t>
      </w:r>
      <w:r>
        <w:t>ступа женщин к жизни без насилия определяет феминицид как крайнюю форму насилия в отношении женщин и как продукт нарушения их прав человека как в общественной, так и в личной жизни, в основе которого лежит комплекс женоненавистнических моделей поведения и который может порождать социальную безнаказанность и безнаказанность гос</w:t>
      </w:r>
      <w:r>
        <w:t>у</w:t>
      </w:r>
      <w:r>
        <w:t>дарства и являться причиной убийства женщин или других форм насил</w:t>
      </w:r>
      <w:r>
        <w:t>ь</w:t>
      </w:r>
      <w:r>
        <w:t>ственного лишения их жизни. Тем не менее он обеспокоен неадекватн</w:t>
      </w:r>
      <w:r>
        <w:t>о</w:t>
      </w:r>
      <w:r>
        <w:t>стью определений преступления феминицида в местных уголовных к</w:t>
      </w:r>
      <w:r>
        <w:t>о</w:t>
      </w:r>
      <w:r>
        <w:t>дексах, а также различиями между этими определениями. Он выражает свою глубокую тревогу по поводу большого и все увеличивающегося числа случаев феминицида в нескольких штатах, таких как Веракрус, Г</w:t>
      </w:r>
      <w:r>
        <w:t>у</w:t>
      </w:r>
      <w:r>
        <w:t>анахуато, Кинтана-Роо, Мехико, Нуэво-Леон, Оахака, Пуэбла, Халиско и Чьяпас, а также в городах Мехико и Сьюдад-Хуарес. Он также обеспокоен неадекватностью процедур регистрации и документального оформления убийств женщин, что подрывает надлежащее проведение расследований по делам, а также не позволяет оперативно уведомлять семьи об уби</w:t>
      </w:r>
      <w:r>
        <w:t>й</w:t>
      </w:r>
      <w:r>
        <w:t xml:space="preserve">ствах и проводить более полную и надежную оценку феминицида.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ab/>
      </w:r>
      <w:r>
        <w:tab/>
        <w:t>18.</w:t>
      </w:r>
      <w:r>
        <w:tab/>
        <w:t>Комитет также обеспокоен: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ab/>
      </w:r>
      <w:r>
        <w:tab/>
      </w:r>
      <w:r>
        <w:tab/>
        <w:t>(…)</w:t>
      </w:r>
    </w:p>
    <w:p w:rsidR="00BC1DE0" w:rsidRPr="008967C4" w:rsidRDefault="00BC1DE0" w:rsidP="00BC1DE0">
      <w:pPr>
        <w:pStyle w:val="SingleTxt"/>
        <w:ind w:left="1740" w:hanging="476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c)</w:t>
      </w:r>
      <w:r>
        <w:tab/>
        <w:t>незначительным числом случаев насилия в отношении женщин, о которых информируются власти, поскольку женщины боятся возмездия и не доверяют властям; отсутствием стандартных протоколов расследов</w:t>
      </w:r>
      <w:r>
        <w:t>а</w:t>
      </w:r>
      <w:r>
        <w:t>ния и преследования в рамках дел, связанных с насилием в отношении женщин, что негативно сказывается на правах жертв в плане доступа к правосудию и является причиной того, что в контексте большого числа дел виновные остаются безнаказанными, как было отмечено Межамер</w:t>
      </w:r>
      <w:r>
        <w:t>и</w:t>
      </w:r>
      <w:r>
        <w:t xml:space="preserve">канским судом по правам человека в связи с делом «Кампо Алгодонеро» («Хлопковое поле»); </w:t>
      </w:r>
    </w:p>
    <w:p w:rsidR="00BC1DE0" w:rsidRPr="008967C4" w:rsidRDefault="00BC1DE0" w:rsidP="00BC1DE0">
      <w:pPr>
        <w:pStyle w:val="SingleTxt"/>
        <w:ind w:left="1740" w:hanging="476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d)</w:t>
      </w:r>
      <w:r>
        <w:tab/>
        <w:t>хронической безнаказанностью, обусловленной тем, как пров</w:t>
      </w:r>
      <w:r>
        <w:t>о</w:t>
      </w:r>
      <w:r>
        <w:t xml:space="preserve">дятся расследования, осуществляется преследование и наказываются те, кто повинен в актах насилия в отношении женщин, во всей стране.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9.3</w:t>
      </w:r>
      <w:r>
        <w:tab/>
        <w:t>В данном случае Комитет отмечает, что после даты оправдания лица, и</w:t>
      </w:r>
      <w:r>
        <w:t>з</w:t>
      </w:r>
      <w:r>
        <w:t>начально подозреваемого в убийстве Пилар Аргуэльо Трухильо, власти гос</w:t>
      </w:r>
      <w:r>
        <w:t>у</w:t>
      </w:r>
      <w:r>
        <w:t xml:space="preserve">дарства-участника, как представляется, не предприняли никаких действий для выяснения обстоятельств преступления и установления виновного, например не взяли в разработку новые направления расследования.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9.4</w:t>
      </w:r>
      <w:r>
        <w:tab/>
        <w:t>Комитет напоминает, что в соответствии с его общей рекомендацией № 19 содержащееся в статье 1 Конвенции определение дискриминации охватывает насилие в отношении женщин, то есть насилие, совершаемое над женщиной в силу того, что она — женщина, или насилие, которое оказывает на женщин н</w:t>
      </w:r>
      <w:r>
        <w:t>е</w:t>
      </w:r>
      <w:r>
        <w:t>соразмерное воздействие. Насилие в отношении женщин, затрудняющее или сводящее на нет пользование женщинами правами человека, является дискр</w:t>
      </w:r>
      <w:r>
        <w:t>и</w:t>
      </w:r>
      <w:r>
        <w:t>минацией по смыслу статьи 1 Конвенции. Эти права включают право на жизнь. В пункте e) статьи 2 Конвенции государствам-участникам предписывается принимать все соответствующие меры для ликвидации дискриминации в о</w:t>
      </w:r>
      <w:r>
        <w:t>т</w:t>
      </w:r>
      <w:r>
        <w:t>ношении женщин со стороны какого-либо лица, организации или предприятия. В соответствии с общими нормами международного права и положениями ко</w:t>
      </w:r>
      <w:r>
        <w:t>н</w:t>
      </w:r>
      <w:r>
        <w:t>кретных пактов о правах человека на государства может быть также возложена ответственность за деяния, совершаемые частными лицами, в том случае, если эти государства не проявляют должной заботы для предотвращения нарушения прав или же расследования актов насилия, наказания виновных и выплаты компенсации</w:t>
      </w:r>
      <w:r w:rsidRPr="00BC1DE0">
        <w:rPr>
          <w:vertAlign w:val="superscript"/>
        </w:rPr>
        <w:footnoteReference w:id="24"/>
      </w:r>
      <w:r w:rsidRPr="00572ABA">
        <w:t xml:space="preserve">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9.5</w:t>
      </w:r>
      <w:r>
        <w:tab/>
        <w:t>В соответствии с общей рекомендацией № 28 (2010) Комитета, каса</w:t>
      </w:r>
      <w:r>
        <w:t>ю</w:t>
      </w:r>
      <w:r>
        <w:t>щейся основных обязательств государств-участников по статье 2 Конвенции, государства-участники должны проявлять должную осмотрительность для предотвращения, расследования, судебного преследования таких актов насилия по признаку пола и наказания за их совершение (пункт 19). Если же дискрим</w:t>
      </w:r>
      <w:r>
        <w:t>и</w:t>
      </w:r>
      <w:r>
        <w:t>нация в отношении женщин сопряжена с нарушением других прав человека, в частности права на жизнь и физическую неприкосновенность в случаях, например, бытового и других форм насилия, то государства-участники обязаны возбуждать уголовное дело, предавать виновного (виновных) суду и назначать соответствующие уголовные наказания (пункт 34). Комитет также считает, что безнаказанность в случае совершения подобных преступлений в значительной степени способствует увековечению в обществе культуры одобрения самых экстремальных форм насилия в отношении женщин, благодаря чему соверш</w:t>
      </w:r>
      <w:r>
        <w:t>е</w:t>
      </w:r>
      <w:r>
        <w:t xml:space="preserve">ние подобных актов не прекращается.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9.6</w:t>
      </w:r>
      <w:r>
        <w:tab/>
        <w:t>Признавая, что обязательство государства расследовать преступления я</w:t>
      </w:r>
      <w:r>
        <w:t>в</w:t>
      </w:r>
      <w:r>
        <w:t>ляется обязательством в отношении средства, а не результата, Комитет считает, что в рассматриваемом случае государство-участник не продемонстрировало, что им сделано все возможное для выполнения своих обязательств по Конве</w:t>
      </w:r>
      <w:r>
        <w:t>н</w:t>
      </w:r>
      <w:r>
        <w:t>ции в плане расследования преступления, привлечения виновного или вино</w:t>
      </w:r>
      <w:r>
        <w:t>в</w:t>
      </w:r>
      <w:r>
        <w:t xml:space="preserve">ных к суду и назначения надлежащего уголовного наказания. Государство не смогло доказать, что в соответствии с пунктами b) и c) статьи 2 и статьей 5 в сочетании со статьей 1 Конвенции оно приняло необходимые меры для того, чтобы действовать с должной осмотрительностью, имея целью гарантировать проведение расследования и судебного разбирательства, и это привело к тому, что преступление остается безнаказанным, а авторы стали жертвами отказа в правосудии.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10.</w:t>
      </w:r>
      <w:r>
        <w:tab/>
        <w:t>Действуя на основании положений пункта 3 статьи 7 Факультативного протокола к Конвенции, Комитет постановляет, что представленные на его ра</w:t>
      </w:r>
      <w:r>
        <w:t>с</w:t>
      </w:r>
      <w:r>
        <w:t>смотрение факты свидетельствуют о нарушении прав Пилар Аргуэльо Трух</w:t>
      </w:r>
      <w:r>
        <w:t>и</w:t>
      </w:r>
      <w:r>
        <w:t>льо в соответствии с пунктами b) и с) статьи 2 и статьей 5 в сочетании со ст</w:t>
      </w:r>
      <w:r>
        <w:t>а</w:t>
      </w:r>
      <w:r>
        <w:t>тьей 1 Конвенции. Придя к такому заключению, Комитет не будет рассматр</w:t>
      </w:r>
      <w:r>
        <w:t>и</w:t>
      </w:r>
      <w:r>
        <w:t>вать жалобу авторов в силу статей 3 и 15 исходя из тех же фактов.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>11.</w:t>
      </w:r>
      <w:r>
        <w:tab/>
        <w:t xml:space="preserve">В свете вышеизложенных выводов Комитет выносит государству-участнику следующие рекомендации: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ab/>
      </w:r>
      <w:r>
        <w:tab/>
        <w:t>а)</w:t>
      </w:r>
      <w:r>
        <w:tab/>
        <w:t xml:space="preserve">в отношении авторов: </w:t>
      </w:r>
    </w:p>
    <w:p w:rsidR="00BC1DE0" w:rsidRPr="008967C4" w:rsidRDefault="00BC1DE0" w:rsidP="00BC1DE0">
      <w:pPr>
        <w:pStyle w:val="SingleTxt"/>
        <w:ind w:left="1740" w:hanging="476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возобновить расследование убийства Пилар Аргуэльо Трухильо в течение разумного периода времени, с тем чтобы выявить и устранить де-юре или де-факто препятствия, которые не позволили выяснить обсто</w:t>
      </w:r>
      <w:r>
        <w:t>я</w:t>
      </w:r>
      <w:r>
        <w:t>тельства совершения преступления и установить виновных. Это стало бы доказательством решимости государства-участника гарантировать авт</w:t>
      </w:r>
      <w:r>
        <w:t>о</w:t>
      </w:r>
      <w:r>
        <w:t xml:space="preserve">рам настоящего сообщения доступ к правосудию; </w:t>
      </w:r>
    </w:p>
    <w:p w:rsidR="00BC1DE0" w:rsidRPr="008967C4" w:rsidRDefault="00BC1DE0" w:rsidP="00BC1DE0">
      <w:pPr>
        <w:pStyle w:val="SingleTxt"/>
        <w:rPr>
          <w:sz w:val="24"/>
          <w:szCs w:val="24"/>
        </w:rPr>
      </w:pPr>
      <w:r>
        <w:tab/>
      </w:r>
      <w:r>
        <w:tab/>
        <w:t>b)</w:t>
      </w:r>
      <w:r>
        <w:tab/>
        <w:t>в целом, в соответствии с общей рекомендацией № 33 (2015) Комитета, касающейся доступа женщин к правосудию, а также в связи с его докладом в отношении Мексики, представленным согласно статье 8 Факульт</w:t>
      </w:r>
      <w:r>
        <w:t>а</w:t>
      </w:r>
      <w:r>
        <w:t>тивного протокола</w:t>
      </w:r>
      <w:r w:rsidRPr="00BC1DE0">
        <w:rPr>
          <w:vertAlign w:val="superscript"/>
        </w:rPr>
        <w:footnoteReference w:id="25"/>
      </w:r>
      <w:r>
        <w:t>:</w:t>
      </w:r>
    </w:p>
    <w:p w:rsidR="00BC1DE0" w:rsidRPr="008967C4" w:rsidRDefault="00BC1DE0" w:rsidP="00BC1DE0">
      <w:pPr>
        <w:pStyle w:val="SingleTxt"/>
        <w:ind w:left="1740" w:hanging="476"/>
        <w:rPr>
          <w:sz w:val="24"/>
          <w:szCs w:val="24"/>
        </w:rPr>
      </w:pPr>
      <w:r>
        <w:tab/>
      </w:r>
      <w:r>
        <w:tab/>
        <w:t>i)</w:t>
      </w:r>
      <w:r>
        <w:tab/>
        <w:t>гарантировать функционирование надлежащих процедур (эффекти</w:t>
      </w:r>
      <w:r>
        <w:t>в</w:t>
      </w:r>
      <w:r>
        <w:t>ных, беспристрастных и независимых) для расследования, привлечения к ответственности и наказания виновных в совершении актов насилия в о</w:t>
      </w:r>
      <w:r>
        <w:t>т</w:t>
      </w:r>
      <w:r>
        <w:t>ношении женщин, особенно в случаях феминицида</w:t>
      </w:r>
      <w:r w:rsidRPr="00BC1DE0">
        <w:rPr>
          <w:vertAlign w:val="superscript"/>
        </w:rPr>
        <w:footnoteReference w:id="26"/>
      </w:r>
      <w:r>
        <w:t>;</w:t>
      </w:r>
    </w:p>
    <w:p w:rsidR="00BC1DE0" w:rsidRPr="008967C4" w:rsidRDefault="00BC1DE0" w:rsidP="00BC1DE0">
      <w:pPr>
        <w:pStyle w:val="SingleTxt"/>
        <w:ind w:left="1740" w:hanging="476"/>
        <w:rPr>
          <w:sz w:val="24"/>
          <w:szCs w:val="24"/>
        </w:rPr>
      </w:pPr>
      <w:r>
        <w:tab/>
      </w:r>
      <w:r>
        <w:tab/>
        <w:t>ii)</w:t>
      </w:r>
      <w:r>
        <w:tab/>
        <w:t>выявлять и устранять структурные препятствия, затрудняющие функционирование судебной системы и эффективное расследование убийств женщин по признаку пола. В этой связи следует отметить, что уголовные расследования должны стать предметом постоянного судебн</w:t>
      </w:r>
      <w:r>
        <w:t>о</w:t>
      </w:r>
      <w:r>
        <w:t>го контроля, и следует не жалеть усилий для обеспечения надлежащего наказания виновных;</w:t>
      </w:r>
    </w:p>
    <w:p w:rsidR="00BC1DE0" w:rsidRDefault="00BC1DE0" w:rsidP="00BC1DE0">
      <w:pPr>
        <w:pStyle w:val="SingleTxt"/>
        <w:ind w:left="1740" w:hanging="476"/>
      </w:pPr>
      <w:r>
        <w:tab/>
      </w:r>
    </w:p>
    <w:p w:rsidR="00BC1DE0" w:rsidRPr="00BC1DE0" w:rsidRDefault="00BC1DE0" w:rsidP="00BC1DE0">
      <w:pPr>
        <w:pStyle w:val="SingleTxt"/>
        <w:ind w:left="1742" w:hanging="475"/>
      </w:pPr>
      <w:r>
        <w:br w:type="page"/>
      </w:r>
      <w:r>
        <w:tab/>
        <w:t>iii)</w:t>
      </w:r>
      <w:r>
        <w:tab/>
        <w:t>активизировать осуществление программ, направленных на поощр</w:t>
      </w:r>
      <w:r>
        <w:t>е</w:t>
      </w:r>
      <w:r>
        <w:t>ние и обеспечение эффективного обучения и подготовки всех госуда</w:t>
      </w:r>
      <w:r>
        <w:t>р</w:t>
      </w:r>
      <w:r>
        <w:t>ственных должностных лиц, участвующих в проведении расследований по делам о насилии в отношении женщин, особенно в тех случаях, когда имеет место такое жестокое насилие, как феминицид. Программы должны быть нацелены, в частности, на сотрудников полиции, прокуроров и с</w:t>
      </w:r>
      <w:r>
        <w:t>у</w:t>
      </w:r>
      <w:r>
        <w:t>дей. Содержание программ должно включать не только технические а</w:t>
      </w:r>
      <w:r>
        <w:t>с</w:t>
      </w:r>
      <w:r>
        <w:t>пекты расследований (с тем чтобы выявлять неэффективность и нед</w:t>
      </w:r>
      <w:r>
        <w:t>о</w:t>
      </w:r>
      <w:r>
        <w:t>статки процесса расследования и последующую безнаказанность), но также причины и последствия всех форм насилия в отношении женщин;</w:t>
      </w:r>
    </w:p>
    <w:p w:rsidR="00BC1DE0" w:rsidRPr="008967C4" w:rsidRDefault="00BC1DE0" w:rsidP="00BC1DE0">
      <w:pPr>
        <w:pStyle w:val="SingleTxt"/>
        <w:ind w:left="1742" w:hanging="475"/>
        <w:rPr>
          <w:sz w:val="24"/>
          <w:szCs w:val="24"/>
        </w:rPr>
      </w:pPr>
      <w:r w:rsidRPr="00BC1DE0">
        <w:tab/>
      </w:r>
      <w:r>
        <w:t>iv)</w:t>
      </w:r>
      <w:r>
        <w:tab/>
        <w:t>обеспечить правовую поддержку в доступе к правосудию и все юр</w:t>
      </w:r>
      <w:r>
        <w:t>и</w:t>
      </w:r>
      <w:r>
        <w:t>дические гарантии защиты для членов семей женщин, погибших в р</w:t>
      </w:r>
      <w:r>
        <w:t>е</w:t>
      </w:r>
      <w:r>
        <w:t>зультате актов насилия по признаку пола.</w:t>
      </w:r>
    </w:p>
    <w:p w:rsidR="00BC1DE0" w:rsidRDefault="00BC1DE0" w:rsidP="00BC1DE0">
      <w:pPr>
        <w:pStyle w:val="SingleTxt"/>
        <w:spacing w:after="0" w:line="240" w:lineRule="auto"/>
      </w:pPr>
      <w:r>
        <w:t>12.</w:t>
      </w:r>
      <w:r>
        <w:tab/>
        <w:t>В соответствии с пунктом 4 статьи 7 Факультативного протокола госуда</w:t>
      </w:r>
      <w:r>
        <w:t>р</w:t>
      </w:r>
      <w:r>
        <w:t>ство-участник надлежащим образом рассмотрит мнения Комитета, а также в</w:t>
      </w:r>
      <w:r>
        <w:t>ы</w:t>
      </w:r>
      <w:r>
        <w:t>несенные им рекомендации, если таковые имеются, и в течение шести месяцев представит Комитету письменный ответ, в том числе информацию о любых мерах, принятых с учетом мнений и рекомендаций Комитета. Государству-участнику следует также опубликовать мнения и рекомендации Комитета и обеспечить их широкое распространение в целях охвата всех соответствующих слоев общества.</w:t>
      </w:r>
    </w:p>
    <w:p w:rsidR="00BC1DE0" w:rsidRPr="00EE1471" w:rsidRDefault="00BC1DE0" w:rsidP="00BC1DE0">
      <w:pPr>
        <w:pStyle w:val="SingleTxt"/>
        <w:spacing w:after="0" w:line="240" w:lineRule="auto"/>
        <w:rPr>
          <w:szCs w:val="24"/>
          <w:lang w:val="es-ES"/>
        </w:rPr>
      </w:pPr>
      <w:r>
        <w:rPr>
          <w:noProof/>
          <w:w w:val="1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380999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1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" strokecolor="#010000" strokeweight=".25pt">
                <o:lock v:ext="edit" shapetype="f"/>
              </v:line>
            </w:pict>
          </mc:Fallback>
        </mc:AlternateContent>
      </w:r>
    </w:p>
    <w:p w:rsidR="00BC1DE0" w:rsidRPr="00BC1DE0" w:rsidRDefault="00BC1DE0" w:rsidP="00BC1DE0">
      <w:pPr>
        <w:pStyle w:val="SingleTxt"/>
        <w:rPr>
          <w:lang w:val="es-ES"/>
        </w:rPr>
      </w:pPr>
    </w:p>
    <w:sectPr w:rsidR="00BC1DE0" w:rsidRPr="00BC1DE0" w:rsidSect="00BC1DE0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9-22T16:15:00Z" w:initials="Start">
    <w:p w:rsidR="00753F56" w:rsidRPr="00BC1DE0" w:rsidRDefault="00753F56">
      <w:pPr>
        <w:pStyle w:val="CommentText"/>
        <w:rPr>
          <w:lang w:val="en-US"/>
        </w:rPr>
      </w:pPr>
      <w:r>
        <w:fldChar w:fldCharType="begin"/>
      </w:r>
      <w:r w:rsidRPr="00BC1DE0">
        <w:rPr>
          <w:rStyle w:val="CommentReference"/>
          <w:lang w:val="en-US"/>
        </w:rPr>
        <w:instrText xml:space="preserve"> </w:instrText>
      </w:r>
      <w:r w:rsidRPr="00BC1DE0">
        <w:rPr>
          <w:lang w:val="en-US"/>
        </w:rPr>
        <w:instrText>PAGE \# "'Page: '#'</w:instrText>
      </w:r>
      <w:r w:rsidRPr="00BC1DE0">
        <w:rPr>
          <w:lang w:val="en-US"/>
        </w:rPr>
        <w:br/>
        <w:instrText>'"</w:instrText>
      </w:r>
      <w:r w:rsidRPr="00BC1DE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C1DE0">
        <w:rPr>
          <w:lang w:val="en-US"/>
        </w:rPr>
        <w:t>&lt;&lt;ODS JOB NO&gt;&gt;N1727134R&lt;&lt;ODS JOB NO&gt;&gt;</w:t>
      </w:r>
    </w:p>
    <w:p w:rsidR="00753F56" w:rsidRDefault="00753F56">
      <w:pPr>
        <w:pStyle w:val="CommentText"/>
      </w:pPr>
      <w:r>
        <w:t>&lt;&lt;ODS DOC SYMBOL1&gt;&gt;CEDAW/C/67/D/75/2014&lt;&lt;ODS DOC SYMBOL1&gt;&gt;</w:t>
      </w:r>
    </w:p>
    <w:p w:rsidR="00753F56" w:rsidRDefault="00753F5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56" w:rsidRDefault="00753F56" w:rsidP="00753F56">
      <w:pPr>
        <w:spacing w:line="240" w:lineRule="auto"/>
      </w:pPr>
      <w:r>
        <w:separator/>
      </w:r>
    </w:p>
  </w:endnote>
  <w:endnote w:type="continuationSeparator" w:id="0">
    <w:p w:rsidR="00753F56" w:rsidRDefault="00753F56" w:rsidP="00753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Arial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53F56" w:rsidTr="00753F56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753F56" w:rsidRPr="00753F56" w:rsidRDefault="00753F56" w:rsidP="00753F5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1673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1B1673">
              <w:rPr>
                <w:noProof/>
              </w:rPr>
              <w:t>19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753F56" w:rsidRPr="00BC1DE0" w:rsidRDefault="00753F56" w:rsidP="00753F56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B1673">
            <w:rPr>
              <w:b w:val="0"/>
              <w:color w:val="000000"/>
              <w:sz w:val="14"/>
            </w:rPr>
            <w:t>17-14993</w:t>
          </w:r>
          <w:r>
            <w:rPr>
              <w:b w:val="0"/>
              <w:color w:val="000000"/>
              <w:sz w:val="14"/>
            </w:rPr>
            <w:fldChar w:fldCharType="end"/>
          </w:r>
          <w:r w:rsidR="00BC1DE0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753F56" w:rsidRPr="00753F56" w:rsidRDefault="00753F56" w:rsidP="00753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53F56" w:rsidTr="00753F56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753F56" w:rsidRPr="00BC1DE0" w:rsidRDefault="00753F56" w:rsidP="00753F56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B1673">
            <w:rPr>
              <w:b w:val="0"/>
              <w:color w:val="000000"/>
              <w:sz w:val="14"/>
            </w:rPr>
            <w:t>17-14993</w:t>
          </w:r>
          <w:r>
            <w:rPr>
              <w:b w:val="0"/>
              <w:color w:val="000000"/>
              <w:sz w:val="14"/>
            </w:rPr>
            <w:fldChar w:fldCharType="end"/>
          </w:r>
          <w:r w:rsidR="00BC1DE0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753F56" w:rsidRPr="00753F56" w:rsidRDefault="00753F56" w:rsidP="00753F5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1673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1B1673">
              <w:rPr>
                <w:noProof/>
              </w:rPr>
              <w:t>19</w:t>
            </w:r>
          </w:fldSimple>
        </w:p>
      </w:tc>
    </w:tr>
  </w:tbl>
  <w:p w:rsidR="00753F56" w:rsidRPr="00753F56" w:rsidRDefault="00753F56" w:rsidP="00753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753F56" w:rsidTr="00753F56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753F56" w:rsidRDefault="00753F56" w:rsidP="00753F56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78BC12DE" wp14:editId="622CD2AC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67/D/75/20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67/D/75/20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17-14993</w:t>
          </w:r>
          <w:r w:rsidR="00BC1DE0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220917    220917</w:t>
          </w:r>
        </w:p>
        <w:p w:rsidR="00753F56" w:rsidRPr="00753F56" w:rsidRDefault="00753F56" w:rsidP="00753F5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*1714993*</w:t>
          </w:r>
        </w:p>
      </w:tc>
      <w:tc>
        <w:tcPr>
          <w:tcW w:w="5028" w:type="dxa"/>
        </w:tcPr>
        <w:p w:rsidR="00753F56" w:rsidRDefault="00753F56" w:rsidP="00753F5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6C9AEC45" wp14:editId="0E67007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3F56" w:rsidRPr="00753F56" w:rsidRDefault="00753F56" w:rsidP="00753F5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56" w:rsidRPr="00BC1DE0" w:rsidRDefault="00BC1DE0" w:rsidP="00BC1DE0">
      <w:pPr>
        <w:pStyle w:val="Footer"/>
        <w:spacing w:after="80"/>
        <w:ind w:left="792"/>
      </w:pPr>
      <w:r w:rsidRPr="00BC1DE0">
        <w:t>__________________</w:t>
      </w:r>
    </w:p>
  </w:footnote>
  <w:footnote w:type="continuationSeparator" w:id="0">
    <w:p w:rsidR="00753F56" w:rsidRPr="00BC1DE0" w:rsidRDefault="00BC1DE0" w:rsidP="00BC1DE0">
      <w:pPr>
        <w:pStyle w:val="Footer"/>
        <w:spacing w:after="80"/>
        <w:ind w:left="792"/>
      </w:pPr>
      <w:r w:rsidRPr="00BC1DE0">
        <w:t>__________________</w:t>
      </w:r>
    </w:p>
  </w:footnote>
  <w:footnote w:id="1">
    <w:p w:rsidR="00BC1DE0" w:rsidRPr="00112C64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112C64">
        <w:tab/>
        <w:t>Приняты Комитетом на его шестьдесят седьмой сессии (3–21 июля 2017 года).</w:t>
      </w:r>
    </w:p>
  </w:footnote>
  <w:footnote w:id="2">
    <w:p w:rsidR="00BC1DE0" w:rsidRPr="00586B1F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86B1F">
        <w:tab/>
      </w:r>
      <w:r>
        <w:rPr>
          <w:rStyle w:val="FootnoteReference"/>
        </w:rPr>
        <w:t>**</w:t>
      </w:r>
      <w:r w:rsidRPr="00586B1F">
        <w:tab/>
      </w:r>
      <w:r>
        <w:t>В рассмотрении настоящего сообщения участвовали следующие члены Комитета: Гладис Акоста Варгас, Николь Амелин, Магалис Ароча Домингес, Гуннар Бергбю, Марион Бетел, Наэла Габр, Хилари Гбедема, Нахла Хайдар, Руфь Гальперин-Каддари, Йоко Хаяси, Лилиан Хофмайстер, Исмат Джахан, Росарио Манало, Лиа Надараиа, Патрициа Шульц, Вэньянь Сун и Айша Валл Вергес.</w:t>
      </w:r>
    </w:p>
  </w:footnote>
  <w:footnote w:id="3">
    <w:p w:rsidR="00BC1DE0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1</w:t>
      </w:r>
      <w:r>
        <w:tab/>
      </w:r>
      <w:r w:rsidRPr="005756A4">
        <w:rPr>
          <w:szCs w:val="17"/>
        </w:rPr>
        <w:t>Выступая с подобными утверждениями, авторы тем не менее не объясняют ни то, каким образом родственники убитой могли бы принимать участие в разбирательстве в соответствии с уголовным законодательством государства, ни то, какие законоположения были нарушены в этой связи.</w:t>
      </w:r>
    </w:p>
  </w:footnote>
  <w:footnote w:id="4">
    <w:p w:rsidR="00BC1DE0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Решение гласит: «Доказательства, полученные в ходе судебного разбирательства, позволяют определить, что в доказанном противоправном деянии присутствует квалифицирующий элемент преимущества (…), поскольку совершенное деяние указывает на то, что было убито лицо, в отношении которого не имелось риска быть убитым или раненым с учетом его неуязвимости, и речь идет о женщине, которая в силу своего состояния оказалась в явно невыгодном положении, чтобы прибегнуть к самообороне, тем более что она не могла никого позвать на помощь, так как место происшествия было безлюдным». В решении также отмечено, что брюки покойной были спущены до колен, а бюстгальтер был задран до шеи и что, по заключению медэкспертов, главной причиной смерти стало удушение.</w:t>
      </w:r>
    </w:p>
  </w:footnote>
  <w:footnote w:id="5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DA32ED">
        <w:rPr>
          <w:rStyle w:val="FootnoteReference"/>
          <w:szCs w:val="17"/>
        </w:rPr>
        <w:footnoteRef/>
      </w:r>
      <w:r>
        <w:t xml:space="preserve"> </w:t>
      </w:r>
      <w:r>
        <w:tab/>
        <w:t>Авторы не поясняют, в чем именно заключаются упомянутые основные следственные действия.</w:t>
      </w:r>
    </w:p>
  </w:footnote>
  <w:footnote w:id="6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Постановление, принятое в 2013 году третьим Коллегиальным судом по уголовным делам и трудовым спорам (Седьмой округ). </w:t>
      </w:r>
    </w:p>
  </w:footnote>
  <w:footnote w:id="7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Общая рекомендация № 28 (2010) Комитета, касающаяся основных обязательств государств-участников по статье 2 Конвенции, пункт 31. </w:t>
      </w:r>
    </w:p>
  </w:footnote>
  <w:footnote w:id="8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Там же, пункт 34. </w:t>
      </w:r>
    </w:p>
  </w:footnote>
  <w:footnote w:id="9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Там же. </w:t>
      </w:r>
    </w:p>
  </w:footnote>
  <w:footnote w:id="10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Государство-участник ссылается, среди прочего, на решение Межамериканского суда по правам человека в деле </w:t>
      </w:r>
      <w:r>
        <w:rPr>
          <w:i/>
          <w:iCs/>
        </w:rPr>
        <w:t>Веласкес Родригес против Гондураса</w:t>
      </w:r>
      <w:r>
        <w:t xml:space="preserve"> (решение от 29 июля 1988 года (по существу), серия C, № 4, пункт 177). </w:t>
      </w:r>
    </w:p>
  </w:footnote>
  <w:footnote w:id="11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Сообщение № </w:t>
      </w:r>
      <w:r w:rsidRPr="001B1673">
        <w:t>18/200</w:t>
      </w:r>
      <w:r>
        <w:t xml:space="preserve">8, </w:t>
      </w:r>
      <w:r>
        <w:rPr>
          <w:i/>
          <w:iCs/>
        </w:rPr>
        <w:t>Вертидо против Филиппин</w:t>
      </w:r>
      <w:r>
        <w:t xml:space="preserve">, мнения, принятые 16 июля 2010 года, пункт 8.2. </w:t>
      </w:r>
    </w:p>
  </w:footnote>
  <w:footnote w:id="12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Согласно определению апелляционной инстанции «при таком преступлении, как убийство, преимущество подразумевает превосходство, которым обладает насильник по отношению к жертве, но только при условии, что это превосходство или эта привилегия осознаются; (…) включает в себя два аспекта: первый — объективный или материальный, второй — субъективный; первый понимается как то обстоятельство, что обвиняемый обладает физическим превосходством по сравнению с женщиной; второй состоит в том, что преступник должен в полной мере осознавать свое превосходство над жертвой». </w:t>
      </w:r>
    </w:p>
  </w:footnote>
  <w:footnote w:id="13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См. общую рекомендацию № 28, пункт 35. </w:t>
      </w:r>
    </w:p>
  </w:footnote>
  <w:footnote w:id="14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Сообщение № </w:t>
      </w:r>
      <w:r w:rsidRPr="001B1673">
        <w:t>28/201</w:t>
      </w:r>
      <w:r>
        <w:t xml:space="preserve">0, </w:t>
      </w:r>
      <w:r>
        <w:rPr>
          <w:i/>
          <w:iCs/>
        </w:rPr>
        <w:t>Р.К.Б.</w:t>
      </w:r>
      <w:r>
        <w:t xml:space="preserve"> </w:t>
      </w:r>
      <w:r>
        <w:rPr>
          <w:i/>
          <w:iCs/>
        </w:rPr>
        <w:t>против Турции</w:t>
      </w:r>
      <w:r>
        <w:t xml:space="preserve">, мнения, принятые 24 февраля 2012 года, пункт 8.2. </w:t>
      </w:r>
    </w:p>
  </w:footnote>
  <w:footnote w:id="15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Там же, пункт 8.8; см. также сообщение № </w:t>
      </w:r>
      <w:r w:rsidRPr="001B1673">
        <w:t>18/200</w:t>
      </w:r>
      <w:r>
        <w:t xml:space="preserve">8, пункт 8.4. </w:t>
      </w:r>
    </w:p>
  </w:footnote>
  <w:footnote w:id="16">
    <w:p w:rsidR="00BC1DE0" w:rsidRPr="00112C64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E72A35">
        <w:tab/>
      </w:r>
      <w:r w:rsidRPr="00E72A35">
        <w:rPr>
          <w:rStyle w:val="FootnoteReference"/>
        </w:rPr>
        <w:footnoteRef/>
      </w:r>
      <w:r w:rsidRPr="00112C64">
        <w:rPr>
          <w:lang w:val="fr-FR"/>
        </w:rPr>
        <w:t xml:space="preserve"> </w:t>
      </w:r>
      <w:r w:rsidRPr="00112C64">
        <w:rPr>
          <w:lang w:val="fr-FR"/>
        </w:rPr>
        <w:tab/>
      </w:r>
      <w:r>
        <w:t>Сообщение</w:t>
      </w:r>
      <w:r w:rsidRPr="00112C64">
        <w:rPr>
          <w:lang w:val="fr-FR"/>
        </w:rPr>
        <w:t xml:space="preserve"> № </w:t>
      </w:r>
      <w:r w:rsidRPr="001B1673">
        <w:rPr>
          <w:lang w:val="fr-FR"/>
        </w:rPr>
        <w:t>18/200</w:t>
      </w:r>
      <w:r w:rsidRPr="00112C64">
        <w:rPr>
          <w:lang w:val="fr-FR"/>
        </w:rPr>
        <w:t xml:space="preserve">8, </w:t>
      </w:r>
      <w:r>
        <w:t>пункт</w:t>
      </w:r>
      <w:r w:rsidRPr="00112C64">
        <w:rPr>
          <w:lang w:val="fr-FR"/>
        </w:rPr>
        <w:t xml:space="preserve"> 8.4. </w:t>
      </w:r>
    </w:p>
  </w:footnote>
  <w:footnote w:id="17">
    <w:p w:rsidR="00BC1DE0" w:rsidRPr="00112C64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112C64">
        <w:rPr>
          <w:lang w:val="fr-FR"/>
        </w:rPr>
        <w:tab/>
      </w:r>
      <w:r w:rsidRPr="00E72A35">
        <w:rPr>
          <w:rStyle w:val="FootnoteReference"/>
        </w:rPr>
        <w:footnoteRef/>
      </w:r>
      <w:r w:rsidRPr="00112C64">
        <w:rPr>
          <w:lang w:val="fr-FR"/>
        </w:rPr>
        <w:t xml:space="preserve"> </w:t>
      </w:r>
      <w:r w:rsidRPr="00112C64">
        <w:rPr>
          <w:lang w:val="fr-FR"/>
        </w:rPr>
        <w:tab/>
        <w:t xml:space="preserve">Corte Interamericana de Derechos Humanos, caso </w:t>
      </w:r>
      <w:r w:rsidRPr="00112C64">
        <w:rPr>
          <w:i/>
          <w:iCs/>
          <w:lang w:val="fr-FR"/>
        </w:rPr>
        <w:t>Tarazona Arrieta y otros vs. Perú</w:t>
      </w:r>
      <w:r w:rsidRPr="00112C64">
        <w:rPr>
          <w:lang w:val="fr-FR"/>
        </w:rPr>
        <w:t xml:space="preserve">, sentencia de 15 de octubre de 2014, pág. 31. </w:t>
      </w:r>
    </w:p>
  </w:footnote>
  <w:footnote w:id="18">
    <w:p w:rsidR="00BC1DE0" w:rsidRPr="00112C64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112C64">
        <w:rPr>
          <w:lang w:val="fr-FR"/>
        </w:rPr>
        <w:tab/>
      </w:r>
      <w:r w:rsidRPr="00E72A35">
        <w:rPr>
          <w:rStyle w:val="FootnoteReference"/>
        </w:rPr>
        <w:footnoteRef/>
      </w:r>
      <w:r w:rsidRPr="00112C64">
        <w:rPr>
          <w:lang w:val="fr-FR"/>
        </w:rPr>
        <w:t xml:space="preserve"> </w:t>
      </w:r>
      <w:r w:rsidRPr="00112C64">
        <w:rPr>
          <w:lang w:val="fr-FR"/>
        </w:rPr>
        <w:tab/>
        <w:t xml:space="preserve">Ibid. </w:t>
      </w:r>
    </w:p>
  </w:footnote>
  <w:footnote w:id="19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12C64">
        <w:rPr>
          <w:lang w:val="fr-FR"/>
        </w:rPr>
        <w:tab/>
      </w:r>
      <w:r w:rsidRPr="00E72A35">
        <w:rPr>
          <w:rStyle w:val="FootnoteReference"/>
        </w:rPr>
        <w:footnoteRef/>
      </w:r>
      <w:r w:rsidRPr="00112C64">
        <w:rPr>
          <w:lang w:val="fr-FR"/>
        </w:rPr>
        <w:t xml:space="preserve"> </w:t>
      </w:r>
      <w:r w:rsidRPr="00112C64">
        <w:rPr>
          <w:lang w:val="fr-FR"/>
        </w:rPr>
        <w:tab/>
        <w:t xml:space="preserve">Corte Interamericana de Derechos Humanos, caso </w:t>
      </w:r>
      <w:r w:rsidRPr="00112C64">
        <w:rPr>
          <w:i/>
          <w:iCs/>
          <w:lang w:val="fr-FR"/>
        </w:rPr>
        <w:t>Tarazona Arrieta y otros vs. Perú</w:t>
      </w:r>
      <w:r w:rsidRPr="00112C64">
        <w:rPr>
          <w:lang w:val="fr-FR"/>
        </w:rPr>
        <w:t xml:space="preserve">, sentencia de 15 de octubre de 2014, pág. 31; Corte Interamericana de Derechos Humanos, caso </w:t>
      </w:r>
      <w:r w:rsidRPr="00112C64">
        <w:rPr>
          <w:i/>
          <w:iCs/>
          <w:lang w:val="fr-FR"/>
        </w:rPr>
        <w:t>Castillo González y otros vs. Venezuela</w:t>
      </w:r>
      <w:r w:rsidRPr="00112C64">
        <w:rPr>
          <w:iCs/>
          <w:lang w:val="fr-FR"/>
        </w:rPr>
        <w:t>,</w:t>
      </w:r>
      <w:r w:rsidRPr="00112C64">
        <w:rPr>
          <w:lang w:val="fr-FR"/>
        </w:rPr>
        <w:t xml:space="preserve"> sentencia de 27 de noviembre de 2012 (fondo), serie C, núm. 256, párr. </w:t>
      </w:r>
      <w:r>
        <w:t xml:space="preserve">153; </w:t>
      </w:r>
    </w:p>
  </w:footnote>
  <w:footnote w:id="20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Сообщение № </w:t>
      </w:r>
      <w:r w:rsidRPr="001B1673">
        <w:t>18/200</w:t>
      </w:r>
      <w:r>
        <w:t xml:space="preserve">8, пункт 8.2. </w:t>
      </w:r>
    </w:p>
  </w:footnote>
  <w:footnote w:id="21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Данное преступление было включено в вышеупомянутый Закон от 30 июля 2013 года. </w:t>
      </w:r>
    </w:p>
  </w:footnote>
  <w:footnote w:id="22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Сообщение № </w:t>
      </w:r>
      <w:r w:rsidRPr="001B1673">
        <w:t>34/201</w:t>
      </w:r>
      <w:r>
        <w:t>1,</w:t>
      </w:r>
      <w:r>
        <w:rPr>
          <w:i/>
          <w:iCs/>
        </w:rPr>
        <w:t xml:space="preserve"> Р.П.Б. против Филиппин</w:t>
      </w:r>
      <w:r>
        <w:t xml:space="preserve">, мнения, принятые 21 февраля 2014 года, пункт 7.5; и сообщение № </w:t>
      </w:r>
      <w:r w:rsidRPr="001B1673">
        <w:t>30/201</w:t>
      </w:r>
      <w:r>
        <w:t xml:space="preserve">1, </w:t>
      </w:r>
      <w:r>
        <w:rPr>
          <w:i/>
          <w:iCs/>
        </w:rPr>
        <w:t>М.С. против Филиппин</w:t>
      </w:r>
      <w:r>
        <w:t xml:space="preserve">, решение о неприемлемости, принятое 16 июля 2014 года, пункт 6.4. </w:t>
      </w:r>
    </w:p>
  </w:footnote>
  <w:footnote w:id="23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hyperlink r:id="rId1" w:history="1">
        <w:r w:rsidRPr="001B1673">
          <w:rPr>
            <w:rStyle w:val="Hyperlink"/>
          </w:rPr>
          <w:tab/>
          <w:t>CEDAW/C/MEX/CO/7-8</w:t>
        </w:r>
      </w:hyperlink>
      <w:r>
        <w:t xml:space="preserve">, заключительные замечания по сводному, седьмому и восьмому, периодическому докладу Мексики, 7 августа 2012 года. </w:t>
      </w:r>
    </w:p>
  </w:footnote>
  <w:footnote w:id="24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 xml:space="preserve"> </w:t>
      </w:r>
      <w:r>
        <w:tab/>
        <w:t xml:space="preserve">Общая рекомендация № 19 (1992) Комитета, касающаяся насилия в отношении женщин, пункты 6, 7 и 9. </w:t>
      </w:r>
    </w:p>
  </w:footnote>
  <w:footnote w:id="25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E72A35">
        <w:rPr>
          <w:rStyle w:val="FootnoteReference"/>
        </w:rPr>
        <w:footnoteRef/>
      </w:r>
      <w:r>
        <w:tab/>
      </w:r>
      <w:hyperlink r:id="rId2" w:history="1">
        <w:r w:rsidRPr="001B1673">
          <w:rPr>
            <w:rStyle w:val="Hyperlink"/>
          </w:rPr>
          <w:t>CEDAW/C/2005/OP.8/MEXICO</w:t>
        </w:r>
      </w:hyperlink>
      <w:r>
        <w:t>.</w:t>
      </w:r>
    </w:p>
  </w:footnote>
  <w:footnote w:id="26">
    <w:p w:rsidR="00BC1DE0" w:rsidRPr="00E72A35" w:rsidRDefault="00BC1DE0" w:rsidP="00BC1D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72A35">
        <w:tab/>
      </w:r>
      <w:r w:rsidRPr="00E72A35">
        <w:rPr>
          <w:rStyle w:val="FootnoteReference"/>
        </w:rPr>
        <w:footnoteRef/>
      </w:r>
      <w:r>
        <w:tab/>
        <w:t>См. общую рекомендацию № 35, касающуюся гендерного насилия в отношении женщин, обновленную от 14 июля 2017 года, пункт 44.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53F56" w:rsidTr="00753F5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53F56" w:rsidRPr="00753F56" w:rsidRDefault="00753F56" w:rsidP="00753F5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B1673">
            <w:rPr>
              <w:b/>
            </w:rPr>
            <w:t>CEDAW/C/67/D/75/2014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753F56" w:rsidRDefault="00753F56" w:rsidP="00753F56">
          <w:pPr>
            <w:pStyle w:val="Header"/>
          </w:pPr>
        </w:p>
      </w:tc>
    </w:tr>
  </w:tbl>
  <w:p w:rsidR="00753F56" w:rsidRPr="00753F56" w:rsidRDefault="00753F56" w:rsidP="00753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53F56" w:rsidTr="00753F5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53F56" w:rsidRDefault="00753F56" w:rsidP="00753F56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753F56" w:rsidRPr="00753F56" w:rsidRDefault="00753F56" w:rsidP="00753F5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B1673">
            <w:rPr>
              <w:b/>
            </w:rPr>
            <w:t>CEDAW/C/67/D/75/2014</w:t>
          </w:r>
          <w:r>
            <w:rPr>
              <w:b/>
            </w:rPr>
            <w:fldChar w:fldCharType="end"/>
          </w:r>
        </w:p>
      </w:tc>
    </w:tr>
  </w:tbl>
  <w:p w:rsidR="00753F56" w:rsidRPr="00753F56" w:rsidRDefault="00753F56" w:rsidP="00753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753F56" w:rsidTr="00753F56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53F56" w:rsidRPr="00753F56" w:rsidRDefault="00753F56" w:rsidP="00753F5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53F56" w:rsidRDefault="00753F56" w:rsidP="00753F56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53F56" w:rsidRPr="00753F56" w:rsidRDefault="00753F56" w:rsidP="00753F5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/C/67/D/75/2014</w:t>
          </w:r>
        </w:p>
      </w:tc>
    </w:tr>
    <w:tr w:rsidR="00753F56" w:rsidRPr="00BC1DE0" w:rsidTr="00753F5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3F56" w:rsidRPr="00753F56" w:rsidRDefault="00753F56" w:rsidP="00753F5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63F73EAB" wp14:editId="1F2C120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3F56" w:rsidRPr="00753F56" w:rsidRDefault="00753F56" w:rsidP="00753F5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3F56" w:rsidRPr="00753F56" w:rsidRDefault="00753F56" w:rsidP="00753F56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3F56" w:rsidRPr="00BC1DE0" w:rsidRDefault="00753F56" w:rsidP="00753F56">
          <w:pPr>
            <w:pStyle w:val="Distribution"/>
            <w:rPr>
              <w:color w:val="000000"/>
              <w:lang w:val="en-US"/>
            </w:rPr>
          </w:pPr>
          <w:r w:rsidRPr="00BC1DE0">
            <w:rPr>
              <w:color w:val="000000"/>
              <w:lang w:val="en-US"/>
            </w:rPr>
            <w:t>Distr.: General</w:t>
          </w:r>
        </w:p>
        <w:p w:rsidR="00753F56" w:rsidRPr="00BC1DE0" w:rsidRDefault="00BC1DE0" w:rsidP="00753F5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29</w:t>
          </w:r>
          <w:r w:rsidR="00753F56" w:rsidRPr="00BC1DE0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August</w:t>
          </w:r>
          <w:r w:rsidR="00753F56" w:rsidRPr="00BC1DE0">
            <w:rPr>
              <w:color w:val="000000"/>
              <w:lang w:val="en-US"/>
            </w:rPr>
            <w:t xml:space="preserve"> 2017</w:t>
          </w:r>
        </w:p>
        <w:p w:rsidR="00753F56" w:rsidRPr="00BC1DE0" w:rsidRDefault="00753F56" w:rsidP="00753F56">
          <w:pPr>
            <w:rPr>
              <w:color w:val="000000"/>
              <w:lang w:val="en-US"/>
            </w:rPr>
          </w:pPr>
          <w:r w:rsidRPr="00BC1DE0">
            <w:rPr>
              <w:color w:val="000000"/>
              <w:lang w:val="en-US"/>
            </w:rPr>
            <w:t>Russian</w:t>
          </w:r>
        </w:p>
        <w:p w:rsidR="00753F56" w:rsidRPr="00BC1DE0" w:rsidRDefault="00753F56" w:rsidP="00753F56">
          <w:pPr>
            <w:pStyle w:val="Original"/>
            <w:rPr>
              <w:color w:val="000000"/>
              <w:lang w:val="en-US"/>
            </w:rPr>
          </w:pPr>
          <w:r w:rsidRPr="00BC1DE0">
            <w:rPr>
              <w:color w:val="000000"/>
              <w:lang w:val="en-US"/>
            </w:rPr>
            <w:t>Original: Spanish</w:t>
          </w:r>
        </w:p>
        <w:p w:rsidR="00753F56" w:rsidRPr="00BC1DE0" w:rsidRDefault="00753F56" w:rsidP="00753F56">
          <w:pPr>
            <w:rPr>
              <w:lang w:val="en-US"/>
            </w:rPr>
          </w:pPr>
        </w:p>
      </w:tc>
    </w:tr>
  </w:tbl>
  <w:p w:rsidR="00753F56" w:rsidRPr="00BC1DE0" w:rsidRDefault="00753F56" w:rsidP="00753F5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GrammaticalErrors/>
  <w:revisionView w:markup="0" w:inkAnnotations="0"/>
  <w:defaultTabStop w:val="720"/>
  <w:autoHyphenation/>
  <w:hyphenationZone w:val="220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4993*"/>
    <w:docVar w:name="CreationDt" w:val="22/09/2017 4:15: PM"/>
    <w:docVar w:name="DocCategory" w:val="Doc"/>
    <w:docVar w:name="DocType" w:val="Final"/>
    <w:docVar w:name="DutyStation" w:val="New York"/>
    <w:docVar w:name="FooterJN" w:val="17-14993"/>
    <w:docVar w:name="jobn" w:val="17-14993 (R)"/>
    <w:docVar w:name="jobnDT" w:val="17-14993 (R)   220917"/>
    <w:docVar w:name="jobnDTDT" w:val="17-14993 (R)   220917   220917"/>
    <w:docVar w:name="JobNo" w:val="1714993R"/>
    <w:docVar w:name="JobNo2" w:val="1727134R"/>
    <w:docVar w:name="LocalDrive" w:val="0"/>
    <w:docVar w:name="OandT" w:val=" "/>
    <w:docVar w:name="sss1" w:val="CEDAW/C/67/D/75/2014"/>
    <w:docVar w:name="sss2" w:val="-"/>
    <w:docVar w:name="Symbol1" w:val="CEDAW/C/67/D/75/2014"/>
    <w:docVar w:name="Symbol2" w:val="-"/>
  </w:docVars>
  <w:rsids>
    <w:rsidRoot w:val="00E5743B"/>
    <w:rsid w:val="001B0786"/>
    <w:rsid w:val="001B1673"/>
    <w:rsid w:val="00215A7D"/>
    <w:rsid w:val="003807EF"/>
    <w:rsid w:val="0038495D"/>
    <w:rsid w:val="004275D7"/>
    <w:rsid w:val="005644C2"/>
    <w:rsid w:val="00571999"/>
    <w:rsid w:val="005A2266"/>
    <w:rsid w:val="005B58D8"/>
    <w:rsid w:val="00643F79"/>
    <w:rsid w:val="006B0972"/>
    <w:rsid w:val="006D4969"/>
    <w:rsid w:val="00705A84"/>
    <w:rsid w:val="00753F56"/>
    <w:rsid w:val="008E0493"/>
    <w:rsid w:val="009F077A"/>
    <w:rsid w:val="00A72FF5"/>
    <w:rsid w:val="00AA2C6C"/>
    <w:rsid w:val="00BC1DE0"/>
    <w:rsid w:val="00C93FEA"/>
    <w:rsid w:val="00CA4BB0"/>
    <w:rsid w:val="00DD4D06"/>
    <w:rsid w:val="00E25037"/>
    <w:rsid w:val="00E5743B"/>
    <w:rsid w:val="00E720E8"/>
    <w:rsid w:val="00F63321"/>
    <w:rsid w:val="00F81CC1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2"/>
    <w:lsdException w:name="footer" w:uiPriority="2"/>
    <w:lsdException w:name="caption" w:uiPriority="35" w:qFormat="1"/>
    <w:lsdException w:name="footnote reference" w:uiPriority="0" w:qFormat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93FE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C93FE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93FE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FE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C93FE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C93FE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93FE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C93FE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93FE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93FE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C93FE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93FE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93FE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C93FE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C93FE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93FEA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C93FE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C93FEA"/>
    <w:pPr>
      <w:keepNext/>
      <w:keepLines/>
      <w:spacing w:line="240" w:lineRule="exact"/>
      <w:ind w:right="504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C93FEA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93FEA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C93FEA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C93FE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C93F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C93FE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C93FE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C93FE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C93FEA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aliases w:val="4_G"/>
    <w:basedOn w:val="DefaultParagraphFont"/>
    <w:qFormat/>
    <w:rsid w:val="00C93F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C93FE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93FE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C93FE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C93FEA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C93FE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C93FE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C93FE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C93FE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C93FEA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C93FEA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C93FEA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C93FEA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C93FEA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C93FEA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C93FEA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C93FEA"/>
    <w:rPr>
      <w:szCs w:val="20"/>
    </w:rPr>
  </w:style>
  <w:style w:type="paragraph" w:customStyle="1" w:styleId="Publication">
    <w:name w:val="Publication"/>
    <w:basedOn w:val="Normal"/>
    <w:next w:val="Normal"/>
    <w:qFormat/>
    <w:rsid w:val="00C93FEA"/>
  </w:style>
  <w:style w:type="paragraph" w:customStyle="1" w:styleId="ReleaseDate">
    <w:name w:val="ReleaseDate"/>
    <w:basedOn w:val="Normal"/>
    <w:next w:val="Normal"/>
    <w:qFormat/>
    <w:rsid w:val="00C93FEA"/>
    <w:rPr>
      <w:szCs w:val="20"/>
    </w:rPr>
  </w:style>
  <w:style w:type="paragraph" w:customStyle="1" w:styleId="Small">
    <w:name w:val="Small"/>
    <w:basedOn w:val="Normal"/>
    <w:next w:val="Normal"/>
    <w:qFormat/>
    <w:rsid w:val="00C93FE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93FE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C93FE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C93FE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C93FE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F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BC1DE0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B167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2"/>
    <w:lsdException w:name="footer" w:uiPriority="2"/>
    <w:lsdException w:name="caption" w:uiPriority="35" w:qFormat="1"/>
    <w:lsdException w:name="footnote reference" w:uiPriority="0" w:qFormat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93FE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C93FE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93FE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FE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C93FE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C93FE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93FE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C93FE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93FE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93FE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C93FE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93FE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93FE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C93FE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C93FE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93FEA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C93FE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C93FEA"/>
    <w:pPr>
      <w:keepNext/>
      <w:keepLines/>
      <w:spacing w:line="240" w:lineRule="exact"/>
      <w:ind w:right="504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C93FEA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93FEA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C93FEA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C93FE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C93F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C93FE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C93FE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C93FE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C93FEA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aliases w:val="4_G"/>
    <w:basedOn w:val="DefaultParagraphFont"/>
    <w:qFormat/>
    <w:rsid w:val="00C93F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C93FE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93FE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C93FE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C93FEA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C93FE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C93FE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C93FE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C93FE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C93FEA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C93FEA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C93FEA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C93FEA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C93FEA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C93FEA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C93FEA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C93FEA"/>
    <w:rPr>
      <w:szCs w:val="20"/>
    </w:rPr>
  </w:style>
  <w:style w:type="paragraph" w:customStyle="1" w:styleId="Publication">
    <w:name w:val="Publication"/>
    <w:basedOn w:val="Normal"/>
    <w:next w:val="Normal"/>
    <w:qFormat/>
    <w:rsid w:val="00C93FEA"/>
  </w:style>
  <w:style w:type="paragraph" w:customStyle="1" w:styleId="ReleaseDate">
    <w:name w:val="ReleaseDate"/>
    <w:basedOn w:val="Normal"/>
    <w:next w:val="Normal"/>
    <w:qFormat/>
    <w:rsid w:val="00C93FEA"/>
    <w:rPr>
      <w:szCs w:val="20"/>
    </w:rPr>
  </w:style>
  <w:style w:type="paragraph" w:customStyle="1" w:styleId="Small">
    <w:name w:val="Small"/>
    <w:basedOn w:val="Normal"/>
    <w:next w:val="Normal"/>
    <w:qFormat/>
    <w:rsid w:val="00C93FE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93FE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C93FE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C93FE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C93FE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F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BC1DE0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B167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docs.org/ru/CEDAW/C/2005/OP.8/MEXICO" TargetMode="External"/><Relationship Id="rId1" Type="http://schemas.openxmlformats.org/officeDocument/2006/relationships/hyperlink" Target="https://undocs.org/ru/%09CEDAW/C/MEX/CO/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7198</Words>
  <Characters>49458</Characters>
  <Application>Microsoft Office Word</Application>
  <DocSecurity>0</DocSecurity>
  <Lines>883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Malik</dc:creator>
  <cp:lastModifiedBy>Maria Malik</cp:lastModifiedBy>
  <cp:revision>3</cp:revision>
  <cp:lastPrinted>2017-09-22T20:21:00Z</cp:lastPrinted>
  <dcterms:created xsi:type="dcterms:W3CDTF">2017-09-22T20:19:00Z</dcterms:created>
  <dcterms:modified xsi:type="dcterms:W3CDTF">2017-09-22T20:22:00Z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1714993R</vt:lpwstr>
  </property>
  <property fmtid="{D5CDD505-2E9C-101B-9397-08002B2CF9AE}" pid="3" name="ODSRefJobNo">
    <vt:lpwstr>1727134R</vt:lpwstr>
  </property>
  <property fmtid="{D5CDD505-2E9C-101B-9397-08002B2CF9AE}" pid="4" name="Symbol1">
    <vt:lpwstr>CEDAW/C/67/D/75/2014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</vt:lpwstr>
  </property>
  <property fmtid="{D5CDD505-2E9C-101B-9397-08002B2CF9AE}" pid="8" name="Language">
    <vt:lpwstr>Russian</vt:lpwstr>
  </property>
  <property fmtid="{D5CDD505-2E9C-101B-9397-08002B2CF9AE}" pid="9" name="Title1">
    <vt:lpwstr>		Мнения, принятые Комитетом в соответствии с пунктом 4 статьи 7 Факультативного протокола, в отношении сообщения № 75/2014*,**</vt:lpwstr>
  </property>
  <property fmtid="{D5CDD505-2E9C-101B-9397-08002B2CF9AE}" pid="10" name="Comment">
    <vt:lpwstr/>
  </property>
  <property fmtid="{D5CDD505-2E9C-101B-9397-08002B2CF9AE}" pid="11" name="DraftPages">
    <vt:lpwstr> 19</vt:lpwstr>
  </property>
  <property fmtid="{D5CDD505-2E9C-101B-9397-08002B2CF9AE}" pid="12" name="Operator">
    <vt:lpwstr>MALIK</vt:lpwstr>
  </property>
</Properties>
</file>