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64" w:rsidRDefault="008B7364" w:rsidP="008B7364">
      <w:pPr>
        <w:spacing w:line="60" w:lineRule="exact"/>
        <w:rPr>
          <w:color w:val="010000"/>
          <w:sz w:val="6"/>
        </w:rPr>
        <w:sectPr w:rsidR="008B7364" w:rsidSect="008B73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294265" w:rsidRPr="00301875" w:rsidRDefault="00294265" w:rsidP="005A760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</w:rPr>
      </w:pPr>
      <w:r w:rsidRPr="00301875">
        <w:rPr>
          <w:w w:val="100"/>
        </w:rPr>
        <w:t>Комитет по ликвидации дискриминации</w:t>
      </w:r>
      <w:r w:rsidRPr="00301875">
        <w:rPr>
          <w:w w:val="100"/>
        </w:rPr>
        <w:br/>
        <w:t>в отношении женщин</w:t>
      </w:r>
    </w:p>
    <w:p w:rsidR="00294265" w:rsidRPr="00301875" w:rsidRDefault="00294265" w:rsidP="00294265">
      <w:pPr>
        <w:pStyle w:val="SingleTxt"/>
        <w:spacing w:after="0" w:line="120" w:lineRule="exact"/>
        <w:rPr>
          <w:spacing w:val="0"/>
          <w:w w:val="100"/>
          <w:kern w:val="0"/>
          <w:sz w:val="10"/>
        </w:rPr>
      </w:pPr>
    </w:p>
    <w:p w:rsidR="00294265" w:rsidRDefault="00294265" w:rsidP="00294265">
      <w:pPr>
        <w:pStyle w:val="SingleTxt"/>
        <w:spacing w:after="0" w:line="120" w:lineRule="exact"/>
        <w:rPr>
          <w:spacing w:val="0"/>
          <w:w w:val="100"/>
          <w:kern w:val="0"/>
          <w:sz w:val="10"/>
          <w:lang w:val="en-US"/>
        </w:rPr>
      </w:pPr>
    </w:p>
    <w:p w:rsidR="00DA794D" w:rsidRPr="00DA794D" w:rsidRDefault="00DA794D" w:rsidP="00294265">
      <w:pPr>
        <w:pStyle w:val="SingleTxt"/>
        <w:spacing w:after="0" w:line="120" w:lineRule="exact"/>
        <w:rPr>
          <w:spacing w:val="0"/>
          <w:w w:val="100"/>
          <w:kern w:val="0"/>
          <w:sz w:val="10"/>
          <w:lang w:val="en-US"/>
        </w:rPr>
      </w:pPr>
    </w:p>
    <w:p w:rsidR="00294265" w:rsidRPr="00301875" w:rsidRDefault="00294265" w:rsidP="005A760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301875">
        <w:rPr>
          <w:w w:val="100"/>
        </w:rPr>
        <w:tab/>
      </w:r>
      <w:r w:rsidRPr="00301875">
        <w:rPr>
          <w:w w:val="100"/>
        </w:rPr>
        <w:tab/>
        <w:t>Сообщение № 51/2013</w:t>
      </w:r>
    </w:p>
    <w:p w:rsidR="00294265" w:rsidRPr="00301875" w:rsidRDefault="00294265" w:rsidP="00294265">
      <w:pPr>
        <w:pStyle w:val="SingleTxt"/>
        <w:spacing w:after="0" w:line="120" w:lineRule="exact"/>
        <w:rPr>
          <w:spacing w:val="0"/>
          <w:w w:val="100"/>
          <w:kern w:val="0"/>
          <w:sz w:val="10"/>
        </w:rPr>
      </w:pPr>
    </w:p>
    <w:p w:rsidR="00294265" w:rsidRPr="00301875" w:rsidRDefault="00294265" w:rsidP="00294265">
      <w:pPr>
        <w:pStyle w:val="SingleTxt"/>
        <w:spacing w:after="0" w:line="120" w:lineRule="exact"/>
        <w:rPr>
          <w:spacing w:val="0"/>
          <w:w w:val="100"/>
          <w:kern w:val="0"/>
          <w:sz w:val="10"/>
        </w:rPr>
      </w:pPr>
    </w:p>
    <w:p w:rsidR="00294265" w:rsidRPr="00301875" w:rsidRDefault="00294265" w:rsidP="005A76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301875">
        <w:rPr>
          <w:w w:val="100"/>
        </w:rPr>
        <w:tab/>
      </w:r>
      <w:r w:rsidRPr="00301875">
        <w:rPr>
          <w:w w:val="100"/>
        </w:rPr>
        <w:tab/>
        <w:t>Решение, принятое Комитетом на его шестидесятой сессии (16 февраля</w:t>
      </w:r>
      <w:r w:rsidR="005A7602">
        <w:rPr>
          <w:w w:val="100"/>
        </w:rPr>
        <w:t xml:space="preserve"> — </w:t>
      </w:r>
      <w:r w:rsidRPr="00301875">
        <w:rPr>
          <w:w w:val="100"/>
        </w:rPr>
        <w:t>6 марта 2015 года)</w:t>
      </w:r>
    </w:p>
    <w:p w:rsidR="00294265" w:rsidRPr="00301875" w:rsidRDefault="00294265" w:rsidP="00294265">
      <w:pPr>
        <w:pStyle w:val="SingleTxt"/>
        <w:spacing w:after="0" w:line="120" w:lineRule="exact"/>
        <w:rPr>
          <w:spacing w:val="0"/>
          <w:w w:val="100"/>
          <w:kern w:val="0"/>
          <w:sz w:val="10"/>
        </w:rPr>
      </w:pPr>
    </w:p>
    <w:p w:rsidR="00294265" w:rsidRPr="00301875" w:rsidRDefault="00294265" w:rsidP="00294265">
      <w:pPr>
        <w:pStyle w:val="SingleTxt"/>
        <w:spacing w:after="0" w:line="120" w:lineRule="exact"/>
        <w:rPr>
          <w:spacing w:val="0"/>
          <w:w w:val="100"/>
          <w:kern w:val="0"/>
          <w:sz w:val="10"/>
        </w:rPr>
      </w:pPr>
    </w:p>
    <w:tbl>
      <w:tblPr>
        <w:tblW w:w="7371" w:type="dxa"/>
        <w:tblInd w:w="1304" w:type="dxa"/>
        <w:tblLayout w:type="fixed"/>
        <w:tblCellMar>
          <w:left w:w="28" w:type="dxa"/>
          <w:right w:w="28" w:type="dxa"/>
        </w:tblCellMar>
        <w:tblLook w:val="05E0"/>
      </w:tblPr>
      <w:tblGrid>
        <w:gridCol w:w="3544"/>
        <w:gridCol w:w="3827"/>
      </w:tblGrid>
      <w:tr w:rsidR="00294265" w:rsidRPr="00301875" w:rsidTr="00853596">
        <w:tc>
          <w:tcPr>
            <w:tcW w:w="3544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i/>
                <w:iCs/>
                <w:spacing w:val="0"/>
                <w:w w:val="100"/>
                <w:kern w:val="0"/>
              </w:rPr>
            </w:pPr>
            <w:r w:rsidRPr="00301875">
              <w:rPr>
                <w:i/>
                <w:iCs/>
                <w:spacing w:val="0"/>
                <w:w w:val="100"/>
                <w:kern w:val="0"/>
              </w:rPr>
              <w:t>Представлено:</w:t>
            </w:r>
          </w:p>
        </w:tc>
        <w:tc>
          <w:tcPr>
            <w:tcW w:w="3827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spacing w:val="0"/>
                <w:w w:val="100"/>
                <w:kern w:val="0"/>
              </w:rPr>
            </w:pPr>
            <w:r w:rsidRPr="00301875">
              <w:rPr>
                <w:spacing w:val="0"/>
                <w:w w:val="100"/>
                <w:kern w:val="0"/>
              </w:rPr>
              <w:t>И.В. (представлена адвокатом Нильсом-Эриком Хансеном)</w:t>
            </w:r>
          </w:p>
        </w:tc>
      </w:tr>
      <w:tr w:rsidR="00294265" w:rsidRPr="00301875" w:rsidTr="00853596">
        <w:tc>
          <w:tcPr>
            <w:tcW w:w="3544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i/>
                <w:iCs/>
                <w:spacing w:val="0"/>
                <w:w w:val="100"/>
                <w:kern w:val="0"/>
              </w:rPr>
            </w:pPr>
            <w:r w:rsidRPr="00301875">
              <w:rPr>
                <w:i/>
                <w:iCs/>
                <w:spacing w:val="0"/>
                <w:w w:val="100"/>
                <w:kern w:val="0"/>
              </w:rPr>
              <w:t>Предполагаемая жертва:</w:t>
            </w:r>
          </w:p>
        </w:tc>
        <w:tc>
          <w:tcPr>
            <w:tcW w:w="3827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spacing w:val="0"/>
                <w:w w:val="100"/>
                <w:kern w:val="0"/>
              </w:rPr>
            </w:pPr>
            <w:r w:rsidRPr="00301875">
              <w:rPr>
                <w:spacing w:val="0"/>
                <w:w w:val="100"/>
                <w:kern w:val="0"/>
              </w:rPr>
              <w:t>автор сообщения</w:t>
            </w:r>
          </w:p>
        </w:tc>
      </w:tr>
      <w:tr w:rsidR="00294265" w:rsidRPr="00301875" w:rsidTr="00853596">
        <w:tc>
          <w:tcPr>
            <w:tcW w:w="3544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i/>
                <w:iCs/>
                <w:spacing w:val="0"/>
                <w:w w:val="100"/>
                <w:kern w:val="0"/>
              </w:rPr>
            </w:pPr>
            <w:r w:rsidRPr="00301875">
              <w:rPr>
                <w:i/>
                <w:iCs/>
                <w:spacing w:val="0"/>
                <w:w w:val="100"/>
                <w:kern w:val="0"/>
              </w:rPr>
              <w:t>Государство-участник:</w:t>
            </w:r>
          </w:p>
        </w:tc>
        <w:tc>
          <w:tcPr>
            <w:tcW w:w="3827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spacing w:val="0"/>
                <w:w w:val="100"/>
                <w:kern w:val="0"/>
              </w:rPr>
            </w:pPr>
            <w:r w:rsidRPr="00301875">
              <w:rPr>
                <w:spacing w:val="0"/>
                <w:w w:val="100"/>
                <w:kern w:val="0"/>
              </w:rPr>
              <w:t>Дания</w:t>
            </w:r>
          </w:p>
        </w:tc>
      </w:tr>
      <w:tr w:rsidR="00294265" w:rsidRPr="00301875" w:rsidTr="00853596">
        <w:tc>
          <w:tcPr>
            <w:tcW w:w="3544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i/>
                <w:iCs/>
                <w:spacing w:val="0"/>
                <w:w w:val="100"/>
                <w:kern w:val="0"/>
              </w:rPr>
            </w:pPr>
            <w:r w:rsidRPr="00301875">
              <w:rPr>
                <w:i/>
                <w:iCs/>
                <w:spacing w:val="0"/>
                <w:w w:val="100"/>
                <w:kern w:val="0"/>
              </w:rPr>
              <w:t>Дата сообщения:</w:t>
            </w:r>
          </w:p>
        </w:tc>
        <w:tc>
          <w:tcPr>
            <w:tcW w:w="3827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spacing w:val="0"/>
                <w:w w:val="100"/>
                <w:kern w:val="0"/>
              </w:rPr>
            </w:pPr>
            <w:r w:rsidRPr="00301875">
              <w:rPr>
                <w:spacing w:val="0"/>
                <w:w w:val="100"/>
                <w:kern w:val="0"/>
              </w:rPr>
              <w:t xml:space="preserve">2 января 2013 года </w:t>
            </w:r>
            <w:r w:rsidRPr="00301875">
              <w:rPr>
                <w:spacing w:val="0"/>
                <w:w w:val="100"/>
                <w:kern w:val="0"/>
              </w:rPr>
              <w:br/>
              <w:t>(первоначальное представление)</w:t>
            </w:r>
          </w:p>
        </w:tc>
      </w:tr>
      <w:tr w:rsidR="00294265" w:rsidRPr="00301875" w:rsidTr="00853596">
        <w:tc>
          <w:tcPr>
            <w:tcW w:w="3544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i/>
                <w:iCs/>
                <w:spacing w:val="0"/>
                <w:w w:val="100"/>
                <w:kern w:val="0"/>
              </w:rPr>
            </w:pPr>
            <w:r w:rsidRPr="00301875">
              <w:rPr>
                <w:i/>
                <w:iCs/>
                <w:spacing w:val="0"/>
                <w:w w:val="100"/>
                <w:kern w:val="0"/>
              </w:rPr>
              <w:t>Справочная документация:</w:t>
            </w:r>
          </w:p>
        </w:tc>
        <w:tc>
          <w:tcPr>
            <w:tcW w:w="3827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spacing w:val="0"/>
                <w:w w:val="100"/>
                <w:kern w:val="0"/>
              </w:rPr>
            </w:pPr>
            <w:r w:rsidRPr="00301875">
              <w:rPr>
                <w:spacing w:val="0"/>
                <w:w w:val="100"/>
                <w:kern w:val="0"/>
              </w:rPr>
              <w:t>препровождена государству-участнику 13 марта 2013 года (в виде документа не издавалась)</w:t>
            </w:r>
          </w:p>
        </w:tc>
      </w:tr>
      <w:tr w:rsidR="00294265" w:rsidRPr="00301875" w:rsidTr="00853596">
        <w:tc>
          <w:tcPr>
            <w:tcW w:w="3544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i/>
                <w:iCs/>
                <w:spacing w:val="0"/>
                <w:w w:val="100"/>
                <w:kern w:val="0"/>
              </w:rPr>
            </w:pPr>
            <w:r w:rsidRPr="00301875">
              <w:rPr>
                <w:i/>
                <w:iCs/>
                <w:spacing w:val="0"/>
                <w:w w:val="100"/>
                <w:kern w:val="0"/>
              </w:rPr>
              <w:t>Дата принятия решения:</w:t>
            </w:r>
          </w:p>
        </w:tc>
        <w:tc>
          <w:tcPr>
            <w:tcW w:w="3827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spacing w:val="0"/>
                <w:w w:val="100"/>
                <w:kern w:val="0"/>
              </w:rPr>
            </w:pPr>
            <w:r w:rsidRPr="00301875">
              <w:rPr>
                <w:spacing w:val="0"/>
                <w:w w:val="100"/>
                <w:kern w:val="0"/>
              </w:rPr>
              <w:t>2 марта 2015 года</w:t>
            </w:r>
          </w:p>
        </w:tc>
      </w:tr>
      <w:tr w:rsidR="00294265" w:rsidRPr="00301875" w:rsidTr="00853596">
        <w:tc>
          <w:tcPr>
            <w:tcW w:w="3544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i/>
                <w:iCs/>
                <w:spacing w:val="0"/>
                <w:w w:val="100"/>
                <w:kern w:val="0"/>
              </w:rPr>
            </w:pPr>
            <w:r w:rsidRPr="00301875">
              <w:rPr>
                <w:i/>
                <w:spacing w:val="0"/>
                <w:w w:val="100"/>
                <w:kern w:val="0"/>
              </w:rPr>
              <w:t>Процедурные вопросы:</w:t>
            </w:r>
          </w:p>
        </w:tc>
        <w:tc>
          <w:tcPr>
            <w:tcW w:w="3827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spacing w:val="0"/>
                <w:w w:val="100"/>
                <w:kern w:val="0"/>
              </w:rPr>
            </w:pPr>
            <w:r w:rsidRPr="00301875">
              <w:rPr>
                <w:spacing w:val="0"/>
                <w:w w:val="100"/>
                <w:kern w:val="0"/>
              </w:rPr>
              <w:t>недостаточная обоснованность</w:t>
            </w:r>
          </w:p>
        </w:tc>
      </w:tr>
      <w:tr w:rsidR="00294265" w:rsidRPr="00301875" w:rsidTr="00853596">
        <w:tc>
          <w:tcPr>
            <w:tcW w:w="3544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i/>
                <w:iCs/>
                <w:spacing w:val="0"/>
                <w:w w:val="100"/>
                <w:kern w:val="0"/>
              </w:rPr>
            </w:pPr>
            <w:r w:rsidRPr="00301875">
              <w:rPr>
                <w:i/>
                <w:spacing w:val="0"/>
                <w:w w:val="100"/>
                <w:kern w:val="0"/>
              </w:rPr>
              <w:t>Тема сообщения:</w:t>
            </w:r>
          </w:p>
        </w:tc>
        <w:tc>
          <w:tcPr>
            <w:tcW w:w="3827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spacing w:val="0"/>
                <w:w w:val="100"/>
                <w:kern w:val="0"/>
              </w:rPr>
            </w:pPr>
            <w:r w:rsidRPr="00301875">
              <w:rPr>
                <w:iCs/>
                <w:spacing w:val="0"/>
                <w:w w:val="100"/>
                <w:kern w:val="0"/>
              </w:rPr>
              <w:t>де</w:t>
            </w:r>
            <w:r w:rsidRPr="00301875">
              <w:rPr>
                <w:spacing w:val="0"/>
                <w:w w:val="100"/>
                <w:kern w:val="0"/>
              </w:rPr>
              <w:t>портация в Китай</w:t>
            </w:r>
          </w:p>
        </w:tc>
      </w:tr>
      <w:tr w:rsidR="00294265" w:rsidRPr="00301875" w:rsidTr="00853596">
        <w:tc>
          <w:tcPr>
            <w:tcW w:w="3544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i/>
                <w:iCs/>
                <w:spacing w:val="0"/>
                <w:w w:val="100"/>
                <w:kern w:val="0"/>
              </w:rPr>
            </w:pPr>
            <w:r w:rsidRPr="00301875">
              <w:rPr>
                <w:i/>
                <w:spacing w:val="0"/>
                <w:w w:val="100"/>
                <w:kern w:val="0"/>
              </w:rPr>
              <w:t>Вопросы существа:</w:t>
            </w:r>
          </w:p>
        </w:tc>
        <w:tc>
          <w:tcPr>
            <w:tcW w:w="3827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spacing w:val="0"/>
                <w:w w:val="100"/>
                <w:kern w:val="0"/>
              </w:rPr>
            </w:pPr>
            <w:r w:rsidRPr="00301875">
              <w:rPr>
                <w:spacing w:val="0"/>
                <w:w w:val="100"/>
                <w:kern w:val="0"/>
              </w:rPr>
              <w:t xml:space="preserve">невыдворение, гендерное насилие, </w:t>
            </w:r>
            <w:r w:rsidRPr="00301875">
              <w:rPr>
                <w:spacing w:val="0"/>
                <w:w w:val="100"/>
                <w:kern w:val="0"/>
              </w:rPr>
              <w:br/>
              <w:t>доступ к правосудию</w:t>
            </w:r>
          </w:p>
        </w:tc>
      </w:tr>
      <w:tr w:rsidR="00294265" w:rsidRPr="00301875" w:rsidTr="00853596">
        <w:tc>
          <w:tcPr>
            <w:tcW w:w="3544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i/>
                <w:spacing w:val="0"/>
                <w:w w:val="100"/>
                <w:kern w:val="0"/>
              </w:rPr>
            </w:pPr>
            <w:r w:rsidRPr="00301875">
              <w:rPr>
                <w:i/>
                <w:spacing w:val="0"/>
                <w:w w:val="100"/>
                <w:kern w:val="0"/>
              </w:rPr>
              <w:t>Статьи Конвенции:</w:t>
            </w:r>
          </w:p>
        </w:tc>
        <w:tc>
          <w:tcPr>
            <w:tcW w:w="3827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spacing w:val="0"/>
                <w:w w:val="100"/>
                <w:kern w:val="0"/>
              </w:rPr>
            </w:pPr>
            <w:r w:rsidRPr="00301875">
              <w:rPr>
                <w:spacing w:val="0"/>
                <w:w w:val="100"/>
                <w:kern w:val="0"/>
              </w:rPr>
              <w:t>1–3, 12 и 15</w:t>
            </w:r>
          </w:p>
        </w:tc>
      </w:tr>
      <w:tr w:rsidR="00294265" w:rsidRPr="00301875" w:rsidTr="00853596">
        <w:tc>
          <w:tcPr>
            <w:tcW w:w="3544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i/>
                <w:spacing w:val="0"/>
                <w:w w:val="100"/>
                <w:kern w:val="0"/>
              </w:rPr>
            </w:pPr>
            <w:r w:rsidRPr="00301875">
              <w:rPr>
                <w:i/>
                <w:spacing w:val="0"/>
                <w:w w:val="100"/>
                <w:kern w:val="0"/>
              </w:rPr>
              <w:t>Статьи Факультативного протокола:</w:t>
            </w:r>
          </w:p>
        </w:tc>
        <w:tc>
          <w:tcPr>
            <w:tcW w:w="3827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spacing w:val="0"/>
                <w:w w:val="100"/>
                <w:kern w:val="0"/>
              </w:rPr>
            </w:pPr>
            <w:r w:rsidRPr="00301875">
              <w:rPr>
                <w:spacing w:val="0"/>
                <w:w w:val="100"/>
                <w:kern w:val="0"/>
              </w:rPr>
              <w:t>пункт 2 с) статьи 4</w:t>
            </w:r>
          </w:p>
        </w:tc>
      </w:tr>
    </w:tbl>
    <w:p w:rsidR="00294265" w:rsidRDefault="00294265" w:rsidP="00175E0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</w:rPr>
      </w:pPr>
      <w:r w:rsidRPr="00301875">
        <w:rPr>
          <w:w w:val="100"/>
        </w:rPr>
        <w:br w:type="page"/>
        <w:t xml:space="preserve">Приложение </w:t>
      </w:r>
    </w:p>
    <w:p w:rsidR="00175E0B" w:rsidRPr="00175E0B" w:rsidRDefault="00175E0B" w:rsidP="00175E0B">
      <w:pPr>
        <w:spacing w:line="120" w:lineRule="exact"/>
        <w:rPr>
          <w:sz w:val="10"/>
        </w:rPr>
      </w:pPr>
    </w:p>
    <w:p w:rsidR="00175E0B" w:rsidRPr="00175E0B" w:rsidRDefault="00175E0B" w:rsidP="00175E0B">
      <w:pPr>
        <w:spacing w:line="120" w:lineRule="exact"/>
        <w:rPr>
          <w:sz w:val="10"/>
        </w:rPr>
      </w:pPr>
    </w:p>
    <w:p w:rsidR="00294265" w:rsidRDefault="00294265" w:rsidP="00175E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301875">
        <w:rPr>
          <w:w w:val="100"/>
        </w:rPr>
        <w:tab/>
      </w:r>
      <w:r w:rsidRPr="00301875">
        <w:rPr>
          <w:w w:val="100"/>
        </w:rPr>
        <w:tab/>
        <w:t>Решение Комитета по ликвидации дискриминации в отношении же</w:t>
      </w:r>
      <w:r w:rsidRPr="00301875">
        <w:rPr>
          <w:w w:val="100"/>
        </w:rPr>
        <w:t>н</w:t>
      </w:r>
      <w:r w:rsidRPr="00301875">
        <w:rPr>
          <w:w w:val="100"/>
        </w:rPr>
        <w:t>щин в соответствии с Факультативным протоколом к Конвенции о</w:t>
      </w:r>
      <w:r w:rsidR="00957B6E" w:rsidRPr="00957B6E">
        <w:rPr>
          <w:w w:val="100"/>
        </w:rPr>
        <w:t xml:space="preserve"> </w:t>
      </w:r>
      <w:r w:rsidRPr="00301875">
        <w:rPr>
          <w:w w:val="100"/>
        </w:rPr>
        <w:t xml:space="preserve">ликвидации всех форм дискриминации в отношении женщин </w:t>
      </w:r>
      <w:r w:rsidR="00957B6E" w:rsidRPr="00957B6E">
        <w:rPr>
          <w:w w:val="100"/>
        </w:rPr>
        <w:br/>
      </w:r>
      <w:r w:rsidRPr="00301875">
        <w:rPr>
          <w:w w:val="100"/>
        </w:rPr>
        <w:t>(шестидесятая</w:t>
      </w:r>
      <w:r w:rsidR="00957B6E" w:rsidRPr="00957B6E">
        <w:rPr>
          <w:w w:val="100"/>
        </w:rPr>
        <w:t xml:space="preserve"> </w:t>
      </w:r>
      <w:r w:rsidRPr="00301875">
        <w:rPr>
          <w:w w:val="100"/>
        </w:rPr>
        <w:t xml:space="preserve">сессия) </w:t>
      </w:r>
    </w:p>
    <w:p w:rsidR="00175E0B" w:rsidRPr="00175E0B" w:rsidRDefault="00175E0B" w:rsidP="00175E0B">
      <w:pPr>
        <w:pStyle w:val="SingleTxt"/>
        <w:spacing w:after="0" w:line="120" w:lineRule="exact"/>
        <w:rPr>
          <w:sz w:val="10"/>
        </w:rPr>
      </w:pPr>
    </w:p>
    <w:p w:rsidR="0029426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относительно</w:t>
      </w:r>
    </w:p>
    <w:p w:rsidR="00175E0B" w:rsidRPr="00175E0B" w:rsidRDefault="00175E0B" w:rsidP="00175E0B">
      <w:pPr>
        <w:pStyle w:val="SingleTxt"/>
        <w:spacing w:after="0" w:line="120" w:lineRule="exact"/>
        <w:rPr>
          <w:w w:val="100"/>
          <w:sz w:val="10"/>
        </w:rPr>
      </w:pPr>
    </w:p>
    <w:p w:rsidR="00175E0B" w:rsidRPr="00175E0B" w:rsidRDefault="00175E0B" w:rsidP="00175E0B">
      <w:pPr>
        <w:pStyle w:val="SingleTxt"/>
        <w:spacing w:after="0" w:line="120" w:lineRule="exact"/>
        <w:rPr>
          <w:w w:val="100"/>
          <w:sz w:val="10"/>
        </w:rPr>
      </w:pPr>
    </w:p>
    <w:p w:rsidR="00294265" w:rsidRPr="00B74F5C" w:rsidRDefault="00175E0B" w:rsidP="00175E0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Style w:val="FootnoteReference"/>
          <w:b w:val="0"/>
          <w:spacing w:val="0"/>
          <w:w w:val="100"/>
          <w:kern w:val="0"/>
          <w:sz w:val="20"/>
        </w:rPr>
      </w:pPr>
      <w:r>
        <w:rPr>
          <w:w w:val="100"/>
        </w:rPr>
        <w:tab/>
      </w:r>
      <w:r>
        <w:rPr>
          <w:w w:val="100"/>
        </w:rPr>
        <w:tab/>
      </w:r>
      <w:r w:rsidR="00294265" w:rsidRPr="00301875">
        <w:rPr>
          <w:w w:val="100"/>
        </w:rPr>
        <w:t>Сообщения № 51/2013</w:t>
      </w:r>
      <w:r w:rsidR="00957B6E" w:rsidRPr="00B74F5C">
        <w:rPr>
          <w:rStyle w:val="FootnoteReference"/>
          <w:b w:val="0"/>
          <w:sz w:val="20"/>
        </w:rPr>
        <w:footnoteReference w:customMarkFollows="1" w:id="1"/>
        <w:t>*</w:t>
      </w:r>
    </w:p>
    <w:p w:rsidR="00175E0B" w:rsidRDefault="00175E0B" w:rsidP="00175E0B">
      <w:pPr>
        <w:spacing w:line="120" w:lineRule="exact"/>
        <w:rPr>
          <w:sz w:val="10"/>
        </w:rPr>
      </w:pPr>
    </w:p>
    <w:p w:rsidR="00175E0B" w:rsidRPr="00175E0B" w:rsidRDefault="00175E0B" w:rsidP="00175E0B">
      <w:pPr>
        <w:spacing w:line="120" w:lineRule="exact"/>
        <w:rPr>
          <w:sz w:val="10"/>
        </w:rPr>
      </w:pPr>
    </w:p>
    <w:tbl>
      <w:tblPr>
        <w:tblW w:w="7342" w:type="dxa"/>
        <w:tblInd w:w="1162" w:type="dxa"/>
        <w:tblLayout w:type="fixed"/>
        <w:tblCellMar>
          <w:left w:w="28" w:type="dxa"/>
          <w:right w:w="28" w:type="dxa"/>
        </w:tblCellMar>
        <w:tblLook w:val="05E0"/>
      </w:tblPr>
      <w:tblGrid>
        <w:gridCol w:w="3388"/>
        <w:gridCol w:w="3954"/>
      </w:tblGrid>
      <w:tr w:rsidR="00294265" w:rsidRPr="00301875" w:rsidTr="00853596">
        <w:tc>
          <w:tcPr>
            <w:tcW w:w="3388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i/>
                <w:iCs/>
                <w:spacing w:val="0"/>
                <w:w w:val="100"/>
                <w:kern w:val="0"/>
              </w:rPr>
            </w:pPr>
            <w:r w:rsidRPr="00301875">
              <w:rPr>
                <w:i/>
                <w:iCs/>
                <w:spacing w:val="0"/>
                <w:w w:val="100"/>
                <w:kern w:val="0"/>
              </w:rPr>
              <w:t>Представлено:</w:t>
            </w:r>
          </w:p>
        </w:tc>
        <w:tc>
          <w:tcPr>
            <w:tcW w:w="3954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spacing w:val="0"/>
                <w:w w:val="100"/>
                <w:kern w:val="0"/>
              </w:rPr>
            </w:pPr>
            <w:r w:rsidRPr="00301875">
              <w:rPr>
                <w:spacing w:val="0"/>
                <w:w w:val="100"/>
                <w:kern w:val="0"/>
              </w:rPr>
              <w:t>И.В. (представлена адвокатом Нильсом-Эриком Хансеном)</w:t>
            </w:r>
          </w:p>
        </w:tc>
      </w:tr>
      <w:tr w:rsidR="00294265" w:rsidRPr="00301875" w:rsidTr="00853596">
        <w:tc>
          <w:tcPr>
            <w:tcW w:w="3388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i/>
                <w:iCs/>
                <w:spacing w:val="0"/>
                <w:w w:val="100"/>
                <w:kern w:val="0"/>
              </w:rPr>
            </w:pPr>
            <w:r w:rsidRPr="00301875">
              <w:rPr>
                <w:i/>
                <w:iCs/>
                <w:spacing w:val="0"/>
                <w:w w:val="100"/>
                <w:kern w:val="0"/>
              </w:rPr>
              <w:t>Предполагаемая жертва:</w:t>
            </w:r>
          </w:p>
        </w:tc>
        <w:tc>
          <w:tcPr>
            <w:tcW w:w="3954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spacing w:val="0"/>
                <w:w w:val="100"/>
                <w:kern w:val="0"/>
              </w:rPr>
            </w:pPr>
            <w:r w:rsidRPr="00301875">
              <w:rPr>
                <w:spacing w:val="0"/>
                <w:w w:val="100"/>
                <w:kern w:val="0"/>
              </w:rPr>
              <w:t>заявитель</w:t>
            </w:r>
          </w:p>
        </w:tc>
      </w:tr>
      <w:tr w:rsidR="00294265" w:rsidRPr="00301875" w:rsidTr="00853596">
        <w:tc>
          <w:tcPr>
            <w:tcW w:w="3388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i/>
                <w:iCs/>
                <w:spacing w:val="0"/>
                <w:w w:val="100"/>
                <w:kern w:val="0"/>
              </w:rPr>
            </w:pPr>
            <w:r w:rsidRPr="00301875">
              <w:rPr>
                <w:i/>
                <w:iCs/>
                <w:spacing w:val="0"/>
                <w:w w:val="100"/>
                <w:kern w:val="0"/>
              </w:rPr>
              <w:t>Государство-участник:</w:t>
            </w:r>
          </w:p>
        </w:tc>
        <w:tc>
          <w:tcPr>
            <w:tcW w:w="3954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spacing w:val="0"/>
                <w:w w:val="100"/>
                <w:kern w:val="0"/>
              </w:rPr>
            </w:pPr>
            <w:r w:rsidRPr="00301875">
              <w:rPr>
                <w:spacing w:val="0"/>
                <w:w w:val="100"/>
                <w:kern w:val="0"/>
              </w:rPr>
              <w:t>Дания</w:t>
            </w:r>
          </w:p>
        </w:tc>
      </w:tr>
      <w:tr w:rsidR="00294265" w:rsidRPr="00301875" w:rsidTr="00853596">
        <w:tc>
          <w:tcPr>
            <w:tcW w:w="3388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i/>
                <w:iCs/>
                <w:spacing w:val="0"/>
                <w:w w:val="100"/>
                <w:kern w:val="0"/>
              </w:rPr>
            </w:pPr>
            <w:r w:rsidRPr="00301875">
              <w:rPr>
                <w:i/>
                <w:iCs/>
                <w:spacing w:val="0"/>
                <w:w w:val="100"/>
                <w:kern w:val="0"/>
              </w:rPr>
              <w:t>Дата сообщения:</w:t>
            </w:r>
          </w:p>
        </w:tc>
        <w:tc>
          <w:tcPr>
            <w:tcW w:w="3954" w:type="dxa"/>
            <w:shd w:val="clear" w:color="auto" w:fill="auto"/>
          </w:tcPr>
          <w:p w:rsidR="00294265" w:rsidRPr="00301875" w:rsidRDefault="00294265" w:rsidP="00853596">
            <w:pPr>
              <w:spacing w:before="40" w:after="120"/>
              <w:rPr>
                <w:spacing w:val="0"/>
                <w:w w:val="100"/>
                <w:kern w:val="0"/>
              </w:rPr>
            </w:pPr>
            <w:r w:rsidRPr="00301875">
              <w:rPr>
                <w:spacing w:val="0"/>
                <w:w w:val="100"/>
                <w:kern w:val="0"/>
              </w:rPr>
              <w:t xml:space="preserve">2 января 2013 года </w:t>
            </w:r>
            <w:r w:rsidRPr="00301875">
              <w:rPr>
                <w:spacing w:val="0"/>
                <w:w w:val="100"/>
                <w:kern w:val="0"/>
              </w:rPr>
              <w:br/>
              <w:t>(первоначальное представление)</w:t>
            </w:r>
          </w:p>
        </w:tc>
      </w:tr>
    </w:tbl>
    <w:p w:rsidR="00957B6E" w:rsidRPr="00957B6E" w:rsidRDefault="00957B6E" w:rsidP="00957B6E">
      <w:pPr>
        <w:pStyle w:val="SingleTxtGR"/>
        <w:spacing w:after="0" w:line="120" w:lineRule="exact"/>
        <w:rPr>
          <w:spacing w:val="0"/>
          <w:w w:val="100"/>
          <w:kern w:val="0"/>
          <w:sz w:val="10"/>
          <w:lang w:val="en-US"/>
        </w:rPr>
      </w:pPr>
    </w:p>
    <w:p w:rsidR="00294265" w:rsidRPr="00301875" w:rsidRDefault="00957B6E" w:rsidP="00957B6E">
      <w:pPr>
        <w:pStyle w:val="SingleTxt"/>
        <w:rPr>
          <w:w w:val="100"/>
        </w:rPr>
      </w:pPr>
      <w:r>
        <w:rPr>
          <w:i/>
          <w:iCs/>
          <w:w w:val="100"/>
          <w:lang w:val="en-US"/>
        </w:rPr>
        <w:tab/>
      </w:r>
      <w:r w:rsidR="00294265" w:rsidRPr="00301875">
        <w:rPr>
          <w:i/>
          <w:iCs/>
          <w:w w:val="100"/>
        </w:rPr>
        <w:t xml:space="preserve">Комитет по ликвидации дискриминации в отношении женщин, </w:t>
      </w:r>
      <w:r w:rsidR="00294265" w:rsidRPr="00301875">
        <w:rPr>
          <w:w w:val="100"/>
        </w:rPr>
        <w:t>учрежде</w:t>
      </w:r>
      <w:r w:rsidR="00294265" w:rsidRPr="00301875">
        <w:rPr>
          <w:w w:val="100"/>
        </w:rPr>
        <w:t>н</w:t>
      </w:r>
      <w:r w:rsidR="00294265" w:rsidRPr="00301875">
        <w:rPr>
          <w:w w:val="100"/>
        </w:rPr>
        <w:t>ный в соответствии со статьей</w:t>
      </w:r>
      <w:r>
        <w:rPr>
          <w:w w:val="100"/>
          <w:lang w:val="en-US"/>
        </w:rPr>
        <w:t> </w:t>
      </w:r>
      <w:r w:rsidR="00294265" w:rsidRPr="00301875">
        <w:rPr>
          <w:w w:val="100"/>
        </w:rPr>
        <w:t>17 Конвенции о ликвидации всех форм дискрим</w:t>
      </w:r>
      <w:r w:rsidR="00294265" w:rsidRPr="00301875">
        <w:rPr>
          <w:w w:val="100"/>
        </w:rPr>
        <w:t>и</w:t>
      </w:r>
      <w:r w:rsidR="00294265" w:rsidRPr="00301875">
        <w:rPr>
          <w:w w:val="100"/>
        </w:rPr>
        <w:t>нации в о</w:t>
      </w:r>
      <w:r w:rsidR="00294265" w:rsidRPr="00301875">
        <w:rPr>
          <w:w w:val="100"/>
        </w:rPr>
        <w:t>т</w:t>
      </w:r>
      <w:r w:rsidR="00294265" w:rsidRPr="00301875">
        <w:rPr>
          <w:w w:val="100"/>
        </w:rPr>
        <w:t xml:space="preserve">ношении женщин, </w:t>
      </w:r>
    </w:p>
    <w:p w:rsidR="00294265" w:rsidRPr="00301875" w:rsidRDefault="00294265" w:rsidP="00294265">
      <w:pPr>
        <w:pStyle w:val="SingleTxtGR"/>
        <w:rPr>
          <w:spacing w:val="0"/>
          <w:w w:val="100"/>
          <w:kern w:val="0"/>
        </w:rPr>
      </w:pPr>
      <w:r w:rsidRPr="00301875">
        <w:rPr>
          <w:spacing w:val="0"/>
          <w:w w:val="100"/>
          <w:kern w:val="0"/>
        </w:rPr>
        <w:tab/>
      </w:r>
      <w:r w:rsidRPr="00301875">
        <w:rPr>
          <w:i/>
          <w:iCs/>
          <w:spacing w:val="0"/>
          <w:w w:val="100"/>
          <w:kern w:val="0"/>
        </w:rPr>
        <w:t>на своем заседании</w:t>
      </w:r>
      <w:r w:rsidRPr="00301875">
        <w:rPr>
          <w:spacing w:val="0"/>
          <w:w w:val="100"/>
          <w:kern w:val="0"/>
        </w:rPr>
        <w:t xml:space="preserve"> 2 марта 2015 года, </w:t>
      </w:r>
    </w:p>
    <w:p w:rsidR="00294265" w:rsidRDefault="00294265" w:rsidP="00294265">
      <w:pPr>
        <w:pStyle w:val="SingleTxtGR"/>
        <w:rPr>
          <w:spacing w:val="0"/>
          <w:w w:val="100"/>
          <w:kern w:val="0"/>
          <w:lang w:val="en-US"/>
        </w:rPr>
      </w:pPr>
      <w:r w:rsidRPr="00301875">
        <w:rPr>
          <w:spacing w:val="0"/>
          <w:w w:val="100"/>
          <w:kern w:val="0"/>
        </w:rPr>
        <w:tab/>
      </w:r>
      <w:r w:rsidRPr="00301875">
        <w:rPr>
          <w:i/>
          <w:spacing w:val="0"/>
          <w:w w:val="100"/>
          <w:kern w:val="0"/>
        </w:rPr>
        <w:t xml:space="preserve">принимает </w:t>
      </w:r>
      <w:r w:rsidRPr="00301875">
        <w:rPr>
          <w:spacing w:val="0"/>
          <w:w w:val="100"/>
          <w:kern w:val="0"/>
        </w:rPr>
        <w:t xml:space="preserve">следующее решение: </w:t>
      </w:r>
    </w:p>
    <w:p w:rsidR="00C73339" w:rsidRPr="00C73339" w:rsidRDefault="00C73339" w:rsidP="00C73339">
      <w:pPr>
        <w:pStyle w:val="SingleTxtGR"/>
        <w:spacing w:after="0" w:line="120" w:lineRule="exact"/>
        <w:rPr>
          <w:spacing w:val="0"/>
          <w:w w:val="100"/>
          <w:kern w:val="0"/>
          <w:sz w:val="10"/>
          <w:lang w:val="en-US"/>
        </w:rPr>
      </w:pPr>
    </w:p>
    <w:p w:rsidR="00C73339" w:rsidRPr="00C73339" w:rsidRDefault="00C73339" w:rsidP="00C73339">
      <w:pPr>
        <w:pStyle w:val="SingleTxtGR"/>
        <w:spacing w:after="0" w:line="120" w:lineRule="exact"/>
        <w:rPr>
          <w:spacing w:val="0"/>
          <w:w w:val="100"/>
          <w:kern w:val="0"/>
          <w:sz w:val="10"/>
          <w:lang w:val="en-US"/>
        </w:rPr>
      </w:pPr>
    </w:p>
    <w:p w:rsidR="00294265" w:rsidRDefault="00294265" w:rsidP="00175E0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</w:rPr>
      </w:pPr>
      <w:r w:rsidRPr="00301875">
        <w:rPr>
          <w:w w:val="100"/>
        </w:rPr>
        <w:tab/>
      </w:r>
      <w:r w:rsidRPr="00301875">
        <w:rPr>
          <w:w w:val="100"/>
        </w:rPr>
        <w:tab/>
        <w:t>Решение о приемлемости</w:t>
      </w:r>
    </w:p>
    <w:p w:rsidR="00175E0B" w:rsidRPr="00175E0B" w:rsidRDefault="00175E0B" w:rsidP="00175E0B">
      <w:pPr>
        <w:spacing w:line="120" w:lineRule="exact"/>
        <w:rPr>
          <w:sz w:val="10"/>
        </w:rPr>
      </w:pPr>
    </w:p>
    <w:p w:rsidR="00175E0B" w:rsidRPr="00175E0B" w:rsidRDefault="00175E0B" w:rsidP="00175E0B">
      <w:pPr>
        <w:spacing w:line="120" w:lineRule="exact"/>
        <w:rPr>
          <w:sz w:val="10"/>
        </w:rPr>
      </w:pP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1.1</w:t>
      </w:r>
      <w:r w:rsidRPr="00301875">
        <w:rPr>
          <w:w w:val="100"/>
        </w:rPr>
        <w:tab/>
        <w:t>Автором сообщения является И.В., гражданка Китая</w:t>
      </w:r>
      <w:r>
        <w:rPr>
          <w:w w:val="100"/>
        </w:rPr>
        <w:t>,</w:t>
      </w:r>
      <w:r w:rsidRPr="00301875">
        <w:rPr>
          <w:w w:val="100"/>
        </w:rPr>
        <w:t xml:space="preserve"> 1967 года рождения. Она хотела бы получить убежище в Дании; ее ходатайство было отклонено, и на момент представления сообщения она ожидала депортации в Китай. Она утве</w:t>
      </w:r>
      <w:r w:rsidRPr="00301875">
        <w:rPr>
          <w:w w:val="100"/>
        </w:rPr>
        <w:t>р</w:t>
      </w:r>
      <w:r w:rsidRPr="00301875">
        <w:rPr>
          <w:w w:val="100"/>
        </w:rPr>
        <w:t>ждает, что такая депортация была бы нарушением Данией ее прав, закрепленных в статьях 1</w:t>
      </w:r>
      <w:r>
        <w:rPr>
          <w:w w:val="100"/>
        </w:rPr>
        <w:t>–</w:t>
      </w:r>
      <w:r w:rsidRPr="00301875">
        <w:rPr>
          <w:w w:val="100"/>
        </w:rPr>
        <w:t>3, 12 и 15 Конвенции о ликвидации всех форм дискриминации в о</w:t>
      </w:r>
      <w:r w:rsidRPr="00301875">
        <w:rPr>
          <w:w w:val="100"/>
        </w:rPr>
        <w:t>т</w:t>
      </w:r>
      <w:r w:rsidRPr="00301875">
        <w:rPr>
          <w:w w:val="100"/>
        </w:rPr>
        <w:t>ношении женщин, а также принятой Комитетом рекомендацией № 19 общего п</w:t>
      </w:r>
      <w:r w:rsidRPr="00301875">
        <w:rPr>
          <w:w w:val="100"/>
        </w:rPr>
        <w:t>о</w:t>
      </w:r>
      <w:r w:rsidRPr="00301875">
        <w:rPr>
          <w:w w:val="100"/>
        </w:rPr>
        <w:t>рядка. Интересы автора сообщения представляет адвокат Нильс-Эрик Хансен. Применительно к государству</w:t>
      </w:r>
      <w:r w:rsidR="00957B6E">
        <w:rPr>
          <w:w w:val="100"/>
        </w:rPr>
        <w:t xml:space="preserve"> — </w:t>
      </w:r>
      <w:r w:rsidRPr="00301875">
        <w:rPr>
          <w:w w:val="100"/>
        </w:rPr>
        <w:t>участнику Конвенция и Факультативный прот</w:t>
      </w:r>
      <w:r w:rsidRPr="00301875">
        <w:rPr>
          <w:w w:val="100"/>
        </w:rPr>
        <w:t>о</w:t>
      </w:r>
      <w:r w:rsidRPr="00301875">
        <w:rPr>
          <w:w w:val="100"/>
        </w:rPr>
        <w:t>кол вступили в силу соответственно 21 мая 1983 года и 22 декабря 2000 года.</w:t>
      </w:r>
    </w:p>
    <w:p w:rsidR="0029426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1.2</w:t>
      </w:r>
      <w:r w:rsidRPr="00301875">
        <w:rPr>
          <w:w w:val="100"/>
        </w:rPr>
        <w:tab/>
        <w:t>20 июня 2014 года Комитет, действуя через созданную в соответствии с Ф</w:t>
      </w:r>
      <w:r w:rsidRPr="00301875">
        <w:rPr>
          <w:w w:val="100"/>
        </w:rPr>
        <w:t>а</w:t>
      </w:r>
      <w:r w:rsidRPr="00301875">
        <w:rPr>
          <w:w w:val="100"/>
        </w:rPr>
        <w:t>культативным протоколом Рабочую группу по сообщениям, постановил на осн</w:t>
      </w:r>
      <w:r w:rsidRPr="00301875">
        <w:rPr>
          <w:w w:val="100"/>
        </w:rPr>
        <w:t>о</w:t>
      </w:r>
      <w:r w:rsidRPr="00301875">
        <w:rPr>
          <w:w w:val="100"/>
        </w:rPr>
        <w:t>вании правила 66 своих правил процедуры рассмотреть вопрос о приемлемости сообщения о</w:t>
      </w:r>
      <w:r w:rsidRPr="00301875">
        <w:rPr>
          <w:w w:val="100"/>
        </w:rPr>
        <w:t>т</w:t>
      </w:r>
      <w:r w:rsidRPr="00301875">
        <w:rPr>
          <w:w w:val="100"/>
        </w:rPr>
        <w:t>дельно от существа дела.</w:t>
      </w:r>
    </w:p>
    <w:p w:rsidR="00E51A9F" w:rsidRPr="00E51A9F" w:rsidRDefault="00E51A9F" w:rsidP="00E51A9F">
      <w:pPr>
        <w:pStyle w:val="SingleTxt"/>
        <w:spacing w:after="0" w:line="120" w:lineRule="exact"/>
        <w:rPr>
          <w:w w:val="100"/>
          <w:sz w:val="10"/>
        </w:rPr>
      </w:pPr>
    </w:p>
    <w:p w:rsidR="00294265" w:rsidRDefault="00294265" w:rsidP="00C7333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</w:rPr>
      </w:pPr>
      <w:r w:rsidRPr="00301875">
        <w:rPr>
          <w:w w:val="100"/>
        </w:rPr>
        <w:tab/>
      </w:r>
      <w:r w:rsidRPr="00301875">
        <w:rPr>
          <w:w w:val="100"/>
        </w:rPr>
        <w:tab/>
        <w:t>Обстоятельства дела</w:t>
      </w:r>
    </w:p>
    <w:p w:rsidR="00E51A9F" w:rsidRPr="00E51A9F" w:rsidRDefault="00E51A9F" w:rsidP="00E51A9F">
      <w:pPr>
        <w:spacing w:line="120" w:lineRule="exact"/>
        <w:rPr>
          <w:sz w:val="10"/>
        </w:rPr>
      </w:pP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2.1</w:t>
      </w:r>
      <w:r w:rsidRPr="00301875">
        <w:rPr>
          <w:w w:val="100"/>
        </w:rPr>
        <w:tab/>
        <w:t>Автор утверждает, что в Китае ей угрожали преступники, которые ее изн</w:t>
      </w:r>
      <w:r w:rsidRPr="00301875">
        <w:rPr>
          <w:w w:val="100"/>
        </w:rPr>
        <w:t>а</w:t>
      </w:r>
      <w:r w:rsidRPr="00301875">
        <w:rPr>
          <w:w w:val="100"/>
        </w:rPr>
        <w:t>силовали, нанесли ей ожоги горячим маслом и принуждали ее к занятию прост</w:t>
      </w:r>
      <w:r w:rsidRPr="00301875">
        <w:rPr>
          <w:w w:val="100"/>
        </w:rPr>
        <w:t>и</w:t>
      </w:r>
      <w:r w:rsidRPr="00301875">
        <w:rPr>
          <w:w w:val="100"/>
        </w:rPr>
        <w:t>туцией; при этом она не указывает дат совершения этих деяний и не предоста</w:t>
      </w:r>
      <w:r w:rsidRPr="00301875">
        <w:rPr>
          <w:w w:val="100"/>
        </w:rPr>
        <w:t>в</w:t>
      </w:r>
      <w:r w:rsidRPr="00301875">
        <w:rPr>
          <w:w w:val="100"/>
        </w:rPr>
        <w:t>ляет какой-либо дополнительной информации о них.</w:t>
      </w:r>
      <w:r w:rsidRPr="00301875">
        <w:rPr>
          <w:w w:val="100"/>
          <w:vertAlign w:val="superscript"/>
        </w:rPr>
        <w:t xml:space="preserve"> </w:t>
      </w:r>
      <w:r w:rsidRPr="00301875">
        <w:rPr>
          <w:w w:val="100"/>
        </w:rPr>
        <w:t>Автор утверждает, что ее муж, будучи заядлым картежником, взял у них в долг деньги, а ее заставили по</w:t>
      </w:r>
      <w:r w:rsidRPr="00301875">
        <w:rPr>
          <w:w w:val="100"/>
        </w:rPr>
        <w:t>д</w:t>
      </w:r>
      <w:r w:rsidRPr="00301875">
        <w:rPr>
          <w:w w:val="100"/>
        </w:rPr>
        <w:t>писать документ, возлагающий на нее ответственность за погашение задолже</w:t>
      </w:r>
      <w:r w:rsidRPr="00301875">
        <w:rPr>
          <w:w w:val="100"/>
        </w:rPr>
        <w:t>н</w:t>
      </w:r>
      <w:r w:rsidRPr="00301875">
        <w:rPr>
          <w:w w:val="100"/>
        </w:rPr>
        <w:t>ности. Ссылаясь на заключительные замечания Комитета к шестому периодич</w:t>
      </w:r>
      <w:r w:rsidRPr="00301875">
        <w:rPr>
          <w:w w:val="100"/>
        </w:rPr>
        <w:t>е</w:t>
      </w:r>
      <w:r w:rsidRPr="00301875">
        <w:rPr>
          <w:w w:val="100"/>
        </w:rPr>
        <w:t>скому докладу Китая, автор утверждает, что в Китае она не могла обратиться в полицию с просьбой о предоставлении защиты, поскольку китайские органы вл</w:t>
      </w:r>
      <w:r w:rsidRPr="00301875">
        <w:rPr>
          <w:w w:val="100"/>
        </w:rPr>
        <w:t>а</w:t>
      </w:r>
      <w:r w:rsidRPr="00301875">
        <w:rPr>
          <w:w w:val="100"/>
        </w:rPr>
        <w:t>сти не рассматривают гендерное насилие в качестве пр</w:t>
      </w:r>
      <w:r w:rsidRPr="00301875">
        <w:rPr>
          <w:w w:val="100"/>
        </w:rPr>
        <w:t>о</w:t>
      </w:r>
      <w:r w:rsidRPr="00301875">
        <w:rPr>
          <w:w w:val="100"/>
        </w:rPr>
        <w:t>блемного вопроса</w:t>
      </w:r>
      <w:r w:rsidR="00CA5E9F" w:rsidRPr="00B74F5C">
        <w:rPr>
          <w:rStyle w:val="FootnoteReference"/>
        </w:rPr>
        <w:footnoteReference w:id="2"/>
      </w:r>
      <w:r w:rsidRPr="00301875">
        <w:rPr>
          <w:w w:val="100"/>
        </w:rPr>
        <w:t>.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2.2</w:t>
      </w:r>
      <w:r w:rsidRPr="00301875">
        <w:rPr>
          <w:w w:val="100"/>
        </w:rPr>
        <w:tab/>
        <w:t>Автор сообщения утверждает, что она покинула Китай до 2006</w:t>
      </w:r>
      <w:r w:rsidR="005C5416">
        <w:rPr>
          <w:w w:val="100"/>
        </w:rPr>
        <w:t> </w:t>
      </w:r>
      <w:r w:rsidRPr="00301875">
        <w:rPr>
          <w:w w:val="100"/>
        </w:rPr>
        <w:t>года и пр</w:t>
      </w:r>
      <w:r w:rsidRPr="00301875">
        <w:rPr>
          <w:w w:val="100"/>
        </w:rPr>
        <w:t>е</w:t>
      </w:r>
      <w:r w:rsidRPr="00301875">
        <w:rPr>
          <w:w w:val="100"/>
        </w:rPr>
        <w:t>бывала в разных странах, не указывая точных дат отъезда из Китая и прибытия в Данию. Она утверждает, что была вынуждена бежать из страны и просить уб</w:t>
      </w:r>
      <w:r w:rsidRPr="00301875">
        <w:rPr>
          <w:w w:val="100"/>
        </w:rPr>
        <w:t>е</w:t>
      </w:r>
      <w:r w:rsidRPr="00301875">
        <w:rPr>
          <w:w w:val="100"/>
        </w:rPr>
        <w:t>жища в Дании в целях избежания постоянных угроз насилия и нарастающего давления, которым она подвергалась в Китае. Она опасается, что, если она ве</w:t>
      </w:r>
      <w:r w:rsidRPr="00301875">
        <w:rPr>
          <w:w w:val="100"/>
        </w:rPr>
        <w:t>р</w:t>
      </w:r>
      <w:r w:rsidRPr="00301875">
        <w:rPr>
          <w:w w:val="100"/>
        </w:rPr>
        <w:t>нется в Китай, представители той же криминальной сети найдут и убьют ее из мести или что она будет вновь подвергаться сексуальному насилию и эксплуат</w:t>
      </w:r>
      <w:r w:rsidRPr="00301875">
        <w:rPr>
          <w:w w:val="100"/>
        </w:rPr>
        <w:t>а</w:t>
      </w:r>
      <w:r w:rsidRPr="00301875">
        <w:rPr>
          <w:w w:val="100"/>
        </w:rPr>
        <w:t xml:space="preserve">ции до тех пор, пока не выплатит долги своего мужа.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2.3</w:t>
      </w:r>
      <w:r w:rsidRPr="00301875">
        <w:rPr>
          <w:w w:val="100"/>
        </w:rPr>
        <w:tab/>
        <w:t>31 мая 2010 года ходатайство автора сообщения о предоставлении убежища было отклонено Иммиграционной службой Дании в качестве явно необоснова</w:t>
      </w:r>
      <w:r w:rsidRPr="00301875">
        <w:rPr>
          <w:w w:val="100"/>
        </w:rPr>
        <w:t>н</w:t>
      </w:r>
      <w:r w:rsidRPr="00301875">
        <w:rPr>
          <w:w w:val="100"/>
        </w:rPr>
        <w:t>ного в соответствии со статьей 53b 2) Закона об иностранцах. Автор сообщения утверждает, что в рамках рассмотрения ее дела ей не был назначен адвокат и она была лишена доступа к правовой помощи вплоть до ее заключения под стражу в январе 2010 года. В</w:t>
      </w:r>
      <w:r>
        <w:rPr>
          <w:w w:val="100"/>
        </w:rPr>
        <w:t> </w:t>
      </w:r>
      <w:r w:rsidRPr="00301875">
        <w:rPr>
          <w:w w:val="100"/>
        </w:rPr>
        <w:t>связи с этим в своих ходатайствах она не ссылается напр</w:t>
      </w:r>
      <w:r w:rsidRPr="00301875">
        <w:rPr>
          <w:w w:val="100"/>
        </w:rPr>
        <w:t>я</w:t>
      </w:r>
      <w:r w:rsidRPr="00301875">
        <w:rPr>
          <w:w w:val="100"/>
        </w:rPr>
        <w:t>мую на положения Конвенции, хотя вопрос о гендерном насилии поднимался в ходе рассмотрения дела. Никаких других подробностей в ее сообщении не пре</w:t>
      </w:r>
      <w:r w:rsidRPr="00301875">
        <w:rPr>
          <w:w w:val="100"/>
        </w:rPr>
        <w:t>д</w:t>
      </w:r>
      <w:r w:rsidRPr="00301875">
        <w:rPr>
          <w:w w:val="100"/>
        </w:rPr>
        <w:t>ставлено.</w:t>
      </w:r>
    </w:p>
    <w:p w:rsidR="00294265" w:rsidRDefault="00294265" w:rsidP="00175E0B">
      <w:pPr>
        <w:pStyle w:val="SingleTxt"/>
        <w:rPr>
          <w:w w:val="100"/>
          <w:lang w:val="en-US"/>
        </w:rPr>
      </w:pPr>
      <w:r w:rsidRPr="00301875">
        <w:rPr>
          <w:w w:val="100"/>
        </w:rPr>
        <w:t>2.4</w:t>
      </w:r>
      <w:r w:rsidRPr="00301875">
        <w:rPr>
          <w:w w:val="100"/>
        </w:rPr>
        <w:tab/>
        <w:t>Автор сообщения утверждает, что она исчерпала все внутренние средства правовой защиты, поскольку решение Иммиграционной службы Дании носит окончательный характер и не предполагает возможности его обжалования ни в Апелляционной коми</w:t>
      </w:r>
      <w:r w:rsidRPr="00301875">
        <w:rPr>
          <w:w w:val="100"/>
        </w:rPr>
        <w:t>с</w:t>
      </w:r>
      <w:r w:rsidRPr="00301875">
        <w:rPr>
          <w:w w:val="100"/>
        </w:rPr>
        <w:t>сии по делам беженцев, ни в суде. По ее словам, она по-прежнему находится под стражей в лагере в качестве лица, которому было отк</w:t>
      </w:r>
      <w:r w:rsidRPr="00301875">
        <w:rPr>
          <w:w w:val="100"/>
        </w:rPr>
        <w:t>а</w:t>
      </w:r>
      <w:r w:rsidRPr="00301875">
        <w:rPr>
          <w:w w:val="100"/>
        </w:rPr>
        <w:t xml:space="preserve">зано в предоставлении убежища, в ожидании принудительной депортации. </w:t>
      </w:r>
    </w:p>
    <w:p w:rsidR="00C73339" w:rsidRPr="00C73339" w:rsidRDefault="00C73339" w:rsidP="00C73339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294265" w:rsidRDefault="00294265" w:rsidP="00C7333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  <w:lang w:val="en-US"/>
        </w:rPr>
      </w:pPr>
      <w:r w:rsidRPr="00301875">
        <w:rPr>
          <w:w w:val="100"/>
        </w:rPr>
        <w:tab/>
      </w:r>
      <w:r w:rsidRPr="00301875">
        <w:rPr>
          <w:w w:val="100"/>
        </w:rPr>
        <w:tab/>
        <w:t xml:space="preserve">Жалоба </w:t>
      </w:r>
    </w:p>
    <w:p w:rsidR="00C73339" w:rsidRPr="00C73339" w:rsidRDefault="00C73339" w:rsidP="00C73339">
      <w:pPr>
        <w:spacing w:line="120" w:lineRule="exact"/>
        <w:rPr>
          <w:sz w:val="10"/>
          <w:lang w:val="en-US"/>
        </w:rPr>
      </w:pP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3.1</w:t>
      </w:r>
      <w:r w:rsidRPr="00301875">
        <w:rPr>
          <w:w w:val="100"/>
        </w:rPr>
        <w:tab/>
        <w:t>Автор сообщения утверждает, что ее депортация в Китай будет предста</w:t>
      </w:r>
      <w:r w:rsidRPr="00301875">
        <w:rPr>
          <w:w w:val="100"/>
        </w:rPr>
        <w:t>в</w:t>
      </w:r>
      <w:r w:rsidRPr="00301875">
        <w:rPr>
          <w:w w:val="100"/>
        </w:rPr>
        <w:t>лять собой нарушение ее прав, закрепленных в статьях 1</w:t>
      </w:r>
      <w:r>
        <w:rPr>
          <w:w w:val="100"/>
        </w:rPr>
        <w:t>–</w:t>
      </w:r>
      <w:r w:rsidRPr="00301875">
        <w:rPr>
          <w:w w:val="100"/>
        </w:rPr>
        <w:t>3, 12 и 15 Конвенции, а также прин</w:t>
      </w:r>
      <w:r w:rsidRPr="00301875">
        <w:rPr>
          <w:w w:val="100"/>
        </w:rPr>
        <w:t>я</w:t>
      </w:r>
      <w:r w:rsidRPr="00301875">
        <w:rPr>
          <w:w w:val="100"/>
        </w:rPr>
        <w:t xml:space="preserve">той Комитетом рекомендацией № 19 общего порядка.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3.2</w:t>
      </w:r>
      <w:r w:rsidRPr="00301875">
        <w:rPr>
          <w:w w:val="100"/>
        </w:rPr>
        <w:tab/>
        <w:t>Автор сообщения утверждает, что, получив отказ на свое ходатайство о предоставлении убежища без права обжалования по причине его явной необо</w:t>
      </w:r>
      <w:r w:rsidRPr="00301875">
        <w:rPr>
          <w:w w:val="100"/>
        </w:rPr>
        <w:t>с</w:t>
      </w:r>
      <w:r w:rsidRPr="00301875">
        <w:rPr>
          <w:w w:val="100"/>
        </w:rPr>
        <w:t>нованности, она подверглась дискриминации как женщина, поскольку она была лишена доступа к правосудию на равной с мужчинами основе. Она поясняет, что по сравнению с обращающимися с ходатайствами о предоставлении убежища мужчинами ищущие убежище женщины лишены права на беспристрастное с</w:t>
      </w:r>
      <w:r w:rsidRPr="00301875">
        <w:rPr>
          <w:w w:val="100"/>
        </w:rPr>
        <w:t>у</w:t>
      </w:r>
      <w:r w:rsidRPr="00301875">
        <w:rPr>
          <w:w w:val="100"/>
        </w:rPr>
        <w:t>дебное разбирательство с участием адвоката, а их право на апелляцию огранич</w:t>
      </w:r>
      <w:r w:rsidRPr="00301875">
        <w:rPr>
          <w:w w:val="100"/>
        </w:rPr>
        <w:t>е</w:t>
      </w:r>
      <w:r w:rsidRPr="00301875">
        <w:rPr>
          <w:w w:val="100"/>
        </w:rPr>
        <w:t>но. Она считает, что, судя по всему, рассмотрение сообщений ищущих убежище одиноких женщин в качестве бездоказательных и явно необоснованных пре</w:t>
      </w:r>
      <w:r w:rsidRPr="00301875">
        <w:rPr>
          <w:w w:val="100"/>
        </w:rPr>
        <w:t>д</w:t>
      </w:r>
      <w:r w:rsidRPr="00301875">
        <w:rPr>
          <w:w w:val="100"/>
        </w:rPr>
        <w:t>ставляет собой необъективную в гендерном плане практику. В связи с этим она утверждает, что правовая система Дании не предполагает должного учета ге</w:t>
      </w:r>
      <w:r w:rsidRPr="00301875">
        <w:rPr>
          <w:w w:val="100"/>
        </w:rPr>
        <w:t>н</w:t>
      </w:r>
      <w:r w:rsidRPr="00301875">
        <w:rPr>
          <w:w w:val="100"/>
        </w:rPr>
        <w:t>дерных аспектов, о чем свидетельствует тот факт, что относительно большее число ищущих убежище одиноких женщин получают отказ в предоставлении убежища на основании процедуры явной необоснованности и подвергаются д</w:t>
      </w:r>
      <w:r w:rsidRPr="00301875">
        <w:rPr>
          <w:w w:val="100"/>
        </w:rPr>
        <w:t>е</w:t>
      </w:r>
      <w:r w:rsidRPr="00301875">
        <w:rPr>
          <w:w w:val="100"/>
        </w:rPr>
        <w:t>портации без права на апелляцию, чем это имеет место в случае обращающихся за предоставлением убежища мужчин. Исходя из этого</w:t>
      </w:r>
      <w:r>
        <w:rPr>
          <w:w w:val="100"/>
        </w:rPr>
        <w:t>,</w:t>
      </w:r>
      <w:r w:rsidRPr="00301875">
        <w:rPr>
          <w:w w:val="100"/>
        </w:rPr>
        <w:t xml:space="preserve"> автор утверждает, что государством-участником были нарушены ее права, закрепленные в статьях 1</w:t>
      </w:r>
      <w:r>
        <w:rPr>
          <w:w w:val="100"/>
        </w:rPr>
        <w:t>–</w:t>
      </w:r>
      <w:r w:rsidRPr="00301875">
        <w:rPr>
          <w:w w:val="100"/>
        </w:rPr>
        <w:t xml:space="preserve">3 и 15 Конвенции.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3.3</w:t>
      </w:r>
      <w:r w:rsidRPr="00301875">
        <w:rPr>
          <w:w w:val="100"/>
        </w:rPr>
        <w:tab/>
        <w:t>Автор сообщения также утверждает, что, отказав ей в удовлетворении ход</w:t>
      </w:r>
      <w:r w:rsidRPr="00301875">
        <w:rPr>
          <w:w w:val="100"/>
        </w:rPr>
        <w:t>а</w:t>
      </w:r>
      <w:r w:rsidRPr="00301875">
        <w:rPr>
          <w:w w:val="100"/>
        </w:rPr>
        <w:t>тайства о предоставлении убежища, государство-участник в нарушение полож</w:t>
      </w:r>
      <w:r w:rsidRPr="00301875">
        <w:rPr>
          <w:w w:val="100"/>
        </w:rPr>
        <w:t>е</w:t>
      </w:r>
      <w:r w:rsidRPr="00301875">
        <w:rPr>
          <w:w w:val="100"/>
        </w:rPr>
        <w:t>ний статей 1</w:t>
      </w:r>
      <w:r>
        <w:rPr>
          <w:w w:val="100"/>
        </w:rPr>
        <w:t>–</w:t>
      </w:r>
      <w:r w:rsidRPr="00301875">
        <w:rPr>
          <w:w w:val="100"/>
        </w:rPr>
        <w:t>3 и 12 Конвенции не предоставило ей защиту и, в частности, не приняло все надлежащие меры для ликвидации дискриминации в отношении женщин со стороны любого лица, не гарантировало ей осуществление и польз</w:t>
      </w:r>
      <w:r w:rsidRPr="00301875">
        <w:rPr>
          <w:w w:val="100"/>
        </w:rPr>
        <w:t>о</w:t>
      </w:r>
      <w:r w:rsidRPr="00301875">
        <w:rPr>
          <w:w w:val="100"/>
        </w:rPr>
        <w:t>вание правами человека и основными свободами на основе равноправия с му</w:t>
      </w:r>
      <w:r w:rsidRPr="00301875">
        <w:rPr>
          <w:w w:val="100"/>
        </w:rPr>
        <w:t>ж</w:t>
      </w:r>
      <w:r w:rsidRPr="00301875">
        <w:rPr>
          <w:w w:val="100"/>
        </w:rPr>
        <w:t xml:space="preserve">чинами и не обеспечило ее защиту от насилия, которое может поставить под угрозу ее здоровье и жизнь.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3.4</w:t>
      </w:r>
      <w:r w:rsidRPr="00301875">
        <w:rPr>
          <w:w w:val="100"/>
        </w:rPr>
        <w:tab/>
        <w:t>Автор сообщения указывает, что с ней жестоко обращались, ее принуждали к з</w:t>
      </w:r>
      <w:r w:rsidRPr="00301875">
        <w:rPr>
          <w:w w:val="100"/>
        </w:rPr>
        <w:t>а</w:t>
      </w:r>
      <w:r w:rsidRPr="00301875">
        <w:rPr>
          <w:w w:val="100"/>
        </w:rPr>
        <w:t>нятию проституцией и она подвергалась физическому насилию в связи с тем, что она является женщиной. Она ссылается на принятую Комитетом рекоменд</w:t>
      </w:r>
      <w:r w:rsidRPr="00301875">
        <w:rPr>
          <w:w w:val="100"/>
        </w:rPr>
        <w:t>а</w:t>
      </w:r>
      <w:r w:rsidRPr="00301875">
        <w:rPr>
          <w:w w:val="100"/>
        </w:rPr>
        <w:t>цию № 19 общего порядка, согласно которой гендерное насилие подпадает под действие Конвенции. Она утверждает, что поскольку действие Конвенции ра</w:t>
      </w:r>
      <w:r w:rsidRPr="00301875">
        <w:rPr>
          <w:w w:val="100"/>
        </w:rPr>
        <w:t>с</w:t>
      </w:r>
      <w:r w:rsidRPr="00301875">
        <w:rPr>
          <w:w w:val="100"/>
        </w:rPr>
        <w:t>пространяется на всех находящихся на территории государства-участника же</w:t>
      </w:r>
      <w:r w:rsidRPr="00301875">
        <w:rPr>
          <w:w w:val="100"/>
        </w:rPr>
        <w:t>н</w:t>
      </w:r>
      <w:r w:rsidRPr="00301875">
        <w:rPr>
          <w:w w:val="100"/>
        </w:rPr>
        <w:t>щин, ее положения также применимы в отношении женщин из третьих стран, х</w:t>
      </w:r>
      <w:r w:rsidRPr="00301875">
        <w:rPr>
          <w:w w:val="100"/>
        </w:rPr>
        <w:t>о</w:t>
      </w:r>
      <w:r w:rsidRPr="00301875">
        <w:rPr>
          <w:w w:val="100"/>
        </w:rPr>
        <w:t>датайствующих о предоставлении убежища. Она считает, что государство-участник несет обязательства по защите этих женщин от дискриминации в стр</w:t>
      </w:r>
      <w:r w:rsidRPr="00301875">
        <w:rPr>
          <w:w w:val="100"/>
        </w:rPr>
        <w:t>а</w:t>
      </w:r>
      <w:r w:rsidRPr="00301875">
        <w:rPr>
          <w:w w:val="100"/>
        </w:rPr>
        <w:t>нах их происхождения и предоставлению им в случае необход</w:t>
      </w:r>
      <w:r w:rsidRPr="00301875">
        <w:rPr>
          <w:w w:val="100"/>
        </w:rPr>
        <w:t>и</w:t>
      </w:r>
      <w:r w:rsidRPr="00301875">
        <w:rPr>
          <w:w w:val="100"/>
        </w:rPr>
        <w:t>мости разрешения на проживание. Она также ссылается на заключение Комитета отн</w:t>
      </w:r>
      <w:r w:rsidRPr="00301875">
        <w:rPr>
          <w:w w:val="100"/>
        </w:rPr>
        <w:t>о</w:t>
      </w:r>
      <w:r w:rsidRPr="00301875">
        <w:rPr>
          <w:w w:val="100"/>
        </w:rPr>
        <w:t>сительно того, что пункт 2 статьи 4 Конвенции предусматривает позитивное обязательство гос</w:t>
      </w:r>
      <w:r w:rsidRPr="00301875">
        <w:rPr>
          <w:w w:val="100"/>
        </w:rPr>
        <w:t>у</w:t>
      </w:r>
      <w:r w:rsidRPr="00301875">
        <w:rPr>
          <w:w w:val="100"/>
        </w:rPr>
        <w:t>дарств-участников по предоставлению эффективной защиты в контексте права на личную неприкосновенность</w:t>
      </w:r>
      <w:r w:rsidR="00CA5E9F" w:rsidRPr="00B74F5C">
        <w:rPr>
          <w:rStyle w:val="FootnoteReference"/>
        </w:rPr>
        <w:footnoteReference w:id="3"/>
      </w:r>
      <w:r w:rsidRPr="00301875">
        <w:rPr>
          <w:w w:val="100"/>
        </w:rPr>
        <w:t>.</w:t>
      </w:r>
    </w:p>
    <w:p w:rsidR="0029426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3.5</w:t>
      </w:r>
      <w:r w:rsidRPr="00301875">
        <w:rPr>
          <w:w w:val="100"/>
        </w:rPr>
        <w:tab/>
        <w:t>Автор сообщения также напоминает, что положения как статьи 3 Конвенции против пыток и других жестоких, бесчеловечных или унижающих достоинство видов обращения и наказания, так и статьи 7 Международного пакта о гражда</w:t>
      </w:r>
      <w:r w:rsidRPr="00301875">
        <w:rPr>
          <w:w w:val="100"/>
        </w:rPr>
        <w:t>н</w:t>
      </w:r>
      <w:r w:rsidRPr="00301875">
        <w:rPr>
          <w:w w:val="100"/>
        </w:rPr>
        <w:t>ских и политических правах обладают экстерриториальным действием. Соотве</w:t>
      </w:r>
      <w:r w:rsidRPr="00301875">
        <w:rPr>
          <w:w w:val="100"/>
        </w:rPr>
        <w:t>т</w:t>
      </w:r>
      <w:r w:rsidRPr="00301875">
        <w:rPr>
          <w:w w:val="100"/>
        </w:rPr>
        <w:t>ственно она просит Комитет высказать свои соображения в отношении того, с</w:t>
      </w:r>
      <w:r w:rsidRPr="00301875">
        <w:rPr>
          <w:w w:val="100"/>
        </w:rPr>
        <w:t>у</w:t>
      </w:r>
      <w:r w:rsidRPr="00301875">
        <w:rPr>
          <w:w w:val="100"/>
        </w:rPr>
        <w:t>ществуют ли у государства-участника позитивные экстерриториальные обяз</w:t>
      </w:r>
      <w:r w:rsidRPr="00301875">
        <w:rPr>
          <w:w w:val="100"/>
        </w:rPr>
        <w:t>а</w:t>
      </w:r>
      <w:r w:rsidRPr="00301875">
        <w:rPr>
          <w:w w:val="100"/>
        </w:rPr>
        <w:t>тельства по обеспечению эффективной защиты права женщин на личную непр</w:t>
      </w:r>
      <w:r w:rsidRPr="00301875">
        <w:rPr>
          <w:w w:val="100"/>
        </w:rPr>
        <w:t>и</w:t>
      </w:r>
      <w:r w:rsidRPr="00301875">
        <w:rPr>
          <w:w w:val="100"/>
        </w:rPr>
        <w:t>косновенность и, в частности, может ли депортация, влекущая возвращение в условия сексуального насилия и принуждения к занятию проституцией, пре</w:t>
      </w:r>
      <w:r w:rsidRPr="00301875">
        <w:rPr>
          <w:w w:val="100"/>
        </w:rPr>
        <w:t>д</w:t>
      </w:r>
      <w:r w:rsidRPr="00301875">
        <w:rPr>
          <w:w w:val="100"/>
        </w:rPr>
        <w:t xml:space="preserve">ставлять собой нарушение положений Конвенции. </w:t>
      </w:r>
    </w:p>
    <w:p w:rsidR="00E51A9F" w:rsidRPr="00E51A9F" w:rsidRDefault="00E51A9F" w:rsidP="00E51A9F">
      <w:pPr>
        <w:pStyle w:val="SingleTxt"/>
        <w:spacing w:after="0" w:line="120" w:lineRule="exact"/>
        <w:rPr>
          <w:w w:val="100"/>
          <w:sz w:val="10"/>
        </w:rPr>
      </w:pPr>
    </w:p>
    <w:p w:rsidR="00294265" w:rsidRDefault="00294265" w:rsidP="00C7333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</w:rPr>
      </w:pPr>
      <w:r w:rsidRPr="00301875">
        <w:rPr>
          <w:w w:val="100"/>
        </w:rPr>
        <w:tab/>
      </w:r>
      <w:r w:rsidRPr="00301875">
        <w:rPr>
          <w:w w:val="100"/>
        </w:rPr>
        <w:tab/>
        <w:t>Замечания государства-участника относительно приемлемости сообщения</w:t>
      </w:r>
    </w:p>
    <w:p w:rsidR="00E51A9F" w:rsidRPr="00E51A9F" w:rsidRDefault="00E51A9F" w:rsidP="00E51A9F">
      <w:pPr>
        <w:spacing w:line="120" w:lineRule="exact"/>
        <w:rPr>
          <w:sz w:val="10"/>
        </w:rPr>
      </w:pP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4.1</w:t>
      </w:r>
      <w:r w:rsidRPr="00301875">
        <w:rPr>
          <w:w w:val="100"/>
        </w:rPr>
        <w:tab/>
        <w:t>13 мая 2013 года государство-участник представило свои замечания относ</w:t>
      </w:r>
      <w:r w:rsidRPr="00301875">
        <w:rPr>
          <w:w w:val="100"/>
        </w:rPr>
        <w:t>и</w:t>
      </w:r>
      <w:r w:rsidRPr="00301875">
        <w:rPr>
          <w:w w:val="100"/>
        </w:rPr>
        <w:t>тельно приемлемости сообщения. Оно утверждает, что автор сообщения въехала на территорию Дании в ноябре 2008 года, была арестована 1 января 2010 года и ей было пред</w:t>
      </w:r>
      <w:r w:rsidRPr="00301875">
        <w:rPr>
          <w:w w:val="100"/>
        </w:rPr>
        <w:t>ъ</w:t>
      </w:r>
      <w:r w:rsidRPr="00301875">
        <w:rPr>
          <w:w w:val="100"/>
        </w:rPr>
        <w:t>явлено обвинение в незаконном пребывании в стране с 2008 года. Оно также заявляет, что автор сообщения покинула Китай из опасений быть уб</w:t>
      </w:r>
      <w:r w:rsidRPr="00301875">
        <w:rPr>
          <w:w w:val="100"/>
        </w:rPr>
        <w:t>и</w:t>
      </w:r>
      <w:r w:rsidRPr="00301875">
        <w:rPr>
          <w:w w:val="100"/>
        </w:rPr>
        <w:t>той вовлеченными в организованную преступную деятельность лицами, учит</w:t>
      </w:r>
      <w:r w:rsidRPr="00301875">
        <w:rPr>
          <w:w w:val="100"/>
        </w:rPr>
        <w:t>ы</w:t>
      </w:r>
      <w:r w:rsidRPr="00301875">
        <w:rPr>
          <w:w w:val="100"/>
        </w:rPr>
        <w:t>вая, что ее бывший муж взял взаймы на ее имя значительную сумму денег для игры в карты. Оно также заявляет, что 2 января 2010 года Иммиграционная слу</w:t>
      </w:r>
      <w:r w:rsidRPr="00301875">
        <w:rPr>
          <w:w w:val="100"/>
        </w:rPr>
        <w:t>ж</w:t>
      </w:r>
      <w:r w:rsidRPr="00301875">
        <w:rPr>
          <w:w w:val="100"/>
        </w:rPr>
        <w:t>ба Дании приняла решение о ее высылке из страны в соответствии со стать</w:t>
      </w:r>
      <w:r w:rsidRPr="00301875">
        <w:rPr>
          <w:w w:val="100"/>
        </w:rPr>
        <w:t>я</w:t>
      </w:r>
      <w:r w:rsidRPr="00301875">
        <w:rPr>
          <w:w w:val="100"/>
        </w:rPr>
        <w:t>ми 53b и 34</w:t>
      </w:r>
      <w:r>
        <w:rPr>
          <w:w w:val="100"/>
        </w:rPr>
        <w:t xml:space="preserve"> </w:t>
      </w:r>
      <w:r w:rsidRPr="00301875">
        <w:rPr>
          <w:w w:val="100"/>
        </w:rPr>
        <w:t>Закона об иностранцах. 3 января 2010 года городской суд Копенгаг</w:t>
      </w:r>
      <w:r w:rsidRPr="00301875">
        <w:rPr>
          <w:w w:val="100"/>
        </w:rPr>
        <w:t>е</w:t>
      </w:r>
      <w:r w:rsidRPr="00301875">
        <w:rPr>
          <w:w w:val="100"/>
        </w:rPr>
        <w:t>на вынес решение о том, что автор сообщения должна нах</w:t>
      </w:r>
      <w:r w:rsidRPr="00301875">
        <w:rPr>
          <w:w w:val="100"/>
        </w:rPr>
        <w:t>о</w:t>
      </w:r>
      <w:r w:rsidRPr="00301875">
        <w:rPr>
          <w:w w:val="100"/>
        </w:rPr>
        <w:t>диться под стражей до 15 января 2010 года. В ходе слушаний адвокат автора сообщения заявил, что а</w:t>
      </w:r>
      <w:r w:rsidRPr="00301875">
        <w:rPr>
          <w:w w:val="100"/>
        </w:rPr>
        <w:t>в</w:t>
      </w:r>
      <w:r w:rsidRPr="00301875">
        <w:rPr>
          <w:w w:val="100"/>
        </w:rPr>
        <w:t>тор обращается с просьбой о предоставлении ей убежища в Дании. Автор соо</w:t>
      </w:r>
      <w:r w:rsidRPr="00301875">
        <w:rPr>
          <w:w w:val="100"/>
        </w:rPr>
        <w:t>б</w:t>
      </w:r>
      <w:r w:rsidRPr="00301875">
        <w:rPr>
          <w:w w:val="100"/>
        </w:rPr>
        <w:t>щения была освобождена из-под стражи 12 января 2010 года</w:t>
      </w:r>
      <w:r>
        <w:rPr>
          <w:w w:val="100"/>
        </w:rPr>
        <w:t>,</w:t>
      </w:r>
      <w:r w:rsidRPr="00301875">
        <w:rPr>
          <w:w w:val="100"/>
        </w:rPr>
        <w:t xml:space="preserve"> и 11</w:t>
      </w:r>
      <w:r w:rsidR="005C5416">
        <w:rPr>
          <w:w w:val="100"/>
        </w:rPr>
        <w:t> </w:t>
      </w:r>
      <w:r w:rsidRPr="00301875">
        <w:rPr>
          <w:w w:val="100"/>
        </w:rPr>
        <w:t>февраля 2010 года она представила ходатайство о предоставлении ей убежища, в котором она утверждала, что опасается за свою жизнь в случае возвращения в Китай. В ходе собеседования, проведенного представителями Иммиграционной службы Дании 29 апреля 2010 года, автор сообщения заявила, что ее разыскивают ган</w:t>
      </w:r>
      <w:r w:rsidRPr="00301875">
        <w:rPr>
          <w:w w:val="100"/>
        </w:rPr>
        <w:t>г</w:t>
      </w:r>
      <w:r w:rsidRPr="00301875">
        <w:rPr>
          <w:w w:val="100"/>
        </w:rPr>
        <w:t>стеры-ростовщики, которые угрожали ей, изнасиловали ее, нанесли ей ожоги г</w:t>
      </w:r>
      <w:r w:rsidRPr="00301875">
        <w:rPr>
          <w:w w:val="100"/>
        </w:rPr>
        <w:t>о</w:t>
      </w:r>
      <w:r w:rsidRPr="00301875">
        <w:rPr>
          <w:w w:val="100"/>
        </w:rPr>
        <w:t>рячим маслом и принудили к занятию проституцией. Кроме того, автор сообщ</w:t>
      </w:r>
      <w:r w:rsidRPr="00301875">
        <w:rPr>
          <w:w w:val="100"/>
        </w:rPr>
        <w:t>е</w:t>
      </w:r>
      <w:r w:rsidRPr="00301875">
        <w:rPr>
          <w:w w:val="100"/>
        </w:rPr>
        <w:t>ния заявила, что у нее нет семьи в К</w:t>
      </w:r>
      <w:r w:rsidRPr="00301875">
        <w:rPr>
          <w:w w:val="100"/>
        </w:rPr>
        <w:t>и</w:t>
      </w:r>
      <w:r w:rsidRPr="00301875">
        <w:rPr>
          <w:w w:val="100"/>
        </w:rPr>
        <w:t xml:space="preserve">тае и она не может зарабатывать на жизнь в связи с отсутствием у нее образования.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4.2</w:t>
      </w:r>
      <w:r w:rsidRPr="00301875">
        <w:rPr>
          <w:w w:val="100"/>
        </w:rPr>
        <w:tab/>
        <w:t>Государство-участник заявляет, что 18 мая 2010</w:t>
      </w:r>
      <w:r w:rsidR="005C5416">
        <w:rPr>
          <w:w w:val="100"/>
        </w:rPr>
        <w:t> </w:t>
      </w:r>
      <w:r w:rsidRPr="00301875">
        <w:rPr>
          <w:w w:val="100"/>
        </w:rPr>
        <w:t>года Иммиграционная служба Дании препроводила ходатайство автора сообщения о предоставлении убежища в датский Совет по делам беженцев в соответствии со статьей 53b 2) Закона об иностранцах, поскольку она посчитала данное ходатайство явно н</w:t>
      </w:r>
      <w:r w:rsidRPr="00301875">
        <w:rPr>
          <w:w w:val="100"/>
        </w:rPr>
        <w:t>е</w:t>
      </w:r>
      <w:r w:rsidRPr="00301875">
        <w:rPr>
          <w:w w:val="100"/>
        </w:rPr>
        <w:t>обоснованным. 26 мая 2010 года Совет согласился с этим заключением и пришел к выводу о том, что возвращение автора сообщения в Китай не будет противор</w:t>
      </w:r>
      <w:r w:rsidRPr="00301875">
        <w:rPr>
          <w:w w:val="100"/>
        </w:rPr>
        <w:t>е</w:t>
      </w:r>
      <w:r w:rsidRPr="00301875">
        <w:rPr>
          <w:w w:val="100"/>
        </w:rPr>
        <w:t>чить положениям статьи 31 Закона об иностранцах. В своем постановлении от 31 мая 2010 года Иммиграционная служба Дании отклонила ходатайство автора сообщения о предоставлении убежища, констатировав, что ее конфликт с пре</w:t>
      </w:r>
      <w:r w:rsidRPr="00301875">
        <w:rPr>
          <w:w w:val="100"/>
        </w:rPr>
        <w:t>д</w:t>
      </w:r>
      <w:r w:rsidRPr="00301875">
        <w:rPr>
          <w:w w:val="100"/>
        </w:rPr>
        <w:t>ставителями организованной преступности не может служить обоснованием для предоставления убежища, поскольку совершенные против нее деяния предста</w:t>
      </w:r>
      <w:r w:rsidRPr="00301875">
        <w:rPr>
          <w:w w:val="100"/>
        </w:rPr>
        <w:t>в</w:t>
      </w:r>
      <w:r w:rsidRPr="00301875">
        <w:rPr>
          <w:w w:val="100"/>
        </w:rPr>
        <w:t>ляют собой уголовные преступления, не имеющие отношения к законод</w:t>
      </w:r>
      <w:r w:rsidRPr="00301875">
        <w:rPr>
          <w:w w:val="100"/>
        </w:rPr>
        <w:t>а</w:t>
      </w:r>
      <w:r w:rsidRPr="00301875">
        <w:rPr>
          <w:w w:val="100"/>
        </w:rPr>
        <w:t>тельству о предоставлении убежища, а также в связи с тем, что автор сообщения может обратиться за защитой к китайским органам власти. Иммиграционная служба Дании обратила особое внимание на то, что</w:t>
      </w:r>
      <w:r>
        <w:rPr>
          <w:w w:val="100"/>
        </w:rPr>
        <w:t>,</w:t>
      </w:r>
      <w:r w:rsidRPr="00301875">
        <w:rPr>
          <w:w w:val="100"/>
        </w:rPr>
        <w:t xml:space="preserve"> по ее данным, автор сообщения н</w:t>
      </w:r>
      <w:r w:rsidRPr="00301875">
        <w:rPr>
          <w:w w:val="100"/>
        </w:rPr>
        <w:t>и</w:t>
      </w:r>
      <w:r w:rsidRPr="00301875">
        <w:rPr>
          <w:w w:val="100"/>
        </w:rPr>
        <w:t>когда не явл</w:t>
      </w:r>
      <w:r w:rsidRPr="00301875">
        <w:rPr>
          <w:w w:val="100"/>
        </w:rPr>
        <w:t>я</w:t>
      </w:r>
      <w:r w:rsidRPr="00301875">
        <w:rPr>
          <w:w w:val="100"/>
        </w:rPr>
        <w:t>лась членом какой-либо политической партии и не вступала в какие бы то ни было конфликты с китайскими властями. Соответственно данная служба посчитала просьбу явно необоснованной и вынесла решение о том, что автор с</w:t>
      </w:r>
      <w:r w:rsidRPr="00301875">
        <w:rPr>
          <w:w w:val="100"/>
        </w:rPr>
        <w:t>о</w:t>
      </w:r>
      <w:r w:rsidRPr="00301875">
        <w:rPr>
          <w:w w:val="100"/>
        </w:rPr>
        <w:t>общения должна быть во</w:t>
      </w:r>
      <w:r w:rsidRPr="00301875">
        <w:rPr>
          <w:w w:val="100"/>
        </w:rPr>
        <w:t>з</w:t>
      </w:r>
      <w:r w:rsidRPr="00301875">
        <w:rPr>
          <w:w w:val="100"/>
        </w:rPr>
        <w:t xml:space="preserve">вращена в Китай в случае, если она откажется уехать в добровольном порядке.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4.3</w:t>
      </w:r>
      <w:r w:rsidRPr="00301875">
        <w:rPr>
          <w:w w:val="100"/>
        </w:rPr>
        <w:tab/>
        <w:t>Государство-участник предоставляет подробную информацию о юридич</w:t>
      </w:r>
      <w:r w:rsidRPr="00301875">
        <w:rPr>
          <w:w w:val="100"/>
        </w:rPr>
        <w:t>е</w:t>
      </w:r>
      <w:r w:rsidRPr="00301875">
        <w:rPr>
          <w:w w:val="100"/>
        </w:rPr>
        <w:t>ских основаниях решений, принимаемых в соответствии с Законом об иностра</w:t>
      </w:r>
      <w:r w:rsidRPr="00301875">
        <w:rPr>
          <w:w w:val="100"/>
        </w:rPr>
        <w:t>н</w:t>
      </w:r>
      <w:r w:rsidRPr="00301875">
        <w:rPr>
          <w:w w:val="100"/>
        </w:rPr>
        <w:t>цах. Согласно положениям статей 7 и 31 данного Закона иностранцу будет оформлен вид на жительство в Дании в случаях, когда он или она подвергаются риску смертной казни, п</w:t>
      </w:r>
      <w:r w:rsidRPr="00301875">
        <w:rPr>
          <w:w w:val="100"/>
        </w:rPr>
        <w:t>ы</w:t>
      </w:r>
      <w:r w:rsidRPr="00301875">
        <w:rPr>
          <w:w w:val="100"/>
        </w:rPr>
        <w:t>ток или бесчеловечного или унижающего достоинств</w:t>
      </w:r>
      <w:r>
        <w:rPr>
          <w:w w:val="100"/>
        </w:rPr>
        <w:t>о</w:t>
      </w:r>
      <w:r w:rsidRPr="00301875">
        <w:rPr>
          <w:w w:val="100"/>
        </w:rPr>
        <w:t xml:space="preserve"> обращения или наказания по возвращении в страну своего происхождения или в страну, где ему или ей не будет предоставлена защита от такого рода риска (н</w:t>
      </w:r>
      <w:r w:rsidRPr="00301875">
        <w:rPr>
          <w:w w:val="100"/>
        </w:rPr>
        <w:t>е</w:t>
      </w:r>
      <w:r w:rsidRPr="00301875">
        <w:rPr>
          <w:w w:val="100"/>
        </w:rPr>
        <w:t>выдворение). Вышеуказанные положения действуют в отношении всех иностра</w:t>
      </w:r>
      <w:r w:rsidRPr="00301875">
        <w:rPr>
          <w:w w:val="100"/>
        </w:rPr>
        <w:t>н</w:t>
      </w:r>
      <w:r w:rsidRPr="00301875">
        <w:rPr>
          <w:w w:val="100"/>
        </w:rPr>
        <w:t>цев и должны применяться в соответствии с международно-правовыми обяз</w:t>
      </w:r>
      <w:r w:rsidRPr="00301875">
        <w:rPr>
          <w:w w:val="100"/>
        </w:rPr>
        <w:t>а</w:t>
      </w:r>
      <w:r w:rsidRPr="00301875">
        <w:rPr>
          <w:w w:val="100"/>
        </w:rPr>
        <w:t>тельствами Дании. Решения в соответствии со статьей 7 Закона об иностранцах принимаются Иммиграционной службой Дании и, как правило, могут быть обж</w:t>
      </w:r>
      <w:r w:rsidRPr="00301875">
        <w:rPr>
          <w:w w:val="100"/>
        </w:rPr>
        <w:t>а</w:t>
      </w:r>
      <w:r w:rsidRPr="00301875">
        <w:rPr>
          <w:w w:val="100"/>
        </w:rPr>
        <w:t>лованы в Апелляционной комиссии по делам беженцев, за и</w:t>
      </w:r>
      <w:r w:rsidRPr="00301875">
        <w:rPr>
          <w:w w:val="100"/>
        </w:rPr>
        <w:t>с</w:t>
      </w:r>
      <w:r w:rsidRPr="00301875">
        <w:rPr>
          <w:w w:val="100"/>
        </w:rPr>
        <w:t>ключением случаев, когда соответствующее ходатайство рассматривается в качестве явно необосн</w:t>
      </w:r>
      <w:r w:rsidRPr="00301875">
        <w:rPr>
          <w:w w:val="100"/>
        </w:rPr>
        <w:t>о</w:t>
      </w:r>
      <w:r w:rsidRPr="00301875">
        <w:rPr>
          <w:w w:val="100"/>
        </w:rPr>
        <w:t>ванного. Согласно стат</w:t>
      </w:r>
      <w:r>
        <w:rPr>
          <w:w w:val="100"/>
        </w:rPr>
        <w:t>ье 53b 1) Закона об иностранцах</w:t>
      </w:r>
      <w:r w:rsidRPr="00301875">
        <w:rPr>
          <w:w w:val="100"/>
        </w:rPr>
        <w:t xml:space="preserve"> ходатайство считается явно необоснованным, если оно подпадает под критерии, предусмотренные по</w:t>
      </w:r>
      <w:r w:rsidRPr="00301875">
        <w:rPr>
          <w:w w:val="100"/>
        </w:rPr>
        <w:t>д</w:t>
      </w:r>
      <w:r w:rsidRPr="00301875">
        <w:rPr>
          <w:w w:val="100"/>
        </w:rPr>
        <w:t>пунктами i)</w:t>
      </w:r>
      <w:r>
        <w:rPr>
          <w:w w:val="100"/>
        </w:rPr>
        <w:t>–</w:t>
      </w:r>
      <w:r w:rsidRPr="00301875">
        <w:rPr>
          <w:w w:val="100"/>
        </w:rPr>
        <w:t>vi), в частности если обстоятельства, на которые ссылается заяв</w:t>
      </w:r>
      <w:r w:rsidRPr="00301875">
        <w:rPr>
          <w:w w:val="100"/>
        </w:rPr>
        <w:t>и</w:t>
      </w:r>
      <w:r w:rsidRPr="00301875">
        <w:rPr>
          <w:w w:val="100"/>
        </w:rPr>
        <w:t>тель, явно не позволяют оформить вид на жительство согласно положениям ст</w:t>
      </w:r>
      <w:r w:rsidRPr="00301875">
        <w:rPr>
          <w:w w:val="100"/>
        </w:rPr>
        <w:t>а</w:t>
      </w:r>
      <w:r w:rsidRPr="00301875">
        <w:rPr>
          <w:w w:val="100"/>
        </w:rPr>
        <w:t>тьи 7. В случае принятия отрицательного решения Иммиграционная служба Д</w:t>
      </w:r>
      <w:r w:rsidRPr="00301875">
        <w:rPr>
          <w:w w:val="100"/>
        </w:rPr>
        <w:t>а</w:t>
      </w:r>
      <w:r w:rsidRPr="00301875">
        <w:rPr>
          <w:w w:val="100"/>
        </w:rPr>
        <w:t>нии передает дело на рассмотрение датского Совета по делам беженцев, который может согласиться с принятым решением и вернуть дело в Иммиграционную службу или же не согласиться с ним, в результате чего данное решение автомат</w:t>
      </w:r>
      <w:r w:rsidRPr="00301875">
        <w:rPr>
          <w:w w:val="100"/>
        </w:rPr>
        <w:t>и</w:t>
      </w:r>
      <w:r w:rsidRPr="00301875">
        <w:rPr>
          <w:w w:val="100"/>
        </w:rPr>
        <w:t xml:space="preserve">чески считается обжалованным в датском Совете по делам беженцев.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4.4</w:t>
      </w:r>
      <w:r w:rsidRPr="00301875">
        <w:rPr>
          <w:w w:val="100"/>
        </w:rPr>
        <w:tab/>
        <w:t>Государство-участник заявляет, что сообщение должно быть признано н</w:t>
      </w:r>
      <w:r w:rsidRPr="00301875">
        <w:rPr>
          <w:w w:val="100"/>
        </w:rPr>
        <w:t>е</w:t>
      </w:r>
      <w:r w:rsidRPr="00301875">
        <w:rPr>
          <w:w w:val="100"/>
        </w:rPr>
        <w:t>приемлемым в соответствии с пунктом 1) статьи 4 Факультативного протокола, поскольку автор сообщения не исчерпала все внутренние средства правовой з</w:t>
      </w:r>
      <w:r w:rsidRPr="00301875">
        <w:rPr>
          <w:w w:val="100"/>
        </w:rPr>
        <w:t>а</w:t>
      </w:r>
      <w:r w:rsidRPr="00301875">
        <w:rPr>
          <w:w w:val="100"/>
        </w:rPr>
        <w:t>щиты. Оно обращает внимание на то, что в соответствии с положениями ст</w:t>
      </w:r>
      <w:r w:rsidRPr="00301875">
        <w:rPr>
          <w:w w:val="100"/>
        </w:rPr>
        <w:t>а</w:t>
      </w:r>
      <w:r w:rsidRPr="00301875">
        <w:rPr>
          <w:w w:val="100"/>
        </w:rPr>
        <w:t>тьи 63 Конституции иностранцы могут подавать апелляцию в суды ординарной юрисдикции, в компетенцию которых входит вынесение решений по всем вопр</w:t>
      </w:r>
      <w:r w:rsidRPr="00301875">
        <w:rPr>
          <w:w w:val="100"/>
        </w:rPr>
        <w:t>о</w:t>
      </w:r>
      <w:r w:rsidRPr="00301875">
        <w:rPr>
          <w:w w:val="100"/>
        </w:rPr>
        <w:t>сам, касающимся объема полномочий органов исполнительной власти. Таким о</w:t>
      </w:r>
      <w:r w:rsidRPr="00301875">
        <w:rPr>
          <w:w w:val="100"/>
        </w:rPr>
        <w:t>б</w:t>
      </w:r>
      <w:r w:rsidRPr="00301875">
        <w:rPr>
          <w:w w:val="100"/>
        </w:rPr>
        <w:t>разом, по мнению государства-участника, заявление автора сообщения о том, что она была лишена возможности обжаловать вынесенное по ее делу решение, не соответствует действительности. Кроме того, в связи с этим гос</w:t>
      </w:r>
      <w:r w:rsidRPr="00301875">
        <w:rPr>
          <w:w w:val="100"/>
        </w:rPr>
        <w:t>у</w:t>
      </w:r>
      <w:r w:rsidRPr="00301875">
        <w:rPr>
          <w:w w:val="100"/>
        </w:rPr>
        <w:t>дарство-участник обращает внимание на то, что судам ничто не препятствует в пред</w:t>
      </w:r>
      <w:r w:rsidRPr="00301875">
        <w:rPr>
          <w:w w:val="100"/>
        </w:rPr>
        <w:t>о</w:t>
      </w:r>
      <w:r w:rsidRPr="00301875">
        <w:rPr>
          <w:w w:val="100"/>
        </w:rPr>
        <w:t>ставлении согласия на рассмотрение в судебном порядке вопроса об обоснова</w:t>
      </w:r>
      <w:r w:rsidRPr="00301875">
        <w:rPr>
          <w:w w:val="100"/>
        </w:rPr>
        <w:t>н</w:t>
      </w:r>
      <w:r w:rsidRPr="00301875">
        <w:rPr>
          <w:w w:val="100"/>
        </w:rPr>
        <w:t>ности административного решения в целях приостановки исполнения такого рода решения. Оно также заявляет, что вопрос о том, может ли исполнение решения быть приостановлено в связи с его рассмотрением в судебном порядке, определ</w:t>
      </w:r>
      <w:r w:rsidRPr="00301875">
        <w:rPr>
          <w:w w:val="100"/>
        </w:rPr>
        <w:t>я</w:t>
      </w:r>
      <w:r w:rsidRPr="00301875">
        <w:rPr>
          <w:w w:val="100"/>
        </w:rPr>
        <w:t>ется балансом между общественным интересом в отношении недопущения о</w:t>
      </w:r>
      <w:r w:rsidRPr="00301875">
        <w:rPr>
          <w:w w:val="100"/>
        </w:rPr>
        <w:t>т</w:t>
      </w:r>
      <w:r w:rsidRPr="00301875">
        <w:rPr>
          <w:w w:val="100"/>
        </w:rPr>
        <w:t>срочки в исполнении решения и характером и масштабом ущерба, который может быть нанесен конкретному заявителю, на основании предварительной оценки наличия разумных оснований для того, чтобы требовать признания его неде</w:t>
      </w:r>
      <w:r w:rsidRPr="00301875">
        <w:rPr>
          <w:w w:val="100"/>
        </w:rPr>
        <w:t>й</w:t>
      </w:r>
      <w:r w:rsidRPr="00301875">
        <w:rPr>
          <w:w w:val="100"/>
        </w:rPr>
        <w:t>ствительности. Соответственно государство-участник считает, что автор сообщ</w:t>
      </w:r>
      <w:r w:rsidRPr="00301875">
        <w:rPr>
          <w:w w:val="100"/>
        </w:rPr>
        <w:t>е</w:t>
      </w:r>
      <w:r w:rsidRPr="00301875">
        <w:rPr>
          <w:w w:val="100"/>
        </w:rPr>
        <w:t>ния располагала доступом к эффективному средству правовой защиты при ра</w:t>
      </w:r>
      <w:r w:rsidRPr="00301875">
        <w:rPr>
          <w:w w:val="100"/>
        </w:rPr>
        <w:t>с</w:t>
      </w:r>
      <w:r w:rsidRPr="00301875">
        <w:rPr>
          <w:w w:val="100"/>
        </w:rPr>
        <w:t>смотрении ее дела. Кроме того, государство-участник заявляет, что из правопр</w:t>
      </w:r>
      <w:r w:rsidRPr="00301875">
        <w:rPr>
          <w:w w:val="100"/>
        </w:rPr>
        <w:t>и</w:t>
      </w:r>
      <w:r w:rsidRPr="00301875">
        <w:rPr>
          <w:w w:val="100"/>
        </w:rPr>
        <w:t>менительной практики Комитета следует, что автор сообщения должна была озвучить на национальном уровне суть жалобы, которую она намерена предст</w:t>
      </w:r>
      <w:r w:rsidRPr="00301875">
        <w:rPr>
          <w:w w:val="100"/>
        </w:rPr>
        <w:t>а</w:t>
      </w:r>
      <w:r w:rsidRPr="00301875">
        <w:rPr>
          <w:w w:val="100"/>
        </w:rPr>
        <w:t>вить на рассмотрение Комитета</w:t>
      </w:r>
      <w:r w:rsidR="00CA5E9F" w:rsidRPr="00B74F5C">
        <w:rPr>
          <w:rStyle w:val="FootnoteReference"/>
        </w:rPr>
        <w:footnoteReference w:id="4"/>
      </w:r>
      <w:r w:rsidRPr="00301875">
        <w:rPr>
          <w:w w:val="100"/>
        </w:rPr>
        <w:t>. Оно обращает внимание на то, что автор соо</w:t>
      </w:r>
      <w:r w:rsidRPr="00301875">
        <w:rPr>
          <w:w w:val="100"/>
        </w:rPr>
        <w:t>б</w:t>
      </w:r>
      <w:r w:rsidRPr="00301875">
        <w:rPr>
          <w:w w:val="100"/>
        </w:rPr>
        <w:t>щения никогда не выдвигала перед датскими органами власти никаких обвин</w:t>
      </w:r>
      <w:r w:rsidRPr="00301875">
        <w:rPr>
          <w:w w:val="100"/>
        </w:rPr>
        <w:t>е</w:t>
      </w:r>
      <w:r w:rsidRPr="00301875">
        <w:rPr>
          <w:w w:val="100"/>
        </w:rPr>
        <w:t>ний в гендерной дискриминации, и у национальных органов власти соотве</w:t>
      </w:r>
      <w:r w:rsidRPr="00301875">
        <w:rPr>
          <w:w w:val="100"/>
        </w:rPr>
        <w:t>т</w:t>
      </w:r>
      <w:r w:rsidRPr="00301875">
        <w:rPr>
          <w:w w:val="100"/>
        </w:rPr>
        <w:t>ственно не было никакой возможности рассмотреть такого рода обвинения. Гос</w:t>
      </w:r>
      <w:r w:rsidRPr="00301875">
        <w:rPr>
          <w:w w:val="100"/>
        </w:rPr>
        <w:t>у</w:t>
      </w:r>
      <w:r w:rsidRPr="00301875">
        <w:rPr>
          <w:w w:val="100"/>
        </w:rPr>
        <w:t>дарство-участник утверждает, что в целях признания сообщения в качестве пр</w:t>
      </w:r>
      <w:r w:rsidRPr="00301875">
        <w:rPr>
          <w:w w:val="100"/>
        </w:rPr>
        <w:t>и</w:t>
      </w:r>
      <w:r w:rsidRPr="00301875">
        <w:rPr>
          <w:w w:val="100"/>
        </w:rPr>
        <w:t>емлемого автор сообщения должна была по крайней мере поставить перед нац</w:t>
      </w:r>
      <w:r w:rsidRPr="00301875">
        <w:rPr>
          <w:w w:val="100"/>
        </w:rPr>
        <w:t>и</w:t>
      </w:r>
      <w:r w:rsidRPr="00301875">
        <w:rPr>
          <w:w w:val="100"/>
        </w:rPr>
        <w:t xml:space="preserve">ональными органами власти вопрос о соблюдении предусмотренных Конвенцией соответствующих материальных прав.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4.5</w:t>
      </w:r>
      <w:r w:rsidRPr="00301875">
        <w:rPr>
          <w:w w:val="100"/>
        </w:rPr>
        <w:tab/>
        <w:t>Государство-участник далее утверждает, что сообщение должно также быть пр</w:t>
      </w:r>
      <w:r w:rsidRPr="00301875">
        <w:rPr>
          <w:w w:val="100"/>
        </w:rPr>
        <w:t>и</w:t>
      </w:r>
      <w:r w:rsidRPr="00301875">
        <w:rPr>
          <w:w w:val="100"/>
        </w:rPr>
        <w:t>знано неприемлемым в соответствии с пунктом 2 с) статьи 4 Факультативного протокола, поскольку оно считает, что заявление о предполагаемой дискримин</w:t>
      </w:r>
      <w:r w:rsidRPr="00301875">
        <w:rPr>
          <w:w w:val="100"/>
        </w:rPr>
        <w:t>а</w:t>
      </w:r>
      <w:r w:rsidRPr="00301875">
        <w:rPr>
          <w:w w:val="100"/>
        </w:rPr>
        <w:t>ции в отношении ищущих убежище в Дании женщин со всей очевидностью явл</w:t>
      </w:r>
      <w:r w:rsidRPr="00301875">
        <w:rPr>
          <w:w w:val="100"/>
        </w:rPr>
        <w:t>я</w:t>
      </w:r>
      <w:r w:rsidRPr="00301875">
        <w:rPr>
          <w:w w:val="100"/>
        </w:rPr>
        <w:t xml:space="preserve">ется недостаточно обоснованным.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4.6</w:t>
      </w:r>
      <w:r w:rsidRPr="00301875">
        <w:rPr>
          <w:w w:val="100"/>
        </w:rPr>
        <w:tab/>
        <w:t>Государство-участник далее заявляет о том, что сообщение должно быть признано неприемлемым ratione materiae и ratione loci в соответствии с пун</w:t>
      </w:r>
      <w:r w:rsidRPr="00301875">
        <w:rPr>
          <w:w w:val="100"/>
        </w:rPr>
        <w:t>к</w:t>
      </w:r>
      <w:r w:rsidRPr="00301875">
        <w:rPr>
          <w:w w:val="100"/>
        </w:rPr>
        <w:t>том 2) статьи 4 Факультативного протокола, поскольку оно считает, что Дания не несет ответственности согласно положениям Конвенции за случаи гендерного насилия, жертвой которых стала автор сообщения, в связи с чем возвращение а</w:t>
      </w:r>
      <w:r w:rsidRPr="00301875">
        <w:rPr>
          <w:w w:val="100"/>
        </w:rPr>
        <w:t>в</w:t>
      </w:r>
      <w:r w:rsidRPr="00301875">
        <w:rPr>
          <w:w w:val="100"/>
        </w:rPr>
        <w:t>тора сообщения в Китай не может повлечь за собой возникновения ответственн</w:t>
      </w:r>
      <w:r w:rsidRPr="00301875">
        <w:rPr>
          <w:w w:val="100"/>
        </w:rPr>
        <w:t>о</w:t>
      </w:r>
      <w:r w:rsidRPr="00301875">
        <w:rPr>
          <w:w w:val="100"/>
        </w:rPr>
        <w:t>сти у государства-участника. Государство-участник отмечает, что автор сообщ</w:t>
      </w:r>
      <w:r w:rsidRPr="00301875">
        <w:rPr>
          <w:w w:val="100"/>
        </w:rPr>
        <w:t>е</w:t>
      </w:r>
      <w:r w:rsidRPr="00301875">
        <w:rPr>
          <w:w w:val="100"/>
        </w:rPr>
        <w:t>ния стремится придать предусмотренным Конвенцией обязательствам экстерр</w:t>
      </w:r>
      <w:r w:rsidRPr="00301875">
        <w:rPr>
          <w:w w:val="100"/>
        </w:rPr>
        <w:t>и</w:t>
      </w:r>
      <w:r w:rsidRPr="00301875">
        <w:rPr>
          <w:w w:val="100"/>
        </w:rPr>
        <w:t>ториальный характер. Тем не менее оно считает, что утверждения автора соо</w:t>
      </w:r>
      <w:r w:rsidRPr="00301875">
        <w:rPr>
          <w:w w:val="100"/>
        </w:rPr>
        <w:t>б</w:t>
      </w:r>
      <w:r w:rsidRPr="00301875">
        <w:rPr>
          <w:w w:val="100"/>
        </w:rPr>
        <w:t>щения о нарушении предусмотренного Конвенцией права относятся главным о</w:t>
      </w:r>
      <w:r w:rsidRPr="00301875">
        <w:rPr>
          <w:w w:val="100"/>
        </w:rPr>
        <w:t>б</w:t>
      </w:r>
      <w:r w:rsidRPr="00301875">
        <w:rPr>
          <w:w w:val="100"/>
        </w:rPr>
        <w:t>разом к Китаю, а не к Дании. Соответственно, по мнению гос</w:t>
      </w:r>
      <w:r w:rsidRPr="00301875">
        <w:rPr>
          <w:w w:val="100"/>
        </w:rPr>
        <w:t>у</w:t>
      </w:r>
      <w:r w:rsidRPr="00301875">
        <w:rPr>
          <w:w w:val="100"/>
        </w:rPr>
        <w:t>дарства-участника, у Комитета нет юрисдикции применительно к Дании в отношении заявления о соответствующем нарушении и сообщение является несовместимым с положен</w:t>
      </w:r>
      <w:r w:rsidRPr="00301875">
        <w:rPr>
          <w:w w:val="100"/>
        </w:rPr>
        <w:t>и</w:t>
      </w:r>
      <w:r w:rsidRPr="00301875">
        <w:rPr>
          <w:w w:val="100"/>
        </w:rPr>
        <w:t>ями Конвенции. Государство-участник обращает внимание на то, что статья 2 Факультативного протокола предусматривает, что сообщения Комитету могут направляться жертвами нарушения государством-участником какого-либо из и</w:t>
      </w:r>
      <w:r w:rsidRPr="00301875">
        <w:rPr>
          <w:w w:val="100"/>
        </w:rPr>
        <w:t>з</w:t>
      </w:r>
      <w:r w:rsidRPr="00301875">
        <w:rPr>
          <w:w w:val="100"/>
        </w:rPr>
        <w:t>ложенных в Конвенции прав либо от их имени</w:t>
      </w:r>
      <w:r>
        <w:rPr>
          <w:w w:val="100"/>
        </w:rPr>
        <w:t>,</w:t>
      </w:r>
      <w:r w:rsidRPr="00301875">
        <w:rPr>
          <w:w w:val="100"/>
        </w:rPr>
        <w:t xml:space="preserve"> и соответственно оно считает, что право на подачу индивидуальной петиции ограничено положением о юрисди</w:t>
      </w:r>
      <w:r w:rsidRPr="00301875">
        <w:rPr>
          <w:w w:val="100"/>
        </w:rPr>
        <w:t>к</w:t>
      </w:r>
      <w:r w:rsidRPr="00301875">
        <w:rPr>
          <w:w w:val="100"/>
        </w:rPr>
        <w:t>ции. Поэтому государство-участник считает, что автор может направить сообщ</w:t>
      </w:r>
      <w:r w:rsidRPr="00301875">
        <w:rPr>
          <w:w w:val="100"/>
        </w:rPr>
        <w:t>е</w:t>
      </w:r>
      <w:r w:rsidRPr="00301875">
        <w:rPr>
          <w:w w:val="100"/>
        </w:rPr>
        <w:t>ние по поводу действий Д</w:t>
      </w:r>
      <w:r w:rsidRPr="00301875">
        <w:rPr>
          <w:w w:val="100"/>
        </w:rPr>
        <w:t>а</w:t>
      </w:r>
      <w:r w:rsidRPr="00301875">
        <w:rPr>
          <w:w w:val="100"/>
        </w:rPr>
        <w:t>нии лишь в отношении нарушений, предположительно совершенных государством-участником в пределах его юрисдикции. Оно отмеч</w:t>
      </w:r>
      <w:r w:rsidRPr="00301875">
        <w:rPr>
          <w:w w:val="100"/>
        </w:rPr>
        <w:t>а</w:t>
      </w:r>
      <w:r w:rsidRPr="00301875">
        <w:rPr>
          <w:w w:val="100"/>
        </w:rPr>
        <w:t>ет, что утверждения автора сообщения о гендерном насилии не относятся к де</w:t>
      </w:r>
      <w:r w:rsidRPr="00301875">
        <w:rPr>
          <w:w w:val="100"/>
        </w:rPr>
        <w:t>й</w:t>
      </w:r>
      <w:r w:rsidRPr="00301875">
        <w:rPr>
          <w:w w:val="100"/>
        </w:rPr>
        <w:t>ствиям датских официальных лиц или частных лиц, находящихся под юрисди</w:t>
      </w:r>
      <w:r w:rsidRPr="00301875">
        <w:rPr>
          <w:w w:val="100"/>
        </w:rPr>
        <w:t>к</w:t>
      </w:r>
      <w:r w:rsidRPr="00301875">
        <w:rPr>
          <w:w w:val="100"/>
        </w:rPr>
        <w:t>цией Дании, и фактически они основаны на последствиях, которые, как утве</w:t>
      </w:r>
      <w:r w:rsidRPr="00301875">
        <w:rPr>
          <w:w w:val="100"/>
        </w:rPr>
        <w:t>р</w:t>
      </w:r>
      <w:r w:rsidRPr="00301875">
        <w:rPr>
          <w:w w:val="100"/>
        </w:rPr>
        <w:t>ждается, может повлечь за собой ее возвращение в К</w:t>
      </w:r>
      <w:r w:rsidRPr="00301875">
        <w:rPr>
          <w:w w:val="100"/>
        </w:rPr>
        <w:t>и</w:t>
      </w:r>
      <w:r w:rsidRPr="00301875">
        <w:rPr>
          <w:w w:val="100"/>
        </w:rPr>
        <w:t>тай. Государство-участник настаивает на том, что решение о возвращении автора в К</w:t>
      </w:r>
      <w:r w:rsidRPr="00301875">
        <w:rPr>
          <w:w w:val="100"/>
        </w:rPr>
        <w:t>и</w:t>
      </w:r>
      <w:r w:rsidRPr="00301875">
        <w:rPr>
          <w:w w:val="100"/>
        </w:rPr>
        <w:t>тай не может повлечь за собой возникновения ответственности у Дании в соответствии с положениями статей 1</w:t>
      </w:r>
      <w:r>
        <w:rPr>
          <w:w w:val="100"/>
        </w:rPr>
        <w:t>–</w:t>
      </w:r>
      <w:r w:rsidRPr="00301875">
        <w:rPr>
          <w:w w:val="100"/>
        </w:rPr>
        <w:t>3, 12 или 15 Конвенции. Государство-участник также обращает вним</w:t>
      </w:r>
      <w:r w:rsidRPr="00301875">
        <w:rPr>
          <w:w w:val="100"/>
        </w:rPr>
        <w:t>а</w:t>
      </w:r>
      <w:r w:rsidRPr="00301875">
        <w:rPr>
          <w:w w:val="100"/>
        </w:rPr>
        <w:t xml:space="preserve">ние на то, что понятие </w:t>
      </w:r>
      <w:r w:rsidR="005C5416">
        <w:rPr>
          <w:w w:val="100"/>
        </w:rPr>
        <w:t>«</w:t>
      </w:r>
      <w:r w:rsidRPr="00301875">
        <w:rPr>
          <w:w w:val="100"/>
        </w:rPr>
        <w:t>юрисдикция</w:t>
      </w:r>
      <w:r w:rsidR="005C5416">
        <w:rPr>
          <w:w w:val="100"/>
        </w:rPr>
        <w:t>»</w:t>
      </w:r>
      <w:r w:rsidRPr="00301875">
        <w:rPr>
          <w:w w:val="100"/>
        </w:rPr>
        <w:t xml:space="preserve"> для целей статьи 2 Факультативного прот</w:t>
      </w:r>
      <w:r w:rsidRPr="00301875">
        <w:rPr>
          <w:w w:val="100"/>
        </w:rPr>
        <w:t>о</w:t>
      </w:r>
      <w:r w:rsidRPr="00301875">
        <w:rPr>
          <w:w w:val="100"/>
        </w:rPr>
        <w:t>кола должно быть истолковано в соответствии со значением, которое закрепл</w:t>
      </w:r>
      <w:r w:rsidRPr="00301875">
        <w:rPr>
          <w:w w:val="100"/>
        </w:rPr>
        <w:t>е</w:t>
      </w:r>
      <w:r w:rsidRPr="00301875">
        <w:rPr>
          <w:w w:val="100"/>
        </w:rPr>
        <w:t>но за этим термином в международном публичном праве и согласно которому юри</w:t>
      </w:r>
      <w:r w:rsidRPr="00301875">
        <w:rPr>
          <w:w w:val="100"/>
        </w:rPr>
        <w:t>с</w:t>
      </w:r>
      <w:r w:rsidRPr="00301875">
        <w:rPr>
          <w:w w:val="100"/>
        </w:rPr>
        <w:t>дикционная компетенция государства-участника является главным образом те</w:t>
      </w:r>
      <w:r w:rsidRPr="00301875">
        <w:rPr>
          <w:w w:val="100"/>
        </w:rPr>
        <w:t>р</w:t>
      </w:r>
      <w:r w:rsidRPr="00301875">
        <w:rPr>
          <w:w w:val="100"/>
        </w:rPr>
        <w:t>риториальной. Оно полагает, что лишь в тех случаях, когда действия гос</w:t>
      </w:r>
      <w:r w:rsidRPr="00301875">
        <w:rPr>
          <w:w w:val="100"/>
        </w:rPr>
        <w:t>у</w:t>
      </w:r>
      <w:r w:rsidRPr="00301875">
        <w:rPr>
          <w:w w:val="100"/>
        </w:rPr>
        <w:t>дарств-участников могут иметь косвенные последствия с точки зрения пред</w:t>
      </w:r>
      <w:r w:rsidRPr="00301875">
        <w:rPr>
          <w:w w:val="100"/>
        </w:rPr>
        <w:t>у</w:t>
      </w:r>
      <w:r w:rsidRPr="00301875">
        <w:rPr>
          <w:w w:val="100"/>
        </w:rPr>
        <w:t>смотренных Конвенцией прав конкретного лица в других государствах, может идти речь о возникновении у соответствующего государства ответственности, и это должно рассматриваться в качестве исключения, обусловленного исключительными о</w:t>
      </w:r>
      <w:r w:rsidRPr="00301875">
        <w:rPr>
          <w:w w:val="100"/>
        </w:rPr>
        <w:t>б</w:t>
      </w:r>
      <w:r w:rsidRPr="00301875">
        <w:rPr>
          <w:w w:val="100"/>
        </w:rPr>
        <w:t>стоятельствами. Государство-участник утверждает, что в данном случае такого рода обстоятельства, которые могли бы обосновать возложение на Данию отве</w:t>
      </w:r>
      <w:r w:rsidRPr="00301875">
        <w:rPr>
          <w:w w:val="100"/>
        </w:rPr>
        <w:t>т</w:t>
      </w:r>
      <w:r w:rsidRPr="00301875">
        <w:rPr>
          <w:w w:val="100"/>
        </w:rPr>
        <w:t>ственности за нарушения Конвенции, которые, как ожидается, могут быть сове</w:t>
      </w:r>
      <w:r w:rsidRPr="00301875">
        <w:rPr>
          <w:w w:val="100"/>
        </w:rPr>
        <w:t>р</w:t>
      </w:r>
      <w:r w:rsidRPr="00301875">
        <w:rPr>
          <w:w w:val="100"/>
        </w:rPr>
        <w:t>шены другим государством-участником за пределами датской территории и юрисдикции, отсутствуют. Государство-участник считает, что ни один пример правовой практики не указывает на то, что соответствующие положения Конве</w:t>
      </w:r>
      <w:r w:rsidRPr="00301875">
        <w:rPr>
          <w:w w:val="100"/>
        </w:rPr>
        <w:t>н</w:t>
      </w:r>
      <w:r w:rsidRPr="00301875">
        <w:rPr>
          <w:w w:val="100"/>
        </w:rPr>
        <w:t xml:space="preserve">ции обладают каким-либо экстерриториальным действием.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4.7</w:t>
      </w:r>
      <w:r w:rsidRPr="00301875">
        <w:rPr>
          <w:w w:val="100"/>
        </w:rPr>
        <w:tab/>
        <w:t>Государство-участник полагает, что руководящие принципы можно найти в прецедентном праве Европейского суда по правам человека, который применял</w:t>
      </w:r>
      <w:r w:rsidR="00CA5E9F" w:rsidRPr="00B74F5C">
        <w:rPr>
          <w:rStyle w:val="FootnoteReference"/>
        </w:rPr>
        <w:footnoteReference w:id="5"/>
      </w:r>
      <w:r w:rsidRPr="00301875">
        <w:rPr>
          <w:w w:val="100"/>
        </w:rPr>
        <w:t xml:space="preserve"> экстерриториальный принцип в отношении статьи 3 Конвенции о защите прав человека и основных свобод (Европейской конвенции по правам человека), отр</w:t>
      </w:r>
      <w:r w:rsidRPr="00301875">
        <w:rPr>
          <w:w w:val="100"/>
        </w:rPr>
        <w:t>а</w:t>
      </w:r>
      <w:r w:rsidRPr="00301875">
        <w:rPr>
          <w:w w:val="100"/>
        </w:rPr>
        <w:t>жающей императивную норму, касающуюся пыток и невыдворения, но отказался использовать экстерриториальный характер Европейской конвенции по правам человека применительно к случаям, подпадающим под действие других полож</w:t>
      </w:r>
      <w:r w:rsidRPr="00301875">
        <w:rPr>
          <w:w w:val="100"/>
        </w:rPr>
        <w:t>е</w:t>
      </w:r>
      <w:r w:rsidRPr="00301875">
        <w:rPr>
          <w:w w:val="100"/>
        </w:rPr>
        <w:t>ний данного документа, утверждая, что, по чисто прагматическим соображениям, нельзя требовать от высылающего госуда</w:t>
      </w:r>
      <w:r w:rsidRPr="00301875">
        <w:rPr>
          <w:w w:val="100"/>
        </w:rPr>
        <w:t>р</w:t>
      </w:r>
      <w:r w:rsidRPr="00301875">
        <w:rPr>
          <w:w w:val="100"/>
        </w:rPr>
        <w:t>ства возвращения иностранца только в ту страну, которая в полном объеме соблюдает все права человека и обеспечивает их всестороннюю и эффективную реализацию. Государство-участник ссылается далее на правовую практику Комитета и Комитета по правам человека и утве</w:t>
      </w:r>
      <w:r w:rsidRPr="00301875">
        <w:rPr>
          <w:w w:val="100"/>
        </w:rPr>
        <w:t>р</w:t>
      </w:r>
      <w:r w:rsidRPr="00301875">
        <w:rPr>
          <w:w w:val="100"/>
        </w:rPr>
        <w:t>ждает, что последний никогда не рассматривал по существу жал</w:t>
      </w:r>
      <w:r w:rsidRPr="00301875">
        <w:rPr>
          <w:w w:val="100"/>
        </w:rPr>
        <w:t>о</w:t>
      </w:r>
      <w:r w:rsidRPr="00301875">
        <w:rPr>
          <w:w w:val="100"/>
        </w:rPr>
        <w:t xml:space="preserve">бы, касающиеся высылки лица, опасавшегося нарушения </w:t>
      </w:r>
      <w:r w:rsidR="005C5416">
        <w:rPr>
          <w:w w:val="100"/>
        </w:rPr>
        <w:t>«</w:t>
      </w:r>
      <w:r w:rsidRPr="00301875">
        <w:rPr>
          <w:w w:val="100"/>
        </w:rPr>
        <w:t>менее значимого</w:t>
      </w:r>
      <w:r w:rsidR="005C5416">
        <w:rPr>
          <w:w w:val="100"/>
        </w:rPr>
        <w:t>»</w:t>
      </w:r>
      <w:r w:rsidRPr="00301875">
        <w:rPr>
          <w:w w:val="100"/>
        </w:rPr>
        <w:t xml:space="preserve"> права или наруш</w:t>
      </w:r>
      <w:r w:rsidRPr="00301875">
        <w:rPr>
          <w:w w:val="100"/>
        </w:rPr>
        <w:t>е</w:t>
      </w:r>
      <w:r w:rsidRPr="00301875">
        <w:rPr>
          <w:w w:val="100"/>
        </w:rPr>
        <w:t>ния права, допускающего отступление со стороны принимающего государства. Государство-участник также конкретно ссылается на соответствующие полож</w:t>
      </w:r>
      <w:r w:rsidRPr="00301875">
        <w:rPr>
          <w:w w:val="100"/>
        </w:rPr>
        <w:t>е</w:t>
      </w:r>
      <w:r w:rsidRPr="00301875">
        <w:rPr>
          <w:w w:val="100"/>
        </w:rPr>
        <w:t>ния Конвенции против пыток и статьи 6 и 7 Международного пакта о гражда</w:t>
      </w:r>
      <w:r w:rsidRPr="00301875">
        <w:rPr>
          <w:w w:val="100"/>
        </w:rPr>
        <w:t>н</w:t>
      </w:r>
      <w:r w:rsidRPr="00301875">
        <w:rPr>
          <w:w w:val="100"/>
        </w:rPr>
        <w:t>ских и политических правах, заявляя, что эти положения трактовались в качестве пре</w:t>
      </w:r>
      <w:r w:rsidRPr="00301875">
        <w:rPr>
          <w:w w:val="100"/>
        </w:rPr>
        <w:t>д</w:t>
      </w:r>
      <w:r w:rsidRPr="00301875">
        <w:rPr>
          <w:w w:val="100"/>
        </w:rPr>
        <w:t>полагающих косвенную защиту какого-либо лица от высылки в то место, где для него существует угроза смертной казни, пыток или иных подобных серье</w:t>
      </w:r>
      <w:r w:rsidRPr="00301875">
        <w:rPr>
          <w:w w:val="100"/>
        </w:rPr>
        <w:t>з</w:t>
      </w:r>
      <w:r w:rsidRPr="00301875">
        <w:rPr>
          <w:w w:val="100"/>
        </w:rPr>
        <w:t>ных угроз жизни и личной неприкосновенности, отмечая при этом, что оно не считает, что Конвенция о ликвидации всех форм дискриминации в отношении женщин прямо (или косвенно) действует в отношении случаев высылки при наличии угроз пыток или иных серьезных угроз для жизни и личной неприкосн</w:t>
      </w:r>
      <w:r w:rsidRPr="00301875">
        <w:rPr>
          <w:w w:val="100"/>
        </w:rPr>
        <w:t>о</w:t>
      </w:r>
      <w:r w:rsidRPr="00301875">
        <w:rPr>
          <w:w w:val="100"/>
        </w:rPr>
        <w:t xml:space="preserve">венности конкретного лица.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4.8</w:t>
      </w:r>
      <w:r w:rsidRPr="00301875">
        <w:rPr>
          <w:w w:val="100"/>
        </w:rPr>
        <w:tab/>
        <w:t>Государство-участник заявляет, что ему известно о том, что Комитет в своей рекомендации № 19 общего порядка обратил особое внимание на то, что генде</w:t>
      </w:r>
      <w:r w:rsidRPr="00301875">
        <w:rPr>
          <w:w w:val="100"/>
        </w:rPr>
        <w:t>р</w:t>
      </w:r>
      <w:r w:rsidRPr="00301875">
        <w:rPr>
          <w:w w:val="100"/>
        </w:rPr>
        <w:t>ное насилие представляет собой одну из форм дискриминации, которая может з</w:t>
      </w:r>
      <w:r w:rsidRPr="00301875">
        <w:rPr>
          <w:w w:val="100"/>
        </w:rPr>
        <w:t>а</w:t>
      </w:r>
      <w:r w:rsidRPr="00301875">
        <w:rPr>
          <w:w w:val="100"/>
        </w:rPr>
        <w:t>труднять или сводить на нет реализацию женщинами прав человека и основных свобод, таких как право на жизнь, право на личную неприкосновенность и право не подвергаться пыткам или жестоким, бесчеловечным или унижающим дост</w:t>
      </w:r>
      <w:r w:rsidRPr="00301875">
        <w:rPr>
          <w:w w:val="100"/>
        </w:rPr>
        <w:t>о</w:t>
      </w:r>
      <w:r w:rsidRPr="00301875">
        <w:rPr>
          <w:w w:val="100"/>
        </w:rPr>
        <w:t>инство видам обращения или наказания. Тем не менее государство-участник сч</w:t>
      </w:r>
      <w:r w:rsidRPr="00301875">
        <w:rPr>
          <w:w w:val="100"/>
        </w:rPr>
        <w:t>и</w:t>
      </w:r>
      <w:r w:rsidRPr="00301875">
        <w:rPr>
          <w:w w:val="100"/>
        </w:rPr>
        <w:t>тает, что это не меняет того факта, что государство-участник несет ответстве</w:t>
      </w:r>
      <w:r w:rsidRPr="00301875">
        <w:rPr>
          <w:w w:val="100"/>
        </w:rPr>
        <w:t>н</w:t>
      </w:r>
      <w:r w:rsidRPr="00301875">
        <w:rPr>
          <w:w w:val="100"/>
        </w:rPr>
        <w:t>ность только за обязательства в отношении лиц, находящихся под его юрисди</w:t>
      </w:r>
      <w:r w:rsidRPr="00301875">
        <w:rPr>
          <w:w w:val="100"/>
        </w:rPr>
        <w:t>к</w:t>
      </w:r>
      <w:r w:rsidRPr="00301875">
        <w:rPr>
          <w:w w:val="100"/>
        </w:rPr>
        <w:t>цией, и не может нести ответственность за дискр</w:t>
      </w:r>
      <w:r w:rsidRPr="00301875">
        <w:rPr>
          <w:w w:val="100"/>
        </w:rPr>
        <w:t>и</w:t>
      </w:r>
      <w:r w:rsidRPr="00301875">
        <w:rPr>
          <w:w w:val="100"/>
        </w:rPr>
        <w:t>минацию, происходящую под юрисдикцией другого государства, даже если автор сможет доказать, что она могла бы быть подвергнута дискриминации в нарушение полож</w:t>
      </w:r>
      <w:r w:rsidRPr="00301875">
        <w:rPr>
          <w:w w:val="100"/>
        </w:rPr>
        <w:t>е</w:t>
      </w:r>
      <w:r w:rsidRPr="00301875">
        <w:rPr>
          <w:w w:val="100"/>
        </w:rPr>
        <w:t>ний Конвенции в связи с гендерным насилием в Китае. Государство-участник ссылается на два н</w:t>
      </w:r>
      <w:r w:rsidRPr="00301875">
        <w:rPr>
          <w:w w:val="100"/>
        </w:rPr>
        <w:t>е</w:t>
      </w:r>
      <w:r w:rsidRPr="00301875">
        <w:rPr>
          <w:w w:val="100"/>
        </w:rPr>
        <w:t>давно принятых решения Комитета, в которых это конкретное возражение против приемлемости не рассматривалось</w:t>
      </w:r>
      <w:r w:rsidR="00CA5E9F" w:rsidRPr="00B74F5C">
        <w:rPr>
          <w:rStyle w:val="FootnoteReference"/>
        </w:rPr>
        <w:footnoteReference w:id="6"/>
      </w:r>
      <w:r w:rsidRPr="00301875">
        <w:rPr>
          <w:w w:val="100"/>
        </w:rPr>
        <w:t xml:space="preserve"> и оба решения были признаны неприемл</w:t>
      </w:r>
      <w:r w:rsidRPr="00301875">
        <w:rPr>
          <w:w w:val="100"/>
        </w:rPr>
        <w:t>е</w:t>
      </w:r>
      <w:r w:rsidRPr="00301875">
        <w:rPr>
          <w:w w:val="100"/>
        </w:rPr>
        <w:t>мыми по другим причинам. Исходя из этого</w:t>
      </w:r>
      <w:r>
        <w:rPr>
          <w:w w:val="100"/>
        </w:rPr>
        <w:t>,</w:t>
      </w:r>
      <w:r w:rsidRPr="00301875">
        <w:rPr>
          <w:w w:val="100"/>
        </w:rPr>
        <w:t xml:space="preserve"> государство-участник соглашается с автором сообщения в отношении того, что Комитету следовало бы высказать свое мнение по вопросу экстерриториальности Конвенции. Тем не менее государство-участник отмечает, что высылка женщин, прибывающих в Данию лишь в целях избежания дискриминационного обращения в их странах, каким бы неприемл</w:t>
      </w:r>
      <w:r w:rsidRPr="00301875">
        <w:rPr>
          <w:w w:val="100"/>
        </w:rPr>
        <w:t>е</w:t>
      </w:r>
      <w:r w:rsidRPr="00301875">
        <w:rPr>
          <w:w w:val="100"/>
        </w:rPr>
        <w:t>мым оно ни было, не м</w:t>
      </w:r>
      <w:r w:rsidRPr="00301875">
        <w:rPr>
          <w:w w:val="100"/>
        </w:rPr>
        <w:t>о</w:t>
      </w:r>
      <w:r w:rsidRPr="00301875">
        <w:rPr>
          <w:w w:val="100"/>
        </w:rPr>
        <w:t>жет являться нарушением Данией положений Конвенции. Государство-участник утверждает, что в случае принятия противоположной то</w:t>
      </w:r>
      <w:r w:rsidRPr="00301875">
        <w:rPr>
          <w:w w:val="100"/>
        </w:rPr>
        <w:t>ч</w:t>
      </w:r>
      <w:r w:rsidRPr="00301875">
        <w:rPr>
          <w:w w:val="100"/>
        </w:rPr>
        <w:t>ки зрения государства-участники могли бы возвращать иностранцев лишь в те страны, в которых обеспечивается полное и эффективное соблюдение всех гара</w:t>
      </w:r>
      <w:r w:rsidRPr="00301875">
        <w:rPr>
          <w:w w:val="100"/>
        </w:rPr>
        <w:t>н</w:t>
      </w:r>
      <w:r w:rsidRPr="00301875">
        <w:rPr>
          <w:w w:val="100"/>
        </w:rPr>
        <w:t>тируемых Конвенцией прав; государство-участник считает эту точку зрения н</w:t>
      </w:r>
      <w:r w:rsidRPr="00301875">
        <w:rPr>
          <w:w w:val="100"/>
        </w:rPr>
        <w:t>е</w:t>
      </w:r>
      <w:r w:rsidRPr="00301875">
        <w:rPr>
          <w:w w:val="100"/>
        </w:rPr>
        <w:t xml:space="preserve">приемлемой. </w:t>
      </w:r>
    </w:p>
    <w:p w:rsidR="00294265" w:rsidRDefault="00294265" w:rsidP="00175E0B">
      <w:pPr>
        <w:pStyle w:val="SingleTxt"/>
        <w:rPr>
          <w:w w:val="100"/>
          <w:lang w:val="en-US"/>
        </w:rPr>
      </w:pPr>
      <w:r w:rsidRPr="00301875">
        <w:rPr>
          <w:w w:val="100"/>
        </w:rPr>
        <w:t>4.9</w:t>
      </w:r>
      <w:r w:rsidRPr="00301875">
        <w:rPr>
          <w:w w:val="100"/>
        </w:rPr>
        <w:tab/>
        <w:t>Кроме того, государство-участник утверждает, что в своем сообщении К</w:t>
      </w:r>
      <w:r w:rsidRPr="00301875">
        <w:rPr>
          <w:w w:val="100"/>
        </w:rPr>
        <w:t>о</w:t>
      </w:r>
      <w:r w:rsidRPr="00301875">
        <w:rPr>
          <w:w w:val="100"/>
        </w:rPr>
        <w:t>митету автор четко не указала и не объяснила, какие предусмотренные Конве</w:t>
      </w:r>
      <w:r w:rsidRPr="00301875">
        <w:rPr>
          <w:w w:val="100"/>
        </w:rPr>
        <w:t>н</w:t>
      </w:r>
      <w:r w:rsidRPr="00301875">
        <w:rPr>
          <w:w w:val="100"/>
        </w:rPr>
        <w:t>цией права сл</w:t>
      </w:r>
      <w:r w:rsidRPr="00301875">
        <w:rPr>
          <w:w w:val="100"/>
        </w:rPr>
        <w:t>у</w:t>
      </w:r>
      <w:r w:rsidRPr="00301875">
        <w:rPr>
          <w:w w:val="100"/>
        </w:rPr>
        <w:t>жат обоснованием ее сообщения, лишь сославшись на статьи 1</w:t>
      </w:r>
      <w:r>
        <w:rPr>
          <w:w w:val="100"/>
        </w:rPr>
        <w:t>–</w:t>
      </w:r>
      <w:r w:rsidRPr="00301875">
        <w:rPr>
          <w:w w:val="100"/>
        </w:rPr>
        <w:t>3, 12 и 15 Конвенции. По этой причине государство-участник утверждает, что с</w:t>
      </w:r>
      <w:r w:rsidRPr="00301875">
        <w:rPr>
          <w:w w:val="100"/>
        </w:rPr>
        <w:t>о</w:t>
      </w:r>
      <w:r w:rsidRPr="00301875">
        <w:rPr>
          <w:w w:val="100"/>
        </w:rPr>
        <w:t>общение должно быть также признано неприемлемым согласно пункту 2 с) ст</w:t>
      </w:r>
      <w:r w:rsidRPr="00301875">
        <w:rPr>
          <w:w w:val="100"/>
        </w:rPr>
        <w:t>а</w:t>
      </w:r>
      <w:r w:rsidRPr="00301875">
        <w:rPr>
          <w:w w:val="100"/>
        </w:rPr>
        <w:t>тьи 4 Факультативного протокола как недостаточно обоснованное.</w:t>
      </w:r>
    </w:p>
    <w:p w:rsidR="00C73339" w:rsidRPr="00C73339" w:rsidRDefault="00C73339" w:rsidP="00C73339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294265" w:rsidRDefault="00294265" w:rsidP="00C7333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  <w:lang w:val="en-US"/>
        </w:rPr>
      </w:pPr>
      <w:r w:rsidRPr="00301875">
        <w:rPr>
          <w:w w:val="100"/>
        </w:rPr>
        <w:tab/>
      </w:r>
      <w:r w:rsidRPr="00301875">
        <w:rPr>
          <w:w w:val="100"/>
        </w:rPr>
        <w:tab/>
        <w:t xml:space="preserve">Комментарии автора </w:t>
      </w:r>
      <w:r>
        <w:rPr>
          <w:w w:val="100"/>
        </w:rPr>
        <w:t xml:space="preserve">сообщения </w:t>
      </w:r>
      <w:r w:rsidRPr="00301875">
        <w:rPr>
          <w:w w:val="100"/>
        </w:rPr>
        <w:t xml:space="preserve">к замечаниям государства-участника </w:t>
      </w:r>
    </w:p>
    <w:p w:rsidR="00C73339" w:rsidRPr="00C73339" w:rsidRDefault="00C73339" w:rsidP="00C73339">
      <w:pPr>
        <w:spacing w:line="120" w:lineRule="exact"/>
        <w:rPr>
          <w:sz w:val="10"/>
          <w:lang w:val="en-US"/>
        </w:rPr>
      </w:pPr>
    </w:p>
    <w:p w:rsidR="00294265" w:rsidRPr="00301875" w:rsidRDefault="00294265" w:rsidP="00175E0B">
      <w:pPr>
        <w:pStyle w:val="SingleTxt"/>
        <w:rPr>
          <w:spacing w:val="0"/>
          <w:w w:val="100"/>
          <w:kern w:val="0"/>
        </w:rPr>
      </w:pPr>
      <w:r w:rsidRPr="00175E0B">
        <w:rPr>
          <w:w w:val="100"/>
        </w:rPr>
        <w:t>5.1</w:t>
      </w:r>
      <w:r w:rsidRPr="00175E0B">
        <w:rPr>
          <w:w w:val="100"/>
        </w:rPr>
        <w:tab/>
        <w:t>22 июля 2013 года автор сообщения представила новую информацию о д</w:t>
      </w:r>
      <w:r w:rsidRPr="00175E0B">
        <w:rPr>
          <w:w w:val="100"/>
        </w:rPr>
        <w:t>о</w:t>
      </w:r>
      <w:r w:rsidRPr="00175E0B">
        <w:rPr>
          <w:w w:val="100"/>
        </w:rPr>
        <w:t>полнительных нарушениях положений Конвенции государством-участником, а также свои комментарии к замечаниям государства-участника в отношении пр</w:t>
      </w:r>
      <w:r w:rsidRPr="00175E0B">
        <w:rPr>
          <w:w w:val="100"/>
        </w:rPr>
        <w:t>и</w:t>
      </w:r>
      <w:r w:rsidRPr="00175E0B">
        <w:rPr>
          <w:w w:val="100"/>
        </w:rPr>
        <w:t>емлемости.</w:t>
      </w:r>
      <w:r w:rsidRPr="00301875">
        <w:rPr>
          <w:spacing w:val="0"/>
          <w:w w:val="100"/>
          <w:kern w:val="0"/>
        </w:rPr>
        <w:t xml:space="preserve"> </w:t>
      </w:r>
    </w:p>
    <w:p w:rsidR="00294265" w:rsidRPr="00301875" w:rsidRDefault="00294265" w:rsidP="00175E0B">
      <w:pPr>
        <w:pStyle w:val="SingleTxt"/>
        <w:rPr>
          <w:spacing w:val="0"/>
          <w:w w:val="100"/>
          <w:kern w:val="0"/>
        </w:rPr>
      </w:pPr>
      <w:r w:rsidRPr="00175E0B">
        <w:rPr>
          <w:w w:val="100"/>
        </w:rPr>
        <w:t>5.2</w:t>
      </w:r>
      <w:r w:rsidRPr="00175E0B">
        <w:rPr>
          <w:w w:val="100"/>
        </w:rPr>
        <w:tab/>
        <w:t>Автор сообщения напоминает, что она была арестована в октябре 2012 года и содержалась под стражей в ожидании принудительной депортации. 26 февраля 2013 года городской суд продлил срок ее содержания под стражей, несмотря на возражение ее а</w:t>
      </w:r>
      <w:r w:rsidRPr="00175E0B">
        <w:rPr>
          <w:w w:val="100"/>
        </w:rPr>
        <w:t>д</w:t>
      </w:r>
      <w:r w:rsidRPr="00175E0B">
        <w:rPr>
          <w:w w:val="100"/>
        </w:rPr>
        <w:t>воката в отношении того, что она находилась под арестом более пяти месяцев без получения какой-либо помощи в связи с последствиями пол</w:t>
      </w:r>
      <w:r w:rsidRPr="00175E0B">
        <w:rPr>
          <w:w w:val="100"/>
        </w:rPr>
        <w:t>у</w:t>
      </w:r>
      <w:r w:rsidRPr="00175E0B">
        <w:rPr>
          <w:w w:val="100"/>
        </w:rPr>
        <w:t>ченной ею травмы. 27 февраля 2013 года автор сообщения подала апелляцию в Высокий суд Восточной Дании, заявляя о том, что продолжение содержания ее под арестом в этих условиях станет нарушением положений Конвенции и/или Конвенции против пыток. 4 марта 2013 года Высокий суд Восточной Дании ост</w:t>
      </w:r>
      <w:r w:rsidRPr="00175E0B">
        <w:rPr>
          <w:w w:val="100"/>
        </w:rPr>
        <w:t>а</w:t>
      </w:r>
      <w:r w:rsidRPr="00175E0B">
        <w:rPr>
          <w:w w:val="100"/>
        </w:rPr>
        <w:t>вил в силе решение городского суда. Автор затем обратилась с апелляцией в Ве</w:t>
      </w:r>
      <w:r w:rsidRPr="00175E0B">
        <w:rPr>
          <w:w w:val="100"/>
        </w:rPr>
        <w:t>р</w:t>
      </w:r>
      <w:r w:rsidRPr="00175E0B">
        <w:rPr>
          <w:w w:val="100"/>
        </w:rPr>
        <w:t>ховный суд, который отклонил ее апелляцию 5 апреля 2013 года. В связи с этим автор утверждает, что в отношении ее страданий в течение периода нахождения под стражей все внутренние средства правовой защиты были исчерпаны</w:t>
      </w:r>
      <w:r w:rsidRPr="00301875">
        <w:rPr>
          <w:spacing w:val="0"/>
          <w:w w:val="100"/>
          <w:kern w:val="0"/>
        </w:rPr>
        <w:t xml:space="preserve">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5.3</w:t>
      </w:r>
      <w:r w:rsidRPr="00301875">
        <w:rPr>
          <w:w w:val="100"/>
        </w:rPr>
        <w:tab/>
        <w:t>Автор сообщения утверждает, что</w:t>
      </w:r>
      <w:r>
        <w:rPr>
          <w:w w:val="100"/>
        </w:rPr>
        <w:t>,</w:t>
      </w:r>
      <w:r w:rsidRPr="00301875">
        <w:rPr>
          <w:w w:val="100"/>
        </w:rPr>
        <w:t xml:space="preserve"> поскольку она является жертвой генде</w:t>
      </w:r>
      <w:r w:rsidRPr="00301875">
        <w:rPr>
          <w:w w:val="100"/>
        </w:rPr>
        <w:t>р</w:t>
      </w:r>
      <w:r w:rsidRPr="00301875">
        <w:rPr>
          <w:w w:val="100"/>
        </w:rPr>
        <w:t>ного насилия, ее содержание под стражей в датской тюрьме в течение нескольких месяцев без получения помощи для устранения последствий понесенной травмы представляет собой еще одно нарушение государством-участником положений Конвенции. Она считает, что государства</w:t>
      </w:r>
      <w:r w:rsidR="005C5416">
        <w:rPr>
          <w:w w:val="100"/>
        </w:rPr>
        <w:t xml:space="preserve"> — </w:t>
      </w:r>
      <w:r w:rsidRPr="00301875">
        <w:rPr>
          <w:w w:val="100"/>
        </w:rPr>
        <w:t>участники Конвенции должны обе</w:t>
      </w:r>
      <w:r w:rsidRPr="00301875">
        <w:rPr>
          <w:w w:val="100"/>
        </w:rPr>
        <w:t>с</w:t>
      </w:r>
      <w:r w:rsidRPr="00301875">
        <w:rPr>
          <w:w w:val="100"/>
        </w:rPr>
        <w:t>печить принятие эффективных мер правовой защиты жертв гендерного нас</w:t>
      </w:r>
      <w:r w:rsidRPr="00301875">
        <w:rPr>
          <w:w w:val="100"/>
        </w:rPr>
        <w:t>и</w:t>
      </w:r>
      <w:r w:rsidRPr="00301875">
        <w:rPr>
          <w:w w:val="100"/>
        </w:rPr>
        <w:t>лия, а также возможность получения ими медицинских услуг и компенсации. Она признает, что в связи с тем, что акты гендерного насилия совершались в Китае, датские органы власти будут в состоянии ос</w:t>
      </w:r>
      <w:r w:rsidRPr="00301875">
        <w:rPr>
          <w:w w:val="100"/>
        </w:rPr>
        <w:t>у</w:t>
      </w:r>
      <w:r w:rsidRPr="00301875">
        <w:rPr>
          <w:w w:val="100"/>
        </w:rPr>
        <w:t>ществлять уголовное преследование только в случае въезда на территорию Дании с</w:t>
      </w:r>
      <w:r w:rsidRPr="00301875">
        <w:rPr>
          <w:w w:val="100"/>
        </w:rPr>
        <w:t>о</w:t>
      </w:r>
      <w:r w:rsidRPr="00301875">
        <w:rPr>
          <w:w w:val="100"/>
        </w:rPr>
        <w:t>вершивших их лиц. В то же время она утверждает</w:t>
      </w:r>
      <w:r>
        <w:rPr>
          <w:w w:val="100"/>
        </w:rPr>
        <w:t>,</w:t>
      </w:r>
      <w:r w:rsidRPr="00301875">
        <w:rPr>
          <w:w w:val="100"/>
        </w:rPr>
        <w:t xml:space="preserve"> что обязательства по предоставлению компенсации вступают в противоречие с действиями датских органов власти. Автор утверждает, что да</w:t>
      </w:r>
      <w:r w:rsidRPr="00301875">
        <w:rPr>
          <w:w w:val="100"/>
        </w:rPr>
        <w:t>н</w:t>
      </w:r>
      <w:r w:rsidRPr="00301875">
        <w:rPr>
          <w:w w:val="100"/>
        </w:rPr>
        <w:t>ный вопрос не был поднят для его рассмотрения Комитетом в ее первоначальном сообщении, поскольку она еще не исчерпала все внутренние средства правовой защиты, однако теперь, когда Верховный суд отклонил ее апелляцию, данное н</w:t>
      </w:r>
      <w:r w:rsidRPr="00301875">
        <w:rPr>
          <w:w w:val="100"/>
        </w:rPr>
        <w:t>о</w:t>
      </w:r>
      <w:r w:rsidRPr="00301875">
        <w:rPr>
          <w:w w:val="100"/>
        </w:rPr>
        <w:t>вое заявление должно быть приобщено к сообщению. Автор полагает, что</w:t>
      </w:r>
      <w:r>
        <w:rPr>
          <w:w w:val="100"/>
        </w:rPr>
        <w:t>,</w:t>
      </w:r>
      <w:r w:rsidRPr="00301875">
        <w:rPr>
          <w:w w:val="100"/>
        </w:rPr>
        <w:t xml:space="preserve"> п</w:t>
      </w:r>
      <w:r w:rsidRPr="00301875">
        <w:rPr>
          <w:w w:val="100"/>
        </w:rPr>
        <w:t>о</w:t>
      </w:r>
      <w:r w:rsidRPr="00301875">
        <w:rPr>
          <w:w w:val="100"/>
        </w:rPr>
        <w:t>скольку речь идет о решениях, затрагивающих вопросы обращения с автором в Дании, эти вопросы не могут быть оставлены без рассмотрения как неприемл</w:t>
      </w:r>
      <w:r w:rsidRPr="00301875">
        <w:rPr>
          <w:w w:val="100"/>
        </w:rPr>
        <w:t>е</w:t>
      </w:r>
      <w:r w:rsidRPr="00301875">
        <w:rPr>
          <w:w w:val="100"/>
        </w:rPr>
        <w:t>мые, даже если Комитет согласен с мнением государства-участника о том, что Конвенция не им</w:t>
      </w:r>
      <w:r w:rsidRPr="00301875">
        <w:rPr>
          <w:w w:val="100"/>
        </w:rPr>
        <w:t>е</w:t>
      </w:r>
      <w:r w:rsidRPr="00301875">
        <w:rPr>
          <w:w w:val="100"/>
        </w:rPr>
        <w:t>ет экстерриториального действия.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5.4</w:t>
      </w:r>
      <w:r w:rsidRPr="00301875">
        <w:rPr>
          <w:w w:val="100"/>
        </w:rPr>
        <w:tab/>
        <w:t>Автор обращает внимание на то, что замечания государства-участника огр</w:t>
      </w:r>
      <w:r w:rsidRPr="00301875">
        <w:rPr>
          <w:w w:val="100"/>
        </w:rPr>
        <w:t>а</w:t>
      </w:r>
      <w:r w:rsidRPr="00301875">
        <w:rPr>
          <w:w w:val="100"/>
        </w:rPr>
        <w:t>ничились вопросом приемлемости и никаких замечаний по существу дела пре</w:t>
      </w:r>
      <w:r w:rsidRPr="00301875">
        <w:rPr>
          <w:w w:val="100"/>
        </w:rPr>
        <w:t>д</w:t>
      </w:r>
      <w:r w:rsidRPr="00301875">
        <w:rPr>
          <w:w w:val="100"/>
        </w:rPr>
        <w:t>ставлено не было. Вместе с тем автор указывает, что в своих замечаниях госуда</w:t>
      </w:r>
      <w:r w:rsidRPr="00301875">
        <w:rPr>
          <w:w w:val="100"/>
        </w:rPr>
        <w:t>р</w:t>
      </w:r>
      <w:r w:rsidRPr="00301875">
        <w:rPr>
          <w:w w:val="100"/>
        </w:rPr>
        <w:t xml:space="preserve">ство-участник упоминает </w:t>
      </w:r>
      <w:r w:rsidR="005C5416">
        <w:rPr>
          <w:w w:val="100"/>
        </w:rPr>
        <w:t>«</w:t>
      </w:r>
      <w:r w:rsidRPr="00301875">
        <w:rPr>
          <w:w w:val="100"/>
        </w:rPr>
        <w:t>фактические обстоятельства дела</w:t>
      </w:r>
      <w:r w:rsidR="005C5416">
        <w:rPr>
          <w:w w:val="100"/>
        </w:rPr>
        <w:t>»</w:t>
      </w:r>
      <w:r w:rsidRPr="00301875">
        <w:rPr>
          <w:w w:val="100"/>
        </w:rPr>
        <w:t>, ссылаясь на выв</w:t>
      </w:r>
      <w:r w:rsidRPr="00301875">
        <w:rPr>
          <w:w w:val="100"/>
        </w:rPr>
        <w:t>о</w:t>
      </w:r>
      <w:r w:rsidRPr="00301875">
        <w:rPr>
          <w:w w:val="100"/>
        </w:rPr>
        <w:t>ды Иммиграционной службы Дании о том, что ее конфликт с представителями организованной преступности в Китае не может служить основанием для пред</w:t>
      </w:r>
      <w:r w:rsidRPr="00301875">
        <w:rPr>
          <w:w w:val="100"/>
        </w:rPr>
        <w:t>о</w:t>
      </w:r>
      <w:r w:rsidRPr="00301875">
        <w:rPr>
          <w:w w:val="100"/>
        </w:rPr>
        <w:t>ставления ей убежища, поскольку совершенные против нее деяния являются уг</w:t>
      </w:r>
      <w:r w:rsidRPr="00301875">
        <w:rPr>
          <w:w w:val="100"/>
        </w:rPr>
        <w:t>о</w:t>
      </w:r>
      <w:r w:rsidRPr="00301875">
        <w:rPr>
          <w:w w:val="100"/>
        </w:rPr>
        <w:t>ловными преступлениями и не имеют отношения к законодательству о пред</w:t>
      </w:r>
      <w:r w:rsidRPr="00301875">
        <w:rPr>
          <w:w w:val="100"/>
        </w:rPr>
        <w:t>о</w:t>
      </w:r>
      <w:r w:rsidRPr="00301875">
        <w:rPr>
          <w:w w:val="100"/>
        </w:rPr>
        <w:t xml:space="preserve">ставлении убежища.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5.5</w:t>
      </w:r>
      <w:r w:rsidRPr="00301875">
        <w:rPr>
          <w:w w:val="100"/>
        </w:rPr>
        <w:tab/>
        <w:t>Автор сообщения соглашается с государством-участником в отношении т</w:t>
      </w:r>
      <w:r w:rsidRPr="00301875">
        <w:rPr>
          <w:w w:val="100"/>
        </w:rPr>
        <w:t>о</w:t>
      </w:r>
      <w:r w:rsidRPr="00301875">
        <w:rPr>
          <w:w w:val="100"/>
        </w:rPr>
        <w:t>го, что рассмотрение дел о предоставлении убежища должно предполагать во</w:t>
      </w:r>
      <w:r w:rsidRPr="00301875">
        <w:rPr>
          <w:w w:val="100"/>
        </w:rPr>
        <w:t>з</w:t>
      </w:r>
      <w:r w:rsidRPr="00301875">
        <w:rPr>
          <w:w w:val="100"/>
        </w:rPr>
        <w:t>можность под</w:t>
      </w:r>
      <w:r w:rsidRPr="00301875">
        <w:rPr>
          <w:w w:val="100"/>
        </w:rPr>
        <w:t>а</w:t>
      </w:r>
      <w:r w:rsidRPr="00301875">
        <w:rPr>
          <w:w w:val="100"/>
        </w:rPr>
        <w:t>чи апелляции в национальные суды, однако она утверждает, что в действительности этого не происходит, и заявляет, что на ищущих убежище лиц не распространяется конституционное право на обжалование принимаемых р</w:t>
      </w:r>
      <w:r w:rsidRPr="00301875">
        <w:rPr>
          <w:w w:val="100"/>
        </w:rPr>
        <w:t>е</w:t>
      </w:r>
      <w:r w:rsidRPr="00301875">
        <w:rPr>
          <w:w w:val="100"/>
        </w:rPr>
        <w:t>шений, поскольку, по ее мнению, решения датской Комиссии по делам беженцев не могут быть обжалованы в судах. Автор утверждает, что это имеет место и в случае ищущих убежище лиц, ходатайство которых было отклонено по причине явной необоснованности. Кроме того, автор заявляет об отсутствии прецедентов и юридической литературы, подтверждающих наличие у ищущих убежище лиц возможности обжаловать в датских судах решения, принятые в порядке процед</w:t>
      </w:r>
      <w:r w:rsidRPr="00301875">
        <w:rPr>
          <w:w w:val="100"/>
        </w:rPr>
        <w:t>у</w:t>
      </w:r>
      <w:r w:rsidRPr="00301875">
        <w:rPr>
          <w:w w:val="100"/>
        </w:rPr>
        <w:t>ры явной необоснованности. Автор сообщения также оспаривает заявление о том, что датские суды располагают реальными и эффективными возможност</w:t>
      </w:r>
      <w:r w:rsidRPr="00301875">
        <w:rPr>
          <w:w w:val="100"/>
        </w:rPr>
        <w:t>я</w:t>
      </w:r>
      <w:r w:rsidRPr="00301875">
        <w:rPr>
          <w:w w:val="100"/>
        </w:rPr>
        <w:t>ми по приостановке исполнения приказа о депортации, и утверждает, что в соотве</w:t>
      </w:r>
      <w:r w:rsidRPr="00301875">
        <w:rPr>
          <w:w w:val="100"/>
        </w:rPr>
        <w:t>т</w:t>
      </w:r>
      <w:r w:rsidRPr="00301875">
        <w:rPr>
          <w:w w:val="100"/>
        </w:rPr>
        <w:t>ствии со сложившейся к настоящему времени национальной судебной практикой суды могут приостановить исполнение приказа о депортации лишь в исключ</w:t>
      </w:r>
      <w:r w:rsidRPr="00301875">
        <w:rPr>
          <w:w w:val="100"/>
        </w:rPr>
        <w:t>и</w:t>
      </w:r>
      <w:r w:rsidRPr="00301875">
        <w:rPr>
          <w:w w:val="100"/>
        </w:rPr>
        <w:t>тельных обст</w:t>
      </w:r>
      <w:r w:rsidRPr="00301875">
        <w:rPr>
          <w:w w:val="100"/>
        </w:rPr>
        <w:t>о</w:t>
      </w:r>
      <w:r w:rsidRPr="00301875">
        <w:rPr>
          <w:w w:val="100"/>
        </w:rPr>
        <w:t>ятельствах. В связи с этим автор сообщения оспаривает замечание государства-участника о том, что находящиеся в ее положении просители уб</w:t>
      </w:r>
      <w:r w:rsidRPr="00301875">
        <w:rPr>
          <w:w w:val="100"/>
        </w:rPr>
        <w:t>е</w:t>
      </w:r>
      <w:r w:rsidRPr="00301875">
        <w:rPr>
          <w:w w:val="100"/>
        </w:rPr>
        <w:t>жища располагают р</w:t>
      </w:r>
      <w:r w:rsidRPr="00301875">
        <w:rPr>
          <w:w w:val="100"/>
        </w:rPr>
        <w:t>е</w:t>
      </w:r>
      <w:r w:rsidRPr="00301875">
        <w:rPr>
          <w:w w:val="100"/>
        </w:rPr>
        <w:t xml:space="preserve">альными и эффективными средствами правовой защиты.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5.6</w:t>
      </w:r>
      <w:r w:rsidRPr="00301875">
        <w:rPr>
          <w:w w:val="100"/>
        </w:rPr>
        <w:tab/>
        <w:t>Автор сообщения признает, что она действительно не привела ссылки на соответствующие положения Конвенции, но при этом заявляет, что она охаракт</w:t>
      </w:r>
      <w:r w:rsidRPr="00301875">
        <w:rPr>
          <w:w w:val="100"/>
        </w:rPr>
        <w:t>е</w:t>
      </w:r>
      <w:r w:rsidRPr="00301875">
        <w:rPr>
          <w:w w:val="100"/>
        </w:rPr>
        <w:t>ризовала изнасилование и принуждение к занятию проституцией в качестве форм гендерного насилия. Кроме того, поскольку ее ходатайство было объявлено явно необоснованным, ей не был обеспечен доступ к услугам адвоката, который смог бы представить ссылки на соответствующие положения Конвенции. По</w:t>
      </w:r>
      <w:r w:rsidR="005C5416">
        <w:rPr>
          <w:w w:val="100"/>
        </w:rPr>
        <w:t xml:space="preserve"> </w:t>
      </w:r>
      <w:r w:rsidRPr="00301875">
        <w:rPr>
          <w:w w:val="100"/>
        </w:rPr>
        <w:t>этой пр</w:t>
      </w:r>
      <w:r w:rsidRPr="00301875">
        <w:rPr>
          <w:w w:val="100"/>
        </w:rPr>
        <w:t>и</w:t>
      </w:r>
      <w:r w:rsidRPr="00301875">
        <w:rPr>
          <w:w w:val="100"/>
        </w:rPr>
        <w:t>чине автор сообщения считает, что ссылка на сообщение № 8/2005 не имеет о</w:t>
      </w:r>
      <w:r w:rsidRPr="00301875">
        <w:rPr>
          <w:w w:val="100"/>
        </w:rPr>
        <w:t>т</w:t>
      </w:r>
      <w:r w:rsidRPr="00301875">
        <w:rPr>
          <w:w w:val="100"/>
        </w:rPr>
        <w:t>ношения к настоящему делу, поскольку в вышеупомянутом деле автор пользова</w:t>
      </w:r>
      <w:r w:rsidRPr="00301875">
        <w:rPr>
          <w:w w:val="100"/>
        </w:rPr>
        <w:t>л</w:t>
      </w:r>
      <w:r w:rsidRPr="00301875">
        <w:rPr>
          <w:w w:val="100"/>
        </w:rPr>
        <w:t>ся услугами адвоката, который смог поставить вопрос надлежащим образом. А</w:t>
      </w:r>
      <w:r w:rsidRPr="00301875">
        <w:rPr>
          <w:w w:val="100"/>
        </w:rPr>
        <w:t>в</w:t>
      </w:r>
      <w:r w:rsidRPr="00301875">
        <w:rPr>
          <w:w w:val="100"/>
        </w:rPr>
        <w:t>тор сообщения заявляет, что представители Иммиграционной службы Дании провели с ней собеседование 29 апреля 2010 года без адвоката; таким образом, требование об упоминании соответствующих положений Конвенции, для того чтобы сообщение было признано обоснованным, является неприемлемым. Она утверждает, что на датские органы власти была возложена обязанность устан</w:t>
      </w:r>
      <w:r w:rsidRPr="00301875">
        <w:rPr>
          <w:w w:val="100"/>
        </w:rPr>
        <w:t>о</w:t>
      </w:r>
      <w:r w:rsidRPr="00301875">
        <w:rPr>
          <w:w w:val="100"/>
        </w:rPr>
        <w:t>вить, что случаи совершенного против нее гендерного насилия относятся к сфере действия Ко</w:t>
      </w:r>
      <w:r w:rsidRPr="00301875">
        <w:rPr>
          <w:w w:val="100"/>
        </w:rPr>
        <w:t>н</w:t>
      </w:r>
      <w:r w:rsidRPr="00301875">
        <w:rPr>
          <w:w w:val="100"/>
        </w:rPr>
        <w:t>венции, и рассматривать ее ходатайство о предоставлении убежища должным образом. Автор сообщения также заявляет, что ее дело аналогично д</w:t>
      </w:r>
      <w:r w:rsidRPr="00301875">
        <w:rPr>
          <w:w w:val="100"/>
        </w:rPr>
        <w:t>е</w:t>
      </w:r>
      <w:r w:rsidRPr="00301875">
        <w:rPr>
          <w:w w:val="100"/>
        </w:rPr>
        <w:t>лам о жертвах торговли людьми и должно рассматриваться соответствующим о</w:t>
      </w:r>
      <w:r w:rsidRPr="00301875">
        <w:rPr>
          <w:w w:val="100"/>
        </w:rPr>
        <w:t>б</w:t>
      </w:r>
      <w:r w:rsidRPr="00301875">
        <w:rPr>
          <w:w w:val="100"/>
        </w:rPr>
        <w:t xml:space="preserve">разом. Исходя из этого, она считает, что ее сообщение соответствует требованиям Факультативного протокола и должно быть признано приемлемым.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5.7</w:t>
      </w:r>
      <w:r w:rsidRPr="00301875">
        <w:rPr>
          <w:w w:val="100"/>
        </w:rPr>
        <w:tab/>
        <w:t>Автор отмечает, что</w:t>
      </w:r>
      <w:r>
        <w:rPr>
          <w:w w:val="100"/>
        </w:rPr>
        <w:t>,</w:t>
      </w:r>
      <w:r w:rsidRPr="00301875">
        <w:rPr>
          <w:w w:val="100"/>
        </w:rPr>
        <w:t xml:space="preserve"> по утверждению государства-участника</w:t>
      </w:r>
      <w:r>
        <w:rPr>
          <w:w w:val="100"/>
        </w:rPr>
        <w:t>,</w:t>
      </w:r>
      <w:r w:rsidRPr="00301875">
        <w:rPr>
          <w:w w:val="100"/>
        </w:rPr>
        <w:t xml:space="preserve"> ее ссылка на аналогичное дело, рассматриваемое Комитетом по правам человека</w:t>
      </w:r>
      <w:r w:rsidRPr="00301875">
        <w:rPr>
          <w:iCs/>
          <w:w w:val="100"/>
        </w:rPr>
        <w:t>,</w:t>
      </w:r>
      <w:r w:rsidRPr="00301875">
        <w:rPr>
          <w:w w:val="100"/>
        </w:rPr>
        <w:t xml:space="preserve"> не может служить доказательством дискриминации в отношении женщин, ищущих убеж</w:t>
      </w:r>
      <w:r w:rsidRPr="00301875">
        <w:rPr>
          <w:w w:val="100"/>
        </w:rPr>
        <w:t>и</w:t>
      </w:r>
      <w:r w:rsidRPr="00301875">
        <w:rPr>
          <w:w w:val="100"/>
        </w:rPr>
        <w:t>ще. Она поясняет, что данное дело было упомянуто в связи с тем, что оно также затрагивало интересы ищущей убежище женщины, столкнувшейся в аналогичной ситуации с отсутствием равного обращения в отношении мужчин и женщин. А</w:t>
      </w:r>
      <w:r w:rsidRPr="00301875">
        <w:rPr>
          <w:w w:val="100"/>
        </w:rPr>
        <w:t>в</w:t>
      </w:r>
      <w:r w:rsidRPr="00301875">
        <w:rPr>
          <w:w w:val="100"/>
        </w:rPr>
        <w:t>тор уточняет, что ходатайство в этом деле также было признано явно необосн</w:t>
      </w:r>
      <w:r w:rsidRPr="00301875">
        <w:rPr>
          <w:w w:val="100"/>
        </w:rPr>
        <w:t>о</w:t>
      </w:r>
      <w:r w:rsidRPr="00301875">
        <w:rPr>
          <w:w w:val="100"/>
        </w:rPr>
        <w:t>ванным и лишь после направления сообщения в Комитет по правам человека да</w:t>
      </w:r>
      <w:r w:rsidRPr="00301875">
        <w:rPr>
          <w:w w:val="100"/>
        </w:rPr>
        <w:t>т</w:t>
      </w:r>
      <w:r w:rsidRPr="00301875">
        <w:rPr>
          <w:w w:val="100"/>
        </w:rPr>
        <w:t>ские органы власти вернулись к рассмотрению ее дела, предоставили ей адвоката и допустили передачу дела в Апелляционную комиссию по делам беженцев, к</w:t>
      </w:r>
      <w:r w:rsidRPr="00301875">
        <w:rPr>
          <w:w w:val="100"/>
        </w:rPr>
        <w:t>о</w:t>
      </w:r>
      <w:r w:rsidRPr="00301875">
        <w:rPr>
          <w:w w:val="100"/>
        </w:rPr>
        <w:t>торая в конечном счете предоставила ей убежище. По ее мнению, это со всей наглядностью демонстрирует важную роль права на обжалование решения и пр</w:t>
      </w:r>
      <w:r w:rsidRPr="00301875">
        <w:rPr>
          <w:w w:val="100"/>
        </w:rPr>
        <w:t>а</w:t>
      </w:r>
      <w:r w:rsidRPr="00301875">
        <w:rPr>
          <w:w w:val="100"/>
        </w:rPr>
        <w:t xml:space="preserve">ва на доступ к услугам адвоката.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5.8</w:t>
      </w:r>
      <w:r w:rsidRPr="00301875">
        <w:rPr>
          <w:w w:val="100"/>
        </w:rPr>
        <w:tab/>
        <w:t xml:space="preserve">Автор сообщения признает, что в статистическом плане один случай нельзя считать доказательством наличия гендерной дискриминации. Она ссылается на ряд других случаев в качестве дополнительного доказательства обоснованности своего заявления. Автор обращает внимание на сообщения № 33/2011, </w:t>
      </w:r>
      <w:r w:rsidRPr="00301875">
        <w:rPr>
          <w:i/>
          <w:iCs/>
          <w:w w:val="100"/>
        </w:rPr>
        <w:t>М.Н.Н. против Дании</w:t>
      </w:r>
      <w:r w:rsidRPr="000C6575">
        <w:rPr>
          <w:iCs/>
          <w:w w:val="100"/>
        </w:rPr>
        <w:t>,</w:t>
      </w:r>
      <w:r w:rsidRPr="000C6575">
        <w:rPr>
          <w:w w:val="100"/>
        </w:rPr>
        <w:t xml:space="preserve"> </w:t>
      </w:r>
      <w:r w:rsidRPr="00301875">
        <w:rPr>
          <w:w w:val="100"/>
        </w:rPr>
        <w:t xml:space="preserve">и 40/2012, </w:t>
      </w:r>
      <w:r w:rsidRPr="00301875">
        <w:rPr>
          <w:i/>
          <w:iCs/>
          <w:w w:val="100"/>
        </w:rPr>
        <w:t>М.С. против Дании</w:t>
      </w:r>
      <w:r w:rsidRPr="00301875">
        <w:rPr>
          <w:w w:val="100"/>
        </w:rPr>
        <w:t>, которые первоначально рассматр</w:t>
      </w:r>
      <w:r w:rsidRPr="00301875">
        <w:rPr>
          <w:w w:val="100"/>
        </w:rPr>
        <w:t>и</w:t>
      </w:r>
      <w:r w:rsidRPr="00301875">
        <w:rPr>
          <w:w w:val="100"/>
        </w:rPr>
        <w:t>вались в качестве явно необоснованных ходатайств о предоставлении убежища; это свидетельствует о том, что в</w:t>
      </w:r>
      <w:r w:rsidRPr="00301875">
        <w:rPr>
          <w:w w:val="100"/>
        </w:rPr>
        <w:t>о</w:t>
      </w:r>
      <w:r w:rsidRPr="00301875">
        <w:rPr>
          <w:w w:val="100"/>
        </w:rPr>
        <w:t>просам, связанным с гендерной проблематикой, уделяется меньшее внимание, чем таким затрагивающим права мужчин наруш</w:t>
      </w:r>
      <w:r w:rsidRPr="00301875">
        <w:rPr>
          <w:w w:val="100"/>
        </w:rPr>
        <w:t>е</w:t>
      </w:r>
      <w:r w:rsidRPr="00301875">
        <w:rPr>
          <w:w w:val="100"/>
        </w:rPr>
        <w:t>ниям, как политические репрессии. Кроме того, она утверждает, что лишь да</w:t>
      </w:r>
      <w:r w:rsidRPr="00301875">
        <w:rPr>
          <w:w w:val="100"/>
        </w:rPr>
        <w:t>т</w:t>
      </w:r>
      <w:r w:rsidRPr="00301875">
        <w:rPr>
          <w:w w:val="100"/>
        </w:rPr>
        <w:t>ские органы власти могут предоставить данные в разбивке по гендерной прина</w:t>
      </w:r>
      <w:r w:rsidRPr="00301875">
        <w:rPr>
          <w:w w:val="100"/>
        </w:rPr>
        <w:t>д</w:t>
      </w:r>
      <w:r w:rsidRPr="00301875">
        <w:rPr>
          <w:w w:val="100"/>
        </w:rPr>
        <w:t>лежности о численности ищущих убежище лиц, которым было отказано в пред</w:t>
      </w:r>
      <w:r w:rsidRPr="00301875">
        <w:rPr>
          <w:w w:val="100"/>
        </w:rPr>
        <w:t>о</w:t>
      </w:r>
      <w:r w:rsidRPr="00301875">
        <w:rPr>
          <w:w w:val="100"/>
        </w:rPr>
        <w:t xml:space="preserve">ставлении убежища в рамках процедуры </w:t>
      </w:r>
      <w:r w:rsidR="005C5416">
        <w:rPr>
          <w:w w:val="100"/>
        </w:rPr>
        <w:t>«</w:t>
      </w:r>
      <w:r w:rsidRPr="00301875">
        <w:rPr>
          <w:w w:val="100"/>
        </w:rPr>
        <w:t>явной необоснованн</w:t>
      </w:r>
      <w:r w:rsidRPr="00301875">
        <w:rPr>
          <w:w w:val="100"/>
        </w:rPr>
        <w:t>о</w:t>
      </w:r>
      <w:r w:rsidRPr="00301875">
        <w:rPr>
          <w:w w:val="100"/>
        </w:rPr>
        <w:t>сти</w:t>
      </w:r>
      <w:r w:rsidR="005C5416">
        <w:rPr>
          <w:w w:val="100"/>
        </w:rPr>
        <w:t>»</w:t>
      </w:r>
      <w:r w:rsidRPr="00301875">
        <w:rPr>
          <w:w w:val="100"/>
        </w:rPr>
        <w:t xml:space="preserve">. </w:t>
      </w:r>
    </w:p>
    <w:p w:rsidR="00294265" w:rsidRDefault="00294265" w:rsidP="00175E0B">
      <w:pPr>
        <w:pStyle w:val="SingleTxt"/>
        <w:rPr>
          <w:w w:val="100"/>
          <w:lang w:val="en-US"/>
        </w:rPr>
      </w:pPr>
      <w:r w:rsidRPr="00301875">
        <w:rPr>
          <w:w w:val="100"/>
        </w:rPr>
        <w:t>5.9</w:t>
      </w:r>
      <w:r w:rsidRPr="00301875">
        <w:rPr>
          <w:w w:val="100"/>
        </w:rPr>
        <w:tab/>
        <w:t>По мнению автора сообщения, тот факт, что число женщин, получающих отказы на просьбы о предоставлении убежища, превышает число ищущих по аналогичным причинам убежище мужчин, вызывает обеспокоенность; она сс</w:t>
      </w:r>
      <w:r w:rsidRPr="00301875">
        <w:rPr>
          <w:w w:val="100"/>
        </w:rPr>
        <w:t>ы</w:t>
      </w:r>
      <w:r w:rsidRPr="00301875">
        <w:rPr>
          <w:w w:val="100"/>
        </w:rPr>
        <w:t>лается на ряд дел в отношении ищущих убежище лиц мужского пола, интересы которых представлял ее адвокат. Соответственно автор сообщения утверждает, что она подверглась дискримин</w:t>
      </w:r>
      <w:r w:rsidRPr="00301875">
        <w:rPr>
          <w:w w:val="100"/>
        </w:rPr>
        <w:t>а</w:t>
      </w:r>
      <w:r w:rsidRPr="00301875">
        <w:rPr>
          <w:w w:val="100"/>
        </w:rPr>
        <w:t>ции как женщина в том, что касается реализации ее права на беспристрастное судебное разбирательство и эффективные средства правовой защиты по сравнению с мужчинами, ищущими убежище и находящ</w:t>
      </w:r>
      <w:r w:rsidRPr="00301875">
        <w:rPr>
          <w:w w:val="100"/>
        </w:rPr>
        <w:t>и</w:t>
      </w:r>
      <w:r w:rsidRPr="00301875">
        <w:rPr>
          <w:w w:val="100"/>
        </w:rPr>
        <w:t xml:space="preserve">мися в аналогичной ситуации. Поэтому она полагает, что сообщение является в достаточной степени обоснованным и должно быть признано приемлемым. </w:t>
      </w:r>
    </w:p>
    <w:p w:rsidR="00C73339" w:rsidRPr="00C73339" w:rsidRDefault="00C73339" w:rsidP="00C73339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294265" w:rsidRDefault="00294265" w:rsidP="00C7333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lang w:val="en-US"/>
        </w:rPr>
      </w:pPr>
      <w:r w:rsidRPr="00301875">
        <w:rPr>
          <w:w w:val="100"/>
        </w:rPr>
        <w:tab/>
      </w:r>
      <w:r w:rsidRPr="00301875">
        <w:rPr>
          <w:w w:val="100"/>
        </w:rPr>
        <w:tab/>
        <w:t xml:space="preserve">Дополнительные замечания государства-участника относительно приемлемости </w:t>
      </w:r>
    </w:p>
    <w:p w:rsidR="00C73339" w:rsidRPr="00C73339" w:rsidRDefault="00C73339" w:rsidP="00C73339">
      <w:pPr>
        <w:spacing w:line="120" w:lineRule="exact"/>
        <w:rPr>
          <w:sz w:val="10"/>
          <w:lang w:val="en-US"/>
        </w:rPr>
      </w:pP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6.1</w:t>
      </w:r>
      <w:r w:rsidRPr="00301875">
        <w:rPr>
          <w:w w:val="100"/>
        </w:rPr>
        <w:tab/>
        <w:t xml:space="preserve">13 сентября 2013 года государство-участник представило дополнительные замечания относительно приемлемости.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6.2</w:t>
      </w:r>
      <w:r w:rsidRPr="00301875">
        <w:rPr>
          <w:w w:val="100"/>
        </w:rPr>
        <w:tab/>
        <w:t>Государство-участник вновь обращает внимание на попытки автора соо</w:t>
      </w:r>
      <w:r w:rsidRPr="00301875">
        <w:rPr>
          <w:w w:val="100"/>
        </w:rPr>
        <w:t>б</w:t>
      </w:r>
      <w:r w:rsidRPr="00301875">
        <w:rPr>
          <w:w w:val="100"/>
        </w:rPr>
        <w:t>щения придать экстерриториальный характер предусмотренным Конвенцией об</w:t>
      </w:r>
      <w:r w:rsidRPr="00301875">
        <w:rPr>
          <w:w w:val="100"/>
        </w:rPr>
        <w:t>я</w:t>
      </w:r>
      <w:r w:rsidRPr="00301875">
        <w:rPr>
          <w:w w:val="100"/>
        </w:rPr>
        <w:t xml:space="preserve">зательствам. Оно напоминает о том, что в своем решении по поводу сообщения № 33/2011, </w:t>
      </w:r>
      <w:r w:rsidRPr="00301875">
        <w:rPr>
          <w:i/>
          <w:iCs/>
          <w:w w:val="100"/>
        </w:rPr>
        <w:t>М.Н.Н. против Дании</w:t>
      </w:r>
      <w:r w:rsidRPr="00301875">
        <w:rPr>
          <w:w w:val="100"/>
        </w:rPr>
        <w:t>, Комитет сформулировал некоторые замечания общего порядка в отношении экстерриториального действия Конвенции. В пун</w:t>
      </w:r>
      <w:r w:rsidRPr="00301875">
        <w:rPr>
          <w:w w:val="100"/>
        </w:rPr>
        <w:t>к</w:t>
      </w:r>
      <w:r w:rsidRPr="00301875">
        <w:rPr>
          <w:w w:val="100"/>
        </w:rPr>
        <w:t>тах 8.7 и 8.8 Комитет сослался на принцип невыдворения и заявление, содержа</w:t>
      </w:r>
      <w:r w:rsidRPr="00301875">
        <w:rPr>
          <w:w w:val="100"/>
        </w:rPr>
        <w:t>в</w:t>
      </w:r>
      <w:r w:rsidRPr="00301875">
        <w:rPr>
          <w:w w:val="100"/>
        </w:rPr>
        <w:t>шееся в рекомендации № 19 общего порядка, в отношении того, что гендерное насилие, которое затрудняет или сводит на нет реализацию женщинами прав ч</w:t>
      </w:r>
      <w:r w:rsidRPr="00301875">
        <w:rPr>
          <w:w w:val="100"/>
        </w:rPr>
        <w:t>е</w:t>
      </w:r>
      <w:r w:rsidRPr="00301875">
        <w:rPr>
          <w:w w:val="100"/>
        </w:rPr>
        <w:t>ловека и основных свобод в соответствии с нормами общего международного права или в соответствии с положениями других конвенций о правах человека, представляет собой дискриминацию по смыслу статьи 1 Ко</w:t>
      </w:r>
      <w:r w:rsidRPr="00301875">
        <w:rPr>
          <w:w w:val="100"/>
        </w:rPr>
        <w:t>н</w:t>
      </w:r>
      <w:r w:rsidRPr="00301875">
        <w:rPr>
          <w:w w:val="100"/>
        </w:rPr>
        <w:t>венции. Государство-участник обращает внимание на заявление, сделанное Комитетом в пункте 8.10, относительно позитивных обязанностей государств-участников в соо</w:t>
      </w:r>
      <w:r w:rsidRPr="00301875">
        <w:rPr>
          <w:w w:val="100"/>
        </w:rPr>
        <w:t>т</w:t>
      </w:r>
      <w:r w:rsidRPr="00301875">
        <w:rPr>
          <w:w w:val="100"/>
        </w:rPr>
        <w:t>ветствии с пунктом d) статьи 2 Конвенции. В этом пункте Комитет напоминает о том, что в соответствии с пунктом d) статьи 2 государства несут обязательства по защите женщин от реального, личного и предсказуемого риска подвергнуться серьезным формам гендерного насилия вне зависимости от того, наступят ли такие после</w:t>
      </w:r>
      <w:r w:rsidRPr="00301875">
        <w:rPr>
          <w:w w:val="100"/>
        </w:rPr>
        <w:t>д</w:t>
      </w:r>
      <w:r w:rsidRPr="00301875">
        <w:rPr>
          <w:w w:val="100"/>
        </w:rPr>
        <w:t>ствия за территориальными границами высылающего государства-участника: е</w:t>
      </w:r>
      <w:r w:rsidRPr="00301875">
        <w:rPr>
          <w:w w:val="100"/>
        </w:rPr>
        <w:t>с</w:t>
      </w:r>
      <w:r w:rsidRPr="00301875">
        <w:rPr>
          <w:w w:val="100"/>
        </w:rPr>
        <w:t>ли государство-участник принимает решение в отношении лица под его юри</w:t>
      </w:r>
      <w:r w:rsidRPr="00301875">
        <w:rPr>
          <w:w w:val="100"/>
        </w:rPr>
        <w:t>с</w:t>
      </w:r>
      <w:r w:rsidRPr="00301875">
        <w:rPr>
          <w:w w:val="100"/>
        </w:rPr>
        <w:t>дикцией, неизбежным и предсказуемым последствием которого станет наруш</w:t>
      </w:r>
      <w:r w:rsidRPr="00301875">
        <w:rPr>
          <w:w w:val="100"/>
        </w:rPr>
        <w:t>е</w:t>
      </w:r>
      <w:r w:rsidRPr="00301875">
        <w:rPr>
          <w:w w:val="100"/>
        </w:rPr>
        <w:t>ние прав данного лица по Ко</w:t>
      </w:r>
      <w:r w:rsidRPr="00301875">
        <w:rPr>
          <w:w w:val="100"/>
        </w:rPr>
        <w:t>н</w:t>
      </w:r>
      <w:r w:rsidRPr="00301875">
        <w:rPr>
          <w:w w:val="100"/>
        </w:rPr>
        <w:t>венции в другой юрисдикции, то государство-участник само может стать нарушителем Конвенции. В свете этого решения го</w:t>
      </w:r>
      <w:r w:rsidRPr="00301875">
        <w:rPr>
          <w:w w:val="100"/>
        </w:rPr>
        <w:t>с</w:t>
      </w:r>
      <w:r w:rsidRPr="00301875">
        <w:rPr>
          <w:w w:val="100"/>
        </w:rPr>
        <w:t>ударство-участник делает вывод о том, что Конвенция обладает экстерритор</w:t>
      </w:r>
      <w:r w:rsidRPr="00301875">
        <w:rPr>
          <w:w w:val="100"/>
        </w:rPr>
        <w:t>и</w:t>
      </w:r>
      <w:r w:rsidRPr="00301875">
        <w:rPr>
          <w:w w:val="100"/>
        </w:rPr>
        <w:t>альным действием лишь в тех случаях, когда высылаемая женщина будет подве</w:t>
      </w:r>
      <w:r w:rsidRPr="00301875">
        <w:rPr>
          <w:w w:val="100"/>
        </w:rPr>
        <w:t>р</w:t>
      </w:r>
      <w:r w:rsidRPr="00301875">
        <w:rPr>
          <w:w w:val="100"/>
        </w:rPr>
        <w:t>гаться реальному, личному и предсказуемому риску серьезных форм гендерного насилия с учетом дополнительного требования в отношении того, что обязател</w:t>
      </w:r>
      <w:r w:rsidRPr="00301875">
        <w:rPr>
          <w:w w:val="100"/>
        </w:rPr>
        <w:t>ь</w:t>
      </w:r>
      <w:r w:rsidRPr="00301875">
        <w:rPr>
          <w:w w:val="100"/>
        </w:rPr>
        <w:t>ным и предсказуемым последствием является нарушение прав конкретного лица в соответствии с положениями Конвенции в рамках юрисдикции другого гос</w:t>
      </w:r>
      <w:r w:rsidRPr="00301875">
        <w:rPr>
          <w:w w:val="100"/>
        </w:rPr>
        <w:t>у</w:t>
      </w:r>
      <w:r w:rsidRPr="00301875">
        <w:rPr>
          <w:w w:val="100"/>
        </w:rPr>
        <w:t>дарства. Государство-участник утверждает, что, по его мнению, это означает, что действия государств-участников, способные оказать косвенное влияние на реал</w:t>
      </w:r>
      <w:r w:rsidRPr="00301875">
        <w:rPr>
          <w:w w:val="100"/>
        </w:rPr>
        <w:t>и</w:t>
      </w:r>
      <w:r w:rsidRPr="00301875">
        <w:rPr>
          <w:w w:val="100"/>
        </w:rPr>
        <w:t>зацию прав ко</w:t>
      </w:r>
      <w:r w:rsidRPr="00301875">
        <w:rPr>
          <w:w w:val="100"/>
        </w:rPr>
        <w:t>н</w:t>
      </w:r>
      <w:r w:rsidRPr="00301875">
        <w:rPr>
          <w:w w:val="100"/>
        </w:rPr>
        <w:t>кретного лица в соответствии с положениями Конвенции в других государствах, могут стать причиной возникновения ответственности данного государства (экстерриториальное действие) лишь при наличии обстоятельств, в которых высылаемое лицо подвергается риску лишения права на жизнь или угр</w:t>
      </w:r>
      <w:r w:rsidRPr="00301875">
        <w:rPr>
          <w:w w:val="100"/>
        </w:rPr>
        <w:t>о</w:t>
      </w:r>
      <w:r w:rsidRPr="00301875">
        <w:rPr>
          <w:w w:val="100"/>
        </w:rPr>
        <w:t>зе пыток или других форм жестокого, бесчеловечного или унижающего достои</w:t>
      </w:r>
      <w:r w:rsidRPr="00301875">
        <w:rPr>
          <w:w w:val="100"/>
        </w:rPr>
        <w:t>н</w:t>
      </w:r>
      <w:r w:rsidRPr="00301875">
        <w:rPr>
          <w:w w:val="100"/>
        </w:rPr>
        <w:t>ство обращения.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6.3</w:t>
      </w:r>
      <w:r w:rsidRPr="00301875">
        <w:rPr>
          <w:w w:val="100"/>
        </w:rPr>
        <w:tab/>
        <w:t>Государство-участник напоминает, что, как утверждает автор сообщения, в Китае преступники изнасиловали ее, нанесли ей ожоги горячим маслом и пр</w:t>
      </w:r>
      <w:r w:rsidRPr="00301875">
        <w:rPr>
          <w:w w:val="100"/>
        </w:rPr>
        <w:t>и</w:t>
      </w:r>
      <w:r w:rsidRPr="00301875">
        <w:rPr>
          <w:w w:val="100"/>
        </w:rPr>
        <w:t>нуждали заниматься проституцией. Тем не менее оно заявляет, что ее утвержд</w:t>
      </w:r>
      <w:r w:rsidRPr="00301875">
        <w:rPr>
          <w:w w:val="100"/>
        </w:rPr>
        <w:t>е</w:t>
      </w:r>
      <w:r w:rsidRPr="00301875">
        <w:rPr>
          <w:w w:val="100"/>
        </w:rPr>
        <w:t>ния в связи с этим никоим образом не подтверждаются какими-либо очевидными доказательствами. По мнению государства-участника, автор не смогла должным образом обосновать свое утверждение, что ее высылка в Китай создаст для нее реальный, личный и предсказу</w:t>
      </w:r>
      <w:r w:rsidRPr="00301875">
        <w:rPr>
          <w:w w:val="100"/>
        </w:rPr>
        <w:t>е</w:t>
      </w:r>
      <w:r w:rsidRPr="00301875">
        <w:rPr>
          <w:w w:val="100"/>
        </w:rPr>
        <w:t>мый риск подвергнуться серьезному гендерному насилию.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6.4</w:t>
      </w:r>
      <w:r w:rsidRPr="00301875">
        <w:rPr>
          <w:w w:val="100"/>
        </w:rPr>
        <w:tab/>
        <w:t>Государство-участник далее заявляет, что утверждения автора также явл</w:t>
      </w:r>
      <w:r w:rsidRPr="00301875">
        <w:rPr>
          <w:w w:val="100"/>
        </w:rPr>
        <w:t>я</w:t>
      </w:r>
      <w:r w:rsidRPr="00301875">
        <w:rPr>
          <w:w w:val="100"/>
        </w:rPr>
        <w:t>ются неприемлемыми в силу несовместимости с положениями пункта 2 b) ст</w:t>
      </w:r>
      <w:r w:rsidRPr="00301875">
        <w:rPr>
          <w:w w:val="100"/>
        </w:rPr>
        <w:t>а</w:t>
      </w:r>
      <w:r w:rsidRPr="00301875">
        <w:rPr>
          <w:w w:val="100"/>
        </w:rPr>
        <w:t>тьи 4 Факультативного протокола. Государство-участник утверждает, что поз</w:t>
      </w:r>
      <w:r w:rsidRPr="00301875">
        <w:rPr>
          <w:w w:val="100"/>
        </w:rPr>
        <w:t>и</w:t>
      </w:r>
      <w:r w:rsidRPr="00301875">
        <w:rPr>
          <w:w w:val="100"/>
        </w:rPr>
        <w:t>тивные обязанности в соответствии с пунктом d) статьи 2 Конвенции не включ</w:t>
      </w:r>
      <w:r w:rsidRPr="00301875">
        <w:rPr>
          <w:w w:val="100"/>
        </w:rPr>
        <w:t>а</w:t>
      </w:r>
      <w:r w:rsidRPr="00301875">
        <w:rPr>
          <w:w w:val="100"/>
        </w:rPr>
        <w:t>ют обязательство государств-участников воздерживаться от высылки лица, кот</w:t>
      </w:r>
      <w:r w:rsidRPr="00301875">
        <w:rPr>
          <w:w w:val="100"/>
        </w:rPr>
        <w:t>о</w:t>
      </w:r>
      <w:r w:rsidRPr="00301875">
        <w:rPr>
          <w:w w:val="100"/>
        </w:rPr>
        <w:t>рое может подвергнуться риску причинения ему боли или страданий частным лицом без согласия или попустительства соответствующего государства. Гос</w:t>
      </w:r>
      <w:r w:rsidRPr="00301875">
        <w:rPr>
          <w:w w:val="100"/>
        </w:rPr>
        <w:t>у</w:t>
      </w:r>
      <w:r w:rsidRPr="00301875">
        <w:rPr>
          <w:w w:val="100"/>
        </w:rPr>
        <w:t>дарство-участник считает, что это ограничение было установлено Комитетом против пыток после того, как он заключил, что вопрос о том, несет ли госуда</w:t>
      </w:r>
      <w:r w:rsidRPr="00301875">
        <w:rPr>
          <w:w w:val="100"/>
        </w:rPr>
        <w:t>р</w:t>
      </w:r>
      <w:r w:rsidRPr="00301875">
        <w:rPr>
          <w:w w:val="100"/>
        </w:rPr>
        <w:t>ство-участник обязательство воздерживаться от высылки при таких обстоятел</w:t>
      </w:r>
      <w:r w:rsidRPr="00301875">
        <w:rPr>
          <w:w w:val="100"/>
        </w:rPr>
        <w:t>ь</w:t>
      </w:r>
      <w:r w:rsidRPr="00301875">
        <w:rPr>
          <w:w w:val="100"/>
        </w:rPr>
        <w:t>ствах, находится вне сферы охвата статьи 3 Конвенции против пыток</w:t>
      </w:r>
      <w:r w:rsidR="00CA5E9F" w:rsidRPr="00B74F5C">
        <w:rPr>
          <w:rStyle w:val="FootnoteReference"/>
        </w:rPr>
        <w:footnoteReference w:id="7"/>
      </w:r>
      <w:r w:rsidRPr="00301875">
        <w:rPr>
          <w:w w:val="100"/>
        </w:rPr>
        <w:t>.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6.5</w:t>
      </w:r>
      <w:r w:rsidRPr="00301875">
        <w:rPr>
          <w:w w:val="100"/>
        </w:rPr>
        <w:tab/>
        <w:t>Государство-участник ссылается на прецедентное право Европейского суда по правам человека в отношении статьи 3 Европейской конвенции по правам ч</w:t>
      </w:r>
      <w:r w:rsidRPr="00301875">
        <w:rPr>
          <w:w w:val="100"/>
        </w:rPr>
        <w:t>е</w:t>
      </w:r>
      <w:r w:rsidRPr="00301875">
        <w:rPr>
          <w:w w:val="100"/>
        </w:rPr>
        <w:t>ловека, полагая, что при возвращении иностранцев на государство-участник м</w:t>
      </w:r>
      <w:r w:rsidRPr="00301875">
        <w:rPr>
          <w:w w:val="100"/>
        </w:rPr>
        <w:t>о</w:t>
      </w:r>
      <w:r w:rsidRPr="00301875">
        <w:rPr>
          <w:w w:val="100"/>
        </w:rPr>
        <w:t>жет быть возложена ответственность за совершенные в отношения иностранцев действия в их стране происхождения лишь в том случае, если иностранцы могут представить доказательства того, что органы власти принимающего государства не в состоянии устранить риск п</w:t>
      </w:r>
      <w:r w:rsidRPr="00301875">
        <w:rPr>
          <w:w w:val="100"/>
        </w:rPr>
        <w:t>у</w:t>
      </w:r>
      <w:r w:rsidRPr="00301875">
        <w:rPr>
          <w:w w:val="100"/>
        </w:rPr>
        <w:t>тем предоставления необходимой защиты</w:t>
      </w:r>
      <w:r w:rsidR="00CA5E9F" w:rsidRPr="00B74F5C">
        <w:rPr>
          <w:rStyle w:val="FootnoteReference"/>
        </w:rPr>
        <w:footnoteReference w:id="8"/>
      </w:r>
      <w:r w:rsidRPr="00301875">
        <w:rPr>
          <w:w w:val="100"/>
        </w:rPr>
        <w:t>.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6.6</w:t>
      </w:r>
      <w:r w:rsidRPr="00301875">
        <w:rPr>
          <w:w w:val="100"/>
        </w:rPr>
        <w:tab/>
        <w:t>Государство-участник далее заявляет, что автор ссылается на заключител</w:t>
      </w:r>
      <w:r w:rsidRPr="00301875">
        <w:rPr>
          <w:w w:val="100"/>
        </w:rPr>
        <w:t>ь</w:t>
      </w:r>
      <w:r w:rsidRPr="00301875">
        <w:rPr>
          <w:w w:val="100"/>
        </w:rPr>
        <w:t>ные замечания Комитета относительно общего положения в Китае. Однако эти замечания относятся к августу 2006 года и в связи с этим не отражают совреме</w:t>
      </w:r>
      <w:r w:rsidRPr="00301875">
        <w:rPr>
          <w:w w:val="100"/>
        </w:rPr>
        <w:t>н</w:t>
      </w:r>
      <w:r w:rsidRPr="00301875">
        <w:rPr>
          <w:w w:val="100"/>
        </w:rPr>
        <w:t>ные условия. Кроме того, автор сообщения не представила какого-либо очеви</w:t>
      </w:r>
      <w:r w:rsidRPr="00301875">
        <w:rPr>
          <w:w w:val="100"/>
        </w:rPr>
        <w:t>д</w:t>
      </w:r>
      <w:r w:rsidRPr="00301875">
        <w:rPr>
          <w:w w:val="100"/>
        </w:rPr>
        <w:t>ного доказательства, св</w:t>
      </w:r>
      <w:r w:rsidRPr="00301875">
        <w:rPr>
          <w:w w:val="100"/>
        </w:rPr>
        <w:t>и</w:t>
      </w:r>
      <w:r w:rsidRPr="00301875">
        <w:rPr>
          <w:w w:val="100"/>
        </w:rPr>
        <w:t xml:space="preserve">детельствующего о том, что китайские органы власти не могут предоставить ей необходимую защиту. Государство-участник напоминает, что в ходе собеседования с представителями датской Иммиграционной службы </w:t>
      </w:r>
      <w:r>
        <w:rPr>
          <w:w w:val="100"/>
        </w:rPr>
        <w:t xml:space="preserve">29 апреля 2010 года </w:t>
      </w:r>
      <w:r w:rsidRPr="00301875">
        <w:rPr>
          <w:w w:val="100"/>
        </w:rPr>
        <w:t>автор сообщения в я</w:t>
      </w:r>
      <w:r w:rsidRPr="00301875">
        <w:rPr>
          <w:w w:val="100"/>
        </w:rPr>
        <w:t>в</w:t>
      </w:r>
      <w:r w:rsidRPr="00301875">
        <w:rPr>
          <w:w w:val="100"/>
        </w:rPr>
        <w:t xml:space="preserve">ной форме заявила, что она никогда не обращалась за помощью в полицию или другие китайские органы власти. </w:t>
      </w:r>
    </w:p>
    <w:p w:rsidR="00294265" w:rsidRDefault="00294265" w:rsidP="00175E0B">
      <w:pPr>
        <w:pStyle w:val="SingleTxt"/>
        <w:rPr>
          <w:w w:val="100"/>
          <w:lang w:val="en-US"/>
        </w:rPr>
      </w:pPr>
      <w:r w:rsidRPr="00301875">
        <w:rPr>
          <w:w w:val="100"/>
        </w:rPr>
        <w:t>6.7</w:t>
      </w:r>
      <w:r w:rsidRPr="00301875">
        <w:rPr>
          <w:w w:val="100"/>
        </w:rPr>
        <w:tab/>
        <w:t>Таким образом, на основании изложенных в пунктах 4.1</w:t>
      </w:r>
      <w:r>
        <w:rPr>
          <w:w w:val="100"/>
        </w:rPr>
        <w:t>–</w:t>
      </w:r>
      <w:r w:rsidRPr="00301875">
        <w:rPr>
          <w:w w:val="100"/>
        </w:rPr>
        <w:t>4.6, выше, арг</w:t>
      </w:r>
      <w:r w:rsidRPr="00301875">
        <w:rPr>
          <w:w w:val="100"/>
        </w:rPr>
        <w:t>у</w:t>
      </w:r>
      <w:r w:rsidRPr="00301875">
        <w:rPr>
          <w:w w:val="100"/>
        </w:rPr>
        <w:t>ментов государство-участник утверждает, что сообщение должно быть признано неприемл</w:t>
      </w:r>
      <w:r w:rsidRPr="00301875">
        <w:rPr>
          <w:w w:val="100"/>
        </w:rPr>
        <w:t>е</w:t>
      </w:r>
      <w:r w:rsidRPr="00301875">
        <w:rPr>
          <w:w w:val="100"/>
        </w:rPr>
        <w:t>мым. Кроме того, ссылаясь на правило 66 правил процедуры Комитета, государство-участник просит, чтобы Комитет рассмотрел вопрос о приемлемости сообщения о</w:t>
      </w:r>
      <w:r w:rsidRPr="00301875">
        <w:rPr>
          <w:w w:val="100"/>
        </w:rPr>
        <w:t>т</w:t>
      </w:r>
      <w:r w:rsidRPr="00301875">
        <w:rPr>
          <w:w w:val="100"/>
        </w:rPr>
        <w:t xml:space="preserve">дельно от существа дела. </w:t>
      </w:r>
    </w:p>
    <w:p w:rsidR="00C73339" w:rsidRPr="00C73339" w:rsidRDefault="00C73339" w:rsidP="00C73339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294265" w:rsidRDefault="00294265" w:rsidP="00C7333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  <w:lang w:val="en-US"/>
        </w:rPr>
      </w:pPr>
      <w:r w:rsidRPr="00301875">
        <w:rPr>
          <w:w w:val="100"/>
        </w:rPr>
        <w:tab/>
      </w:r>
      <w:r w:rsidRPr="00301875">
        <w:rPr>
          <w:w w:val="100"/>
        </w:rPr>
        <w:tab/>
        <w:t>Дополнительные представления автора сообщения</w:t>
      </w:r>
    </w:p>
    <w:p w:rsidR="00C73339" w:rsidRPr="00C73339" w:rsidRDefault="00C73339" w:rsidP="00C73339">
      <w:pPr>
        <w:spacing w:line="120" w:lineRule="exact"/>
        <w:rPr>
          <w:sz w:val="10"/>
          <w:lang w:val="en-US"/>
        </w:rPr>
      </w:pP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7.1</w:t>
      </w:r>
      <w:r w:rsidRPr="00301875">
        <w:rPr>
          <w:w w:val="100"/>
        </w:rPr>
        <w:tab/>
        <w:t>18 ноября 2013 года автор сообщения указала, что она не согласна с заявл</w:t>
      </w:r>
      <w:r w:rsidRPr="00301875">
        <w:rPr>
          <w:w w:val="100"/>
        </w:rPr>
        <w:t>е</w:t>
      </w:r>
      <w:r w:rsidRPr="00301875">
        <w:rPr>
          <w:w w:val="100"/>
        </w:rPr>
        <w:t>нием государства-участника о том, что ее утверждения никоим образом не по</w:t>
      </w:r>
      <w:r w:rsidRPr="00301875">
        <w:rPr>
          <w:w w:val="100"/>
        </w:rPr>
        <w:t>д</w:t>
      </w:r>
      <w:r w:rsidRPr="00301875">
        <w:rPr>
          <w:w w:val="100"/>
        </w:rPr>
        <w:t>тверждаются какими-либо очевидными доказательствами. Она напоминает, что проинформировала датские органы власти о том, что напавшие на нее злоумы</w:t>
      </w:r>
      <w:r w:rsidRPr="00301875">
        <w:rPr>
          <w:w w:val="100"/>
        </w:rPr>
        <w:t>ш</w:t>
      </w:r>
      <w:r w:rsidRPr="00301875">
        <w:rPr>
          <w:w w:val="100"/>
        </w:rPr>
        <w:t>ленники угрожали ей, изнасиловали ее, нанесли ей ожоги горячим маслом и тр</w:t>
      </w:r>
      <w:r w:rsidRPr="00301875">
        <w:rPr>
          <w:w w:val="100"/>
        </w:rPr>
        <w:t>е</w:t>
      </w:r>
      <w:r w:rsidRPr="00301875">
        <w:rPr>
          <w:w w:val="100"/>
        </w:rPr>
        <w:t>бовали, чтобы она занималась проституцией. Она также напоминает, что, как с</w:t>
      </w:r>
      <w:r w:rsidRPr="00301875">
        <w:rPr>
          <w:w w:val="100"/>
        </w:rPr>
        <w:t>о</w:t>
      </w:r>
      <w:r w:rsidRPr="00301875">
        <w:rPr>
          <w:w w:val="100"/>
        </w:rPr>
        <w:t>общила ей датская Иммиграционная служба</w:t>
      </w:r>
      <w:r>
        <w:rPr>
          <w:w w:val="100"/>
        </w:rPr>
        <w:t>,</w:t>
      </w:r>
      <w:r w:rsidRPr="00301875">
        <w:rPr>
          <w:w w:val="100"/>
        </w:rPr>
        <w:t xml:space="preserve"> даже если представители службы согласятся с ее доводами относительно ко</w:t>
      </w:r>
      <w:r w:rsidRPr="00301875">
        <w:rPr>
          <w:w w:val="100"/>
        </w:rPr>
        <w:t>н</w:t>
      </w:r>
      <w:r w:rsidRPr="00301875">
        <w:rPr>
          <w:w w:val="100"/>
        </w:rPr>
        <w:t>фликтов с гангстерами-ростовщиками, они считают, что подобные конфликты не могут служить основанием для пред</w:t>
      </w:r>
      <w:r w:rsidRPr="00301875">
        <w:rPr>
          <w:w w:val="100"/>
        </w:rPr>
        <w:t>о</w:t>
      </w:r>
      <w:r w:rsidRPr="00301875">
        <w:rPr>
          <w:w w:val="100"/>
        </w:rPr>
        <w:t>ставления убежища. По мнению автора, Иммиграцио</w:t>
      </w:r>
      <w:r w:rsidRPr="00301875">
        <w:rPr>
          <w:w w:val="100"/>
        </w:rPr>
        <w:t>н</w:t>
      </w:r>
      <w:r w:rsidRPr="00301875">
        <w:rPr>
          <w:w w:val="100"/>
        </w:rPr>
        <w:t>ная служба допускает, что эти события действительно имели место, несмотря на то что государство-участник считает их не относящимися к делу и не являющимися основан</w:t>
      </w:r>
      <w:r w:rsidRPr="00301875">
        <w:rPr>
          <w:w w:val="100"/>
        </w:rPr>
        <w:t>и</w:t>
      </w:r>
      <w:r w:rsidRPr="00301875">
        <w:rPr>
          <w:w w:val="100"/>
        </w:rPr>
        <w:t xml:space="preserve">ем для предоставления убежища. Автор сообщения настаивает на том, что ее страдания являются реальными фактами, а не голословными утверждениями, обращая при этом внимание на то, что слово </w:t>
      </w:r>
      <w:r w:rsidR="005C5416">
        <w:rPr>
          <w:w w:val="100"/>
        </w:rPr>
        <w:t>«</w:t>
      </w:r>
      <w:r w:rsidRPr="00301875">
        <w:rPr>
          <w:w w:val="100"/>
        </w:rPr>
        <w:t>утверждаемый</w:t>
      </w:r>
      <w:r w:rsidR="005C5416">
        <w:rPr>
          <w:w w:val="100"/>
        </w:rPr>
        <w:t>»</w:t>
      </w:r>
      <w:r w:rsidRPr="00301875">
        <w:rPr>
          <w:w w:val="100"/>
        </w:rPr>
        <w:t xml:space="preserve"> ассоциируется с чем-то, что в</w:t>
      </w:r>
      <w:r w:rsidRPr="00301875">
        <w:rPr>
          <w:w w:val="100"/>
        </w:rPr>
        <w:t>ы</w:t>
      </w:r>
      <w:r w:rsidRPr="00301875">
        <w:rPr>
          <w:w w:val="100"/>
        </w:rPr>
        <w:t>зывает сомнения. Она настаивает на том, что государство-участник либо непр</w:t>
      </w:r>
      <w:r w:rsidRPr="00301875">
        <w:rPr>
          <w:w w:val="100"/>
        </w:rPr>
        <w:t>а</w:t>
      </w:r>
      <w:r w:rsidRPr="00301875">
        <w:rPr>
          <w:w w:val="100"/>
        </w:rPr>
        <w:t xml:space="preserve">вильно понимает, либо неправильно употребляет слово </w:t>
      </w:r>
      <w:r w:rsidR="005C5416">
        <w:rPr>
          <w:w w:val="100"/>
        </w:rPr>
        <w:t>«</w:t>
      </w:r>
      <w:r w:rsidRPr="00301875">
        <w:rPr>
          <w:w w:val="100"/>
        </w:rPr>
        <w:t>утверждаемый</w:t>
      </w:r>
      <w:r w:rsidR="005C5416">
        <w:rPr>
          <w:w w:val="100"/>
        </w:rPr>
        <w:t>»</w:t>
      </w:r>
      <w:r w:rsidRPr="00301875">
        <w:rPr>
          <w:w w:val="100"/>
        </w:rPr>
        <w:t xml:space="preserve">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7.2</w:t>
      </w:r>
      <w:r w:rsidRPr="00301875">
        <w:rPr>
          <w:w w:val="100"/>
        </w:rPr>
        <w:tab/>
        <w:t>Автор далее утверждает, что нет никаких сомнений в том, что она доказала, что в случае возвращения в Китай она подвергнется реальному, личному и пре</w:t>
      </w:r>
      <w:r w:rsidRPr="00301875">
        <w:rPr>
          <w:w w:val="100"/>
        </w:rPr>
        <w:t>д</w:t>
      </w:r>
      <w:r w:rsidRPr="00301875">
        <w:rPr>
          <w:w w:val="100"/>
        </w:rPr>
        <w:t>сказуемому риску серьезных форм гендерного насилия, поскольку она уже п</w:t>
      </w:r>
      <w:r w:rsidRPr="00301875">
        <w:rPr>
          <w:w w:val="100"/>
        </w:rPr>
        <w:t>о</w:t>
      </w:r>
      <w:r w:rsidRPr="00301875">
        <w:rPr>
          <w:w w:val="100"/>
        </w:rPr>
        <w:t>страдала от такого рода насилия в прошлом. Автор утверждает, что она предст</w:t>
      </w:r>
      <w:r w:rsidRPr="00301875">
        <w:rPr>
          <w:w w:val="100"/>
        </w:rPr>
        <w:t>а</w:t>
      </w:r>
      <w:r w:rsidRPr="00301875">
        <w:rPr>
          <w:w w:val="100"/>
        </w:rPr>
        <w:t>вила очевидные доказател</w:t>
      </w:r>
      <w:r w:rsidRPr="00301875">
        <w:rPr>
          <w:w w:val="100"/>
        </w:rPr>
        <w:t>ь</w:t>
      </w:r>
      <w:r w:rsidRPr="00301875">
        <w:rPr>
          <w:w w:val="100"/>
        </w:rPr>
        <w:t>ства случившегося, каковыми являются ее заявления, а также продемонстрированные шрамы от ожогов горячим маслом на голове. Т</w:t>
      </w:r>
      <w:r w:rsidRPr="00301875">
        <w:rPr>
          <w:w w:val="100"/>
        </w:rPr>
        <w:t>а</w:t>
      </w:r>
      <w:r w:rsidRPr="00301875">
        <w:rPr>
          <w:w w:val="100"/>
        </w:rPr>
        <w:t>ким образом, автор считает, что в связи с этим сообщение не может быть призн</w:t>
      </w:r>
      <w:r w:rsidRPr="00301875">
        <w:rPr>
          <w:w w:val="100"/>
        </w:rPr>
        <w:t>а</w:t>
      </w:r>
      <w:r w:rsidRPr="00301875">
        <w:rPr>
          <w:w w:val="100"/>
        </w:rPr>
        <w:t>но неприемлемым.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7.3</w:t>
      </w:r>
      <w:r w:rsidRPr="00301875">
        <w:rPr>
          <w:w w:val="100"/>
        </w:rPr>
        <w:tab/>
        <w:t>Автор утверждает, что ее заявление о том, что китайские органы власти не в состоянии устранить риск, которому она подвергается, путем предоставления н</w:t>
      </w:r>
      <w:r w:rsidRPr="00301875">
        <w:rPr>
          <w:w w:val="100"/>
        </w:rPr>
        <w:t>е</w:t>
      </w:r>
      <w:r w:rsidRPr="00301875">
        <w:rPr>
          <w:w w:val="100"/>
        </w:rPr>
        <w:t>обход</w:t>
      </w:r>
      <w:r w:rsidRPr="00301875">
        <w:rPr>
          <w:w w:val="100"/>
        </w:rPr>
        <w:t>и</w:t>
      </w:r>
      <w:r w:rsidRPr="00301875">
        <w:rPr>
          <w:w w:val="100"/>
        </w:rPr>
        <w:t>мой защиты, является достаточно обоснованным для того, чтобы признать ее сообщение приемлемым, поскольку представленная автором информация им</w:t>
      </w:r>
      <w:r w:rsidRPr="00301875">
        <w:rPr>
          <w:w w:val="100"/>
        </w:rPr>
        <w:t>е</w:t>
      </w:r>
      <w:r w:rsidRPr="00301875">
        <w:rPr>
          <w:w w:val="100"/>
        </w:rPr>
        <w:t>ет самое непосредственное отношение к ситуации, в которой она оказалась в К</w:t>
      </w:r>
      <w:r w:rsidRPr="00301875">
        <w:rPr>
          <w:w w:val="100"/>
        </w:rPr>
        <w:t>и</w:t>
      </w:r>
      <w:r w:rsidRPr="00301875">
        <w:rPr>
          <w:w w:val="100"/>
        </w:rPr>
        <w:t>тае, когда она подверглась нападению, и соответственно к ее решению не обр</w:t>
      </w:r>
      <w:r w:rsidRPr="00301875">
        <w:rPr>
          <w:w w:val="100"/>
        </w:rPr>
        <w:t>а</w:t>
      </w:r>
      <w:r w:rsidRPr="00301875">
        <w:rPr>
          <w:w w:val="100"/>
        </w:rPr>
        <w:t>щаться в китайскую полицию. Кроме того, она сообщает, что никогда не утве</w:t>
      </w:r>
      <w:r w:rsidRPr="00301875">
        <w:rPr>
          <w:w w:val="100"/>
        </w:rPr>
        <w:t>р</w:t>
      </w:r>
      <w:r w:rsidRPr="00301875">
        <w:rPr>
          <w:w w:val="100"/>
        </w:rPr>
        <w:t>ждала, что информация из закл</w:t>
      </w:r>
      <w:r w:rsidRPr="00301875">
        <w:rPr>
          <w:w w:val="100"/>
        </w:rPr>
        <w:t>ю</w:t>
      </w:r>
      <w:r w:rsidRPr="00301875">
        <w:rPr>
          <w:w w:val="100"/>
        </w:rPr>
        <w:t>чительных замечаний Комитета 2006 года имеет какое-либо отношение к современным условиям</w:t>
      </w:r>
      <w:r>
        <w:rPr>
          <w:w w:val="100"/>
        </w:rPr>
        <w:t>,</w:t>
      </w:r>
      <w:r w:rsidR="005C5416">
        <w:rPr>
          <w:w w:val="100"/>
        </w:rPr>
        <w:t xml:space="preserve"> — </w:t>
      </w:r>
      <w:r w:rsidRPr="00301875">
        <w:rPr>
          <w:w w:val="100"/>
        </w:rPr>
        <w:t>напротив, она опасается, что в настоящее время ситуация в стране могла стать намного хуже. Однако, по утверждению автора, эти соображения могли бы стать одним из элементов пр</w:t>
      </w:r>
      <w:r w:rsidRPr="00301875">
        <w:rPr>
          <w:w w:val="100"/>
        </w:rPr>
        <w:t>о</w:t>
      </w:r>
      <w:r w:rsidRPr="00301875">
        <w:rPr>
          <w:w w:val="100"/>
        </w:rPr>
        <w:t>цесса рассмотрения существа дела и она готова представить такого рода инфо</w:t>
      </w:r>
      <w:r w:rsidRPr="00301875">
        <w:rPr>
          <w:w w:val="100"/>
        </w:rPr>
        <w:t>р</w:t>
      </w:r>
      <w:r w:rsidRPr="00301875">
        <w:rPr>
          <w:w w:val="100"/>
        </w:rPr>
        <w:t>мацию, когда рассмотрение дела дойдет до этого этапа. Автор утве</w:t>
      </w:r>
      <w:r w:rsidRPr="00301875">
        <w:rPr>
          <w:w w:val="100"/>
        </w:rPr>
        <w:t>р</w:t>
      </w:r>
      <w:r w:rsidRPr="00301875">
        <w:rPr>
          <w:w w:val="100"/>
        </w:rPr>
        <w:t>ждает, что на момент представления замечаний у нее были все основания для того, чтобы не пытаться вступать в контакт с полицией в Китае, а искать защиту где бы то ни было еще. Автор также отмечает, что упомянутым выше ищущим убежище му</w:t>
      </w:r>
      <w:r w:rsidRPr="00301875">
        <w:rPr>
          <w:w w:val="100"/>
        </w:rPr>
        <w:t>ж</w:t>
      </w:r>
      <w:r w:rsidRPr="00301875">
        <w:rPr>
          <w:w w:val="100"/>
        </w:rPr>
        <w:t>чинам было разрешено подать апелляционную жалобу несмотря на то, что они никогда не о</w:t>
      </w:r>
      <w:r w:rsidRPr="00301875">
        <w:rPr>
          <w:w w:val="100"/>
        </w:rPr>
        <w:t>б</w:t>
      </w:r>
      <w:r w:rsidRPr="00301875">
        <w:rPr>
          <w:w w:val="100"/>
        </w:rPr>
        <w:t>ращались в китайскую полицию с просьбой о защите от гангстеров-ростовщиков. Соответственно, она полагает, что ее сообщение не является несовместимым с положениями Конвенции и должно быть признано приемл</w:t>
      </w:r>
      <w:r w:rsidRPr="00301875">
        <w:rPr>
          <w:w w:val="100"/>
        </w:rPr>
        <w:t>е</w:t>
      </w:r>
      <w:r w:rsidRPr="00301875">
        <w:rPr>
          <w:w w:val="100"/>
        </w:rPr>
        <w:t xml:space="preserve">мым.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7.4</w:t>
      </w:r>
      <w:r w:rsidRPr="00301875">
        <w:rPr>
          <w:w w:val="100"/>
        </w:rPr>
        <w:tab/>
        <w:t>2 января 2014 года автор дополнительно сообщила, что ее адвокат вновь представляет в датской Комиссии по делам беженцев интересы ищущего убеж</w:t>
      </w:r>
      <w:r w:rsidRPr="00301875">
        <w:rPr>
          <w:w w:val="100"/>
        </w:rPr>
        <w:t>и</w:t>
      </w:r>
      <w:r w:rsidRPr="00301875">
        <w:rPr>
          <w:w w:val="100"/>
        </w:rPr>
        <w:t>ще гражданина Китая, который опасается насилия в связи с задолженностью п</w:t>
      </w:r>
      <w:r w:rsidRPr="00301875">
        <w:rPr>
          <w:w w:val="100"/>
        </w:rPr>
        <w:t>е</w:t>
      </w:r>
      <w:r w:rsidRPr="00301875">
        <w:rPr>
          <w:w w:val="100"/>
        </w:rPr>
        <w:t>ред гангстерами-ростовщиками. Его заявление было отклонено, однако некот</w:t>
      </w:r>
      <w:r w:rsidRPr="00301875">
        <w:rPr>
          <w:w w:val="100"/>
        </w:rPr>
        <w:t>о</w:t>
      </w:r>
      <w:r w:rsidRPr="00301875">
        <w:rPr>
          <w:w w:val="100"/>
        </w:rPr>
        <w:t>рые члены Комиссии заявили, что они могли бы принять решение о предоставл</w:t>
      </w:r>
      <w:r w:rsidRPr="00301875">
        <w:rPr>
          <w:w w:val="100"/>
        </w:rPr>
        <w:t>е</w:t>
      </w:r>
      <w:r w:rsidRPr="00301875">
        <w:rPr>
          <w:w w:val="100"/>
        </w:rPr>
        <w:t>нии убежища на основании т</w:t>
      </w:r>
      <w:r w:rsidRPr="00301875">
        <w:rPr>
          <w:w w:val="100"/>
        </w:rPr>
        <w:t>о</w:t>
      </w:r>
      <w:r w:rsidRPr="00301875">
        <w:rPr>
          <w:w w:val="100"/>
        </w:rPr>
        <w:t>го, что ищущее убежище лицо выехало за пределы Китая нелегальным образом. По мнению автора, данный факт свидетельствует о том, что она подверглась дискримин</w:t>
      </w:r>
      <w:r w:rsidRPr="00301875">
        <w:rPr>
          <w:w w:val="100"/>
        </w:rPr>
        <w:t>а</w:t>
      </w:r>
      <w:r w:rsidRPr="00301875">
        <w:rPr>
          <w:w w:val="100"/>
        </w:rPr>
        <w:t>ции по сравнению с мужчинами в контексте права на доступ к правосудию. Автор также сообщает, что при предоставлении ей права на подачу апелляции на равных основаниях, она могла бы также соо</w:t>
      </w:r>
      <w:r w:rsidRPr="00301875">
        <w:rPr>
          <w:w w:val="100"/>
        </w:rPr>
        <w:t>б</w:t>
      </w:r>
      <w:r w:rsidRPr="00301875">
        <w:rPr>
          <w:w w:val="100"/>
        </w:rPr>
        <w:t>щить об опасениях в отношении преследования со стороны китайских органов власти в связи с ее нелегальным выездом из страны. При том что этот аргумент может или не может иметь своим результатом предоставление убежища, автор з</w:t>
      </w:r>
      <w:r w:rsidRPr="00301875">
        <w:rPr>
          <w:w w:val="100"/>
        </w:rPr>
        <w:t>а</w:t>
      </w:r>
      <w:r w:rsidRPr="00301875">
        <w:rPr>
          <w:w w:val="100"/>
        </w:rPr>
        <w:t>являет о нарушении ее права на равное обращение, поскольку большее число находящихся в аналогичной ситуации мужчин получа</w:t>
      </w:r>
      <w:r>
        <w:rPr>
          <w:w w:val="100"/>
        </w:rPr>
        <w:t>ю</w:t>
      </w:r>
      <w:r w:rsidRPr="00301875">
        <w:rPr>
          <w:w w:val="100"/>
        </w:rPr>
        <w:t>т разрешение на подачу апелляции. Соответственно она подверглась дискриминации как женщина, п</w:t>
      </w:r>
      <w:r w:rsidRPr="00301875">
        <w:rPr>
          <w:w w:val="100"/>
        </w:rPr>
        <w:t>о</w:t>
      </w:r>
      <w:r w:rsidRPr="00301875">
        <w:rPr>
          <w:w w:val="100"/>
        </w:rPr>
        <w:t>скольку ей не было разрешено даже подать апелляцию, в то время как заявит</w:t>
      </w:r>
      <w:r w:rsidRPr="00301875">
        <w:rPr>
          <w:w w:val="100"/>
        </w:rPr>
        <w:t>е</w:t>
      </w:r>
      <w:r w:rsidRPr="00301875">
        <w:rPr>
          <w:w w:val="100"/>
        </w:rPr>
        <w:t xml:space="preserve">лям-мужчинам, опасающимся преследования со стороны гангстеров-ростовщиков, такая возможность была предоставлена. Автор также добавляет, что в замечаниях государства-участника не прослеживается никаких попыток предоставить ответ на ее комментарии по этому поводу. </w:t>
      </w:r>
    </w:p>
    <w:p w:rsidR="00294265" w:rsidRDefault="00294265" w:rsidP="00175E0B">
      <w:pPr>
        <w:pStyle w:val="SingleTxt"/>
        <w:rPr>
          <w:w w:val="100"/>
          <w:lang w:val="en-US"/>
        </w:rPr>
      </w:pPr>
      <w:r w:rsidRPr="00301875">
        <w:rPr>
          <w:w w:val="100"/>
        </w:rPr>
        <w:t>7.5</w:t>
      </w:r>
      <w:r w:rsidRPr="00301875">
        <w:rPr>
          <w:w w:val="100"/>
        </w:rPr>
        <w:tab/>
        <w:t>Далее автор сообщает, что в 2013 году ее адвокат представлял интересы в общей сложности пяти граждан Китая</w:t>
      </w:r>
      <w:r w:rsidR="005C5416">
        <w:rPr>
          <w:w w:val="100"/>
        </w:rPr>
        <w:t xml:space="preserve"> — </w:t>
      </w:r>
      <w:r w:rsidRPr="00301875">
        <w:rPr>
          <w:w w:val="100"/>
        </w:rPr>
        <w:t>мужчин, просьбы о предоставлении убежища которых были отклонены датской Иммиграционной службой и которым было предоставлено право на апелляцию. Автор сообщения утверждает, что она подверглась дискриминации как женщина в отношении реализации ее права на беспристрастное судебное разбирательство и использование эффективных средств правовой защиты по сравнению с лицами мужского пола, ищущими уб</w:t>
      </w:r>
      <w:r w:rsidRPr="00301875">
        <w:rPr>
          <w:w w:val="100"/>
        </w:rPr>
        <w:t>е</w:t>
      </w:r>
      <w:r w:rsidRPr="00301875">
        <w:rPr>
          <w:w w:val="100"/>
        </w:rPr>
        <w:t>жище и находящимися в аналогичной ситуации. В связи с этим автор полагает, что ее сообщение является достаточно обоснованным и должно быть признано приемлемым в соответствии с пунктом 2) статьи 4 Факультати</w:t>
      </w:r>
      <w:r w:rsidRPr="00301875">
        <w:rPr>
          <w:w w:val="100"/>
        </w:rPr>
        <w:t>в</w:t>
      </w:r>
      <w:r w:rsidRPr="00301875">
        <w:rPr>
          <w:w w:val="100"/>
        </w:rPr>
        <w:t xml:space="preserve">ного протокола. </w:t>
      </w:r>
    </w:p>
    <w:p w:rsidR="00C73339" w:rsidRPr="00C73339" w:rsidRDefault="00C73339" w:rsidP="00C73339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294265" w:rsidRDefault="00294265" w:rsidP="00C7333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  <w:lang w:val="en-US"/>
        </w:rPr>
      </w:pPr>
      <w:r w:rsidRPr="00301875">
        <w:rPr>
          <w:w w:val="100"/>
        </w:rPr>
        <w:tab/>
      </w:r>
      <w:r w:rsidRPr="00301875">
        <w:rPr>
          <w:w w:val="100"/>
        </w:rPr>
        <w:tab/>
        <w:t xml:space="preserve">Вопросы о приемлемости и процедуры их рассмотрения в Комитете </w:t>
      </w:r>
    </w:p>
    <w:p w:rsidR="00C73339" w:rsidRPr="00C73339" w:rsidRDefault="00C73339" w:rsidP="00C73339">
      <w:pPr>
        <w:spacing w:line="120" w:lineRule="exact"/>
        <w:rPr>
          <w:sz w:val="10"/>
          <w:lang w:val="en-US"/>
        </w:rPr>
      </w:pP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8.1</w:t>
      </w:r>
      <w:r w:rsidRPr="00301875">
        <w:rPr>
          <w:w w:val="100"/>
        </w:rPr>
        <w:tab/>
        <w:t>Согласно правилу 64 своих правил процедуры Комитет должен решить в</w:t>
      </w:r>
      <w:r w:rsidRPr="00301875">
        <w:rPr>
          <w:w w:val="100"/>
        </w:rPr>
        <w:t>о</w:t>
      </w:r>
      <w:r w:rsidRPr="00301875">
        <w:rPr>
          <w:w w:val="100"/>
        </w:rPr>
        <w:t>прос о том, является ли сообщение приемлемым в соответствии с Факультати</w:t>
      </w:r>
      <w:r w:rsidRPr="00301875">
        <w:rPr>
          <w:w w:val="100"/>
        </w:rPr>
        <w:t>в</w:t>
      </w:r>
      <w:r w:rsidRPr="00301875">
        <w:rPr>
          <w:w w:val="100"/>
        </w:rPr>
        <w:t>ным проток</w:t>
      </w:r>
      <w:r w:rsidRPr="00301875">
        <w:rPr>
          <w:w w:val="100"/>
        </w:rPr>
        <w:t>о</w:t>
      </w:r>
      <w:r w:rsidRPr="00301875">
        <w:rPr>
          <w:w w:val="100"/>
        </w:rPr>
        <w:t xml:space="preserve">лом.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8.2</w:t>
      </w:r>
      <w:r w:rsidRPr="00301875">
        <w:rPr>
          <w:w w:val="100"/>
        </w:rPr>
        <w:tab/>
        <w:t>Комитет принимает к сведению заявление автора о том, что ее депортация в Китай будет представлять собой нарушение Данией положений статей 1</w:t>
      </w:r>
      <w:r>
        <w:rPr>
          <w:w w:val="100"/>
        </w:rPr>
        <w:t>–</w:t>
      </w:r>
      <w:r w:rsidRPr="00301875">
        <w:rPr>
          <w:w w:val="100"/>
        </w:rPr>
        <w:t>3, 12 и 15 Ко</w:t>
      </w:r>
      <w:r w:rsidRPr="00301875">
        <w:rPr>
          <w:w w:val="100"/>
        </w:rPr>
        <w:t>н</w:t>
      </w:r>
      <w:r w:rsidRPr="00301875">
        <w:rPr>
          <w:w w:val="100"/>
        </w:rPr>
        <w:t>венции. Комитет также принимает к сведению аргумент государства-участника в отношении того, что сообщение должно быть признано неприемл</w:t>
      </w:r>
      <w:r w:rsidRPr="00301875">
        <w:rPr>
          <w:w w:val="100"/>
        </w:rPr>
        <w:t>е</w:t>
      </w:r>
      <w:r w:rsidRPr="00301875">
        <w:rPr>
          <w:w w:val="100"/>
        </w:rPr>
        <w:t>мым ratione loci и ratione materiae согласно статье 2 Факультативного протокола с учетом наличия у Дании в соответствии с Конвенцией обязательств лишь в о</w:t>
      </w:r>
      <w:r w:rsidRPr="00301875">
        <w:rPr>
          <w:w w:val="100"/>
        </w:rPr>
        <w:t>т</w:t>
      </w:r>
      <w:r w:rsidRPr="00301875">
        <w:rPr>
          <w:w w:val="100"/>
        </w:rPr>
        <w:t>ношении находящихся под ее юрисдикцией лиц и отсутствия оснований для во</w:t>
      </w:r>
      <w:r w:rsidRPr="00301875">
        <w:rPr>
          <w:w w:val="100"/>
        </w:rPr>
        <w:t>з</w:t>
      </w:r>
      <w:r w:rsidRPr="00301875">
        <w:rPr>
          <w:w w:val="100"/>
        </w:rPr>
        <w:t>ложения на нее ответственности за такие факты нарушения положений Конве</w:t>
      </w:r>
      <w:r w:rsidRPr="00301875">
        <w:rPr>
          <w:w w:val="100"/>
        </w:rPr>
        <w:t>н</w:t>
      </w:r>
      <w:r w:rsidRPr="00301875">
        <w:rPr>
          <w:w w:val="100"/>
        </w:rPr>
        <w:t>ции, как случаи гендерного насилия, которые могут совершаться иным госуда</w:t>
      </w:r>
      <w:r w:rsidRPr="00301875">
        <w:rPr>
          <w:w w:val="100"/>
        </w:rPr>
        <w:t>р</w:t>
      </w:r>
      <w:r w:rsidRPr="00301875">
        <w:rPr>
          <w:w w:val="100"/>
        </w:rPr>
        <w:t>ством за пределами территории и юрисдикции Дании. Кроме того, Комитет пр</w:t>
      </w:r>
      <w:r w:rsidRPr="00301875">
        <w:rPr>
          <w:w w:val="100"/>
        </w:rPr>
        <w:t>и</w:t>
      </w:r>
      <w:r w:rsidRPr="00301875">
        <w:rPr>
          <w:w w:val="100"/>
        </w:rPr>
        <w:t>нимает к сведению ссылку государства-участника на понятие "юрисдикция" в международном публичном праве и его мнение в отношении того, что Конвенция не имеет экстерриториального действия и, в отличие от других договоров по в</w:t>
      </w:r>
      <w:r w:rsidRPr="00301875">
        <w:rPr>
          <w:w w:val="100"/>
        </w:rPr>
        <w:t>о</w:t>
      </w:r>
      <w:r w:rsidRPr="00301875">
        <w:rPr>
          <w:w w:val="100"/>
        </w:rPr>
        <w:t>просам прав человека, она не затрагивает прямым или косвенным образом в</w:t>
      </w:r>
      <w:r w:rsidRPr="00301875">
        <w:rPr>
          <w:w w:val="100"/>
        </w:rPr>
        <w:t>о</w:t>
      </w:r>
      <w:r w:rsidRPr="00301875">
        <w:rPr>
          <w:w w:val="100"/>
        </w:rPr>
        <w:t>просы высылки при наличии угрозы пыток или иных серьезных угроз жизни и личной непр</w:t>
      </w:r>
      <w:r w:rsidRPr="00301875">
        <w:rPr>
          <w:w w:val="100"/>
        </w:rPr>
        <w:t>и</w:t>
      </w:r>
      <w:r w:rsidRPr="00301875">
        <w:rPr>
          <w:w w:val="100"/>
        </w:rPr>
        <w:t xml:space="preserve">косновенности человека.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8.3</w:t>
      </w:r>
      <w:r w:rsidRPr="00301875">
        <w:rPr>
          <w:w w:val="100"/>
        </w:rPr>
        <w:tab/>
        <w:t>Прежде всего Комитету следует рассмотреть вопрос о том, входит ли в его компетенцию в соответствии с Конвенцией рассмотрение настоящего сообщения, связа</w:t>
      </w:r>
      <w:r w:rsidRPr="00301875">
        <w:rPr>
          <w:w w:val="100"/>
        </w:rPr>
        <w:t>н</w:t>
      </w:r>
      <w:r w:rsidRPr="00301875">
        <w:rPr>
          <w:w w:val="100"/>
        </w:rPr>
        <w:t>ного с депортацией автора из Дании в Китай, где, как она утверждает, она подвергнется риску гендерного насилия, которое является одной из форм обр</w:t>
      </w:r>
      <w:r w:rsidRPr="00301875">
        <w:rPr>
          <w:w w:val="100"/>
        </w:rPr>
        <w:t>а</w:t>
      </w:r>
      <w:r w:rsidRPr="00301875">
        <w:rPr>
          <w:w w:val="100"/>
        </w:rPr>
        <w:t>щения, запрещенного Конвенцией. Комитету необходимо будет определить, несет ли государство-участник в случае высылки автора сообщения в Китай отве</w:t>
      </w:r>
      <w:r w:rsidRPr="00301875">
        <w:rPr>
          <w:w w:val="100"/>
        </w:rPr>
        <w:t>т</w:t>
      </w:r>
      <w:r w:rsidRPr="00301875">
        <w:rPr>
          <w:w w:val="100"/>
        </w:rPr>
        <w:t>ственность в соответствии с Конвенцией за последствия такой высылки, даже е</w:t>
      </w:r>
      <w:r w:rsidRPr="00301875">
        <w:rPr>
          <w:w w:val="100"/>
        </w:rPr>
        <w:t>с</w:t>
      </w:r>
      <w:r w:rsidRPr="00301875">
        <w:rPr>
          <w:w w:val="100"/>
        </w:rPr>
        <w:t>ли они наступят за пределами его террит</w:t>
      </w:r>
      <w:r w:rsidRPr="00301875">
        <w:rPr>
          <w:w w:val="100"/>
        </w:rPr>
        <w:t>о</w:t>
      </w:r>
      <w:r w:rsidRPr="00301875">
        <w:rPr>
          <w:w w:val="100"/>
        </w:rPr>
        <w:t>рии.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8.4</w:t>
      </w:r>
      <w:r w:rsidRPr="00301875">
        <w:rPr>
          <w:w w:val="100"/>
        </w:rPr>
        <w:tab/>
        <w:t>Комитет напоминает о своей рекомендации № 28 общего порядка, каса</w:t>
      </w:r>
      <w:r w:rsidRPr="00301875">
        <w:rPr>
          <w:w w:val="100"/>
        </w:rPr>
        <w:t>ю</w:t>
      </w:r>
      <w:r w:rsidRPr="00301875">
        <w:rPr>
          <w:w w:val="100"/>
        </w:rPr>
        <w:t>щейся основных обязательств государств-участников по статье 2 Конвенции, в которой он подтвердил, что обязательства государств-участников применяются без дискриминации в отношении как граждан, так и неграждан, включая беже</w:t>
      </w:r>
      <w:r w:rsidRPr="00301875">
        <w:rPr>
          <w:w w:val="100"/>
        </w:rPr>
        <w:t>н</w:t>
      </w:r>
      <w:r w:rsidRPr="00301875">
        <w:rPr>
          <w:w w:val="100"/>
        </w:rPr>
        <w:t>цев, лиц, ищущих убежище, трудящихся-мигрантов и лиц без гражданства, в пр</w:t>
      </w:r>
      <w:r w:rsidRPr="00301875">
        <w:rPr>
          <w:w w:val="100"/>
        </w:rPr>
        <w:t>е</w:t>
      </w:r>
      <w:r w:rsidRPr="00301875">
        <w:rPr>
          <w:w w:val="100"/>
        </w:rPr>
        <w:t>делах их территории или под фактическим контролем, даже если они не находя</w:t>
      </w:r>
      <w:r w:rsidRPr="00301875">
        <w:rPr>
          <w:w w:val="100"/>
        </w:rPr>
        <w:t>т</w:t>
      </w:r>
      <w:r w:rsidRPr="00301875">
        <w:rPr>
          <w:w w:val="100"/>
        </w:rPr>
        <w:t>ся в пределах территории. Как указал Комитет, государства-участники несут о</w:t>
      </w:r>
      <w:r w:rsidRPr="00301875">
        <w:rPr>
          <w:w w:val="100"/>
        </w:rPr>
        <w:t>т</w:t>
      </w:r>
      <w:r w:rsidRPr="00301875">
        <w:rPr>
          <w:w w:val="100"/>
        </w:rPr>
        <w:t>ветственность за все свои действия, затрагивающие права человека, вне завис</w:t>
      </w:r>
      <w:r w:rsidRPr="00301875">
        <w:rPr>
          <w:w w:val="100"/>
        </w:rPr>
        <w:t>и</w:t>
      </w:r>
      <w:r w:rsidRPr="00301875">
        <w:rPr>
          <w:w w:val="100"/>
        </w:rPr>
        <w:t>мости от того, находятся ли затрагиваемые лица на их территориях.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8.5</w:t>
      </w:r>
      <w:r w:rsidRPr="00301875">
        <w:rPr>
          <w:w w:val="100"/>
        </w:rPr>
        <w:tab/>
        <w:t>Комитет напоминает, что в статье 1 Конвенции дискриминация в отношении женщин определяется как любое различие, исключение или ограничение по пр</w:t>
      </w:r>
      <w:r w:rsidRPr="00301875">
        <w:rPr>
          <w:w w:val="100"/>
        </w:rPr>
        <w:t>и</w:t>
      </w:r>
      <w:r w:rsidRPr="00301875">
        <w:rPr>
          <w:w w:val="100"/>
        </w:rPr>
        <w:t>знаку пола, которое направлено на ослабление или сводит на нет признание, пользование или осуществление женщинами прав человека и основных свобод в политической, экон</w:t>
      </w:r>
      <w:r w:rsidRPr="00301875">
        <w:rPr>
          <w:w w:val="100"/>
        </w:rPr>
        <w:t>о</w:t>
      </w:r>
      <w:r w:rsidRPr="00301875">
        <w:rPr>
          <w:w w:val="100"/>
        </w:rPr>
        <w:t>мической, социальной, культурной, гражданской или любой другой области. Комитет далее ссылается на свою рекомендацию № 19</w:t>
      </w:r>
      <w:r w:rsidRPr="009001C9">
        <w:rPr>
          <w:w w:val="100"/>
        </w:rPr>
        <w:t xml:space="preserve"> </w:t>
      </w:r>
      <w:r w:rsidRPr="00301875">
        <w:rPr>
          <w:w w:val="100"/>
        </w:rPr>
        <w:t>общего порядка, в которой насилие в отношении женщин прямо квалифицируется как дискриминация в отношении женщин и указывается, что гендерное насилие представляет собой одну из форм дискриминации в отношении женщин и вкл</w:t>
      </w:r>
      <w:r w:rsidRPr="00301875">
        <w:rPr>
          <w:w w:val="100"/>
        </w:rPr>
        <w:t>ю</w:t>
      </w:r>
      <w:r w:rsidRPr="00301875">
        <w:rPr>
          <w:w w:val="100"/>
        </w:rPr>
        <w:t>чает действия, причиняющие ущерб или страдания физического, психического или сексуального характера, угрозу таких действий, принуждение и другие фо</w:t>
      </w:r>
      <w:r w:rsidRPr="00301875">
        <w:rPr>
          <w:w w:val="100"/>
        </w:rPr>
        <w:t>р</w:t>
      </w:r>
      <w:r w:rsidRPr="00301875">
        <w:rPr>
          <w:w w:val="100"/>
        </w:rPr>
        <w:t>мы ущемления свободы. В</w:t>
      </w:r>
      <w:r w:rsidR="005C5416">
        <w:rPr>
          <w:w w:val="100"/>
        </w:rPr>
        <w:t xml:space="preserve"> </w:t>
      </w:r>
      <w:r w:rsidRPr="00301875">
        <w:rPr>
          <w:w w:val="100"/>
        </w:rPr>
        <w:t>отношении аргумента государства-участника о том, что в отличие от других договоров по правам человека в Конвенции прямо или косвенно не затрагиваются вопросы высылки при наличии угрозы пыток или других серьезных угроз жизни и личной неприкосновенности, Комитет напом</w:t>
      </w:r>
      <w:r w:rsidRPr="00301875">
        <w:rPr>
          <w:w w:val="100"/>
        </w:rPr>
        <w:t>и</w:t>
      </w:r>
      <w:r w:rsidRPr="00301875">
        <w:rPr>
          <w:w w:val="100"/>
        </w:rPr>
        <w:t>нает, что в той же рекомендации он определил, что такое гендерное насилие з</w:t>
      </w:r>
      <w:r w:rsidRPr="00301875">
        <w:rPr>
          <w:w w:val="100"/>
        </w:rPr>
        <w:t>а</w:t>
      </w:r>
      <w:r w:rsidRPr="00301875">
        <w:rPr>
          <w:w w:val="100"/>
        </w:rPr>
        <w:t>трудняет или сводит на нет осуществление женщинами ряда прав человека и о</w:t>
      </w:r>
      <w:r w:rsidRPr="00301875">
        <w:rPr>
          <w:w w:val="100"/>
        </w:rPr>
        <w:t>с</w:t>
      </w:r>
      <w:r w:rsidRPr="00301875">
        <w:rPr>
          <w:w w:val="100"/>
        </w:rPr>
        <w:t>новных свобод, к числу которых, среди прочих, относятся право на жизнь, право не подвергаться пыткам, жестоким, бе</w:t>
      </w:r>
      <w:r w:rsidRPr="00301875">
        <w:rPr>
          <w:w w:val="100"/>
        </w:rPr>
        <w:t>с</w:t>
      </w:r>
      <w:r w:rsidRPr="00301875">
        <w:rPr>
          <w:w w:val="100"/>
        </w:rPr>
        <w:t>человечным или унижающим достоинство видам обращения или наказания, право на свободу и безопасность личности, а также право на равную защиту в рамках закона.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8.6</w:t>
      </w:r>
      <w:r w:rsidRPr="00301875">
        <w:rPr>
          <w:w w:val="100"/>
        </w:rPr>
        <w:tab/>
        <w:t>Комитет далее отмечает, что согласно международным нормам в области прав человека принцип невыдворения налагает на государства обязанность во</w:t>
      </w:r>
      <w:r w:rsidRPr="00301875">
        <w:rPr>
          <w:w w:val="100"/>
        </w:rPr>
        <w:t>з</w:t>
      </w:r>
      <w:r w:rsidRPr="00301875">
        <w:rPr>
          <w:w w:val="100"/>
        </w:rPr>
        <w:t>держиваться от возвращения лиц в юрисдикцию, в которой они могут подвер</w:t>
      </w:r>
      <w:r w:rsidRPr="00301875">
        <w:rPr>
          <w:w w:val="100"/>
        </w:rPr>
        <w:t>г</w:t>
      </w:r>
      <w:r w:rsidRPr="00301875">
        <w:rPr>
          <w:w w:val="100"/>
        </w:rPr>
        <w:t>нуться серьезным нарушениям прав человека, в частности произвольному лиш</w:t>
      </w:r>
      <w:r w:rsidRPr="00301875">
        <w:rPr>
          <w:w w:val="100"/>
        </w:rPr>
        <w:t>е</w:t>
      </w:r>
      <w:r w:rsidRPr="00301875">
        <w:rPr>
          <w:w w:val="100"/>
        </w:rPr>
        <w:t>нию жизни или пыткам или другим жестоким, бесчеловечным или унижающим достоинство видам обращения или наказания. Принцип невыдворения также я</w:t>
      </w:r>
      <w:r w:rsidRPr="00301875">
        <w:rPr>
          <w:w w:val="100"/>
        </w:rPr>
        <w:t>в</w:t>
      </w:r>
      <w:r w:rsidRPr="00301875">
        <w:rPr>
          <w:w w:val="100"/>
        </w:rPr>
        <w:t>ляется неотъемлемым элементом пр</w:t>
      </w:r>
      <w:r w:rsidRPr="00301875">
        <w:rPr>
          <w:w w:val="100"/>
        </w:rPr>
        <w:t>о</w:t>
      </w:r>
      <w:r w:rsidRPr="00301875">
        <w:rPr>
          <w:w w:val="100"/>
        </w:rPr>
        <w:t>цедуры предоставления убежища и системы международной защиты беженцев</w:t>
      </w:r>
      <w:r w:rsidR="00CA5E9F" w:rsidRPr="00B74F5C">
        <w:rPr>
          <w:rStyle w:val="FootnoteReference"/>
        </w:rPr>
        <w:footnoteReference w:id="9"/>
      </w:r>
      <w:r w:rsidRPr="00301875">
        <w:rPr>
          <w:w w:val="100"/>
        </w:rPr>
        <w:t>. Суть этого принципа заключается в том, что государство не может заставить человека вернуться на территорию, где он или она может подвергнуться преследованиям, в том чи</w:t>
      </w:r>
      <w:r w:rsidRPr="00301875">
        <w:rPr>
          <w:w w:val="100"/>
        </w:rPr>
        <w:t>с</w:t>
      </w:r>
      <w:r w:rsidRPr="00301875">
        <w:rPr>
          <w:w w:val="100"/>
        </w:rPr>
        <w:t xml:space="preserve">ле по гендерным признакам и мотивам. Гендерные формы преследования представляют собой преследование, направленное против женщин как таковых или несоразмерно затрагивающее женщин.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8.7</w:t>
      </w:r>
      <w:r w:rsidRPr="00301875">
        <w:rPr>
          <w:w w:val="100"/>
        </w:rPr>
        <w:tab/>
        <w:t>Что касается довода государства-участника о том, что ничто в юридической практике Комитета не указывает на экстерриториальное действие какого-либо из положений Конвенции, то Комитет напоминает о том, что в соответствии с пун</w:t>
      </w:r>
      <w:r w:rsidRPr="00301875">
        <w:rPr>
          <w:w w:val="100"/>
        </w:rPr>
        <w:t>к</w:t>
      </w:r>
      <w:r w:rsidRPr="00301875">
        <w:rPr>
          <w:w w:val="100"/>
        </w:rPr>
        <w:t>том d) статьи 2 Конвенции государства-участники должны воздерживаться от с</w:t>
      </w:r>
      <w:r w:rsidRPr="00301875">
        <w:rPr>
          <w:w w:val="100"/>
        </w:rPr>
        <w:t>о</w:t>
      </w:r>
      <w:r w:rsidRPr="00301875">
        <w:rPr>
          <w:w w:val="100"/>
        </w:rPr>
        <w:t>вершения каких-либо дискриминационных актов или действий в отношении женщин и гарантировать, что государственные органы и учреждения будут де</w:t>
      </w:r>
      <w:r w:rsidRPr="00301875">
        <w:rPr>
          <w:w w:val="100"/>
        </w:rPr>
        <w:t>й</w:t>
      </w:r>
      <w:r w:rsidRPr="00301875">
        <w:rPr>
          <w:w w:val="100"/>
        </w:rPr>
        <w:t>ствовать в соответствии с этим обязательством. Эта обязанность действовать п</w:t>
      </w:r>
      <w:r w:rsidRPr="00301875">
        <w:rPr>
          <w:w w:val="100"/>
        </w:rPr>
        <w:t>о</w:t>
      </w:r>
      <w:r w:rsidRPr="00301875">
        <w:rPr>
          <w:w w:val="100"/>
        </w:rPr>
        <w:t>зитивно предполагает обязательство государств-участников защищать женщин от реального, личного и предсказуемого риска подвергнуться серьезным формам гендерного насилия, независимо от того, наступят ли такие последствия за те</w:t>
      </w:r>
      <w:r w:rsidRPr="00301875">
        <w:rPr>
          <w:w w:val="100"/>
        </w:rPr>
        <w:t>р</w:t>
      </w:r>
      <w:r w:rsidRPr="00301875">
        <w:rPr>
          <w:w w:val="100"/>
        </w:rPr>
        <w:t>риториальными границами высылающего государства-участника: если госуда</w:t>
      </w:r>
      <w:r w:rsidRPr="00301875">
        <w:rPr>
          <w:w w:val="100"/>
        </w:rPr>
        <w:t>р</w:t>
      </w:r>
      <w:r w:rsidRPr="00301875">
        <w:rPr>
          <w:w w:val="100"/>
        </w:rPr>
        <w:t>ство-участник принимает решение в отношении лица под его юрисдикцией, неизбежным и предсказуемым последствием которого станет нарушение прав этого лица по Конвенции в другой юрисдикции, то государство-участник само может стать нарушителем Конвенции. Например, государство-участник само нарушит Конвенцию, если оно вышлет обратно то или иное лицо в другое гос</w:t>
      </w:r>
      <w:r w:rsidRPr="00301875">
        <w:rPr>
          <w:w w:val="100"/>
        </w:rPr>
        <w:t>у</w:t>
      </w:r>
      <w:r w:rsidRPr="00301875">
        <w:rPr>
          <w:w w:val="100"/>
        </w:rPr>
        <w:t>дарство в ситуации, когда можно было предвидеть, что это повлечет за собой с</w:t>
      </w:r>
      <w:r w:rsidRPr="00301875">
        <w:rPr>
          <w:w w:val="100"/>
        </w:rPr>
        <w:t>е</w:t>
      </w:r>
      <w:r w:rsidRPr="00301875">
        <w:rPr>
          <w:w w:val="100"/>
        </w:rPr>
        <w:t>рьезные акты гендерного насилия. Возможность предвидения последствий озн</w:t>
      </w:r>
      <w:r w:rsidRPr="00301875">
        <w:rPr>
          <w:w w:val="100"/>
        </w:rPr>
        <w:t>а</w:t>
      </w:r>
      <w:r w:rsidRPr="00301875">
        <w:rPr>
          <w:w w:val="100"/>
        </w:rPr>
        <w:t>чала бы, что государство-участник допустило нарушение, даже несмотря на то что последствия наступят только через некоторое время. Степень серьезности гендерного насилия определяется обсто</w:t>
      </w:r>
      <w:r w:rsidRPr="00301875">
        <w:rPr>
          <w:w w:val="100"/>
        </w:rPr>
        <w:t>я</w:t>
      </w:r>
      <w:r w:rsidRPr="00301875">
        <w:rPr>
          <w:w w:val="100"/>
        </w:rPr>
        <w:t>тельствами каждого конкретного дела и оценивается Комитетом в индивидуальном п</w:t>
      </w:r>
      <w:r w:rsidRPr="00301875">
        <w:rPr>
          <w:w w:val="100"/>
        </w:rPr>
        <w:t>о</w:t>
      </w:r>
      <w:r w:rsidRPr="00301875">
        <w:rPr>
          <w:w w:val="100"/>
        </w:rPr>
        <w:t>рядке исходя из существа дела при условии, что автор сообщения представил на рассмотрение Комитета достове</w:t>
      </w:r>
      <w:r w:rsidRPr="00301875">
        <w:rPr>
          <w:w w:val="100"/>
        </w:rPr>
        <w:t>р</w:t>
      </w:r>
      <w:r w:rsidRPr="00301875">
        <w:rPr>
          <w:w w:val="100"/>
        </w:rPr>
        <w:t>ные доводы, достаточным образом обосновав свои утве</w:t>
      </w:r>
      <w:r w:rsidRPr="00301875">
        <w:rPr>
          <w:w w:val="100"/>
        </w:rPr>
        <w:t>р</w:t>
      </w:r>
      <w:r w:rsidRPr="00301875">
        <w:rPr>
          <w:w w:val="100"/>
        </w:rPr>
        <w:t>ждения</w:t>
      </w:r>
      <w:r w:rsidR="00CA5E9F" w:rsidRPr="00B74F5C">
        <w:rPr>
          <w:rStyle w:val="FootnoteReference"/>
        </w:rPr>
        <w:footnoteReference w:id="10"/>
      </w:r>
      <w:r w:rsidRPr="00301875">
        <w:rPr>
          <w:w w:val="100"/>
        </w:rPr>
        <w:t>.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8.8</w:t>
      </w:r>
      <w:r w:rsidRPr="00301875">
        <w:rPr>
          <w:w w:val="100"/>
        </w:rPr>
        <w:tab/>
        <w:t>Комитет принимает к сведению утверждение автора сообщения о том, что она опасается гендерного насилия со стороны представителей организованных преступных групп в случае возвращения в Китай и что китайские органы власти не защитят ее от такого рода действий. Комитет также отмечает, что органы вл</w:t>
      </w:r>
      <w:r w:rsidRPr="00301875">
        <w:rPr>
          <w:w w:val="100"/>
        </w:rPr>
        <w:t>а</w:t>
      </w:r>
      <w:r w:rsidRPr="00301875">
        <w:rPr>
          <w:w w:val="100"/>
        </w:rPr>
        <w:t>сти государства-участника признали несостоятельным ее заявление о том, что китайские органы власти не захотят или не смогут защитить ее от нападений со стороны гангстеров-ростовщиков, учитывая тот факт, что, находясь в Китае, она никогда не пыталась обратиться за какой-либо защитой. Комитет отмечает, что автор сообщения выражает несогласие с фактологическими выводами органов власти государства-участника о том, что она никогда не обращалась к китайским органам власти за помощью и не представила какого-либо очевидного доказ</w:t>
      </w:r>
      <w:r w:rsidRPr="00301875">
        <w:rPr>
          <w:w w:val="100"/>
        </w:rPr>
        <w:t>а</w:t>
      </w:r>
      <w:r w:rsidRPr="00301875">
        <w:rPr>
          <w:w w:val="100"/>
        </w:rPr>
        <w:t>тельства того, что китайские органы власти были не в состоянии или не пожел</w:t>
      </w:r>
      <w:r w:rsidRPr="00301875">
        <w:rPr>
          <w:w w:val="100"/>
        </w:rPr>
        <w:t>а</w:t>
      </w:r>
      <w:r w:rsidRPr="00301875">
        <w:rPr>
          <w:w w:val="100"/>
        </w:rPr>
        <w:t>ли защитить ее от представителей организованной преступн</w:t>
      </w:r>
      <w:r w:rsidRPr="00301875">
        <w:rPr>
          <w:w w:val="100"/>
        </w:rPr>
        <w:t>о</w:t>
      </w:r>
      <w:r w:rsidRPr="00301875">
        <w:rPr>
          <w:w w:val="100"/>
        </w:rPr>
        <w:t xml:space="preserve">сти. 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8.9</w:t>
      </w:r>
      <w:r w:rsidRPr="00301875">
        <w:rPr>
          <w:w w:val="100"/>
        </w:rPr>
        <w:tab/>
        <w:t>Комитет далее принимает к сведению заявление автора сообщения о том, что она является жертвой гендерной дискриминации в отношении права на д</w:t>
      </w:r>
      <w:r w:rsidRPr="00301875">
        <w:rPr>
          <w:w w:val="100"/>
        </w:rPr>
        <w:t>о</w:t>
      </w:r>
      <w:r w:rsidRPr="00301875">
        <w:rPr>
          <w:w w:val="100"/>
        </w:rPr>
        <w:t>ступ к правосудию, поскольку по сравнению с ищущими убежище мужчинами большему числу ищ</w:t>
      </w:r>
      <w:r w:rsidRPr="00301875">
        <w:rPr>
          <w:w w:val="100"/>
        </w:rPr>
        <w:t>у</w:t>
      </w:r>
      <w:r w:rsidRPr="00301875">
        <w:rPr>
          <w:w w:val="100"/>
        </w:rPr>
        <w:t xml:space="preserve">щих убежище женщин органы власти государства-участника отказывают в предоставлении убежища по причине </w:t>
      </w:r>
      <w:r w:rsidR="005C5416">
        <w:rPr>
          <w:w w:val="100"/>
        </w:rPr>
        <w:t>«</w:t>
      </w:r>
      <w:r w:rsidRPr="00301875">
        <w:rPr>
          <w:w w:val="100"/>
        </w:rPr>
        <w:t>явной необоснованности</w:t>
      </w:r>
      <w:r w:rsidR="005C5416">
        <w:rPr>
          <w:w w:val="100"/>
        </w:rPr>
        <w:t>»</w:t>
      </w:r>
      <w:r w:rsidRPr="00301875">
        <w:rPr>
          <w:w w:val="100"/>
        </w:rPr>
        <w:t xml:space="preserve"> ходатайства. Комитет также принимает к сведению заявление автора о том, что ее содержание в качестве жертвы гендерного насилия в датской тюрьме в течение нескольких месяцев без возможности пройти лечение в связи с полученной ею травмой представляет собой нарушение Конвенции государством-участником и государство-участник обязано надлежащим образом обеспечить принятие эффе</w:t>
      </w:r>
      <w:r w:rsidRPr="00301875">
        <w:rPr>
          <w:w w:val="100"/>
        </w:rPr>
        <w:t>к</w:t>
      </w:r>
      <w:r w:rsidRPr="00301875">
        <w:rPr>
          <w:w w:val="100"/>
        </w:rPr>
        <w:t>тивных мер правовой защиты жертв гендерного насилия, а также возможность получения ими медицинских услуг и компенсации. Комитет напоминает о том, что в соответствии с недавно принятой рекомендацией № 32 общего порядка по гендерным аспектам статуса беженца, убежища, гражданства и безгражданства женщин, статьи 1–3, пункт а) статьи 5 и статья 15 Конвенции устанавливают об</w:t>
      </w:r>
      <w:r w:rsidRPr="00301875">
        <w:rPr>
          <w:w w:val="100"/>
        </w:rPr>
        <w:t>я</w:t>
      </w:r>
      <w:r w:rsidRPr="00301875">
        <w:rPr>
          <w:w w:val="100"/>
        </w:rPr>
        <w:t>зательство государств-участников обеспечивать, чтобы женщины не подверг</w:t>
      </w:r>
      <w:r w:rsidRPr="00301875">
        <w:rPr>
          <w:w w:val="100"/>
        </w:rPr>
        <w:t>а</w:t>
      </w:r>
      <w:r w:rsidRPr="00301875">
        <w:rPr>
          <w:w w:val="100"/>
        </w:rPr>
        <w:t>лись ди</w:t>
      </w:r>
      <w:r w:rsidRPr="00301875">
        <w:rPr>
          <w:w w:val="100"/>
        </w:rPr>
        <w:t>с</w:t>
      </w:r>
      <w:r w:rsidRPr="00301875">
        <w:rPr>
          <w:w w:val="100"/>
        </w:rPr>
        <w:t>криминации на протяжении всего процесса рассмотрения ходатайства о предоставлении убежища с момента прибытия на границу. Женщины, ищущие убежище, вправе рассчитывать на соблюдение их прав в соответствии с Конве</w:t>
      </w:r>
      <w:r w:rsidRPr="00301875">
        <w:rPr>
          <w:w w:val="100"/>
        </w:rPr>
        <w:t>н</w:t>
      </w:r>
      <w:r w:rsidRPr="00301875">
        <w:rPr>
          <w:w w:val="100"/>
        </w:rPr>
        <w:t>цией; они имеют право на недискриминационное и уважительное отношение и уважение их достоинства на протяжении всей процедуры рассмотрения ходата</w:t>
      </w:r>
      <w:r w:rsidRPr="00301875">
        <w:rPr>
          <w:w w:val="100"/>
        </w:rPr>
        <w:t>й</w:t>
      </w:r>
      <w:r w:rsidRPr="00301875">
        <w:rPr>
          <w:w w:val="100"/>
        </w:rPr>
        <w:t>ства о предоставлении убежища (пункт 24). Комитет также напоминает о том, что гендерный подход должен применяться на всех этапах процедуры рассмотрения ходатайства о предоставлении убежища и что ищущим убежище женщинам, в х</w:t>
      </w:r>
      <w:r w:rsidRPr="00301875">
        <w:rPr>
          <w:w w:val="100"/>
        </w:rPr>
        <w:t>о</w:t>
      </w:r>
      <w:r w:rsidRPr="00301875">
        <w:rPr>
          <w:w w:val="100"/>
        </w:rPr>
        <w:t xml:space="preserve">датайстве которых о предоставлении убежища отказано, необходимо обеспечить достойное и недискриминационное возвращение (пункты 24–25). </w:t>
      </w:r>
      <w:r>
        <w:rPr>
          <w:w w:val="100"/>
        </w:rPr>
        <w:t>Н</w:t>
      </w:r>
      <w:r w:rsidRPr="00301875">
        <w:rPr>
          <w:w w:val="100"/>
        </w:rPr>
        <w:t>аконец, Ком</w:t>
      </w:r>
      <w:r w:rsidRPr="00301875">
        <w:rPr>
          <w:w w:val="100"/>
        </w:rPr>
        <w:t>и</w:t>
      </w:r>
      <w:r w:rsidRPr="00301875">
        <w:rPr>
          <w:w w:val="100"/>
        </w:rPr>
        <w:t>тет отмечает, что автор сообщения, представленная адвокатом, не проинформ</w:t>
      </w:r>
      <w:r w:rsidRPr="00301875">
        <w:rPr>
          <w:w w:val="100"/>
        </w:rPr>
        <w:t>и</w:t>
      </w:r>
      <w:r w:rsidRPr="00301875">
        <w:rPr>
          <w:w w:val="100"/>
        </w:rPr>
        <w:t>ровала Комитет о своем местонахождении, а также о том, была ли она депорт</w:t>
      </w:r>
      <w:r w:rsidRPr="00301875">
        <w:rPr>
          <w:w w:val="100"/>
        </w:rPr>
        <w:t>и</w:t>
      </w:r>
      <w:r w:rsidRPr="00301875">
        <w:rPr>
          <w:w w:val="100"/>
        </w:rPr>
        <w:t>рована в Китай. С учетом этих обстоятельств и в связи с отсутствием в деле к</w:t>
      </w:r>
      <w:r w:rsidRPr="00301875">
        <w:rPr>
          <w:w w:val="100"/>
        </w:rPr>
        <w:t>а</w:t>
      </w:r>
      <w:r w:rsidRPr="00301875">
        <w:rPr>
          <w:w w:val="100"/>
        </w:rPr>
        <w:t>кой-либо другой информации по данному вопросу Комитет считает, что автор с</w:t>
      </w:r>
      <w:r w:rsidRPr="00301875">
        <w:rPr>
          <w:w w:val="100"/>
        </w:rPr>
        <w:t>о</w:t>
      </w:r>
      <w:r w:rsidRPr="00301875">
        <w:rPr>
          <w:w w:val="100"/>
        </w:rPr>
        <w:t>общения не представила достаточного обоснования для целей приемлемости утверждения о том, что ее высылка из Дании в Китай подвергнет ее реальному, личному и предсказуемому риску серьезной формы гендерного насилия. Комитет отмечает, что согласно пункту 2 с) статьи 4 Факультативного протокола он до</w:t>
      </w:r>
      <w:r w:rsidRPr="00301875">
        <w:rPr>
          <w:w w:val="100"/>
        </w:rPr>
        <w:t>л</w:t>
      </w:r>
      <w:r w:rsidRPr="00301875">
        <w:rPr>
          <w:w w:val="100"/>
        </w:rPr>
        <w:t>жен объявить сообщение неприемлемым, если оно является недостаточно обо</w:t>
      </w:r>
      <w:r w:rsidRPr="00301875">
        <w:rPr>
          <w:w w:val="100"/>
        </w:rPr>
        <w:t>с</w:t>
      </w:r>
      <w:r w:rsidRPr="00301875">
        <w:rPr>
          <w:w w:val="100"/>
        </w:rPr>
        <w:t>нованным. Таким образом, Комитет приходит к заключению, что сообщение я</w:t>
      </w:r>
      <w:r w:rsidRPr="00301875">
        <w:rPr>
          <w:w w:val="100"/>
        </w:rPr>
        <w:t>в</w:t>
      </w:r>
      <w:r w:rsidRPr="00301875">
        <w:rPr>
          <w:w w:val="100"/>
        </w:rPr>
        <w:t>ляется неприемлемым по смыслу пункта 2 c) статьи 4 Факультативного проток</w:t>
      </w:r>
      <w:r w:rsidRPr="00301875">
        <w:rPr>
          <w:w w:val="100"/>
        </w:rPr>
        <w:t>о</w:t>
      </w:r>
      <w:r w:rsidRPr="00301875">
        <w:rPr>
          <w:w w:val="100"/>
        </w:rPr>
        <w:t>ла.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>9.</w:t>
      </w:r>
      <w:r w:rsidRPr="00301875">
        <w:rPr>
          <w:w w:val="100"/>
        </w:rPr>
        <w:tab/>
        <w:t>В силу вышеизложенного Комитет постановляет:</w:t>
      </w:r>
    </w:p>
    <w:p w:rsidR="00294265" w:rsidRPr="00301875" w:rsidRDefault="00294265" w:rsidP="00175E0B">
      <w:pPr>
        <w:pStyle w:val="SingleTxt"/>
        <w:rPr>
          <w:w w:val="100"/>
        </w:rPr>
      </w:pPr>
      <w:r w:rsidRPr="00301875">
        <w:rPr>
          <w:w w:val="100"/>
        </w:rPr>
        <w:tab/>
        <w:t>a)</w:t>
      </w:r>
      <w:r w:rsidRPr="00301875">
        <w:rPr>
          <w:w w:val="100"/>
        </w:rPr>
        <w:tab/>
        <w:t>признать данное сообщение неприемлемым по смыслу пункта 2 с) ст</w:t>
      </w:r>
      <w:r w:rsidRPr="00301875">
        <w:rPr>
          <w:w w:val="100"/>
        </w:rPr>
        <w:t>а</w:t>
      </w:r>
      <w:r w:rsidRPr="00301875">
        <w:rPr>
          <w:w w:val="100"/>
        </w:rPr>
        <w:t>тьи 4 Факультативного протокола;</w:t>
      </w:r>
    </w:p>
    <w:p w:rsidR="00294265" w:rsidRDefault="00294265" w:rsidP="00175E0B">
      <w:pPr>
        <w:pStyle w:val="SingleTxt"/>
        <w:rPr>
          <w:w w:val="100"/>
          <w:lang w:val="en-US"/>
        </w:rPr>
      </w:pPr>
      <w:r w:rsidRPr="00301875">
        <w:rPr>
          <w:w w:val="100"/>
        </w:rPr>
        <w:tab/>
        <w:t>b)</w:t>
      </w:r>
      <w:r w:rsidRPr="00301875">
        <w:rPr>
          <w:w w:val="100"/>
        </w:rPr>
        <w:tab/>
        <w:t>довести настоящее решение до сведения государства-участника и а</w:t>
      </w:r>
      <w:r w:rsidRPr="00301875">
        <w:rPr>
          <w:w w:val="100"/>
        </w:rPr>
        <w:t>в</w:t>
      </w:r>
      <w:r w:rsidRPr="00301875">
        <w:rPr>
          <w:w w:val="100"/>
        </w:rPr>
        <w:t>тора сообщения.</w:t>
      </w:r>
    </w:p>
    <w:p w:rsidR="00294265" w:rsidRPr="00294265" w:rsidRDefault="00294265" w:rsidP="00294265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w:pict>
          <v:line id="_x0000_s1026" style="position:absolute;left:0;text-align:left;z-index:1" from="210.2pt,30pt" to="282.2pt,30pt" strokecolor="#010000" strokeweight=".25pt"/>
        </w:pict>
      </w:r>
    </w:p>
    <w:sectPr w:rsidR="00294265" w:rsidRPr="00294265" w:rsidSect="008B7364">
      <w:type w:val="continuous"/>
      <w:pgSz w:w="12240" w:h="15840"/>
      <w:pgMar w:top="1742" w:right="1195" w:bottom="1898" w:left="1195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5-05-13T13:21:00Z" w:initials="Start">
    <w:p w:rsidR="008B7364" w:rsidRPr="00294265" w:rsidRDefault="008B7364">
      <w:pPr>
        <w:pStyle w:val="CommentText"/>
        <w:rPr>
          <w:lang w:val="en-US"/>
        </w:rPr>
      </w:pPr>
      <w:r>
        <w:fldChar w:fldCharType="begin"/>
      </w:r>
      <w:r w:rsidRPr="00294265">
        <w:rPr>
          <w:rStyle w:val="CommentReference"/>
          <w:lang w:val="en-US"/>
        </w:rPr>
        <w:instrText xml:space="preserve"> </w:instrText>
      </w:r>
      <w:r w:rsidRPr="00294265">
        <w:rPr>
          <w:lang w:val="en-US"/>
        </w:rPr>
        <w:instrText>PAGE \# "'Page: '#'</w:instrText>
      </w:r>
      <w:r w:rsidRPr="00294265">
        <w:rPr>
          <w:lang w:val="en-US"/>
        </w:rPr>
        <w:br/>
        <w:instrText>'"</w:instrText>
      </w:r>
      <w:r w:rsidRPr="0029426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94265">
        <w:rPr>
          <w:lang w:val="en-US"/>
        </w:rPr>
        <w:t>&lt;&lt;ODS JOB NO&gt;&gt;N1510357R&lt;&lt;ODS JOB NO&gt;&gt;</w:t>
      </w:r>
    </w:p>
    <w:p w:rsidR="008B7364" w:rsidRPr="00294265" w:rsidRDefault="008B7364">
      <w:pPr>
        <w:pStyle w:val="CommentText"/>
        <w:rPr>
          <w:lang w:val="en-US"/>
        </w:rPr>
      </w:pPr>
      <w:r w:rsidRPr="00294265">
        <w:rPr>
          <w:lang w:val="en-US"/>
        </w:rPr>
        <w:t>&lt;&lt;ODS DOC SYMBOL1&gt;&gt;CEDAW/C/60/D/51/2013&lt;&lt;ODS DOC SYMBOL1&gt;&gt;</w:t>
      </w:r>
    </w:p>
    <w:p w:rsidR="008B7364" w:rsidRPr="00294265" w:rsidRDefault="008B7364">
      <w:pPr>
        <w:pStyle w:val="CommentText"/>
        <w:rPr>
          <w:lang w:val="en-US"/>
        </w:rPr>
      </w:pPr>
      <w:r w:rsidRPr="00294265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96" w:rsidRDefault="00853596" w:rsidP="008A1A7A">
      <w:pPr>
        <w:spacing w:line="240" w:lineRule="auto"/>
      </w:pPr>
      <w:r>
        <w:separator/>
      </w:r>
    </w:p>
  </w:endnote>
  <w:endnote w:type="continuationSeparator" w:id="0">
    <w:p w:rsidR="00853596" w:rsidRDefault="0085359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8B7364" w:rsidTr="008B736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B7364" w:rsidRPr="005E0A4D" w:rsidRDefault="008B7364" w:rsidP="008B7364">
          <w:pPr>
            <w:pStyle w:val="Footer"/>
            <w:rPr>
              <w:color w:val="000000"/>
              <w:szCs w:val="22"/>
              <w:lang w:eastAsia="en-US"/>
            </w:rPr>
          </w:pPr>
          <w:r w:rsidRPr="005E0A4D">
            <w:rPr>
              <w:szCs w:val="22"/>
              <w:lang w:eastAsia="en-US"/>
            </w:rPr>
            <w:fldChar w:fldCharType="begin"/>
          </w:r>
          <w:r w:rsidRPr="005E0A4D">
            <w:rPr>
              <w:szCs w:val="22"/>
              <w:lang w:eastAsia="en-US"/>
            </w:rPr>
            <w:instrText xml:space="preserve"> PAGE  \* Arabic  \* MERGEFORMAT </w:instrText>
          </w:r>
          <w:r w:rsidRPr="005E0A4D">
            <w:rPr>
              <w:szCs w:val="22"/>
              <w:lang w:eastAsia="en-US"/>
            </w:rPr>
            <w:fldChar w:fldCharType="separate"/>
          </w:r>
          <w:r w:rsidR="00C013EB" w:rsidRPr="005E0A4D">
            <w:rPr>
              <w:noProof/>
              <w:szCs w:val="22"/>
              <w:lang w:eastAsia="en-US"/>
            </w:rPr>
            <w:t>18</w:t>
          </w:r>
          <w:r w:rsidRPr="005E0A4D">
            <w:rPr>
              <w:szCs w:val="22"/>
              <w:lang w:eastAsia="en-US"/>
            </w:rPr>
            <w:fldChar w:fldCharType="end"/>
          </w:r>
          <w:r w:rsidRPr="005E0A4D">
            <w:rPr>
              <w:szCs w:val="22"/>
              <w:lang w:eastAsia="en-US"/>
            </w:rPr>
            <w:t>/</w:t>
          </w:r>
          <w:fldSimple w:instr=" NUMPAGES  \* Arabic  \* MERGEFORMAT ">
            <w:r w:rsidR="00C013EB" w:rsidRPr="005E0A4D">
              <w:rPr>
                <w:noProof/>
                <w:szCs w:val="22"/>
                <w:lang w:eastAsia="en-US"/>
              </w:rPr>
              <w:t>18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8B7364" w:rsidRPr="005E0A4D" w:rsidRDefault="00911033" w:rsidP="008B7364">
          <w:pPr>
            <w:pStyle w:val="Footer"/>
            <w:jc w:val="right"/>
            <w:rPr>
              <w:b w:val="0"/>
              <w:color w:val="000000"/>
              <w:sz w:val="14"/>
              <w:szCs w:val="22"/>
              <w:lang w:val="en-US" w:eastAsia="en-US"/>
            </w:rPr>
          </w:pPr>
          <w:r w:rsidRPr="005E0A4D">
            <w:rPr>
              <w:b w:val="0"/>
              <w:color w:val="000000"/>
              <w:sz w:val="14"/>
              <w:szCs w:val="22"/>
              <w:lang w:val="en-US" w:eastAsia="en-US"/>
            </w:rPr>
            <w:t>15-05832X</w:t>
          </w:r>
        </w:p>
      </w:tc>
    </w:tr>
  </w:tbl>
  <w:p w:rsidR="008B7364" w:rsidRPr="008B7364" w:rsidRDefault="008B7364" w:rsidP="008B73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8B7364" w:rsidTr="008B736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B7364" w:rsidRPr="005E0A4D" w:rsidRDefault="00911033" w:rsidP="008B7364">
          <w:pPr>
            <w:pStyle w:val="Footer"/>
            <w:rPr>
              <w:b w:val="0"/>
              <w:color w:val="000000"/>
              <w:sz w:val="14"/>
              <w:szCs w:val="22"/>
              <w:lang w:val="en-US" w:eastAsia="en-US"/>
            </w:rPr>
          </w:pPr>
          <w:r w:rsidRPr="005E0A4D">
            <w:rPr>
              <w:b w:val="0"/>
              <w:color w:val="000000"/>
              <w:sz w:val="14"/>
              <w:szCs w:val="22"/>
              <w:lang w:val="en-US" w:eastAsia="en-US"/>
            </w:rPr>
            <w:t>15-05832X</w:t>
          </w:r>
        </w:p>
      </w:tc>
      <w:tc>
        <w:tcPr>
          <w:tcW w:w="5033" w:type="dxa"/>
          <w:shd w:val="clear" w:color="auto" w:fill="auto"/>
          <w:vAlign w:val="bottom"/>
        </w:tcPr>
        <w:p w:rsidR="008B7364" w:rsidRPr="005E0A4D" w:rsidRDefault="008B7364" w:rsidP="008B7364">
          <w:pPr>
            <w:pStyle w:val="Footer"/>
            <w:jc w:val="right"/>
            <w:rPr>
              <w:szCs w:val="22"/>
              <w:lang w:eastAsia="en-US"/>
            </w:rPr>
          </w:pPr>
          <w:r w:rsidRPr="005E0A4D">
            <w:rPr>
              <w:szCs w:val="22"/>
              <w:lang w:eastAsia="en-US"/>
            </w:rPr>
            <w:fldChar w:fldCharType="begin"/>
          </w:r>
          <w:r w:rsidRPr="005E0A4D">
            <w:rPr>
              <w:szCs w:val="22"/>
              <w:lang w:eastAsia="en-US"/>
            </w:rPr>
            <w:instrText xml:space="preserve"> PAGE  \* Arabic  \* MERGEFORMAT </w:instrText>
          </w:r>
          <w:r w:rsidRPr="005E0A4D">
            <w:rPr>
              <w:szCs w:val="22"/>
              <w:lang w:eastAsia="en-US"/>
            </w:rPr>
            <w:fldChar w:fldCharType="separate"/>
          </w:r>
          <w:r w:rsidR="00C013EB" w:rsidRPr="005E0A4D">
            <w:rPr>
              <w:noProof/>
              <w:szCs w:val="22"/>
              <w:lang w:eastAsia="en-US"/>
            </w:rPr>
            <w:t>17</w:t>
          </w:r>
          <w:r w:rsidRPr="005E0A4D">
            <w:rPr>
              <w:szCs w:val="22"/>
              <w:lang w:eastAsia="en-US"/>
            </w:rPr>
            <w:fldChar w:fldCharType="end"/>
          </w:r>
          <w:r w:rsidRPr="005E0A4D">
            <w:rPr>
              <w:szCs w:val="22"/>
              <w:lang w:eastAsia="en-US"/>
            </w:rPr>
            <w:t>/</w:t>
          </w:r>
          <w:fldSimple w:instr=" NUMPAGES  \* Arabic  \* MERGEFORMAT ">
            <w:r w:rsidR="00C013EB" w:rsidRPr="005E0A4D">
              <w:rPr>
                <w:noProof/>
                <w:szCs w:val="22"/>
                <w:lang w:eastAsia="en-US"/>
              </w:rPr>
              <w:t>18</w:t>
            </w:r>
          </w:fldSimple>
        </w:p>
      </w:tc>
    </w:tr>
  </w:tbl>
  <w:p w:rsidR="008B7364" w:rsidRPr="008B7364" w:rsidRDefault="008B7364" w:rsidP="008B73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4" w:rsidRDefault="008B736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65pt;margin-top:683.9pt;width:54.9pt;height:54.9pt;z-index:1;mso-position-horizontal-relative:page;mso-position-vertical-relative:page" o:preferrelative="f">
          <v:imagedata r:id="rId1" o:title="2013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33"/>
    </w:tblGrid>
    <w:tr w:rsidR="008B7364" w:rsidTr="008B7364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8B7364" w:rsidRDefault="008B7364" w:rsidP="008B7364">
          <w:pPr>
            <w:pStyle w:val="ReleaseDate"/>
            <w:rPr>
              <w:color w:val="010000"/>
            </w:rPr>
          </w:pPr>
          <w:r>
            <w:t>15-05832</w:t>
          </w:r>
          <w:r w:rsidR="00911033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130515    130515</w:t>
          </w:r>
        </w:p>
        <w:p w:rsidR="008B7364" w:rsidRPr="008B7364" w:rsidRDefault="008B7364" w:rsidP="008B736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*1505832(R)*</w:t>
          </w:r>
        </w:p>
      </w:tc>
      <w:tc>
        <w:tcPr>
          <w:tcW w:w="5033" w:type="dxa"/>
        </w:tcPr>
        <w:p w:rsidR="008B7364" w:rsidRPr="005E0A4D" w:rsidRDefault="008B7364" w:rsidP="008B7364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5E0A4D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8B7364" w:rsidRPr="008B7364" w:rsidRDefault="008B7364" w:rsidP="008B736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96" w:rsidRPr="00B74F5C" w:rsidRDefault="00853596" w:rsidP="00B74F5C">
      <w:pPr>
        <w:pStyle w:val="Footer"/>
        <w:spacing w:after="80"/>
        <w:ind w:left="792"/>
        <w:rPr>
          <w:sz w:val="16"/>
        </w:rPr>
      </w:pPr>
      <w:r w:rsidRPr="00B74F5C">
        <w:rPr>
          <w:sz w:val="16"/>
        </w:rPr>
        <w:t>__________________</w:t>
      </w:r>
    </w:p>
  </w:footnote>
  <w:footnote w:type="continuationSeparator" w:id="0">
    <w:p w:rsidR="00853596" w:rsidRPr="00B74F5C" w:rsidRDefault="00853596" w:rsidP="00B74F5C">
      <w:pPr>
        <w:pStyle w:val="Footer"/>
        <w:spacing w:after="80"/>
        <w:ind w:left="792"/>
        <w:rPr>
          <w:sz w:val="16"/>
        </w:rPr>
      </w:pPr>
      <w:r w:rsidRPr="00B74F5C">
        <w:rPr>
          <w:sz w:val="16"/>
        </w:rPr>
        <w:t>__________________</w:t>
      </w:r>
    </w:p>
  </w:footnote>
  <w:footnote w:id="1">
    <w:p w:rsidR="00957B6E" w:rsidRDefault="00BD1390" w:rsidP="00B74F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="00957B6E">
        <w:rPr>
          <w:rStyle w:val="FootnoteReference"/>
        </w:rPr>
        <w:t>*</w:t>
      </w:r>
      <w:r>
        <w:tab/>
      </w:r>
      <w:r w:rsidR="00957B6E" w:rsidRPr="00307872">
        <w:rPr>
          <w:spacing w:val="0"/>
          <w:w w:val="100"/>
          <w:kern w:val="0"/>
        </w:rPr>
        <w:t>В рассмотрении настоящего сообщения принимали участие следующие члены Комитета: Айше Фериде Ачар, Глэдис Акоста Варгас, Магалис Ароча Домингес, Барбара Бейли, Никлас Брун, Луиза Шалал, Наела Габр, Хилари Гбедема, Нахла Хайдар, Рут Гальперин-Каддари, Йоко Хаяси, Лилиан Хофмейстер, Исмат Джахан, Даля Лейнарте, Лия Надарая, Прамила Паттен, Сильвия Пиментель, Бьянкамария Померанци и Патриция Шульц.</w:t>
      </w:r>
    </w:p>
  </w:footnote>
  <w:footnote w:id="2">
    <w:p w:rsidR="00CA5E9F" w:rsidRPr="00CA5E9F" w:rsidRDefault="00CA5E9F" w:rsidP="00B74F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CA5E9F">
        <w:rPr>
          <w:lang w:val="en-US"/>
        </w:rPr>
        <w:tab/>
      </w:r>
      <w:r w:rsidRPr="00CA5E9F">
        <w:t>См</w:t>
      </w:r>
      <w:r w:rsidRPr="00CA5E9F">
        <w:rPr>
          <w:lang w:val="en-US"/>
        </w:rPr>
        <w:t xml:space="preserve">. CEDAW/C/CHN/CO/6, </w:t>
      </w:r>
      <w:r w:rsidRPr="00CA5E9F">
        <w:t>пункты</w:t>
      </w:r>
      <w:r w:rsidRPr="00CA5E9F">
        <w:rPr>
          <w:lang w:val="en-US"/>
        </w:rPr>
        <w:t xml:space="preserve"> 20–22.</w:t>
      </w:r>
    </w:p>
  </w:footnote>
  <w:footnote w:id="3">
    <w:p w:rsidR="00CA5E9F" w:rsidRDefault="00CA5E9F" w:rsidP="00B74F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CA5E9F">
        <w:t xml:space="preserve">См. сообщение № 2/2003, </w:t>
      </w:r>
      <w:r w:rsidRPr="00CA5E9F">
        <w:rPr>
          <w:i/>
        </w:rPr>
        <w:t>A.Т. против Венгрии</w:t>
      </w:r>
      <w:r w:rsidRPr="00CA5E9F">
        <w:t>, соображения, принятые 26</w:t>
      </w:r>
      <w:r w:rsidR="005C5416">
        <w:t> </w:t>
      </w:r>
      <w:r w:rsidRPr="00CA5E9F">
        <w:t>января 2005</w:t>
      </w:r>
      <w:r w:rsidR="005C5416">
        <w:t> </w:t>
      </w:r>
      <w:r w:rsidRPr="00CA5E9F">
        <w:t>года, пункт 9.3.</w:t>
      </w:r>
    </w:p>
  </w:footnote>
  <w:footnote w:id="4">
    <w:p w:rsidR="00CA5E9F" w:rsidRDefault="00CA5E9F" w:rsidP="00B74F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CA5E9F">
        <w:t xml:space="preserve">Государство-участник ссылается на сообщение № 8/2005, </w:t>
      </w:r>
      <w:r w:rsidRPr="00CA5E9F">
        <w:rPr>
          <w:i/>
        </w:rPr>
        <w:t>Кайхан против Турции</w:t>
      </w:r>
      <w:r w:rsidRPr="00CA5E9F">
        <w:t>, решение о неприемлемости, принятое 27 января 2006 года, пункт 7.7; Комитет признал это сообщение неприемлемым, поскольку автор сообщения не поднимала вопроса о наличии дискриминации по признаку пола.</w:t>
      </w:r>
    </w:p>
  </w:footnote>
  <w:footnote w:id="5">
    <w:p w:rsidR="00CA5E9F" w:rsidRDefault="00CA5E9F" w:rsidP="00B74F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307872">
        <w:rPr>
          <w:spacing w:val="0"/>
          <w:w w:val="100"/>
          <w:kern w:val="0"/>
        </w:rPr>
        <w:t xml:space="preserve">Государство-участник ссылается на решение Европейского суда по правам человека от 7 июля 1989 года по делу </w:t>
      </w:r>
      <w:r w:rsidRPr="00307872">
        <w:rPr>
          <w:i/>
          <w:iCs/>
          <w:spacing w:val="0"/>
          <w:w w:val="100"/>
          <w:kern w:val="0"/>
        </w:rPr>
        <w:t>Соринг против Соединенного Королевства</w:t>
      </w:r>
      <w:r w:rsidRPr="00307872">
        <w:rPr>
          <w:spacing w:val="0"/>
          <w:w w:val="100"/>
          <w:kern w:val="0"/>
        </w:rPr>
        <w:t xml:space="preserve"> (заявление № 14038/88).</w:t>
      </w:r>
    </w:p>
  </w:footnote>
  <w:footnote w:id="6">
    <w:p w:rsidR="00CA5E9F" w:rsidRDefault="00CA5E9F" w:rsidP="00B74F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307872">
        <w:rPr>
          <w:spacing w:val="0"/>
          <w:w w:val="100"/>
          <w:kern w:val="0"/>
        </w:rPr>
        <w:t xml:space="preserve">Государство-участник ссылается на сообщение № 25/2010, </w:t>
      </w:r>
      <w:r w:rsidRPr="00307872">
        <w:rPr>
          <w:i/>
          <w:iCs/>
          <w:spacing w:val="0"/>
          <w:w w:val="100"/>
          <w:kern w:val="0"/>
        </w:rPr>
        <w:t>М.П.М. против Канады</w:t>
      </w:r>
      <w:r w:rsidRPr="00307872">
        <w:rPr>
          <w:spacing w:val="0"/>
          <w:w w:val="100"/>
          <w:kern w:val="0"/>
        </w:rPr>
        <w:t>, решение о</w:t>
      </w:r>
      <w:r>
        <w:rPr>
          <w:spacing w:val="0"/>
          <w:w w:val="100"/>
          <w:kern w:val="0"/>
        </w:rPr>
        <w:t xml:space="preserve"> </w:t>
      </w:r>
      <w:r w:rsidRPr="00307872">
        <w:rPr>
          <w:spacing w:val="0"/>
          <w:w w:val="100"/>
          <w:kern w:val="0"/>
        </w:rPr>
        <w:t xml:space="preserve">неприемлемости, принятое 24 февраля 2012 года, и сообщение № 26/2010, </w:t>
      </w:r>
      <w:r w:rsidRPr="00307872">
        <w:rPr>
          <w:i/>
          <w:iCs/>
          <w:spacing w:val="0"/>
          <w:w w:val="100"/>
          <w:kern w:val="0"/>
        </w:rPr>
        <w:t>Херрера Ривера против Канады</w:t>
      </w:r>
      <w:r w:rsidRPr="00307872">
        <w:rPr>
          <w:spacing w:val="0"/>
          <w:w w:val="100"/>
          <w:kern w:val="0"/>
        </w:rPr>
        <w:t>, решение о неприемлемости, принятое 18 октября 2011 года.</w:t>
      </w:r>
    </w:p>
  </w:footnote>
  <w:footnote w:id="7">
    <w:p w:rsidR="00CA5E9F" w:rsidRDefault="00CA5E9F" w:rsidP="00B74F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307872">
        <w:rPr>
          <w:spacing w:val="0"/>
          <w:w w:val="100"/>
          <w:kern w:val="0"/>
        </w:rPr>
        <w:t xml:space="preserve">См.: Комитет против пыток, сообщения № 130/1999 и 131/1999, </w:t>
      </w:r>
      <w:r w:rsidRPr="00307872">
        <w:rPr>
          <w:i/>
          <w:iCs/>
          <w:spacing w:val="0"/>
          <w:w w:val="100"/>
          <w:kern w:val="0"/>
        </w:rPr>
        <w:t>В.К.Н. и Х.Н. против Швеции</w:t>
      </w:r>
      <w:r w:rsidRPr="00307872">
        <w:rPr>
          <w:spacing w:val="0"/>
          <w:w w:val="100"/>
          <w:kern w:val="0"/>
        </w:rPr>
        <w:t>, соображения, принятые 15 мая 2000 года, пункт 13.8.</w:t>
      </w:r>
    </w:p>
  </w:footnote>
  <w:footnote w:id="8">
    <w:p w:rsidR="00CA5E9F" w:rsidRDefault="00CA5E9F" w:rsidP="00B74F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307872">
        <w:rPr>
          <w:spacing w:val="0"/>
          <w:w w:val="100"/>
          <w:kern w:val="0"/>
        </w:rPr>
        <w:t xml:space="preserve">См.: Европейский суд по правам человека, </w:t>
      </w:r>
      <w:r w:rsidRPr="00307872">
        <w:rPr>
          <w:i/>
          <w:iCs/>
          <w:spacing w:val="0"/>
          <w:w w:val="100"/>
          <w:kern w:val="0"/>
        </w:rPr>
        <w:t>Х.Л.Р. против Франции</w:t>
      </w:r>
      <w:r w:rsidRPr="00307872">
        <w:rPr>
          <w:spacing w:val="0"/>
          <w:w w:val="100"/>
          <w:kern w:val="0"/>
        </w:rPr>
        <w:t xml:space="preserve">, решение суда от 29 апреля 1997 года (заявление № 24573/94), пункт 40; </w:t>
      </w:r>
      <w:r w:rsidRPr="00307872">
        <w:rPr>
          <w:i/>
          <w:iCs/>
          <w:spacing w:val="0"/>
          <w:w w:val="100"/>
          <w:kern w:val="0"/>
        </w:rPr>
        <w:t>Салах Шикх против Нидерландов</w:t>
      </w:r>
      <w:r w:rsidRPr="00307872">
        <w:rPr>
          <w:spacing w:val="0"/>
          <w:w w:val="100"/>
          <w:kern w:val="0"/>
        </w:rPr>
        <w:t>, решение суда от 11 января 2007 года (заявление № 1948/04), пункт 137</w:t>
      </w:r>
      <w:r>
        <w:rPr>
          <w:spacing w:val="0"/>
          <w:w w:val="100"/>
          <w:kern w:val="0"/>
        </w:rPr>
        <w:t>;</w:t>
      </w:r>
      <w:r w:rsidRPr="00307872">
        <w:rPr>
          <w:spacing w:val="0"/>
          <w:w w:val="100"/>
          <w:kern w:val="0"/>
        </w:rPr>
        <w:t xml:space="preserve"> и </w:t>
      </w:r>
      <w:r w:rsidRPr="00307872">
        <w:rPr>
          <w:i/>
          <w:iCs/>
          <w:spacing w:val="0"/>
          <w:w w:val="100"/>
          <w:kern w:val="0"/>
        </w:rPr>
        <w:t>Н.А. против Соединенного Королевства</w:t>
      </w:r>
      <w:r w:rsidRPr="00307872">
        <w:rPr>
          <w:spacing w:val="0"/>
          <w:w w:val="100"/>
          <w:kern w:val="0"/>
        </w:rPr>
        <w:t>, решение суда от 17 июля 2008 года (заявление № 25904/07), пункт 40.</w:t>
      </w:r>
    </w:p>
  </w:footnote>
  <w:footnote w:id="9">
    <w:p w:rsidR="00CA5E9F" w:rsidRDefault="00CA5E9F" w:rsidP="00B74F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307872">
        <w:rPr>
          <w:spacing w:val="0"/>
          <w:w w:val="100"/>
          <w:kern w:val="0"/>
        </w:rPr>
        <w:t>См. статью 33 (запрещение высылки беженцев или их принудительного возвращения (выдворения)) Конвенции 1951 года о статусе беженцев.</w:t>
      </w:r>
    </w:p>
  </w:footnote>
  <w:footnote w:id="10">
    <w:p w:rsidR="00CA5E9F" w:rsidRDefault="00CA5E9F" w:rsidP="00B74F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307872">
        <w:rPr>
          <w:spacing w:val="0"/>
          <w:w w:val="100"/>
          <w:kern w:val="0"/>
        </w:rPr>
        <w:t xml:space="preserve">См. сообщение № 33/2011, </w:t>
      </w:r>
      <w:r w:rsidRPr="00307872">
        <w:rPr>
          <w:i/>
          <w:iCs/>
          <w:spacing w:val="0"/>
          <w:w w:val="100"/>
          <w:kern w:val="0"/>
        </w:rPr>
        <w:t>М.Н.Н. против Дании</w:t>
      </w:r>
      <w:r w:rsidRPr="00307872">
        <w:rPr>
          <w:spacing w:val="0"/>
          <w:w w:val="100"/>
          <w:kern w:val="0"/>
        </w:rPr>
        <w:t>, решение о неприемлемости, принятое 15 июля 2013 года (то есть после регистрации настоящего сообщения), пункт 8.10.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8B7364" w:rsidTr="008B736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B7364" w:rsidRPr="005E0A4D" w:rsidRDefault="008B7364" w:rsidP="008B7364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C013EB" w:rsidRPr="005E0A4D">
              <w:rPr>
                <w:b/>
                <w:szCs w:val="22"/>
                <w:lang w:eastAsia="en-US"/>
              </w:rPr>
              <w:t>CEDAW/C/60/D/51/2013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8B7364" w:rsidRPr="005E0A4D" w:rsidRDefault="008B7364" w:rsidP="008B7364">
          <w:pPr>
            <w:pStyle w:val="Header"/>
            <w:rPr>
              <w:szCs w:val="22"/>
              <w:lang w:eastAsia="en-US"/>
            </w:rPr>
          </w:pPr>
        </w:p>
      </w:tc>
    </w:tr>
  </w:tbl>
  <w:p w:rsidR="008B7364" w:rsidRPr="008B7364" w:rsidRDefault="008B7364" w:rsidP="008B73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8B7364" w:rsidTr="008B736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B7364" w:rsidRPr="005E0A4D" w:rsidRDefault="008B7364" w:rsidP="008B7364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8B7364" w:rsidRPr="005E0A4D" w:rsidRDefault="008B7364" w:rsidP="008B7364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C013EB" w:rsidRPr="005E0A4D">
              <w:rPr>
                <w:b/>
                <w:szCs w:val="22"/>
                <w:lang w:eastAsia="en-US"/>
              </w:rPr>
              <w:t>CEDAW/C/60/D/51/2013</w:t>
            </w:r>
          </w:fldSimple>
        </w:p>
      </w:tc>
    </w:tr>
  </w:tbl>
  <w:p w:rsidR="008B7364" w:rsidRPr="008B7364" w:rsidRDefault="008B7364" w:rsidP="008B73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8B7364" w:rsidTr="008B736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B7364" w:rsidRPr="008B7364" w:rsidRDefault="008B7364" w:rsidP="008B736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B7364" w:rsidRPr="005E0A4D" w:rsidRDefault="008B7364" w:rsidP="008B7364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B7364" w:rsidRPr="005E0A4D" w:rsidRDefault="008B7364" w:rsidP="008B7364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5E0A4D">
            <w:rPr>
              <w:sz w:val="40"/>
              <w:szCs w:val="22"/>
              <w:lang w:eastAsia="en-US"/>
            </w:rPr>
            <w:t>CEDAW</w:t>
          </w:r>
          <w:r w:rsidRPr="005E0A4D">
            <w:rPr>
              <w:sz w:val="20"/>
              <w:szCs w:val="22"/>
              <w:lang w:eastAsia="en-US"/>
            </w:rPr>
            <w:t>/C/60/D/51/2013</w:t>
          </w:r>
        </w:p>
      </w:tc>
    </w:tr>
    <w:tr w:rsidR="008B7364" w:rsidRPr="00294265" w:rsidTr="008B7364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7364" w:rsidRPr="005E0A4D" w:rsidRDefault="008B7364" w:rsidP="008B7364">
          <w:pPr>
            <w:pStyle w:val="Header"/>
            <w:spacing w:before="109"/>
            <w:rPr>
              <w:szCs w:val="22"/>
              <w:lang w:eastAsia="en-US"/>
            </w:rPr>
          </w:pPr>
          <w:r w:rsidRPr="005E0A4D">
            <w:rPr>
              <w:szCs w:val="22"/>
              <w:lang w:eastAsia="en-US"/>
            </w:rPr>
            <w:t xml:space="preserve"> </w:t>
          </w:r>
          <w:r w:rsidRPr="005E0A4D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8B7364" w:rsidRPr="005E0A4D" w:rsidRDefault="008B7364" w:rsidP="008B7364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7364" w:rsidRPr="008B7364" w:rsidRDefault="008B7364" w:rsidP="008B7364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7364" w:rsidRPr="005E0A4D" w:rsidRDefault="008B7364" w:rsidP="008B7364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7364" w:rsidRPr="00294265" w:rsidRDefault="008B7364" w:rsidP="008B7364">
          <w:pPr>
            <w:pStyle w:val="Distribution"/>
            <w:rPr>
              <w:color w:val="000000"/>
              <w:lang w:val="en-US"/>
            </w:rPr>
          </w:pPr>
          <w:r w:rsidRPr="00294265">
            <w:rPr>
              <w:color w:val="000000"/>
              <w:lang w:val="en-US"/>
            </w:rPr>
            <w:t>Distr.: General</w:t>
          </w:r>
        </w:p>
        <w:p w:rsidR="008B7364" w:rsidRPr="00294265" w:rsidRDefault="008B7364" w:rsidP="008B7364">
          <w:pPr>
            <w:pStyle w:val="Publication"/>
            <w:rPr>
              <w:color w:val="000000"/>
              <w:lang w:val="en-US"/>
            </w:rPr>
          </w:pPr>
          <w:r w:rsidRPr="00294265">
            <w:rPr>
              <w:color w:val="000000"/>
              <w:lang w:val="en-US"/>
            </w:rPr>
            <w:t>13 April 2015</w:t>
          </w:r>
        </w:p>
        <w:p w:rsidR="008B7364" w:rsidRPr="00294265" w:rsidRDefault="008B7364" w:rsidP="008B7364">
          <w:pPr>
            <w:rPr>
              <w:color w:val="000000"/>
              <w:lang w:val="en-US"/>
            </w:rPr>
          </w:pPr>
          <w:r w:rsidRPr="00294265">
            <w:rPr>
              <w:color w:val="000000"/>
              <w:lang w:val="en-US"/>
            </w:rPr>
            <w:t>Russian</w:t>
          </w:r>
        </w:p>
        <w:p w:rsidR="008B7364" w:rsidRPr="00294265" w:rsidRDefault="008B7364" w:rsidP="008B7364">
          <w:pPr>
            <w:pStyle w:val="Original"/>
            <w:rPr>
              <w:color w:val="000000"/>
              <w:lang w:val="en-US"/>
            </w:rPr>
          </w:pPr>
          <w:r w:rsidRPr="00294265">
            <w:rPr>
              <w:color w:val="000000"/>
              <w:lang w:val="en-US"/>
            </w:rPr>
            <w:t>Original: English</w:t>
          </w:r>
        </w:p>
        <w:p w:rsidR="008B7364" w:rsidRPr="00294265" w:rsidRDefault="008B7364" w:rsidP="008B7364">
          <w:pPr>
            <w:rPr>
              <w:lang w:val="en-US"/>
            </w:rPr>
          </w:pPr>
        </w:p>
      </w:tc>
    </w:tr>
  </w:tbl>
  <w:p w:rsidR="008B7364" w:rsidRPr="00294265" w:rsidRDefault="008B7364" w:rsidP="008B736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05832*"/>
    <w:docVar w:name="CreationDt" w:val="13/05/2015 1:21: PM"/>
    <w:docVar w:name="DocCategory" w:val="Doc"/>
    <w:docVar w:name="DocType" w:val="Final"/>
    <w:docVar w:name="FooterJN" w:val="15-05832"/>
    <w:docVar w:name="jobn" w:val="15-05832 (R)"/>
    <w:docVar w:name="jobnDT" w:val="15-05832 (R)   130515"/>
    <w:docVar w:name="jobnDTDT" w:val="15-05832 (R)   130515   130515"/>
    <w:docVar w:name="JobNo" w:val="1505832R"/>
    <w:docVar w:name="JobNo2" w:val="1510357R"/>
    <w:docVar w:name="OandT" w:val=" "/>
    <w:docVar w:name="sss1" w:val="CEDAW/C/60/D/51/2013"/>
    <w:docVar w:name="sss2" w:val="-"/>
    <w:docVar w:name="Symbol1" w:val="CEDAW/C/60/D/51/2013"/>
    <w:docVar w:name="Symbol2" w:val="-"/>
  </w:docVars>
  <w:rsids>
    <w:rsidRoot w:val="00A51232"/>
    <w:rsid w:val="00004615"/>
    <w:rsid w:val="00004756"/>
    <w:rsid w:val="00024A67"/>
    <w:rsid w:val="00033C1F"/>
    <w:rsid w:val="000513EF"/>
    <w:rsid w:val="0005420D"/>
    <w:rsid w:val="00055EA2"/>
    <w:rsid w:val="00067A90"/>
    <w:rsid w:val="00070C37"/>
    <w:rsid w:val="00072EF6"/>
    <w:rsid w:val="000A111E"/>
    <w:rsid w:val="000C67BC"/>
    <w:rsid w:val="000E4411"/>
    <w:rsid w:val="000F1ACD"/>
    <w:rsid w:val="000F5D07"/>
    <w:rsid w:val="00105B0E"/>
    <w:rsid w:val="001444A3"/>
    <w:rsid w:val="00153645"/>
    <w:rsid w:val="00153E8C"/>
    <w:rsid w:val="00161F29"/>
    <w:rsid w:val="00162E88"/>
    <w:rsid w:val="001726A4"/>
    <w:rsid w:val="00175E0B"/>
    <w:rsid w:val="00177361"/>
    <w:rsid w:val="001A39EE"/>
    <w:rsid w:val="001A6777"/>
    <w:rsid w:val="001C54CE"/>
    <w:rsid w:val="001D1749"/>
    <w:rsid w:val="001E25A2"/>
    <w:rsid w:val="001E61AD"/>
    <w:rsid w:val="00211A7E"/>
    <w:rsid w:val="00217A24"/>
    <w:rsid w:val="00223C57"/>
    <w:rsid w:val="002535D8"/>
    <w:rsid w:val="00254046"/>
    <w:rsid w:val="00261386"/>
    <w:rsid w:val="00261C41"/>
    <w:rsid w:val="00264A43"/>
    <w:rsid w:val="00277697"/>
    <w:rsid w:val="00294265"/>
    <w:rsid w:val="002B6E2A"/>
    <w:rsid w:val="002C66D0"/>
    <w:rsid w:val="002D4606"/>
    <w:rsid w:val="002E1F79"/>
    <w:rsid w:val="002F5C45"/>
    <w:rsid w:val="002F6149"/>
    <w:rsid w:val="00326F5F"/>
    <w:rsid w:val="00337D91"/>
    <w:rsid w:val="00350756"/>
    <w:rsid w:val="003658B0"/>
    <w:rsid w:val="0039505F"/>
    <w:rsid w:val="003A150E"/>
    <w:rsid w:val="003C2842"/>
    <w:rsid w:val="003D0825"/>
    <w:rsid w:val="003D2003"/>
    <w:rsid w:val="003D5DA2"/>
    <w:rsid w:val="003E5193"/>
    <w:rsid w:val="00427FE5"/>
    <w:rsid w:val="00433222"/>
    <w:rsid w:val="00436F13"/>
    <w:rsid w:val="004420FB"/>
    <w:rsid w:val="004504A6"/>
    <w:rsid w:val="00460D23"/>
    <w:rsid w:val="004645DD"/>
    <w:rsid w:val="00482473"/>
    <w:rsid w:val="004A7499"/>
    <w:rsid w:val="004B1314"/>
    <w:rsid w:val="004D275F"/>
    <w:rsid w:val="004D656E"/>
    <w:rsid w:val="004E6443"/>
    <w:rsid w:val="005121DC"/>
    <w:rsid w:val="00513113"/>
    <w:rsid w:val="00515869"/>
    <w:rsid w:val="005214BA"/>
    <w:rsid w:val="00524A24"/>
    <w:rsid w:val="005251C4"/>
    <w:rsid w:val="00526E12"/>
    <w:rsid w:val="00533411"/>
    <w:rsid w:val="0054563F"/>
    <w:rsid w:val="005469E1"/>
    <w:rsid w:val="00552E08"/>
    <w:rsid w:val="0056579C"/>
    <w:rsid w:val="00567706"/>
    <w:rsid w:val="005734C2"/>
    <w:rsid w:val="00574AA1"/>
    <w:rsid w:val="0057633B"/>
    <w:rsid w:val="00590EDF"/>
    <w:rsid w:val="005933CB"/>
    <w:rsid w:val="005A1D01"/>
    <w:rsid w:val="005A7602"/>
    <w:rsid w:val="005C5416"/>
    <w:rsid w:val="005D38B6"/>
    <w:rsid w:val="005D7642"/>
    <w:rsid w:val="005E0A46"/>
    <w:rsid w:val="005E0A4D"/>
    <w:rsid w:val="005E7DCF"/>
    <w:rsid w:val="005F6E5C"/>
    <w:rsid w:val="00602F9D"/>
    <w:rsid w:val="00616B8D"/>
    <w:rsid w:val="006261A6"/>
    <w:rsid w:val="0063491E"/>
    <w:rsid w:val="00635AF8"/>
    <w:rsid w:val="00646363"/>
    <w:rsid w:val="00655212"/>
    <w:rsid w:val="00657EE4"/>
    <w:rsid w:val="006A1698"/>
    <w:rsid w:val="006A1D06"/>
    <w:rsid w:val="006A3F10"/>
    <w:rsid w:val="006F3683"/>
    <w:rsid w:val="00700738"/>
    <w:rsid w:val="00705549"/>
    <w:rsid w:val="0071210D"/>
    <w:rsid w:val="00716BC5"/>
    <w:rsid w:val="00723115"/>
    <w:rsid w:val="00724550"/>
    <w:rsid w:val="00736A19"/>
    <w:rsid w:val="00745258"/>
    <w:rsid w:val="00781ACA"/>
    <w:rsid w:val="00787B44"/>
    <w:rsid w:val="00795A5A"/>
    <w:rsid w:val="007B098D"/>
    <w:rsid w:val="007B1DE5"/>
    <w:rsid w:val="007B5785"/>
    <w:rsid w:val="007B5CF3"/>
    <w:rsid w:val="007C62D1"/>
    <w:rsid w:val="007C706F"/>
    <w:rsid w:val="007E0E39"/>
    <w:rsid w:val="007E2B60"/>
    <w:rsid w:val="00803EC5"/>
    <w:rsid w:val="00821CE2"/>
    <w:rsid w:val="00830FF8"/>
    <w:rsid w:val="00844407"/>
    <w:rsid w:val="00853596"/>
    <w:rsid w:val="00853E2A"/>
    <w:rsid w:val="008541E9"/>
    <w:rsid w:val="00856EEB"/>
    <w:rsid w:val="008776BB"/>
    <w:rsid w:val="00880540"/>
    <w:rsid w:val="0088396E"/>
    <w:rsid w:val="008A1A7A"/>
    <w:rsid w:val="008B08A3"/>
    <w:rsid w:val="008B709D"/>
    <w:rsid w:val="008B7364"/>
    <w:rsid w:val="008C2A03"/>
    <w:rsid w:val="008C6372"/>
    <w:rsid w:val="008D0CE3"/>
    <w:rsid w:val="008F12FD"/>
    <w:rsid w:val="008F13EA"/>
    <w:rsid w:val="00904F3C"/>
    <w:rsid w:val="00907EDB"/>
    <w:rsid w:val="00911033"/>
    <w:rsid w:val="009110C5"/>
    <w:rsid w:val="00915944"/>
    <w:rsid w:val="009327BF"/>
    <w:rsid w:val="00935F33"/>
    <w:rsid w:val="0094745A"/>
    <w:rsid w:val="0095649D"/>
    <w:rsid w:val="00957B6E"/>
    <w:rsid w:val="00984EE4"/>
    <w:rsid w:val="0099354F"/>
    <w:rsid w:val="009B3444"/>
    <w:rsid w:val="009B5DCD"/>
    <w:rsid w:val="009D6E3D"/>
    <w:rsid w:val="009F0808"/>
    <w:rsid w:val="00A14F1D"/>
    <w:rsid w:val="00A1703F"/>
    <w:rsid w:val="00A51232"/>
    <w:rsid w:val="00A63339"/>
    <w:rsid w:val="00A90F41"/>
    <w:rsid w:val="00A9600A"/>
    <w:rsid w:val="00A96C80"/>
    <w:rsid w:val="00AA0ABF"/>
    <w:rsid w:val="00AA27C2"/>
    <w:rsid w:val="00AD6322"/>
    <w:rsid w:val="00AD78B1"/>
    <w:rsid w:val="00AF0B91"/>
    <w:rsid w:val="00B33139"/>
    <w:rsid w:val="00B5129B"/>
    <w:rsid w:val="00B56376"/>
    <w:rsid w:val="00B606B7"/>
    <w:rsid w:val="00B74F5C"/>
    <w:rsid w:val="00B77FC0"/>
    <w:rsid w:val="00BB052D"/>
    <w:rsid w:val="00BB1F92"/>
    <w:rsid w:val="00BB5B7F"/>
    <w:rsid w:val="00BD1390"/>
    <w:rsid w:val="00BD2F16"/>
    <w:rsid w:val="00BE448A"/>
    <w:rsid w:val="00BE531D"/>
    <w:rsid w:val="00BF3D60"/>
    <w:rsid w:val="00BF5FCB"/>
    <w:rsid w:val="00C013EB"/>
    <w:rsid w:val="00C16B93"/>
    <w:rsid w:val="00C2210E"/>
    <w:rsid w:val="00C2524E"/>
    <w:rsid w:val="00C32802"/>
    <w:rsid w:val="00C40B0B"/>
    <w:rsid w:val="00C60105"/>
    <w:rsid w:val="00C623BF"/>
    <w:rsid w:val="00C70D59"/>
    <w:rsid w:val="00C73339"/>
    <w:rsid w:val="00C7432F"/>
    <w:rsid w:val="00C77473"/>
    <w:rsid w:val="00CA2CF3"/>
    <w:rsid w:val="00CA5E9F"/>
    <w:rsid w:val="00CB519E"/>
    <w:rsid w:val="00CC5B37"/>
    <w:rsid w:val="00CD2ED3"/>
    <w:rsid w:val="00CD3C62"/>
    <w:rsid w:val="00CF021B"/>
    <w:rsid w:val="00CF066B"/>
    <w:rsid w:val="00CF07BE"/>
    <w:rsid w:val="00D028FF"/>
    <w:rsid w:val="00D05963"/>
    <w:rsid w:val="00D1470E"/>
    <w:rsid w:val="00D20AA4"/>
    <w:rsid w:val="00D434AF"/>
    <w:rsid w:val="00D61BB7"/>
    <w:rsid w:val="00D7165D"/>
    <w:rsid w:val="00D75705"/>
    <w:rsid w:val="00D961D6"/>
    <w:rsid w:val="00D97B17"/>
    <w:rsid w:val="00DA1A4A"/>
    <w:rsid w:val="00DA794D"/>
    <w:rsid w:val="00DC1E7E"/>
    <w:rsid w:val="00DC7A5F"/>
    <w:rsid w:val="00DD6A66"/>
    <w:rsid w:val="00DF1CF0"/>
    <w:rsid w:val="00E04C73"/>
    <w:rsid w:val="00E079A3"/>
    <w:rsid w:val="00E15D7D"/>
    <w:rsid w:val="00E17234"/>
    <w:rsid w:val="00E261F5"/>
    <w:rsid w:val="00E51A9F"/>
    <w:rsid w:val="00E6111E"/>
    <w:rsid w:val="00E616D0"/>
    <w:rsid w:val="00E62CCE"/>
    <w:rsid w:val="00E65C07"/>
    <w:rsid w:val="00E8225E"/>
    <w:rsid w:val="00E90547"/>
    <w:rsid w:val="00E970B0"/>
    <w:rsid w:val="00EA1656"/>
    <w:rsid w:val="00EA1819"/>
    <w:rsid w:val="00EB646E"/>
    <w:rsid w:val="00EC6F5D"/>
    <w:rsid w:val="00EF1FBD"/>
    <w:rsid w:val="00F07DDF"/>
    <w:rsid w:val="00F16256"/>
    <w:rsid w:val="00F231E8"/>
    <w:rsid w:val="00F33544"/>
    <w:rsid w:val="00F35ACF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A7C7A"/>
    <w:rsid w:val="00FD213B"/>
    <w:rsid w:val="00FD3CE8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8B7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364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8B7364"/>
    <w:rPr>
      <w:rFonts w:ascii="Times New Roman" w:hAnsi="Times New Roman" w:cs="Times New Roman"/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3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7364"/>
    <w:rPr>
      <w:rFonts w:ascii="Times New Roman" w:hAnsi="Times New Roman" w:cs="Times New Roman"/>
      <w:b/>
      <w:bCs/>
      <w:spacing w:val="4"/>
      <w:w w:val="103"/>
      <w:kern w:val="14"/>
      <w:lang w:val="ru-RU"/>
    </w:rPr>
  </w:style>
  <w:style w:type="paragraph" w:customStyle="1" w:styleId="H1GR">
    <w:name w:val="_ H_1_GR"/>
    <w:basedOn w:val="Normal"/>
    <w:next w:val="Normal"/>
    <w:rsid w:val="0029426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29426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ChGR">
    <w:name w:val="_ H _Ch_GR"/>
    <w:basedOn w:val="Normal"/>
    <w:next w:val="Normal"/>
    <w:rsid w:val="0029426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rsid w:val="0029426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paragraph" w:styleId="Revision">
    <w:name w:val="Revision"/>
    <w:hidden/>
    <w:uiPriority w:val="99"/>
    <w:semiHidden/>
    <w:rsid w:val="005A7602"/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02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A760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7142</Words>
  <Characters>46856</Characters>
  <Application>Microsoft Office Outlook</Application>
  <DocSecurity>4</DocSecurity>
  <Lines>836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53882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Nina Mouslikova</dc:creator>
  <cp:keywords/>
  <cp:lastModifiedBy>Nina Mouslikova</cp:lastModifiedBy>
  <cp:revision>3</cp:revision>
  <cp:lastPrinted>2015-05-13T13:00:00Z</cp:lastPrinted>
  <dcterms:created xsi:type="dcterms:W3CDTF">2015-05-13T13:00:00Z</dcterms:created>
  <dcterms:modified xsi:type="dcterms:W3CDTF">2015-05-13T13:00:00Z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1505832R</vt:lpwstr>
  </property>
  <property fmtid="{D5CDD505-2E9C-101B-9397-08002B2CF9AE}" pid="3" name="ODSRefJobNo">
    <vt:lpwstr>1510357R</vt:lpwstr>
  </property>
  <property fmtid="{D5CDD505-2E9C-101B-9397-08002B2CF9AE}" pid="4" name="Symbol1">
    <vt:lpwstr>CEDAW/C/60/D/51/2013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13 April 2015</vt:lpwstr>
  </property>
  <property fmtid="{D5CDD505-2E9C-101B-9397-08002B2CF9AE}" pid="9" name="Original">
    <vt:lpwstr>English</vt:lpwstr>
  </property>
  <property fmtid="{D5CDD505-2E9C-101B-9397-08002B2CF9AE}" pid="10" name="Release Date">
    <vt:lpwstr>130515</vt:lpwstr>
  </property>
  <property fmtid="{D5CDD505-2E9C-101B-9397-08002B2CF9AE}" pid="11" name="Comment">
    <vt:lpwstr/>
  </property>
  <property fmtid="{D5CDD505-2E9C-101B-9397-08002B2CF9AE}" pid="12" name="DraftPages">
    <vt:lpwstr>18</vt:lpwstr>
  </property>
  <property fmtid="{D5CDD505-2E9C-101B-9397-08002B2CF9AE}" pid="13" name="Operator">
    <vt:lpwstr>Mouslikova</vt:lpwstr>
  </property>
</Properties>
</file>