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14:paraId="6F340E7E" w14:textId="77777777" w:rsidTr="00464EEE">
        <w:trPr>
          <w:trHeight w:hRule="exact" w:val="851"/>
        </w:trPr>
        <w:tc>
          <w:tcPr>
            <w:tcW w:w="1277" w:type="dxa"/>
            <w:tcBorders>
              <w:bottom w:val="single" w:sz="4" w:space="0" w:color="auto"/>
            </w:tcBorders>
          </w:tcPr>
          <w:p w14:paraId="2344EE3C" w14:textId="77777777" w:rsidR="00AF1CE8" w:rsidRPr="00DB58B5" w:rsidRDefault="00AF1CE8" w:rsidP="00464EEE"/>
        </w:tc>
        <w:tc>
          <w:tcPr>
            <w:tcW w:w="2268" w:type="dxa"/>
            <w:tcBorders>
              <w:bottom w:val="single" w:sz="4" w:space="0" w:color="auto"/>
            </w:tcBorders>
            <w:vAlign w:val="bottom"/>
          </w:tcPr>
          <w:p w14:paraId="26742B9F" w14:textId="77777777"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51BA329A" w14:textId="77777777" w:rsidR="00AF1CE8" w:rsidRPr="00DB58B5" w:rsidRDefault="00E54419" w:rsidP="00E54419">
            <w:pPr>
              <w:jc w:val="right"/>
            </w:pPr>
            <w:r w:rsidRPr="00E54419">
              <w:rPr>
                <w:sz w:val="40"/>
              </w:rPr>
              <w:t>CCPR</w:t>
            </w:r>
            <w:r>
              <w:t>/C/TGO/Q</w:t>
            </w:r>
            <w:r w:rsidR="00E0206E">
              <w:t>PR</w:t>
            </w:r>
            <w:r>
              <w:t>/5</w:t>
            </w:r>
          </w:p>
        </w:tc>
      </w:tr>
      <w:tr w:rsidR="00AF1CE8" w:rsidRPr="00DB58B5" w14:paraId="16EA8337" w14:textId="77777777" w:rsidTr="00464EEE">
        <w:trPr>
          <w:trHeight w:hRule="exact" w:val="2835"/>
        </w:trPr>
        <w:tc>
          <w:tcPr>
            <w:tcW w:w="1276" w:type="dxa"/>
            <w:tcBorders>
              <w:top w:val="single" w:sz="4" w:space="0" w:color="auto"/>
              <w:bottom w:val="single" w:sz="12" w:space="0" w:color="auto"/>
            </w:tcBorders>
          </w:tcPr>
          <w:p w14:paraId="3B1CDBBA" w14:textId="77777777" w:rsidR="00AF1CE8" w:rsidRPr="00DB58B5" w:rsidRDefault="00562AC3" w:rsidP="00464EEE">
            <w:pPr>
              <w:spacing w:before="120"/>
              <w:jc w:val="center"/>
            </w:pPr>
            <w:r>
              <w:rPr>
                <w:noProof/>
                <w:lang w:eastAsia="fr-CH"/>
              </w:rPr>
              <w:drawing>
                <wp:inline distT="0" distB="0" distL="0" distR="0" wp14:anchorId="4566A918" wp14:editId="0E71CE92">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265465" w14:textId="77777777"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280A120" w14:textId="77777777" w:rsidR="00AF1CE8" w:rsidRDefault="00E54419" w:rsidP="00464EEE">
            <w:pPr>
              <w:spacing w:before="240"/>
            </w:pPr>
            <w:proofErr w:type="spellStart"/>
            <w:r>
              <w:t>Distr</w:t>
            </w:r>
            <w:proofErr w:type="spellEnd"/>
            <w:r>
              <w:t>. générale</w:t>
            </w:r>
          </w:p>
          <w:p w14:paraId="3BB21AD2" w14:textId="4DB381DB" w:rsidR="00E54419" w:rsidRDefault="000A03F9" w:rsidP="00765929">
            <w:pPr>
              <w:spacing w:line="240" w:lineRule="exact"/>
            </w:pPr>
            <w:r>
              <w:t>9</w:t>
            </w:r>
            <w:r w:rsidR="00E0206E">
              <w:t xml:space="preserve"> </w:t>
            </w:r>
            <w:r w:rsidR="00CD3E72">
              <w:t xml:space="preserve">décembre </w:t>
            </w:r>
            <w:r w:rsidR="00E54419">
              <w:t>2016</w:t>
            </w:r>
          </w:p>
          <w:p w14:paraId="3ABBCE18" w14:textId="77777777" w:rsidR="00E54419" w:rsidRDefault="00E54419" w:rsidP="00E54419">
            <w:pPr>
              <w:spacing w:line="240" w:lineRule="exact"/>
            </w:pPr>
          </w:p>
          <w:p w14:paraId="51DE4676" w14:textId="560DEAD5" w:rsidR="00E54419" w:rsidRDefault="00295179" w:rsidP="00E54419">
            <w:pPr>
              <w:spacing w:line="240" w:lineRule="exact"/>
            </w:pPr>
            <w:r>
              <w:t>Original :</w:t>
            </w:r>
            <w:r w:rsidR="00E54419">
              <w:t xml:space="preserve"> français </w:t>
            </w:r>
          </w:p>
          <w:p w14:paraId="5741EB3E" w14:textId="77777777" w:rsidR="00E54419" w:rsidRPr="00DB58B5" w:rsidRDefault="00E54419" w:rsidP="00E54419">
            <w:pPr>
              <w:spacing w:line="240" w:lineRule="exact"/>
            </w:pPr>
            <w:r w:rsidRPr="008F5B93">
              <w:t>Anglais, espagnol et français seulement</w:t>
            </w:r>
          </w:p>
        </w:tc>
      </w:tr>
    </w:tbl>
    <w:p w14:paraId="3DB898B7" w14:textId="77777777" w:rsidR="00FF1DBD" w:rsidRPr="00DF3BF1" w:rsidRDefault="00DF3BF1" w:rsidP="00DF3BF1">
      <w:pPr>
        <w:spacing w:before="120"/>
        <w:rPr>
          <w:b/>
          <w:sz w:val="24"/>
          <w:szCs w:val="24"/>
        </w:rPr>
      </w:pPr>
      <w:r w:rsidRPr="00DF3BF1">
        <w:rPr>
          <w:b/>
          <w:sz w:val="24"/>
          <w:szCs w:val="24"/>
        </w:rPr>
        <w:t>Comité des droits de l’homme</w:t>
      </w:r>
    </w:p>
    <w:p w14:paraId="6DC7861C" w14:textId="77777777" w:rsidR="00E54419" w:rsidRDefault="00E54419" w:rsidP="00E54419">
      <w:pPr>
        <w:pStyle w:val="HChG"/>
        <w:rPr>
          <w:bCs/>
          <w:vertAlign w:val="superscript"/>
        </w:rPr>
      </w:pPr>
      <w:r>
        <w:tab/>
      </w:r>
      <w:r>
        <w:tab/>
        <w:t>Liste de points établie avant la soumission du cinquième rapport périodique du Togo</w:t>
      </w:r>
      <w:r w:rsidRPr="002F7200">
        <w:rPr>
          <w:rStyle w:val="Appelnotedebasdep"/>
          <w:b w:val="0"/>
          <w:bCs/>
          <w:sz w:val="20"/>
          <w:vertAlign w:val="baseline"/>
        </w:rPr>
        <w:footnoteReference w:customMarkFollows="1" w:id="2"/>
        <w:t>*</w:t>
      </w:r>
      <w:r>
        <w:rPr>
          <w:bCs/>
          <w:vertAlign w:val="superscript"/>
        </w:rPr>
        <w:t xml:space="preserve"> </w:t>
      </w:r>
    </w:p>
    <w:p w14:paraId="1A70D403" w14:textId="77777777" w:rsidR="00E54419" w:rsidRPr="00E54419" w:rsidRDefault="00E54419" w:rsidP="00E54419">
      <w:pPr>
        <w:pStyle w:val="H1G"/>
      </w:pPr>
      <w:r w:rsidRPr="00E54419">
        <w:tab/>
        <w:t>A.</w:t>
      </w:r>
      <w:r w:rsidRPr="00E54419">
        <w:tab/>
        <w:t>Renseignements d’ordre général sur la situation des droits de l’homme dans le pays, y compris sur les nouvelles mesures et les faits nouveaux concernant la mise en œuvre du Pacte</w:t>
      </w:r>
    </w:p>
    <w:p w14:paraId="75824A08" w14:textId="0D6CA6F6" w:rsidR="00E54419" w:rsidRPr="00E54419" w:rsidRDefault="00E54419" w:rsidP="00873A3F">
      <w:pPr>
        <w:pStyle w:val="SingleTxtG"/>
      </w:pPr>
      <w:r w:rsidRPr="00E54419">
        <w:t>1.</w:t>
      </w:r>
      <w:r w:rsidRPr="00E54419">
        <w:tab/>
        <w:t xml:space="preserve">Donner des renseignements sur les mesures prises pour donner effet aux recommandations </w:t>
      </w:r>
      <w:r w:rsidR="00CD3E72" w:rsidRPr="00DE363B">
        <w:t xml:space="preserve">formulées par le Comité </w:t>
      </w:r>
      <w:r w:rsidRPr="00DE363B">
        <w:t xml:space="preserve">dans </w:t>
      </w:r>
      <w:r w:rsidR="00CD3E72" w:rsidRPr="00DE363B">
        <w:t>s</w:t>
      </w:r>
      <w:r w:rsidRPr="00DE363B">
        <w:t xml:space="preserve">es </w:t>
      </w:r>
      <w:r w:rsidR="00873A3F" w:rsidRPr="00DE363B">
        <w:t xml:space="preserve">précédentes </w:t>
      </w:r>
      <w:r w:rsidRPr="00DE363B">
        <w:t>observations finales (CCPR/C/TGO/CO/4</w:t>
      </w:r>
      <w:r w:rsidR="00CD3E72" w:rsidRPr="002F7200">
        <w:rPr>
          <w:rStyle w:val="Appelnotedebasdep"/>
        </w:rPr>
        <w:footnoteReference w:id="3"/>
      </w:r>
      <w:r w:rsidRPr="00DE363B">
        <w:t>). Indiquer</w:t>
      </w:r>
      <w:r w:rsidRPr="00E54419">
        <w:t xml:space="preserve"> aussi les mesures prises pour donner pleinement effet à toutes les dispositions du Pacte dans l’ordre juridique interne et décrire </w:t>
      </w:r>
      <w:r w:rsidR="00EB7B9D">
        <w:t xml:space="preserve">les mécanismes </w:t>
      </w:r>
      <w:r w:rsidR="00325B56">
        <w:t xml:space="preserve">mis en place </w:t>
      </w:r>
      <w:r w:rsidRPr="00E54419">
        <w:t xml:space="preserve">pour assurer la pleine mise en œuvre des constatations adoptées par le Comité au titre du Protocole facultatif. </w:t>
      </w:r>
    </w:p>
    <w:p w14:paraId="225F1808" w14:textId="77777777" w:rsidR="00E54419" w:rsidRPr="00E54419" w:rsidRDefault="00E54419" w:rsidP="007B7284">
      <w:pPr>
        <w:pStyle w:val="SingleTxtG"/>
      </w:pPr>
      <w:r w:rsidRPr="00E54419">
        <w:t>2.</w:t>
      </w:r>
      <w:r w:rsidRPr="00E54419">
        <w:tab/>
        <w:t xml:space="preserve">Décrire les autres faits nouveaux importants liés au cadre juridique et institutionnel de la promotion et de la protection des droits de l’homme qui sont survenus depuis l’adoption </w:t>
      </w:r>
      <w:r w:rsidRPr="007B7284">
        <w:t xml:space="preserve">des </w:t>
      </w:r>
      <w:r w:rsidRPr="00DE363B">
        <w:t>précédentes</w:t>
      </w:r>
      <w:r w:rsidRPr="007B7284">
        <w:t xml:space="preserve"> observations</w:t>
      </w:r>
      <w:r w:rsidRPr="00E54419">
        <w:t xml:space="preserve"> finales, et donner des exemples d’affaires dans lesquelles les dispositions du Pacte ont été invoquées par les tribunaux nationaux. Indiquer s’il existe des programmes de formation continue à l’intention des magistrats, avocats et auxiliaires de justice sur le contenu du Pacte et sa primauté sur le droit interne. </w:t>
      </w:r>
    </w:p>
    <w:p w14:paraId="3529BFF3" w14:textId="1C4DD867" w:rsidR="00E54419" w:rsidRPr="00A02352" w:rsidRDefault="00E54419" w:rsidP="00E54419">
      <w:pPr>
        <w:pStyle w:val="H1G"/>
      </w:pPr>
      <w:r w:rsidRPr="00D310EA">
        <w:tab/>
      </w:r>
      <w:r w:rsidRPr="00A02352">
        <w:t>B.</w:t>
      </w:r>
      <w:r w:rsidRPr="00A02352">
        <w:tab/>
        <w:t>Renseignements concernant spécifiquement la mise en œuvre des</w:t>
      </w:r>
      <w:r w:rsidR="00232716">
        <w:t> </w:t>
      </w:r>
      <w:r w:rsidRPr="00A02352">
        <w:t xml:space="preserve">articles 1 à 27 du Pacte, </w:t>
      </w:r>
      <w:r>
        <w:t>y compris au regard des précédentes recommandations du Comité</w:t>
      </w:r>
    </w:p>
    <w:p w14:paraId="1DB5AD56" w14:textId="7173A143" w:rsidR="00E54419" w:rsidRPr="0045054B" w:rsidRDefault="00E54419" w:rsidP="002F7200">
      <w:pPr>
        <w:pStyle w:val="H23G"/>
        <w:rPr>
          <w:lang w:val="fr-FR"/>
        </w:rPr>
      </w:pPr>
      <w:r>
        <w:rPr>
          <w:lang w:val="fr-FR"/>
        </w:rPr>
        <w:tab/>
      </w:r>
      <w:r>
        <w:rPr>
          <w:lang w:val="fr-FR"/>
        </w:rPr>
        <w:tab/>
      </w:r>
      <w:r w:rsidRPr="0045054B">
        <w:rPr>
          <w:lang w:val="fr-FR"/>
        </w:rPr>
        <w:t xml:space="preserve">Cadre constitutionnel et juridique de </w:t>
      </w:r>
      <w:r w:rsidRPr="00E54419">
        <w:t>l’application</w:t>
      </w:r>
      <w:r w:rsidRPr="0045054B">
        <w:rPr>
          <w:lang w:val="fr-FR"/>
        </w:rPr>
        <w:t xml:space="preserve"> du Pacte (art.</w:t>
      </w:r>
      <w:r w:rsidR="00232716">
        <w:rPr>
          <w:lang w:val="fr-FR"/>
        </w:rPr>
        <w:t> </w:t>
      </w:r>
      <w:r w:rsidRPr="0045054B">
        <w:rPr>
          <w:lang w:val="fr-FR"/>
        </w:rPr>
        <w:t>2)</w:t>
      </w:r>
    </w:p>
    <w:p w14:paraId="5DC790D6" w14:textId="4160B652" w:rsidR="00E54419" w:rsidRDefault="00E54419" w:rsidP="00873A3F">
      <w:pPr>
        <w:pStyle w:val="SingleTxtG"/>
      </w:pPr>
      <w:r>
        <w:t>3</w:t>
      </w:r>
      <w:r w:rsidRPr="009958C2">
        <w:t>.</w:t>
      </w:r>
      <w:r>
        <w:tab/>
      </w:r>
      <w:r w:rsidR="00CD3E72">
        <w:t>É</w:t>
      </w:r>
      <w:r>
        <w:t xml:space="preserve">tant </w:t>
      </w:r>
      <w:r w:rsidRPr="00DE363B">
        <w:t xml:space="preserve">donné l’adoption </w:t>
      </w:r>
      <w:r w:rsidRPr="00DE363B">
        <w:rPr>
          <w:rStyle w:val="fullarticletexte"/>
        </w:rPr>
        <w:t>le 11</w:t>
      </w:r>
      <w:r w:rsidR="00AE4026">
        <w:rPr>
          <w:rStyle w:val="fullarticletexte"/>
        </w:rPr>
        <w:t> </w:t>
      </w:r>
      <w:r w:rsidRPr="00DE363B">
        <w:rPr>
          <w:rStyle w:val="fullarticletexte"/>
        </w:rPr>
        <w:t xml:space="preserve">mars 2016 </w:t>
      </w:r>
      <w:r w:rsidRPr="00DE363B">
        <w:t xml:space="preserve">de </w:t>
      </w:r>
      <w:r w:rsidRPr="00DE363B">
        <w:rPr>
          <w:rStyle w:val="fullarticletexte"/>
        </w:rPr>
        <w:t xml:space="preserve">la nouvelle loi relative à la composition, </w:t>
      </w:r>
      <w:r w:rsidR="00325B56" w:rsidRPr="00DE363B">
        <w:rPr>
          <w:rStyle w:val="fullarticletexte"/>
        </w:rPr>
        <w:t xml:space="preserve">à </w:t>
      </w:r>
      <w:r w:rsidRPr="00DE363B">
        <w:rPr>
          <w:rStyle w:val="fullarticletexte"/>
        </w:rPr>
        <w:t xml:space="preserve">l’organisation et au fonctionnement de la Commission nationale des droits de l’homme (CNDH), permettant au </w:t>
      </w:r>
      <w:r w:rsidR="00CD3E72" w:rsidRPr="00DE363B">
        <w:rPr>
          <w:rStyle w:val="fullarticletexte"/>
        </w:rPr>
        <w:t>P</w:t>
      </w:r>
      <w:r w:rsidRPr="00DE363B">
        <w:rPr>
          <w:rStyle w:val="fullarticletexte"/>
        </w:rPr>
        <w:t xml:space="preserve">résident de la République de désigner quatre des neuf membres </w:t>
      </w:r>
      <w:r w:rsidRPr="00DE363B">
        <w:t xml:space="preserve">de la Commission, </w:t>
      </w:r>
      <w:r w:rsidR="006467D2" w:rsidRPr="00DE363B">
        <w:t xml:space="preserve">expliquer </w:t>
      </w:r>
      <w:r w:rsidRPr="00DE363B">
        <w:t xml:space="preserve">comment ce mode de désignation </w:t>
      </w:r>
      <w:r w:rsidRPr="00DE363B">
        <w:rPr>
          <w:rStyle w:val="fullarticletexte"/>
        </w:rPr>
        <w:t>garantit l’indépendance de la Commission,</w:t>
      </w:r>
      <w:r w:rsidRPr="00DE363B">
        <w:t xml:space="preserve"> </w:t>
      </w:r>
      <w:r w:rsidRPr="00DE363B">
        <w:rPr>
          <w:lang w:val="fr-FR"/>
        </w:rPr>
        <w:t xml:space="preserve">en conformité avec les Principes concernant le statut des institutions </w:t>
      </w:r>
      <w:r w:rsidRPr="00DE363B">
        <w:rPr>
          <w:lang w:val="fr-FR"/>
        </w:rPr>
        <w:lastRenderedPageBreak/>
        <w:t>nationales pour la promotion et la protection des droits de l’homme (Principes de Paris).</w:t>
      </w:r>
      <w:r w:rsidRPr="00DE363B">
        <w:t xml:space="preserve"> E</w:t>
      </w:r>
      <w:r w:rsidRPr="007C3977">
        <w:t>u</w:t>
      </w:r>
      <w:r w:rsidR="00AE4026">
        <w:t> </w:t>
      </w:r>
      <w:r w:rsidRPr="007C3977">
        <w:t xml:space="preserve">égard aux recommandations </w:t>
      </w:r>
      <w:r w:rsidR="00CD3E72">
        <w:t xml:space="preserve">formulées par le Comité dans ses </w:t>
      </w:r>
      <w:r w:rsidR="00873A3F">
        <w:t>précédentes</w:t>
      </w:r>
      <w:r w:rsidR="00CD3E72">
        <w:t xml:space="preserve"> observations finales</w:t>
      </w:r>
      <w:r w:rsidRPr="007C3977">
        <w:t xml:space="preserve"> </w:t>
      </w:r>
      <w:r w:rsidRPr="00DE363B">
        <w:t>(par.</w:t>
      </w:r>
      <w:r w:rsidR="00CD3E72" w:rsidRPr="00DE363B">
        <w:t> </w:t>
      </w:r>
      <w:r w:rsidRPr="00DE363B">
        <w:t>8), donner</w:t>
      </w:r>
      <w:r>
        <w:t xml:space="preserve"> des renseignements sur les ressources humaines et financières allouées à la Commission pour lui permettre de s’acquitter efficacement de son mandat. Fournir également des statistiques depuis 2011 sur le nombre et le type de plaintes reçues par la Commission ainsi que sur les suites données, le cas échéant, aux plaintes pour violation des droits civils et politiques dont elle a été saisie.</w:t>
      </w:r>
      <w:r w:rsidRPr="002529A1">
        <w:t xml:space="preserve"> </w:t>
      </w:r>
      <w:r>
        <w:t xml:space="preserve">Indiquer si les conclusions de la Commission sont mises à la disposition du public </w:t>
      </w:r>
      <w:r w:rsidR="00CD3E72">
        <w:t xml:space="preserve">et donner des renseignements sur </w:t>
      </w:r>
      <w:r>
        <w:t xml:space="preserve">la </w:t>
      </w:r>
      <w:r w:rsidR="006467D2">
        <w:t>mise en œuvre</w:t>
      </w:r>
      <w:r w:rsidR="006467D2" w:rsidDel="006467D2">
        <w:t xml:space="preserve"> </w:t>
      </w:r>
      <w:r w:rsidR="006467D2">
        <w:t>par l’</w:t>
      </w:r>
      <w:r w:rsidR="00CD3E72">
        <w:t>État</w:t>
      </w:r>
      <w:r w:rsidR="006467D2">
        <w:t xml:space="preserve"> partie</w:t>
      </w:r>
      <w:r w:rsidR="006467D2" w:rsidDel="006467D2">
        <w:t xml:space="preserve"> </w:t>
      </w:r>
      <w:r>
        <w:t xml:space="preserve">des recommandations formulées par la Commission depuis 2011. </w:t>
      </w:r>
    </w:p>
    <w:p w14:paraId="4C0C3E5A" w14:textId="363F3FFB" w:rsidR="00E54419" w:rsidRPr="008A0C93" w:rsidRDefault="00E54419" w:rsidP="00E54419">
      <w:pPr>
        <w:pStyle w:val="H23G"/>
        <w:rPr>
          <w:lang w:val="fr-FR"/>
        </w:rPr>
      </w:pPr>
      <w:r>
        <w:rPr>
          <w:lang w:val="fr-FR"/>
        </w:rPr>
        <w:tab/>
      </w:r>
      <w:r>
        <w:rPr>
          <w:lang w:val="fr-FR"/>
        </w:rPr>
        <w:tab/>
      </w:r>
      <w:r w:rsidRPr="008A0C93">
        <w:rPr>
          <w:lang w:val="fr-FR"/>
        </w:rPr>
        <w:t>N</w:t>
      </w:r>
      <w:r>
        <w:rPr>
          <w:lang w:val="fr-FR"/>
        </w:rPr>
        <w:t>on-</w:t>
      </w:r>
      <w:r w:rsidRPr="008A0C93">
        <w:rPr>
          <w:lang w:val="fr-FR"/>
        </w:rPr>
        <w:t>discrimination et droits des personnes appartenant à des minorités ethniques, religieuses, linguistiques ou sexuelles (art.</w:t>
      </w:r>
      <w:r w:rsidR="00232716">
        <w:rPr>
          <w:lang w:val="fr-FR"/>
        </w:rPr>
        <w:t> </w:t>
      </w:r>
      <w:r w:rsidRPr="008A0C93">
        <w:rPr>
          <w:lang w:val="fr-FR"/>
        </w:rPr>
        <w:t>2</w:t>
      </w:r>
      <w:r>
        <w:rPr>
          <w:lang w:val="fr-FR"/>
        </w:rPr>
        <w:t>, 20, 22</w:t>
      </w:r>
      <w:r w:rsidRPr="008A0C93">
        <w:rPr>
          <w:lang w:val="fr-FR"/>
        </w:rPr>
        <w:t xml:space="preserve"> et 2</w:t>
      </w:r>
      <w:r>
        <w:rPr>
          <w:lang w:val="fr-FR"/>
        </w:rPr>
        <w:t>6</w:t>
      </w:r>
      <w:r w:rsidRPr="008A0C93">
        <w:rPr>
          <w:lang w:val="fr-FR"/>
        </w:rPr>
        <w:t xml:space="preserve"> à 27)</w:t>
      </w:r>
    </w:p>
    <w:p w14:paraId="0CC0F005" w14:textId="33865202" w:rsidR="00E54419" w:rsidRPr="00DE363B" w:rsidRDefault="00E54419" w:rsidP="00873A3F">
      <w:pPr>
        <w:pStyle w:val="SingleTxtG"/>
      </w:pPr>
      <w:r>
        <w:t>4.</w:t>
      </w:r>
      <w:r>
        <w:tab/>
      </w:r>
      <w:r w:rsidRPr="007C3977">
        <w:t xml:space="preserve">Eu égard aux recommandations </w:t>
      </w:r>
      <w:r w:rsidR="00CD3E72">
        <w:t>formulées par le Comité</w:t>
      </w:r>
      <w:r w:rsidR="00D640F8">
        <w:t xml:space="preserve"> dans ses </w:t>
      </w:r>
      <w:r w:rsidR="00873A3F">
        <w:t xml:space="preserve">précédentes </w:t>
      </w:r>
      <w:r w:rsidR="00D640F8">
        <w:t>observations finales</w:t>
      </w:r>
      <w:r w:rsidR="00CD3E72">
        <w:t xml:space="preserve"> </w:t>
      </w:r>
      <w:r w:rsidRPr="00DE363B">
        <w:t>(par. 9), fournir des informations sur les mesures prises, y compris législatives, pour interdire tout appel à la haine ethnique constituant une incitation à la discrimination, à l’hostilité ou à la violence. Préciser si des enquêtes et des poursuites judiciaires ont été diligentées contre les dirigeants politiques et les journalistes soupçonnés d’avoir attisé la haine ethnique au cours du processus électoral de 2005, en indiquant, le cas échéant, les résultats.</w:t>
      </w:r>
    </w:p>
    <w:p w14:paraId="60C4A3D1" w14:textId="601DAD58" w:rsidR="00E54419" w:rsidRPr="007A1BFC" w:rsidRDefault="00E54419" w:rsidP="00873A3F">
      <w:pPr>
        <w:pStyle w:val="SingleTxtG"/>
      </w:pPr>
      <w:r w:rsidRPr="00DE363B">
        <w:t>5.</w:t>
      </w:r>
      <w:r w:rsidRPr="00DE363B">
        <w:tab/>
        <w:t xml:space="preserve">À la lumière des </w:t>
      </w:r>
      <w:r w:rsidR="00873A3F" w:rsidRPr="00DE363B">
        <w:t xml:space="preserve">précédentes </w:t>
      </w:r>
      <w:r w:rsidRPr="00DE363B">
        <w:t xml:space="preserve">observations finales </w:t>
      </w:r>
      <w:r w:rsidR="00873A3F" w:rsidRPr="00DE363B">
        <w:t xml:space="preserve">du Comité </w:t>
      </w:r>
      <w:r w:rsidRPr="00DE363B">
        <w:t>(par. 14), et compte tenu de la révision du Code pénal du 2</w:t>
      </w:r>
      <w:r w:rsidR="00AE4026">
        <w:t> </w:t>
      </w:r>
      <w:r w:rsidRPr="00DE363B">
        <w:t>novembre 2015, qui continue à criminaliser</w:t>
      </w:r>
      <w:r>
        <w:t xml:space="preserve"> les relations sexuelles entre adultes consentants du même sexe et aggrave les peines applicables, indiquer si l’</w:t>
      </w:r>
      <w:r w:rsidR="00CD3E72">
        <w:t>État</w:t>
      </w:r>
      <w:r>
        <w:t xml:space="preserve"> partie envisage d’abroger ces dispositions de manière à mettre sa législation en conformité avec le Pacte. </w:t>
      </w:r>
      <w:r w:rsidR="00325B56">
        <w:t>Clarifier</w:t>
      </w:r>
      <w:r w:rsidR="00325B56" w:rsidRPr="003C1991">
        <w:t xml:space="preserve"> </w:t>
      </w:r>
      <w:r w:rsidRPr="003C1991">
        <w:t xml:space="preserve">les informations faisant état </w:t>
      </w:r>
      <w:r>
        <w:t xml:space="preserve">d’actes de harcèlement, </w:t>
      </w:r>
      <w:r w:rsidR="00CD3E72">
        <w:t xml:space="preserve">de </w:t>
      </w:r>
      <w:r>
        <w:t xml:space="preserve">mauvais traitements et de détentions arbitraires de personnes en raison de leur orientation sexuelle ou de leur identité de genre, réelles ou présumées, de la part des forces de sécurité et exposer les mesures </w:t>
      </w:r>
      <w:r w:rsidRPr="003C1991">
        <w:t>prises pour assurer la protection des victimes de ces actes et mettre fin à l’impunité de leurs auteurs</w:t>
      </w:r>
      <w:r>
        <w:t xml:space="preserve">. Fournir également des statistiques depuis 2011 sur le nombre d’allégations d’agression, d’arrestation et de détention arbitraires de personnes en raison de leur orientation sexuelle ou de leur identité de genre, réelles ou présumées, ainsi que sur </w:t>
      </w:r>
      <w:r w:rsidRPr="00714ADD">
        <w:t>les enquêtes menées et les poursuites engagées</w:t>
      </w:r>
      <w:r>
        <w:t>,</w:t>
      </w:r>
      <w:r w:rsidRPr="00A23F99">
        <w:t xml:space="preserve"> </w:t>
      </w:r>
      <w:r w:rsidRPr="00714ADD">
        <w:t>en indiqu</w:t>
      </w:r>
      <w:r>
        <w:t>ant</w:t>
      </w:r>
      <w:r w:rsidRPr="00714ADD">
        <w:t xml:space="preserve"> les résultats.</w:t>
      </w:r>
      <w:r>
        <w:t xml:space="preserve"> D</w:t>
      </w:r>
      <w:r w:rsidRPr="00C15826">
        <w:t>écrire les efforts entrepris par l</w:t>
      </w:r>
      <w:r>
        <w:t>’</w:t>
      </w:r>
      <w:r w:rsidRPr="00C15826">
        <w:t xml:space="preserve">État partie pour lutter contre la stigmatisation sociale des </w:t>
      </w:r>
      <w:r w:rsidR="00CD3E72" w:rsidRPr="00DB64F9">
        <w:t xml:space="preserve">lesbiennes, gays, bisexuels, transgenres et intersexués </w:t>
      </w:r>
      <w:r w:rsidR="00CD3E72" w:rsidRPr="00EF1302">
        <w:t>(</w:t>
      </w:r>
      <w:r w:rsidRPr="00765929">
        <w:t>LGBTI</w:t>
      </w:r>
      <w:r w:rsidR="00CD3E72" w:rsidRPr="00DB64F9">
        <w:t>)</w:t>
      </w:r>
      <w:r w:rsidRPr="00DB64F9">
        <w:t xml:space="preserve"> </w:t>
      </w:r>
      <w:r w:rsidR="00DB043C" w:rsidRPr="00DB64F9">
        <w:t xml:space="preserve">s’agissant de </w:t>
      </w:r>
      <w:r w:rsidRPr="00DB64F9">
        <w:t xml:space="preserve">l’accès à l’emploi, au logement, à l’éducation et aux services de santé, </w:t>
      </w:r>
      <w:r w:rsidR="00F00F85" w:rsidRPr="00DB64F9">
        <w:t xml:space="preserve">et contre les restrictions imposées aux organisations de défense de ces personnes, </w:t>
      </w:r>
      <w:r w:rsidRPr="00DB64F9">
        <w:t>et indiquer si l’</w:t>
      </w:r>
      <w:r w:rsidR="00CD3E72" w:rsidRPr="00765929">
        <w:t>État</w:t>
      </w:r>
      <w:r w:rsidRPr="00DB64F9">
        <w:t xml:space="preserve"> partie envisage </w:t>
      </w:r>
      <w:r w:rsidR="00D640F8" w:rsidRPr="00DB64F9">
        <w:t xml:space="preserve">de </w:t>
      </w:r>
      <w:r w:rsidRPr="00DB64F9">
        <w:t>modifier la législation interne interdisant la discrimination</w:t>
      </w:r>
      <w:r w:rsidRPr="00C15826">
        <w:t xml:space="preserve"> dans l</w:t>
      </w:r>
      <w:r>
        <w:t>’</w:t>
      </w:r>
      <w:r w:rsidRPr="00C15826">
        <w:t xml:space="preserve">emploi </w:t>
      </w:r>
      <w:r>
        <w:t xml:space="preserve">afin d’inclure l’interdiction de la </w:t>
      </w:r>
      <w:r w:rsidRPr="00C15826">
        <w:t>discrimination fondée sur l</w:t>
      </w:r>
      <w:r>
        <w:t>’</w:t>
      </w:r>
      <w:r w:rsidRPr="00C15826">
        <w:t>orientation sexuelle</w:t>
      </w:r>
      <w:r>
        <w:t xml:space="preserve"> ou l’identité de genre. </w:t>
      </w:r>
      <w:r w:rsidR="00ED35F3">
        <w:t>Veuillez aussi indiquer les mesures prises pour une meilleure représentation des différents groupes ethniques dans la fonction publique et dans les forces de sécurité.</w:t>
      </w:r>
    </w:p>
    <w:p w14:paraId="72CD6503" w14:textId="6D8FE162" w:rsidR="00E54419" w:rsidRPr="00FA2994" w:rsidRDefault="00E54419" w:rsidP="00E54419">
      <w:pPr>
        <w:pStyle w:val="H23G"/>
        <w:rPr>
          <w:lang w:val="fr-FR"/>
        </w:rPr>
      </w:pPr>
      <w:r w:rsidRPr="007A1BFC">
        <w:tab/>
      </w:r>
      <w:r w:rsidRPr="007A1BFC">
        <w:tab/>
      </w:r>
      <w:r w:rsidRPr="00FA2994">
        <w:rPr>
          <w:lang w:val="fr-FR"/>
        </w:rPr>
        <w:t>Non-discrimination et violence à l’égard des femmes (art.</w:t>
      </w:r>
      <w:r w:rsidR="00232716">
        <w:rPr>
          <w:lang w:val="fr-FR"/>
        </w:rPr>
        <w:t> </w:t>
      </w:r>
      <w:r w:rsidRPr="00FA2994">
        <w:rPr>
          <w:lang w:val="fr-FR"/>
        </w:rPr>
        <w:t xml:space="preserve">2, 3, </w:t>
      </w:r>
      <w:r>
        <w:rPr>
          <w:lang w:val="fr-FR"/>
        </w:rPr>
        <w:t xml:space="preserve">6, </w:t>
      </w:r>
      <w:r w:rsidRPr="00FA2994">
        <w:rPr>
          <w:lang w:val="fr-FR"/>
        </w:rPr>
        <w:t>7 et 26)</w:t>
      </w:r>
    </w:p>
    <w:p w14:paraId="4CA906FF" w14:textId="540DC29A" w:rsidR="00E54419" w:rsidRDefault="00E54419" w:rsidP="008C1B2A">
      <w:pPr>
        <w:pStyle w:val="SingleTxtG"/>
      </w:pPr>
      <w:r>
        <w:t>6.</w:t>
      </w:r>
      <w:r>
        <w:tab/>
        <w:t xml:space="preserve">À la lumière des </w:t>
      </w:r>
      <w:r w:rsidR="00873A3F">
        <w:t xml:space="preserve">précédentes </w:t>
      </w:r>
      <w:r>
        <w:t xml:space="preserve">observations finales </w:t>
      </w:r>
      <w:r w:rsidR="00910392">
        <w:t xml:space="preserve">du </w:t>
      </w:r>
      <w:r w:rsidR="00910392" w:rsidRPr="00DE363B">
        <w:t xml:space="preserve">Comité </w:t>
      </w:r>
      <w:r w:rsidRPr="00DE363B">
        <w:t xml:space="preserve">(par. 11) et </w:t>
      </w:r>
      <w:r w:rsidR="007C6B9D" w:rsidRPr="00DE363B">
        <w:t xml:space="preserve">compte tenu </w:t>
      </w:r>
      <w:r w:rsidR="00910392" w:rsidRPr="00DE363B">
        <w:t xml:space="preserve">de </w:t>
      </w:r>
      <w:r w:rsidRPr="00DE363B">
        <w:t>la révision du Code pénal du 2</w:t>
      </w:r>
      <w:r w:rsidR="00910392" w:rsidRPr="00DE363B">
        <w:t> </w:t>
      </w:r>
      <w:r w:rsidRPr="00DE363B">
        <w:t xml:space="preserve">novembre 2015, donner des informations détaillées sur les modifications introduites par </w:t>
      </w:r>
      <w:r w:rsidR="00910392" w:rsidRPr="00DE363B">
        <w:t xml:space="preserve">le Code pénal </w:t>
      </w:r>
      <w:r w:rsidRPr="00DE363B">
        <w:t>visant à abolir les dispositions discriminatoires vis-à-vis des femmes. Indiquer si l’</w:t>
      </w:r>
      <w:r w:rsidR="00CD3E72" w:rsidRPr="00DE363B">
        <w:t>État</w:t>
      </w:r>
      <w:r w:rsidRPr="00DE363B">
        <w:t xml:space="preserve"> partie envisage de réviser la législation interne afin d’abolir la polygamie. Eu égard aux recommandations </w:t>
      </w:r>
      <w:r w:rsidR="00D640F8" w:rsidRPr="00DE363B">
        <w:t xml:space="preserve">formulées par le Comité dans ses </w:t>
      </w:r>
      <w:r w:rsidRPr="00DE363B">
        <w:t xml:space="preserve">précédentes </w:t>
      </w:r>
      <w:r w:rsidR="00D640F8" w:rsidRPr="00DE363B">
        <w:t xml:space="preserve">observations finales </w:t>
      </w:r>
      <w:r w:rsidRPr="00DE363B">
        <w:t>(par. 12)</w:t>
      </w:r>
      <w:r>
        <w:t>, décrire</w:t>
      </w:r>
      <w:r w:rsidRPr="004E5634">
        <w:t xml:space="preserve"> les mesures prises pour</w:t>
      </w:r>
      <w:r>
        <w:t xml:space="preserve"> promouvoir le recrutement des femmes dans la fonction publique et f</w:t>
      </w:r>
      <w:r w:rsidRPr="00220F6D">
        <w:t>ournir des données statistiques sur la représentation des femmes aux postes à responsabilité dans l’administration publique, ainsi que dans le secteur privé. Présente</w:t>
      </w:r>
      <w:r>
        <w:t xml:space="preserve">r aussi les mesures prises </w:t>
      </w:r>
      <w:r>
        <w:lastRenderedPageBreak/>
        <w:t>pour</w:t>
      </w:r>
      <w:r w:rsidR="00295179">
        <w:t> :</w:t>
      </w:r>
      <w:r>
        <w:t xml:space="preserve"> a)</w:t>
      </w:r>
      <w:r w:rsidR="008C1B2A">
        <w:t> </w:t>
      </w:r>
      <w:r w:rsidRPr="00220F6D">
        <w:t>réduire l’écart salarial entre hommes et femmes</w:t>
      </w:r>
      <w:r w:rsidR="007C6B9D">
        <w:t>,</w:t>
      </w:r>
      <w:r>
        <w:t xml:space="preserve"> </w:t>
      </w:r>
      <w:r w:rsidRPr="00220F6D">
        <w:t xml:space="preserve">et </w:t>
      </w:r>
      <w:r>
        <w:t>b)</w:t>
      </w:r>
      <w:r w:rsidR="008C1B2A">
        <w:t> </w:t>
      </w:r>
      <w:r>
        <w:t>faire prévaloir le droit de l’</w:t>
      </w:r>
      <w:r w:rsidR="00CD3E72">
        <w:t>État</w:t>
      </w:r>
      <w:r>
        <w:t xml:space="preserve"> sur les règles du droit coutumier qui perpétuent l’inégalité entre hommes et femmes.</w:t>
      </w:r>
    </w:p>
    <w:p w14:paraId="0B7E357D" w14:textId="1A03E1A8" w:rsidR="00E54419" w:rsidRDefault="00E54419" w:rsidP="008C1B2A">
      <w:pPr>
        <w:pStyle w:val="SingleTxtG"/>
        <w:rPr>
          <w:spacing w:val="2"/>
          <w:w w:val="102"/>
        </w:rPr>
      </w:pPr>
      <w:r>
        <w:t>7.</w:t>
      </w:r>
      <w:r>
        <w:tab/>
      </w:r>
      <w:r w:rsidRPr="00220F6D">
        <w:t>Compte tenu de</w:t>
      </w:r>
      <w:r>
        <w:t xml:space="preserve"> l’introduction dans le nouveau Code pénal du viol conjugal, expliquer la raison pour laquelle la peine prévue pour ce crime est inférieure à la peine prévue pour le viol en général. Indiquer aussi si l’</w:t>
      </w:r>
      <w:r w:rsidR="00CD3E72">
        <w:t>État</w:t>
      </w:r>
      <w:r>
        <w:t xml:space="preserve"> partie envisage </w:t>
      </w:r>
      <w:r w:rsidR="00D640F8">
        <w:t>d’</w:t>
      </w:r>
      <w:r>
        <w:t xml:space="preserve">interdire la violence domestique comme infraction pénale distincte. Fournir </w:t>
      </w:r>
      <w:r w:rsidRPr="004E5634">
        <w:t xml:space="preserve">des données </w:t>
      </w:r>
      <w:r>
        <w:t>annuelles</w:t>
      </w:r>
      <w:r w:rsidRPr="004E5634">
        <w:t xml:space="preserve"> </w:t>
      </w:r>
      <w:r>
        <w:t xml:space="preserve">depuis 2011 </w:t>
      </w:r>
      <w:r w:rsidR="00295179">
        <w:t>concernant :</w:t>
      </w:r>
      <w:r>
        <w:t xml:space="preserve"> a)</w:t>
      </w:r>
      <w:r w:rsidR="008C1B2A">
        <w:t> </w:t>
      </w:r>
      <w:r w:rsidRPr="004E5634">
        <w:t xml:space="preserve">le nombre de plaintes déposées </w:t>
      </w:r>
      <w:r w:rsidRPr="00DE363B">
        <w:t>relatives</w:t>
      </w:r>
      <w:r w:rsidRPr="004E5634">
        <w:t xml:space="preserve"> aux différentes formes de violence à l’égard des femmes</w:t>
      </w:r>
      <w:r>
        <w:t xml:space="preserve">, y compris les violences familiales et les violences </w:t>
      </w:r>
      <w:r w:rsidR="00295179">
        <w:t>sexuelles ;</w:t>
      </w:r>
      <w:r>
        <w:t xml:space="preserve"> </w:t>
      </w:r>
      <w:r w:rsidRPr="002F51DC">
        <w:rPr>
          <w:spacing w:val="2"/>
          <w:w w:val="102"/>
        </w:rPr>
        <w:t xml:space="preserve">b) les enquêtes et les poursuites auxquelles ces plaintes ont donné </w:t>
      </w:r>
      <w:r w:rsidR="00295179" w:rsidRPr="002F51DC">
        <w:rPr>
          <w:spacing w:val="2"/>
          <w:w w:val="102"/>
        </w:rPr>
        <w:t>lieu</w:t>
      </w:r>
      <w:r w:rsidR="00295179">
        <w:rPr>
          <w:spacing w:val="2"/>
          <w:w w:val="102"/>
        </w:rPr>
        <w:t> ;</w:t>
      </w:r>
      <w:r w:rsidRPr="002F51DC">
        <w:rPr>
          <w:spacing w:val="2"/>
          <w:w w:val="102"/>
        </w:rPr>
        <w:t xml:space="preserve"> c) les condamnations prononcées</w:t>
      </w:r>
      <w:r w:rsidR="00295179">
        <w:rPr>
          <w:spacing w:val="2"/>
          <w:w w:val="102"/>
        </w:rPr>
        <w:t> ;</w:t>
      </w:r>
      <w:r w:rsidRPr="002F51DC">
        <w:rPr>
          <w:spacing w:val="2"/>
          <w:w w:val="102"/>
        </w:rPr>
        <w:t xml:space="preserve"> d) le nombre de mesures de protection éventuellement </w:t>
      </w:r>
      <w:r w:rsidR="00295179" w:rsidRPr="002F51DC">
        <w:rPr>
          <w:spacing w:val="2"/>
          <w:w w:val="102"/>
        </w:rPr>
        <w:t>accordées</w:t>
      </w:r>
      <w:r w:rsidR="00295179">
        <w:rPr>
          <w:spacing w:val="2"/>
          <w:w w:val="102"/>
        </w:rPr>
        <w:t> ;</w:t>
      </w:r>
      <w:r w:rsidRPr="002F51DC">
        <w:rPr>
          <w:spacing w:val="2"/>
          <w:w w:val="102"/>
        </w:rPr>
        <w:t xml:space="preserve"> et e) les </w:t>
      </w:r>
      <w:r w:rsidRPr="00DE363B">
        <w:rPr>
          <w:spacing w:val="2"/>
          <w:w w:val="102"/>
        </w:rPr>
        <w:t xml:space="preserve">indemnisations offertes aux victimes. </w:t>
      </w:r>
      <w:r w:rsidRPr="00DE363B">
        <w:t xml:space="preserve">Compte tenu des </w:t>
      </w:r>
      <w:r w:rsidR="00873A3F" w:rsidRPr="00DE363B">
        <w:t xml:space="preserve">précédentes </w:t>
      </w:r>
      <w:r w:rsidRPr="00DE363B">
        <w:t>observations finales (par. 13), indiquer</w:t>
      </w:r>
      <w:r>
        <w:t xml:space="preserve"> les mesures prises pour mettre fin à la pratique des mutilations génitales féminines, notamment, </w:t>
      </w:r>
      <w:r w:rsidR="00D640F8">
        <w:t xml:space="preserve">et </w:t>
      </w:r>
      <w:r>
        <w:t>les programmes de sensibilisation mis en place depuis 2011 au sein des communautés où cette pratique est répandue. Indiquer également s’il existe des statistiques sur le recours à l’avortement clandestin et sur les conséquences qui en résultent pour la vie et la santé des femmes.</w:t>
      </w:r>
    </w:p>
    <w:p w14:paraId="03D6AF84" w14:textId="21F497D1" w:rsidR="00E54419" w:rsidRPr="00FA2994" w:rsidRDefault="00E54419" w:rsidP="00D640F8">
      <w:pPr>
        <w:pStyle w:val="H23G"/>
        <w:rPr>
          <w:lang w:val="fr-FR"/>
        </w:rPr>
      </w:pPr>
      <w:r>
        <w:rPr>
          <w:lang w:val="fr-FR"/>
        </w:rPr>
        <w:tab/>
      </w:r>
      <w:r>
        <w:rPr>
          <w:lang w:val="fr-FR"/>
        </w:rPr>
        <w:tab/>
      </w:r>
      <w:r w:rsidRPr="00105CAB">
        <w:rPr>
          <w:lang w:val="fr-FR"/>
        </w:rPr>
        <w:t>Droit à la vie</w:t>
      </w:r>
      <w:r>
        <w:rPr>
          <w:lang w:val="fr-FR"/>
        </w:rPr>
        <w:t xml:space="preserve"> et</w:t>
      </w:r>
      <w:r w:rsidRPr="00105CAB">
        <w:rPr>
          <w:lang w:val="fr-FR"/>
        </w:rPr>
        <w:t xml:space="preserve"> interdiction de la torture et des autres peines ou traitements cruels, inhumains ou dégradants (art. 2, 6</w:t>
      </w:r>
      <w:r w:rsidR="00D640F8">
        <w:rPr>
          <w:lang w:val="fr-FR"/>
        </w:rPr>
        <w:t xml:space="preserve"> et</w:t>
      </w:r>
      <w:r w:rsidRPr="00105CAB">
        <w:rPr>
          <w:lang w:val="fr-FR"/>
        </w:rPr>
        <w:t xml:space="preserve"> 7</w:t>
      </w:r>
      <w:r w:rsidRPr="00220F6D">
        <w:t>)</w:t>
      </w:r>
    </w:p>
    <w:p w14:paraId="5E1809C8" w14:textId="54ED1CD4" w:rsidR="00E54419" w:rsidRDefault="00E54419" w:rsidP="008C1B2A">
      <w:pPr>
        <w:pStyle w:val="SingleTxtG"/>
      </w:pPr>
      <w:r>
        <w:t>8.</w:t>
      </w:r>
      <w:r>
        <w:tab/>
        <w:t xml:space="preserve">À la lumière des </w:t>
      </w:r>
      <w:r w:rsidR="00873A3F">
        <w:t xml:space="preserve">précédentes </w:t>
      </w:r>
      <w:r>
        <w:t xml:space="preserve">observations finales </w:t>
      </w:r>
      <w:r w:rsidR="00873A3F">
        <w:t xml:space="preserve">du Comité </w:t>
      </w:r>
      <w:r w:rsidRPr="00DE363B">
        <w:t xml:space="preserve">(par. 11) et de l’introduction dans le nouveau Code pénal du crime de torture à son article 198, </w:t>
      </w:r>
      <w:r w:rsidR="00A871ED" w:rsidRPr="00DE363B">
        <w:t xml:space="preserve">expliquer </w:t>
      </w:r>
      <w:r w:rsidRPr="00DE363B">
        <w:t>si la définition de la torture retenue est conforme à l’article</w:t>
      </w:r>
      <w:r w:rsidR="00AE4026">
        <w:t> </w:t>
      </w:r>
      <w:r w:rsidRPr="00DE363B">
        <w:t xml:space="preserve">7 du Pacte et aux </w:t>
      </w:r>
      <w:r w:rsidR="00D640F8" w:rsidRPr="00DE363B">
        <w:t xml:space="preserve">normes </w:t>
      </w:r>
      <w:r w:rsidRPr="00DE363B">
        <w:t>internationa</w:t>
      </w:r>
      <w:r w:rsidR="00D640F8" w:rsidRPr="00DE363B">
        <w:t>les</w:t>
      </w:r>
      <w:r w:rsidRPr="00DE363B">
        <w:t xml:space="preserve">. Exposer les mesures spécifiques prises en réponse aux allégations de torture et </w:t>
      </w:r>
      <w:r w:rsidR="007C6B9D" w:rsidRPr="00DE363B">
        <w:t xml:space="preserve">de </w:t>
      </w:r>
      <w:r w:rsidRPr="00DE363B">
        <w:t xml:space="preserve">mauvais traitements </w:t>
      </w:r>
      <w:r w:rsidR="00D640F8" w:rsidRPr="00DE363B">
        <w:t xml:space="preserve">lors </w:t>
      </w:r>
      <w:r w:rsidRPr="00DE363B">
        <w:t>des arrestations et durant la détention</w:t>
      </w:r>
      <w:r>
        <w:t xml:space="preserve"> provisoire afin d’arracher des aveux, </w:t>
      </w:r>
      <w:r w:rsidRPr="009541A0">
        <w:t xml:space="preserve">ainsi que </w:t>
      </w:r>
      <w:r w:rsidR="00D640F8">
        <w:t xml:space="preserve">les mesures prises </w:t>
      </w:r>
      <w:r w:rsidRPr="009541A0">
        <w:t xml:space="preserve">pour poursuivre les auteurs </w:t>
      </w:r>
      <w:r>
        <w:t xml:space="preserve">de tels actes, </w:t>
      </w:r>
      <w:r w:rsidR="00D640F8">
        <w:t xml:space="preserve">commis </w:t>
      </w:r>
      <w:r>
        <w:t>notamment</w:t>
      </w:r>
      <w:r w:rsidR="00295179">
        <w:t> :</w:t>
      </w:r>
      <w:r>
        <w:t xml:space="preserve"> a)</w:t>
      </w:r>
      <w:r w:rsidR="008C1B2A">
        <w:t> </w:t>
      </w:r>
      <w:r>
        <w:t>lors des manifestations à Mango en novembre 2015; b)</w:t>
      </w:r>
      <w:r w:rsidR="008C1B2A">
        <w:t> </w:t>
      </w:r>
      <w:r>
        <w:t>lors des arrestations d’étudiants à Kara en avril 2012</w:t>
      </w:r>
      <w:r w:rsidR="00295179">
        <w:t> ;</w:t>
      </w:r>
      <w:r>
        <w:t xml:space="preserve"> c)</w:t>
      </w:r>
      <w:r w:rsidR="008C1B2A">
        <w:t> </w:t>
      </w:r>
      <w:r>
        <w:t xml:space="preserve">l’arrestation de Mohamed </w:t>
      </w:r>
      <w:proofErr w:type="spellStart"/>
      <w:r>
        <w:t>Loum</w:t>
      </w:r>
      <w:proofErr w:type="spellEnd"/>
      <w:r>
        <w:t xml:space="preserve"> en janvier 2013, à la suite des incendies qui ont détruit des marchés à Lomé et à Kara. I</w:t>
      </w:r>
      <w:r w:rsidRPr="00ED3250">
        <w:t xml:space="preserve">ndiquer le nombre de plaintes enregistrées pour torture et mauvais traitements commis par des agents des forces de l’ordre ou par le personnel pénitentiaire </w:t>
      </w:r>
      <w:r>
        <w:t xml:space="preserve">durant la période considérée </w:t>
      </w:r>
      <w:r w:rsidRPr="00ED3250">
        <w:t xml:space="preserve">et fournir des renseignements sur les enquêtes et les poursuites diligentées, ainsi que sur les condamnations, les sanctions et les mesures </w:t>
      </w:r>
      <w:r w:rsidRPr="00FA2994">
        <w:t xml:space="preserve">d’indemnisation prononcées. </w:t>
      </w:r>
    </w:p>
    <w:p w14:paraId="5B3C2BA6" w14:textId="77ABFBFE" w:rsidR="00E54419" w:rsidRPr="00DE363B" w:rsidRDefault="00E54419" w:rsidP="00873A3F">
      <w:pPr>
        <w:pStyle w:val="SingleTxtG"/>
      </w:pPr>
      <w:r>
        <w:t>9.</w:t>
      </w:r>
      <w:r>
        <w:tab/>
      </w:r>
      <w:r w:rsidRPr="00FA2994">
        <w:t xml:space="preserve">À la lumière des </w:t>
      </w:r>
      <w:r w:rsidR="00873A3F">
        <w:t xml:space="preserve">précédentes </w:t>
      </w:r>
      <w:r w:rsidRPr="00FA2994">
        <w:t xml:space="preserve">observations finales </w:t>
      </w:r>
      <w:r w:rsidRPr="00DE363B">
        <w:t xml:space="preserve">du Comité (par. 15) et </w:t>
      </w:r>
      <w:r w:rsidR="007C6B9D" w:rsidRPr="00DE363B">
        <w:t xml:space="preserve">compte tenu </w:t>
      </w:r>
      <w:r w:rsidRPr="00DE363B">
        <w:t xml:space="preserve">des renseignements communiqués par l’État partie sur la suite donnée aux observations finales, fournir des informations supplémentaires sur les mesures prises pour donner effet au décret </w:t>
      </w:r>
      <w:r w:rsidR="00D640F8" w:rsidRPr="00DE363B">
        <w:t>n</w:t>
      </w:r>
      <w:r w:rsidR="00D640F8" w:rsidRPr="00DE363B">
        <w:rPr>
          <w:vertAlign w:val="superscript"/>
        </w:rPr>
        <w:t>o</w:t>
      </w:r>
      <w:r w:rsidR="00D640F8" w:rsidRPr="00DE363B">
        <w:t> </w:t>
      </w:r>
      <w:r w:rsidRPr="00DE363B">
        <w:t xml:space="preserve">2014/PR d’avril 2014 relatif au livre blanc sur la mise en œuvre des recommandations de la Commission vérité, justice et réconciliation. Fournir aussi des statistiques concernant le nombre de plaintes déposées par les familles de victimes des violences politiques qui ont émaillé l’élection présidentielle de 2005, le nombre d’enquêtes disciplinaires et pénales ouvertes, les résultats de ces enquêtes, les sanctions imposées aux auteurs de ces violences et les réparations obtenues par les victimes. </w:t>
      </w:r>
    </w:p>
    <w:p w14:paraId="2E637205" w14:textId="3C868C6B" w:rsidR="00E54419" w:rsidRDefault="00E54419" w:rsidP="00FB61CD">
      <w:pPr>
        <w:pStyle w:val="SingleTxtG"/>
        <w:rPr>
          <w:spacing w:val="3"/>
        </w:rPr>
      </w:pPr>
      <w:r w:rsidRPr="00DE363B">
        <w:t>10.</w:t>
      </w:r>
      <w:r w:rsidRPr="00DE363B">
        <w:tab/>
        <w:t xml:space="preserve">Eu égard aux recommandations précédentes (par. 16) et </w:t>
      </w:r>
      <w:r w:rsidR="00D640F8" w:rsidRPr="00DE363B">
        <w:t xml:space="preserve">aux </w:t>
      </w:r>
      <w:r w:rsidRPr="00DE363B">
        <w:t xml:space="preserve">renseignements communiqués par l’État partie sur la suite donnée aux observations finales, donner des renseignements supplémentaires sur les mesures prises pour donner effet aux recommandations </w:t>
      </w:r>
      <w:r w:rsidR="00D640F8" w:rsidRPr="00DE363B">
        <w:t xml:space="preserve">formulées par </w:t>
      </w:r>
      <w:r w:rsidRPr="00DE363B">
        <w:t xml:space="preserve">la CNDH </w:t>
      </w:r>
      <w:r w:rsidR="00D640F8" w:rsidRPr="00DE363B">
        <w:t xml:space="preserve">en </w:t>
      </w:r>
      <w:r w:rsidRPr="00DE363B">
        <w:t xml:space="preserve">2012 à la suite de son enquête sur les allégations de torture et de mauvais traitements dans les locaux de l’Agence nationale de </w:t>
      </w:r>
      <w:r w:rsidR="00D640F8" w:rsidRPr="00DE363B">
        <w:t>r</w:t>
      </w:r>
      <w:r w:rsidRPr="00DE363B">
        <w:t>enseignement, notamment dans le cadre de l’affaire « </w:t>
      </w:r>
      <w:proofErr w:type="spellStart"/>
      <w:r w:rsidRPr="00DE363B">
        <w:t>Kpatcha</w:t>
      </w:r>
      <w:proofErr w:type="spellEnd"/>
      <w:r w:rsidRPr="00DE363B">
        <w:t xml:space="preserve"> Gnassingbé et</w:t>
      </w:r>
      <w:r>
        <w:t xml:space="preserve"> co-accusés ». </w:t>
      </w:r>
      <w:r w:rsidRPr="009541A0">
        <w:t xml:space="preserve">Réagir en outre aux allégations </w:t>
      </w:r>
      <w:r>
        <w:t>de falsification du rapport de la CNDH par des membres du Gouvernement ainsi qu</w:t>
      </w:r>
      <w:r w:rsidR="001A4AEA">
        <w:t>’</w:t>
      </w:r>
      <w:r>
        <w:t xml:space="preserve">aux allégations de menaces au Président de la CNDH et expliquer si des enquêtes ont été ouvertes pour faire la lumière </w:t>
      </w:r>
      <w:r w:rsidR="00FB61CD">
        <w:t>sur c</w:t>
      </w:r>
      <w:r>
        <w:t>es allégations. Indiquer aussi les réformes précises en</w:t>
      </w:r>
      <w:r w:rsidR="00FB61CD">
        <w:t>g</w:t>
      </w:r>
      <w:r>
        <w:t>a</w:t>
      </w:r>
      <w:r w:rsidR="00FB61CD">
        <w:t>g</w:t>
      </w:r>
      <w:r>
        <w:t>ées par l’</w:t>
      </w:r>
      <w:r w:rsidR="00CD3E72">
        <w:t>État</w:t>
      </w:r>
      <w:r>
        <w:t xml:space="preserve"> partie </w:t>
      </w:r>
      <w:r w:rsidR="00FB61CD">
        <w:t xml:space="preserve">concernant </w:t>
      </w:r>
      <w:r>
        <w:t>l’</w:t>
      </w:r>
      <w:r w:rsidR="00D640F8">
        <w:t xml:space="preserve">Agence nationale de </w:t>
      </w:r>
      <w:r w:rsidR="00D640F8">
        <w:lastRenderedPageBreak/>
        <w:t xml:space="preserve">renseignement </w:t>
      </w:r>
      <w:r>
        <w:t xml:space="preserve">et l’état actuel de mise en œuvre de l’arrêt de </w:t>
      </w:r>
      <w:r w:rsidRPr="00DE363B">
        <w:t xml:space="preserve">la Cour de </w:t>
      </w:r>
      <w:r w:rsidR="00FB61CD" w:rsidRPr="00DE363B">
        <w:t>j</w:t>
      </w:r>
      <w:r w:rsidRPr="00DE363B">
        <w:t xml:space="preserve">ustice de la Communauté </w:t>
      </w:r>
      <w:r w:rsidR="00FB61CD" w:rsidRPr="00DE363B">
        <w:t xml:space="preserve">économique </w:t>
      </w:r>
      <w:r w:rsidRPr="00DE363B">
        <w:t xml:space="preserve">des </w:t>
      </w:r>
      <w:r w:rsidR="00CD3E72" w:rsidRPr="00DE363B">
        <w:t>État</w:t>
      </w:r>
      <w:r w:rsidRPr="00DE363B">
        <w:t>s de l’Afrique de l’Ouest dans l’affaire « </w:t>
      </w:r>
      <w:proofErr w:type="spellStart"/>
      <w:r w:rsidRPr="00DE363B">
        <w:t>Kpatcha</w:t>
      </w:r>
      <w:proofErr w:type="spellEnd"/>
      <w:r w:rsidRPr="00DE363B">
        <w:t xml:space="preserve"> Gnassingbé et co-accusés », notamment en ce qui concerne l’état actuel des indemnisations versées, et la libération des codétenus, comme demandé par le Groupe de travail des Nations </w:t>
      </w:r>
      <w:r w:rsidR="00FB61CD" w:rsidRPr="00DE363B">
        <w:t>U</w:t>
      </w:r>
      <w:r w:rsidRPr="00DE363B">
        <w:t>nies sur la détention arbitraire. D</w:t>
      </w:r>
      <w:r w:rsidRPr="00DE363B">
        <w:rPr>
          <w:spacing w:val="3"/>
        </w:rPr>
        <w:t>écrire</w:t>
      </w:r>
      <w:r>
        <w:rPr>
          <w:spacing w:val="3"/>
        </w:rPr>
        <w:t xml:space="preserve"> les mesures prises pour ouvrir une enquête pénale, indépendamment des procédures disciplinaires,</w:t>
      </w:r>
      <w:r w:rsidRPr="00AD19C7">
        <w:rPr>
          <w:spacing w:val="3"/>
        </w:rPr>
        <w:t xml:space="preserve"> sur</w:t>
      </w:r>
      <w:r>
        <w:rPr>
          <w:spacing w:val="3"/>
        </w:rPr>
        <w:t xml:space="preserve"> les tortures subies par les sept victimes concernées, ainsi que par d’autres victimes mentionnées dans le rapport de la CNDH.</w:t>
      </w:r>
    </w:p>
    <w:p w14:paraId="381A072E" w14:textId="716EAF78" w:rsidR="00E54419" w:rsidRDefault="00E54419" w:rsidP="008C1B2A">
      <w:pPr>
        <w:pStyle w:val="SingleTxtG"/>
      </w:pPr>
      <w:r>
        <w:rPr>
          <w:spacing w:val="3"/>
        </w:rPr>
        <w:t>11.</w:t>
      </w:r>
      <w:r>
        <w:rPr>
          <w:spacing w:val="3"/>
        </w:rPr>
        <w:tab/>
      </w:r>
      <w:r w:rsidRPr="00994C28">
        <w:t>Répondre aux allégations selon lesquelles</w:t>
      </w:r>
      <w:r>
        <w:rPr>
          <w:spacing w:val="3"/>
        </w:rPr>
        <w:t xml:space="preserve"> le phénomène de la vindicte populaire sur des personnes soupçonnées d’avoir commis des actes délictueux est répandu dans l’</w:t>
      </w:r>
      <w:r w:rsidR="00CD3E72">
        <w:rPr>
          <w:spacing w:val="3"/>
        </w:rPr>
        <w:t>État</w:t>
      </w:r>
      <w:r>
        <w:rPr>
          <w:spacing w:val="3"/>
        </w:rPr>
        <w:t xml:space="preserve"> partie. </w:t>
      </w:r>
      <w:r w:rsidRPr="009541A0">
        <w:t xml:space="preserve">Fournir des renseignements </w:t>
      </w:r>
      <w:r>
        <w:t>notamment</w:t>
      </w:r>
      <w:r w:rsidRPr="009541A0">
        <w:t xml:space="preserve"> sur les </w:t>
      </w:r>
      <w:r>
        <w:t xml:space="preserve">cas de vindicte populaire </w:t>
      </w:r>
      <w:r w:rsidR="00295179">
        <w:t>recensés :</w:t>
      </w:r>
      <w:r>
        <w:t xml:space="preserve"> a)</w:t>
      </w:r>
      <w:r w:rsidR="008C1B2A">
        <w:t> </w:t>
      </w:r>
      <w:r>
        <w:t xml:space="preserve">à </w:t>
      </w:r>
      <w:proofErr w:type="spellStart"/>
      <w:r>
        <w:t>Nukafu</w:t>
      </w:r>
      <w:proofErr w:type="spellEnd"/>
      <w:r w:rsidR="00830A40">
        <w:t>,</w:t>
      </w:r>
      <w:r>
        <w:t xml:space="preserve"> le 4 novembre 2015, où un voleur </w:t>
      </w:r>
      <w:r w:rsidR="000F259C">
        <w:t xml:space="preserve">présumé </w:t>
      </w:r>
      <w:r>
        <w:t>a été br</w:t>
      </w:r>
      <w:r w:rsidR="000F259C">
        <w:t>û</w:t>
      </w:r>
      <w:r>
        <w:t>lé par la foule</w:t>
      </w:r>
      <w:r w:rsidR="00295179">
        <w:t> ;</w:t>
      </w:r>
      <w:r>
        <w:t xml:space="preserve"> b)</w:t>
      </w:r>
      <w:r w:rsidR="008C1B2A">
        <w:t> </w:t>
      </w:r>
      <w:r>
        <w:t xml:space="preserve">à Lomé, </w:t>
      </w:r>
      <w:r w:rsidRPr="00DB64F9">
        <w:t xml:space="preserve">où deux personnes accusées </w:t>
      </w:r>
      <w:r w:rsidR="000F259C" w:rsidRPr="00DB64F9">
        <w:t xml:space="preserve">de vol </w:t>
      </w:r>
      <w:r w:rsidRPr="00DB64F9">
        <w:t>ont été lynché</w:t>
      </w:r>
      <w:r w:rsidR="000F259C" w:rsidRPr="00DB64F9">
        <w:t>e</w:t>
      </w:r>
      <w:r w:rsidRPr="00DB64F9">
        <w:t>s par un groupe de jeunes</w:t>
      </w:r>
      <w:r w:rsidR="000F259C" w:rsidRPr="00DB64F9">
        <w:t xml:space="preserve"> </w:t>
      </w:r>
      <w:r w:rsidRPr="00DB64F9">
        <w:t>l</w:t>
      </w:r>
      <w:r w:rsidR="000F259C" w:rsidRPr="00DB64F9">
        <w:t>e</w:t>
      </w:r>
      <w:r w:rsidRPr="00EF1302">
        <w:t xml:space="preserve"> même </w:t>
      </w:r>
      <w:r w:rsidR="000F259C" w:rsidRPr="00765929">
        <w:t>jour</w:t>
      </w:r>
      <w:r w:rsidR="00295179" w:rsidRPr="00DB64F9">
        <w:t> ;</w:t>
      </w:r>
      <w:r w:rsidRPr="00DB64F9">
        <w:t xml:space="preserve"> c)</w:t>
      </w:r>
      <w:r w:rsidR="008C1B2A">
        <w:t> </w:t>
      </w:r>
      <w:r w:rsidRPr="00DB64F9">
        <w:t xml:space="preserve">à </w:t>
      </w:r>
      <w:proofErr w:type="spellStart"/>
      <w:r w:rsidRPr="00DB64F9">
        <w:t>Djidjolé</w:t>
      </w:r>
      <w:proofErr w:type="spellEnd"/>
      <w:r w:rsidRPr="00DB64F9">
        <w:t xml:space="preserve">, </w:t>
      </w:r>
      <w:r w:rsidR="00DB64F9" w:rsidRPr="00DB64F9">
        <w:t xml:space="preserve">le 5 novembre 2015, </w:t>
      </w:r>
      <w:r w:rsidRPr="00DB64F9">
        <w:t xml:space="preserve">où un autre voleur </w:t>
      </w:r>
      <w:r w:rsidR="000F259C" w:rsidRPr="00DB64F9">
        <w:t xml:space="preserve">présumé </w:t>
      </w:r>
      <w:r w:rsidRPr="00DB64F9">
        <w:t>a été</w:t>
      </w:r>
      <w:r>
        <w:t xml:space="preserve"> br</w:t>
      </w:r>
      <w:r w:rsidR="000F259C">
        <w:t>û</w:t>
      </w:r>
      <w:r>
        <w:t xml:space="preserve">lé par la foule. Indiquer </w:t>
      </w:r>
      <w:r w:rsidRPr="009541A0">
        <w:t xml:space="preserve">les mesures prises pour poursuivre les auteurs </w:t>
      </w:r>
      <w:r>
        <w:t>de ces actes ainsi que d’autres actes de vindicte populaire recensés depuis 2011, le nombre de poursuites et de condamnations</w:t>
      </w:r>
      <w:r w:rsidR="000F259C">
        <w:t>,</w:t>
      </w:r>
      <w:r>
        <w:t xml:space="preserve"> et les sanctions prononcées. Indiquer aussi les mesures prises ou envisagées pour</w:t>
      </w:r>
      <w:r w:rsidRPr="009541A0">
        <w:t xml:space="preserve"> </w:t>
      </w:r>
      <w:r>
        <w:t xml:space="preserve">lutter contre ce phénomène. </w:t>
      </w:r>
    </w:p>
    <w:p w14:paraId="59922FA0" w14:textId="3E4E84E8" w:rsidR="00E54419" w:rsidRPr="00077B7B" w:rsidRDefault="00E54419" w:rsidP="00E54419">
      <w:pPr>
        <w:pStyle w:val="H23G"/>
      </w:pPr>
      <w:r>
        <w:rPr>
          <w:lang w:val="fr-FR"/>
        </w:rPr>
        <w:tab/>
      </w:r>
      <w:r>
        <w:rPr>
          <w:lang w:val="fr-FR"/>
        </w:rPr>
        <w:tab/>
        <w:t xml:space="preserve">Droit </w:t>
      </w:r>
      <w:r w:rsidRPr="009541A0">
        <w:t xml:space="preserve">à la liberté et à la sécurité de la personne </w:t>
      </w:r>
      <w:r w:rsidRPr="00077B7B">
        <w:rPr>
          <w:lang w:val="fr-FR"/>
        </w:rPr>
        <w:t xml:space="preserve">et traitement des prisonniers </w:t>
      </w:r>
      <w:r w:rsidR="00232716">
        <w:rPr>
          <w:lang w:val="fr-FR"/>
        </w:rPr>
        <w:br/>
      </w:r>
      <w:r w:rsidRPr="00077B7B">
        <w:rPr>
          <w:lang w:val="fr-FR"/>
        </w:rPr>
        <w:t>(art.</w:t>
      </w:r>
      <w:r w:rsidR="00232716">
        <w:rPr>
          <w:lang w:val="fr-FR"/>
        </w:rPr>
        <w:t> </w:t>
      </w:r>
      <w:r w:rsidRPr="00077B7B">
        <w:rPr>
          <w:lang w:val="fr-FR"/>
        </w:rPr>
        <w:t>7, 9</w:t>
      </w:r>
      <w:r w:rsidR="001A4AEA">
        <w:rPr>
          <w:lang w:val="fr-FR"/>
        </w:rPr>
        <w:t>,</w:t>
      </w:r>
      <w:r>
        <w:rPr>
          <w:lang w:val="fr-FR"/>
        </w:rPr>
        <w:t xml:space="preserve"> </w:t>
      </w:r>
      <w:r w:rsidRPr="00077B7B">
        <w:rPr>
          <w:lang w:val="fr-FR"/>
        </w:rPr>
        <w:t>10</w:t>
      </w:r>
      <w:r w:rsidR="001A4AEA">
        <w:rPr>
          <w:lang w:val="fr-FR"/>
        </w:rPr>
        <w:t xml:space="preserve"> et 11</w:t>
      </w:r>
      <w:r w:rsidRPr="00077B7B">
        <w:rPr>
          <w:lang w:val="fr-FR"/>
        </w:rPr>
        <w:t>)</w:t>
      </w:r>
    </w:p>
    <w:p w14:paraId="5839E4A4" w14:textId="0E5DFE5A" w:rsidR="00E54419" w:rsidRDefault="00E54419" w:rsidP="00873A3F">
      <w:pPr>
        <w:pStyle w:val="SingleTxtG"/>
      </w:pPr>
      <w:r>
        <w:t>12.</w:t>
      </w:r>
      <w:r>
        <w:tab/>
      </w:r>
      <w:r w:rsidRPr="00FA2994">
        <w:t xml:space="preserve">À la lumière des </w:t>
      </w:r>
      <w:r w:rsidR="00873A3F">
        <w:t xml:space="preserve">précédentes </w:t>
      </w:r>
      <w:r w:rsidRPr="00FA2994">
        <w:t xml:space="preserve">observations finales du </w:t>
      </w:r>
      <w:r w:rsidRPr="00DE363B">
        <w:t>Comité (par. 17),</w:t>
      </w:r>
      <w:r>
        <w:t xml:space="preserve"> c</w:t>
      </w:r>
      <w:r w:rsidRPr="00C15826">
        <w:t>ommenter l</w:t>
      </w:r>
      <w:r>
        <w:t xml:space="preserve">es informations faisant état d’arrestations et de détentions arbitraires, </w:t>
      </w:r>
      <w:r w:rsidR="000F259C">
        <w:t xml:space="preserve">et du </w:t>
      </w:r>
      <w:r>
        <w:t>dépassement des délais de garde à vue. Préciser les mesures mises en œuvre pour assurer en pratique le respect des délais légaux de garde à vue, mettre fin à toute détention arbitraire et indemniser toute personne détenue arbitrairement. P</w:t>
      </w:r>
      <w:r w:rsidRPr="004E5634">
        <w:t>réciser si la législation de l’</w:t>
      </w:r>
      <w:r w:rsidR="00CD3E72">
        <w:t>État</w:t>
      </w:r>
      <w:r w:rsidRPr="004E5634">
        <w:t xml:space="preserve"> partie ainsi que sa pratique permettent à tout individu arrêté ou en détention d’introduire un recours devant un tribunal afin que celui-ci statue sans délai sur la légalité de sa détention et ordonne sa libération si la détention est illégale, conformément à l’article</w:t>
      </w:r>
      <w:r w:rsidR="00AE4026">
        <w:t> </w:t>
      </w:r>
      <w:r w:rsidRPr="004E5634">
        <w:t>9 du Pacte.</w:t>
      </w:r>
      <w:r w:rsidR="00295179">
        <w:t xml:space="preserve"> </w:t>
      </w:r>
      <w:r>
        <w:t>Préciser aussi si l’</w:t>
      </w:r>
      <w:r w:rsidR="00CD3E72">
        <w:t>État</w:t>
      </w:r>
      <w:r>
        <w:t xml:space="preserve"> partie envisage d’abroger l’ordonnance de 2001 relative au recouvrement des créances des institutions financières, autorisant des détentions pour dette. </w:t>
      </w:r>
    </w:p>
    <w:p w14:paraId="40054769" w14:textId="06DDE995" w:rsidR="00E54419" w:rsidRDefault="00E54419" w:rsidP="000F259C">
      <w:pPr>
        <w:pStyle w:val="SingleTxtG"/>
      </w:pPr>
      <w:r>
        <w:t>13.</w:t>
      </w:r>
      <w:r>
        <w:tab/>
        <w:t xml:space="preserve">Eu égard aux recommandations </w:t>
      </w:r>
      <w:r w:rsidRPr="00DE363B">
        <w:t>précédentes (par. 18),</w:t>
      </w:r>
      <w:r>
        <w:t xml:space="preserve"> donner des statistiques ventilées par sexe, groupe d’âge et origine ethnique ou nationalité, relati</w:t>
      </w:r>
      <w:r w:rsidR="000F259C">
        <w:t>ve</w:t>
      </w:r>
      <w:r>
        <w:t>s au nombre de personnes en détention, y compris de prévenus</w:t>
      </w:r>
      <w:r w:rsidR="00C416FF">
        <w:t>,</w:t>
      </w:r>
      <w:r w:rsidR="000F259C">
        <w:t xml:space="preserve"> </w:t>
      </w:r>
      <w:r w:rsidR="000F706F">
        <w:t xml:space="preserve">ainsi que la capacité d’accueil totale des lieux de détention. </w:t>
      </w:r>
      <w:r>
        <w:t>Décrire les mesures prises pour faire de la détention provisoire une mesure exceptionnelle et favoriser l’application des mesures de substitution. Donner aussi des informations sur les mesures prises ou envisagées pour veiller à la séparation effective des prévenus et des condamnés</w:t>
      </w:r>
      <w:r w:rsidR="00540A8E">
        <w:t xml:space="preserve">, </w:t>
      </w:r>
      <w:r w:rsidR="00E221BB">
        <w:t>des détenus mineurs et d</w:t>
      </w:r>
      <w:r w:rsidR="000F259C">
        <w:t xml:space="preserve">es </w:t>
      </w:r>
      <w:r w:rsidR="00E221BB">
        <w:t>adultes</w:t>
      </w:r>
      <w:r w:rsidR="000F259C">
        <w:t>,</w:t>
      </w:r>
      <w:r w:rsidR="00540A8E">
        <w:t xml:space="preserve"> ainsi que des femmes et des hommes dans les postes de police et de gendarmerie</w:t>
      </w:r>
      <w:r w:rsidR="00AE4026">
        <w:t>.</w:t>
      </w:r>
    </w:p>
    <w:p w14:paraId="25916D33" w14:textId="3B8CF7F2" w:rsidR="003D59C9" w:rsidRDefault="00E54419" w:rsidP="003D59C9">
      <w:pPr>
        <w:pStyle w:val="SingleTxtG"/>
        <w:rPr>
          <w:lang w:val="fr-FR"/>
        </w:rPr>
      </w:pPr>
      <w:r>
        <w:t>14.</w:t>
      </w:r>
      <w:r>
        <w:tab/>
      </w:r>
      <w:r w:rsidR="00BA35B3">
        <w:t>E</w:t>
      </w:r>
      <w:r>
        <w:t xml:space="preserve">xpliquer les mesures prises pour améliorer les conditions de </w:t>
      </w:r>
      <w:r w:rsidRPr="000C746D">
        <w:t xml:space="preserve">détention dans les prisons, en particulier </w:t>
      </w:r>
      <w:r>
        <w:t>celles visant à éliminer</w:t>
      </w:r>
      <w:r w:rsidRPr="000C746D">
        <w:t xml:space="preserve"> la surpopulation carcérale, </w:t>
      </w:r>
      <w:r w:rsidRPr="000C746D">
        <w:rPr>
          <w:lang w:val="fr-FR"/>
        </w:rPr>
        <w:t xml:space="preserve">à améliorer </w:t>
      </w:r>
      <w:r>
        <w:rPr>
          <w:lang w:val="fr-FR"/>
        </w:rPr>
        <w:t xml:space="preserve">l’alimentation, les conditions sanitaires, </w:t>
      </w:r>
      <w:r w:rsidRPr="000C746D">
        <w:rPr>
          <w:lang w:val="fr-FR"/>
        </w:rPr>
        <w:t>à faciliter l’accès</w:t>
      </w:r>
      <w:r>
        <w:rPr>
          <w:lang w:val="fr-FR"/>
        </w:rPr>
        <w:t xml:space="preserve"> aux </w:t>
      </w:r>
      <w:r w:rsidRPr="000C746D">
        <w:rPr>
          <w:lang w:val="fr-FR"/>
        </w:rPr>
        <w:t xml:space="preserve">soins de </w:t>
      </w:r>
      <w:r w:rsidRPr="00E474B2">
        <w:rPr>
          <w:lang w:val="fr-FR"/>
        </w:rPr>
        <w:t>santé</w:t>
      </w:r>
      <w:r w:rsidRPr="000C746D">
        <w:rPr>
          <w:lang w:val="fr-FR"/>
        </w:rPr>
        <w:t xml:space="preserve"> </w:t>
      </w:r>
      <w:r w:rsidRPr="00E474B2">
        <w:rPr>
          <w:iCs/>
          <w:lang w:val="fr-FR"/>
        </w:rPr>
        <w:t xml:space="preserve">et </w:t>
      </w:r>
      <w:r w:rsidRPr="00E474B2">
        <w:rPr>
          <w:lang w:val="fr-FR"/>
        </w:rPr>
        <w:t>à renforce</w:t>
      </w:r>
      <w:r w:rsidRPr="000C746D">
        <w:rPr>
          <w:lang w:val="fr-FR"/>
        </w:rPr>
        <w:t xml:space="preserve">r la présence de personnel </w:t>
      </w:r>
      <w:r>
        <w:rPr>
          <w:lang w:val="fr-FR"/>
        </w:rPr>
        <w:t>médical.</w:t>
      </w:r>
      <w:r w:rsidRPr="000C746D">
        <w:t xml:space="preserve"> </w:t>
      </w:r>
      <w:r>
        <w:t>F</w:t>
      </w:r>
      <w:r w:rsidRPr="009541A0">
        <w:t xml:space="preserve">ournir </w:t>
      </w:r>
      <w:r>
        <w:t xml:space="preserve">aussi </w:t>
      </w:r>
      <w:r w:rsidRPr="009541A0">
        <w:t xml:space="preserve">des informations sur </w:t>
      </w:r>
      <w:r>
        <w:t xml:space="preserve">le nombre de </w:t>
      </w:r>
      <w:r w:rsidRPr="009541A0">
        <w:t xml:space="preserve">décès de détenus </w:t>
      </w:r>
      <w:r>
        <w:t xml:space="preserve">et </w:t>
      </w:r>
      <w:r w:rsidRPr="009541A0">
        <w:t xml:space="preserve">les mesures prises pour faire baisser significativement </w:t>
      </w:r>
      <w:r w:rsidR="00A26884">
        <w:t xml:space="preserve">le nombre de </w:t>
      </w:r>
      <w:r>
        <w:t xml:space="preserve">ces décès. Indiquer les mesures prises pour établir </w:t>
      </w:r>
      <w:r w:rsidR="00A26884">
        <w:t xml:space="preserve">des </w:t>
      </w:r>
      <w:r>
        <w:t>mécanismes efficaces permettant aux détenus de dénoncer les violations dont ils sont victimes, y compris leurs conditions de détention.</w:t>
      </w:r>
    </w:p>
    <w:p w14:paraId="57170023" w14:textId="06032C6C" w:rsidR="003D59C9" w:rsidRPr="003D59C9" w:rsidRDefault="00232716" w:rsidP="002F7200">
      <w:pPr>
        <w:pStyle w:val="H23G"/>
        <w:rPr>
          <w:lang w:val="fr-FR"/>
        </w:rPr>
      </w:pPr>
      <w:r>
        <w:rPr>
          <w:lang w:val="fr-FR"/>
        </w:rPr>
        <w:tab/>
      </w:r>
      <w:r>
        <w:rPr>
          <w:lang w:val="fr-FR"/>
        </w:rPr>
        <w:tab/>
      </w:r>
      <w:r w:rsidR="00E54419" w:rsidRPr="003D59C9">
        <w:rPr>
          <w:lang w:val="fr-FR"/>
        </w:rPr>
        <w:t>Interdiction de l’esclavage et de la servitude (art.</w:t>
      </w:r>
      <w:r w:rsidR="002F7200">
        <w:rPr>
          <w:lang w:val="fr-FR"/>
        </w:rPr>
        <w:t> </w:t>
      </w:r>
      <w:r w:rsidR="00E54419" w:rsidRPr="003D59C9">
        <w:rPr>
          <w:lang w:val="fr-FR"/>
        </w:rPr>
        <w:t>8)</w:t>
      </w:r>
    </w:p>
    <w:p w14:paraId="286D2AEA" w14:textId="4744C1CE" w:rsidR="003D59C9" w:rsidRPr="003D59C9" w:rsidRDefault="00E54419" w:rsidP="008C1B2A">
      <w:pPr>
        <w:pStyle w:val="SingleTxtG"/>
      </w:pPr>
      <w:r w:rsidRPr="003D59C9">
        <w:t>15.</w:t>
      </w:r>
      <w:r w:rsidRPr="003D59C9">
        <w:tab/>
      </w:r>
      <w:r w:rsidR="000D2456" w:rsidRPr="003D59C9">
        <w:t>Décrire les mesures prises pour</w:t>
      </w:r>
      <w:r w:rsidR="00295179">
        <w:t> :</w:t>
      </w:r>
      <w:r w:rsidR="000D2456" w:rsidRPr="003D59C9">
        <w:t xml:space="preserve"> a)</w:t>
      </w:r>
      <w:r w:rsidR="008C1B2A">
        <w:t> </w:t>
      </w:r>
      <w:r w:rsidR="000D2456" w:rsidRPr="003D59C9">
        <w:t xml:space="preserve">mettre fin au travail des enfants dans des secteurs tels que les carrières de pierre et de sable et l’agriculture, dont la culture du cacao, </w:t>
      </w:r>
      <w:r w:rsidR="00A26884">
        <w:t xml:space="preserve">du </w:t>
      </w:r>
      <w:r w:rsidR="000D2456" w:rsidRPr="003D59C9">
        <w:t xml:space="preserve">café et </w:t>
      </w:r>
      <w:r w:rsidR="00A26884">
        <w:t xml:space="preserve">du </w:t>
      </w:r>
      <w:r w:rsidR="000D2456" w:rsidRPr="003D59C9">
        <w:t xml:space="preserve">coton, et éliminer la servitude des enfants engagés comme domestiques, </w:t>
      </w:r>
      <w:r w:rsidR="000D2456" w:rsidRPr="003D59C9">
        <w:lastRenderedPageBreak/>
        <w:t xml:space="preserve">colporteurs, mendiants ou dans la prostitution; b) combattre la traite transfrontière des enfants, </w:t>
      </w:r>
      <w:r w:rsidR="000D2456" w:rsidRPr="00DB64F9">
        <w:t>principalement d</w:t>
      </w:r>
      <w:r w:rsidR="00DB64F9" w:rsidRPr="00DB64F9">
        <w:t>u</w:t>
      </w:r>
      <w:r w:rsidR="000D2456" w:rsidRPr="00DB64F9">
        <w:t xml:space="preserve"> B</w:t>
      </w:r>
      <w:r w:rsidR="00A26884" w:rsidRPr="00DB64F9">
        <w:t>é</w:t>
      </w:r>
      <w:r w:rsidR="000D2456" w:rsidRPr="00DB64F9">
        <w:t xml:space="preserve">nin et </w:t>
      </w:r>
      <w:r w:rsidR="00DB64F9" w:rsidRPr="00DB64F9">
        <w:t xml:space="preserve">du </w:t>
      </w:r>
      <w:r w:rsidR="000D2456" w:rsidRPr="00DB64F9">
        <w:t>Ghana, des</w:t>
      </w:r>
      <w:r w:rsidR="000D2456" w:rsidRPr="003D59C9">
        <w:t xml:space="preserve"> femmes et des hommes à des fins de travail forcé</w:t>
      </w:r>
      <w:r w:rsidR="00295179">
        <w:t xml:space="preserve"> ; </w:t>
      </w:r>
      <w:r w:rsidR="005B5B45" w:rsidRPr="003D59C9">
        <w:t>c)</w:t>
      </w:r>
      <w:r w:rsidR="008C1B2A">
        <w:t> </w:t>
      </w:r>
      <w:r w:rsidR="005B5B45" w:rsidRPr="003D59C9">
        <w:t>adopter des mesures législatives interdisant le travail forcé et la prostitution forcée des adultes.</w:t>
      </w:r>
      <w:r w:rsidR="000D2456" w:rsidRPr="003D59C9">
        <w:t xml:space="preserve"> </w:t>
      </w:r>
      <w:r w:rsidRPr="003D59C9">
        <w:t>Fournir des données statistiques annuelles ventilées par sexe, groupe d’âge et pays d’origine, sur</w:t>
      </w:r>
      <w:r w:rsidR="00295179">
        <w:t> :</w:t>
      </w:r>
      <w:r w:rsidRPr="003D59C9">
        <w:t xml:space="preserve"> a)</w:t>
      </w:r>
      <w:r w:rsidR="008C1B2A">
        <w:t> </w:t>
      </w:r>
      <w:r w:rsidRPr="003D59C9">
        <w:t>les personnes victimes de la traite</w:t>
      </w:r>
      <w:r w:rsidR="00295179">
        <w:t> ;</w:t>
      </w:r>
      <w:r w:rsidRPr="003D59C9">
        <w:t xml:space="preserve"> b)</w:t>
      </w:r>
      <w:r w:rsidR="008C1B2A">
        <w:t> </w:t>
      </w:r>
      <w:r w:rsidRPr="003D59C9">
        <w:t>le nombre d’affaires de traite signalées</w:t>
      </w:r>
      <w:r w:rsidR="00295179">
        <w:t> ;</w:t>
      </w:r>
      <w:r w:rsidRPr="003D59C9">
        <w:t xml:space="preserve"> c)</w:t>
      </w:r>
      <w:r w:rsidR="008C1B2A">
        <w:t> </w:t>
      </w:r>
      <w:r w:rsidRPr="003D59C9">
        <w:t>les enquêtes et les poursuites engagées, les condamnations et les peines prononcées</w:t>
      </w:r>
      <w:r w:rsidR="00295179">
        <w:t> ;</w:t>
      </w:r>
      <w:r w:rsidRPr="003D59C9">
        <w:t xml:space="preserve"> et d)</w:t>
      </w:r>
      <w:r w:rsidR="008C1B2A">
        <w:t> </w:t>
      </w:r>
      <w:r w:rsidRPr="003D59C9">
        <w:t>l’offre de services d’aide aux victimes de la traite, notamment le taux d’occupation des foyers d’accueil et les services d’assistance juridique et de réinsertion. Donner aussi des renseignements sur la formation dispensée aux juges, aux procureurs, aux fonctionnaires de police et autres agents de l’État pour leur permettre de repérer les cas de traite, de façon à mener des enquêtes et à engager des poursuites. Fournir des renseignements sur les mesures prises pour accorder des permis de séjour aux victimes de la traite.</w:t>
      </w:r>
    </w:p>
    <w:p w14:paraId="7F141192" w14:textId="33CBE99B" w:rsidR="00E54419" w:rsidRPr="00631156" w:rsidRDefault="003D59C9" w:rsidP="00E54419">
      <w:pPr>
        <w:pStyle w:val="H23G"/>
        <w:rPr>
          <w:lang w:val="fr-FR"/>
        </w:rPr>
      </w:pPr>
      <w:r>
        <w:tab/>
      </w:r>
      <w:r w:rsidR="00E54419">
        <w:rPr>
          <w:lang w:val="fr-FR"/>
        </w:rPr>
        <w:tab/>
      </w:r>
      <w:r w:rsidR="00E54419" w:rsidRPr="00631156">
        <w:rPr>
          <w:lang w:val="fr-FR"/>
        </w:rPr>
        <w:t>Légalité de la détention et sécurité de la personne (art.</w:t>
      </w:r>
      <w:r w:rsidR="00232716">
        <w:rPr>
          <w:lang w:val="fr-FR"/>
        </w:rPr>
        <w:t> </w:t>
      </w:r>
      <w:r w:rsidR="00E54419" w:rsidRPr="00631156">
        <w:rPr>
          <w:lang w:val="fr-FR"/>
        </w:rPr>
        <w:t>2, 9</w:t>
      </w:r>
      <w:r w:rsidR="00E54419">
        <w:rPr>
          <w:lang w:val="fr-FR"/>
        </w:rPr>
        <w:t xml:space="preserve"> et</w:t>
      </w:r>
      <w:r w:rsidR="00E54419" w:rsidRPr="00631156">
        <w:rPr>
          <w:lang w:val="fr-FR"/>
        </w:rPr>
        <w:t xml:space="preserve"> 10)</w:t>
      </w:r>
    </w:p>
    <w:p w14:paraId="3FF30194" w14:textId="13F62418" w:rsidR="00E54419" w:rsidRPr="00DE363B" w:rsidRDefault="00E54419" w:rsidP="00A642AA">
      <w:pPr>
        <w:pStyle w:val="SingleTxtG"/>
      </w:pPr>
      <w:r>
        <w:t>16.</w:t>
      </w:r>
      <w:r>
        <w:tab/>
        <w:t xml:space="preserve">Compte tenu des recommandations </w:t>
      </w:r>
      <w:r w:rsidRPr="00DE363B">
        <w:t>précédentes (par. 19) et de l’adoption le 27</w:t>
      </w:r>
      <w:r w:rsidR="00A642AA" w:rsidRPr="00DE363B">
        <w:t> </w:t>
      </w:r>
      <w:r w:rsidRPr="00DE363B">
        <w:t>mai 2013 de la loi sur l’aide juridictionnelle, fournir des informations sur les mesures prises pour la mise en œuvre effective de cette loi, en la dotant de ressources financières nécessaires. Donner aussi des renseignements sur les mesures prises pour veiller à ce que la population ait connaissance de l’assistance juridique d’office, garantie par la loi du 10</w:t>
      </w:r>
      <w:r w:rsidR="00A26884" w:rsidRPr="00DE363B">
        <w:t> </w:t>
      </w:r>
      <w:r w:rsidRPr="00DE363B">
        <w:t>juillet 1991. Indiquer les mesures législatives prises ou envisagées pour garantir le droit d’être assisté d’un avocat dès qu</w:t>
      </w:r>
      <w:r w:rsidR="00830A40" w:rsidRPr="00DE363B">
        <w:t>’un</w:t>
      </w:r>
      <w:r w:rsidRPr="00DE363B">
        <w:t xml:space="preserve">e personne est privée de sa liberté. </w:t>
      </w:r>
    </w:p>
    <w:p w14:paraId="68906833" w14:textId="77777777" w:rsidR="00E54419" w:rsidRPr="00DE363B" w:rsidRDefault="00E54419" w:rsidP="00E54419">
      <w:pPr>
        <w:pStyle w:val="H23G"/>
        <w:rPr>
          <w:lang w:val="fr-FR"/>
        </w:rPr>
      </w:pPr>
      <w:r w:rsidRPr="00DE363B">
        <w:rPr>
          <w:lang w:val="fr-FR"/>
        </w:rPr>
        <w:tab/>
      </w:r>
      <w:r w:rsidRPr="00DE363B">
        <w:rPr>
          <w:lang w:val="fr-FR"/>
        </w:rPr>
        <w:tab/>
        <w:t xml:space="preserve">Droit à un procès équitable et </w:t>
      </w:r>
      <w:r w:rsidRPr="00DE363B">
        <w:t xml:space="preserve">indépendance </w:t>
      </w:r>
      <w:r w:rsidRPr="00DE363B">
        <w:rPr>
          <w:lang w:val="fr-FR"/>
        </w:rPr>
        <w:t>et impartialité de la justice (art. 14)</w:t>
      </w:r>
    </w:p>
    <w:p w14:paraId="06FA59C7" w14:textId="5C57A1ED" w:rsidR="00E54419" w:rsidRDefault="00E54419" w:rsidP="00A26884">
      <w:pPr>
        <w:pStyle w:val="SingleTxtG"/>
      </w:pPr>
      <w:r w:rsidRPr="00DE363B">
        <w:t>17.</w:t>
      </w:r>
      <w:r w:rsidRPr="00DE363B">
        <w:tab/>
        <w:t xml:space="preserve">Indiquer si la politique sectorielle nationale de la justice prévoit la révision de l’ordonnance </w:t>
      </w:r>
      <w:r w:rsidR="00A26884" w:rsidRPr="00DE363B">
        <w:t>n</w:t>
      </w:r>
      <w:r w:rsidR="00A26884" w:rsidRPr="00DE363B">
        <w:rPr>
          <w:vertAlign w:val="superscript"/>
        </w:rPr>
        <w:t>o</w:t>
      </w:r>
      <w:r w:rsidR="00A26884" w:rsidRPr="00DE363B">
        <w:t> </w:t>
      </w:r>
      <w:r w:rsidRPr="00DE363B">
        <w:t>78-35 portant organisation judiciaire</w:t>
      </w:r>
      <w:r>
        <w:t xml:space="preserve"> </w:t>
      </w:r>
      <w:r w:rsidRPr="00040FD9">
        <w:t>a</w:t>
      </w:r>
      <w:r>
        <w:t>f</w:t>
      </w:r>
      <w:r w:rsidRPr="00040FD9">
        <w:t>in de</w:t>
      </w:r>
      <w:r>
        <w:t xml:space="preserve"> </w:t>
      </w:r>
      <w:r w:rsidRPr="00040FD9">
        <w:t xml:space="preserve">garantir la séparation des fonctions </w:t>
      </w:r>
      <w:r w:rsidRPr="000C729D">
        <w:t>judiciaires</w:t>
      </w:r>
      <w:r w:rsidRPr="00040FD9">
        <w:t xml:space="preserve"> du Siège et du Parquet</w:t>
      </w:r>
      <w:r>
        <w:t xml:space="preserve"> dans toutes les juridictions. Indiquer aussi les mesures législatives prises afin que l</w:t>
      </w:r>
      <w:r w:rsidRPr="000C729D">
        <w:t xml:space="preserve">e principe du double degré de juridiction </w:t>
      </w:r>
      <w:r>
        <w:t>soit</w:t>
      </w:r>
      <w:r w:rsidRPr="000C729D">
        <w:t xml:space="preserve"> respecté dans les procédures à l’encontre des magistrats de l’ordre judiciaire, des</w:t>
      </w:r>
      <w:r>
        <w:t xml:space="preserve"> </w:t>
      </w:r>
      <w:r w:rsidRPr="000C729D">
        <w:t>officiers de police judiciaire, des préfets et sous-préfets, des maires et des chefs de canton</w:t>
      </w:r>
      <w:r>
        <w:t xml:space="preserve"> </w:t>
      </w:r>
      <w:r w:rsidRPr="000C729D">
        <w:t>et de village</w:t>
      </w:r>
      <w:r>
        <w:t xml:space="preserve">. Répondre aux allégations faisant état de l’ingérence de personnes influentes ou du Ministre de la </w:t>
      </w:r>
      <w:r w:rsidR="00A26884">
        <w:t>j</w:t>
      </w:r>
      <w:r>
        <w:t>ustice dans le cadre d’affaires judic</w:t>
      </w:r>
      <w:r w:rsidR="00830A40">
        <w:t>i</w:t>
      </w:r>
      <w:r>
        <w:t>aires dit</w:t>
      </w:r>
      <w:r w:rsidR="00830A40">
        <w:t>es</w:t>
      </w:r>
      <w:r>
        <w:t xml:space="preserve"> </w:t>
      </w:r>
      <w:r w:rsidR="00A26884">
        <w:t>« </w:t>
      </w:r>
      <w:r>
        <w:t>sensibles</w:t>
      </w:r>
      <w:r w:rsidR="00A26884">
        <w:t> »</w:t>
      </w:r>
      <w:r>
        <w:t xml:space="preserve">, ainsi que </w:t>
      </w:r>
      <w:r w:rsidRPr="009E64D4">
        <w:t>d’affectations ou</w:t>
      </w:r>
      <w:r>
        <w:t xml:space="preserve"> </w:t>
      </w:r>
      <w:r w:rsidRPr="009E64D4">
        <w:t>de</w:t>
      </w:r>
      <w:r>
        <w:t xml:space="preserve"> </w:t>
      </w:r>
      <w:r w:rsidRPr="009E64D4">
        <w:t>déplacements</w:t>
      </w:r>
      <w:r>
        <w:t xml:space="preserve"> de magistrats, </w:t>
      </w:r>
      <w:r w:rsidRPr="009E64D4">
        <w:t>dits de sanction, sans fondement</w:t>
      </w:r>
      <w:r>
        <w:t xml:space="preserve"> </w:t>
      </w:r>
      <w:r w:rsidRPr="009E64D4">
        <w:t>légal</w:t>
      </w:r>
      <w:r>
        <w:t xml:space="preserve">. Donner des informations sur les mesures prises ou envisagées </w:t>
      </w:r>
      <w:r w:rsidRPr="001B4846">
        <w:t>afin de garantir le principe d’accès concret et effectif à un tribunal</w:t>
      </w:r>
      <w:r w:rsidR="001A4AEA">
        <w:t>.</w:t>
      </w:r>
      <w:r w:rsidRPr="000C729D">
        <w:t xml:space="preserve"> </w:t>
      </w:r>
      <w:r>
        <w:t xml:space="preserve">Donner aussi des renseignements sur les mesures prises et les ressources humaines et financières allouées à </w:t>
      </w:r>
      <w:r w:rsidR="00830A40" w:rsidRPr="00650DEC">
        <w:t>l</w:t>
      </w:r>
      <w:r w:rsidR="00830A40">
        <w:t>’</w:t>
      </w:r>
      <w:r w:rsidR="00830A40" w:rsidRPr="00650DEC">
        <w:t xml:space="preserve">appareil </w:t>
      </w:r>
      <w:r w:rsidRPr="00650DEC">
        <w:t>judiciaire</w:t>
      </w:r>
      <w:r w:rsidR="00250D21">
        <w:t>.</w:t>
      </w:r>
      <w:r>
        <w:t xml:space="preserve"> F</w:t>
      </w:r>
      <w:r w:rsidRPr="000C4A38">
        <w:t xml:space="preserve">ournir des informations sur les mesures adoptées pour garantir l’indépendance </w:t>
      </w:r>
      <w:r>
        <w:t xml:space="preserve">du </w:t>
      </w:r>
      <w:r w:rsidRPr="00390857">
        <w:t xml:space="preserve">Conseil supérieur de la magistrature </w:t>
      </w:r>
      <w:r>
        <w:t>par rapport au pouvoir exécutif.</w:t>
      </w:r>
    </w:p>
    <w:p w14:paraId="4D52D453" w14:textId="28EBF085" w:rsidR="00E54419" w:rsidRPr="00BA17B0" w:rsidRDefault="00E54419" w:rsidP="00E54419">
      <w:pPr>
        <w:pStyle w:val="H23G"/>
        <w:rPr>
          <w:lang w:val="fr-FR"/>
        </w:rPr>
      </w:pPr>
      <w:r>
        <w:rPr>
          <w:lang w:val="fr-FR"/>
        </w:rPr>
        <w:tab/>
      </w:r>
      <w:r>
        <w:rPr>
          <w:lang w:val="fr-FR"/>
        </w:rPr>
        <w:tab/>
        <w:t xml:space="preserve">Réfugiés et demandeurs d’asile </w:t>
      </w:r>
      <w:r w:rsidRPr="00BA17B0">
        <w:rPr>
          <w:lang w:val="fr-FR"/>
        </w:rPr>
        <w:t>(art.</w:t>
      </w:r>
      <w:r w:rsidR="00232716">
        <w:rPr>
          <w:lang w:val="fr-FR"/>
        </w:rPr>
        <w:t> </w:t>
      </w:r>
      <w:r w:rsidRPr="00BA17B0">
        <w:rPr>
          <w:lang w:val="fr-FR"/>
        </w:rPr>
        <w:t xml:space="preserve">7, </w:t>
      </w:r>
      <w:r>
        <w:rPr>
          <w:lang w:val="fr-FR"/>
        </w:rPr>
        <w:t>12 à 14,</w:t>
      </w:r>
      <w:r w:rsidRPr="00BA17B0">
        <w:rPr>
          <w:lang w:val="fr-FR"/>
        </w:rPr>
        <w:t xml:space="preserve"> 24</w:t>
      </w:r>
      <w:r>
        <w:rPr>
          <w:lang w:val="fr-FR"/>
        </w:rPr>
        <w:t xml:space="preserve"> et 26</w:t>
      </w:r>
      <w:r w:rsidRPr="00BA17B0">
        <w:rPr>
          <w:lang w:val="fr-FR"/>
        </w:rPr>
        <w:t>)</w:t>
      </w:r>
    </w:p>
    <w:p w14:paraId="7DA8545B" w14:textId="2FEDC3D3" w:rsidR="00E54419" w:rsidRPr="00DE363B" w:rsidRDefault="00E54419" w:rsidP="00A26884">
      <w:pPr>
        <w:pStyle w:val="SingleTxtG"/>
      </w:pPr>
      <w:r>
        <w:t>18.</w:t>
      </w:r>
      <w:r>
        <w:tab/>
        <w:t xml:space="preserve">Compte tenu de l’adoption </w:t>
      </w:r>
      <w:r w:rsidRPr="00DE363B">
        <w:t>le 3</w:t>
      </w:r>
      <w:r w:rsidR="00AE4026">
        <w:t> </w:t>
      </w:r>
      <w:r w:rsidRPr="00DE363B">
        <w:t xml:space="preserve">mars 2016 de la nouvelle loi portant statut de réfugié, donner des informations sur le calendrier pour la mise en œuvre effective de cette loi ainsi que pour l’établissement de la commission de recours </w:t>
      </w:r>
      <w:r w:rsidR="00A26884" w:rsidRPr="00DE363B">
        <w:t>qu’elle prévoit</w:t>
      </w:r>
      <w:r w:rsidRPr="00DE363B">
        <w:t>. Indiquer aussi les mesures prises pour éviter toute discrimination à l’égard des réfugiés dans l’application du Code de la nationalité togolaise.</w:t>
      </w:r>
    </w:p>
    <w:p w14:paraId="3DB92FF4" w14:textId="77777777" w:rsidR="00E54419" w:rsidRPr="00DE363B" w:rsidRDefault="00E54419" w:rsidP="00E54419">
      <w:pPr>
        <w:pStyle w:val="H23G"/>
        <w:rPr>
          <w:lang w:val="fr-FR"/>
        </w:rPr>
      </w:pPr>
      <w:r w:rsidRPr="00DE363B">
        <w:rPr>
          <w:lang w:val="fr-FR"/>
        </w:rPr>
        <w:tab/>
      </w:r>
      <w:r w:rsidRPr="00DE363B">
        <w:rPr>
          <w:lang w:val="fr-FR"/>
        </w:rPr>
        <w:tab/>
        <w:t>Liberté de religion et d’association (art. 18 et 22)</w:t>
      </w:r>
    </w:p>
    <w:p w14:paraId="04717817" w14:textId="5E1C9451" w:rsidR="00E54419" w:rsidRPr="004E5634" w:rsidRDefault="00E54419" w:rsidP="002F7200">
      <w:pPr>
        <w:pStyle w:val="SingleTxtG"/>
      </w:pPr>
      <w:r w:rsidRPr="00DE363B">
        <w:t>19.</w:t>
      </w:r>
      <w:r w:rsidRPr="00DE363B">
        <w:tab/>
        <w:t>Donner des précisions sur le contenu du projet de loi relatif à la liberté d’association, adopté le 7</w:t>
      </w:r>
      <w:r w:rsidR="00AE4026">
        <w:t> </w:t>
      </w:r>
      <w:r w:rsidRPr="00DE363B">
        <w:t>avril 2016 en Co</w:t>
      </w:r>
      <w:r>
        <w:t>nseil des Ministres, et expliquer sa compatibilité avec l’article</w:t>
      </w:r>
      <w:r w:rsidR="00A26884">
        <w:t> </w:t>
      </w:r>
      <w:r>
        <w:t>22 du Pacte</w:t>
      </w:r>
      <w:r w:rsidRPr="00FD5C92">
        <w:t xml:space="preserve">. </w:t>
      </w:r>
      <w:r>
        <w:t>Indiquer</w:t>
      </w:r>
      <w:r w:rsidRPr="004E5634">
        <w:t xml:space="preserve"> le nombre d’organismes à caractère religieux qui ont fait une demande d’enregistrement auprès du Ministère de l’intérieur au cours des cinq dernières </w:t>
      </w:r>
      <w:r w:rsidRPr="004E5634">
        <w:lastRenderedPageBreak/>
        <w:t xml:space="preserve">années. </w:t>
      </w:r>
      <w:r w:rsidR="00A26884">
        <w:t>Indiquer d</w:t>
      </w:r>
      <w:r w:rsidRPr="004E5634">
        <w:t>ans combien de cas l’enregistrement a</w:t>
      </w:r>
      <w:r w:rsidR="00A26884">
        <w:t xml:space="preserve"> </w:t>
      </w:r>
      <w:r w:rsidRPr="004E5634">
        <w:t xml:space="preserve">été refusé et </w:t>
      </w:r>
      <w:r w:rsidR="00A26884">
        <w:t xml:space="preserve">préciser </w:t>
      </w:r>
      <w:r w:rsidRPr="004E5634">
        <w:t>pour quels motifs</w:t>
      </w:r>
      <w:r w:rsidR="00A26884">
        <w:t>.</w:t>
      </w:r>
    </w:p>
    <w:p w14:paraId="1018B2AC" w14:textId="77777777" w:rsidR="00E54419" w:rsidRPr="00AF3145" w:rsidRDefault="00E54419" w:rsidP="00E54419">
      <w:pPr>
        <w:pStyle w:val="H23G"/>
        <w:rPr>
          <w:lang w:val="fr-FR"/>
        </w:rPr>
      </w:pPr>
      <w:r w:rsidRPr="00AF3145">
        <w:rPr>
          <w:lang w:val="fr-FR"/>
        </w:rPr>
        <w:tab/>
      </w:r>
      <w:r w:rsidRPr="00AF3145">
        <w:rPr>
          <w:lang w:val="fr-FR"/>
        </w:rPr>
        <w:tab/>
      </w:r>
      <w:r w:rsidRPr="00220F6D">
        <w:t>Liberté d’expres</w:t>
      </w:r>
      <w:r>
        <w:t xml:space="preserve">sion et </w:t>
      </w:r>
      <w:r w:rsidRPr="00220F6D">
        <w:t>droit de réunion pacifique (art. 19</w:t>
      </w:r>
      <w:r>
        <w:t xml:space="preserve"> et</w:t>
      </w:r>
      <w:r w:rsidRPr="00220F6D">
        <w:t xml:space="preserve"> 21)</w:t>
      </w:r>
    </w:p>
    <w:p w14:paraId="1E8B1953" w14:textId="11F184F0" w:rsidR="00E54419" w:rsidRPr="000C4A38" w:rsidRDefault="00E54419" w:rsidP="002D2602">
      <w:pPr>
        <w:pStyle w:val="SingleTxtG"/>
      </w:pPr>
      <w:r w:rsidRPr="000C4A38">
        <w:t>2</w:t>
      </w:r>
      <w:r>
        <w:t>0</w:t>
      </w:r>
      <w:r w:rsidRPr="000C4A38">
        <w:t>.</w:t>
      </w:r>
      <w:r w:rsidRPr="000C4A38">
        <w:tab/>
        <w:t>Compte tenu de la révision du Code pénal de 2015, qui impose des peines d’emprisonnement pour des infractions de diffamation</w:t>
      </w:r>
      <w:r w:rsidR="00C2544B">
        <w:t>,</w:t>
      </w:r>
      <w:r w:rsidR="002D2602">
        <w:t xml:space="preserve"> </w:t>
      </w:r>
      <w:r w:rsidRPr="000C4A38">
        <w:t xml:space="preserve">d’offense envers un représentant du </w:t>
      </w:r>
      <w:r w:rsidR="002D2602">
        <w:t>G</w:t>
      </w:r>
      <w:r w:rsidRPr="000C4A38">
        <w:t xml:space="preserve">ouvernement, </w:t>
      </w:r>
      <w:r w:rsidR="00C2544B">
        <w:t xml:space="preserve">d’outrage envers les représentants de l’autorité publique </w:t>
      </w:r>
      <w:r w:rsidRPr="000C4A38">
        <w:t xml:space="preserve">et </w:t>
      </w:r>
      <w:r w:rsidR="00830A40">
        <w:t xml:space="preserve">qui </w:t>
      </w:r>
      <w:r w:rsidRPr="000C4A38">
        <w:t xml:space="preserve">introduit une nouvelle infraction interdisant la publication, </w:t>
      </w:r>
      <w:r w:rsidR="002D2602">
        <w:t xml:space="preserve">la </w:t>
      </w:r>
      <w:r w:rsidRPr="000C4A38">
        <w:t xml:space="preserve">diffusion et </w:t>
      </w:r>
      <w:r w:rsidR="002D2602">
        <w:t xml:space="preserve">la </w:t>
      </w:r>
      <w:r w:rsidRPr="000C4A38">
        <w:t>reproduction de « fausses nouvelles », passible d’une peine allant jusqu’à cinq ans d’emprisonnement, expliquer la compatibilité de ces infractions avec l’article</w:t>
      </w:r>
      <w:r w:rsidR="00AE4026">
        <w:t> </w:t>
      </w:r>
      <w:r w:rsidRPr="000C4A38">
        <w:t>19 du Pacte</w:t>
      </w:r>
      <w:r>
        <w:t xml:space="preserve"> et donner des exemples d’affaires dans lesquelles ces infractions ont été constatées</w:t>
      </w:r>
      <w:r w:rsidRPr="000C4A38">
        <w:t>. Expliquer aussi si les nouvelles infractions relatives aux « cris et chants séditieux proférés dans des lieux ou réunions publics</w:t>
      </w:r>
      <w:r w:rsidR="00830A40" w:rsidRPr="002F7200">
        <w:rPr>
          <w:rStyle w:val="Appelnotedebasdep"/>
        </w:rPr>
        <w:footnoteReference w:id="4"/>
      </w:r>
      <w:r w:rsidRPr="000C4A38">
        <w:t> », au financement du terrorisme, à la mise à disposition du public de messages incitant au terrorisme et à la participation à la commission d’un acte terroriste sont définies avec précision de façon à garantir qu’il n’en résulte pas une interférence injustifiée ou disproportionnée avec la liberté d’expression de personnes dissidentes.</w:t>
      </w:r>
    </w:p>
    <w:p w14:paraId="59573867" w14:textId="2CE90F68" w:rsidR="00E54419" w:rsidRPr="000C4A38" w:rsidRDefault="00E54419" w:rsidP="002D2602">
      <w:pPr>
        <w:pStyle w:val="SingleTxtG"/>
      </w:pPr>
      <w:r w:rsidRPr="000C4A38">
        <w:t>2</w:t>
      </w:r>
      <w:r>
        <w:t>1</w:t>
      </w:r>
      <w:r w:rsidRPr="000C4A38">
        <w:t>.</w:t>
      </w:r>
      <w:r w:rsidRPr="000C4A38">
        <w:tab/>
        <w:t xml:space="preserve">Eu égard aux recommandations </w:t>
      </w:r>
      <w:r w:rsidR="003F4B2C">
        <w:t>précédentes (par. </w:t>
      </w:r>
      <w:r w:rsidRPr="00DE363B">
        <w:t>20)</w:t>
      </w:r>
      <w:r w:rsidR="00863515" w:rsidRPr="00DE363B">
        <w:t>,</w:t>
      </w:r>
      <w:r w:rsidRPr="00DE363B">
        <w:t xml:space="preserve"> commenter les informations indiquant que les autorités continuent de restreindre la liberté d’expression de</w:t>
      </w:r>
      <w:r w:rsidR="00863515" w:rsidRPr="00DE363B">
        <w:t>s</w:t>
      </w:r>
      <w:r w:rsidRPr="00DE363B">
        <w:t xml:space="preserve"> journalistes, </w:t>
      </w:r>
      <w:r w:rsidR="00863515" w:rsidRPr="00DE363B">
        <w:t xml:space="preserve">des </w:t>
      </w:r>
      <w:r w:rsidRPr="00DE363B">
        <w:t xml:space="preserve">défenseurs des droits </w:t>
      </w:r>
      <w:r w:rsidR="002D2602" w:rsidRPr="00DE363B">
        <w:t xml:space="preserve">de l’homme </w:t>
      </w:r>
      <w:r w:rsidRPr="00DE363B">
        <w:t xml:space="preserve">et </w:t>
      </w:r>
      <w:r w:rsidR="00863515" w:rsidRPr="00DE363B">
        <w:t>d</w:t>
      </w:r>
      <w:r w:rsidRPr="00DE363B">
        <w:t xml:space="preserve">es militants politiques qui expriment des opinions opposées au pouvoir. </w:t>
      </w:r>
      <w:r w:rsidR="002D2602" w:rsidRPr="00DE363B">
        <w:t>À</w:t>
      </w:r>
      <w:r w:rsidRPr="00DE363B">
        <w:t xml:space="preserve"> cet égard, donner des précisions sur les mesures prises pour protéger de manière effective contre les actes d’intimidation et les arrestations arbitraires les journalistes qui soulèvent des questions d’intérêt général, comme dans les cas de Zeus </w:t>
      </w:r>
      <w:proofErr w:type="spellStart"/>
      <w:r w:rsidRPr="00DE363B">
        <w:t>Aziadouvo</w:t>
      </w:r>
      <w:proofErr w:type="spellEnd"/>
      <w:r w:rsidR="00161949" w:rsidRPr="00DE363B">
        <w:t xml:space="preserve">, Carlos </w:t>
      </w:r>
      <w:proofErr w:type="spellStart"/>
      <w:r w:rsidR="00161949" w:rsidRPr="00DE363B">
        <w:t>Ketohou</w:t>
      </w:r>
      <w:proofErr w:type="spellEnd"/>
      <w:r w:rsidR="00161949" w:rsidRPr="00DE363B">
        <w:t xml:space="preserve"> et Abi-Alfa</w:t>
      </w:r>
      <w:r w:rsidRPr="00DE363B">
        <w:t xml:space="preserve">, </w:t>
      </w:r>
      <w:r w:rsidR="00BC3C35" w:rsidRPr="00DE363B">
        <w:t xml:space="preserve">Noël </w:t>
      </w:r>
      <w:proofErr w:type="spellStart"/>
      <w:r w:rsidR="00BC3C35" w:rsidRPr="00DE363B">
        <w:t>Tadegnon</w:t>
      </w:r>
      <w:proofErr w:type="spellEnd"/>
      <w:r w:rsidR="00BC3C35" w:rsidRPr="00DE363B">
        <w:t xml:space="preserve">, </w:t>
      </w:r>
      <w:proofErr w:type="spellStart"/>
      <w:r w:rsidR="00BC3C35" w:rsidRPr="00DE363B">
        <w:t>Younglove</w:t>
      </w:r>
      <w:proofErr w:type="spellEnd"/>
      <w:r w:rsidR="00BC3C35" w:rsidRPr="00DE363B">
        <w:t xml:space="preserve"> </w:t>
      </w:r>
      <w:proofErr w:type="spellStart"/>
      <w:r w:rsidR="00BC3C35" w:rsidRPr="00DE363B">
        <w:t>Egbéboua</w:t>
      </w:r>
      <w:proofErr w:type="spellEnd"/>
      <w:r w:rsidR="00BC3C35" w:rsidRPr="00DE363B">
        <w:t xml:space="preserve"> </w:t>
      </w:r>
      <w:proofErr w:type="spellStart"/>
      <w:r w:rsidR="00BC3C35" w:rsidRPr="00DE363B">
        <w:t>Amavi</w:t>
      </w:r>
      <w:proofErr w:type="spellEnd"/>
      <w:r w:rsidR="00BC3C35" w:rsidRPr="00DE363B">
        <w:t xml:space="preserve">, </w:t>
      </w:r>
      <w:proofErr w:type="spellStart"/>
      <w:r w:rsidR="0096372F" w:rsidRPr="00DE363B">
        <w:t>Fredo</w:t>
      </w:r>
      <w:proofErr w:type="spellEnd"/>
      <w:r w:rsidR="0096372F" w:rsidRPr="00DE363B">
        <w:t xml:space="preserve"> </w:t>
      </w:r>
      <w:proofErr w:type="spellStart"/>
      <w:r w:rsidR="0096372F" w:rsidRPr="00DE363B">
        <w:t>Attipou</w:t>
      </w:r>
      <w:proofErr w:type="spellEnd"/>
      <w:r w:rsidR="0096372F" w:rsidRPr="00DE363B">
        <w:t xml:space="preserve">, Aimée </w:t>
      </w:r>
      <w:proofErr w:type="spellStart"/>
      <w:r w:rsidR="0096372F" w:rsidRPr="00DE363B">
        <w:t>Gbotso</w:t>
      </w:r>
      <w:proofErr w:type="spellEnd"/>
      <w:r w:rsidR="0096372F" w:rsidRPr="00DE363B">
        <w:t xml:space="preserve">, </w:t>
      </w:r>
      <w:r w:rsidRPr="00DE363B">
        <w:t xml:space="preserve">Luc </w:t>
      </w:r>
      <w:proofErr w:type="spellStart"/>
      <w:r w:rsidRPr="00DE363B">
        <w:t>Abaki</w:t>
      </w:r>
      <w:proofErr w:type="spellEnd"/>
      <w:r w:rsidR="002D2602" w:rsidRPr="00DE363B">
        <w:t>,</w:t>
      </w:r>
      <w:r w:rsidRPr="00DE363B">
        <w:t xml:space="preserve"> Justin </w:t>
      </w:r>
      <w:proofErr w:type="spellStart"/>
      <w:r w:rsidRPr="00DE363B">
        <w:t>Anani</w:t>
      </w:r>
      <w:proofErr w:type="spellEnd"/>
      <w:r w:rsidRPr="00DE363B">
        <w:t xml:space="preserve">, ou les défenseurs qui signalent des problèmes en matière de droits de l’homme, comme Amah Olivier, Président de l’Association des </w:t>
      </w:r>
      <w:r w:rsidR="002D2602" w:rsidRPr="00DE363B">
        <w:t>v</w:t>
      </w:r>
      <w:r w:rsidRPr="00DE363B">
        <w:t xml:space="preserve">ictimes de la </w:t>
      </w:r>
      <w:r w:rsidR="002D2602" w:rsidRPr="00DE363B">
        <w:t>t</w:t>
      </w:r>
      <w:r w:rsidRPr="00DE363B">
        <w:t xml:space="preserve">orture, ou Koffi </w:t>
      </w:r>
      <w:proofErr w:type="spellStart"/>
      <w:r w:rsidRPr="00DE363B">
        <w:t>Kounté</w:t>
      </w:r>
      <w:proofErr w:type="spellEnd"/>
      <w:r w:rsidRPr="00DE363B">
        <w:t xml:space="preserve">, </w:t>
      </w:r>
      <w:r w:rsidR="002D2602" w:rsidRPr="00DE363B">
        <w:t>P</w:t>
      </w:r>
      <w:r w:rsidRPr="00DE363B">
        <w:t>résident de la Commission nationale des droits de l’homme, qui o</w:t>
      </w:r>
      <w:r w:rsidRPr="000C4A38">
        <w:t xml:space="preserve">nt quitté le pays </w:t>
      </w:r>
      <w:r>
        <w:t>par crainte</w:t>
      </w:r>
      <w:r w:rsidRPr="000C4A38">
        <w:t xml:space="preserve"> pour leur sécurité. Indiquer le nombre de plaintes déposées depuis 2011 et le résultat des enquêtes menées sur ces plaintes, et donner des renseignements sur les condamnations et les peines prononcées dans les affaires d’agression, de menaces, </w:t>
      </w:r>
      <w:r>
        <w:t xml:space="preserve">de </w:t>
      </w:r>
      <w:r w:rsidRPr="000C4A38">
        <w:t>harcèlement et</w:t>
      </w:r>
      <w:r>
        <w:t xml:space="preserve"> de</w:t>
      </w:r>
      <w:r w:rsidRPr="000C4A38">
        <w:t xml:space="preserve"> détentions arbitraires visant des personnes qui exerçaient l’activité de journaliste ou dénonçaient des violations des droits de l’homme.</w:t>
      </w:r>
    </w:p>
    <w:p w14:paraId="021BAA8D" w14:textId="6BFFC87C" w:rsidR="00E54419" w:rsidRPr="00DE363B" w:rsidRDefault="00E54419" w:rsidP="00873A3F">
      <w:pPr>
        <w:pStyle w:val="SingleTxtG"/>
      </w:pPr>
      <w:r w:rsidRPr="000C4A38">
        <w:t>2</w:t>
      </w:r>
      <w:r>
        <w:t>2</w:t>
      </w:r>
      <w:r w:rsidRPr="000C4A38">
        <w:t xml:space="preserve">. </w:t>
      </w:r>
      <w:r w:rsidRPr="000C4A38">
        <w:tab/>
        <w:t xml:space="preserve">À la lumière des </w:t>
      </w:r>
      <w:r w:rsidR="00873A3F">
        <w:t>précédentes</w:t>
      </w:r>
      <w:r w:rsidRPr="000C4A38">
        <w:t xml:space="preserve"> observations </w:t>
      </w:r>
      <w:r w:rsidRPr="00DE363B">
        <w:t>finales du Comité (par.</w:t>
      </w:r>
      <w:r w:rsidR="00232716">
        <w:t> </w:t>
      </w:r>
      <w:r w:rsidRPr="00DE363B">
        <w:t>20) et compte tenu de l’adoption en février 2013 de la loi sur la Haute Autorité de l’</w:t>
      </w:r>
      <w:proofErr w:type="spellStart"/>
      <w:r w:rsidRPr="00DE363B">
        <w:t>audiovisuel</w:t>
      </w:r>
      <w:proofErr w:type="spellEnd"/>
      <w:r w:rsidRPr="00DE363B">
        <w:t xml:space="preserve"> et de la communication et </w:t>
      </w:r>
      <w:r w:rsidR="002D2602" w:rsidRPr="00DE363B">
        <w:t xml:space="preserve">de </w:t>
      </w:r>
      <w:r w:rsidRPr="00DE363B">
        <w:t xml:space="preserve">la décision de la Cour constitutionnelle considérant que six articles de cette loi étaient inconstitutionnels, fournir des informations sur les mesures adoptées pour garantir l’indépendance de cette Autorité par rapport au pouvoir exécutif. </w:t>
      </w:r>
    </w:p>
    <w:p w14:paraId="7A6AA29C" w14:textId="3898555C" w:rsidR="00E54419" w:rsidRPr="000C4A38" w:rsidRDefault="00E54419" w:rsidP="00873A3F">
      <w:pPr>
        <w:pStyle w:val="SingleTxtG"/>
      </w:pPr>
      <w:r w:rsidRPr="00DE363B">
        <w:t>23.</w:t>
      </w:r>
      <w:r w:rsidRPr="00DE363B">
        <w:tab/>
        <w:t>Compte tenu des précédentes observations finales du Comité (par.</w:t>
      </w:r>
      <w:r w:rsidR="00232716">
        <w:t> </w:t>
      </w:r>
      <w:r w:rsidRPr="00DE363B">
        <w:t xml:space="preserve">20), donner des précisions sur les mesures adoptées pour assurer la conformité de la loi </w:t>
      </w:r>
      <w:r w:rsidR="00295179" w:rsidRPr="00DE363B">
        <w:t>n</w:t>
      </w:r>
      <w:r w:rsidR="00295179" w:rsidRPr="00DE363B">
        <w:rPr>
          <w:vertAlign w:val="superscript"/>
        </w:rPr>
        <w:t>o</w:t>
      </w:r>
      <w:r w:rsidR="00295179" w:rsidRPr="00DE363B">
        <w:t> </w:t>
      </w:r>
      <w:r w:rsidRPr="00DE363B">
        <w:t>2011-010 fixant les conditions d’exercice de la liberté de réunion et de manifestation pacifiques publiques avec l’article</w:t>
      </w:r>
      <w:r w:rsidR="00830A40" w:rsidRPr="00DE363B">
        <w:t> </w:t>
      </w:r>
      <w:r w:rsidRPr="00DE363B">
        <w:t>21 du Pacte. Expliquer aussi si les nouvelles infractions du Code pénal de 2015, criminalisant la participation à des réunions</w:t>
      </w:r>
      <w:r>
        <w:t xml:space="preserve"> ainsi que l’organisation de réunions </w:t>
      </w:r>
      <w:r w:rsidRPr="000C4A38">
        <w:t>qui n’ont pas fait l’objet des formalités administratives nécessaires</w:t>
      </w:r>
      <w:r w:rsidR="00386C8C">
        <w:t xml:space="preserve"> </w:t>
      </w:r>
      <w:r w:rsidRPr="000C4A38">
        <w:t xml:space="preserve">et </w:t>
      </w:r>
      <w:r>
        <w:t>engageant la responsabilité pénale</w:t>
      </w:r>
      <w:r w:rsidRPr="000C4A38">
        <w:t xml:space="preserve"> </w:t>
      </w:r>
      <w:r>
        <w:t>des</w:t>
      </w:r>
      <w:r w:rsidRPr="000C4A38">
        <w:t xml:space="preserve"> organisateurs de tout comportement violent qu</w:t>
      </w:r>
      <w:r>
        <w:t>e</w:t>
      </w:r>
      <w:r w:rsidRPr="000C4A38">
        <w:t xml:space="preserve"> pourrai</w:t>
      </w:r>
      <w:r>
        <w:t>ent</w:t>
      </w:r>
      <w:r w:rsidRPr="000C4A38">
        <w:t xml:space="preserve"> avoir d’autres manifestants, constituent des restrictions justifiées ou proportionnées à la liberté de réunion pacifique. Commenter les </w:t>
      </w:r>
      <w:r>
        <w:t>allégations</w:t>
      </w:r>
      <w:r w:rsidRPr="000C4A38">
        <w:t xml:space="preserve"> indiquant que les réunions pacifiques organisées par des partis politiques ou des défenseurs des droits </w:t>
      </w:r>
      <w:r w:rsidR="002D2602">
        <w:t>de l’homme</w:t>
      </w:r>
      <w:r w:rsidR="002D2602" w:rsidRPr="000C4A38">
        <w:t xml:space="preserve"> </w:t>
      </w:r>
      <w:r w:rsidRPr="000C4A38">
        <w:t>seraient souvent interdites de manière arbitraire.</w:t>
      </w:r>
    </w:p>
    <w:p w14:paraId="67ED2E23" w14:textId="52B7E6CE" w:rsidR="00E54419" w:rsidRDefault="00E54419" w:rsidP="002F7200">
      <w:pPr>
        <w:pStyle w:val="SingleTxtG"/>
        <w:keepLines/>
      </w:pPr>
      <w:r w:rsidRPr="000C4A38">
        <w:lastRenderedPageBreak/>
        <w:t>2</w:t>
      </w:r>
      <w:r>
        <w:t>4</w:t>
      </w:r>
      <w:r w:rsidRPr="000C4A38">
        <w:t>.</w:t>
      </w:r>
      <w:r w:rsidRPr="000C4A38">
        <w:tab/>
        <w:t>Répondre aux allégations selon lesquelles les manifestations sont souvent dispersées par des forces de l’ordre o</w:t>
      </w:r>
      <w:bookmarkStart w:id="0" w:name="_GoBack"/>
      <w:bookmarkEnd w:id="0"/>
      <w:r w:rsidRPr="000C4A38">
        <w:t>u de la sécurité, y compris des forces armées militaires, faisant preuve d’un recours excessif à la force. Fournir des renseignements notamment sur les événements survenus: a</w:t>
      </w:r>
      <w:r w:rsidRPr="00DE363B">
        <w:t>)</w:t>
      </w:r>
      <w:r w:rsidR="008C1B2A">
        <w:t> </w:t>
      </w:r>
      <w:r w:rsidRPr="00DE363B">
        <w:t>à Mango</w:t>
      </w:r>
      <w:r w:rsidR="00D640F8" w:rsidRPr="00DE363B">
        <w:t>,</w:t>
      </w:r>
      <w:r w:rsidRPr="00DE363B">
        <w:t xml:space="preserve"> en novembre 2015, au cours desquels sept personnes ont perdu la vie et au moins 117 ont été bl</w:t>
      </w:r>
      <w:r w:rsidR="002D2602" w:rsidRPr="00DE363B">
        <w:t>es</w:t>
      </w:r>
      <w:r w:rsidRPr="00DE363B">
        <w:t>sées suite à l’intervention des forces de sécurité</w:t>
      </w:r>
      <w:r w:rsidR="00295179" w:rsidRPr="00DE363B">
        <w:t> ;</w:t>
      </w:r>
      <w:r w:rsidRPr="00DE363B">
        <w:t xml:space="preserve"> b)</w:t>
      </w:r>
      <w:r w:rsidR="00863515" w:rsidRPr="00DE363B">
        <w:t> </w:t>
      </w:r>
      <w:r w:rsidRPr="00DE363B">
        <w:t xml:space="preserve">à la ville de </w:t>
      </w:r>
      <w:proofErr w:type="spellStart"/>
      <w:r w:rsidRPr="00DE363B">
        <w:t>Gléi</w:t>
      </w:r>
      <w:proofErr w:type="spellEnd"/>
      <w:r w:rsidR="002D2602" w:rsidRPr="00DE363B">
        <w:t>,</w:t>
      </w:r>
      <w:r w:rsidRPr="00DE363B">
        <w:t xml:space="preserve"> le 25 mars 2016, au cours desquels les gendarmes auraient tiré à balles réelles sur des manifestants, faisant au moins 30 blessés</w:t>
      </w:r>
      <w:r w:rsidR="00295179" w:rsidRPr="00DE363B">
        <w:t> ;</w:t>
      </w:r>
      <w:r w:rsidRPr="00DE363B">
        <w:t xml:space="preserve"> c)</w:t>
      </w:r>
      <w:r w:rsidR="008C1B2A">
        <w:t> </w:t>
      </w:r>
      <w:r w:rsidRPr="00DE363B">
        <w:t>à Dapaong</w:t>
      </w:r>
      <w:r w:rsidR="002D2602" w:rsidRPr="00DE363B">
        <w:t>,</w:t>
      </w:r>
      <w:r w:rsidRPr="00DE363B">
        <w:t xml:space="preserve"> en avril 2013, où deux étudiants sont décédés</w:t>
      </w:r>
      <w:r>
        <w:t xml:space="preserve"> à la suite de l’intervention de la police durant une manifestation pacifique en soutien à une grève des enseignant</w:t>
      </w:r>
      <w:r w:rsidR="00F14BA1">
        <w:t>s</w:t>
      </w:r>
      <w:r w:rsidR="00386C61">
        <w:t>.</w:t>
      </w:r>
      <w:r w:rsidR="002D2602">
        <w:t xml:space="preserve"> </w:t>
      </w:r>
      <w:r w:rsidRPr="000C4A38">
        <w:t xml:space="preserve">Indiquer les mesures prises pour poursuivre les auteurs et éviter que </w:t>
      </w:r>
      <w:r>
        <w:t xml:space="preserve">de </w:t>
      </w:r>
      <w:r w:rsidRPr="000C4A38">
        <w:t xml:space="preserve">pareils événements </w:t>
      </w:r>
      <w:r w:rsidR="002D2602">
        <w:t xml:space="preserve">ne </w:t>
      </w:r>
      <w:r w:rsidRPr="000C4A38">
        <w:t xml:space="preserve">se reproduisent à l’avenir. Donner des précisions sur la compatibilité </w:t>
      </w:r>
      <w:r w:rsidRPr="00DE363B">
        <w:t xml:space="preserve">du décret </w:t>
      </w:r>
      <w:r w:rsidR="002D2602" w:rsidRPr="00DE363B">
        <w:t>n</w:t>
      </w:r>
      <w:r w:rsidR="002D2602" w:rsidRPr="00DE363B">
        <w:rPr>
          <w:vertAlign w:val="superscript"/>
        </w:rPr>
        <w:t>o</w:t>
      </w:r>
      <w:r w:rsidR="002D2602" w:rsidRPr="002F7200">
        <w:t> </w:t>
      </w:r>
      <w:r w:rsidRPr="00DE363B">
        <w:t>2013-013 sur le maintien et le rétablissement de l’ordre public avec les normes i</w:t>
      </w:r>
      <w:r w:rsidRPr="000C4A38">
        <w:t xml:space="preserve">nternationales. </w:t>
      </w:r>
    </w:p>
    <w:p w14:paraId="110FE20A" w14:textId="77777777" w:rsidR="00B6423E" w:rsidRPr="00B6423E" w:rsidRDefault="00B6423E" w:rsidP="00B6423E">
      <w:pPr>
        <w:pStyle w:val="SingleTxtG"/>
        <w:spacing w:before="240" w:after="0"/>
        <w:jc w:val="center"/>
        <w:rPr>
          <w:u w:val="single"/>
        </w:rPr>
      </w:pPr>
      <w:r>
        <w:rPr>
          <w:u w:val="single"/>
        </w:rPr>
        <w:tab/>
      </w:r>
      <w:r>
        <w:rPr>
          <w:u w:val="single"/>
        </w:rPr>
        <w:tab/>
      </w:r>
      <w:r>
        <w:rPr>
          <w:u w:val="single"/>
        </w:rPr>
        <w:tab/>
      </w:r>
    </w:p>
    <w:p w14:paraId="295F4DA2" w14:textId="77777777" w:rsidR="00E54419" w:rsidRDefault="00E54419" w:rsidP="00040981">
      <w:pPr>
        <w:pStyle w:val="H23G"/>
        <w:ind w:left="0" w:firstLine="0"/>
      </w:pPr>
    </w:p>
    <w:p w14:paraId="48321BF0" w14:textId="77777777" w:rsidR="00DF3BF1" w:rsidRPr="00E54419" w:rsidRDefault="00DF3BF1" w:rsidP="00E54419"/>
    <w:sectPr w:rsidR="00DF3BF1" w:rsidRPr="00E54419" w:rsidSect="002F720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BD57C8" w15:done="0"/>
  <w15:commentEx w15:paraId="270ABC46" w15:done="0"/>
  <w15:commentEx w15:paraId="1184C026" w15:done="0"/>
  <w15:commentEx w15:paraId="3EFADF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58008" w14:textId="77777777" w:rsidR="00890FEA" w:rsidRDefault="00890FEA"/>
  </w:endnote>
  <w:endnote w:type="continuationSeparator" w:id="0">
    <w:p w14:paraId="6CF74D00" w14:textId="77777777" w:rsidR="00890FEA" w:rsidRDefault="00890FEA"/>
  </w:endnote>
  <w:endnote w:type="continuationNotice" w:id="1">
    <w:p w14:paraId="6F14B131" w14:textId="77777777" w:rsidR="00890FEA" w:rsidRDefault="00890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FF3E7" w14:textId="32BA060F" w:rsidR="00E54419" w:rsidRPr="00E54419" w:rsidRDefault="00E54419" w:rsidP="00E54419">
    <w:pPr>
      <w:pStyle w:val="Pieddepage"/>
      <w:tabs>
        <w:tab w:val="right" w:pos="9638"/>
      </w:tabs>
    </w:pPr>
    <w:r w:rsidRPr="00E54419">
      <w:rPr>
        <w:b/>
        <w:sz w:val="18"/>
      </w:rPr>
      <w:fldChar w:fldCharType="begin"/>
    </w:r>
    <w:r w:rsidRPr="00E54419">
      <w:rPr>
        <w:b/>
        <w:sz w:val="18"/>
      </w:rPr>
      <w:instrText xml:space="preserve"> PAGE  \* MERGEFORMAT </w:instrText>
    </w:r>
    <w:r w:rsidRPr="00E54419">
      <w:rPr>
        <w:b/>
        <w:sz w:val="18"/>
      </w:rPr>
      <w:fldChar w:fldCharType="separate"/>
    </w:r>
    <w:r w:rsidR="007A4FB0">
      <w:rPr>
        <w:b/>
        <w:noProof/>
        <w:sz w:val="18"/>
      </w:rPr>
      <w:t>6</w:t>
    </w:r>
    <w:r w:rsidRPr="00E5441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B9227" w14:textId="0F3AA19C" w:rsidR="00E54419" w:rsidRPr="00E54419" w:rsidRDefault="00E54419" w:rsidP="00E54419">
    <w:pPr>
      <w:pStyle w:val="Pieddepage"/>
      <w:tabs>
        <w:tab w:val="right" w:pos="9638"/>
      </w:tabs>
      <w:rPr>
        <w:b/>
        <w:sz w:val="18"/>
      </w:rPr>
    </w:pPr>
    <w:r>
      <w:tab/>
    </w:r>
    <w:r w:rsidRPr="00E54419">
      <w:rPr>
        <w:b/>
        <w:sz w:val="18"/>
      </w:rPr>
      <w:fldChar w:fldCharType="begin"/>
    </w:r>
    <w:r w:rsidRPr="00E54419">
      <w:rPr>
        <w:b/>
        <w:sz w:val="18"/>
      </w:rPr>
      <w:instrText xml:space="preserve"> PAGE  \* MERGEFORMAT </w:instrText>
    </w:r>
    <w:r w:rsidRPr="00E54419">
      <w:rPr>
        <w:b/>
        <w:sz w:val="18"/>
      </w:rPr>
      <w:fldChar w:fldCharType="separate"/>
    </w:r>
    <w:r w:rsidR="007A4FB0">
      <w:rPr>
        <w:b/>
        <w:noProof/>
        <w:sz w:val="18"/>
      </w:rPr>
      <w:t>7</w:t>
    </w:r>
    <w:r w:rsidRPr="00E544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B36C6" w14:textId="565A5B06" w:rsidR="00A97F02" w:rsidRPr="00A97F02" w:rsidRDefault="00A97F02">
    <w:pPr>
      <w:pStyle w:val="Pieddepage"/>
      <w:rPr>
        <w:rFonts w:ascii="C39T30Lfz" w:hAnsi="C39T30Lfz"/>
        <w:sz w:val="20"/>
      </w:rPr>
    </w:pPr>
    <w:r>
      <w:rPr>
        <w:noProof/>
        <w:lang w:eastAsia="fr-CH"/>
      </w:rPr>
      <w:drawing>
        <wp:anchor distT="0" distB="0" distL="114300" distR="114300" simplePos="0" relativeHeight="251660288" behindDoc="0" locked="0" layoutInCell="1" allowOverlap="1" wp14:anchorId="3D4BB170" wp14:editId="6050C8A0">
          <wp:simplePos x="0" y="0"/>
          <wp:positionH relativeFrom="margin">
            <wp:posOffset>5490845</wp:posOffset>
          </wp:positionH>
          <wp:positionV relativeFrom="margin">
            <wp:posOffset>8028940</wp:posOffset>
          </wp:positionV>
          <wp:extent cx="637200" cy="637200"/>
          <wp:effectExtent l="0" t="0" r="0" b="0"/>
          <wp:wrapNone/>
          <wp:docPr id="3" name="Image 1" descr="http://undocs.org/m2/QRCode.ashx?DS=CCPR/C/TGO/QPR/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TGO/QPR/5&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59264" behindDoc="0" locked="0" layoutInCell="1" allowOverlap="0" wp14:anchorId="6BFCDF0E" wp14:editId="5F061CD0">
          <wp:simplePos x="0" y="0"/>
          <wp:positionH relativeFrom="margin">
            <wp:posOffset>4319905</wp:posOffset>
          </wp:positionH>
          <wp:positionV relativeFrom="margin">
            <wp:posOffset>8279765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w:t>
    </w:r>
    <w:r>
      <w:rPr>
        <w:sz w:val="20"/>
      </w:rPr>
      <w:t>21792</w:t>
    </w:r>
    <w:r>
      <w:rPr>
        <w:sz w:val="20"/>
      </w:rPr>
      <w:t xml:space="preserve">  (F)</w:t>
    </w:r>
    <w:r>
      <w:br/>
    </w:r>
    <w:r w:rsidRPr="00A97F02">
      <w:rPr>
        <w:rFonts w:ascii="C39T30Lfz" w:hAnsi="C39T30Lfz"/>
        <w:sz w:val="56"/>
      </w:rPr>
      <w:t></w:t>
    </w:r>
    <w:r w:rsidRPr="00A97F02">
      <w:rPr>
        <w:rFonts w:ascii="C39T30Lfz" w:hAnsi="C39T30Lfz"/>
        <w:sz w:val="56"/>
      </w:rPr>
      <w:t></w:t>
    </w:r>
    <w:r w:rsidRPr="00A97F02">
      <w:rPr>
        <w:rFonts w:ascii="C39T30Lfz" w:hAnsi="C39T30Lfz"/>
        <w:sz w:val="56"/>
      </w:rPr>
      <w:t></w:t>
    </w:r>
    <w:r w:rsidRPr="00A97F02">
      <w:rPr>
        <w:rFonts w:ascii="C39T30Lfz" w:hAnsi="C39T30Lfz"/>
        <w:sz w:val="56"/>
      </w:rPr>
      <w:t></w:t>
    </w:r>
    <w:r w:rsidRPr="00A97F02">
      <w:rPr>
        <w:rFonts w:ascii="C39T30Lfz" w:hAnsi="C39T30Lfz"/>
        <w:sz w:val="56"/>
      </w:rPr>
      <w:t></w:t>
    </w:r>
    <w:r w:rsidRPr="00A97F02">
      <w:rPr>
        <w:rFonts w:ascii="C39T30Lfz" w:hAnsi="C39T30Lfz"/>
        <w:sz w:val="56"/>
      </w:rPr>
      <w:t></w:t>
    </w:r>
    <w:r w:rsidRPr="00A97F02">
      <w:rPr>
        <w:rFonts w:ascii="C39T30Lfz" w:hAnsi="C39T30Lfz"/>
        <w:sz w:val="56"/>
      </w:rPr>
      <w:t></w:t>
    </w:r>
    <w:r w:rsidRPr="00A97F02">
      <w:rPr>
        <w:rFonts w:ascii="C39T30Lfz" w:hAnsi="C39T30Lfz"/>
        <w:sz w:val="56"/>
      </w:rPr>
      <w:t></w:t>
    </w:r>
    <w:r w:rsidRPr="00A97F02">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08B03" w14:textId="77777777" w:rsidR="00890FEA" w:rsidRPr="00D27D5E" w:rsidRDefault="00890FEA" w:rsidP="00D27D5E">
      <w:pPr>
        <w:tabs>
          <w:tab w:val="right" w:pos="2155"/>
        </w:tabs>
        <w:spacing w:after="80"/>
        <w:ind w:left="680"/>
        <w:rPr>
          <w:u w:val="single"/>
        </w:rPr>
      </w:pPr>
      <w:r>
        <w:rPr>
          <w:u w:val="single"/>
        </w:rPr>
        <w:tab/>
      </w:r>
    </w:p>
  </w:footnote>
  <w:footnote w:type="continuationSeparator" w:id="0">
    <w:p w14:paraId="6D45EF6F" w14:textId="77777777" w:rsidR="00890FEA" w:rsidRPr="00091505" w:rsidRDefault="00890FEA" w:rsidP="00091505">
      <w:pPr>
        <w:tabs>
          <w:tab w:val="right" w:pos="2155"/>
        </w:tabs>
        <w:spacing w:after="80"/>
        <w:ind w:left="680"/>
        <w:rPr>
          <w:u w:val="single"/>
        </w:rPr>
      </w:pPr>
      <w:r w:rsidRPr="00091505">
        <w:rPr>
          <w:u w:val="single"/>
        </w:rPr>
        <w:tab/>
      </w:r>
    </w:p>
  </w:footnote>
  <w:footnote w:type="continuationNotice" w:id="1">
    <w:p w14:paraId="1874F76B" w14:textId="77777777" w:rsidR="00890FEA" w:rsidRDefault="00890FEA"/>
  </w:footnote>
  <w:footnote w:id="2">
    <w:p w14:paraId="28361754" w14:textId="007D33BE" w:rsidR="00E54419" w:rsidRPr="00FD0BE9" w:rsidRDefault="00E54419" w:rsidP="00CD3E72">
      <w:pPr>
        <w:pStyle w:val="Notedebasdepage"/>
      </w:pPr>
      <w:r>
        <w:tab/>
      </w:r>
      <w:r w:rsidRPr="002F7200">
        <w:rPr>
          <w:rStyle w:val="Appelnotedebasdep"/>
          <w:sz w:val="20"/>
          <w:vertAlign w:val="baseline"/>
        </w:rPr>
        <w:t>*</w:t>
      </w:r>
      <w:r>
        <w:rPr>
          <w:sz w:val="20"/>
        </w:rPr>
        <w:tab/>
      </w:r>
      <w:proofErr w:type="spellStart"/>
      <w:r w:rsidRPr="00B56CB8">
        <w:t>Adoptée</w:t>
      </w:r>
      <w:proofErr w:type="spellEnd"/>
      <w:r w:rsidRPr="00B56CB8">
        <w:t xml:space="preserve"> par le </w:t>
      </w:r>
      <w:proofErr w:type="spellStart"/>
      <w:r w:rsidRPr="00B56CB8">
        <w:t>Comité</w:t>
      </w:r>
      <w:proofErr w:type="spellEnd"/>
      <w:r w:rsidRPr="00B56CB8">
        <w:t xml:space="preserve"> à </w:t>
      </w:r>
      <w:proofErr w:type="spellStart"/>
      <w:r w:rsidRPr="00DE363B">
        <w:t>sa</w:t>
      </w:r>
      <w:proofErr w:type="spellEnd"/>
      <w:r w:rsidRPr="00DE363B">
        <w:t xml:space="preserve"> </w:t>
      </w:r>
      <w:r w:rsidRPr="00DE363B">
        <w:rPr>
          <w:lang w:val="fr-FR"/>
        </w:rPr>
        <w:t>118</w:t>
      </w:r>
      <w:r w:rsidRPr="00DE363B">
        <w:rPr>
          <w:vertAlign w:val="superscript"/>
          <w:lang w:val="fr-FR"/>
        </w:rPr>
        <w:t>e</w:t>
      </w:r>
      <w:r w:rsidRPr="00DE363B">
        <w:rPr>
          <w:lang w:val="fr-FR"/>
        </w:rPr>
        <w:t xml:space="preserve"> </w:t>
      </w:r>
      <w:r w:rsidRPr="00DE363B">
        <w:t xml:space="preserve">session (17 octobre-4 </w:t>
      </w:r>
      <w:proofErr w:type="spellStart"/>
      <w:r w:rsidRPr="00DE363B">
        <w:t>novembre</w:t>
      </w:r>
      <w:proofErr w:type="spellEnd"/>
      <w:r w:rsidRPr="00DE363B">
        <w:t xml:space="preserve"> 2016).</w:t>
      </w:r>
    </w:p>
  </w:footnote>
  <w:footnote w:id="3">
    <w:p w14:paraId="3E29B181" w14:textId="5E36C04F" w:rsidR="00CD3E72" w:rsidRDefault="00CD3E72" w:rsidP="00873A3F">
      <w:pPr>
        <w:pStyle w:val="Notedebasdepage"/>
      </w:pPr>
      <w:r>
        <w:tab/>
      </w:r>
      <w:r w:rsidRPr="002F7200">
        <w:rPr>
          <w:rStyle w:val="Appelnotedebasdep"/>
        </w:rPr>
        <w:footnoteRef/>
      </w:r>
      <w:r>
        <w:tab/>
      </w:r>
      <w:r>
        <w:rPr>
          <w:lang w:val="fr-FR"/>
        </w:rPr>
        <w:t xml:space="preserve">Sauf indication contraire, les numéros de paragraphes entre parenthèses renvoient aux </w:t>
      </w:r>
      <w:r w:rsidR="00873A3F">
        <w:rPr>
          <w:lang w:val="fr-FR"/>
        </w:rPr>
        <w:t>précédentes</w:t>
      </w:r>
      <w:r>
        <w:rPr>
          <w:lang w:val="fr-FR"/>
        </w:rPr>
        <w:t xml:space="preserve"> observations finales du Comité.</w:t>
      </w:r>
    </w:p>
  </w:footnote>
  <w:footnote w:id="4">
    <w:p w14:paraId="5BABDD36" w14:textId="757C910E" w:rsidR="00830A40" w:rsidRPr="00DE363B" w:rsidRDefault="00CA6CED">
      <w:pPr>
        <w:pStyle w:val="Notedebasdepage"/>
        <w:rPr>
          <w:lang w:val="fr-FR"/>
        </w:rPr>
      </w:pPr>
      <w:r>
        <w:tab/>
      </w:r>
      <w:r w:rsidR="00830A40" w:rsidRPr="002F7200">
        <w:rPr>
          <w:rStyle w:val="Appelnotedebasdep"/>
        </w:rPr>
        <w:footnoteRef/>
      </w:r>
      <w:r>
        <w:rPr>
          <w:lang w:val="fr-FR"/>
        </w:rPr>
        <w:tab/>
        <w:t>Article 552 du nouveau Code pénal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13F4" w14:textId="77777777" w:rsidR="00E54419" w:rsidRPr="00E54419" w:rsidRDefault="00E54419">
    <w:pPr>
      <w:pStyle w:val="En-tte"/>
    </w:pPr>
    <w:r>
      <w:t>CCPR/C/TGO/Q</w:t>
    </w:r>
    <w:r w:rsidR="00E0206E">
      <w:t>PR</w:t>
    </w:r>
    <w: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11E2" w14:textId="77777777" w:rsidR="00E54419" w:rsidRPr="00E54419" w:rsidRDefault="00E54419" w:rsidP="00E54419">
    <w:pPr>
      <w:pStyle w:val="En-tte"/>
      <w:jc w:val="right"/>
    </w:pPr>
    <w:r>
      <w:t>CCPR/C/TGO/Q</w:t>
    </w:r>
    <w:r w:rsidR="00E0206E">
      <w:t>PR</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 Compagnion">
    <w15:presenceInfo w15:providerId="Windows Live" w15:userId="7b6b2ce9eab77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19"/>
    <w:rsid w:val="00016AC5"/>
    <w:rsid w:val="00024B3B"/>
    <w:rsid w:val="00040981"/>
    <w:rsid w:val="0005080B"/>
    <w:rsid w:val="00077690"/>
    <w:rsid w:val="0008167B"/>
    <w:rsid w:val="00091505"/>
    <w:rsid w:val="000A03F9"/>
    <w:rsid w:val="000A147A"/>
    <w:rsid w:val="000D2456"/>
    <w:rsid w:val="000F259C"/>
    <w:rsid w:val="000F41F2"/>
    <w:rsid w:val="000F706F"/>
    <w:rsid w:val="00160540"/>
    <w:rsid w:val="00161949"/>
    <w:rsid w:val="00192EEB"/>
    <w:rsid w:val="001A20FB"/>
    <w:rsid w:val="001A4AEA"/>
    <w:rsid w:val="001B102E"/>
    <w:rsid w:val="001C3080"/>
    <w:rsid w:val="001D7F8A"/>
    <w:rsid w:val="001E3FEB"/>
    <w:rsid w:val="001E4A02"/>
    <w:rsid w:val="001F25C4"/>
    <w:rsid w:val="00225A8C"/>
    <w:rsid w:val="00232716"/>
    <w:rsid w:val="00250D21"/>
    <w:rsid w:val="002659F1"/>
    <w:rsid w:val="00276B9D"/>
    <w:rsid w:val="00287E79"/>
    <w:rsid w:val="002928F9"/>
    <w:rsid w:val="00295179"/>
    <w:rsid w:val="002A5D07"/>
    <w:rsid w:val="002C40DE"/>
    <w:rsid w:val="002D2602"/>
    <w:rsid w:val="002E0222"/>
    <w:rsid w:val="002E1A7F"/>
    <w:rsid w:val="002F7200"/>
    <w:rsid w:val="003016B7"/>
    <w:rsid w:val="00325B56"/>
    <w:rsid w:val="00337919"/>
    <w:rsid w:val="003515AA"/>
    <w:rsid w:val="00366F5B"/>
    <w:rsid w:val="00374106"/>
    <w:rsid w:val="00386C61"/>
    <w:rsid w:val="00386C8C"/>
    <w:rsid w:val="003976D5"/>
    <w:rsid w:val="003D59C9"/>
    <w:rsid w:val="003D6C68"/>
    <w:rsid w:val="003E3205"/>
    <w:rsid w:val="003F4B2C"/>
    <w:rsid w:val="003F764A"/>
    <w:rsid w:val="00413931"/>
    <w:rsid w:val="004159D0"/>
    <w:rsid w:val="00464EEE"/>
    <w:rsid w:val="00497976"/>
    <w:rsid w:val="004A633F"/>
    <w:rsid w:val="004E4E51"/>
    <w:rsid w:val="00510CAB"/>
    <w:rsid w:val="00540A8E"/>
    <w:rsid w:val="00543D5E"/>
    <w:rsid w:val="00562AC3"/>
    <w:rsid w:val="00571F41"/>
    <w:rsid w:val="005746FF"/>
    <w:rsid w:val="005A2AB5"/>
    <w:rsid w:val="005B5B45"/>
    <w:rsid w:val="005E5D1F"/>
    <w:rsid w:val="00605A07"/>
    <w:rsid w:val="00611D43"/>
    <w:rsid w:val="00612D48"/>
    <w:rsid w:val="00616B45"/>
    <w:rsid w:val="00630D9B"/>
    <w:rsid w:val="00631953"/>
    <w:rsid w:val="006439EC"/>
    <w:rsid w:val="006467D2"/>
    <w:rsid w:val="00697ACA"/>
    <w:rsid w:val="006B4590"/>
    <w:rsid w:val="006C340C"/>
    <w:rsid w:val="0070347C"/>
    <w:rsid w:val="0071451B"/>
    <w:rsid w:val="007176C1"/>
    <w:rsid w:val="00725DC9"/>
    <w:rsid w:val="00725E0D"/>
    <w:rsid w:val="00737DEE"/>
    <w:rsid w:val="00765929"/>
    <w:rsid w:val="00773490"/>
    <w:rsid w:val="00775D99"/>
    <w:rsid w:val="00796940"/>
    <w:rsid w:val="007A4FB0"/>
    <w:rsid w:val="007B7284"/>
    <w:rsid w:val="007C1E11"/>
    <w:rsid w:val="007C6B9D"/>
    <w:rsid w:val="007C7846"/>
    <w:rsid w:val="007F55CB"/>
    <w:rsid w:val="00830A40"/>
    <w:rsid w:val="00844750"/>
    <w:rsid w:val="00863515"/>
    <w:rsid w:val="00873A3F"/>
    <w:rsid w:val="00873B3C"/>
    <w:rsid w:val="00890FEA"/>
    <w:rsid w:val="00892241"/>
    <w:rsid w:val="008A39ED"/>
    <w:rsid w:val="008B44C4"/>
    <w:rsid w:val="008C1B2A"/>
    <w:rsid w:val="008E7FAE"/>
    <w:rsid w:val="008F53ED"/>
    <w:rsid w:val="00910392"/>
    <w:rsid w:val="00911BF7"/>
    <w:rsid w:val="00943FFD"/>
    <w:rsid w:val="00946EA5"/>
    <w:rsid w:val="0096372F"/>
    <w:rsid w:val="0096383D"/>
    <w:rsid w:val="00972A79"/>
    <w:rsid w:val="00977EC8"/>
    <w:rsid w:val="00991C96"/>
    <w:rsid w:val="00993DE6"/>
    <w:rsid w:val="009C592E"/>
    <w:rsid w:val="009D3A8C"/>
    <w:rsid w:val="009D6A30"/>
    <w:rsid w:val="009E7956"/>
    <w:rsid w:val="009F7D3D"/>
    <w:rsid w:val="00A228B4"/>
    <w:rsid w:val="00A2492E"/>
    <w:rsid w:val="00A26884"/>
    <w:rsid w:val="00A45875"/>
    <w:rsid w:val="00A52F0B"/>
    <w:rsid w:val="00A642AA"/>
    <w:rsid w:val="00A720C2"/>
    <w:rsid w:val="00A871ED"/>
    <w:rsid w:val="00A87CA1"/>
    <w:rsid w:val="00A97F02"/>
    <w:rsid w:val="00AA0FAE"/>
    <w:rsid w:val="00AA3390"/>
    <w:rsid w:val="00AB51C8"/>
    <w:rsid w:val="00AC67A1"/>
    <w:rsid w:val="00AC7977"/>
    <w:rsid w:val="00AE352C"/>
    <w:rsid w:val="00AE4026"/>
    <w:rsid w:val="00AF1CE8"/>
    <w:rsid w:val="00B27802"/>
    <w:rsid w:val="00B32E2D"/>
    <w:rsid w:val="00B61990"/>
    <w:rsid w:val="00B6423E"/>
    <w:rsid w:val="00B929EA"/>
    <w:rsid w:val="00B93051"/>
    <w:rsid w:val="00B95BF6"/>
    <w:rsid w:val="00BA35B3"/>
    <w:rsid w:val="00BB7BA6"/>
    <w:rsid w:val="00BC3C35"/>
    <w:rsid w:val="00BF0556"/>
    <w:rsid w:val="00C07315"/>
    <w:rsid w:val="00C2544B"/>
    <w:rsid w:val="00C261F8"/>
    <w:rsid w:val="00C33100"/>
    <w:rsid w:val="00C4083C"/>
    <w:rsid w:val="00C416FF"/>
    <w:rsid w:val="00C431EA"/>
    <w:rsid w:val="00C64F31"/>
    <w:rsid w:val="00CA6A02"/>
    <w:rsid w:val="00CA6CED"/>
    <w:rsid w:val="00CB5A09"/>
    <w:rsid w:val="00CD1204"/>
    <w:rsid w:val="00CD1A71"/>
    <w:rsid w:val="00CD1FBB"/>
    <w:rsid w:val="00CD3E72"/>
    <w:rsid w:val="00CF5128"/>
    <w:rsid w:val="00D016B5"/>
    <w:rsid w:val="00D034F1"/>
    <w:rsid w:val="00D27D5E"/>
    <w:rsid w:val="00D35B2D"/>
    <w:rsid w:val="00D640F8"/>
    <w:rsid w:val="00D927CD"/>
    <w:rsid w:val="00DB043C"/>
    <w:rsid w:val="00DB64F9"/>
    <w:rsid w:val="00DE363B"/>
    <w:rsid w:val="00DE6D90"/>
    <w:rsid w:val="00DF002F"/>
    <w:rsid w:val="00DF3BF1"/>
    <w:rsid w:val="00E0206E"/>
    <w:rsid w:val="00E0244D"/>
    <w:rsid w:val="00E144C5"/>
    <w:rsid w:val="00E221BB"/>
    <w:rsid w:val="00E368FF"/>
    <w:rsid w:val="00E54419"/>
    <w:rsid w:val="00E630A7"/>
    <w:rsid w:val="00E81E94"/>
    <w:rsid w:val="00E82607"/>
    <w:rsid w:val="00E928CF"/>
    <w:rsid w:val="00EB7B9D"/>
    <w:rsid w:val="00ED35F3"/>
    <w:rsid w:val="00EF1302"/>
    <w:rsid w:val="00F00F85"/>
    <w:rsid w:val="00F14BA1"/>
    <w:rsid w:val="00F33865"/>
    <w:rsid w:val="00F46E94"/>
    <w:rsid w:val="00F606A4"/>
    <w:rsid w:val="00F7082B"/>
    <w:rsid w:val="00FA5A79"/>
    <w:rsid w:val="00FB084F"/>
    <w:rsid w:val="00FB0BFE"/>
    <w:rsid w:val="00FB4C51"/>
    <w:rsid w:val="00FB61CD"/>
    <w:rsid w:val="00FD5CB6"/>
    <w:rsid w:val="00FE29A6"/>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14:docId w14:val="2206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ED"/>
    <w:pPr>
      <w:suppressAutoHyphens/>
      <w:spacing w:line="240" w:lineRule="atLeast"/>
    </w:pPr>
    <w:rPr>
      <w:lang w:val="fr-CH" w:eastAsia="en-US"/>
    </w:rPr>
  </w:style>
  <w:style w:type="paragraph" w:styleId="Titre1">
    <w:name w:val="heading 1"/>
    <w:aliases w:val="Table_G"/>
    <w:basedOn w:val="SingleTxtG"/>
    <w:next w:val="SingleTxtG"/>
    <w:qFormat/>
    <w:rsid w:val="00B93051"/>
    <w:pPr>
      <w:keepNext/>
      <w:keepLines/>
      <w:spacing w:after="0" w:line="240" w:lineRule="auto"/>
      <w:ind w:right="0"/>
      <w:jc w:val="left"/>
      <w:outlineLvl w:val="0"/>
    </w:pPr>
  </w:style>
  <w:style w:type="paragraph" w:styleId="Titre2">
    <w:name w:val="heading 2"/>
    <w:basedOn w:val="Normal"/>
    <w:next w:val="Normal"/>
    <w:qFormat/>
    <w:rsid w:val="008F53ED"/>
    <w:pPr>
      <w:outlineLvl w:val="1"/>
    </w:pPr>
  </w:style>
  <w:style w:type="paragraph" w:styleId="Titre3">
    <w:name w:val="heading 3"/>
    <w:basedOn w:val="Normal"/>
    <w:next w:val="Normal"/>
    <w:qFormat/>
    <w:rsid w:val="008F53ED"/>
    <w:pPr>
      <w:outlineLvl w:val="2"/>
    </w:pPr>
  </w:style>
  <w:style w:type="paragraph" w:styleId="Titre4">
    <w:name w:val="heading 4"/>
    <w:basedOn w:val="Normal"/>
    <w:next w:val="Normal"/>
    <w:qFormat/>
    <w:rsid w:val="008F53ED"/>
    <w:pPr>
      <w:outlineLvl w:val="3"/>
    </w:pPr>
  </w:style>
  <w:style w:type="paragraph" w:styleId="Titre5">
    <w:name w:val="heading 5"/>
    <w:basedOn w:val="Normal"/>
    <w:next w:val="Normal"/>
    <w:qFormat/>
    <w:rsid w:val="008F53ED"/>
    <w:pPr>
      <w:outlineLvl w:val="4"/>
    </w:pPr>
  </w:style>
  <w:style w:type="paragraph" w:styleId="Titre6">
    <w:name w:val="heading 6"/>
    <w:basedOn w:val="Normal"/>
    <w:next w:val="Normal"/>
    <w:qFormat/>
    <w:rsid w:val="008F53ED"/>
    <w:pPr>
      <w:outlineLvl w:val="5"/>
    </w:pPr>
  </w:style>
  <w:style w:type="paragraph" w:styleId="Titre7">
    <w:name w:val="heading 7"/>
    <w:basedOn w:val="Normal"/>
    <w:next w:val="Normal"/>
    <w:qFormat/>
    <w:rsid w:val="008F53ED"/>
    <w:pPr>
      <w:outlineLvl w:val="6"/>
    </w:pPr>
  </w:style>
  <w:style w:type="paragraph" w:styleId="Titre8">
    <w:name w:val="heading 8"/>
    <w:basedOn w:val="Normal"/>
    <w:next w:val="Normal"/>
    <w:qFormat/>
    <w:rsid w:val="008F53ED"/>
    <w:pPr>
      <w:outlineLvl w:val="7"/>
    </w:pPr>
  </w:style>
  <w:style w:type="paragraph" w:styleId="Titre9">
    <w:name w:val="heading 9"/>
    <w:basedOn w:val="Normal"/>
    <w:next w:val="Normal"/>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Appelnotedebasdep">
    <w:name w:val="footnote reference"/>
    <w:aliases w:val="4_G"/>
    <w:qFormat/>
    <w:rsid w:val="00232716"/>
    <w:rPr>
      <w:rFonts w:ascii="Times New Roman" w:hAnsi="Times New Roman"/>
      <w:sz w:val="18"/>
      <w:vertAlign w:val="superscript"/>
    </w:rPr>
  </w:style>
  <w:style w:type="character" w:styleId="Appeldenotedefin">
    <w:name w:val="endnote reference"/>
    <w:aliases w:val="1_G"/>
    <w:basedOn w:val="Policepardfaut"/>
    <w:rsid w:val="00232716"/>
    <w:rPr>
      <w:rFonts w:ascii="Times New Roman" w:hAnsi="Times New Roman"/>
      <w:sz w:val="18"/>
      <w:vertAlign w:val="superscript"/>
      <w:lang w:val="fr-CH"/>
    </w:rPr>
  </w:style>
  <w:style w:type="paragraph" w:styleId="En-tte">
    <w:name w:val="header"/>
    <w:aliases w:val="6_G"/>
    <w:basedOn w:val="Normal"/>
    <w:next w:val="Normal"/>
    <w:rsid w:val="008F53ED"/>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23271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paragraph" w:styleId="Notedefin">
    <w:name w:val="endnote text"/>
    <w:aliases w:val="2_G"/>
    <w:basedOn w:val="Notedebasdepage"/>
    <w:rsid w:val="008F53ED"/>
  </w:style>
  <w:style w:type="character" w:styleId="Numrodepage">
    <w:name w:val="page number"/>
    <w:aliases w:val="7_G"/>
    <w:rsid w:val="008F53ED"/>
    <w:rPr>
      <w:rFonts w:ascii="Times New Roman" w:hAnsi="Times New Roman"/>
      <w:b/>
      <w:sz w:val="18"/>
      <w:lang w:val="fr-CH"/>
    </w:rPr>
  </w:style>
  <w:style w:type="paragraph" w:styleId="Pieddepage">
    <w:name w:val="footer"/>
    <w:aliases w:val="3_G"/>
    <w:basedOn w:val="Normal"/>
    <w:next w:val="Normal"/>
    <w:rsid w:val="008F53ED"/>
    <w:pPr>
      <w:spacing w:line="240" w:lineRule="auto"/>
    </w:pPr>
    <w:rPr>
      <w:sz w:val="16"/>
    </w:rPr>
  </w:style>
  <w:style w:type="character" w:styleId="Lienhypertexte">
    <w:name w:val="Hyperlink"/>
    <w:semiHidden/>
    <w:rsid w:val="00366F5B"/>
    <w:rPr>
      <w:color w:val="auto"/>
      <w:u w:val="none"/>
    </w:rPr>
  </w:style>
  <w:style w:type="character" w:styleId="Lienhypertextesuivivisit">
    <w:name w:val="FollowedHyperlink"/>
    <w:semiHidden/>
    <w:rsid w:val="00366F5B"/>
    <w:rPr>
      <w:color w:val="auto"/>
      <w:u w:val="none"/>
    </w:rPr>
  </w:style>
  <w:style w:type="table" w:styleId="Grilledutableau">
    <w:name w:val="Table Grid"/>
    <w:basedOn w:val="Tableau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E54419"/>
    <w:rPr>
      <w:lang w:val="fr-CH" w:eastAsia="en-US"/>
    </w:rPr>
  </w:style>
  <w:style w:type="character" w:customStyle="1" w:styleId="NotedebasdepageCar">
    <w:name w:val="Note de bas de page Car"/>
    <w:aliases w:val="5_G Car"/>
    <w:link w:val="Notedebasdepage"/>
    <w:rsid w:val="00E54419"/>
    <w:rPr>
      <w:rFonts w:eastAsia="SimSun"/>
      <w:sz w:val="18"/>
      <w:lang w:eastAsia="zh-CN"/>
    </w:rPr>
  </w:style>
  <w:style w:type="character" w:customStyle="1" w:styleId="fullarticletexte">
    <w:name w:val="fullarticletexte"/>
    <w:rsid w:val="00E54419"/>
  </w:style>
  <w:style w:type="character" w:styleId="Accentuation">
    <w:name w:val="Emphasis"/>
    <w:uiPriority w:val="20"/>
    <w:qFormat/>
    <w:rsid w:val="00E54419"/>
    <w:rPr>
      <w:i/>
      <w:iCs/>
    </w:rPr>
  </w:style>
  <w:style w:type="paragraph" w:styleId="Textedebulles">
    <w:name w:val="Balloon Text"/>
    <w:basedOn w:val="Normal"/>
    <w:link w:val="TextedebullesCar"/>
    <w:rsid w:val="00C64F31"/>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C64F31"/>
    <w:rPr>
      <w:rFonts w:ascii="Tahoma" w:hAnsi="Tahoma" w:cs="Tahoma"/>
      <w:sz w:val="16"/>
      <w:szCs w:val="16"/>
      <w:lang w:val="fr-CH" w:eastAsia="en-US"/>
    </w:rPr>
  </w:style>
  <w:style w:type="character" w:customStyle="1" w:styleId="shorttext">
    <w:name w:val="short_text"/>
    <w:basedOn w:val="Policepardfaut"/>
    <w:rsid w:val="000D2456"/>
  </w:style>
  <w:style w:type="character" w:styleId="Marquedecommentaire">
    <w:name w:val="annotation reference"/>
    <w:basedOn w:val="Policepardfaut"/>
    <w:rsid w:val="00D640F8"/>
    <w:rPr>
      <w:sz w:val="16"/>
      <w:szCs w:val="16"/>
    </w:rPr>
  </w:style>
  <w:style w:type="paragraph" w:styleId="Commentaire">
    <w:name w:val="annotation text"/>
    <w:basedOn w:val="Normal"/>
    <w:link w:val="CommentaireCar"/>
    <w:rsid w:val="00D640F8"/>
    <w:pPr>
      <w:spacing w:line="240" w:lineRule="auto"/>
    </w:pPr>
  </w:style>
  <w:style w:type="character" w:customStyle="1" w:styleId="CommentaireCar">
    <w:name w:val="Commentaire Car"/>
    <w:basedOn w:val="Policepardfaut"/>
    <w:link w:val="Commentaire"/>
    <w:rsid w:val="00D640F8"/>
    <w:rPr>
      <w:lang w:val="fr-CH" w:eastAsia="en-US"/>
    </w:rPr>
  </w:style>
  <w:style w:type="paragraph" w:styleId="Objetducommentaire">
    <w:name w:val="annotation subject"/>
    <w:basedOn w:val="Commentaire"/>
    <w:next w:val="Commentaire"/>
    <w:link w:val="ObjetducommentaireCar"/>
    <w:rsid w:val="00D640F8"/>
    <w:rPr>
      <w:b/>
      <w:bCs/>
    </w:rPr>
  </w:style>
  <w:style w:type="character" w:customStyle="1" w:styleId="ObjetducommentaireCar">
    <w:name w:val="Objet du commentaire Car"/>
    <w:basedOn w:val="CommentaireCar"/>
    <w:link w:val="Objetducommentaire"/>
    <w:rsid w:val="00D640F8"/>
    <w:rPr>
      <w:b/>
      <w:bCs/>
      <w:lang w:val="fr-CH" w:eastAsia="en-US"/>
    </w:rPr>
  </w:style>
  <w:style w:type="paragraph" w:styleId="Rvision">
    <w:name w:val="Revision"/>
    <w:hidden/>
    <w:uiPriority w:val="99"/>
    <w:semiHidden/>
    <w:rsid w:val="00295179"/>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ED"/>
    <w:pPr>
      <w:suppressAutoHyphens/>
      <w:spacing w:line="240" w:lineRule="atLeast"/>
    </w:pPr>
    <w:rPr>
      <w:lang w:val="fr-CH" w:eastAsia="en-US"/>
    </w:rPr>
  </w:style>
  <w:style w:type="paragraph" w:styleId="Titre1">
    <w:name w:val="heading 1"/>
    <w:aliases w:val="Table_G"/>
    <w:basedOn w:val="SingleTxtG"/>
    <w:next w:val="SingleTxtG"/>
    <w:qFormat/>
    <w:rsid w:val="00B93051"/>
    <w:pPr>
      <w:keepNext/>
      <w:keepLines/>
      <w:spacing w:after="0" w:line="240" w:lineRule="auto"/>
      <w:ind w:right="0"/>
      <w:jc w:val="left"/>
      <w:outlineLvl w:val="0"/>
    </w:pPr>
  </w:style>
  <w:style w:type="paragraph" w:styleId="Titre2">
    <w:name w:val="heading 2"/>
    <w:basedOn w:val="Normal"/>
    <w:next w:val="Normal"/>
    <w:qFormat/>
    <w:rsid w:val="008F53ED"/>
    <w:pPr>
      <w:outlineLvl w:val="1"/>
    </w:pPr>
  </w:style>
  <w:style w:type="paragraph" w:styleId="Titre3">
    <w:name w:val="heading 3"/>
    <w:basedOn w:val="Normal"/>
    <w:next w:val="Normal"/>
    <w:qFormat/>
    <w:rsid w:val="008F53ED"/>
    <w:pPr>
      <w:outlineLvl w:val="2"/>
    </w:pPr>
  </w:style>
  <w:style w:type="paragraph" w:styleId="Titre4">
    <w:name w:val="heading 4"/>
    <w:basedOn w:val="Normal"/>
    <w:next w:val="Normal"/>
    <w:qFormat/>
    <w:rsid w:val="008F53ED"/>
    <w:pPr>
      <w:outlineLvl w:val="3"/>
    </w:pPr>
  </w:style>
  <w:style w:type="paragraph" w:styleId="Titre5">
    <w:name w:val="heading 5"/>
    <w:basedOn w:val="Normal"/>
    <w:next w:val="Normal"/>
    <w:qFormat/>
    <w:rsid w:val="008F53ED"/>
    <w:pPr>
      <w:outlineLvl w:val="4"/>
    </w:pPr>
  </w:style>
  <w:style w:type="paragraph" w:styleId="Titre6">
    <w:name w:val="heading 6"/>
    <w:basedOn w:val="Normal"/>
    <w:next w:val="Normal"/>
    <w:qFormat/>
    <w:rsid w:val="008F53ED"/>
    <w:pPr>
      <w:outlineLvl w:val="5"/>
    </w:pPr>
  </w:style>
  <w:style w:type="paragraph" w:styleId="Titre7">
    <w:name w:val="heading 7"/>
    <w:basedOn w:val="Normal"/>
    <w:next w:val="Normal"/>
    <w:qFormat/>
    <w:rsid w:val="008F53ED"/>
    <w:pPr>
      <w:outlineLvl w:val="6"/>
    </w:pPr>
  </w:style>
  <w:style w:type="paragraph" w:styleId="Titre8">
    <w:name w:val="heading 8"/>
    <w:basedOn w:val="Normal"/>
    <w:next w:val="Normal"/>
    <w:qFormat/>
    <w:rsid w:val="008F53ED"/>
    <w:pPr>
      <w:outlineLvl w:val="7"/>
    </w:pPr>
  </w:style>
  <w:style w:type="paragraph" w:styleId="Titre9">
    <w:name w:val="heading 9"/>
    <w:basedOn w:val="Normal"/>
    <w:next w:val="Normal"/>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Appelnotedebasdep">
    <w:name w:val="footnote reference"/>
    <w:aliases w:val="4_G"/>
    <w:qFormat/>
    <w:rsid w:val="00232716"/>
    <w:rPr>
      <w:rFonts w:ascii="Times New Roman" w:hAnsi="Times New Roman"/>
      <w:sz w:val="18"/>
      <w:vertAlign w:val="superscript"/>
    </w:rPr>
  </w:style>
  <w:style w:type="character" w:styleId="Appeldenotedefin">
    <w:name w:val="endnote reference"/>
    <w:aliases w:val="1_G"/>
    <w:basedOn w:val="Policepardfaut"/>
    <w:rsid w:val="00232716"/>
    <w:rPr>
      <w:rFonts w:ascii="Times New Roman" w:hAnsi="Times New Roman"/>
      <w:sz w:val="18"/>
      <w:vertAlign w:val="superscript"/>
      <w:lang w:val="fr-CH"/>
    </w:rPr>
  </w:style>
  <w:style w:type="paragraph" w:styleId="En-tte">
    <w:name w:val="header"/>
    <w:aliases w:val="6_G"/>
    <w:basedOn w:val="Normal"/>
    <w:next w:val="Normal"/>
    <w:rsid w:val="008F53ED"/>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23271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paragraph" w:styleId="Notedefin">
    <w:name w:val="endnote text"/>
    <w:aliases w:val="2_G"/>
    <w:basedOn w:val="Notedebasdepage"/>
    <w:rsid w:val="008F53ED"/>
  </w:style>
  <w:style w:type="character" w:styleId="Numrodepage">
    <w:name w:val="page number"/>
    <w:aliases w:val="7_G"/>
    <w:rsid w:val="008F53ED"/>
    <w:rPr>
      <w:rFonts w:ascii="Times New Roman" w:hAnsi="Times New Roman"/>
      <w:b/>
      <w:sz w:val="18"/>
      <w:lang w:val="fr-CH"/>
    </w:rPr>
  </w:style>
  <w:style w:type="paragraph" w:styleId="Pieddepage">
    <w:name w:val="footer"/>
    <w:aliases w:val="3_G"/>
    <w:basedOn w:val="Normal"/>
    <w:next w:val="Normal"/>
    <w:rsid w:val="008F53ED"/>
    <w:pPr>
      <w:spacing w:line="240" w:lineRule="auto"/>
    </w:pPr>
    <w:rPr>
      <w:sz w:val="16"/>
    </w:rPr>
  </w:style>
  <w:style w:type="character" w:styleId="Lienhypertexte">
    <w:name w:val="Hyperlink"/>
    <w:semiHidden/>
    <w:rsid w:val="00366F5B"/>
    <w:rPr>
      <w:color w:val="auto"/>
      <w:u w:val="none"/>
    </w:rPr>
  </w:style>
  <w:style w:type="character" w:styleId="Lienhypertextesuivivisit">
    <w:name w:val="FollowedHyperlink"/>
    <w:semiHidden/>
    <w:rsid w:val="00366F5B"/>
    <w:rPr>
      <w:color w:val="auto"/>
      <w:u w:val="none"/>
    </w:rPr>
  </w:style>
  <w:style w:type="table" w:styleId="Grilledutableau">
    <w:name w:val="Table Grid"/>
    <w:basedOn w:val="Tableau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E54419"/>
    <w:rPr>
      <w:lang w:val="fr-CH" w:eastAsia="en-US"/>
    </w:rPr>
  </w:style>
  <w:style w:type="character" w:customStyle="1" w:styleId="NotedebasdepageCar">
    <w:name w:val="Note de bas de page Car"/>
    <w:aliases w:val="5_G Car"/>
    <w:link w:val="Notedebasdepage"/>
    <w:rsid w:val="00E54419"/>
    <w:rPr>
      <w:rFonts w:eastAsia="SimSun"/>
      <w:sz w:val="18"/>
      <w:lang w:eastAsia="zh-CN"/>
    </w:rPr>
  </w:style>
  <w:style w:type="character" w:customStyle="1" w:styleId="fullarticletexte">
    <w:name w:val="fullarticletexte"/>
    <w:rsid w:val="00E54419"/>
  </w:style>
  <w:style w:type="character" w:styleId="Accentuation">
    <w:name w:val="Emphasis"/>
    <w:uiPriority w:val="20"/>
    <w:qFormat/>
    <w:rsid w:val="00E54419"/>
    <w:rPr>
      <w:i/>
      <w:iCs/>
    </w:rPr>
  </w:style>
  <w:style w:type="paragraph" w:styleId="Textedebulles">
    <w:name w:val="Balloon Text"/>
    <w:basedOn w:val="Normal"/>
    <w:link w:val="TextedebullesCar"/>
    <w:rsid w:val="00C64F31"/>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C64F31"/>
    <w:rPr>
      <w:rFonts w:ascii="Tahoma" w:hAnsi="Tahoma" w:cs="Tahoma"/>
      <w:sz w:val="16"/>
      <w:szCs w:val="16"/>
      <w:lang w:val="fr-CH" w:eastAsia="en-US"/>
    </w:rPr>
  </w:style>
  <w:style w:type="character" w:customStyle="1" w:styleId="shorttext">
    <w:name w:val="short_text"/>
    <w:basedOn w:val="Policepardfaut"/>
    <w:rsid w:val="000D2456"/>
  </w:style>
  <w:style w:type="character" w:styleId="Marquedecommentaire">
    <w:name w:val="annotation reference"/>
    <w:basedOn w:val="Policepardfaut"/>
    <w:rsid w:val="00D640F8"/>
    <w:rPr>
      <w:sz w:val="16"/>
      <w:szCs w:val="16"/>
    </w:rPr>
  </w:style>
  <w:style w:type="paragraph" w:styleId="Commentaire">
    <w:name w:val="annotation text"/>
    <w:basedOn w:val="Normal"/>
    <w:link w:val="CommentaireCar"/>
    <w:rsid w:val="00D640F8"/>
    <w:pPr>
      <w:spacing w:line="240" w:lineRule="auto"/>
    </w:pPr>
  </w:style>
  <w:style w:type="character" w:customStyle="1" w:styleId="CommentaireCar">
    <w:name w:val="Commentaire Car"/>
    <w:basedOn w:val="Policepardfaut"/>
    <w:link w:val="Commentaire"/>
    <w:rsid w:val="00D640F8"/>
    <w:rPr>
      <w:lang w:val="fr-CH" w:eastAsia="en-US"/>
    </w:rPr>
  </w:style>
  <w:style w:type="paragraph" w:styleId="Objetducommentaire">
    <w:name w:val="annotation subject"/>
    <w:basedOn w:val="Commentaire"/>
    <w:next w:val="Commentaire"/>
    <w:link w:val="ObjetducommentaireCar"/>
    <w:rsid w:val="00D640F8"/>
    <w:rPr>
      <w:b/>
      <w:bCs/>
    </w:rPr>
  </w:style>
  <w:style w:type="character" w:customStyle="1" w:styleId="ObjetducommentaireCar">
    <w:name w:val="Objet du commentaire Car"/>
    <w:basedOn w:val="CommentaireCar"/>
    <w:link w:val="Objetducommentaire"/>
    <w:rsid w:val="00D640F8"/>
    <w:rPr>
      <w:b/>
      <w:bCs/>
      <w:lang w:val="fr-CH" w:eastAsia="en-US"/>
    </w:rPr>
  </w:style>
  <w:style w:type="paragraph" w:styleId="Rvision">
    <w:name w:val="Revision"/>
    <w:hidden/>
    <w:uiPriority w:val="99"/>
    <w:semiHidden/>
    <w:rsid w:val="00295179"/>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8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0FE1-4C84-4C55-8016-D2BE01D5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CCPR_F.dotm</Template>
  <TotalTime>0</TotalTime>
  <Pages>7</Pages>
  <Words>3637</Words>
  <Characters>20081</Characters>
  <Application>Microsoft Office Word</Application>
  <DocSecurity>0</DocSecurity>
  <Lines>446</Lines>
  <Paragraphs>266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CCPR/C/TGO/QPR/5</vt:lpstr>
      <vt:lpstr>Nations Unies</vt:lpstr>
    </vt:vector>
  </TitlesOfParts>
  <Company>CSD</Company>
  <LinksUpToDate>false</LinksUpToDate>
  <CharactersWithSpaces>23452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CCPR/C/TGO/QPR/5</dc:title>
  <dc:subject>qrc</dc:subject>
  <dc:creator>dvx</dc:creator>
  <cp:keywords/>
  <dc:description/>
  <cp:lastModifiedBy>Devouass</cp:lastModifiedBy>
  <cp:revision>2</cp:revision>
  <cp:lastPrinted>2009-10-07T16:31:00Z</cp:lastPrinted>
  <dcterms:created xsi:type="dcterms:W3CDTF">2016-12-09T12:10:00Z</dcterms:created>
  <dcterms:modified xsi:type="dcterms:W3CDTF">2016-12-09T12:10:00Z</dcterms:modified>
</cp:coreProperties>
</file>