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proofErr w:type="spellStart"/>
            <w:r w:rsidRPr="000B4B07">
              <w:rPr>
                <w:sz w:val="40"/>
                <w:szCs w:val="40"/>
                <w:lang w:val="en-US"/>
              </w:rPr>
              <w:t>CCPR</w:t>
            </w:r>
            <w:proofErr w:type="spellEnd"/>
            <w:r>
              <w:rPr>
                <w:lang w:val="en-US"/>
              </w:rPr>
              <w:t>/</w:t>
            </w:r>
            <w:r>
              <w:fldChar w:fldCharType="begin"/>
            </w:r>
            <w:r>
              <w:instrText xml:space="preserve"> FILLIN  "Введите часть символа после CCPR/"  \* MERGEFORMAT </w:instrText>
            </w:r>
            <w:r>
              <w:fldChar w:fldCharType="separate"/>
            </w:r>
            <w:proofErr w:type="spellStart"/>
            <w:r w:rsidR="002A1CA3">
              <w:t>C</w:t>
            </w:r>
            <w:proofErr w:type="spellEnd"/>
            <w:r w:rsidR="002A1CA3">
              <w:t>/</w:t>
            </w:r>
            <w:proofErr w:type="spellStart"/>
            <w:r w:rsidR="002A1CA3">
              <w:t>TGO</w:t>
            </w:r>
            <w:proofErr w:type="spellEnd"/>
            <w:r w:rsidR="002A1CA3">
              <w:t>/</w:t>
            </w:r>
            <w:proofErr w:type="spellStart"/>
            <w:r w:rsidR="002A1CA3">
              <w:t>CO</w:t>
            </w:r>
            <w:proofErr w:type="spellEnd"/>
            <w:r w:rsidR="002A1CA3">
              <w:t>/4</w:t>
            </w:r>
            <w:r>
              <w:fldChar w:fldCharType="end"/>
            </w:r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Pr="0057725D" w:rsidRDefault="0084613B" w:rsidP="00D76358">
            <w:pPr>
              <w:spacing w:before="240"/>
            </w:pPr>
            <w:r>
              <w:rPr>
                <w:lang w:val="en-US"/>
              </w:rPr>
              <w:t>Distr</w:t>
            </w:r>
            <w:r>
              <w:t>.:</w:t>
            </w:r>
            <w:r w:rsidRPr="0057725D"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57725D">
              <w:instrText xml:space="preserve"> </w:instrText>
            </w:r>
            <w:r>
              <w:rPr>
                <w:lang w:val="en-US"/>
              </w:rPr>
              <w:instrText>FORMDROPDOWN</w:instrText>
            </w:r>
            <w:r w:rsidRPr="0057725D">
              <w:instrText xml:space="preserve"> </w:instrText>
            </w:r>
            <w:r>
              <w:fldChar w:fldCharType="end"/>
            </w:r>
            <w:bookmarkEnd w:id="0"/>
          </w:p>
          <w:p w:rsidR="0084613B" w:rsidRPr="0057725D" w:rsidRDefault="0084613B" w:rsidP="00D76358">
            <w:r>
              <w:rPr>
                <w:lang w:val="en-US"/>
              </w:rPr>
              <w:fldChar w:fldCharType="begin"/>
            </w:r>
            <w:r w:rsidRPr="0057725D">
              <w:instrText xml:space="preserve"> </w:instrText>
            </w:r>
            <w:r>
              <w:rPr>
                <w:lang w:val="en-US"/>
              </w:rPr>
              <w:instrText>FILLIN</w:instrText>
            </w:r>
            <w:r w:rsidRPr="0057725D">
              <w:instrText xml:space="preserve">  "Введите дату документа" \* </w:instrText>
            </w:r>
            <w:r>
              <w:rPr>
                <w:lang w:val="en-US"/>
              </w:rPr>
              <w:instrText>MERGEFORMAT</w:instrText>
            </w:r>
            <w:r w:rsidRPr="0057725D">
              <w:instrText xml:space="preserve"> </w:instrText>
            </w:r>
            <w:r w:rsidR="002A1CA3">
              <w:rPr>
                <w:lang w:val="en-US"/>
              </w:rPr>
              <w:fldChar w:fldCharType="separate"/>
            </w:r>
            <w:r w:rsidR="002A1CA3" w:rsidRPr="0057725D">
              <w:t xml:space="preserve">18 </w:t>
            </w:r>
            <w:r w:rsidR="002A1CA3">
              <w:rPr>
                <w:lang w:val="en-US"/>
              </w:rPr>
              <w:t>April</w:t>
            </w:r>
            <w:r w:rsidR="002A1CA3" w:rsidRPr="0057725D">
              <w:t xml:space="preserve"> 2011</w:t>
            </w:r>
            <w:r>
              <w:rPr>
                <w:lang w:val="en-US"/>
              </w:rPr>
              <w:fldChar w:fldCharType="end"/>
            </w:r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57725D" w:rsidRPr="0057725D" w:rsidRDefault="0057725D" w:rsidP="0057725D">
      <w:pPr>
        <w:spacing w:before="120"/>
        <w:rPr>
          <w:b/>
          <w:sz w:val="24"/>
          <w:szCs w:val="24"/>
        </w:rPr>
      </w:pPr>
      <w:r w:rsidRPr="0057725D">
        <w:rPr>
          <w:b/>
          <w:sz w:val="24"/>
          <w:szCs w:val="24"/>
        </w:rPr>
        <w:t>Комитет по правам человека</w:t>
      </w:r>
    </w:p>
    <w:p w:rsidR="0057725D" w:rsidRPr="0057725D" w:rsidRDefault="0057725D" w:rsidP="0057725D">
      <w:pPr>
        <w:rPr>
          <w:b/>
        </w:rPr>
      </w:pPr>
      <w:r w:rsidRPr="0057725D">
        <w:rPr>
          <w:b/>
        </w:rPr>
        <w:t>Сто первая сессия</w:t>
      </w:r>
    </w:p>
    <w:p w:rsidR="0057725D" w:rsidRPr="0057725D" w:rsidRDefault="0057725D" w:rsidP="0057725D">
      <w:r w:rsidRPr="0057725D">
        <w:t>Нью-Йорк, 14 марта − 1 апреля 2011 года</w:t>
      </w:r>
    </w:p>
    <w:p w:rsidR="0057725D" w:rsidRPr="0057725D" w:rsidRDefault="0057725D" w:rsidP="0057725D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57725D">
        <w:t>Рассмотрение докладов, представленных государствами-участниками в соответст</w:t>
      </w:r>
      <w:r>
        <w:t>вии со</w:t>
      </w:r>
      <w:r>
        <w:rPr>
          <w:lang w:val="en-US"/>
        </w:rPr>
        <w:t> </w:t>
      </w:r>
      <w:r w:rsidRPr="0057725D">
        <w:t>статьей 40 Пакта</w:t>
      </w:r>
    </w:p>
    <w:p w:rsidR="0057725D" w:rsidRPr="0057725D" w:rsidRDefault="0057725D" w:rsidP="0057725D">
      <w:pPr>
        <w:pStyle w:val="H1GR"/>
      </w:pPr>
      <w:r w:rsidRPr="0057725D">
        <w:tab/>
      </w:r>
      <w:r w:rsidRPr="0057725D">
        <w:tab/>
        <w:t>Заключительные замечания Комитета по правам человека</w:t>
      </w:r>
    </w:p>
    <w:p w:rsidR="0057725D" w:rsidRPr="0057725D" w:rsidRDefault="0057725D" w:rsidP="00D131B6">
      <w:pPr>
        <w:pStyle w:val="HChGR"/>
        <w:spacing w:before="600"/>
      </w:pPr>
      <w:r>
        <w:rPr>
          <w:lang w:val="en-US"/>
        </w:rPr>
        <w:tab/>
      </w:r>
      <w:r>
        <w:rPr>
          <w:lang w:val="en-US"/>
        </w:rPr>
        <w:tab/>
      </w:r>
      <w:r w:rsidRPr="0057725D">
        <w:t>Того</w:t>
      </w:r>
    </w:p>
    <w:p w:rsidR="0057725D" w:rsidRPr="0057725D" w:rsidRDefault="0057725D" w:rsidP="00C04092">
      <w:pPr>
        <w:pStyle w:val="SingleTxtGR"/>
      </w:pPr>
      <w:r w:rsidRPr="0057725D">
        <w:t>1.</w:t>
      </w:r>
      <w:r w:rsidRPr="0057725D">
        <w:tab/>
        <w:t>Комитет по правам человека рассмотрел четвертый периодический до</w:t>
      </w:r>
      <w:r w:rsidRPr="0057725D">
        <w:t>к</w:t>
      </w:r>
      <w:r w:rsidRPr="0057725D">
        <w:t>лад Того (</w:t>
      </w:r>
      <w:r w:rsidRPr="0057725D">
        <w:rPr>
          <w:lang w:val="fr-FR"/>
        </w:rPr>
        <w:t>CCPR</w:t>
      </w:r>
      <w:r w:rsidRPr="0057725D">
        <w:t>/</w:t>
      </w:r>
      <w:r w:rsidRPr="0057725D">
        <w:rPr>
          <w:lang w:val="fr-FR"/>
        </w:rPr>
        <w:t>C</w:t>
      </w:r>
      <w:r w:rsidRPr="0057725D">
        <w:t>/</w:t>
      </w:r>
      <w:r w:rsidRPr="0057725D">
        <w:rPr>
          <w:lang w:val="fr-FR"/>
        </w:rPr>
        <w:t>TGO</w:t>
      </w:r>
      <w:r w:rsidRPr="0057725D">
        <w:t>/4) на своих 2774-м и 2775-м заседаниях, состоявшихся 14 и 15 марта 2011 года (</w:t>
      </w:r>
      <w:r w:rsidRPr="0057725D">
        <w:rPr>
          <w:lang w:val="fr-FR"/>
        </w:rPr>
        <w:t>CCPR</w:t>
      </w:r>
      <w:r w:rsidRPr="0057725D">
        <w:t>/</w:t>
      </w:r>
      <w:r w:rsidRPr="0057725D">
        <w:rPr>
          <w:lang w:val="fr-FR"/>
        </w:rPr>
        <w:t>C</w:t>
      </w:r>
      <w:r w:rsidRPr="0057725D">
        <w:t>/</w:t>
      </w:r>
      <w:r w:rsidRPr="0057725D">
        <w:rPr>
          <w:lang w:val="fr-FR"/>
        </w:rPr>
        <w:t>SR</w:t>
      </w:r>
      <w:r w:rsidRPr="0057725D">
        <w:t xml:space="preserve">.2774 и 2775). На своем 2793-м заседании, состоявшемся 28 марта 2011 года (CCPR/C/SR.2793), он принял </w:t>
      </w:r>
      <w:r w:rsidR="00D174D3">
        <w:t>ниже</w:t>
      </w:r>
      <w:r w:rsidRPr="0057725D">
        <w:t>следу</w:t>
      </w:r>
      <w:r w:rsidRPr="0057725D">
        <w:t>ю</w:t>
      </w:r>
      <w:r w:rsidRPr="0057725D">
        <w:t>щие заключительные замечания.</w:t>
      </w:r>
    </w:p>
    <w:p w:rsidR="0057725D" w:rsidRPr="0057725D" w:rsidRDefault="00C04092" w:rsidP="00C04092">
      <w:pPr>
        <w:pStyle w:val="H1GR"/>
      </w:pPr>
      <w:r w:rsidRPr="00D174D3">
        <w:tab/>
      </w:r>
      <w:r w:rsidR="0057725D" w:rsidRPr="0057725D">
        <w:t>А.</w:t>
      </w:r>
      <w:r w:rsidR="0057725D" w:rsidRPr="0057725D">
        <w:tab/>
        <w:t>Введение</w:t>
      </w:r>
    </w:p>
    <w:p w:rsidR="0057725D" w:rsidRPr="0057725D" w:rsidRDefault="0057725D" w:rsidP="00C04092">
      <w:pPr>
        <w:pStyle w:val="SingleTxtGR"/>
      </w:pPr>
      <w:r w:rsidRPr="0057725D">
        <w:t>2.</w:t>
      </w:r>
      <w:r w:rsidRPr="0057725D">
        <w:tab/>
        <w:t>Комитет приветствует четверт</w:t>
      </w:r>
      <w:r w:rsidR="00D174D3">
        <w:t>ый</w:t>
      </w:r>
      <w:r w:rsidRPr="0057725D">
        <w:t xml:space="preserve"> доклад государства-участника, кот</w:t>
      </w:r>
      <w:r w:rsidRPr="0057725D">
        <w:t>о</w:t>
      </w:r>
      <w:r w:rsidRPr="0057725D">
        <w:t xml:space="preserve">рый составлен </w:t>
      </w:r>
      <w:r w:rsidR="006540DA">
        <w:t xml:space="preserve">в соответствии </w:t>
      </w:r>
      <w:r w:rsidRPr="0057725D">
        <w:t>с руководящими указаниями Комитета</w:t>
      </w:r>
      <w:r w:rsidR="006540DA">
        <w:t>, который был</w:t>
      </w:r>
      <w:r w:rsidRPr="0057725D">
        <w:t xml:space="preserve"> представлен с небольш</w:t>
      </w:r>
      <w:r w:rsidR="006540DA">
        <w:t>им опозданием</w:t>
      </w:r>
      <w:r w:rsidRPr="0057725D">
        <w:t>. Он благодарит государство-участник за заблаговременное направление ему письменных ответов (</w:t>
      </w:r>
      <w:proofErr w:type="spellStart"/>
      <w:r w:rsidRPr="0057725D">
        <w:t>CCPR</w:t>
      </w:r>
      <w:proofErr w:type="spellEnd"/>
      <w:r w:rsidRPr="0057725D">
        <w:t>/</w:t>
      </w:r>
      <w:proofErr w:type="spellStart"/>
      <w:r w:rsidRPr="0057725D">
        <w:t>C</w:t>
      </w:r>
      <w:proofErr w:type="spellEnd"/>
      <w:r w:rsidRPr="0057725D">
        <w:t>/</w:t>
      </w:r>
      <w:proofErr w:type="spellStart"/>
      <w:r w:rsidRPr="0057725D">
        <w:t>TGO</w:t>
      </w:r>
      <w:proofErr w:type="spellEnd"/>
      <w:r w:rsidRPr="0057725D">
        <w:t>/</w:t>
      </w:r>
      <w:proofErr w:type="spellStart"/>
      <w:r w:rsidRPr="0057725D">
        <w:t>Q</w:t>
      </w:r>
      <w:proofErr w:type="spellEnd"/>
      <w:r w:rsidRPr="0057725D">
        <w:t>/4/</w:t>
      </w:r>
      <w:r w:rsidR="006540DA">
        <w:t xml:space="preserve"> </w:t>
      </w:r>
      <w:r w:rsidRPr="0057725D">
        <w:t>Add.1). Он также благодарит делегацию за ответы на вопросы, заданные в ус</w:t>
      </w:r>
      <w:r w:rsidRPr="0057725D">
        <w:t>т</w:t>
      </w:r>
      <w:r w:rsidRPr="0057725D">
        <w:t xml:space="preserve">ной форме, и за представление </w:t>
      </w:r>
      <w:r w:rsidR="006540DA">
        <w:t>дополнительной</w:t>
      </w:r>
      <w:r w:rsidRPr="0057725D">
        <w:t xml:space="preserve"> информации </w:t>
      </w:r>
      <w:r w:rsidR="006540DA">
        <w:t>в рамках</w:t>
      </w:r>
      <w:r w:rsidRPr="0057725D">
        <w:t xml:space="preserve"> ди</w:t>
      </w:r>
      <w:r w:rsidRPr="0057725D">
        <w:t>а</w:t>
      </w:r>
      <w:r w:rsidRPr="0057725D">
        <w:t>лога с Комитетом.</w:t>
      </w:r>
    </w:p>
    <w:p w:rsidR="0057725D" w:rsidRPr="0057725D" w:rsidRDefault="0057725D" w:rsidP="00C04092">
      <w:pPr>
        <w:pStyle w:val="SingleTxtGR"/>
      </w:pPr>
      <w:r w:rsidRPr="0057725D">
        <w:t>3.</w:t>
      </w:r>
      <w:r w:rsidRPr="0057725D">
        <w:tab/>
        <w:t>Комитет отдает должное тоголезским неправительственным организац</w:t>
      </w:r>
      <w:r w:rsidRPr="0057725D">
        <w:t>и</w:t>
      </w:r>
      <w:r w:rsidRPr="0057725D">
        <w:t>ям (НПО) за их вклад в его работу и напоминает об обязанности государства-участника уважать и защищать права человека сотрудников всех правозащи</w:t>
      </w:r>
      <w:r w:rsidRPr="0057725D">
        <w:t>т</w:t>
      </w:r>
      <w:r w:rsidRPr="0057725D">
        <w:t>ных организаций, действующих на его территории.</w:t>
      </w:r>
    </w:p>
    <w:p w:rsidR="0057725D" w:rsidRPr="0057725D" w:rsidRDefault="00C04092" w:rsidP="00C04092">
      <w:pPr>
        <w:pStyle w:val="H1GR"/>
      </w:pPr>
      <w:r>
        <w:rPr>
          <w:lang w:val="en-US"/>
        </w:rPr>
        <w:tab/>
      </w:r>
      <w:r w:rsidR="0057725D" w:rsidRPr="0057725D">
        <w:t>В</w:t>
      </w:r>
      <w:r w:rsidR="00FA614A">
        <w:t>.</w:t>
      </w:r>
      <w:r w:rsidR="0057725D" w:rsidRPr="0057725D">
        <w:tab/>
        <w:t>Позитивные аспекты</w:t>
      </w:r>
    </w:p>
    <w:p w:rsidR="0057725D" w:rsidRPr="0057725D" w:rsidRDefault="0057725D" w:rsidP="00C04092">
      <w:pPr>
        <w:pStyle w:val="SingleTxtGR"/>
      </w:pPr>
      <w:r w:rsidRPr="0057725D">
        <w:t>4.</w:t>
      </w:r>
      <w:r w:rsidRPr="0057725D">
        <w:tab/>
        <w:t>Комитет приветствует присоединение государства-участника в течение рассматриваемого периода к международным договорам о правах человеках, закрепленны</w:t>
      </w:r>
      <w:r w:rsidR="006540DA">
        <w:t>х</w:t>
      </w:r>
      <w:r w:rsidRPr="0057725D">
        <w:t xml:space="preserve"> в Пакте, и в частности</w:t>
      </w:r>
      <w:r w:rsidR="006540DA">
        <w:t xml:space="preserve"> к</w:t>
      </w:r>
      <w:r w:rsidRPr="0057725D">
        <w:t>:</w:t>
      </w:r>
    </w:p>
    <w:p w:rsidR="0057725D" w:rsidRPr="0057725D" w:rsidRDefault="0057725D" w:rsidP="00C04092">
      <w:pPr>
        <w:pStyle w:val="SingleTxtGR"/>
      </w:pPr>
      <w:r w:rsidRPr="0057725D">
        <w:tab/>
        <w:t>а)</w:t>
      </w:r>
      <w:r w:rsidRPr="0057725D">
        <w:tab/>
        <w:t>Факультативному протоколу к Конвенции против пыток и других жестоких, бесчеловечных или унижающих достоинство видов обращения и н</w:t>
      </w:r>
      <w:r w:rsidRPr="0057725D">
        <w:t>а</w:t>
      </w:r>
      <w:r w:rsidRPr="0057725D">
        <w:t>казания − 20 июля 2010 года;</w:t>
      </w:r>
    </w:p>
    <w:p w:rsidR="0057725D" w:rsidRPr="0057725D" w:rsidRDefault="0057725D" w:rsidP="00C04092">
      <w:pPr>
        <w:pStyle w:val="SingleTxtGR"/>
      </w:pPr>
      <w:r w:rsidRPr="0057725D">
        <w:tab/>
      </w:r>
      <w:r w:rsidRPr="0057725D">
        <w:rPr>
          <w:lang w:val="fr-FR"/>
        </w:rPr>
        <w:t>b</w:t>
      </w:r>
      <w:r w:rsidRPr="0057725D">
        <w:t>)</w:t>
      </w:r>
      <w:r w:rsidRPr="0057725D">
        <w:tab/>
        <w:t>Конвенции о правах инвалидов − 1 марта 2011 года.</w:t>
      </w:r>
    </w:p>
    <w:p w:rsidR="0057725D" w:rsidRPr="0057725D" w:rsidRDefault="0057725D" w:rsidP="00C04092">
      <w:pPr>
        <w:pStyle w:val="SingleTxtGR"/>
      </w:pPr>
      <w:r w:rsidRPr="0057725D">
        <w:t>5.</w:t>
      </w:r>
      <w:r w:rsidRPr="0057725D">
        <w:tab/>
        <w:t>Комитет также выражает удовлетворение в связи с принятием в госуда</w:t>
      </w:r>
      <w:r w:rsidRPr="0057725D">
        <w:t>р</w:t>
      </w:r>
      <w:r w:rsidRPr="0057725D">
        <w:t>стве-участнике:</w:t>
      </w:r>
    </w:p>
    <w:p w:rsidR="0057725D" w:rsidRPr="0057725D" w:rsidRDefault="0057725D" w:rsidP="00C04092">
      <w:pPr>
        <w:pStyle w:val="SingleTxtGR"/>
      </w:pPr>
      <w:r w:rsidRPr="0057725D">
        <w:tab/>
      </w:r>
      <w:r w:rsidRPr="0057725D">
        <w:rPr>
          <w:lang w:val="fr-FR"/>
        </w:rPr>
        <w:t>a</w:t>
      </w:r>
      <w:r w:rsidRPr="0057725D">
        <w:t>)</w:t>
      </w:r>
      <w:r w:rsidRPr="0057725D">
        <w:tab/>
        <w:t xml:space="preserve">Закона об отмене смертной казни − 23 июня 2009 года; </w:t>
      </w:r>
    </w:p>
    <w:p w:rsidR="0057725D" w:rsidRPr="0057725D" w:rsidRDefault="0057725D" w:rsidP="00C04092">
      <w:pPr>
        <w:pStyle w:val="SingleTxtGR"/>
      </w:pPr>
      <w:r w:rsidRPr="0057725D">
        <w:tab/>
      </w:r>
      <w:r w:rsidRPr="0057725D">
        <w:rPr>
          <w:lang w:val="fr-FR"/>
        </w:rPr>
        <w:t>b</w:t>
      </w:r>
      <w:r w:rsidRPr="0057725D">
        <w:t>)</w:t>
      </w:r>
      <w:r w:rsidRPr="0057725D">
        <w:tab/>
        <w:t>Закона № 2005-04 от 9 февраля 2005 года о внесении изменений в Органический закон № 96-12 от 11 декабря 1996 года о составе, структуре и деятельности Национальной комиссии по правам человека (НКПЧ), что, соо</w:t>
      </w:r>
      <w:r w:rsidRPr="0057725D">
        <w:t>т</w:t>
      </w:r>
      <w:r w:rsidRPr="0057725D">
        <w:t xml:space="preserve">ветственно, позволило привести </w:t>
      </w:r>
      <w:r w:rsidR="00E10FBB">
        <w:t>работу этого органа</w:t>
      </w:r>
      <w:r w:rsidRPr="0057725D">
        <w:t xml:space="preserve"> в соответствие с Пари</w:t>
      </w:r>
      <w:r w:rsidRPr="0057725D">
        <w:t>ж</w:t>
      </w:r>
      <w:r w:rsidRPr="0057725D">
        <w:t>скими принципами.</w:t>
      </w:r>
    </w:p>
    <w:p w:rsidR="0057725D" w:rsidRPr="0057725D" w:rsidRDefault="0057725D" w:rsidP="00C04092">
      <w:pPr>
        <w:pStyle w:val="H1GR"/>
      </w:pPr>
      <w:r w:rsidRPr="0057725D">
        <w:tab/>
        <w:t>C.</w:t>
      </w:r>
      <w:r w:rsidRPr="0057725D">
        <w:tab/>
        <w:t>Основные вопро</w:t>
      </w:r>
      <w:r w:rsidR="00C04092">
        <w:t>сы, вызывающие озабоченность, и</w:t>
      </w:r>
      <w:r w:rsidR="00C04092">
        <w:rPr>
          <w:lang w:val="en-US"/>
        </w:rPr>
        <w:t> </w:t>
      </w:r>
      <w:r w:rsidRPr="0057725D">
        <w:t>рекомендации</w:t>
      </w:r>
    </w:p>
    <w:p w:rsidR="0057725D" w:rsidRPr="0057725D" w:rsidRDefault="0057725D" w:rsidP="00C04092">
      <w:pPr>
        <w:pStyle w:val="SingleTxtGR"/>
      </w:pPr>
      <w:r w:rsidRPr="0057725D">
        <w:t>6.</w:t>
      </w:r>
      <w:r w:rsidRPr="0057725D">
        <w:tab/>
        <w:t xml:space="preserve">Принимая к сведению </w:t>
      </w:r>
      <w:r w:rsidR="00E10FBB">
        <w:t>информацию</w:t>
      </w:r>
      <w:r w:rsidRPr="0057725D">
        <w:t xml:space="preserve"> государства-участника о ходе закон</w:t>
      </w:r>
      <w:r w:rsidRPr="0057725D">
        <w:t>о</w:t>
      </w:r>
      <w:r w:rsidRPr="0057725D">
        <w:t xml:space="preserve">дательной реформы, в частности о </w:t>
      </w:r>
      <w:r w:rsidR="007C5D6C" w:rsidRPr="0057725D">
        <w:t xml:space="preserve">принятии </w:t>
      </w:r>
      <w:r w:rsidR="007C5D6C">
        <w:t xml:space="preserve">в </w:t>
      </w:r>
      <w:r w:rsidRPr="0057725D">
        <w:t>ближайше</w:t>
      </w:r>
      <w:r w:rsidR="007C5D6C">
        <w:t>е время</w:t>
      </w:r>
      <w:r w:rsidRPr="0057725D">
        <w:t xml:space="preserve"> Уголовного кодекса (</w:t>
      </w:r>
      <w:r w:rsidRPr="00C04092">
        <w:t>CCPR</w:t>
      </w:r>
      <w:r w:rsidRPr="0057725D">
        <w:t>/</w:t>
      </w:r>
      <w:r w:rsidRPr="00C04092">
        <w:t>C</w:t>
      </w:r>
      <w:r w:rsidRPr="0057725D">
        <w:t>/</w:t>
      </w:r>
      <w:r w:rsidRPr="00C04092">
        <w:t>TGO</w:t>
      </w:r>
      <w:r w:rsidRPr="0057725D">
        <w:t>/4, пункт 98), Уголовно-процессуального кодекс</w:t>
      </w:r>
      <w:r w:rsidR="007C5D6C">
        <w:t>а</w:t>
      </w:r>
      <w:r w:rsidRPr="0057725D">
        <w:t xml:space="preserve"> и К</w:t>
      </w:r>
      <w:r w:rsidRPr="0057725D">
        <w:t>о</w:t>
      </w:r>
      <w:r w:rsidRPr="0057725D">
        <w:t>декса о статусе личности и семьи (</w:t>
      </w:r>
      <w:r w:rsidRPr="00C04092">
        <w:t>CCPR</w:t>
      </w:r>
      <w:r w:rsidRPr="0057725D">
        <w:t>/</w:t>
      </w:r>
      <w:r w:rsidRPr="00C04092">
        <w:t>C</w:t>
      </w:r>
      <w:r w:rsidRPr="0057725D">
        <w:t>/</w:t>
      </w:r>
      <w:r w:rsidRPr="00C04092">
        <w:t>TGO</w:t>
      </w:r>
      <w:r w:rsidRPr="0057725D">
        <w:t>/4, пункт 47), Комитет с бесп</w:t>
      </w:r>
      <w:r w:rsidRPr="0057725D">
        <w:t>о</w:t>
      </w:r>
      <w:r w:rsidRPr="0057725D">
        <w:t xml:space="preserve">койством констатирует, что </w:t>
      </w:r>
      <w:r w:rsidR="007C5D6C">
        <w:t>настоящая</w:t>
      </w:r>
      <w:r w:rsidRPr="0057725D">
        <w:t xml:space="preserve"> реформа остается </w:t>
      </w:r>
      <w:r w:rsidR="007C5D6C">
        <w:t>в состоянии</w:t>
      </w:r>
      <w:r w:rsidRPr="0057725D">
        <w:t xml:space="preserve"> проекта, хотя по поводу </w:t>
      </w:r>
      <w:r w:rsidR="007C5D6C">
        <w:t>ее</w:t>
      </w:r>
      <w:r w:rsidRPr="0057725D">
        <w:t xml:space="preserve"> осуществления уже была сформулирована рекомендация в предыдущих заключительных замечаниях Комитета в 2002 году (</w:t>
      </w:r>
      <w:proofErr w:type="spellStart"/>
      <w:r w:rsidRPr="00C04092">
        <w:t>CCPR</w:t>
      </w:r>
      <w:proofErr w:type="spellEnd"/>
      <w:r w:rsidRPr="0057725D">
        <w:t>/</w:t>
      </w:r>
      <w:proofErr w:type="spellStart"/>
      <w:r w:rsidRPr="00C04092">
        <w:t>CO</w:t>
      </w:r>
      <w:proofErr w:type="spellEnd"/>
      <w:r w:rsidRPr="0057725D">
        <w:t>/</w:t>
      </w:r>
      <w:r w:rsidR="009C011A" w:rsidRPr="009C011A">
        <w:t xml:space="preserve"> </w:t>
      </w:r>
      <w:r w:rsidRPr="0057725D">
        <w:t>76/</w:t>
      </w:r>
      <w:proofErr w:type="spellStart"/>
      <w:r w:rsidRPr="00C04092">
        <w:t>TGO</w:t>
      </w:r>
      <w:proofErr w:type="spellEnd"/>
      <w:r w:rsidRPr="0057725D">
        <w:t xml:space="preserve">) (статья 2). </w:t>
      </w:r>
    </w:p>
    <w:p w:rsidR="0057725D" w:rsidRPr="00C04092" w:rsidRDefault="0057725D" w:rsidP="00C04092">
      <w:pPr>
        <w:pStyle w:val="SingleTxtGR"/>
        <w:rPr>
          <w:b/>
        </w:rPr>
      </w:pPr>
      <w:r w:rsidRPr="00C04092">
        <w:rPr>
          <w:b/>
        </w:rPr>
        <w:t>Государству-участнику следует пересмотреть его законодательство в ц</w:t>
      </w:r>
      <w:r w:rsidRPr="00C04092">
        <w:rPr>
          <w:b/>
        </w:rPr>
        <w:t>е</w:t>
      </w:r>
      <w:r w:rsidRPr="00C04092">
        <w:rPr>
          <w:b/>
        </w:rPr>
        <w:t>лях приведения его в соответствие с положениями Пакта, в частности в обла</w:t>
      </w:r>
      <w:r w:rsidRPr="00C04092">
        <w:rPr>
          <w:b/>
        </w:rPr>
        <w:t>с</w:t>
      </w:r>
      <w:r w:rsidRPr="00C04092">
        <w:rPr>
          <w:b/>
        </w:rPr>
        <w:t>тях, регулируемых Уголовны</w:t>
      </w:r>
      <w:r w:rsidR="00FA614A">
        <w:rPr>
          <w:b/>
        </w:rPr>
        <w:t>м</w:t>
      </w:r>
      <w:r w:rsidRPr="00C04092">
        <w:rPr>
          <w:b/>
        </w:rPr>
        <w:t xml:space="preserve"> кодексом, Уголовно-процессуальным коде</w:t>
      </w:r>
      <w:r w:rsidRPr="00C04092">
        <w:rPr>
          <w:b/>
        </w:rPr>
        <w:t>к</w:t>
      </w:r>
      <w:r w:rsidRPr="00C04092">
        <w:rPr>
          <w:b/>
        </w:rPr>
        <w:t>сом и Кодексом о статусе личности и семьи.</w:t>
      </w:r>
    </w:p>
    <w:p w:rsidR="0057725D" w:rsidRPr="0057725D" w:rsidRDefault="0057725D" w:rsidP="00C04092">
      <w:pPr>
        <w:pStyle w:val="SingleTxtGR"/>
      </w:pPr>
      <w:r w:rsidRPr="0057725D">
        <w:t>7.</w:t>
      </w:r>
      <w:r w:rsidRPr="0057725D">
        <w:tab/>
        <w:t>Как и в своих предыдущих замечаниях, принятых в 2002</w:t>
      </w:r>
      <w:r w:rsidR="00722690">
        <w:t> </w:t>
      </w:r>
      <w:r w:rsidRPr="0057725D">
        <w:t>году (</w:t>
      </w:r>
      <w:r w:rsidRPr="00C04092">
        <w:t>CCPR</w:t>
      </w:r>
      <w:r w:rsidRPr="0057725D">
        <w:t>/</w:t>
      </w:r>
      <w:r w:rsidRPr="00C04092">
        <w:t>CO</w:t>
      </w:r>
      <w:r w:rsidRPr="0057725D">
        <w:t>/76/</w:t>
      </w:r>
      <w:r w:rsidRPr="00C04092">
        <w:t>TGO</w:t>
      </w:r>
      <w:r w:rsidRPr="0057725D">
        <w:t>), Комитет сожалеет о том, что</w:t>
      </w:r>
      <w:r w:rsidR="00722690">
        <w:t xml:space="preserve"> вопреки статьям </w:t>
      </w:r>
      <w:r w:rsidRPr="0057725D">
        <w:t xml:space="preserve">50 и 140 Конституции, </w:t>
      </w:r>
      <w:r w:rsidR="00722690">
        <w:t>в которых</w:t>
      </w:r>
      <w:r w:rsidRPr="0057725D">
        <w:t xml:space="preserve"> провозглашается примат положений Пакта над внутр</w:t>
      </w:r>
      <w:r w:rsidRPr="0057725D">
        <w:t>и</w:t>
      </w:r>
      <w:r w:rsidRPr="0057725D">
        <w:t>государственным законодательством, положения Пакта не принимаются во внимание судьями в их решениях</w:t>
      </w:r>
      <w:r w:rsidR="00722690">
        <w:t>, хотя</w:t>
      </w:r>
      <w:r w:rsidRPr="0057725D">
        <w:t xml:space="preserve"> иногда </w:t>
      </w:r>
      <w:r w:rsidR="00722690">
        <w:t>и упоминаются</w:t>
      </w:r>
      <w:r w:rsidRPr="0057725D">
        <w:t xml:space="preserve"> сторон</w:t>
      </w:r>
      <w:r w:rsidR="00722690">
        <w:t>ами</w:t>
      </w:r>
      <w:r w:rsidRPr="0057725D">
        <w:t xml:space="preserve"> с</w:t>
      </w:r>
      <w:r w:rsidRPr="0057725D">
        <w:t>у</w:t>
      </w:r>
      <w:r w:rsidRPr="0057725D">
        <w:t>дебн</w:t>
      </w:r>
      <w:r w:rsidR="00722690">
        <w:t>ого</w:t>
      </w:r>
      <w:r w:rsidRPr="0057725D">
        <w:t xml:space="preserve"> разбирательств</w:t>
      </w:r>
      <w:r w:rsidR="00722690">
        <w:t>а</w:t>
      </w:r>
      <w:r w:rsidRPr="0057725D">
        <w:t xml:space="preserve">. </w:t>
      </w:r>
      <w:r w:rsidR="00722690">
        <w:t>Комитет</w:t>
      </w:r>
      <w:r w:rsidRPr="0057725D">
        <w:t xml:space="preserve"> сожалеет о том, что государство-участник не приняло меры, необходимые для </w:t>
      </w:r>
      <w:r w:rsidR="00053CBB">
        <w:t>инкорпорации</w:t>
      </w:r>
      <w:r w:rsidRPr="0057725D">
        <w:t xml:space="preserve"> ряда положений Пакта во вну</w:t>
      </w:r>
      <w:r w:rsidRPr="0057725D">
        <w:t>т</w:t>
      </w:r>
      <w:r w:rsidRPr="0057725D">
        <w:t>ригосударственно</w:t>
      </w:r>
      <w:r w:rsidR="00053CBB">
        <w:t>е</w:t>
      </w:r>
      <w:r w:rsidRPr="0057725D">
        <w:t xml:space="preserve"> законодательств</w:t>
      </w:r>
      <w:r w:rsidR="00053CBB">
        <w:t>о</w:t>
      </w:r>
      <w:r w:rsidRPr="0057725D">
        <w:t xml:space="preserve"> (статья 2).</w:t>
      </w:r>
    </w:p>
    <w:p w:rsidR="0057725D" w:rsidRPr="00936849" w:rsidRDefault="0057725D" w:rsidP="00936849">
      <w:pPr>
        <w:pStyle w:val="SingleTxtGR"/>
        <w:rPr>
          <w:b/>
        </w:rPr>
      </w:pPr>
      <w:r w:rsidRPr="00936849">
        <w:rPr>
          <w:b/>
        </w:rPr>
        <w:t xml:space="preserve">Государству-участнику следует принять меры, необходимые для </w:t>
      </w:r>
      <w:r w:rsidR="00053CBB">
        <w:rPr>
          <w:b/>
        </w:rPr>
        <w:t>инкорп</w:t>
      </w:r>
      <w:r w:rsidR="00053CBB">
        <w:rPr>
          <w:b/>
        </w:rPr>
        <w:t>о</w:t>
      </w:r>
      <w:r w:rsidR="00053CBB">
        <w:rPr>
          <w:b/>
        </w:rPr>
        <w:t>рации</w:t>
      </w:r>
      <w:r w:rsidRPr="00936849">
        <w:rPr>
          <w:b/>
        </w:rPr>
        <w:t xml:space="preserve"> положений Пакта во внутригосударственно</w:t>
      </w:r>
      <w:r w:rsidR="00053CBB">
        <w:rPr>
          <w:b/>
        </w:rPr>
        <w:t>е</w:t>
      </w:r>
      <w:r w:rsidRPr="00936849">
        <w:rPr>
          <w:b/>
        </w:rPr>
        <w:t xml:space="preserve"> законодательств</w:t>
      </w:r>
      <w:r w:rsidR="00053CBB">
        <w:rPr>
          <w:b/>
        </w:rPr>
        <w:t>о</w:t>
      </w:r>
      <w:r w:rsidRPr="00936849">
        <w:rPr>
          <w:b/>
        </w:rPr>
        <w:t xml:space="preserve">, и обеспечить надлежащую </w:t>
      </w:r>
      <w:r w:rsidR="00053CBB">
        <w:rPr>
          <w:b/>
        </w:rPr>
        <w:t>и непрерывную</w:t>
      </w:r>
      <w:r w:rsidRPr="00936849">
        <w:rPr>
          <w:b/>
        </w:rPr>
        <w:t xml:space="preserve"> подготовку судей, адвокатов и вспомогательного персонала судебных органов по содержанию Пакта в ц</w:t>
      </w:r>
      <w:r w:rsidRPr="00936849">
        <w:rPr>
          <w:b/>
        </w:rPr>
        <w:t>е</w:t>
      </w:r>
      <w:r w:rsidRPr="00936849">
        <w:rPr>
          <w:b/>
        </w:rPr>
        <w:t xml:space="preserve">лях обеспечения применения </w:t>
      </w:r>
      <w:r w:rsidR="00053CBB">
        <w:rPr>
          <w:b/>
        </w:rPr>
        <w:t xml:space="preserve">его положений </w:t>
      </w:r>
      <w:r w:rsidRPr="00936849">
        <w:rPr>
          <w:b/>
        </w:rPr>
        <w:t>судебными органами.</w:t>
      </w:r>
    </w:p>
    <w:p w:rsidR="0057725D" w:rsidRPr="0057725D" w:rsidRDefault="0057725D" w:rsidP="009C011A">
      <w:pPr>
        <w:pStyle w:val="SingleTxtGR"/>
        <w:keepLines/>
      </w:pPr>
      <w:r w:rsidRPr="0057725D">
        <w:t>8.</w:t>
      </w:r>
      <w:r w:rsidRPr="0057725D">
        <w:tab/>
        <w:t xml:space="preserve">Отмечая усилия, прилагаемые в целях приведения </w:t>
      </w:r>
      <w:r w:rsidR="00DA38F2">
        <w:t xml:space="preserve">деятельности </w:t>
      </w:r>
      <w:r w:rsidRPr="0057725D">
        <w:t>Наци</w:t>
      </w:r>
      <w:r w:rsidRPr="0057725D">
        <w:t>о</w:t>
      </w:r>
      <w:r w:rsidRPr="0057725D">
        <w:t>нальной комиссии в соответствие с П</w:t>
      </w:r>
      <w:r w:rsidR="00CF04F0">
        <w:t>арижскими принципами (резол</w:t>
      </w:r>
      <w:r w:rsidR="00CF04F0">
        <w:t>ю</w:t>
      </w:r>
      <w:r w:rsidR="00CF04F0">
        <w:t>ция</w:t>
      </w:r>
      <w:r w:rsidR="00CF04F0">
        <w:rPr>
          <w:lang w:val="en-US"/>
        </w:rPr>
        <w:t> </w:t>
      </w:r>
      <w:r w:rsidRPr="0057725D">
        <w:t>48/134 Генеральной Ассамблеи Организации Объединенных Наций, прил</w:t>
      </w:r>
      <w:r w:rsidRPr="0057725D">
        <w:t>о</w:t>
      </w:r>
      <w:r w:rsidRPr="0057725D">
        <w:t>жение) посредством принятия Закона от 9 февраля 2005 года, Комитет конст</w:t>
      </w:r>
      <w:r w:rsidRPr="0057725D">
        <w:t>а</w:t>
      </w:r>
      <w:r w:rsidRPr="0057725D">
        <w:t>тирует, что ограниченн</w:t>
      </w:r>
      <w:r w:rsidR="00DA38F2">
        <w:t>ость</w:t>
      </w:r>
      <w:r w:rsidRPr="0057725D">
        <w:t xml:space="preserve"> бюджетны</w:t>
      </w:r>
      <w:r w:rsidR="00DA38F2">
        <w:t>х</w:t>
      </w:r>
      <w:r w:rsidRPr="0057725D">
        <w:t xml:space="preserve"> средств, выделяемы</w:t>
      </w:r>
      <w:r w:rsidR="00DA38F2">
        <w:t>х</w:t>
      </w:r>
      <w:r w:rsidRPr="0057725D">
        <w:t xml:space="preserve"> этой Комисси</w:t>
      </w:r>
      <w:r w:rsidR="00DA38F2">
        <w:t>и</w:t>
      </w:r>
      <w:r w:rsidRPr="0057725D">
        <w:t>, не позволя</w:t>
      </w:r>
      <w:r w:rsidR="00DA38F2">
        <w:t>е</w:t>
      </w:r>
      <w:r w:rsidRPr="0057725D">
        <w:t xml:space="preserve">т ей в полной мере </w:t>
      </w:r>
      <w:r w:rsidR="00DA38F2">
        <w:t>осуществлять</w:t>
      </w:r>
      <w:r w:rsidRPr="0057725D">
        <w:t xml:space="preserve"> </w:t>
      </w:r>
      <w:r w:rsidR="00DA38F2">
        <w:t>свой</w:t>
      </w:r>
      <w:r w:rsidRPr="0057725D">
        <w:t xml:space="preserve"> мандат. Комитет выражает бе</w:t>
      </w:r>
      <w:r w:rsidRPr="0057725D">
        <w:t>с</w:t>
      </w:r>
      <w:r w:rsidRPr="0057725D">
        <w:t xml:space="preserve">покойство в связи с непринятием мер </w:t>
      </w:r>
      <w:r w:rsidR="00DA38F2">
        <w:t>во ис</w:t>
      </w:r>
      <w:r w:rsidRPr="0057725D">
        <w:t>полнени</w:t>
      </w:r>
      <w:r w:rsidR="00DA38F2">
        <w:t>е</w:t>
      </w:r>
      <w:r w:rsidRPr="0057725D">
        <w:t xml:space="preserve"> сформулированных НКПЧ рекоменд</w:t>
      </w:r>
      <w:r w:rsidRPr="0057725D">
        <w:t>а</w:t>
      </w:r>
      <w:r w:rsidRPr="0057725D">
        <w:t>ций (статья 2).</w:t>
      </w:r>
    </w:p>
    <w:p w:rsidR="0057725D" w:rsidRPr="00936849" w:rsidRDefault="0057725D" w:rsidP="00936849">
      <w:pPr>
        <w:pStyle w:val="SingleTxtGR"/>
        <w:rPr>
          <w:b/>
        </w:rPr>
      </w:pPr>
      <w:r w:rsidRPr="00936849">
        <w:rPr>
          <w:b/>
        </w:rPr>
        <w:t>Комитет призывает государство-участник выделить НКПЧ дополнител</w:t>
      </w:r>
      <w:r w:rsidRPr="00936849">
        <w:rPr>
          <w:b/>
        </w:rPr>
        <w:t>ь</w:t>
      </w:r>
      <w:r w:rsidRPr="00936849">
        <w:rPr>
          <w:b/>
        </w:rPr>
        <w:t xml:space="preserve">ные ресурсы, с тем чтобы она могла эффективно выполнять </w:t>
      </w:r>
      <w:r w:rsidR="00DA38F2">
        <w:rPr>
          <w:b/>
        </w:rPr>
        <w:t>свой</w:t>
      </w:r>
      <w:r w:rsidRPr="00936849">
        <w:rPr>
          <w:b/>
        </w:rPr>
        <w:t xml:space="preserve"> мандат и при н</w:t>
      </w:r>
      <w:r w:rsidRPr="00936849">
        <w:rPr>
          <w:b/>
        </w:rPr>
        <w:t>е</w:t>
      </w:r>
      <w:r w:rsidRPr="00936849">
        <w:rPr>
          <w:b/>
        </w:rPr>
        <w:t>обходимости обращаться в суд</w:t>
      </w:r>
      <w:r w:rsidR="00DA38F2">
        <w:rPr>
          <w:b/>
        </w:rPr>
        <w:t>ебн</w:t>
      </w:r>
      <w:r w:rsidRPr="00936849">
        <w:rPr>
          <w:b/>
        </w:rPr>
        <w:t>ы</w:t>
      </w:r>
      <w:r w:rsidR="00DA38F2">
        <w:rPr>
          <w:b/>
        </w:rPr>
        <w:t>е органы</w:t>
      </w:r>
      <w:r w:rsidRPr="00936849">
        <w:rPr>
          <w:b/>
        </w:rPr>
        <w:t xml:space="preserve">. </w:t>
      </w:r>
    </w:p>
    <w:p w:rsidR="0057725D" w:rsidRPr="0057725D" w:rsidRDefault="0057725D" w:rsidP="00C04092">
      <w:pPr>
        <w:pStyle w:val="SingleTxtGR"/>
      </w:pPr>
      <w:r w:rsidRPr="0057725D">
        <w:t>9.</w:t>
      </w:r>
      <w:r w:rsidRPr="0057725D">
        <w:tab/>
        <w:t xml:space="preserve">Комитет обеспокоен тем, что государство-участник не </w:t>
      </w:r>
      <w:r w:rsidR="00DA38F2">
        <w:t>подвергло</w:t>
      </w:r>
      <w:r w:rsidRPr="0057725D">
        <w:t xml:space="preserve"> уголо</w:t>
      </w:r>
      <w:r w:rsidRPr="0057725D">
        <w:t>в</w:t>
      </w:r>
      <w:r w:rsidRPr="0057725D">
        <w:t>н</w:t>
      </w:r>
      <w:r w:rsidR="00DA38F2">
        <w:t>ому</w:t>
      </w:r>
      <w:r w:rsidRPr="0057725D">
        <w:t xml:space="preserve"> наказа</w:t>
      </w:r>
      <w:r w:rsidR="00DA38F2">
        <w:t>нию</w:t>
      </w:r>
      <w:r w:rsidRPr="0057725D">
        <w:t xml:space="preserve"> политически</w:t>
      </w:r>
      <w:r w:rsidR="0019009B">
        <w:t xml:space="preserve">х деятелей и журналистов, призывы которых к разжиганию </w:t>
      </w:r>
      <w:r w:rsidRPr="0057725D">
        <w:t xml:space="preserve">межэтнической ненависти во время выборов 2005 года привели к серьезным нарушениям прав человека, в частности к нарушениям права на жизнь и к массовым перемещениям населения. Комитет обеспокоен тем, что подобные преступления остаются безнаказанными и такое положение дел </w:t>
      </w:r>
      <w:r w:rsidR="0019009B">
        <w:t>п</w:t>
      </w:r>
      <w:r w:rsidR="0019009B">
        <w:t>о</w:t>
      </w:r>
      <w:r w:rsidR="0019009B">
        <w:t>творствует повторению таких</w:t>
      </w:r>
      <w:r w:rsidRPr="0057725D">
        <w:t xml:space="preserve"> нарушени</w:t>
      </w:r>
      <w:r w:rsidR="0019009B">
        <w:t xml:space="preserve">й </w:t>
      </w:r>
      <w:r w:rsidRPr="0057725D">
        <w:t xml:space="preserve">(статьи 2 и 20). </w:t>
      </w:r>
    </w:p>
    <w:p w:rsidR="0057725D" w:rsidRPr="0057725D" w:rsidRDefault="0057725D" w:rsidP="00C04092">
      <w:pPr>
        <w:pStyle w:val="SingleTxtGR"/>
      </w:pPr>
      <w:r w:rsidRPr="00936849">
        <w:rPr>
          <w:b/>
        </w:rPr>
        <w:t>Государству-участнику следует провести законодательные реформы, нео</w:t>
      </w:r>
      <w:r w:rsidRPr="00936849">
        <w:rPr>
          <w:b/>
        </w:rPr>
        <w:t>б</w:t>
      </w:r>
      <w:r w:rsidRPr="00936849">
        <w:rPr>
          <w:b/>
        </w:rPr>
        <w:t>ходимые для введения уголовной ответственности за всякое выступление</w:t>
      </w:r>
      <w:r w:rsidR="0019009B">
        <w:rPr>
          <w:b/>
        </w:rPr>
        <w:t>, ведущее к разжиганию</w:t>
      </w:r>
      <w:r w:rsidRPr="00936849">
        <w:rPr>
          <w:b/>
        </w:rPr>
        <w:t xml:space="preserve"> национальной, расовой или религиозной ненависти, представляющее собой подстрекательство к дискриминации, вражде или насилию, и </w:t>
      </w:r>
      <w:r w:rsidR="0019009B">
        <w:rPr>
          <w:b/>
        </w:rPr>
        <w:t>обеспечить</w:t>
      </w:r>
      <w:r w:rsidRPr="00936849">
        <w:rPr>
          <w:b/>
        </w:rPr>
        <w:t xml:space="preserve"> уголовн</w:t>
      </w:r>
      <w:r w:rsidR="0019009B">
        <w:rPr>
          <w:b/>
        </w:rPr>
        <w:t>ое</w:t>
      </w:r>
      <w:r w:rsidRPr="00936849">
        <w:rPr>
          <w:b/>
        </w:rPr>
        <w:t xml:space="preserve"> </w:t>
      </w:r>
      <w:r w:rsidR="0019009B">
        <w:rPr>
          <w:b/>
        </w:rPr>
        <w:t>преследование любых</w:t>
      </w:r>
      <w:r w:rsidRPr="00936849">
        <w:rPr>
          <w:b/>
        </w:rPr>
        <w:t xml:space="preserve"> лиц, подстрека</w:t>
      </w:r>
      <w:r w:rsidRPr="00936849">
        <w:rPr>
          <w:b/>
        </w:rPr>
        <w:t>ю</w:t>
      </w:r>
      <w:r w:rsidRPr="00936849">
        <w:rPr>
          <w:b/>
        </w:rPr>
        <w:t>щи</w:t>
      </w:r>
      <w:r w:rsidR="0019009B">
        <w:rPr>
          <w:b/>
        </w:rPr>
        <w:t>х</w:t>
      </w:r>
      <w:r w:rsidRPr="00936849">
        <w:rPr>
          <w:b/>
        </w:rPr>
        <w:t xml:space="preserve"> к подобным деяниям в наруш</w:t>
      </w:r>
      <w:r w:rsidRPr="00936849">
        <w:rPr>
          <w:b/>
        </w:rPr>
        <w:t>е</w:t>
      </w:r>
      <w:r w:rsidRPr="00936849">
        <w:rPr>
          <w:b/>
        </w:rPr>
        <w:t xml:space="preserve">ние статьи 20 Пакта. </w:t>
      </w:r>
    </w:p>
    <w:p w:rsidR="005B59C4" w:rsidRPr="00FF0CEC" w:rsidRDefault="005B59C4" w:rsidP="005B59C4">
      <w:pPr>
        <w:pStyle w:val="SingleTxtGR"/>
      </w:pPr>
      <w:r w:rsidRPr="00FF0CEC">
        <w:t>10.</w:t>
      </w:r>
      <w:r w:rsidRPr="00FF0CEC">
        <w:tab/>
        <w:t xml:space="preserve">Комитет с сожалением отмечает, что спустя шесть лет </w:t>
      </w:r>
      <w:r>
        <w:t>по фактам</w:t>
      </w:r>
      <w:r w:rsidRPr="00FF0CEC">
        <w:t xml:space="preserve"> серье</w:t>
      </w:r>
      <w:r w:rsidRPr="00FF0CEC">
        <w:t>з</w:t>
      </w:r>
      <w:r w:rsidRPr="00FF0CEC">
        <w:t>ных нарушений прав человека, совершенных во время и после</w:t>
      </w:r>
      <w:r>
        <w:t xml:space="preserve"> </w:t>
      </w:r>
      <w:r w:rsidRPr="00FF0CEC">
        <w:t>проходивших 24</w:t>
      </w:r>
      <w:r>
        <w:t> </w:t>
      </w:r>
      <w:r w:rsidRPr="00FF0CEC">
        <w:t>апреля 2005 года</w:t>
      </w:r>
      <w:r>
        <w:t xml:space="preserve"> </w:t>
      </w:r>
      <w:r w:rsidRPr="00FF0CEC">
        <w:t>президентских выборов, так и не проведено ра</w:t>
      </w:r>
      <w:r w:rsidRPr="00FF0CEC">
        <w:t>с</w:t>
      </w:r>
      <w:r w:rsidRPr="00FF0CEC">
        <w:t>следо</w:t>
      </w:r>
      <w:r>
        <w:t>вания</w:t>
      </w:r>
      <w:r w:rsidRPr="00FF0CEC">
        <w:t xml:space="preserve">, виновные лица не привлечены к ответственности и не осуждены, а жертвам этих нарушений не предоставлена </w:t>
      </w:r>
      <w:r>
        <w:t>должная</w:t>
      </w:r>
      <w:r w:rsidRPr="00FF0CEC">
        <w:t xml:space="preserve"> компенсация (статья 2).</w:t>
      </w:r>
    </w:p>
    <w:p w:rsidR="005B59C4" w:rsidRPr="00FF0CEC" w:rsidRDefault="005B59C4" w:rsidP="005B59C4">
      <w:pPr>
        <w:pStyle w:val="SingleTxtGR"/>
        <w:rPr>
          <w:b/>
        </w:rPr>
      </w:pPr>
      <w:r w:rsidRPr="00FF0CEC">
        <w:rPr>
          <w:b/>
        </w:rPr>
        <w:t xml:space="preserve">В целях борьбы с сохраняющейся в Того безнаказанностью государству-участнику следует продолжить </w:t>
      </w:r>
      <w:r>
        <w:rPr>
          <w:b/>
        </w:rPr>
        <w:t>свои</w:t>
      </w:r>
      <w:r w:rsidRPr="00FF0CEC">
        <w:rPr>
          <w:b/>
        </w:rPr>
        <w:t xml:space="preserve"> усилия </w:t>
      </w:r>
      <w:r>
        <w:rPr>
          <w:b/>
        </w:rPr>
        <w:t>с целью</w:t>
      </w:r>
      <w:r w:rsidRPr="00FF0CEC">
        <w:rPr>
          <w:b/>
        </w:rPr>
        <w:t xml:space="preserve"> скорейшего заверш</w:t>
      </w:r>
      <w:r w:rsidRPr="00FF0CEC">
        <w:rPr>
          <w:b/>
        </w:rPr>
        <w:t>е</w:t>
      </w:r>
      <w:r w:rsidRPr="00FF0CEC">
        <w:rPr>
          <w:b/>
        </w:rPr>
        <w:t>ния работы Комиссии по установлению истины, справедливости и прим</w:t>
      </w:r>
      <w:r w:rsidRPr="00FF0CEC">
        <w:rPr>
          <w:b/>
        </w:rPr>
        <w:t>и</w:t>
      </w:r>
      <w:r w:rsidRPr="00FF0CEC">
        <w:rPr>
          <w:b/>
        </w:rPr>
        <w:t>рению. Кроме того, следует провести независимые и беспристрастные ра</w:t>
      </w:r>
      <w:r w:rsidRPr="00FF0CEC">
        <w:rPr>
          <w:b/>
        </w:rPr>
        <w:t>с</w:t>
      </w:r>
      <w:r w:rsidRPr="00FF0CEC">
        <w:rPr>
          <w:b/>
        </w:rPr>
        <w:t>следования по фактам нарушени</w:t>
      </w:r>
      <w:r>
        <w:rPr>
          <w:b/>
        </w:rPr>
        <w:t>й</w:t>
      </w:r>
      <w:r w:rsidRPr="00FF0CEC">
        <w:rPr>
          <w:b/>
        </w:rPr>
        <w:t xml:space="preserve"> прав человека, совершенных в 2005 году, и привлечь виновных к ответственности. В этой связи Комитет подчерк</w:t>
      </w:r>
      <w:r w:rsidRPr="00FF0CEC">
        <w:rPr>
          <w:b/>
        </w:rPr>
        <w:t>и</w:t>
      </w:r>
      <w:r w:rsidRPr="00FF0CEC">
        <w:rPr>
          <w:b/>
        </w:rPr>
        <w:t xml:space="preserve">вает, что создание системы </w:t>
      </w:r>
      <w:r>
        <w:rPr>
          <w:b/>
        </w:rPr>
        <w:t>традиционного</w:t>
      </w:r>
      <w:r w:rsidRPr="00FF0CEC">
        <w:rPr>
          <w:b/>
        </w:rPr>
        <w:t xml:space="preserve"> правосудия не должно препя</w:t>
      </w:r>
      <w:r w:rsidRPr="00FF0CEC">
        <w:rPr>
          <w:b/>
        </w:rPr>
        <w:t>т</w:t>
      </w:r>
      <w:r w:rsidRPr="00FF0CEC">
        <w:rPr>
          <w:b/>
        </w:rPr>
        <w:t>ствовать привлечению к уголовной ответственности лиц, совершивших сер</w:t>
      </w:r>
      <w:r w:rsidRPr="00FF0CEC">
        <w:rPr>
          <w:b/>
        </w:rPr>
        <w:t>ь</w:t>
      </w:r>
      <w:r w:rsidRPr="00FF0CEC">
        <w:rPr>
          <w:b/>
        </w:rPr>
        <w:t>езные нарушения прав человека.</w:t>
      </w:r>
    </w:p>
    <w:p w:rsidR="005B59C4" w:rsidRPr="00FF0CEC" w:rsidRDefault="005B59C4" w:rsidP="005B59C4">
      <w:pPr>
        <w:pStyle w:val="SingleTxtGR"/>
      </w:pPr>
      <w:r w:rsidRPr="00FF0CEC">
        <w:t>11.</w:t>
      </w:r>
      <w:r w:rsidRPr="00FF0CEC">
        <w:tab/>
        <w:t xml:space="preserve">Комитет с беспокойством отмечает, что законодательные реформы, </w:t>
      </w:r>
      <w:r>
        <w:t>пр</w:t>
      </w:r>
      <w:r>
        <w:t>и</w:t>
      </w:r>
      <w:r>
        <w:t>званные</w:t>
      </w:r>
      <w:r w:rsidRPr="00FF0CEC">
        <w:t xml:space="preserve"> </w:t>
      </w:r>
      <w:r>
        <w:t>гарантировать</w:t>
      </w:r>
      <w:r w:rsidRPr="00FF0CEC">
        <w:t xml:space="preserve"> равноправие мужчин и женщин, в частности принятие нового Уголовного кодекса и Кодекса о статусе личности и семьи, не доведены до конца до сих пор, спустя годы после того, как государство-участник объяв</w:t>
      </w:r>
      <w:r w:rsidRPr="00FF0CEC">
        <w:t>и</w:t>
      </w:r>
      <w:r w:rsidRPr="00FF0CEC">
        <w:t>ло об их начале. Комитет выражает беспокойство в связи с тем, что в соответс</w:t>
      </w:r>
      <w:r w:rsidRPr="00FF0CEC">
        <w:t>т</w:t>
      </w:r>
      <w:r w:rsidRPr="00FF0CEC">
        <w:t>вующих законопроектах по-прежнему не учитываются ни рекомендации Ком</w:t>
      </w:r>
      <w:r w:rsidRPr="00FF0CEC">
        <w:t>и</w:t>
      </w:r>
      <w:r w:rsidRPr="00FF0CEC">
        <w:t>тета о внесении в Уголовный кодекс специальных положений о внутрисеме</w:t>
      </w:r>
      <w:r w:rsidRPr="00FF0CEC">
        <w:t>й</w:t>
      </w:r>
      <w:r w:rsidRPr="00FF0CEC">
        <w:t>ном насилии и изнасилованиях в семье, а также об отмене любых дискримин</w:t>
      </w:r>
      <w:r w:rsidRPr="00FF0CEC">
        <w:t>а</w:t>
      </w:r>
      <w:r w:rsidRPr="00FF0CEC">
        <w:t>ционных по отношению к женщинам положений, ни рекомендации Комитета по ликвидации д</w:t>
      </w:r>
      <w:r>
        <w:t xml:space="preserve">искриминации в отношении женщин. касающиеся </w:t>
      </w:r>
      <w:r w:rsidRPr="00FF0CEC">
        <w:t xml:space="preserve">многоженства. Кроме того, Комитет сожалеет о том, что </w:t>
      </w:r>
      <w:r>
        <w:t>в государстве</w:t>
      </w:r>
      <w:r w:rsidRPr="00FF0CEC">
        <w:t>-участник</w:t>
      </w:r>
      <w:r>
        <w:t>е</w:t>
      </w:r>
      <w:r w:rsidRPr="00FF0CEC">
        <w:t xml:space="preserve"> до сих пор не разработа</w:t>
      </w:r>
      <w:r>
        <w:t>н</w:t>
      </w:r>
      <w:r w:rsidRPr="00FF0CEC">
        <w:t xml:space="preserve"> статистический инструмент, позволяющий регистрировать жалобы на акты насилия в отношении женщин (статьи 2, 3 и 26). </w:t>
      </w:r>
    </w:p>
    <w:p w:rsidR="005B59C4" w:rsidRPr="00FF0CEC" w:rsidRDefault="005B59C4" w:rsidP="005B59C4">
      <w:pPr>
        <w:pStyle w:val="SingleTxtGR"/>
        <w:rPr>
          <w:b/>
        </w:rPr>
      </w:pPr>
      <w:r w:rsidRPr="00FF0CEC">
        <w:rPr>
          <w:b/>
        </w:rPr>
        <w:t>Государству-участнику следует ускорить его законодательные реформы, с</w:t>
      </w:r>
      <w:r>
        <w:rPr>
          <w:b/>
        </w:rPr>
        <w:t> </w:t>
      </w:r>
      <w:r w:rsidRPr="00FF0CEC">
        <w:rPr>
          <w:b/>
        </w:rPr>
        <w:t>тем чтобы его внутригосударственное законодательство соответствовало положениям Пакта, и принять меры к тому, чтобы женщины не подверг</w:t>
      </w:r>
      <w:r w:rsidRPr="00FF0CEC">
        <w:rPr>
          <w:b/>
        </w:rPr>
        <w:t>а</w:t>
      </w:r>
      <w:r w:rsidRPr="00FF0CEC">
        <w:rPr>
          <w:b/>
        </w:rPr>
        <w:t>лись дискриминации де-юре и де-факто. В этом законодательстве такие а</w:t>
      </w:r>
      <w:r w:rsidRPr="00FF0CEC">
        <w:rPr>
          <w:b/>
        </w:rPr>
        <w:t>к</w:t>
      </w:r>
      <w:r w:rsidRPr="00FF0CEC">
        <w:rPr>
          <w:b/>
        </w:rPr>
        <w:t>ты насилия в отношении женщин, как внутрисемейное насилие и изнас</w:t>
      </w:r>
      <w:r w:rsidRPr="00FF0CEC">
        <w:rPr>
          <w:b/>
        </w:rPr>
        <w:t>и</w:t>
      </w:r>
      <w:r w:rsidRPr="00FF0CEC">
        <w:rPr>
          <w:b/>
        </w:rPr>
        <w:t>лование в семье, долж</w:t>
      </w:r>
      <w:r>
        <w:rPr>
          <w:b/>
        </w:rPr>
        <w:t>ны квалифицироваться</w:t>
      </w:r>
      <w:r w:rsidRPr="00FF0CEC">
        <w:rPr>
          <w:b/>
        </w:rPr>
        <w:t xml:space="preserve"> </w:t>
      </w:r>
      <w:r>
        <w:rPr>
          <w:b/>
        </w:rPr>
        <w:t xml:space="preserve">в Уголовном кодексе Того в качестве преступлений, влекущих соответствующие наказания, </w:t>
      </w:r>
      <w:r w:rsidRPr="00FF0CEC">
        <w:rPr>
          <w:b/>
        </w:rPr>
        <w:t>соразме</w:t>
      </w:r>
      <w:r w:rsidRPr="00FF0CEC">
        <w:rPr>
          <w:b/>
        </w:rPr>
        <w:t>р</w:t>
      </w:r>
      <w:r w:rsidRPr="00FF0CEC">
        <w:rPr>
          <w:b/>
        </w:rPr>
        <w:t>ны</w:t>
      </w:r>
      <w:r>
        <w:rPr>
          <w:b/>
        </w:rPr>
        <w:t>е</w:t>
      </w:r>
      <w:r w:rsidRPr="00FF0CEC">
        <w:rPr>
          <w:b/>
        </w:rPr>
        <w:t xml:space="preserve"> их степени тяжести. Государству-участнику следует также </w:t>
      </w:r>
      <w:r>
        <w:rPr>
          <w:b/>
        </w:rPr>
        <w:t>ра</w:t>
      </w:r>
      <w:r>
        <w:rPr>
          <w:b/>
        </w:rPr>
        <w:t>з</w:t>
      </w:r>
      <w:r>
        <w:rPr>
          <w:b/>
        </w:rPr>
        <w:t>работать</w:t>
      </w:r>
      <w:r w:rsidRPr="00FF0CEC">
        <w:rPr>
          <w:b/>
        </w:rPr>
        <w:t xml:space="preserve"> в судах статистические инструменты, позволяющие регистрировать акты насилия в отношении женщин. </w:t>
      </w:r>
    </w:p>
    <w:p w:rsidR="005B59C4" w:rsidRPr="00FF0CEC" w:rsidRDefault="005B59C4" w:rsidP="005B59C4">
      <w:pPr>
        <w:pStyle w:val="SingleTxtGR"/>
      </w:pPr>
      <w:r w:rsidRPr="00FF0CEC">
        <w:t>12.</w:t>
      </w:r>
      <w:r w:rsidRPr="00FF0CEC">
        <w:tab/>
        <w:t>Отмечая прогресс, достигнутый в деле привлечения внимания тоголе</w:t>
      </w:r>
      <w:r w:rsidRPr="00FF0CEC">
        <w:t>з</w:t>
      </w:r>
      <w:r w:rsidRPr="00FF0CEC">
        <w:t xml:space="preserve">ского общества к проблеме </w:t>
      </w:r>
      <w:r>
        <w:t xml:space="preserve">обеспечения </w:t>
      </w:r>
      <w:r w:rsidRPr="00FF0CEC">
        <w:t xml:space="preserve">равенства мужчин и женщин, Комитет по-прежнему обеспокоен сохранением дискриминационных положений </w:t>
      </w:r>
      <w:r>
        <w:t>в зак</w:t>
      </w:r>
      <w:r>
        <w:t>о</w:t>
      </w:r>
      <w:r>
        <w:t xml:space="preserve">нодательстве </w:t>
      </w:r>
      <w:r w:rsidRPr="00FF0CEC">
        <w:t xml:space="preserve">и низким </w:t>
      </w:r>
      <w:r>
        <w:t xml:space="preserve">уровнем </w:t>
      </w:r>
      <w:proofErr w:type="spellStart"/>
      <w:r>
        <w:t>представленности</w:t>
      </w:r>
      <w:proofErr w:type="spellEnd"/>
      <w:r w:rsidRPr="00FF0CEC">
        <w:t xml:space="preserve"> женщин в государственных органах и на руководящих должностях.</w:t>
      </w:r>
    </w:p>
    <w:p w:rsidR="005B59C4" w:rsidRPr="00FF0CEC" w:rsidRDefault="005B59C4" w:rsidP="005B59C4">
      <w:pPr>
        <w:pStyle w:val="SingleTxtGR"/>
        <w:rPr>
          <w:b/>
        </w:rPr>
      </w:pPr>
      <w:r w:rsidRPr="00FF0CEC">
        <w:rPr>
          <w:b/>
        </w:rPr>
        <w:t xml:space="preserve">Государству-участнику следует </w:t>
      </w:r>
      <w:r>
        <w:rPr>
          <w:b/>
        </w:rPr>
        <w:t>пересмотреть</w:t>
      </w:r>
      <w:r w:rsidRPr="00FF0CEC">
        <w:rPr>
          <w:b/>
        </w:rPr>
        <w:t xml:space="preserve"> все положения Кодекса о ст</w:t>
      </w:r>
      <w:r w:rsidRPr="00FF0CEC">
        <w:rPr>
          <w:b/>
        </w:rPr>
        <w:t>а</w:t>
      </w:r>
      <w:r w:rsidRPr="00FF0CEC">
        <w:rPr>
          <w:b/>
        </w:rPr>
        <w:t>тусе личности и семьи, закрепляющие неравноправие мужчин и женщин, в</w:t>
      </w:r>
      <w:r>
        <w:rPr>
          <w:b/>
        </w:rPr>
        <w:t> </w:t>
      </w:r>
      <w:r w:rsidRPr="00FF0CEC">
        <w:rPr>
          <w:b/>
        </w:rPr>
        <w:t xml:space="preserve">частности положения, подтверждающие </w:t>
      </w:r>
      <w:r>
        <w:rPr>
          <w:b/>
        </w:rPr>
        <w:t xml:space="preserve">статус </w:t>
      </w:r>
      <w:r w:rsidRPr="00FF0CEC">
        <w:rPr>
          <w:b/>
        </w:rPr>
        <w:t xml:space="preserve">мужчин </w:t>
      </w:r>
      <w:r>
        <w:rPr>
          <w:b/>
        </w:rPr>
        <w:t>как</w:t>
      </w:r>
      <w:r w:rsidRPr="00FF0CEC">
        <w:rPr>
          <w:b/>
        </w:rPr>
        <w:t xml:space="preserve"> "глав семьи". Государству-участнику следует поощрять </w:t>
      </w:r>
      <w:proofErr w:type="spellStart"/>
      <w:r>
        <w:rPr>
          <w:b/>
        </w:rPr>
        <w:t>на</w:t>
      </w:r>
      <w:r w:rsidR="00166BEF">
        <w:rPr>
          <w:b/>
        </w:rPr>
        <w:t>й</w:t>
      </w:r>
      <w:r>
        <w:rPr>
          <w:b/>
        </w:rPr>
        <w:t>м</w:t>
      </w:r>
      <w:proofErr w:type="spellEnd"/>
      <w:r w:rsidRPr="00FF0CEC">
        <w:rPr>
          <w:b/>
        </w:rPr>
        <w:t xml:space="preserve"> женщин на работу в </w:t>
      </w:r>
      <w:r>
        <w:rPr>
          <w:b/>
        </w:rPr>
        <w:t>сист</w:t>
      </w:r>
      <w:r>
        <w:rPr>
          <w:b/>
        </w:rPr>
        <w:t>е</w:t>
      </w:r>
      <w:r>
        <w:rPr>
          <w:b/>
        </w:rPr>
        <w:t xml:space="preserve">му </w:t>
      </w:r>
      <w:r w:rsidRPr="00FF0CEC">
        <w:rPr>
          <w:b/>
        </w:rPr>
        <w:t>государствен</w:t>
      </w:r>
      <w:r>
        <w:rPr>
          <w:b/>
        </w:rPr>
        <w:t>ной</w:t>
      </w:r>
      <w:r w:rsidRPr="00FF0CEC">
        <w:rPr>
          <w:b/>
        </w:rPr>
        <w:t xml:space="preserve"> </w:t>
      </w:r>
      <w:r>
        <w:rPr>
          <w:b/>
        </w:rPr>
        <w:t>службы</w:t>
      </w:r>
      <w:r w:rsidRPr="00FF0CEC">
        <w:rPr>
          <w:b/>
        </w:rPr>
        <w:t>, а также их назначение на руководящие дол</w:t>
      </w:r>
      <w:r w:rsidRPr="00FF0CEC">
        <w:rPr>
          <w:b/>
        </w:rPr>
        <w:t>ж</w:t>
      </w:r>
      <w:r w:rsidRPr="00FF0CEC">
        <w:rPr>
          <w:b/>
        </w:rPr>
        <w:t>ности. Комитет обращает внимание государства-участника на его Замеч</w:t>
      </w:r>
      <w:r w:rsidRPr="00FF0CEC">
        <w:rPr>
          <w:b/>
        </w:rPr>
        <w:t>а</w:t>
      </w:r>
      <w:r w:rsidRPr="00FF0CEC">
        <w:rPr>
          <w:b/>
        </w:rPr>
        <w:t>ние общего порядка № 28 (2000 года) о равнопр</w:t>
      </w:r>
      <w:r w:rsidRPr="00FF0CEC">
        <w:rPr>
          <w:b/>
        </w:rPr>
        <w:t>а</w:t>
      </w:r>
      <w:r w:rsidRPr="00FF0CEC">
        <w:rPr>
          <w:b/>
        </w:rPr>
        <w:t>вии мужчин и женщин.</w:t>
      </w:r>
    </w:p>
    <w:p w:rsidR="005B59C4" w:rsidRPr="00FF0CEC" w:rsidRDefault="005B59C4" w:rsidP="005B59C4">
      <w:pPr>
        <w:pStyle w:val="SingleTxtGR"/>
      </w:pPr>
      <w:r w:rsidRPr="00FF0CEC">
        <w:t>13.</w:t>
      </w:r>
      <w:r w:rsidRPr="00FF0CEC">
        <w:tab/>
        <w:t xml:space="preserve">Комитет с сожалением констатирует, что практика </w:t>
      </w:r>
      <w:proofErr w:type="spellStart"/>
      <w:r w:rsidRPr="00FF0CEC">
        <w:t>калечения</w:t>
      </w:r>
      <w:proofErr w:type="spellEnd"/>
      <w:r w:rsidRPr="00FF0CEC">
        <w:t xml:space="preserve"> женских п</w:t>
      </w:r>
      <w:r w:rsidRPr="00FF0CEC">
        <w:t>о</w:t>
      </w:r>
      <w:r w:rsidRPr="00FF0CEC">
        <w:t>ловых ор</w:t>
      </w:r>
      <w:r>
        <w:t>ганов остается распространенной</w:t>
      </w:r>
      <w:r w:rsidRPr="00FF0CEC">
        <w:t xml:space="preserve"> несмотря на меры, принимаемые г</w:t>
      </w:r>
      <w:r w:rsidRPr="00FF0CEC">
        <w:t>о</w:t>
      </w:r>
      <w:r w:rsidRPr="00FF0CEC">
        <w:t xml:space="preserve">сударством для ее </w:t>
      </w:r>
      <w:r>
        <w:t>искоренения</w:t>
      </w:r>
      <w:r w:rsidRPr="00FF0CEC">
        <w:t>. Комитет также обеспокоен тем, что тоголезское уголовное законодательство не предусматривает наказания за такую практику (статьи 2, 3, 7 и 26).</w:t>
      </w:r>
    </w:p>
    <w:p w:rsidR="005B59C4" w:rsidRPr="00FF0CEC" w:rsidRDefault="005B59C4" w:rsidP="005B59C4">
      <w:pPr>
        <w:pStyle w:val="SingleTxtGR"/>
        <w:rPr>
          <w:b/>
        </w:rPr>
      </w:pPr>
      <w:r w:rsidRPr="00FF0CEC">
        <w:rPr>
          <w:b/>
        </w:rPr>
        <w:t xml:space="preserve">Государству-участнику следует продолжать и активизировать усилия для искоренения дискриминационных традиций и обычаев, противоречащих статье 7, таких как практика </w:t>
      </w:r>
      <w:proofErr w:type="spellStart"/>
      <w:r w:rsidRPr="00FF0CEC">
        <w:rPr>
          <w:b/>
        </w:rPr>
        <w:t>калечения</w:t>
      </w:r>
      <w:proofErr w:type="spellEnd"/>
      <w:r w:rsidRPr="00FF0CEC">
        <w:rPr>
          <w:b/>
        </w:rPr>
        <w:t xml:space="preserve"> же</w:t>
      </w:r>
      <w:r w:rsidRPr="00FF0CEC">
        <w:rPr>
          <w:b/>
        </w:rPr>
        <w:t>н</w:t>
      </w:r>
      <w:r w:rsidRPr="00FF0CEC">
        <w:rPr>
          <w:b/>
        </w:rPr>
        <w:t xml:space="preserve">ских половых органов. В этой связи государству-участнику следует наращивать усилия по </w:t>
      </w:r>
      <w:r>
        <w:rPr>
          <w:b/>
        </w:rPr>
        <w:t>привлечению внимания к проблеме</w:t>
      </w:r>
      <w:r w:rsidRPr="00FF0CEC">
        <w:rPr>
          <w:b/>
        </w:rPr>
        <w:t xml:space="preserve"> </w:t>
      </w:r>
      <w:proofErr w:type="spellStart"/>
      <w:r w:rsidRPr="00FF0CEC">
        <w:rPr>
          <w:b/>
        </w:rPr>
        <w:t>калечения</w:t>
      </w:r>
      <w:proofErr w:type="spellEnd"/>
      <w:r w:rsidRPr="00FF0CEC">
        <w:rPr>
          <w:b/>
        </w:rPr>
        <w:t xml:space="preserve"> женских половых органов, в частности среди общин, где такая практика </w:t>
      </w:r>
      <w:r>
        <w:rPr>
          <w:b/>
        </w:rPr>
        <w:t>до сих пор широко применяется</w:t>
      </w:r>
      <w:r w:rsidRPr="00FF0CEC">
        <w:rPr>
          <w:b/>
        </w:rPr>
        <w:t>. Ему следует ввести уголов</w:t>
      </w:r>
      <w:r>
        <w:rPr>
          <w:b/>
        </w:rPr>
        <w:t>но</w:t>
      </w:r>
      <w:r w:rsidRPr="00FF0CEC">
        <w:rPr>
          <w:b/>
        </w:rPr>
        <w:t>е наказани</w:t>
      </w:r>
      <w:r>
        <w:rPr>
          <w:b/>
        </w:rPr>
        <w:t>е</w:t>
      </w:r>
      <w:r w:rsidRPr="00FF0CEC">
        <w:rPr>
          <w:b/>
        </w:rPr>
        <w:t xml:space="preserve"> за такую практику и принять меры к тому, чтобы лица, совершающие </w:t>
      </w:r>
      <w:proofErr w:type="spellStart"/>
      <w:r w:rsidRPr="00FF0CEC">
        <w:rPr>
          <w:b/>
        </w:rPr>
        <w:t>калечени</w:t>
      </w:r>
      <w:r>
        <w:rPr>
          <w:b/>
        </w:rPr>
        <w:t>е</w:t>
      </w:r>
      <w:proofErr w:type="spellEnd"/>
      <w:r w:rsidRPr="00FF0CEC">
        <w:rPr>
          <w:b/>
        </w:rPr>
        <w:t xml:space="preserve"> женских половых органов, пр</w:t>
      </w:r>
      <w:r w:rsidRPr="00FF0CEC">
        <w:rPr>
          <w:b/>
        </w:rPr>
        <w:t>и</w:t>
      </w:r>
      <w:r w:rsidRPr="00FF0CEC">
        <w:rPr>
          <w:b/>
        </w:rPr>
        <w:t xml:space="preserve">влекались к суду. </w:t>
      </w:r>
    </w:p>
    <w:p w:rsidR="005B59C4" w:rsidRPr="00FF0CEC" w:rsidRDefault="005B59C4" w:rsidP="005B59C4">
      <w:pPr>
        <w:pStyle w:val="SingleTxtGR"/>
      </w:pPr>
      <w:r w:rsidRPr="00FF0CEC">
        <w:t>14.</w:t>
      </w:r>
      <w:r w:rsidRPr="00FF0CEC">
        <w:tab/>
        <w:t xml:space="preserve">Комитет по-прежнему обеспокоен квалификацией в качестве уголовного преступления </w:t>
      </w:r>
      <w:r>
        <w:t>вступления в половую связь совершеннолетних лиц одного пола, которо</w:t>
      </w:r>
      <w:r w:rsidRPr="00FF0CEC">
        <w:t>е в соответствии со статьей 88 действующего Уголовного кодекса кара</w:t>
      </w:r>
      <w:r>
        <w:t>е</w:t>
      </w:r>
      <w:r w:rsidRPr="00FF0CEC">
        <w:t>т</w:t>
      </w:r>
      <w:r w:rsidRPr="00FF0CEC">
        <w:t xml:space="preserve">ся тюремным заключением на срок от одного года до трех лет и штрафом на сумму до 500 000 франков </w:t>
      </w:r>
      <w:proofErr w:type="spellStart"/>
      <w:r w:rsidRPr="00FF0CEC">
        <w:t>КФА</w:t>
      </w:r>
      <w:proofErr w:type="spellEnd"/>
      <w:r w:rsidRPr="00FF0CEC">
        <w:t>. Как подчеркивали Комитет и другие междун</w:t>
      </w:r>
      <w:r w:rsidRPr="00FF0CEC">
        <w:t>а</w:t>
      </w:r>
      <w:r w:rsidRPr="00FF0CEC">
        <w:t>родные правозащитные механизмы, такая квалификация нарушает провозгл</w:t>
      </w:r>
      <w:r w:rsidRPr="00FF0CEC">
        <w:t>а</w:t>
      </w:r>
      <w:r w:rsidRPr="00FF0CEC">
        <w:t>шенное в Пакте право на охрану частной жизни и на защиту от дискриминации. Представленная государством-участником информация о том, что это полож</w:t>
      </w:r>
      <w:r w:rsidRPr="00FF0CEC">
        <w:t>е</w:t>
      </w:r>
      <w:r w:rsidRPr="00FF0CEC">
        <w:t>ние на практике не применяется и что перед внесением в законодательство с</w:t>
      </w:r>
      <w:r w:rsidRPr="00FF0CEC">
        <w:t>о</w:t>
      </w:r>
      <w:r w:rsidRPr="00FF0CEC">
        <w:t xml:space="preserve">ответствующих изменений важно изменить менталитет, не </w:t>
      </w:r>
      <w:r>
        <w:t>устраняет</w:t>
      </w:r>
      <w:r w:rsidRPr="00FF0CEC">
        <w:t xml:space="preserve"> беспоко</w:t>
      </w:r>
      <w:r w:rsidRPr="00FF0CEC">
        <w:t>й</w:t>
      </w:r>
      <w:r w:rsidRPr="00FF0CEC">
        <w:t>ство Комитета (статьи 2, 9, 17 и 26).</w:t>
      </w:r>
    </w:p>
    <w:p w:rsidR="005B59C4" w:rsidRPr="00FF0CEC" w:rsidRDefault="005B59C4" w:rsidP="009C011A">
      <w:pPr>
        <w:pStyle w:val="SingleTxtGR"/>
      </w:pPr>
      <w:r w:rsidRPr="00FF0CEC">
        <w:rPr>
          <w:b/>
        </w:rPr>
        <w:t xml:space="preserve">Государству-участнику следует принять меры </w:t>
      </w:r>
      <w:r>
        <w:rPr>
          <w:b/>
        </w:rPr>
        <w:t>с целью отмены положения</w:t>
      </w:r>
      <w:r w:rsidRPr="00FF0CEC">
        <w:rPr>
          <w:b/>
        </w:rPr>
        <w:t xml:space="preserve"> об уголовной ответственности за </w:t>
      </w:r>
      <w:r>
        <w:rPr>
          <w:b/>
        </w:rPr>
        <w:t>вступление в половую связь</w:t>
      </w:r>
      <w:r w:rsidRPr="00FF0CEC">
        <w:rPr>
          <w:b/>
        </w:rPr>
        <w:t xml:space="preserve"> </w:t>
      </w:r>
      <w:r>
        <w:rPr>
          <w:b/>
        </w:rPr>
        <w:t>на основе взаимного согласия совершеннолетних лиц</w:t>
      </w:r>
      <w:r w:rsidRPr="00FF0CEC">
        <w:rPr>
          <w:b/>
        </w:rPr>
        <w:t xml:space="preserve"> одного пола, с тем чтобы его законодательство соответствовало положениям Пакта. Госуда</w:t>
      </w:r>
      <w:r w:rsidRPr="00FF0CEC">
        <w:rPr>
          <w:b/>
        </w:rPr>
        <w:t>р</w:t>
      </w:r>
      <w:r w:rsidRPr="00FF0CEC">
        <w:rPr>
          <w:b/>
        </w:rPr>
        <w:t xml:space="preserve">ству-участнику следует также принять необходимые меры, </w:t>
      </w:r>
      <w:r>
        <w:rPr>
          <w:b/>
        </w:rPr>
        <w:t xml:space="preserve">с тем </w:t>
      </w:r>
      <w:r w:rsidRPr="00FF0CEC">
        <w:rPr>
          <w:b/>
        </w:rPr>
        <w:t>чтобы пол</w:t>
      </w:r>
      <w:r w:rsidRPr="00FF0CEC">
        <w:rPr>
          <w:b/>
        </w:rPr>
        <w:t>о</w:t>
      </w:r>
      <w:r w:rsidRPr="00FF0CEC">
        <w:rPr>
          <w:b/>
        </w:rPr>
        <w:t>жить конец предрассудкам и социальной стигматизации гомосексуалистов</w:t>
      </w:r>
      <w:r>
        <w:rPr>
          <w:b/>
        </w:rPr>
        <w:t>,</w:t>
      </w:r>
      <w:r w:rsidRPr="00FF0CEC">
        <w:rPr>
          <w:b/>
        </w:rPr>
        <w:t xml:space="preserve"> и ясно продемонстрировать, что </w:t>
      </w:r>
      <w:r>
        <w:rPr>
          <w:b/>
        </w:rPr>
        <w:t>оно не потерпит никаких</w:t>
      </w:r>
      <w:r w:rsidRPr="00FF0CEC">
        <w:rPr>
          <w:b/>
        </w:rPr>
        <w:t xml:space="preserve"> </w:t>
      </w:r>
      <w:r>
        <w:rPr>
          <w:b/>
        </w:rPr>
        <w:t>гонений</w:t>
      </w:r>
      <w:r w:rsidRPr="00FF0CEC">
        <w:rPr>
          <w:b/>
        </w:rPr>
        <w:t>, ди</w:t>
      </w:r>
      <w:r w:rsidRPr="00FF0CEC">
        <w:rPr>
          <w:b/>
        </w:rPr>
        <w:t>с</w:t>
      </w:r>
      <w:r w:rsidRPr="00FF0CEC">
        <w:rPr>
          <w:b/>
        </w:rPr>
        <w:t>криминации и насилия в отношении лиц по признаку их сексуальной ор</w:t>
      </w:r>
      <w:r w:rsidRPr="00FF0CEC">
        <w:rPr>
          <w:b/>
        </w:rPr>
        <w:t>и</w:t>
      </w:r>
      <w:r w:rsidRPr="00FF0CEC">
        <w:rPr>
          <w:b/>
        </w:rPr>
        <w:t>ентации.</w:t>
      </w:r>
    </w:p>
    <w:p w:rsidR="005B59C4" w:rsidRPr="00FF0CEC" w:rsidRDefault="005B59C4" w:rsidP="005B59C4">
      <w:pPr>
        <w:pStyle w:val="SingleTxtGR"/>
      </w:pPr>
      <w:r w:rsidRPr="00FF0CEC">
        <w:t>15.</w:t>
      </w:r>
      <w:r w:rsidRPr="00FF0CEC">
        <w:tab/>
        <w:t>Комитет по-прежнему обеспокоен тем, что после принятия в 2002 году его последних заключ</w:t>
      </w:r>
      <w:r w:rsidRPr="00FF0CEC">
        <w:t>и</w:t>
      </w:r>
      <w:r>
        <w:t>тельных замечаний</w:t>
      </w:r>
      <w:r w:rsidRPr="00FF0CEC">
        <w:t xml:space="preserve"> (</w:t>
      </w:r>
      <w:proofErr w:type="spellStart"/>
      <w:r w:rsidRPr="00FF0CEC">
        <w:rPr>
          <w:lang w:val="en-US"/>
        </w:rPr>
        <w:t>CCPR</w:t>
      </w:r>
      <w:proofErr w:type="spellEnd"/>
      <w:r w:rsidRPr="00FF0CEC">
        <w:t>/</w:t>
      </w:r>
      <w:r w:rsidRPr="00FF0CEC">
        <w:rPr>
          <w:lang w:val="en-US"/>
        </w:rPr>
        <w:t>CO</w:t>
      </w:r>
      <w:r w:rsidRPr="00FF0CEC">
        <w:t>/76/</w:t>
      </w:r>
      <w:proofErr w:type="spellStart"/>
      <w:r w:rsidRPr="00FF0CEC">
        <w:rPr>
          <w:lang w:val="en-US"/>
        </w:rPr>
        <w:t>TGO</w:t>
      </w:r>
      <w:proofErr w:type="spellEnd"/>
      <w:r w:rsidRPr="00FF0CEC">
        <w:t xml:space="preserve">) государство-участник до сих пор не </w:t>
      </w:r>
      <w:r>
        <w:t>включило</w:t>
      </w:r>
      <w:r w:rsidRPr="00FF0CEC">
        <w:t xml:space="preserve"> в уголовное законодательство положение, в</w:t>
      </w:r>
      <w:r>
        <w:t> </w:t>
      </w:r>
      <w:r w:rsidRPr="00FF0CEC">
        <w:t>котором ясно определяются и квалифицируются в качестве уголовного пр</w:t>
      </w:r>
      <w:r w:rsidRPr="00FF0CEC">
        <w:t>е</w:t>
      </w:r>
      <w:r w:rsidRPr="00FF0CEC">
        <w:t>ступле</w:t>
      </w:r>
      <w:r>
        <w:t>ния пытки, а</w:t>
      </w:r>
      <w:r w:rsidRPr="00FF0CEC">
        <w:t xml:space="preserve"> применение пыток и других жестоких, бесчеловечных или унижающих достоинство видов обращения остается безнаказанным (статьи 2 и</w:t>
      </w:r>
      <w:r>
        <w:t> </w:t>
      </w:r>
      <w:r w:rsidRPr="00FF0CEC">
        <w:t>7).</w:t>
      </w:r>
    </w:p>
    <w:p w:rsidR="005B59C4" w:rsidRPr="00FF0CEC" w:rsidRDefault="005B59C4" w:rsidP="005B59C4">
      <w:pPr>
        <w:pStyle w:val="SingleTxtGR"/>
      </w:pPr>
      <w:r w:rsidRPr="00FF0CEC">
        <w:rPr>
          <w:b/>
        </w:rPr>
        <w:t xml:space="preserve">Государству-участнику следует </w:t>
      </w:r>
      <w:r>
        <w:rPr>
          <w:b/>
        </w:rPr>
        <w:t>включить</w:t>
      </w:r>
      <w:r w:rsidRPr="00FF0CEC">
        <w:rPr>
          <w:b/>
        </w:rPr>
        <w:t xml:space="preserve"> в уголовное законодательство положение, содержащее определение пытки в соответствии с междунаро</w:t>
      </w:r>
      <w:r w:rsidRPr="00FF0CEC">
        <w:rPr>
          <w:b/>
        </w:rPr>
        <w:t>д</w:t>
      </w:r>
      <w:r w:rsidRPr="00FF0CEC">
        <w:rPr>
          <w:b/>
        </w:rPr>
        <w:t xml:space="preserve">ными стандартами, а также положения об уголовной ответственности за </w:t>
      </w:r>
      <w:r>
        <w:rPr>
          <w:b/>
        </w:rPr>
        <w:t>применение пыток с</w:t>
      </w:r>
      <w:r w:rsidRPr="00FF0CEC">
        <w:rPr>
          <w:b/>
        </w:rPr>
        <w:t xml:space="preserve"> </w:t>
      </w:r>
      <w:r>
        <w:rPr>
          <w:b/>
        </w:rPr>
        <w:t>установлением соответствующих</w:t>
      </w:r>
      <w:r w:rsidRPr="00FF0CEC">
        <w:rPr>
          <w:b/>
        </w:rPr>
        <w:t xml:space="preserve"> наказаний, сора</w:t>
      </w:r>
      <w:r w:rsidRPr="00FF0CEC">
        <w:rPr>
          <w:b/>
        </w:rPr>
        <w:t>з</w:t>
      </w:r>
      <w:r w:rsidRPr="00FF0CEC">
        <w:rPr>
          <w:b/>
        </w:rPr>
        <w:t>мерных степени тяжести совершенных деяний. Государству-участнику сл</w:t>
      </w:r>
      <w:r w:rsidRPr="00FF0CEC">
        <w:rPr>
          <w:b/>
        </w:rPr>
        <w:t>е</w:t>
      </w:r>
      <w:r w:rsidRPr="00FF0CEC">
        <w:rPr>
          <w:b/>
        </w:rPr>
        <w:t xml:space="preserve">дует обеспечить, чтобы все лица, </w:t>
      </w:r>
      <w:r>
        <w:rPr>
          <w:b/>
        </w:rPr>
        <w:t>виновные в пытках</w:t>
      </w:r>
      <w:r w:rsidRPr="00FF0CEC">
        <w:rPr>
          <w:b/>
        </w:rPr>
        <w:t xml:space="preserve"> или жесто</w:t>
      </w:r>
      <w:r>
        <w:rPr>
          <w:b/>
        </w:rPr>
        <w:t>ком</w:t>
      </w:r>
      <w:r w:rsidRPr="00FF0CEC">
        <w:rPr>
          <w:b/>
        </w:rPr>
        <w:t>, бесч</w:t>
      </w:r>
      <w:r w:rsidRPr="00FF0CEC">
        <w:rPr>
          <w:b/>
        </w:rPr>
        <w:t>е</w:t>
      </w:r>
      <w:r w:rsidRPr="00FF0CEC">
        <w:rPr>
          <w:b/>
        </w:rPr>
        <w:t>ловечно</w:t>
      </w:r>
      <w:r>
        <w:rPr>
          <w:b/>
        </w:rPr>
        <w:t>м или унижающем</w:t>
      </w:r>
      <w:r w:rsidRPr="00FF0CEC">
        <w:rPr>
          <w:b/>
        </w:rPr>
        <w:t xml:space="preserve"> досто</w:t>
      </w:r>
      <w:r>
        <w:rPr>
          <w:b/>
        </w:rPr>
        <w:t>инство обращении</w:t>
      </w:r>
      <w:r w:rsidRPr="00FF0CEC">
        <w:rPr>
          <w:b/>
        </w:rPr>
        <w:t>, привлекались к отве</w:t>
      </w:r>
      <w:r w:rsidRPr="00FF0CEC">
        <w:rPr>
          <w:b/>
        </w:rPr>
        <w:t>т</w:t>
      </w:r>
      <w:r w:rsidRPr="00FF0CEC">
        <w:rPr>
          <w:b/>
        </w:rPr>
        <w:t>ственности и им выносились наказания, соразмерные степени тяжести с</w:t>
      </w:r>
      <w:r w:rsidRPr="00FF0CEC">
        <w:rPr>
          <w:b/>
        </w:rPr>
        <w:t>о</w:t>
      </w:r>
      <w:r w:rsidRPr="00FF0CEC">
        <w:rPr>
          <w:b/>
        </w:rPr>
        <w:t xml:space="preserve">вершенных </w:t>
      </w:r>
      <w:r>
        <w:rPr>
          <w:b/>
        </w:rPr>
        <w:t xml:space="preserve">ими </w:t>
      </w:r>
      <w:r w:rsidRPr="00FF0CEC">
        <w:rPr>
          <w:b/>
        </w:rPr>
        <w:t>деяний.</w:t>
      </w:r>
    </w:p>
    <w:p w:rsidR="005B59C4" w:rsidRPr="00FF0CEC" w:rsidRDefault="005B59C4" w:rsidP="005B59C4">
      <w:pPr>
        <w:pStyle w:val="SingleTxtGR"/>
      </w:pPr>
      <w:r w:rsidRPr="00FF0CEC">
        <w:t>16.</w:t>
      </w:r>
      <w:r w:rsidRPr="00FF0CEC">
        <w:tab/>
        <w:t>Комитет по-прежнему обеспокоен сообщениям</w:t>
      </w:r>
      <w:r>
        <w:t>и о применении пыток и жестоком обращении</w:t>
      </w:r>
      <w:r w:rsidRPr="00FF0CEC">
        <w:t xml:space="preserve"> в местах лишения свободы, в частности в помещениях Национального разведывательного агентства (</w:t>
      </w:r>
      <w:proofErr w:type="spellStart"/>
      <w:r w:rsidRPr="00FF0CEC">
        <w:t>НРА</w:t>
      </w:r>
      <w:proofErr w:type="spellEnd"/>
      <w:r w:rsidRPr="00FF0CEC">
        <w:t xml:space="preserve">), и сообщениями о гибели лишенных свободы лиц вследствие применения к ним жестокого обращения. Комитет </w:t>
      </w:r>
      <w:r>
        <w:t xml:space="preserve">выражает </w:t>
      </w:r>
      <w:r w:rsidRPr="00FF0CEC">
        <w:t>сожа</w:t>
      </w:r>
      <w:r>
        <w:t>ление по поводу</w:t>
      </w:r>
      <w:r w:rsidRPr="00FF0CEC">
        <w:t xml:space="preserve"> отсутст</w:t>
      </w:r>
      <w:r>
        <w:t>вия</w:t>
      </w:r>
      <w:r w:rsidRPr="00FF0CEC">
        <w:t xml:space="preserve"> реакции </w:t>
      </w:r>
      <w:r>
        <w:t xml:space="preserve">со стороны </w:t>
      </w:r>
      <w:r w:rsidRPr="00FF0CEC">
        <w:t>гос</w:t>
      </w:r>
      <w:r w:rsidRPr="00FF0CEC">
        <w:t>у</w:t>
      </w:r>
      <w:r w:rsidRPr="00FF0CEC">
        <w:t>дарства-участника на целый ряд поданных жалоб на применение пыток или жестоко</w:t>
      </w:r>
      <w:r>
        <w:t>е обращение, а также</w:t>
      </w:r>
      <w:r w:rsidRPr="00FF0CEC">
        <w:t xml:space="preserve"> не</w:t>
      </w:r>
      <w:r>
        <w:t>принятия им</w:t>
      </w:r>
      <w:r w:rsidRPr="00FF0CEC">
        <w:t xml:space="preserve"> мер по этим жалобам. Кроме того, он </w:t>
      </w:r>
      <w:r>
        <w:t xml:space="preserve">выражает </w:t>
      </w:r>
      <w:r w:rsidRPr="00FF0CEC">
        <w:t>сожале</w:t>
      </w:r>
      <w:r>
        <w:t>ние по поводу</w:t>
      </w:r>
      <w:r w:rsidRPr="00FF0CEC">
        <w:t xml:space="preserve"> </w:t>
      </w:r>
      <w:proofErr w:type="spellStart"/>
      <w:r w:rsidRPr="00FF0CEC">
        <w:t>непров</w:t>
      </w:r>
      <w:r>
        <w:t>едения</w:t>
      </w:r>
      <w:proofErr w:type="spellEnd"/>
      <w:r>
        <w:t xml:space="preserve"> расследований</w:t>
      </w:r>
      <w:r w:rsidRPr="00FF0CEC">
        <w:t xml:space="preserve"> </w:t>
      </w:r>
      <w:r>
        <w:t xml:space="preserve">по фактам </w:t>
      </w:r>
      <w:r w:rsidRPr="00FF0CEC">
        <w:t>смерти лиц, содержавшихся в местах л</w:t>
      </w:r>
      <w:r w:rsidRPr="00FF0CEC">
        <w:t>и</w:t>
      </w:r>
      <w:r w:rsidRPr="00FF0CEC">
        <w:t>шения свободы (статьи 6, 7 и 2).</w:t>
      </w:r>
    </w:p>
    <w:p w:rsidR="005B59C4" w:rsidRPr="00FF0CEC" w:rsidRDefault="005B59C4" w:rsidP="005B59C4">
      <w:pPr>
        <w:pStyle w:val="SingleTxtGR"/>
      </w:pPr>
      <w:r w:rsidRPr="00FF0CEC">
        <w:rPr>
          <w:b/>
        </w:rPr>
        <w:t xml:space="preserve">Государству-участнику следует принять меры </w:t>
      </w:r>
      <w:r>
        <w:rPr>
          <w:b/>
        </w:rPr>
        <w:t>с целью</w:t>
      </w:r>
      <w:r w:rsidRPr="00FF0CEC">
        <w:rPr>
          <w:b/>
        </w:rPr>
        <w:t xml:space="preserve"> расследования всех заявлени</w:t>
      </w:r>
      <w:r>
        <w:rPr>
          <w:b/>
        </w:rPr>
        <w:t>й о применении пыток и жестоком обращении</w:t>
      </w:r>
      <w:r w:rsidRPr="00FF0CEC">
        <w:rPr>
          <w:b/>
        </w:rPr>
        <w:t>, а также всех сл</w:t>
      </w:r>
      <w:r w:rsidRPr="00FF0CEC">
        <w:rPr>
          <w:b/>
        </w:rPr>
        <w:t>у</w:t>
      </w:r>
      <w:r w:rsidRPr="00FF0CEC">
        <w:rPr>
          <w:b/>
        </w:rPr>
        <w:t xml:space="preserve">чаев гибели лиц, содержавшихся в местах лишения свободы. Подобные расследования следует проводить оперативно, с тем чтобы </w:t>
      </w:r>
      <w:r>
        <w:rPr>
          <w:b/>
        </w:rPr>
        <w:t xml:space="preserve">обеспечить </w:t>
      </w:r>
      <w:r w:rsidRPr="00FF0CEC">
        <w:rPr>
          <w:b/>
        </w:rPr>
        <w:t>пр</w:t>
      </w:r>
      <w:r w:rsidRPr="00FF0CEC">
        <w:rPr>
          <w:b/>
        </w:rPr>
        <w:t>и</w:t>
      </w:r>
      <w:r w:rsidRPr="00FF0CEC">
        <w:rPr>
          <w:b/>
        </w:rPr>
        <w:t>вле</w:t>
      </w:r>
      <w:r>
        <w:rPr>
          <w:b/>
        </w:rPr>
        <w:t>чение</w:t>
      </w:r>
      <w:r w:rsidRPr="00FF0CEC">
        <w:rPr>
          <w:b/>
        </w:rPr>
        <w:t xml:space="preserve"> виновных к судебной ответственности и </w:t>
      </w:r>
      <w:r>
        <w:rPr>
          <w:b/>
        </w:rPr>
        <w:t>предоставление</w:t>
      </w:r>
      <w:r w:rsidRPr="00FF0CEC">
        <w:rPr>
          <w:b/>
        </w:rPr>
        <w:t xml:space="preserve"> надл</w:t>
      </w:r>
      <w:r w:rsidRPr="00FF0CEC">
        <w:rPr>
          <w:b/>
        </w:rPr>
        <w:t>е</w:t>
      </w:r>
      <w:r w:rsidRPr="00FF0CEC">
        <w:rPr>
          <w:b/>
        </w:rPr>
        <w:t>жа</w:t>
      </w:r>
      <w:r>
        <w:rPr>
          <w:b/>
        </w:rPr>
        <w:t>щей</w:t>
      </w:r>
      <w:r w:rsidRPr="00FF0CEC">
        <w:rPr>
          <w:b/>
        </w:rPr>
        <w:t xml:space="preserve"> компенса</w:t>
      </w:r>
      <w:r>
        <w:rPr>
          <w:b/>
        </w:rPr>
        <w:t>ции</w:t>
      </w:r>
      <w:r w:rsidRPr="00FF0CEC">
        <w:rPr>
          <w:b/>
        </w:rPr>
        <w:t xml:space="preserve"> жертвам. </w:t>
      </w:r>
    </w:p>
    <w:p w:rsidR="005B59C4" w:rsidRPr="00FF0CEC" w:rsidRDefault="005B59C4" w:rsidP="005B59C4">
      <w:pPr>
        <w:pStyle w:val="SingleTxtGR"/>
      </w:pPr>
      <w:r w:rsidRPr="00FF0CEC">
        <w:t>17.</w:t>
      </w:r>
      <w:r w:rsidRPr="00FF0CEC">
        <w:tab/>
        <w:t xml:space="preserve">Комитет выражает беспокойство в связи с </w:t>
      </w:r>
      <w:r>
        <w:t>большим числом</w:t>
      </w:r>
      <w:r w:rsidRPr="00FF0CEC">
        <w:t xml:space="preserve"> произвольно задержанных лиц и отсутствием доступных средств защиты для оспаривания законности задержаний. Комитет также обеспокоен </w:t>
      </w:r>
      <w:r>
        <w:t>недостаточной</w:t>
      </w:r>
      <w:r w:rsidRPr="00FF0CEC">
        <w:t xml:space="preserve"> подготов</w:t>
      </w:r>
      <w:r>
        <w:t>кой</w:t>
      </w:r>
      <w:r w:rsidRPr="00FF0CEC">
        <w:t xml:space="preserve"> судей, которые, как представляется, соглашаются с практикой лишения свободы за долги (статьи 9, 10 и 11).</w:t>
      </w:r>
    </w:p>
    <w:p w:rsidR="005B59C4" w:rsidRPr="00FF0CEC" w:rsidRDefault="005B59C4" w:rsidP="005B59C4">
      <w:pPr>
        <w:pStyle w:val="SingleTxtGR"/>
      </w:pPr>
      <w:r w:rsidRPr="00FF0CEC">
        <w:rPr>
          <w:b/>
        </w:rPr>
        <w:t xml:space="preserve">Государству-участнику следует принять меры </w:t>
      </w:r>
      <w:r>
        <w:rPr>
          <w:b/>
        </w:rPr>
        <w:t>с целью</w:t>
      </w:r>
      <w:r w:rsidRPr="00FF0CEC">
        <w:rPr>
          <w:b/>
        </w:rPr>
        <w:t xml:space="preserve"> обеспечения права всех лишенных свободы лиц на доступ к средствам защиты для оспарив</w:t>
      </w:r>
      <w:r w:rsidRPr="00FF0CEC">
        <w:rPr>
          <w:b/>
        </w:rPr>
        <w:t>а</w:t>
      </w:r>
      <w:r w:rsidRPr="00FF0CEC">
        <w:rPr>
          <w:b/>
        </w:rPr>
        <w:t>ния законности их задержания и организовать системат</w:t>
      </w:r>
      <w:r w:rsidRPr="00FF0CEC">
        <w:rPr>
          <w:b/>
        </w:rPr>
        <w:t>и</w:t>
      </w:r>
      <w:r w:rsidRPr="00FF0CEC">
        <w:rPr>
          <w:b/>
        </w:rPr>
        <w:t>ческ</w:t>
      </w:r>
      <w:r>
        <w:rPr>
          <w:b/>
        </w:rPr>
        <w:t>ое посещение</w:t>
      </w:r>
      <w:r w:rsidRPr="00FF0CEC">
        <w:rPr>
          <w:b/>
        </w:rPr>
        <w:t xml:space="preserve"> мест лишения свободы,</w:t>
      </w:r>
      <w:r>
        <w:rPr>
          <w:b/>
        </w:rPr>
        <w:t xml:space="preserve"> с тем </w:t>
      </w:r>
      <w:r w:rsidRPr="00FF0CEC">
        <w:rPr>
          <w:b/>
        </w:rPr>
        <w:t>чтобы выявлять и пресекать любые прои</w:t>
      </w:r>
      <w:r w:rsidRPr="00FF0CEC">
        <w:rPr>
          <w:b/>
        </w:rPr>
        <w:t>з</w:t>
      </w:r>
      <w:r w:rsidRPr="00FF0CEC">
        <w:rPr>
          <w:b/>
        </w:rPr>
        <w:t xml:space="preserve">вольные задержания, в том числе </w:t>
      </w:r>
      <w:r>
        <w:rPr>
          <w:b/>
        </w:rPr>
        <w:t>практики лишения свободы</w:t>
      </w:r>
      <w:r w:rsidRPr="00FF0CEC">
        <w:rPr>
          <w:b/>
        </w:rPr>
        <w:t xml:space="preserve"> за до</w:t>
      </w:r>
      <w:r w:rsidRPr="00FF0CEC">
        <w:rPr>
          <w:b/>
        </w:rPr>
        <w:t>л</w:t>
      </w:r>
      <w:r w:rsidRPr="00FF0CEC">
        <w:rPr>
          <w:b/>
        </w:rPr>
        <w:t>ги.</w:t>
      </w:r>
    </w:p>
    <w:p w:rsidR="005B59C4" w:rsidRPr="00230F69" w:rsidRDefault="005B59C4" w:rsidP="005B59C4">
      <w:pPr>
        <w:pStyle w:val="SingleTxtGR"/>
      </w:pPr>
      <w:r w:rsidRPr="00FF0CEC">
        <w:t>18.</w:t>
      </w:r>
      <w:r w:rsidRPr="00FF0CEC">
        <w:tab/>
        <w:t xml:space="preserve">Признавая усилия, прилагаемые государством-участником </w:t>
      </w:r>
      <w:r>
        <w:t>с целью</w:t>
      </w:r>
      <w:r w:rsidRPr="00FF0CEC">
        <w:t xml:space="preserve"> </w:t>
      </w:r>
      <w:r>
        <w:t>реш</w:t>
      </w:r>
      <w:r>
        <w:t>е</w:t>
      </w:r>
      <w:r>
        <w:t>ния проблемы перенаселенности</w:t>
      </w:r>
      <w:r w:rsidRPr="00FF0CEC">
        <w:t xml:space="preserve"> пенитенци</w:t>
      </w:r>
      <w:r>
        <w:t>арных</w:t>
      </w:r>
      <w:r w:rsidRPr="00FF0CEC">
        <w:t xml:space="preserve"> учреждени</w:t>
      </w:r>
      <w:r>
        <w:t>й</w:t>
      </w:r>
      <w:r w:rsidRPr="00FF0CEC">
        <w:t>, в частности п</w:t>
      </w:r>
      <w:r w:rsidRPr="00FF0CEC">
        <w:t>о</w:t>
      </w:r>
      <w:r w:rsidRPr="00FF0CEC">
        <w:t>средством строительства новых тюрем</w:t>
      </w:r>
      <w:r>
        <w:t xml:space="preserve"> −</w:t>
      </w:r>
      <w:r w:rsidRPr="00FF0CEC">
        <w:t xml:space="preserve"> хотя эта мера сама по себе не спосо</w:t>
      </w:r>
      <w:r w:rsidRPr="00FF0CEC">
        <w:t>б</w:t>
      </w:r>
      <w:r w:rsidRPr="00FF0CEC">
        <w:t>на решить проблем</w:t>
      </w:r>
      <w:r>
        <w:t>у</w:t>
      </w:r>
      <w:r w:rsidRPr="00FF0CEC">
        <w:t xml:space="preserve"> перенаселенности пенитенциарных учреждений, </w:t>
      </w:r>
      <w:r>
        <w:t xml:space="preserve">− </w:t>
      </w:r>
      <w:r w:rsidRPr="00FF0CEC">
        <w:t>Ком</w:t>
      </w:r>
      <w:r w:rsidRPr="00FF0CEC">
        <w:t>и</w:t>
      </w:r>
      <w:r w:rsidRPr="00FF0CEC">
        <w:t xml:space="preserve">тет вновь выражает беспокойство тем, что условия </w:t>
      </w:r>
      <w:r>
        <w:t>содержания под стражей</w:t>
      </w:r>
      <w:r w:rsidRPr="00FF0CEC">
        <w:t xml:space="preserve"> в</w:t>
      </w:r>
      <w:r>
        <w:t> </w:t>
      </w:r>
      <w:r w:rsidRPr="00FF0CEC">
        <w:t>Того противоречат положениям ст</w:t>
      </w:r>
      <w:r w:rsidRPr="00FF0CEC">
        <w:t>а</w:t>
      </w:r>
      <w:r w:rsidRPr="00FF0CEC">
        <w:t>тьи 10 Пакта.</w:t>
      </w:r>
      <w:r>
        <w:t xml:space="preserve"> Проблема перенаселенности</w:t>
      </w:r>
      <w:r w:rsidRPr="00230F69">
        <w:t xml:space="preserve"> частично обусловлена сохраняющейся практикой произвольных задержаний, которая приводит к явным диспропорциям между </w:t>
      </w:r>
      <w:r>
        <w:t>числом</w:t>
      </w:r>
      <w:r w:rsidRPr="00230F69">
        <w:t xml:space="preserve"> лиц, ожидающих с</w:t>
      </w:r>
      <w:r w:rsidRPr="00230F69">
        <w:t>у</w:t>
      </w:r>
      <w:r w:rsidRPr="00230F69">
        <w:t xml:space="preserve">да, и </w:t>
      </w:r>
      <w:r>
        <w:t>числом</w:t>
      </w:r>
      <w:r w:rsidRPr="00230F69">
        <w:t xml:space="preserve"> осужденных. Комитет выражает сер</w:t>
      </w:r>
      <w:r w:rsidRPr="00230F69">
        <w:t>ь</w:t>
      </w:r>
      <w:r w:rsidRPr="00230F69">
        <w:t xml:space="preserve">езное беспокойство </w:t>
      </w:r>
      <w:r>
        <w:t>по поводу</w:t>
      </w:r>
      <w:r w:rsidRPr="00230F69">
        <w:t xml:space="preserve"> представленной государством-участником информаци</w:t>
      </w:r>
      <w:r>
        <w:t>и</w:t>
      </w:r>
      <w:r w:rsidRPr="00230F69">
        <w:t xml:space="preserve"> об отсутствии механи</w:t>
      </w:r>
      <w:r w:rsidRPr="00230F69">
        <w:t>з</w:t>
      </w:r>
      <w:r w:rsidRPr="00230F69">
        <w:t>ма, позволяющего заключенным направлять судье жалобы на условия их с</w:t>
      </w:r>
      <w:r w:rsidRPr="00230F69">
        <w:t>о</w:t>
      </w:r>
      <w:r w:rsidRPr="00230F69">
        <w:t>держания под стражей (ст</w:t>
      </w:r>
      <w:r w:rsidRPr="00230F69">
        <w:t>а</w:t>
      </w:r>
      <w:r w:rsidRPr="00230F69">
        <w:t>тьи 9 и 10</w:t>
      </w:r>
      <w:r>
        <w:t>)</w:t>
      </w:r>
      <w:r w:rsidRPr="00230F69">
        <w:t>.</w:t>
      </w:r>
    </w:p>
    <w:p w:rsidR="005B59C4" w:rsidRPr="003E6485" w:rsidRDefault="005B59C4" w:rsidP="005B59C4">
      <w:pPr>
        <w:pStyle w:val="SingleTxtGR"/>
        <w:rPr>
          <w:b/>
        </w:rPr>
      </w:pPr>
      <w:r>
        <w:rPr>
          <w:b/>
        </w:rPr>
        <w:t>Государству-участнику следует обеспечить: а) чтобы все заключенные имели доступ к механизмам, позволяющим сообщать о нарушениях, жер</w:t>
      </w:r>
      <w:r>
        <w:rPr>
          <w:b/>
        </w:rPr>
        <w:t>т</w:t>
      </w:r>
      <w:r>
        <w:rPr>
          <w:b/>
        </w:rPr>
        <w:t xml:space="preserve">вами которых они являются, в частности о произвольных задержаниях и неадекватных условиях содержания под стражей; </w:t>
      </w:r>
      <w:proofErr w:type="spellStart"/>
      <w:r>
        <w:rPr>
          <w:b/>
        </w:rPr>
        <w:t>b</w:t>
      </w:r>
      <w:proofErr w:type="spellEnd"/>
      <w:r>
        <w:rPr>
          <w:b/>
        </w:rPr>
        <w:t>) принятие мер для во</w:t>
      </w:r>
      <w:r>
        <w:rPr>
          <w:b/>
        </w:rPr>
        <w:t>с</w:t>
      </w:r>
      <w:r>
        <w:rPr>
          <w:b/>
        </w:rPr>
        <w:t>становления права этих лиц на свободу или на содержание под стражей в условиях, уважающих их человеческое достои</w:t>
      </w:r>
      <w:r>
        <w:rPr>
          <w:b/>
        </w:rPr>
        <w:t>н</w:t>
      </w:r>
      <w:r>
        <w:rPr>
          <w:b/>
        </w:rPr>
        <w:t>ство.</w:t>
      </w:r>
    </w:p>
    <w:p w:rsidR="005B59C4" w:rsidRDefault="005B59C4" w:rsidP="005B59C4">
      <w:pPr>
        <w:pStyle w:val="SingleTxtGR"/>
      </w:pPr>
      <w:r>
        <w:t>19.</w:t>
      </w:r>
      <w:r>
        <w:tab/>
        <w:t>Комитет обеспокоен констатацией государством-участником того факта, что судьи явно игнорируют принцип презумпции невиновности и что практ</w:t>
      </w:r>
      <w:r>
        <w:t>и</w:t>
      </w:r>
      <w:r>
        <w:t>ка предварительного заключения стала правилом, а освобождение − исключ</w:t>
      </w:r>
      <w:r>
        <w:t>е</w:t>
      </w:r>
      <w:r>
        <w:t>нием. Комитет также обеспокоен отсутствием доступа заключенных к адвокату и з</w:t>
      </w:r>
      <w:r>
        <w:t>а</w:t>
      </w:r>
      <w:r>
        <w:t>держками с принятием законодательства о правовой помощи. Хотя на пра</w:t>
      </w:r>
      <w:r>
        <w:t>к</w:t>
      </w:r>
      <w:r>
        <w:t>тике лица, которые не в состоянии нанять адвоката, пользуются помощью адв</w:t>
      </w:r>
      <w:r>
        <w:t>о</w:t>
      </w:r>
      <w:r>
        <w:t>ката, назначенного в служебном порядке, такое назначение производится лишь на последней стадии процедуры уголовного разбирательства (статьи 9 и 14).</w:t>
      </w:r>
    </w:p>
    <w:p w:rsidR="005B59C4" w:rsidRPr="006470B0" w:rsidRDefault="005B59C4" w:rsidP="005B59C4">
      <w:pPr>
        <w:pStyle w:val="SingleTxtGR"/>
        <w:rPr>
          <w:b/>
        </w:rPr>
      </w:pPr>
      <w:r>
        <w:rPr>
          <w:b/>
        </w:rPr>
        <w:t xml:space="preserve">Государству-участнику следует обеспечить </w:t>
      </w:r>
      <w:proofErr w:type="spellStart"/>
      <w:r>
        <w:rPr>
          <w:b/>
        </w:rPr>
        <w:t>уделение</w:t>
      </w:r>
      <w:proofErr w:type="spellEnd"/>
      <w:r>
        <w:rPr>
          <w:b/>
        </w:rPr>
        <w:t xml:space="preserve"> в рамках процесса профессиональной подготовки судей повышенного внимания принципу презумпции невиновности и другим гарантиям, предусмотренным в ст</w:t>
      </w:r>
      <w:r>
        <w:rPr>
          <w:b/>
        </w:rPr>
        <w:t>а</w:t>
      </w:r>
      <w:r>
        <w:rPr>
          <w:b/>
        </w:rPr>
        <w:t>тье 14 Пакта. Комитет предлагает государству-участнику включить в его уголовное законодательство положения, гарантирующие доступ всех л</w:t>
      </w:r>
      <w:r>
        <w:rPr>
          <w:b/>
        </w:rPr>
        <w:t>и</w:t>
      </w:r>
      <w:r>
        <w:rPr>
          <w:b/>
        </w:rPr>
        <w:t>шенных свободы лиц к адвокату с момента их задержания, а также пр</w:t>
      </w:r>
      <w:r>
        <w:rPr>
          <w:b/>
        </w:rPr>
        <w:t>и</w:t>
      </w:r>
      <w:r>
        <w:rPr>
          <w:b/>
        </w:rPr>
        <w:t>нять законодательные положения о правовой помощи. Государству-участнику следует принять законодательные нормы, необходимые для практического обеспечения права на получение возмещения за судебную ошибку.</w:t>
      </w:r>
    </w:p>
    <w:p w:rsidR="005B59C4" w:rsidRDefault="005B59C4" w:rsidP="005B59C4">
      <w:pPr>
        <w:pStyle w:val="SingleTxtGR"/>
      </w:pPr>
      <w:r>
        <w:t>20.</w:t>
      </w:r>
      <w:r>
        <w:tab/>
        <w:t>Комитет с беспокойством отмечает неоправданное ограничение свободы выражения мнений, в частности цензуру некоторых средств массовой информ</w:t>
      </w:r>
      <w:r>
        <w:t>а</w:t>
      </w:r>
      <w:r>
        <w:t>ции со стороны Главного управления телерадиовещания и средств массовой информации (</w:t>
      </w:r>
      <w:proofErr w:type="spellStart"/>
      <w:r>
        <w:t>ГУТСМИ</w:t>
      </w:r>
      <w:proofErr w:type="spellEnd"/>
      <w:r>
        <w:t>), независимость и методы работы которого были п</w:t>
      </w:r>
      <w:r>
        <w:t>о</w:t>
      </w:r>
      <w:r>
        <w:t>ставлены под сомнение. Комитет обеспокоен ограничениями, введенными в о</w:t>
      </w:r>
      <w:r>
        <w:t>т</w:t>
      </w:r>
      <w:r>
        <w:t>ношении свободы мирных манифестаций, и различным подходом к этой своб</w:t>
      </w:r>
      <w:r>
        <w:t>о</w:t>
      </w:r>
      <w:r>
        <w:t>де в зависимости от того, планируются ли манифестации в Ломе или в других населенных пунктах страны. Кроме того, он обеспокоен угрозами  в адрес ц</w:t>
      </w:r>
      <w:r>
        <w:t>е</w:t>
      </w:r>
      <w:r>
        <w:t>лого ряда журналистов и правозащитников (статьи 18, 19, 21 и 22).</w:t>
      </w:r>
    </w:p>
    <w:p w:rsidR="005B59C4" w:rsidRPr="006470B0" w:rsidRDefault="005B59C4" w:rsidP="005B59C4">
      <w:pPr>
        <w:pStyle w:val="SingleTxtGR"/>
        <w:rPr>
          <w:b/>
        </w:rPr>
      </w:pPr>
      <w:r>
        <w:rPr>
          <w:b/>
        </w:rPr>
        <w:t>Государству-участнику следует принять меры для обеспечения соответс</w:t>
      </w:r>
      <w:r>
        <w:rPr>
          <w:b/>
        </w:rPr>
        <w:t>т</w:t>
      </w:r>
      <w:r>
        <w:rPr>
          <w:b/>
        </w:rPr>
        <w:t xml:space="preserve">вия Пакту нового Закона о свободе манифестаций. Государству-участнику следует также пересмотреть устав и методы работы </w:t>
      </w:r>
      <w:proofErr w:type="spellStart"/>
      <w:r>
        <w:rPr>
          <w:b/>
        </w:rPr>
        <w:t>ГУТСМИ</w:t>
      </w:r>
      <w:proofErr w:type="spellEnd"/>
      <w:r>
        <w:rPr>
          <w:b/>
        </w:rPr>
        <w:t>, с тем чтобы гарантировать независимость и беспристрастность этого органа и пов</w:t>
      </w:r>
      <w:r>
        <w:rPr>
          <w:b/>
        </w:rPr>
        <w:t>ы</w:t>
      </w:r>
      <w:r>
        <w:rPr>
          <w:b/>
        </w:rPr>
        <w:t>сить его авторитет. Необходимо тщательно расследовать все случаи пос</w:t>
      </w:r>
      <w:r>
        <w:rPr>
          <w:b/>
        </w:rPr>
        <w:t>я</w:t>
      </w:r>
      <w:r>
        <w:rPr>
          <w:b/>
        </w:rPr>
        <w:t>гательств на свободу мысли и выражения мнений журналистов и правоз</w:t>
      </w:r>
      <w:r>
        <w:rPr>
          <w:b/>
        </w:rPr>
        <w:t>а</w:t>
      </w:r>
      <w:r>
        <w:rPr>
          <w:b/>
        </w:rPr>
        <w:t>щитников, а также на их физическую неприкосновенность. Виновные в таких нарушениях должны преследоваться и наказываться в уголовном порядке.</w:t>
      </w:r>
    </w:p>
    <w:p w:rsidR="005B59C4" w:rsidRDefault="005B59C4" w:rsidP="005B59C4">
      <w:pPr>
        <w:pStyle w:val="SingleTxtGR"/>
      </w:pPr>
      <w:r>
        <w:t>21.</w:t>
      </w:r>
      <w:r>
        <w:tab/>
        <w:t xml:space="preserve">Комитет обеспокоен недостаточным уровнем </w:t>
      </w:r>
      <w:proofErr w:type="spellStart"/>
      <w:r>
        <w:t>представленности</w:t>
      </w:r>
      <w:proofErr w:type="spellEnd"/>
      <w:r>
        <w:t xml:space="preserve"> мен</w:t>
      </w:r>
      <w:r>
        <w:t>ь</w:t>
      </w:r>
      <w:r>
        <w:t>шинств в системе государственной службы, в частности в армии. Кроме того, он с беспокойством констатирует, что в Того не признается ни существование коренных жителей, ни их право предварительно давать свобо</w:t>
      </w:r>
      <w:r>
        <w:t>д</w:t>
      </w:r>
      <w:r>
        <w:t>ное и осознанное согласие (статьи 2 и 27).</w:t>
      </w:r>
    </w:p>
    <w:p w:rsidR="005B59C4" w:rsidRPr="00836C02" w:rsidRDefault="005B59C4" w:rsidP="005B59C4">
      <w:pPr>
        <w:pStyle w:val="SingleTxtGR"/>
        <w:rPr>
          <w:b/>
        </w:rPr>
      </w:pPr>
      <w:r>
        <w:rPr>
          <w:b/>
        </w:rPr>
        <w:t>Государству-участнику следует принять необходимые меры для официал</w:t>
      </w:r>
      <w:r>
        <w:rPr>
          <w:b/>
        </w:rPr>
        <w:t>ь</w:t>
      </w:r>
      <w:r>
        <w:rPr>
          <w:b/>
        </w:rPr>
        <w:t>ного признания меньшинств и коренных жителей. Ему следует также обе</w:t>
      </w:r>
      <w:r>
        <w:rPr>
          <w:b/>
        </w:rPr>
        <w:t>с</w:t>
      </w:r>
      <w:r>
        <w:rPr>
          <w:b/>
        </w:rPr>
        <w:t>печить, чтобы коренные народы имели реальную возможность пользоват</w:t>
      </w:r>
      <w:r>
        <w:rPr>
          <w:b/>
        </w:rPr>
        <w:t>ь</w:t>
      </w:r>
      <w:r>
        <w:rPr>
          <w:b/>
        </w:rPr>
        <w:t>ся своим правом предварительно давать свободное и осознанное согл</w:t>
      </w:r>
      <w:r>
        <w:rPr>
          <w:b/>
        </w:rPr>
        <w:t>а</w:t>
      </w:r>
      <w:r>
        <w:rPr>
          <w:b/>
        </w:rPr>
        <w:t>сие. Кроме того, государству-участнику следует обеспечить меньшинствам в Того возможности для их более активного участия в общественной жизни и для их более широкого представительства на ответственных должн</w:t>
      </w:r>
      <w:r>
        <w:rPr>
          <w:b/>
        </w:rPr>
        <w:t>о</w:t>
      </w:r>
      <w:r>
        <w:rPr>
          <w:b/>
        </w:rPr>
        <w:t>стях.</w:t>
      </w:r>
    </w:p>
    <w:p w:rsidR="005B59C4" w:rsidRDefault="005B59C4" w:rsidP="005B59C4">
      <w:pPr>
        <w:pStyle w:val="SingleTxtGR"/>
      </w:pPr>
      <w:r>
        <w:t>22.</w:t>
      </w:r>
      <w:r>
        <w:tab/>
        <w:t>Государству-участнику следует обеспечить широкое распространение Пакта, Факультативного протокола к Международному пакту о гражданских и политических пр</w:t>
      </w:r>
      <w:r>
        <w:t>а</w:t>
      </w:r>
      <w:r>
        <w:t>вах, Второго факультативного протокола к Международному пакту о гражданских и политических правах, направленного на отмену смер</w:t>
      </w:r>
      <w:r>
        <w:t>т</w:t>
      </w:r>
      <w:r>
        <w:t>ной казни, текста его периодического доклада, его письменных ответов на по</w:t>
      </w:r>
      <w:r>
        <w:t>д</w:t>
      </w:r>
      <w:r>
        <w:t>готовленный Комитетом перечень вопросов, а также настоящих заключител</w:t>
      </w:r>
      <w:r>
        <w:t>ь</w:t>
      </w:r>
      <w:r>
        <w:t>ных замечаний в целях повышения уровня информированности о них среди с</w:t>
      </w:r>
      <w:r>
        <w:t>у</w:t>
      </w:r>
      <w:r>
        <w:t>дебных, законодательных и административных органов, гражданского общес</w:t>
      </w:r>
      <w:r>
        <w:t>т</w:t>
      </w:r>
      <w:r>
        <w:t>ва, действующих в стране неправительственных организаций и населения в ц</w:t>
      </w:r>
      <w:r>
        <w:t>е</w:t>
      </w:r>
      <w:r>
        <w:t>лом. Комитет также предлагает перевести доклад и заключительные замечания на второй официальный язык государства-участника.</w:t>
      </w:r>
    </w:p>
    <w:p w:rsidR="005B59C4" w:rsidRDefault="005B59C4" w:rsidP="005B59C4">
      <w:pPr>
        <w:pStyle w:val="SingleTxtGR"/>
      </w:pPr>
      <w:r>
        <w:t>23.</w:t>
      </w:r>
      <w:r>
        <w:tab/>
        <w:t>В соответствии с пунктом 5 правила 71 правил процедуры Комитета г</w:t>
      </w:r>
      <w:r>
        <w:t>о</w:t>
      </w:r>
      <w:r>
        <w:t>сударству-участнику следует в течение одного года представить информацию, запрошенную в пунктах 10, 15 и 16 выше относительно оценки существующ</w:t>
      </w:r>
      <w:r>
        <w:t>е</w:t>
      </w:r>
      <w:r>
        <w:t>го положения и выполн</w:t>
      </w:r>
      <w:r>
        <w:t>е</w:t>
      </w:r>
      <w:r>
        <w:t xml:space="preserve">ния рекомендаций Комитета. </w:t>
      </w:r>
    </w:p>
    <w:p w:rsidR="005B59C4" w:rsidRDefault="005B59C4" w:rsidP="005B59C4">
      <w:pPr>
        <w:pStyle w:val="SingleTxtGR"/>
      </w:pPr>
      <w:r>
        <w:t>24.</w:t>
      </w:r>
      <w:r>
        <w:tab/>
        <w:t>Комитет просит государство-участник включить в его следующий доклад, подлежащий представлению к 1 апреля 2015 года, информацию о мерах, прин</w:t>
      </w:r>
      <w:r>
        <w:t>я</w:t>
      </w:r>
      <w:r>
        <w:t>тых во исполнение других сформулированных рекомендаций, и об осуществл</w:t>
      </w:r>
      <w:r>
        <w:t>е</w:t>
      </w:r>
      <w:r>
        <w:t>нии Пакта в целом. Комитет также рекомендует государству-участнику пр</w:t>
      </w:r>
      <w:r>
        <w:t>и</w:t>
      </w:r>
      <w:r>
        <w:t>влечь к подготовке его пятого периодического доклада гражданское общес</w:t>
      </w:r>
      <w:r>
        <w:t>т</w:t>
      </w:r>
      <w:r>
        <w:t>во и действующие на его территории н</w:t>
      </w:r>
      <w:r>
        <w:t>е</w:t>
      </w:r>
      <w:r>
        <w:t>правительственные организации.</w:t>
      </w:r>
    </w:p>
    <w:p w:rsidR="005B59C4" w:rsidRPr="000A5938" w:rsidRDefault="005B59C4" w:rsidP="005B59C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B59C4" w:rsidRPr="000A5938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4C1" w:rsidRDefault="00F324C1">
      <w:r>
        <w:rPr>
          <w:lang w:val="en-US"/>
        </w:rPr>
        <w:tab/>
      </w:r>
      <w:r>
        <w:separator/>
      </w:r>
    </w:p>
  </w:endnote>
  <w:endnote w:type="continuationSeparator" w:id="0">
    <w:p w:rsidR="00F324C1" w:rsidRDefault="00F3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C1" w:rsidRPr="005F0588" w:rsidRDefault="00F324C1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GE.11-42286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C1" w:rsidRPr="005F0588" w:rsidRDefault="00F324C1">
    <w:pPr>
      <w:pStyle w:val="Footer"/>
      <w:rPr>
        <w:lang w:val="en-US"/>
      </w:rPr>
    </w:pPr>
    <w:r>
      <w:rPr>
        <w:lang w:val="en-US"/>
      </w:rPr>
      <w:t>GE.11-42286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C1" w:rsidRPr="007B2C3F" w:rsidRDefault="00F324C1">
    <w:pPr>
      <w:pStyle w:val="Footer"/>
      <w:rPr>
        <w:sz w:val="20"/>
        <w:lang w:val="en-US"/>
      </w:rPr>
    </w:pPr>
    <w:r>
      <w:rPr>
        <w:sz w:val="20"/>
        <w:lang w:val="en-US"/>
      </w:rPr>
      <w:t>GE.11-42286  (R)  160511  170511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4C1" w:rsidRPr="00F71F63" w:rsidRDefault="00F324C1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F324C1" w:rsidRPr="00F71F63" w:rsidRDefault="00F324C1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F324C1" w:rsidRPr="00635E86" w:rsidRDefault="00F324C1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C1" w:rsidRPr="005F0588" w:rsidRDefault="00F324C1">
    <w:pPr>
      <w:pStyle w:val="Header"/>
      <w:rPr>
        <w:lang w:val="en-US"/>
      </w:rPr>
    </w:pPr>
    <w:r>
      <w:rPr>
        <w:lang w:val="en-US"/>
      </w:rPr>
      <w:t>CCPR/C/TGO/CO/4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C1" w:rsidRPr="005F0588" w:rsidRDefault="00F324C1">
    <w:pPr>
      <w:pStyle w:val="Header"/>
      <w:rPr>
        <w:lang w:val="en-US"/>
      </w:rPr>
    </w:pPr>
    <w:r>
      <w:rPr>
        <w:lang w:val="en-US"/>
      </w:rPr>
      <w:tab/>
      <w:t>CCPR/C/TGO/CO/4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CA3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53CBB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F410F"/>
    <w:rsid w:val="00117AEE"/>
    <w:rsid w:val="001463F7"/>
    <w:rsid w:val="0015769C"/>
    <w:rsid w:val="00166BEF"/>
    <w:rsid w:val="001755A4"/>
    <w:rsid w:val="00180752"/>
    <w:rsid w:val="00185076"/>
    <w:rsid w:val="0018543C"/>
    <w:rsid w:val="0019009B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A1CA3"/>
    <w:rsid w:val="002C5036"/>
    <w:rsid w:val="002C6A71"/>
    <w:rsid w:val="002C6D5F"/>
    <w:rsid w:val="002D15EA"/>
    <w:rsid w:val="002D6C07"/>
    <w:rsid w:val="002E0CE6"/>
    <w:rsid w:val="002E1163"/>
    <w:rsid w:val="002E43F3"/>
    <w:rsid w:val="002F4B3D"/>
    <w:rsid w:val="003215F5"/>
    <w:rsid w:val="00332891"/>
    <w:rsid w:val="003438ED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25D"/>
    <w:rsid w:val="00577A34"/>
    <w:rsid w:val="00580AAD"/>
    <w:rsid w:val="00593A04"/>
    <w:rsid w:val="005A6D5A"/>
    <w:rsid w:val="005B1B28"/>
    <w:rsid w:val="005B59C4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40DA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22690"/>
    <w:rsid w:val="00735602"/>
    <w:rsid w:val="0075279B"/>
    <w:rsid w:val="00753748"/>
    <w:rsid w:val="00762446"/>
    <w:rsid w:val="00781ACB"/>
    <w:rsid w:val="007A79EB"/>
    <w:rsid w:val="007C5D6C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6B0F"/>
    <w:rsid w:val="00887A27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6849"/>
    <w:rsid w:val="009372F0"/>
    <w:rsid w:val="00955022"/>
    <w:rsid w:val="00957B4D"/>
    <w:rsid w:val="00964EEA"/>
    <w:rsid w:val="00980C86"/>
    <w:rsid w:val="009929DC"/>
    <w:rsid w:val="009B1D9B"/>
    <w:rsid w:val="009B4074"/>
    <w:rsid w:val="009C011A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22D6"/>
    <w:rsid w:val="00B05F21"/>
    <w:rsid w:val="00B14EA9"/>
    <w:rsid w:val="00B30A3C"/>
    <w:rsid w:val="00B81305"/>
    <w:rsid w:val="00BB17DC"/>
    <w:rsid w:val="00BB1AF9"/>
    <w:rsid w:val="00BB4C4A"/>
    <w:rsid w:val="00BC7F12"/>
    <w:rsid w:val="00BD3CAE"/>
    <w:rsid w:val="00BD5F3C"/>
    <w:rsid w:val="00BE37CA"/>
    <w:rsid w:val="00C04092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04F0"/>
    <w:rsid w:val="00CF262F"/>
    <w:rsid w:val="00D025D5"/>
    <w:rsid w:val="00D131B6"/>
    <w:rsid w:val="00D174D3"/>
    <w:rsid w:val="00D26B13"/>
    <w:rsid w:val="00D26CC1"/>
    <w:rsid w:val="00D30662"/>
    <w:rsid w:val="00D32A0B"/>
    <w:rsid w:val="00D6236B"/>
    <w:rsid w:val="00D76358"/>
    <w:rsid w:val="00D809D1"/>
    <w:rsid w:val="00D84ECF"/>
    <w:rsid w:val="00DA2851"/>
    <w:rsid w:val="00DA2B7C"/>
    <w:rsid w:val="00DA38F2"/>
    <w:rsid w:val="00DA5686"/>
    <w:rsid w:val="00DB2FC0"/>
    <w:rsid w:val="00DF18FA"/>
    <w:rsid w:val="00DF49CA"/>
    <w:rsid w:val="00DF775B"/>
    <w:rsid w:val="00E007F3"/>
    <w:rsid w:val="00E00DEA"/>
    <w:rsid w:val="00E06EF0"/>
    <w:rsid w:val="00E10FBB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5977"/>
    <w:rsid w:val="00F069D1"/>
    <w:rsid w:val="00F1503D"/>
    <w:rsid w:val="00F22712"/>
    <w:rsid w:val="00F275F5"/>
    <w:rsid w:val="00F324C1"/>
    <w:rsid w:val="00F33188"/>
    <w:rsid w:val="00F35BDE"/>
    <w:rsid w:val="00F52A0E"/>
    <w:rsid w:val="00F71F63"/>
    <w:rsid w:val="00F87506"/>
    <w:rsid w:val="00F92C41"/>
    <w:rsid w:val="00FA5522"/>
    <w:rsid w:val="00FA614A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7</Pages>
  <Words>2400</Words>
  <Characters>17332</Characters>
  <Application>Microsoft Office Word</Application>
  <DocSecurity>4</DocSecurity>
  <Lines>309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11-42286</vt:lpstr>
    </vt:vector>
  </TitlesOfParts>
  <Manager>Jourovski/Kovgan</Manager>
  <Company>CSD</Company>
  <LinksUpToDate>false</LinksUpToDate>
  <CharactersWithSpaces>19675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11-42286</dc:title>
  <dc:subject>CCPR/C/TGO/CO/4</dc:subject>
  <dc:creator>Ioulia Goussarova</dc:creator>
  <cp:keywords/>
  <dc:description/>
  <cp:lastModifiedBy>Maykovskaya</cp:lastModifiedBy>
  <cp:revision>2</cp:revision>
  <cp:lastPrinted>2011-05-17T12:57:00Z</cp:lastPrinted>
  <dcterms:created xsi:type="dcterms:W3CDTF">2011-05-17T13:00:00Z</dcterms:created>
  <dcterms:modified xsi:type="dcterms:W3CDTF">2011-05-17T13:00:00Z</dcterms:modified>
</cp:coreProperties>
</file>