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B106F" w:rsidRDefault="00446DE4" w:rsidP="00473FF8">
            <w:pPr>
              <w:spacing w:after="80" w:line="340" w:lineRule="exact"/>
              <w:rPr>
                <w:rStyle w:val="Emphasis"/>
              </w:rPr>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F76D0" w:rsidP="0088745E">
            <w:pPr>
              <w:jc w:val="right"/>
            </w:pPr>
            <w:r w:rsidRPr="00AF76D0">
              <w:rPr>
                <w:sz w:val="40"/>
              </w:rPr>
              <w:t>CRC</w:t>
            </w:r>
            <w:r>
              <w:t>/C/OPAC/</w:t>
            </w:r>
            <w:r w:rsidR="0088745E">
              <w:t>GRC</w:t>
            </w:r>
            <w:r>
              <w:t>/CO/1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F76D0" w:rsidRDefault="00AF76D0" w:rsidP="00AF76D0">
            <w:pPr>
              <w:spacing w:before="240" w:line="240" w:lineRule="exact"/>
            </w:pPr>
            <w:r>
              <w:t>Distr.: General</w:t>
            </w:r>
          </w:p>
          <w:p w:rsidR="00AF76D0" w:rsidRDefault="00704DC5" w:rsidP="00AF76D0">
            <w:pPr>
              <w:spacing w:line="240" w:lineRule="exact"/>
            </w:pPr>
            <w:r>
              <w:t>20</w:t>
            </w:r>
            <w:r w:rsidR="00B025EC">
              <w:t xml:space="preserve"> July</w:t>
            </w:r>
            <w:r w:rsidR="00AF76D0">
              <w:t xml:space="preserve"> 2012</w:t>
            </w:r>
          </w:p>
          <w:p w:rsidR="00442515" w:rsidRDefault="00442515" w:rsidP="00AF76D0">
            <w:pPr>
              <w:spacing w:line="240" w:lineRule="exact"/>
            </w:pPr>
          </w:p>
          <w:p w:rsidR="003107FA" w:rsidRDefault="00AF76D0" w:rsidP="00AF76D0">
            <w:pPr>
              <w:spacing w:line="240" w:lineRule="exact"/>
            </w:pPr>
            <w:r>
              <w:t>Original: English</w:t>
            </w:r>
          </w:p>
          <w:p w:rsidR="00177187" w:rsidRPr="00177187" w:rsidRDefault="00177187" w:rsidP="00AF76D0">
            <w:pPr>
              <w:spacing w:line="240" w:lineRule="exact"/>
              <w:rPr>
                <w:b/>
              </w:rPr>
            </w:pPr>
          </w:p>
        </w:tc>
      </w:tr>
    </w:tbl>
    <w:p w:rsidR="00AF76D0" w:rsidRPr="006F0630" w:rsidRDefault="00AF76D0" w:rsidP="00AF76D0">
      <w:pPr>
        <w:spacing w:before="120"/>
        <w:rPr>
          <w:b/>
          <w:bCs/>
          <w:sz w:val="24"/>
          <w:szCs w:val="24"/>
        </w:rPr>
      </w:pPr>
      <w:r w:rsidRPr="006F0630">
        <w:rPr>
          <w:b/>
          <w:bCs/>
          <w:sz w:val="24"/>
          <w:szCs w:val="24"/>
        </w:rPr>
        <w:t>Committee on the Rights of the Child</w:t>
      </w:r>
    </w:p>
    <w:p w:rsidR="00AF76D0" w:rsidRPr="006F0630" w:rsidRDefault="006935FB" w:rsidP="00AF76D0">
      <w:pPr>
        <w:rPr>
          <w:b/>
          <w:bCs/>
        </w:rPr>
      </w:pPr>
      <w:r>
        <w:rPr>
          <w:b/>
          <w:bCs/>
        </w:rPr>
        <w:t>Sixtieth</w:t>
      </w:r>
      <w:r w:rsidR="00AF76D0">
        <w:rPr>
          <w:b/>
          <w:bCs/>
        </w:rPr>
        <w:t xml:space="preserve"> </w:t>
      </w:r>
      <w:r w:rsidR="00AF76D0" w:rsidRPr="006F0630">
        <w:rPr>
          <w:b/>
          <w:bCs/>
        </w:rPr>
        <w:t>session</w:t>
      </w:r>
    </w:p>
    <w:p w:rsidR="00AF76D0" w:rsidRDefault="006935FB" w:rsidP="00AF76D0">
      <w:r>
        <w:t>29</w:t>
      </w:r>
      <w:r w:rsidR="00AF76D0">
        <w:t xml:space="preserve"> </w:t>
      </w:r>
      <w:r>
        <w:t>May</w:t>
      </w:r>
      <w:r w:rsidR="00AF76D0">
        <w:t xml:space="preserve"> –</w:t>
      </w:r>
      <w:r w:rsidR="00AF76D0" w:rsidRPr="006F0630">
        <w:t xml:space="preserve"> </w:t>
      </w:r>
      <w:r>
        <w:t>15</w:t>
      </w:r>
      <w:r w:rsidR="00AF76D0">
        <w:t xml:space="preserve"> </w:t>
      </w:r>
      <w:r>
        <w:t>June</w:t>
      </w:r>
      <w:r w:rsidR="00AF76D0">
        <w:t xml:space="preserve"> 2012 </w:t>
      </w:r>
    </w:p>
    <w:p w:rsidR="00AF76D0" w:rsidRPr="006F0630" w:rsidRDefault="00AF76D0" w:rsidP="00F25FFD">
      <w:pPr>
        <w:pStyle w:val="HChG"/>
      </w:pPr>
      <w:r>
        <w:tab/>
      </w:r>
      <w:r>
        <w:tab/>
      </w:r>
      <w:r w:rsidRPr="00473EFB">
        <w:t>Consideration of reports submitted by States parties under article 8</w:t>
      </w:r>
      <w:r w:rsidR="009F4861">
        <w:t>, paragraph 1,</w:t>
      </w:r>
      <w:r w:rsidRPr="00473EFB">
        <w:t xml:space="preserve"> of the Optional Protocol to the Convention on the Rights of the Child on the involvement of children in arm</w:t>
      </w:r>
      <w:r w:rsidRPr="006F0630">
        <w:t>ed conflict</w:t>
      </w:r>
    </w:p>
    <w:p w:rsidR="00E21DF8" w:rsidRDefault="00AF76D0" w:rsidP="00E21DF8">
      <w:pPr>
        <w:pStyle w:val="H1G"/>
      </w:pPr>
      <w:r>
        <w:tab/>
      </w:r>
      <w:r>
        <w:tab/>
      </w:r>
      <w:r w:rsidRPr="006F0630">
        <w:t xml:space="preserve">Concluding observations: </w:t>
      </w:r>
      <w:smartTag w:uri="urn:schemas-microsoft-com:office:smarttags" w:element="country-region">
        <w:smartTag w:uri="urn:schemas-microsoft-com:office:smarttags" w:element="place">
          <w:r w:rsidR="006935FB">
            <w:t>Greece</w:t>
          </w:r>
        </w:smartTag>
      </w:smartTag>
    </w:p>
    <w:p w:rsidR="006935FB" w:rsidRPr="006935FB" w:rsidRDefault="006935FB" w:rsidP="006935FB">
      <w:pPr>
        <w:pStyle w:val="SingleTxtG"/>
      </w:pPr>
      <w:r w:rsidRPr="006935FB">
        <w:t>1.</w:t>
      </w:r>
      <w:r w:rsidRPr="006935FB">
        <w:tab/>
        <w:t xml:space="preserve">The Committee considered the initial report of </w:t>
      </w:r>
      <w:smartTag w:uri="urn:schemas-microsoft-com:office:smarttags" w:element="country-region">
        <w:smartTag w:uri="urn:schemas-microsoft-com:office:smarttags" w:element="place">
          <w:r w:rsidRPr="006935FB">
            <w:t>Greece</w:t>
          </w:r>
        </w:smartTag>
      </w:smartTag>
      <w:r w:rsidRPr="006935FB">
        <w:t xml:space="preserve"> (CRC/C/OPAC/GRC/1) at its 1711th and 1712th meeting</w:t>
      </w:r>
      <w:r w:rsidR="00490F27">
        <w:t>s</w:t>
      </w:r>
      <w:r w:rsidRPr="006935FB">
        <w:t xml:space="preserve"> (see CRC/C/SR.1711 and 1712), held on 6 and 7 June 2012, and adopted, at its 1725th meeting</w:t>
      </w:r>
      <w:r w:rsidR="00C13353">
        <w:t xml:space="preserve"> </w:t>
      </w:r>
      <w:r w:rsidR="00C13353" w:rsidRPr="006935FB">
        <w:t>(see CRC/C/SR.1725)</w:t>
      </w:r>
      <w:r w:rsidRPr="006935FB">
        <w:t>, held on 15 June 2012, the following concluding observations.</w:t>
      </w:r>
    </w:p>
    <w:p w:rsidR="006935FB" w:rsidRPr="006935FB" w:rsidRDefault="006935FB" w:rsidP="006935FB">
      <w:pPr>
        <w:pStyle w:val="HChG"/>
      </w:pPr>
      <w:r w:rsidRPr="006935FB">
        <w:tab/>
        <w:t>I.</w:t>
      </w:r>
      <w:r w:rsidRPr="006935FB">
        <w:tab/>
        <w:t xml:space="preserve">Introduction </w:t>
      </w:r>
    </w:p>
    <w:p w:rsidR="006935FB" w:rsidRPr="006935FB" w:rsidRDefault="006935FB" w:rsidP="006935FB">
      <w:pPr>
        <w:pStyle w:val="SingleTxtG"/>
      </w:pPr>
      <w:r w:rsidRPr="006935FB">
        <w:t>2.</w:t>
      </w:r>
      <w:r w:rsidRPr="006935FB">
        <w:tab/>
        <w:t>The Committee welcomes the submission of the State party’s initial report under the Optional Protocol (CRC/C/OPAC/GRC/1) and the written replies to its list of issues (CRC/C/OPAC/GRC/Q/Add.1)</w:t>
      </w:r>
      <w:r w:rsidR="00B349D1">
        <w:t>,</w:t>
      </w:r>
      <w:r w:rsidRPr="006935FB">
        <w:t xml:space="preserve"> and appreciates the positive dialogue with </w:t>
      </w:r>
      <w:r w:rsidR="00177187">
        <w:t>the</w:t>
      </w:r>
      <w:r w:rsidRPr="006935FB">
        <w:t xml:space="preserve"> </w:t>
      </w:r>
      <w:smartTag w:uri="urn:schemas-microsoft-com:office:smarttags" w:element="place">
        <w:smartTag w:uri="urn:schemas-microsoft-com:office:smarttags" w:element="PlaceName">
          <w:r w:rsidRPr="006935FB">
            <w:t>multisectoral</w:t>
          </w:r>
        </w:smartTag>
        <w:r w:rsidR="00177187">
          <w:t xml:space="preserve"> </w:t>
        </w:r>
        <w:smartTag w:uri="urn:schemas-microsoft-com:office:smarttags" w:element="PlaceType">
          <w:r w:rsidR="00177187">
            <w:t>State</w:t>
          </w:r>
        </w:smartTag>
      </w:smartTag>
      <w:r w:rsidR="00177187">
        <w:t xml:space="preserve"> party</w:t>
      </w:r>
      <w:r w:rsidRPr="006935FB">
        <w:t xml:space="preserve"> delegation.</w:t>
      </w:r>
    </w:p>
    <w:p w:rsidR="006935FB" w:rsidRPr="006935FB" w:rsidRDefault="006935FB" w:rsidP="006935FB">
      <w:pPr>
        <w:pStyle w:val="SingleTxtG"/>
      </w:pPr>
      <w:r w:rsidRPr="006935FB">
        <w:t>3.</w:t>
      </w:r>
      <w:r w:rsidRPr="006935FB">
        <w:tab/>
        <w:t>The Committee reminds the State party that the</w:t>
      </w:r>
      <w:r w:rsidR="009F4861">
        <w:t xml:space="preserve"> present</w:t>
      </w:r>
      <w:r w:rsidRPr="006935FB">
        <w:t xml:space="preserve"> concluding observations should be read in conjunction with its concluding observations adopted on the combined second and third periodic report of Greece under the Convention on the Rights of the Child (CRC/C/GRC/</w:t>
      </w:r>
      <w:r w:rsidR="001540C1">
        <w:t>CO/</w:t>
      </w:r>
      <w:r w:rsidRPr="006935FB">
        <w:t>2-3) and on the initial report under the Optional Protocol on the sale of children, child prostitution and child pornography (CRC/C/OPSC/GRC/CO/1).</w:t>
      </w:r>
    </w:p>
    <w:p w:rsidR="006935FB" w:rsidRPr="006935FB" w:rsidRDefault="006935FB" w:rsidP="006935FB">
      <w:pPr>
        <w:pStyle w:val="HChG"/>
      </w:pPr>
      <w:r w:rsidRPr="006935FB">
        <w:tab/>
        <w:t>II.</w:t>
      </w:r>
      <w:r w:rsidRPr="006935FB">
        <w:tab/>
        <w:t>General observations</w:t>
      </w:r>
    </w:p>
    <w:p w:rsidR="006935FB" w:rsidRPr="006935FB" w:rsidRDefault="006935FB" w:rsidP="006935FB">
      <w:pPr>
        <w:pStyle w:val="H1G"/>
      </w:pPr>
      <w:r w:rsidRPr="006935FB">
        <w:tab/>
      </w:r>
      <w:r w:rsidRPr="006935FB">
        <w:tab/>
        <w:t>Positive aspects</w:t>
      </w:r>
    </w:p>
    <w:p w:rsidR="006935FB" w:rsidRPr="006935FB" w:rsidRDefault="006935FB" w:rsidP="006935FB">
      <w:pPr>
        <w:pStyle w:val="SingleTxtG"/>
      </w:pPr>
      <w:r w:rsidRPr="006935FB">
        <w:t xml:space="preserve">4. </w:t>
      </w:r>
      <w:r w:rsidRPr="006935FB">
        <w:tab/>
        <w:t xml:space="preserve">The Committee notes with appreciation the declaration made at the time of ratification by the State party that </w:t>
      </w:r>
      <w:r w:rsidR="001540C1">
        <w:t xml:space="preserve">the </w:t>
      </w:r>
      <w:r w:rsidRPr="006935FB">
        <w:t xml:space="preserve">minimum age at which voluntary recruitment in the Greek </w:t>
      </w:r>
      <w:r w:rsidR="001540C1">
        <w:t>A</w:t>
      </w:r>
      <w:r w:rsidRPr="006935FB">
        <w:t xml:space="preserve">rmed </w:t>
      </w:r>
      <w:r w:rsidR="001540C1">
        <w:t>F</w:t>
      </w:r>
      <w:r w:rsidRPr="006935FB">
        <w:t xml:space="preserve">orces is permitted by national law is 18 years. </w:t>
      </w:r>
    </w:p>
    <w:p w:rsidR="006935FB" w:rsidRPr="006935FB" w:rsidRDefault="006935FB" w:rsidP="006935FB">
      <w:pPr>
        <w:pStyle w:val="SingleTxtG"/>
      </w:pPr>
      <w:r w:rsidRPr="006935FB">
        <w:t>5.</w:t>
      </w:r>
      <w:r w:rsidRPr="006935FB">
        <w:tab/>
        <w:t>The Committee welcomes the ratification or accession by the State party to the following international mechanisms:</w:t>
      </w:r>
    </w:p>
    <w:p w:rsidR="006935FB" w:rsidRPr="006935FB" w:rsidRDefault="006935FB" w:rsidP="006935FB">
      <w:pPr>
        <w:pStyle w:val="SingleTxtG"/>
        <w:ind w:firstLine="567"/>
      </w:pPr>
      <w:r w:rsidRPr="006935FB">
        <w:t>(a)</w:t>
      </w:r>
      <w:r w:rsidRPr="006935FB">
        <w:tab/>
        <w:t>The Optional Protocol to the Convention on the Rights of the Child on the sale of children, child prostitution and child pornography</w:t>
      </w:r>
      <w:r w:rsidR="00941604">
        <w:t>,</w:t>
      </w:r>
      <w:r w:rsidRPr="006935FB">
        <w:t xml:space="preserve"> in 200</w:t>
      </w:r>
      <w:r w:rsidR="00425499">
        <w:t>8</w:t>
      </w:r>
      <w:r w:rsidRPr="006935FB">
        <w:t xml:space="preserve">; </w:t>
      </w:r>
    </w:p>
    <w:p w:rsidR="006935FB" w:rsidRPr="006935FB" w:rsidRDefault="006935FB" w:rsidP="006935FB">
      <w:pPr>
        <w:pStyle w:val="SingleTxtG"/>
        <w:ind w:firstLine="567"/>
      </w:pPr>
      <w:r w:rsidRPr="006935FB">
        <w:t>(b)</w:t>
      </w:r>
      <w:r w:rsidRPr="006935FB">
        <w:tab/>
      </w:r>
      <w:r w:rsidR="001540C1">
        <w:t xml:space="preserve">The </w:t>
      </w:r>
      <w:r w:rsidRPr="006935FB">
        <w:t>Protocol against the Illicit Manufacturing of and Trafficking in Firearms, Their Parts and Components and Ammunition, supplementing the United Nations Convention against Transnational Organized Crime</w:t>
      </w:r>
      <w:r w:rsidR="00941604">
        <w:t>,</w:t>
      </w:r>
      <w:r w:rsidRPr="006935FB">
        <w:t xml:space="preserve"> on 11 January 2011;</w:t>
      </w:r>
    </w:p>
    <w:p w:rsidR="006935FB" w:rsidRPr="006935FB" w:rsidRDefault="006935FB" w:rsidP="006935FB">
      <w:pPr>
        <w:pStyle w:val="SingleTxtG"/>
        <w:ind w:firstLine="567"/>
      </w:pPr>
      <w:r w:rsidRPr="006935FB">
        <w:t>(c)</w:t>
      </w:r>
      <w:r w:rsidRPr="006935FB">
        <w:tab/>
      </w:r>
      <w:r w:rsidR="001540C1">
        <w:t>T</w:t>
      </w:r>
      <w:r w:rsidRPr="006935FB">
        <w:t xml:space="preserve">he </w:t>
      </w:r>
      <w:smartTag w:uri="urn:schemas-microsoft-com:office:smarttags" w:element="City">
        <w:smartTag w:uri="urn:schemas-microsoft-com:office:smarttags" w:element="place">
          <w:r w:rsidRPr="006935FB">
            <w:t>Rome</w:t>
          </w:r>
        </w:smartTag>
      </w:smartTag>
      <w:r w:rsidRPr="006935FB">
        <w:t xml:space="preserve"> Statute of the International Criminal Court</w:t>
      </w:r>
      <w:r w:rsidR="00941604">
        <w:t>,</w:t>
      </w:r>
      <w:r w:rsidRPr="006935FB">
        <w:t xml:space="preserve"> on 15 May 2002; and </w:t>
      </w:r>
    </w:p>
    <w:p w:rsidR="006935FB" w:rsidRPr="006935FB" w:rsidRDefault="006935FB" w:rsidP="006935FB">
      <w:pPr>
        <w:pStyle w:val="SingleTxtG"/>
        <w:ind w:firstLine="567"/>
      </w:pPr>
      <w:r w:rsidRPr="006935FB">
        <w:t>(d)</w:t>
      </w:r>
      <w:r w:rsidRPr="006935FB">
        <w:tab/>
      </w:r>
      <w:r w:rsidR="00941604">
        <w:t>International Labour Organization</w:t>
      </w:r>
      <w:r w:rsidR="00941604" w:rsidRPr="006935FB">
        <w:t xml:space="preserve"> </w:t>
      </w:r>
      <w:r w:rsidRPr="006935FB">
        <w:t xml:space="preserve">Convention No. 182 </w:t>
      </w:r>
      <w:r w:rsidR="00941604">
        <w:t xml:space="preserve">(1999) </w:t>
      </w:r>
      <w:r w:rsidRPr="006935FB">
        <w:t xml:space="preserve">concerning the Prohibition and Immediate Action </w:t>
      </w:r>
      <w:r w:rsidR="0002650F">
        <w:t>for</w:t>
      </w:r>
      <w:r w:rsidRPr="006935FB">
        <w:t xml:space="preserve"> the Elimination of the Worst Forms of Child Labour</w:t>
      </w:r>
      <w:r w:rsidR="00941604">
        <w:t>,</w:t>
      </w:r>
      <w:r w:rsidRPr="006935FB">
        <w:t xml:space="preserve"> on 6 November 2001.</w:t>
      </w:r>
    </w:p>
    <w:p w:rsidR="006935FB" w:rsidRPr="006935FB" w:rsidRDefault="006935FB" w:rsidP="006935FB">
      <w:pPr>
        <w:pStyle w:val="HChG"/>
      </w:pPr>
      <w:r w:rsidRPr="006935FB">
        <w:tab/>
        <w:t>III.</w:t>
      </w:r>
      <w:r w:rsidRPr="006935FB">
        <w:tab/>
        <w:t>Gene</w:t>
      </w:r>
      <w:r>
        <w:t>ral measures of implementation</w:t>
      </w:r>
    </w:p>
    <w:p w:rsidR="006935FB" w:rsidRDefault="006935FB" w:rsidP="006935FB">
      <w:pPr>
        <w:pStyle w:val="H1G"/>
      </w:pPr>
      <w:r>
        <w:tab/>
      </w:r>
      <w:r>
        <w:tab/>
        <w:t>Dissemination and awareness-raising</w:t>
      </w:r>
    </w:p>
    <w:p w:rsidR="006935FB" w:rsidRDefault="006935FB" w:rsidP="006935FB">
      <w:pPr>
        <w:pStyle w:val="SingleTxtG"/>
      </w:pPr>
      <w:r>
        <w:t>6.</w:t>
      </w:r>
      <w:r>
        <w:tab/>
        <w:t xml:space="preserve">While noting that dissemination and awareness-raising campaigns are principally carried out by </w:t>
      </w:r>
      <w:r w:rsidR="00941604">
        <w:t xml:space="preserve">non-governmental organizations </w:t>
      </w:r>
      <w:r>
        <w:t xml:space="preserve">and </w:t>
      </w:r>
      <w:r w:rsidR="00941604">
        <w:t>n</w:t>
      </w:r>
      <w:r>
        <w:t xml:space="preserve">ational </w:t>
      </w:r>
      <w:r w:rsidR="00941604">
        <w:t>h</w:t>
      </w:r>
      <w:r>
        <w:t xml:space="preserve">uman </w:t>
      </w:r>
      <w:r w:rsidR="00941604">
        <w:t>r</w:t>
      </w:r>
      <w:r>
        <w:t xml:space="preserve">ights </w:t>
      </w:r>
      <w:r w:rsidR="00941604">
        <w:t>i</w:t>
      </w:r>
      <w:r>
        <w:t>nstitutions, the Committee is concerned that the State party is not making sufficient efforts to disseminate the Optional Protocol among all relevant professional groups. In addition, the Committee is concerned that the State party does not organi</w:t>
      </w:r>
      <w:r w:rsidR="00941604">
        <w:t>z</w:t>
      </w:r>
      <w:r>
        <w:t>e human rights training specifically on the provisions of the Optional Protocol.</w:t>
      </w:r>
    </w:p>
    <w:p w:rsidR="006935FB" w:rsidRPr="006935FB" w:rsidRDefault="006935FB" w:rsidP="006935FB">
      <w:pPr>
        <w:pStyle w:val="SingleTxtG"/>
        <w:rPr>
          <w:b/>
        </w:rPr>
      </w:pPr>
      <w:r w:rsidRPr="001540C1">
        <w:t>7.</w:t>
      </w:r>
      <w:r w:rsidRPr="006935FB">
        <w:rPr>
          <w:b/>
        </w:rPr>
        <w:tab/>
        <w:t xml:space="preserve">In the light of article 6, paragraph 2, of the Optional Protocol, the Committee recommends that the State party ensure that the principles and provisions of the Optional Protocol are widely disseminated to the general public and among children. The Committee further recommends that appropriate human rights training, especially on the provisions of the Optional Protocol, </w:t>
      </w:r>
      <w:r w:rsidR="00475D8A">
        <w:rPr>
          <w:b/>
        </w:rPr>
        <w:t>be</w:t>
      </w:r>
      <w:r w:rsidRPr="006935FB">
        <w:rPr>
          <w:b/>
        </w:rPr>
        <w:t xml:space="preserve"> offered to all relevant professional groups, in particular the </w:t>
      </w:r>
      <w:r w:rsidR="00475D8A">
        <w:rPr>
          <w:b/>
        </w:rPr>
        <w:t>A</w:t>
      </w:r>
      <w:r w:rsidRPr="006935FB">
        <w:rPr>
          <w:b/>
        </w:rPr>
        <w:t xml:space="preserve">rmed </w:t>
      </w:r>
      <w:r w:rsidR="00475D8A">
        <w:rPr>
          <w:b/>
        </w:rPr>
        <w:t>F</w:t>
      </w:r>
      <w:r w:rsidRPr="006935FB">
        <w:rPr>
          <w:b/>
        </w:rPr>
        <w:t>orces and members of international peacekeeping forces, law enforcement and immigration officers, and social workers.</w:t>
      </w:r>
    </w:p>
    <w:p w:rsidR="006935FB" w:rsidRDefault="006935FB" w:rsidP="006935FB">
      <w:pPr>
        <w:pStyle w:val="H1G"/>
      </w:pPr>
      <w:r>
        <w:tab/>
      </w:r>
      <w:r>
        <w:tab/>
        <w:t>Data</w:t>
      </w:r>
    </w:p>
    <w:p w:rsidR="006935FB" w:rsidRDefault="006935FB" w:rsidP="006935FB">
      <w:pPr>
        <w:pStyle w:val="SingleTxtG"/>
      </w:pPr>
      <w:r>
        <w:t>8.</w:t>
      </w:r>
      <w:r>
        <w:tab/>
        <w:t xml:space="preserve">The Committee is concerned at the insufficient information on systematic data collection on aspects relating to children involved in armed conflict, and offences under the Optional Protocol, including official statistics of asylum-seeking and refugee children. In this regard, the Committee is concerned at the lack of data on unaccompanied asylum-seeking, refugee and migrant children who may have been involved or </w:t>
      </w:r>
      <w:r w:rsidR="00177187">
        <w:t>used in</w:t>
      </w:r>
      <w:r>
        <w:t xml:space="preserve"> armed conflicts abroad. </w:t>
      </w:r>
    </w:p>
    <w:p w:rsidR="006935FB" w:rsidRPr="006935FB" w:rsidRDefault="006935FB" w:rsidP="006935FB">
      <w:pPr>
        <w:pStyle w:val="SingleTxtG"/>
        <w:rPr>
          <w:b/>
        </w:rPr>
      </w:pPr>
      <w:r w:rsidRPr="001540C1">
        <w:t>9.</w:t>
      </w:r>
      <w:r w:rsidRPr="006935FB">
        <w:rPr>
          <w:b/>
        </w:rPr>
        <w:tab/>
        <w:t xml:space="preserve">The Committee recommends that the State party systematically collect data on all asylum-seeking and refugee children to ensure that data is available regarding such children who may have been involved or used in armed conflict. </w:t>
      </w:r>
    </w:p>
    <w:p w:rsidR="006935FB" w:rsidRPr="006935FB" w:rsidRDefault="006935FB" w:rsidP="006935FB">
      <w:pPr>
        <w:pStyle w:val="HChG"/>
      </w:pPr>
      <w:r w:rsidRPr="006935FB">
        <w:tab/>
        <w:t>I</w:t>
      </w:r>
      <w:r w:rsidR="00490F27">
        <w:t>V</w:t>
      </w:r>
      <w:r w:rsidRPr="006935FB">
        <w:t>.</w:t>
      </w:r>
      <w:r w:rsidRPr="006935FB">
        <w:tab/>
        <w:t xml:space="preserve">Prevention </w:t>
      </w:r>
    </w:p>
    <w:p w:rsidR="006935FB" w:rsidRDefault="006935FB" w:rsidP="006935FB">
      <w:pPr>
        <w:pStyle w:val="H1G"/>
        <w:rPr>
          <w:lang w:val="en-CA"/>
        </w:rPr>
      </w:pPr>
      <w:r>
        <w:tab/>
      </w:r>
      <w:r>
        <w:tab/>
        <w:t>Peace education</w:t>
      </w:r>
      <w:r>
        <w:rPr>
          <w:lang w:val="en-CA"/>
        </w:rPr>
        <w:t xml:space="preserve"> </w:t>
      </w:r>
    </w:p>
    <w:p w:rsidR="006935FB" w:rsidRDefault="006935FB" w:rsidP="006935FB">
      <w:pPr>
        <w:pStyle w:val="SingleTxtG"/>
        <w:rPr>
          <w:lang w:val="en-CA"/>
        </w:rPr>
      </w:pPr>
      <w:r>
        <w:rPr>
          <w:lang w:val="en-CA"/>
        </w:rPr>
        <w:t>10.</w:t>
      </w:r>
      <w:r>
        <w:rPr>
          <w:lang w:val="en-CA"/>
        </w:rPr>
        <w:tab/>
        <w:t xml:space="preserve">The Committee is concerned that there are no programmes to systematically </w:t>
      </w:r>
      <w:r w:rsidR="00475D8A">
        <w:rPr>
          <w:lang w:val="en-CA"/>
        </w:rPr>
        <w:t xml:space="preserve">incorporate </w:t>
      </w:r>
      <w:r>
        <w:rPr>
          <w:lang w:val="en-CA"/>
        </w:rPr>
        <w:t>peace education into school curricula. With reference to its general comment No. 1 (2001) on the aims of education, the Committee recommends that the State party undertake efforts to include peace education in school curricula, with special reference to crimes covered by the Optional Protocol.</w:t>
      </w:r>
    </w:p>
    <w:p w:rsidR="006935FB" w:rsidRPr="006935FB" w:rsidRDefault="006935FB" w:rsidP="006935FB">
      <w:pPr>
        <w:pStyle w:val="SingleTxtG"/>
        <w:rPr>
          <w:b/>
        </w:rPr>
      </w:pPr>
      <w:r w:rsidRPr="001540C1">
        <w:rPr>
          <w:lang w:val="en-CA"/>
        </w:rPr>
        <w:t xml:space="preserve">11. </w:t>
      </w:r>
      <w:r w:rsidRPr="006935FB">
        <w:rPr>
          <w:b/>
          <w:lang w:val="en-CA"/>
        </w:rPr>
        <w:tab/>
        <w:t xml:space="preserve">The Committee recommends that the State take effective measures to include peace education in school curricula and to encourage a culture of peace and tolerance within schools. It also encourages the State party to include human rights and peace education in the training of teachers. </w:t>
      </w:r>
    </w:p>
    <w:p w:rsidR="006935FB" w:rsidRPr="006935FB" w:rsidRDefault="006935FB" w:rsidP="006935FB">
      <w:pPr>
        <w:pStyle w:val="HChG"/>
      </w:pPr>
      <w:r w:rsidRPr="006935FB">
        <w:tab/>
        <w:t>V.</w:t>
      </w:r>
      <w:r w:rsidRPr="006935FB">
        <w:tab/>
        <w:t xml:space="preserve">Prohibition and related matters </w:t>
      </w:r>
    </w:p>
    <w:p w:rsidR="006935FB" w:rsidRDefault="006935FB" w:rsidP="006935FB">
      <w:pPr>
        <w:pStyle w:val="H1G"/>
      </w:pPr>
      <w:r>
        <w:tab/>
      </w:r>
      <w:r>
        <w:tab/>
        <w:t>Criminal legislation and regulations in force</w:t>
      </w:r>
    </w:p>
    <w:p w:rsidR="006935FB" w:rsidRDefault="006935FB" w:rsidP="006935FB">
      <w:pPr>
        <w:pStyle w:val="SingleTxtG"/>
      </w:pPr>
      <w:r>
        <w:t>12.</w:t>
      </w:r>
      <w:r>
        <w:tab/>
        <w:t xml:space="preserve">The Committee welcomes that the State party’s legislation does not, in any case, allow recruitment of persons under the age of 18 years </w:t>
      </w:r>
      <w:r w:rsidR="00EC2F20">
        <w:t>in</w:t>
      </w:r>
      <w:r>
        <w:t xml:space="preserve">to the Greek </w:t>
      </w:r>
      <w:r w:rsidR="00475D8A">
        <w:t>A</w:t>
      </w:r>
      <w:r>
        <w:t xml:space="preserve">rmed </w:t>
      </w:r>
      <w:r w:rsidR="00475D8A">
        <w:t>F</w:t>
      </w:r>
      <w:r>
        <w:t>orces. The Committee, however, notes with concern that the State party’s legislation does not provide for:</w:t>
      </w:r>
    </w:p>
    <w:p w:rsidR="006935FB" w:rsidRDefault="006935FB" w:rsidP="006935FB">
      <w:pPr>
        <w:pStyle w:val="SingleTxtG"/>
        <w:ind w:firstLine="567"/>
      </w:pPr>
      <w:r>
        <w:t>(a)</w:t>
      </w:r>
      <w:r>
        <w:tab/>
        <w:t xml:space="preserve">An explicit criminalization of recruitment of children under 18 years in the State </w:t>
      </w:r>
      <w:r w:rsidR="00475D8A">
        <w:t>A</w:t>
      </w:r>
      <w:r>
        <w:t xml:space="preserve">rmed </w:t>
      </w:r>
      <w:r w:rsidR="00475D8A">
        <w:t>F</w:t>
      </w:r>
      <w:r>
        <w:t>orces, armed groups and security companies; and</w:t>
      </w:r>
    </w:p>
    <w:p w:rsidR="006935FB" w:rsidRDefault="006935FB" w:rsidP="006935FB">
      <w:pPr>
        <w:pStyle w:val="SingleTxtG"/>
        <w:ind w:firstLine="567"/>
      </w:pPr>
      <w:r>
        <w:t>(b)</w:t>
      </w:r>
      <w:r>
        <w:tab/>
        <w:t>A definition of direct participation in hostilities.</w:t>
      </w:r>
    </w:p>
    <w:p w:rsidR="006935FB" w:rsidRPr="006935FB" w:rsidRDefault="006935FB" w:rsidP="006935FB">
      <w:pPr>
        <w:pStyle w:val="SingleTxtG"/>
        <w:rPr>
          <w:b/>
        </w:rPr>
      </w:pPr>
      <w:r w:rsidRPr="001540C1">
        <w:t>13.</w:t>
      </w:r>
      <w:r w:rsidR="001540C1">
        <w:rPr>
          <w:b/>
        </w:rPr>
        <w:tab/>
      </w:r>
      <w:r w:rsidRPr="006935FB">
        <w:rPr>
          <w:b/>
        </w:rPr>
        <w:t xml:space="preserve">The Committee recommends that the State party include </w:t>
      </w:r>
      <w:r w:rsidR="00475D8A" w:rsidRPr="006935FB">
        <w:rPr>
          <w:b/>
        </w:rPr>
        <w:t xml:space="preserve">in its Criminal Code </w:t>
      </w:r>
      <w:r w:rsidRPr="006935FB">
        <w:rPr>
          <w:b/>
        </w:rPr>
        <w:t xml:space="preserve">an explicit criminalization of recruitment of children under 18 years </w:t>
      </w:r>
      <w:r w:rsidR="00475D8A">
        <w:rPr>
          <w:b/>
        </w:rPr>
        <w:t>to</w:t>
      </w:r>
      <w:r w:rsidR="00475D8A" w:rsidRPr="006935FB">
        <w:rPr>
          <w:b/>
        </w:rPr>
        <w:t xml:space="preserve"> </w:t>
      </w:r>
      <w:r w:rsidRPr="006935FB">
        <w:rPr>
          <w:b/>
        </w:rPr>
        <w:t xml:space="preserve">the State </w:t>
      </w:r>
      <w:r w:rsidR="00475D8A">
        <w:rPr>
          <w:b/>
        </w:rPr>
        <w:t>A</w:t>
      </w:r>
      <w:r w:rsidRPr="006935FB">
        <w:rPr>
          <w:b/>
        </w:rPr>
        <w:t xml:space="preserve">rmed </w:t>
      </w:r>
      <w:r w:rsidR="00475D8A">
        <w:rPr>
          <w:b/>
        </w:rPr>
        <w:t>F</w:t>
      </w:r>
      <w:r w:rsidRPr="006935FB">
        <w:rPr>
          <w:b/>
        </w:rPr>
        <w:t>orces, armed groups and security companies</w:t>
      </w:r>
      <w:r w:rsidR="00475D8A">
        <w:rPr>
          <w:b/>
        </w:rPr>
        <w:t>, as well as</w:t>
      </w:r>
      <w:r w:rsidRPr="006935FB">
        <w:rPr>
          <w:b/>
        </w:rPr>
        <w:t xml:space="preserve"> a definition of direct participation in hostilities.</w:t>
      </w:r>
    </w:p>
    <w:p w:rsidR="006935FB" w:rsidRPr="006935FB" w:rsidRDefault="006935FB" w:rsidP="006935FB">
      <w:pPr>
        <w:pStyle w:val="HChG"/>
      </w:pPr>
      <w:r w:rsidRPr="006935FB">
        <w:tab/>
        <w:t>V</w:t>
      </w:r>
      <w:r w:rsidR="00490F27">
        <w:t>I</w:t>
      </w:r>
      <w:r w:rsidRPr="006935FB">
        <w:t>.</w:t>
      </w:r>
      <w:r w:rsidRPr="006935FB">
        <w:tab/>
        <w:t>Protection, recovery and reintegration</w:t>
      </w:r>
    </w:p>
    <w:p w:rsidR="006935FB" w:rsidRDefault="006935FB" w:rsidP="006935FB">
      <w:pPr>
        <w:pStyle w:val="H1G"/>
      </w:pPr>
      <w:r>
        <w:tab/>
      </w:r>
      <w:r>
        <w:tab/>
        <w:t>Measures adopted to protect the rights of child victims</w:t>
      </w:r>
    </w:p>
    <w:p w:rsidR="006935FB" w:rsidRDefault="006935FB" w:rsidP="006935FB">
      <w:pPr>
        <w:pStyle w:val="SingleTxtG"/>
      </w:pPr>
      <w:r>
        <w:t>14.</w:t>
      </w:r>
      <w:r>
        <w:tab/>
        <w:t xml:space="preserve">The Committee regrets the lack of information on measures taken to provide assistance to children who may have been recruited or used in armed conflicts abroad, and on measures taken for their physical and psychological recovery and social integration. </w:t>
      </w:r>
    </w:p>
    <w:p w:rsidR="006935FB" w:rsidRPr="006935FB" w:rsidRDefault="006935FB" w:rsidP="006935FB">
      <w:pPr>
        <w:pStyle w:val="SingleTxtG"/>
        <w:rPr>
          <w:b/>
        </w:rPr>
      </w:pPr>
      <w:r w:rsidRPr="001540C1">
        <w:t>15.</w:t>
      </w:r>
      <w:r w:rsidRPr="006935FB">
        <w:rPr>
          <w:b/>
        </w:rPr>
        <w:tab/>
        <w:t xml:space="preserve">The Committee encourages the State party to take measures to carefully assess the situation of these children </w:t>
      </w:r>
      <w:r w:rsidR="00214DE2">
        <w:rPr>
          <w:b/>
        </w:rPr>
        <w:t xml:space="preserve">and </w:t>
      </w:r>
      <w:r w:rsidRPr="006935FB">
        <w:rPr>
          <w:b/>
        </w:rPr>
        <w:t xml:space="preserve">reinforce their physical and psychological recovery and social integration. Such measures should include reinforcement of the legal advisory services available for them and the provision of immediate, culturally responsive, child-sensitive and multidisciplinary assistance for their physical and psychological recovery and their social integration in accordance with the Optional Protocol. </w:t>
      </w:r>
      <w:r w:rsidRPr="006935FB">
        <w:rPr>
          <w:b/>
        </w:rPr>
        <w:tab/>
      </w:r>
    </w:p>
    <w:p w:rsidR="006935FB" w:rsidRPr="006935FB" w:rsidRDefault="006935FB" w:rsidP="006935FB">
      <w:pPr>
        <w:pStyle w:val="HChG"/>
      </w:pPr>
      <w:r w:rsidRPr="006935FB">
        <w:tab/>
        <w:t>VI</w:t>
      </w:r>
      <w:r w:rsidR="00490F27">
        <w:t>I</w:t>
      </w:r>
      <w:r w:rsidRPr="006935FB">
        <w:t>.</w:t>
      </w:r>
      <w:r w:rsidRPr="006935FB">
        <w:tab/>
        <w:t>International assistance and cooperation</w:t>
      </w:r>
    </w:p>
    <w:p w:rsidR="006935FB" w:rsidRPr="006935FB" w:rsidRDefault="006935FB" w:rsidP="006935FB">
      <w:pPr>
        <w:pStyle w:val="SingleTxtG"/>
        <w:rPr>
          <w:b/>
        </w:rPr>
      </w:pPr>
      <w:r w:rsidRPr="001540C1">
        <w:t>16.</w:t>
      </w:r>
      <w:r w:rsidRPr="006935FB">
        <w:rPr>
          <w:b/>
        </w:rPr>
        <w:tab/>
        <w:t>The Committee recommends that the State party continue and strengthen its cooperation with the International Committee of the Red Cross and with the Special Representative of the Secretary-General for Children and Armed Conflict, and that it explore increased cooperation with the United Nations Children’s Fund (UNICEF) and other United Nations entities in the implementation of the Optional Protocol.</w:t>
      </w:r>
    </w:p>
    <w:p w:rsidR="006935FB" w:rsidRDefault="006935FB" w:rsidP="006935FB">
      <w:pPr>
        <w:pStyle w:val="H1G"/>
      </w:pPr>
      <w:r>
        <w:tab/>
      </w:r>
      <w:r>
        <w:tab/>
        <w:t xml:space="preserve">Arms export </w:t>
      </w:r>
    </w:p>
    <w:p w:rsidR="006935FB" w:rsidRPr="006935FB" w:rsidRDefault="006935FB" w:rsidP="006935FB">
      <w:pPr>
        <w:pStyle w:val="SingleTxtG"/>
      </w:pPr>
      <w:r w:rsidRPr="006935FB">
        <w:t>17.</w:t>
      </w:r>
      <w:r w:rsidRPr="006935FB">
        <w:tab/>
        <w:t>The Committee regrets the absence of information on national legislation which prohibits the sale of arms when the final destination is a country where children are known to be, or may potentially be, recruited or used in armed conflicts and/or hostilities.</w:t>
      </w:r>
    </w:p>
    <w:p w:rsidR="006935FB" w:rsidRPr="006935FB" w:rsidRDefault="006935FB" w:rsidP="006935FB">
      <w:pPr>
        <w:pStyle w:val="SingleTxtG"/>
        <w:rPr>
          <w:b/>
        </w:rPr>
      </w:pPr>
      <w:r w:rsidRPr="001540C1">
        <w:t>18.</w:t>
      </w:r>
      <w:r w:rsidRPr="006935FB">
        <w:rPr>
          <w:b/>
        </w:rPr>
        <w:tab/>
        <w:t>The Committee urges the State party to ensure the explicit prohibition in its national legislation of export of arms, especially of small arms and light weapons</w:t>
      </w:r>
      <w:r w:rsidR="00A42B20">
        <w:rPr>
          <w:b/>
        </w:rPr>
        <w:t>,</w:t>
      </w:r>
      <w:r w:rsidRPr="006935FB">
        <w:rPr>
          <w:b/>
        </w:rPr>
        <w:t xml:space="preserve"> to countries where children are known to be, or may potentially be, recruited or used </w:t>
      </w:r>
      <w:r w:rsidR="00A42B20">
        <w:rPr>
          <w:b/>
        </w:rPr>
        <w:t xml:space="preserve">in </w:t>
      </w:r>
      <w:r w:rsidRPr="006935FB">
        <w:rPr>
          <w:b/>
        </w:rPr>
        <w:t xml:space="preserve">armed conflicts and/or in hostilities. </w:t>
      </w:r>
    </w:p>
    <w:p w:rsidR="006935FB" w:rsidRPr="006935FB" w:rsidRDefault="006935FB" w:rsidP="001839D3">
      <w:pPr>
        <w:pStyle w:val="HChG"/>
      </w:pPr>
      <w:r w:rsidRPr="006935FB">
        <w:tab/>
        <w:t>VII</w:t>
      </w:r>
      <w:r w:rsidR="00490F27">
        <w:t>I</w:t>
      </w:r>
      <w:r w:rsidRPr="006935FB">
        <w:t>.</w:t>
      </w:r>
      <w:r w:rsidRPr="006935FB">
        <w:tab/>
        <w:t>Follow-up and dissemination</w:t>
      </w:r>
    </w:p>
    <w:p w:rsidR="006935FB" w:rsidRDefault="006935FB" w:rsidP="001839D3">
      <w:pPr>
        <w:pStyle w:val="SingleTxtG"/>
      </w:pPr>
      <w:r w:rsidRPr="001540C1">
        <w:t>19.</w:t>
      </w:r>
      <w:r w:rsidRPr="006935FB">
        <w:rPr>
          <w:b/>
        </w:rPr>
        <w:tab/>
        <w:t>The Committee recommends that the State party take all appropriate measures to ensure the full implementation of the present recommendations</w:t>
      </w:r>
      <w:r w:rsidR="000B5FA3">
        <w:rPr>
          <w:b/>
        </w:rPr>
        <w:t xml:space="preserve"> by</w:t>
      </w:r>
      <w:r w:rsidRPr="006935FB">
        <w:rPr>
          <w:b/>
        </w:rPr>
        <w:t xml:space="preserve">, inter alia, transmitting them to </w:t>
      </w:r>
      <w:r w:rsidRPr="00451652">
        <w:rPr>
          <w:b/>
        </w:rPr>
        <w:t>all relevant actors in the State party, including the Ministry of National Defence, the Enlistment Directorate of the General National Defence Staff, the Enlistment Directorate of the General Staffs of the Branches (Army</w:t>
      </w:r>
      <w:r w:rsidR="00451652">
        <w:rPr>
          <w:b/>
        </w:rPr>
        <w:t>-</w:t>
      </w:r>
      <w:r w:rsidRPr="00451652">
        <w:rPr>
          <w:b/>
        </w:rPr>
        <w:t>Air Force-Navy) and the Enlistment Administrations and Enlistment Offices</w:t>
      </w:r>
      <w:r w:rsidR="00451652">
        <w:rPr>
          <w:b/>
        </w:rPr>
        <w:t>,</w:t>
      </w:r>
      <w:r w:rsidRPr="00451652">
        <w:rPr>
          <w:b/>
        </w:rPr>
        <w:t xml:space="preserve"> for appropriate consideration and further action.</w:t>
      </w:r>
    </w:p>
    <w:p w:rsidR="006935FB" w:rsidRPr="006935FB" w:rsidRDefault="006935FB" w:rsidP="006935FB">
      <w:pPr>
        <w:pStyle w:val="SingleTxtG"/>
        <w:rPr>
          <w:b/>
        </w:rPr>
      </w:pPr>
      <w:r w:rsidRPr="001540C1">
        <w:t>20.</w:t>
      </w:r>
      <w:r w:rsidRPr="006935FB">
        <w:rPr>
          <w:b/>
        </w:rPr>
        <w:tab/>
        <w:t>The Committee recommends that the initial report and written replies submitted by the State party and the related concluding observations adopted by the Committee be made widely available to the public at large, civil society organizations, youth groups, professional groups and children, in order to generate debate and awareness of the Optional Protocol, its implementation and monitoring.</w:t>
      </w:r>
    </w:p>
    <w:p w:rsidR="006935FB" w:rsidRPr="006935FB" w:rsidRDefault="006935FB" w:rsidP="006935FB">
      <w:pPr>
        <w:pStyle w:val="HChG"/>
      </w:pPr>
      <w:r w:rsidRPr="006935FB">
        <w:tab/>
        <w:t>I</w:t>
      </w:r>
      <w:r w:rsidR="00490F27">
        <w:t>X</w:t>
      </w:r>
      <w:r w:rsidRPr="006935FB">
        <w:t>.</w:t>
      </w:r>
      <w:r w:rsidRPr="006935FB">
        <w:tab/>
        <w:t>Next report</w:t>
      </w:r>
    </w:p>
    <w:p w:rsidR="006935FB" w:rsidRDefault="006935FB" w:rsidP="006935FB">
      <w:pPr>
        <w:pStyle w:val="SingleTxtG"/>
        <w:rPr>
          <w:b/>
        </w:rPr>
      </w:pPr>
      <w:r w:rsidRPr="001540C1">
        <w:t>21.</w:t>
      </w:r>
      <w:r w:rsidRPr="006935FB">
        <w:rPr>
          <w:b/>
        </w:rPr>
        <w:tab/>
        <w:t>In accordance with article 8, paragraph 2, the Committee requests the State party to include further information on the implementation of the Optional Protocol and the</w:t>
      </w:r>
      <w:r w:rsidR="000B5FA3">
        <w:rPr>
          <w:b/>
        </w:rPr>
        <w:t xml:space="preserve"> present</w:t>
      </w:r>
      <w:r w:rsidRPr="006935FB">
        <w:rPr>
          <w:b/>
        </w:rPr>
        <w:t xml:space="preserve"> concluding observations in </w:t>
      </w:r>
      <w:r w:rsidR="000B5FA3">
        <w:rPr>
          <w:b/>
        </w:rPr>
        <w:t>its</w:t>
      </w:r>
      <w:r w:rsidRPr="006935FB">
        <w:rPr>
          <w:b/>
        </w:rPr>
        <w:t xml:space="preserve"> next periodic report under the Convention on the Rights of the Child, in accordance with article 44 of the Convention. </w:t>
      </w:r>
    </w:p>
    <w:p w:rsidR="0039070D" w:rsidRPr="00B025EC" w:rsidRDefault="0039070D" w:rsidP="0039070D">
      <w:pPr>
        <w:pStyle w:val="SingleTxtG"/>
        <w:spacing w:before="240" w:after="0"/>
        <w:jc w:val="center"/>
        <w:rPr>
          <w:u w:val="single"/>
        </w:rPr>
      </w:pPr>
      <w:r w:rsidRPr="00B025EC">
        <w:rPr>
          <w:u w:val="single"/>
        </w:rPr>
        <w:tab/>
      </w:r>
      <w:r w:rsidRPr="00B025EC">
        <w:rPr>
          <w:u w:val="single"/>
        </w:rPr>
        <w:tab/>
      </w:r>
      <w:r w:rsidRPr="00B025EC">
        <w:rPr>
          <w:u w:val="single"/>
        </w:rPr>
        <w:tab/>
      </w:r>
    </w:p>
    <w:sectPr w:rsidR="0039070D" w:rsidRPr="00B025EC" w:rsidSect="00AF76D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CC" w:rsidRDefault="003803CC"/>
  </w:endnote>
  <w:endnote w:type="continuationSeparator" w:id="0">
    <w:p w:rsidR="003803CC" w:rsidRDefault="003803CC"/>
  </w:endnote>
  <w:endnote w:type="continuationNotice" w:id="1">
    <w:p w:rsidR="003803CC" w:rsidRDefault="0038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6" w:rsidRPr="00AF76D0" w:rsidRDefault="00ED57F6" w:rsidP="00AF76D0">
    <w:pPr>
      <w:pStyle w:val="Footer"/>
      <w:tabs>
        <w:tab w:val="right" w:pos="9638"/>
      </w:tabs>
    </w:pPr>
    <w:r w:rsidRPr="00AF76D0">
      <w:rPr>
        <w:b/>
        <w:sz w:val="18"/>
      </w:rPr>
      <w:fldChar w:fldCharType="begin"/>
    </w:r>
    <w:r w:rsidRPr="00AF76D0">
      <w:rPr>
        <w:b/>
        <w:sz w:val="18"/>
      </w:rPr>
      <w:instrText xml:space="preserve"> PAGE  \* MERGEFORMAT </w:instrText>
    </w:r>
    <w:r w:rsidRPr="00AF76D0">
      <w:rPr>
        <w:b/>
        <w:sz w:val="18"/>
      </w:rPr>
      <w:fldChar w:fldCharType="separate"/>
    </w:r>
    <w:r w:rsidR="00F30522">
      <w:rPr>
        <w:b/>
        <w:noProof/>
        <w:sz w:val="18"/>
      </w:rPr>
      <w:t>4</w:t>
    </w:r>
    <w:r w:rsidRPr="00AF76D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6" w:rsidRPr="00AF76D0" w:rsidRDefault="00ED57F6" w:rsidP="00AF76D0">
    <w:pPr>
      <w:pStyle w:val="Footer"/>
      <w:tabs>
        <w:tab w:val="right" w:pos="9638"/>
      </w:tabs>
      <w:rPr>
        <w:b/>
        <w:sz w:val="18"/>
      </w:rPr>
    </w:pPr>
    <w:r>
      <w:tab/>
    </w:r>
    <w:r w:rsidRPr="00AF76D0">
      <w:rPr>
        <w:b/>
        <w:sz w:val="18"/>
      </w:rPr>
      <w:fldChar w:fldCharType="begin"/>
    </w:r>
    <w:r w:rsidRPr="00AF76D0">
      <w:rPr>
        <w:b/>
        <w:sz w:val="18"/>
      </w:rPr>
      <w:instrText xml:space="preserve"> PAGE  \* MERGEFORMAT </w:instrText>
    </w:r>
    <w:r w:rsidRPr="00AF76D0">
      <w:rPr>
        <w:b/>
        <w:sz w:val="18"/>
      </w:rPr>
      <w:fldChar w:fldCharType="separate"/>
    </w:r>
    <w:r w:rsidR="00F30522">
      <w:rPr>
        <w:b/>
        <w:noProof/>
        <w:sz w:val="18"/>
      </w:rPr>
      <w:t>3</w:t>
    </w:r>
    <w:r w:rsidRPr="00AF76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6" w:rsidRPr="00AF76D0" w:rsidRDefault="00ED57F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F30522">
      <w:t>44306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CC" w:rsidRPr="000B175B" w:rsidRDefault="003803CC" w:rsidP="000B175B">
      <w:pPr>
        <w:tabs>
          <w:tab w:val="right" w:pos="2155"/>
        </w:tabs>
        <w:spacing w:after="80"/>
        <w:ind w:left="680"/>
        <w:rPr>
          <w:u w:val="single"/>
        </w:rPr>
      </w:pPr>
      <w:r>
        <w:rPr>
          <w:u w:val="single"/>
        </w:rPr>
        <w:tab/>
      </w:r>
    </w:p>
  </w:footnote>
  <w:footnote w:type="continuationSeparator" w:id="0">
    <w:p w:rsidR="003803CC" w:rsidRPr="00FC68B7" w:rsidRDefault="003803CC" w:rsidP="00FC68B7">
      <w:pPr>
        <w:tabs>
          <w:tab w:val="left" w:pos="2155"/>
        </w:tabs>
        <w:spacing w:after="80"/>
        <w:ind w:left="680"/>
        <w:rPr>
          <w:u w:val="single"/>
        </w:rPr>
      </w:pPr>
      <w:r>
        <w:rPr>
          <w:u w:val="single"/>
        </w:rPr>
        <w:tab/>
      </w:r>
    </w:p>
  </w:footnote>
  <w:footnote w:type="continuationNotice" w:id="1">
    <w:p w:rsidR="003803CC" w:rsidRDefault="00380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6" w:rsidRPr="00AF76D0" w:rsidRDefault="00ED57F6">
    <w:pPr>
      <w:pStyle w:val="Header"/>
    </w:pPr>
    <w:r>
      <w:t>CRC/C/OPAC/GRC/CO/1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F6" w:rsidRPr="00AF76D0" w:rsidRDefault="00ED57F6" w:rsidP="00AF76D0">
    <w:pPr>
      <w:pStyle w:val="Header"/>
      <w:jc w:val="right"/>
    </w:pPr>
    <w:r>
      <w:t>CRC/C/OPAC/GRC/CO/1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22" w:rsidRDefault="00F30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DF8"/>
    <w:rsid w:val="00010840"/>
    <w:rsid w:val="00015E9C"/>
    <w:rsid w:val="0002650F"/>
    <w:rsid w:val="00050F6B"/>
    <w:rsid w:val="00072C8C"/>
    <w:rsid w:val="00077D32"/>
    <w:rsid w:val="00091419"/>
    <w:rsid w:val="000931C0"/>
    <w:rsid w:val="000B175B"/>
    <w:rsid w:val="000B3A0F"/>
    <w:rsid w:val="000B45CA"/>
    <w:rsid w:val="000B5FA3"/>
    <w:rsid w:val="000C11CF"/>
    <w:rsid w:val="000D13DB"/>
    <w:rsid w:val="000E0415"/>
    <w:rsid w:val="000F4ED0"/>
    <w:rsid w:val="000F5496"/>
    <w:rsid w:val="00104E93"/>
    <w:rsid w:val="001102D6"/>
    <w:rsid w:val="001540C1"/>
    <w:rsid w:val="00172EF0"/>
    <w:rsid w:val="00177187"/>
    <w:rsid w:val="001778B4"/>
    <w:rsid w:val="001839D3"/>
    <w:rsid w:val="001A406A"/>
    <w:rsid w:val="001B4B04"/>
    <w:rsid w:val="001C6663"/>
    <w:rsid w:val="001C7895"/>
    <w:rsid w:val="001D26DF"/>
    <w:rsid w:val="001D2FDC"/>
    <w:rsid w:val="001D37E9"/>
    <w:rsid w:val="001E3807"/>
    <w:rsid w:val="00211E0B"/>
    <w:rsid w:val="00214DE2"/>
    <w:rsid w:val="00223F5E"/>
    <w:rsid w:val="00237785"/>
    <w:rsid w:val="00241466"/>
    <w:rsid w:val="00256405"/>
    <w:rsid w:val="00285844"/>
    <w:rsid w:val="002E280F"/>
    <w:rsid w:val="003011B7"/>
    <w:rsid w:val="00306BCA"/>
    <w:rsid w:val="003107FA"/>
    <w:rsid w:val="00313BFA"/>
    <w:rsid w:val="003229D8"/>
    <w:rsid w:val="00322DDF"/>
    <w:rsid w:val="00334678"/>
    <w:rsid w:val="00336125"/>
    <w:rsid w:val="003402F5"/>
    <w:rsid w:val="003407DC"/>
    <w:rsid w:val="003448DD"/>
    <w:rsid w:val="00346C62"/>
    <w:rsid w:val="00355C90"/>
    <w:rsid w:val="003677FC"/>
    <w:rsid w:val="003777E8"/>
    <w:rsid w:val="003803CC"/>
    <w:rsid w:val="0039070D"/>
    <w:rsid w:val="0039277A"/>
    <w:rsid w:val="003972E0"/>
    <w:rsid w:val="003A1888"/>
    <w:rsid w:val="003C2CC4"/>
    <w:rsid w:val="003C308E"/>
    <w:rsid w:val="003D4B23"/>
    <w:rsid w:val="003E24B6"/>
    <w:rsid w:val="003E704A"/>
    <w:rsid w:val="00410691"/>
    <w:rsid w:val="00425499"/>
    <w:rsid w:val="004325CB"/>
    <w:rsid w:val="00442515"/>
    <w:rsid w:val="00446DE4"/>
    <w:rsid w:val="00451652"/>
    <w:rsid w:val="00473EFB"/>
    <w:rsid w:val="00473FF8"/>
    <w:rsid w:val="00475D8A"/>
    <w:rsid w:val="00484D7F"/>
    <w:rsid w:val="00490F27"/>
    <w:rsid w:val="004C246A"/>
    <w:rsid w:val="00525E92"/>
    <w:rsid w:val="00533821"/>
    <w:rsid w:val="00540C2F"/>
    <w:rsid w:val="005420F2"/>
    <w:rsid w:val="00542E90"/>
    <w:rsid w:val="00546CD7"/>
    <w:rsid w:val="00565172"/>
    <w:rsid w:val="00585664"/>
    <w:rsid w:val="005A274D"/>
    <w:rsid w:val="005A379C"/>
    <w:rsid w:val="005A75FF"/>
    <w:rsid w:val="005B2597"/>
    <w:rsid w:val="005B3DB3"/>
    <w:rsid w:val="005C0081"/>
    <w:rsid w:val="005C50EF"/>
    <w:rsid w:val="005D07F3"/>
    <w:rsid w:val="005D7A32"/>
    <w:rsid w:val="005F1BC4"/>
    <w:rsid w:val="005F49D8"/>
    <w:rsid w:val="00611FC4"/>
    <w:rsid w:val="00615D0E"/>
    <w:rsid w:val="006176FB"/>
    <w:rsid w:val="00623337"/>
    <w:rsid w:val="00640B26"/>
    <w:rsid w:val="0064390E"/>
    <w:rsid w:val="00676AC1"/>
    <w:rsid w:val="00682D97"/>
    <w:rsid w:val="006935FB"/>
    <w:rsid w:val="006A7392"/>
    <w:rsid w:val="006C0D34"/>
    <w:rsid w:val="006C3E26"/>
    <w:rsid w:val="006C680F"/>
    <w:rsid w:val="006D191E"/>
    <w:rsid w:val="006E564B"/>
    <w:rsid w:val="00704DC5"/>
    <w:rsid w:val="00723CA7"/>
    <w:rsid w:val="0072632A"/>
    <w:rsid w:val="00790F06"/>
    <w:rsid w:val="007A4BA1"/>
    <w:rsid w:val="007A61EC"/>
    <w:rsid w:val="007A73CA"/>
    <w:rsid w:val="007B01D7"/>
    <w:rsid w:val="007B3E8A"/>
    <w:rsid w:val="007B6BA5"/>
    <w:rsid w:val="007C3390"/>
    <w:rsid w:val="007C4F4B"/>
    <w:rsid w:val="007C667E"/>
    <w:rsid w:val="007F3143"/>
    <w:rsid w:val="007F6611"/>
    <w:rsid w:val="008121DE"/>
    <w:rsid w:val="008175E9"/>
    <w:rsid w:val="008242D7"/>
    <w:rsid w:val="00832B2A"/>
    <w:rsid w:val="00833114"/>
    <w:rsid w:val="00837EB9"/>
    <w:rsid w:val="00871FD5"/>
    <w:rsid w:val="00874443"/>
    <w:rsid w:val="0087626C"/>
    <w:rsid w:val="00882B59"/>
    <w:rsid w:val="0088699C"/>
    <w:rsid w:val="0088745E"/>
    <w:rsid w:val="00896417"/>
    <w:rsid w:val="008964A5"/>
    <w:rsid w:val="008979B1"/>
    <w:rsid w:val="008A6B25"/>
    <w:rsid w:val="008A6C4F"/>
    <w:rsid w:val="008B56B5"/>
    <w:rsid w:val="008C2DB1"/>
    <w:rsid w:val="008C5D32"/>
    <w:rsid w:val="008C7DC6"/>
    <w:rsid w:val="008D6AA2"/>
    <w:rsid w:val="008E0E46"/>
    <w:rsid w:val="008E6A8F"/>
    <w:rsid w:val="008E7886"/>
    <w:rsid w:val="008F084C"/>
    <w:rsid w:val="008F6FE7"/>
    <w:rsid w:val="00907CC9"/>
    <w:rsid w:val="0093717F"/>
    <w:rsid w:val="00941604"/>
    <w:rsid w:val="00942BE3"/>
    <w:rsid w:val="00950C20"/>
    <w:rsid w:val="00960A18"/>
    <w:rsid w:val="00963CBA"/>
    <w:rsid w:val="00991261"/>
    <w:rsid w:val="00997C59"/>
    <w:rsid w:val="009C6CAC"/>
    <w:rsid w:val="009E74EB"/>
    <w:rsid w:val="009F1F9A"/>
    <w:rsid w:val="009F3E16"/>
    <w:rsid w:val="009F4861"/>
    <w:rsid w:val="009F7419"/>
    <w:rsid w:val="00A02563"/>
    <w:rsid w:val="00A1427D"/>
    <w:rsid w:val="00A203AB"/>
    <w:rsid w:val="00A316E2"/>
    <w:rsid w:val="00A42B20"/>
    <w:rsid w:val="00A52912"/>
    <w:rsid w:val="00A72C67"/>
    <w:rsid w:val="00A72F22"/>
    <w:rsid w:val="00A748A6"/>
    <w:rsid w:val="00A760CB"/>
    <w:rsid w:val="00A879A4"/>
    <w:rsid w:val="00AA1873"/>
    <w:rsid w:val="00AA2D9B"/>
    <w:rsid w:val="00AD25BC"/>
    <w:rsid w:val="00AE3464"/>
    <w:rsid w:val="00AF76D0"/>
    <w:rsid w:val="00B025EC"/>
    <w:rsid w:val="00B14BE0"/>
    <w:rsid w:val="00B30179"/>
    <w:rsid w:val="00B3317B"/>
    <w:rsid w:val="00B33A46"/>
    <w:rsid w:val="00B349D1"/>
    <w:rsid w:val="00B34D9D"/>
    <w:rsid w:val="00B41002"/>
    <w:rsid w:val="00B62B1A"/>
    <w:rsid w:val="00B66858"/>
    <w:rsid w:val="00B75D73"/>
    <w:rsid w:val="00B81E12"/>
    <w:rsid w:val="00B905CE"/>
    <w:rsid w:val="00B93068"/>
    <w:rsid w:val="00BA0073"/>
    <w:rsid w:val="00BA380E"/>
    <w:rsid w:val="00BC74E9"/>
    <w:rsid w:val="00BE618E"/>
    <w:rsid w:val="00BF6F4D"/>
    <w:rsid w:val="00C01E72"/>
    <w:rsid w:val="00C05794"/>
    <w:rsid w:val="00C0689E"/>
    <w:rsid w:val="00C13353"/>
    <w:rsid w:val="00C20249"/>
    <w:rsid w:val="00C44A3A"/>
    <w:rsid w:val="00C463DD"/>
    <w:rsid w:val="00C476E3"/>
    <w:rsid w:val="00C56306"/>
    <w:rsid w:val="00C745C3"/>
    <w:rsid w:val="00C80885"/>
    <w:rsid w:val="00C82DD1"/>
    <w:rsid w:val="00CB0FBC"/>
    <w:rsid w:val="00CC0BEB"/>
    <w:rsid w:val="00CC52B1"/>
    <w:rsid w:val="00CE4A8F"/>
    <w:rsid w:val="00CE726A"/>
    <w:rsid w:val="00CF495F"/>
    <w:rsid w:val="00D16F3F"/>
    <w:rsid w:val="00D2031B"/>
    <w:rsid w:val="00D25FE2"/>
    <w:rsid w:val="00D4019F"/>
    <w:rsid w:val="00D43252"/>
    <w:rsid w:val="00D5005A"/>
    <w:rsid w:val="00D75361"/>
    <w:rsid w:val="00D978C6"/>
    <w:rsid w:val="00DA0E78"/>
    <w:rsid w:val="00DA2BE1"/>
    <w:rsid w:val="00DA67AD"/>
    <w:rsid w:val="00DB4442"/>
    <w:rsid w:val="00DD60E3"/>
    <w:rsid w:val="00E03AA7"/>
    <w:rsid w:val="00E03CFF"/>
    <w:rsid w:val="00E130AB"/>
    <w:rsid w:val="00E16093"/>
    <w:rsid w:val="00E21DF8"/>
    <w:rsid w:val="00E448D2"/>
    <w:rsid w:val="00E5644E"/>
    <w:rsid w:val="00E7260F"/>
    <w:rsid w:val="00E96630"/>
    <w:rsid w:val="00EC2F20"/>
    <w:rsid w:val="00ED57F6"/>
    <w:rsid w:val="00ED7A2A"/>
    <w:rsid w:val="00EF1D7F"/>
    <w:rsid w:val="00F00ED3"/>
    <w:rsid w:val="00F16C48"/>
    <w:rsid w:val="00F25FFD"/>
    <w:rsid w:val="00F30522"/>
    <w:rsid w:val="00F40E75"/>
    <w:rsid w:val="00F50D83"/>
    <w:rsid w:val="00F54B9E"/>
    <w:rsid w:val="00F61FCA"/>
    <w:rsid w:val="00F63E8F"/>
    <w:rsid w:val="00F71042"/>
    <w:rsid w:val="00F77B7B"/>
    <w:rsid w:val="00FB106F"/>
    <w:rsid w:val="00FC68B7"/>
    <w:rsid w:val="00FD5B18"/>
    <w:rsid w:val="00FF61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AF76D0"/>
    <w:rPr>
      <w:b/>
      <w:sz w:val="28"/>
      <w:lang w:val="en-GB" w:eastAsia="en-US" w:bidi="ar-SA"/>
    </w:rPr>
  </w:style>
  <w:style w:type="character" w:customStyle="1" w:styleId="FootnoteTextChar">
    <w:name w:val="Footnote Text Char"/>
    <w:aliases w:val="5_G Char"/>
    <w:link w:val="FootnoteText"/>
    <w:locked/>
    <w:rsid w:val="00AF76D0"/>
    <w:rPr>
      <w:sz w:val="18"/>
      <w:lang w:val="en-GB" w:eastAsia="en-US" w:bidi="ar-SA"/>
    </w:rPr>
  </w:style>
  <w:style w:type="character" w:styleId="Emphasis">
    <w:name w:val="Emphasis"/>
    <w:qFormat/>
    <w:rsid w:val="00FB106F"/>
    <w:rPr>
      <w:i/>
      <w:iCs/>
    </w:rPr>
  </w:style>
  <w:style w:type="paragraph" w:styleId="BalloonText">
    <w:name w:val="Balloon Text"/>
    <w:basedOn w:val="Normal"/>
    <w:link w:val="BalloonTextChar"/>
    <w:rsid w:val="00DA2BE1"/>
    <w:pPr>
      <w:spacing w:line="240" w:lineRule="auto"/>
    </w:pPr>
    <w:rPr>
      <w:rFonts w:ascii="Tahoma" w:hAnsi="Tahoma" w:cs="Tahoma"/>
      <w:sz w:val="16"/>
      <w:szCs w:val="16"/>
    </w:rPr>
  </w:style>
  <w:style w:type="character" w:customStyle="1" w:styleId="BalloonTextChar">
    <w:name w:val="Balloon Text Char"/>
    <w:link w:val="BalloonText"/>
    <w:rsid w:val="00DA2BE1"/>
    <w:rPr>
      <w:rFonts w:ascii="Tahoma" w:hAnsi="Tahoma" w:cs="Tahoma"/>
      <w:sz w:val="16"/>
      <w:szCs w:val="16"/>
      <w:lang w:eastAsia="en-US"/>
    </w:rPr>
  </w:style>
  <w:style w:type="character" w:styleId="CommentReference">
    <w:name w:val="annotation reference"/>
    <w:semiHidden/>
    <w:rsid w:val="001540C1"/>
    <w:rPr>
      <w:sz w:val="16"/>
      <w:szCs w:val="16"/>
    </w:rPr>
  </w:style>
  <w:style w:type="paragraph" w:styleId="CommentText">
    <w:name w:val="annotation text"/>
    <w:basedOn w:val="Normal"/>
    <w:semiHidden/>
    <w:rsid w:val="001540C1"/>
  </w:style>
  <w:style w:type="paragraph" w:styleId="CommentSubject">
    <w:name w:val="annotation subject"/>
    <w:basedOn w:val="CommentText"/>
    <w:next w:val="CommentText"/>
    <w:semiHidden/>
    <w:rsid w:val="00154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2012-06-15T19:06:00Z</cp:lastPrinted>
  <dcterms:created xsi:type="dcterms:W3CDTF">2012-07-23T10:37:00Z</dcterms:created>
  <dcterms:modified xsi:type="dcterms:W3CDTF">2012-07-23T10:37:00Z</dcterms:modified>
</cp:coreProperties>
</file>