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643D8" w:rsidP="005643D8">
            <w:pPr>
              <w:bidi w:val="0"/>
              <w:spacing w:after="20"/>
              <w:jc w:val="left"/>
              <w:rPr>
                <w:szCs w:val="20"/>
              </w:rPr>
            </w:pPr>
            <w:r w:rsidRPr="005643D8">
              <w:rPr>
                <w:sz w:val="40"/>
                <w:szCs w:val="20"/>
              </w:rPr>
              <w:t>CRC</w:t>
            </w:r>
            <w:r>
              <w:rPr>
                <w:szCs w:val="20"/>
              </w:rPr>
              <w:t>/C/OPAC/POL/CO/1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5643D8" w:rsidRDefault="005643D8" w:rsidP="005643D8">
            <w:pPr>
              <w:bidi w:val="0"/>
              <w:spacing w:before="240"/>
              <w:jc w:val="left"/>
            </w:pPr>
            <w:r>
              <w:t>Distr.: General</w:t>
            </w:r>
          </w:p>
          <w:p w:rsidR="005643D8" w:rsidRDefault="00CF723D" w:rsidP="00CF723D">
            <w:pPr>
              <w:bidi w:val="0"/>
              <w:jc w:val="left"/>
            </w:pPr>
            <w:r>
              <w:t>22 Octo</w:t>
            </w:r>
            <w:r w:rsidR="005643D8">
              <w:t>ber</w:t>
            </w:r>
            <w:r w:rsidR="00E21753">
              <w:t xml:space="preserve"> </w:t>
            </w:r>
            <w:r w:rsidR="005643D8">
              <w:t>2009</w:t>
            </w:r>
          </w:p>
          <w:p w:rsidR="005643D8" w:rsidRDefault="005643D8" w:rsidP="005643D8">
            <w:pPr>
              <w:bidi w:val="0"/>
              <w:jc w:val="left"/>
            </w:pPr>
            <w:r>
              <w:t>Arabic</w:t>
            </w:r>
          </w:p>
          <w:p w:rsidR="00257225" w:rsidRPr="008B4BC6" w:rsidRDefault="005643D8" w:rsidP="005643D8">
            <w:pPr>
              <w:bidi w:val="0"/>
              <w:jc w:val="left"/>
            </w:pPr>
            <w:r>
              <w:t>Original: English</w:t>
            </w:r>
          </w:p>
        </w:tc>
      </w:tr>
    </w:tbl>
    <w:p w:rsidR="00BA7B6A" w:rsidRDefault="00BA7B6A" w:rsidP="00BD5F00">
      <w:pPr>
        <w:spacing w:before="120" w:line="380" w:lineRule="exact"/>
        <w:rPr>
          <w:rFonts w:hint="cs"/>
          <w:b/>
          <w:bCs/>
          <w:sz w:val="28"/>
          <w:szCs w:val="36"/>
          <w:rtl/>
        </w:rPr>
      </w:pPr>
      <w:r>
        <w:rPr>
          <w:rFonts w:hint="cs"/>
          <w:b/>
          <w:bCs/>
          <w:sz w:val="28"/>
          <w:szCs w:val="36"/>
          <w:rtl/>
        </w:rPr>
        <w:t>لجنة حقوق الطفل</w:t>
      </w:r>
    </w:p>
    <w:p w:rsidR="00BA7B6A" w:rsidRDefault="00BA7B6A" w:rsidP="00BA7B6A">
      <w:pPr>
        <w:spacing w:line="380" w:lineRule="exact"/>
        <w:rPr>
          <w:rFonts w:hint="cs"/>
          <w:b/>
          <w:bCs/>
          <w:rtl/>
        </w:rPr>
      </w:pPr>
      <w:r>
        <w:rPr>
          <w:rFonts w:hint="cs"/>
          <w:b/>
          <w:bCs/>
          <w:rtl/>
        </w:rPr>
        <w:t>الدورة الثانية والخمسون</w:t>
      </w:r>
    </w:p>
    <w:p w:rsidR="00BA7B6A" w:rsidRDefault="00BA7B6A" w:rsidP="00BA7B6A">
      <w:pPr>
        <w:pStyle w:val="HChGA"/>
        <w:rPr>
          <w:rFonts w:hint="cs"/>
          <w:rtl/>
        </w:rPr>
      </w:pPr>
      <w:r>
        <w:rPr>
          <w:rFonts w:hint="cs"/>
          <w:rtl/>
        </w:rPr>
        <w:tab/>
      </w:r>
      <w:r>
        <w:rPr>
          <w:rFonts w:hint="cs"/>
          <w:rtl/>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BA7B6A" w:rsidRDefault="00BA7B6A" w:rsidP="00BA7B6A">
      <w:pPr>
        <w:pStyle w:val="HChGA"/>
        <w:rPr>
          <w:rFonts w:hint="cs"/>
          <w:rtl/>
        </w:rPr>
      </w:pPr>
      <w:r>
        <w:rPr>
          <w:rFonts w:hint="cs"/>
          <w:rtl/>
        </w:rPr>
        <w:tab/>
      </w:r>
      <w:r>
        <w:rPr>
          <w:rFonts w:hint="cs"/>
          <w:rtl/>
        </w:rPr>
        <w:tab/>
        <w:t>الملاحظات الختامية للجنة حقوق الطفل: بولندا</w:t>
      </w:r>
    </w:p>
    <w:p w:rsidR="00BA7B6A" w:rsidRDefault="00BA7B6A" w:rsidP="00BA7B6A">
      <w:pPr>
        <w:pStyle w:val="SingleTxtGA"/>
        <w:rPr>
          <w:rFonts w:hint="cs"/>
          <w:rtl/>
        </w:rPr>
      </w:pPr>
      <w:r>
        <w:rPr>
          <w:rFonts w:hint="cs"/>
          <w:rtl/>
        </w:rPr>
        <w:t>1-</w:t>
      </w:r>
      <w:r>
        <w:rPr>
          <w:rFonts w:hint="cs"/>
          <w:rtl/>
        </w:rPr>
        <w:tab/>
        <w:t xml:space="preserve">نظرت اللجنة في التقرير الأولي لبولندا </w:t>
      </w:r>
      <w:r>
        <w:t>(CRC/C/OPAC/POL/1)</w:t>
      </w:r>
      <w:r>
        <w:rPr>
          <w:rFonts w:hint="cs"/>
          <w:rtl/>
        </w:rPr>
        <w:t xml:space="preserve"> في جلستيها 1436 و1437(</w:t>
      </w:r>
      <w:r>
        <w:t>CRC/SR.1436 and 1437</w:t>
      </w:r>
      <w:r>
        <w:rPr>
          <w:rFonts w:hint="cs"/>
          <w:rtl/>
        </w:rPr>
        <w:t>) المعقودتين في 22 أيلول/سبتمبر 2009 واعتمدت، في جلستها 1435 المعقودة في 2 تشرين الأول/أكتوبر 2</w:t>
      </w:r>
      <w:r w:rsidR="00BD5F00">
        <w:rPr>
          <w:rFonts w:hint="cs"/>
          <w:rtl/>
        </w:rPr>
        <w:t>009، الملاحظات الختامية التالية.</w:t>
      </w:r>
    </w:p>
    <w:p w:rsidR="00BA7B6A" w:rsidRDefault="00BA7B6A" w:rsidP="00BA7B6A">
      <w:pPr>
        <w:pStyle w:val="H1GA"/>
        <w:rPr>
          <w:rFonts w:hint="cs"/>
          <w:rtl/>
        </w:rPr>
      </w:pPr>
      <w:r>
        <w:rPr>
          <w:rFonts w:hint="cs"/>
          <w:rtl/>
        </w:rPr>
        <w:tab/>
      </w:r>
      <w:r>
        <w:rPr>
          <w:rFonts w:hint="cs"/>
          <w:rtl/>
        </w:rPr>
        <w:tab/>
        <w:t>مقدمة</w:t>
      </w:r>
    </w:p>
    <w:p w:rsidR="00BA7B6A" w:rsidRDefault="00BA7B6A" w:rsidP="00BA7B6A">
      <w:pPr>
        <w:pStyle w:val="SingleTxtGA"/>
        <w:rPr>
          <w:rFonts w:hint="cs"/>
          <w:rtl/>
        </w:rPr>
      </w:pPr>
      <w:r>
        <w:rPr>
          <w:rFonts w:hint="cs"/>
          <w:rtl/>
        </w:rPr>
        <w:t>2-</w:t>
      </w:r>
      <w:r>
        <w:rPr>
          <w:rFonts w:hint="cs"/>
          <w:rtl/>
        </w:rPr>
        <w:tab/>
        <w:t>ترحِّب اللجنة بتقديم الدولة الطرف تقريرها الأولي بموجب البروتوكول الاختياري، فضلاً عن ردودها الخطية على قائمة المسائل (</w:t>
      </w:r>
      <w:r>
        <w:t>CRC/C/OPAC/POL/Q/1/Add.1</w:t>
      </w:r>
      <w:r>
        <w:rPr>
          <w:rFonts w:hint="cs"/>
          <w:rtl/>
        </w:rPr>
        <w:t>). غير أن اللجنة تُعرب عن أسفها إزاء اقتضاب تقرير الدولة الطرف، الذي لم يُعد مع ذلك وفقاً للمبادئ التوجيهية لإعداد التقارير بموجب البروتوكول الاختياري، وإزاء اقتضاب ردود الدولة الطرف على قائمة المسائل.</w:t>
      </w:r>
    </w:p>
    <w:p w:rsidR="00BA7B6A" w:rsidRDefault="00BA7B6A" w:rsidP="00602E49">
      <w:pPr>
        <w:pStyle w:val="SingleTxtGA"/>
        <w:rPr>
          <w:rFonts w:hint="cs"/>
        </w:rPr>
      </w:pPr>
      <w:r>
        <w:rPr>
          <w:rFonts w:hint="cs"/>
          <w:rtl/>
        </w:rPr>
        <w:t>3-</w:t>
      </w:r>
      <w:r>
        <w:rPr>
          <w:rFonts w:hint="cs"/>
          <w:rtl/>
        </w:rPr>
        <w:tab/>
        <w:t>وتذكر اللجنة الدولة الطرف بأن هذه الملاحظات الختامية ينبغي أن تُقرأ مقترنة بالملاحظات الختامية التي اعتُمِدت بشأن التقرير الأولي المقدم من الدولة الطرف في 2 تشرين الأول/أكتوبر 2009 (</w:t>
      </w:r>
      <w:r>
        <w:t>CRC/OPSC/POL/CO/1</w:t>
      </w:r>
      <w:r>
        <w:rPr>
          <w:rFonts w:hint="cs"/>
          <w:rtl/>
        </w:rPr>
        <w:t xml:space="preserve">) بموجب البروتوكول الاختياري المتعلق ببيع الأطفال </w:t>
      </w:r>
      <w:r w:rsidRPr="0057554D">
        <w:rPr>
          <w:rtl/>
        </w:rPr>
        <w:t>وبغاء الأطفال واستغلال الأطفال في المواد الإباحية</w:t>
      </w:r>
      <w:r>
        <w:rPr>
          <w:rFonts w:hint="cs"/>
          <w:rtl/>
        </w:rPr>
        <w:t xml:space="preserve">. </w:t>
      </w:r>
    </w:p>
    <w:p w:rsidR="00BA7B6A" w:rsidRDefault="00BA7B6A" w:rsidP="00BA7B6A">
      <w:pPr>
        <w:pStyle w:val="H1GA"/>
        <w:rPr>
          <w:rFonts w:hint="cs"/>
          <w:rtl/>
        </w:rPr>
      </w:pPr>
      <w:r>
        <w:rPr>
          <w:rFonts w:hint="cs"/>
          <w:rtl/>
        </w:rPr>
        <w:tab/>
      </w:r>
      <w:r>
        <w:rPr>
          <w:rFonts w:hint="cs"/>
          <w:rtl/>
        </w:rPr>
        <w:tab/>
        <w:t>الجوانب الإيجابية</w:t>
      </w:r>
    </w:p>
    <w:p w:rsidR="00BA7B6A" w:rsidRPr="00FF47A3" w:rsidRDefault="00BA7B6A" w:rsidP="00BA7B6A">
      <w:pPr>
        <w:pStyle w:val="SingleTxtGA"/>
        <w:rPr>
          <w:rFonts w:hint="cs"/>
          <w:spacing w:val="2"/>
          <w:rtl/>
        </w:rPr>
      </w:pPr>
      <w:r>
        <w:rPr>
          <w:rFonts w:hint="cs"/>
          <w:spacing w:val="2"/>
          <w:rtl/>
        </w:rPr>
        <w:t>4-</w:t>
      </w:r>
      <w:r>
        <w:rPr>
          <w:rFonts w:hint="cs"/>
          <w:spacing w:val="2"/>
          <w:rtl/>
        </w:rPr>
        <w:tab/>
        <w:t>تلاحظ اللجنة بارتياح وجود نص في القانون البولندي (البند 1 من المادة 4 من القانون الصادر في 21 تشرين الثاني/نوفمبر 1967 بشأن الواجب العام المتمثل في الدفاع عن جمهورية بولندا)</w:t>
      </w:r>
      <w:r w:rsidRPr="00FF47A3">
        <w:rPr>
          <w:rFonts w:hint="cs"/>
          <w:spacing w:val="2"/>
          <w:rtl/>
        </w:rPr>
        <w:t xml:space="preserve"> </w:t>
      </w:r>
      <w:r>
        <w:rPr>
          <w:rFonts w:hint="cs"/>
          <w:spacing w:val="2"/>
          <w:rtl/>
        </w:rPr>
        <w:t xml:space="preserve">يحظر التجنيد الإجباري لمن هم دون الثامنة عشرة. </w:t>
      </w:r>
    </w:p>
    <w:p w:rsidR="00BA7B6A" w:rsidRDefault="00BA7B6A" w:rsidP="00BA7B6A">
      <w:pPr>
        <w:pStyle w:val="SingleTxtGA"/>
        <w:rPr>
          <w:rFonts w:hint="cs"/>
          <w:rtl/>
        </w:rPr>
      </w:pPr>
      <w:r>
        <w:rPr>
          <w:rFonts w:hint="cs"/>
          <w:rtl/>
        </w:rPr>
        <w:t>5-</w:t>
      </w:r>
      <w:r>
        <w:rPr>
          <w:rFonts w:hint="cs"/>
          <w:rtl/>
        </w:rPr>
        <w:tab/>
        <w:t>وترحِّب اللجنة كذلك بتصديق الدولة الطرف في شباط/فبراير 2005 على البروتوكول الاختياري لاتفاقية حقوق الطفل المتعلق ببيع الأطفال وبغاء الأطفال واستغلال الأطفال في المواد الإباحية.</w:t>
      </w:r>
    </w:p>
    <w:p w:rsidR="00BA7B6A" w:rsidRPr="00E428F4" w:rsidRDefault="00BA7B6A" w:rsidP="00BD5F00">
      <w:pPr>
        <w:pStyle w:val="HChGA"/>
        <w:rPr>
          <w:rFonts w:hint="cs"/>
          <w:rtl/>
        </w:rPr>
      </w:pPr>
      <w:r>
        <w:rPr>
          <w:rFonts w:hint="cs"/>
          <w:rtl/>
        </w:rPr>
        <w:tab/>
      </w:r>
      <w:r w:rsidRPr="00E428F4">
        <w:rPr>
          <w:rFonts w:hint="cs"/>
          <w:rtl/>
        </w:rPr>
        <w:t>أولاً -</w:t>
      </w:r>
      <w:r w:rsidR="00BD5F00">
        <w:rPr>
          <w:rFonts w:hint="cs"/>
          <w:rtl/>
        </w:rPr>
        <w:tab/>
      </w:r>
      <w:r w:rsidRPr="00E428F4">
        <w:rPr>
          <w:rFonts w:hint="cs"/>
          <w:rtl/>
        </w:rPr>
        <w:t>تدابير التنفيذ العامة</w:t>
      </w:r>
    </w:p>
    <w:p w:rsidR="00BA7B6A" w:rsidRDefault="00BA7B6A" w:rsidP="00BA7B6A">
      <w:pPr>
        <w:pStyle w:val="H1GA"/>
        <w:rPr>
          <w:rFonts w:hint="cs"/>
          <w:rtl/>
        </w:rPr>
      </w:pPr>
      <w:r>
        <w:rPr>
          <w:rFonts w:hint="cs"/>
          <w:rtl/>
        </w:rPr>
        <w:tab/>
      </w:r>
      <w:r>
        <w:rPr>
          <w:rFonts w:hint="cs"/>
          <w:rtl/>
        </w:rPr>
        <w:tab/>
        <w:t>تنسيق وتقييم تنفيذ البروتوكول الاختياري</w:t>
      </w:r>
    </w:p>
    <w:p w:rsidR="00BA7B6A" w:rsidRDefault="00BA7B6A" w:rsidP="00BA7B6A">
      <w:pPr>
        <w:pStyle w:val="SingleTxtGA"/>
        <w:rPr>
          <w:rFonts w:hint="cs"/>
          <w:rtl/>
        </w:rPr>
      </w:pPr>
      <w:r>
        <w:rPr>
          <w:rFonts w:hint="cs"/>
          <w:rtl/>
        </w:rPr>
        <w:t>6-</w:t>
      </w:r>
      <w:r>
        <w:rPr>
          <w:rFonts w:hint="cs"/>
          <w:rtl/>
        </w:rPr>
        <w:tab/>
        <w:t xml:space="preserve">تشير اللجنة إلى أن وزارة التعليم هي الجهة المعنية بتنفيذ البروتوكول الاختياري. ومع ذلك، تشعر اللجنة بالقلق إزاء احتمال أن تواجه الوزارة تحديات في الإحاطة بالجوانب القضائية والعسكرية الواسعة النطاق الواردة في أحكام البروتوكول الاختياري. </w:t>
      </w:r>
    </w:p>
    <w:p w:rsidR="00BA7B6A" w:rsidRPr="00027521" w:rsidRDefault="00BA7B6A" w:rsidP="00BA7B6A">
      <w:pPr>
        <w:pStyle w:val="SingleTxtGA"/>
        <w:rPr>
          <w:rFonts w:hint="cs"/>
          <w:b/>
          <w:bCs/>
          <w:rtl/>
        </w:rPr>
      </w:pPr>
      <w:r w:rsidRPr="0029692E">
        <w:rPr>
          <w:rFonts w:hint="cs"/>
          <w:rtl/>
        </w:rPr>
        <w:t>7-</w:t>
      </w:r>
      <w:r w:rsidRPr="00027521">
        <w:rPr>
          <w:rFonts w:hint="cs"/>
          <w:b/>
          <w:bCs/>
          <w:rtl/>
        </w:rPr>
        <w:tab/>
      </w:r>
      <w:r>
        <w:rPr>
          <w:rFonts w:hint="cs"/>
          <w:b/>
          <w:bCs/>
          <w:rtl/>
        </w:rPr>
        <w:t xml:space="preserve">توصي اللجنة بأن تكفل الدولة الطرف قيام وزارة التعليم بإنشاء هيئة تنسيق فعالة تُشرك فيها جميع الجهات الفاعلة المعنية بتنفيذ البروتوكول، بما في ذلك المجتمع المدني. كما توصي اللجنة وزارة التعليم بإنشاء آلية للتقييم الدوري لمدى الامتثال للبروتوكول الاختياري. </w:t>
      </w:r>
    </w:p>
    <w:p w:rsidR="00BA7B6A" w:rsidRDefault="00BA7B6A" w:rsidP="00BA7B6A">
      <w:pPr>
        <w:pStyle w:val="SingleTxtGA"/>
        <w:rPr>
          <w:rFonts w:hint="cs"/>
          <w:b/>
          <w:bCs/>
          <w:rtl/>
        </w:rPr>
      </w:pPr>
      <w:r>
        <w:rPr>
          <w:rFonts w:hint="cs"/>
          <w:b/>
          <w:bCs/>
          <w:rtl/>
        </w:rPr>
        <w:t>النشر والتدريب</w:t>
      </w:r>
    </w:p>
    <w:p w:rsidR="00BA7B6A" w:rsidRDefault="00BA7B6A" w:rsidP="00BA7B6A">
      <w:pPr>
        <w:pStyle w:val="SingleTxtGA"/>
        <w:rPr>
          <w:rFonts w:hint="cs"/>
          <w:rtl/>
        </w:rPr>
      </w:pPr>
      <w:r>
        <w:rPr>
          <w:rFonts w:hint="cs"/>
          <w:rtl/>
        </w:rPr>
        <w:t>8-</w:t>
      </w:r>
      <w:r>
        <w:rPr>
          <w:rFonts w:hint="cs"/>
          <w:rtl/>
        </w:rPr>
        <w:tab/>
        <w:t xml:space="preserve">تلاحظ اللجنة الجهود التي تبذلها الدولة الطرف لزيادة التوعية بالبروتوكول الاختياري، بما في ذلك عن طريق عقد الحلقات الدراسية، ونشر الكُتيبات والتعاون مع اللجنة الدولية للصليب الأحمر. ومع ذلك، تشعر اللجنة بالقلق من أن توعية عامة الجمهور بالبروتوكول الاختياري ما تزال متدنية. </w:t>
      </w:r>
    </w:p>
    <w:p w:rsidR="00BA7B6A" w:rsidRPr="006C6181" w:rsidRDefault="00BA7B6A" w:rsidP="00BA7B6A">
      <w:pPr>
        <w:pStyle w:val="SingleTxtGA"/>
        <w:rPr>
          <w:rFonts w:hint="cs"/>
          <w:b/>
          <w:bCs/>
          <w:spacing w:val="4"/>
          <w:rtl/>
        </w:rPr>
      </w:pPr>
      <w:r>
        <w:rPr>
          <w:rFonts w:hint="cs"/>
          <w:spacing w:val="4"/>
          <w:rtl/>
        </w:rPr>
        <w:t>9</w:t>
      </w:r>
      <w:r w:rsidRPr="006C6181">
        <w:rPr>
          <w:rFonts w:hint="cs"/>
          <w:spacing w:val="4"/>
          <w:rtl/>
        </w:rPr>
        <w:t>-</w:t>
      </w:r>
      <w:r w:rsidRPr="006C6181">
        <w:rPr>
          <w:rFonts w:hint="cs"/>
          <w:spacing w:val="4"/>
          <w:rtl/>
        </w:rPr>
        <w:tab/>
      </w:r>
      <w:r w:rsidRPr="006C6181">
        <w:rPr>
          <w:rFonts w:hint="cs"/>
          <w:b/>
          <w:bCs/>
          <w:spacing w:val="4"/>
          <w:rtl/>
        </w:rPr>
        <w:t xml:space="preserve">توصي اللجنة الدولة الطرف بأن تكفل </w:t>
      </w:r>
      <w:r>
        <w:rPr>
          <w:rFonts w:hint="cs"/>
          <w:b/>
          <w:bCs/>
          <w:spacing w:val="4"/>
          <w:rtl/>
        </w:rPr>
        <w:t>نشر مبادئ وأحكام البروتوكول الاختياري على نطاق واسع بين عامة الجمهور، بحيث يشمل ذلك الأطفال.</w:t>
      </w:r>
      <w:r w:rsidR="002C1D68">
        <w:rPr>
          <w:rFonts w:hint="cs"/>
          <w:b/>
          <w:bCs/>
          <w:spacing w:val="4"/>
          <w:rtl/>
        </w:rPr>
        <w:t xml:space="preserve"> </w:t>
      </w:r>
    </w:p>
    <w:p w:rsidR="00BA7B6A" w:rsidRDefault="00BD5F00" w:rsidP="00BD5F00">
      <w:pPr>
        <w:pStyle w:val="HChGA"/>
        <w:rPr>
          <w:rFonts w:hint="cs"/>
          <w:rtl/>
        </w:rPr>
      </w:pPr>
      <w:r>
        <w:rPr>
          <w:rFonts w:hint="cs"/>
          <w:rtl/>
        </w:rPr>
        <w:tab/>
      </w:r>
      <w:r w:rsidR="00BA7B6A">
        <w:rPr>
          <w:rFonts w:hint="cs"/>
          <w:rtl/>
        </w:rPr>
        <w:t>ثانياً -</w:t>
      </w:r>
      <w:r>
        <w:rPr>
          <w:rFonts w:hint="cs"/>
          <w:rtl/>
        </w:rPr>
        <w:tab/>
      </w:r>
      <w:r w:rsidR="00BA7B6A">
        <w:rPr>
          <w:rFonts w:hint="cs"/>
          <w:rtl/>
        </w:rPr>
        <w:t>المنع</w:t>
      </w:r>
    </w:p>
    <w:p w:rsidR="00BA7B6A" w:rsidRDefault="00AB081B" w:rsidP="00AB081B">
      <w:pPr>
        <w:pStyle w:val="H1GA"/>
        <w:rPr>
          <w:rFonts w:hint="cs"/>
          <w:rtl/>
        </w:rPr>
      </w:pPr>
      <w:r>
        <w:rPr>
          <w:rFonts w:hint="cs"/>
          <w:rtl/>
        </w:rPr>
        <w:tab/>
      </w:r>
      <w:r>
        <w:rPr>
          <w:rFonts w:hint="cs"/>
          <w:rtl/>
        </w:rPr>
        <w:tab/>
      </w:r>
      <w:r w:rsidR="00BA7B6A">
        <w:rPr>
          <w:rFonts w:hint="cs"/>
          <w:rtl/>
        </w:rPr>
        <w:t>التجنيد الطوعي</w:t>
      </w:r>
    </w:p>
    <w:p w:rsidR="00BA7B6A" w:rsidRDefault="00BA7B6A" w:rsidP="00BA7B6A">
      <w:pPr>
        <w:pStyle w:val="SingleTxtGA"/>
        <w:rPr>
          <w:rFonts w:hint="cs"/>
          <w:rtl/>
        </w:rPr>
      </w:pPr>
      <w:r>
        <w:rPr>
          <w:rFonts w:hint="cs"/>
          <w:rtl/>
        </w:rPr>
        <w:t>10-</w:t>
      </w:r>
      <w:r>
        <w:rPr>
          <w:rFonts w:hint="cs"/>
          <w:rtl/>
        </w:rPr>
        <w:tab/>
        <w:t>ترحب اللجنة بالمعلومات المقدمة أثناء الحوار مع الدولة الطرف بشأن رفع السن الدنيا للتجنيد الطوعي إلى 18 سنة، عملاً بمشروع قانون صدر في 21 تشرين الثاني/</w:t>
      </w:r>
      <w:r w:rsidR="009935FC">
        <w:rPr>
          <w:rtl/>
        </w:rPr>
        <w:br/>
      </w:r>
      <w:r>
        <w:rPr>
          <w:rFonts w:hint="cs"/>
          <w:rtl/>
        </w:rPr>
        <w:t>نوفمبر 1967 لتعديل القانون المتعلق بالواجب العام للدفاع عن جمهورية بولندا.</w:t>
      </w:r>
    </w:p>
    <w:p w:rsidR="00BA7B6A" w:rsidRPr="003950DE" w:rsidRDefault="00BA7B6A" w:rsidP="00BA7B6A">
      <w:pPr>
        <w:pStyle w:val="SingleTxtGA"/>
        <w:rPr>
          <w:rFonts w:hint="cs"/>
          <w:b/>
          <w:bCs/>
          <w:rtl/>
        </w:rPr>
      </w:pPr>
      <w:r w:rsidRPr="00AB081B">
        <w:rPr>
          <w:rFonts w:hint="cs"/>
          <w:rtl/>
        </w:rPr>
        <w:t>11-</w:t>
      </w:r>
      <w:r>
        <w:rPr>
          <w:rFonts w:hint="cs"/>
          <w:b/>
          <w:bCs/>
          <w:rtl/>
        </w:rPr>
        <w:tab/>
        <w:t>توصي اللجنة الدولة الطرف بتعجيل اعتماد مشروع القانون المذكور من أجل رفع السن الدنيا للتجنيد الطوعي، فتكفل بالتالي عدم التحاق من هم دون الثامنة عشرة بالقوات المسلحة البولندية.</w:t>
      </w:r>
      <w:r w:rsidR="002C1D68">
        <w:rPr>
          <w:rFonts w:hint="cs"/>
          <w:b/>
          <w:bCs/>
          <w:rtl/>
        </w:rPr>
        <w:t xml:space="preserve"> </w:t>
      </w:r>
    </w:p>
    <w:p w:rsidR="00BA7B6A" w:rsidRDefault="009935FC" w:rsidP="009935FC">
      <w:pPr>
        <w:pStyle w:val="H1GA"/>
        <w:rPr>
          <w:rFonts w:hint="cs"/>
          <w:rtl/>
        </w:rPr>
      </w:pPr>
      <w:r>
        <w:rPr>
          <w:rFonts w:hint="cs"/>
          <w:rtl/>
        </w:rPr>
        <w:tab/>
      </w:r>
      <w:r>
        <w:rPr>
          <w:rFonts w:hint="cs"/>
          <w:rtl/>
        </w:rPr>
        <w:tab/>
      </w:r>
      <w:r w:rsidR="00BA7B6A">
        <w:rPr>
          <w:rFonts w:hint="cs"/>
          <w:rtl/>
        </w:rPr>
        <w:t>التوعية العامة والتثقيف في مجال السلم</w:t>
      </w:r>
    </w:p>
    <w:p w:rsidR="00BA7B6A" w:rsidRDefault="00BA7B6A" w:rsidP="00BD5F00">
      <w:pPr>
        <w:pStyle w:val="SingleTxtGA"/>
        <w:rPr>
          <w:rFonts w:hint="cs"/>
          <w:rtl/>
        </w:rPr>
      </w:pPr>
      <w:r w:rsidRPr="00A862D1">
        <w:rPr>
          <w:rFonts w:hint="cs"/>
          <w:rtl/>
        </w:rPr>
        <w:t>12-</w:t>
      </w:r>
      <w:r w:rsidRPr="00A862D1">
        <w:rPr>
          <w:rFonts w:hint="cs"/>
          <w:rtl/>
        </w:rPr>
        <w:tab/>
      </w:r>
      <w:r>
        <w:rPr>
          <w:rFonts w:hint="cs"/>
          <w:rtl/>
        </w:rPr>
        <w:t xml:space="preserve">ترحب اللجنة بحقيقة أن البروتوكول الاختياري قد ضُمّن في مادة إجبارية من مواد المنهج الدراسي تتناول </w:t>
      </w:r>
      <w:r w:rsidR="00BD5F00">
        <w:rPr>
          <w:rFonts w:hint="cs"/>
          <w:rtl/>
        </w:rPr>
        <w:t>"</w:t>
      </w:r>
      <w:r>
        <w:rPr>
          <w:rFonts w:hint="cs"/>
          <w:rtl/>
        </w:rPr>
        <w:t>التثقيف من أجل تحقيق الأمن</w:t>
      </w:r>
      <w:r w:rsidR="00BD5F00">
        <w:rPr>
          <w:rFonts w:hint="cs"/>
          <w:rtl/>
        </w:rPr>
        <w:t>"</w:t>
      </w:r>
      <w:r>
        <w:rPr>
          <w:rFonts w:hint="cs"/>
          <w:rtl/>
        </w:rPr>
        <w:t xml:space="preserve"> في المدارس المتوسطة والثانوية، وقد أُدمج في الدروس المتعلقة بالقانون الدولي والقانون الإنساني. ومع ذلك، تشعر اللجنة بالقلق من أن هذه المادة قد لا تجد الوزن الذي ينبغي أن تحظى </w:t>
      </w:r>
      <w:proofErr w:type="spellStart"/>
      <w:r>
        <w:rPr>
          <w:rFonts w:hint="cs"/>
          <w:rtl/>
        </w:rPr>
        <w:t>به</w:t>
      </w:r>
      <w:proofErr w:type="spellEnd"/>
      <w:r>
        <w:rPr>
          <w:rFonts w:hint="cs"/>
          <w:rtl/>
        </w:rPr>
        <w:t xml:space="preserve"> في سياق التثقيف في مجال حقوق الإنسان، ومن عدم إدراك عامة الجمهور لوجود هذا البروتوكول.</w:t>
      </w:r>
      <w:r w:rsidR="002C1D68">
        <w:rPr>
          <w:rFonts w:hint="cs"/>
          <w:rtl/>
        </w:rPr>
        <w:t xml:space="preserve"> </w:t>
      </w:r>
    </w:p>
    <w:p w:rsidR="00BA7B6A" w:rsidRDefault="00BA7B6A" w:rsidP="00BA7B6A">
      <w:pPr>
        <w:pStyle w:val="SingleTxtGA"/>
        <w:rPr>
          <w:rFonts w:hint="cs"/>
          <w:b/>
          <w:bCs/>
          <w:rtl/>
        </w:rPr>
      </w:pPr>
      <w:r w:rsidRPr="00AB081B">
        <w:rPr>
          <w:rFonts w:hint="cs"/>
          <w:rtl/>
        </w:rPr>
        <w:t>13-</w:t>
      </w:r>
      <w:r w:rsidRPr="009537E7">
        <w:rPr>
          <w:rFonts w:hint="cs"/>
          <w:b/>
          <w:bCs/>
          <w:rtl/>
        </w:rPr>
        <w:tab/>
        <w:t>توصي اللجنة الدولة الطرف بأن تقوم، با</w:t>
      </w:r>
      <w:r>
        <w:rPr>
          <w:rFonts w:hint="cs"/>
          <w:b/>
          <w:bCs/>
          <w:rtl/>
        </w:rPr>
        <w:t xml:space="preserve">لتعاون مع منظمات المجتمع المدني </w:t>
      </w:r>
      <w:r w:rsidR="00AB081B">
        <w:rPr>
          <w:b/>
          <w:bCs/>
          <w:rtl/>
        </w:rPr>
        <w:br/>
      </w:r>
      <w:r>
        <w:rPr>
          <w:rFonts w:hint="cs"/>
          <w:b/>
          <w:bCs/>
          <w:rtl/>
        </w:rPr>
        <w:t>بما يلي:</w:t>
      </w:r>
    </w:p>
    <w:p w:rsidR="00BA7B6A" w:rsidRDefault="00AB081B" w:rsidP="00BA7B6A">
      <w:pPr>
        <w:pStyle w:val="SingleTxtGA"/>
        <w:rPr>
          <w:rFonts w:hint="cs"/>
          <w:b/>
          <w:bCs/>
          <w:rtl/>
        </w:rPr>
      </w:pPr>
      <w:r>
        <w:rPr>
          <w:rFonts w:hint="cs"/>
          <w:b/>
          <w:bCs/>
          <w:rtl/>
        </w:rPr>
        <w:tab/>
      </w:r>
      <w:r w:rsidR="00BA7B6A">
        <w:rPr>
          <w:rFonts w:hint="cs"/>
          <w:b/>
          <w:bCs/>
          <w:rtl/>
        </w:rPr>
        <w:t>(أ)</w:t>
      </w:r>
      <w:r w:rsidR="00BA7B6A">
        <w:rPr>
          <w:rFonts w:hint="cs"/>
          <w:b/>
          <w:bCs/>
          <w:rtl/>
        </w:rPr>
        <w:tab/>
        <w:t xml:space="preserve">وضع طريقة منهجية تكفل تقديم معلومات متسقة وشاملة، على كافة المستويات التعليمية، عن القانون الدولي وسياسات تسوية النزاعات وتحقيق السلم؛ </w:t>
      </w:r>
    </w:p>
    <w:p w:rsidR="00BA7B6A" w:rsidRDefault="00AB081B" w:rsidP="00BD5F00">
      <w:pPr>
        <w:pStyle w:val="SingleTxtGA"/>
        <w:rPr>
          <w:rFonts w:hint="cs"/>
          <w:b/>
          <w:bCs/>
          <w:rtl/>
        </w:rPr>
      </w:pPr>
      <w:r>
        <w:rPr>
          <w:rFonts w:hint="cs"/>
          <w:b/>
          <w:bCs/>
          <w:rtl/>
        </w:rPr>
        <w:tab/>
      </w:r>
      <w:r w:rsidR="00BA7B6A">
        <w:rPr>
          <w:rFonts w:hint="cs"/>
          <w:b/>
          <w:bCs/>
          <w:rtl/>
        </w:rPr>
        <w:t>(ب)</w:t>
      </w:r>
      <w:r w:rsidR="00BA7B6A">
        <w:rPr>
          <w:rFonts w:hint="cs"/>
          <w:b/>
          <w:bCs/>
          <w:rtl/>
        </w:rPr>
        <w:tab/>
      </w:r>
      <w:r w:rsidR="00BA7B6A" w:rsidRPr="009537E7">
        <w:rPr>
          <w:rFonts w:hint="cs"/>
          <w:b/>
          <w:bCs/>
          <w:rtl/>
        </w:rPr>
        <w:t>وضع وتنفيذ برامج</w:t>
      </w:r>
      <w:r w:rsidR="00BA7B6A">
        <w:rPr>
          <w:rFonts w:hint="cs"/>
          <w:b/>
          <w:bCs/>
          <w:rtl/>
        </w:rPr>
        <w:t xml:space="preserve"> تدريبية وتنظيم حملات لإشاعة </w:t>
      </w:r>
      <w:r w:rsidR="00BD5F00">
        <w:rPr>
          <w:rFonts w:hint="cs"/>
          <w:b/>
          <w:bCs/>
          <w:rtl/>
        </w:rPr>
        <w:t>قي</w:t>
      </w:r>
      <w:r w:rsidR="00BA7B6A">
        <w:rPr>
          <w:rFonts w:hint="cs"/>
          <w:b/>
          <w:bCs/>
          <w:rtl/>
        </w:rPr>
        <w:t>م السلم واحترام حقوق الإنسان؛</w:t>
      </w:r>
    </w:p>
    <w:p w:rsidR="00BA7B6A" w:rsidRDefault="00AB081B" w:rsidP="00BA7B6A">
      <w:pPr>
        <w:pStyle w:val="SingleTxtGA"/>
        <w:rPr>
          <w:rFonts w:hint="cs"/>
          <w:b/>
          <w:bCs/>
          <w:rtl/>
        </w:rPr>
      </w:pPr>
      <w:r>
        <w:rPr>
          <w:rFonts w:hint="cs"/>
          <w:b/>
          <w:bCs/>
          <w:rtl/>
        </w:rPr>
        <w:tab/>
        <w:t>(ج)</w:t>
      </w:r>
      <w:r w:rsidR="00BA7B6A">
        <w:rPr>
          <w:rFonts w:hint="cs"/>
          <w:b/>
          <w:bCs/>
          <w:rtl/>
        </w:rPr>
        <w:tab/>
        <w:t>تعزيز الجهود التي تبذلها لزيادة توعية الجمهور بمباد</w:t>
      </w:r>
      <w:r>
        <w:rPr>
          <w:rFonts w:hint="cs"/>
          <w:b/>
          <w:bCs/>
          <w:rtl/>
        </w:rPr>
        <w:t xml:space="preserve">ئ وأحكام البروتوكول الاختياري. </w:t>
      </w:r>
    </w:p>
    <w:p w:rsidR="00BA7B6A" w:rsidRPr="00C373ED" w:rsidRDefault="00AB081B" w:rsidP="00BD5F00">
      <w:pPr>
        <w:pStyle w:val="HChGA"/>
        <w:rPr>
          <w:rFonts w:hint="cs"/>
          <w:rtl/>
        </w:rPr>
      </w:pPr>
      <w:r>
        <w:rPr>
          <w:rFonts w:hint="cs"/>
          <w:rtl/>
        </w:rPr>
        <w:tab/>
      </w:r>
      <w:r w:rsidR="00BA7B6A" w:rsidRPr="00C373ED">
        <w:rPr>
          <w:rFonts w:hint="cs"/>
          <w:rtl/>
        </w:rPr>
        <w:t>ثالثاً -</w:t>
      </w:r>
      <w:r w:rsidR="00BD5F00">
        <w:rPr>
          <w:rFonts w:hint="cs"/>
          <w:rtl/>
        </w:rPr>
        <w:tab/>
      </w:r>
      <w:r w:rsidR="00BA7B6A" w:rsidRPr="00C373ED">
        <w:rPr>
          <w:rFonts w:hint="cs"/>
          <w:rtl/>
        </w:rPr>
        <w:t xml:space="preserve">الحظر وما يتصل </w:t>
      </w:r>
      <w:proofErr w:type="spellStart"/>
      <w:r w:rsidR="00BA7B6A" w:rsidRPr="00C373ED">
        <w:rPr>
          <w:rFonts w:hint="cs"/>
          <w:rtl/>
        </w:rPr>
        <w:t>به</w:t>
      </w:r>
      <w:proofErr w:type="spellEnd"/>
      <w:r w:rsidR="00BA7B6A" w:rsidRPr="00C373ED">
        <w:rPr>
          <w:rFonts w:hint="cs"/>
          <w:rtl/>
        </w:rPr>
        <w:t xml:space="preserve"> من مسائل</w:t>
      </w:r>
    </w:p>
    <w:p w:rsidR="00BA7B6A" w:rsidRDefault="00AB081B" w:rsidP="00AB081B">
      <w:pPr>
        <w:pStyle w:val="H1GA"/>
        <w:rPr>
          <w:rFonts w:hint="cs"/>
          <w:rtl/>
        </w:rPr>
      </w:pPr>
      <w:r>
        <w:rPr>
          <w:rFonts w:hint="cs"/>
          <w:rtl/>
        </w:rPr>
        <w:tab/>
      </w:r>
      <w:r>
        <w:rPr>
          <w:rFonts w:hint="cs"/>
          <w:rtl/>
        </w:rPr>
        <w:tab/>
      </w:r>
      <w:r w:rsidR="00BA7B6A">
        <w:rPr>
          <w:rFonts w:hint="cs"/>
          <w:rtl/>
        </w:rPr>
        <w:t>التشريعات والأنظمة الجنائية السارية</w:t>
      </w:r>
    </w:p>
    <w:p w:rsidR="00BA7B6A" w:rsidRPr="00617A9B" w:rsidRDefault="00BA7B6A" w:rsidP="00BA7B6A">
      <w:pPr>
        <w:pStyle w:val="SingleTxtGA"/>
        <w:rPr>
          <w:rFonts w:hint="cs"/>
          <w:spacing w:val="2"/>
          <w:rtl/>
        </w:rPr>
      </w:pPr>
      <w:r>
        <w:rPr>
          <w:rFonts w:hint="cs"/>
          <w:spacing w:val="2"/>
          <w:rtl/>
        </w:rPr>
        <w:t>14</w:t>
      </w:r>
      <w:r w:rsidRPr="00617A9B">
        <w:rPr>
          <w:rFonts w:hint="cs"/>
          <w:spacing w:val="2"/>
          <w:rtl/>
        </w:rPr>
        <w:t>-</w:t>
      </w:r>
      <w:r w:rsidRPr="00617A9B">
        <w:rPr>
          <w:rFonts w:hint="cs"/>
          <w:spacing w:val="2"/>
          <w:rtl/>
        </w:rPr>
        <w:tab/>
      </w:r>
      <w:r>
        <w:rPr>
          <w:rFonts w:hint="cs"/>
          <w:spacing w:val="2"/>
          <w:rtl/>
        </w:rPr>
        <w:t>تلاحظ اللجنة أن المادة 1</w:t>
      </w:r>
      <w:r w:rsidR="00AB081B">
        <w:rPr>
          <w:rFonts w:hint="cs"/>
          <w:spacing w:val="2"/>
          <w:rtl/>
        </w:rPr>
        <w:t>42</w:t>
      </w:r>
      <w:r>
        <w:rPr>
          <w:rFonts w:hint="cs"/>
          <w:spacing w:val="2"/>
          <w:rtl/>
        </w:rPr>
        <w:t xml:space="preserve">(2) من قانون العقوبات تُنفّذ جزئياً أحكام البروتوكول الاختياري، </w:t>
      </w:r>
      <w:proofErr w:type="spellStart"/>
      <w:r>
        <w:rPr>
          <w:rFonts w:hint="cs"/>
          <w:spacing w:val="2"/>
          <w:rtl/>
        </w:rPr>
        <w:t>وتنص</w:t>
      </w:r>
      <w:proofErr w:type="spellEnd"/>
      <w:r>
        <w:rPr>
          <w:rFonts w:hint="cs"/>
          <w:spacing w:val="2"/>
          <w:rtl/>
        </w:rPr>
        <w:t xml:space="preserve"> على حظر تجنيد الأطفال في القوات المسلحة. ومع ذلك، تشعر اللجنة بالقلق إزاء عدم الحظر القانوني الصريح لهذا النوع من التجنيد ولإشراك الأطفال في الأعمال القتالية.</w:t>
      </w:r>
      <w:r w:rsidR="002C1D68">
        <w:rPr>
          <w:rFonts w:hint="cs"/>
          <w:spacing w:val="2"/>
          <w:rtl/>
        </w:rPr>
        <w:t xml:space="preserve"> </w:t>
      </w:r>
      <w:r>
        <w:rPr>
          <w:rFonts w:hint="cs"/>
          <w:spacing w:val="2"/>
          <w:rtl/>
        </w:rPr>
        <w:t xml:space="preserve"> </w:t>
      </w:r>
    </w:p>
    <w:p w:rsidR="00BA7B6A" w:rsidRDefault="00BA7B6A" w:rsidP="00BA7B6A">
      <w:pPr>
        <w:pStyle w:val="SingleTxtGA"/>
        <w:rPr>
          <w:rFonts w:hint="cs"/>
          <w:b/>
          <w:bCs/>
          <w:rtl/>
        </w:rPr>
      </w:pPr>
      <w:r w:rsidRPr="00AB081B">
        <w:rPr>
          <w:rFonts w:hint="cs"/>
          <w:rtl/>
        </w:rPr>
        <w:t>15-</w:t>
      </w:r>
      <w:r w:rsidRPr="0014559A">
        <w:rPr>
          <w:rFonts w:hint="cs"/>
          <w:b/>
          <w:bCs/>
          <w:rtl/>
        </w:rPr>
        <w:tab/>
        <w:t xml:space="preserve">توصي اللجنة الدولة الطرف </w:t>
      </w:r>
      <w:r>
        <w:rPr>
          <w:rFonts w:hint="cs"/>
          <w:b/>
          <w:bCs/>
          <w:rtl/>
        </w:rPr>
        <w:t>بإدراج حكم في</w:t>
      </w:r>
      <w:r w:rsidRPr="0014559A">
        <w:rPr>
          <w:b/>
          <w:bCs/>
          <w:rtl/>
        </w:rPr>
        <w:t xml:space="preserve"> قانون العقوبات يُجرِّم صراحة انتهاكات أحكام البروتوكول الاختياري المتعلقة بتجنيد الأطفال وإشراكهم في الأعمال القتالية، وتضمينه تعريفاً للمشار</w:t>
      </w:r>
      <w:r>
        <w:rPr>
          <w:b/>
          <w:bCs/>
          <w:rtl/>
        </w:rPr>
        <w:t>كة المباشرة في الأعمال القتالية</w:t>
      </w:r>
      <w:r>
        <w:rPr>
          <w:rFonts w:hint="cs"/>
          <w:b/>
          <w:bCs/>
          <w:rtl/>
        </w:rPr>
        <w:t>.</w:t>
      </w:r>
    </w:p>
    <w:p w:rsidR="00BA7B6A" w:rsidRDefault="00AB081B" w:rsidP="00BD5F00">
      <w:pPr>
        <w:pStyle w:val="HChGA"/>
        <w:rPr>
          <w:rFonts w:hint="cs"/>
          <w:rtl/>
        </w:rPr>
      </w:pPr>
      <w:r>
        <w:rPr>
          <w:rFonts w:hint="cs"/>
          <w:rtl/>
        </w:rPr>
        <w:tab/>
        <w:t>رابعاً -</w:t>
      </w:r>
      <w:r>
        <w:rPr>
          <w:rFonts w:hint="cs"/>
          <w:rtl/>
        </w:rPr>
        <w:tab/>
      </w:r>
      <w:r w:rsidR="00BA7B6A">
        <w:rPr>
          <w:rFonts w:hint="cs"/>
          <w:rtl/>
        </w:rPr>
        <w:t>الحماية والتعافي وإعادة الإدماج</w:t>
      </w:r>
    </w:p>
    <w:p w:rsidR="00BA7B6A" w:rsidRDefault="00AB081B" w:rsidP="00AB081B">
      <w:pPr>
        <w:pStyle w:val="H1GA"/>
        <w:rPr>
          <w:rFonts w:hint="cs"/>
          <w:rtl/>
        </w:rPr>
      </w:pPr>
      <w:r>
        <w:rPr>
          <w:rFonts w:hint="cs"/>
          <w:rtl/>
        </w:rPr>
        <w:tab/>
      </w:r>
      <w:r>
        <w:rPr>
          <w:rFonts w:hint="cs"/>
          <w:rtl/>
        </w:rPr>
        <w:tab/>
      </w:r>
      <w:r w:rsidR="00BA7B6A">
        <w:rPr>
          <w:rFonts w:hint="cs"/>
          <w:rtl/>
        </w:rPr>
        <w:t>المساعدة من أجل التعافي البدني والنفسي</w:t>
      </w:r>
    </w:p>
    <w:p w:rsidR="00BA7B6A" w:rsidRDefault="00BA7B6A" w:rsidP="00BA7B6A">
      <w:pPr>
        <w:pStyle w:val="SingleTxtGA"/>
        <w:rPr>
          <w:rFonts w:hint="cs"/>
          <w:rtl/>
          <w:lang w:bidi="ar"/>
        </w:rPr>
      </w:pPr>
      <w:r>
        <w:rPr>
          <w:rFonts w:hint="cs"/>
          <w:rtl/>
        </w:rPr>
        <w:t>16-</w:t>
      </w:r>
      <w:r>
        <w:rPr>
          <w:rFonts w:hint="cs"/>
          <w:rtl/>
        </w:rPr>
        <w:tab/>
        <w:t xml:space="preserve">تعرب اللجنة عن أسفها لقلة المعلومات المتعلقة بتدابير تحديد الأطفال الذين </w:t>
      </w:r>
      <w:r>
        <w:rPr>
          <w:rFonts w:hint="cs"/>
          <w:rtl/>
          <w:lang w:bidi="ar"/>
        </w:rPr>
        <w:t>ربما أُشركوا في نزاعات مسلحة في الخارج.</w:t>
      </w:r>
    </w:p>
    <w:p w:rsidR="00BA7B6A" w:rsidRPr="009E48D1" w:rsidRDefault="00BA7B6A" w:rsidP="00BA7B6A">
      <w:pPr>
        <w:pStyle w:val="SingleTxtGA"/>
        <w:rPr>
          <w:rFonts w:hint="cs"/>
          <w:rtl/>
        </w:rPr>
      </w:pPr>
      <w:r w:rsidRPr="00AB081B">
        <w:rPr>
          <w:rFonts w:hint="cs"/>
          <w:rtl/>
          <w:lang w:bidi="ar"/>
        </w:rPr>
        <w:t>17-</w:t>
      </w:r>
      <w:r w:rsidRPr="00AB081B">
        <w:rPr>
          <w:rFonts w:hint="cs"/>
          <w:rtl/>
          <w:lang w:bidi="ar"/>
        </w:rPr>
        <w:tab/>
      </w:r>
      <w:r>
        <w:rPr>
          <w:rFonts w:hint="cs"/>
          <w:b/>
          <w:bCs/>
          <w:rtl/>
          <w:lang w:bidi="ar"/>
        </w:rPr>
        <w:t>توصي اللجنة الدولة الطرف بإنشاء آلية لتحديد الأطفال، بما في ذلك الأطفال ملتمسو اللجوء والأطفال اللاجئون، الذين ربما أُشركوا في نزاعات مسلحة في الخارج. كما توصي اللجنة الدولة الطرف باتخاذ تدابير لتقديم المساعدة اللازمة لهؤلاء الأطفال من أجل تعافيهم البدني والنفسي وإعادة إدماجهم في المجتمع</w:t>
      </w:r>
      <w:r>
        <w:rPr>
          <w:rFonts w:hint="cs"/>
          <w:rtl/>
        </w:rPr>
        <w:t>.</w:t>
      </w:r>
      <w:r w:rsidR="002C1D68">
        <w:rPr>
          <w:rFonts w:hint="cs"/>
          <w:rtl/>
        </w:rPr>
        <w:t xml:space="preserve"> </w:t>
      </w:r>
      <w:r>
        <w:rPr>
          <w:rFonts w:hint="cs"/>
          <w:rtl/>
        </w:rPr>
        <w:t xml:space="preserve"> </w:t>
      </w:r>
    </w:p>
    <w:p w:rsidR="00BA7B6A" w:rsidRPr="00AB081B" w:rsidRDefault="00BD5F00" w:rsidP="00BD5F00">
      <w:pPr>
        <w:pStyle w:val="HChGA"/>
        <w:rPr>
          <w:rFonts w:hint="cs"/>
          <w:rtl/>
        </w:rPr>
      </w:pPr>
      <w:r>
        <w:rPr>
          <w:rFonts w:hint="cs"/>
          <w:rtl/>
        </w:rPr>
        <w:tab/>
      </w:r>
      <w:r w:rsidR="00AB081B">
        <w:rPr>
          <w:rFonts w:hint="cs"/>
          <w:rtl/>
        </w:rPr>
        <w:t xml:space="preserve">خامساً </w:t>
      </w:r>
      <w:r w:rsidR="00BA7B6A" w:rsidRPr="00AB081B">
        <w:rPr>
          <w:rFonts w:hint="cs"/>
          <w:rtl/>
        </w:rPr>
        <w:t>-</w:t>
      </w:r>
      <w:r>
        <w:rPr>
          <w:rFonts w:hint="cs"/>
          <w:rtl/>
        </w:rPr>
        <w:tab/>
      </w:r>
      <w:r w:rsidR="00BA7B6A" w:rsidRPr="00AB081B">
        <w:rPr>
          <w:rFonts w:hint="cs"/>
          <w:rtl/>
        </w:rPr>
        <w:t>المساعدة والتعاون الدوليان</w:t>
      </w:r>
    </w:p>
    <w:p w:rsidR="00BA7B6A" w:rsidRDefault="00AB081B" w:rsidP="00AB081B">
      <w:pPr>
        <w:pStyle w:val="H1GA"/>
        <w:rPr>
          <w:rFonts w:hint="cs"/>
          <w:rtl/>
        </w:rPr>
      </w:pPr>
      <w:r>
        <w:rPr>
          <w:rFonts w:hint="cs"/>
          <w:rtl/>
        </w:rPr>
        <w:tab/>
      </w:r>
      <w:r>
        <w:rPr>
          <w:rFonts w:hint="cs"/>
          <w:rtl/>
        </w:rPr>
        <w:tab/>
      </w:r>
      <w:r w:rsidR="00BA7B6A">
        <w:rPr>
          <w:rFonts w:hint="cs"/>
          <w:rtl/>
        </w:rPr>
        <w:t>التعاون الدولي</w:t>
      </w:r>
    </w:p>
    <w:p w:rsidR="00BA7B6A" w:rsidRDefault="00BA7B6A" w:rsidP="00BA7B6A">
      <w:pPr>
        <w:pStyle w:val="SingleTxtGA"/>
        <w:rPr>
          <w:rFonts w:hint="cs"/>
          <w:b/>
          <w:bCs/>
          <w:rtl/>
        </w:rPr>
      </w:pPr>
      <w:r>
        <w:rPr>
          <w:rFonts w:hint="cs"/>
          <w:rtl/>
        </w:rPr>
        <w:t>18-</w:t>
      </w:r>
      <w:r>
        <w:rPr>
          <w:rFonts w:hint="cs"/>
          <w:rtl/>
        </w:rPr>
        <w:tab/>
        <w:t xml:space="preserve">تلاحظ اللجنة بتقدير مشاركة الدولة الطرف بفعالية في عمليات الأمم </w:t>
      </w:r>
      <w:r w:rsidRPr="00885AC6">
        <w:rPr>
          <w:rFonts w:hint="cs"/>
          <w:rtl/>
        </w:rPr>
        <w:t>المتحدة لحفظ السلام.</w:t>
      </w:r>
    </w:p>
    <w:p w:rsidR="00BA7B6A" w:rsidRDefault="00BA7B6A" w:rsidP="00BA7B6A">
      <w:pPr>
        <w:pStyle w:val="SingleTxtGA"/>
        <w:rPr>
          <w:rFonts w:hint="cs"/>
          <w:b/>
          <w:bCs/>
          <w:rtl/>
        </w:rPr>
      </w:pPr>
      <w:r w:rsidRPr="00AB081B">
        <w:rPr>
          <w:rFonts w:hint="cs"/>
          <w:rtl/>
        </w:rPr>
        <w:t>19-</w:t>
      </w:r>
      <w:r>
        <w:rPr>
          <w:rFonts w:hint="cs"/>
          <w:b/>
          <w:bCs/>
          <w:rtl/>
        </w:rPr>
        <w:tab/>
        <w:t xml:space="preserve">تشجع اللجنة الدولة الطرف على أن </w:t>
      </w:r>
      <w:r w:rsidRPr="00482957">
        <w:rPr>
          <w:b/>
          <w:bCs/>
          <w:rtl/>
        </w:rPr>
        <w:t xml:space="preserve">تكفل </w:t>
      </w:r>
      <w:r>
        <w:rPr>
          <w:rFonts w:hint="cs"/>
          <w:b/>
          <w:bCs/>
          <w:rtl/>
        </w:rPr>
        <w:t xml:space="preserve">باستمرار </w:t>
      </w:r>
      <w:r w:rsidRPr="00482957">
        <w:rPr>
          <w:b/>
          <w:bCs/>
          <w:rtl/>
        </w:rPr>
        <w:t>أن يكون موظفوها على علم تام بحقوق الأطفال الذي</w:t>
      </w:r>
      <w:r>
        <w:rPr>
          <w:b/>
          <w:bCs/>
          <w:rtl/>
        </w:rPr>
        <w:t>ن يجري إشراكهم في نـزاعات مسلحة</w:t>
      </w:r>
      <w:r>
        <w:rPr>
          <w:rFonts w:hint="cs"/>
          <w:b/>
          <w:bCs/>
          <w:rtl/>
        </w:rPr>
        <w:t>،</w:t>
      </w:r>
      <w:r w:rsidRPr="00482957">
        <w:rPr>
          <w:b/>
          <w:bCs/>
          <w:rtl/>
        </w:rPr>
        <w:t xml:space="preserve"> وأن تكون وحداتها العسكرية على علم بمسؤوليتها وبخضوعها للمساءلة</w:t>
      </w:r>
      <w:r>
        <w:rPr>
          <w:rFonts w:hint="cs"/>
          <w:b/>
          <w:bCs/>
          <w:rtl/>
        </w:rPr>
        <w:t>.</w:t>
      </w:r>
    </w:p>
    <w:p w:rsidR="00BA7B6A" w:rsidRPr="00AB081B" w:rsidRDefault="00AB081B" w:rsidP="00BD5F00">
      <w:pPr>
        <w:pStyle w:val="HChGA"/>
        <w:rPr>
          <w:rFonts w:hint="cs"/>
          <w:rtl/>
        </w:rPr>
      </w:pPr>
      <w:r>
        <w:rPr>
          <w:rFonts w:hint="cs"/>
          <w:rtl/>
        </w:rPr>
        <w:tab/>
      </w:r>
      <w:r w:rsidR="00BA7B6A" w:rsidRPr="00AB081B">
        <w:rPr>
          <w:rFonts w:hint="cs"/>
          <w:rtl/>
        </w:rPr>
        <w:t>سادساً -</w:t>
      </w:r>
      <w:r>
        <w:rPr>
          <w:rFonts w:hint="cs"/>
          <w:rtl/>
        </w:rPr>
        <w:tab/>
      </w:r>
      <w:r w:rsidR="00BA7B6A" w:rsidRPr="00AB081B">
        <w:rPr>
          <w:rFonts w:hint="cs"/>
          <w:rtl/>
        </w:rPr>
        <w:t>المتابعة والنشر</w:t>
      </w:r>
    </w:p>
    <w:p w:rsidR="00BA7B6A" w:rsidRPr="00D67F1A" w:rsidRDefault="00BA7B6A" w:rsidP="00BA7B6A">
      <w:pPr>
        <w:pStyle w:val="SingleTxtGA"/>
        <w:rPr>
          <w:rFonts w:hint="cs"/>
          <w:b/>
          <w:bCs/>
          <w:rtl/>
        </w:rPr>
      </w:pPr>
      <w:r w:rsidRPr="00AB081B">
        <w:rPr>
          <w:rFonts w:hint="cs"/>
          <w:rtl/>
        </w:rPr>
        <w:t>20-</w:t>
      </w:r>
      <w:r w:rsidRPr="00AB081B">
        <w:rPr>
          <w:rFonts w:hint="cs"/>
          <w:rtl/>
        </w:rPr>
        <w:tab/>
      </w:r>
      <w:r w:rsidRPr="00D67F1A">
        <w:rPr>
          <w:rFonts w:hint="cs"/>
          <w:b/>
          <w:bCs/>
          <w:rtl/>
        </w:rPr>
        <w:t>توصي اللجنة الدولة الطرف بأن تتخذ جميع التدابير لضمان التنفيذ الكامل لهذه التوصيات بوسائل منها إحالتها إلى الوزارات ذات الصلة، والبرلمان وجميع السلطات المختصة الأخرى على الصعيدين الوطني والمحلي كي تنظر فيها على النحو المناسب وتتخذ المزيد من الإجراءات بشأنها.</w:t>
      </w:r>
    </w:p>
    <w:p w:rsidR="00BA7B6A" w:rsidRPr="00D67F1A" w:rsidRDefault="00BA7B6A" w:rsidP="00BA7B6A">
      <w:pPr>
        <w:pStyle w:val="SingleTxtGA"/>
        <w:rPr>
          <w:rFonts w:hint="cs"/>
          <w:b/>
          <w:bCs/>
          <w:rtl/>
        </w:rPr>
      </w:pPr>
      <w:r w:rsidRPr="00AB081B">
        <w:rPr>
          <w:rFonts w:hint="cs"/>
          <w:rtl/>
        </w:rPr>
        <w:t>21-</w:t>
      </w:r>
      <w:r w:rsidRPr="00AB081B">
        <w:rPr>
          <w:rFonts w:hint="cs"/>
          <w:rtl/>
        </w:rPr>
        <w:tab/>
      </w:r>
      <w:r w:rsidRPr="00D67F1A">
        <w:rPr>
          <w:rFonts w:hint="cs"/>
          <w:b/>
          <w:bCs/>
          <w:rtl/>
        </w:rPr>
        <w:t xml:space="preserve">وتوصي اللجنة بأن يتاح للجمهور عموماً وعلى نطاق واسع التقرير الأولي </w:t>
      </w:r>
      <w:r>
        <w:rPr>
          <w:rFonts w:hint="cs"/>
          <w:b/>
          <w:bCs/>
          <w:rtl/>
        </w:rPr>
        <w:t>والإجابات الخطية ل</w:t>
      </w:r>
      <w:r w:rsidRPr="00D67F1A">
        <w:rPr>
          <w:rFonts w:hint="cs"/>
          <w:b/>
          <w:bCs/>
          <w:rtl/>
        </w:rPr>
        <w:t xml:space="preserve">لدولة الطرف والملاحظات الختامية </w:t>
      </w:r>
      <w:r>
        <w:rPr>
          <w:rFonts w:hint="cs"/>
          <w:b/>
          <w:bCs/>
          <w:rtl/>
        </w:rPr>
        <w:t xml:space="preserve">ذات الصلة </w:t>
      </w:r>
      <w:r w:rsidRPr="00D67F1A">
        <w:rPr>
          <w:rFonts w:hint="cs"/>
          <w:b/>
          <w:bCs/>
          <w:rtl/>
        </w:rPr>
        <w:t>التي اعتمدتها اللجنة</w:t>
      </w:r>
      <w:r>
        <w:rPr>
          <w:rFonts w:hint="cs"/>
          <w:b/>
          <w:bCs/>
          <w:rtl/>
        </w:rPr>
        <w:t>،</w:t>
      </w:r>
      <w:r w:rsidRPr="00D67F1A">
        <w:rPr>
          <w:rFonts w:hint="cs"/>
          <w:b/>
          <w:bCs/>
          <w:rtl/>
        </w:rPr>
        <w:t xml:space="preserve"> وذلك من أجل إثارة النقاش وزيادة الوعي فيما يتعلق بالبروتوكول الاختياري </w:t>
      </w:r>
      <w:r w:rsidR="009935FC">
        <w:rPr>
          <w:b/>
          <w:bCs/>
          <w:rtl/>
        </w:rPr>
        <w:br/>
      </w:r>
      <w:r w:rsidRPr="00D67F1A">
        <w:rPr>
          <w:rFonts w:hint="cs"/>
          <w:b/>
          <w:bCs/>
          <w:rtl/>
        </w:rPr>
        <w:t>وتنفيذه ورصده.</w:t>
      </w:r>
    </w:p>
    <w:p w:rsidR="00BA7B6A" w:rsidRPr="00AB081B" w:rsidRDefault="00AB081B" w:rsidP="00BD5F00">
      <w:pPr>
        <w:pStyle w:val="HChGA"/>
        <w:rPr>
          <w:rFonts w:hint="cs"/>
          <w:rtl/>
        </w:rPr>
      </w:pPr>
      <w:r>
        <w:rPr>
          <w:rFonts w:hint="cs"/>
          <w:rtl/>
        </w:rPr>
        <w:tab/>
        <w:t xml:space="preserve">سابعاً </w:t>
      </w:r>
      <w:r w:rsidR="00BA7B6A" w:rsidRPr="00AB081B">
        <w:rPr>
          <w:rFonts w:hint="cs"/>
          <w:rtl/>
        </w:rPr>
        <w:t>-</w:t>
      </w:r>
      <w:r>
        <w:rPr>
          <w:rFonts w:hint="cs"/>
          <w:rtl/>
        </w:rPr>
        <w:tab/>
      </w:r>
      <w:r w:rsidR="00BA7B6A" w:rsidRPr="00AB081B">
        <w:rPr>
          <w:rFonts w:hint="cs"/>
          <w:rtl/>
        </w:rPr>
        <w:t>التقرير التالي</w:t>
      </w:r>
    </w:p>
    <w:p w:rsidR="00BA7B6A" w:rsidRDefault="00BA7B6A" w:rsidP="00BA7B6A">
      <w:pPr>
        <w:pStyle w:val="SingleTxtGA"/>
        <w:rPr>
          <w:rFonts w:hint="cs"/>
          <w:b/>
          <w:bCs/>
          <w:rtl/>
        </w:rPr>
      </w:pPr>
      <w:r w:rsidRPr="00AB081B">
        <w:rPr>
          <w:rFonts w:hint="cs"/>
          <w:rtl/>
        </w:rPr>
        <w:t>18-</w:t>
      </w:r>
      <w:r w:rsidRPr="00485B9F">
        <w:rPr>
          <w:rFonts w:hint="cs"/>
          <w:b/>
          <w:bCs/>
          <w:rtl/>
        </w:rPr>
        <w:tab/>
        <w:t>تطلب اللجنة، وفقاً للفقرة 2 من المادة 8 من الاتفاقية، أن تقدِّم الدولة الطرف المزيد من المعلومات عن</w:t>
      </w:r>
      <w:r w:rsidRPr="00CC587F">
        <w:rPr>
          <w:rFonts w:hint="cs"/>
          <w:b/>
          <w:bCs/>
          <w:rtl/>
        </w:rPr>
        <w:t xml:space="preserve"> تنفيذ البروتوكول الاختياري في تقريرها الدوري التالي بموجب اتفاقية حقوق الطفل، طبقاً للمادة 44 من الاتفاقية.</w:t>
      </w:r>
    </w:p>
    <w:p w:rsidR="00AB081B" w:rsidRPr="009935FC" w:rsidRDefault="009935FC" w:rsidP="009935FC">
      <w:pPr>
        <w:spacing w:before="120"/>
        <w:jc w:val="center"/>
        <w:rPr>
          <w:rFonts w:hint="cs"/>
          <w:u w:val="single"/>
          <w:rtl/>
        </w:rPr>
      </w:pPr>
      <w:r>
        <w:rPr>
          <w:u w:val="single"/>
          <w:rtl/>
        </w:rPr>
        <w:tab/>
      </w:r>
      <w:r>
        <w:rPr>
          <w:u w:val="single"/>
          <w:rtl/>
        </w:rPr>
        <w:tab/>
      </w:r>
      <w:r>
        <w:rPr>
          <w:u w:val="single"/>
          <w:rtl/>
        </w:rPr>
        <w:tab/>
      </w:r>
    </w:p>
    <w:sectPr w:rsidR="00AB081B" w:rsidRPr="009935FC" w:rsidSect="005643D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A2" w:rsidRPr="00FE6865" w:rsidRDefault="00F66EA2" w:rsidP="00FE6865">
      <w:pPr>
        <w:pStyle w:val="Footer"/>
      </w:pPr>
    </w:p>
  </w:endnote>
  <w:endnote w:type="continuationSeparator" w:id="0">
    <w:p w:rsidR="00F66EA2" w:rsidRDefault="00F6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2" w:rsidRPr="005643D8" w:rsidRDefault="00F66EA2" w:rsidP="005643D8">
    <w:pPr>
      <w:pStyle w:val="Footer"/>
      <w:tabs>
        <w:tab w:val="right" w:pos="9598"/>
      </w:tabs>
    </w:pPr>
    <w:r>
      <w:t>GE.09-45648</w:t>
    </w:r>
    <w:r>
      <w:tab/>
    </w:r>
    <w:r w:rsidRPr="005643D8">
      <w:rPr>
        <w:b/>
        <w:sz w:val="18"/>
      </w:rPr>
      <w:fldChar w:fldCharType="begin"/>
    </w:r>
    <w:r w:rsidRPr="005643D8">
      <w:rPr>
        <w:b/>
        <w:sz w:val="18"/>
      </w:rPr>
      <w:instrText xml:space="preserve"> PAGE  \* MERGEFORMAT </w:instrText>
    </w:r>
    <w:r w:rsidRPr="005643D8">
      <w:rPr>
        <w:b/>
        <w:sz w:val="18"/>
      </w:rPr>
      <w:fldChar w:fldCharType="separate"/>
    </w:r>
    <w:r>
      <w:rPr>
        <w:b/>
        <w:noProof/>
        <w:sz w:val="18"/>
      </w:rPr>
      <w:t>4</w:t>
    </w:r>
    <w:r w:rsidRPr="005643D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2" w:rsidRPr="005643D8" w:rsidRDefault="00F66EA2" w:rsidP="005643D8">
    <w:pPr>
      <w:pStyle w:val="Footer"/>
      <w:tabs>
        <w:tab w:val="right" w:pos="9598"/>
      </w:tabs>
      <w:rPr>
        <w:b/>
        <w:sz w:val="18"/>
      </w:rPr>
    </w:pPr>
    <w:r w:rsidRPr="005643D8">
      <w:rPr>
        <w:b/>
        <w:sz w:val="18"/>
      </w:rPr>
      <w:fldChar w:fldCharType="begin"/>
    </w:r>
    <w:r w:rsidRPr="005643D8">
      <w:rPr>
        <w:b/>
        <w:sz w:val="18"/>
      </w:rPr>
      <w:instrText xml:space="preserve"> PAGE  \* MERGEFORMAT </w:instrText>
    </w:r>
    <w:r w:rsidRPr="005643D8">
      <w:rPr>
        <w:b/>
        <w:sz w:val="18"/>
      </w:rPr>
      <w:fldChar w:fldCharType="separate"/>
    </w:r>
    <w:r>
      <w:rPr>
        <w:b/>
        <w:noProof/>
        <w:sz w:val="18"/>
      </w:rPr>
      <w:t>5</w:t>
    </w:r>
    <w:r w:rsidRPr="005643D8">
      <w:rPr>
        <w:b/>
        <w:sz w:val="18"/>
      </w:rPr>
      <w:fldChar w:fldCharType="end"/>
    </w:r>
    <w:r>
      <w:rPr>
        <w:b/>
        <w:sz w:val="18"/>
      </w:rPr>
      <w:tab/>
    </w:r>
    <w:r>
      <w:t>GE.09-45648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2" w:rsidRDefault="00F66EA2" w:rsidP="005643D8">
    <w:pPr>
      <w:pStyle w:val="Footer"/>
      <w:jc w:val="right"/>
    </w:pPr>
    <w:r>
      <w:rPr>
        <w:sz w:val="20"/>
      </w:rPr>
      <w:t>(A)   GE.09-45648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111109    111109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A2" w:rsidRDefault="00F66EA2">
      <w:r>
        <w:separator/>
      </w:r>
    </w:p>
  </w:footnote>
  <w:footnote w:type="continuationSeparator" w:id="0">
    <w:p w:rsidR="00F66EA2" w:rsidRDefault="00F6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2" w:rsidRPr="005643D8" w:rsidRDefault="00F66EA2" w:rsidP="005643D8">
    <w:pPr>
      <w:pStyle w:val="Header"/>
      <w:jc w:val="right"/>
    </w:pPr>
    <w:r w:rsidRPr="005643D8">
      <w:t>CRC/C/OPAC/POL/CO/1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2" w:rsidRPr="005643D8" w:rsidRDefault="00F66EA2" w:rsidP="005643D8">
    <w:pPr>
      <w:pStyle w:val="Header"/>
      <w:jc w:val="left"/>
    </w:pPr>
    <w:r w:rsidRPr="005643D8">
      <w:t>CRC/C/OPAC/POL/CO/1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483"/>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84F8B"/>
    <w:rsid w:val="0029692E"/>
    <w:rsid w:val="002C1D68"/>
    <w:rsid w:val="00310160"/>
    <w:rsid w:val="00341A8C"/>
    <w:rsid w:val="003444E8"/>
    <w:rsid w:val="003519E6"/>
    <w:rsid w:val="003B4356"/>
    <w:rsid w:val="003F08A8"/>
    <w:rsid w:val="004250E3"/>
    <w:rsid w:val="0043538E"/>
    <w:rsid w:val="00472A81"/>
    <w:rsid w:val="004B2C92"/>
    <w:rsid w:val="004D6A3A"/>
    <w:rsid w:val="004F4AD7"/>
    <w:rsid w:val="00557CD3"/>
    <w:rsid w:val="005643D8"/>
    <w:rsid w:val="00571432"/>
    <w:rsid w:val="005732A2"/>
    <w:rsid w:val="005762A5"/>
    <w:rsid w:val="00590BA3"/>
    <w:rsid w:val="005B7AE0"/>
    <w:rsid w:val="005D746C"/>
    <w:rsid w:val="005F146F"/>
    <w:rsid w:val="005F2984"/>
    <w:rsid w:val="005F66DC"/>
    <w:rsid w:val="005F71B6"/>
    <w:rsid w:val="00602E49"/>
    <w:rsid w:val="006041C4"/>
    <w:rsid w:val="00660FD4"/>
    <w:rsid w:val="006A4425"/>
    <w:rsid w:val="006B4669"/>
    <w:rsid w:val="006D5797"/>
    <w:rsid w:val="006F6BF8"/>
    <w:rsid w:val="00707BDF"/>
    <w:rsid w:val="00710727"/>
    <w:rsid w:val="00715F45"/>
    <w:rsid w:val="00731B84"/>
    <w:rsid w:val="00734AE7"/>
    <w:rsid w:val="007E197F"/>
    <w:rsid w:val="007F68C4"/>
    <w:rsid w:val="008153DE"/>
    <w:rsid w:val="00852A10"/>
    <w:rsid w:val="00862634"/>
    <w:rsid w:val="00866C59"/>
    <w:rsid w:val="00877306"/>
    <w:rsid w:val="008A6242"/>
    <w:rsid w:val="008B4BC6"/>
    <w:rsid w:val="008D4483"/>
    <w:rsid w:val="00901E57"/>
    <w:rsid w:val="00935F0E"/>
    <w:rsid w:val="00936AE7"/>
    <w:rsid w:val="0095208F"/>
    <w:rsid w:val="00977B3F"/>
    <w:rsid w:val="009814AE"/>
    <w:rsid w:val="009874AE"/>
    <w:rsid w:val="009935FC"/>
    <w:rsid w:val="00996BBE"/>
    <w:rsid w:val="009D1DD5"/>
    <w:rsid w:val="00A11DDA"/>
    <w:rsid w:val="00A26157"/>
    <w:rsid w:val="00A265C3"/>
    <w:rsid w:val="00A43F9A"/>
    <w:rsid w:val="00A543D4"/>
    <w:rsid w:val="00A96A00"/>
    <w:rsid w:val="00AB081B"/>
    <w:rsid w:val="00AD0014"/>
    <w:rsid w:val="00AD4CF2"/>
    <w:rsid w:val="00AF0BBA"/>
    <w:rsid w:val="00B30468"/>
    <w:rsid w:val="00BA7B6A"/>
    <w:rsid w:val="00BB2C41"/>
    <w:rsid w:val="00BC55C8"/>
    <w:rsid w:val="00BC5C10"/>
    <w:rsid w:val="00BD5F00"/>
    <w:rsid w:val="00BE2964"/>
    <w:rsid w:val="00C24FBD"/>
    <w:rsid w:val="00C473BA"/>
    <w:rsid w:val="00C611ED"/>
    <w:rsid w:val="00C6490A"/>
    <w:rsid w:val="00C64FE1"/>
    <w:rsid w:val="00C8345E"/>
    <w:rsid w:val="00C97B9A"/>
    <w:rsid w:val="00CA18F1"/>
    <w:rsid w:val="00CA5F7C"/>
    <w:rsid w:val="00CF723D"/>
    <w:rsid w:val="00D51067"/>
    <w:rsid w:val="00D70E2F"/>
    <w:rsid w:val="00D75657"/>
    <w:rsid w:val="00D81CC9"/>
    <w:rsid w:val="00D960AD"/>
    <w:rsid w:val="00DA0E0E"/>
    <w:rsid w:val="00DB0C39"/>
    <w:rsid w:val="00DB352F"/>
    <w:rsid w:val="00DB3F87"/>
    <w:rsid w:val="00DB7679"/>
    <w:rsid w:val="00DE5F2D"/>
    <w:rsid w:val="00DF1702"/>
    <w:rsid w:val="00DF4DD8"/>
    <w:rsid w:val="00DF668E"/>
    <w:rsid w:val="00E14D2B"/>
    <w:rsid w:val="00E20DBA"/>
    <w:rsid w:val="00E21753"/>
    <w:rsid w:val="00E660D6"/>
    <w:rsid w:val="00E771AB"/>
    <w:rsid w:val="00EA796F"/>
    <w:rsid w:val="00EB077B"/>
    <w:rsid w:val="00EC50B9"/>
    <w:rsid w:val="00ED26A0"/>
    <w:rsid w:val="00F1727A"/>
    <w:rsid w:val="00F34764"/>
    <w:rsid w:val="00F54E3C"/>
    <w:rsid w:val="00F66EA2"/>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908</Words>
  <Characters>5177</Characters>
  <Application>Microsoft Office Word</Application>
  <DocSecurity>4</DocSecurity>
  <Lines>43</Lines>
  <Paragraphs>12</Paragraphs>
  <ScaleCrop>false</ScaleCrop>
  <HeadingPairs>
    <vt:vector size="2" baseType="variant">
      <vt:variant>
        <vt:lpstr>العنوان</vt:lpstr>
      </vt:variant>
      <vt:variant>
        <vt:i4>1</vt:i4>
      </vt:variant>
    </vt:vector>
  </HeadingPairs>
  <TitlesOfParts>
    <vt:vector size="1" baseType="lpstr">
      <vt:lpstr>CRC/C/OPAC/POL/CO/1</vt:lpstr>
    </vt:vector>
  </TitlesOfParts>
  <Company>CSD</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CRC/C/OPAC/POL/CO/1</dc:title>
  <dc:subject>SHAKOUR</dc:subject>
  <dc:creator>Buhnam</dc:creator>
  <cp:keywords/>
  <dc:description/>
  <cp:lastModifiedBy>Buhnam</cp:lastModifiedBy>
  <cp:revision>2</cp:revision>
  <cp:lastPrinted>2009-11-11T11:23:00Z</cp:lastPrinted>
  <dcterms:created xsi:type="dcterms:W3CDTF">2009-11-11T13:07:00Z</dcterms:created>
  <dcterms:modified xsi:type="dcterms:W3CDTF">2009-11-11T13:07:00Z</dcterms:modified>
</cp:coreProperties>
</file>