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BB5DC0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5D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B5DC0" w:rsidRDefault="00BB5DC0" w:rsidP="00BB5DC0">
            <w:pPr>
              <w:jc w:val="right"/>
              <w:rPr>
                <w:lang w:val="en-US"/>
              </w:rPr>
            </w:pPr>
            <w:r w:rsidRPr="00BB5DC0">
              <w:rPr>
                <w:sz w:val="40"/>
                <w:lang w:val="en-US"/>
              </w:rPr>
              <w:t>CRC</w:t>
            </w:r>
            <w:r w:rsidRPr="00BB5DC0">
              <w:rPr>
                <w:lang w:val="en-US"/>
              </w:rPr>
              <w:t>/C/OPAC/MWI/CO/1</w:t>
            </w:r>
          </w:p>
        </w:tc>
      </w:tr>
      <w:tr w:rsidR="002D5AAC" w:rsidRPr="00BB5DC0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EC9345" wp14:editId="42DA8B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5DC0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5DC0" w:rsidRDefault="00BB5DC0" w:rsidP="00BB5D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March 2017</w:t>
            </w:r>
          </w:p>
          <w:p w:rsidR="00BB5DC0" w:rsidRDefault="00BB5DC0" w:rsidP="00BB5D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5DC0" w:rsidRPr="00B937DF" w:rsidRDefault="00BB5DC0" w:rsidP="00BB5D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B5DC0" w:rsidRPr="00BB5DC0" w:rsidRDefault="00BB5DC0" w:rsidP="00BB5DC0">
      <w:pPr>
        <w:spacing w:before="120"/>
        <w:rPr>
          <w:b/>
          <w:sz w:val="24"/>
          <w:szCs w:val="24"/>
          <w:lang w:val="en-US"/>
        </w:rPr>
      </w:pPr>
      <w:r w:rsidRPr="00BB5DC0">
        <w:rPr>
          <w:b/>
          <w:sz w:val="24"/>
          <w:szCs w:val="24"/>
        </w:rPr>
        <w:t>Комитет по правам ребенка</w:t>
      </w:r>
    </w:p>
    <w:p w:rsidR="00BB5DC0" w:rsidRPr="00BB5DC0" w:rsidRDefault="00BB5DC0" w:rsidP="00BB5DC0">
      <w:pPr>
        <w:pStyle w:val="HChGR"/>
      </w:pPr>
      <w:r w:rsidRPr="00BB5DC0">
        <w:tab/>
      </w:r>
      <w:r w:rsidRPr="00BB5DC0">
        <w:tab/>
        <w:t>Заключительные замечания по докладу, представленному М</w:t>
      </w:r>
      <w:r w:rsidRPr="00BB5DC0">
        <w:t>а</w:t>
      </w:r>
      <w:r w:rsidRPr="00BB5DC0">
        <w:t xml:space="preserve">лави в соответствии с пунктом 1 статьи 8 Факультативного протокола к Конвенции </w:t>
      </w:r>
      <w:r w:rsidR="00DB58AF" w:rsidRPr="00DB58AF">
        <w:br/>
      </w:r>
      <w:r w:rsidRPr="00BB5DC0">
        <w:t xml:space="preserve">о правах ребенка, касающегося участия детей </w:t>
      </w:r>
      <w:r w:rsidR="00DB58AF" w:rsidRPr="00DB58AF">
        <w:br/>
      </w:r>
      <w:r w:rsidRPr="00BB5DC0">
        <w:t>в вооруженных конфликтах</w:t>
      </w:r>
      <w:r w:rsidRPr="00DB58AF">
        <w:rPr>
          <w:b w:val="0"/>
          <w:sz w:val="20"/>
        </w:rPr>
        <w:footnoteReference w:customMarkFollows="1" w:id="1"/>
        <w:t>*</w:t>
      </w:r>
    </w:p>
    <w:p w:rsidR="00BB5DC0" w:rsidRPr="00BB5DC0" w:rsidRDefault="00BB5DC0" w:rsidP="00BB5DC0">
      <w:pPr>
        <w:pStyle w:val="SingleTxtGR"/>
      </w:pPr>
      <w:r w:rsidRPr="00BB5DC0">
        <w:t>1.</w:t>
      </w:r>
      <w:r w:rsidRPr="00BB5DC0">
        <w:tab/>
        <w:t>Комитет рассмотрел доклад Малави (CRC/C/OPAC/MWI/1) на своих 2185-м и 2186-м заседаниях (см. CRC/C/SR.2185 и 2186), состоявшихся 30 и 31</w:t>
      </w:r>
      <w:r w:rsidR="00DB58AF">
        <w:rPr>
          <w:lang w:val="en-US"/>
        </w:rPr>
        <w:t> </w:t>
      </w:r>
      <w:r w:rsidRPr="00BB5DC0">
        <w:t>января 2017 года, и утвердил настоящие заключительные замечания на св</w:t>
      </w:r>
      <w:r w:rsidRPr="00BB5DC0">
        <w:t>о</w:t>
      </w:r>
      <w:r w:rsidRPr="00BB5DC0">
        <w:t>ем 2193-м заседании (см. CRC/C/SR.2193), состоявшемся 3 февраля 2017 года.</w:t>
      </w:r>
    </w:p>
    <w:p w:rsidR="00BB5DC0" w:rsidRPr="00BB5DC0" w:rsidRDefault="00BB5DC0" w:rsidP="00BB5DC0">
      <w:pPr>
        <w:pStyle w:val="HChGR"/>
      </w:pPr>
      <w:r>
        <w:rPr>
          <w:lang w:val="en-US"/>
        </w:rPr>
        <w:tab/>
      </w:r>
      <w:r w:rsidRPr="00BB5DC0">
        <w:t>I.</w:t>
      </w:r>
      <w:r w:rsidRPr="00BB5DC0">
        <w:tab/>
        <w:t>Введение</w:t>
      </w:r>
    </w:p>
    <w:p w:rsidR="00BB5DC0" w:rsidRPr="00BB5DC0" w:rsidRDefault="00BB5DC0" w:rsidP="00BB5DC0">
      <w:pPr>
        <w:pStyle w:val="SingleTxtGR"/>
      </w:pPr>
      <w:r w:rsidRPr="00BB5DC0">
        <w:t>2.</w:t>
      </w:r>
      <w:r w:rsidRPr="00BB5DC0">
        <w:tab/>
        <w:t>Комитет приветствует представление доклада государства-участника и принимает к сведению письменные ответы на перечень вопросов (CRC/C/OPAC/MWI/Q/1/Add.1), которые были получены в день проведения диалога. Комитет выражает признательность за конструктивный диалог, сост</w:t>
      </w:r>
      <w:r w:rsidRPr="00BB5DC0">
        <w:t>о</w:t>
      </w:r>
      <w:r w:rsidRPr="00BB5DC0">
        <w:t>явшийся с высокопоставленной и многопрофильной делегацией государства-участника.</w:t>
      </w:r>
    </w:p>
    <w:p w:rsidR="00BB5DC0" w:rsidRPr="00BB5DC0" w:rsidRDefault="00BB5DC0" w:rsidP="00BB5DC0">
      <w:pPr>
        <w:pStyle w:val="SingleTxtGR"/>
      </w:pPr>
      <w:r w:rsidRPr="00BB5DC0">
        <w:t>3.</w:t>
      </w:r>
      <w:r w:rsidRPr="00BB5DC0">
        <w:tab/>
      </w:r>
      <w:proofErr w:type="gramStart"/>
      <w:r w:rsidRPr="00BB5DC0">
        <w:t>Комитет напоминает государству-участнику, что настоящие заключител</w:t>
      </w:r>
      <w:r w:rsidRPr="00BB5DC0">
        <w:t>ь</w:t>
      </w:r>
      <w:r w:rsidRPr="00BB5DC0">
        <w:t>ные замечания следует рассматривать вместе с заключительными замечаниями по объединенным третьему–пятому периодическим докладам, представленным государством-участником в соответствии с Конвенцией (CRC/C/MWI/CO/3-5), и по докладу государства-участника в рамках Факультативного протокола, кас</w:t>
      </w:r>
      <w:r w:rsidRPr="00BB5DC0">
        <w:t>а</w:t>
      </w:r>
      <w:r w:rsidRPr="00BB5DC0">
        <w:t>ющегося торговли детьми, детской проституции и детской порнографии</w:t>
      </w:r>
      <w:r w:rsidR="00DB58AF">
        <w:t xml:space="preserve"> </w:t>
      </w:r>
      <w:r w:rsidRPr="00BB5DC0">
        <w:t>(CRC/C/OPSC/MWI/CO/1), которые были приняты 3 февраля 2017 года.</w:t>
      </w:r>
      <w:proofErr w:type="gramEnd"/>
    </w:p>
    <w:p w:rsidR="00BB5DC0" w:rsidRPr="00BB5DC0" w:rsidRDefault="00BB5DC0" w:rsidP="00BB5DC0">
      <w:pPr>
        <w:pStyle w:val="HChGR"/>
      </w:pPr>
      <w:r w:rsidRPr="00DB58AF">
        <w:tab/>
      </w:r>
      <w:r w:rsidRPr="00BB5DC0">
        <w:t>II.</w:t>
      </w:r>
      <w:r w:rsidRPr="00BB5DC0">
        <w:tab/>
        <w:t>Общие замечания</w:t>
      </w:r>
    </w:p>
    <w:p w:rsidR="00BB5DC0" w:rsidRPr="00BB5DC0" w:rsidRDefault="00BB5DC0" w:rsidP="00BB5DC0">
      <w:pPr>
        <w:pStyle w:val="H23GR"/>
      </w:pPr>
      <w:r w:rsidRPr="00BB5DC0">
        <w:tab/>
      </w:r>
      <w:r w:rsidRPr="00BB5DC0">
        <w:tab/>
        <w:t xml:space="preserve">Позитивные аспекты </w:t>
      </w:r>
    </w:p>
    <w:p w:rsidR="00BB5DC0" w:rsidRPr="00BB5DC0" w:rsidRDefault="00BB5DC0" w:rsidP="00BB5DC0">
      <w:pPr>
        <w:pStyle w:val="SingleTxtGR"/>
      </w:pPr>
      <w:r w:rsidRPr="00BB5DC0">
        <w:t>4.</w:t>
      </w:r>
      <w:r w:rsidRPr="00BB5DC0">
        <w:tab/>
        <w:t>Комитет приветствует различные позитивные меры, которые были прин</w:t>
      </w:r>
      <w:r w:rsidRPr="00BB5DC0">
        <w:t>я</w:t>
      </w:r>
      <w:r w:rsidRPr="00BB5DC0">
        <w:t xml:space="preserve">ты в областях, относящихся к осуществлению Факультативного протокола, в частности: </w:t>
      </w:r>
    </w:p>
    <w:p w:rsidR="00BB5DC0" w:rsidRPr="00BB5DC0" w:rsidRDefault="00BB5DC0" w:rsidP="00BB5DC0">
      <w:pPr>
        <w:pStyle w:val="SingleTxtGR"/>
      </w:pPr>
      <w:r>
        <w:rPr>
          <w:lang w:val="en-US"/>
        </w:rPr>
        <w:tab/>
      </w:r>
      <w:r w:rsidRPr="00BB5DC0">
        <w:t>a)</w:t>
      </w:r>
      <w:r w:rsidRPr="00BB5DC0">
        <w:tab/>
        <w:t>ратификацию в марте 2005 года Протокола против незаконного и</w:t>
      </w:r>
      <w:r w:rsidRPr="00BB5DC0">
        <w:t>з</w:t>
      </w:r>
      <w:r w:rsidRPr="00BB5DC0">
        <w:t>готовления и оборота огнестрельного оружия, его составных частей и комп</w:t>
      </w:r>
      <w:r w:rsidRPr="00BB5DC0">
        <w:t>о</w:t>
      </w:r>
      <w:r w:rsidRPr="00BB5DC0">
        <w:t xml:space="preserve">нентов, а также боеприпасов к нему, дополняющего Конвенцию Организации </w:t>
      </w:r>
      <w:r w:rsidRPr="00BB5DC0">
        <w:lastRenderedPageBreak/>
        <w:t>Объединенных Наций против транснациональной организованной преступн</w:t>
      </w:r>
      <w:r w:rsidRPr="00BB5DC0">
        <w:t>о</w:t>
      </w:r>
      <w:r w:rsidRPr="00BB5DC0">
        <w:t>сти;</w:t>
      </w:r>
    </w:p>
    <w:p w:rsidR="00BB5DC0" w:rsidRPr="00BB5DC0" w:rsidRDefault="00BB5DC0" w:rsidP="00BB5DC0">
      <w:pPr>
        <w:pStyle w:val="SingleTxtGR"/>
      </w:pPr>
      <w:r>
        <w:rPr>
          <w:lang w:val="en-US"/>
        </w:rPr>
        <w:tab/>
      </w:r>
      <w:r w:rsidRPr="00BB5DC0">
        <w:t>b)</w:t>
      </w:r>
      <w:r w:rsidRPr="00BB5DC0">
        <w:tab/>
        <w:t xml:space="preserve">положения Закона о силах обороны от 2004 года, запрещающие службу в вооруженных силах лицам моложе 18 лет; </w:t>
      </w:r>
    </w:p>
    <w:p w:rsidR="00BB5DC0" w:rsidRPr="00BB5DC0" w:rsidRDefault="00BB5DC0" w:rsidP="00BB5DC0">
      <w:pPr>
        <w:pStyle w:val="SingleTxtGR"/>
      </w:pPr>
      <w:r>
        <w:rPr>
          <w:lang w:val="en-US"/>
        </w:rPr>
        <w:tab/>
      </w:r>
      <w:r w:rsidRPr="00BB5DC0">
        <w:t>с)</w:t>
      </w:r>
      <w:r w:rsidRPr="00BB5DC0">
        <w:tab/>
        <w:t>ратификацию в сентябре 2002 года Римского статута Междунаро</w:t>
      </w:r>
      <w:r w:rsidRPr="00BB5DC0">
        <w:t>д</w:t>
      </w:r>
      <w:r w:rsidRPr="00BB5DC0">
        <w:t>ного уголовного суда.</w:t>
      </w:r>
    </w:p>
    <w:p w:rsidR="00BB5DC0" w:rsidRPr="00BB5DC0" w:rsidRDefault="00BB5DC0" w:rsidP="00BB5DC0">
      <w:pPr>
        <w:pStyle w:val="SingleTxtGR"/>
      </w:pPr>
      <w:r w:rsidRPr="00BB5DC0">
        <w:t>5.</w:t>
      </w:r>
      <w:r w:rsidRPr="00BB5DC0">
        <w:tab/>
        <w:t>Комитет приветствует сделанное государством-участником при ратиф</w:t>
      </w:r>
      <w:r w:rsidRPr="00BB5DC0">
        <w:t>и</w:t>
      </w:r>
      <w:r w:rsidRPr="00BB5DC0">
        <w:t xml:space="preserve">кации Факультативного протокола заявление о том, что минимальный возраст для добровольного призыва в вооруженные силы составляет 18 лет. </w:t>
      </w:r>
    </w:p>
    <w:p w:rsidR="00BB5DC0" w:rsidRPr="00BB5DC0" w:rsidRDefault="00BB5DC0" w:rsidP="00BB5DC0">
      <w:pPr>
        <w:pStyle w:val="HChGR"/>
      </w:pPr>
      <w:r>
        <w:rPr>
          <w:lang w:val="en-US"/>
        </w:rPr>
        <w:tab/>
      </w:r>
      <w:r w:rsidRPr="00BB5DC0">
        <w:t>III.</w:t>
      </w:r>
      <w:r w:rsidRPr="00BB5DC0">
        <w:tab/>
        <w:t>Общие меры по осуществлению</w:t>
      </w:r>
    </w:p>
    <w:p w:rsidR="00BB5DC0" w:rsidRPr="00BB5DC0" w:rsidRDefault="00BB5DC0" w:rsidP="00BB5DC0">
      <w:pPr>
        <w:pStyle w:val="H23GR"/>
      </w:pPr>
      <w:r w:rsidRPr="00BB5DC0">
        <w:tab/>
      </w:r>
      <w:r w:rsidRPr="00BB5DC0">
        <w:tab/>
        <w:t>Координация</w:t>
      </w:r>
    </w:p>
    <w:p w:rsidR="00BB5DC0" w:rsidRPr="00BB5DC0" w:rsidRDefault="00BB5DC0" w:rsidP="00BB5DC0">
      <w:pPr>
        <w:pStyle w:val="SingleTxtGR"/>
      </w:pPr>
      <w:r w:rsidRPr="00BB5DC0">
        <w:t>6.</w:t>
      </w:r>
      <w:r w:rsidRPr="00BB5DC0">
        <w:tab/>
        <w:t>Комитет обеспокоен тем, что Министерство по делам гендерного раве</w:t>
      </w:r>
      <w:r w:rsidRPr="00BB5DC0">
        <w:t>н</w:t>
      </w:r>
      <w:r w:rsidRPr="00BB5DC0">
        <w:t>ства, детей, инвалидов и социального обеспечения не располагает надлежащ</w:t>
      </w:r>
      <w:r w:rsidRPr="00BB5DC0">
        <w:t>и</w:t>
      </w:r>
      <w:r w:rsidRPr="00BB5DC0">
        <w:t>ми людскими, финансовыми и техническими ресурсами для эффективного осуществления Факультативного протокола.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7.</w:t>
      </w:r>
      <w:r w:rsidRPr="00BB5DC0">
        <w:tab/>
      </w:r>
      <w:proofErr w:type="gramStart"/>
      <w:r w:rsidRPr="00BB5DC0">
        <w:rPr>
          <w:b/>
        </w:rPr>
        <w:t>Комитет рекомендует государству-участнику обеспечить, чтобы М</w:t>
      </w:r>
      <w:r w:rsidRPr="00BB5DC0">
        <w:rPr>
          <w:b/>
        </w:rPr>
        <w:t>и</w:t>
      </w:r>
      <w:r w:rsidRPr="00BB5DC0">
        <w:rPr>
          <w:b/>
        </w:rPr>
        <w:t>нистерство по делам гендерного равенства, детей, инвалидов и социальн</w:t>
      </w:r>
      <w:r w:rsidRPr="00BB5DC0">
        <w:rPr>
          <w:b/>
        </w:rPr>
        <w:t>о</w:t>
      </w:r>
      <w:r w:rsidRPr="00BB5DC0">
        <w:rPr>
          <w:b/>
        </w:rPr>
        <w:t>го обе</w:t>
      </w:r>
      <w:r w:rsidRPr="00BB5DC0">
        <w:rPr>
          <w:b/>
        </w:rPr>
        <w:t>с</w:t>
      </w:r>
      <w:r w:rsidRPr="00BB5DC0">
        <w:rPr>
          <w:b/>
        </w:rPr>
        <w:t>печения, которое отвечает за координацию деятельности, связанной с ос</w:t>
      </w:r>
      <w:r w:rsidRPr="00BB5DC0">
        <w:rPr>
          <w:b/>
        </w:rPr>
        <w:t>у</w:t>
      </w:r>
      <w:r w:rsidRPr="00BB5DC0">
        <w:rPr>
          <w:b/>
        </w:rPr>
        <w:t>ществлением Факультативного протокола, располагало надлежащим потенциалом и возможностями для координации осуществления и оценки деятельности в рамках Факультативного протокола и всеми необходимыми людскими, техническими и финансовыми ресурсами для выполнения его мандата на всех уро</w:t>
      </w:r>
      <w:r w:rsidRPr="00BB5DC0">
        <w:rPr>
          <w:b/>
        </w:rPr>
        <w:t>в</w:t>
      </w:r>
      <w:r w:rsidRPr="00BB5DC0">
        <w:rPr>
          <w:b/>
        </w:rPr>
        <w:t>нях</w:t>
      </w:r>
      <w:r w:rsidRPr="00BB5DC0">
        <w:t xml:space="preserve">. </w:t>
      </w:r>
      <w:proofErr w:type="gramEnd"/>
    </w:p>
    <w:p w:rsidR="00BB5DC0" w:rsidRPr="00BB5DC0" w:rsidRDefault="00BB5DC0" w:rsidP="00BB5DC0">
      <w:pPr>
        <w:pStyle w:val="H23GR"/>
      </w:pPr>
      <w:r w:rsidRPr="00BB5DC0">
        <w:tab/>
      </w:r>
      <w:r w:rsidRPr="00BB5DC0">
        <w:tab/>
        <w:t>Выделение ресурсов</w:t>
      </w:r>
    </w:p>
    <w:p w:rsidR="00BB5DC0" w:rsidRPr="00BB5DC0" w:rsidRDefault="00BB5DC0" w:rsidP="00BB5DC0">
      <w:pPr>
        <w:pStyle w:val="SingleTxtGR"/>
      </w:pPr>
      <w:r w:rsidRPr="00BB5DC0">
        <w:t>8.</w:t>
      </w:r>
      <w:r w:rsidRPr="00BB5DC0">
        <w:tab/>
        <w:t>Комитет обеспокоен отсутствием конкретных бюджетных ассигнований на осуществление Факультативного протокола.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9.</w:t>
      </w:r>
      <w:r w:rsidRPr="00BB5DC0">
        <w:tab/>
      </w:r>
      <w:r w:rsidRPr="00293509">
        <w:rPr>
          <w:b/>
        </w:rPr>
        <w:t>Комитет рекомендует государству-участнику обеспечить выделение достаточных целевых сре</w:t>
      </w:r>
      <w:proofErr w:type="gramStart"/>
      <w:r w:rsidRPr="00293509">
        <w:rPr>
          <w:b/>
        </w:rPr>
        <w:t>дств дл</w:t>
      </w:r>
      <w:proofErr w:type="gramEnd"/>
      <w:r w:rsidRPr="00293509">
        <w:rPr>
          <w:b/>
        </w:rPr>
        <w:t>я эффективного осуществления деятел</w:t>
      </w:r>
      <w:r w:rsidRPr="00293509">
        <w:rPr>
          <w:b/>
        </w:rPr>
        <w:t>ь</w:t>
      </w:r>
      <w:r w:rsidRPr="00293509">
        <w:rPr>
          <w:b/>
        </w:rPr>
        <w:t>ности во всех областях, охватываемых Факультативным протоколом</w:t>
      </w:r>
      <w:r w:rsidRPr="00BB5DC0">
        <w:t>.</w:t>
      </w:r>
    </w:p>
    <w:p w:rsidR="00BB5DC0" w:rsidRPr="00BB5DC0" w:rsidRDefault="00BB5DC0" w:rsidP="00BB5DC0">
      <w:pPr>
        <w:pStyle w:val="H23GR"/>
      </w:pPr>
      <w:r w:rsidRPr="00BB5DC0">
        <w:tab/>
      </w:r>
      <w:r w:rsidRPr="00BB5DC0">
        <w:tab/>
        <w:t>Распространение информации и повышение уровня осведо</w:t>
      </w:r>
      <w:r w:rsidRPr="00BB5DC0">
        <w:t>м</w:t>
      </w:r>
      <w:r w:rsidRPr="00BB5DC0">
        <w:t>ленности</w:t>
      </w:r>
    </w:p>
    <w:p w:rsidR="00BB5DC0" w:rsidRPr="00BB5DC0" w:rsidRDefault="00BB5DC0" w:rsidP="00BB5DC0">
      <w:pPr>
        <w:pStyle w:val="SingleTxtGR"/>
      </w:pPr>
      <w:r w:rsidRPr="00BB5DC0">
        <w:t>10.</w:t>
      </w:r>
      <w:r w:rsidRPr="00BB5DC0">
        <w:tab/>
        <w:t>Комитет приветствует создание потенциала и деятельность по повыш</w:t>
      </w:r>
      <w:r w:rsidRPr="00BB5DC0">
        <w:t>е</w:t>
      </w:r>
      <w:r w:rsidRPr="00BB5DC0">
        <w:t>нию уровня информированности относительно Факультативного протокола. Однако он обеспокоен тем, что Факультативный протокол не получил широкой известности и что не все специалисты соответствующих профессиональных к</w:t>
      </w:r>
      <w:r w:rsidRPr="00BB5DC0">
        <w:t>а</w:t>
      </w:r>
      <w:r w:rsidRPr="00BB5DC0">
        <w:t>тегорий проходят надлежащую подготовку по положениям Факультативного протокола.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11.</w:t>
      </w:r>
      <w:r w:rsidRPr="00BB5DC0">
        <w:tab/>
      </w:r>
      <w:r w:rsidRPr="00293509">
        <w:rPr>
          <w:b/>
        </w:rPr>
        <w:t>Комитет рекомендует государству-участнику продолжать свои ус</w:t>
      </w:r>
      <w:r w:rsidRPr="00293509">
        <w:rPr>
          <w:b/>
        </w:rPr>
        <w:t>и</w:t>
      </w:r>
      <w:r w:rsidRPr="00293509">
        <w:rPr>
          <w:b/>
        </w:rPr>
        <w:t>лия, направленные на широкое распространение принципов и положений Факультативного протокола и укрепление потенциала среди всех соотве</w:t>
      </w:r>
      <w:r w:rsidRPr="00293509">
        <w:rPr>
          <w:b/>
        </w:rPr>
        <w:t>т</w:t>
      </w:r>
      <w:r w:rsidRPr="00293509">
        <w:rPr>
          <w:b/>
        </w:rPr>
        <w:t>ствующих профессиональных групп и широкой общественности, в частн</w:t>
      </w:r>
      <w:r w:rsidRPr="00293509">
        <w:rPr>
          <w:b/>
        </w:rPr>
        <w:t>о</w:t>
      </w:r>
      <w:r w:rsidRPr="00293509">
        <w:rPr>
          <w:b/>
        </w:rPr>
        <w:t>сти среди детей. Он также рекомендует государству-участнику создать де</w:t>
      </w:r>
      <w:r w:rsidRPr="00293509">
        <w:rPr>
          <w:b/>
        </w:rPr>
        <w:t>й</w:t>
      </w:r>
      <w:r w:rsidRPr="00293509">
        <w:rPr>
          <w:b/>
        </w:rPr>
        <w:t xml:space="preserve">ственные механизмы для </w:t>
      </w:r>
      <w:proofErr w:type="gramStart"/>
      <w:r w:rsidRPr="00293509">
        <w:rPr>
          <w:b/>
        </w:rPr>
        <w:t>контроля за</w:t>
      </w:r>
      <w:proofErr w:type="gramEnd"/>
      <w:r w:rsidRPr="00293509">
        <w:rPr>
          <w:b/>
        </w:rPr>
        <w:t xml:space="preserve"> соблюдением положений Протокола</w:t>
      </w:r>
      <w:r w:rsidRPr="00BB5DC0">
        <w:t>.</w:t>
      </w:r>
    </w:p>
    <w:p w:rsidR="00BB5DC0" w:rsidRPr="00BB5DC0" w:rsidRDefault="00BB5DC0" w:rsidP="00BB5DC0">
      <w:pPr>
        <w:pStyle w:val="H23GR"/>
      </w:pPr>
      <w:r w:rsidRPr="00BB5DC0">
        <w:tab/>
      </w:r>
      <w:r w:rsidRPr="00BB5DC0">
        <w:tab/>
        <w:t>Данные</w:t>
      </w:r>
    </w:p>
    <w:p w:rsidR="00BB5DC0" w:rsidRPr="00BB5DC0" w:rsidRDefault="00BB5DC0" w:rsidP="00BB5DC0">
      <w:pPr>
        <w:pStyle w:val="SingleTxtGR"/>
      </w:pPr>
      <w:r w:rsidRPr="00BB5DC0">
        <w:t>12.</w:t>
      </w:r>
      <w:r w:rsidRPr="00BB5DC0">
        <w:tab/>
        <w:t>Комитет отмечает отсутствие надлежащего механизма сбора, анализа и мониторинга данных по всем областям, охватываемым Факультативным прот</w:t>
      </w:r>
      <w:r w:rsidRPr="00BB5DC0">
        <w:t>о</w:t>
      </w:r>
      <w:r w:rsidRPr="00BB5DC0">
        <w:t>колом.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13.</w:t>
      </w:r>
      <w:r w:rsidRPr="00BB5DC0">
        <w:tab/>
      </w:r>
      <w:r w:rsidRPr="00293509">
        <w:rPr>
          <w:b/>
        </w:rPr>
        <w:t xml:space="preserve">Комитет рекомендует государству-участнику распространить свою недавно созданную комплексную систему управления информацией на все </w:t>
      </w:r>
      <w:r w:rsidRPr="00293509">
        <w:rPr>
          <w:b/>
        </w:rPr>
        <w:lastRenderedPageBreak/>
        <w:t>области, имеющие отношение к осуществлению Факультативного прот</w:t>
      </w:r>
      <w:r w:rsidRPr="00293509">
        <w:rPr>
          <w:b/>
        </w:rPr>
        <w:t>о</w:t>
      </w:r>
      <w:r w:rsidRPr="00293509">
        <w:rPr>
          <w:b/>
        </w:rPr>
        <w:t>кола</w:t>
      </w:r>
      <w:r w:rsidRPr="00BB5DC0">
        <w:t>.</w:t>
      </w:r>
    </w:p>
    <w:p w:rsidR="00BB5DC0" w:rsidRPr="00BB5DC0" w:rsidRDefault="00293509" w:rsidP="00293509">
      <w:pPr>
        <w:pStyle w:val="HChGR"/>
      </w:pPr>
      <w:r>
        <w:rPr>
          <w:lang w:val="en-US"/>
        </w:rPr>
        <w:tab/>
      </w:r>
      <w:r w:rsidR="00BB5DC0" w:rsidRPr="00BB5DC0">
        <w:t>IV.</w:t>
      </w:r>
      <w:r w:rsidR="00BB5DC0" w:rsidRPr="00BB5DC0">
        <w:tab/>
        <w:t>Предупреждение</w:t>
      </w:r>
    </w:p>
    <w:p w:rsidR="00BB5DC0" w:rsidRPr="00BB5DC0" w:rsidRDefault="00BB5DC0" w:rsidP="00293509">
      <w:pPr>
        <w:pStyle w:val="H23GR"/>
      </w:pPr>
      <w:r w:rsidRPr="00BB5DC0">
        <w:tab/>
      </w:r>
      <w:r w:rsidRPr="00BB5DC0">
        <w:tab/>
        <w:t>Процедуры проверки возраста</w:t>
      </w:r>
    </w:p>
    <w:p w:rsidR="00BB5DC0" w:rsidRPr="00BB5DC0" w:rsidRDefault="00BB5DC0" w:rsidP="00BB5DC0">
      <w:pPr>
        <w:pStyle w:val="SingleTxtGR"/>
      </w:pPr>
      <w:r w:rsidRPr="00BB5DC0">
        <w:t>14.</w:t>
      </w:r>
      <w:r w:rsidRPr="00BB5DC0">
        <w:tab/>
        <w:t>Комитет отмечает, что, согласно Закону о силах обороны, дети в возрасте младше 18 лет не могут служить в армии. Однако он обеспокоен тем, что на практике проверка возраста новобранцев не вызывает доверия ввиду отсутствия в настоящее время в стране эффективной универсальной системы регистрации актов рождения. Это может привести к вербовке в вооруженные силы детей в возрасте младше 18 лет вследствие действия офицера-рекрутера по собстве</w:t>
      </w:r>
      <w:r w:rsidRPr="00BB5DC0">
        <w:t>н</w:t>
      </w:r>
      <w:r w:rsidRPr="00BB5DC0">
        <w:t xml:space="preserve">ному усмотрению, отсутствия свидетельства о рождении или фальсификации свидетельства о рождении. 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15.</w:t>
      </w:r>
      <w:r w:rsidRPr="00BB5DC0">
        <w:tab/>
      </w:r>
      <w:r w:rsidRPr="00293509">
        <w:rPr>
          <w:b/>
        </w:rPr>
        <w:t>Комитет настоятельно призывает государство-участник обеспечить проведение офицерами-рекрутерами обязательной, последовательной и с</w:t>
      </w:r>
      <w:r w:rsidRPr="00293509">
        <w:rPr>
          <w:b/>
        </w:rPr>
        <w:t>и</w:t>
      </w:r>
      <w:r w:rsidRPr="00293509">
        <w:rPr>
          <w:b/>
        </w:rPr>
        <w:t xml:space="preserve">стематической проверки возраста новобранцев, с </w:t>
      </w:r>
      <w:proofErr w:type="gramStart"/>
      <w:r w:rsidRPr="00293509">
        <w:rPr>
          <w:b/>
        </w:rPr>
        <w:t>тем</w:t>
      </w:r>
      <w:proofErr w:type="gramEnd"/>
      <w:r w:rsidRPr="00293509">
        <w:rPr>
          <w:b/>
        </w:rPr>
        <w:t xml:space="preserve"> чтобы эффективно бороться с вербовкой в вооруженные силы детей. Комитет далее подтве</w:t>
      </w:r>
      <w:r w:rsidRPr="00293509">
        <w:rPr>
          <w:b/>
        </w:rPr>
        <w:t>р</w:t>
      </w:r>
      <w:r w:rsidRPr="00293509">
        <w:rPr>
          <w:b/>
        </w:rPr>
        <w:t>ждает свои заключительные замечания по Конвенции (см. CRC/C/</w:t>
      </w:r>
      <w:bookmarkStart w:id="0" w:name="_GoBack"/>
      <w:bookmarkEnd w:id="0"/>
      <w:r w:rsidRPr="00293509">
        <w:rPr>
          <w:b/>
        </w:rPr>
        <w:t>MWI/</w:t>
      </w:r>
      <w:r w:rsidR="00361C54" w:rsidRPr="00361C54">
        <w:rPr>
          <w:b/>
        </w:rPr>
        <w:t xml:space="preserve"> </w:t>
      </w:r>
      <w:r w:rsidRPr="00293509">
        <w:rPr>
          <w:b/>
        </w:rPr>
        <w:t>CO/3-5, пункт 18) и рекомендует государству-участнику ускорить проце</w:t>
      </w:r>
      <w:r w:rsidRPr="00293509">
        <w:rPr>
          <w:b/>
        </w:rPr>
        <w:t>с</w:t>
      </w:r>
      <w:r w:rsidRPr="00293509">
        <w:rPr>
          <w:b/>
        </w:rPr>
        <w:t xml:space="preserve">сы, связанные с регистрацией актов рождения, с </w:t>
      </w:r>
      <w:proofErr w:type="gramStart"/>
      <w:r w:rsidRPr="00293509">
        <w:rPr>
          <w:b/>
        </w:rPr>
        <w:t>тем</w:t>
      </w:r>
      <w:proofErr w:type="gramEnd"/>
      <w:r w:rsidRPr="00293509">
        <w:rPr>
          <w:b/>
        </w:rPr>
        <w:t xml:space="preserve"> чтобы в любой м</w:t>
      </w:r>
      <w:r w:rsidRPr="00293509">
        <w:rPr>
          <w:b/>
        </w:rPr>
        <w:t>о</w:t>
      </w:r>
      <w:r w:rsidRPr="00293509">
        <w:rPr>
          <w:b/>
        </w:rPr>
        <w:t>мент времени имелась возможность для быстрого установления личн</w:t>
      </w:r>
      <w:r w:rsidRPr="00293509">
        <w:rPr>
          <w:b/>
        </w:rPr>
        <w:t>о</w:t>
      </w:r>
      <w:r w:rsidRPr="00293509">
        <w:rPr>
          <w:b/>
        </w:rPr>
        <w:t>сти и обеспечения защиты детей</w:t>
      </w:r>
      <w:r w:rsidRPr="00BB5DC0">
        <w:t>.</w:t>
      </w:r>
    </w:p>
    <w:p w:rsidR="00BB5DC0" w:rsidRPr="00BB5DC0" w:rsidRDefault="00BB5DC0" w:rsidP="00293509">
      <w:pPr>
        <w:pStyle w:val="H23GR"/>
        <w:rPr>
          <w:bCs/>
        </w:rPr>
      </w:pPr>
      <w:r w:rsidRPr="00BB5DC0">
        <w:tab/>
      </w:r>
      <w:r w:rsidRPr="00BB5DC0">
        <w:tab/>
        <w:t>Права человека и воспитание в духе мира</w:t>
      </w:r>
    </w:p>
    <w:p w:rsidR="00BB5DC0" w:rsidRPr="00BB5DC0" w:rsidRDefault="00BB5DC0" w:rsidP="00BB5DC0">
      <w:pPr>
        <w:pStyle w:val="SingleTxtGR"/>
      </w:pPr>
      <w:r w:rsidRPr="00BB5DC0">
        <w:t>16.</w:t>
      </w:r>
      <w:r w:rsidRPr="00BB5DC0">
        <w:tab/>
        <w:t>Комитет выражает сожаление в связи с отсутствием информации о том, организуются ли для призывников и военнослужащих, проходящих действ</w:t>
      </w:r>
      <w:r w:rsidRPr="00BB5DC0">
        <w:t>и</w:t>
      </w:r>
      <w:r w:rsidRPr="00BB5DC0">
        <w:t>тельную службу, регулярные и обязательные курсы по изучению положений Факультативного протокола.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17.</w:t>
      </w:r>
      <w:r w:rsidRPr="00BB5DC0">
        <w:tab/>
      </w:r>
      <w:r w:rsidRPr="00293509">
        <w:rPr>
          <w:b/>
        </w:rPr>
        <w:t>Комитет рекомендует государству-участнику принять необходимые меры для включения изучения положений Факультативного протокола в обязательную учебную программу для призывников и лиц, состоящих на действительной военной службе</w:t>
      </w:r>
      <w:r w:rsidRPr="00BB5DC0">
        <w:t>.</w:t>
      </w:r>
    </w:p>
    <w:p w:rsidR="00BB5DC0" w:rsidRPr="00BB5DC0" w:rsidRDefault="00293509" w:rsidP="00293509">
      <w:pPr>
        <w:pStyle w:val="HChGR"/>
      </w:pPr>
      <w:r>
        <w:rPr>
          <w:lang w:val="en-US"/>
        </w:rPr>
        <w:tab/>
      </w:r>
      <w:r w:rsidR="00BB5DC0" w:rsidRPr="00BB5DC0">
        <w:t>V.</w:t>
      </w:r>
      <w:r w:rsidR="00BB5DC0" w:rsidRPr="00BB5DC0">
        <w:tab/>
        <w:t>Запрещение и смежные вопросы</w:t>
      </w:r>
    </w:p>
    <w:p w:rsidR="00BB5DC0" w:rsidRPr="00BB5DC0" w:rsidRDefault="00BB5DC0" w:rsidP="00293509">
      <w:pPr>
        <w:pStyle w:val="H23GR"/>
      </w:pPr>
      <w:r w:rsidRPr="00BB5DC0">
        <w:tab/>
      </w:r>
      <w:r w:rsidRPr="00BB5DC0">
        <w:tab/>
        <w:t>Действующее уголовное законодательство и подзаконные акты</w:t>
      </w:r>
    </w:p>
    <w:p w:rsidR="00BB5DC0" w:rsidRPr="00BB5DC0" w:rsidRDefault="00BB5DC0" w:rsidP="00BB5DC0">
      <w:pPr>
        <w:pStyle w:val="SingleTxtGR"/>
      </w:pPr>
      <w:r w:rsidRPr="00BB5DC0">
        <w:t>18.</w:t>
      </w:r>
      <w:r w:rsidRPr="00BB5DC0">
        <w:tab/>
        <w:t>Комитет обеспокоен тем, что не существует каких-либо положений, кот</w:t>
      </w:r>
      <w:r w:rsidRPr="00BB5DC0">
        <w:t>о</w:t>
      </w:r>
      <w:r w:rsidRPr="00BB5DC0">
        <w:t>рые четко бы предусматривали уголовную ответственность за вербовку детей в вооруженные силы или негосударственные вооруженные группы, отличные от вооруженных сил государства.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19.</w:t>
      </w:r>
      <w:r w:rsidRPr="00BB5DC0">
        <w:tab/>
      </w:r>
      <w:r w:rsidRPr="00293509">
        <w:rPr>
          <w:b/>
        </w:rPr>
        <w:t>Комитет рекомендует государству-участнику включить в Уголовный кодекс положения, четко предусматривающие уголовную ответственность за вербовку детей в вооруженные силы или негосударственные вооруже</w:t>
      </w:r>
      <w:r w:rsidRPr="00293509">
        <w:rPr>
          <w:b/>
        </w:rPr>
        <w:t>н</w:t>
      </w:r>
      <w:r w:rsidRPr="00293509">
        <w:rPr>
          <w:b/>
        </w:rPr>
        <w:t>ные группы, отличные от вооруженных сил государства</w:t>
      </w:r>
      <w:r w:rsidRPr="00BB5DC0">
        <w:t xml:space="preserve">. </w:t>
      </w:r>
    </w:p>
    <w:p w:rsidR="00BB5DC0" w:rsidRPr="00BB5DC0" w:rsidRDefault="00BB5DC0" w:rsidP="00293509">
      <w:pPr>
        <w:pStyle w:val="H23GR"/>
      </w:pPr>
      <w:r w:rsidRPr="00BB5DC0">
        <w:tab/>
      </w:r>
      <w:r w:rsidRPr="00BB5DC0">
        <w:tab/>
      </w:r>
      <w:proofErr w:type="gramStart"/>
      <w:r w:rsidRPr="00BB5DC0">
        <w:t>Контроль за</w:t>
      </w:r>
      <w:proofErr w:type="gramEnd"/>
      <w:r w:rsidRPr="00BB5DC0">
        <w:t xml:space="preserve"> оборотом оружия</w:t>
      </w:r>
    </w:p>
    <w:p w:rsidR="00BB5DC0" w:rsidRPr="00BB5DC0" w:rsidRDefault="00BB5DC0" w:rsidP="00BB5DC0">
      <w:pPr>
        <w:pStyle w:val="SingleTxtGR"/>
      </w:pPr>
      <w:r w:rsidRPr="00BB5DC0">
        <w:t>20.</w:t>
      </w:r>
      <w:r w:rsidRPr="00BB5DC0">
        <w:tab/>
        <w:t>Комитет отмечает, что Комиссия по правовым вопросам Малави вынесла рекомендации в отношении нового Закона об огнестрельном оружии. Однако он обеспокоен тем, что нынешний Закон об огнестрельном оружии от 1967 года не содержит прямого запрета на приобретение и использование огнестрельного оружия детьми. Он также обеспокоен тем, что, согласно сообщениям, широкие масштабы приобрело производство стрелкового оружия в домашних условиях и распространение огнестрельного оружия.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lastRenderedPageBreak/>
        <w:t>21.</w:t>
      </w:r>
      <w:r w:rsidRPr="00BB5DC0">
        <w:tab/>
      </w:r>
      <w:r w:rsidRPr="00293509">
        <w:rPr>
          <w:b/>
        </w:rPr>
        <w:t>Комитет рекомендует государству-участнику в безотлагательном п</w:t>
      </w:r>
      <w:r w:rsidRPr="00293509">
        <w:rPr>
          <w:b/>
        </w:rPr>
        <w:t>о</w:t>
      </w:r>
      <w:r w:rsidRPr="00293509">
        <w:rPr>
          <w:b/>
        </w:rPr>
        <w:t>рядке принять новый закон об огнестрельном оружии, прямо запреща</w:t>
      </w:r>
      <w:r w:rsidRPr="00293509">
        <w:rPr>
          <w:b/>
        </w:rPr>
        <w:t>ю</w:t>
      </w:r>
      <w:r w:rsidRPr="00293509">
        <w:rPr>
          <w:b/>
        </w:rPr>
        <w:t>щий приобретение, хранение и использование огнестрельного оружия детьми, конфисковать незаконное огнестрельное оружие, находящееся в обороте, и упорядочить использование самодельного огнестрельного ор</w:t>
      </w:r>
      <w:r w:rsidRPr="00293509">
        <w:rPr>
          <w:b/>
        </w:rPr>
        <w:t>у</w:t>
      </w:r>
      <w:r w:rsidRPr="00293509">
        <w:rPr>
          <w:b/>
        </w:rPr>
        <w:t>жия</w:t>
      </w:r>
      <w:r w:rsidRPr="00BB5DC0">
        <w:t>.</w:t>
      </w:r>
    </w:p>
    <w:p w:rsidR="00BB5DC0" w:rsidRPr="00BB5DC0" w:rsidRDefault="00BB5DC0" w:rsidP="00293509">
      <w:pPr>
        <w:pStyle w:val="H23GR"/>
      </w:pPr>
      <w:r w:rsidRPr="00BB5DC0">
        <w:tab/>
      </w:r>
      <w:r w:rsidRPr="00BB5DC0">
        <w:tab/>
        <w:t>Экстерриториальная юрисдикция и экстрадиция</w:t>
      </w:r>
    </w:p>
    <w:p w:rsidR="00BB5DC0" w:rsidRPr="00BB5DC0" w:rsidRDefault="00BB5DC0" w:rsidP="00BB5DC0">
      <w:pPr>
        <w:pStyle w:val="SingleTxtGR"/>
      </w:pPr>
      <w:r w:rsidRPr="00BB5DC0">
        <w:t>22.</w:t>
      </w:r>
      <w:r w:rsidRPr="00BB5DC0">
        <w:tab/>
        <w:t>Комитет выражает сожаление в связи с отсутствием законодательных п</w:t>
      </w:r>
      <w:r w:rsidRPr="00BB5DC0">
        <w:t>о</w:t>
      </w:r>
      <w:r w:rsidRPr="00BB5DC0">
        <w:t xml:space="preserve">ложений об экстерриториальной юрисдикции и экстрадиции в отношении всех правонарушений, охватываемых Факультативным протоколом. 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23.</w:t>
      </w:r>
      <w:r w:rsidRPr="00BB5DC0">
        <w:tab/>
      </w:r>
      <w:r w:rsidRPr="00293509">
        <w:rPr>
          <w:b/>
        </w:rPr>
        <w:t>Комитет рекомендует государству-участнику принять все меры, н</w:t>
      </w:r>
      <w:r w:rsidRPr="00293509">
        <w:rPr>
          <w:b/>
        </w:rPr>
        <w:t>е</w:t>
      </w:r>
      <w:r w:rsidRPr="00293509">
        <w:rPr>
          <w:b/>
        </w:rPr>
        <w:t>обходимые для обеспечения того, чтобы национальное законодательство позволяло ему устанавливать и осуществлять экстерриториальную юри</w:t>
      </w:r>
      <w:r w:rsidRPr="00293509">
        <w:rPr>
          <w:b/>
        </w:rPr>
        <w:t>с</w:t>
      </w:r>
      <w:r w:rsidRPr="00293509">
        <w:rPr>
          <w:b/>
        </w:rPr>
        <w:t>дикцию и вкл</w:t>
      </w:r>
      <w:r w:rsidRPr="00293509">
        <w:rPr>
          <w:b/>
        </w:rPr>
        <w:t>ю</w:t>
      </w:r>
      <w:r w:rsidRPr="00293509">
        <w:rPr>
          <w:b/>
        </w:rPr>
        <w:t>чить в свои договоры об экстрадиции все правонарушения, охватываемые Ф</w:t>
      </w:r>
      <w:r w:rsidRPr="00293509">
        <w:rPr>
          <w:b/>
        </w:rPr>
        <w:t>а</w:t>
      </w:r>
      <w:r w:rsidRPr="00293509">
        <w:rPr>
          <w:b/>
        </w:rPr>
        <w:t>культативным протоколом</w:t>
      </w:r>
      <w:r w:rsidRPr="00BB5DC0">
        <w:t xml:space="preserve">. </w:t>
      </w:r>
    </w:p>
    <w:p w:rsidR="00BB5DC0" w:rsidRPr="00BB5DC0" w:rsidRDefault="00293509" w:rsidP="00293509">
      <w:pPr>
        <w:pStyle w:val="HChGR"/>
      </w:pPr>
      <w:r>
        <w:rPr>
          <w:lang w:val="en-US"/>
        </w:rPr>
        <w:tab/>
      </w:r>
      <w:r w:rsidR="00BB5DC0" w:rsidRPr="00BB5DC0">
        <w:t>VI.</w:t>
      </w:r>
      <w:r w:rsidR="00BB5DC0" w:rsidRPr="00BB5DC0">
        <w:tab/>
        <w:t xml:space="preserve">Защита, восстановление и </w:t>
      </w:r>
      <w:proofErr w:type="spellStart"/>
      <w:r w:rsidR="00BB5DC0" w:rsidRPr="00BB5DC0">
        <w:t>реинтеграция</w:t>
      </w:r>
      <w:proofErr w:type="spellEnd"/>
    </w:p>
    <w:p w:rsidR="00BB5DC0" w:rsidRPr="00BB5DC0" w:rsidRDefault="00BB5DC0" w:rsidP="00293509">
      <w:pPr>
        <w:pStyle w:val="H23GR"/>
      </w:pPr>
      <w:r w:rsidRPr="00BB5DC0">
        <w:tab/>
      </w:r>
      <w:r w:rsidRPr="00BB5DC0">
        <w:tab/>
        <w:t>Меры, принимаемые для защиты прав детей-жертв</w:t>
      </w:r>
    </w:p>
    <w:p w:rsidR="00BB5DC0" w:rsidRPr="00BB5DC0" w:rsidRDefault="00BB5DC0" w:rsidP="00BB5DC0">
      <w:pPr>
        <w:pStyle w:val="SingleTxtGR"/>
      </w:pPr>
      <w:r w:rsidRPr="00BB5DC0">
        <w:t>24.</w:t>
      </w:r>
      <w:r w:rsidRPr="00BB5DC0">
        <w:tab/>
        <w:t xml:space="preserve">Комитет выражает обеспокоенность </w:t>
      </w:r>
      <w:proofErr w:type="gramStart"/>
      <w:r w:rsidRPr="00BB5DC0">
        <w:t>в связи с отсутствием эффективных механизмов для выявления на раннем этапе въезжающих на территорию</w:t>
      </w:r>
      <w:proofErr w:type="gramEnd"/>
      <w:r w:rsidRPr="00BB5DC0">
        <w:t xml:space="preserve"> гос</w:t>
      </w:r>
      <w:r w:rsidRPr="00BB5DC0">
        <w:t>у</w:t>
      </w:r>
      <w:r w:rsidRPr="00BB5DC0">
        <w:t xml:space="preserve">дарства-участника детей из числа беженцев, просителей убежища и мигрантов, в том числе несопровождаемых детей, которые могли быть завербованы или использованы в ходе боевых действий за рубежом. </w:t>
      </w:r>
    </w:p>
    <w:p w:rsidR="00BB5DC0" w:rsidRPr="00293509" w:rsidRDefault="00BB5DC0" w:rsidP="00BB5DC0">
      <w:pPr>
        <w:pStyle w:val="SingleTxtGR"/>
        <w:rPr>
          <w:b/>
        </w:rPr>
      </w:pPr>
      <w:r w:rsidRPr="00BB5DC0">
        <w:t>25.</w:t>
      </w:r>
      <w:r w:rsidRPr="00BB5DC0">
        <w:tab/>
      </w:r>
      <w:r w:rsidRPr="00293509">
        <w:rPr>
          <w:b/>
        </w:rPr>
        <w:t>Комитет рекомендует государству-участнику:</w:t>
      </w:r>
    </w:p>
    <w:p w:rsidR="00BB5DC0" w:rsidRPr="00293509" w:rsidRDefault="00293509" w:rsidP="00BB5DC0">
      <w:pPr>
        <w:pStyle w:val="SingleTxtGR"/>
        <w:rPr>
          <w:b/>
        </w:rPr>
      </w:pPr>
      <w:r w:rsidRPr="00293509">
        <w:rPr>
          <w:b/>
          <w:lang w:val="en-US"/>
        </w:rPr>
        <w:tab/>
      </w:r>
      <w:r w:rsidR="00BB5DC0" w:rsidRPr="00293509">
        <w:rPr>
          <w:b/>
        </w:rPr>
        <w:t>a)</w:t>
      </w:r>
      <w:r w:rsidR="00BB5DC0" w:rsidRPr="00293509">
        <w:rPr>
          <w:b/>
        </w:rPr>
        <w:tab/>
        <w:t>создать механизмы для выявления на раннем этапе детей из числа беженцев, просителей убежища или мигрантов, в том числе несопр</w:t>
      </w:r>
      <w:r w:rsidR="00BB5DC0" w:rsidRPr="00293509">
        <w:rPr>
          <w:b/>
        </w:rPr>
        <w:t>о</w:t>
      </w:r>
      <w:r w:rsidR="00BB5DC0" w:rsidRPr="00293509">
        <w:rPr>
          <w:b/>
        </w:rPr>
        <w:t>вождаемых детей, которые прибывают из стран, где происходили или пр</w:t>
      </w:r>
      <w:r w:rsidR="00BB5DC0" w:rsidRPr="00293509">
        <w:rPr>
          <w:b/>
        </w:rPr>
        <w:t>о</w:t>
      </w:r>
      <w:r w:rsidR="00BB5DC0" w:rsidRPr="00293509">
        <w:rPr>
          <w:b/>
        </w:rPr>
        <w:t>исходят вооруженные конфликты, и которые могли принимать участие в боевых действиях;</w:t>
      </w:r>
    </w:p>
    <w:p w:rsidR="00BB5DC0" w:rsidRPr="00293509" w:rsidRDefault="00293509" w:rsidP="00BB5DC0">
      <w:pPr>
        <w:pStyle w:val="SingleTxtGR"/>
        <w:rPr>
          <w:b/>
        </w:rPr>
      </w:pPr>
      <w:r w:rsidRPr="00293509">
        <w:rPr>
          <w:b/>
          <w:lang w:val="en-US"/>
        </w:rPr>
        <w:tab/>
      </w:r>
      <w:r w:rsidR="00BB5DC0" w:rsidRPr="00293509">
        <w:rPr>
          <w:b/>
        </w:rPr>
        <w:t>b)</w:t>
      </w:r>
      <w:r w:rsidR="00BB5DC0" w:rsidRPr="00293509">
        <w:rPr>
          <w:b/>
        </w:rPr>
        <w:tab/>
        <w:t>обеспечить подготовку сотрудников, ответственных за выявл</w:t>
      </w:r>
      <w:r w:rsidR="00BB5DC0" w:rsidRPr="00293509">
        <w:rPr>
          <w:b/>
        </w:rPr>
        <w:t>е</w:t>
      </w:r>
      <w:r w:rsidR="00BB5DC0" w:rsidRPr="00293509">
        <w:rPr>
          <w:b/>
        </w:rPr>
        <w:t>ние таких детей, в области прав детей, их защиты и проведения собесед</w:t>
      </w:r>
      <w:r w:rsidR="00BB5DC0" w:rsidRPr="00293509">
        <w:rPr>
          <w:b/>
        </w:rPr>
        <w:t>о</w:t>
      </w:r>
      <w:r w:rsidR="00BB5DC0" w:rsidRPr="00293509">
        <w:rPr>
          <w:b/>
        </w:rPr>
        <w:t>вания;</w:t>
      </w:r>
    </w:p>
    <w:p w:rsidR="00BB5DC0" w:rsidRPr="00BB5DC0" w:rsidRDefault="00293509" w:rsidP="00BB5DC0">
      <w:pPr>
        <w:pStyle w:val="SingleTxtGR"/>
        <w:rPr>
          <w:b/>
        </w:rPr>
      </w:pPr>
      <w:r w:rsidRPr="00293509">
        <w:rPr>
          <w:b/>
          <w:lang w:val="en-US"/>
        </w:rPr>
        <w:tab/>
      </w:r>
      <w:r w:rsidR="00BB5DC0" w:rsidRPr="00293509">
        <w:rPr>
          <w:b/>
        </w:rPr>
        <w:t>с)</w:t>
      </w:r>
      <w:r w:rsidR="00BB5DC0" w:rsidRPr="00293509">
        <w:rPr>
          <w:b/>
        </w:rPr>
        <w:tab/>
        <w:t xml:space="preserve">разработать протоколы, создать специализированные службы для обеспечения того, чтобы такие дети получали надлежащую помощь в целях их восстановления их физического и психологического состояния и социальной </w:t>
      </w:r>
      <w:proofErr w:type="spellStart"/>
      <w:r w:rsidR="00BB5DC0" w:rsidRPr="00293509">
        <w:rPr>
          <w:b/>
        </w:rPr>
        <w:t>реинтеграции</w:t>
      </w:r>
      <w:proofErr w:type="spellEnd"/>
      <w:r w:rsidR="00BB5DC0" w:rsidRPr="00BB5DC0">
        <w:t>.</w:t>
      </w:r>
    </w:p>
    <w:p w:rsidR="00BB5DC0" w:rsidRPr="00BB5DC0" w:rsidRDefault="00293509" w:rsidP="00293509">
      <w:pPr>
        <w:pStyle w:val="HChGR"/>
      </w:pPr>
      <w:r>
        <w:rPr>
          <w:lang w:val="en-US"/>
        </w:rPr>
        <w:tab/>
      </w:r>
      <w:r w:rsidR="00BB5DC0" w:rsidRPr="00BB5DC0">
        <w:t>VII.</w:t>
      </w:r>
      <w:r w:rsidR="00BB5DC0" w:rsidRPr="00BB5DC0">
        <w:tab/>
        <w:t>Международная помощь и сотрудничество</w:t>
      </w:r>
    </w:p>
    <w:p w:rsidR="00BB5DC0" w:rsidRPr="00BB5DC0" w:rsidRDefault="00BB5DC0" w:rsidP="00293509">
      <w:pPr>
        <w:pStyle w:val="H23GR"/>
      </w:pPr>
      <w:r w:rsidRPr="00BB5DC0">
        <w:tab/>
      </w:r>
      <w:r w:rsidRPr="00BB5DC0">
        <w:tab/>
        <w:t xml:space="preserve">Международное сотрудничество 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26.</w:t>
      </w:r>
      <w:r w:rsidRPr="00BB5DC0">
        <w:tab/>
      </w:r>
      <w:r w:rsidRPr="00293509">
        <w:rPr>
          <w:b/>
        </w:rPr>
        <w:t>Комитет рекомендует государству-участнику продолжать и укре</w:t>
      </w:r>
      <w:r w:rsidRPr="00293509">
        <w:rPr>
          <w:b/>
        </w:rPr>
        <w:t>п</w:t>
      </w:r>
      <w:r w:rsidRPr="00293509">
        <w:rPr>
          <w:b/>
        </w:rPr>
        <w:t>лять сотрудничество с Международным комитетом Красного Креста и Специальным представителем Генерального секретаря по вопросу о детях и вооруженных конфликтах, а также изучать возможности для расширения сотрудничества с Детским фондом Организации Объединенных Наций и другими структурами Организации Объединенных Наций в рамках ос</w:t>
      </w:r>
      <w:r w:rsidRPr="00293509">
        <w:rPr>
          <w:b/>
        </w:rPr>
        <w:t>у</w:t>
      </w:r>
      <w:r w:rsidRPr="00293509">
        <w:rPr>
          <w:b/>
        </w:rPr>
        <w:t>ществления Факультативного протокола</w:t>
      </w:r>
      <w:r w:rsidRPr="00BB5DC0">
        <w:t>.</w:t>
      </w:r>
    </w:p>
    <w:p w:rsidR="00BB5DC0" w:rsidRPr="00BB5DC0" w:rsidRDefault="00293509" w:rsidP="00293509">
      <w:pPr>
        <w:pStyle w:val="HChGR"/>
      </w:pPr>
      <w:r>
        <w:rPr>
          <w:lang w:val="en-US"/>
        </w:rPr>
        <w:lastRenderedPageBreak/>
        <w:tab/>
      </w:r>
      <w:r w:rsidR="00BB5DC0" w:rsidRPr="00BB5DC0">
        <w:t>VIII.</w:t>
      </w:r>
      <w:r w:rsidR="00BB5DC0" w:rsidRPr="00BB5DC0">
        <w:tab/>
        <w:t xml:space="preserve">Ратификация Факультативного протокола, касающегося процедуры сообщений 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27.</w:t>
      </w:r>
      <w:r w:rsidRPr="00BB5DC0">
        <w:tab/>
      </w:r>
      <w:r w:rsidRPr="00293509">
        <w:rPr>
          <w:b/>
        </w:rPr>
        <w:t>Комитет рекомендует государству-участнику ратифицировать Ф</w:t>
      </w:r>
      <w:r w:rsidRPr="00293509">
        <w:rPr>
          <w:b/>
        </w:rPr>
        <w:t>а</w:t>
      </w:r>
      <w:r w:rsidRPr="00293509">
        <w:rPr>
          <w:b/>
        </w:rPr>
        <w:t>культативный протокол к Конвенции о правах ребенка, касающийся пр</w:t>
      </w:r>
      <w:r w:rsidRPr="00293509">
        <w:rPr>
          <w:b/>
        </w:rPr>
        <w:t>о</w:t>
      </w:r>
      <w:r w:rsidRPr="00293509">
        <w:rPr>
          <w:b/>
        </w:rPr>
        <w:t>цедуры сообщений, в целях дальнейшего повышения эффективности раб</w:t>
      </w:r>
      <w:r w:rsidRPr="00293509">
        <w:rPr>
          <w:b/>
        </w:rPr>
        <w:t>о</w:t>
      </w:r>
      <w:r w:rsidRPr="00293509">
        <w:rPr>
          <w:b/>
        </w:rPr>
        <w:t>ты по осущест</w:t>
      </w:r>
      <w:r w:rsidRPr="00293509">
        <w:rPr>
          <w:b/>
        </w:rPr>
        <w:t>в</w:t>
      </w:r>
      <w:r w:rsidRPr="00293509">
        <w:rPr>
          <w:b/>
        </w:rPr>
        <w:t>лению прав детей</w:t>
      </w:r>
      <w:r w:rsidRPr="00BB5DC0">
        <w:t xml:space="preserve">. </w:t>
      </w:r>
    </w:p>
    <w:p w:rsidR="00BB5DC0" w:rsidRPr="00BB5DC0" w:rsidRDefault="00293509" w:rsidP="00293509">
      <w:pPr>
        <w:pStyle w:val="HChGR"/>
      </w:pPr>
      <w:r>
        <w:rPr>
          <w:lang w:val="en-US"/>
        </w:rPr>
        <w:tab/>
      </w:r>
      <w:r w:rsidR="00BB5DC0" w:rsidRPr="00BB5DC0">
        <w:t>IX.</w:t>
      </w:r>
      <w:r w:rsidR="00BB5DC0" w:rsidRPr="00BB5DC0">
        <w:tab/>
        <w:t>Последующие меры и распространение информации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28.</w:t>
      </w:r>
      <w:r w:rsidRPr="00BB5DC0">
        <w:tab/>
      </w:r>
      <w:r w:rsidRPr="00293509">
        <w:rPr>
          <w:b/>
        </w:rPr>
        <w:t>Комитет рекомендует государству-участнику принять все надлеж</w:t>
      </w:r>
      <w:r w:rsidRPr="00293509">
        <w:rPr>
          <w:b/>
        </w:rPr>
        <w:t>а</w:t>
      </w:r>
      <w:r w:rsidRPr="00293509">
        <w:rPr>
          <w:b/>
        </w:rPr>
        <w:t>щие меры для обеспечения всестороннего осуществления рекомендаций, содержащихся в настоящих заключительных замечаниях, в частности пр</w:t>
      </w:r>
      <w:r w:rsidRPr="00293509">
        <w:rPr>
          <w:b/>
        </w:rPr>
        <w:t>е</w:t>
      </w:r>
      <w:r w:rsidRPr="00293509">
        <w:rPr>
          <w:b/>
        </w:rPr>
        <w:t>проводив их парламенту, соответствующим министерствам, включая М</w:t>
      </w:r>
      <w:r w:rsidRPr="00293509">
        <w:rPr>
          <w:b/>
        </w:rPr>
        <w:t>и</w:t>
      </w:r>
      <w:r w:rsidRPr="00293509">
        <w:rPr>
          <w:b/>
        </w:rPr>
        <w:t>нистерство обороны, Верховному суду и местным органам власти для надлежащего рассмотр</w:t>
      </w:r>
      <w:r w:rsidRPr="00293509">
        <w:rPr>
          <w:b/>
        </w:rPr>
        <w:t>е</w:t>
      </w:r>
      <w:r w:rsidRPr="00293509">
        <w:rPr>
          <w:b/>
        </w:rPr>
        <w:t xml:space="preserve">ния и </w:t>
      </w:r>
      <w:proofErr w:type="gramStart"/>
      <w:r w:rsidRPr="00293509">
        <w:rPr>
          <w:b/>
        </w:rPr>
        <w:t>принятия</w:t>
      </w:r>
      <w:proofErr w:type="gramEnd"/>
      <w:r w:rsidRPr="00293509">
        <w:rPr>
          <w:b/>
        </w:rPr>
        <w:t xml:space="preserve"> дальнейших</w:t>
      </w:r>
      <w:r w:rsidR="00DB58AF">
        <w:rPr>
          <w:b/>
        </w:rPr>
        <w:t xml:space="preserve"> </w:t>
      </w:r>
      <w:r w:rsidRPr="00293509">
        <w:rPr>
          <w:b/>
        </w:rPr>
        <w:t>мер</w:t>
      </w:r>
      <w:r w:rsidRPr="00BB5DC0">
        <w:t>.</w:t>
      </w:r>
    </w:p>
    <w:p w:rsidR="00BB5DC0" w:rsidRPr="00BB5DC0" w:rsidRDefault="00BB5DC0" w:rsidP="00BB5DC0">
      <w:pPr>
        <w:pStyle w:val="SingleTxtGR"/>
        <w:rPr>
          <w:b/>
        </w:rPr>
      </w:pPr>
      <w:r w:rsidRPr="00BB5DC0">
        <w:t>29.</w:t>
      </w:r>
      <w:r w:rsidRPr="00BB5DC0">
        <w:tab/>
      </w:r>
      <w:r w:rsidRPr="00293509">
        <w:rPr>
          <w:b/>
        </w:rPr>
        <w:t>Комитет также рекомендует государству-участнику обеспечить ш</w:t>
      </w:r>
      <w:r w:rsidRPr="00293509">
        <w:rPr>
          <w:b/>
        </w:rPr>
        <w:t>и</w:t>
      </w:r>
      <w:r w:rsidRPr="00293509">
        <w:rPr>
          <w:b/>
        </w:rPr>
        <w:t>рокое распространение доклада, письменных ответов на перечень вопросов и настоящих заключительных замечаний, в том числе (но не исключител</w:t>
      </w:r>
      <w:r w:rsidRPr="00293509">
        <w:rPr>
          <w:b/>
        </w:rPr>
        <w:t>ь</w:t>
      </w:r>
      <w:r w:rsidRPr="00293509">
        <w:rPr>
          <w:b/>
        </w:rPr>
        <w:t>но) через Интернет, среди общественности в целом, организаций гражда</w:t>
      </w:r>
      <w:r w:rsidRPr="00293509">
        <w:rPr>
          <w:b/>
        </w:rPr>
        <w:t>н</w:t>
      </w:r>
      <w:r w:rsidRPr="00293509">
        <w:rPr>
          <w:b/>
        </w:rPr>
        <w:t xml:space="preserve">ского общества, молодежных групп, профессиональных групп и детей, с </w:t>
      </w:r>
      <w:proofErr w:type="gramStart"/>
      <w:r w:rsidRPr="00293509">
        <w:rPr>
          <w:b/>
        </w:rPr>
        <w:t>тем</w:t>
      </w:r>
      <w:proofErr w:type="gramEnd"/>
      <w:r w:rsidRPr="00293509">
        <w:rPr>
          <w:b/>
        </w:rPr>
        <w:t xml:space="preserve"> чтобы стимулир</w:t>
      </w:r>
      <w:r w:rsidRPr="00293509">
        <w:rPr>
          <w:b/>
        </w:rPr>
        <w:t>о</w:t>
      </w:r>
      <w:r w:rsidRPr="00293509">
        <w:rPr>
          <w:b/>
        </w:rPr>
        <w:t>вать дискуссию и информационно-просветительскую работу по вопросам Факультативного протокола, его осуществления и м</w:t>
      </w:r>
      <w:r w:rsidRPr="00293509">
        <w:rPr>
          <w:b/>
        </w:rPr>
        <w:t>о</w:t>
      </w:r>
      <w:r w:rsidRPr="00293509">
        <w:rPr>
          <w:b/>
        </w:rPr>
        <w:t>ниторинга</w:t>
      </w:r>
      <w:r w:rsidRPr="00BB5DC0">
        <w:t>.</w:t>
      </w:r>
    </w:p>
    <w:p w:rsidR="00BB5DC0" w:rsidRPr="00BB5DC0" w:rsidRDefault="00293509" w:rsidP="00293509">
      <w:pPr>
        <w:pStyle w:val="HChGR"/>
      </w:pPr>
      <w:r>
        <w:rPr>
          <w:lang w:val="en-US"/>
        </w:rPr>
        <w:tab/>
      </w:r>
      <w:r w:rsidR="00BB5DC0" w:rsidRPr="00BB5DC0">
        <w:t>X.</w:t>
      </w:r>
      <w:r w:rsidR="00BB5DC0" w:rsidRPr="00BB5DC0">
        <w:tab/>
        <w:t xml:space="preserve">Следующий доклад </w:t>
      </w:r>
    </w:p>
    <w:p w:rsidR="00381C24" w:rsidRPr="00BB5DC0" w:rsidRDefault="00BB5DC0" w:rsidP="00BB5DC0">
      <w:pPr>
        <w:pStyle w:val="SingleTxtGR"/>
      </w:pPr>
      <w:r w:rsidRPr="00BB5DC0">
        <w:t>30.</w:t>
      </w:r>
      <w:r w:rsidRPr="00BB5DC0">
        <w:tab/>
      </w:r>
      <w:r w:rsidRPr="00293509">
        <w:rPr>
          <w:b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293509">
        <w:rPr>
          <w:b/>
        </w:rPr>
        <w:t>р</w:t>
      </w:r>
      <w:r w:rsidRPr="00293509">
        <w:rPr>
          <w:b/>
        </w:rPr>
        <w:t>мацию об осуществлении Факультативного протокола и настоящих закл</w:t>
      </w:r>
      <w:r w:rsidRPr="00293509">
        <w:rPr>
          <w:b/>
        </w:rPr>
        <w:t>ю</w:t>
      </w:r>
      <w:r w:rsidRPr="00293509">
        <w:rPr>
          <w:b/>
        </w:rPr>
        <w:t>чительных замечаний в его следующий периодический доклад по Конве</w:t>
      </w:r>
      <w:r w:rsidRPr="00293509">
        <w:rPr>
          <w:b/>
        </w:rPr>
        <w:t>н</w:t>
      </w:r>
      <w:r w:rsidRPr="00293509">
        <w:rPr>
          <w:b/>
        </w:rPr>
        <w:t>ции о правах ребенка, подлежащий представлению в соответствии со ст</w:t>
      </w:r>
      <w:r w:rsidRPr="00293509">
        <w:rPr>
          <w:b/>
        </w:rPr>
        <w:t>а</w:t>
      </w:r>
      <w:r w:rsidRPr="00293509">
        <w:rPr>
          <w:b/>
        </w:rPr>
        <w:t>тьей 44 Конвенции</w:t>
      </w:r>
      <w:r w:rsidRPr="00BB5DC0">
        <w:t>.</w:t>
      </w:r>
    </w:p>
    <w:p w:rsidR="00BB5DC0" w:rsidRPr="00BB5DC0" w:rsidRDefault="00BB5DC0" w:rsidP="00BB5DC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5DC0" w:rsidRPr="00BB5DC0" w:rsidSect="00BB5D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B0" w:rsidRPr="00A312BC" w:rsidRDefault="002D1DB0" w:rsidP="00A312BC"/>
  </w:endnote>
  <w:endnote w:type="continuationSeparator" w:id="0">
    <w:p w:rsidR="002D1DB0" w:rsidRPr="00A312BC" w:rsidRDefault="002D1D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C0" w:rsidRPr="00BB5DC0" w:rsidRDefault="00BB5DC0">
    <w:pPr>
      <w:pStyle w:val="a8"/>
    </w:pPr>
    <w:r w:rsidRPr="00BB5DC0">
      <w:rPr>
        <w:b/>
        <w:sz w:val="18"/>
      </w:rPr>
      <w:fldChar w:fldCharType="begin"/>
    </w:r>
    <w:r w:rsidRPr="00BB5DC0">
      <w:rPr>
        <w:b/>
        <w:sz w:val="18"/>
      </w:rPr>
      <w:instrText xml:space="preserve"> PAGE  \* MERGEFORMAT </w:instrText>
    </w:r>
    <w:r w:rsidRPr="00BB5DC0">
      <w:rPr>
        <w:b/>
        <w:sz w:val="18"/>
      </w:rPr>
      <w:fldChar w:fldCharType="separate"/>
    </w:r>
    <w:r w:rsidR="00377A4D">
      <w:rPr>
        <w:b/>
        <w:noProof/>
        <w:sz w:val="18"/>
      </w:rPr>
      <w:t>4</w:t>
    </w:r>
    <w:r w:rsidRPr="00BB5DC0">
      <w:rPr>
        <w:b/>
        <w:sz w:val="18"/>
      </w:rPr>
      <w:fldChar w:fldCharType="end"/>
    </w:r>
    <w:r>
      <w:rPr>
        <w:b/>
        <w:sz w:val="18"/>
      </w:rPr>
      <w:tab/>
    </w:r>
    <w:r>
      <w:t>GE.17-04170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C0" w:rsidRPr="00BB5DC0" w:rsidRDefault="00BB5DC0" w:rsidP="00BB5DC0">
    <w:pPr>
      <w:pStyle w:val="a8"/>
      <w:tabs>
        <w:tab w:val="clear" w:pos="9639"/>
        <w:tab w:val="right" w:pos="9638"/>
      </w:tabs>
      <w:rPr>
        <w:b/>
        <w:sz w:val="18"/>
      </w:rPr>
    </w:pPr>
    <w:r>
      <w:t>GE.17-04170</w:t>
    </w:r>
    <w:r>
      <w:tab/>
    </w:r>
    <w:r w:rsidRPr="00BB5DC0">
      <w:rPr>
        <w:b/>
        <w:sz w:val="18"/>
      </w:rPr>
      <w:fldChar w:fldCharType="begin"/>
    </w:r>
    <w:r w:rsidRPr="00BB5DC0">
      <w:rPr>
        <w:b/>
        <w:sz w:val="18"/>
      </w:rPr>
      <w:instrText xml:space="preserve"> PAGE  \* MERGEFORMAT </w:instrText>
    </w:r>
    <w:r w:rsidRPr="00BB5DC0">
      <w:rPr>
        <w:b/>
        <w:sz w:val="18"/>
      </w:rPr>
      <w:fldChar w:fldCharType="separate"/>
    </w:r>
    <w:r w:rsidR="00377A4D">
      <w:rPr>
        <w:b/>
        <w:noProof/>
        <w:sz w:val="18"/>
      </w:rPr>
      <w:t>5</w:t>
    </w:r>
    <w:r w:rsidRPr="00BB5D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B5DC0" w:rsidRDefault="00BB5DC0" w:rsidP="00BB5DC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B43ECBA" wp14:editId="27DD80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17-04170  (R)</w:t>
    </w:r>
    <w:r w:rsidR="00DB58AF">
      <w:rPr>
        <w:lang w:val="en-US"/>
      </w:rPr>
      <w:t xml:space="preserve">  230317  230317</w:t>
    </w:r>
    <w:r>
      <w:br/>
    </w:r>
    <w:r w:rsidRPr="00BB5DC0">
      <w:rPr>
        <w:rFonts w:ascii="C39T30Lfz" w:hAnsi="C39T30Lfz"/>
        <w:spacing w:val="0"/>
        <w:w w:val="100"/>
        <w:sz w:val="56"/>
      </w:rPr>
      <w:t></w:t>
    </w:r>
    <w:r w:rsidRPr="00BB5DC0">
      <w:rPr>
        <w:rFonts w:ascii="C39T30Lfz" w:hAnsi="C39T30Lfz"/>
        <w:spacing w:val="0"/>
        <w:w w:val="100"/>
        <w:sz w:val="56"/>
      </w:rPr>
      <w:t></w:t>
    </w:r>
    <w:r w:rsidRPr="00BB5DC0">
      <w:rPr>
        <w:rFonts w:ascii="C39T30Lfz" w:hAnsi="C39T30Lfz"/>
        <w:spacing w:val="0"/>
        <w:w w:val="100"/>
        <w:sz w:val="56"/>
      </w:rPr>
      <w:t></w:t>
    </w:r>
    <w:r w:rsidRPr="00BB5DC0">
      <w:rPr>
        <w:rFonts w:ascii="C39T30Lfz" w:hAnsi="C39T30Lfz"/>
        <w:spacing w:val="0"/>
        <w:w w:val="100"/>
        <w:sz w:val="56"/>
      </w:rPr>
      <w:t></w:t>
    </w:r>
    <w:r w:rsidRPr="00BB5DC0">
      <w:rPr>
        <w:rFonts w:ascii="C39T30Lfz" w:hAnsi="C39T30Lfz"/>
        <w:spacing w:val="0"/>
        <w:w w:val="100"/>
        <w:sz w:val="56"/>
      </w:rPr>
      <w:t></w:t>
    </w:r>
    <w:r w:rsidRPr="00BB5DC0">
      <w:rPr>
        <w:rFonts w:ascii="C39T30Lfz" w:hAnsi="C39T30Lfz"/>
        <w:spacing w:val="0"/>
        <w:w w:val="100"/>
        <w:sz w:val="56"/>
      </w:rPr>
      <w:t></w:t>
    </w:r>
    <w:r w:rsidRPr="00BB5DC0">
      <w:rPr>
        <w:rFonts w:ascii="C39T30Lfz" w:hAnsi="C39T30Lfz"/>
        <w:spacing w:val="0"/>
        <w:w w:val="100"/>
        <w:sz w:val="56"/>
      </w:rPr>
      <w:t></w:t>
    </w:r>
    <w:r w:rsidRPr="00BB5DC0">
      <w:rPr>
        <w:rFonts w:ascii="C39T30Lfz" w:hAnsi="C39T30Lfz"/>
        <w:spacing w:val="0"/>
        <w:w w:val="100"/>
        <w:sz w:val="56"/>
      </w:rPr>
      <w:t></w:t>
    </w:r>
    <w:r w:rsidRPr="00BB5DC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778EDC10" wp14:editId="3E9D3B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RC/C/OPAC/MWI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OPAC/MWI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B0" w:rsidRPr="001075E9" w:rsidRDefault="002D1D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1DB0" w:rsidRDefault="002D1D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5DC0" w:rsidRPr="0072238A" w:rsidRDefault="00BB5DC0" w:rsidP="00BB5DC0">
      <w:pPr>
        <w:pStyle w:val="ad"/>
        <w:rPr>
          <w:lang w:val="ru-RU"/>
        </w:rPr>
      </w:pPr>
      <w:r>
        <w:rPr>
          <w:lang w:val="ru-RU"/>
        </w:rPr>
        <w:tab/>
      </w:r>
      <w:r w:rsidRPr="00DB58AF">
        <w:rPr>
          <w:sz w:val="20"/>
          <w:lang w:val="ru-RU"/>
        </w:rPr>
        <w:t>*</w:t>
      </w:r>
      <w:r>
        <w:rPr>
          <w:lang w:val="ru-RU"/>
        </w:rPr>
        <w:tab/>
        <w:t xml:space="preserve">Принято Комитетом на его семьдесят четвертой сессии (16 января – 3 февраля </w:t>
      </w:r>
      <w:r w:rsidR="0007182E" w:rsidRPr="0007182E">
        <w:rPr>
          <w:lang w:val="ru-RU"/>
        </w:rPr>
        <w:br/>
      </w:r>
      <w:r>
        <w:rPr>
          <w:lang w:val="ru-RU"/>
        </w:rPr>
        <w:t>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C0" w:rsidRPr="00BB5DC0" w:rsidRDefault="00BB5DC0">
    <w:pPr>
      <w:pStyle w:val="a5"/>
    </w:pPr>
    <w:fldSimple w:instr=" TITLE  \* MERGEFORMAT ">
      <w:r w:rsidR="00377A4D">
        <w:t>CRC/C/OPAC/MWI/CO/1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C0" w:rsidRPr="00BB5DC0" w:rsidRDefault="00BB5DC0" w:rsidP="00BB5DC0">
    <w:pPr>
      <w:pStyle w:val="a5"/>
      <w:jc w:val="right"/>
    </w:pPr>
    <w:fldSimple w:instr=" TITLE  \* MERGEFORMAT ">
      <w:r w:rsidR="00377A4D">
        <w:t>CRC/C/OPAC/MWI/CO/1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B0"/>
    <w:rsid w:val="00033EE1"/>
    <w:rsid w:val="00042B72"/>
    <w:rsid w:val="000558BD"/>
    <w:rsid w:val="0007182E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93509"/>
    <w:rsid w:val="002A2EFC"/>
    <w:rsid w:val="002B0FF6"/>
    <w:rsid w:val="002B74B1"/>
    <w:rsid w:val="002C0E18"/>
    <w:rsid w:val="002D1DB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61C54"/>
    <w:rsid w:val="00377A4D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77E4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B5DC0"/>
    <w:rsid w:val="00BC18B2"/>
    <w:rsid w:val="00BD33EE"/>
    <w:rsid w:val="00C106D6"/>
    <w:rsid w:val="00C217E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B58AF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5</Pages>
  <Words>1349</Words>
  <Characters>10265</Characters>
  <Application>Microsoft Office Word</Application>
  <DocSecurity>0</DocSecurity>
  <Lines>1466</Lines>
  <Paragraphs>446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CRC/C/OPAC/MWI/CO/1</vt:lpstr>
      <vt:lpstr>A/</vt:lpstr>
    </vt:vector>
  </TitlesOfParts>
  <Company>DCM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CRC/C/OPAC/MWI/CO/1</dc:title>
  <dc:subject/>
  <dc:creator>Prokoudina S.</dc:creator>
  <cp:keywords/>
  <cp:lastModifiedBy>Prokoudina S.</cp:lastModifiedBy>
  <cp:revision>3</cp:revision>
  <cp:lastPrinted>2017-03-23T14:54:00Z</cp:lastPrinted>
  <dcterms:created xsi:type="dcterms:W3CDTF">2017-03-23T14:54:00Z</dcterms:created>
  <dcterms:modified xsi:type="dcterms:W3CDTF">2017-03-23T14:55:00Z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