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04.65pt;width:198pt;height:19.85pt;z-index:1;mso-position-horizontal-relative:page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</w:t>
                  </w:r>
                  <w:r>
                    <w:t>5</w:t>
                  </w:r>
                  <w:r>
                    <w:rPr>
                      <w:lang w:val="en-US"/>
                    </w:rPr>
                    <w:t>0</w:t>
                  </w:r>
                  <w: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</w:t>
                  </w:r>
                  <w:r>
                    <w:t>150507    150507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444068757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CRC/C/OPAC/KGZ/CO/1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</w:rPr>
              <w:t xml:space="preserve">2 </w:t>
            </w:r>
            <w:r>
              <w:rPr>
                <w:sz w:val="22"/>
                <w:lang w:val="en-US"/>
              </w:rPr>
              <w:t>May</w:t>
            </w:r>
            <w:r>
              <w:rPr>
                <w:sz w:val="22"/>
              </w:rPr>
              <w:t xml:space="preserve">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</w:tc>
      </w:tr>
    </w:tbl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КОМИТЕТ ПО ПРАВАМ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Сорок четвертая сессия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8 ФАКУЛЬТАТИВНОГО ПРОТОКОЛА К КОНВЕНЦИИ О ПРАВАХ РЕБЕНКА, КАСАЮЩЕГОСЯ УЧАСТИЯ ДЕТЕЙ В ВООРУЖЕННЫХ КОНФЛИКТАХ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замечания:  Кыргызстан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первоначальный доклад Кыргызстана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OP</w:t>
      </w:r>
      <w:r>
        <w:t>AC/</w:t>
      </w:r>
      <w:r>
        <w:rPr>
          <w:lang w:val="en-US"/>
        </w:rPr>
        <w:t>KGZ</w:t>
      </w:r>
      <w:r>
        <w:t xml:space="preserve">/1) на своем 1220-м заседании (см. 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.1220), состоявшемся 29 января 2007 года, и на своем 1228-м заседании, состоявшемся 2 февраля 2007 года, и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первоначального доклада государства-участника;  вместе с тем он выражает сожаление, что доклад не соответствует установленным руководящим принципам в отношении подготовки докладов.  Комитет также с удовлетворением отмечает письменные ответы на его перечень вопросов и конструктивный диалог с делегацией высокого уровня.</w:t>
      </w:r>
    </w:p>
    <w:p w:rsidR="00000000" w:rsidRDefault="00000000"/>
    <w:p w:rsidR="00000000" w:rsidRDefault="00000000">
      <w:r>
        <w:t>3.</w:t>
      </w:r>
      <w:r>
        <w:tab/>
        <w:t>Комитет напоминает государству-участнику, что настоящие заключительные замечания следует рассматривать вместе с его предыдущими заключительными замечаниями, принятыми 1 октября 2004 года по второму периодическому докладу государства-участника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/15/</w:t>
      </w:r>
      <w:r>
        <w:rPr>
          <w:lang w:val="en-US"/>
        </w:rPr>
        <w:t>Add</w:t>
      </w:r>
      <w:r>
        <w:t>.244).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 xml:space="preserve">. </w:t>
      </w:r>
      <w:r>
        <w:rPr>
          <w:b/>
          <w:bCs/>
        </w:rPr>
        <w:tab/>
        <w:t>Позитивные аспекты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keepNext/>
      </w:pPr>
      <w:r>
        <w:t>4.</w:t>
      </w:r>
      <w:r>
        <w:tab/>
        <w:t>Комитет с удовлетворением отмечает следующее:</w:t>
      </w:r>
    </w:p>
    <w:p w:rsidR="00000000" w:rsidRDefault="00000000"/>
    <w:p w:rsidR="00000000" w:rsidRDefault="00000000">
      <w:r>
        <w:tab/>
        <w:t>a)</w:t>
      </w:r>
      <w:r>
        <w:tab/>
        <w:t>ратификацию семи договоров по правам человека;</w:t>
      </w:r>
    </w:p>
    <w:p w:rsidR="00000000" w:rsidRDefault="00000000"/>
    <w:p w:rsidR="00000000" w:rsidRDefault="00000000">
      <w:pPr>
        <w:ind w:left="1134" w:hanging="1134"/>
      </w:pPr>
      <w:r>
        <w:rPr>
          <w:lang w:val="en-US"/>
        </w:rPr>
        <w:tab/>
        <w:t>b</w:t>
      </w:r>
      <w:r>
        <w:t>)</w:t>
      </w:r>
      <w:r>
        <w:tab/>
        <w:t>ратификацию в 2004 году Конвенции № 182 МОТ о запрещении и немедленных мерах по искоренению наихудших форм детского труда (1999</w:t>
      </w:r>
      <w:r>
        <w:rPr>
          <w:lang w:val="en-US"/>
        </w:rPr>
        <w:t> </w:t>
      </w:r>
      <w:r>
        <w:t>года);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с)</w:t>
      </w:r>
      <w:r>
        <w:tab/>
        <w:t>принятие в июне 2006 года Кодекса Кыргызской Республики о детях.</w:t>
      </w:r>
    </w:p>
    <w:p w:rsidR="00000000" w:rsidRDefault="00000000">
      <w:pPr>
        <w:ind w:left="1134" w:hanging="1134"/>
      </w:pPr>
    </w:p>
    <w:p w:rsidR="00000000" w:rsidRDefault="00000000">
      <w:r>
        <w:t>5.</w:t>
      </w:r>
      <w:r>
        <w:tab/>
        <w:t>Комитет приветствует тот факт, что возраст призыва на обязательную военную службу составляет 18 лет и что от этого правила не допускается никаких отступлений, а также то, что статья 124 Уголовного кодекса предусматривает меры уголовного наказания за использование несовершеннолетних в вооруженных конфликтах.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Основные проблемы, вызывающие озабоченность,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Общие меры по осуществлению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Законодательство</w:t>
      </w:r>
    </w:p>
    <w:p w:rsidR="00000000" w:rsidRDefault="00000000">
      <w:pPr>
        <w:rPr>
          <w:b/>
          <w:bCs/>
        </w:rPr>
      </w:pPr>
    </w:p>
    <w:p w:rsidR="00000000" w:rsidRDefault="00000000">
      <w:r>
        <w:t>6.</w:t>
      </w:r>
      <w:r>
        <w:tab/>
        <w:t>Комитет обеспокоен отсутствием каких-либо конкретных положений, предусматривающих экстерриториальную юрисдикцию в случае вербовки ребенка - гражданина Кыргызстана за пределами страны или вербовки детей кыргызским гражданином или лицом, имеющим другие связи с государством-участником, за пределами Кыргызстана.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В целях укрепления национальных и международных мер по предупреждению вербовки детей в вооруженные силы или вооруженные группы и их использования в военных действиях Комитет рекомендует государству-участнику: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tab/>
      </w:r>
      <w:r>
        <w:rPr>
          <w:b/>
          <w:bCs/>
        </w:rPr>
        <w:t>а)</w:t>
      </w:r>
      <w:r>
        <w:rPr>
          <w:b/>
          <w:bCs/>
        </w:rPr>
        <w:tab/>
        <w:t>установить экстерриториальную юрисдикцию за нарушения положений Факультативного протокола, касающихся вербовки или участия детей в военных действиях, когда они совершаются лицом или в отношении лица, которое является гражданином государства-участника или имеет с ним другие связи;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с помощью законодательства обеспечить, чтобы военный персонал не предпринимал никаких действий, которые нарушают права, закрепленные в Факультативном протоколе, независимо от какого бы то ни было военного приказа на этот счет.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8.</w:t>
      </w:r>
      <w:r>
        <w:tab/>
        <w:t>Комитет обеспокоен тем, что стрелковое оружие и легкие вооружения могут экспортироваться в страны, в которых лица, не достигшие 18-летнего возраста, принимают прямое участие в военных действиях в качестве военнослужащих национальных вооруженных сил или групп, отличных от вооруженных сил государства.</w:t>
      </w:r>
    </w:p>
    <w:p w:rsidR="00000000" w:rsidRDefault="00000000"/>
    <w:p w:rsidR="00000000" w:rsidRDefault="00000000">
      <w:pPr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пересмотреть свое законодательство с целью отказа от практики продажи стрелкового оружия и легких вооружений в страны, где имеет или недавно имел место вооруженный конфликт с возможным участием детей.  В этой связи Комитет рекомендует государству-участнику сообщить в своем следующем периодическом докладе о том, какие изменения были внесены во внутреннее законодательство и каким образом осуществление этих изменений способствует прекращению поставок стрелкового оружия этим странам.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Координация и оценка осуществления Факультативного протокола</w:t>
      </w:r>
    </w:p>
    <w:p w:rsidR="00000000" w:rsidRDefault="00000000">
      <w:pPr>
        <w:rPr>
          <w:b/>
          <w:bCs/>
        </w:rPr>
      </w:pPr>
    </w:p>
    <w:p w:rsidR="00000000" w:rsidRDefault="00000000">
      <w:r>
        <w:t>10.</w:t>
      </w:r>
      <w:r>
        <w:tab/>
        <w:t>Комитет приветствует представленную государством-участником информацию о том, что в настоящее время обсуждается вопрос о создании постоянного механизма для координации политики и деятельности по вопросам прав детей.</w:t>
      </w:r>
    </w:p>
    <w:p w:rsidR="00000000" w:rsidRDefault="00000000"/>
    <w:p w:rsidR="00000000" w:rsidRDefault="00000000">
      <w:pPr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 на оперативной основе создать постоянный механизм для координации политики и деятельности по вопросам прав детей.  Этот механизм должен предусматривать, в частности, надлежащую и эффективную координацию и регулярную оценку осуществления Факультативного протокола.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Распространение информации и подготовка кадров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12.</w:t>
      </w:r>
      <w:r>
        <w:tab/>
      </w:r>
      <w:r>
        <w:rPr>
          <w:b/>
          <w:bCs/>
        </w:rPr>
        <w:t>Хотя Комитет отмечает, что проблематика Факультативного протокола включена в учебные программы военных училищ, он рекомендует государству-участнику обеспечить широкое распространение положений Конвенции и Факультативного протокола к ней среди детей и их родителей.  Комитет также рекомендует государству-участнику организовывать систематические информационно-просветительские кампании, образование и профессиональную подготовку по вопросам положений Факультативного протокола для всех соответствующих групп специалистов (таких, как преподаватели, специалисты системы здравоохранения, социальные работники, адвокаты, судьи и военный персонал), включая лиц, работающих с детьми - просителями убежища, детьми-беженцами и детьми-мигрантами, которые могут быть завербованы или использованы в военных действиях.  Государству-участнику предлагается представить информацию на этот счет в своем следующем докладе.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 xml:space="preserve">Вербовка детей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Военные училища</w:t>
      </w:r>
    </w:p>
    <w:p w:rsidR="00000000" w:rsidRDefault="00000000">
      <w:pPr>
        <w:rPr>
          <w:b/>
          <w:bCs/>
        </w:rPr>
      </w:pPr>
    </w:p>
    <w:p w:rsidR="00000000" w:rsidRDefault="00000000">
      <w:r>
        <w:t>13.</w:t>
      </w:r>
      <w:r>
        <w:tab/>
        <w:t>Комитет обеспокоен отсутствием информации о каком-либо механизме, уполномоченном получать и расследовать жалобы учащихся военных училищ.  Кроме того, Комитет обеспокоен отсутствием достаточной информации об обучении обращению с оружием в обычных школах для учащихся 11 класса.</w:t>
      </w:r>
    </w:p>
    <w:p w:rsidR="00000000" w:rsidRDefault="00000000"/>
    <w:p w:rsidR="00000000" w:rsidRDefault="00000000">
      <w:pPr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обеспечить, чтобы все дети, обучающиеся в военных училищах, получали образование в соответствии с положениями Конвенции, в частности статьями 28 и 29, при надлежащем учете его Замечания общего порядка № 1 о целях образования.  Он также рекомендует, чтобы дети, обучающиеся в таких училищах, имели доступ к механизмам получения и расследования жалоб и чтобы государство-участник представило дополнительную информацию об обучении обращению с оружием в обычных школах.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567" w:hanging="567"/>
        <w:jc w:val="center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Меры, принимаемые в области разоружения, демобилизации, восстановления физического и психологического </w:t>
      </w:r>
      <w:r>
        <w:rPr>
          <w:b/>
          <w:bCs/>
          <w:lang w:val="en-US"/>
        </w:rPr>
        <w:t>c</w:t>
      </w:r>
      <w:r>
        <w:rPr>
          <w:b/>
          <w:bCs/>
        </w:rPr>
        <w:t>остояния и социальной реинтеграции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Меры в области восстановления и социальной реинтеграции</w:t>
      </w:r>
    </w:p>
    <w:p w:rsidR="00000000" w:rsidRDefault="00000000">
      <w:pPr>
        <w:rPr>
          <w:b/>
          <w:bCs/>
        </w:rPr>
      </w:pPr>
    </w:p>
    <w:p w:rsidR="00000000" w:rsidRDefault="00000000">
      <w:r>
        <w:t>15.</w:t>
      </w:r>
      <w:r>
        <w:tab/>
        <w:t>Комитет приветствует информацию о том, что услуги в области оказания медицинской помощи и образования для детей-беженцев являются составной частью государственной политики и что государство-участник тесно сотрудничает в этой связи со Всемирной организацией здравоохранения (ВОЗ) и Управлением Верховного комиссара Организации Объединенных Наций по делам беженцев (УВКБ).  Кроме того, Комитет принимает к сведению существование дневных и вечерних школ для детей</w:t>
      </w:r>
      <w:r>
        <w:noBreakHyphen/>
        <w:t>беженцев, пострадавших в результате вооруженных конфликтов.</w:t>
      </w:r>
    </w:p>
    <w:p w:rsidR="00000000" w:rsidRDefault="00000000"/>
    <w:p w:rsidR="00000000" w:rsidRDefault="00000000">
      <w:pPr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призывает государство-участник по</w:t>
      </w:r>
      <w:r>
        <w:rPr>
          <w:b/>
          <w:bCs/>
        </w:rPr>
        <w:noBreakHyphen/>
        <w:t>прежнему обеспечивать и по необходимости усиливать защиту проживающих в Кыргызстане детей - просителей убежища, детей-беженцев и детей-мигрантов, которые могли быть завербованы или использованы в военных действиях в их стране происхождения, посредством принятия, в частности, следующих мер: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a)</w:t>
      </w:r>
      <w:r>
        <w:rPr>
          <w:b/>
          <w:bCs/>
        </w:rPr>
        <w:tab/>
        <w:t>систематического сбора данных о находящихся под его юрисдикцией детях-беженцах, детях - просителях убежища и детях-мигрантах, которые могли участвовать в военных действиях в своей родной стране.  В этой связи Комитет рекомендует государству-участнику принять во внимание разработанное Комитетом Замечание общего порядка № 6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GC</w:t>
      </w:r>
      <w:r>
        <w:rPr>
          <w:b/>
          <w:bCs/>
        </w:rPr>
        <w:t>/2005/6) об обращении с несопровождаемыми и разлученными детьми за пределами страны их происхождения;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  <w:t>предоставления детям, бежавшим со своими семьями или без них, статуса беженцев или другого статуса, который сделал бы возможным их социальную интеграцию в кыргызское общество и обеспечил бы им равный доступ к услугам в области образования, здравоохранения и другим социальным услугам;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c)</w:t>
      </w:r>
      <w:r>
        <w:rPr>
          <w:b/>
          <w:bCs/>
        </w:rPr>
        <w:tab/>
        <w:t>оказания пострадавшим детям многопрофильной помощи в целях восстановления их физического и психологического состояния и социальной интеграции.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Международная помощь и сотрудничество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Защита жертв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17.</w:t>
      </w:r>
      <w:r>
        <w:tab/>
      </w:r>
      <w:r>
        <w:rPr>
          <w:b/>
          <w:bCs/>
        </w:rPr>
        <w:t>Принимая к сведению намерение государства-участника использовать международное сотрудничество с целью оказания помощи детям, затронутым вооруженным конфликтом, Комитет призывает государство-участник по</w:t>
      </w:r>
      <w:r>
        <w:rPr>
          <w:b/>
          <w:bCs/>
        </w:rPr>
        <w:noBreakHyphen/>
        <w:t>прежнему прилагать усилия для получения международного и двустороннего технического содействия и финансовой помощи.  Комитет просит государство-участник представить в своем следующем докладе информацию о международной помощи, оказанной детям, пострадавшим от вооруженного конфликта.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Последующие меры и распространение информации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t>18.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надлежащие меры для обеспечения осуществления в полной мере настоящих рекомендаций, в частности путем их препровождения министерству обороны, Жугорку Кенеш и областным властям, если это необходимо, для надлежащего рассмотрения и принятия дальнейших мер.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19.</w:t>
      </w:r>
      <w:r>
        <w:tab/>
      </w:r>
      <w:r>
        <w:rPr>
          <w:b/>
          <w:bCs/>
        </w:rPr>
        <w:t>В свете пункта 2 статьи 6 Факультативного протокола Комитет рекомендует обеспечить широкое распространение первоначального доклада, представленного государством-участником, и заключительных замечаний, принятых Комитетом, среди общественности в целом и детей в частности с целью стимулирования обсуждения и повышения информированности о Факультативном протоколе, его осуществлении и контроле за его соблюдением.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Следующий доклад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t>20.</w:t>
      </w:r>
      <w:r>
        <w:tab/>
      </w:r>
      <w:r>
        <w:rPr>
          <w:b/>
          <w:bCs/>
        </w:rPr>
        <w:t>В соответствии с пунктом 2 статьи 8 Комитет просит государство-участник включить дополнительную информацию об осуществлении Факультативного протокола в его объединенные третий и четвертый периодические доклады по Конвенции о правах ребенка, подлежащие представлению в соответствии со статьей 44 Конвенции 6 мая 2010 года.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CRC/C/OPAC/KGZ/CO/1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CRC/C/OPAC/KGZ/CO/1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1</TotalTime>
  <Pages>1</Pages>
  <Words>1471</Words>
  <Characters>8390</Characters>
  <Application>Microsoft Office Word</Application>
  <DocSecurity>4</DocSecurity>
  <Lines>69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0741501</vt:lpstr>
    </vt:vector>
  </TitlesOfParts>
  <Company> 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0741501</dc:title>
  <dc:subject>МУРАВЬЕВ</dc:subject>
  <dc:creator>Людмила ЦЕПЕЛЕВА</dc:creator>
  <cp:keywords/>
  <dc:description/>
  <cp:lastModifiedBy>Людмила ЦЕПЕЛЕВА</cp:lastModifiedBy>
  <cp:revision>3</cp:revision>
  <cp:lastPrinted>2007-05-15T15:21:00Z</cp:lastPrinted>
  <dcterms:created xsi:type="dcterms:W3CDTF">2007-05-15T15:21:00Z</dcterms:created>
  <dcterms:modified xsi:type="dcterms:W3CDTF">2007-05-15T15:22:00Z</dcterms:modified>
</cp:coreProperties>
</file>