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503533"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240"/>
      </w:pPr>
      <w:r>
        <w:t>Distr.</w:t>
      </w:r>
      <w:r>
        <w:br/>
        <w:t>GENERAL</w:t>
      </w:r>
    </w:p>
    <w:p w:rsidR="00000000" w:rsidRDefault="00000000">
      <w:pPr>
        <w:spacing w:after="240"/>
        <w:ind w:left="6240"/>
      </w:pPr>
      <w:r>
        <w:t>CRC/C/OPAC/AND/Q/1/Add.1</w:t>
      </w:r>
      <w:r>
        <w:br/>
        <w:t>30 de noviembre de 2005</w:t>
      </w:r>
    </w:p>
    <w:p w:rsidR="00000000" w:rsidRDefault="00000000">
      <w:pPr>
        <w:spacing w:after="600"/>
        <w:ind w:left="6243"/>
      </w:pPr>
      <w:r>
        <w:t>ESPAÑOL</w:t>
      </w:r>
      <w:r>
        <w:br/>
        <w:t>Original:  FRANCÉS</w:t>
      </w:r>
    </w:p>
    <w:p w:rsidR="00000000" w:rsidRDefault="00000000">
      <w:pPr>
        <w:spacing w:after="960"/>
      </w:pPr>
      <w:r>
        <w:t>COMITÉ DE LOS DERECHOS DEL NIÑO</w:t>
      </w:r>
      <w:r>
        <w:br/>
        <w:t>41º período de sesiones</w:t>
      </w:r>
      <w:r>
        <w:br/>
        <w:t>9 a 27 de enero de 2006</w:t>
      </w:r>
    </w:p>
    <w:tbl>
      <w:tblPr>
        <w:tblW w:w="0" w:type="auto"/>
        <w:jc w:val="center"/>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73"/>
      </w:tblGrid>
      <w:tr w:rsidR="00000000">
        <w:tblPrEx>
          <w:tblCellMar>
            <w:top w:w="0" w:type="dxa"/>
            <w:bottom w:w="0" w:type="dxa"/>
          </w:tblCellMar>
        </w:tblPrEx>
        <w:trPr>
          <w:jc w:val="center"/>
        </w:trPr>
        <w:tc>
          <w:tcPr>
            <w:tcW w:w="7973" w:type="dxa"/>
            <w:tcBorders>
              <w:top w:val="nil"/>
              <w:left w:val="nil"/>
              <w:bottom w:val="nil"/>
              <w:right w:val="nil"/>
            </w:tcBorders>
          </w:tcPr>
          <w:p w:rsidR="00000000" w:rsidRDefault="00000000">
            <w:pPr>
              <w:tabs>
                <w:tab w:val="decimal" w:pos="2319"/>
              </w:tabs>
              <w:ind w:left="37"/>
              <w:jc w:val="both"/>
              <w:rPr>
                <w:b/>
                <w:bCs/>
              </w:rPr>
            </w:pPr>
            <w:r>
              <w:rPr>
                <w:b/>
                <w:bCs/>
              </w:rPr>
              <w:t xml:space="preserve">RESPUESTAS PRESENTADAS POR ESCRITO POR EL GOBIERNO DE ANDORRA A LA LISTA DE CUESTIONES (CRC/C/OPAC/AND/Q/1) QUE DEBEN ABORDARSE AL EXAMINAR EL INFORME INICIAL </w:t>
            </w:r>
            <w:r>
              <w:rPr>
                <w:b/>
                <w:bCs/>
                <w:spacing w:val="12"/>
              </w:rPr>
              <w:t xml:space="preserve">PRESENTADO POR ANDORRA CON ARREGLO AL PÁRRAFO 1 </w:t>
            </w:r>
            <w:r>
              <w:rPr>
                <w:b/>
                <w:bCs/>
              </w:rPr>
              <w:t xml:space="preserve">DEL ARTÍCULO 8 DEL PROTOCOLO FACULTATIVO DE LA CONVENCIÓN SOBRE LOS DERECHOS DEL NIÑO RELATIVO A LA PARTICIPACIÓN DE NIÑOS EN LOS CONFLICTOS ARMADOS </w:t>
            </w:r>
            <w:r>
              <w:rPr>
                <w:b/>
                <w:bCs/>
              </w:rPr>
              <w:tab/>
              <w:t>(CRC/C/OPAC/AND/1)</w:t>
            </w:r>
          </w:p>
        </w:tc>
      </w:tr>
    </w:tbl>
    <w:p w:rsidR="00000000" w:rsidRDefault="00000000">
      <w:pPr>
        <w:spacing w:before="480" w:after="240"/>
        <w:jc w:val="right"/>
      </w:pPr>
      <w:r>
        <w:t>[Respuestas recibidas el 24 de noviembre de 2005]</w: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360"/>
      </w:pPr>
    </w:p>
    <w:p w:rsidR="00000000" w:rsidRDefault="00000000">
      <w:pPr>
        <w:rPr>
          <w:lang w:val="es-ES_tradnl"/>
        </w:rPr>
      </w:pPr>
      <w:r>
        <w:rPr>
          <w:lang w:val="es-ES_tradnl"/>
        </w:rPr>
        <w:t>GE.05-45355  (S)    141205    151205</w:t>
      </w:r>
    </w:p>
    <w:p w:rsidR="00000000" w:rsidRDefault="00000000">
      <w:pPr>
        <w:spacing w:after="240"/>
        <w:jc w:val="center"/>
        <w:rPr>
          <w:b/>
          <w:bCs/>
        </w:rPr>
      </w:pPr>
      <w:r>
        <w:br w:type="page"/>
      </w:r>
      <w:r>
        <w:rPr>
          <w:b/>
          <w:bCs/>
        </w:rPr>
        <w:t>Protocolo Facultativo de la Convención sobre los Derechos del Niño relativo</w:t>
      </w:r>
      <w:r>
        <w:rPr>
          <w:b/>
          <w:bCs/>
        </w:rPr>
        <w:br/>
        <w:t>a la participación de niños en los conflictos armados</w:t>
      </w:r>
    </w:p>
    <w:p w:rsidR="00000000" w:rsidRDefault="00000000">
      <w:pPr>
        <w:spacing w:after="240"/>
        <w:ind w:left="567" w:hanging="567"/>
      </w:pPr>
      <w:r>
        <w:rPr>
          <w:b/>
          <w:bCs/>
        </w:rPr>
        <w:t>1.</w:t>
      </w:r>
      <w:r>
        <w:tab/>
      </w:r>
      <w:r>
        <w:rPr>
          <w:b/>
          <w:bCs/>
        </w:rPr>
        <w:t>El Comité pide información detallada sobre las condiciones y/o el apoyo del Principado de Andorra a los programas en el extranjero específicamente orientados a la reintegración efectiva de los antiguos niños soldados</w:t>
      </w:r>
    </w:p>
    <w:p w:rsidR="00000000" w:rsidRDefault="00000000">
      <w:pPr>
        <w:spacing w:after="240"/>
        <w:ind w:firstLine="567"/>
      </w:pPr>
      <w:r>
        <w:t>El Principado de Andorra es Miembro de las Naciones Unidas desde el 28 de julio de 1993.  Desde 1995, el Principado de Andorra destina cada año parte de su presupuesto de asistencia al desarrollo a diversos fondos y programas de las Naciones Unidas.</w:t>
      </w:r>
    </w:p>
    <w:p w:rsidR="00000000" w:rsidRDefault="00000000">
      <w:pPr>
        <w:spacing w:after="240"/>
        <w:ind w:firstLine="567"/>
      </w:pPr>
      <w:r>
        <w:t>En el período comprendido entre 1999 y 2005, Andorra ha contribuido todos los años a los 11 fondos y programas siguientes:  Programa de las Naciones Unidas para el Desarrollo (PNUD), Fondo de Contribuciones Voluntarias de las Naciones Unidas para las Víctimas de la Tortura, Fondo de las Naciones Unidas para la Infancia (UNICEF), Fondo de las Naciones Unidas para la Juventud, Programa de las Naciones Unidas para el Medio Ambiente (PNUMA), Programa Mundial de Alimentos (PMA), Programa conjunto de las Naciones Unidas sobre el VIH/SIDA (ONUSIDA), Fondo de Población de las Naciones Unidas (FNUAP), Fondo de Desarrollo de las Naciones Unidas para la Mujer (UNIFEM), el Programa de actividades relativas a las minas y el Programa de las Naciones Unidas relativo a los niños y los conflictos armados.  La contribución anual a este último Programa en el período comprendido entre 1999 y 2005 equivale aproximadamente al 10% de la suma total que Andorra pone a disposición de estos 11 fondos y programas.</w:t>
      </w:r>
    </w:p>
    <w:p w:rsidR="00000000" w:rsidRDefault="00000000">
      <w:pPr>
        <w:spacing w:after="240"/>
        <w:ind w:firstLine="567"/>
      </w:pPr>
      <w:r>
        <w:t>En el siguiente cuadro figura el total de las contribuciones voluntarias del Principado de Andorra a diversos fondos y programas de las Naciones Unidas.</w:t>
      </w:r>
    </w:p>
    <w:tbl>
      <w:tblPr>
        <w:tblW w:w="0" w:type="auto"/>
        <w:jc w:val="center"/>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2"/>
        <w:gridCol w:w="2520"/>
        <w:gridCol w:w="2529"/>
      </w:tblGrid>
      <w:tr w:rsidR="00000000">
        <w:tblPrEx>
          <w:tblCellMar>
            <w:top w:w="0" w:type="dxa"/>
            <w:bottom w:w="0" w:type="dxa"/>
          </w:tblCellMar>
        </w:tblPrEx>
        <w:trPr>
          <w:jc w:val="center"/>
        </w:trPr>
        <w:tc>
          <w:tcPr>
            <w:tcW w:w="1812" w:type="dxa"/>
            <w:vAlign w:val="center"/>
          </w:tcPr>
          <w:p w:rsidR="00000000" w:rsidRDefault="00000000">
            <w:pPr>
              <w:jc w:val="center"/>
            </w:pPr>
            <w:r>
              <w:t>Año</w:t>
            </w:r>
          </w:p>
        </w:tc>
        <w:tc>
          <w:tcPr>
            <w:tcW w:w="2520" w:type="dxa"/>
            <w:vAlign w:val="center"/>
          </w:tcPr>
          <w:p w:rsidR="00000000" w:rsidRDefault="00000000">
            <w:pPr>
              <w:jc w:val="center"/>
            </w:pPr>
            <w:r>
              <w:t>Total</w:t>
            </w:r>
            <w:r>
              <w:br/>
              <w:t>(en euros)</w:t>
            </w:r>
          </w:p>
        </w:tc>
        <w:tc>
          <w:tcPr>
            <w:tcW w:w="2529" w:type="dxa"/>
            <w:vAlign w:val="center"/>
          </w:tcPr>
          <w:p w:rsidR="00000000" w:rsidRDefault="00000000">
            <w:pPr>
              <w:jc w:val="center"/>
            </w:pPr>
            <w:r>
              <w:t>Aumento en relación con el año anterior</w:t>
            </w:r>
            <w:r>
              <w:br/>
              <w:t>(en porcentaje)</w:t>
            </w:r>
          </w:p>
        </w:tc>
      </w:tr>
      <w:tr w:rsidR="00000000">
        <w:tblPrEx>
          <w:tblCellMar>
            <w:top w:w="0" w:type="dxa"/>
            <w:bottom w:w="0" w:type="dxa"/>
          </w:tblCellMar>
        </w:tblPrEx>
        <w:trPr>
          <w:jc w:val="center"/>
        </w:trPr>
        <w:tc>
          <w:tcPr>
            <w:tcW w:w="1812" w:type="dxa"/>
          </w:tcPr>
          <w:p w:rsidR="00000000" w:rsidRDefault="00000000">
            <w:r>
              <w:t>1999</w:t>
            </w:r>
          </w:p>
        </w:tc>
        <w:tc>
          <w:tcPr>
            <w:tcW w:w="2520" w:type="dxa"/>
          </w:tcPr>
          <w:p w:rsidR="00000000" w:rsidRDefault="00000000">
            <w:pPr>
              <w:tabs>
                <w:tab w:val="decimal" w:pos="1396"/>
              </w:tabs>
              <w:jc w:val="both"/>
            </w:pPr>
            <w:r>
              <w:t>117.918,69</w:t>
            </w:r>
          </w:p>
        </w:tc>
        <w:tc>
          <w:tcPr>
            <w:tcW w:w="2529" w:type="dxa"/>
          </w:tcPr>
          <w:p w:rsidR="00000000" w:rsidRDefault="00000000">
            <w:pPr>
              <w:tabs>
                <w:tab w:val="decimal" w:pos="1121"/>
              </w:tabs>
              <w:jc w:val="both"/>
            </w:pPr>
          </w:p>
        </w:tc>
      </w:tr>
      <w:tr w:rsidR="00000000">
        <w:tblPrEx>
          <w:tblCellMar>
            <w:top w:w="0" w:type="dxa"/>
            <w:bottom w:w="0" w:type="dxa"/>
          </w:tblCellMar>
        </w:tblPrEx>
        <w:trPr>
          <w:jc w:val="center"/>
        </w:trPr>
        <w:tc>
          <w:tcPr>
            <w:tcW w:w="1812" w:type="dxa"/>
          </w:tcPr>
          <w:p w:rsidR="00000000" w:rsidRDefault="00000000">
            <w:r>
              <w:t>2000</w:t>
            </w:r>
          </w:p>
        </w:tc>
        <w:tc>
          <w:tcPr>
            <w:tcW w:w="2520" w:type="dxa"/>
          </w:tcPr>
          <w:p w:rsidR="00000000" w:rsidRDefault="00000000">
            <w:pPr>
              <w:tabs>
                <w:tab w:val="decimal" w:pos="1396"/>
              </w:tabs>
              <w:jc w:val="both"/>
            </w:pPr>
            <w:r>
              <w:t>124.563,97</w:t>
            </w:r>
          </w:p>
        </w:tc>
        <w:tc>
          <w:tcPr>
            <w:tcW w:w="2529" w:type="dxa"/>
          </w:tcPr>
          <w:p w:rsidR="00000000" w:rsidRDefault="00000000">
            <w:pPr>
              <w:tabs>
                <w:tab w:val="decimal" w:pos="1121"/>
              </w:tabs>
              <w:jc w:val="both"/>
            </w:pPr>
            <w:r>
              <w:t>5,63</w:t>
            </w:r>
          </w:p>
        </w:tc>
      </w:tr>
      <w:tr w:rsidR="00000000">
        <w:tblPrEx>
          <w:tblCellMar>
            <w:top w:w="0" w:type="dxa"/>
            <w:bottom w:w="0" w:type="dxa"/>
          </w:tblCellMar>
        </w:tblPrEx>
        <w:trPr>
          <w:jc w:val="center"/>
        </w:trPr>
        <w:tc>
          <w:tcPr>
            <w:tcW w:w="1812" w:type="dxa"/>
          </w:tcPr>
          <w:p w:rsidR="00000000" w:rsidRDefault="00000000">
            <w:r>
              <w:t>2001</w:t>
            </w:r>
          </w:p>
        </w:tc>
        <w:tc>
          <w:tcPr>
            <w:tcW w:w="2520" w:type="dxa"/>
          </w:tcPr>
          <w:p w:rsidR="00000000" w:rsidRDefault="00000000">
            <w:pPr>
              <w:tabs>
                <w:tab w:val="decimal" w:pos="1396"/>
              </w:tabs>
              <w:jc w:val="both"/>
            </w:pPr>
            <w:r>
              <w:t>131.844,27</w:t>
            </w:r>
          </w:p>
        </w:tc>
        <w:tc>
          <w:tcPr>
            <w:tcW w:w="2529" w:type="dxa"/>
          </w:tcPr>
          <w:p w:rsidR="00000000" w:rsidRDefault="00000000">
            <w:pPr>
              <w:tabs>
                <w:tab w:val="decimal" w:pos="1121"/>
              </w:tabs>
              <w:jc w:val="both"/>
            </w:pPr>
            <w:r>
              <w:t>5,84</w:t>
            </w:r>
          </w:p>
        </w:tc>
      </w:tr>
      <w:tr w:rsidR="00000000">
        <w:tblPrEx>
          <w:tblCellMar>
            <w:top w:w="0" w:type="dxa"/>
            <w:bottom w:w="0" w:type="dxa"/>
          </w:tblCellMar>
        </w:tblPrEx>
        <w:trPr>
          <w:jc w:val="center"/>
        </w:trPr>
        <w:tc>
          <w:tcPr>
            <w:tcW w:w="1812" w:type="dxa"/>
          </w:tcPr>
          <w:p w:rsidR="00000000" w:rsidRDefault="00000000">
            <w:r>
              <w:t>2002</w:t>
            </w:r>
          </w:p>
        </w:tc>
        <w:tc>
          <w:tcPr>
            <w:tcW w:w="2520" w:type="dxa"/>
          </w:tcPr>
          <w:p w:rsidR="00000000" w:rsidRDefault="00000000">
            <w:pPr>
              <w:tabs>
                <w:tab w:val="decimal" w:pos="1396"/>
              </w:tabs>
              <w:jc w:val="both"/>
            </w:pPr>
            <w:r>
              <w:t>132.698,53</w:t>
            </w:r>
          </w:p>
        </w:tc>
        <w:tc>
          <w:tcPr>
            <w:tcW w:w="2529" w:type="dxa"/>
          </w:tcPr>
          <w:p w:rsidR="00000000" w:rsidRDefault="00000000">
            <w:pPr>
              <w:tabs>
                <w:tab w:val="decimal" w:pos="1121"/>
              </w:tabs>
              <w:jc w:val="both"/>
            </w:pPr>
            <w:r>
              <w:t>0,65</w:t>
            </w:r>
          </w:p>
        </w:tc>
      </w:tr>
      <w:tr w:rsidR="00000000">
        <w:tblPrEx>
          <w:tblCellMar>
            <w:top w:w="0" w:type="dxa"/>
            <w:bottom w:w="0" w:type="dxa"/>
          </w:tblCellMar>
        </w:tblPrEx>
        <w:trPr>
          <w:jc w:val="center"/>
        </w:trPr>
        <w:tc>
          <w:tcPr>
            <w:tcW w:w="1812" w:type="dxa"/>
          </w:tcPr>
          <w:p w:rsidR="00000000" w:rsidRDefault="00000000">
            <w:r>
              <w:t>2003</w:t>
            </w:r>
          </w:p>
        </w:tc>
        <w:tc>
          <w:tcPr>
            <w:tcW w:w="2520" w:type="dxa"/>
          </w:tcPr>
          <w:p w:rsidR="00000000" w:rsidRDefault="00000000">
            <w:pPr>
              <w:tabs>
                <w:tab w:val="decimal" w:pos="1396"/>
              </w:tabs>
              <w:jc w:val="both"/>
            </w:pPr>
            <w:r>
              <w:t>151.827,00</w:t>
            </w:r>
          </w:p>
        </w:tc>
        <w:tc>
          <w:tcPr>
            <w:tcW w:w="2529" w:type="dxa"/>
          </w:tcPr>
          <w:p w:rsidR="00000000" w:rsidRDefault="00000000">
            <w:pPr>
              <w:tabs>
                <w:tab w:val="decimal" w:pos="1121"/>
              </w:tabs>
              <w:jc w:val="both"/>
            </w:pPr>
            <w:r>
              <w:t>14,4</w:t>
            </w:r>
          </w:p>
        </w:tc>
      </w:tr>
      <w:tr w:rsidR="00000000">
        <w:tblPrEx>
          <w:tblCellMar>
            <w:top w:w="0" w:type="dxa"/>
            <w:bottom w:w="0" w:type="dxa"/>
          </w:tblCellMar>
        </w:tblPrEx>
        <w:trPr>
          <w:jc w:val="center"/>
        </w:trPr>
        <w:tc>
          <w:tcPr>
            <w:tcW w:w="1812" w:type="dxa"/>
          </w:tcPr>
          <w:p w:rsidR="00000000" w:rsidRDefault="00000000">
            <w:r>
              <w:t>2004</w:t>
            </w:r>
          </w:p>
        </w:tc>
        <w:tc>
          <w:tcPr>
            <w:tcW w:w="2520" w:type="dxa"/>
          </w:tcPr>
          <w:p w:rsidR="00000000" w:rsidRDefault="00000000">
            <w:pPr>
              <w:tabs>
                <w:tab w:val="decimal" w:pos="1396"/>
              </w:tabs>
              <w:jc w:val="both"/>
            </w:pPr>
            <w:r>
              <w:t>178.000,00</w:t>
            </w:r>
          </w:p>
        </w:tc>
        <w:tc>
          <w:tcPr>
            <w:tcW w:w="2529" w:type="dxa"/>
          </w:tcPr>
          <w:p w:rsidR="00000000" w:rsidRDefault="00000000">
            <w:pPr>
              <w:tabs>
                <w:tab w:val="decimal" w:pos="1121"/>
              </w:tabs>
              <w:jc w:val="both"/>
            </w:pPr>
            <w:r>
              <w:t>17,27</w:t>
            </w:r>
          </w:p>
        </w:tc>
      </w:tr>
      <w:tr w:rsidR="00000000">
        <w:tblPrEx>
          <w:tblCellMar>
            <w:top w:w="0" w:type="dxa"/>
            <w:bottom w:w="0" w:type="dxa"/>
          </w:tblCellMar>
        </w:tblPrEx>
        <w:trPr>
          <w:jc w:val="center"/>
        </w:trPr>
        <w:tc>
          <w:tcPr>
            <w:tcW w:w="1812" w:type="dxa"/>
          </w:tcPr>
          <w:p w:rsidR="00000000" w:rsidRDefault="00000000">
            <w:r>
              <w:t>2005</w:t>
            </w:r>
          </w:p>
        </w:tc>
        <w:tc>
          <w:tcPr>
            <w:tcW w:w="2520" w:type="dxa"/>
          </w:tcPr>
          <w:p w:rsidR="00000000" w:rsidRDefault="00000000">
            <w:pPr>
              <w:tabs>
                <w:tab w:val="decimal" w:pos="1396"/>
              </w:tabs>
              <w:jc w:val="both"/>
            </w:pPr>
            <w:r>
              <w:t>226.000,00</w:t>
            </w:r>
          </w:p>
        </w:tc>
        <w:tc>
          <w:tcPr>
            <w:tcW w:w="2529" w:type="dxa"/>
          </w:tcPr>
          <w:p w:rsidR="00000000" w:rsidRDefault="00000000">
            <w:pPr>
              <w:tabs>
                <w:tab w:val="decimal" w:pos="1121"/>
              </w:tabs>
              <w:jc w:val="both"/>
            </w:pPr>
            <w:r>
              <w:t>26,96</w:t>
            </w:r>
          </w:p>
        </w:tc>
      </w:tr>
    </w:tbl>
    <w:p w:rsidR="00000000" w:rsidRDefault="00000000">
      <w:pPr>
        <w:spacing w:before="480" w:after="240"/>
        <w:ind w:firstLine="567"/>
      </w:pPr>
      <w:r>
        <w:t>En el período comprendido entre 1999 y 2005 el Principado de Andorra contribuyó al Programa relativo a los niños y los conflictos armados, dirigido por el Representante Especial del Secretario General para la cuestión de los niños y los conflictos armados, Sr. Olara A. Otunnu, cuyas labores se orientan específicamente a asistir a los niños en los conflictos</w:t>
      </w:r>
      <w:r>
        <w:rPr>
          <w:b/>
          <w:bCs/>
        </w:rPr>
        <w:t xml:space="preserve"> </w:t>
      </w:r>
      <w:r>
        <w:t>armados.</w:t>
      </w:r>
    </w:p>
    <w:p w:rsidR="00000000" w:rsidRDefault="00000000">
      <w:pPr>
        <w:keepNext/>
        <w:keepLines/>
        <w:spacing w:after="240"/>
        <w:ind w:firstLine="567"/>
      </w:pPr>
      <w:r>
        <w:t>En el siguiente cuadro figuran las contribuciones voluntarias del Principado de Andorra al Programa de las Naciones Unidas dirigido por el Sr. Olara A. Otunnu.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2499"/>
        <w:gridCol w:w="2500"/>
      </w:tblGrid>
      <w:tr w:rsidR="00000000">
        <w:tblPrEx>
          <w:tblCellMar>
            <w:top w:w="0" w:type="dxa"/>
            <w:bottom w:w="0" w:type="dxa"/>
          </w:tblCellMar>
        </w:tblPrEx>
        <w:trPr>
          <w:jc w:val="center"/>
        </w:trPr>
        <w:tc>
          <w:tcPr>
            <w:tcW w:w="2391" w:type="dxa"/>
            <w:vAlign w:val="center"/>
          </w:tcPr>
          <w:p w:rsidR="00000000" w:rsidRDefault="00000000">
            <w:pPr>
              <w:keepNext/>
              <w:keepLines/>
              <w:jc w:val="center"/>
            </w:pPr>
            <w:r>
              <w:t>Año</w:t>
            </w:r>
          </w:p>
        </w:tc>
        <w:tc>
          <w:tcPr>
            <w:tcW w:w="2499" w:type="dxa"/>
            <w:vAlign w:val="center"/>
          </w:tcPr>
          <w:p w:rsidR="00000000" w:rsidRDefault="00000000">
            <w:pPr>
              <w:keepNext/>
              <w:keepLines/>
              <w:jc w:val="center"/>
            </w:pPr>
            <w:r>
              <w:t>Contribución</w:t>
            </w:r>
            <w:r>
              <w:br/>
              <w:t>al programa</w:t>
            </w:r>
            <w:r>
              <w:br/>
              <w:t>(en euros)</w:t>
            </w:r>
          </w:p>
        </w:tc>
        <w:tc>
          <w:tcPr>
            <w:tcW w:w="2500" w:type="dxa"/>
            <w:vAlign w:val="center"/>
          </w:tcPr>
          <w:p w:rsidR="00000000" w:rsidRDefault="00000000">
            <w:pPr>
              <w:keepNext/>
              <w:keepLines/>
              <w:jc w:val="center"/>
            </w:pPr>
            <w:r>
              <w:t>Aumento en relación con el año anterior</w:t>
            </w:r>
            <w:r>
              <w:br/>
              <w:t>(en porcentaje)</w:t>
            </w:r>
          </w:p>
        </w:tc>
      </w:tr>
      <w:tr w:rsidR="00000000">
        <w:tblPrEx>
          <w:tblCellMar>
            <w:top w:w="0" w:type="dxa"/>
            <w:bottom w:w="0" w:type="dxa"/>
          </w:tblCellMar>
        </w:tblPrEx>
        <w:trPr>
          <w:jc w:val="center"/>
        </w:trPr>
        <w:tc>
          <w:tcPr>
            <w:tcW w:w="2391" w:type="dxa"/>
          </w:tcPr>
          <w:p w:rsidR="00000000" w:rsidRDefault="00000000">
            <w:pPr>
              <w:keepNext/>
              <w:keepLines/>
            </w:pPr>
            <w:r>
              <w:t>1999</w:t>
            </w:r>
          </w:p>
        </w:tc>
        <w:tc>
          <w:tcPr>
            <w:tcW w:w="2499" w:type="dxa"/>
          </w:tcPr>
          <w:p w:rsidR="00000000" w:rsidRDefault="00000000">
            <w:pPr>
              <w:keepNext/>
              <w:keepLines/>
              <w:tabs>
                <w:tab w:val="decimal" w:pos="1359"/>
              </w:tabs>
              <w:jc w:val="both"/>
            </w:pPr>
            <w:r>
              <w:t>12.118,08</w:t>
            </w:r>
          </w:p>
        </w:tc>
        <w:tc>
          <w:tcPr>
            <w:tcW w:w="2500" w:type="dxa"/>
          </w:tcPr>
          <w:p w:rsidR="00000000" w:rsidRDefault="00000000">
            <w:pPr>
              <w:keepNext/>
              <w:keepLines/>
              <w:tabs>
                <w:tab w:val="decimal" w:pos="1197"/>
              </w:tabs>
              <w:jc w:val="both"/>
            </w:pPr>
          </w:p>
        </w:tc>
      </w:tr>
      <w:tr w:rsidR="00000000">
        <w:tblPrEx>
          <w:tblCellMar>
            <w:top w:w="0" w:type="dxa"/>
            <w:bottom w:w="0" w:type="dxa"/>
          </w:tblCellMar>
        </w:tblPrEx>
        <w:trPr>
          <w:jc w:val="center"/>
        </w:trPr>
        <w:tc>
          <w:tcPr>
            <w:tcW w:w="2391" w:type="dxa"/>
          </w:tcPr>
          <w:p w:rsidR="00000000" w:rsidRDefault="00000000">
            <w:pPr>
              <w:keepNext/>
              <w:keepLines/>
            </w:pPr>
            <w:r>
              <w:t>2000</w:t>
            </w:r>
          </w:p>
        </w:tc>
        <w:tc>
          <w:tcPr>
            <w:tcW w:w="2499" w:type="dxa"/>
          </w:tcPr>
          <w:p w:rsidR="00000000" w:rsidRDefault="00000000">
            <w:pPr>
              <w:keepNext/>
              <w:keepLines/>
              <w:tabs>
                <w:tab w:val="decimal" w:pos="1359"/>
              </w:tabs>
              <w:jc w:val="both"/>
            </w:pPr>
            <w:r>
              <w:t>12.827,73</w:t>
            </w:r>
          </w:p>
        </w:tc>
        <w:tc>
          <w:tcPr>
            <w:tcW w:w="2500" w:type="dxa"/>
          </w:tcPr>
          <w:p w:rsidR="00000000" w:rsidRDefault="00000000">
            <w:pPr>
              <w:keepNext/>
              <w:keepLines/>
              <w:tabs>
                <w:tab w:val="decimal" w:pos="1197"/>
              </w:tabs>
              <w:jc w:val="both"/>
            </w:pPr>
            <w:r>
              <w:t>6,0</w:t>
            </w:r>
          </w:p>
        </w:tc>
      </w:tr>
      <w:tr w:rsidR="00000000">
        <w:tblPrEx>
          <w:tblCellMar>
            <w:top w:w="0" w:type="dxa"/>
            <w:bottom w:w="0" w:type="dxa"/>
          </w:tblCellMar>
        </w:tblPrEx>
        <w:trPr>
          <w:jc w:val="center"/>
        </w:trPr>
        <w:tc>
          <w:tcPr>
            <w:tcW w:w="2391" w:type="dxa"/>
          </w:tcPr>
          <w:p w:rsidR="00000000" w:rsidRDefault="00000000">
            <w:pPr>
              <w:keepNext/>
              <w:keepLines/>
            </w:pPr>
            <w:r>
              <w:t>2001</w:t>
            </w:r>
          </w:p>
        </w:tc>
        <w:tc>
          <w:tcPr>
            <w:tcW w:w="2499" w:type="dxa"/>
          </w:tcPr>
          <w:p w:rsidR="00000000" w:rsidRDefault="00000000">
            <w:pPr>
              <w:keepNext/>
              <w:keepLines/>
              <w:tabs>
                <w:tab w:val="decimal" w:pos="1359"/>
              </w:tabs>
              <w:jc w:val="both"/>
            </w:pPr>
            <w:r>
              <w:t>13.559,13</w:t>
            </w:r>
          </w:p>
        </w:tc>
        <w:tc>
          <w:tcPr>
            <w:tcW w:w="2500" w:type="dxa"/>
          </w:tcPr>
          <w:p w:rsidR="00000000" w:rsidRDefault="00000000">
            <w:pPr>
              <w:keepNext/>
              <w:keepLines/>
              <w:tabs>
                <w:tab w:val="decimal" w:pos="1197"/>
              </w:tabs>
              <w:jc w:val="both"/>
            </w:pPr>
            <w:r>
              <w:t>5,7</w:t>
            </w:r>
          </w:p>
        </w:tc>
      </w:tr>
      <w:tr w:rsidR="00000000">
        <w:tblPrEx>
          <w:tblCellMar>
            <w:top w:w="0" w:type="dxa"/>
            <w:bottom w:w="0" w:type="dxa"/>
          </w:tblCellMar>
        </w:tblPrEx>
        <w:trPr>
          <w:jc w:val="center"/>
        </w:trPr>
        <w:tc>
          <w:tcPr>
            <w:tcW w:w="2391" w:type="dxa"/>
          </w:tcPr>
          <w:p w:rsidR="00000000" w:rsidRDefault="00000000">
            <w:pPr>
              <w:keepNext/>
              <w:keepLines/>
            </w:pPr>
            <w:r>
              <w:t>2002</w:t>
            </w:r>
          </w:p>
        </w:tc>
        <w:tc>
          <w:tcPr>
            <w:tcW w:w="2499" w:type="dxa"/>
          </w:tcPr>
          <w:p w:rsidR="00000000" w:rsidRDefault="00000000">
            <w:pPr>
              <w:keepNext/>
              <w:keepLines/>
              <w:tabs>
                <w:tab w:val="decimal" w:pos="1359"/>
              </w:tabs>
              <w:jc w:val="both"/>
            </w:pPr>
            <w:r>
              <w:t>13.652,28</w:t>
            </w:r>
          </w:p>
        </w:tc>
        <w:tc>
          <w:tcPr>
            <w:tcW w:w="2500" w:type="dxa"/>
          </w:tcPr>
          <w:p w:rsidR="00000000" w:rsidRDefault="00000000">
            <w:pPr>
              <w:keepNext/>
              <w:keepLines/>
              <w:tabs>
                <w:tab w:val="decimal" w:pos="1197"/>
              </w:tabs>
              <w:jc w:val="both"/>
            </w:pPr>
            <w:r>
              <w:t>0,7</w:t>
            </w:r>
          </w:p>
        </w:tc>
      </w:tr>
      <w:tr w:rsidR="00000000">
        <w:tblPrEx>
          <w:tblCellMar>
            <w:top w:w="0" w:type="dxa"/>
            <w:bottom w:w="0" w:type="dxa"/>
          </w:tblCellMar>
        </w:tblPrEx>
        <w:trPr>
          <w:jc w:val="center"/>
        </w:trPr>
        <w:tc>
          <w:tcPr>
            <w:tcW w:w="2391" w:type="dxa"/>
          </w:tcPr>
          <w:p w:rsidR="00000000" w:rsidRDefault="00000000">
            <w:pPr>
              <w:keepNext/>
              <w:keepLines/>
            </w:pPr>
            <w:r>
              <w:t>2003</w:t>
            </w:r>
          </w:p>
        </w:tc>
        <w:tc>
          <w:tcPr>
            <w:tcW w:w="2499" w:type="dxa"/>
          </w:tcPr>
          <w:p w:rsidR="00000000" w:rsidRDefault="00000000">
            <w:pPr>
              <w:keepNext/>
              <w:keepLines/>
              <w:tabs>
                <w:tab w:val="decimal" w:pos="1359"/>
              </w:tabs>
              <w:jc w:val="both"/>
            </w:pPr>
            <w:r>
              <w:t>14.580,00</w:t>
            </w:r>
          </w:p>
        </w:tc>
        <w:tc>
          <w:tcPr>
            <w:tcW w:w="2500" w:type="dxa"/>
          </w:tcPr>
          <w:p w:rsidR="00000000" w:rsidRDefault="00000000">
            <w:pPr>
              <w:keepNext/>
              <w:keepLines/>
              <w:tabs>
                <w:tab w:val="decimal" w:pos="1197"/>
              </w:tabs>
              <w:jc w:val="both"/>
            </w:pPr>
            <w:r>
              <w:t>6,8</w:t>
            </w:r>
          </w:p>
        </w:tc>
      </w:tr>
      <w:tr w:rsidR="00000000">
        <w:tblPrEx>
          <w:tblCellMar>
            <w:top w:w="0" w:type="dxa"/>
            <w:bottom w:w="0" w:type="dxa"/>
          </w:tblCellMar>
        </w:tblPrEx>
        <w:trPr>
          <w:jc w:val="center"/>
        </w:trPr>
        <w:tc>
          <w:tcPr>
            <w:tcW w:w="2391" w:type="dxa"/>
          </w:tcPr>
          <w:p w:rsidR="00000000" w:rsidRDefault="00000000">
            <w:pPr>
              <w:keepNext/>
              <w:keepLines/>
            </w:pPr>
            <w:r>
              <w:t>2004</w:t>
            </w:r>
          </w:p>
        </w:tc>
        <w:tc>
          <w:tcPr>
            <w:tcW w:w="2499" w:type="dxa"/>
          </w:tcPr>
          <w:p w:rsidR="00000000" w:rsidRDefault="00000000">
            <w:pPr>
              <w:keepNext/>
              <w:keepLines/>
              <w:tabs>
                <w:tab w:val="decimal" w:pos="1359"/>
              </w:tabs>
              <w:jc w:val="both"/>
            </w:pPr>
            <w:r>
              <w:t>17.000,00</w:t>
            </w:r>
          </w:p>
        </w:tc>
        <w:tc>
          <w:tcPr>
            <w:tcW w:w="2500" w:type="dxa"/>
          </w:tcPr>
          <w:p w:rsidR="00000000" w:rsidRDefault="00000000">
            <w:pPr>
              <w:keepNext/>
              <w:keepLines/>
              <w:tabs>
                <w:tab w:val="decimal" w:pos="1197"/>
              </w:tabs>
              <w:jc w:val="both"/>
            </w:pPr>
            <w:r>
              <w:t>16,6</w:t>
            </w:r>
          </w:p>
        </w:tc>
      </w:tr>
      <w:tr w:rsidR="00000000">
        <w:tblPrEx>
          <w:tblCellMar>
            <w:top w:w="0" w:type="dxa"/>
            <w:bottom w:w="0" w:type="dxa"/>
          </w:tblCellMar>
        </w:tblPrEx>
        <w:trPr>
          <w:jc w:val="center"/>
        </w:trPr>
        <w:tc>
          <w:tcPr>
            <w:tcW w:w="2391" w:type="dxa"/>
          </w:tcPr>
          <w:p w:rsidR="00000000" w:rsidRDefault="00000000">
            <w:pPr>
              <w:keepNext/>
              <w:keepLines/>
            </w:pPr>
            <w:r>
              <w:t>2005</w:t>
            </w:r>
          </w:p>
        </w:tc>
        <w:tc>
          <w:tcPr>
            <w:tcW w:w="2499" w:type="dxa"/>
          </w:tcPr>
          <w:p w:rsidR="00000000" w:rsidRDefault="00000000">
            <w:pPr>
              <w:keepNext/>
              <w:keepLines/>
              <w:tabs>
                <w:tab w:val="decimal" w:pos="1359"/>
              </w:tabs>
              <w:jc w:val="both"/>
            </w:pPr>
            <w:r>
              <w:t>21.000,00</w:t>
            </w:r>
          </w:p>
        </w:tc>
        <w:tc>
          <w:tcPr>
            <w:tcW w:w="2500" w:type="dxa"/>
          </w:tcPr>
          <w:p w:rsidR="00000000" w:rsidRDefault="00000000">
            <w:pPr>
              <w:keepNext/>
              <w:keepLines/>
              <w:tabs>
                <w:tab w:val="decimal" w:pos="1197"/>
              </w:tabs>
              <w:jc w:val="both"/>
            </w:pPr>
            <w:r>
              <w:t>23,5</w:t>
            </w:r>
          </w:p>
        </w:tc>
      </w:tr>
      <w:tr w:rsidR="00000000">
        <w:tblPrEx>
          <w:tblCellMar>
            <w:top w:w="0" w:type="dxa"/>
            <w:bottom w:w="0" w:type="dxa"/>
          </w:tblCellMar>
        </w:tblPrEx>
        <w:trPr>
          <w:jc w:val="center"/>
        </w:trPr>
        <w:tc>
          <w:tcPr>
            <w:tcW w:w="2391" w:type="dxa"/>
          </w:tcPr>
          <w:p w:rsidR="00000000" w:rsidRDefault="00000000">
            <w:pPr>
              <w:keepNext/>
              <w:keepLines/>
              <w:tabs>
                <w:tab w:val="left" w:pos="280"/>
              </w:tabs>
            </w:pPr>
            <w:r>
              <w:tab/>
              <w:t xml:space="preserve">Total para el </w:t>
            </w:r>
            <w:r>
              <w:tab/>
              <w:t>período 1999-2005</w:t>
            </w:r>
          </w:p>
        </w:tc>
        <w:tc>
          <w:tcPr>
            <w:tcW w:w="2499" w:type="dxa"/>
            <w:vAlign w:val="bottom"/>
          </w:tcPr>
          <w:p w:rsidR="00000000" w:rsidRDefault="00000000">
            <w:pPr>
              <w:keepNext/>
              <w:keepLines/>
              <w:tabs>
                <w:tab w:val="decimal" w:pos="1359"/>
              </w:tabs>
              <w:jc w:val="both"/>
            </w:pPr>
            <w:r>
              <w:t>104.737,22</w:t>
            </w:r>
          </w:p>
        </w:tc>
        <w:tc>
          <w:tcPr>
            <w:tcW w:w="2500" w:type="dxa"/>
            <w:vAlign w:val="bottom"/>
          </w:tcPr>
          <w:p w:rsidR="00000000" w:rsidRDefault="00000000">
            <w:pPr>
              <w:keepNext/>
              <w:keepLines/>
              <w:tabs>
                <w:tab w:val="decimal" w:pos="1197"/>
              </w:tabs>
              <w:jc w:val="both"/>
            </w:pPr>
          </w:p>
        </w:tc>
      </w:tr>
    </w:tbl>
    <w:p w:rsidR="00000000" w:rsidRDefault="00000000">
      <w:pPr>
        <w:spacing w:before="480" w:after="240"/>
        <w:ind w:firstLine="567"/>
      </w:pPr>
      <w:r>
        <w:t>En el período comprendido entre 1995 y 2005, el Principado de Andorra contribuyó con 104.737,22 euros al Programa relativo a los niños y los conflictos armados.</w:t>
      </w:r>
    </w:p>
    <w:p w:rsidR="00000000" w:rsidRDefault="00000000">
      <w:pPr>
        <w:spacing w:after="240"/>
        <w:ind w:firstLine="567"/>
      </w:pPr>
      <w:r>
        <w:t>La primera contribución al Programa, hecha en 1999, ascendió a 12.118,08 euros.  En 2005, la contribución fue de 21.000 euros, lo que representa un aumento del 73% del presupuesto para este programa con respecto a 1999.</w:t>
      </w:r>
    </w:p>
    <w:p w:rsidR="00000000" w:rsidRDefault="00000000">
      <w:pPr>
        <w:spacing w:after="240"/>
        <w:ind w:firstLine="567"/>
      </w:pPr>
      <w:r>
        <w:t>El Principado de Andorra, en el marco de su política de asistencia al desarrollo, tiene previsto seguir haciendo contribuciones voluntarias al Programa relativo a los niños y los conflictos armados.  De hecho, a partir de 2006, Andorra tiene previsto contribuir a un programa específico de reintegración de los antiguos niños soldados.</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CRC/C/OPAC/AND/Q/1/Add.1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240"/>
      </w:tabs>
      <w:rPr>
        <w:lang w:val="en-GB"/>
      </w:rPr>
    </w:pPr>
    <w:r>
      <w:tab/>
    </w:r>
    <w:r>
      <w:rPr>
        <w:lang w:val="en-GB"/>
      </w:rPr>
      <w:t>CRC/C/OPAC/AND/Q/1/Add.1</w:t>
    </w:r>
  </w:p>
  <w:p w:rsidR="00000000" w:rsidRDefault="00000000">
    <w:pPr>
      <w:tabs>
        <w:tab w:val="left" w:pos="6240"/>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603</Words>
  <Characters>3441</Characters>
  <Application>Microsoft Office Word</Application>
  <DocSecurity>4</DocSecurity>
  <Lines>28</Lines>
  <Paragraphs>6</Paragraphs>
  <ScaleCrop>false</ScaleCrop>
  <HeadingPairs>
    <vt:vector size="2" baseType="variant">
      <vt:variant>
        <vt:lpstr>Título</vt:lpstr>
      </vt:variant>
      <vt:variant>
        <vt:i4>1</vt:i4>
      </vt:variant>
    </vt:vector>
  </HeadingPairs>
  <TitlesOfParts>
    <vt:vector size="1" baseType="lpstr">
      <vt:lpstr>CRC/C/OPAC/AND/Q/1/Add.1 - 05-45355</vt:lpstr>
    </vt:vector>
  </TitlesOfParts>
  <Company>ONU</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CRC/C/OPAC/AND/Q/1/Add.1 - 05-45355</dc:title>
  <dc:subject/>
  <dc:creator>RSM</dc:creator>
  <cp:keywords/>
  <dc:description/>
  <cp:lastModifiedBy>PDF</cp:lastModifiedBy>
  <cp:revision>2</cp:revision>
  <cp:lastPrinted>2005-12-15T09:12:00Z</cp:lastPrinted>
  <dcterms:created xsi:type="dcterms:W3CDTF">2005-12-15T09:16:00Z</dcterms:created>
  <dcterms:modified xsi:type="dcterms:W3CDTF">2005-12-15T09:16:00Z</dcterms:modified>
</cp:coreProperties>
</file>