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r w:rsidRPr="00DA36A7">
              <w:rPr>
                <w:sz w:val="20"/>
              </w:rPr>
              <w:t>/</w:t>
            </w:r>
            <w:r w:rsidR="00CE1735">
              <w:rPr>
                <w:rFonts w:hint="eastAsia"/>
                <w:sz w:val="20"/>
              </w:rPr>
              <w:t>C/OPAC/VAT/CO/1</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E06285" w:rsidP="00DA36A7">
            <w:pPr>
              <w:spacing w:before="240" w:line="240" w:lineRule="atLeast"/>
              <w:rPr>
                <w:rFonts w:hint="eastAsia"/>
                <w:sz w:val="20"/>
              </w:rPr>
            </w:pPr>
            <w:r w:rsidRPr="00DA36A7">
              <w:rPr>
                <w:sz w:val="20"/>
              </w:rPr>
              <w:t xml:space="preserve">Distr.: </w:t>
            </w:r>
            <w:r w:rsidR="00764404" w:rsidRPr="00764404">
              <w:rPr>
                <w:sz w:val="20"/>
              </w:rPr>
              <w:t>General</w:t>
            </w:r>
          </w:p>
          <w:p w:rsidR="00E06285" w:rsidRPr="00DA36A7" w:rsidRDefault="00764404">
            <w:pPr>
              <w:spacing w:line="240" w:lineRule="atLeast"/>
              <w:rPr>
                <w:sz w:val="20"/>
              </w:rPr>
            </w:pPr>
            <w:r>
              <w:rPr>
                <w:rFonts w:hint="eastAsia"/>
                <w:sz w:val="20"/>
              </w:rPr>
              <w:t xml:space="preserve">25 </w:t>
            </w:r>
            <w:r w:rsidRPr="00764404">
              <w:rPr>
                <w:sz w:val="20"/>
              </w:rPr>
              <w:t>February</w:t>
            </w:r>
            <w:r>
              <w:rPr>
                <w:rFonts w:hint="eastAsia"/>
                <w:sz w:val="20"/>
              </w:rPr>
              <w:t xml:space="preserve"> </w:t>
            </w:r>
            <w:r w:rsidR="00A64FC3">
              <w:rPr>
                <w:sz w:val="20"/>
              </w:rPr>
              <w:t>20</w:t>
            </w:r>
            <w:r w:rsidR="00943B35">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E06285" w:rsidRDefault="00E06285" w:rsidP="003057D0">
      <w:pPr>
        <w:pStyle w:val="SingleTxtGC"/>
        <w:rPr>
          <w:rFonts w:hint="eastAsia"/>
        </w:rPr>
      </w:pPr>
    </w:p>
    <w:p w:rsidR="0094367E" w:rsidRPr="004068BB" w:rsidRDefault="0094367E" w:rsidP="0094367E">
      <w:pPr>
        <w:pStyle w:val="HChGC"/>
        <w:rPr>
          <w:rFonts w:hint="eastAsia"/>
          <w:szCs w:val="28"/>
        </w:rPr>
      </w:pPr>
      <w:r>
        <w:rPr>
          <w:rFonts w:hint="eastAsia"/>
        </w:rPr>
        <w:tab/>
      </w:r>
      <w:r>
        <w:rPr>
          <w:rFonts w:hint="eastAsia"/>
        </w:rPr>
        <w:tab/>
      </w:r>
      <w:r>
        <w:rPr>
          <w:rFonts w:hint="eastAsia"/>
        </w:rPr>
        <w:t>关于教廷根据《儿童权利公约关于儿童卷入武装冲突问题的任择议定书》第</w:t>
      </w:r>
      <w:r>
        <w:rPr>
          <w:rFonts w:hint="eastAsia"/>
        </w:rPr>
        <w:t>8</w:t>
      </w:r>
      <w:r>
        <w:rPr>
          <w:rFonts w:hint="eastAsia"/>
        </w:rPr>
        <w:t>条第</w:t>
      </w:r>
      <w:r>
        <w:rPr>
          <w:rFonts w:hint="eastAsia"/>
        </w:rPr>
        <w:t>1</w:t>
      </w:r>
      <w:r>
        <w:rPr>
          <w:rFonts w:hint="eastAsia"/>
        </w:rPr>
        <w:t>款提交的报告的结论性意见</w:t>
      </w:r>
      <w:r w:rsidRPr="0094367E">
        <w:rPr>
          <w:rStyle w:val="FootnoteReference"/>
          <w:position w:val="6"/>
          <w:sz w:val="28"/>
          <w:szCs w:val="28"/>
          <w:vertAlign w:val="baseline"/>
        </w:rPr>
        <w:footnoteReference w:customMarkFollows="1" w:id="1"/>
        <w:sym w:font="Symbol" w:char="F02A"/>
      </w:r>
    </w:p>
    <w:p w:rsidR="0094367E" w:rsidRDefault="0094367E" w:rsidP="0094367E">
      <w:pPr>
        <w:pStyle w:val="SingleTxtGC"/>
        <w:rPr>
          <w:rFonts w:hint="eastAsia"/>
        </w:rPr>
      </w:pPr>
      <w:r>
        <w:rPr>
          <w:rFonts w:hint="eastAsia"/>
        </w:rPr>
        <w:t xml:space="preserve">1.  </w:t>
      </w:r>
      <w:r>
        <w:rPr>
          <w:rFonts w:hint="eastAsia"/>
        </w:rPr>
        <w:t>委员会在</w:t>
      </w:r>
      <w:r>
        <w:rPr>
          <w:rFonts w:hint="eastAsia"/>
        </w:rPr>
        <w:t>2014</w:t>
      </w:r>
      <w:r>
        <w:rPr>
          <w:rFonts w:hint="eastAsia"/>
        </w:rPr>
        <w:t>年</w:t>
      </w:r>
      <w:r>
        <w:rPr>
          <w:rFonts w:hint="eastAsia"/>
        </w:rPr>
        <w:t>1</w:t>
      </w:r>
      <w:r>
        <w:rPr>
          <w:rFonts w:hint="eastAsia"/>
        </w:rPr>
        <w:t>月</w:t>
      </w:r>
      <w:r>
        <w:rPr>
          <w:rFonts w:hint="eastAsia"/>
        </w:rPr>
        <w:t>16</w:t>
      </w:r>
      <w:r>
        <w:rPr>
          <w:rFonts w:hint="eastAsia"/>
        </w:rPr>
        <w:t>日举行的第</w:t>
      </w:r>
      <w:r>
        <w:rPr>
          <w:rFonts w:hint="eastAsia"/>
        </w:rPr>
        <w:t>1853</w:t>
      </w:r>
      <w:r>
        <w:rPr>
          <w:rFonts w:hint="eastAsia"/>
        </w:rPr>
        <w:t>次会议</w:t>
      </w:r>
      <w:r>
        <w:rPr>
          <w:rFonts w:hint="eastAsia"/>
        </w:rPr>
        <w:t>(</w:t>
      </w:r>
      <w:r>
        <w:rPr>
          <w:rFonts w:hint="eastAsia"/>
        </w:rPr>
        <w:t>见</w:t>
      </w:r>
      <w:proofErr w:type="spellStart"/>
      <w:r>
        <w:rPr>
          <w:rFonts w:hint="eastAsia"/>
        </w:rPr>
        <w:t>CRC/C/SR.1853</w:t>
      </w:r>
      <w:proofErr w:type="spellEnd"/>
      <w:r>
        <w:rPr>
          <w:rFonts w:hint="eastAsia"/>
        </w:rPr>
        <w:t>)</w:t>
      </w:r>
      <w:r>
        <w:rPr>
          <w:rFonts w:hint="eastAsia"/>
        </w:rPr>
        <w:t>上审议了教廷的初次报告</w:t>
      </w:r>
      <w:r>
        <w:rPr>
          <w:rFonts w:hint="eastAsia"/>
        </w:rPr>
        <w:t>(</w:t>
      </w:r>
      <w:proofErr w:type="spellStart"/>
      <w:r>
        <w:rPr>
          <w:rFonts w:hint="eastAsia"/>
        </w:rPr>
        <w:t>CRC/C/OPAC/VAT/1</w:t>
      </w:r>
      <w:proofErr w:type="spellEnd"/>
      <w:r>
        <w:rPr>
          <w:rFonts w:hint="eastAsia"/>
        </w:rPr>
        <w:t>)</w:t>
      </w:r>
      <w:r>
        <w:rPr>
          <w:rFonts w:hint="eastAsia"/>
        </w:rPr>
        <w:t>，在</w:t>
      </w:r>
      <w:r>
        <w:rPr>
          <w:rFonts w:hint="eastAsia"/>
        </w:rPr>
        <w:t>2014</w:t>
      </w:r>
      <w:r>
        <w:rPr>
          <w:rFonts w:hint="eastAsia"/>
        </w:rPr>
        <w:t>年</w:t>
      </w:r>
      <w:r>
        <w:rPr>
          <w:rFonts w:hint="eastAsia"/>
        </w:rPr>
        <w:t>1</w:t>
      </w:r>
      <w:r>
        <w:rPr>
          <w:rFonts w:hint="eastAsia"/>
        </w:rPr>
        <w:t>月</w:t>
      </w:r>
      <w:r>
        <w:rPr>
          <w:rFonts w:hint="eastAsia"/>
        </w:rPr>
        <w:t>31</w:t>
      </w:r>
      <w:r>
        <w:rPr>
          <w:rFonts w:hint="eastAsia"/>
        </w:rPr>
        <w:t>日举行的第</w:t>
      </w:r>
      <w:r>
        <w:rPr>
          <w:rFonts w:hint="eastAsia"/>
        </w:rPr>
        <w:t>1875</w:t>
      </w:r>
      <w:r>
        <w:rPr>
          <w:rFonts w:hint="eastAsia"/>
        </w:rPr>
        <w:t>次会议上通过了以下结论性意见。</w:t>
      </w:r>
    </w:p>
    <w:p w:rsidR="0094367E" w:rsidRDefault="0094367E" w:rsidP="0094367E">
      <w:pPr>
        <w:pStyle w:val="HChGC"/>
        <w:rPr>
          <w:rFonts w:hint="eastAsia"/>
        </w:rPr>
      </w:pPr>
      <w:r>
        <w:rPr>
          <w:rFonts w:hint="eastAsia"/>
        </w:rPr>
        <w:tab/>
      </w:r>
      <w:r>
        <w:rPr>
          <w:rFonts w:hint="eastAsia"/>
        </w:rPr>
        <w:t>一</w:t>
      </w:r>
      <w:r>
        <w:rPr>
          <w:rFonts w:hint="eastAsia"/>
        </w:rPr>
        <w:t>.</w:t>
      </w:r>
      <w:r>
        <w:rPr>
          <w:rFonts w:hint="eastAsia"/>
        </w:rPr>
        <w:tab/>
      </w:r>
      <w:r>
        <w:rPr>
          <w:rFonts w:hint="eastAsia"/>
        </w:rPr>
        <w:t>导言</w:t>
      </w:r>
    </w:p>
    <w:p w:rsidR="0094367E" w:rsidRDefault="0094367E" w:rsidP="0094367E">
      <w:pPr>
        <w:pStyle w:val="SingleTxtGC"/>
        <w:rPr>
          <w:rFonts w:hint="eastAsia"/>
        </w:rPr>
      </w:pPr>
      <w:r>
        <w:rPr>
          <w:rFonts w:hint="eastAsia"/>
        </w:rPr>
        <w:t xml:space="preserve">2.  </w:t>
      </w:r>
      <w:r>
        <w:rPr>
          <w:rFonts w:hint="eastAsia"/>
        </w:rPr>
        <w:t>委员会欢迎教廷提交初次报告。委员会还欢迎与教廷多部门代表团举行的建设性对话。</w:t>
      </w:r>
    </w:p>
    <w:p w:rsidR="0094367E" w:rsidRDefault="0094367E" w:rsidP="0094367E">
      <w:pPr>
        <w:pStyle w:val="SingleTxtGC"/>
        <w:rPr>
          <w:rFonts w:hint="eastAsia"/>
        </w:rPr>
      </w:pPr>
      <w:r>
        <w:rPr>
          <w:rFonts w:hint="eastAsia"/>
        </w:rPr>
        <w:t xml:space="preserve">3.  </w:t>
      </w:r>
      <w:r>
        <w:rPr>
          <w:rFonts w:hint="eastAsia"/>
        </w:rPr>
        <w:t>委员会提醒教廷，本结论性意见应该与教廷根据《儿童权利公约》提交的第二次定期报告的结论性意见</w:t>
      </w:r>
      <w:r>
        <w:rPr>
          <w:rFonts w:hint="eastAsia"/>
        </w:rPr>
        <w:t>(</w:t>
      </w:r>
      <w:proofErr w:type="spellStart"/>
      <w:r>
        <w:rPr>
          <w:rFonts w:hint="eastAsia"/>
        </w:rPr>
        <w:t>CRC</w:t>
      </w:r>
      <w:proofErr w:type="spellEnd"/>
      <w:r>
        <w:rPr>
          <w:rFonts w:hint="eastAsia"/>
        </w:rPr>
        <w:t>/C/VAT/CO/2)</w:t>
      </w:r>
      <w:r>
        <w:rPr>
          <w:rFonts w:hint="eastAsia"/>
        </w:rPr>
        <w:t>以及关于它根据《儿童权利公约关于买卖儿童、儿童卖淫和儿童色情制品问题的任择议定书》提交的初次报告的结论性意见</w:t>
      </w:r>
      <w:r w:rsidR="00632FCF">
        <w:rPr>
          <w:rFonts w:hint="eastAsia"/>
        </w:rPr>
        <w:t>(</w:t>
      </w:r>
      <w:proofErr w:type="spellStart"/>
      <w:r w:rsidR="00632FCF">
        <w:rPr>
          <w:rFonts w:hint="eastAsia"/>
        </w:rPr>
        <w:t>CRC/C/OP</w:t>
      </w:r>
      <w:r w:rsidR="00175DEA">
        <w:rPr>
          <w:rFonts w:hint="eastAsia"/>
        </w:rPr>
        <w:t>S</w:t>
      </w:r>
      <w:r w:rsidR="00632FCF">
        <w:rPr>
          <w:rFonts w:hint="eastAsia"/>
        </w:rPr>
        <w:t>C/</w:t>
      </w:r>
      <w:r>
        <w:rPr>
          <w:rFonts w:hint="eastAsia"/>
        </w:rPr>
        <w:t>VAT/CO/1</w:t>
      </w:r>
      <w:proofErr w:type="spellEnd"/>
      <w:r>
        <w:rPr>
          <w:rFonts w:hint="eastAsia"/>
        </w:rPr>
        <w:t>)</w:t>
      </w:r>
      <w:r>
        <w:rPr>
          <w:rFonts w:hint="eastAsia"/>
        </w:rPr>
        <w:t>一起解读，这两项结论性意见也于</w:t>
      </w:r>
      <w:r>
        <w:rPr>
          <w:rFonts w:hint="eastAsia"/>
        </w:rPr>
        <w:t>2014</w:t>
      </w:r>
      <w:r>
        <w:rPr>
          <w:rFonts w:hint="eastAsia"/>
        </w:rPr>
        <w:t>年</w:t>
      </w:r>
      <w:r>
        <w:rPr>
          <w:rFonts w:hint="eastAsia"/>
        </w:rPr>
        <w:t>1</w:t>
      </w:r>
      <w:r>
        <w:rPr>
          <w:rFonts w:hint="eastAsia"/>
        </w:rPr>
        <w:t>月</w:t>
      </w:r>
      <w:r>
        <w:rPr>
          <w:rFonts w:hint="eastAsia"/>
        </w:rPr>
        <w:t>31</w:t>
      </w:r>
      <w:r>
        <w:rPr>
          <w:rFonts w:hint="eastAsia"/>
        </w:rPr>
        <w:t>日获得通过。</w:t>
      </w:r>
    </w:p>
    <w:p w:rsidR="0094367E" w:rsidRDefault="0094367E" w:rsidP="0094367E">
      <w:pPr>
        <w:pStyle w:val="HChGC"/>
        <w:rPr>
          <w:rFonts w:hint="eastAsia"/>
        </w:rPr>
      </w:pPr>
      <w:r>
        <w:rPr>
          <w:rFonts w:hint="eastAsia"/>
        </w:rPr>
        <w:tab/>
      </w:r>
      <w:r>
        <w:rPr>
          <w:rFonts w:hint="eastAsia"/>
        </w:rPr>
        <w:t>二</w:t>
      </w:r>
      <w:r>
        <w:rPr>
          <w:rFonts w:hint="eastAsia"/>
        </w:rPr>
        <w:t>.</w:t>
      </w:r>
      <w:r>
        <w:rPr>
          <w:rFonts w:hint="eastAsia"/>
        </w:rPr>
        <w:tab/>
      </w:r>
      <w:r>
        <w:rPr>
          <w:rFonts w:hint="eastAsia"/>
        </w:rPr>
        <w:t>一般性意见</w:t>
      </w:r>
    </w:p>
    <w:p w:rsidR="0094367E" w:rsidRDefault="0094367E" w:rsidP="0094367E">
      <w:pPr>
        <w:pStyle w:val="H23GC"/>
        <w:rPr>
          <w:rFonts w:hint="eastAsia"/>
        </w:rPr>
      </w:pPr>
      <w:r>
        <w:rPr>
          <w:rFonts w:hint="eastAsia"/>
        </w:rPr>
        <w:tab/>
      </w:r>
      <w:r>
        <w:rPr>
          <w:rFonts w:hint="eastAsia"/>
        </w:rPr>
        <w:tab/>
      </w:r>
      <w:r>
        <w:rPr>
          <w:rFonts w:hint="eastAsia"/>
        </w:rPr>
        <w:t>积极方面</w:t>
      </w:r>
    </w:p>
    <w:p w:rsidR="0094367E" w:rsidRDefault="0094367E" w:rsidP="0094367E">
      <w:pPr>
        <w:pStyle w:val="SingleTxtGC"/>
        <w:rPr>
          <w:rFonts w:hint="eastAsia"/>
        </w:rPr>
      </w:pPr>
      <w:r>
        <w:rPr>
          <w:rFonts w:hint="eastAsia"/>
        </w:rPr>
        <w:t xml:space="preserve">4.  </w:t>
      </w:r>
      <w:r>
        <w:rPr>
          <w:rFonts w:hint="eastAsia"/>
        </w:rPr>
        <w:t>委员会欢迎教廷批准：</w:t>
      </w:r>
    </w:p>
    <w:p w:rsidR="0094367E" w:rsidRDefault="0094367E" w:rsidP="0094367E">
      <w:pPr>
        <w:pStyle w:val="SingleTxtGC"/>
        <w:numPr>
          <w:ilvl w:val="0"/>
          <w:numId w:val="42"/>
        </w:numPr>
        <w:spacing w:line="360" w:lineRule="auto"/>
        <w:rPr>
          <w:rFonts w:hint="eastAsia"/>
        </w:rPr>
      </w:pPr>
      <w:r>
        <w:rPr>
          <w:rFonts w:hint="eastAsia"/>
        </w:rPr>
        <w:t>《禁止或限制使用某些可被认为具有过分伤害力或滥杀滥伤作用的常规武器公约》</w:t>
      </w:r>
      <w:r>
        <w:rPr>
          <w:rFonts w:hint="eastAsia"/>
        </w:rPr>
        <w:t>(</w:t>
      </w:r>
      <w:r>
        <w:rPr>
          <w:rFonts w:hint="eastAsia"/>
        </w:rPr>
        <w:t>与第一、第二和第三议定书一起</w:t>
      </w:r>
      <w:r>
        <w:rPr>
          <w:rFonts w:hint="eastAsia"/>
        </w:rPr>
        <w:t>)</w:t>
      </w:r>
      <w:r>
        <w:rPr>
          <w:rFonts w:hint="eastAsia"/>
        </w:rPr>
        <w:t>，</w:t>
      </w:r>
      <w:r>
        <w:rPr>
          <w:rFonts w:hint="eastAsia"/>
        </w:rPr>
        <w:t>1997</w:t>
      </w:r>
      <w:r>
        <w:rPr>
          <w:rFonts w:hint="eastAsia"/>
        </w:rPr>
        <w:t>年</w:t>
      </w:r>
      <w:r>
        <w:rPr>
          <w:rFonts w:hint="eastAsia"/>
        </w:rPr>
        <w:t>7</w:t>
      </w:r>
      <w:r>
        <w:rPr>
          <w:rFonts w:hint="eastAsia"/>
        </w:rPr>
        <w:t>月</w:t>
      </w:r>
      <w:r>
        <w:rPr>
          <w:rFonts w:hint="eastAsia"/>
        </w:rPr>
        <w:t>22</w:t>
      </w:r>
      <w:r>
        <w:rPr>
          <w:rFonts w:hint="eastAsia"/>
        </w:rPr>
        <w:t>日通过；</w:t>
      </w:r>
    </w:p>
    <w:p w:rsidR="0094367E" w:rsidRDefault="0094367E" w:rsidP="0094367E">
      <w:pPr>
        <w:pStyle w:val="SingleTxtGC"/>
        <w:numPr>
          <w:ilvl w:val="0"/>
          <w:numId w:val="42"/>
        </w:numPr>
        <w:spacing w:line="360" w:lineRule="auto"/>
        <w:rPr>
          <w:rFonts w:hint="eastAsia"/>
        </w:rPr>
      </w:pPr>
      <w:r>
        <w:rPr>
          <w:rFonts w:hint="eastAsia"/>
        </w:rPr>
        <w:t>《关于禁止使用、储存、生产和转让杀伤人员地雷及销毁此种地雷的公约》，</w:t>
      </w:r>
      <w:r>
        <w:rPr>
          <w:rFonts w:hint="eastAsia"/>
        </w:rPr>
        <w:t>1998</w:t>
      </w:r>
      <w:r>
        <w:rPr>
          <w:rFonts w:hint="eastAsia"/>
        </w:rPr>
        <w:t>年</w:t>
      </w:r>
      <w:r>
        <w:rPr>
          <w:rFonts w:hint="eastAsia"/>
        </w:rPr>
        <w:t>2</w:t>
      </w:r>
      <w:r>
        <w:rPr>
          <w:rFonts w:hint="eastAsia"/>
        </w:rPr>
        <w:t>月</w:t>
      </w:r>
      <w:r>
        <w:rPr>
          <w:rFonts w:hint="eastAsia"/>
        </w:rPr>
        <w:t>17</w:t>
      </w:r>
      <w:r>
        <w:rPr>
          <w:rFonts w:hint="eastAsia"/>
        </w:rPr>
        <w:t>日。</w:t>
      </w:r>
    </w:p>
    <w:p w:rsidR="0094367E" w:rsidRDefault="0094367E" w:rsidP="0094367E">
      <w:pPr>
        <w:pStyle w:val="SingleTxtGC"/>
        <w:rPr>
          <w:rFonts w:hint="eastAsia"/>
        </w:rPr>
      </w:pPr>
      <w:r>
        <w:rPr>
          <w:rFonts w:hint="eastAsia"/>
        </w:rPr>
        <w:t xml:space="preserve">5.  </w:t>
      </w:r>
      <w:r>
        <w:rPr>
          <w:rFonts w:hint="eastAsia"/>
        </w:rPr>
        <w:t>委员会注意到教廷没有“军事机构”或“武装力量”。委员会还注意到入瑞士教皇卫队的最低年龄是</w:t>
      </w:r>
      <w:r>
        <w:rPr>
          <w:rFonts w:hint="eastAsia"/>
        </w:rPr>
        <w:t>19</w:t>
      </w:r>
      <w:r>
        <w:rPr>
          <w:rFonts w:hint="eastAsia"/>
        </w:rPr>
        <w:t>岁。</w:t>
      </w:r>
    </w:p>
    <w:p w:rsidR="0094367E" w:rsidRDefault="0094367E" w:rsidP="0094367E">
      <w:pPr>
        <w:pStyle w:val="SingleTxtGC"/>
        <w:rPr>
          <w:rFonts w:hint="eastAsia"/>
        </w:rPr>
      </w:pPr>
      <w:r>
        <w:rPr>
          <w:rFonts w:hint="eastAsia"/>
        </w:rPr>
        <w:t xml:space="preserve">6.  </w:t>
      </w:r>
      <w:r>
        <w:rPr>
          <w:rFonts w:hint="eastAsia"/>
        </w:rPr>
        <w:t>委员会欢迎全世界天主教学校参与关于和平以及受武装冲突影响的社群之间和解的教育。</w:t>
      </w:r>
    </w:p>
    <w:p w:rsidR="0094367E" w:rsidRDefault="0094367E" w:rsidP="0094367E">
      <w:pPr>
        <w:pStyle w:val="HChGC"/>
        <w:rPr>
          <w:rFonts w:hint="eastAsia"/>
        </w:rPr>
      </w:pPr>
      <w:r>
        <w:rPr>
          <w:rFonts w:hint="eastAsia"/>
        </w:rPr>
        <w:tab/>
      </w:r>
      <w:r>
        <w:rPr>
          <w:rFonts w:hint="eastAsia"/>
        </w:rPr>
        <w:t>三</w:t>
      </w:r>
      <w:r>
        <w:rPr>
          <w:rFonts w:hint="eastAsia"/>
        </w:rPr>
        <w:t>.</w:t>
      </w:r>
      <w:r>
        <w:rPr>
          <w:rFonts w:hint="eastAsia"/>
        </w:rPr>
        <w:tab/>
      </w:r>
      <w:r>
        <w:rPr>
          <w:rFonts w:hint="eastAsia"/>
        </w:rPr>
        <w:t>一般执行措施</w:t>
      </w:r>
    </w:p>
    <w:p w:rsidR="0094367E" w:rsidRDefault="0094367E" w:rsidP="0094367E">
      <w:pPr>
        <w:pStyle w:val="H23GC"/>
        <w:rPr>
          <w:rFonts w:hint="eastAsia"/>
        </w:rPr>
      </w:pPr>
      <w:r>
        <w:rPr>
          <w:rFonts w:hint="eastAsia"/>
        </w:rPr>
        <w:tab/>
      </w:r>
      <w:r>
        <w:rPr>
          <w:rFonts w:hint="eastAsia"/>
        </w:rPr>
        <w:tab/>
      </w:r>
      <w:r>
        <w:rPr>
          <w:rFonts w:hint="eastAsia"/>
        </w:rPr>
        <w:t>传播和培训</w:t>
      </w:r>
    </w:p>
    <w:p w:rsidR="0094367E" w:rsidRDefault="0094367E" w:rsidP="0094367E">
      <w:pPr>
        <w:pStyle w:val="SingleTxtGC"/>
        <w:rPr>
          <w:rFonts w:hint="eastAsia"/>
        </w:rPr>
      </w:pPr>
      <w:r>
        <w:rPr>
          <w:rFonts w:hint="eastAsia"/>
        </w:rPr>
        <w:t xml:space="preserve">7.  </w:t>
      </w:r>
      <w:r>
        <w:rPr>
          <w:rFonts w:hint="eastAsia"/>
        </w:rPr>
        <w:t>委员会表示遗憾，缺乏资料说明教廷通过在</w:t>
      </w:r>
      <w:r w:rsidR="00A83ABF">
        <w:rPr>
          <w:rFonts w:hint="eastAsia"/>
        </w:rPr>
        <w:t>其授权</w:t>
      </w:r>
      <w:r>
        <w:rPr>
          <w:rFonts w:hint="eastAsia"/>
        </w:rPr>
        <w:t>下开展工作的个人和机构所开展的活动，以传播《任择议定书》，特别是向从事在武装冲突中受招募和参与的儿童受害者的工作的人传播《任择议定书》。</w:t>
      </w:r>
    </w:p>
    <w:p w:rsidR="0094367E" w:rsidRDefault="0094367E" w:rsidP="0094367E">
      <w:pPr>
        <w:pStyle w:val="SingleTxtGC"/>
        <w:rPr>
          <w:rFonts w:hint="eastAsia"/>
        </w:rPr>
      </w:pPr>
      <w:r>
        <w:rPr>
          <w:rFonts w:hint="eastAsia"/>
        </w:rPr>
        <w:t xml:space="preserve">8.  </w:t>
      </w:r>
      <w:r>
        <w:rPr>
          <w:rFonts w:hint="eastAsia"/>
        </w:rPr>
        <w:t>委员会建议教廷加紧努力支持就《任择议定书》的规定开展的提高认识和培训活动。</w:t>
      </w:r>
    </w:p>
    <w:p w:rsidR="0094367E" w:rsidRDefault="0094367E" w:rsidP="0094367E">
      <w:pPr>
        <w:pStyle w:val="HChGC"/>
        <w:rPr>
          <w:rFonts w:hint="eastAsia"/>
        </w:rPr>
      </w:pPr>
      <w:r>
        <w:rPr>
          <w:rFonts w:hint="eastAsia"/>
        </w:rPr>
        <w:tab/>
      </w:r>
      <w:r>
        <w:rPr>
          <w:rFonts w:hint="eastAsia"/>
        </w:rPr>
        <w:t>四</w:t>
      </w:r>
      <w:r>
        <w:rPr>
          <w:rFonts w:hint="eastAsia"/>
        </w:rPr>
        <w:t>.</w:t>
      </w:r>
      <w:r>
        <w:rPr>
          <w:rFonts w:hint="eastAsia"/>
        </w:rPr>
        <w:tab/>
      </w:r>
      <w:r>
        <w:rPr>
          <w:rFonts w:hint="eastAsia"/>
        </w:rPr>
        <w:t>预防</w:t>
      </w:r>
    </w:p>
    <w:p w:rsidR="0094367E" w:rsidRDefault="0094367E" w:rsidP="0094367E">
      <w:pPr>
        <w:pStyle w:val="H23GC"/>
        <w:rPr>
          <w:rFonts w:hint="eastAsia"/>
        </w:rPr>
      </w:pPr>
      <w:r>
        <w:rPr>
          <w:rFonts w:hint="eastAsia"/>
        </w:rPr>
        <w:tab/>
      </w:r>
      <w:r>
        <w:rPr>
          <w:rFonts w:hint="eastAsia"/>
        </w:rPr>
        <w:tab/>
      </w:r>
      <w:r>
        <w:rPr>
          <w:rFonts w:hint="eastAsia"/>
        </w:rPr>
        <w:t>为防止《议定书》所述罪行而采取的措施</w:t>
      </w:r>
    </w:p>
    <w:p w:rsidR="0094367E" w:rsidRDefault="0094367E" w:rsidP="0094367E">
      <w:pPr>
        <w:pStyle w:val="SingleTxtGC"/>
        <w:rPr>
          <w:rFonts w:hint="eastAsia"/>
        </w:rPr>
      </w:pPr>
      <w:r>
        <w:rPr>
          <w:rFonts w:hint="eastAsia"/>
        </w:rPr>
        <w:t xml:space="preserve">9.  </w:t>
      </w:r>
      <w:r>
        <w:rPr>
          <w:rFonts w:hint="eastAsia"/>
        </w:rPr>
        <w:t>委员会赞赏地注意到罗马教皇强烈谴责在任何情况下剥削儿童的行为，包括在武装冲突中利用儿童，还赞赏地注意到他在全世界推广关于专门援助有可能被招募的弱势儿童的预防方案。</w:t>
      </w:r>
    </w:p>
    <w:p w:rsidR="0094367E" w:rsidRDefault="0094367E" w:rsidP="0094367E">
      <w:pPr>
        <w:pStyle w:val="SingleTxtGC"/>
        <w:rPr>
          <w:rFonts w:hint="eastAsia"/>
        </w:rPr>
      </w:pPr>
      <w:r>
        <w:rPr>
          <w:rFonts w:hint="eastAsia"/>
        </w:rPr>
        <w:t xml:space="preserve">10.  </w:t>
      </w:r>
      <w:r>
        <w:rPr>
          <w:rFonts w:hint="eastAsia"/>
        </w:rPr>
        <w:t>委员会建议教廷继续行使其权威，防止在武装冲突中招募和利用儿童。</w:t>
      </w:r>
    </w:p>
    <w:p w:rsidR="0094367E" w:rsidRDefault="0094367E" w:rsidP="0094367E">
      <w:pPr>
        <w:pStyle w:val="HChGC"/>
        <w:rPr>
          <w:rFonts w:hint="eastAsia"/>
        </w:rPr>
      </w:pPr>
      <w:r>
        <w:rPr>
          <w:rFonts w:hint="eastAsia"/>
        </w:rPr>
        <w:tab/>
      </w:r>
      <w:r>
        <w:rPr>
          <w:rFonts w:hint="eastAsia"/>
        </w:rPr>
        <w:t>五</w:t>
      </w:r>
      <w:r>
        <w:rPr>
          <w:rFonts w:hint="eastAsia"/>
        </w:rPr>
        <w:t>.</w:t>
      </w:r>
      <w:r>
        <w:rPr>
          <w:rFonts w:hint="eastAsia"/>
        </w:rPr>
        <w:tab/>
      </w:r>
      <w:r>
        <w:rPr>
          <w:rFonts w:hint="eastAsia"/>
        </w:rPr>
        <w:t>禁止和有关事项</w:t>
      </w:r>
    </w:p>
    <w:p w:rsidR="0094367E" w:rsidRDefault="0094367E" w:rsidP="0094367E">
      <w:pPr>
        <w:pStyle w:val="H23GC"/>
        <w:rPr>
          <w:rFonts w:hint="eastAsia"/>
        </w:rPr>
      </w:pPr>
      <w:r>
        <w:rPr>
          <w:rFonts w:hint="eastAsia"/>
        </w:rPr>
        <w:tab/>
      </w:r>
      <w:r>
        <w:rPr>
          <w:rFonts w:hint="eastAsia"/>
        </w:rPr>
        <w:tab/>
      </w:r>
      <w:r>
        <w:rPr>
          <w:rFonts w:hint="eastAsia"/>
        </w:rPr>
        <w:t>现行刑事立法和法规</w:t>
      </w:r>
    </w:p>
    <w:p w:rsidR="0094367E" w:rsidRDefault="0094367E" w:rsidP="0094367E">
      <w:pPr>
        <w:pStyle w:val="SingleTxtGC"/>
        <w:rPr>
          <w:rFonts w:hint="eastAsia"/>
        </w:rPr>
      </w:pPr>
      <w:r>
        <w:rPr>
          <w:rFonts w:hint="eastAsia"/>
        </w:rPr>
        <w:t xml:space="preserve">11.  </w:t>
      </w:r>
      <w:r>
        <w:rPr>
          <w:rFonts w:hint="eastAsia"/>
        </w:rPr>
        <w:t>委员会欢迎明确谴责在武装冲突中招募和利用儿童作为士兵，这在《教会社会训导汇编》中被认为是不可容忍的罪行。委员会还注意到一个积极的方面是对招募和利用</w:t>
      </w:r>
      <w:r>
        <w:rPr>
          <w:rFonts w:hint="eastAsia"/>
        </w:rPr>
        <w:t>15</w:t>
      </w:r>
      <w:r>
        <w:rPr>
          <w:rFonts w:hint="eastAsia"/>
        </w:rPr>
        <w:t>岁以下为士兵的行为入罪，而且根据</w:t>
      </w:r>
      <w:r>
        <w:rPr>
          <w:rFonts w:hint="eastAsia"/>
        </w:rPr>
        <w:t>2013</w:t>
      </w:r>
      <w:r>
        <w:rPr>
          <w:rFonts w:hint="eastAsia"/>
        </w:rPr>
        <w:t>年</w:t>
      </w:r>
      <w:r>
        <w:rPr>
          <w:rFonts w:hint="eastAsia"/>
        </w:rPr>
        <w:t>7</w:t>
      </w:r>
      <w:r>
        <w:rPr>
          <w:rFonts w:hint="eastAsia"/>
        </w:rPr>
        <w:t>月</w:t>
      </w:r>
      <w:r>
        <w:rPr>
          <w:rFonts w:hint="eastAsia"/>
        </w:rPr>
        <w:t>11</w:t>
      </w:r>
      <w:r>
        <w:rPr>
          <w:rFonts w:hint="eastAsia"/>
        </w:rPr>
        <w:t>日《梵蒂冈城国关于刑事事项补充准则的第三号法》第四编的定义，这种招募和利用儿童的行为是一种战争罪。但是，委员会表示关注，教廷还没有将武装冲突中招募和利用</w:t>
      </w:r>
      <w:r>
        <w:rPr>
          <w:rFonts w:hint="eastAsia"/>
        </w:rPr>
        <w:t>18</w:t>
      </w:r>
      <w:r>
        <w:rPr>
          <w:rFonts w:hint="eastAsia"/>
        </w:rPr>
        <w:t>岁以下的儿童</w:t>
      </w:r>
      <w:r w:rsidR="00A83ABF">
        <w:rPr>
          <w:rFonts w:hint="eastAsia"/>
        </w:rPr>
        <w:t>的行为</w:t>
      </w:r>
      <w:r>
        <w:rPr>
          <w:rFonts w:hint="eastAsia"/>
        </w:rPr>
        <w:t>入罪。</w:t>
      </w:r>
    </w:p>
    <w:p w:rsidR="0094367E" w:rsidRPr="00EE10F2" w:rsidRDefault="0094367E" w:rsidP="0094367E">
      <w:pPr>
        <w:pStyle w:val="SingleTxtGC"/>
        <w:rPr>
          <w:rFonts w:eastAsia="SimHei" w:hint="eastAsia"/>
        </w:rPr>
      </w:pPr>
      <w:r w:rsidRPr="00EE10F2">
        <w:rPr>
          <w:rFonts w:eastAsia="SimHei" w:hint="eastAsia"/>
        </w:rPr>
        <w:t xml:space="preserve">12.  </w:t>
      </w:r>
      <w:r w:rsidRPr="00EE10F2">
        <w:rPr>
          <w:rFonts w:eastAsia="SimHei" w:hint="eastAsia"/>
        </w:rPr>
        <w:t>委员会促请教廷确保梵蒂冈城国的刑法与《任择议定书》第</w:t>
      </w:r>
      <w:r w:rsidRPr="00EE10F2">
        <w:rPr>
          <w:rFonts w:eastAsia="SimHei" w:hint="eastAsia"/>
        </w:rPr>
        <w:t>2</w:t>
      </w:r>
      <w:r w:rsidRPr="00EE10F2">
        <w:rPr>
          <w:rFonts w:eastAsia="SimHei" w:hint="eastAsia"/>
        </w:rPr>
        <w:t>和第</w:t>
      </w:r>
      <w:r w:rsidRPr="00EE10F2">
        <w:rPr>
          <w:rFonts w:eastAsia="SimHei" w:hint="eastAsia"/>
        </w:rPr>
        <w:t>4</w:t>
      </w:r>
      <w:r w:rsidRPr="00EE10F2">
        <w:rPr>
          <w:rFonts w:eastAsia="SimHei" w:hint="eastAsia"/>
        </w:rPr>
        <w:t>条保持一致。并将武装冲突中招募和利用</w:t>
      </w:r>
      <w:r w:rsidRPr="00EE10F2">
        <w:rPr>
          <w:rFonts w:eastAsia="SimHei" w:hint="eastAsia"/>
        </w:rPr>
        <w:t>18</w:t>
      </w:r>
      <w:r w:rsidRPr="00EE10F2">
        <w:rPr>
          <w:rFonts w:eastAsia="SimHei" w:hint="eastAsia"/>
        </w:rPr>
        <w:t>岁以下的儿童的行为入罪。</w:t>
      </w:r>
    </w:p>
    <w:p w:rsidR="0094367E" w:rsidRDefault="0094367E" w:rsidP="0094367E">
      <w:pPr>
        <w:pStyle w:val="HChGC"/>
        <w:rPr>
          <w:rFonts w:hint="eastAsia"/>
        </w:rPr>
      </w:pPr>
      <w:r>
        <w:rPr>
          <w:rFonts w:hint="eastAsia"/>
        </w:rPr>
        <w:tab/>
      </w:r>
      <w:r>
        <w:rPr>
          <w:rFonts w:hint="eastAsia"/>
        </w:rPr>
        <w:t>六</w:t>
      </w:r>
      <w:r>
        <w:rPr>
          <w:rFonts w:hint="eastAsia"/>
        </w:rPr>
        <w:t>.</w:t>
      </w:r>
      <w:r>
        <w:rPr>
          <w:rFonts w:hint="eastAsia"/>
        </w:rPr>
        <w:tab/>
      </w:r>
      <w:r>
        <w:rPr>
          <w:rFonts w:hint="eastAsia"/>
        </w:rPr>
        <w:t>保护、恢复和重新融入</w:t>
      </w:r>
    </w:p>
    <w:p w:rsidR="0094367E" w:rsidRDefault="0094367E" w:rsidP="0094367E">
      <w:pPr>
        <w:pStyle w:val="H23GC"/>
        <w:rPr>
          <w:rFonts w:hint="eastAsia"/>
        </w:rPr>
      </w:pPr>
      <w:r>
        <w:rPr>
          <w:rFonts w:hint="eastAsia"/>
        </w:rPr>
        <w:tab/>
      </w:r>
      <w:r>
        <w:rPr>
          <w:rFonts w:hint="eastAsia"/>
        </w:rPr>
        <w:tab/>
      </w:r>
      <w:r>
        <w:rPr>
          <w:rFonts w:hint="eastAsia"/>
        </w:rPr>
        <w:t>为保护儿童受害者的权利而采取的措施</w:t>
      </w:r>
    </w:p>
    <w:p w:rsidR="0094367E" w:rsidRDefault="0094367E" w:rsidP="0094367E">
      <w:pPr>
        <w:pStyle w:val="SingleTxtGC"/>
        <w:rPr>
          <w:rFonts w:hint="eastAsia"/>
        </w:rPr>
      </w:pPr>
      <w:r>
        <w:rPr>
          <w:rFonts w:hint="eastAsia"/>
        </w:rPr>
        <w:t xml:space="preserve">13.  </w:t>
      </w:r>
      <w:r>
        <w:rPr>
          <w:rFonts w:hint="eastAsia"/>
        </w:rPr>
        <w:t>委员会欢迎教廷多次呼吁注意受招募的儿童卷入武装冲突的长期后果。但是，委员会表示关注，教廷在支持其治下的个人和机构保护这种儿童的权利方面所采取的具体措施没有提供充分的资料。</w:t>
      </w:r>
    </w:p>
    <w:p w:rsidR="0094367E" w:rsidRPr="00EE10F2" w:rsidRDefault="0094367E" w:rsidP="0094367E">
      <w:pPr>
        <w:pStyle w:val="SingleTxtGC"/>
        <w:rPr>
          <w:rFonts w:eastAsia="SimHei" w:hint="eastAsia"/>
        </w:rPr>
      </w:pPr>
      <w:r w:rsidRPr="00EE10F2">
        <w:rPr>
          <w:rFonts w:eastAsia="SimHei" w:hint="eastAsia"/>
        </w:rPr>
        <w:t xml:space="preserve">14.  </w:t>
      </w:r>
      <w:r w:rsidRPr="00EE10F2">
        <w:rPr>
          <w:rFonts w:eastAsia="SimHei" w:hint="eastAsia"/>
        </w:rPr>
        <w:t>委员会建议教廷向在其授权下工作的个人和机构提供关于保护儿童受害者的权利的援助，包括财政支助。</w:t>
      </w:r>
    </w:p>
    <w:p w:rsidR="0094367E" w:rsidRDefault="0094367E" w:rsidP="0094367E">
      <w:pPr>
        <w:pStyle w:val="H23GC"/>
        <w:rPr>
          <w:rFonts w:hint="eastAsia"/>
        </w:rPr>
      </w:pPr>
      <w:r>
        <w:rPr>
          <w:rFonts w:hint="eastAsia"/>
        </w:rPr>
        <w:tab/>
      </w:r>
      <w:r>
        <w:rPr>
          <w:rFonts w:hint="eastAsia"/>
        </w:rPr>
        <w:tab/>
      </w:r>
      <w:r>
        <w:rPr>
          <w:rFonts w:hint="eastAsia"/>
        </w:rPr>
        <w:t>身心康复和重新融入社会方面的援助</w:t>
      </w:r>
    </w:p>
    <w:p w:rsidR="0094367E" w:rsidRDefault="0094367E" w:rsidP="0094367E">
      <w:pPr>
        <w:pStyle w:val="SingleTxtGC"/>
        <w:rPr>
          <w:rFonts w:hint="eastAsia"/>
        </w:rPr>
      </w:pPr>
      <w:r>
        <w:rPr>
          <w:rFonts w:hint="eastAsia"/>
        </w:rPr>
        <w:t xml:space="preserve">15.  </w:t>
      </w:r>
      <w:r>
        <w:rPr>
          <w:rFonts w:hint="eastAsia"/>
        </w:rPr>
        <w:t>委员会欢迎地方上的天主教学校和机构就被招募和卷入武装冲突的儿童的身心康复和重新融入社会的问题多次提出倡议。委员会注意到特别积极的方面是制定的一些项目，包括乌干达天主教教育部为儿童兵的救助和重新融入社会而编制的一个项目，以及耶稣会难民服务社在刚果民主共和国南基伍为儿童兵建立的一个过境和收容中心。</w:t>
      </w:r>
    </w:p>
    <w:p w:rsidR="0094367E" w:rsidRPr="00EE10F2" w:rsidRDefault="0094367E" w:rsidP="0094367E">
      <w:pPr>
        <w:pStyle w:val="SingleTxtGC"/>
        <w:rPr>
          <w:rFonts w:eastAsia="SimHei" w:hint="eastAsia"/>
        </w:rPr>
      </w:pPr>
      <w:r w:rsidRPr="00EE10F2">
        <w:rPr>
          <w:rFonts w:eastAsia="SimHei" w:hint="eastAsia"/>
        </w:rPr>
        <w:t xml:space="preserve">16.  </w:t>
      </w:r>
      <w:r w:rsidRPr="00EE10F2">
        <w:rPr>
          <w:rFonts w:eastAsia="SimHei" w:hint="eastAsia"/>
        </w:rPr>
        <w:t>委员会建议教廷继续支持关于被招募和卷入武装冲突的儿童的身心康复和重新融入社会的各种倡议。</w:t>
      </w:r>
    </w:p>
    <w:p w:rsidR="0094367E" w:rsidRDefault="0094367E" w:rsidP="0094367E">
      <w:pPr>
        <w:pStyle w:val="HChGC"/>
        <w:rPr>
          <w:rFonts w:hint="eastAsia"/>
        </w:rPr>
      </w:pPr>
      <w:r>
        <w:rPr>
          <w:rFonts w:hint="eastAsia"/>
        </w:rPr>
        <w:tab/>
      </w:r>
      <w:r>
        <w:rPr>
          <w:rFonts w:hint="eastAsia"/>
        </w:rPr>
        <w:t>七</w:t>
      </w:r>
      <w:r>
        <w:rPr>
          <w:rFonts w:hint="eastAsia"/>
        </w:rPr>
        <w:t>.</w:t>
      </w:r>
      <w:r>
        <w:rPr>
          <w:rFonts w:hint="eastAsia"/>
        </w:rPr>
        <w:tab/>
      </w:r>
      <w:r>
        <w:rPr>
          <w:rFonts w:hint="eastAsia"/>
        </w:rPr>
        <w:t>国际援助与合作</w:t>
      </w:r>
    </w:p>
    <w:p w:rsidR="0094367E" w:rsidRDefault="0094367E" w:rsidP="0094367E">
      <w:pPr>
        <w:pStyle w:val="H23GC"/>
        <w:rPr>
          <w:rFonts w:hint="eastAsia"/>
        </w:rPr>
      </w:pPr>
      <w:r>
        <w:rPr>
          <w:rFonts w:hint="eastAsia"/>
        </w:rPr>
        <w:tab/>
      </w:r>
      <w:r>
        <w:rPr>
          <w:rFonts w:hint="eastAsia"/>
        </w:rPr>
        <w:tab/>
      </w:r>
      <w:r>
        <w:rPr>
          <w:rFonts w:hint="eastAsia"/>
        </w:rPr>
        <w:t>国际合作</w:t>
      </w:r>
    </w:p>
    <w:p w:rsidR="0094367E" w:rsidRPr="004068BB" w:rsidRDefault="0094367E" w:rsidP="0094367E">
      <w:pPr>
        <w:pStyle w:val="SingleTxtGC"/>
        <w:rPr>
          <w:rFonts w:eastAsia="SimHei" w:hint="eastAsia"/>
        </w:rPr>
      </w:pPr>
      <w:r w:rsidRPr="004068BB">
        <w:rPr>
          <w:rFonts w:eastAsia="SimHei" w:hint="eastAsia"/>
        </w:rPr>
        <w:t xml:space="preserve">17.  </w:t>
      </w:r>
      <w:r w:rsidRPr="004068BB">
        <w:rPr>
          <w:rFonts w:eastAsia="SimHei" w:hint="eastAsia"/>
        </w:rPr>
        <w:t>委员会鼓励教廷继续在关于消除武装冲突中招募和利用儿童的国际论坛上发挥关键作用。</w:t>
      </w:r>
    </w:p>
    <w:p w:rsidR="0094367E" w:rsidRPr="004068BB" w:rsidRDefault="0094367E" w:rsidP="0094367E">
      <w:pPr>
        <w:pStyle w:val="HChGC"/>
        <w:rPr>
          <w:rFonts w:hint="eastAsia"/>
        </w:rPr>
      </w:pPr>
      <w:r w:rsidRPr="004068BB">
        <w:rPr>
          <w:rFonts w:hint="eastAsia"/>
        </w:rPr>
        <w:tab/>
      </w:r>
      <w:r w:rsidRPr="004068BB">
        <w:rPr>
          <w:rFonts w:hint="eastAsia"/>
        </w:rPr>
        <w:t>八</w:t>
      </w:r>
      <w:r w:rsidRPr="004068BB">
        <w:rPr>
          <w:rFonts w:hint="eastAsia"/>
        </w:rPr>
        <w:t>.</w:t>
      </w:r>
      <w:r w:rsidRPr="004068BB">
        <w:rPr>
          <w:rFonts w:hint="eastAsia"/>
        </w:rPr>
        <w:tab/>
      </w:r>
      <w:r w:rsidRPr="004068BB">
        <w:rPr>
          <w:rFonts w:hint="eastAsia"/>
        </w:rPr>
        <w:t>后续活动和传播</w:t>
      </w:r>
    </w:p>
    <w:p w:rsidR="0094367E" w:rsidRPr="004068BB" w:rsidRDefault="0094367E" w:rsidP="0094367E">
      <w:pPr>
        <w:pStyle w:val="SingleTxtGC"/>
        <w:rPr>
          <w:rFonts w:eastAsia="SimHei" w:hint="eastAsia"/>
        </w:rPr>
      </w:pPr>
      <w:r w:rsidRPr="004068BB">
        <w:rPr>
          <w:rFonts w:eastAsia="SimHei" w:hint="eastAsia"/>
        </w:rPr>
        <w:t xml:space="preserve">18.  </w:t>
      </w:r>
      <w:r w:rsidRPr="004068BB">
        <w:rPr>
          <w:rFonts w:eastAsia="SimHei" w:hint="eastAsia"/>
        </w:rPr>
        <w:t>委员会建议教廷采取一切适当措施，确保充分执行本建议，特别是将这些建议转达给教皇、法院、教义部、天主教教育部、天主教保健机构、宗座家庭委员会、主教大会以及在教廷的授权下工作的个人和机构，以便予以适当审议和采取进一步的行</w:t>
      </w:r>
      <w:r>
        <w:rPr>
          <w:rFonts w:eastAsia="SimHei" w:hint="eastAsia"/>
        </w:rPr>
        <w:t>动</w:t>
      </w:r>
      <w:r w:rsidRPr="004068BB">
        <w:rPr>
          <w:rFonts w:eastAsia="SimHei" w:hint="eastAsia"/>
        </w:rPr>
        <w:t>。</w:t>
      </w:r>
    </w:p>
    <w:p w:rsidR="0094367E" w:rsidRPr="004068BB" w:rsidRDefault="0094367E" w:rsidP="0094367E">
      <w:pPr>
        <w:pStyle w:val="SingleTxtGC"/>
        <w:rPr>
          <w:rFonts w:eastAsia="SimHei" w:hint="eastAsia"/>
        </w:rPr>
      </w:pPr>
      <w:r w:rsidRPr="004068BB">
        <w:rPr>
          <w:rFonts w:eastAsia="SimHei" w:hint="eastAsia"/>
        </w:rPr>
        <w:t xml:space="preserve">19.  </w:t>
      </w:r>
      <w:r w:rsidRPr="004068BB">
        <w:rPr>
          <w:rFonts w:eastAsia="SimHei" w:hint="eastAsia"/>
        </w:rPr>
        <w:t>委员会建议向广大公众、民间组织、青年团体、专业团体和儿童广泛提供教廷提交的初次报告和书面答复以及本结论性意见，以便就《任择议定书》及其执行和监测引起辩论并提高认识。</w:t>
      </w:r>
    </w:p>
    <w:p w:rsidR="0094367E" w:rsidRPr="004068BB" w:rsidRDefault="0094367E" w:rsidP="0094367E">
      <w:pPr>
        <w:pStyle w:val="HChGC"/>
        <w:rPr>
          <w:rFonts w:hint="eastAsia"/>
        </w:rPr>
      </w:pPr>
      <w:r w:rsidRPr="004068BB">
        <w:rPr>
          <w:rFonts w:hint="eastAsia"/>
        </w:rPr>
        <w:tab/>
      </w:r>
      <w:r w:rsidRPr="004068BB">
        <w:rPr>
          <w:rFonts w:hint="eastAsia"/>
        </w:rPr>
        <w:t>九</w:t>
      </w:r>
      <w:r w:rsidRPr="004068BB">
        <w:rPr>
          <w:rFonts w:hint="eastAsia"/>
        </w:rPr>
        <w:t>.</w:t>
      </w:r>
      <w:r w:rsidRPr="004068BB">
        <w:rPr>
          <w:rFonts w:hint="eastAsia"/>
        </w:rPr>
        <w:tab/>
      </w:r>
      <w:r w:rsidRPr="004068BB">
        <w:rPr>
          <w:rFonts w:hint="eastAsia"/>
        </w:rPr>
        <w:t>下一次报告</w:t>
      </w:r>
    </w:p>
    <w:p w:rsidR="0094367E" w:rsidRPr="004068BB" w:rsidRDefault="0094367E" w:rsidP="0094367E">
      <w:pPr>
        <w:pStyle w:val="SingleTxtGC"/>
        <w:rPr>
          <w:rFonts w:eastAsia="SimHei" w:hint="eastAsia"/>
        </w:rPr>
      </w:pPr>
      <w:r w:rsidRPr="004068BB">
        <w:rPr>
          <w:rFonts w:eastAsia="SimHei" w:hint="eastAsia"/>
        </w:rPr>
        <w:t xml:space="preserve">20.  </w:t>
      </w:r>
      <w:r w:rsidRPr="004068BB">
        <w:rPr>
          <w:rFonts w:eastAsia="SimHei" w:hint="eastAsia"/>
        </w:rPr>
        <w:t>根据《儿童权利公约关于儿童卷入武装冲突问题的任择议定书》第</w:t>
      </w:r>
      <w:r w:rsidRPr="004068BB">
        <w:rPr>
          <w:rFonts w:eastAsia="SimHei" w:hint="eastAsia"/>
        </w:rPr>
        <w:t>8</w:t>
      </w:r>
      <w:r w:rsidRPr="004068BB">
        <w:rPr>
          <w:rFonts w:eastAsia="SimHei" w:hint="eastAsia"/>
        </w:rPr>
        <w:t>条第</w:t>
      </w:r>
      <w:r w:rsidRPr="004068BB">
        <w:rPr>
          <w:rFonts w:eastAsia="SimHei" w:hint="eastAsia"/>
        </w:rPr>
        <w:t>2</w:t>
      </w:r>
      <w:r w:rsidRPr="004068BB">
        <w:rPr>
          <w:rFonts w:eastAsia="SimHei" w:hint="eastAsia"/>
        </w:rPr>
        <w:t>款，委员会请教廷在下次根据《任择议定书》提交的定期报告中列入关于执行《任择议定书》和本结论性意见所载建议方面的进一步资料。</w:t>
      </w:r>
    </w:p>
    <w:p w:rsidR="0094367E" w:rsidRPr="004068BB" w:rsidRDefault="0094367E" w:rsidP="0094367E">
      <w:pPr>
        <w:pStyle w:val="SingleTxtGC"/>
        <w:rPr>
          <w:rFonts w:eastAsia="SimHei" w:hint="eastAsia"/>
        </w:rPr>
      </w:pPr>
    </w:p>
    <w:p w:rsidR="0094367E" w:rsidRPr="004068BB" w:rsidRDefault="0094367E" w:rsidP="0094367E">
      <w:pPr>
        <w:spacing w:before="240"/>
        <w:jc w:val="center"/>
        <w:rPr>
          <w:rFonts w:eastAsia="SimHei"/>
          <w:u w:val="single"/>
        </w:rPr>
      </w:pPr>
      <w:r w:rsidRPr="004068BB">
        <w:rPr>
          <w:rFonts w:eastAsia="SimHei" w:hint="eastAsia"/>
          <w:u w:val="single"/>
        </w:rPr>
        <w:tab/>
      </w:r>
      <w:r w:rsidRPr="004068BB">
        <w:rPr>
          <w:rFonts w:eastAsia="SimHei" w:hint="eastAsia"/>
          <w:u w:val="single"/>
        </w:rPr>
        <w:tab/>
      </w:r>
      <w:r w:rsidRPr="004068BB">
        <w:rPr>
          <w:rFonts w:eastAsia="SimHei" w:hint="eastAsia"/>
          <w:u w:val="single"/>
        </w:rPr>
        <w:tab/>
      </w:r>
      <w:r w:rsidRPr="004068BB">
        <w:rPr>
          <w:rFonts w:eastAsia="SimHei"/>
          <w:u w:val="single"/>
        </w:rPr>
        <w:tab/>
      </w:r>
    </w:p>
    <w:p w:rsidR="0094367E" w:rsidRPr="004068BB" w:rsidRDefault="0094367E" w:rsidP="0094367E">
      <w:pPr>
        <w:pStyle w:val="SingleTxtGC"/>
        <w:rPr>
          <w:rFonts w:eastAsia="SimHei" w:hint="eastAsia"/>
        </w:rPr>
      </w:pPr>
    </w:p>
    <w:p w:rsidR="0094367E" w:rsidRPr="0094367E" w:rsidRDefault="0094367E" w:rsidP="003057D0">
      <w:pPr>
        <w:pStyle w:val="SingleTxtGC"/>
        <w:rPr>
          <w:rFonts w:hint="eastAsia"/>
        </w:rPr>
      </w:pPr>
    </w:p>
    <w:sectPr w:rsidR="0094367E" w:rsidRPr="0094367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51" w:rsidRPr="008845C5" w:rsidRDefault="00126E51"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26E51" w:rsidRPr="008845C5" w:rsidRDefault="00126E51"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1" w:rsidRPr="00CE1735" w:rsidRDefault="00126E51"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56B12">
      <w:rPr>
        <w:rStyle w:val="PageNumber"/>
        <w:noProof/>
      </w:rPr>
      <w:t>4</w:t>
    </w:r>
    <w:r>
      <w:rPr>
        <w:rStyle w:val="PageNumber"/>
      </w:rPr>
      <w:fldChar w:fldCharType="end"/>
    </w:r>
    <w:r>
      <w:rPr>
        <w:rStyle w:val="PageNumber"/>
        <w:rFonts w:eastAsia="SimSun" w:hint="eastAsia"/>
        <w:lang w:eastAsia="zh-CN"/>
      </w:rPr>
      <w:tab/>
    </w:r>
    <w:r w:rsidRPr="00CE1735">
      <w:rPr>
        <w:rFonts w:eastAsia="SimSun"/>
        <w:lang w:eastAsia="zh-CN"/>
      </w:rPr>
      <w:t>GE.14-41206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1" w:rsidRDefault="00126E51">
    <w:pPr>
      <w:pStyle w:val="Footer"/>
      <w:tabs>
        <w:tab w:val="right" w:pos="9639"/>
      </w:tabs>
    </w:pPr>
    <w:r w:rsidRPr="00CE1735">
      <w:rPr>
        <w:rFonts w:eastAsia="SimSun"/>
        <w:lang w:eastAsia="zh-CN"/>
      </w:rPr>
      <w:t>GE.14-41206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56B12">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1" w:rsidRDefault="00126E51"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41206</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w:t>
    </w:r>
    <w:r>
      <w:rPr>
        <w:rFonts w:eastAsia="SimSun"/>
        <w:sz w:val="20"/>
        <w:lang w:eastAsia="zh-CN"/>
      </w:rPr>
      <w:t>0</w:t>
    </w:r>
    <w:r>
      <w:rPr>
        <w:rFonts w:eastAsia="SimSun" w:hint="eastAsia"/>
        <w:sz w:val="20"/>
        <w:lang w:eastAsia="zh-CN"/>
      </w:rPr>
      <w:t>314</w:t>
    </w:r>
    <w:r>
      <w:rPr>
        <w:rFonts w:eastAsia="SimSun"/>
        <w:sz w:val="20"/>
        <w:lang w:eastAsia="zh-CN"/>
      </w:rPr>
      <w:tab/>
    </w:r>
    <w:r>
      <w:rPr>
        <w:rFonts w:eastAsia="SimSun" w:hint="eastAsia"/>
        <w:sz w:val="20"/>
        <w:lang w:eastAsia="zh-CN"/>
      </w:rPr>
      <w:t>13</w:t>
    </w:r>
    <w:r>
      <w:rPr>
        <w:rFonts w:eastAsia="SimSun"/>
        <w:sz w:val="20"/>
        <w:lang w:eastAsia="zh-CN"/>
      </w:rPr>
      <w:t>0</w:t>
    </w:r>
    <w:r>
      <w:rPr>
        <w:rFonts w:eastAsia="SimSun" w:hint="eastAsia"/>
        <w:sz w:val="20"/>
        <w:lang w:eastAsia="zh-CN"/>
      </w:rPr>
      <w:t>314</w:t>
    </w:r>
  </w:p>
  <w:p w:rsidR="00126E51" w:rsidRPr="00E04D00" w:rsidRDefault="00126E51"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CE1735">
      <w:rPr>
        <w:rFonts w:ascii="C39T30Lfz" w:eastAsia="SimSun" w:hAnsi="C39T30Lfz"/>
        <w:sz w:val="56"/>
        <w:szCs w:val="56"/>
        <w:lang w:eastAsia="zh-CN"/>
      </w:rPr>
      <w:t></w:t>
    </w:r>
    <w:r w:rsidRPr="00CE1735">
      <w:rPr>
        <w:rFonts w:ascii="C39T30Lfz" w:eastAsia="SimSun" w:hAnsi="C39T30Lfz"/>
        <w:sz w:val="56"/>
        <w:szCs w:val="56"/>
        <w:lang w:eastAsia="zh-CN"/>
      </w:rPr>
      <w:t></w:t>
    </w:r>
    <w:r w:rsidRPr="00CE1735">
      <w:rPr>
        <w:rFonts w:ascii="C39T30Lfz" w:eastAsia="SimSun" w:hAnsi="C39T30Lfz"/>
        <w:sz w:val="56"/>
        <w:szCs w:val="56"/>
        <w:lang w:eastAsia="zh-CN"/>
      </w:rPr>
      <w:t></w:t>
    </w:r>
    <w:r w:rsidRPr="00CE1735">
      <w:rPr>
        <w:rFonts w:ascii="C39T30Lfz" w:eastAsia="SimSun" w:hAnsi="C39T30Lfz"/>
        <w:sz w:val="56"/>
        <w:szCs w:val="56"/>
        <w:lang w:eastAsia="zh-CN"/>
      </w:rPr>
      <w:t></w:t>
    </w:r>
    <w:r w:rsidRPr="00CE1735">
      <w:rPr>
        <w:rFonts w:ascii="C39T30Lfz" w:eastAsia="SimSun" w:hAnsi="C39T30Lfz"/>
        <w:sz w:val="56"/>
        <w:szCs w:val="56"/>
        <w:lang w:eastAsia="zh-CN"/>
      </w:rPr>
      <w:t></w:t>
    </w:r>
    <w:r w:rsidRPr="00CE1735">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51" w:rsidRPr="00363561" w:rsidRDefault="00126E5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26E51" w:rsidRPr="00363561" w:rsidRDefault="00126E51"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126E51" w:rsidRDefault="00126E51" w:rsidP="0094367E">
      <w:pPr>
        <w:pStyle w:val="FootnoteText"/>
        <w:rPr>
          <w:rFonts w:hint="eastAsia"/>
        </w:rPr>
      </w:pPr>
      <w:r>
        <w:rPr>
          <w:rFonts w:hint="eastAsia"/>
        </w:rPr>
        <w:tab/>
      </w:r>
      <w:r w:rsidRPr="0094367E">
        <w:rPr>
          <w:rStyle w:val="FootnoteReference"/>
          <w:vertAlign w:val="baseline"/>
        </w:rPr>
        <w:sym w:font="Symbol" w:char="F02A"/>
      </w:r>
      <w:r w:rsidRPr="004068BB">
        <w:rPr>
          <w:rFonts w:hint="eastAsia"/>
        </w:rPr>
        <w:tab/>
      </w:r>
      <w:r>
        <w:rPr>
          <w:rFonts w:hint="eastAsia"/>
        </w:rPr>
        <w:t>委员会第六十五届会议</w:t>
      </w:r>
      <w:r>
        <w:rPr>
          <w:rFonts w:hint="eastAsia"/>
        </w:rPr>
        <w:t>(2014</w:t>
      </w:r>
      <w:r>
        <w:rPr>
          <w:rFonts w:hint="eastAsia"/>
        </w:rPr>
        <w:t>年</w:t>
      </w:r>
      <w:r>
        <w:rPr>
          <w:rFonts w:hint="eastAsia"/>
        </w:rPr>
        <w:t>1</w:t>
      </w:r>
      <w:r>
        <w:rPr>
          <w:rFonts w:hint="eastAsia"/>
        </w:rPr>
        <w:t>月</w:t>
      </w:r>
      <w:r>
        <w:rPr>
          <w:rFonts w:hint="eastAsia"/>
        </w:rPr>
        <w:t>13</w:t>
      </w:r>
      <w:r>
        <w:rPr>
          <w:rFonts w:hint="eastAsia"/>
        </w:rPr>
        <w:t>日至</w:t>
      </w:r>
      <w:r>
        <w:rPr>
          <w:rFonts w:hint="eastAsia"/>
        </w:rPr>
        <w:t>31</w:t>
      </w:r>
      <w:r>
        <w:rPr>
          <w:rFonts w:hint="eastAsia"/>
        </w:rPr>
        <w:t>日</w:t>
      </w:r>
      <w:r>
        <w:rPr>
          <w:rFonts w:hint="eastAsia"/>
        </w:rPr>
        <w:t>)</w:t>
      </w:r>
      <w:r>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1" w:rsidRPr="00CE1735" w:rsidRDefault="00126E51">
    <w:pPr>
      <w:pStyle w:val="Header"/>
    </w:pPr>
    <w:r w:rsidRPr="00CE1735">
      <w:t>CRC/C/OPAC/VAT/CO/1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1" w:rsidRPr="00CE1735" w:rsidRDefault="00126E51" w:rsidP="00DA36A7">
    <w:pPr>
      <w:pStyle w:val="Header"/>
      <w:jc w:val="right"/>
      <w:rPr>
        <w:rFonts w:hint="eastAsia"/>
        <w:lang w:eastAsia="zh-CN"/>
      </w:rPr>
    </w:pPr>
    <w:r w:rsidRPr="00CE1735">
      <w:rPr>
        <w:lang w:eastAsia="zh-CN"/>
      </w:rPr>
      <w:t>CRC/C/OPAC/VAT/CO/1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1713A0A"/>
    <w:multiLevelType w:val="hybridMultilevel"/>
    <w:tmpl w:val="C2363726"/>
    <w:lvl w:ilvl="0" w:tplc="60120F5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2"/>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3"/>
  </w:num>
  <w:num w:numId="28">
    <w:abstractNumId w:val="17"/>
  </w:num>
  <w:num w:numId="29">
    <w:abstractNumId w:val="10"/>
  </w:num>
  <w:num w:numId="30">
    <w:abstractNumId w:val="15"/>
  </w:num>
  <w:num w:numId="31">
    <w:abstractNumId w:val="23"/>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3"/>
  </w:num>
  <w:num w:numId="39">
    <w:abstractNumId w:val="11"/>
  </w:num>
  <w:num w:numId="40">
    <w:abstractNumId w:val="20"/>
  </w:num>
  <w:num w:numId="41">
    <w:abstractNumId w:val="13"/>
  </w:num>
  <w:num w:numId="42">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735"/>
    <w:rsid w:val="000277CB"/>
    <w:rsid w:val="0005446E"/>
    <w:rsid w:val="00085957"/>
    <w:rsid w:val="000A3236"/>
    <w:rsid w:val="000B40D6"/>
    <w:rsid w:val="000B5AAE"/>
    <w:rsid w:val="000C4C1A"/>
    <w:rsid w:val="000D2B38"/>
    <w:rsid w:val="001015B9"/>
    <w:rsid w:val="00126E51"/>
    <w:rsid w:val="0012768D"/>
    <w:rsid w:val="00172AFC"/>
    <w:rsid w:val="00175DEA"/>
    <w:rsid w:val="001974C5"/>
    <w:rsid w:val="0019765D"/>
    <w:rsid w:val="001B5B95"/>
    <w:rsid w:val="001D5EC5"/>
    <w:rsid w:val="0020284F"/>
    <w:rsid w:val="00232459"/>
    <w:rsid w:val="00252D02"/>
    <w:rsid w:val="00261DBA"/>
    <w:rsid w:val="00293ACD"/>
    <w:rsid w:val="002C6169"/>
    <w:rsid w:val="002E12ED"/>
    <w:rsid w:val="003057D0"/>
    <w:rsid w:val="00343E38"/>
    <w:rsid w:val="00351205"/>
    <w:rsid w:val="00360A5A"/>
    <w:rsid w:val="00363561"/>
    <w:rsid w:val="003755D0"/>
    <w:rsid w:val="003C59D1"/>
    <w:rsid w:val="003D0921"/>
    <w:rsid w:val="003D0CAD"/>
    <w:rsid w:val="003E1FA3"/>
    <w:rsid w:val="0040530D"/>
    <w:rsid w:val="00430D11"/>
    <w:rsid w:val="00433EEA"/>
    <w:rsid w:val="004455D3"/>
    <w:rsid w:val="004838FD"/>
    <w:rsid w:val="00493C2C"/>
    <w:rsid w:val="004E2F17"/>
    <w:rsid w:val="004E626A"/>
    <w:rsid w:val="005069C1"/>
    <w:rsid w:val="00545D76"/>
    <w:rsid w:val="00547708"/>
    <w:rsid w:val="00557EF8"/>
    <w:rsid w:val="00570754"/>
    <w:rsid w:val="005C5B87"/>
    <w:rsid w:val="005D25AD"/>
    <w:rsid w:val="005E28F8"/>
    <w:rsid w:val="005E47D2"/>
    <w:rsid w:val="005E6EDE"/>
    <w:rsid w:val="006156DF"/>
    <w:rsid w:val="00632FCF"/>
    <w:rsid w:val="00636379"/>
    <w:rsid w:val="0064642E"/>
    <w:rsid w:val="006465BF"/>
    <w:rsid w:val="0065153A"/>
    <w:rsid w:val="00666553"/>
    <w:rsid w:val="006A59A2"/>
    <w:rsid w:val="006C22D9"/>
    <w:rsid w:val="006F20AD"/>
    <w:rsid w:val="00720CB2"/>
    <w:rsid w:val="007500A3"/>
    <w:rsid w:val="00764404"/>
    <w:rsid w:val="00787E80"/>
    <w:rsid w:val="007F6102"/>
    <w:rsid w:val="007F7187"/>
    <w:rsid w:val="0081277D"/>
    <w:rsid w:val="008233D3"/>
    <w:rsid w:val="008315A9"/>
    <w:rsid w:val="008354CE"/>
    <w:rsid w:val="00840A66"/>
    <w:rsid w:val="00872452"/>
    <w:rsid w:val="008747DC"/>
    <w:rsid w:val="008845C5"/>
    <w:rsid w:val="008C5B1D"/>
    <w:rsid w:val="0094367E"/>
    <w:rsid w:val="00943B35"/>
    <w:rsid w:val="00961300"/>
    <w:rsid w:val="00966CAE"/>
    <w:rsid w:val="00980E64"/>
    <w:rsid w:val="00981BBE"/>
    <w:rsid w:val="0098424F"/>
    <w:rsid w:val="009A05E0"/>
    <w:rsid w:val="009C1A5F"/>
    <w:rsid w:val="009D1A81"/>
    <w:rsid w:val="009D6897"/>
    <w:rsid w:val="009E52DA"/>
    <w:rsid w:val="00A02F56"/>
    <w:rsid w:val="00A075AA"/>
    <w:rsid w:val="00A302DF"/>
    <w:rsid w:val="00A64FC3"/>
    <w:rsid w:val="00A668D5"/>
    <w:rsid w:val="00A83ABF"/>
    <w:rsid w:val="00AA3046"/>
    <w:rsid w:val="00AA6C5D"/>
    <w:rsid w:val="00AA740F"/>
    <w:rsid w:val="00AB16A6"/>
    <w:rsid w:val="00AD29BB"/>
    <w:rsid w:val="00AF0610"/>
    <w:rsid w:val="00AF7C1B"/>
    <w:rsid w:val="00B11CC6"/>
    <w:rsid w:val="00B20CF6"/>
    <w:rsid w:val="00B5330B"/>
    <w:rsid w:val="00B5603B"/>
    <w:rsid w:val="00B652E9"/>
    <w:rsid w:val="00B973F8"/>
    <w:rsid w:val="00BB7447"/>
    <w:rsid w:val="00BD36B3"/>
    <w:rsid w:val="00BE3E22"/>
    <w:rsid w:val="00BF3DDF"/>
    <w:rsid w:val="00BF691A"/>
    <w:rsid w:val="00BF6CF0"/>
    <w:rsid w:val="00C22268"/>
    <w:rsid w:val="00C47561"/>
    <w:rsid w:val="00C47CB8"/>
    <w:rsid w:val="00C74F5A"/>
    <w:rsid w:val="00C77DFC"/>
    <w:rsid w:val="00CA5F0A"/>
    <w:rsid w:val="00CB3AF4"/>
    <w:rsid w:val="00CC5FAA"/>
    <w:rsid w:val="00CE1735"/>
    <w:rsid w:val="00D143C0"/>
    <w:rsid w:val="00D25318"/>
    <w:rsid w:val="00D26640"/>
    <w:rsid w:val="00D56F18"/>
    <w:rsid w:val="00D652B9"/>
    <w:rsid w:val="00D77F77"/>
    <w:rsid w:val="00D81B7D"/>
    <w:rsid w:val="00D8642F"/>
    <w:rsid w:val="00DA36A7"/>
    <w:rsid w:val="00DC4381"/>
    <w:rsid w:val="00E06285"/>
    <w:rsid w:val="00E0787A"/>
    <w:rsid w:val="00E3120B"/>
    <w:rsid w:val="00E76A86"/>
    <w:rsid w:val="00E80E25"/>
    <w:rsid w:val="00E9425B"/>
    <w:rsid w:val="00ED539D"/>
    <w:rsid w:val="00EE10F2"/>
    <w:rsid w:val="00EE16D3"/>
    <w:rsid w:val="00EF0C7A"/>
    <w:rsid w:val="00EF22C0"/>
    <w:rsid w:val="00F0027D"/>
    <w:rsid w:val="00F03C40"/>
    <w:rsid w:val="00F11C42"/>
    <w:rsid w:val="00F55CFA"/>
    <w:rsid w:val="00F56B12"/>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4</Pages>
  <Words>317</Words>
  <Characters>1810</Characters>
  <Application>Microsoft Office Outlook</Application>
  <DocSecurity>4</DocSecurity>
  <Lines>15</Lines>
  <Paragraphs>4</Paragraphs>
  <ScaleCrop>false</ScaleCrop>
  <Company>CSD</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2014-03-13T09:45:00Z</cp:lastPrinted>
  <dcterms:created xsi:type="dcterms:W3CDTF">2014-03-13T09:45:00Z</dcterms:created>
  <dcterms:modified xsi:type="dcterms:W3CDTF">2014-03-13T09:46:00Z</dcterms:modified>
</cp:coreProperties>
</file>