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3359C4" w:rsidP="003359C4">
            <w:pPr>
              <w:jc w:val="right"/>
            </w:pPr>
            <w:r w:rsidRPr="003359C4">
              <w:rPr>
                <w:sz w:val="40"/>
              </w:rPr>
              <w:t>CRPD</w:t>
            </w:r>
            <w:r>
              <w:t>/C/CZE/CO/1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1B61D2" w:rsidP="00B06775">
            <w:pPr>
              <w:spacing w:before="120"/>
              <w:jc w:val="center"/>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Default="00B56E9C" w:rsidP="00B6553F">
            <w:pPr>
              <w:spacing w:before="120" w:line="420" w:lineRule="exact"/>
            </w:pPr>
          </w:p>
        </w:tc>
        <w:tc>
          <w:tcPr>
            <w:tcW w:w="2835" w:type="dxa"/>
            <w:tcBorders>
              <w:top w:val="single" w:sz="4" w:space="0" w:color="auto"/>
              <w:bottom w:val="single" w:sz="12" w:space="0" w:color="auto"/>
            </w:tcBorders>
          </w:tcPr>
          <w:p w:rsidR="00B56E9C" w:rsidRDefault="003359C4" w:rsidP="003359C4">
            <w:pPr>
              <w:spacing w:before="240" w:line="240" w:lineRule="exact"/>
            </w:pPr>
            <w:r>
              <w:t xml:space="preserve">Distr.: </w:t>
            </w:r>
            <w:r w:rsidR="00ED2FA9">
              <w:t>General</w:t>
            </w:r>
          </w:p>
          <w:p w:rsidR="003359C4" w:rsidRDefault="003C0BF5" w:rsidP="003359C4">
            <w:pPr>
              <w:spacing w:line="240" w:lineRule="exact"/>
            </w:pPr>
            <w:r>
              <w:t>1</w:t>
            </w:r>
            <w:r w:rsidR="00623C1D">
              <w:t>5</w:t>
            </w:r>
            <w:r>
              <w:t xml:space="preserve"> May </w:t>
            </w:r>
            <w:r w:rsidR="003359C4">
              <w:t>2015</w:t>
            </w:r>
          </w:p>
          <w:p w:rsidR="003359C4" w:rsidRDefault="003359C4" w:rsidP="003359C4">
            <w:pPr>
              <w:spacing w:line="240" w:lineRule="exact"/>
            </w:pPr>
          </w:p>
          <w:p w:rsidR="003359C4" w:rsidRDefault="003359C4" w:rsidP="003359C4">
            <w:pPr>
              <w:spacing w:line="240" w:lineRule="exact"/>
            </w:pPr>
            <w:r>
              <w:t>Original: English</w:t>
            </w:r>
          </w:p>
        </w:tc>
      </w:tr>
    </w:tbl>
    <w:p w:rsidR="003359C4" w:rsidRPr="0094307B" w:rsidRDefault="003359C4" w:rsidP="003359C4">
      <w:pPr>
        <w:spacing w:before="120"/>
        <w:rPr>
          <w:b/>
          <w:sz w:val="24"/>
          <w:szCs w:val="24"/>
        </w:rPr>
      </w:pPr>
      <w:r w:rsidRPr="0094307B">
        <w:rPr>
          <w:b/>
          <w:sz w:val="24"/>
          <w:szCs w:val="24"/>
        </w:rPr>
        <w:t>Committee on the Rights of Persons with Disabilities</w:t>
      </w:r>
    </w:p>
    <w:p w:rsidR="003359C4" w:rsidRPr="002457B9" w:rsidRDefault="003359C4" w:rsidP="000E4457">
      <w:pPr>
        <w:pStyle w:val="HChG"/>
      </w:pPr>
      <w:r>
        <w:tab/>
      </w:r>
      <w:r>
        <w:tab/>
        <w:t xml:space="preserve">Concluding observations on the initial report of </w:t>
      </w:r>
      <w:r w:rsidR="009470DB">
        <w:t xml:space="preserve">the </w:t>
      </w:r>
      <w:r>
        <w:t>C</w:t>
      </w:r>
      <w:r w:rsidR="009470DB">
        <w:t>zech Republic</w:t>
      </w:r>
      <w:r w:rsidR="002457B9" w:rsidRPr="000E4457">
        <w:rPr>
          <w:rStyle w:val="FootnoteReference"/>
          <w:b w:val="0"/>
          <w:sz w:val="20"/>
          <w:vertAlign w:val="baseline"/>
        </w:rPr>
        <w:footnoteReference w:customMarkFollows="1" w:id="2"/>
        <w:t>*</w:t>
      </w:r>
    </w:p>
    <w:p w:rsidR="003359C4" w:rsidRPr="003359C4" w:rsidRDefault="009470DB" w:rsidP="009470DB">
      <w:pPr>
        <w:pStyle w:val="HChG"/>
      </w:pPr>
      <w:r>
        <w:tab/>
      </w:r>
      <w:r w:rsidR="003359C4" w:rsidRPr="003359C4">
        <w:t>I.</w:t>
      </w:r>
      <w:r w:rsidR="003359C4" w:rsidRPr="003359C4">
        <w:tab/>
        <w:t>Introduction</w:t>
      </w:r>
    </w:p>
    <w:p w:rsidR="003359C4" w:rsidRPr="003359C4" w:rsidRDefault="000E4457" w:rsidP="000E4457">
      <w:pPr>
        <w:pStyle w:val="SingleTxtG"/>
        <w:tabs>
          <w:tab w:val="left" w:pos="1701"/>
        </w:tabs>
        <w:rPr>
          <w:lang w:val="en-US"/>
        </w:rPr>
      </w:pPr>
      <w:r w:rsidRPr="003359C4">
        <w:rPr>
          <w:color w:val="000000"/>
          <w:lang w:val="en-US"/>
        </w:rPr>
        <w:t>1.</w:t>
      </w:r>
      <w:r w:rsidRPr="003359C4">
        <w:rPr>
          <w:color w:val="000000"/>
          <w:lang w:val="en-US"/>
        </w:rPr>
        <w:tab/>
      </w:r>
      <w:r w:rsidR="003359C4" w:rsidRPr="003359C4">
        <w:t>The Committee considered the initial report of the Czech Republic (CRPD/C</w:t>
      </w:r>
      <w:r w:rsidR="003359C4" w:rsidRPr="003359C4">
        <w:rPr>
          <w:b/>
        </w:rPr>
        <w:t>/</w:t>
      </w:r>
      <w:r w:rsidR="003359C4" w:rsidRPr="003359C4">
        <w:t>CZE/1) at its 180th and 181st meetings</w:t>
      </w:r>
      <w:r w:rsidR="00492D7A">
        <w:t xml:space="preserve"> (CRPD/C/SR.180 and 181)</w:t>
      </w:r>
      <w:r w:rsidR="003359C4" w:rsidRPr="003359C4">
        <w:t>, held on 31 March and 1 April 2015</w:t>
      </w:r>
      <w:r w:rsidR="00AB0B9E">
        <w:t>,</w:t>
      </w:r>
      <w:r w:rsidR="003359C4" w:rsidRPr="003359C4">
        <w:t xml:space="preserve"> respectively, and adopted the following concluding observations at its 192nd meeting, held on 10 April 2015.</w:t>
      </w:r>
    </w:p>
    <w:p w:rsidR="003359C4" w:rsidRPr="003359C4" w:rsidRDefault="000E4457" w:rsidP="000E4457">
      <w:pPr>
        <w:pStyle w:val="SingleTxtG"/>
        <w:tabs>
          <w:tab w:val="left" w:pos="1701"/>
        </w:tabs>
      </w:pPr>
      <w:r w:rsidRPr="003359C4">
        <w:rPr>
          <w:color w:val="000000"/>
        </w:rPr>
        <w:t>2.</w:t>
      </w:r>
      <w:r w:rsidRPr="003359C4">
        <w:rPr>
          <w:color w:val="000000"/>
        </w:rPr>
        <w:tab/>
      </w:r>
      <w:r w:rsidR="003359C4" w:rsidRPr="003359C4">
        <w:t>The Committee welcomes the initial report of the Czech Republic, which was prepared in accordance with the Committee’s reporting guidelines, and thanks the State party for its written replies (CRPD/C/CZE/Q/1/Add.1) to the list of issues prepared by the Committee.</w:t>
      </w:r>
    </w:p>
    <w:p w:rsidR="003359C4" w:rsidRPr="003359C4" w:rsidRDefault="000E4457" w:rsidP="000E4457">
      <w:pPr>
        <w:pStyle w:val="SingleTxtG"/>
        <w:tabs>
          <w:tab w:val="left" w:pos="1701"/>
        </w:tabs>
      </w:pPr>
      <w:r w:rsidRPr="003359C4">
        <w:rPr>
          <w:color w:val="000000"/>
        </w:rPr>
        <w:t>3.</w:t>
      </w:r>
      <w:r w:rsidRPr="003359C4">
        <w:rPr>
          <w:color w:val="000000"/>
        </w:rPr>
        <w:tab/>
      </w:r>
      <w:r w:rsidR="003359C4" w:rsidRPr="003359C4">
        <w:t>The Committee appreciates the fruitful dialogue held with the State party’s delegation during the consideration of the report and commends the State party for the strength of its delegation, which included many representatives of relevant government</w:t>
      </w:r>
      <w:r w:rsidR="00AC44D7">
        <w:t xml:space="preserve"> bodies</w:t>
      </w:r>
      <w:r w:rsidR="003359C4" w:rsidRPr="003359C4">
        <w:t xml:space="preserve"> responsible for the implementation of the Convention. </w:t>
      </w:r>
    </w:p>
    <w:p w:rsidR="003359C4" w:rsidRPr="003359C4" w:rsidRDefault="009470DB" w:rsidP="009470DB">
      <w:pPr>
        <w:pStyle w:val="HChG"/>
      </w:pPr>
      <w:r>
        <w:tab/>
        <w:t>II.</w:t>
      </w:r>
      <w:r>
        <w:tab/>
      </w:r>
      <w:r w:rsidR="003359C4" w:rsidRPr="003359C4">
        <w:t>Positive aspects</w:t>
      </w:r>
    </w:p>
    <w:p w:rsidR="003359C4" w:rsidRPr="003359C4" w:rsidRDefault="00D845AC" w:rsidP="000E4457">
      <w:pPr>
        <w:pStyle w:val="SingleTxtG"/>
        <w:tabs>
          <w:tab w:val="left" w:pos="1701"/>
        </w:tabs>
      </w:pPr>
      <w:r>
        <w:rPr>
          <w:noProof/>
          <w:lang w:eastAsia="zh-CN"/>
        </w:rPr>
        <w:drawing>
          <wp:anchor distT="0" distB="0" distL="114300" distR="114300" simplePos="0" relativeHeight="251658240" behindDoc="0" locked="0" layoutInCell="1" allowOverlap="0" wp14:anchorId="4D6E5617" wp14:editId="1CE98327">
            <wp:simplePos x="0" y="0"/>
            <wp:positionH relativeFrom="margin">
              <wp:posOffset>5476240</wp:posOffset>
            </wp:positionH>
            <wp:positionV relativeFrom="margin">
              <wp:posOffset>8018780</wp:posOffset>
            </wp:positionV>
            <wp:extent cx="638175" cy="638175"/>
            <wp:effectExtent l="0" t="0" r="9525" b="9525"/>
            <wp:wrapNone/>
            <wp:docPr id="3" name="Picture 2" descr="http://undocs.org/m2/QRCode.ashx?DS=CRPD/C/CZE/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RPD/C/CZE/CO/1&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457" w:rsidRPr="003359C4">
        <w:rPr>
          <w:color w:val="000000"/>
        </w:rPr>
        <w:t>4.</w:t>
      </w:r>
      <w:r w:rsidR="000E4457" w:rsidRPr="003359C4">
        <w:rPr>
          <w:color w:val="000000"/>
        </w:rPr>
        <w:tab/>
      </w:r>
      <w:r w:rsidR="003359C4" w:rsidRPr="003359C4">
        <w:t xml:space="preserve">The Committee welcomes the efforts </w:t>
      </w:r>
      <w:r w:rsidR="00C77B83">
        <w:t xml:space="preserve">the </w:t>
      </w:r>
      <w:r w:rsidR="003359C4" w:rsidRPr="003359C4">
        <w:t xml:space="preserve">State party has made to harmonize its legislation with </w:t>
      </w:r>
      <w:r w:rsidR="00C77B83">
        <w:t xml:space="preserve">the </w:t>
      </w:r>
      <w:r w:rsidR="003359C4" w:rsidRPr="003359C4">
        <w:t xml:space="preserve">provisions of the Convention and the policies and measures it </w:t>
      </w:r>
      <w:r w:rsidR="003359C4" w:rsidRPr="00073BDF">
        <w:t xml:space="preserve">has </w:t>
      </w:r>
      <w:r w:rsidR="00073BDF" w:rsidRPr="00073BDF">
        <w:t>adopted</w:t>
      </w:r>
      <w:r w:rsidR="00C77B83" w:rsidRPr="003359C4">
        <w:t xml:space="preserve"> </w:t>
      </w:r>
      <w:r w:rsidR="003359C4" w:rsidRPr="003359C4">
        <w:t xml:space="preserve">to ensure implementation of </w:t>
      </w:r>
      <w:r w:rsidR="00C77B83">
        <w:t xml:space="preserve">the </w:t>
      </w:r>
      <w:r w:rsidR="003359C4" w:rsidRPr="003359C4">
        <w:t>rights of persons with disabilities</w:t>
      </w:r>
      <w:r w:rsidR="00C77B83">
        <w:t>, as</w:t>
      </w:r>
      <w:r w:rsidR="003359C4" w:rsidRPr="003359C4">
        <w:t xml:space="preserve"> enshrined in the Convention. It </w:t>
      </w:r>
      <w:r w:rsidR="00730AE7">
        <w:t xml:space="preserve">takes </w:t>
      </w:r>
      <w:r w:rsidR="003359C4" w:rsidRPr="003359C4">
        <w:t>note</w:t>
      </w:r>
      <w:r w:rsidR="00730AE7">
        <w:t xml:space="preserve"> of</w:t>
      </w:r>
      <w:r w:rsidR="003359C4" w:rsidRPr="003359C4">
        <w:t xml:space="preserve"> </w:t>
      </w:r>
      <w:r w:rsidR="003359C4" w:rsidRPr="003359C4">
        <w:rPr>
          <w:lang w:eastAsia="sr-Latn-CS"/>
        </w:rPr>
        <w:t>the National Plan for the Creation of Equal Opportunities for Persons with Disabilities for 2010</w:t>
      </w:r>
      <w:r w:rsidR="00C77B83">
        <w:rPr>
          <w:lang w:eastAsia="sr-Latn-CS"/>
        </w:rPr>
        <w:t>–</w:t>
      </w:r>
      <w:r w:rsidR="003359C4" w:rsidRPr="003359C4">
        <w:rPr>
          <w:lang w:eastAsia="sr-Latn-CS"/>
        </w:rPr>
        <w:t>2014</w:t>
      </w:r>
      <w:r w:rsidR="003359C4" w:rsidRPr="003359C4">
        <w:t xml:space="preserve">. The Committee welcomes </w:t>
      </w:r>
      <w:r w:rsidR="00730AE7">
        <w:t xml:space="preserve">the </w:t>
      </w:r>
      <w:r w:rsidR="003359C4" w:rsidRPr="003359C4">
        <w:t>prohibition of direct and indirect discrimination of persons with disabilities in the Anti-</w:t>
      </w:r>
      <w:r w:rsidR="00871C22">
        <w:t>D</w:t>
      </w:r>
      <w:r w:rsidR="003359C4" w:rsidRPr="003359C4">
        <w:t xml:space="preserve">iscrimination Act. The Committee </w:t>
      </w:r>
      <w:r w:rsidR="00871C22">
        <w:t>also</w:t>
      </w:r>
      <w:r w:rsidR="003359C4" w:rsidRPr="003359C4">
        <w:t xml:space="preserve"> welcomes </w:t>
      </w:r>
      <w:r w:rsidR="00871C22">
        <w:t xml:space="preserve">the </w:t>
      </w:r>
      <w:r w:rsidR="003359C4" w:rsidRPr="003359C4">
        <w:t xml:space="preserve">introduction of the provision </w:t>
      </w:r>
      <w:r w:rsidR="00871C22" w:rsidRPr="003359C4">
        <w:t>in the Building Act</w:t>
      </w:r>
      <w:r w:rsidR="00871C22">
        <w:t xml:space="preserve"> </w:t>
      </w:r>
      <w:r w:rsidR="003359C4" w:rsidRPr="003359C4">
        <w:t xml:space="preserve">that </w:t>
      </w:r>
      <w:r w:rsidR="00871C22">
        <w:t xml:space="preserve">the </w:t>
      </w:r>
      <w:r w:rsidR="003359C4" w:rsidRPr="003359C4">
        <w:t xml:space="preserve">creation of </w:t>
      </w:r>
      <w:r w:rsidR="00871C22">
        <w:t xml:space="preserve">a </w:t>
      </w:r>
      <w:r w:rsidR="003359C4" w:rsidRPr="003359C4">
        <w:t xml:space="preserve">barrier-free environment is in </w:t>
      </w:r>
      <w:r w:rsidR="00871C22">
        <w:t xml:space="preserve">the </w:t>
      </w:r>
      <w:r w:rsidR="003359C4" w:rsidRPr="003359C4">
        <w:t>public interest. It notes the efforts made to make air and rail transport accessible</w:t>
      </w:r>
      <w:r w:rsidR="00871C22">
        <w:t xml:space="preserve"> </w:t>
      </w:r>
      <w:r w:rsidR="00871C22" w:rsidRPr="00871C22">
        <w:t>to persons with disabilities</w:t>
      </w:r>
      <w:r w:rsidR="003359C4" w:rsidRPr="003359C4">
        <w:t xml:space="preserve">. The Committee welcomes </w:t>
      </w:r>
      <w:r w:rsidR="00871C22">
        <w:t xml:space="preserve">the </w:t>
      </w:r>
      <w:r w:rsidR="003359C4" w:rsidRPr="003359C4">
        <w:t xml:space="preserve">State party’s efforts to </w:t>
      </w:r>
      <w:r w:rsidR="00C63CD1">
        <w:t>implement</w:t>
      </w:r>
      <w:r w:rsidR="003359C4" w:rsidRPr="003359C4">
        <w:t xml:space="preserve"> </w:t>
      </w:r>
      <w:r w:rsidR="00C63CD1">
        <w:t xml:space="preserve">the </w:t>
      </w:r>
      <w:r w:rsidR="003359C4" w:rsidRPr="003359C4">
        <w:t xml:space="preserve">provision </w:t>
      </w:r>
      <w:r w:rsidR="00C63CD1">
        <w:t>in</w:t>
      </w:r>
      <w:r w:rsidR="00C63CD1" w:rsidRPr="003359C4">
        <w:t xml:space="preserve"> the </w:t>
      </w:r>
      <w:r w:rsidR="00C63CD1">
        <w:t>new</w:t>
      </w:r>
      <w:r w:rsidR="00C63CD1" w:rsidRPr="003359C4">
        <w:t xml:space="preserve"> Civil Code</w:t>
      </w:r>
      <w:r w:rsidR="00C63CD1">
        <w:t xml:space="preserve"> </w:t>
      </w:r>
      <w:r w:rsidR="003359C4" w:rsidRPr="003359C4">
        <w:t>f</w:t>
      </w:r>
      <w:r w:rsidR="00C63CD1">
        <w:t>or</w:t>
      </w:r>
      <w:r w:rsidR="003359C4" w:rsidRPr="003359C4">
        <w:t xml:space="preserve"> supported decision</w:t>
      </w:r>
      <w:r w:rsidR="00C63CD1">
        <w:t>-</w:t>
      </w:r>
      <w:r w:rsidR="003359C4" w:rsidRPr="003359C4">
        <w:t>making in some situations. It notes with appreciation the p</w:t>
      </w:r>
      <w:r w:rsidR="00542B51">
        <w:t>rovision</w:t>
      </w:r>
      <w:r w:rsidR="003359C4" w:rsidRPr="003359C4">
        <w:t xml:space="preserve"> of assistan</w:t>
      </w:r>
      <w:r w:rsidR="00542B51">
        <w:t>ce</w:t>
      </w:r>
      <w:r w:rsidR="003359C4" w:rsidRPr="003359C4">
        <w:t xml:space="preserve"> in proceedings under the </w:t>
      </w:r>
      <w:r w:rsidR="00542B51">
        <w:t xml:space="preserve">Code of </w:t>
      </w:r>
      <w:r w:rsidR="003359C4" w:rsidRPr="003359C4">
        <w:t xml:space="preserve">Civil Procedure. </w:t>
      </w:r>
      <w:r w:rsidR="003359C4" w:rsidRPr="003359C4">
        <w:rPr>
          <w:lang w:val="en-US"/>
        </w:rPr>
        <w:t>It</w:t>
      </w:r>
      <w:r w:rsidR="003359C4" w:rsidRPr="003359C4">
        <w:t xml:space="preserve"> welcomes the independent </w:t>
      </w:r>
      <w:r w:rsidR="003359C4" w:rsidRPr="003359C4">
        <w:lastRenderedPageBreak/>
        <w:t>mandate given to the Ombudsman to carry out systematic preventive visits to places and facilities where persons with restricted liberty are or may be located. The Committee welcomes the decision of the Supreme Administrative Court in December 2014 recogniz</w:t>
      </w:r>
      <w:r w:rsidR="00542B51">
        <w:t>ing</w:t>
      </w:r>
      <w:r w:rsidR="003359C4" w:rsidRPr="003359C4">
        <w:t xml:space="preserve"> the right of children with disabilities to live in the community</w:t>
      </w:r>
      <w:r w:rsidR="003359C4" w:rsidRPr="003359C4">
        <w:rPr>
          <w:lang w:val="en-US"/>
        </w:rPr>
        <w:t>.</w:t>
      </w:r>
      <w:r w:rsidR="003359C4" w:rsidRPr="003359C4">
        <w:t xml:space="preserve"> </w:t>
      </w:r>
      <w:r w:rsidR="003359C4" w:rsidRPr="003359C4">
        <w:rPr>
          <w:lang w:val="en-US"/>
        </w:rPr>
        <w:t xml:space="preserve">It welcomes the official recognition of Czech </w:t>
      </w:r>
      <w:r w:rsidR="00D36F85">
        <w:rPr>
          <w:lang w:val="en-US"/>
        </w:rPr>
        <w:t>s</w:t>
      </w:r>
      <w:r w:rsidR="003359C4" w:rsidRPr="003359C4">
        <w:rPr>
          <w:lang w:val="en-US"/>
        </w:rPr>
        <w:t xml:space="preserve">ign </w:t>
      </w:r>
      <w:r w:rsidR="00D36F85">
        <w:rPr>
          <w:lang w:val="en-US"/>
        </w:rPr>
        <w:t>l</w:t>
      </w:r>
      <w:r w:rsidR="003359C4" w:rsidRPr="003359C4">
        <w:rPr>
          <w:lang w:val="en-US"/>
        </w:rPr>
        <w:t>anguage.</w:t>
      </w:r>
    </w:p>
    <w:p w:rsidR="003359C4" w:rsidRPr="00623C1D" w:rsidRDefault="009470DB" w:rsidP="00623C1D">
      <w:pPr>
        <w:pStyle w:val="HChG"/>
      </w:pPr>
      <w:r>
        <w:tab/>
      </w:r>
      <w:r w:rsidR="003359C4" w:rsidRPr="003359C4">
        <w:t>III.</w:t>
      </w:r>
      <w:r>
        <w:tab/>
      </w:r>
      <w:r w:rsidR="003359C4" w:rsidRPr="003359C4">
        <w:t>Principal areas of concern and recommendations</w:t>
      </w:r>
    </w:p>
    <w:p w:rsidR="003359C4" w:rsidRPr="003359C4" w:rsidRDefault="003359C4" w:rsidP="009470DB">
      <w:pPr>
        <w:pStyle w:val="H1G"/>
      </w:pPr>
      <w:r w:rsidRPr="003359C4">
        <w:tab/>
        <w:t>A.</w:t>
      </w:r>
      <w:r w:rsidRPr="003359C4">
        <w:tab/>
        <w:t>General principles and obligations (arts.</w:t>
      </w:r>
      <w:r w:rsidR="006D3F34">
        <w:t> </w:t>
      </w:r>
      <w:r w:rsidRPr="003359C4">
        <w:t>1–4)</w:t>
      </w:r>
    </w:p>
    <w:p w:rsidR="003359C4" w:rsidRPr="003359C4" w:rsidRDefault="000E4457" w:rsidP="000E4457">
      <w:pPr>
        <w:pStyle w:val="SingleTxtG"/>
        <w:tabs>
          <w:tab w:val="left" w:pos="1701"/>
        </w:tabs>
      </w:pPr>
      <w:r w:rsidRPr="003359C4">
        <w:rPr>
          <w:color w:val="000000"/>
        </w:rPr>
        <w:t>5.</w:t>
      </w:r>
      <w:r w:rsidRPr="003359C4">
        <w:rPr>
          <w:color w:val="000000"/>
        </w:rPr>
        <w:tab/>
      </w:r>
      <w:r w:rsidR="003359C4" w:rsidRPr="003359C4">
        <w:t xml:space="preserve">The </w:t>
      </w:r>
      <w:r w:rsidR="003359C4" w:rsidRPr="006C2A7C">
        <w:t>Committee</w:t>
      </w:r>
      <w:r w:rsidR="003359C4" w:rsidRPr="003359C4">
        <w:rPr>
          <w:lang w:val="x-none"/>
        </w:rPr>
        <w:t xml:space="preserve"> notes that </w:t>
      </w:r>
      <w:r w:rsidR="004F3A5A">
        <w:rPr>
          <w:lang w:val="en-US"/>
        </w:rPr>
        <w:t xml:space="preserve">the </w:t>
      </w:r>
      <w:r w:rsidR="003359C4" w:rsidRPr="003359C4">
        <w:rPr>
          <w:lang w:val="x-none"/>
        </w:rPr>
        <w:t xml:space="preserve">State </w:t>
      </w:r>
      <w:r w:rsidR="003359C4" w:rsidRPr="003359C4">
        <w:t>p</w:t>
      </w:r>
      <w:r w:rsidR="003359C4" w:rsidRPr="003359C4">
        <w:rPr>
          <w:lang w:val="x-none"/>
        </w:rPr>
        <w:t>arty</w:t>
      </w:r>
      <w:r w:rsidR="003359C4" w:rsidRPr="003359C4">
        <w:t xml:space="preserve"> has not ratified</w:t>
      </w:r>
      <w:r w:rsidR="003359C4" w:rsidRPr="003359C4">
        <w:rPr>
          <w:lang w:val="x-none"/>
        </w:rPr>
        <w:t xml:space="preserve"> the Optional Protocol to </w:t>
      </w:r>
      <w:r w:rsidR="003359C4" w:rsidRPr="003359C4">
        <w:t>the Convention</w:t>
      </w:r>
      <w:r w:rsidR="003359C4" w:rsidRPr="003359C4">
        <w:rPr>
          <w:lang w:val="x-none"/>
        </w:rPr>
        <w:t>.</w:t>
      </w:r>
    </w:p>
    <w:p w:rsidR="003359C4" w:rsidRPr="006C2A7C" w:rsidRDefault="000E4457" w:rsidP="000E4457">
      <w:pPr>
        <w:pStyle w:val="SingleTxtG"/>
        <w:tabs>
          <w:tab w:val="left" w:pos="1701"/>
        </w:tabs>
        <w:rPr>
          <w:b/>
        </w:rPr>
      </w:pPr>
      <w:r w:rsidRPr="006C2A7C">
        <w:rPr>
          <w:color w:val="000000"/>
        </w:rPr>
        <w:t>6.</w:t>
      </w:r>
      <w:r w:rsidRPr="006C2A7C">
        <w:rPr>
          <w:color w:val="000000"/>
        </w:rPr>
        <w:tab/>
      </w:r>
      <w:r w:rsidR="003359C4" w:rsidRPr="006C2A7C">
        <w:rPr>
          <w:b/>
        </w:rPr>
        <w:t xml:space="preserve">The </w:t>
      </w:r>
      <w:r w:rsidR="003359C4" w:rsidRPr="006C2A7C">
        <w:rPr>
          <w:b/>
          <w:lang w:val="x-none"/>
        </w:rPr>
        <w:t xml:space="preserve">Committee calls upon the State </w:t>
      </w:r>
      <w:r w:rsidR="003359C4" w:rsidRPr="006C2A7C">
        <w:rPr>
          <w:b/>
        </w:rPr>
        <w:t>p</w:t>
      </w:r>
      <w:r w:rsidR="003359C4" w:rsidRPr="006C2A7C">
        <w:rPr>
          <w:b/>
          <w:lang w:val="x-none"/>
        </w:rPr>
        <w:t xml:space="preserve">arty to ratify the Optional Protocol to </w:t>
      </w:r>
      <w:r w:rsidR="003359C4" w:rsidRPr="006C2A7C">
        <w:rPr>
          <w:b/>
        </w:rPr>
        <w:t xml:space="preserve">the Convention, as </w:t>
      </w:r>
      <w:r w:rsidR="00EB5D27">
        <w:rPr>
          <w:b/>
        </w:rPr>
        <w:t>it undertook to do</w:t>
      </w:r>
      <w:r w:rsidR="003359C4" w:rsidRPr="006C2A7C">
        <w:rPr>
          <w:b/>
        </w:rPr>
        <w:t xml:space="preserve"> at the outcome of the second round of the </w:t>
      </w:r>
      <w:r w:rsidR="00542B51">
        <w:rPr>
          <w:b/>
        </w:rPr>
        <w:t>u</w:t>
      </w:r>
      <w:r w:rsidR="003359C4" w:rsidRPr="006C2A7C">
        <w:rPr>
          <w:b/>
        </w:rPr>
        <w:t xml:space="preserve">niversal </w:t>
      </w:r>
      <w:r w:rsidR="00542B51">
        <w:rPr>
          <w:b/>
        </w:rPr>
        <w:t>p</w:t>
      </w:r>
      <w:r w:rsidR="003359C4" w:rsidRPr="006C2A7C">
        <w:rPr>
          <w:b/>
        </w:rPr>
        <w:t xml:space="preserve">eriodic </w:t>
      </w:r>
      <w:r w:rsidR="00542B51">
        <w:rPr>
          <w:b/>
        </w:rPr>
        <w:t>r</w:t>
      </w:r>
      <w:r w:rsidR="003359C4" w:rsidRPr="006C2A7C">
        <w:rPr>
          <w:b/>
        </w:rPr>
        <w:t>eview (</w:t>
      </w:r>
      <w:r w:rsidR="00D36F85">
        <w:rPr>
          <w:b/>
        </w:rPr>
        <w:t xml:space="preserve">see </w:t>
      </w:r>
      <w:r w:rsidR="003359C4" w:rsidRPr="006C2A7C">
        <w:rPr>
          <w:b/>
        </w:rPr>
        <w:t>A/HRC/22/3/Add.1, para.</w:t>
      </w:r>
      <w:r w:rsidR="006D3F34">
        <w:rPr>
          <w:b/>
        </w:rPr>
        <w:t> </w:t>
      </w:r>
      <w:r w:rsidR="003359C4" w:rsidRPr="006C2A7C">
        <w:rPr>
          <w:b/>
        </w:rPr>
        <w:t xml:space="preserve">6) and in line with the new National Plan </w:t>
      </w:r>
      <w:r w:rsidR="00AC44D7">
        <w:rPr>
          <w:b/>
        </w:rPr>
        <w:t>on Promoting</w:t>
      </w:r>
      <w:r w:rsidR="003359C4" w:rsidRPr="006C2A7C">
        <w:rPr>
          <w:b/>
        </w:rPr>
        <w:t xml:space="preserve"> Equal Opportunities for Persons with Disabilities 2015</w:t>
      </w:r>
      <w:r w:rsidR="00C77B83" w:rsidRPr="000E4457">
        <w:rPr>
          <w:b/>
          <w:bCs/>
          <w:lang w:eastAsia="sr-Latn-CS"/>
        </w:rPr>
        <w:t>–</w:t>
      </w:r>
      <w:r w:rsidR="003359C4" w:rsidRPr="006C2A7C">
        <w:rPr>
          <w:b/>
        </w:rPr>
        <w:t>2020.</w:t>
      </w:r>
    </w:p>
    <w:p w:rsidR="003359C4" w:rsidRPr="003359C4" w:rsidRDefault="000E4457" w:rsidP="000E4457">
      <w:pPr>
        <w:pStyle w:val="SingleTxtG"/>
        <w:tabs>
          <w:tab w:val="left" w:pos="1701"/>
        </w:tabs>
      </w:pPr>
      <w:r w:rsidRPr="003359C4">
        <w:rPr>
          <w:color w:val="000000"/>
        </w:rPr>
        <w:t>7.</w:t>
      </w:r>
      <w:r w:rsidRPr="003359C4">
        <w:rPr>
          <w:color w:val="000000"/>
        </w:rPr>
        <w:tab/>
      </w:r>
      <w:r w:rsidR="003359C4" w:rsidRPr="003359C4">
        <w:t xml:space="preserve">The Committee notes that </w:t>
      </w:r>
      <w:r w:rsidR="00EB5D27">
        <w:t>several</w:t>
      </w:r>
      <w:r w:rsidR="003359C4" w:rsidRPr="003359C4">
        <w:t xml:space="preserve"> definitions of disability and persons with disabilities in </w:t>
      </w:r>
      <w:r w:rsidR="00EB5D27">
        <w:t xml:space="preserve">the </w:t>
      </w:r>
      <w:r w:rsidR="003359C4" w:rsidRPr="003359C4">
        <w:t xml:space="preserve">State party’s legislation (the Employment </w:t>
      </w:r>
      <w:r w:rsidR="00EB5D27" w:rsidRPr="003359C4">
        <w:t>Act</w:t>
      </w:r>
      <w:r w:rsidR="00EB5D27">
        <w:t xml:space="preserve"> </w:t>
      </w:r>
      <w:r w:rsidR="003359C4" w:rsidRPr="003359C4">
        <w:t>and the School Act</w:t>
      </w:r>
      <w:r w:rsidR="00EB5D27">
        <w:t>,</w:t>
      </w:r>
      <w:r w:rsidR="003359C4" w:rsidRPr="003359C4">
        <w:t xml:space="preserve"> among others) are based on the medical approach to disability and are not in line with the provisions of the Convention.</w:t>
      </w:r>
    </w:p>
    <w:p w:rsidR="003359C4" w:rsidRPr="006C2A7C" w:rsidRDefault="000E4457" w:rsidP="000E4457">
      <w:pPr>
        <w:pStyle w:val="SingleTxtG"/>
        <w:tabs>
          <w:tab w:val="left" w:pos="1701"/>
        </w:tabs>
        <w:rPr>
          <w:b/>
        </w:rPr>
      </w:pPr>
      <w:r w:rsidRPr="006C2A7C">
        <w:rPr>
          <w:color w:val="000000"/>
        </w:rPr>
        <w:t>8.</w:t>
      </w:r>
      <w:r w:rsidRPr="006C2A7C">
        <w:rPr>
          <w:color w:val="000000"/>
        </w:rPr>
        <w:tab/>
      </w:r>
      <w:r w:rsidR="003359C4" w:rsidRPr="006C2A7C">
        <w:rPr>
          <w:b/>
        </w:rPr>
        <w:t>The Committee calls upon the State party to amend the definitions of disability and persons with disabilities in its legislation and to make explicit reference to the barriers faced by persons with disabilities in th</w:t>
      </w:r>
      <w:r w:rsidR="00EB5D27">
        <w:rPr>
          <w:b/>
        </w:rPr>
        <w:t>os</w:t>
      </w:r>
      <w:r w:rsidR="003359C4" w:rsidRPr="006C2A7C">
        <w:rPr>
          <w:b/>
        </w:rPr>
        <w:t xml:space="preserve">e definitions, in order to </w:t>
      </w:r>
      <w:r w:rsidR="00EB5D27">
        <w:rPr>
          <w:b/>
        </w:rPr>
        <w:t>bring them into line</w:t>
      </w:r>
      <w:r w:rsidR="003359C4" w:rsidRPr="006C2A7C">
        <w:rPr>
          <w:b/>
        </w:rPr>
        <w:t xml:space="preserve"> with the Convention.</w:t>
      </w:r>
    </w:p>
    <w:p w:rsidR="003359C4" w:rsidRPr="00623C1D" w:rsidRDefault="009470DB" w:rsidP="00623C1D">
      <w:pPr>
        <w:pStyle w:val="H1G"/>
      </w:pPr>
      <w:r>
        <w:tab/>
      </w:r>
      <w:r w:rsidR="003359C4" w:rsidRPr="003359C4">
        <w:t>B.</w:t>
      </w:r>
      <w:r>
        <w:tab/>
      </w:r>
      <w:r w:rsidR="003359C4" w:rsidRPr="003359C4">
        <w:t>Specific rights (arts.</w:t>
      </w:r>
      <w:r w:rsidR="006D3F34">
        <w:t> </w:t>
      </w:r>
      <w:r w:rsidR="003359C4" w:rsidRPr="003359C4">
        <w:t>5–30)</w:t>
      </w:r>
    </w:p>
    <w:p w:rsidR="003359C4" w:rsidRPr="003359C4" w:rsidRDefault="003359C4" w:rsidP="009470DB">
      <w:pPr>
        <w:pStyle w:val="H23G"/>
      </w:pPr>
      <w:r w:rsidRPr="003359C4">
        <w:tab/>
      </w:r>
      <w:r w:rsidR="009470DB">
        <w:tab/>
      </w:r>
      <w:r w:rsidRPr="003359C4">
        <w:t>Equality and non-discrimination (art.</w:t>
      </w:r>
      <w:r w:rsidR="006D3F34">
        <w:t> </w:t>
      </w:r>
      <w:r w:rsidRPr="003359C4">
        <w:t>5)</w:t>
      </w:r>
    </w:p>
    <w:p w:rsidR="003359C4" w:rsidRPr="003359C4" w:rsidRDefault="000E4457" w:rsidP="000E4457">
      <w:pPr>
        <w:pStyle w:val="SingleTxtG"/>
        <w:tabs>
          <w:tab w:val="left" w:pos="1701"/>
        </w:tabs>
        <w:rPr>
          <w:b/>
        </w:rPr>
      </w:pPr>
      <w:r w:rsidRPr="003359C4">
        <w:rPr>
          <w:color w:val="000000"/>
        </w:rPr>
        <w:t>9.</w:t>
      </w:r>
      <w:r w:rsidRPr="003359C4">
        <w:rPr>
          <w:color w:val="000000"/>
        </w:rPr>
        <w:tab/>
      </w:r>
      <w:r w:rsidR="003359C4" w:rsidRPr="003359C4">
        <w:t>The Committee notes with concern that</w:t>
      </w:r>
      <w:r w:rsidR="00EB5D27">
        <w:t>,</w:t>
      </w:r>
      <w:r w:rsidR="003359C4" w:rsidRPr="003359C4">
        <w:t xml:space="preserve"> under the Anti-</w:t>
      </w:r>
      <w:r w:rsidR="00EB5D27">
        <w:t>D</w:t>
      </w:r>
      <w:r w:rsidR="003359C4" w:rsidRPr="003359C4">
        <w:t>iscrimination Act</w:t>
      </w:r>
      <w:r w:rsidR="00EB5D27">
        <w:t>, the</w:t>
      </w:r>
      <w:r w:rsidR="003359C4" w:rsidRPr="003359C4">
        <w:t xml:space="preserve"> duty to provide reasonable accommodation is limited to employment and related </w:t>
      </w:r>
      <w:r w:rsidR="00964C81" w:rsidRPr="003359C4">
        <w:t>labour</w:t>
      </w:r>
      <w:r w:rsidR="003359C4" w:rsidRPr="003359C4">
        <w:t xml:space="preserve"> relations.</w:t>
      </w:r>
    </w:p>
    <w:p w:rsidR="003359C4" w:rsidRPr="006C2A7C" w:rsidRDefault="000E4457" w:rsidP="000E4457">
      <w:pPr>
        <w:pStyle w:val="SingleTxtG"/>
        <w:tabs>
          <w:tab w:val="left" w:pos="1701"/>
        </w:tabs>
        <w:rPr>
          <w:b/>
        </w:rPr>
      </w:pPr>
      <w:r w:rsidRPr="006C2A7C">
        <w:rPr>
          <w:color w:val="000000"/>
        </w:rPr>
        <w:t>10.</w:t>
      </w:r>
      <w:r w:rsidRPr="006C2A7C">
        <w:rPr>
          <w:color w:val="000000"/>
        </w:rPr>
        <w:tab/>
      </w:r>
      <w:r w:rsidR="003359C4" w:rsidRPr="006C2A7C">
        <w:rPr>
          <w:b/>
        </w:rPr>
        <w:t xml:space="preserve">The Committee calls upon the State party to amend its legislation and extend the prohibition of denial of reasonable accommodation to other areas besides employment and </w:t>
      </w:r>
      <w:r w:rsidR="00964C81" w:rsidRPr="006C2A7C">
        <w:rPr>
          <w:b/>
        </w:rPr>
        <w:t>labour</w:t>
      </w:r>
      <w:r w:rsidR="003359C4" w:rsidRPr="006C2A7C">
        <w:rPr>
          <w:b/>
        </w:rPr>
        <w:t xml:space="preserve"> relations, in line with provisions of article</w:t>
      </w:r>
      <w:r w:rsidR="006D3F34">
        <w:rPr>
          <w:b/>
        </w:rPr>
        <w:t> </w:t>
      </w:r>
      <w:r w:rsidR="003359C4" w:rsidRPr="006C2A7C">
        <w:rPr>
          <w:b/>
        </w:rPr>
        <w:t>5 of the Convention.</w:t>
      </w:r>
    </w:p>
    <w:p w:rsidR="003359C4" w:rsidRPr="003359C4" w:rsidRDefault="000E4457" w:rsidP="000E4457">
      <w:pPr>
        <w:pStyle w:val="SingleTxtG"/>
        <w:tabs>
          <w:tab w:val="left" w:pos="1701"/>
        </w:tabs>
      </w:pPr>
      <w:r w:rsidRPr="003359C4">
        <w:rPr>
          <w:color w:val="000000"/>
        </w:rPr>
        <w:t>11.</w:t>
      </w:r>
      <w:r w:rsidRPr="003359C4">
        <w:rPr>
          <w:color w:val="000000"/>
        </w:rPr>
        <w:tab/>
      </w:r>
      <w:r w:rsidR="003359C4" w:rsidRPr="003359C4">
        <w:t xml:space="preserve">The Committee is concerned at </w:t>
      </w:r>
      <w:r w:rsidR="009951D5">
        <w:t>the</w:t>
      </w:r>
      <w:r w:rsidR="003359C4" w:rsidRPr="003359C4">
        <w:t xml:space="preserve"> absence of case law relating to judicial protection from disability-based discrimination. </w:t>
      </w:r>
    </w:p>
    <w:p w:rsidR="003359C4" w:rsidRPr="006C2A7C" w:rsidRDefault="000E4457" w:rsidP="000E4457">
      <w:pPr>
        <w:pStyle w:val="SingleTxtG"/>
        <w:tabs>
          <w:tab w:val="left" w:pos="1701"/>
        </w:tabs>
        <w:rPr>
          <w:b/>
        </w:rPr>
      </w:pPr>
      <w:r w:rsidRPr="006C2A7C">
        <w:rPr>
          <w:color w:val="000000"/>
        </w:rPr>
        <w:t>12.</w:t>
      </w:r>
      <w:r w:rsidRPr="006C2A7C">
        <w:rPr>
          <w:color w:val="000000"/>
        </w:rPr>
        <w:tab/>
      </w:r>
      <w:r w:rsidR="003359C4" w:rsidRPr="006C2A7C">
        <w:rPr>
          <w:b/>
        </w:rPr>
        <w:t>The Committee calls upon the State party to take all measures</w:t>
      </w:r>
      <w:r w:rsidR="00D36F85" w:rsidRPr="00D36F85">
        <w:rPr>
          <w:b/>
        </w:rPr>
        <w:t xml:space="preserve"> </w:t>
      </w:r>
      <w:r w:rsidR="00D36F85" w:rsidRPr="006C2A7C">
        <w:rPr>
          <w:b/>
        </w:rPr>
        <w:t>necessary</w:t>
      </w:r>
      <w:r w:rsidR="003359C4" w:rsidRPr="006C2A7C">
        <w:rPr>
          <w:b/>
        </w:rPr>
        <w:t xml:space="preserve">, including </w:t>
      </w:r>
      <w:r w:rsidR="003359C4" w:rsidRPr="006C2A7C">
        <w:rPr>
          <w:b/>
          <w:lang w:val="en-US"/>
        </w:rPr>
        <w:t xml:space="preserve">training the judiciary, </w:t>
      </w:r>
      <w:r w:rsidR="003359C4" w:rsidRPr="006C2A7C">
        <w:rPr>
          <w:b/>
        </w:rPr>
        <w:t xml:space="preserve">strengthening independent human rights bodies and building </w:t>
      </w:r>
      <w:r w:rsidR="009951D5">
        <w:rPr>
          <w:b/>
        </w:rPr>
        <w:t xml:space="preserve">the capacity </w:t>
      </w:r>
      <w:r w:rsidR="003359C4" w:rsidRPr="006C2A7C">
        <w:rPr>
          <w:b/>
        </w:rPr>
        <w:t xml:space="preserve">of persons with disabilities and their organizations, to foster the use of legal remedies </w:t>
      </w:r>
      <w:r w:rsidR="009951D5">
        <w:rPr>
          <w:b/>
        </w:rPr>
        <w:t>available to</w:t>
      </w:r>
      <w:r w:rsidR="003359C4" w:rsidRPr="006C2A7C">
        <w:rPr>
          <w:b/>
        </w:rPr>
        <w:t xml:space="preserve"> persons with disabilities </w:t>
      </w:r>
      <w:r w:rsidR="009951D5">
        <w:rPr>
          <w:b/>
        </w:rPr>
        <w:t xml:space="preserve">who </w:t>
      </w:r>
      <w:r w:rsidR="003359C4" w:rsidRPr="006C2A7C">
        <w:rPr>
          <w:b/>
        </w:rPr>
        <w:t>fac</w:t>
      </w:r>
      <w:r w:rsidR="009951D5">
        <w:rPr>
          <w:b/>
        </w:rPr>
        <w:t>e</w:t>
      </w:r>
      <w:r w:rsidR="003359C4" w:rsidRPr="006C2A7C">
        <w:rPr>
          <w:b/>
        </w:rPr>
        <w:t xml:space="preserve"> discrimination and inequality. </w:t>
      </w:r>
    </w:p>
    <w:p w:rsidR="003359C4" w:rsidRPr="003359C4" w:rsidRDefault="009470DB" w:rsidP="009470DB">
      <w:pPr>
        <w:pStyle w:val="H23G"/>
      </w:pPr>
      <w:r>
        <w:tab/>
      </w:r>
      <w:r>
        <w:tab/>
      </w:r>
      <w:r w:rsidR="003359C4" w:rsidRPr="003359C4">
        <w:t>Women with disabilities (art.</w:t>
      </w:r>
      <w:r w:rsidR="006D3F34">
        <w:t> </w:t>
      </w:r>
      <w:r w:rsidR="003359C4" w:rsidRPr="003359C4">
        <w:t>6)</w:t>
      </w:r>
    </w:p>
    <w:p w:rsidR="003359C4" w:rsidRPr="003359C4" w:rsidRDefault="000E4457" w:rsidP="000E4457">
      <w:pPr>
        <w:pStyle w:val="SingleTxtG"/>
        <w:tabs>
          <w:tab w:val="left" w:pos="1701"/>
        </w:tabs>
      </w:pPr>
      <w:r w:rsidRPr="003359C4">
        <w:rPr>
          <w:color w:val="000000"/>
        </w:rPr>
        <w:t>13.</w:t>
      </w:r>
      <w:r w:rsidRPr="003359C4">
        <w:rPr>
          <w:color w:val="000000"/>
        </w:rPr>
        <w:tab/>
      </w:r>
      <w:r w:rsidR="003359C4" w:rsidRPr="003359C4">
        <w:t xml:space="preserve">The Committee </w:t>
      </w:r>
      <w:r w:rsidR="00EC0DC6" w:rsidRPr="00EC0DC6">
        <w:t xml:space="preserve">is concerned at the absence of action </w:t>
      </w:r>
      <w:r w:rsidR="009951D5">
        <w:t xml:space="preserve">being taken </w:t>
      </w:r>
      <w:r w:rsidR="00EC0DC6" w:rsidRPr="00EC0DC6">
        <w:t xml:space="preserve">to prevent and combat </w:t>
      </w:r>
      <w:r w:rsidR="009951D5">
        <w:t xml:space="preserve">the </w:t>
      </w:r>
      <w:r w:rsidR="00EC0DC6" w:rsidRPr="00EC0DC6">
        <w:t xml:space="preserve">multiple discrimination faced by women and children with disabilities, </w:t>
      </w:r>
      <w:r w:rsidR="009951D5">
        <w:t>and</w:t>
      </w:r>
      <w:r w:rsidR="003359C4" w:rsidRPr="003359C4">
        <w:t xml:space="preserve"> the </w:t>
      </w:r>
      <w:r w:rsidR="003359C4" w:rsidRPr="003359C4">
        <w:lastRenderedPageBreak/>
        <w:t>lack of data on women and girls with disabilities</w:t>
      </w:r>
      <w:r w:rsidR="009951D5">
        <w:t>, which is fundamental</w:t>
      </w:r>
      <w:r w:rsidR="003359C4" w:rsidRPr="003359C4">
        <w:t xml:space="preserve"> to combating </w:t>
      </w:r>
      <w:r w:rsidR="009951D5">
        <w:t xml:space="preserve">the </w:t>
      </w:r>
      <w:r w:rsidR="003359C4" w:rsidRPr="003359C4">
        <w:t>intersectional discrimination they face.</w:t>
      </w:r>
    </w:p>
    <w:p w:rsidR="003359C4" w:rsidRPr="006C2A7C" w:rsidRDefault="000E4457" w:rsidP="000E4457">
      <w:pPr>
        <w:pStyle w:val="SingleTxtG"/>
        <w:tabs>
          <w:tab w:val="left" w:pos="1701"/>
        </w:tabs>
        <w:rPr>
          <w:b/>
        </w:rPr>
      </w:pPr>
      <w:r w:rsidRPr="006C2A7C">
        <w:rPr>
          <w:color w:val="000000"/>
        </w:rPr>
        <w:t>14.</w:t>
      </w:r>
      <w:r w:rsidRPr="006C2A7C">
        <w:rPr>
          <w:color w:val="000000"/>
        </w:rPr>
        <w:tab/>
      </w:r>
      <w:r w:rsidR="003359C4" w:rsidRPr="006C2A7C">
        <w:rPr>
          <w:b/>
        </w:rPr>
        <w:t xml:space="preserve">The Committee calls upon the State party to </w:t>
      </w:r>
      <w:r w:rsidR="00A3553B" w:rsidRPr="00255BCC">
        <w:rPr>
          <w:b/>
        </w:rPr>
        <w:t>implement program</w:t>
      </w:r>
      <w:r w:rsidR="009951D5">
        <w:rPr>
          <w:b/>
        </w:rPr>
        <w:t>me</w:t>
      </w:r>
      <w:r w:rsidR="00A3553B" w:rsidRPr="00255BCC">
        <w:rPr>
          <w:b/>
        </w:rPr>
        <w:t>s and action for women and children with disabilities, including measures for equality and affirmative action both in terms of disability and equality policy</w:t>
      </w:r>
      <w:r w:rsidR="009951D5">
        <w:rPr>
          <w:b/>
        </w:rPr>
        <w:t>. The State party should also</w:t>
      </w:r>
      <w:r w:rsidR="00A3553B" w:rsidRPr="00255BCC">
        <w:rPr>
          <w:b/>
        </w:rPr>
        <w:t xml:space="preserve"> establish</w:t>
      </w:r>
      <w:r w:rsidR="003359C4" w:rsidRPr="006C2A7C">
        <w:rPr>
          <w:b/>
        </w:rPr>
        <w:t xml:space="preserve"> a framework for data collection relevant to combating </w:t>
      </w:r>
      <w:r w:rsidR="009951D5">
        <w:rPr>
          <w:b/>
        </w:rPr>
        <w:t xml:space="preserve">the </w:t>
      </w:r>
      <w:r w:rsidR="003359C4" w:rsidRPr="006C2A7C">
        <w:rPr>
          <w:b/>
        </w:rPr>
        <w:t xml:space="preserve">intersectional discrimination </w:t>
      </w:r>
      <w:r w:rsidR="009951D5">
        <w:rPr>
          <w:b/>
        </w:rPr>
        <w:t>faced by</w:t>
      </w:r>
      <w:r w:rsidR="003359C4" w:rsidRPr="006C2A7C">
        <w:rPr>
          <w:b/>
        </w:rPr>
        <w:t xml:space="preserve"> women and girls with disabilities, in line with </w:t>
      </w:r>
      <w:r w:rsidR="003359C4" w:rsidRPr="00073BDF">
        <w:rPr>
          <w:b/>
        </w:rPr>
        <w:t>article</w:t>
      </w:r>
      <w:r w:rsidR="006D3F34" w:rsidRPr="00073BDF">
        <w:rPr>
          <w:b/>
        </w:rPr>
        <w:t> </w:t>
      </w:r>
      <w:r w:rsidR="003359C4" w:rsidRPr="00073BDF">
        <w:rPr>
          <w:b/>
        </w:rPr>
        <w:t xml:space="preserve">31 of the Convention and taking into account </w:t>
      </w:r>
      <w:r w:rsidR="003359C4" w:rsidRPr="000E4457">
        <w:rPr>
          <w:b/>
          <w:lang w:eastAsia="ja-JP"/>
        </w:rPr>
        <w:t xml:space="preserve">the conceptual and methodological framework </w:t>
      </w:r>
      <w:r w:rsidR="00073BDF">
        <w:rPr>
          <w:b/>
          <w:lang w:eastAsia="ja-JP"/>
        </w:rPr>
        <w:t>set out in</w:t>
      </w:r>
      <w:r w:rsidR="00073BDF" w:rsidRPr="000E4457">
        <w:rPr>
          <w:b/>
          <w:lang w:eastAsia="ja-JP"/>
        </w:rPr>
        <w:t xml:space="preserve"> </w:t>
      </w:r>
      <w:r w:rsidR="00073BDF" w:rsidRPr="000E4457">
        <w:rPr>
          <w:b/>
          <w:i/>
          <w:iCs/>
          <w:lang w:eastAsia="ja-JP"/>
        </w:rPr>
        <w:t>H</w:t>
      </w:r>
      <w:r w:rsidR="003359C4" w:rsidRPr="000E4457">
        <w:rPr>
          <w:b/>
          <w:i/>
          <w:iCs/>
          <w:lang w:eastAsia="ja-JP"/>
        </w:rPr>
        <w:t xml:space="preserve">uman </w:t>
      </w:r>
      <w:r w:rsidR="00073BDF" w:rsidRPr="000E4457">
        <w:rPr>
          <w:b/>
          <w:i/>
          <w:iCs/>
          <w:lang w:eastAsia="ja-JP"/>
        </w:rPr>
        <w:t>R</w:t>
      </w:r>
      <w:r w:rsidR="003359C4" w:rsidRPr="000E4457">
        <w:rPr>
          <w:b/>
          <w:i/>
          <w:iCs/>
          <w:lang w:eastAsia="ja-JP"/>
        </w:rPr>
        <w:t xml:space="preserve">ights </w:t>
      </w:r>
      <w:r w:rsidR="00073BDF" w:rsidRPr="000E4457">
        <w:rPr>
          <w:b/>
          <w:i/>
          <w:iCs/>
          <w:lang w:eastAsia="ja-JP"/>
        </w:rPr>
        <w:t>I</w:t>
      </w:r>
      <w:r w:rsidR="003359C4" w:rsidRPr="000E4457">
        <w:rPr>
          <w:b/>
          <w:i/>
          <w:iCs/>
          <w:lang w:eastAsia="ja-JP"/>
        </w:rPr>
        <w:t>ndicators</w:t>
      </w:r>
      <w:r w:rsidR="00073BDF" w:rsidRPr="000E4457">
        <w:rPr>
          <w:b/>
          <w:i/>
          <w:iCs/>
          <w:lang w:eastAsia="ja-JP"/>
        </w:rPr>
        <w:t>:</w:t>
      </w:r>
      <w:r w:rsidR="00073BDF">
        <w:rPr>
          <w:b/>
          <w:i/>
          <w:iCs/>
          <w:lang w:eastAsia="ja-JP"/>
        </w:rPr>
        <w:t xml:space="preserve"> A Guide to Measurement and </w:t>
      </w:r>
      <w:r w:rsidR="00073BDF" w:rsidRPr="00073BDF">
        <w:rPr>
          <w:b/>
          <w:i/>
          <w:iCs/>
          <w:lang w:eastAsia="ja-JP"/>
        </w:rPr>
        <w:t>Implementation</w:t>
      </w:r>
      <w:r w:rsidR="00701E9A" w:rsidRPr="00073BDF">
        <w:rPr>
          <w:b/>
        </w:rPr>
        <w:t xml:space="preserve">. It should also </w:t>
      </w:r>
      <w:r w:rsidR="003359C4" w:rsidRPr="00073BDF">
        <w:rPr>
          <w:b/>
        </w:rPr>
        <w:t>step</w:t>
      </w:r>
      <w:r w:rsidR="003359C4" w:rsidRPr="006C2A7C">
        <w:rPr>
          <w:b/>
        </w:rPr>
        <w:t xml:space="preserve"> up </w:t>
      </w:r>
      <w:r w:rsidR="00701E9A">
        <w:rPr>
          <w:b/>
        </w:rPr>
        <w:t xml:space="preserve">the </w:t>
      </w:r>
      <w:r w:rsidR="003359C4" w:rsidRPr="006C2A7C">
        <w:rPr>
          <w:b/>
        </w:rPr>
        <w:t xml:space="preserve">implementation of the policies </w:t>
      </w:r>
      <w:r w:rsidR="00701E9A">
        <w:rPr>
          <w:b/>
        </w:rPr>
        <w:t xml:space="preserve">it has </w:t>
      </w:r>
      <w:r w:rsidR="00701E9A" w:rsidRPr="006C2A7C">
        <w:rPr>
          <w:b/>
        </w:rPr>
        <w:t>adopted</w:t>
      </w:r>
      <w:r w:rsidR="00701E9A">
        <w:rPr>
          <w:b/>
        </w:rPr>
        <w:t xml:space="preserve"> </w:t>
      </w:r>
      <w:r w:rsidR="003359C4" w:rsidRPr="006C2A7C">
        <w:rPr>
          <w:b/>
        </w:rPr>
        <w:t xml:space="preserve">to combat </w:t>
      </w:r>
      <w:r w:rsidR="00701E9A">
        <w:rPr>
          <w:b/>
        </w:rPr>
        <w:t>such</w:t>
      </w:r>
      <w:r w:rsidR="003359C4" w:rsidRPr="006C2A7C">
        <w:rPr>
          <w:b/>
        </w:rPr>
        <w:t xml:space="preserve"> discrimination.</w:t>
      </w:r>
    </w:p>
    <w:p w:rsidR="003359C4" w:rsidRPr="003359C4" w:rsidRDefault="009470DB" w:rsidP="009470DB">
      <w:pPr>
        <w:pStyle w:val="H23G"/>
      </w:pPr>
      <w:r>
        <w:tab/>
      </w:r>
      <w:r>
        <w:tab/>
      </w:r>
      <w:r w:rsidR="003359C4" w:rsidRPr="003359C4">
        <w:t>Children with disabilities (art.</w:t>
      </w:r>
      <w:r w:rsidR="006D3F34">
        <w:t> </w:t>
      </w:r>
      <w:r w:rsidR="003359C4" w:rsidRPr="003359C4">
        <w:t>7)</w:t>
      </w:r>
    </w:p>
    <w:p w:rsidR="003359C4" w:rsidRPr="003359C4" w:rsidRDefault="000E4457" w:rsidP="000E4457">
      <w:pPr>
        <w:pStyle w:val="SingleTxtG"/>
        <w:tabs>
          <w:tab w:val="left" w:pos="1701"/>
        </w:tabs>
      </w:pPr>
      <w:r w:rsidRPr="003359C4">
        <w:rPr>
          <w:color w:val="000000"/>
        </w:rPr>
        <w:t>15.</w:t>
      </w:r>
      <w:r w:rsidRPr="003359C4">
        <w:rPr>
          <w:color w:val="000000"/>
        </w:rPr>
        <w:tab/>
      </w:r>
      <w:r w:rsidR="003359C4" w:rsidRPr="003359C4">
        <w:t xml:space="preserve">The Committee is deeply concerned </w:t>
      </w:r>
      <w:r w:rsidR="00626FB2">
        <w:t>at</w:t>
      </w:r>
      <w:r w:rsidR="003359C4" w:rsidRPr="003359C4">
        <w:t xml:space="preserve"> the persistence of the </w:t>
      </w:r>
      <w:r w:rsidR="00626FB2" w:rsidRPr="003359C4">
        <w:t>public policy</w:t>
      </w:r>
      <w:r w:rsidR="003359C4" w:rsidRPr="003359C4">
        <w:t xml:space="preserve"> of caring for children with disabilities in institutions and </w:t>
      </w:r>
      <w:r w:rsidR="00626FB2">
        <w:t xml:space="preserve">the </w:t>
      </w:r>
      <w:r w:rsidR="003359C4" w:rsidRPr="003359C4">
        <w:t>insufficient development of support services to boys and girls with disabilities and their families in local communities.</w:t>
      </w:r>
      <w:r w:rsidR="00473B0A">
        <w:rPr>
          <w:sz w:val="24"/>
          <w:szCs w:val="24"/>
        </w:rPr>
        <w:t xml:space="preserve"> </w:t>
      </w:r>
      <w:r w:rsidR="00473B0A" w:rsidRPr="00473B0A">
        <w:t>The Committee is also concerned that children with disabilities are not able to systematically participate in decision-making that affects their lives and that they do not have the opportunity to express their opinion on matters pertaining to them directly.</w:t>
      </w:r>
      <w:r w:rsidR="006C4BAD">
        <w:t xml:space="preserve"> </w:t>
      </w:r>
    </w:p>
    <w:p w:rsidR="003359C4" w:rsidRPr="006C2A7C" w:rsidRDefault="000E4457" w:rsidP="000E4457">
      <w:pPr>
        <w:pStyle w:val="SingleTxtG"/>
        <w:tabs>
          <w:tab w:val="left" w:pos="1701"/>
        </w:tabs>
        <w:rPr>
          <w:b/>
        </w:rPr>
      </w:pPr>
      <w:r w:rsidRPr="006C2A7C">
        <w:rPr>
          <w:color w:val="000000"/>
        </w:rPr>
        <w:t>16.</w:t>
      </w:r>
      <w:r w:rsidRPr="006C2A7C">
        <w:rPr>
          <w:color w:val="000000"/>
        </w:rPr>
        <w:tab/>
      </w:r>
      <w:r w:rsidR="003359C4" w:rsidRPr="006C2A7C">
        <w:rPr>
          <w:b/>
        </w:rPr>
        <w:t>The Committee calls upon the State party to abandon the concept of residential institution</w:t>
      </w:r>
      <w:r w:rsidR="00626FB2">
        <w:rPr>
          <w:b/>
        </w:rPr>
        <w:t>al</w:t>
      </w:r>
      <w:r w:rsidR="003359C4" w:rsidRPr="006C2A7C">
        <w:rPr>
          <w:b/>
        </w:rPr>
        <w:t xml:space="preserve"> care for boys and girls with disabilities and to step up </w:t>
      </w:r>
      <w:r w:rsidR="00626FB2">
        <w:rPr>
          <w:b/>
        </w:rPr>
        <w:t>its</w:t>
      </w:r>
      <w:r w:rsidR="003359C4" w:rsidRPr="006C2A7C">
        <w:rPr>
          <w:b/>
        </w:rPr>
        <w:t xml:space="preserve"> efforts to develop support services for boys and girls with disabilities and their families in local communities, with a clear timeline and concrete benchmarks for implementation </w:t>
      </w:r>
      <w:r w:rsidR="00626FB2">
        <w:rPr>
          <w:b/>
        </w:rPr>
        <w:t>that</w:t>
      </w:r>
      <w:r w:rsidR="003359C4" w:rsidRPr="006C2A7C">
        <w:rPr>
          <w:b/>
        </w:rPr>
        <w:t xml:space="preserve"> are monitored </w:t>
      </w:r>
      <w:r w:rsidR="00626FB2" w:rsidRPr="006C2A7C">
        <w:rPr>
          <w:b/>
        </w:rPr>
        <w:t>effectively</w:t>
      </w:r>
      <w:r w:rsidR="00626FB2">
        <w:rPr>
          <w:b/>
        </w:rPr>
        <w:t xml:space="preserve"> </w:t>
      </w:r>
      <w:r w:rsidR="003359C4" w:rsidRPr="006C2A7C">
        <w:rPr>
          <w:b/>
        </w:rPr>
        <w:t>at regular intervals.</w:t>
      </w:r>
      <w:r w:rsidR="00790EFD">
        <w:rPr>
          <w:b/>
        </w:rPr>
        <w:t xml:space="preserve"> </w:t>
      </w:r>
      <w:r w:rsidR="00790EFD" w:rsidRPr="00061A0B">
        <w:rPr>
          <w:b/>
        </w:rPr>
        <w:t xml:space="preserve">The Committee also </w:t>
      </w:r>
      <w:r w:rsidR="00BC554A">
        <w:rPr>
          <w:b/>
        </w:rPr>
        <w:t>urges</w:t>
      </w:r>
      <w:r w:rsidR="00790EFD" w:rsidRPr="00061A0B">
        <w:rPr>
          <w:b/>
        </w:rPr>
        <w:t xml:space="preserve"> the State party to adopt safeguards to protect the right of boys and girls with disabilities to be consulted on all matters that affect them, </w:t>
      </w:r>
      <w:r w:rsidR="00BC554A">
        <w:rPr>
          <w:b/>
        </w:rPr>
        <w:t xml:space="preserve">and to </w:t>
      </w:r>
      <w:r w:rsidR="00790EFD" w:rsidRPr="00061A0B">
        <w:rPr>
          <w:b/>
        </w:rPr>
        <w:t xml:space="preserve">guarantee </w:t>
      </w:r>
      <w:r w:rsidR="00BC554A">
        <w:rPr>
          <w:b/>
        </w:rPr>
        <w:t xml:space="preserve">them </w:t>
      </w:r>
      <w:r w:rsidR="00790EFD" w:rsidRPr="00061A0B">
        <w:rPr>
          <w:b/>
        </w:rPr>
        <w:t xml:space="preserve">effective assistance </w:t>
      </w:r>
      <w:r w:rsidR="00BC554A">
        <w:rPr>
          <w:b/>
        </w:rPr>
        <w:t xml:space="preserve">to realize that right, </w:t>
      </w:r>
      <w:r w:rsidR="00790EFD" w:rsidRPr="00061A0B">
        <w:rPr>
          <w:b/>
        </w:rPr>
        <w:t>bearing in mind their disability and age.</w:t>
      </w:r>
      <w:r w:rsidR="006C4BAD" w:rsidRPr="00061A0B">
        <w:rPr>
          <w:b/>
        </w:rPr>
        <w:t xml:space="preserve"> </w:t>
      </w:r>
    </w:p>
    <w:p w:rsidR="003359C4" w:rsidRPr="003359C4" w:rsidRDefault="009470DB" w:rsidP="009470DB">
      <w:pPr>
        <w:pStyle w:val="H23G"/>
      </w:pPr>
      <w:r>
        <w:tab/>
      </w:r>
      <w:r>
        <w:tab/>
      </w:r>
      <w:r w:rsidR="003359C4" w:rsidRPr="003359C4">
        <w:t>Accessibility (art.</w:t>
      </w:r>
      <w:r w:rsidR="006D3F34">
        <w:t> </w:t>
      </w:r>
      <w:r w:rsidR="003359C4" w:rsidRPr="003359C4">
        <w:t>9)</w:t>
      </w:r>
    </w:p>
    <w:p w:rsidR="003359C4" w:rsidRPr="003359C4" w:rsidRDefault="000E4457" w:rsidP="000E4457">
      <w:pPr>
        <w:pStyle w:val="SingleTxtG"/>
        <w:tabs>
          <w:tab w:val="left" w:pos="1701"/>
        </w:tabs>
      </w:pPr>
      <w:r w:rsidRPr="003359C4">
        <w:rPr>
          <w:color w:val="000000"/>
        </w:rPr>
        <w:t>17.</w:t>
      </w:r>
      <w:r w:rsidRPr="003359C4">
        <w:rPr>
          <w:color w:val="000000"/>
        </w:rPr>
        <w:tab/>
      </w:r>
      <w:r w:rsidR="003359C4" w:rsidRPr="003359C4">
        <w:t xml:space="preserve">The Committee notes with concern that </w:t>
      </w:r>
      <w:r w:rsidR="00BC554A">
        <w:t xml:space="preserve">the </w:t>
      </w:r>
      <w:r w:rsidR="003359C4" w:rsidRPr="003359C4">
        <w:t xml:space="preserve">provisions of the Building Act on ensuring accessibility are still not </w:t>
      </w:r>
      <w:r w:rsidR="00BC554A">
        <w:t xml:space="preserve">being </w:t>
      </w:r>
      <w:r w:rsidR="003359C4" w:rsidRPr="003359C4">
        <w:t>fully implemented. Furthermore, the Committee notes that deaf persons</w:t>
      </w:r>
      <w:r w:rsidR="003359C4" w:rsidRPr="003359C4">
        <w:rPr>
          <w:lang w:val="en-US"/>
        </w:rPr>
        <w:t>, blind persons</w:t>
      </w:r>
      <w:r w:rsidR="003359C4" w:rsidRPr="003359C4">
        <w:t xml:space="preserve"> and persons with intellectual disabilities</w:t>
      </w:r>
      <w:r w:rsidR="003359C4" w:rsidRPr="003359C4">
        <w:rPr>
          <w:b/>
        </w:rPr>
        <w:t xml:space="preserve"> </w:t>
      </w:r>
      <w:r w:rsidR="003359C4" w:rsidRPr="003359C4">
        <w:t>still face challenges in accessing premises open to the public</w:t>
      </w:r>
      <w:r w:rsidR="00BC554A">
        <w:t>,</w:t>
      </w:r>
      <w:r w:rsidR="003359C4" w:rsidRPr="003359C4">
        <w:t xml:space="preserve"> </w:t>
      </w:r>
      <w:r w:rsidR="00BC554A">
        <w:t>owing</w:t>
      </w:r>
      <w:r w:rsidR="003359C4" w:rsidRPr="003359C4">
        <w:t xml:space="preserve"> to </w:t>
      </w:r>
      <w:r w:rsidR="00BC554A">
        <w:t xml:space="preserve">the </w:t>
      </w:r>
      <w:r w:rsidR="003359C4" w:rsidRPr="003359C4">
        <w:t>lack of sign language interpretation</w:t>
      </w:r>
      <w:r w:rsidR="003359C4" w:rsidRPr="003359C4">
        <w:rPr>
          <w:lang w:val="en-US"/>
        </w:rPr>
        <w:t xml:space="preserve">, </w:t>
      </w:r>
      <w:r w:rsidR="00BC554A" w:rsidRPr="003359C4">
        <w:rPr>
          <w:lang w:val="en-US"/>
        </w:rPr>
        <w:t>signage</w:t>
      </w:r>
      <w:r w:rsidR="00BC554A">
        <w:rPr>
          <w:lang w:val="en-US"/>
        </w:rPr>
        <w:t xml:space="preserve"> in </w:t>
      </w:r>
      <w:r w:rsidR="003359C4" w:rsidRPr="003359C4">
        <w:rPr>
          <w:lang w:val="en-US"/>
        </w:rPr>
        <w:t xml:space="preserve">Braille </w:t>
      </w:r>
      <w:r w:rsidR="003359C4" w:rsidRPr="003359C4">
        <w:t>and augmentative and alternative communication and other accessible means, modes and formats of communication, such as pictograms.</w:t>
      </w:r>
    </w:p>
    <w:p w:rsidR="00E25C80" w:rsidRPr="00E25C80" w:rsidRDefault="000E4457" w:rsidP="000E4457">
      <w:pPr>
        <w:pStyle w:val="SingleTxtG"/>
        <w:tabs>
          <w:tab w:val="left" w:pos="1701"/>
        </w:tabs>
        <w:rPr>
          <w:b/>
          <w:lang w:val="en-US"/>
        </w:rPr>
      </w:pPr>
      <w:r w:rsidRPr="00E25C80">
        <w:rPr>
          <w:color w:val="000000"/>
          <w:lang w:val="en-US"/>
        </w:rPr>
        <w:t>18.</w:t>
      </w:r>
      <w:r w:rsidRPr="00E25C80">
        <w:rPr>
          <w:color w:val="000000"/>
          <w:lang w:val="en-US"/>
        </w:rPr>
        <w:tab/>
      </w:r>
      <w:r w:rsidR="003359C4" w:rsidRPr="00E25C80">
        <w:rPr>
          <w:b/>
        </w:rPr>
        <w:t xml:space="preserve">The Committee urges the State party to strengthen </w:t>
      </w:r>
      <w:r w:rsidR="00FF7075">
        <w:rPr>
          <w:b/>
        </w:rPr>
        <w:t>its</w:t>
      </w:r>
      <w:r w:rsidR="003359C4" w:rsidRPr="00E25C80">
        <w:rPr>
          <w:b/>
        </w:rPr>
        <w:t xml:space="preserve"> monitoring of </w:t>
      </w:r>
      <w:r w:rsidR="00FF7075">
        <w:rPr>
          <w:b/>
        </w:rPr>
        <w:t xml:space="preserve">the </w:t>
      </w:r>
      <w:r w:rsidR="003359C4" w:rsidRPr="00E25C80">
        <w:rPr>
          <w:b/>
        </w:rPr>
        <w:t>implementation of accessibility standards</w:t>
      </w:r>
      <w:r w:rsidR="003359C4" w:rsidRPr="00E25C80">
        <w:rPr>
          <w:b/>
          <w:lang w:val="en-US"/>
        </w:rPr>
        <w:t xml:space="preserve"> by:</w:t>
      </w:r>
    </w:p>
    <w:p w:rsidR="00E25C80" w:rsidRPr="00E25C80" w:rsidRDefault="000E4457" w:rsidP="000E4457">
      <w:pPr>
        <w:pStyle w:val="SingleTxtG"/>
        <w:ind w:firstLine="567"/>
        <w:rPr>
          <w:b/>
        </w:rPr>
      </w:pPr>
      <w:r w:rsidRPr="00E25C80">
        <w:t>(a)</w:t>
      </w:r>
      <w:r w:rsidRPr="00E25C80">
        <w:tab/>
      </w:r>
      <w:r w:rsidR="006D3F34">
        <w:rPr>
          <w:b/>
        </w:rPr>
        <w:t>C</w:t>
      </w:r>
      <w:r w:rsidR="003359C4" w:rsidRPr="00E25C80">
        <w:rPr>
          <w:b/>
        </w:rPr>
        <w:t xml:space="preserve">learly defining </w:t>
      </w:r>
      <w:r w:rsidR="00FF7075">
        <w:rPr>
          <w:b/>
        </w:rPr>
        <w:t>which</w:t>
      </w:r>
      <w:r w:rsidR="003359C4" w:rsidRPr="00E25C80">
        <w:rPr>
          <w:b/>
        </w:rPr>
        <w:t xml:space="preserve"> </w:t>
      </w:r>
      <w:r w:rsidR="00FF7075">
        <w:rPr>
          <w:b/>
        </w:rPr>
        <w:t>bodies</w:t>
      </w:r>
      <w:r w:rsidR="003359C4" w:rsidRPr="00E25C80">
        <w:rPr>
          <w:b/>
        </w:rPr>
        <w:t xml:space="preserve"> </w:t>
      </w:r>
      <w:r w:rsidR="00FF7075">
        <w:rPr>
          <w:b/>
        </w:rPr>
        <w:t>have</w:t>
      </w:r>
      <w:r w:rsidR="003359C4" w:rsidRPr="00E25C80">
        <w:rPr>
          <w:b/>
        </w:rPr>
        <w:t xml:space="preserve"> the mandate to monitor the implementation;</w:t>
      </w:r>
    </w:p>
    <w:p w:rsidR="00E25C80" w:rsidRPr="00E25C80" w:rsidRDefault="000E4457" w:rsidP="000E4457">
      <w:pPr>
        <w:pStyle w:val="SingleTxtG"/>
        <w:ind w:firstLine="567"/>
        <w:rPr>
          <w:b/>
        </w:rPr>
      </w:pPr>
      <w:r w:rsidRPr="00E25C80">
        <w:t>(b)</w:t>
      </w:r>
      <w:r w:rsidRPr="00E25C80">
        <w:tab/>
      </w:r>
      <w:r w:rsidR="00FF7075">
        <w:rPr>
          <w:b/>
        </w:rPr>
        <w:t>Providing c</w:t>
      </w:r>
      <w:r w:rsidR="003359C4" w:rsidRPr="00E25C80">
        <w:rPr>
          <w:b/>
        </w:rPr>
        <w:t xml:space="preserve">apacity-building and continuous training </w:t>
      </w:r>
      <w:r w:rsidR="00FF7075">
        <w:rPr>
          <w:b/>
        </w:rPr>
        <w:t>for</w:t>
      </w:r>
      <w:r w:rsidR="003359C4" w:rsidRPr="00E25C80">
        <w:rPr>
          <w:b/>
        </w:rPr>
        <w:t xml:space="preserve"> </w:t>
      </w:r>
      <w:r w:rsidR="00FF7075">
        <w:rPr>
          <w:b/>
        </w:rPr>
        <w:t xml:space="preserve">the </w:t>
      </w:r>
      <w:r w:rsidR="003359C4" w:rsidRPr="00E25C80">
        <w:rPr>
          <w:b/>
        </w:rPr>
        <w:t xml:space="preserve">civil servants and experts in charge of monitoring; </w:t>
      </w:r>
    </w:p>
    <w:p w:rsidR="00E25C80" w:rsidRPr="00E25C80" w:rsidRDefault="000E4457" w:rsidP="000E4457">
      <w:pPr>
        <w:pStyle w:val="SingleTxtG"/>
        <w:ind w:firstLine="567"/>
        <w:rPr>
          <w:b/>
        </w:rPr>
      </w:pPr>
      <w:r w:rsidRPr="00E25C80">
        <w:t>(c)</w:t>
      </w:r>
      <w:r w:rsidRPr="00E25C80">
        <w:tab/>
      </w:r>
      <w:r w:rsidR="006D3F34">
        <w:rPr>
          <w:b/>
        </w:rPr>
        <w:t>I</w:t>
      </w:r>
      <w:r w:rsidR="003359C4" w:rsidRPr="00E25C80">
        <w:rPr>
          <w:b/>
        </w:rPr>
        <w:t>nvolving organizations</w:t>
      </w:r>
      <w:r w:rsidR="00842A7E">
        <w:rPr>
          <w:b/>
        </w:rPr>
        <w:t xml:space="preserve"> of </w:t>
      </w:r>
      <w:r w:rsidR="003359C4" w:rsidRPr="00E25C80">
        <w:rPr>
          <w:b/>
        </w:rPr>
        <w:t xml:space="preserve">persons with disabilities in the monitoring; </w:t>
      </w:r>
    </w:p>
    <w:p w:rsidR="003359C4" w:rsidRPr="00E25C80" w:rsidRDefault="000E4457" w:rsidP="000E4457">
      <w:pPr>
        <w:pStyle w:val="SingleTxtG"/>
        <w:ind w:firstLine="567"/>
        <w:rPr>
          <w:b/>
        </w:rPr>
      </w:pPr>
      <w:r w:rsidRPr="00E25C80">
        <w:t>(d)</w:t>
      </w:r>
      <w:r w:rsidRPr="00E25C80">
        <w:tab/>
      </w:r>
      <w:r w:rsidR="006D3F34">
        <w:rPr>
          <w:b/>
        </w:rPr>
        <w:t>S</w:t>
      </w:r>
      <w:r w:rsidR="003359C4" w:rsidRPr="00E25C80">
        <w:rPr>
          <w:b/>
        </w:rPr>
        <w:t>anctioning those who fail to apply accessibility standards.</w:t>
      </w:r>
    </w:p>
    <w:p w:rsidR="003359C4" w:rsidRPr="00E25C80" w:rsidRDefault="000E4457" w:rsidP="000E4457">
      <w:pPr>
        <w:pStyle w:val="SingleTxtG"/>
        <w:tabs>
          <w:tab w:val="left" w:pos="1701"/>
        </w:tabs>
        <w:rPr>
          <w:b/>
        </w:rPr>
      </w:pPr>
      <w:r w:rsidRPr="00E25C80">
        <w:rPr>
          <w:color w:val="000000"/>
        </w:rPr>
        <w:t>19.</w:t>
      </w:r>
      <w:r w:rsidRPr="00E25C80">
        <w:rPr>
          <w:color w:val="000000"/>
        </w:rPr>
        <w:tab/>
      </w:r>
      <w:r w:rsidR="003359C4" w:rsidRPr="00E25C80">
        <w:rPr>
          <w:b/>
        </w:rPr>
        <w:t xml:space="preserve">The Committee calls upon the State party to ensure </w:t>
      </w:r>
      <w:r w:rsidR="00FF7075">
        <w:rPr>
          <w:b/>
        </w:rPr>
        <w:t xml:space="preserve">that </w:t>
      </w:r>
      <w:r w:rsidR="00FF7075" w:rsidRPr="00E25C80">
        <w:rPr>
          <w:b/>
        </w:rPr>
        <w:t>premises</w:t>
      </w:r>
      <w:r w:rsidR="00FF7075">
        <w:rPr>
          <w:b/>
        </w:rPr>
        <w:t xml:space="preserve"> </w:t>
      </w:r>
      <w:r w:rsidR="00FF7075" w:rsidRPr="00E25C80">
        <w:rPr>
          <w:b/>
        </w:rPr>
        <w:t>open to the public</w:t>
      </w:r>
      <w:r w:rsidR="00FF7075">
        <w:rPr>
          <w:b/>
        </w:rPr>
        <w:t xml:space="preserve"> are </w:t>
      </w:r>
      <w:r w:rsidR="003359C4" w:rsidRPr="00E25C80">
        <w:rPr>
          <w:b/>
        </w:rPr>
        <w:t>access</w:t>
      </w:r>
      <w:r w:rsidR="00FF7075">
        <w:rPr>
          <w:b/>
        </w:rPr>
        <w:t>ible</w:t>
      </w:r>
      <w:r w:rsidR="003359C4" w:rsidRPr="00E25C80">
        <w:rPr>
          <w:b/>
        </w:rPr>
        <w:t xml:space="preserve"> for </w:t>
      </w:r>
      <w:r w:rsidR="00842A7E">
        <w:rPr>
          <w:b/>
        </w:rPr>
        <w:t xml:space="preserve">persons with disabilities, </w:t>
      </w:r>
      <w:r w:rsidR="00041D4E">
        <w:rPr>
          <w:b/>
        </w:rPr>
        <w:t>especially</w:t>
      </w:r>
      <w:r w:rsidR="00842A7E">
        <w:rPr>
          <w:b/>
        </w:rPr>
        <w:t xml:space="preserve"> </w:t>
      </w:r>
      <w:r w:rsidR="003359C4" w:rsidRPr="00E25C80">
        <w:rPr>
          <w:b/>
        </w:rPr>
        <w:t>deaf persons</w:t>
      </w:r>
      <w:r w:rsidR="003359C4" w:rsidRPr="00E25C80">
        <w:rPr>
          <w:b/>
          <w:lang w:val="en-US"/>
        </w:rPr>
        <w:t xml:space="preserve">, blind </w:t>
      </w:r>
      <w:r w:rsidR="003359C4" w:rsidRPr="00E25C80">
        <w:rPr>
          <w:b/>
        </w:rPr>
        <w:t>persons and persons with intellectual disabilities</w:t>
      </w:r>
      <w:r w:rsidR="00842A7E">
        <w:rPr>
          <w:b/>
        </w:rPr>
        <w:t>,</w:t>
      </w:r>
      <w:r w:rsidR="003359C4" w:rsidRPr="00E25C80">
        <w:rPr>
          <w:b/>
        </w:rPr>
        <w:t xml:space="preserve"> by providing sign language interpretation</w:t>
      </w:r>
      <w:r w:rsidR="003359C4" w:rsidRPr="00E25C80">
        <w:rPr>
          <w:b/>
          <w:lang w:val="en-US"/>
        </w:rPr>
        <w:t xml:space="preserve">, </w:t>
      </w:r>
      <w:r w:rsidR="00FF7075" w:rsidRPr="00E25C80">
        <w:rPr>
          <w:b/>
          <w:lang w:val="en-US"/>
        </w:rPr>
        <w:t>signage</w:t>
      </w:r>
      <w:r w:rsidR="00FF7075">
        <w:rPr>
          <w:b/>
          <w:lang w:val="en-US"/>
        </w:rPr>
        <w:t xml:space="preserve"> in </w:t>
      </w:r>
      <w:r w:rsidR="003359C4" w:rsidRPr="00E25C80">
        <w:rPr>
          <w:b/>
          <w:lang w:val="en-US"/>
        </w:rPr>
        <w:t>Braille</w:t>
      </w:r>
      <w:r w:rsidR="003359C4" w:rsidRPr="00E25C80">
        <w:rPr>
          <w:b/>
        </w:rPr>
        <w:t xml:space="preserve"> and augmentative and alternative communication, </w:t>
      </w:r>
      <w:r w:rsidR="003359C4" w:rsidRPr="00E25C80">
        <w:rPr>
          <w:b/>
        </w:rPr>
        <w:lastRenderedPageBreak/>
        <w:t>and all other accessible means, modes and formats of communication, such as pictograms.</w:t>
      </w:r>
    </w:p>
    <w:p w:rsidR="00842A7E" w:rsidRPr="00623C1D" w:rsidRDefault="006D3F34" w:rsidP="000E4457">
      <w:pPr>
        <w:pStyle w:val="H23G"/>
      </w:pPr>
      <w:r>
        <w:rPr>
          <w:rFonts w:eastAsia="Calibri"/>
        </w:rPr>
        <w:tab/>
      </w:r>
      <w:r>
        <w:rPr>
          <w:rFonts w:eastAsia="Calibri"/>
        </w:rPr>
        <w:tab/>
      </w:r>
      <w:r w:rsidR="004302B0" w:rsidRPr="006E3126">
        <w:rPr>
          <w:rFonts w:eastAsia="Calibri"/>
        </w:rPr>
        <w:t>Situation</w:t>
      </w:r>
      <w:r w:rsidR="003527FD">
        <w:rPr>
          <w:rFonts w:eastAsia="Calibri"/>
        </w:rPr>
        <w:t>s</w:t>
      </w:r>
      <w:r w:rsidR="004302B0" w:rsidRPr="006E3126">
        <w:rPr>
          <w:rFonts w:eastAsia="Calibri"/>
        </w:rPr>
        <w:t xml:space="preserve"> of risk and humanitarian emergencies (art.</w:t>
      </w:r>
      <w:r>
        <w:rPr>
          <w:rFonts w:eastAsia="Calibri"/>
        </w:rPr>
        <w:t> </w:t>
      </w:r>
      <w:r w:rsidR="004302B0" w:rsidRPr="006E3126">
        <w:rPr>
          <w:rFonts w:eastAsia="Calibri"/>
        </w:rPr>
        <w:t>11)</w:t>
      </w:r>
    </w:p>
    <w:p w:rsidR="00842A7E" w:rsidRPr="00D261E6" w:rsidRDefault="000E4457" w:rsidP="000E4457">
      <w:pPr>
        <w:pStyle w:val="SingleTxtG"/>
        <w:tabs>
          <w:tab w:val="left" w:pos="1701"/>
        </w:tabs>
      </w:pPr>
      <w:r w:rsidRPr="00D261E6">
        <w:rPr>
          <w:color w:val="000000"/>
        </w:rPr>
        <w:t>20.</w:t>
      </w:r>
      <w:r w:rsidRPr="00D261E6">
        <w:rPr>
          <w:color w:val="000000"/>
        </w:rPr>
        <w:tab/>
      </w:r>
      <w:r w:rsidR="00842A7E" w:rsidRPr="00D261E6">
        <w:t xml:space="preserve">The </w:t>
      </w:r>
      <w:r w:rsidR="00842A7E" w:rsidRPr="009314BF">
        <w:rPr>
          <w:lang w:val="en-US"/>
        </w:rPr>
        <w:t>Committee</w:t>
      </w:r>
      <w:r w:rsidR="00842A7E" w:rsidRPr="00D261E6">
        <w:t xml:space="preserve"> is concerned that national emergency protocols do not contain provisions for persons with disabilities</w:t>
      </w:r>
      <w:r w:rsidR="00136B00">
        <w:t>, in particular deaf people</w:t>
      </w:r>
      <w:r w:rsidR="00842A7E" w:rsidRPr="00D261E6">
        <w:t>.</w:t>
      </w:r>
    </w:p>
    <w:p w:rsidR="00842A7E" w:rsidRPr="009314BF" w:rsidRDefault="000E4457" w:rsidP="000E4457">
      <w:pPr>
        <w:pStyle w:val="SingleTxtG"/>
        <w:tabs>
          <w:tab w:val="left" w:pos="1701"/>
        </w:tabs>
        <w:rPr>
          <w:b/>
        </w:rPr>
      </w:pPr>
      <w:r w:rsidRPr="009314BF">
        <w:rPr>
          <w:color w:val="000000"/>
        </w:rPr>
        <w:t>21.</w:t>
      </w:r>
      <w:r w:rsidRPr="009314BF">
        <w:rPr>
          <w:color w:val="000000"/>
        </w:rPr>
        <w:tab/>
      </w:r>
      <w:r w:rsidR="00842A7E" w:rsidRPr="009314BF">
        <w:rPr>
          <w:b/>
        </w:rPr>
        <w:t>The Committee urges the State par</w:t>
      </w:r>
      <w:r w:rsidR="00D261E6" w:rsidRPr="009314BF">
        <w:rPr>
          <w:b/>
        </w:rPr>
        <w:t>t</w:t>
      </w:r>
      <w:r w:rsidR="00842A7E" w:rsidRPr="009314BF">
        <w:rPr>
          <w:b/>
        </w:rPr>
        <w:t xml:space="preserve">y to ensure </w:t>
      </w:r>
      <w:r w:rsidR="002A15EC">
        <w:rPr>
          <w:b/>
        </w:rPr>
        <w:t xml:space="preserve">that </w:t>
      </w:r>
      <w:r w:rsidR="00842A7E" w:rsidRPr="009314BF">
        <w:rPr>
          <w:b/>
        </w:rPr>
        <w:t>disaster risk reduction and emergency response mechanisms are inclusive and accessible to all persons with disabilities.</w:t>
      </w:r>
    </w:p>
    <w:p w:rsidR="003359C4" w:rsidRPr="003359C4" w:rsidRDefault="009470DB" w:rsidP="009470DB">
      <w:pPr>
        <w:pStyle w:val="H23G"/>
      </w:pPr>
      <w:r>
        <w:tab/>
      </w:r>
      <w:r>
        <w:tab/>
      </w:r>
      <w:r w:rsidR="003359C4" w:rsidRPr="003359C4">
        <w:t>Equal recognition before the law (art.</w:t>
      </w:r>
      <w:r w:rsidR="002C185F">
        <w:t> </w:t>
      </w:r>
      <w:r w:rsidR="003359C4" w:rsidRPr="003359C4">
        <w:t>12)</w:t>
      </w:r>
    </w:p>
    <w:p w:rsidR="003359C4" w:rsidRPr="003359C4" w:rsidRDefault="000E4457" w:rsidP="000E4457">
      <w:pPr>
        <w:pStyle w:val="SingleTxtG"/>
        <w:tabs>
          <w:tab w:val="left" w:pos="1701"/>
        </w:tabs>
      </w:pPr>
      <w:r w:rsidRPr="003359C4">
        <w:rPr>
          <w:color w:val="000000"/>
        </w:rPr>
        <w:t>22.</w:t>
      </w:r>
      <w:r w:rsidRPr="003359C4">
        <w:rPr>
          <w:color w:val="000000"/>
        </w:rPr>
        <w:tab/>
      </w:r>
      <w:r w:rsidR="003359C4" w:rsidRPr="003359C4">
        <w:t xml:space="preserve">The Committee notes with concern that the </w:t>
      </w:r>
      <w:r w:rsidR="00AC44D7">
        <w:t>new</w:t>
      </w:r>
      <w:r w:rsidR="00AC44D7" w:rsidRPr="003359C4">
        <w:t xml:space="preserve"> </w:t>
      </w:r>
      <w:r w:rsidR="003359C4" w:rsidRPr="003359C4">
        <w:t>Civil Code still pr</w:t>
      </w:r>
      <w:r w:rsidR="009849B5">
        <w:t>ovid</w:t>
      </w:r>
      <w:r w:rsidR="003359C4" w:rsidRPr="003359C4">
        <w:t xml:space="preserve">es for the possibility of limiting </w:t>
      </w:r>
      <w:r w:rsidR="009849B5">
        <w:t>a person</w:t>
      </w:r>
      <w:r w:rsidR="003359C4" w:rsidRPr="003359C4">
        <w:t>’s legal capacity and p</w:t>
      </w:r>
      <w:r w:rsidR="009849B5">
        <w:t>lac</w:t>
      </w:r>
      <w:r w:rsidR="003359C4" w:rsidRPr="003359C4">
        <w:t xml:space="preserve">ing a person with </w:t>
      </w:r>
      <w:r w:rsidR="009849B5">
        <w:t xml:space="preserve">a </w:t>
      </w:r>
      <w:r w:rsidR="003359C4" w:rsidRPr="003359C4">
        <w:t>disability under partial guardianship.</w:t>
      </w:r>
    </w:p>
    <w:p w:rsidR="003359C4" w:rsidRPr="00E25C80" w:rsidRDefault="000E4457" w:rsidP="000E4457">
      <w:pPr>
        <w:pStyle w:val="SingleTxtG"/>
        <w:tabs>
          <w:tab w:val="left" w:pos="1701"/>
        </w:tabs>
        <w:rPr>
          <w:b/>
        </w:rPr>
      </w:pPr>
      <w:r w:rsidRPr="00E25C80">
        <w:rPr>
          <w:color w:val="000000"/>
        </w:rPr>
        <w:t>23.</w:t>
      </w:r>
      <w:r w:rsidRPr="00E25C80">
        <w:rPr>
          <w:color w:val="000000"/>
        </w:rPr>
        <w:tab/>
      </w:r>
      <w:r w:rsidR="003359C4" w:rsidRPr="00E25C80">
        <w:rPr>
          <w:b/>
        </w:rPr>
        <w:t>The Committee calls upon the State party to amend its Civil Code and fully harmonize its provisions with article</w:t>
      </w:r>
      <w:r w:rsidR="002C185F">
        <w:rPr>
          <w:b/>
        </w:rPr>
        <w:t> </w:t>
      </w:r>
      <w:r w:rsidR="003359C4" w:rsidRPr="00E25C80">
        <w:rPr>
          <w:b/>
        </w:rPr>
        <w:t xml:space="preserve">12 of the Convention, as </w:t>
      </w:r>
      <w:r w:rsidR="009849B5">
        <w:rPr>
          <w:b/>
        </w:rPr>
        <w:t>indicated</w:t>
      </w:r>
      <w:r w:rsidR="003359C4" w:rsidRPr="00E25C80">
        <w:rPr>
          <w:b/>
        </w:rPr>
        <w:t xml:space="preserve"> in the Committee’s </w:t>
      </w:r>
      <w:r w:rsidR="009849B5">
        <w:rPr>
          <w:b/>
        </w:rPr>
        <w:t>g</w:t>
      </w:r>
      <w:r w:rsidR="003359C4" w:rsidRPr="00E25C80">
        <w:rPr>
          <w:b/>
        </w:rPr>
        <w:t xml:space="preserve">eneral </w:t>
      </w:r>
      <w:r w:rsidR="009849B5">
        <w:rPr>
          <w:b/>
        </w:rPr>
        <w:t>c</w:t>
      </w:r>
      <w:r w:rsidR="003359C4" w:rsidRPr="00E25C80">
        <w:rPr>
          <w:b/>
        </w:rPr>
        <w:t>omment No.</w:t>
      </w:r>
      <w:r w:rsidR="002C185F">
        <w:rPr>
          <w:b/>
        </w:rPr>
        <w:t> </w:t>
      </w:r>
      <w:r w:rsidR="003359C4" w:rsidRPr="00E25C80">
        <w:rPr>
          <w:b/>
        </w:rPr>
        <w:t>1</w:t>
      </w:r>
      <w:r w:rsidR="002A15EC">
        <w:rPr>
          <w:b/>
        </w:rPr>
        <w:t xml:space="preserve"> (2014)</w:t>
      </w:r>
      <w:r w:rsidR="009849B5" w:rsidRPr="009849B5">
        <w:rPr>
          <w:b/>
        </w:rPr>
        <w:t xml:space="preserve"> </w:t>
      </w:r>
      <w:r w:rsidR="009849B5">
        <w:rPr>
          <w:b/>
        </w:rPr>
        <w:t>on e</w:t>
      </w:r>
      <w:r w:rsidR="009849B5" w:rsidRPr="009849B5">
        <w:rPr>
          <w:b/>
        </w:rPr>
        <w:t>qual recognition before the law</w:t>
      </w:r>
      <w:r w:rsidR="009806AE">
        <w:rPr>
          <w:b/>
        </w:rPr>
        <w:t xml:space="preserve">. The State party should </w:t>
      </w:r>
      <w:r w:rsidR="003359C4" w:rsidRPr="00E25C80">
        <w:rPr>
          <w:b/>
        </w:rPr>
        <w:t>recognize</w:t>
      </w:r>
      <w:r w:rsidR="003359C4" w:rsidRPr="00E25C80">
        <w:rPr>
          <w:b/>
          <w:lang w:val="en-US"/>
        </w:rPr>
        <w:t xml:space="preserve"> the</w:t>
      </w:r>
      <w:r w:rsidR="003359C4" w:rsidRPr="00E25C80">
        <w:rPr>
          <w:b/>
        </w:rPr>
        <w:t xml:space="preserve"> full legal capacity o</w:t>
      </w:r>
      <w:r w:rsidR="003359C4" w:rsidRPr="00E25C80">
        <w:rPr>
          <w:b/>
          <w:lang w:val="en-US"/>
        </w:rPr>
        <w:t>f</w:t>
      </w:r>
      <w:r w:rsidR="003359C4" w:rsidRPr="00E25C80">
        <w:rPr>
          <w:b/>
        </w:rPr>
        <w:t xml:space="preserve"> all persons with all types of disability</w:t>
      </w:r>
      <w:r w:rsidR="00613AE6">
        <w:rPr>
          <w:b/>
        </w:rPr>
        <w:t xml:space="preserve"> and improve access to supported decision-making</w:t>
      </w:r>
      <w:r w:rsidR="009806AE">
        <w:rPr>
          <w:b/>
        </w:rPr>
        <w:t>, thus</w:t>
      </w:r>
      <w:r w:rsidR="00613AE6">
        <w:rPr>
          <w:b/>
        </w:rPr>
        <w:t xml:space="preserve"> im</w:t>
      </w:r>
      <w:r w:rsidR="007933CD">
        <w:rPr>
          <w:b/>
        </w:rPr>
        <w:t>plement</w:t>
      </w:r>
      <w:r w:rsidR="009806AE">
        <w:rPr>
          <w:b/>
        </w:rPr>
        <w:t>ing</w:t>
      </w:r>
      <w:r w:rsidR="007933CD">
        <w:rPr>
          <w:b/>
        </w:rPr>
        <w:t xml:space="preserve"> the </w:t>
      </w:r>
      <w:r w:rsidR="009806AE">
        <w:rPr>
          <w:b/>
        </w:rPr>
        <w:t xml:space="preserve">relevant </w:t>
      </w:r>
      <w:r w:rsidR="007933CD">
        <w:rPr>
          <w:b/>
        </w:rPr>
        <w:t>provision of the Civil Code</w:t>
      </w:r>
      <w:r w:rsidR="003359C4" w:rsidRPr="00E25C80">
        <w:rPr>
          <w:b/>
        </w:rPr>
        <w:t>.</w:t>
      </w:r>
    </w:p>
    <w:p w:rsidR="003359C4" w:rsidRPr="003359C4" w:rsidRDefault="009470DB" w:rsidP="009470DB">
      <w:pPr>
        <w:pStyle w:val="H23G"/>
      </w:pPr>
      <w:r>
        <w:tab/>
      </w:r>
      <w:r>
        <w:tab/>
      </w:r>
      <w:r w:rsidR="003359C4" w:rsidRPr="003359C4">
        <w:t>Access to justice (art.</w:t>
      </w:r>
      <w:r w:rsidR="002C185F">
        <w:t> </w:t>
      </w:r>
      <w:r w:rsidR="003359C4" w:rsidRPr="003359C4">
        <w:t>13)</w:t>
      </w:r>
    </w:p>
    <w:p w:rsidR="003359C4" w:rsidRPr="003359C4" w:rsidRDefault="000E4457" w:rsidP="000E4457">
      <w:pPr>
        <w:pStyle w:val="SingleTxtG"/>
        <w:tabs>
          <w:tab w:val="left" w:pos="1701"/>
        </w:tabs>
      </w:pPr>
      <w:r w:rsidRPr="003359C4">
        <w:rPr>
          <w:color w:val="000000"/>
        </w:rPr>
        <w:t>24.</w:t>
      </w:r>
      <w:r w:rsidRPr="003359C4">
        <w:rPr>
          <w:color w:val="000000"/>
        </w:rPr>
        <w:tab/>
      </w:r>
      <w:r w:rsidR="003359C4" w:rsidRPr="003359C4">
        <w:t xml:space="preserve">The Committee notes with concern the lack of </w:t>
      </w:r>
      <w:r w:rsidR="00613AE6">
        <w:t>access</w:t>
      </w:r>
      <w:r w:rsidR="003359C4" w:rsidRPr="003359C4">
        <w:t xml:space="preserve"> for blind persons</w:t>
      </w:r>
      <w:r w:rsidR="009806AE">
        <w:t xml:space="preserve"> and</w:t>
      </w:r>
      <w:r w:rsidR="003359C4" w:rsidRPr="003359C4">
        <w:t xml:space="preserve"> persons with intellectual and psychosocial disabilities </w:t>
      </w:r>
      <w:r w:rsidR="00A50255">
        <w:t>to</w:t>
      </w:r>
      <w:r w:rsidR="003359C4" w:rsidRPr="003359C4">
        <w:t xml:space="preserve"> judicial and administrative proceedings.</w:t>
      </w:r>
    </w:p>
    <w:p w:rsidR="003359C4" w:rsidRPr="00E25C80" w:rsidRDefault="000E4457" w:rsidP="000E4457">
      <w:pPr>
        <w:pStyle w:val="SingleTxtG"/>
        <w:tabs>
          <w:tab w:val="left" w:pos="1701"/>
        </w:tabs>
        <w:rPr>
          <w:b/>
        </w:rPr>
      </w:pPr>
      <w:r w:rsidRPr="00E25C80">
        <w:rPr>
          <w:color w:val="000000"/>
        </w:rPr>
        <w:t>25.</w:t>
      </w:r>
      <w:r w:rsidRPr="00E25C80">
        <w:rPr>
          <w:color w:val="000000"/>
        </w:rPr>
        <w:tab/>
      </w:r>
      <w:r w:rsidR="003359C4" w:rsidRPr="00E25C80">
        <w:rPr>
          <w:b/>
        </w:rPr>
        <w:t xml:space="preserve">The Committee urges the State party to ensure </w:t>
      </w:r>
      <w:r w:rsidR="009806AE">
        <w:rPr>
          <w:b/>
        </w:rPr>
        <w:t xml:space="preserve">the </w:t>
      </w:r>
      <w:r w:rsidR="003359C4" w:rsidRPr="00E25C80">
        <w:rPr>
          <w:b/>
        </w:rPr>
        <w:t xml:space="preserve">availability of documents in formats </w:t>
      </w:r>
      <w:r w:rsidR="002A15EC">
        <w:rPr>
          <w:b/>
        </w:rPr>
        <w:t>access</w:t>
      </w:r>
      <w:r w:rsidR="002A15EC" w:rsidRPr="00E25C80">
        <w:rPr>
          <w:b/>
        </w:rPr>
        <w:t xml:space="preserve">ible </w:t>
      </w:r>
      <w:r w:rsidR="003359C4" w:rsidRPr="00E25C80">
        <w:rPr>
          <w:b/>
        </w:rPr>
        <w:t>to all persons with disabilities who need them.</w:t>
      </w:r>
      <w:r w:rsidR="00613AE6">
        <w:rPr>
          <w:b/>
        </w:rPr>
        <w:t xml:space="preserve"> It </w:t>
      </w:r>
      <w:r w:rsidR="009806AE">
        <w:rPr>
          <w:b/>
        </w:rPr>
        <w:t>also</w:t>
      </w:r>
      <w:r w:rsidR="00613AE6">
        <w:rPr>
          <w:b/>
        </w:rPr>
        <w:t xml:space="preserve"> </w:t>
      </w:r>
      <w:r w:rsidR="00993D22">
        <w:rPr>
          <w:b/>
        </w:rPr>
        <w:t>recommends</w:t>
      </w:r>
      <w:r w:rsidR="00613AE6">
        <w:rPr>
          <w:b/>
        </w:rPr>
        <w:t xml:space="preserve"> </w:t>
      </w:r>
      <w:r w:rsidR="009806AE">
        <w:rPr>
          <w:b/>
        </w:rPr>
        <w:t xml:space="preserve">that </w:t>
      </w:r>
      <w:r w:rsidR="00613AE6">
        <w:rPr>
          <w:b/>
        </w:rPr>
        <w:t xml:space="preserve">judges and other personnel in the justice system </w:t>
      </w:r>
      <w:r w:rsidR="009806AE">
        <w:rPr>
          <w:b/>
        </w:rPr>
        <w:t xml:space="preserve">be trained </w:t>
      </w:r>
      <w:r w:rsidR="00613AE6">
        <w:rPr>
          <w:b/>
        </w:rPr>
        <w:t xml:space="preserve">on the </w:t>
      </w:r>
      <w:r w:rsidR="00993D22">
        <w:rPr>
          <w:b/>
        </w:rPr>
        <w:t>rights</w:t>
      </w:r>
      <w:r w:rsidR="00613AE6">
        <w:rPr>
          <w:b/>
        </w:rPr>
        <w:t xml:space="preserve"> enshrined in the Convention.</w:t>
      </w:r>
    </w:p>
    <w:p w:rsidR="003359C4" w:rsidRPr="003359C4" w:rsidRDefault="009470DB" w:rsidP="009470DB">
      <w:pPr>
        <w:pStyle w:val="H23G"/>
      </w:pPr>
      <w:r>
        <w:tab/>
      </w:r>
      <w:r>
        <w:tab/>
      </w:r>
      <w:r w:rsidR="003359C4" w:rsidRPr="003359C4">
        <w:t>Liberty and security of the person (art.</w:t>
      </w:r>
      <w:r w:rsidR="002C185F">
        <w:t> </w:t>
      </w:r>
      <w:r w:rsidR="003359C4" w:rsidRPr="003359C4">
        <w:t xml:space="preserve">14) </w:t>
      </w:r>
    </w:p>
    <w:p w:rsidR="003359C4" w:rsidRPr="003359C4" w:rsidRDefault="000E4457" w:rsidP="000E4457">
      <w:pPr>
        <w:pStyle w:val="SingleTxtG"/>
        <w:tabs>
          <w:tab w:val="left" w:pos="1701"/>
        </w:tabs>
        <w:rPr>
          <w:b/>
        </w:rPr>
      </w:pPr>
      <w:r w:rsidRPr="003359C4">
        <w:rPr>
          <w:color w:val="000000"/>
        </w:rPr>
        <w:t>26.</w:t>
      </w:r>
      <w:r w:rsidRPr="003359C4">
        <w:rPr>
          <w:color w:val="000000"/>
        </w:rPr>
        <w:tab/>
      </w:r>
      <w:r w:rsidR="003359C4" w:rsidRPr="003359C4">
        <w:t xml:space="preserve">The Committee notes with concern that persons with disabilities may be deprived of their liberty on </w:t>
      </w:r>
      <w:r w:rsidR="009806AE">
        <w:t xml:space="preserve">the </w:t>
      </w:r>
      <w:r w:rsidR="003359C4" w:rsidRPr="003359C4">
        <w:t xml:space="preserve">basis of their disability under </w:t>
      </w:r>
      <w:r w:rsidR="009806AE">
        <w:t xml:space="preserve">the </w:t>
      </w:r>
      <w:r w:rsidR="003359C4" w:rsidRPr="003359C4">
        <w:t>provisions of</w:t>
      </w:r>
      <w:r w:rsidR="003359C4" w:rsidRPr="003359C4">
        <w:rPr>
          <w:lang w:val="en-US"/>
        </w:rPr>
        <w:t xml:space="preserve"> the Social Services</w:t>
      </w:r>
      <w:r w:rsidR="009806AE">
        <w:rPr>
          <w:lang w:val="en-US"/>
        </w:rPr>
        <w:t xml:space="preserve"> </w:t>
      </w:r>
      <w:r w:rsidR="009806AE" w:rsidRPr="003359C4">
        <w:rPr>
          <w:lang w:val="en-US"/>
        </w:rPr>
        <w:t>Act</w:t>
      </w:r>
      <w:r w:rsidR="003359C4" w:rsidRPr="003359C4">
        <w:rPr>
          <w:lang w:val="en-US"/>
        </w:rPr>
        <w:t>, the</w:t>
      </w:r>
      <w:r w:rsidR="003359C4" w:rsidRPr="003359C4">
        <w:t xml:space="preserve"> </w:t>
      </w:r>
      <w:r w:rsidR="003359C4" w:rsidRPr="003359C4">
        <w:rPr>
          <w:lang w:eastAsia="sr-Latn-CS"/>
        </w:rPr>
        <w:t>Health Services Act</w:t>
      </w:r>
      <w:r w:rsidR="003359C4" w:rsidRPr="003359C4">
        <w:rPr>
          <w:lang w:val="en-US" w:eastAsia="sr-Latn-CS"/>
        </w:rPr>
        <w:t>, the Act on Special Judicial Procedures, the Criminal Code</w:t>
      </w:r>
      <w:r w:rsidR="003359C4" w:rsidRPr="003359C4">
        <w:t xml:space="preserve"> and</w:t>
      </w:r>
      <w:r w:rsidR="003359C4" w:rsidRPr="003359C4">
        <w:rPr>
          <w:lang w:eastAsia="sr-Latn-CS"/>
        </w:rPr>
        <w:t xml:space="preserve"> the </w:t>
      </w:r>
      <w:r w:rsidR="009806AE" w:rsidRPr="003359C4">
        <w:rPr>
          <w:lang w:eastAsia="sr-Latn-CS"/>
        </w:rPr>
        <w:t>Code</w:t>
      </w:r>
      <w:r w:rsidR="009806AE">
        <w:rPr>
          <w:lang w:eastAsia="sr-Latn-CS"/>
        </w:rPr>
        <w:t xml:space="preserve"> of </w:t>
      </w:r>
      <w:r w:rsidR="003359C4" w:rsidRPr="003359C4">
        <w:rPr>
          <w:lang w:eastAsia="sr-Latn-CS"/>
        </w:rPr>
        <w:t>Civil Procedure</w:t>
      </w:r>
      <w:r w:rsidR="003359C4" w:rsidRPr="003359C4">
        <w:t>.</w:t>
      </w:r>
    </w:p>
    <w:p w:rsidR="003359C4" w:rsidRDefault="000E4457" w:rsidP="000E4457">
      <w:pPr>
        <w:pStyle w:val="SingleTxtG"/>
        <w:tabs>
          <w:tab w:val="left" w:pos="1701"/>
        </w:tabs>
        <w:rPr>
          <w:b/>
        </w:rPr>
      </w:pPr>
      <w:r>
        <w:rPr>
          <w:color w:val="000000"/>
        </w:rPr>
        <w:t>27.</w:t>
      </w:r>
      <w:r>
        <w:rPr>
          <w:color w:val="000000"/>
        </w:rPr>
        <w:tab/>
      </w:r>
      <w:r w:rsidR="003359C4" w:rsidRPr="00190F5F">
        <w:rPr>
          <w:b/>
        </w:rPr>
        <w:t xml:space="preserve">The Committee urges the State party to amend </w:t>
      </w:r>
      <w:r w:rsidR="009806AE">
        <w:rPr>
          <w:b/>
        </w:rPr>
        <w:t xml:space="preserve">the </w:t>
      </w:r>
      <w:r w:rsidR="00F30779">
        <w:rPr>
          <w:b/>
        </w:rPr>
        <w:t>aforementioned legislati</w:t>
      </w:r>
      <w:r w:rsidR="009806AE">
        <w:rPr>
          <w:b/>
        </w:rPr>
        <w:t>ve instruments</w:t>
      </w:r>
      <w:r w:rsidR="003359C4" w:rsidRPr="00190F5F">
        <w:rPr>
          <w:b/>
        </w:rPr>
        <w:t xml:space="preserve"> and fully harmonize the provisions </w:t>
      </w:r>
      <w:r w:rsidR="009806AE">
        <w:rPr>
          <w:b/>
        </w:rPr>
        <w:t xml:space="preserve">therein </w:t>
      </w:r>
      <w:r w:rsidR="003359C4" w:rsidRPr="00190F5F">
        <w:rPr>
          <w:b/>
        </w:rPr>
        <w:t xml:space="preserve">with </w:t>
      </w:r>
      <w:r w:rsidR="009806AE">
        <w:rPr>
          <w:b/>
        </w:rPr>
        <w:t xml:space="preserve">the </w:t>
      </w:r>
      <w:r w:rsidR="003359C4" w:rsidRPr="00190F5F">
        <w:rPr>
          <w:b/>
        </w:rPr>
        <w:t>provisions of article</w:t>
      </w:r>
      <w:r w:rsidR="002C185F">
        <w:rPr>
          <w:b/>
        </w:rPr>
        <w:t> </w:t>
      </w:r>
      <w:r w:rsidR="003359C4" w:rsidRPr="00190F5F">
        <w:rPr>
          <w:b/>
        </w:rPr>
        <w:t xml:space="preserve">14 of the Convention. </w:t>
      </w:r>
      <w:r w:rsidR="0050276D">
        <w:rPr>
          <w:b/>
        </w:rPr>
        <w:t xml:space="preserve">As a guideline, the Committee </w:t>
      </w:r>
      <w:r w:rsidR="00F9504E">
        <w:rPr>
          <w:b/>
        </w:rPr>
        <w:t>recommend</w:t>
      </w:r>
      <w:r w:rsidR="0050276D">
        <w:rPr>
          <w:b/>
        </w:rPr>
        <w:t>s</w:t>
      </w:r>
      <w:r w:rsidR="00F9504E">
        <w:rPr>
          <w:b/>
        </w:rPr>
        <w:t xml:space="preserve"> </w:t>
      </w:r>
      <w:r w:rsidR="0050276D">
        <w:rPr>
          <w:b/>
        </w:rPr>
        <w:t xml:space="preserve">that the State party take the Committee’s recent statement on article 14 </w:t>
      </w:r>
      <w:r w:rsidR="005F0E77">
        <w:rPr>
          <w:b/>
        </w:rPr>
        <w:t xml:space="preserve">(see CRPD/C/12/2, annex IV) </w:t>
      </w:r>
      <w:r w:rsidR="0050276D">
        <w:rPr>
          <w:b/>
        </w:rPr>
        <w:t>into account.</w:t>
      </w:r>
    </w:p>
    <w:p w:rsidR="003359C4" w:rsidRPr="00190F5F" w:rsidRDefault="000E4457" w:rsidP="000E4457">
      <w:pPr>
        <w:pStyle w:val="SingleTxtG"/>
        <w:tabs>
          <w:tab w:val="left" w:pos="1701"/>
        </w:tabs>
        <w:rPr>
          <w:b/>
        </w:rPr>
      </w:pPr>
      <w:r w:rsidRPr="00190F5F">
        <w:rPr>
          <w:color w:val="000000"/>
        </w:rPr>
        <w:t>28.</w:t>
      </w:r>
      <w:r w:rsidRPr="00190F5F">
        <w:rPr>
          <w:color w:val="000000"/>
        </w:rPr>
        <w:tab/>
      </w:r>
      <w:r w:rsidR="00FD4911" w:rsidRPr="00FD4911">
        <w:rPr>
          <w:b/>
        </w:rPr>
        <w:t>The Committee recommends that the State party initiate a structural review of the procedures used to sanction persons with disabilities when they commit criminal offences. The system should comply with the general safeguards and guarantees established for all persons accused of a crime in the criminal justice system, inter alia, the presumption of innocence and the right to defence and to a fair trial. The Committee also recommends the application of reasonable accommodation in prisons in order not to aggravate incarceration</w:t>
      </w:r>
      <w:r w:rsidR="00F30779">
        <w:rPr>
          <w:b/>
        </w:rPr>
        <w:t xml:space="preserve"> conditions based on disability</w:t>
      </w:r>
      <w:r w:rsidR="00FD4911" w:rsidRPr="00FD4911">
        <w:rPr>
          <w:b/>
        </w:rPr>
        <w:t>.</w:t>
      </w:r>
      <w:r w:rsidR="003359C4" w:rsidRPr="00190F5F">
        <w:rPr>
          <w:b/>
        </w:rPr>
        <w:t xml:space="preserve"> </w:t>
      </w:r>
    </w:p>
    <w:p w:rsidR="003359C4" w:rsidRPr="003359C4" w:rsidRDefault="009470DB" w:rsidP="009470DB">
      <w:pPr>
        <w:pStyle w:val="H23G"/>
      </w:pPr>
      <w:r>
        <w:lastRenderedPageBreak/>
        <w:tab/>
      </w:r>
      <w:r>
        <w:tab/>
      </w:r>
      <w:r w:rsidR="003359C4" w:rsidRPr="003359C4">
        <w:t xml:space="preserve">Freedom from torture or cruel, inhuman or degrading treatment or punishment (art. 15) </w:t>
      </w:r>
    </w:p>
    <w:p w:rsidR="003359C4" w:rsidRPr="003359C4" w:rsidRDefault="000E4457" w:rsidP="000E4457">
      <w:pPr>
        <w:pStyle w:val="SingleTxtG"/>
        <w:tabs>
          <w:tab w:val="left" w:pos="1701"/>
        </w:tabs>
        <w:rPr>
          <w:b/>
        </w:rPr>
      </w:pPr>
      <w:r w:rsidRPr="003359C4">
        <w:rPr>
          <w:color w:val="000000"/>
        </w:rPr>
        <w:t>29.</w:t>
      </w:r>
      <w:r w:rsidRPr="003359C4">
        <w:rPr>
          <w:color w:val="000000"/>
        </w:rPr>
        <w:tab/>
      </w:r>
      <w:r w:rsidR="003359C4" w:rsidRPr="003359C4">
        <w:t xml:space="preserve">The Committee notes with concern the practice of surgical castration of persons with disabilities </w:t>
      </w:r>
      <w:r w:rsidR="0050276D">
        <w:t xml:space="preserve">who are </w:t>
      </w:r>
      <w:r w:rsidR="003359C4" w:rsidRPr="003359C4">
        <w:t>deprived of liberty</w:t>
      </w:r>
      <w:r w:rsidR="004F3A5A">
        <w:t>,</w:t>
      </w:r>
      <w:r w:rsidR="00A73694">
        <w:t xml:space="preserve"> as a form of punishment</w:t>
      </w:r>
      <w:r w:rsidR="003359C4" w:rsidRPr="003359C4">
        <w:t>.</w:t>
      </w:r>
    </w:p>
    <w:p w:rsidR="003359C4" w:rsidRPr="00190F5F" w:rsidRDefault="000E4457" w:rsidP="000E4457">
      <w:pPr>
        <w:pStyle w:val="SingleTxtG"/>
        <w:tabs>
          <w:tab w:val="left" w:pos="1701"/>
        </w:tabs>
        <w:rPr>
          <w:b/>
        </w:rPr>
      </w:pPr>
      <w:r w:rsidRPr="00190F5F">
        <w:rPr>
          <w:color w:val="000000"/>
        </w:rPr>
        <w:t>30.</w:t>
      </w:r>
      <w:r w:rsidRPr="00190F5F">
        <w:rPr>
          <w:color w:val="000000"/>
        </w:rPr>
        <w:tab/>
      </w:r>
      <w:r w:rsidR="003359C4" w:rsidRPr="00190F5F">
        <w:rPr>
          <w:b/>
        </w:rPr>
        <w:t xml:space="preserve">The Committee urges the State party to </w:t>
      </w:r>
      <w:r w:rsidR="0050276D">
        <w:rPr>
          <w:b/>
        </w:rPr>
        <w:t>put an end to</w:t>
      </w:r>
      <w:r w:rsidR="003359C4" w:rsidRPr="00190F5F">
        <w:rPr>
          <w:b/>
        </w:rPr>
        <w:t xml:space="preserve"> the practice of </w:t>
      </w:r>
      <w:r w:rsidR="00311886">
        <w:rPr>
          <w:b/>
        </w:rPr>
        <w:t>i</w:t>
      </w:r>
      <w:r w:rsidR="004F3A5A">
        <w:rPr>
          <w:b/>
        </w:rPr>
        <w:t>mpos</w:t>
      </w:r>
      <w:r w:rsidR="00311886">
        <w:rPr>
          <w:b/>
        </w:rPr>
        <w:t xml:space="preserve">ing surgical castration and </w:t>
      </w:r>
      <w:r w:rsidR="00311886" w:rsidRPr="00CA3887">
        <w:rPr>
          <w:b/>
          <w:bCs/>
        </w:rPr>
        <w:t xml:space="preserve">any </w:t>
      </w:r>
      <w:r w:rsidR="00311886">
        <w:rPr>
          <w:b/>
          <w:bCs/>
        </w:rPr>
        <w:t xml:space="preserve">other </w:t>
      </w:r>
      <w:r w:rsidR="00311886" w:rsidRPr="00CA3887">
        <w:rPr>
          <w:b/>
          <w:bCs/>
        </w:rPr>
        <w:t>kind of forced treatment</w:t>
      </w:r>
      <w:r w:rsidR="00311886">
        <w:rPr>
          <w:b/>
        </w:rPr>
        <w:t>, as a form of punishment,</w:t>
      </w:r>
      <w:r w:rsidR="00311886">
        <w:rPr>
          <w:b/>
          <w:bCs/>
        </w:rPr>
        <w:t xml:space="preserve"> </w:t>
      </w:r>
      <w:r w:rsidR="00311886" w:rsidRPr="00190F5F">
        <w:rPr>
          <w:b/>
        </w:rPr>
        <w:t>o</w:t>
      </w:r>
      <w:r w:rsidR="00311886">
        <w:rPr>
          <w:b/>
        </w:rPr>
        <w:t>n</w:t>
      </w:r>
      <w:r w:rsidR="00311886" w:rsidRPr="00190F5F">
        <w:rPr>
          <w:b/>
        </w:rPr>
        <w:t xml:space="preserve"> persons with disabilities </w:t>
      </w:r>
      <w:r w:rsidR="00311886">
        <w:rPr>
          <w:b/>
        </w:rPr>
        <w:t xml:space="preserve">who are </w:t>
      </w:r>
      <w:r w:rsidR="00311886" w:rsidRPr="00190F5F">
        <w:rPr>
          <w:b/>
        </w:rPr>
        <w:t>deprived of</w:t>
      </w:r>
      <w:r w:rsidR="00311886">
        <w:rPr>
          <w:b/>
        </w:rPr>
        <w:t xml:space="preserve"> their</w:t>
      </w:r>
      <w:r w:rsidR="00311886" w:rsidRPr="00190F5F">
        <w:rPr>
          <w:b/>
        </w:rPr>
        <w:t xml:space="preserve"> liberty</w:t>
      </w:r>
      <w:r w:rsidR="003359C4" w:rsidRPr="00190F5F">
        <w:rPr>
          <w:b/>
        </w:rPr>
        <w:t>.</w:t>
      </w:r>
    </w:p>
    <w:p w:rsidR="003359C4" w:rsidRPr="003359C4" w:rsidRDefault="000E4457" w:rsidP="000E4457">
      <w:pPr>
        <w:pStyle w:val="SingleTxtG"/>
        <w:tabs>
          <w:tab w:val="left" w:pos="1701"/>
        </w:tabs>
      </w:pPr>
      <w:r w:rsidRPr="003359C4">
        <w:rPr>
          <w:color w:val="000000"/>
        </w:rPr>
        <w:t>31.</w:t>
      </w:r>
      <w:r w:rsidRPr="003359C4">
        <w:rPr>
          <w:color w:val="000000"/>
        </w:rPr>
        <w:tab/>
      </w:r>
      <w:r w:rsidR="003359C4" w:rsidRPr="003359C4">
        <w:t>The Committee is deeply concerned that mechanical and chemical restraints</w:t>
      </w:r>
      <w:r w:rsidR="003359C4" w:rsidRPr="003359C4">
        <w:rPr>
          <w:lang w:val="en-US"/>
        </w:rPr>
        <w:t>,</w:t>
      </w:r>
      <w:r w:rsidR="003359C4" w:rsidRPr="003359C4">
        <w:t xml:space="preserve"> which may amount to torture </w:t>
      </w:r>
      <w:r w:rsidR="0050276D">
        <w:t>or</w:t>
      </w:r>
      <w:r w:rsidR="003359C4" w:rsidRPr="003359C4">
        <w:t xml:space="preserve"> cruel, inhuman </w:t>
      </w:r>
      <w:r w:rsidR="0050276D">
        <w:t>or</w:t>
      </w:r>
      <w:r w:rsidR="003359C4" w:rsidRPr="003359C4">
        <w:t xml:space="preserve"> degrading treatment</w:t>
      </w:r>
      <w:r w:rsidR="003359C4" w:rsidRPr="003359C4">
        <w:rPr>
          <w:lang w:val="en-US"/>
        </w:rPr>
        <w:t>,</w:t>
      </w:r>
      <w:r w:rsidR="003359C4" w:rsidRPr="003359C4">
        <w:t xml:space="preserve"> </w:t>
      </w:r>
      <w:r w:rsidR="003359C4" w:rsidRPr="003359C4">
        <w:rPr>
          <w:lang w:val="en-US"/>
        </w:rPr>
        <w:t xml:space="preserve">are </w:t>
      </w:r>
      <w:r w:rsidR="003359C4" w:rsidRPr="003359C4">
        <w:t>common</w:t>
      </w:r>
      <w:r w:rsidR="0050276D">
        <w:t>ly used</w:t>
      </w:r>
      <w:r w:rsidR="003359C4" w:rsidRPr="003359C4">
        <w:t xml:space="preserve"> in psychiatric institutions.</w:t>
      </w:r>
    </w:p>
    <w:p w:rsidR="003359C4" w:rsidRPr="00190F5F" w:rsidRDefault="000E4457" w:rsidP="000E4457">
      <w:pPr>
        <w:pStyle w:val="SingleTxtG"/>
        <w:tabs>
          <w:tab w:val="left" w:pos="1701"/>
        </w:tabs>
        <w:rPr>
          <w:b/>
        </w:rPr>
      </w:pPr>
      <w:r w:rsidRPr="00190F5F">
        <w:rPr>
          <w:color w:val="000000"/>
        </w:rPr>
        <w:t>32.</w:t>
      </w:r>
      <w:r w:rsidRPr="00190F5F">
        <w:rPr>
          <w:color w:val="000000"/>
        </w:rPr>
        <w:tab/>
      </w:r>
      <w:r w:rsidR="003359C4" w:rsidRPr="00190F5F">
        <w:rPr>
          <w:b/>
        </w:rPr>
        <w:t xml:space="preserve">The </w:t>
      </w:r>
      <w:r w:rsidR="003359C4" w:rsidRPr="00190F5F">
        <w:rPr>
          <w:b/>
          <w:lang w:val="en-US"/>
        </w:rPr>
        <w:t>C</w:t>
      </w:r>
      <w:proofErr w:type="spellStart"/>
      <w:r w:rsidR="003359C4" w:rsidRPr="00190F5F">
        <w:rPr>
          <w:b/>
        </w:rPr>
        <w:t>ommittee</w:t>
      </w:r>
      <w:proofErr w:type="spellEnd"/>
      <w:r w:rsidR="003359C4" w:rsidRPr="00190F5F">
        <w:rPr>
          <w:b/>
        </w:rPr>
        <w:t xml:space="preserve"> urges </w:t>
      </w:r>
      <w:r w:rsidR="00FF07C1">
        <w:rPr>
          <w:b/>
        </w:rPr>
        <w:t xml:space="preserve">the </w:t>
      </w:r>
      <w:r w:rsidR="003359C4" w:rsidRPr="00190F5F">
        <w:rPr>
          <w:b/>
        </w:rPr>
        <w:t xml:space="preserve">State </w:t>
      </w:r>
      <w:r w:rsidR="00FF07C1">
        <w:rPr>
          <w:b/>
        </w:rPr>
        <w:t>p</w:t>
      </w:r>
      <w:r w:rsidR="003359C4" w:rsidRPr="00190F5F">
        <w:rPr>
          <w:b/>
        </w:rPr>
        <w:t xml:space="preserve">arty to immediately prohibit the use of mechanical and chemical restraints </w:t>
      </w:r>
      <w:r w:rsidR="00FF07C1" w:rsidRPr="00190F5F">
        <w:rPr>
          <w:b/>
        </w:rPr>
        <w:t xml:space="preserve">in psychiatric </w:t>
      </w:r>
      <w:r w:rsidR="00FF07C1">
        <w:rPr>
          <w:b/>
        </w:rPr>
        <w:t>institutions</w:t>
      </w:r>
      <w:r w:rsidR="00FF07C1">
        <w:rPr>
          <w:b/>
          <w:lang w:val="en-US"/>
        </w:rPr>
        <w:t xml:space="preserve"> </w:t>
      </w:r>
      <w:r w:rsidR="003359C4" w:rsidRPr="00190F5F">
        <w:rPr>
          <w:b/>
        </w:rPr>
        <w:t>o</w:t>
      </w:r>
      <w:r w:rsidR="00FF07C1">
        <w:rPr>
          <w:b/>
        </w:rPr>
        <w:t>n</w:t>
      </w:r>
      <w:r w:rsidR="003359C4" w:rsidRPr="00190F5F">
        <w:rPr>
          <w:b/>
        </w:rPr>
        <w:t xml:space="preserve"> persons with psychosocial disabilities</w:t>
      </w:r>
      <w:r w:rsidR="003527FD">
        <w:rPr>
          <w:b/>
        </w:rPr>
        <w:t>,</w:t>
      </w:r>
      <w:r w:rsidR="003359C4" w:rsidRPr="00190F5F">
        <w:rPr>
          <w:b/>
        </w:rPr>
        <w:t xml:space="preserve"> and </w:t>
      </w:r>
      <w:r w:rsidR="003359C4" w:rsidRPr="00190F5F">
        <w:rPr>
          <w:b/>
          <w:lang w:val="en-US"/>
        </w:rPr>
        <w:t xml:space="preserve">to </w:t>
      </w:r>
      <w:r w:rsidR="003359C4" w:rsidRPr="00190F5F">
        <w:rPr>
          <w:b/>
        </w:rPr>
        <w:t xml:space="preserve">strengthen </w:t>
      </w:r>
      <w:r w:rsidR="00FF07C1">
        <w:rPr>
          <w:b/>
        </w:rPr>
        <w:t xml:space="preserve">the </w:t>
      </w:r>
      <w:r w:rsidR="003359C4" w:rsidRPr="00190F5F">
        <w:rPr>
          <w:b/>
        </w:rPr>
        <w:t xml:space="preserve">monitoring and inspection of those facilities </w:t>
      </w:r>
      <w:r w:rsidR="00FF07C1">
        <w:rPr>
          <w:b/>
        </w:rPr>
        <w:t xml:space="preserve">in order </w:t>
      </w:r>
      <w:r w:rsidR="003359C4" w:rsidRPr="00190F5F">
        <w:rPr>
          <w:b/>
        </w:rPr>
        <w:t>to prevent such practices.</w:t>
      </w:r>
    </w:p>
    <w:p w:rsidR="003359C4" w:rsidRPr="00190F5F" w:rsidRDefault="000E4457" w:rsidP="000E4457">
      <w:pPr>
        <w:pStyle w:val="SingleTxtG"/>
        <w:tabs>
          <w:tab w:val="left" w:pos="1701"/>
        </w:tabs>
        <w:rPr>
          <w:b/>
          <w:lang w:val="x-none"/>
        </w:rPr>
      </w:pPr>
      <w:r w:rsidRPr="00190F5F">
        <w:rPr>
          <w:color w:val="000000"/>
          <w:lang w:val="x-none"/>
        </w:rPr>
        <w:t>33.</w:t>
      </w:r>
      <w:r w:rsidRPr="00190F5F">
        <w:rPr>
          <w:color w:val="000000"/>
          <w:lang w:val="x-none"/>
        </w:rPr>
        <w:tab/>
      </w:r>
      <w:r w:rsidR="003359C4" w:rsidRPr="00190F5F">
        <w:rPr>
          <w:b/>
        </w:rPr>
        <w:t xml:space="preserve">The Committee recommends that the State party ensure that persons deprived of </w:t>
      </w:r>
      <w:r w:rsidR="003527FD">
        <w:rPr>
          <w:b/>
        </w:rPr>
        <w:t xml:space="preserve">their </w:t>
      </w:r>
      <w:r w:rsidR="003359C4" w:rsidRPr="00190F5F">
        <w:rPr>
          <w:b/>
        </w:rPr>
        <w:t xml:space="preserve">liberty have access to </w:t>
      </w:r>
      <w:r w:rsidR="000C24B4">
        <w:rPr>
          <w:b/>
        </w:rPr>
        <w:t>independent monitoring and</w:t>
      </w:r>
      <w:r w:rsidR="003359C4" w:rsidRPr="00190F5F">
        <w:rPr>
          <w:b/>
        </w:rPr>
        <w:t xml:space="preserve"> complaint mechanisms and that victims of torture and ill-treatment are entitled to and provided with redress and adequate compensation, including rehabilitation.</w:t>
      </w:r>
    </w:p>
    <w:p w:rsidR="003359C4" w:rsidRPr="003359C4" w:rsidRDefault="009470DB" w:rsidP="00FF07C1">
      <w:pPr>
        <w:pStyle w:val="H23G"/>
        <w:rPr>
          <w:lang w:eastAsia="sr-Latn-CS"/>
        </w:rPr>
      </w:pPr>
      <w:r>
        <w:rPr>
          <w:lang w:eastAsia="sr-Latn-CS"/>
        </w:rPr>
        <w:tab/>
      </w:r>
      <w:r>
        <w:rPr>
          <w:lang w:eastAsia="sr-Latn-CS"/>
        </w:rPr>
        <w:tab/>
      </w:r>
      <w:r w:rsidR="003359C4" w:rsidRPr="003359C4">
        <w:rPr>
          <w:lang w:eastAsia="sr-Latn-CS"/>
        </w:rPr>
        <w:t xml:space="preserve">Freedom from </w:t>
      </w:r>
      <w:r w:rsidR="00FF07C1">
        <w:rPr>
          <w:lang w:eastAsia="sr-Latn-CS"/>
        </w:rPr>
        <w:t>e</w:t>
      </w:r>
      <w:r w:rsidR="003359C4" w:rsidRPr="003359C4">
        <w:rPr>
          <w:lang w:eastAsia="sr-Latn-CS"/>
        </w:rPr>
        <w:t xml:space="preserve">xploitation, </w:t>
      </w:r>
      <w:r w:rsidR="00FF07C1">
        <w:rPr>
          <w:lang w:eastAsia="sr-Latn-CS"/>
        </w:rPr>
        <w:t>v</w:t>
      </w:r>
      <w:r w:rsidR="003359C4" w:rsidRPr="003359C4">
        <w:rPr>
          <w:lang w:eastAsia="sr-Latn-CS"/>
        </w:rPr>
        <w:t xml:space="preserve">iolence and </w:t>
      </w:r>
      <w:r w:rsidR="00FF07C1">
        <w:rPr>
          <w:lang w:eastAsia="sr-Latn-CS"/>
        </w:rPr>
        <w:t>a</w:t>
      </w:r>
      <w:r w:rsidR="003359C4" w:rsidRPr="003359C4">
        <w:rPr>
          <w:lang w:eastAsia="sr-Latn-CS"/>
        </w:rPr>
        <w:t>buse (art.</w:t>
      </w:r>
      <w:r w:rsidR="001C353C">
        <w:t> </w:t>
      </w:r>
      <w:r w:rsidR="003359C4" w:rsidRPr="003359C4">
        <w:rPr>
          <w:lang w:eastAsia="sr-Latn-CS"/>
        </w:rPr>
        <w:t>16)</w:t>
      </w:r>
    </w:p>
    <w:p w:rsidR="003359C4" w:rsidRPr="003359C4" w:rsidRDefault="000E4457" w:rsidP="000E4457">
      <w:pPr>
        <w:pStyle w:val="SingleTxtG"/>
        <w:tabs>
          <w:tab w:val="left" w:pos="1701"/>
        </w:tabs>
      </w:pPr>
      <w:r w:rsidRPr="003359C4">
        <w:rPr>
          <w:color w:val="000000"/>
        </w:rPr>
        <w:t>34.</w:t>
      </w:r>
      <w:r w:rsidRPr="003359C4">
        <w:rPr>
          <w:color w:val="000000"/>
        </w:rPr>
        <w:tab/>
      </w:r>
      <w:r w:rsidR="003359C4" w:rsidRPr="003359C4">
        <w:t>The Committee notes with concern</w:t>
      </w:r>
      <w:r w:rsidR="003359C4" w:rsidRPr="003359C4">
        <w:rPr>
          <w:lang w:val="en-US"/>
        </w:rPr>
        <w:t xml:space="preserve"> the lack of </w:t>
      </w:r>
      <w:r w:rsidR="00FF07C1">
        <w:rPr>
          <w:lang w:val="en-US"/>
        </w:rPr>
        <w:t xml:space="preserve">a </w:t>
      </w:r>
      <w:r w:rsidR="00E5342D">
        <w:rPr>
          <w:lang w:val="en-US"/>
        </w:rPr>
        <w:t xml:space="preserve">disability perspective in policies for protection from violence, abuse and exploitation and </w:t>
      </w:r>
      <w:r w:rsidR="00FF07C1">
        <w:rPr>
          <w:lang w:val="en-US"/>
        </w:rPr>
        <w:t xml:space="preserve">the </w:t>
      </w:r>
      <w:r w:rsidR="00E5342D">
        <w:rPr>
          <w:lang w:val="en-US"/>
        </w:rPr>
        <w:t xml:space="preserve">lack of </w:t>
      </w:r>
      <w:r w:rsidR="003359C4" w:rsidRPr="003359C4">
        <w:rPr>
          <w:lang w:val="en-US"/>
        </w:rPr>
        <w:t xml:space="preserve">data on </w:t>
      </w:r>
      <w:r w:rsidR="00FF07C1">
        <w:rPr>
          <w:lang w:val="en-US"/>
        </w:rPr>
        <w:t xml:space="preserve">the </w:t>
      </w:r>
      <w:r w:rsidR="003359C4" w:rsidRPr="003359C4">
        <w:rPr>
          <w:lang w:val="en-US"/>
        </w:rPr>
        <w:t>protection of persons with disabilities, especially women and girls, from exploitation, violence and abuse.</w:t>
      </w:r>
    </w:p>
    <w:p w:rsidR="003359C4" w:rsidRPr="00190F5F" w:rsidRDefault="000E4457" w:rsidP="000E4457">
      <w:pPr>
        <w:pStyle w:val="SingleTxtG"/>
        <w:tabs>
          <w:tab w:val="left" w:pos="1701"/>
        </w:tabs>
        <w:rPr>
          <w:b/>
          <w:lang w:val="en-US"/>
        </w:rPr>
      </w:pPr>
      <w:r w:rsidRPr="00190F5F">
        <w:rPr>
          <w:color w:val="000000"/>
          <w:lang w:val="en-US"/>
        </w:rPr>
        <w:t>35.</w:t>
      </w:r>
      <w:r w:rsidRPr="00190F5F">
        <w:rPr>
          <w:color w:val="000000"/>
          <w:lang w:val="en-US"/>
        </w:rPr>
        <w:tab/>
      </w:r>
      <w:r w:rsidR="003359C4" w:rsidRPr="00190F5F">
        <w:rPr>
          <w:b/>
          <w:lang w:val="en-US"/>
        </w:rPr>
        <w:t>T</w:t>
      </w:r>
      <w:r w:rsidR="003359C4" w:rsidRPr="00190F5F">
        <w:rPr>
          <w:b/>
        </w:rPr>
        <w:t xml:space="preserve">he Committee urges the State party to </w:t>
      </w:r>
      <w:r w:rsidR="009F0347">
        <w:rPr>
          <w:b/>
        </w:rPr>
        <w:t xml:space="preserve">mainstream </w:t>
      </w:r>
      <w:r w:rsidR="00FF07C1">
        <w:rPr>
          <w:b/>
        </w:rPr>
        <w:t xml:space="preserve">the </w:t>
      </w:r>
      <w:r w:rsidR="009F0347">
        <w:rPr>
          <w:b/>
        </w:rPr>
        <w:t xml:space="preserve">disability perspective in the existing policies </w:t>
      </w:r>
      <w:r w:rsidR="00FF07C1" w:rsidRPr="000E4457">
        <w:rPr>
          <w:b/>
          <w:bCs/>
          <w:lang w:val="en-US"/>
        </w:rPr>
        <w:t>for protection from violence, abuse and exploitation</w:t>
      </w:r>
      <w:r w:rsidR="00FF07C1">
        <w:rPr>
          <w:b/>
          <w:bCs/>
          <w:lang w:val="en-US"/>
        </w:rPr>
        <w:t xml:space="preserve"> </w:t>
      </w:r>
      <w:r w:rsidR="009F0347" w:rsidRPr="000E4457">
        <w:rPr>
          <w:b/>
          <w:bCs/>
        </w:rPr>
        <w:t>and</w:t>
      </w:r>
      <w:r w:rsidR="003359C4" w:rsidRPr="00190F5F">
        <w:rPr>
          <w:b/>
        </w:rPr>
        <w:t xml:space="preserve"> to step up</w:t>
      </w:r>
      <w:r w:rsidR="003359C4" w:rsidRPr="00190F5F">
        <w:rPr>
          <w:b/>
          <w:lang w:val="en-US"/>
        </w:rPr>
        <w:t xml:space="preserve"> measures to protect</w:t>
      </w:r>
      <w:r w:rsidR="003359C4" w:rsidRPr="00190F5F">
        <w:rPr>
          <w:b/>
        </w:rPr>
        <w:t xml:space="preserve"> </w:t>
      </w:r>
      <w:r w:rsidR="003359C4" w:rsidRPr="00190F5F">
        <w:rPr>
          <w:b/>
          <w:lang w:val="en-US"/>
        </w:rPr>
        <w:t xml:space="preserve">persons with disabilities, especially women and girls, from exploitation, violence and abuse, including </w:t>
      </w:r>
      <w:r w:rsidR="004F3A5A">
        <w:rPr>
          <w:b/>
          <w:lang w:val="en-US"/>
        </w:rPr>
        <w:t xml:space="preserve">through the provision of </w:t>
      </w:r>
      <w:r w:rsidR="003E2D1E">
        <w:rPr>
          <w:b/>
          <w:lang w:val="en-US"/>
        </w:rPr>
        <w:t>safe and supportive community-based service</w:t>
      </w:r>
      <w:r w:rsidR="004F3A5A">
        <w:rPr>
          <w:b/>
          <w:lang w:val="en-US"/>
        </w:rPr>
        <w:t>s</w:t>
      </w:r>
      <w:r w:rsidR="003E2D1E">
        <w:rPr>
          <w:b/>
          <w:lang w:val="en-US"/>
        </w:rPr>
        <w:t xml:space="preserve">, </w:t>
      </w:r>
      <w:r w:rsidR="003359C4" w:rsidRPr="00190F5F">
        <w:rPr>
          <w:b/>
        </w:rPr>
        <w:t>by</w:t>
      </w:r>
      <w:r w:rsidR="003359C4" w:rsidRPr="00190F5F">
        <w:rPr>
          <w:b/>
          <w:lang w:val="en-US"/>
        </w:rPr>
        <w:t xml:space="preserve"> collecting data on violence against persons with disabilities and conducting research on the issue. </w:t>
      </w:r>
    </w:p>
    <w:p w:rsidR="003359C4" w:rsidRPr="003359C4" w:rsidRDefault="009470DB" w:rsidP="009470DB">
      <w:pPr>
        <w:pStyle w:val="H23G"/>
      </w:pPr>
      <w:r>
        <w:tab/>
      </w:r>
      <w:r>
        <w:tab/>
      </w:r>
      <w:r w:rsidR="003359C4" w:rsidRPr="003359C4">
        <w:t>Protecting the integrity of the person (art.</w:t>
      </w:r>
      <w:r w:rsidR="001C353C">
        <w:t> </w:t>
      </w:r>
      <w:r w:rsidR="003359C4" w:rsidRPr="003359C4">
        <w:t>17)</w:t>
      </w:r>
    </w:p>
    <w:p w:rsidR="003359C4" w:rsidRPr="003359C4" w:rsidRDefault="000E4457" w:rsidP="000E4457">
      <w:pPr>
        <w:pStyle w:val="SingleTxtG"/>
        <w:tabs>
          <w:tab w:val="left" w:pos="1701"/>
        </w:tabs>
      </w:pPr>
      <w:r w:rsidRPr="003359C4">
        <w:rPr>
          <w:color w:val="000000"/>
        </w:rPr>
        <w:t>36.</w:t>
      </w:r>
      <w:r w:rsidRPr="003359C4">
        <w:rPr>
          <w:color w:val="000000"/>
        </w:rPr>
        <w:tab/>
      </w:r>
      <w:r w:rsidR="003359C4" w:rsidRPr="003359C4">
        <w:t>The Committee notes with concern that under the Civil Code and the Health Care Act</w:t>
      </w:r>
      <w:r w:rsidR="00AD0FC0">
        <w:t>,</w:t>
      </w:r>
      <w:r w:rsidR="003359C4" w:rsidRPr="003359C4">
        <w:t xml:space="preserve"> guardian</w:t>
      </w:r>
      <w:r w:rsidR="00AD0FC0">
        <w:t>s</w:t>
      </w:r>
      <w:r w:rsidR="003359C4" w:rsidRPr="003359C4">
        <w:t xml:space="preserve"> of person</w:t>
      </w:r>
      <w:r w:rsidR="00AD0FC0">
        <w:t>s</w:t>
      </w:r>
      <w:r w:rsidR="003359C4" w:rsidRPr="003359C4">
        <w:t xml:space="preserve"> with disabilit</w:t>
      </w:r>
      <w:r w:rsidR="00AD0FC0">
        <w:t>ies</w:t>
      </w:r>
      <w:r w:rsidR="003359C4" w:rsidRPr="003359C4">
        <w:t xml:space="preserve"> </w:t>
      </w:r>
      <w:r w:rsidR="00AD0FC0">
        <w:t>are</w:t>
      </w:r>
      <w:r w:rsidR="003359C4" w:rsidRPr="003359C4">
        <w:t xml:space="preserve"> authorized to give consent </w:t>
      </w:r>
      <w:r w:rsidR="002A15EC">
        <w:t>for</w:t>
      </w:r>
      <w:r w:rsidR="002A15EC" w:rsidRPr="003359C4">
        <w:t xml:space="preserve"> </w:t>
      </w:r>
      <w:r w:rsidR="003359C4" w:rsidRPr="003359C4">
        <w:t>the sterilization of the person concerned, thus subjecting that person to forced sterilization without his</w:t>
      </w:r>
      <w:r w:rsidR="002A15EC">
        <w:t xml:space="preserve"> or</w:t>
      </w:r>
      <w:r w:rsidR="003359C4" w:rsidRPr="003359C4">
        <w:t xml:space="preserve"> her free and informed consent.</w:t>
      </w:r>
    </w:p>
    <w:p w:rsidR="003359C4" w:rsidRPr="00190F5F" w:rsidRDefault="000E4457" w:rsidP="000E4457">
      <w:pPr>
        <w:pStyle w:val="SingleTxtG"/>
        <w:tabs>
          <w:tab w:val="left" w:pos="1701"/>
        </w:tabs>
        <w:rPr>
          <w:b/>
        </w:rPr>
      </w:pPr>
      <w:r w:rsidRPr="00190F5F">
        <w:rPr>
          <w:color w:val="000000"/>
        </w:rPr>
        <w:t>37.</w:t>
      </w:r>
      <w:r w:rsidRPr="00190F5F">
        <w:rPr>
          <w:color w:val="000000"/>
        </w:rPr>
        <w:tab/>
      </w:r>
      <w:r w:rsidR="003359C4" w:rsidRPr="00190F5F">
        <w:rPr>
          <w:b/>
        </w:rPr>
        <w:t xml:space="preserve">The Committee urges the State party to </w:t>
      </w:r>
      <w:r w:rsidR="004D1F4F">
        <w:rPr>
          <w:b/>
        </w:rPr>
        <w:t>abolish</w:t>
      </w:r>
      <w:r w:rsidR="003359C4" w:rsidRPr="00190F5F">
        <w:rPr>
          <w:b/>
        </w:rPr>
        <w:t xml:space="preserve"> the practice of sterilization </w:t>
      </w:r>
      <w:r w:rsidR="00AD0FC0" w:rsidRPr="00AD0FC0">
        <w:rPr>
          <w:b/>
        </w:rPr>
        <w:t xml:space="preserve">of persons with disabilities </w:t>
      </w:r>
      <w:r w:rsidR="003359C4" w:rsidRPr="00190F5F">
        <w:rPr>
          <w:b/>
        </w:rPr>
        <w:t xml:space="preserve">without </w:t>
      </w:r>
      <w:r w:rsidR="00AD0FC0">
        <w:rPr>
          <w:b/>
        </w:rPr>
        <w:t xml:space="preserve">their </w:t>
      </w:r>
      <w:r w:rsidR="003359C4" w:rsidRPr="00190F5F">
        <w:rPr>
          <w:b/>
        </w:rPr>
        <w:t>free and informed consent and to amend the Civil Code and the Health Care Act accordingly. The Committee also calls upon the State party to provide remedies to the victims of forced sterilization in accordance with the recommendations made by the Human Rights Committee (</w:t>
      </w:r>
      <w:r w:rsidR="002A15EC">
        <w:rPr>
          <w:b/>
        </w:rPr>
        <w:t xml:space="preserve">see </w:t>
      </w:r>
      <w:r w:rsidR="003359C4" w:rsidRPr="00190F5F">
        <w:rPr>
          <w:b/>
        </w:rPr>
        <w:t>CCPR/C/CZE/CO/3</w:t>
      </w:r>
      <w:r w:rsidR="00AD0FC0">
        <w:rPr>
          <w:b/>
        </w:rPr>
        <w:t>, para. 11</w:t>
      </w:r>
      <w:r w:rsidR="003359C4" w:rsidRPr="00190F5F">
        <w:rPr>
          <w:b/>
        </w:rPr>
        <w:t>) and the Committee on the Elimination of Discrimination against Women (</w:t>
      </w:r>
      <w:r w:rsidR="002A15EC">
        <w:rPr>
          <w:b/>
        </w:rPr>
        <w:t xml:space="preserve">see </w:t>
      </w:r>
      <w:r w:rsidR="003359C4" w:rsidRPr="00190F5F">
        <w:rPr>
          <w:b/>
        </w:rPr>
        <w:t>CEDAW/C/CZE/CO/5</w:t>
      </w:r>
      <w:r w:rsidR="00AD0FC0">
        <w:rPr>
          <w:b/>
        </w:rPr>
        <w:t>, para. 35</w:t>
      </w:r>
      <w:r w:rsidR="003359C4" w:rsidRPr="00190F5F">
        <w:rPr>
          <w:b/>
        </w:rPr>
        <w:t>).</w:t>
      </w:r>
    </w:p>
    <w:p w:rsidR="003359C4" w:rsidRPr="003359C4" w:rsidRDefault="009470DB" w:rsidP="009470DB">
      <w:pPr>
        <w:pStyle w:val="H23G"/>
      </w:pPr>
      <w:r>
        <w:tab/>
      </w:r>
      <w:r>
        <w:tab/>
      </w:r>
      <w:r w:rsidR="003359C4" w:rsidRPr="003359C4">
        <w:t>Living independently and being included in the community (art.</w:t>
      </w:r>
      <w:r w:rsidR="001C353C">
        <w:t> </w:t>
      </w:r>
      <w:r w:rsidR="003359C4" w:rsidRPr="003359C4">
        <w:t>19)</w:t>
      </w:r>
    </w:p>
    <w:p w:rsidR="003359C4" w:rsidRPr="003359C4" w:rsidRDefault="000E4457" w:rsidP="000E4457">
      <w:pPr>
        <w:pStyle w:val="SingleTxtG"/>
        <w:tabs>
          <w:tab w:val="left" w:pos="1701"/>
        </w:tabs>
      </w:pPr>
      <w:r w:rsidRPr="003359C4">
        <w:rPr>
          <w:color w:val="000000"/>
        </w:rPr>
        <w:t>38.</w:t>
      </w:r>
      <w:r w:rsidRPr="003359C4">
        <w:rPr>
          <w:color w:val="000000"/>
        </w:rPr>
        <w:tab/>
      </w:r>
      <w:r w:rsidR="003359C4" w:rsidRPr="003359C4">
        <w:t>The Committee notes with concern that the State party continues to invest more resources in institutional settings than in support services that would enable persons with disabilities to live independently in their respective local communities.</w:t>
      </w:r>
      <w:r w:rsidR="003359C4" w:rsidRPr="003359C4">
        <w:rPr>
          <w:lang w:val="en-US"/>
        </w:rPr>
        <w:t xml:space="preserve"> It </w:t>
      </w:r>
      <w:r w:rsidR="00AD0FC0">
        <w:rPr>
          <w:lang w:val="en-US"/>
        </w:rPr>
        <w:t>also</w:t>
      </w:r>
      <w:r w:rsidR="003359C4" w:rsidRPr="003359C4">
        <w:rPr>
          <w:lang w:val="en-US"/>
        </w:rPr>
        <w:t xml:space="preserve"> notes with </w:t>
      </w:r>
      <w:r w:rsidR="003359C4" w:rsidRPr="003359C4">
        <w:rPr>
          <w:lang w:val="en-US"/>
        </w:rPr>
        <w:lastRenderedPageBreak/>
        <w:t>concern the lack of plans to provide support services in local communities for older persons with disabilities</w:t>
      </w:r>
      <w:r w:rsidR="002A15EC">
        <w:rPr>
          <w:lang w:val="en-US"/>
        </w:rPr>
        <w:t>.</w:t>
      </w:r>
    </w:p>
    <w:p w:rsidR="003359C4" w:rsidRPr="00190F5F" w:rsidRDefault="000E4457" w:rsidP="000E4457">
      <w:pPr>
        <w:pStyle w:val="SingleTxtG"/>
        <w:tabs>
          <w:tab w:val="left" w:pos="1701"/>
        </w:tabs>
        <w:rPr>
          <w:b/>
        </w:rPr>
      </w:pPr>
      <w:r w:rsidRPr="00190F5F">
        <w:rPr>
          <w:color w:val="000000"/>
        </w:rPr>
        <w:t>39.</w:t>
      </w:r>
      <w:r w:rsidRPr="00190F5F">
        <w:rPr>
          <w:color w:val="000000"/>
        </w:rPr>
        <w:tab/>
      </w:r>
      <w:r w:rsidR="003359C4" w:rsidRPr="00190F5F">
        <w:rPr>
          <w:b/>
        </w:rPr>
        <w:t xml:space="preserve">The Committee urges the State party to step up the process of deinstitutionalization and to allocate sufficient resources for </w:t>
      </w:r>
      <w:r w:rsidR="00AD0FC0">
        <w:rPr>
          <w:b/>
        </w:rPr>
        <w:t xml:space="preserve">the </w:t>
      </w:r>
      <w:r w:rsidR="003359C4" w:rsidRPr="00190F5F">
        <w:rPr>
          <w:b/>
        </w:rPr>
        <w:t>development of support services in local communities that would enable all persons with disabilities, regardless of their impairments, gender or age, to choose freely with whom, where and under which living arrangements they will live, in line with the provisions of article</w:t>
      </w:r>
      <w:r w:rsidR="001C353C">
        <w:rPr>
          <w:b/>
        </w:rPr>
        <w:t> </w:t>
      </w:r>
      <w:r w:rsidR="003359C4" w:rsidRPr="00190F5F">
        <w:rPr>
          <w:b/>
        </w:rPr>
        <w:t xml:space="preserve">19 of the Convention. </w:t>
      </w:r>
    </w:p>
    <w:p w:rsidR="003359C4" w:rsidRPr="00190F5F" w:rsidRDefault="000E4457" w:rsidP="000E4457">
      <w:pPr>
        <w:pStyle w:val="SingleTxtG"/>
        <w:tabs>
          <w:tab w:val="left" w:pos="1701"/>
        </w:tabs>
        <w:rPr>
          <w:b/>
        </w:rPr>
      </w:pPr>
      <w:r w:rsidRPr="00190F5F">
        <w:rPr>
          <w:color w:val="000000"/>
        </w:rPr>
        <w:t>40.</w:t>
      </w:r>
      <w:r w:rsidRPr="00190F5F">
        <w:rPr>
          <w:color w:val="000000"/>
        </w:rPr>
        <w:tab/>
      </w:r>
      <w:r w:rsidR="003359C4" w:rsidRPr="00190F5F">
        <w:rPr>
          <w:b/>
        </w:rPr>
        <w:t xml:space="preserve">The Committee recommends </w:t>
      </w:r>
      <w:r w:rsidR="00AD0FC0">
        <w:rPr>
          <w:b/>
        </w:rPr>
        <w:t xml:space="preserve">that </w:t>
      </w:r>
      <w:r w:rsidR="003359C4" w:rsidRPr="00190F5F">
        <w:rPr>
          <w:b/>
        </w:rPr>
        <w:t xml:space="preserve">the State party take all measures </w:t>
      </w:r>
      <w:r w:rsidR="002A15EC" w:rsidRPr="00190F5F">
        <w:rPr>
          <w:b/>
        </w:rPr>
        <w:t xml:space="preserve">necessary </w:t>
      </w:r>
      <w:r w:rsidR="003359C4" w:rsidRPr="00190F5F">
        <w:rPr>
          <w:b/>
        </w:rPr>
        <w:t xml:space="preserve">to ensure that policy processes for deinstitutionalization, including the development of the National Plan </w:t>
      </w:r>
      <w:r w:rsidR="00F135BD">
        <w:rPr>
          <w:b/>
        </w:rPr>
        <w:t>on Promoting</w:t>
      </w:r>
      <w:r w:rsidR="003359C4" w:rsidRPr="00190F5F">
        <w:rPr>
          <w:b/>
        </w:rPr>
        <w:t xml:space="preserve"> Equal Opportunities for Persons with Disabilities</w:t>
      </w:r>
      <w:r w:rsidR="00F135BD">
        <w:rPr>
          <w:b/>
        </w:rPr>
        <w:t xml:space="preserve"> 2015</w:t>
      </w:r>
      <w:r w:rsidR="004B7BE9">
        <w:rPr>
          <w:b/>
        </w:rPr>
        <w:t>–</w:t>
      </w:r>
      <w:r w:rsidR="00F135BD">
        <w:rPr>
          <w:b/>
        </w:rPr>
        <w:t>2020</w:t>
      </w:r>
      <w:r w:rsidR="003359C4" w:rsidRPr="00190F5F">
        <w:rPr>
          <w:b/>
        </w:rPr>
        <w:t xml:space="preserve">, have a clear timeline and concrete benchmarks for implementation </w:t>
      </w:r>
      <w:r w:rsidR="00D85C43">
        <w:rPr>
          <w:b/>
        </w:rPr>
        <w:t>that</w:t>
      </w:r>
      <w:r w:rsidR="00D85C43" w:rsidRPr="00190F5F">
        <w:rPr>
          <w:b/>
        </w:rPr>
        <w:t xml:space="preserve"> </w:t>
      </w:r>
      <w:r w:rsidR="003359C4" w:rsidRPr="00190F5F">
        <w:rPr>
          <w:b/>
        </w:rPr>
        <w:t xml:space="preserve">are monitored </w:t>
      </w:r>
      <w:r w:rsidR="00D85C43" w:rsidRPr="00190F5F">
        <w:rPr>
          <w:b/>
        </w:rPr>
        <w:t>effectively</w:t>
      </w:r>
      <w:r w:rsidR="00D85C43">
        <w:rPr>
          <w:b/>
        </w:rPr>
        <w:t xml:space="preserve"> </w:t>
      </w:r>
      <w:r w:rsidR="003359C4" w:rsidRPr="00190F5F">
        <w:rPr>
          <w:b/>
        </w:rPr>
        <w:t xml:space="preserve">at regular intervals. In particular, the Committee urges the State party to abolish the placement of children under </w:t>
      </w:r>
      <w:r w:rsidR="00D85C43">
        <w:rPr>
          <w:b/>
        </w:rPr>
        <w:t>3</w:t>
      </w:r>
      <w:r w:rsidR="003359C4" w:rsidRPr="00190F5F">
        <w:rPr>
          <w:b/>
        </w:rPr>
        <w:t xml:space="preserve"> years </w:t>
      </w:r>
      <w:r w:rsidR="002A15EC">
        <w:rPr>
          <w:b/>
        </w:rPr>
        <w:t>of age</w:t>
      </w:r>
      <w:r w:rsidR="002A15EC" w:rsidRPr="00190F5F">
        <w:rPr>
          <w:b/>
        </w:rPr>
        <w:t xml:space="preserve"> </w:t>
      </w:r>
      <w:r w:rsidR="003359C4" w:rsidRPr="00190F5F">
        <w:rPr>
          <w:b/>
        </w:rPr>
        <w:t xml:space="preserve">in institutionalized care as soon as possible. </w:t>
      </w:r>
    </w:p>
    <w:p w:rsidR="003359C4" w:rsidRPr="003359C4" w:rsidRDefault="009470DB" w:rsidP="009470DB">
      <w:pPr>
        <w:pStyle w:val="H23G"/>
      </w:pPr>
      <w:r>
        <w:tab/>
      </w:r>
      <w:r>
        <w:tab/>
      </w:r>
      <w:r w:rsidR="003359C4" w:rsidRPr="003359C4">
        <w:t>Freedom of expression and opinion, and access to information (art.</w:t>
      </w:r>
      <w:r w:rsidR="001C353C">
        <w:t> </w:t>
      </w:r>
      <w:r w:rsidR="003359C4" w:rsidRPr="003359C4">
        <w:t>21)</w:t>
      </w:r>
    </w:p>
    <w:p w:rsidR="003359C4" w:rsidRPr="003359C4" w:rsidRDefault="000E4457" w:rsidP="000E4457">
      <w:pPr>
        <w:pStyle w:val="SingleTxtG"/>
        <w:tabs>
          <w:tab w:val="left" w:pos="1701"/>
        </w:tabs>
      </w:pPr>
      <w:r w:rsidRPr="003359C4">
        <w:rPr>
          <w:color w:val="000000"/>
        </w:rPr>
        <w:t>41.</w:t>
      </w:r>
      <w:r w:rsidRPr="003359C4">
        <w:rPr>
          <w:color w:val="000000"/>
        </w:rPr>
        <w:tab/>
      </w:r>
      <w:r w:rsidR="003359C4" w:rsidRPr="003359C4">
        <w:t>The Committee notes</w:t>
      </w:r>
      <w:r w:rsidR="003359C4" w:rsidRPr="003359C4">
        <w:rPr>
          <w:lang w:val="en-US"/>
        </w:rPr>
        <w:t xml:space="preserve"> with concern the lack of </w:t>
      </w:r>
      <w:r w:rsidR="002F1787">
        <w:rPr>
          <w:lang w:val="en-US"/>
        </w:rPr>
        <w:t>investment of resources in sign language interpretation and</w:t>
      </w:r>
      <w:r w:rsidR="003359C4" w:rsidRPr="003359C4">
        <w:rPr>
          <w:lang w:val="en-US"/>
        </w:rPr>
        <w:t xml:space="preserve"> </w:t>
      </w:r>
      <w:r w:rsidR="00D85C43">
        <w:rPr>
          <w:lang w:val="en-US"/>
        </w:rPr>
        <w:t xml:space="preserve">the </w:t>
      </w:r>
      <w:r w:rsidR="003359C4" w:rsidRPr="003359C4">
        <w:rPr>
          <w:lang w:val="en-US"/>
        </w:rPr>
        <w:t xml:space="preserve">lack of trained sign language interpreters, which restricts the </w:t>
      </w:r>
      <w:r w:rsidR="003359C4" w:rsidRPr="00190F5F">
        <w:t>effective</w:t>
      </w:r>
      <w:r w:rsidR="003359C4" w:rsidRPr="003359C4">
        <w:rPr>
          <w:lang w:val="en-US"/>
        </w:rPr>
        <w:t xml:space="preserve"> enjoyment of </w:t>
      </w:r>
      <w:r w:rsidR="00D85C43">
        <w:rPr>
          <w:lang w:val="en-US"/>
        </w:rPr>
        <w:t xml:space="preserve">the </w:t>
      </w:r>
      <w:r w:rsidR="003359C4" w:rsidRPr="003359C4">
        <w:rPr>
          <w:lang w:val="en-US"/>
        </w:rPr>
        <w:t xml:space="preserve">right </w:t>
      </w:r>
      <w:r w:rsidR="00D85C43">
        <w:rPr>
          <w:lang w:val="en-US"/>
        </w:rPr>
        <w:t xml:space="preserve">of </w:t>
      </w:r>
      <w:r w:rsidR="00D85C43" w:rsidRPr="003359C4">
        <w:rPr>
          <w:lang w:val="en-US"/>
        </w:rPr>
        <w:t>deaf persons</w:t>
      </w:r>
      <w:r w:rsidR="00D85C43">
        <w:rPr>
          <w:lang w:val="en-US"/>
        </w:rPr>
        <w:t xml:space="preserve"> and their families </w:t>
      </w:r>
      <w:r w:rsidR="003359C4" w:rsidRPr="003359C4">
        <w:rPr>
          <w:lang w:val="en-US"/>
        </w:rPr>
        <w:t xml:space="preserve">to use Czech </w:t>
      </w:r>
      <w:r w:rsidR="0040104D">
        <w:rPr>
          <w:lang w:val="en-US"/>
        </w:rPr>
        <w:t>s</w:t>
      </w:r>
      <w:r w:rsidR="003359C4" w:rsidRPr="003359C4">
        <w:rPr>
          <w:lang w:val="en-US"/>
        </w:rPr>
        <w:t xml:space="preserve">ign </w:t>
      </w:r>
      <w:r w:rsidR="0040104D">
        <w:rPr>
          <w:lang w:val="en-US"/>
        </w:rPr>
        <w:t>l</w:t>
      </w:r>
      <w:r w:rsidR="003359C4" w:rsidRPr="003359C4">
        <w:rPr>
          <w:lang w:val="en-US"/>
        </w:rPr>
        <w:t>anguage.</w:t>
      </w:r>
    </w:p>
    <w:p w:rsidR="003359C4" w:rsidRPr="00342ABB" w:rsidRDefault="000E4457" w:rsidP="000E4457">
      <w:pPr>
        <w:pStyle w:val="SingleTxtG"/>
        <w:tabs>
          <w:tab w:val="left" w:pos="1701"/>
        </w:tabs>
        <w:rPr>
          <w:b/>
        </w:rPr>
      </w:pPr>
      <w:r w:rsidRPr="00342ABB">
        <w:rPr>
          <w:color w:val="000000"/>
        </w:rPr>
        <w:t>42.</w:t>
      </w:r>
      <w:r w:rsidRPr="00342ABB">
        <w:rPr>
          <w:color w:val="000000"/>
        </w:rPr>
        <w:tab/>
      </w:r>
      <w:r w:rsidR="003359C4" w:rsidRPr="00342ABB">
        <w:rPr>
          <w:b/>
        </w:rPr>
        <w:t>The Committee calls upon the State party to allocate sufficient financial</w:t>
      </w:r>
      <w:r w:rsidR="003359C4" w:rsidRPr="00342ABB">
        <w:rPr>
          <w:b/>
          <w:lang w:val="en-US"/>
        </w:rPr>
        <w:t xml:space="preserve"> resources for </w:t>
      </w:r>
      <w:r w:rsidR="00D85C43">
        <w:rPr>
          <w:b/>
          <w:lang w:val="en-US"/>
        </w:rPr>
        <w:t xml:space="preserve">the </w:t>
      </w:r>
      <w:r w:rsidR="003359C4" w:rsidRPr="00342ABB">
        <w:rPr>
          <w:b/>
          <w:lang w:val="en-US"/>
        </w:rPr>
        <w:t xml:space="preserve">training and </w:t>
      </w:r>
      <w:r w:rsidR="003359C4" w:rsidRPr="00342ABB">
        <w:rPr>
          <w:b/>
        </w:rPr>
        <w:t>hiring</w:t>
      </w:r>
      <w:r w:rsidR="003359C4" w:rsidRPr="00342ABB">
        <w:rPr>
          <w:b/>
          <w:lang w:val="en-US"/>
        </w:rPr>
        <w:t xml:space="preserve"> of sign language interpreters </w:t>
      </w:r>
      <w:r w:rsidR="00D85C43">
        <w:rPr>
          <w:b/>
          <w:lang w:val="en-US"/>
        </w:rPr>
        <w:t>in order to</w:t>
      </w:r>
      <w:r w:rsidR="003359C4" w:rsidRPr="00342ABB">
        <w:rPr>
          <w:b/>
          <w:lang w:val="en-US"/>
        </w:rPr>
        <w:t xml:space="preserve"> enable deaf persons to effectively enjoy the right</w:t>
      </w:r>
      <w:r w:rsidR="003359C4" w:rsidRPr="00342ABB">
        <w:rPr>
          <w:b/>
        </w:rPr>
        <w:t xml:space="preserve"> </w:t>
      </w:r>
      <w:r w:rsidR="003359C4" w:rsidRPr="00342ABB">
        <w:rPr>
          <w:b/>
          <w:lang w:val="en-US"/>
        </w:rPr>
        <w:t xml:space="preserve">to use Czech </w:t>
      </w:r>
      <w:r w:rsidR="0040104D">
        <w:rPr>
          <w:b/>
          <w:lang w:val="en-US"/>
        </w:rPr>
        <w:t>s</w:t>
      </w:r>
      <w:r w:rsidR="003359C4" w:rsidRPr="00342ABB">
        <w:rPr>
          <w:b/>
          <w:lang w:val="en-US"/>
        </w:rPr>
        <w:t xml:space="preserve">ign </w:t>
      </w:r>
      <w:r w:rsidR="0040104D">
        <w:rPr>
          <w:b/>
          <w:lang w:val="en-US"/>
        </w:rPr>
        <w:t>l</w:t>
      </w:r>
      <w:r w:rsidR="003359C4" w:rsidRPr="00342ABB">
        <w:rPr>
          <w:b/>
          <w:lang w:val="en-US"/>
        </w:rPr>
        <w:t>anguage.</w:t>
      </w:r>
    </w:p>
    <w:p w:rsidR="003359C4" w:rsidRPr="003359C4" w:rsidRDefault="000E4457" w:rsidP="000E4457">
      <w:pPr>
        <w:pStyle w:val="SingleTxtG"/>
        <w:tabs>
          <w:tab w:val="left" w:pos="1701"/>
        </w:tabs>
      </w:pPr>
      <w:r w:rsidRPr="003359C4">
        <w:rPr>
          <w:color w:val="000000"/>
        </w:rPr>
        <w:t>43.</w:t>
      </w:r>
      <w:r w:rsidRPr="003359C4">
        <w:rPr>
          <w:color w:val="000000"/>
        </w:rPr>
        <w:tab/>
      </w:r>
      <w:r w:rsidR="003359C4" w:rsidRPr="003359C4">
        <w:rPr>
          <w:lang w:eastAsia="sr-Latn-CS"/>
        </w:rPr>
        <w:t>The Committee notes that the State party still has not amended Act No.</w:t>
      </w:r>
      <w:r w:rsidR="00A41F7E">
        <w:rPr>
          <w:lang w:eastAsia="sr-Latn-CS"/>
        </w:rPr>
        <w:t> </w:t>
      </w:r>
      <w:r w:rsidR="003359C4" w:rsidRPr="003359C4">
        <w:rPr>
          <w:lang w:eastAsia="sr-Latn-CS"/>
        </w:rPr>
        <w:t xml:space="preserve">231/2001 Coll., which should make </w:t>
      </w:r>
      <w:r w:rsidR="003359C4" w:rsidRPr="003359C4">
        <w:t>audiovisual</w:t>
      </w:r>
      <w:r w:rsidR="003359C4" w:rsidRPr="003359C4">
        <w:rPr>
          <w:lang w:eastAsia="sr-Latn-CS"/>
        </w:rPr>
        <w:t xml:space="preserve"> content of broadcasts accessible to persons with hearing or visual impairment.</w:t>
      </w:r>
    </w:p>
    <w:p w:rsidR="003359C4" w:rsidRPr="00342ABB" w:rsidRDefault="000E4457" w:rsidP="000E4457">
      <w:pPr>
        <w:pStyle w:val="SingleTxtG"/>
        <w:tabs>
          <w:tab w:val="left" w:pos="1701"/>
        </w:tabs>
        <w:rPr>
          <w:b/>
        </w:rPr>
      </w:pPr>
      <w:r w:rsidRPr="00342ABB">
        <w:rPr>
          <w:color w:val="000000"/>
        </w:rPr>
        <w:t>44.</w:t>
      </w:r>
      <w:r w:rsidRPr="00342ABB">
        <w:rPr>
          <w:color w:val="000000"/>
        </w:rPr>
        <w:tab/>
      </w:r>
      <w:r w:rsidR="003359C4" w:rsidRPr="00342ABB">
        <w:rPr>
          <w:b/>
          <w:lang w:eastAsia="sr-Latn-CS"/>
        </w:rPr>
        <w:t xml:space="preserve">The Committee calls upon the State </w:t>
      </w:r>
      <w:r w:rsidR="003359C4" w:rsidRPr="00342ABB">
        <w:rPr>
          <w:b/>
        </w:rPr>
        <w:t>party</w:t>
      </w:r>
      <w:r w:rsidR="003359C4" w:rsidRPr="00342ABB">
        <w:rPr>
          <w:b/>
          <w:lang w:eastAsia="sr-Latn-CS"/>
        </w:rPr>
        <w:t xml:space="preserve"> to amend Act No</w:t>
      </w:r>
      <w:r w:rsidR="00A41F7E">
        <w:rPr>
          <w:b/>
          <w:lang w:eastAsia="sr-Latn-CS"/>
        </w:rPr>
        <w:t>. </w:t>
      </w:r>
      <w:r w:rsidR="003359C4" w:rsidRPr="00342ABB">
        <w:rPr>
          <w:b/>
          <w:lang w:eastAsia="sr-Latn-CS"/>
        </w:rPr>
        <w:t xml:space="preserve">231/2001 Coll. and </w:t>
      </w:r>
      <w:r w:rsidR="00D85C43">
        <w:rPr>
          <w:b/>
          <w:lang w:eastAsia="sr-Latn-CS"/>
        </w:rPr>
        <w:t xml:space="preserve">to </w:t>
      </w:r>
      <w:r w:rsidR="003359C4" w:rsidRPr="00342ABB">
        <w:rPr>
          <w:b/>
          <w:lang w:eastAsia="sr-Latn-CS"/>
        </w:rPr>
        <w:t xml:space="preserve">ensure </w:t>
      </w:r>
      <w:r w:rsidR="0040104D">
        <w:rPr>
          <w:b/>
          <w:lang w:eastAsia="sr-Latn-CS"/>
        </w:rPr>
        <w:t xml:space="preserve">that </w:t>
      </w:r>
      <w:r w:rsidR="003359C4" w:rsidRPr="00342ABB">
        <w:rPr>
          <w:b/>
          <w:lang w:eastAsia="sr-Latn-CS"/>
        </w:rPr>
        <w:t xml:space="preserve">the audiovisual content of broadcasts </w:t>
      </w:r>
      <w:r w:rsidR="0040104D">
        <w:rPr>
          <w:b/>
          <w:lang w:eastAsia="sr-Latn-CS"/>
        </w:rPr>
        <w:t xml:space="preserve">is accessible </w:t>
      </w:r>
      <w:r w:rsidR="003359C4" w:rsidRPr="00342ABB">
        <w:rPr>
          <w:b/>
          <w:lang w:eastAsia="sr-Latn-CS"/>
        </w:rPr>
        <w:t>to persons with hearing or visual impairment</w:t>
      </w:r>
      <w:r w:rsidR="003359C4" w:rsidRPr="00342ABB">
        <w:rPr>
          <w:b/>
        </w:rPr>
        <w:t xml:space="preserve">. </w:t>
      </w:r>
    </w:p>
    <w:p w:rsidR="000130A7" w:rsidRPr="00E06529" w:rsidRDefault="00A41F7E" w:rsidP="000E4457">
      <w:pPr>
        <w:pStyle w:val="H23G"/>
      </w:pPr>
      <w:r>
        <w:rPr>
          <w:rFonts w:eastAsia="Calibri"/>
        </w:rPr>
        <w:tab/>
      </w:r>
      <w:r>
        <w:rPr>
          <w:rFonts w:eastAsia="Calibri"/>
        </w:rPr>
        <w:tab/>
      </w:r>
      <w:r w:rsidR="00E06529" w:rsidRPr="00E06529">
        <w:rPr>
          <w:rFonts w:eastAsia="Calibri"/>
        </w:rPr>
        <w:t>Respect for home and the family (art.</w:t>
      </w:r>
      <w:r>
        <w:rPr>
          <w:rFonts w:eastAsia="Calibri"/>
        </w:rPr>
        <w:t> </w:t>
      </w:r>
      <w:r w:rsidR="00E06529" w:rsidRPr="00E06529">
        <w:rPr>
          <w:rFonts w:eastAsia="Calibri"/>
        </w:rPr>
        <w:t>23)</w:t>
      </w:r>
    </w:p>
    <w:p w:rsidR="000130A7" w:rsidRDefault="000E4457" w:rsidP="000E4457">
      <w:pPr>
        <w:pStyle w:val="SingleTxtG"/>
        <w:tabs>
          <w:tab w:val="left" w:pos="1701"/>
        </w:tabs>
      </w:pPr>
      <w:r>
        <w:rPr>
          <w:color w:val="000000"/>
        </w:rPr>
        <w:t>45.</w:t>
      </w:r>
      <w:r>
        <w:rPr>
          <w:color w:val="000000"/>
        </w:rPr>
        <w:tab/>
      </w:r>
      <w:r w:rsidR="000130A7">
        <w:t xml:space="preserve">The Committee is </w:t>
      </w:r>
      <w:r w:rsidR="00D0742B">
        <w:t>concerned</w:t>
      </w:r>
      <w:r w:rsidR="000130A7">
        <w:t xml:space="preserve"> that </w:t>
      </w:r>
      <w:r w:rsidR="00D85C43">
        <w:t xml:space="preserve">the </w:t>
      </w:r>
      <w:r w:rsidR="000130A7">
        <w:t>provisions of the new Civil Code</w:t>
      </w:r>
      <w:r w:rsidR="00D0742B">
        <w:t xml:space="preserve"> and </w:t>
      </w:r>
      <w:r w:rsidR="00AA03F6" w:rsidRPr="00AA03F6">
        <w:t>Act No.</w:t>
      </w:r>
      <w:r w:rsidR="00A41F7E">
        <w:t> </w:t>
      </w:r>
      <w:r w:rsidR="00AA03F6" w:rsidRPr="00AA03F6">
        <w:t>359/1999 Coll., on Social and Legal Protection of Children, as amended</w:t>
      </w:r>
      <w:r w:rsidR="0040104D">
        <w:t>,</w:t>
      </w:r>
      <w:r w:rsidR="00AA03F6">
        <w:t xml:space="preserve"> </w:t>
      </w:r>
      <w:r w:rsidR="00AA03F6" w:rsidRPr="00AA03F6">
        <w:t xml:space="preserve">explicitly </w:t>
      </w:r>
      <w:r w:rsidR="00CA7A70">
        <w:t>provide</w:t>
      </w:r>
      <w:r w:rsidR="00AA03F6" w:rsidRPr="00AA03F6">
        <w:t xml:space="preserve"> for restriction of legal capacity in family matters, especially the right to marriage, parental responsibility and adoption. </w:t>
      </w:r>
    </w:p>
    <w:p w:rsidR="00474D25" w:rsidRPr="00474D25" w:rsidRDefault="000E4457" w:rsidP="000E4457">
      <w:pPr>
        <w:pStyle w:val="SingleTxtG"/>
        <w:tabs>
          <w:tab w:val="left" w:pos="1701"/>
        </w:tabs>
        <w:rPr>
          <w:b/>
        </w:rPr>
      </w:pPr>
      <w:r w:rsidRPr="00474D25">
        <w:rPr>
          <w:color w:val="000000"/>
        </w:rPr>
        <w:t>46.</w:t>
      </w:r>
      <w:r w:rsidRPr="00474D25">
        <w:rPr>
          <w:color w:val="000000"/>
        </w:rPr>
        <w:tab/>
      </w:r>
      <w:r w:rsidR="000130A7" w:rsidRPr="000130A7">
        <w:rPr>
          <w:b/>
        </w:rPr>
        <w:t>The Committee recommends that the provisions of the Civil Code</w:t>
      </w:r>
      <w:r w:rsidR="00EE40D6">
        <w:rPr>
          <w:b/>
        </w:rPr>
        <w:t xml:space="preserve"> and the Act on Social and Legal Protection of Children</w:t>
      </w:r>
      <w:r w:rsidR="000130A7" w:rsidRPr="000130A7">
        <w:rPr>
          <w:b/>
        </w:rPr>
        <w:t xml:space="preserve"> </w:t>
      </w:r>
      <w:r w:rsidR="00CA7A70">
        <w:rPr>
          <w:b/>
        </w:rPr>
        <w:t>be</w:t>
      </w:r>
      <w:r w:rsidR="000130A7" w:rsidRPr="000130A7">
        <w:rPr>
          <w:b/>
        </w:rPr>
        <w:t xml:space="preserve"> </w:t>
      </w:r>
      <w:r w:rsidR="00EE40D6">
        <w:rPr>
          <w:b/>
        </w:rPr>
        <w:t>repeal</w:t>
      </w:r>
      <w:r w:rsidR="000130A7" w:rsidRPr="000130A7">
        <w:rPr>
          <w:b/>
        </w:rPr>
        <w:t xml:space="preserve">ed to ensure that persons with disabilities </w:t>
      </w:r>
      <w:r w:rsidR="00CA7A70">
        <w:rPr>
          <w:b/>
        </w:rPr>
        <w:t xml:space="preserve">can </w:t>
      </w:r>
      <w:r w:rsidR="000130A7" w:rsidRPr="000130A7">
        <w:rPr>
          <w:b/>
        </w:rPr>
        <w:t xml:space="preserve">exercise their right to marry, </w:t>
      </w:r>
      <w:r w:rsidR="0040104D">
        <w:rPr>
          <w:b/>
        </w:rPr>
        <w:t xml:space="preserve">their </w:t>
      </w:r>
      <w:r w:rsidR="000130A7" w:rsidRPr="000130A7">
        <w:rPr>
          <w:b/>
        </w:rPr>
        <w:t xml:space="preserve">parental rights and </w:t>
      </w:r>
      <w:r w:rsidR="00CA7A70">
        <w:rPr>
          <w:b/>
        </w:rPr>
        <w:t xml:space="preserve">their </w:t>
      </w:r>
      <w:r w:rsidR="000130A7" w:rsidRPr="000130A7">
        <w:rPr>
          <w:b/>
        </w:rPr>
        <w:t>right to adopt on an equal basis with others</w:t>
      </w:r>
      <w:r w:rsidR="00CA7A70">
        <w:rPr>
          <w:b/>
        </w:rPr>
        <w:t xml:space="preserve">, </w:t>
      </w:r>
      <w:r w:rsidR="000130A7" w:rsidRPr="000130A7">
        <w:rPr>
          <w:b/>
        </w:rPr>
        <w:t xml:space="preserve">and that support services are provided </w:t>
      </w:r>
      <w:r w:rsidR="00CA7A70" w:rsidRPr="000130A7">
        <w:rPr>
          <w:b/>
        </w:rPr>
        <w:t>in the community</w:t>
      </w:r>
      <w:r w:rsidR="00CA7A70">
        <w:rPr>
          <w:b/>
        </w:rPr>
        <w:t xml:space="preserve"> </w:t>
      </w:r>
      <w:r w:rsidR="000130A7" w:rsidRPr="000130A7">
        <w:rPr>
          <w:b/>
        </w:rPr>
        <w:t xml:space="preserve">to parents with disabilities. </w:t>
      </w:r>
    </w:p>
    <w:p w:rsidR="003359C4" w:rsidRPr="003359C4" w:rsidRDefault="009470DB" w:rsidP="009470DB">
      <w:pPr>
        <w:pStyle w:val="H23G"/>
      </w:pPr>
      <w:r>
        <w:tab/>
      </w:r>
      <w:r>
        <w:tab/>
      </w:r>
      <w:r w:rsidR="003359C4" w:rsidRPr="003359C4">
        <w:t>Education (art.</w:t>
      </w:r>
      <w:r w:rsidR="00A60021">
        <w:t> </w:t>
      </w:r>
      <w:r w:rsidR="003359C4" w:rsidRPr="003359C4">
        <w:t>24)</w:t>
      </w:r>
    </w:p>
    <w:p w:rsidR="003359C4" w:rsidRPr="003359C4" w:rsidRDefault="000E4457" w:rsidP="000E4457">
      <w:pPr>
        <w:pStyle w:val="SingleTxtG"/>
        <w:tabs>
          <w:tab w:val="left" w:pos="1701"/>
        </w:tabs>
        <w:rPr>
          <w:b/>
        </w:rPr>
      </w:pPr>
      <w:r w:rsidRPr="003359C4">
        <w:rPr>
          <w:color w:val="000000"/>
        </w:rPr>
        <w:t>47.</w:t>
      </w:r>
      <w:r w:rsidRPr="003359C4">
        <w:rPr>
          <w:color w:val="000000"/>
        </w:rPr>
        <w:tab/>
      </w:r>
      <w:r w:rsidR="003359C4" w:rsidRPr="003359C4">
        <w:t xml:space="preserve">The Committee notes with concern that in spite of efforts made, </w:t>
      </w:r>
      <w:r w:rsidR="003359C4" w:rsidRPr="003359C4">
        <w:rPr>
          <w:lang w:val="en-US"/>
        </w:rPr>
        <w:t>significant number</w:t>
      </w:r>
      <w:r w:rsidR="00CA7A70">
        <w:rPr>
          <w:lang w:val="en-US"/>
        </w:rPr>
        <w:t>s</w:t>
      </w:r>
      <w:r w:rsidR="003359C4" w:rsidRPr="003359C4">
        <w:t xml:space="preserve"> of boys and girls with disabilities</w:t>
      </w:r>
      <w:r w:rsidR="003359C4" w:rsidRPr="003359C4">
        <w:rPr>
          <w:lang w:val="en-US"/>
        </w:rPr>
        <w:t>, especially those with intellectual disabilities</w:t>
      </w:r>
      <w:r w:rsidR="0040104D">
        <w:rPr>
          <w:lang w:val="en-US"/>
        </w:rPr>
        <w:t xml:space="preserve"> and</w:t>
      </w:r>
      <w:r w:rsidR="003359C4" w:rsidRPr="003359C4">
        <w:rPr>
          <w:lang w:val="en-US"/>
        </w:rPr>
        <w:t xml:space="preserve"> autism</w:t>
      </w:r>
      <w:r w:rsidR="00BB6DCB">
        <w:rPr>
          <w:lang w:val="en-US"/>
        </w:rPr>
        <w:t xml:space="preserve"> </w:t>
      </w:r>
      <w:r w:rsidR="003A287B">
        <w:rPr>
          <w:lang w:val="en-US"/>
        </w:rPr>
        <w:t xml:space="preserve">and </w:t>
      </w:r>
      <w:r w:rsidR="0040104D">
        <w:rPr>
          <w:lang w:val="en-US"/>
        </w:rPr>
        <w:t xml:space="preserve">those who are </w:t>
      </w:r>
      <w:r w:rsidR="00BB6DCB">
        <w:rPr>
          <w:lang w:val="en-US"/>
        </w:rPr>
        <w:t>deaf-blind</w:t>
      </w:r>
      <w:r w:rsidR="003359C4" w:rsidRPr="003359C4">
        <w:rPr>
          <w:lang w:val="en-US"/>
        </w:rPr>
        <w:t>,</w:t>
      </w:r>
      <w:r w:rsidR="003359C4" w:rsidRPr="003359C4">
        <w:t xml:space="preserve"> still receive their education in special schools and classes, outside of mainstream schools. </w:t>
      </w:r>
    </w:p>
    <w:p w:rsidR="003359C4" w:rsidRPr="00917CAE" w:rsidRDefault="000E4457" w:rsidP="000E4457">
      <w:pPr>
        <w:pStyle w:val="SingleTxtG"/>
        <w:tabs>
          <w:tab w:val="left" w:pos="1701"/>
        </w:tabs>
        <w:rPr>
          <w:b/>
          <w:color w:val="000000"/>
        </w:rPr>
      </w:pPr>
      <w:r w:rsidRPr="00917CAE">
        <w:rPr>
          <w:color w:val="000000"/>
        </w:rPr>
        <w:lastRenderedPageBreak/>
        <w:t>48.</w:t>
      </w:r>
      <w:r w:rsidRPr="00917CAE">
        <w:rPr>
          <w:color w:val="000000"/>
        </w:rPr>
        <w:tab/>
      </w:r>
      <w:r w:rsidR="003359C4" w:rsidRPr="00917CAE">
        <w:rPr>
          <w:b/>
          <w:color w:val="000000"/>
        </w:rPr>
        <w:t xml:space="preserve">The Committee recommends </w:t>
      </w:r>
      <w:r w:rsidR="00CA7A70">
        <w:rPr>
          <w:b/>
          <w:color w:val="000000"/>
        </w:rPr>
        <w:t xml:space="preserve">that </w:t>
      </w:r>
      <w:r w:rsidR="003359C4" w:rsidRPr="00917CAE">
        <w:rPr>
          <w:b/>
          <w:color w:val="000000"/>
        </w:rPr>
        <w:t>the State party implement the amended School Act</w:t>
      </w:r>
      <w:r w:rsidR="00CA7A70">
        <w:rPr>
          <w:b/>
          <w:color w:val="000000"/>
        </w:rPr>
        <w:t>,</w:t>
      </w:r>
      <w:r w:rsidR="003359C4" w:rsidRPr="00917CAE">
        <w:rPr>
          <w:b/>
          <w:color w:val="000000"/>
        </w:rPr>
        <w:t xml:space="preserve"> </w:t>
      </w:r>
      <w:r w:rsidR="00CA7A70">
        <w:rPr>
          <w:b/>
          <w:color w:val="000000"/>
        </w:rPr>
        <w:t>incorporate</w:t>
      </w:r>
      <w:r w:rsidR="003359C4" w:rsidRPr="00917CAE">
        <w:rPr>
          <w:b/>
          <w:color w:val="000000"/>
        </w:rPr>
        <w:t xml:space="preserve"> inclusive </w:t>
      </w:r>
      <w:r w:rsidR="003359C4" w:rsidRPr="00917CAE">
        <w:rPr>
          <w:b/>
          <w:color w:val="000000"/>
          <w:lang w:eastAsia="sr-Latn-CS"/>
        </w:rPr>
        <w:t>education</w:t>
      </w:r>
      <w:r w:rsidR="003359C4" w:rsidRPr="00917CAE">
        <w:rPr>
          <w:b/>
          <w:color w:val="000000"/>
        </w:rPr>
        <w:t xml:space="preserve"> as the guiding principle of the education system </w:t>
      </w:r>
      <w:r w:rsidR="00EF0371">
        <w:rPr>
          <w:b/>
          <w:color w:val="000000"/>
        </w:rPr>
        <w:t xml:space="preserve">and ensure the admission </w:t>
      </w:r>
      <w:r w:rsidR="00CA7A70">
        <w:rPr>
          <w:b/>
          <w:color w:val="000000"/>
        </w:rPr>
        <w:t xml:space="preserve">of children with disabilities </w:t>
      </w:r>
      <w:r w:rsidR="00EF0371">
        <w:rPr>
          <w:b/>
          <w:color w:val="000000"/>
        </w:rPr>
        <w:t>in mainstream school</w:t>
      </w:r>
      <w:r w:rsidR="00CA7A70">
        <w:rPr>
          <w:b/>
          <w:color w:val="000000"/>
        </w:rPr>
        <w:t>s</w:t>
      </w:r>
      <w:r w:rsidR="00EF0371">
        <w:rPr>
          <w:b/>
          <w:color w:val="000000"/>
        </w:rPr>
        <w:t>.</w:t>
      </w:r>
      <w:r w:rsidR="003359C4" w:rsidRPr="00917CAE">
        <w:rPr>
          <w:b/>
          <w:color w:val="000000"/>
        </w:rPr>
        <w:t xml:space="preserve"> in line with article</w:t>
      </w:r>
      <w:r w:rsidR="00A60021">
        <w:rPr>
          <w:b/>
          <w:color w:val="000000"/>
        </w:rPr>
        <w:t> </w:t>
      </w:r>
      <w:r w:rsidR="003359C4" w:rsidRPr="00917CAE">
        <w:rPr>
          <w:b/>
          <w:color w:val="000000"/>
        </w:rPr>
        <w:t xml:space="preserve">24 of the Convention. The </w:t>
      </w:r>
      <w:r w:rsidR="003359C4" w:rsidRPr="00917CAE">
        <w:rPr>
          <w:b/>
          <w:color w:val="000000"/>
          <w:lang w:val="x-none"/>
        </w:rPr>
        <w:t xml:space="preserve">Committee calls upon </w:t>
      </w:r>
      <w:r w:rsidR="003359C4" w:rsidRPr="00917CAE">
        <w:rPr>
          <w:b/>
          <w:color w:val="000000"/>
        </w:rPr>
        <w:t xml:space="preserve">the </w:t>
      </w:r>
      <w:r w:rsidR="003359C4" w:rsidRPr="00917CAE">
        <w:rPr>
          <w:b/>
          <w:color w:val="000000"/>
          <w:lang w:val="x-none"/>
        </w:rPr>
        <w:t xml:space="preserve">State </w:t>
      </w:r>
      <w:r w:rsidR="003359C4" w:rsidRPr="00917CAE">
        <w:rPr>
          <w:b/>
          <w:color w:val="000000"/>
        </w:rPr>
        <w:t>p</w:t>
      </w:r>
      <w:r w:rsidR="003359C4" w:rsidRPr="00917CAE">
        <w:rPr>
          <w:b/>
          <w:color w:val="000000"/>
          <w:lang w:val="x-none"/>
        </w:rPr>
        <w:t xml:space="preserve">arty to intensify its efforts and </w:t>
      </w:r>
      <w:r w:rsidR="00CA7A70">
        <w:rPr>
          <w:b/>
          <w:color w:val="000000"/>
          <w:lang w:val="en-US"/>
        </w:rPr>
        <w:t xml:space="preserve">to </w:t>
      </w:r>
      <w:r w:rsidR="003359C4" w:rsidRPr="00917CAE">
        <w:rPr>
          <w:b/>
          <w:color w:val="000000"/>
          <w:lang w:val="x-none"/>
        </w:rPr>
        <w:t>allocate sufficient financial and human resources for reasonable accommodations that will enable boys and girls with disabilities</w:t>
      </w:r>
      <w:r w:rsidR="003359C4" w:rsidRPr="00917CAE">
        <w:rPr>
          <w:b/>
          <w:color w:val="000000"/>
        </w:rPr>
        <w:t xml:space="preserve">, including </w:t>
      </w:r>
      <w:r w:rsidR="003359C4" w:rsidRPr="00917CAE">
        <w:rPr>
          <w:b/>
          <w:color w:val="000000"/>
          <w:lang w:val="x-none"/>
        </w:rPr>
        <w:t>intellectual</w:t>
      </w:r>
      <w:r w:rsidR="003359C4" w:rsidRPr="00917CAE" w:rsidDel="005D13C8">
        <w:rPr>
          <w:b/>
          <w:color w:val="000000"/>
        </w:rPr>
        <w:t xml:space="preserve"> </w:t>
      </w:r>
      <w:r w:rsidR="003359C4" w:rsidRPr="00917CAE">
        <w:rPr>
          <w:b/>
          <w:color w:val="000000"/>
        </w:rPr>
        <w:t xml:space="preserve">disabilities </w:t>
      </w:r>
      <w:r w:rsidR="0040104D">
        <w:rPr>
          <w:b/>
          <w:color w:val="000000"/>
        </w:rPr>
        <w:t xml:space="preserve">and </w:t>
      </w:r>
      <w:r w:rsidR="003359C4" w:rsidRPr="00917CAE">
        <w:rPr>
          <w:b/>
          <w:color w:val="000000"/>
        </w:rPr>
        <w:t>autism</w:t>
      </w:r>
      <w:r w:rsidR="0040104D">
        <w:rPr>
          <w:b/>
          <w:color w:val="000000"/>
        </w:rPr>
        <w:t>,</w:t>
      </w:r>
      <w:r w:rsidR="00061A0B">
        <w:rPr>
          <w:b/>
          <w:color w:val="000000"/>
        </w:rPr>
        <w:t xml:space="preserve"> </w:t>
      </w:r>
      <w:r w:rsidR="003A287B">
        <w:rPr>
          <w:b/>
          <w:color w:val="000000"/>
        </w:rPr>
        <w:t xml:space="preserve">and </w:t>
      </w:r>
      <w:r w:rsidR="00BB6DCB">
        <w:rPr>
          <w:b/>
          <w:color w:val="000000"/>
        </w:rPr>
        <w:t>deaf-blind</w:t>
      </w:r>
      <w:r w:rsidR="00CA7A70">
        <w:rPr>
          <w:b/>
          <w:color w:val="000000"/>
        </w:rPr>
        <w:t xml:space="preserve"> children</w:t>
      </w:r>
      <w:r w:rsidR="003359C4" w:rsidRPr="00917CAE">
        <w:rPr>
          <w:b/>
          <w:color w:val="000000"/>
        </w:rPr>
        <w:t>,</w:t>
      </w:r>
      <w:r w:rsidR="003359C4" w:rsidRPr="00917CAE">
        <w:rPr>
          <w:b/>
          <w:color w:val="000000"/>
          <w:lang w:val="x-none"/>
        </w:rPr>
        <w:t xml:space="preserve"> to receive inclusive </w:t>
      </w:r>
      <w:r w:rsidR="00154359" w:rsidRPr="0067181D">
        <w:rPr>
          <w:b/>
          <w:color w:val="000000"/>
        </w:rPr>
        <w:t>quality</w:t>
      </w:r>
      <w:r w:rsidR="003359C4" w:rsidRPr="000E4457">
        <w:rPr>
          <w:b/>
          <w:color w:val="000000"/>
        </w:rPr>
        <w:t xml:space="preserve"> </w:t>
      </w:r>
      <w:r w:rsidR="003359C4" w:rsidRPr="00917CAE">
        <w:rPr>
          <w:b/>
          <w:color w:val="000000"/>
          <w:lang w:val="x-none"/>
        </w:rPr>
        <w:t>education.</w:t>
      </w:r>
    </w:p>
    <w:p w:rsidR="003359C4" w:rsidRPr="003359C4" w:rsidRDefault="009470DB" w:rsidP="009470DB">
      <w:pPr>
        <w:pStyle w:val="H23G"/>
      </w:pPr>
      <w:r>
        <w:tab/>
      </w:r>
      <w:r>
        <w:tab/>
      </w:r>
      <w:r w:rsidR="003359C4" w:rsidRPr="003359C4">
        <w:t>Health (art.</w:t>
      </w:r>
      <w:r w:rsidR="00A60021">
        <w:t> </w:t>
      </w:r>
      <w:r w:rsidR="003359C4" w:rsidRPr="003359C4">
        <w:t>25)</w:t>
      </w:r>
    </w:p>
    <w:p w:rsidR="003359C4" w:rsidRPr="003359C4" w:rsidRDefault="000E4457" w:rsidP="000E4457">
      <w:pPr>
        <w:pStyle w:val="SingleTxtG"/>
        <w:tabs>
          <w:tab w:val="left" w:pos="1701"/>
        </w:tabs>
        <w:rPr>
          <w:b/>
        </w:rPr>
      </w:pPr>
      <w:r w:rsidRPr="003359C4">
        <w:rPr>
          <w:color w:val="000000"/>
        </w:rPr>
        <w:t>49.</w:t>
      </w:r>
      <w:r w:rsidRPr="003359C4">
        <w:rPr>
          <w:color w:val="000000"/>
        </w:rPr>
        <w:tab/>
      </w:r>
      <w:r w:rsidR="003359C4" w:rsidRPr="003359C4">
        <w:t xml:space="preserve">The Committee notes with concern the difficulties </w:t>
      </w:r>
      <w:r w:rsidR="0040104D">
        <w:t xml:space="preserve">that </w:t>
      </w:r>
      <w:r w:rsidR="003359C4" w:rsidRPr="003359C4">
        <w:t xml:space="preserve">deaf persons and parents of boys and girls with intellectual and psychosocial disabilities </w:t>
      </w:r>
      <w:r w:rsidR="003359C4" w:rsidRPr="003359C4">
        <w:rPr>
          <w:lang w:val="en-US"/>
        </w:rPr>
        <w:t>still face</w:t>
      </w:r>
      <w:r w:rsidR="003359C4" w:rsidRPr="003359C4">
        <w:t xml:space="preserve"> in accessing health</w:t>
      </w:r>
      <w:r w:rsidR="00CA7A70">
        <w:t>-</w:t>
      </w:r>
      <w:r w:rsidR="003359C4" w:rsidRPr="003359C4">
        <w:t xml:space="preserve">care services </w:t>
      </w:r>
      <w:r w:rsidR="0040104D">
        <w:t>owing</w:t>
      </w:r>
      <w:r w:rsidR="0040104D" w:rsidRPr="003359C4">
        <w:t xml:space="preserve"> </w:t>
      </w:r>
      <w:r w:rsidR="003359C4" w:rsidRPr="003359C4">
        <w:t xml:space="preserve">to </w:t>
      </w:r>
      <w:r w:rsidR="00CA7A70">
        <w:t xml:space="preserve">a </w:t>
      </w:r>
      <w:r w:rsidR="003359C4" w:rsidRPr="003359C4">
        <w:t>lack of accessible information</w:t>
      </w:r>
      <w:r w:rsidR="00CA7A70">
        <w:t>,</w:t>
      </w:r>
      <w:r w:rsidR="003359C4" w:rsidRPr="003359C4">
        <w:rPr>
          <w:lang w:val="en-US"/>
        </w:rPr>
        <w:t xml:space="preserve"> in spite of the efforts made by the State party.</w:t>
      </w:r>
      <w:r w:rsidR="003359C4" w:rsidRPr="003359C4">
        <w:t xml:space="preserve"> </w:t>
      </w:r>
    </w:p>
    <w:p w:rsidR="003359C4" w:rsidRPr="00342ABB" w:rsidRDefault="000E4457" w:rsidP="000E4457">
      <w:pPr>
        <w:pStyle w:val="SingleTxtG"/>
        <w:tabs>
          <w:tab w:val="left" w:pos="1701"/>
        </w:tabs>
        <w:rPr>
          <w:b/>
        </w:rPr>
      </w:pPr>
      <w:r w:rsidRPr="00342ABB">
        <w:rPr>
          <w:color w:val="000000"/>
        </w:rPr>
        <w:t>50.</w:t>
      </w:r>
      <w:r w:rsidRPr="00342ABB">
        <w:rPr>
          <w:color w:val="000000"/>
        </w:rPr>
        <w:tab/>
      </w:r>
      <w:r w:rsidR="003359C4" w:rsidRPr="00342ABB">
        <w:rPr>
          <w:b/>
        </w:rPr>
        <w:t xml:space="preserve">The Committee calls upon the State party to intensify </w:t>
      </w:r>
      <w:r w:rsidR="00CA7A70">
        <w:rPr>
          <w:b/>
        </w:rPr>
        <w:t>its</w:t>
      </w:r>
      <w:r w:rsidR="003359C4" w:rsidRPr="00342ABB">
        <w:rPr>
          <w:b/>
        </w:rPr>
        <w:t xml:space="preserve"> efforts to make information on health care accessible for persons with disabilities and parents of boys and girls with disabilities, including by making information on relevant service</w:t>
      </w:r>
      <w:r w:rsidR="00CA7A70">
        <w:rPr>
          <w:b/>
        </w:rPr>
        <w:t>s</w:t>
      </w:r>
      <w:r w:rsidR="003359C4" w:rsidRPr="00342ABB">
        <w:rPr>
          <w:b/>
        </w:rPr>
        <w:t xml:space="preserve"> available and accessible to persons with disabilities and their families and by providing sufficient sign language interpreters to deaf persons when they seek health care.</w:t>
      </w:r>
    </w:p>
    <w:p w:rsidR="003359C4" w:rsidRPr="003359C4" w:rsidRDefault="009470DB" w:rsidP="009470DB">
      <w:pPr>
        <w:pStyle w:val="H23G"/>
      </w:pPr>
      <w:r>
        <w:tab/>
      </w:r>
      <w:r>
        <w:tab/>
      </w:r>
      <w:r w:rsidR="003359C4" w:rsidRPr="003359C4">
        <w:t>Work and employment (art.</w:t>
      </w:r>
      <w:r w:rsidR="00A60021">
        <w:t> </w:t>
      </w:r>
      <w:r w:rsidR="003359C4" w:rsidRPr="003359C4">
        <w:t>27)</w:t>
      </w:r>
    </w:p>
    <w:p w:rsidR="003359C4" w:rsidRPr="003359C4" w:rsidRDefault="000E4457" w:rsidP="000E4457">
      <w:pPr>
        <w:pStyle w:val="SingleTxtG"/>
        <w:tabs>
          <w:tab w:val="left" w:pos="1701"/>
        </w:tabs>
        <w:rPr>
          <w:b/>
        </w:rPr>
      </w:pPr>
      <w:r w:rsidRPr="003359C4">
        <w:rPr>
          <w:color w:val="000000"/>
        </w:rPr>
        <w:t>51.</w:t>
      </w:r>
      <w:r w:rsidRPr="003359C4">
        <w:rPr>
          <w:color w:val="000000"/>
        </w:rPr>
        <w:tab/>
      </w:r>
      <w:r w:rsidR="003359C4" w:rsidRPr="003359C4">
        <w:t xml:space="preserve">The Committee notes with concern the high unemployment rate of persons with disabilities and the fact that </w:t>
      </w:r>
      <w:r w:rsidR="00CA7A70">
        <w:t xml:space="preserve">the </w:t>
      </w:r>
      <w:r w:rsidR="003359C4" w:rsidRPr="003359C4">
        <w:t xml:space="preserve">unemployment rate of women with disabilities is higher </w:t>
      </w:r>
      <w:r w:rsidR="00CA7A70">
        <w:t>than</w:t>
      </w:r>
      <w:r w:rsidR="003359C4" w:rsidRPr="003359C4">
        <w:t xml:space="preserve"> that of men with disabilities. Furthermore, the Committee notes with concern that close to one third of employed persons with disabilities work outside the open labo</w:t>
      </w:r>
      <w:r w:rsidR="00CA7A70">
        <w:t>u</w:t>
      </w:r>
      <w:r w:rsidR="003359C4" w:rsidRPr="003359C4">
        <w:t>r market.</w:t>
      </w:r>
    </w:p>
    <w:p w:rsidR="003359C4" w:rsidRPr="00342ABB" w:rsidRDefault="000E4457" w:rsidP="000E4457">
      <w:pPr>
        <w:pStyle w:val="SingleTxtG"/>
        <w:tabs>
          <w:tab w:val="left" w:pos="1701"/>
        </w:tabs>
        <w:rPr>
          <w:b/>
        </w:rPr>
      </w:pPr>
      <w:r w:rsidRPr="00342ABB">
        <w:rPr>
          <w:color w:val="000000"/>
        </w:rPr>
        <w:t>52.</w:t>
      </w:r>
      <w:r w:rsidRPr="00342ABB">
        <w:rPr>
          <w:color w:val="000000"/>
        </w:rPr>
        <w:tab/>
      </w:r>
      <w:r w:rsidR="003359C4" w:rsidRPr="00342ABB">
        <w:rPr>
          <w:b/>
        </w:rPr>
        <w:t>The Committee calls upon the State party to</w:t>
      </w:r>
      <w:r w:rsidR="00535FF5">
        <w:rPr>
          <w:b/>
        </w:rPr>
        <w:t xml:space="preserve"> ensure the same wage for all persons with disabilities</w:t>
      </w:r>
      <w:r w:rsidR="00CA7A70">
        <w:rPr>
          <w:b/>
        </w:rPr>
        <w:t>,</w:t>
      </w:r>
      <w:r w:rsidR="00535FF5">
        <w:rPr>
          <w:b/>
        </w:rPr>
        <w:t xml:space="preserve"> regardless of their disability classification</w:t>
      </w:r>
      <w:r w:rsidR="00367403">
        <w:rPr>
          <w:b/>
        </w:rPr>
        <w:t xml:space="preserve">. It also urges the State party </w:t>
      </w:r>
      <w:r w:rsidR="003359C4" w:rsidRPr="00342ABB">
        <w:rPr>
          <w:b/>
        </w:rPr>
        <w:t xml:space="preserve">to </w:t>
      </w:r>
      <w:r w:rsidR="00535FF5">
        <w:rPr>
          <w:b/>
        </w:rPr>
        <w:t>develop measures</w:t>
      </w:r>
      <w:r w:rsidR="00367403">
        <w:rPr>
          <w:b/>
        </w:rPr>
        <w:t>,</w:t>
      </w:r>
      <w:r w:rsidR="00535FF5">
        <w:rPr>
          <w:b/>
        </w:rPr>
        <w:t xml:space="preserve"> </w:t>
      </w:r>
      <w:r w:rsidR="003359C4" w:rsidRPr="00342ABB">
        <w:rPr>
          <w:b/>
        </w:rPr>
        <w:t>intensify efforts and allocate sufficient resources to promot</w:t>
      </w:r>
      <w:r w:rsidR="00367403">
        <w:rPr>
          <w:b/>
        </w:rPr>
        <w:t>ing</w:t>
      </w:r>
      <w:r w:rsidR="003359C4" w:rsidRPr="00342ABB">
        <w:rPr>
          <w:b/>
        </w:rPr>
        <w:t xml:space="preserve"> the employment </w:t>
      </w:r>
      <w:r w:rsidR="00367403">
        <w:rPr>
          <w:b/>
        </w:rPr>
        <w:t>in the</w:t>
      </w:r>
      <w:r w:rsidR="00367403" w:rsidRPr="00342ABB">
        <w:rPr>
          <w:b/>
        </w:rPr>
        <w:t xml:space="preserve"> open labo</w:t>
      </w:r>
      <w:r w:rsidR="00367403">
        <w:rPr>
          <w:b/>
        </w:rPr>
        <w:t>u</w:t>
      </w:r>
      <w:r w:rsidR="00367403" w:rsidRPr="00342ABB">
        <w:rPr>
          <w:b/>
        </w:rPr>
        <w:t>r market</w:t>
      </w:r>
      <w:r w:rsidR="00367403">
        <w:rPr>
          <w:b/>
        </w:rPr>
        <w:t xml:space="preserve"> </w:t>
      </w:r>
      <w:r w:rsidR="003359C4" w:rsidRPr="00342ABB">
        <w:rPr>
          <w:b/>
        </w:rPr>
        <w:t>of persons with disabilities, especially women.</w:t>
      </w:r>
    </w:p>
    <w:p w:rsidR="003359C4" w:rsidRPr="003359C4" w:rsidRDefault="009470DB" w:rsidP="009470DB">
      <w:pPr>
        <w:pStyle w:val="H23G"/>
        <w:rPr>
          <w:lang w:eastAsia="sr-Latn-CS"/>
        </w:rPr>
      </w:pPr>
      <w:r>
        <w:rPr>
          <w:lang w:eastAsia="sr-Latn-CS"/>
        </w:rPr>
        <w:tab/>
      </w:r>
      <w:r>
        <w:rPr>
          <w:lang w:eastAsia="sr-Latn-CS"/>
        </w:rPr>
        <w:tab/>
      </w:r>
      <w:r w:rsidR="003359C4" w:rsidRPr="003359C4">
        <w:rPr>
          <w:lang w:eastAsia="sr-Latn-CS"/>
        </w:rPr>
        <w:t>Adequate standard of living and social protection (art.</w:t>
      </w:r>
      <w:r w:rsidR="00A60021">
        <w:rPr>
          <w:lang w:eastAsia="sr-Latn-CS"/>
        </w:rPr>
        <w:t> </w:t>
      </w:r>
      <w:r w:rsidR="003359C4" w:rsidRPr="003359C4">
        <w:rPr>
          <w:lang w:eastAsia="sr-Latn-CS"/>
        </w:rPr>
        <w:t>28)</w:t>
      </w:r>
    </w:p>
    <w:p w:rsidR="003359C4" w:rsidRPr="003359C4" w:rsidRDefault="000E4457" w:rsidP="000E4457">
      <w:pPr>
        <w:pStyle w:val="SingleTxtG"/>
        <w:tabs>
          <w:tab w:val="left" w:pos="1701"/>
        </w:tabs>
        <w:rPr>
          <w:b/>
        </w:rPr>
      </w:pPr>
      <w:r w:rsidRPr="003359C4">
        <w:rPr>
          <w:color w:val="000000"/>
        </w:rPr>
        <w:t>53.</w:t>
      </w:r>
      <w:r w:rsidRPr="003359C4">
        <w:rPr>
          <w:color w:val="000000"/>
        </w:rPr>
        <w:tab/>
      </w:r>
      <w:r w:rsidR="003359C4" w:rsidRPr="003359C4">
        <w:t xml:space="preserve">The Committee notes with concern that </w:t>
      </w:r>
      <w:r w:rsidR="003359C4" w:rsidRPr="003359C4">
        <w:rPr>
          <w:lang w:eastAsia="sr-Latn-CS"/>
        </w:rPr>
        <w:t>Act No.</w:t>
      </w:r>
      <w:r w:rsidR="00A60021">
        <w:rPr>
          <w:lang w:eastAsia="sr-Latn-CS"/>
        </w:rPr>
        <w:t> </w:t>
      </w:r>
      <w:r w:rsidR="003359C4" w:rsidRPr="003359C4">
        <w:rPr>
          <w:lang w:eastAsia="sr-Latn-CS"/>
        </w:rPr>
        <w:t xml:space="preserve">329/2011 Coll. on the Provision of Benefits to Persons with Disabilities has led to factual revision of the spectrum of benefits, the purpose thereof and the group of persons to be provided the benefits </w:t>
      </w:r>
      <w:r w:rsidR="003359C4" w:rsidRPr="003359C4">
        <w:t>(</w:t>
      </w:r>
      <w:r w:rsidR="0040104D">
        <w:t xml:space="preserve">see </w:t>
      </w:r>
      <w:r w:rsidR="003359C4" w:rsidRPr="00267ADB">
        <w:t>CRPD/C/</w:t>
      </w:r>
      <w:r w:rsidR="003359C4" w:rsidRPr="000E4457">
        <w:t>CZE/Q/1/Add.1</w:t>
      </w:r>
      <w:r w:rsidR="003359C4" w:rsidRPr="003359C4">
        <w:t>, para</w:t>
      </w:r>
      <w:r w:rsidR="00A60021">
        <w:t>. </w:t>
      </w:r>
      <w:r w:rsidR="0040104D">
        <w:t>152</w:t>
      </w:r>
      <w:r w:rsidR="003359C4" w:rsidRPr="003359C4">
        <w:t>)</w:t>
      </w:r>
      <w:r w:rsidR="00367403">
        <w:t>.</w:t>
      </w:r>
      <w:r w:rsidR="003359C4" w:rsidRPr="003359C4">
        <w:t xml:space="preserve"> </w:t>
      </w:r>
      <w:r w:rsidR="00367403">
        <w:t>That has</w:t>
      </w:r>
      <w:r w:rsidR="003359C4" w:rsidRPr="003359C4">
        <w:t xml:space="preserve"> had a</w:t>
      </w:r>
      <w:r w:rsidR="003359C4" w:rsidRPr="003359C4">
        <w:rPr>
          <w:lang w:val="en-US"/>
        </w:rPr>
        <w:t>n a</w:t>
      </w:r>
      <w:proofErr w:type="spellStart"/>
      <w:r w:rsidR="003359C4" w:rsidRPr="003359C4">
        <w:t>dverse</w:t>
      </w:r>
      <w:proofErr w:type="spellEnd"/>
      <w:r w:rsidR="003359C4" w:rsidRPr="003359C4">
        <w:t xml:space="preserve"> effect on the enjoyment of the rights to an adequate standard of living and to social protection of persons with disabilities, including boys and girls with disabilities.</w:t>
      </w:r>
    </w:p>
    <w:p w:rsidR="003359C4" w:rsidRPr="00342ABB" w:rsidRDefault="000E4457" w:rsidP="000E4457">
      <w:pPr>
        <w:pStyle w:val="SingleTxtG"/>
        <w:rPr>
          <w:b/>
          <w:lang w:val="x-none"/>
        </w:rPr>
      </w:pPr>
      <w:r w:rsidRPr="00342ABB">
        <w:rPr>
          <w:color w:val="000000"/>
          <w:lang w:val="x-none"/>
        </w:rPr>
        <w:t>54.</w:t>
      </w:r>
      <w:r w:rsidRPr="00342ABB">
        <w:rPr>
          <w:color w:val="000000"/>
          <w:lang w:val="x-none"/>
        </w:rPr>
        <w:tab/>
      </w:r>
      <w:r w:rsidR="003359C4" w:rsidRPr="00342ABB">
        <w:rPr>
          <w:b/>
        </w:rPr>
        <w:t xml:space="preserve">The </w:t>
      </w:r>
      <w:r w:rsidR="003359C4" w:rsidRPr="00342ABB">
        <w:rPr>
          <w:b/>
          <w:lang w:val="x-none"/>
        </w:rPr>
        <w:t xml:space="preserve">Committee </w:t>
      </w:r>
      <w:r w:rsidR="003359C4" w:rsidRPr="00342ABB">
        <w:rPr>
          <w:b/>
        </w:rPr>
        <w:t>calls</w:t>
      </w:r>
      <w:r w:rsidR="003359C4" w:rsidRPr="00342ABB">
        <w:rPr>
          <w:b/>
          <w:lang w:val="x-none"/>
        </w:rPr>
        <w:t xml:space="preserve"> upon </w:t>
      </w:r>
      <w:r w:rsidR="003359C4" w:rsidRPr="00342ABB">
        <w:rPr>
          <w:b/>
        </w:rPr>
        <w:t xml:space="preserve">the </w:t>
      </w:r>
      <w:r w:rsidR="003359C4" w:rsidRPr="00342ABB">
        <w:rPr>
          <w:b/>
          <w:lang w:val="x-none"/>
        </w:rPr>
        <w:t xml:space="preserve">State </w:t>
      </w:r>
      <w:r w:rsidR="003359C4" w:rsidRPr="00342ABB">
        <w:rPr>
          <w:b/>
        </w:rPr>
        <w:t>p</w:t>
      </w:r>
      <w:r w:rsidR="003359C4" w:rsidRPr="00342ABB">
        <w:rPr>
          <w:b/>
          <w:lang w:val="x-none"/>
        </w:rPr>
        <w:t xml:space="preserve">arty to </w:t>
      </w:r>
      <w:r w:rsidR="003359C4" w:rsidRPr="00342ABB">
        <w:rPr>
          <w:b/>
        </w:rPr>
        <w:t>review the legislation</w:t>
      </w:r>
      <w:r w:rsidR="00F2080B">
        <w:rPr>
          <w:b/>
        </w:rPr>
        <w:t xml:space="preserve"> on the provision of benefits to persons with disabilities</w:t>
      </w:r>
      <w:r w:rsidR="003359C4" w:rsidRPr="00342ABB">
        <w:rPr>
          <w:b/>
        </w:rPr>
        <w:t xml:space="preserve">, with genuine participation of persons with disabilities, to </w:t>
      </w:r>
      <w:r w:rsidR="00BF1BC5" w:rsidRPr="00C92C8C">
        <w:rPr>
          <w:b/>
        </w:rPr>
        <w:t xml:space="preserve">reintroduce </w:t>
      </w:r>
      <w:r w:rsidR="00342ABB" w:rsidRPr="00342ABB">
        <w:rPr>
          <w:b/>
        </w:rPr>
        <w:t xml:space="preserve">the </w:t>
      </w:r>
      <w:r w:rsidR="00BF1BC5" w:rsidRPr="00C92C8C">
        <w:rPr>
          <w:b/>
        </w:rPr>
        <w:t xml:space="preserve">additional social allowance </w:t>
      </w:r>
      <w:r w:rsidR="00F2080B">
        <w:rPr>
          <w:b/>
        </w:rPr>
        <w:t>in order to</w:t>
      </w:r>
      <w:r w:rsidR="009F3727" w:rsidRPr="00C92C8C">
        <w:rPr>
          <w:b/>
        </w:rPr>
        <w:t xml:space="preserve"> </w:t>
      </w:r>
      <w:r w:rsidR="00F2080B">
        <w:rPr>
          <w:b/>
        </w:rPr>
        <w:t>bring</w:t>
      </w:r>
      <w:r w:rsidR="009F3727" w:rsidRPr="00C92C8C">
        <w:rPr>
          <w:b/>
        </w:rPr>
        <w:t xml:space="preserve"> </w:t>
      </w:r>
      <w:r w:rsidR="003359C4" w:rsidRPr="00342ABB">
        <w:rPr>
          <w:b/>
        </w:rPr>
        <w:t xml:space="preserve">the </w:t>
      </w:r>
      <w:r w:rsidR="00F2080B" w:rsidRPr="00C92C8C">
        <w:rPr>
          <w:b/>
        </w:rPr>
        <w:t>standard</w:t>
      </w:r>
      <w:r w:rsidR="00F2080B">
        <w:rPr>
          <w:b/>
        </w:rPr>
        <w:t xml:space="preserve"> of </w:t>
      </w:r>
      <w:r w:rsidR="009F3727" w:rsidRPr="00C92C8C">
        <w:rPr>
          <w:b/>
        </w:rPr>
        <w:t>living of families</w:t>
      </w:r>
      <w:r w:rsidR="00BF1BC5" w:rsidRPr="00C92C8C">
        <w:rPr>
          <w:b/>
        </w:rPr>
        <w:t xml:space="preserve"> with children</w:t>
      </w:r>
      <w:r w:rsidR="003359C4" w:rsidRPr="00342ABB">
        <w:rPr>
          <w:b/>
        </w:rPr>
        <w:t xml:space="preserve"> with disabilities </w:t>
      </w:r>
      <w:r w:rsidR="009F3727" w:rsidRPr="00C92C8C">
        <w:rPr>
          <w:b/>
        </w:rPr>
        <w:t>above</w:t>
      </w:r>
      <w:r w:rsidR="00BF1BC5" w:rsidRPr="00C92C8C">
        <w:rPr>
          <w:b/>
        </w:rPr>
        <w:t xml:space="preserve"> </w:t>
      </w:r>
      <w:r w:rsidR="009F3727" w:rsidRPr="00C92C8C">
        <w:rPr>
          <w:b/>
        </w:rPr>
        <w:t>the subsistence level</w:t>
      </w:r>
      <w:r w:rsidR="00F2080B">
        <w:rPr>
          <w:b/>
        </w:rPr>
        <w:t xml:space="preserve">. The State party should also </w:t>
      </w:r>
      <w:r w:rsidR="009F3727" w:rsidRPr="00C92C8C">
        <w:rPr>
          <w:b/>
        </w:rPr>
        <w:t>broaden</w:t>
      </w:r>
      <w:r w:rsidR="00BF1BC5" w:rsidRPr="00C92C8C">
        <w:rPr>
          <w:b/>
        </w:rPr>
        <w:t xml:space="preserve"> the range of </w:t>
      </w:r>
      <w:r w:rsidR="00AF51CA">
        <w:rPr>
          <w:b/>
        </w:rPr>
        <w:t xml:space="preserve">and </w:t>
      </w:r>
      <w:r w:rsidR="00BF1BC5" w:rsidRPr="00C92C8C">
        <w:rPr>
          <w:b/>
        </w:rPr>
        <w:t>facilitate</w:t>
      </w:r>
      <w:r w:rsidR="003359C4" w:rsidRPr="00342ABB">
        <w:rPr>
          <w:b/>
        </w:rPr>
        <w:t xml:space="preserve"> access to </w:t>
      </w:r>
      <w:r w:rsidR="00BF1BC5" w:rsidRPr="00C92C8C">
        <w:rPr>
          <w:b/>
        </w:rPr>
        <w:t xml:space="preserve">assistive devices </w:t>
      </w:r>
      <w:r w:rsidR="009F3727" w:rsidRPr="00C92C8C">
        <w:rPr>
          <w:b/>
        </w:rPr>
        <w:t>for children with disabilities</w:t>
      </w:r>
      <w:r w:rsidR="00F2080B">
        <w:rPr>
          <w:b/>
        </w:rPr>
        <w:t>,</w:t>
      </w:r>
      <w:r w:rsidR="009F3727" w:rsidRPr="00C92C8C">
        <w:rPr>
          <w:b/>
        </w:rPr>
        <w:t xml:space="preserve"> </w:t>
      </w:r>
      <w:r w:rsidR="00BF1BC5" w:rsidRPr="00C92C8C">
        <w:rPr>
          <w:b/>
        </w:rPr>
        <w:t>regardless of age</w:t>
      </w:r>
      <w:r w:rsidR="000F0941">
        <w:rPr>
          <w:b/>
        </w:rPr>
        <w:t>.</w:t>
      </w:r>
    </w:p>
    <w:p w:rsidR="003359C4" w:rsidRPr="003359C4" w:rsidRDefault="000E4457" w:rsidP="000E4457">
      <w:pPr>
        <w:pStyle w:val="SingleTxtG"/>
        <w:tabs>
          <w:tab w:val="left" w:pos="1701"/>
        </w:tabs>
      </w:pPr>
      <w:r w:rsidRPr="003359C4">
        <w:rPr>
          <w:color w:val="000000"/>
        </w:rPr>
        <w:t>55.</w:t>
      </w:r>
      <w:r w:rsidRPr="003359C4">
        <w:rPr>
          <w:color w:val="000000"/>
        </w:rPr>
        <w:tab/>
      </w:r>
      <w:r w:rsidR="003359C4" w:rsidRPr="003359C4">
        <w:t xml:space="preserve">The Committee notes with concern that a number of disability pension beneficiaries are at risk of being denied access to retirement pensions as the period during which they receive a disability </w:t>
      </w:r>
      <w:r w:rsidR="003359C4" w:rsidRPr="003359C4">
        <w:rPr>
          <w:lang w:eastAsia="sr-Latn-CS"/>
        </w:rPr>
        <w:t>pension</w:t>
      </w:r>
      <w:r w:rsidR="003359C4" w:rsidRPr="003359C4">
        <w:t xml:space="preserve"> is not included in the insurance period.</w:t>
      </w:r>
    </w:p>
    <w:p w:rsidR="003359C4" w:rsidRPr="00342ABB" w:rsidRDefault="000E4457" w:rsidP="000E4457">
      <w:pPr>
        <w:pStyle w:val="SingleTxtG"/>
        <w:tabs>
          <w:tab w:val="left" w:pos="1701"/>
        </w:tabs>
        <w:rPr>
          <w:b/>
          <w:lang w:eastAsia="sr-Latn-CS"/>
        </w:rPr>
      </w:pPr>
      <w:r w:rsidRPr="00342ABB">
        <w:rPr>
          <w:color w:val="000000"/>
          <w:lang w:eastAsia="sr-Latn-CS"/>
        </w:rPr>
        <w:lastRenderedPageBreak/>
        <w:t>56.</w:t>
      </w:r>
      <w:r w:rsidRPr="00342ABB">
        <w:rPr>
          <w:color w:val="000000"/>
          <w:lang w:eastAsia="sr-Latn-CS"/>
        </w:rPr>
        <w:tab/>
      </w:r>
      <w:r w:rsidR="003359C4" w:rsidRPr="00342ABB">
        <w:rPr>
          <w:b/>
          <w:lang w:eastAsia="sr-Latn-CS"/>
        </w:rPr>
        <w:t xml:space="preserve">The Committee calls upon the State party to revise its legislation </w:t>
      </w:r>
      <w:r w:rsidR="00F2080B">
        <w:rPr>
          <w:b/>
          <w:lang w:eastAsia="sr-Latn-CS"/>
        </w:rPr>
        <w:t xml:space="preserve">on </w:t>
      </w:r>
      <w:r w:rsidR="00F2080B" w:rsidRPr="000E4457">
        <w:rPr>
          <w:b/>
          <w:bCs/>
        </w:rPr>
        <w:t xml:space="preserve">disability pension beneficiaries </w:t>
      </w:r>
      <w:r w:rsidR="003359C4" w:rsidRPr="00342ABB">
        <w:rPr>
          <w:b/>
          <w:lang w:eastAsia="sr-Latn-CS"/>
        </w:rPr>
        <w:t xml:space="preserve">and the newly established method of calculating the relevant period from the beginning of disability until the entitlement of retirement pensions, as </w:t>
      </w:r>
      <w:r w:rsidR="00F2080B">
        <w:rPr>
          <w:b/>
          <w:lang w:eastAsia="sr-Latn-CS"/>
        </w:rPr>
        <w:t>it</w:t>
      </w:r>
      <w:r w:rsidR="003359C4" w:rsidRPr="00342ABB">
        <w:rPr>
          <w:b/>
          <w:lang w:eastAsia="sr-Latn-CS"/>
        </w:rPr>
        <w:t xml:space="preserve"> has resulted in the amount of the pension received by persons with disabilities at the third level being below the minimum subsistence level.</w:t>
      </w:r>
    </w:p>
    <w:p w:rsidR="003359C4" w:rsidRPr="003359C4" w:rsidRDefault="009470DB" w:rsidP="009470DB">
      <w:pPr>
        <w:pStyle w:val="H23G"/>
      </w:pPr>
      <w:r>
        <w:tab/>
      </w:r>
      <w:r>
        <w:tab/>
      </w:r>
      <w:r w:rsidR="003359C4" w:rsidRPr="003359C4">
        <w:t>Participation in political and public life (art.</w:t>
      </w:r>
      <w:r w:rsidR="004A6548">
        <w:t> </w:t>
      </w:r>
      <w:r w:rsidR="003359C4" w:rsidRPr="003359C4">
        <w:t>29)</w:t>
      </w:r>
    </w:p>
    <w:p w:rsidR="003359C4" w:rsidRPr="003359C4" w:rsidRDefault="000E4457" w:rsidP="000E4457">
      <w:pPr>
        <w:pStyle w:val="SingleTxtG"/>
        <w:tabs>
          <w:tab w:val="left" w:pos="1701"/>
        </w:tabs>
        <w:rPr>
          <w:bCs/>
        </w:rPr>
      </w:pPr>
      <w:r w:rsidRPr="003359C4">
        <w:rPr>
          <w:bCs/>
          <w:color w:val="000000"/>
        </w:rPr>
        <w:t>57.</w:t>
      </w:r>
      <w:r w:rsidRPr="003359C4">
        <w:rPr>
          <w:bCs/>
          <w:color w:val="000000"/>
        </w:rPr>
        <w:tab/>
      </w:r>
      <w:r w:rsidR="003359C4" w:rsidRPr="003359C4">
        <w:t>The Committee is concerned that</w:t>
      </w:r>
      <w:r w:rsidR="00F2080B">
        <w:t>,</w:t>
      </w:r>
      <w:r w:rsidR="003359C4" w:rsidRPr="003359C4">
        <w:t xml:space="preserve"> under the </w:t>
      </w:r>
      <w:r w:rsidR="00F135BD">
        <w:t>new</w:t>
      </w:r>
      <w:r w:rsidR="00F135BD" w:rsidRPr="003359C4">
        <w:t xml:space="preserve"> </w:t>
      </w:r>
      <w:r w:rsidR="003359C4" w:rsidRPr="003359C4">
        <w:t>Civil Code and election legislation</w:t>
      </w:r>
      <w:r w:rsidR="00F2080B">
        <w:t>,</w:t>
      </w:r>
      <w:r w:rsidR="003359C4" w:rsidRPr="003359C4">
        <w:t xml:space="preserve"> persons with disabilities with restricted legal capacity may be denied the right to vote or to stand for election, or vote at referendums. The Committee is also concerned that election materials are reportedly rarely accessible to blind persons or to persons with intellectual disabilities, that polling stations are often not physically accessible, </w:t>
      </w:r>
      <w:r w:rsidR="00F2080B">
        <w:t xml:space="preserve">and </w:t>
      </w:r>
      <w:r w:rsidR="003359C4" w:rsidRPr="003359C4">
        <w:t>that ballots may not be accessible to blind persons.</w:t>
      </w:r>
    </w:p>
    <w:p w:rsidR="003359C4" w:rsidRPr="00342ABB" w:rsidRDefault="000E4457" w:rsidP="000E4457">
      <w:pPr>
        <w:pStyle w:val="SingleTxtG"/>
        <w:tabs>
          <w:tab w:val="left" w:pos="1701"/>
        </w:tabs>
        <w:rPr>
          <w:b/>
        </w:rPr>
      </w:pPr>
      <w:r w:rsidRPr="00342ABB">
        <w:rPr>
          <w:color w:val="000000"/>
        </w:rPr>
        <w:t>58.</w:t>
      </w:r>
      <w:r w:rsidRPr="00342ABB">
        <w:rPr>
          <w:color w:val="000000"/>
        </w:rPr>
        <w:tab/>
      </w:r>
      <w:r w:rsidR="003359C4" w:rsidRPr="00342ABB">
        <w:rPr>
          <w:b/>
        </w:rPr>
        <w:t>The Committee recommends that the State party amend the relevant laws so that all persons with disabilities can enjoy the right to vote and stand for election</w:t>
      </w:r>
      <w:r w:rsidR="00F2080B">
        <w:rPr>
          <w:b/>
        </w:rPr>
        <w:t>,</w:t>
      </w:r>
      <w:r w:rsidR="003359C4" w:rsidRPr="00342ABB">
        <w:rPr>
          <w:b/>
        </w:rPr>
        <w:t xml:space="preserve"> regardless of guardianship or other regimes. It also recommends that the State party ensure, through legislative and other measures, the accessibility of ballots and election materials, and of polling stations. </w:t>
      </w:r>
    </w:p>
    <w:p w:rsidR="003359C4" w:rsidRPr="003359C4" w:rsidRDefault="009470DB" w:rsidP="009470DB">
      <w:pPr>
        <w:pStyle w:val="H23G"/>
      </w:pPr>
      <w:r>
        <w:tab/>
      </w:r>
      <w:r>
        <w:tab/>
      </w:r>
      <w:r w:rsidR="003359C4" w:rsidRPr="003359C4">
        <w:t>Participation in cultural life, recreation, leisure and sport (art.</w:t>
      </w:r>
      <w:r w:rsidR="004A6548">
        <w:t> </w:t>
      </w:r>
      <w:r w:rsidR="003359C4" w:rsidRPr="003359C4">
        <w:t>30)</w:t>
      </w:r>
    </w:p>
    <w:p w:rsidR="003359C4" w:rsidRPr="003359C4" w:rsidRDefault="000E4457" w:rsidP="000E4457">
      <w:pPr>
        <w:pStyle w:val="SingleTxtG"/>
        <w:tabs>
          <w:tab w:val="left" w:pos="1701"/>
        </w:tabs>
      </w:pPr>
      <w:r w:rsidRPr="003359C4">
        <w:rPr>
          <w:color w:val="000000"/>
        </w:rPr>
        <w:t>59.</w:t>
      </w:r>
      <w:r w:rsidRPr="003359C4">
        <w:rPr>
          <w:color w:val="000000"/>
        </w:rPr>
        <w:tab/>
      </w:r>
      <w:r w:rsidR="003359C4" w:rsidRPr="003359C4">
        <w:t>The Committee is concerned that the State party has not ratified the Marrakesh Treaty to Facilitate Access to Published Works for Persons Who Are Blind, Visually Impaired, or Otherwise Print Disabled, which allows access to published material to blind persons, persons with visual impairments or persons who have other difficulties in accessing printed materials.</w:t>
      </w:r>
    </w:p>
    <w:p w:rsidR="003359C4" w:rsidRPr="00342ABB" w:rsidRDefault="000E4457" w:rsidP="000E4457">
      <w:pPr>
        <w:pStyle w:val="SingleTxtG"/>
        <w:tabs>
          <w:tab w:val="left" w:pos="1701"/>
        </w:tabs>
        <w:rPr>
          <w:b/>
        </w:rPr>
      </w:pPr>
      <w:r w:rsidRPr="00342ABB">
        <w:rPr>
          <w:color w:val="000000"/>
        </w:rPr>
        <w:t>60.</w:t>
      </w:r>
      <w:r w:rsidRPr="00342ABB">
        <w:rPr>
          <w:color w:val="000000"/>
        </w:rPr>
        <w:tab/>
      </w:r>
      <w:r w:rsidR="003359C4" w:rsidRPr="00342ABB">
        <w:rPr>
          <w:b/>
        </w:rPr>
        <w:t xml:space="preserve">The Committee encourages the State party to take all appropriate measures to ratify and implement </w:t>
      </w:r>
      <w:r w:rsidR="00F2080B" w:rsidRPr="00342ABB">
        <w:rPr>
          <w:b/>
        </w:rPr>
        <w:t>as soon as possible</w:t>
      </w:r>
      <w:r w:rsidR="00832938">
        <w:rPr>
          <w:b/>
        </w:rPr>
        <w:t xml:space="preserve"> </w:t>
      </w:r>
      <w:r w:rsidR="003359C4" w:rsidRPr="00342ABB">
        <w:rPr>
          <w:b/>
        </w:rPr>
        <w:t xml:space="preserve">the Marrakesh Treaty </w:t>
      </w:r>
      <w:r w:rsidR="00F2080B" w:rsidRPr="00F2080B">
        <w:rPr>
          <w:b/>
        </w:rPr>
        <w:t>to Facilitate Access to Published Works for Persons Who Are Blind, Visually Impaired, or Otherwise Print Disabled</w:t>
      </w:r>
      <w:r w:rsidR="003359C4" w:rsidRPr="00342ABB">
        <w:rPr>
          <w:b/>
        </w:rPr>
        <w:t>.</w:t>
      </w:r>
    </w:p>
    <w:p w:rsidR="003359C4" w:rsidRPr="003359C4" w:rsidRDefault="009470DB" w:rsidP="000E4457">
      <w:pPr>
        <w:pStyle w:val="H1G"/>
        <w:rPr>
          <w:rFonts w:eastAsia="SimSun"/>
        </w:rPr>
      </w:pPr>
      <w:r>
        <w:rPr>
          <w:rFonts w:eastAsia="SimSun"/>
        </w:rPr>
        <w:tab/>
      </w:r>
      <w:r w:rsidR="003359C4" w:rsidRPr="003359C4">
        <w:rPr>
          <w:rFonts w:eastAsia="SimSun"/>
        </w:rPr>
        <w:t>C.</w:t>
      </w:r>
      <w:r>
        <w:rPr>
          <w:rFonts w:eastAsia="SimSun"/>
        </w:rPr>
        <w:tab/>
      </w:r>
      <w:r w:rsidR="003359C4" w:rsidRPr="003359C4">
        <w:rPr>
          <w:rFonts w:eastAsia="SimSun"/>
        </w:rPr>
        <w:t xml:space="preserve">Special obligations </w:t>
      </w:r>
    </w:p>
    <w:p w:rsidR="003359C4" w:rsidRPr="003359C4" w:rsidRDefault="003359C4" w:rsidP="009470DB">
      <w:pPr>
        <w:pStyle w:val="H23G"/>
        <w:rPr>
          <w:lang w:eastAsia="sr-Latn-CS"/>
        </w:rPr>
      </w:pPr>
      <w:r w:rsidRPr="003359C4">
        <w:rPr>
          <w:lang w:eastAsia="sr-Latn-CS"/>
        </w:rPr>
        <w:tab/>
      </w:r>
      <w:r w:rsidR="009470DB">
        <w:rPr>
          <w:lang w:eastAsia="sr-Latn-CS"/>
        </w:rPr>
        <w:tab/>
      </w:r>
      <w:r w:rsidRPr="003359C4">
        <w:rPr>
          <w:lang w:eastAsia="sr-Latn-CS"/>
        </w:rPr>
        <w:t>National implementation and monitoring (art.</w:t>
      </w:r>
      <w:r w:rsidR="004A6548">
        <w:rPr>
          <w:lang w:eastAsia="sr-Latn-CS"/>
        </w:rPr>
        <w:t> </w:t>
      </w:r>
      <w:r w:rsidRPr="003359C4">
        <w:rPr>
          <w:lang w:eastAsia="sr-Latn-CS"/>
        </w:rPr>
        <w:t xml:space="preserve">33) </w:t>
      </w:r>
    </w:p>
    <w:p w:rsidR="003359C4" w:rsidRPr="003359C4" w:rsidRDefault="000E4457" w:rsidP="000E4457">
      <w:pPr>
        <w:pStyle w:val="SingleTxtG"/>
        <w:tabs>
          <w:tab w:val="left" w:pos="1701"/>
        </w:tabs>
        <w:rPr>
          <w:bCs/>
        </w:rPr>
      </w:pPr>
      <w:r w:rsidRPr="003359C4">
        <w:rPr>
          <w:bCs/>
          <w:color w:val="000000"/>
        </w:rPr>
        <w:t>61.</w:t>
      </w:r>
      <w:r w:rsidRPr="003359C4">
        <w:rPr>
          <w:bCs/>
          <w:color w:val="000000"/>
        </w:rPr>
        <w:tab/>
      </w:r>
      <w:r w:rsidR="003359C4" w:rsidRPr="003359C4">
        <w:rPr>
          <w:bCs/>
        </w:rPr>
        <w:t xml:space="preserve">The </w:t>
      </w:r>
      <w:r w:rsidR="003359C4" w:rsidRPr="00342ABB">
        <w:t>Committee</w:t>
      </w:r>
      <w:r w:rsidR="003359C4" w:rsidRPr="003359C4">
        <w:rPr>
          <w:bCs/>
        </w:rPr>
        <w:t xml:space="preserve"> notes with concern t</w:t>
      </w:r>
      <w:r w:rsidR="003359C4" w:rsidRPr="003359C4">
        <w:rPr>
          <w:bCs/>
          <w:lang w:val="en-US"/>
        </w:rPr>
        <w:t xml:space="preserve">he lack </w:t>
      </w:r>
      <w:r w:rsidR="003359C4" w:rsidRPr="003359C4">
        <w:rPr>
          <w:bCs/>
        </w:rPr>
        <w:t xml:space="preserve">of </w:t>
      </w:r>
      <w:r w:rsidR="00F2080B">
        <w:rPr>
          <w:bCs/>
        </w:rPr>
        <w:t xml:space="preserve">an </w:t>
      </w:r>
      <w:r w:rsidR="003359C4" w:rsidRPr="003359C4">
        <w:rPr>
          <w:rFonts w:eastAsia="Calibri"/>
        </w:rPr>
        <w:t>independent national monitoring mechanism</w:t>
      </w:r>
      <w:r w:rsidR="00F2080B">
        <w:rPr>
          <w:rFonts w:eastAsia="Calibri"/>
        </w:rPr>
        <w:t>, as required under</w:t>
      </w:r>
      <w:r w:rsidR="003359C4" w:rsidRPr="003359C4">
        <w:rPr>
          <w:rFonts w:eastAsia="Calibri"/>
        </w:rPr>
        <w:t xml:space="preserve"> article 33</w:t>
      </w:r>
      <w:r w:rsidR="0042707F">
        <w:rPr>
          <w:rFonts w:eastAsia="Calibri"/>
        </w:rPr>
        <w:t xml:space="preserve"> (2)</w:t>
      </w:r>
      <w:r w:rsidR="003359C4" w:rsidRPr="003359C4">
        <w:rPr>
          <w:rFonts w:eastAsia="Calibri"/>
        </w:rPr>
        <w:t xml:space="preserve"> of the Convention.</w:t>
      </w:r>
    </w:p>
    <w:p w:rsidR="003359C4" w:rsidRPr="00342ABB" w:rsidRDefault="000E4457" w:rsidP="000E4457">
      <w:pPr>
        <w:pStyle w:val="SingleTxtG"/>
        <w:tabs>
          <w:tab w:val="left" w:pos="1701"/>
        </w:tabs>
        <w:rPr>
          <w:b/>
        </w:rPr>
      </w:pPr>
      <w:r w:rsidRPr="00342ABB">
        <w:rPr>
          <w:color w:val="000000"/>
        </w:rPr>
        <w:t>62.</w:t>
      </w:r>
      <w:r w:rsidRPr="00342ABB">
        <w:rPr>
          <w:color w:val="000000"/>
        </w:rPr>
        <w:tab/>
      </w:r>
      <w:r w:rsidR="003359C4" w:rsidRPr="00342ABB">
        <w:rPr>
          <w:b/>
          <w:bCs/>
        </w:rPr>
        <w:t>The Committee</w:t>
      </w:r>
      <w:r w:rsidR="003359C4" w:rsidRPr="00342ABB">
        <w:rPr>
          <w:rFonts w:eastAsia="Calibri"/>
          <w:b/>
        </w:rPr>
        <w:t xml:space="preserve"> recommends </w:t>
      </w:r>
      <w:proofErr w:type="spellStart"/>
      <w:r w:rsidR="003359C4" w:rsidRPr="00342ABB">
        <w:rPr>
          <w:rFonts w:eastAsia="Calibri"/>
          <w:b/>
        </w:rPr>
        <w:t>th</w:t>
      </w:r>
      <w:proofErr w:type="spellEnd"/>
      <w:r w:rsidR="003359C4" w:rsidRPr="00342ABB">
        <w:rPr>
          <w:rFonts w:eastAsia="Calibri"/>
          <w:b/>
          <w:lang w:val="en-US"/>
        </w:rPr>
        <w:t xml:space="preserve">at the Office of </w:t>
      </w:r>
      <w:r w:rsidR="00F2080B">
        <w:rPr>
          <w:rFonts w:eastAsia="Calibri"/>
          <w:b/>
          <w:lang w:val="en-US"/>
        </w:rPr>
        <w:t xml:space="preserve">the </w:t>
      </w:r>
      <w:r w:rsidR="003359C4" w:rsidRPr="00342ABB">
        <w:rPr>
          <w:rFonts w:eastAsia="Calibri"/>
          <w:b/>
          <w:lang w:val="en-US"/>
        </w:rPr>
        <w:t xml:space="preserve">Ombudsperson </w:t>
      </w:r>
      <w:r w:rsidR="00F2080B">
        <w:rPr>
          <w:rFonts w:eastAsia="Calibri"/>
          <w:b/>
          <w:lang w:val="en-US"/>
        </w:rPr>
        <w:t xml:space="preserve">of </w:t>
      </w:r>
      <w:r w:rsidR="00F2080B" w:rsidRPr="00342ABB">
        <w:rPr>
          <w:rFonts w:eastAsia="Calibri"/>
          <w:b/>
          <w:lang w:val="en-US"/>
        </w:rPr>
        <w:t xml:space="preserve">the State party </w:t>
      </w:r>
      <w:r w:rsidR="003359C4" w:rsidRPr="00342ABB">
        <w:rPr>
          <w:rFonts w:eastAsia="Calibri"/>
          <w:b/>
          <w:lang w:val="en-US"/>
        </w:rPr>
        <w:t>be entrusted with the mandate of the</w:t>
      </w:r>
      <w:r w:rsidR="003359C4" w:rsidRPr="00342ABB">
        <w:rPr>
          <w:rFonts w:eastAsia="Calibri"/>
          <w:b/>
        </w:rPr>
        <w:t xml:space="preserve"> independent national monitoring mechanism </w:t>
      </w:r>
      <w:r w:rsidR="00F2080B">
        <w:rPr>
          <w:rFonts w:eastAsia="Calibri"/>
          <w:b/>
        </w:rPr>
        <w:t>required under</w:t>
      </w:r>
      <w:r w:rsidR="003359C4" w:rsidRPr="00342ABB">
        <w:rPr>
          <w:rFonts w:eastAsia="Calibri"/>
          <w:b/>
        </w:rPr>
        <w:t xml:space="preserve"> article</w:t>
      </w:r>
      <w:r w:rsidR="004A6548">
        <w:rPr>
          <w:rFonts w:eastAsia="Calibri"/>
          <w:b/>
        </w:rPr>
        <w:t> </w:t>
      </w:r>
      <w:r w:rsidR="003359C4" w:rsidRPr="00342ABB">
        <w:rPr>
          <w:rFonts w:eastAsia="Calibri"/>
          <w:b/>
        </w:rPr>
        <w:t xml:space="preserve">33, </w:t>
      </w:r>
      <w:r w:rsidR="003359C4" w:rsidRPr="00342ABB">
        <w:rPr>
          <w:b/>
        </w:rPr>
        <w:t>paragraph</w:t>
      </w:r>
      <w:r w:rsidR="004A6548">
        <w:rPr>
          <w:rFonts w:eastAsia="Calibri"/>
          <w:b/>
        </w:rPr>
        <w:t> </w:t>
      </w:r>
      <w:r w:rsidR="003359C4" w:rsidRPr="00342ABB">
        <w:rPr>
          <w:rFonts w:eastAsia="Calibri"/>
          <w:b/>
        </w:rPr>
        <w:t xml:space="preserve">2, of the Convention and in accordance with the principles relating to the status of national institutions for the promotion and protection of human rights (Paris Principles), with </w:t>
      </w:r>
      <w:r w:rsidR="00F2080B">
        <w:rPr>
          <w:rFonts w:eastAsia="Calibri"/>
          <w:b/>
        </w:rPr>
        <w:t xml:space="preserve">the </w:t>
      </w:r>
      <w:r w:rsidR="003359C4" w:rsidRPr="00342ABB">
        <w:rPr>
          <w:rFonts w:eastAsia="Calibri"/>
          <w:b/>
        </w:rPr>
        <w:t xml:space="preserve">allocation of adequate financial and human resources. </w:t>
      </w:r>
    </w:p>
    <w:p w:rsidR="003359C4" w:rsidRPr="003359C4" w:rsidRDefault="009470DB" w:rsidP="009470DB">
      <w:pPr>
        <w:pStyle w:val="H23G"/>
      </w:pPr>
      <w:r>
        <w:tab/>
      </w:r>
      <w:r>
        <w:tab/>
      </w:r>
      <w:r w:rsidR="003359C4" w:rsidRPr="003359C4">
        <w:t>Follow-up and dissemination</w:t>
      </w:r>
    </w:p>
    <w:p w:rsidR="003359C4" w:rsidRPr="003359C4" w:rsidRDefault="000E4457" w:rsidP="000E4457">
      <w:pPr>
        <w:pStyle w:val="SingleTxtG"/>
        <w:tabs>
          <w:tab w:val="left" w:pos="1701"/>
        </w:tabs>
      </w:pPr>
      <w:r w:rsidRPr="003359C4">
        <w:rPr>
          <w:color w:val="000000"/>
        </w:rPr>
        <w:t>63.</w:t>
      </w:r>
      <w:r w:rsidRPr="003359C4">
        <w:rPr>
          <w:color w:val="000000"/>
        </w:rPr>
        <w:tab/>
      </w:r>
      <w:r w:rsidR="003359C4" w:rsidRPr="003359C4">
        <w:t xml:space="preserve">The </w:t>
      </w:r>
      <w:r w:rsidR="003359C4" w:rsidRPr="003359C4">
        <w:rPr>
          <w:bCs/>
        </w:rPr>
        <w:t xml:space="preserve">Committee </w:t>
      </w:r>
      <w:r w:rsidR="003359C4" w:rsidRPr="003359C4">
        <w:t xml:space="preserve">requests the State party to implement the recommendations of the Committee as contained in the present concluding observations. The Committee recommends that the State party transmit them for consideration and action to members of the Government and Parliament, officials in the relevant </w:t>
      </w:r>
      <w:r w:rsidR="0042707F">
        <w:t>m</w:t>
      </w:r>
      <w:r w:rsidR="003359C4" w:rsidRPr="003359C4">
        <w:t xml:space="preserve">inistries, members of the judiciary and of relevant professional groups, such as education, medical and legal </w:t>
      </w:r>
      <w:r w:rsidR="003359C4" w:rsidRPr="003359C4">
        <w:lastRenderedPageBreak/>
        <w:t>professionals, as well as local authorities and the media, using modern social communication strategies.</w:t>
      </w:r>
    </w:p>
    <w:p w:rsidR="003359C4" w:rsidRPr="003359C4" w:rsidRDefault="000E4457" w:rsidP="000E4457">
      <w:pPr>
        <w:pStyle w:val="SingleTxtG"/>
        <w:tabs>
          <w:tab w:val="left" w:pos="1701"/>
        </w:tabs>
      </w:pPr>
      <w:r w:rsidRPr="003359C4">
        <w:rPr>
          <w:color w:val="000000"/>
        </w:rPr>
        <w:t>64.</w:t>
      </w:r>
      <w:r w:rsidRPr="003359C4">
        <w:rPr>
          <w:color w:val="000000"/>
        </w:rPr>
        <w:tab/>
      </w:r>
      <w:r w:rsidR="003359C4" w:rsidRPr="003359C4">
        <w:t>The Committee strongly encourages the State party to involve civil society organizations, in particular organizations of persons with disabilities, in the preparation of its periodic reports.</w:t>
      </w:r>
    </w:p>
    <w:p w:rsidR="003359C4" w:rsidRPr="003359C4" w:rsidRDefault="000E4457" w:rsidP="000E4457">
      <w:pPr>
        <w:pStyle w:val="SingleTxtG"/>
        <w:tabs>
          <w:tab w:val="left" w:pos="1701"/>
        </w:tabs>
      </w:pPr>
      <w:r w:rsidRPr="003359C4">
        <w:rPr>
          <w:color w:val="000000"/>
        </w:rPr>
        <w:t>65.</w:t>
      </w:r>
      <w:r w:rsidRPr="003359C4">
        <w:rPr>
          <w:color w:val="000000"/>
        </w:rPr>
        <w:tab/>
      </w:r>
      <w:r w:rsidR="003359C4" w:rsidRPr="003359C4">
        <w:t>The Committee requests the State party to disseminate these concluding observations widely, including to non-governmental organizations and representative organizations of persons with disabilities, as well as to persons with disabilities themselves and members of their families, in accessible formats.</w:t>
      </w:r>
    </w:p>
    <w:p w:rsidR="003359C4" w:rsidRPr="003359C4" w:rsidRDefault="000E4457" w:rsidP="000E4457">
      <w:pPr>
        <w:pStyle w:val="SingleTxtG"/>
      </w:pPr>
      <w:r w:rsidRPr="003359C4">
        <w:rPr>
          <w:color w:val="000000"/>
        </w:rPr>
        <w:t>66.</w:t>
      </w:r>
      <w:r w:rsidRPr="003359C4">
        <w:rPr>
          <w:color w:val="000000"/>
        </w:rPr>
        <w:tab/>
      </w:r>
      <w:r w:rsidR="003359C4" w:rsidRPr="003359C4">
        <w:t>The Committee requests that the State party submit within 12 months information in writing on the measures adopted in order to meet the recommendations set out in paragraphs</w:t>
      </w:r>
      <w:r w:rsidR="004A6548">
        <w:t> </w:t>
      </w:r>
      <w:r w:rsidR="000B66D7" w:rsidRPr="000B66D7">
        <w:rPr>
          <w:lang w:val="en-US"/>
        </w:rPr>
        <w:t>32</w:t>
      </w:r>
      <w:r w:rsidR="003359C4" w:rsidRPr="003359C4">
        <w:rPr>
          <w:lang w:val="en-US"/>
        </w:rPr>
        <w:t xml:space="preserve"> and </w:t>
      </w:r>
      <w:r w:rsidR="000B66D7" w:rsidRPr="000B66D7">
        <w:rPr>
          <w:lang w:val="en-US"/>
        </w:rPr>
        <w:t>37</w:t>
      </w:r>
      <w:r w:rsidR="003359C4" w:rsidRPr="003359C4">
        <w:t xml:space="preserve"> above.</w:t>
      </w:r>
    </w:p>
    <w:p w:rsidR="003359C4" w:rsidRPr="003359C4" w:rsidRDefault="009470DB" w:rsidP="009470DB">
      <w:pPr>
        <w:pStyle w:val="H23G"/>
      </w:pPr>
      <w:r>
        <w:tab/>
      </w:r>
      <w:r>
        <w:tab/>
      </w:r>
      <w:r w:rsidR="003359C4" w:rsidRPr="003359C4">
        <w:t>Next report</w:t>
      </w:r>
    </w:p>
    <w:p w:rsidR="003359C4" w:rsidRPr="003359C4" w:rsidRDefault="000E4457" w:rsidP="000E4457">
      <w:pPr>
        <w:pStyle w:val="SingleTxtG"/>
        <w:tabs>
          <w:tab w:val="left" w:pos="1701"/>
        </w:tabs>
        <w:rPr>
          <w:sz w:val="28"/>
          <w:szCs w:val="28"/>
        </w:rPr>
      </w:pPr>
      <w:r w:rsidRPr="003359C4">
        <w:rPr>
          <w:color w:val="000000"/>
        </w:rPr>
        <w:t>67.</w:t>
      </w:r>
      <w:r w:rsidRPr="003359C4">
        <w:rPr>
          <w:color w:val="000000"/>
        </w:rPr>
        <w:tab/>
      </w:r>
      <w:r w:rsidR="003359C4" w:rsidRPr="003359C4">
        <w:t xml:space="preserve">The Committee requests </w:t>
      </w:r>
      <w:r w:rsidR="0042707F">
        <w:t xml:space="preserve">that </w:t>
      </w:r>
      <w:r w:rsidR="003359C4" w:rsidRPr="003359C4">
        <w:t>the State party submit its combined second and third periodic reports no later than 28 October 2019 and to include therein information on the implementation of the present concluding observations.</w:t>
      </w:r>
      <w:r w:rsidR="0011192C">
        <w:t xml:space="preserve"> The Committee invites the State party to consider submitting the above-mentioned reports under the Committee’s simplified reporting procedure, according to which the Committee prepares a list of issues at least one year prior to the due date set for the report/combined reports of a State party. The replies of a State party to such a list of issues constitute its report.</w:t>
      </w:r>
    </w:p>
    <w:p w:rsidR="001C6663" w:rsidRPr="009470DB" w:rsidRDefault="009470DB" w:rsidP="009470DB">
      <w:pPr>
        <w:spacing w:before="240"/>
        <w:ind w:left="1134" w:right="1134"/>
        <w:jc w:val="center"/>
        <w:rPr>
          <w:u w:val="single"/>
        </w:rPr>
      </w:pPr>
      <w:r>
        <w:rPr>
          <w:u w:val="single"/>
        </w:rPr>
        <w:tab/>
      </w:r>
      <w:r>
        <w:rPr>
          <w:u w:val="single"/>
        </w:rPr>
        <w:tab/>
      </w:r>
      <w:r>
        <w:rPr>
          <w:u w:val="single"/>
        </w:rPr>
        <w:tab/>
      </w:r>
    </w:p>
    <w:sectPr w:rsidR="001C6663" w:rsidRPr="009470DB" w:rsidSect="006D3F34">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12D" w:rsidRDefault="00E7312D"/>
  </w:endnote>
  <w:endnote w:type="continuationSeparator" w:id="0">
    <w:p w:rsidR="00E7312D" w:rsidRDefault="00E7312D"/>
  </w:endnote>
  <w:endnote w:type="continuationNotice" w:id="1">
    <w:p w:rsidR="00E7312D" w:rsidRDefault="00E73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0B" w:rsidRPr="003359C4" w:rsidRDefault="00F2080B" w:rsidP="003359C4">
    <w:pPr>
      <w:pStyle w:val="Footer"/>
      <w:tabs>
        <w:tab w:val="right" w:pos="9638"/>
      </w:tabs>
    </w:pPr>
    <w:r w:rsidRPr="003359C4">
      <w:rPr>
        <w:b/>
        <w:sz w:val="18"/>
      </w:rPr>
      <w:fldChar w:fldCharType="begin"/>
    </w:r>
    <w:r w:rsidRPr="003359C4">
      <w:rPr>
        <w:b/>
        <w:sz w:val="18"/>
      </w:rPr>
      <w:instrText xml:space="preserve"> PAGE  \* MERGEFORMAT </w:instrText>
    </w:r>
    <w:r w:rsidRPr="003359C4">
      <w:rPr>
        <w:b/>
        <w:sz w:val="18"/>
      </w:rPr>
      <w:fldChar w:fldCharType="separate"/>
    </w:r>
    <w:r w:rsidR="005261EF">
      <w:rPr>
        <w:b/>
        <w:noProof/>
        <w:sz w:val="18"/>
      </w:rPr>
      <w:t>8</w:t>
    </w:r>
    <w:r w:rsidRPr="003359C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0B" w:rsidRPr="003359C4" w:rsidRDefault="00F2080B" w:rsidP="003359C4">
    <w:pPr>
      <w:pStyle w:val="Footer"/>
      <w:tabs>
        <w:tab w:val="right" w:pos="9638"/>
      </w:tabs>
      <w:rPr>
        <w:b/>
        <w:sz w:val="18"/>
      </w:rPr>
    </w:pPr>
    <w:r>
      <w:tab/>
    </w:r>
    <w:r w:rsidRPr="003359C4">
      <w:rPr>
        <w:b/>
        <w:sz w:val="18"/>
      </w:rPr>
      <w:fldChar w:fldCharType="begin"/>
    </w:r>
    <w:r w:rsidRPr="003359C4">
      <w:rPr>
        <w:b/>
        <w:sz w:val="18"/>
      </w:rPr>
      <w:instrText xml:space="preserve"> PAGE  \* MERGEFORMAT </w:instrText>
    </w:r>
    <w:r w:rsidRPr="003359C4">
      <w:rPr>
        <w:b/>
        <w:sz w:val="18"/>
      </w:rPr>
      <w:fldChar w:fldCharType="separate"/>
    </w:r>
    <w:r w:rsidR="005261EF">
      <w:rPr>
        <w:b/>
        <w:noProof/>
        <w:sz w:val="18"/>
      </w:rPr>
      <w:t>9</w:t>
    </w:r>
    <w:r w:rsidRPr="003359C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0B" w:rsidRPr="003359C4" w:rsidRDefault="00D845AC">
    <w:r>
      <w:rPr>
        <w:noProof/>
        <w:lang w:eastAsia="zh-CN"/>
      </w:rPr>
      <w:drawing>
        <wp:anchor distT="0" distB="0" distL="114300" distR="114300" simplePos="0" relativeHeight="251659264" behindDoc="0" locked="0" layoutInCell="1" allowOverlap="1" wp14:anchorId="78E944FA" wp14:editId="28082973">
          <wp:simplePos x="0" y="0"/>
          <wp:positionH relativeFrom="margin">
            <wp:posOffset>4283710</wp:posOffset>
          </wp:positionH>
          <wp:positionV relativeFrom="margin">
            <wp:posOffset>8207375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pic:spPr>
              </pic:pic>
            </a:graphicData>
          </a:graphic>
          <wp14:sizeRelH relativeFrom="page">
            <wp14:pctWidth>0</wp14:pctWidth>
          </wp14:sizeRelH>
          <wp14:sizeRelV relativeFrom="page">
            <wp14:pctHeight>0</wp14:pctHeight>
          </wp14:sizeRelV>
        </wp:anchor>
      </w:drawing>
    </w:r>
    <w:r w:rsidR="00F2080B">
      <w:t>GE.15</w:t>
    </w:r>
    <w:r w:rsidR="00EA0F03">
      <w:t>-09868 (E)</w:t>
    </w:r>
    <w:r>
      <w:br/>
    </w:r>
    <w:r w:rsidRPr="00D845AC">
      <w:rPr>
        <w:rFonts w:ascii="C39T30Lfz" w:hAnsi="C39T30Lfz"/>
        <w:sz w:val="56"/>
      </w:rPr>
      <w:t></w:t>
    </w:r>
    <w:r w:rsidRPr="00D845AC">
      <w:rPr>
        <w:rFonts w:ascii="C39T30Lfz" w:hAnsi="C39T30Lfz"/>
        <w:sz w:val="56"/>
      </w:rPr>
      <w:t></w:t>
    </w:r>
    <w:r w:rsidRPr="00D845AC">
      <w:rPr>
        <w:rFonts w:ascii="C39T30Lfz" w:hAnsi="C39T30Lfz"/>
        <w:sz w:val="56"/>
      </w:rPr>
      <w:t></w:t>
    </w:r>
    <w:r w:rsidRPr="00D845AC">
      <w:rPr>
        <w:rFonts w:ascii="C39T30Lfz" w:hAnsi="C39T30Lfz"/>
        <w:sz w:val="56"/>
      </w:rPr>
      <w:t></w:t>
    </w:r>
    <w:r w:rsidRPr="00D845AC">
      <w:rPr>
        <w:rFonts w:ascii="C39T30Lfz" w:hAnsi="C39T30Lfz"/>
        <w:sz w:val="56"/>
      </w:rPr>
      <w:t></w:t>
    </w:r>
    <w:r w:rsidRPr="00D845AC">
      <w:rPr>
        <w:rFonts w:ascii="C39T30Lfz" w:hAnsi="C39T30Lfz"/>
        <w:sz w:val="56"/>
      </w:rPr>
      <w:t></w:t>
    </w:r>
    <w:r w:rsidRPr="00D845AC">
      <w:rPr>
        <w:rFonts w:ascii="C39T30Lfz" w:hAnsi="C39T30Lfz"/>
        <w:sz w:val="56"/>
      </w:rPr>
      <w:t></w:t>
    </w:r>
    <w:r w:rsidRPr="00D845AC">
      <w:rPr>
        <w:rFonts w:ascii="C39T30Lfz" w:hAnsi="C39T30Lfz"/>
        <w:sz w:val="56"/>
      </w:rPr>
      <w:t></w:t>
    </w:r>
    <w:r w:rsidRPr="00D845AC">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12D" w:rsidRPr="000B175B" w:rsidRDefault="00E7312D" w:rsidP="000B175B">
      <w:pPr>
        <w:tabs>
          <w:tab w:val="right" w:pos="2155"/>
        </w:tabs>
        <w:spacing w:after="80"/>
        <w:ind w:left="680"/>
        <w:rPr>
          <w:u w:val="single"/>
        </w:rPr>
      </w:pPr>
      <w:r>
        <w:rPr>
          <w:u w:val="single"/>
        </w:rPr>
        <w:tab/>
      </w:r>
    </w:p>
  </w:footnote>
  <w:footnote w:type="continuationSeparator" w:id="0">
    <w:p w:rsidR="00E7312D" w:rsidRPr="00FC68B7" w:rsidRDefault="00E7312D" w:rsidP="00FC68B7">
      <w:pPr>
        <w:tabs>
          <w:tab w:val="left" w:pos="2155"/>
        </w:tabs>
        <w:spacing w:after="80"/>
        <w:ind w:left="680"/>
        <w:rPr>
          <w:u w:val="single"/>
        </w:rPr>
      </w:pPr>
      <w:r>
        <w:rPr>
          <w:u w:val="single"/>
        </w:rPr>
        <w:tab/>
      </w:r>
    </w:p>
  </w:footnote>
  <w:footnote w:type="continuationNotice" w:id="1">
    <w:p w:rsidR="00E7312D" w:rsidRDefault="00E7312D"/>
  </w:footnote>
  <w:footnote w:id="2">
    <w:p w:rsidR="00F2080B" w:rsidRPr="00CC6CC5" w:rsidRDefault="00F2080B" w:rsidP="00492D7A">
      <w:pPr>
        <w:pStyle w:val="FootnoteText"/>
      </w:pPr>
      <w:r>
        <w:tab/>
      </w:r>
      <w:r w:rsidRPr="001F7B98">
        <w:rPr>
          <w:rStyle w:val="FootnoteReference"/>
          <w:sz w:val="20"/>
        </w:rPr>
        <w:t>*</w:t>
      </w:r>
      <w:r>
        <w:rPr>
          <w:sz w:val="20"/>
        </w:rPr>
        <w:tab/>
      </w:r>
      <w:r w:rsidRPr="00CC6CC5">
        <w:t xml:space="preserve">Adopted by the Committee at </w:t>
      </w:r>
      <w:r w:rsidRPr="00492D7A">
        <w:t>its thirteenth session (25 March–17 April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0B" w:rsidRPr="003359C4" w:rsidRDefault="00F2080B">
    <w:pPr>
      <w:pStyle w:val="Header"/>
    </w:pPr>
    <w:r>
      <w:t>CRPD/C/CZE/CO/1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0B" w:rsidRPr="003359C4" w:rsidRDefault="00F2080B" w:rsidP="003359C4">
    <w:pPr>
      <w:pStyle w:val="Header"/>
      <w:jc w:val="right"/>
    </w:pPr>
    <w:r>
      <w:t>CRPD/C/CZE/CO/1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932595D"/>
    <w:multiLevelType w:val="hybridMultilevel"/>
    <w:tmpl w:val="C97C18A4"/>
    <w:lvl w:ilvl="0" w:tplc="89946FCC">
      <w:start w:val="1"/>
      <w:numFmt w:val="decimal"/>
      <w:lvlText w:val="%1."/>
      <w:lvlJc w:val="left"/>
      <w:pPr>
        <w:ind w:left="1854" w:hanging="360"/>
      </w:pPr>
      <w:rPr>
        <w:b w:val="0"/>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445230BA"/>
    <w:multiLevelType w:val="hybridMultilevel"/>
    <w:tmpl w:val="F4E81660"/>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4F901B06"/>
    <w:multiLevelType w:val="hybridMultilevel"/>
    <w:tmpl w:val="6ED8D2DE"/>
    <w:lvl w:ilvl="0" w:tplc="087CD54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65DF5B94"/>
    <w:multiLevelType w:val="hybridMultilevel"/>
    <w:tmpl w:val="B5C4CB60"/>
    <w:lvl w:ilvl="0" w:tplc="F5B00C7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FF724EE"/>
    <w:multiLevelType w:val="hybridMultilevel"/>
    <w:tmpl w:val="DA6024BA"/>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78802156"/>
    <w:multiLevelType w:val="hybridMultilevel"/>
    <w:tmpl w:val="7EBA1BCA"/>
    <w:lvl w:ilvl="0" w:tplc="732CC25E">
      <w:start w:val="1"/>
      <w:numFmt w:val="decimal"/>
      <w:lvlText w:val="%1."/>
      <w:lvlJc w:val="left"/>
      <w:pPr>
        <w:ind w:left="1353" w:hanging="360"/>
      </w:pPr>
      <w:rPr>
        <w:b w:val="0"/>
        <w:sz w:val="20"/>
        <w:szCs w:val="2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5"/>
  </w:num>
  <w:num w:numId="3">
    <w:abstractNumId w:val="7"/>
  </w:num>
  <w:num w:numId="4">
    <w:abstractNumId w:val="1"/>
  </w:num>
  <w:num w:numId="5">
    <w:abstractNumId w:val="2"/>
  </w:num>
  <w:num w:numId="6">
    <w:abstractNumId w:val="4"/>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C4"/>
    <w:rsid w:val="00004557"/>
    <w:rsid w:val="00005A32"/>
    <w:rsid w:val="000130A7"/>
    <w:rsid w:val="00032FF2"/>
    <w:rsid w:val="00041D4E"/>
    <w:rsid w:val="0004413B"/>
    <w:rsid w:val="00050F6B"/>
    <w:rsid w:val="000527A5"/>
    <w:rsid w:val="00056A0E"/>
    <w:rsid w:val="00061A0B"/>
    <w:rsid w:val="00072C8C"/>
    <w:rsid w:val="000733B5"/>
    <w:rsid w:val="00073BDF"/>
    <w:rsid w:val="00075DDA"/>
    <w:rsid w:val="00077485"/>
    <w:rsid w:val="000931C0"/>
    <w:rsid w:val="000A5D3B"/>
    <w:rsid w:val="000B175B"/>
    <w:rsid w:val="000B3A0F"/>
    <w:rsid w:val="000B4EF7"/>
    <w:rsid w:val="000B66D7"/>
    <w:rsid w:val="000C1462"/>
    <w:rsid w:val="000C24B4"/>
    <w:rsid w:val="000C2D2E"/>
    <w:rsid w:val="000D71E4"/>
    <w:rsid w:val="000E0415"/>
    <w:rsid w:val="000E050A"/>
    <w:rsid w:val="000E3CCF"/>
    <w:rsid w:val="000E4457"/>
    <w:rsid w:val="000F0941"/>
    <w:rsid w:val="000F2608"/>
    <w:rsid w:val="00107F09"/>
    <w:rsid w:val="001103AA"/>
    <w:rsid w:val="0011192C"/>
    <w:rsid w:val="00121A54"/>
    <w:rsid w:val="00125477"/>
    <w:rsid w:val="00136B00"/>
    <w:rsid w:val="00151E31"/>
    <w:rsid w:val="00154359"/>
    <w:rsid w:val="00155467"/>
    <w:rsid w:val="00157EEF"/>
    <w:rsid w:val="00180D95"/>
    <w:rsid w:val="0018711F"/>
    <w:rsid w:val="00190F5F"/>
    <w:rsid w:val="001B19CA"/>
    <w:rsid w:val="001B4B04"/>
    <w:rsid w:val="001B4BEE"/>
    <w:rsid w:val="001B61D2"/>
    <w:rsid w:val="001C026C"/>
    <w:rsid w:val="001C353C"/>
    <w:rsid w:val="001C6663"/>
    <w:rsid w:val="001C7895"/>
    <w:rsid w:val="001D26DF"/>
    <w:rsid w:val="001E5143"/>
    <w:rsid w:val="001E5AA0"/>
    <w:rsid w:val="00202DA8"/>
    <w:rsid w:val="00211E0B"/>
    <w:rsid w:val="0023360A"/>
    <w:rsid w:val="00234484"/>
    <w:rsid w:val="002435D4"/>
    <w:rsid w:val="002449F6"/>
    <w:rsid w:val="002457B9"/>
    <w:rsid w:val="00255BCC"/>
    <w:rsid w:val="0025756B"/>
    <w:rsid w:val="00261CA5"/>
    <w:rsid w:val="00267ADB"/>
    <w:rsid w:val="00280753"/>
    <w:rsid w:val="00282071"/>
    <w:rsid w:val="0029035B"/>
    <w:rsid w:val="00292581"/>
    <w:rsid w:val="002A15EC"/>
    <w:rsid w:val="002C185F"/>
    <w:rsid w:val="002D05B5"/>
    <w:rsid w:val="002F175C"/>
    <w:rsid w:val="002F1787"/>
    <w:rsid w:val="00302AB2"/>
    <w:rsid w:val="00311886"/>
    <w:rsid w:val="003229D8"/>
    <w:rsid w:val="00323AE6"/>
    <w:rsid w:val="003359C4"/>
    <w:rsid w:val="00342ABB"/>
    <w:rsid w:val="00352709"/>
    <w:rsid w:val="003527FD"/>
    <w:rsid w:val="00353843"/>
    <w:rsid w:val="00356C3C"/>
    <w:rsid w:val="00361AEC"/>
    <w:rsid w:val="00367403"/>
    <w:rsid w:val="00371178"/>
    <w:rsid w:val="00380C68"/>
    <w:rsid w:val="003A287B"/>
    <w:rsid w:val="003A4810"/>
    <w:rsid w:val="003A6810"/>
    <w:rsid w:val="003B6E0E"/>
    <w:rsid w:val="003C0BF5"/>
    <w:rsid w:val="003C2CC4"/>
    <w:rsid w:val="003D4B23"/>
    <w:rsid w:val="003E2D1E"/>
    <w:rsid w:val="003E71A0"/>
    <w:rsid w:val="0040104D"/>
    <w:rsid w:val="00405DDC"/>
    <w:rsid w:val="00410C89"/>
    <w:rsid w:val="0042707F"/>
    <w:rsid w:val="004302B0"/>
    <w:rsid w:val="00430964"/>
    <w:rsid w:val="004325CB"/>
    <w:rsid w:val="00437E95"/>
    <w:rsid w:val="00447E4A"/>
    <w:rsid w:val="0045495B"/>
    <w:rsid w:val="0046313C"/>
    <w:rsid w:val="0046491F"/>
    <w:rsid w:val="00473B0A"/>
    <w:rsid w:val="00474D25"/>
    <w:rsid w:val="004922F0"/>
    <w:rsid w:val="00492D7A"/>
    <w:rsid w:val="004A6548"/>
    <w:rsid w:val="004B7BE9"/>
    <w:rsid w:val="004D1F4F"/>
    <w:rsid w:val="004D25E4"/>
    <w:rsid w:val="004F3A5A"/>
    <w:rsid w:val="0050154A"/>
    <w:rsid w:val="0050276D"/>
    <w:rsid w:val="00505E4F"/>
    <w:rsid w:val="00517B36"/>
    <w:rsid w:val="005261EF"/>
    <w:rsid w:val="00535FF5"/>
    <w:rsid w:val="005420F2"/>
    <w:rsid w:val="00542336"/>
    <w:rsid w:val="00542B51"/>
    <w:rsid w:val="005475EF"/>
    <w:rsid w:val="005661E5"/>
    <w:rsid w:val="005672A1"/>
    <w:rsid w:val="00584A5C"/>
    <w:rsid w:val="005A0BE8"/>
    <w:rsid w:val="005B3DB3"/>
    <w:rsid w:val="005B6850"/>
    <w:rsid w:val="005C2D97"/>
    <w:rsid w:val="005C6A79"/>
    <w:rsid w:val="005D55BB"/>
    <w:rsid w:val="005D5A28"/>
    <w:rsid w:val="005F0E77"/>
    <w:rsid w:val="006001EE"/>
    <w:rsid w:val="006036F7"/>
    <w:rsid w:val="00611FC4"/>
    <w:rsid w:val="00613AE6"/>
    <w:rsid w:val="006176FB"/>
    <w:rsid w:val="00623C1D"/>
    <w:rsid w:val="00626FB2"/>
    <w:rsid w:val="00640B26"/>
    <w:rsid w:val="00646687"/>
    <w:rsid w:val="00653D3B"/>
    <w:rsid w:val="00660544"/>
    <w:rsid w:val="00667387"/>
    <w:rsid w:val="0067181D"/>
    <w:rsid w:val="00672038"/>
    <w:rsid w:val="006C273E"/>
    <w:rsid w:val="006C2A7C"/>
    <w:rsid w:val="006C4BAD"/>
    <w:rsid w:val="006C5F51"/>
    <w:rsid w:val="006D3F34"/>
    <w:rsid w:val="006E564B"/>
    <w:rsid w:val="006F35FC"/>
    <w:rsid w:val="006F5342"/>
    <w:rsid w:val="006F638D"/>
    <w:rsid w:val="006F7FC3"/>
    <w:rsid w:val="00701683"/>
    <w:rsid w:val="00701E9A"/>
    <w:rsid w:val="00703DEA"/>
    <w:rsid w:val="0072632A"/>
    <w:rsid w:val="00730AE7"/>
    <w:rsid w:val="007343D0"/>
    <w:rsid w:val="0075151E"/>
    <w:rsid w:val="0076047A"/>
    <w:rsid w:val="00760A05"/>
    <w:rsid w:val="00760FDC"/>
    <w:rsid w:val="007736B9"/>
    <w:rsid w:val="00790EFD"/>
    <w:rsid w:val="007933CD"/>
    <w:rsid w:val="007B2D31"/>
    <w:rsid w:val="007B442A"/>
    <w:rsid w:val="007B6BA5"/>
    <w:rsid w:val="007C3390"/>
    <w:rsid w:val="007C4F4B"/>
    <w:rsid w:val="007C78BD"/>
    <w:rsid w:val="007F6611"/>
    <w:rsid w:val="00801C4A"/>
    <w:rsid w:val="00817B4E"/>
    <w:rsid w:val="008242D7"/>
    <w:rsid w:val="00832938"/>
    <w:rsid w:val="00842A7E"/>
    <w:rsid w:val="0085226B"/>
    <w:rsid w:val="00854597"/>
    <w:rsid w:val="00871C22"/>
    <w:rsid w:val="008965EB"/>
    <w:rsid w:val="008979B1"/>
    <w:rsid w:val="008A6B25"/>
    <w:rsid w:val="008A6C4F"/>
    <w:rsid w:val="008A73F0"/>
    <w:rsid w:val="008B2335"/>
    <w:rsid w:val="008C4480"/>
    <w:rsid w:val="008C6E31"/>
    <w:rsid w:val="009015DF"/>
    <w:rsid w:val="009038E3"/>
    <w:rsid w:val="00903DDA"/>
    <w:rsid w:val="00917CAE"/>
    <w:rsid w:val="0092215D"/>
    <w:rsid w:val="009223CA"/>
    <w:rsid w:val="00925EEB"/>
    <w:rsid w:val="00927137"/>
    <w:rsid w:val="009314BF"/>
    <w:rsid w:val="00940F93"/>
    <w:rsid w:val="00946DBF"/>
    <w:rsid w:val="009470DB"/>
    <w:rsid w:val="00964C81"/>
    <w:rsid w:val="009806AE"/>
    <w:rsid w:val="009849B5"/>
    <w:rsid w:val="00993D22"/>
    <w:rsid w:val="009951D5"/>
    <w:rsid w:val="009B0F0E"/>
    <w:rsid w:val="009B6918"/>
    <w:rsid w:val="009C14AA"/>
    <w:rsid w:val="009D2D1C"/>
    <w:rsid w:val="009F0347"/>
    <w:rsid w:val="009F3727"/>
    <w:rsid w:val="009F7711"/>
    <w:rsid w:val="009F7C5D"/>
    <w:rsid w:val="00A0012E"/>
    <w:rsid w:val="00A01489"/>
    <w:rsid w:val="00A11650"/>
    <w:rsid w:val="00A32DFF"/>
    <w:rsid w:val="00A3553B"/>
    <w:rsid w:val="00A36914"/>
    <w:rsid w:val="00A41F7E"/>
    <w:rsid w:val="00A50255"/>
    <w:rsid w:val="00A564AA"/>
    <w:rsid w:val="00A60021"/>
    <w:rsid w:val="00A60631"/>
    <w:rsid w:val="00A612EE"/>
    <w:rsid w:val="00A72F22"/>
    <w:rsid w:val="00A73694"/>
    <w:rsid w:val="00A748A6"/>
    <w:rsid w:val="00A776B4"/>
    <w:rsid w:val="00A87A40"/>
    <w:rsid w:val="00A94361"/>
    <w:rsid w:val="00AA03F6"/>
    <w:rsid w:val="00AA6126"/>
    <w:rsid w:val="00AB0B9E"/>
    <w:rsid w:val="00AC44D7"/>
    <w:rsid w:val="00AD0FC0"/>
    <w:rsid w:val="00AD309E"/>
    <w:rsid w:val="00AF51CA"/>
    <w:rsid w:val="00B06775"/>
    <w:rsid w:val="00B2231C"/>
    <w:rsid w:val="00B30179"/>
    <w:rsid w:val="00B4629D"/>
    <w:rsid w:val="00B56963"/>
    <w:rsid w:val="00B56E9C"/>
    <w:rsid w:val="00B64B1F"/>
    <w:rsid w:val="00B6553F"/>
    <w:rsid w:val="00B81E12"/>
    <w:rsid w:val="00B956FE"/>
    <w:rsid w:val="00BA310A"/>
    <w:rsid w:val="00BB6DCB"/>
    <w:rsid w:val="00BC554A"/>
    <w:rsid w:val="00BC74E9"/>
    <w:rsid w:val="00BE37B8"/>
    <w:rsid w:val="00BE70F6"/>
    <w:rsid w:val="00BF1BC5"/>
    <w:rsid w:val="00BF68A8"/>
    <w:rsid w:val="00C213A4"/>
    <w:rsid w:val="00C21668"/>
    <w:rsid w:val="00C3206E"/>
    <w:rsid w:val="00C461AA"/>
    <w:rsid w:val="00C463DD"/>
    <w:rsid w:val="00C4724C"/>
    <w:rsid w:val="00C50198"/>
    <w:rsid w:val="00C55201"/>
    <w:rsid w:val="00C629A0"/>
    <w:rsid w:val="00C63CD1"/>
    <w:rsid w:val="00C745C3"/>
    <w:rsid w:val="00C75FB9"/>
    <w:rsid w:val="00C77B83"/>
    <w:rsid w:val="00C92C8C"/>
    <w:rsid w:val="00C93D7E"/>
    <w:rsid w:val="00CA5F82"/>
    <w:rsid w:val="00CA7A70"/>
    <w:rsid w:val="00CB4D18"/>
    <w:rsid w:val="00CB6F67"/>
    <w:rsid w:val="00CC00AC"/>
    <w:rsid w:val="00CC1F82"/>
    <w:rsid w:val="00CC7FE0"/>
    <w:rsid w:val="00CE089B"/>
    <w:rsid w:val="00CE4A8F"/>
    <w:rsid w:val="00CF2DDA"/>
    <w:rsid w:val="00D0742B"/>
    <w:rsid w:val="00D1476D"/>
    <w:rsid w:val="00D1539E"/>
    <w:rsid w:val="00D2031B"/>
    <w:rsid w:val="00D218CB"/>
    <w:rsid w:val="00D25FE2"/>
    <w:rsid w:val="00D261E6"/>
    <w:rsid w:val="00D361BA"/>
    <w:rsid w:val="00D36F85"/>
    <w:rsid w:val="00D43252"/>
    <w:rsid w:val="00D51E7F"/>
    <w:rsid w:val="00D61258"/>
    <w:rsid w:val="00D6147A"/>
    <w:rsid w:val="00D845AC"/>
    <w:rsid w:val="00D85C43"/>
    <w:rsid w:val="00D96696"/>
    <w:rsid w:val="00D978C6"/>
    <w:rsid w:val="00DA3C1C"/>
    <w:rsid w:val="00DD03BE"/>
    <w:rsid w:val="00DD5C7A"/>
    <w:rsid w:val="00DE4AD5"/>
    <w:rsid w:val="00E06529"/>
    <w:rsid w:val="00E25C80"/>
    <w:rsid w:val="00E5342D"/>
    <w:rsid w:val="00E66C91"/>
    <w:rsid w:val="00E70781"/>
    <w:rsid w:val="00E71BC8"/>
    <w:rsid w:val="00E7260F"/>
    <w:rsid w:val="00E7312D"/>
    <w:rsid w:val="00E81262"/>
    <w:rsid w:val="00E9023C"/>
    <w:rsid w:val="00E95889"/>
    <w:rsid w:val="00E96630"/>
    <w:rsid w:val="00EA0F03"/>
    <w:rsid w:val="00EB5D27"/>
    <w:rsid w:val="00EC0DC6"/>
    <w:rsid w:val="00ED2FA9"/>
    <w:rsid w:val="00ED32A3"/>
    <w:rsid w:val="00ED7A2A"/>
    <w:rsid w:val="00EE40D6"/>
    <w:rsid w:val="00EE4D26"/>
    <w:rsid w:val="00EF0371"/>
    <w:rsid w:val="00EF1D7F"/>
    <w:rsid w:val="00F11701"/>
    <w:rsid w:val="00F135BD"/>
    <w:rsid w:val="00F17953"/>
    <w:rsid w:val="00F2080B"/>
    <w:rsid w:val="00F30779"/>
    <w:rsid w:val="00F31131"/>
    <w:rsid w:val="00F34583"/>
    <w:rsid w:val="00F504DF"/>
    <w:rsid w:val="00F61713"/>
    <w:rsid w:val="00F70DAB"/>
    <w:rsid w:val="00F81534"/>
    <w:rsid w:val="00F91C6C"/>
    <w:rsid w:val="00F92B04"/>
    <w:rsid w:val="00F9504E"/>
    <w:rsid w:val="00FA271C"/>
    <w:rsid w:val="00FC68B7"/>
    <w:rsid w:val="00FC7178"/>
    <w:rsid w:val="00FD4911"/>
    <w:rsid w:val="00FE2957"/>
    <w:rsid w:val="00FE436C"/>
    <w:rsid w:val="00FF07C1"/>
    <w:rsid w:val="00FF707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3359C4"/>
    <w:rPr>
      <w:sz w:val="18"/>
      <w:lang w:eastAsia="en-US"/>
    </w:rPr>
  </w:style>
  <w:style w:type="paragraph" w:styleId="BalloonText">
    <w:name w:val="Balloon Text"/>
    <w:basedOn w:val="Normal"/>
    <w:link w:val="BalloonTextChar"/>
    <w:rsid w:val="00C55201"/>
    <w:pPr>
      <w:spacing w:line="240" w:lineRule="auto"/>
    </w:pPr>
    <w:rPr>
      <w:rFonts w:ascii="Tahoma" w:hAnsi="Tahoma" w:cs="Tahoma"/>
      <w:sz w:val="16"/>
      <w:szCs w:val="16"/>
    </w:rPr>
  </w:style>
  <w:style w:type="character" w:customStyle="1" w:styleId="BalloonTextChar">
    <w:name w:val="Balloon Text Char"/>
    <w:link w:val="BalloonText"/>
    <w:rsid w:val="00C55201"/>
    <w:rPr>
      <w:rFonts w:ascii="Tahoma" w:hAnsi="Tahoma" w:cs="Tahoma"/>
      <w:sz w:val="16"/>
      <w:szCs w:val="16"/>
      <w:lang w:eastAsia="en-US"/>
    </w:rPr>
  </w:style>
  <w:style w:type="character" w:styleId="CommentReference">
    <w:name w:val="annotation reference"/>
    <w:rsid w:val="00C55201"/>
    <w:rPr>
      <w:sz w:val="16"/>
      <w:szCs w:val="16"/>
    </w:rPr>
  </w:style>
  <w:style w:type="paragraph" w:styleId="CommentText">
    <w:name w:val="annotation text"/>
    <w:basedOn w:val="Normal"/>
    <w:link w:val="CommentTextChar"/>
    <w:rsid w:val="00C55201"/>
  </w:style>
  <w:style w:type="character" w:customStyle="1" w:styleId="CommentTextChar">
    <w:name w:val="Comment Text Char"/>
    <w:link w:val="CommentText"/>
    <w:rsid w:val="00C55201"/>
    <w:rPr>
      <w:lang w:eastAsia="en-US"/>
    </w:rPr>
  </w:style>
  <w:style w:type="paragraph" w:styleId="CommentSubject">
    <w:name w:val="annotation subject"/>
    <w:basedOn w:val="CommentText"/>
    <w:next w:val="CommentText"/>
    <w:link w:val="CommentSubjectChar"/>
    <w:rsid w:val="00C55201"/>
    <w:rPr>
      <w:b/>
      <w:bCs/>
    </w:rPr>
  </w:style>
  <w:style w:type="character" w:customStyle="1" w:styleId="CommentSubjectChar">
    <w:name w:val="Comment Subject Char"/>
    <w:link w:val="CommentSubject"/>
    <w:rsid w:val="00C55201"/>
    <w:rPr>
      <w:b/>
      <w:bCs/>
      <w:lang w:eastAsia="en-US"/>
    </w:rPr>
  </w:style>
  <w:style w:type="paragraph" w:styleId="Revision">
    <w:name w:val="Revision"/>
    <w:hidden/>
    <w:uiPriority w:val="99"/>
    <w:semiHidden/>
    <w:rsid w:val="00073BD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3359C4"/>
    <w:rPr>
      <w:sz w:val="18"/>
      <w:lang w:eastAsia="en-US"/>
    </w:rPr>
  </w:style>
  <w:style w:type="paragraph" w:styleId="BalloonText">
    <w:name w:val="Balloon Text"/>
    <w:basedOn w:val="Normal"/>
    <w:link w:val="BalloonTextChar"/>
    <w:rsid w:val="00C55201"/>
    <w:pPr>
      <w:spacing w:line="240" w:lineRule="auto"/>
    </w:pPr>
    <w:rPr>
      <w:rFonts w:ascii="Tahoma" w:hAnsi="Tahoma" w:cs="Tahoma"/>
      <w:sz w:val="16"/>
      <w:szCs w:val="16"/>
    </w:rPr>
  </w:style>
  <w:style w:type="character" w:customStyle="1" w:styleId="BalloonTextChar">
    <w:name w:val="Balloon Text Char"/>
    <w:link w:val="BalloonText"/>
    <w:rsid w:val="00C55201"/>
    <w:rPr>
      <w:rFonts w:ascii="Tahoma" w:hAnsi="Tahoma" w:cs="Tahoma"/>
      <w:sz w:val="16"/>
      <w:szCs w:val="16"/>
      <w:lang w:eastAsia="en-US"/>
    </w:rPr>
  </w:style>
  <w:style w:type="character" w:styleId="CommentReference">
    <w:name w:val="annotation reference"/>
    <w:rsid w:val="00C55201"/>
    <w:rPr>
      <w:sz w:val="16"/>
      <w:szCs w:val="16"/>
    </w:rPr>
  </w:style>
  <w:style w:type="paragraph" w:styleId="CommentText">
    <w:name w:val="annotation text"/>
    <w:basedOn w:val="Normal"/>
    <w:link w:val="CommentTextChar"/>
    <w:rsid w:val="00C55201"/>
  </w:style>
  <w:style w:type="character" w:customStyle="1" w:styleId="CommentTextChar">
    <w:name w:val="Comment Text Char"/>
    <w:link w:val="CommentText"/>
    <w:rsid w:val="00C55201"/>
    <w:rPr>
      <w:lang w:eastAsia="en-US"/>
    </w:rPr>
  </w:style>
  <w:style w:type="paragraph" w:styleId="CommentSubject">
    <w:name w:val="annotation subject"/>
    <w:basedOn w:val="CommentText"/>
    <w:next w:val="CommentText"/>
    <w:link w:val="CommentSubjectChar"/>
    <w:rsid w:val="00C55201"/>
    <w:rPr>
      <w:b/>
      <w:bCs/>
    </w:rPr>
  </w:style>
  <w:style w:type="character" w:customStyle="1" w:styleId="CommentSubjectChar">
    <w:name w:val="Comment Subject Char"/>
    <w:link w:val="CommentSubject"/>
    <w:rsid w:val="00C55201"/>
    <w:rPr>
      <w:b/>
      <w:bCs/>
      <w:lang w:eastAsia="en-US"/>
    </w:rPr>
  </w:style>
  <w:style w:type="paragraph" w:styleId="Revision">
    <w:name w:val="Revision"/>
    <w:hidden/>
    <w:uiPriority w:val="99"/>
    <w:semiHidden/>
    <w:rsid w:val="00073BD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F8410-B83D-46FF-A3AF-B5522923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CRPD_E.dotm</Template>
  <TotalTime>1</TotalTime>
  <Pages>9</Pages>
  <Words>3809</Words>
  <Characters>21716</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Robert Ouko</dc:creator>
  <cp:keywords/>
  <cp:lastModifiedBy>Temporaire</cp:lastModifiedBy>
  <cp:revision>3</cp:revision>
  <cp:lastPrinted>2015-05-27T10:49:00Z</cp:lastPrinted>
  <dcterms:created xsi:type="dcterms:W3CDTF">2015-05-27T10:49:00Z</dcterms:created>
  <dcterms:modified xsi:type="dcterms:W3CDTF">2015-05-27T10:49:00Z</dcterms:modified>
</cp:coreProperties>
</file>