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456F8D">
                <w:t>C/LTU/CO/3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456F8D">
              <w:rPr>
                <w:lang w:val="en-US"/>
              </w:rPr>
              <w:fldChar w:fldCharType="separate"/>
            </w:r>
            <w:r w:rsidR="00456F8D">
              <w:rPr>
                <w:lang w:val="en-US"/>
              </w:rPr>
              <w:t>31 August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4613B" w:rsidRDefault="00456F8D" w:rsidP="00456F8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F21539" w:rsidRDefault="002800FB" w:rsidP="002800FB">
      <w:pPr>
        <w:pStyle w:val="HChGR"/>
      </w:pPr>
      <w:r>
        <w:tab/>
      </w:r>
      <w:r>
        <w:tab/>
      </w:r>
      <w:r w:rsidR="00F21539">
        <w:t>Рассмотрение докладов, представленных государствам</w:t>
      </w:r>
      <w:r w:rsidR="00E62BDA">
        <w:t>и-участниками в соответствии со</w:t>
      </w:r>
      <w:r w:rsidR="00E62BDA">
        <w:rPr>
          <w:lang w:val="en-US"/>
        </w:rPr>
        <w:t> </w:t>
      </w:r>
      <w:r w:rsidR="00F21539">
        <w:t>статьей 40 Пакта</w:t>
      </w:r>
    </w:p>
    <w:p w:rsidR="00F21539" w:rsidRDefault="002800FB" w:rsidP="002800FB">
      <w:pPr>
        <w:pStyle w:val="H1GR"/>
      </w:pPr>
      <w:r>
        <w:tab/>
      </w:r>
      <w:r>
        <w:tab/>
      </w:r>
      <w:r w:rsidR="00F21539">
        <w:t>Заключительные замечания, принятые Комитетом по правам человека на его сто пятой сессии, состоявшейся 9−27 июля 2012 года</w:t>
      </w:r>
    </w:p>
    <w:p w:rsidR="00F21539" w:rsidRDefault="002800FB" w:rsidP="002800FB">
      <w:pPr>
        <w:pStyle w:val="HChGR"/>
        <w:rPr>
          <w:b w:val="0"/>
          <w:sz w:val="24"/>
        </w:rPr>
      </w:pPr>
      <w:r>
        <w:tab/>
      </w:r>
      <w:r>
        <w:tab/>
      </w:r>
      <w:r w:rsidR="00F21539" w:rsidRPr="002800FB">
        <w:t>Литва</w:t>
      </w:r>
    </w:p>
    <w:p w:rsidR="00F21539" w:rsidRDefault="00F21539" w:rsidP="002800FB">
      <w:pPr>
        <w:pStyle w:val="SingleTxtGR"/>
      </w:pPr>
      <w:r w:rsidRPr="00AC5472">
        <w:t>1.</w:t>
      </w:r>
      <w:r w:rsidRPr="00AC5472">
        <w:tab/>
      </w:r>
      <w:r>
        <w:t>Комитет</w:t>
      </w:r>
      <w:r w:rsidRPr="00AC5472">
        <w:t xml:space="preserve"> </w:t>
      </w:r>
      <w:r>
        <w:t>рассмотрел</w:t>
      </w:r>
      <w:r w:rsidRPr="00AC5472">
        <w:t xml:space="preserve"> </w:t>
      </w:r>
      <w:r>
        <w:t>третий</w:t>
      </w:r>
      <w:r w:rsidRPr="00AC5472">
        <w:t xml:space="preserve"> </w:t>
      </w:r>
      <w:r>
        <w:t>периодич</w:t>
      </w:r>
      <w:r w:rsidRPr="00AC5472">
        <w:t>еский доклад Литвы (</w:t>
      </w:r>
      <w:r w:rsidRPr="00AC5472">
        <w:rPr>
          <w:lang w:val="en-US"/>
        </w:rPr>
        <w:t>CCPR</w:t>
      </w:r>
      <w:r w:rsidRPr="00AC5472">
        <w:t>/</w:t>
      </w:r>
      <w:r w:rsidRPr="00AC5472">
        <w:rPr>
          <w:lang w:val="en-US"/>
        </w:rPr>
        <w:t>C</w:t>
      </w:r>
      <w:r w:rsidRPr="00AC5472">
        <w:t>/</w:t>
      </w:r>
      <w:r w:rsidR="002800FB">
        <w:t xml:space="preserve"> </w:t>
      </w:r>
      <w:r w:rsidRPr="00AC5472">
        <w:rPr>
          <w:lang w:val="en-US"/>
        </w:rPr>
        <w:t>LTU</w:t>
      </w:r>
      <w:r w:rsidRPr="00AC5472">
        <w:t xml:space="preserve">/3) </w:t>
      </w:r>
      <w:r>
        <w:t>на</w:t>
      </w:r>
      <w:r w:rsidRPr="00AC5472">
        <w:t xml:space="preserve"> </w:t>
      </w:r>
      <w:r>
        <w:t>своих</w:t>
      </w:r>
      <w:r w:rsidRPr="00AC5472">
        <w:t xml:space="preserve"> 2896</w:t>
      </w:r>
      <w:r>
        <w:t>-м</w:t>
      </w:r>
      <w:r w:rsidRPr="00AC5472">
        <w:t xml:space="preserve"> </w:t>
      </w:r>
      <w:r>
        <w:t>и</w:t>
      </w:r>
      <w:r w:rsidRPr="00AC5472">
        <w:t xml:space="preserve"> 2897</w:t>
      </w:r>
      <w:r>
        <w:t>-м</w:t>
      </w:r>
      <w:r w:rsidRPr="00AC5472">
        <w:t xml:space="preserve"> </w:t>
      </w:r>
      <w:r>
        <w:t>заседаниях</w:t>
      </w:r>
      <w:r w:rsidRPr="00AC5472">
        <w:t xml:space="preserve"> (</w:t>
      </w:r>
      <w:r w:rsidRPr="00AC5472">
        <w:rPr>
          <w:lang w:val="en-US"/>
        </w:rPr>
        <w:t>CCPR</w:t>
      </w:r>
      <w:r w:rsidRPr="00AC5472">
        <w:t>/</w:t>
      </w:r>
      <w:r w:rsidRPr="00AC5472">
        <w:rPr>
          <w:lang w:val="en-US"/>
        </w:rPr>
        <w:t>C</w:t>
      </w:r>
      <w:r w:rsidRPr="00AC5472">
        <w:t>/</w:t>
      </w:r>
      <w:r w:rsidRPr="00AC5472">
        <w:rPr>
          <w:lang w:val="en-US"/>
        </w:rPr>
        <w:t>SR</w:t>
      </w:r>
      <w:r w:rsidRPr="00AC5472">
        <w:t xml:space="preserve">.2896 </w:t>
      </w:r>
      <w:r>
        <w:t>и</w:t>
      </w:r>
      <w:r w:rsidRPr="00AC5472">
        <w:t xml:space="preserve"> </w:t>
      </w:r>
      <w:r w:rsidRPr="00AC5472">
        <w:rPr>
          <w:lang w:val="en-US"/>
        </w:rPr>
        <w:t>CCPR</w:t>
      </w:r>
      <w:r w:rsidRPr="00AC5472">
        <w:t>/</w:t>
      </w:r>
      <w:r w:rsidRPr="00AC5472">
        <w:rPr>
          <w:lang w:val="en-US"/>
        </w:rPr>
        <w:t>C</w:t>
      </w:r>
      <w:r w:rsidRPr="00AC5472">
        <w:t>/</w:t>
      </w:r>
      <w:r w:rsidR="002800FB">
        <w:t xml:space="preserve"> </w:t>
      </w:r>
      <w:r w:rsidRPr="00AC5472">
        <w:rPr>
          <w:lang w:val="en-US"/>
        </w:rPr>
        <w:t>SR</w:t>
      </w:r>
      <w:r w:rsidRPr="00AC5472">
        <w:t xml:space="preserve">.2897), </w:t>
      </w:r>
      <w:r>
        <w:t>состоявшихся</w:t>
      </w:r>
      <w:r w:rsidRPr="00AC5472">
        <w:t xml:space="preserve"> 10 </w:t>
      </w:r>
      <w:r>
        <w:t>и</w:t>
      </w:r>
      <w:r w:rsidRPr="00AC5472">
        <w:t xml:space="preserve"> 11 </w:t>
      </w:r>
      <w:r>
        <w:t>июля</w:t>
      </w:r>
      <w:r w:rsidRPr="00AC5472">
        <w:t xml:space="preserve"> 2012</w:t>
      </w:r>
      <w:r>
        <w:t xml:space="preserve"> года</w:t>
      </w:r>
      <w:r w:rsidRPr="00AC5472">
        <w:t xml:space="preserve">. </w:t>
      </w:r>
      <w:r>
        <w:t>На своем</w:t>
      </w:r>
      <w:r w:rsidRPr="00AC5472">
        <w:t xml:space="preserve"> 2916</w:t>
      </w:r>
      <w:r>
        <w:t>-м</w:t>
      </w:r>
      <w:r w:rsidRPr="00AC5472">
        <w:t xml:space="preserve"> </w:t>
      </w:r>
      <w:r>
        <w:t>заседании</w:t>
      </w:r>
      <w:r w:rsidRPr="00AC5472">
        <w:t xml:space="preserve"> (</w:t>
      </w:r>
      <w:r w:rsidRPr="00AC5472">
        <w:rPr>
          <w:lang w:val="en-US"/>
        </w:rPr>
        <w:t>CCPR</w:t>
      </w:r>
      <w:r w:rsidRPr="00AC5472">
        <w:t>/</w:t>
      </w:r>
      <w:r w:rsidRPr="00AC5472">
        <w:rPr>
          <w:lang w:val="en-US"/>
        </w:rPr>
        <w:t>C</w:t>
      </w:r>
      <w:r w:rsidRPr="00AC5472">
        <w:t>/</w:t>
      </w:r>
      <w:r w:rsidRPr="00AC5472">
        <w:rPr>
          <w:lang w:val="en-US"/>
        </w:rPr>
        <w:t>SR</w:t>
      </w:r>
      <w:r w:rsidRPr="00AC5472">
        <w:t>.2916.),</w:t>
      </w:r>
      <w:r>
        <w:t xml:space="preserve"> состоявшемся 24 июля 2012 года, он принял следующие з</w:t>
      </w:r>
      <w:r>
        <w:t>а</w:t>
      </w:r>
      <w:r>
        <w:t xml:space="preserve">ключительные замечания. </w:t>
      </w:r>
    </w:p>
    <w:p w:rsidR="00F21539" w:rsidRDefault="002800FB" w:rsidP="002800FB">
      <w:pPr>
        <w:pStyle w:val="H1GR"/>
      </w:pPr>
      <w:r>
        <w:tab/>
      </w:r>
      <w:r w:rsidR="00F21539">
        <w:t>А.</w:t>
      </w:r>
      <w:r>
        <w:tab/>
        <w:t>Введение</w:t>
      </w:r>
    </w:p>
    <w:p w:rsidR="00F21539" w:rsidRDefault="00F21539" w:rsidP="002800FB">
      <w:pPr>
        <w:pStyle w:val="SingleTxtGR"/>
      </w:pPr>
      <w:r>
        <w:t>2.</w:t>
      </w:r>
      <w:r>
        <w:tab/>
        <w:t>Комитет приветствует представление третьего периодического доклада Литвы и содержащуюся в нем информацию. Он выражает удовлетворение в связи с этой возможностью возобновления конструктивного диалога с высок</w:t>
      </w:r>
      <w:r>
        <w:t>о</w:t>
      </w:r>
      <w:r>
        <w:t>поставленной делегацией государства-участника по вопросу о мерах, принятых государством-участником в отчетный период с целью осуществления полож</w:t>
      </w:r>
      <w:r>
        <w:t>е</w:t>
      </w:r>
      <w:r>
        <w:t xml:space="preserve">ний Пакта. Комитет также выражает признательность государству-участнику за его письменные ответы </w:t>
      </w:r>
      <w:r w:rsidRPr="00B50849">
        <w:t>(CCPR/C/LTU/Q/3/Add.1)</w:t>
      </w:r>
      <w:r>
        <w:t xml:space="preserve"> на перечень вопросов и ус</w:t>
      </w:r>
      <w:r>
        <w:t>т</w:t>
      </w:r>
      <w:r>
        <w:t>ные ответы делегации, а также за дополнительную информацию, представле</w:t>
      </w:r>
      <w:r>
        <w:t>н</w:t>
      </w:r>
      <w:r>
        <w:t xml:space="preserve">ную ему в письменном виде. </w:t>
      </w:r>
    </w:p>
    <w:p w:rsidR="00F21539" w:rsidRDefault="002800FB" w:rsidP="002800FB">
      <w:pPr>
        <w:pStyle w:val="H1GR"/>
      </w:pPr>
      <w:r>
        <w:tab/>
      </w:r>
      <w:r w:rsidR="00F21539">
        <w:t>В.</w:t>
      </w:r>
      <w:r w:rsidR="00F21539">
        <w:tab/>
        <w:t xml:space="preserve">Позитивные аспекты </w:t>
      </w:r>
    </w:p>
    <w:p w:rsidR="00F21539" w:rsidRDefault="00F21539" w:rsidP="002800FB">
      <w:pPr>
        <w:pStyle w:val="SingleTxtGR"/>
      </w:pPr>
      <w:r>
        <w:t>3.</w:t>
      </w:r>
      <w:r>
        <w:tab/>
        <w:t xml:space="preserve">Комитет приветствует следующие законодательные и институциональные меры, принятые государством-участником: </w:t>
      </w:r>
    </w:p>
    <w:p w:rsidR="00F21539" w:rsidRPr="00EE4D47" w:rsidRDefault="00F21539" w:rsidP="002800FB">
      <w:pPr>
        <w:pStyle w:val="SingleTxtGR"/>
      </w:pPr>
      <w:r>
        <w:tab/>
      </w:r>
      <w:r>
        <w:rPr>
          <w:lang w:val="en-US"/>
        </w:rPr>
        <w:t>a</w:t>
      </w:r>
      <w:r w:rsidRPr="00EE4D47">
        <w:t>)</w:t>
      </w:r>
      <w:r>
        <w:tab/>
        <w:t>принятие Закона о равных возможностях, который вступил в силу 1</w:t>
      </w:r>
      <w:r w:rsidR="00E62BDA">
        <w:t> </w:t>
      </w:r>
      <w:r>
        <w:t>января 2005 года и который запрещает любую прямую и косвенную дискр</w:t>
      </w:r>
      <w:r>
        <w:t>и</w:t>
      </w:r>
      <w:r>
        <w:t>минацию по признаку возраста, сексуальной ориентации, инвалидности, рас</w:t>
      </w:r>
      <w:r>
        <w:t>о</w:t>
      </w:r>
      <w:r>
        <w:t>во</w:t>
      </w:r>
      <w:r w:rsidR="0031256A">
        <w:t>го</w:t>
      </w:r>
      <w:r>
        <w:t xml:space="preserve"> или этнического пр</w:t>
      </w:r>
      <w:r>
        <w:t>о</w:t>
      </w:r>
      <w:r>
        <w:t>исхождения, религии или убеждений;</w:t>
      </w:r>
    </w:p>
    <w:p w:rsidR="00F21539" w:rsidRPr="00EE4D47" w:rsidRDefault="00F21539" w:rsidP="002800FB">
      <w:pPr>
        <w:pStyle w:val="SingleTxtGR"/>
      </w:pPr>
      <w:r>
        <w:tab/>
      </w:r>
      <w:r>
        <w:rPr>
          <w:lang w:val="en-US"/>
        </w:rPr>
        <w:t>b</w:t>
      </w:r>
      <w:r w:rsidRPr="00EE4D47">
        <w:t>)</w:t>
      </w:r>
      <w:r>
        <w:tab/>
        <w:t xml:space="preserve">поправку </w:t>
      </w:r>
      <w:r w:rsidR="0031256A">
        <w:t xml:space="preserve">к Закону </w:t>
      </w:r>
      <w:r>
        <w:t>о равных возможностях 2008 года, предусматр</w:t>
      </w:r>
      <w:r>
        <w:t>и</w:t>
      </w:r>
      <w:r>
        <w:t>вающую дополнительные процедурные гарантии для жертв дискриминации, с</w:t>
      </w:r>
      <w:r>
        <w:t>о</w:t>
      </w:r>
      <w:r>
        <w:t>гласно котор</w:t>
      </w:r>
      <w:r w:rsidR="0031256A">
        <w:t>ым</w:t>
      </w:r>
      <w:r>
        <w:t xml:space="preserve"> бремя доказывания в случаях дискриминации, за исключен</w:t>
      </w:r>
      <w:r>
        <w:t>и</w:t>
      </w:r>
      <w:r>
        <w:t>ем уголовных дел, возлаг</w:t>
      </w:r>
      <w:r>
        <w:t>а</w:t>
      </w:r>
      <w:r>
        <w:t>ется на ответчика;</w:t>
      </w:r>
    </w:p>
    <w:p w:rsidR="00F21539" w:rsidRDefault="00F21539" w:rsidP="002800FB">
      <w:pPr>
        <w:pStyle w:val="SingleTxtGR"/>
      </w:pPr>
      <w:r>
        <w:tab/>
      </w:r>
      <w:r>
        <w:rPr>
          <w:lang w:val="en-US"/>
        </w:rPr>
        <w:t>c</w:t>
      </w:r>
      <w:r w:rsidRPr="00EE4D47">
        <w:t>)</w:t>
      </w:r>
      <w:r>
        <w:tab/>
      </w:r>
      <w:r w:rsidR="0031256A">
        <w:t>по</w:t>
      </w:r>
      <w:r>
        <w:t xml:space="preserve">правки </w:t>
      </w:r>
      <w:r w:rsidR="0031256A">
        <w:t>к</w:t>
      </w:r>
      <w:r>
        <w:t xml:space="preserve"> Уголовн</w:t>
      </w:r>
      <w:r w:rsidR="0031256A">
        <w:t>ому</w:t>
      </w:r>
      <w:r>
        <w:t xml:space="preserve"> кодекс</w:t>
      </w:r>
      <w:r w:rsidR="0031256A">
        <w:t>у</w:t>
      </w:r>
      <w:r>
        <w:t xml:space="preserve"> 2009 года, в соответствии с кот</w:t>
      </w:r>
      <w:r>
        <w:t>о</w:t>
      </w:r>
      <w:r>
        <w:t>рыми, в частности, предусматривается уголовная ответственность за соверш</w:t>
      </w:r>
      <w:r>
        <w:t>е</w:t>
      </w:r>
      <w:r>
        <w:t>ние некоторых правонарушений, ранее считавшихся административными, а кс</w:t>
      </w:r>
      <w:r>
        <w:t>е</w:t>
      </w:r>
      <w:r>
        <w:t>нофоб</w:t>
      </w:r>
      <w:r w:rsidR="0031256A">
        <w:t>ские</w:t>
      </w:r>
      <w:r>
        <w:t>, расовые и дискриминационные мотивы и цели совершения прест</w:t>
      </w:r>
      <w:r>
        <w:t>у</w:t>
      </w:r>
      <w:r>
        <w:t xml:space="preserve">пления </w:t>
      </w:r>
      <w:r w:rsidR="0031256A">
        <w:t>прямо</w:t>
      </w:r>
      <w:r>
        <w:t xml:space="preserve"> рассматриваются в качестве отягчающего обстоятельства; и</w:t>
      </w:r>
      <w:r w:rsidR="009C2B4A">
        <w:t xml:space="preserve"> </w:t>
      </w:r>
      <w:r>
        <w:t>пр</w:t>
      </w:r>
      <w:r>
        <w:t>и</w:t>
      </w:r>
      <w:r>
        <w:t>нятие н</w:t>
      </w:r>
      <w:r>
        <w:t>о</w:t>
      </w:r>
      <w:r>
        <w:t xml:space="preserve">вого закона о пробации, вступившего в силу 1 июля 2012 года. </w:t>
      </w:r>
    </w:p>
    <w:p w:rsidR="00F21539" w:rsidRDefault="00F21539" w:rsidP="002800FB">
      <w:pPr>
        <w:pStyle w:val="SingleTxtGR"/>
      </w:pPr>
      <w:r>
        <w:t>4.</w:t>
      </w:r>
      <w:r>
        <w:tab/>
        <w:t>Комитет приветствует ратификацию государством-участником следу</w:t>
      </w:r>
      <w:r>
        <w:t>ю</w:t>
      </w:r>
      <w:r>
        <w:t>щих межд</w:t>
      </w:r>
      <w:r>
        <w:t>у</w:t>
      </w:r>
      <w:r>
        <w:t>народных договоров:</w:t>
      </w:r>
    </w:p>
    <w:p w:rsidR="00F21539" w:rsidRPr="00CD4581" w:rsidRDefault="00F21539" w:rsidP="002800FB">
      <w:pPr>
        <w:pStyle w:val="SingleTxtGR"/>
      </w:pPr>
      <w:r>
        <w:tab/>
      </w:r>
      <w:r>
        <w:rPr>
          <w:lang w:val="en-US"/>
        </w:rPr>
        <w:t>a</w:t>
      </w:r>
      <w:r w:rsidRPr="00CD4581">
        <w:t>)</w:t>
      </w:r>
      <w:r>
        <w:tab/>
        <w:t>Международной конвенции о правах инвалидов и Факультативного проток</w:t>
      </w:r>
      <w:r>
        <w:t>о</w:t>
      </w:r>
      <w:r>
        <w:t>ла к ней 27 мая 2010 года;</w:t>
      </w:r>
    </w:p>
    <w:p w:rsidR="00F21539" w:rsidRPr="00CD4581" w:rsidRDefault="00F21539" w:rsidP="002800FB">
      <w:pPr>
        <w:pStyle w:val="SingleTxtGR"/>
      </w:pPr>
      <w:r>
        <w:tab/>
      </w:r>
      <w:r>
        <w:rPr>
          <w:lang w:val="en-US"/>
        </w:rPr>
        <w:t>b</w:t>
      </w:r>
      <w:r w:rsidRPr="002604CC">
        <w:t>)</w:t>
      </w:r>
      <w:r>
        <w:tab/>
        <w:t>Факультативного протокола к Конвенции о ликвидации всех форм дискрим</w:t>
      </w:r>
      <w:r>
        <w:t>и</w:t>
      </w:r>
      <w:r>
        <w:t>нации в отношении женщин 5 августа 2004 года;</w:t>
      </w:r>
    </w:p>
    <w:p w:rsidR="00F21539" w:rsidRDefault="00F21539" w:rsidP="002800FB">
      <w:pPr>
        <w:pStyle w:val="SingleTxtGR"/>
      </w:pPr>
      <w:r>
        <w:tab/>
      </w:r>
      <w:r>
        <w:rPr>
          <w:lang w:val="en-US"/>
        </w:rPr>
        <w:t>c</w:t>
      </w:r>
      <w:r w:rsidRPr="002604CC"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порнографии, 5 авг</w:t>
      </w:r>
      <w:r>
        <w:t>у</w:t>
      </w:r>
      <w:r>
        <w:t xml:space="preserve">ста 2004 года. </w:t>
      </w:r>
    </w:p>
    <w:p w:rsidR="00F21539" w:rsidRDefault="0031256A" w:rsidP="0031256A">
      <w:pPr>
        <w:pStyle w:val="H1GR"/>
      </w:pPr>
      <w:r>
        <w:tab/>
      </w:r>
      <w:r w:rsidR="00F21539">
        <w:t>С.</w:t>
      </w:r>
      <w:r w:rsidR="00F21539">
        <w:tab/>
        <w:t>Основные вопросы, вызывающие озабоченность</w:t>
      </w:r>
      <w:r>
        <w:t>,</w:t>
      </w:r>
      <w:r w:rsidR="00F21539">
        <w:t xml:space="preserve"> и</w:t>
      </w:r>
      <w:r w:rsidR="00A41DAF">
        <w:rPr>
          <w:b w:val="0"/>
          <w:lang w:val="en-US"/>
        </w:rPr>
        <w:t> </w:t>
      </w:r>
      <w:r w:rsidR="00F21539">
        <w:t>рекомендации</w:t>
      </w:r>
    </w:p>
    <w:p w:rsidR="00F21539" w:rsidRDefault="00F21539" w:rsidP="002800FB">
      <w:pPr>
        <w:pStyle w:val="SingleTxtGR"/>
      </w:pPr>
      <w:r>
        <w:t>5.</w:t>
      </w:r>
      <w:r>
        <w:tab/>
        <w:t xml:space="preserve">Комитет отмечает, что государство-участник до сих </w:t>
      </w:r>
      <w:r w:rsidR="0031256A">
        <w:t xml:space="preserve">пор </w:t>
      </w:r>
      <w:r>
        <w:t>не создало ед</w:t>
      </w:r>
      <w:r>
        <w:t>и</w:t>
      </w:r>
      <w:r>
        <w:t>ного национального учреждения, обладающего широкой компетенцией в обла</w:t>
      </w:r>
      <w:r>
        <w:t>с</w:t>
      </w:r>
      <w:r>
        <w:t>ти прав человека, в соответствии с принципами, касающимися статуса наци</w:t>
      </w:r>
      <w:r>
        <w:t>о</w:t>
      </w:r>
      <w:r>
        <w:t>нальных учреждений, занимающихся поощрением и защитой прав человека (Парижскими принц</w:t>
      </w:r>
      <w:r>
        <w:t>и</w:t>
      </w:r>
      <w:r w:rsidR="009C2B4A">
        <w:t>пами) (статья 2).</w:t>
      </w:r>
    </w:p>
    <w:p w:rsidR="00F21539" w:rsidRDefault="00F21539" w:rsidP="002800FB">
      <w:pPr>
        <w:pStyle w:val="SingleTxtGR"/>
      </w:pPr>
      <w:r>
        <w:rPr>
          <w:b/>
        </w:rPr>
        <w:t>Государству-участнику следует создать национальное правозащитное у</w:t>
      </w:r>
      <w:r>
        <w:rPr>
          <w:b/>
        </w:rPr>
        <w:t>ч</w:t>
      </w:r>
      <w:r>
        <w:rPr>
          <w:b/>
        </w:rPr>
        <w:t>реждение с широким мандатом в области прав человека и обеспечить его надлежащими финансовыми и кадровыми ресурсами в соответствии с П</w:t>
      </w:r>
      <w:r>
        <w:rPr>
          <w:b/>
        </w:rPr>
        <w:t>а</w:t>
      </w:r>
      <w:r>
        <w:rPr>
          <w:b/>
        </w:rPr>
        <w:t>рижскими принципами.</w:t>
      </w:r>
    </w:p>
    <w:p w:rsidR="00F21539" w:rsidRDefault="00F21539" w:rsidP="002800FB">
      <w:pPr>
        <w:pStyle w:val="SingleTxtGR"/>
      </w:pPr>
      <w:r>
        <w:t>6.</w:t>
      </w:r>
      <w:r>
        <w:tab/>
        <w:t>Отмечая недавнее вступление в силу Закона о защите от насилия в семье, Комитет по-прежнему выражает обеспокоенность по поводу частых случаев н</w:t>
      </w:r>
      <w:r>
        <w:t>а</w:t>
      </w:r>
      <w:r>
        <w:t>силия, особенно насилия в семье, в отношении женщин, а также отсутстви</w:t>
      </w:r>
      <w:r w:rsidR="0031256A">
        <w:t>я</w:t>
      </w:r>
      <w:r>
        <w:t xml:space="preserve"> эффективных мер защиты пострадавших (статья 2).</w:t>
      </w:r>
    </w:p>
    <w:p w:rsidR="00F21539" w:rsidRDefault="00F21539" w:rsidP="002800FB">
      <w:pPr>
        <w:pStyle w:val="SingleTxtGR"/>
      </w:pPr>
      <w:r>
        <w:rPr>
          <w:b/>
        </w:rPr>
        <w:t>Государству-участнику следует выделить надлежащие ресурсы для обесп</w:t>
      </w:r>
      <w:r>
        <w:rPr>
          <w:b/>
        </w:rPr>
        <w:t>е</w:t>
      </w:r>
      <w:r>
        <w:rPr>
          <w:b/>
        </w:rPr>
        <w:t>чения эффективного осуществления Закона о защите от насилия в семье и Национал</w:t>
      </w:r>
      <w:r>
        <w:rPr>
          <w:b/>
        </w:rPr>
        <w:t>ь</w:t>
      </w:r>
      <w:r>
        <w:rPr>
          <w:b/>
        </w:rPr>
        <w:t>ной стратегии по борьбе с насилием в отношении женщин, а</w:t>
      </w:r>
      <w:r w:rsidR="00951442">
        <w:rPr>
          <w:b/>
          <w:lang w:val="en-US"/>
        </w:rPr>
        <w:t> </w:t>
      </w:r>
      <w:r>
        <w:rPr>
          <w:b/>
        </w:rPr>
        <w:t xml:space="preserve">также следует гарантировать наличие достаточного числа безопасных и должным образом финансируемых приютов и </w:t>
      </w:r>
      <w:r w:rsidR="00D72D23">
        <w:rPr>
          <w:b/>
        </w:rPr>
        <w:t>юридическую</w:t>
      </w:r>
      <w:r>
        <w:rPr>
          <w:b/>
        </w:rPr>
        <w:t xml:space="preserve"> помощь жер</w:t>
      </w:r>
      <w:r>
        <w:rPr>
          <w:b/>
        </w:rPr>
        <w:t>т</w:t>
      </w:r>
      <w:r>
        <w:rPr>
          <w:b/>
        </w:rPr>
        <w:t>вам такого насилия.</w:t>
      </w:r>
    </w:p>
    <w:p w:rsidR="00F21539" w:rsidRDefault="00F21539" w:rsidP="002800FB">
      <w:pPr>
        <w:pStyle w:val="SingleTxtGR"/>
      </w:pPr>
      <w:r>
        <w:t>7.</w:t>
      </w:r>
      <w:r>
        <w:tab/>
        <w:t>Отмечая действи</w:t>
      </w:r>
      <w:r w:rsidR="00D72D23">
        <w:t>е</w:t>
      </w:r>
      <w:r>
        <w:t xml:space="preserve"> Национальной программы интеграции рома в лито</w:t>
      </w:r>
      <w:r>
        <w:t>в</w:t>
      </w:r>
      <w:r>
        <w:t>ское общество на 2012−2014 год</w:t>
      </w:r>
      <w:r w:rsidR="00E62BDA">
        <w:t>ы</w:t>
      </w:r>
      <w:r>
        <w:t>, Комитет выражает обеспокоенность по п</w:t>
      </w:r>
      <w:r>
        <w:t>о</w:t>
      </w:r>
      <w:r>
        <w:t>воду того, что рома продолжают страдать от дискриминации, нищеты, низкого уровня образования, мас</w:t>
      </w:r>
      <w:r w:rsidR="00D72D23">
        <w:t>совой</w:t>
      </w:r>
      <w:r>
        <w:t xml:space="preserve"> безработицы и неудовлетворительного уровня жизни, прежде всего с точки зрения обеспечения </w:t>
      </w:r>
      <w:r w:rsidR="00D72D23">
        <w:t xml:space="preserve">жильем </w:t>
      </w:r>
      <w:r>
        <w:t>(статьи 2 и 26).</w:t>
      </w:r>
    </w:p>
    <w:p w:rsidR="00F21539" w:rsidRDefault="00F21539" w:rsidP="002800FB">
      <w:pPr>
        <w:pStyle w:val="SingleTxtGR"/>
      </w:pPr>
      <w:r>
        <w:rPr>
          <w:b/>
        </w:rPr>
        <w:t>Государству-участнику следует проанализировать осуществление сущес</w:t>
      </w:r>
      <w:r>
        <w:rPr>
          <w:b/>
        </w:rPr>
        <w:t>т</w:t>
      </w:r>
      <w:r>
        <w:rPr>
          <w:b/>
        </w:rPr>
        <w:t xml:space="preserve">вующих стратегий и программ </w:t>
      </w:r>
      <w:r w:rsidR="00D72D23">
        <w:rPr>
          <w:b/>
        </w:rPr>
        <w:t>для</w:t>
      </w:r>
      <w:r>
        <w:rPr>
          <w:b/>
        </w:rPr>
        <w:t xml:space="preserve"> оценки того, насколько эффе</w:t>
      </w:r>
      <w:r>
        <w:rPr>
          <w:b/>
        </w:rPr>
        <w:t>к</w:t>
      </w:r>
      <w:r>
        <w:rPr>
          <w:b/>
        </w:rPr>
        <w:t>тивно они содействовали улучшению социальных и экономических усл</w:t>
      </w:r>
      <w:r>
        <w:rPr>
          <w:b/>
        </w:rPr>
        <w:t>о</w:t>
      </w:r>
      <w:r>
        <w:rPr>
          <w:b/>
        </w:rPr>
        <w:t>вий рома.</w:t>
      </w:r>
    </w:p>
    <w:p w:rsidR="00F21539" w:rsidRDefault="00F21539" w:rsidP="002800FB">
      <w:pPr>
        <w:pStyle w:val="SingleTxtGR"/>
      </w:pPr>
      <w:r>
        <w:t>8.</w:t>
      </w:r>
      <w:r>
        <w:tab/>
        <w:t xml:space="preserve">Комитет обеспокоен тем, что некоторые правовые </w:t>
      </w:r>
      <w:r w:rsidR="00D72D23">
        <w:t>документы, например</w:t>
      </w:r>
      <w:r>
        <w:t xml:space="preserve"> Закон о защите несовершеннолетних от вредного влияния общественной и</w:t>
      </w:r>
      <w:r>
        <w:t>н</w:t>
      </w:r>
      <w:r>
        <w:t>формации (статья 7), могут использоваться таким образом, который незаконно ограничивает гарантированную в соответствии с Пактом свободу выражения мнений</w:t>
      </w:r>
      <w:r w:rsidR="00D72D23">
        <w:t>,</w:t>
      </w:r>
      <w:r>
        <w:t xml:space="preserve"> и могут служить оправданием дискриминации в отношении лесбиянок, гомосексуалистов, бисексуалов и транс</w:t>
      </w:r>
      <w:r w:rsidR="00D72D23">
        <w:t>гендер</w:t>
      </w:r>
      <w:r>
        <w:t>ов (ЛГБТ). Кроме того, Комитет обеспокоен различными законодательными предложениями, включая п</w:t>
      </w:r>
      <w:r>
        <w:t>о</w:t>
      </w:r>
      <w:r>
        <w:t xml:space="preserve">правки </w:t>
      </w:r>
      <w:r w:rsidR="00D27852">
        <w:t>к</w:t>
      </w:r>
      <w:r>
        <w:t xml:space="preserve"> Кодекс</w:t>
      </w:r>
      <w:r w:rsidR="00D27852">
        <w:t>у</w:t>
      </w:r>
      <w:r>
        <w:t xml:space="preserve"> об административных правонарушениях, Конституцию и Гражда</w:t>
      </w:r>
      <w:r>
        <w:t>н</w:t>
      </w:r>
      <w:r>
        <w:t>ский кодекс, которые, в случае их принятия</w:t>
      </w:r>
      <w:r w:rsidR="00D27852">
        <w:t>,</w:t>
      </w:r>
      <w:r>
        <w:t xml:space="preserve"> негативно отразятся на осущест</w:t>
      </w:r>
      <w:r>
        <w:t>в</w:t>
      </w:r>
      <w:r>
        <w:t>лении основных прав ЛГБТ. Комитет также обеспокоен распространением нег</w:t>
      </w:r>
      <w:r>
        <w:t>а</w:t>
      </w:r>
      <w:r>
        <w:t>тивного отношения к этим людям в обществе и их стигматизаци</w:t>
      </w:r>
      <w:r w:rsidR="00D27852">
        <w:t>ей</w:t>
      </w:r>
      <w:r>
        <w:t>, котор</w:t>
      </w:r>
      <w:r w:rsidR="00D27852">
        <w:t>ая</w:t>
      </w:r>
      <w:r>
        <w:t xml:space="preserve"> проявлял</w:t>
      </w:r>
      <w:r w:rsidR="00D27852">
        <w:t>а</w:t>
      </w:r>
      <w:r>
        <w:t>сь в актах насилия и дискриминации, а также сообщениями о неж</w:t>
      </w:r>
      <w:r>
        <w:t>е</w:t>
      </w:r>
      <w:r>
        <w:t>лании сотрудников полиции и пр</w:t>
      </w:r>
      <w:r w:rsidR="00D27852">
        <w:t>окуроров проводить расследования</w:t>
      </w:r>
      <w:r>
        <w:t xml:space="preserve"> в связи с утверждениями о нарушениях прав человека конкретных лиц по причине их сексуальной ориентации или гендерной ид</w:t>
      </w:r>
      <w:r w:rsidR="009C2B4A">
        <w:t>ентичности (статьи 2, 19 и 26).</w:t>
      </w:r>
    </w:p>
    <w:p w:rsidR="00F21539" w:rsidRPr="005A09C4" w:rsidRDefault="00F21539" w:rsidP="002800FB">
      <w:pPr>
        <w:pStyle w:val="SingleTxtGR"/>
        <w:rPr>
          <w:b/>
        </w:rPr>
      </w:pPr>
      <w:r w:rsidRPr="005A09C4">
        <w:rPr>
          <w:b/>
        </w:rPr>
        <w:t>Государству-участнику следует принять все необходимые меры для обесп</w:t>
      </w:r>
      <w:r w:rsidRPr="005A09C4">
        <w:rPr>
          <w:b/>
        </w:rPr>
        <w:t>е</w:t>
      </w:r>
      <w:r w:rsidRPr="005A09C4">
        <w:rPr>
          <w:b/>
        </w:rPr>
        <w:t>чения того, чтобы его законодательство не толковалось и не применялось таким обр</w:t>
      </w:r>
      <w:r w:rsidRPr="005A09C4">
        <w:rPr>
          <w:b/>
        </w:rPr>
        <w:t>а</w:t>
      </w:r>
      <w:r w:rsidRPr="005A09C4">
        <w:rPr>
          <w:b/>
        </w:rPr>
        <w:t xml:space="preserve">зом, который дискриминирует лиц по признаку их сексуальной ориентации или гендерной идентичности. Государству-участнику следует проводить </w:t>
      </w:r>
      <w:r w:rsidR="00D27852">
        <w:rPr>
          <w:b/>
        </w:rPr>
        <w:t>широко</w:t>
      </w:r>
      <w:r w:rsidRPr="005A09C4">
        <w:rPr>
          <w:b/>
        </w:rPr>
        <w:t>масштабные информационно-просветительские камп</w:t>
      </w:r>
      <w:r w:rsidRPr="005A09C4">
        <w:rPr>
          <w:b/>
        </w:rPr>
        <w:t>а</w:t>
      </w:r>
      <w:r w:rsidRPr="005A09C4">
        <w:rPr>
          <w:b/>
        </w:rPr>
        <w:t xml:space="preserve">нии, а также </w:t>
      </w:r>
      <w:r w:rsidR="00D27852">
        <w:rPr>
          <w:b/>
        </w:rPr>
        <w:t>организовать подготовку</w:t>
      </w:r>
      <w:r w:rsidRPr="005A09C4">
        <w:rPr>
          <w:b/>
        </w:rPr>
        <w:t xml:space="preserve"> сотрудников правопримен</w:t>
      </w:r>
      <w:r w:rsidRPr="005A09C4">
        <w:rPr>
          <w:b/>
        </w:rPr>
        <w:t>и</w:t>
      </w:r>
      <w:r w:rsidRPr="005A09C4">
        <w:rPr>
          <w:b/>
        </w:rPr>
        <w:t>тельных органов с целью борьбы с негативным отношением к ЛГБТ. Ему надлежит рассмотреть возможность принятия целевого национального плана дейс</w:t>
      </w:r>
      <w:r w:rsidRPr="005A09C4">
        <w:rPr>
          <w:b/>
        </w:rPr>
        <w:t>т</w:t>
      </w:r>
      <w:r w:rsidRPr="005A09C4">
        <w:rPr>
          <w:b/>
        </w:rPr>
        <w:t>вий по этому вопросу. Наконец, Комитет напоминает об обязательстве гос</w:t>
      </w:r>
      <w:r w:rsidRPr="005A09C4">
        <w:rPr>
          <w:b/>
        </w:rPr>
        <w:t>у</w:t>
      </w:r>
      <w:r w:rsidRPr="005A09C4">
        <w:rPr>
          <w:b/>
        </w:rPr>
        <w:t>дарства-участника гарантировать таким лицам все права человека, вкл</w:t>
      </w:r>
      <w:r w:rsidRPr="005A09C4">
        <w:rPr>
          <w:b/>
        </w:rPr>
        <w:t>ю</w:t>
      </w:r>
      <w:r w:rsidRPr="005A09C4">
        <w:rPr>
          <w:b/>
        </w:rPr>
        <w:t>чая право на свободу выражения мнений и право на свободу собр</w:t>
      </w:r>
      <w:r w:rsidRPr="005A09C4">
        <w:rPr>
          <w:b/>
        </w:rPr>
        <w:t>а</w:t>
      </w:r>
      <w:r w:rsidRPr="005A09C4">
        <w:rPr>
          <w:b/>
        </w:rPr>
        <w:t xml:space="preserve">ний. </w:t>
      </w:r>
    </w:p>
    <w:p w:rsidR="00F21539" w:rsidRDefault="00F21539" w:rsidP="002800FB">
      <w:pPr>
        <w:pStyle w:val="SingleTxtGR"/>
      </w:pPr>
      <w:r>
        <w:t>9.</w:t>
      </w:r>
      <w:r>
        <w:tab/>
        <w:t>Отмечая информацию, содержащуюся в материалах парламентского ра</w:t>
      </w:r>
      <w:r>
        <w:t>с</w:t>
      </w:r>
      <w:r>
        <w:t>следов</w:t>
      </w:r>
      <w:r>
        <w:t>а</w:t>
      </w:r>
      <w:r>
        <w:t xml:space="preserve">ния государства-участника в связи с утверждениями о случаях выдачи и тайного задержания подозреваемых в терроризме лиц, и отмечая далее, </w:t>
      </w:r>
      <w:r w:rsidR="00D27852">
        <w:t xml:space="preserve">что </w:t>
      </w:r>
      <w:r>
        <w:t>Г</w:t>
      </w:r>
      <w:r>
        <w:t>е</w:t>
      </w:r>
      <w:r>
        <w:t>неральная прокуратура прекратила предварительное следствие по этому делу, Комитет по-прежнему выражает обеспокоенность по поводу того, что в ходе расследования не вся информация и док</w:t>
      </w:r>
      <w:r>
        <w:t>а</w:t>
      </w:r>
      <w:r>
        <w:t>зат</w:t>
      </w:r>
      <w:r w:rsidR="009C2B4A">
        <w:t>ельства были собраны и оценены.</w:t>
      </w:r>
    </w:p>
    <w:p w:rsidR="00F21539" w:rsidRDefault="00F21539" w:rsidP="002800FB">
      <w:pPr>
        <w:pStyle w:val="SingleTxtGR"/>
      </w:pPr>
      <w:r>
        <w:rPr>
          <w:b/>
        </w:rPr>
        <w:t>Государству-участнику следует обеспечить эффективное расследование в связи с утверждениями о его причастности к нарушениям прав человека в результате осуществления мер по борьбе с терроризмом. Комитет насто</w:t>
      </w:r>
      <w:r>
        <w:rPr>
          <w:b/>
        </w:rPr>
        <w:t>я</w:t>
      </w:r>
      <w:r>
        <w:rPr>
          <w:b/>
        </w:rPr>
        <w:t>тельно призывает г</w:t>
      </w:r>
      <w:r>
        <w:rPr>
          <w:b/>
        </w:rPr>
        <w:t>о</w:t>
      </w:r>
      <w:r>
        <w:rPr>
          <w:b/>
        </w:rPr>
        <w:t>сударство-участник продолжать расследовать это дело и привлечь виновных к о</w:t>
      </w:r>
      <w:r>
        <w:rPr>
          <w:b/>
        </w:rPr>
        <w:t>т</w:t>
      </w:r>
      <w:r>
        <w:rPr>
          <w:b/>
        </w:rPr>
        <w:t xml:space="preserve">ветственности. </w:t>
      </w:r>
    </w:p>
    <w:p w:rsidR="00F21539" w:rsidRDefault="00F21539" w:rsidP="002800FB">
      <w:pPr>
        <w:pStyle w:val="SingleTxtGR"/>
      </w:pPr>
      <w:r>
        <w:t>10.</w:t>
      </w:r>
      <w:r>
        <w:tab/>
        <w:t xml:space="preserve">Отмечая недавно принятый Закон о защите от насилия </w:t>
      </w:r>
      <w:r w:rsidR="009D05D0">
        <w:t xml:space="preserve">в семье </w:t>
      </w:r>
      <w:r>
        <w:t xml:space="preserve">и отмечая далее намерение государства-участника принять необходимое законодательство по решению этой проблемы </w:t>
      </w:r>
      <w:r w:rsidR="009D05D0">
        <w:t>иными средствами</w:t>
      </w:r>
      <w:r>
        <w:t>, Комитет тем не менее выражает обеспокоенность по поводу того, в настоящий момент в законодательст</w:t>
      </w:r>
      <w:r w:rsidR="009D05D0">
        <w:t>ве нет четкого запрета на применение</w:t>
      </w:r>
      <w:r>
        <w:t xml:space="preserve"> телесных наказаний в школах, пенитенциарных учреждениях и учреждениях альтернативного ухода (ст</w:t>
      </w:r>
      <w:r>
        <w:t>а</w:t>
      </w:r>
      <w:r>
        <w:t>тья 7).</w:t>
      </w:r>
    </w:p>
    <w:p w:rsidR="00F21539" w:rsidRDefault="00F21539" w:rsidP="002800FB">
      <w:pPr>
        <w:pStyle w:val="SingleTxtGR"/>
        <w:rPr>
          <w:b/>
        </w:rPr>
      </w:pPr>
      <w:r>
        <w:rPr>
          <w:b/>
        </w:rPr>
        <w:t>Государству-участнику следует принять практические меры по искорен</w:t>
      </w:r>
      <w:r>
        <w:rPr>
          <w:b/>
        </w:rPr>
        <w:t>е</w:t>
      </w:r>
      <w:r>
        <w:rPr>
          <w:b/>
        </w:rPr>
        <w:t>нию т</w:t>
      </w:r>
      <w:r>
        <w:rPr>
          <w:b/>
        </w:rPr>
        <w:t>е</w:t>
      </w:r>
      <w:r>
        <w:rPr>
          <w:b/>
        </w:rPr>
        <w:t xml:space="preserve">лесных наказаний во всех учреждениях. </w:t>
      </w:r>
    </w:p>
    <w:p w:rsidR="00F21539" w:rsidRDefault="00F21539" w:rsidP="002800FB">
      <w:pPr>
        <w:pStyle w:val="SingleTxtGR"/>
      </w:pPr>
      <w:r>
        <w:t>11.</w:t>
      </w:r>
      <w:r>
        <w:tab/>
        <w:t>Отмечая различные программы, проводимые государством-участником с целью борьбы с торговлей людьми, в том числе посредством международного сотрудничества, и с целью поддержки жертв торговли людьми, Комитет выр</w:t>
      </w:r>
      <w:r>
        <w:t>а</w:t>
      </w:r>
      <w:r>
        <w:t>жает обеспокоенность по поводу сохранения этой проблемы в государстве-участнике, в частности по</w:t>
      </w:r>
      <w:r w:rsidR="009D05D0">
        <w:t>ступления</w:t>
      </w:r>
      <w:r>
        <w:t xml:space="preserve"> информации о том, что дети </w:t>
      </w:r>
      <w:r w:rsidR="009D05D0">
        <w:t xml:space="preserve">в возрасте до </w:t>
      </w:r>
      <w:r>
        <w:t>18 лет, особенно де</w:t>
      </w:r>
      <w:r w:rsidR="009D05D0">
        <w:t>вочки</w:t>
      </w:r>
      <w:r>
        <w:t>-подростки, жив</w:t>
      </w:r>
      <w:r w:rsidR="009D05D0">
        <w:t>у</w:t>
      </w:r>
      <w:r>
        <w:t>щие в школах-интернатах, специал</w:t>
      </w:r>
      <w:r>
        <w:t>ь</w:t>
      </w:r>
      <w:r>
        <w:t>ных воспитательных и детских домах, государственных и негосударственных учреждениях по уходу за детьми и в неблагополучных семьях, очень часто ст</w:t>
      </w:r>
      <w:r>
        <w:t>а</w:t>
      </w:r>
      <w:r>
        <w:t>новятся жертвами торговли людьми</w:t>
      </w:r>
      <w:r w:rsidR="001C299A">
        <w:t xml:space="preserve"> (статья 8).</w:t>
      </w:r>
    </w:p>
    <w:p w:rsidR="00F21539" w:rsidRPr="009A1C46" w:rsidRDefault="00F21539" w:rsidP="002800FB">
      <w:pPr>
        <w:pStyle w:val="SingleTxtGR"/>
      </w:pPr>
      <w:r>
        <w:rPr>
          <w:b/>
        </w:rPr>
        <w:t xml:space="preserve">Государству-участнику следует продолжать усилия по борьбе с торговлей людьми и </w:t>
      </w:r>
      <w:r w:rsidR="001C299A">
        <w:rPr>
          <w:b/>
        </w:rPr>
        <w:t>сбалансированным образом</w:t>
      </w:r>
      <w:r>
        <w:rPr>
          <w:b/>
        </w:rPr>
        <w:t xml:space="preserve"> сочетать уголовные меры наказания с мерами по защите жертв. В этой связи ему надлежит уделять особое вн</w:t>
      </w:r>
      <w:r>
        <w:rPr>
          <w:b/>
        </w:rPr>
        <w:t>и</w:t>
      </w:r>
      <w:r>
        <w:rPr>
          <w:b/>
        </w:rPr>
        <w:t>мание предупреждению сексуальной эксплуатации детей. Кроме того, гос</w:t>
      </w:r>
      <w:r>
        <w:rPr>
          <w:b/>
        </w:rPr>
        <w:t>у</w:t>
      </w:r>
      <w:r>
        <w:rPr>
          <w:b/>
        </w:rPr>
        <w:t>дарству-участнику следует расширить сотрудничество с другими госуда</w:t>
      </w:r>
      <w:r>
        <w:rPr>
          <w:b/>
        </w:rPr>
        <w:t>р</w:t>
      </w:r>
      <w:r>
        <w:rPr>
          <w:b/>
        </w:rPr>
        <w:t xml:space="preserve">ствами для искоренения транснациональной торговли людьми. Наконец, ему следует оценить воздействие его программ с целью устранения </w:t>
      </w:r>
      <w:r w:rsidR="001C299A">
        <w:rPr>
          <w:b/>
        </w:rPr>
        <w:t>перв</w:t>
      </w:r>
      <w:r w:rsidR="001C299A">
        <w:rPr>
          <w:b/>
        </w:rPr>
        <w:t>о</w:t>
      </w:r>
      <w:r>
        <w:rPr>
          <w:b/>
        </w:rPr>
        <w:t>причин этой пр</w:t>
      </w:r>
      <w:r>
        <w:rPr>
          <w:b/>
        </w:rPr>
        <w:t>о</w:t>
      </w:r>
      <w:r>
        <w:rPr>
          <w:b/>
        </w:rPr>
        <w:t>блемы.</w:t>
      </w:r>
    </w:p>
    <w:p w:rsidR="00E62BDA" w:rsidRPr="00523C77" w:rsidRDefault="00E62BDA" w:rsidP="00E62BDA">
      <w:pPr>
        <w:pStyle w:val="SingleTxtGR"/>
      </w:pPr>
      <w:r w:rsidRPr="00523C77">
        <w:t>12.</w:t>
      </w:r>
      <w:r w:rsidRPr="00523C77">
        <w:tab/>
        <w:t>Комитет обеспокоен продолжительностью и регулярностью применения практики административного задержания и предварительного заключения на досудебной стадии уголовного судопроизводства. Отмечая недавно вступивший в силу Закон о пробации, Комитет также выражает сожаление по поводу недо</w:t>
      </w:r>
      <w:r w:rsidRPr="00523C77">
        <w:t>с</w:t>
      </w:r>
      <w:r w:rsidRPr="00523C77">
        <w:t>таточного использования в государстве-участнике альтернатив тюремному з</w:t>
      </w:r>
      <w:r w:rsidRPr="00523C77">
        <w:t>а</w:t>
      </w:r>
      <w:r w:rsidRPr="00523C77">
        <w:t>ключению (статья 9).</w:t>
      </w:r>
    </w:p>
    <w:p w:rsidR="00E62BDA" w:rsidRPr="00523C77" w:rsidRDefault="00E62BDA" w:rsidP="00E62BDA">
      <w:pPr>
        <w:pStyle w:val="SingleTxtGR"/>
        <w:rPr>
          <w:b/>
        </w:rPr>
      </w:pPr>
      <w:r w:rsidRPr="00523C77">
        <w:rPr>
          <w:b/>
        </w:rPr>
        <w:t>Комитет повторяет свою ранее вынесенную рекомендацию (CCPR/CO/</w:t>
      </w:r>
      <w:r w:rsidR="00595467" w:rsidRPr="00595467">
        <w:rPr>
          <w:b/>
        </w:rPr>
        <w:t xml:space="preserve"> </w:t>
      </w:r>
      <w:r w:rsidRPr="00523C77">
        <w:rPr>
          <w:b/>
        </w:rPr>
        <w:t>80/LTU, пункт 13) о том, что государству-участнику следует исключить из своей системы правоприменения практику задержания за администрати</w:t>
      </w:r>
      <w:r w:rsidRPr="00523C77">
        <w:rPr>
          <w:b/>
        </w:rPr>
        <w:t>в</w:t>
      </w:r>
      <w:r w:rsidRPr="00523C77">
        <w:rPr>
          <w:b/>
        </w:rPr>
        <w:t>ные правонарушения. Государству-участнику следует также принять на</w:t>
      </w:r>
      <w:r w:rsidRPr="00523C77">
        <w:rPr>
          <w:b/>
        </w:rPr>
        <w:t>д</w:t>
      </w:r>
      <w:r w:rsidRPr="00523C77">
        <w:rPr>
          <w:b/>
        </w:rPr>
        <w:t>лежащие меры для использования в качестве наказания альтернатив т</w:t>
      </w:r>
      <w:r w:rsidRPr="00523C77">
        <w:rPr>
          <w:b/>
        </w:rPr>
        <w:t>ю</w:t>
      </w:r>
      <w:r w:rsidRPr="00523C77">
        <w:rPr>
          <w:b/>
        </w:rPr>
        <w:t>ремному заключению, включая пробацию, посредничество, обществе</w:t>
      </w:r>
      <w:r w:rsidRPr="00523C77">
        <w:rPr>
          <w:b/>
        </w:rPr>
        <w:t>н</w:t>
      </w:r>
      <w:r w:rsidRPr="00523C77">
        <w:rPr>
          <w:b/>
        </w:rPr>
        <w:t>ные работы и наказания с отсрочкой исполнения.</w:t>
      </w:r>
    </w:p>
    <w:p w:rsidR="00E62BDA" w:rsidRPr="00523C77" w:rsidRDefault="00E62BDA" w:rsidP="00E62BDA">
      <w:pPr>
        <w:pStyle w:val="SingleTxtGR"/>
      </w:pPr>
      <w:r w:rsidRPr="00523C77">
        <w:t>13.</w:t>
      </w:r>
      <w:r w:rsidRPr="00523C77">
        <w:tab/>
        <w:t>Комитет обеспокоен предлагаемой и планируемой поправкой к Закону о правовом статусе иностранцев, которая может допускать высылку иностранцев, считающихся угрозой для национальной безопасности и общественного поря</w:t>
      </w:r>
      <w:r w:rsidRPr="00523C77">
        <w:t>д</w:t>
      </w:r>
      <w:r w:rsidRPr="00523C77">
        <w:t>ка, до вынесения решения по их апелляционной жалобе, даже если в стране возвращения они могут столкнуться с нарушением их прав, предусмотренных в статье 7 Пакта. В этой связи Комитет также обеспокоен предложениями, н</w:t>
      </w:r>
      <w:r w:rsidRPr="00523C77">
        <w:t>а</w:t>
      </w:r>
      <w:r w:rsidRPr="00523C77">
        <w:t>правленными на общее снижение порога для определения угроз национальной безопасности или общественному порядку (статьи 9 и 13).</w:t>
      </w:r>
    </w:p>
    <w:p w:rsidR="00E62BDA" w:rsidRPr="00523C77" w:rsidRDefault="00E62BDA" w:rsidP="00E62BDA">
      <w:pPr>
        <w:pStyle w:val="SingleTxtGR"/>
        <w:rPr>
          <w:b/>
        </w:rPr>
      </w:pPr>
      <w:r w:rsidRPr="00523C77">
        <w:rPr>
          <w:b/>
        </w:rPr>
        <w:t>Государству-участнику следует обеспечить признание в законодательном порядке и на практике абсолютной защиты всех без исключения лиц от возвращения в те страны, где их права, предусмотренные статьей 7, могут быть нарушены.</w:t>
      </w:r>
    </w:p>
    <w:p w:rsidR="00E62BDA" w:rsidRPr="00523C77" w:rsidRDefault="00E62BDA" w:rsidP="00E62BDA">
      <w:pPr>
        <w:pStyle w:val="SingleTxtGR"/>
      </w:pPr>
      <w:r w:rsidRPr="00523C77">
        <w:t>14.</w:t>
      </w:r>
      <w:r w:rsidRPr="00523C77">
        <w:tab/>
        <w:t>Комитет обеспокоен системой законного представительства лиц, лише</w:t>
      </w:r>
      <w:r w:rsidRPr="00523C77">
        <w:t>н</w:t>
      </w:r>
      <w:r w:rsidRPr="00523C77">
        <w:t>ных своей правосубъектности. В частности, Комитет обеспокоен отсутствием законного представительства лица в ходе процедур, при которых оно может быть лишено своей правосубъектности, а также обеспокоен отсутствием права у лиц, считающихся лишенными правосубъектности, самостоятельно иници</w:t>
      </w:r>
      <w:r w:rsidRPr="00523C77">
        <w:t>и</w:t>
      </w:r>
      <w:r w:rsidRPr="00523C77">
        <w:t>ровать судебную процедуру с целью пересмотра вопроса об их правосубъек</w:t>
      </w:r>
      <w:r w:rsidRPr="00523C77">
        <w:t>т</w:t>
      </w:r>
      <w:r w:rsidRPr="00523C77">
        <w:t>ности. Наконец, Комитет обеспокоен потенциальными негативными последс</w:t>
      </w:r>
      <w:r w:rsidRPr="00523C77">
        <w:t>т</w:t>
      </w:r>
      <w:r w:rsidRPr="00523C77">
        <w:t>виями правомочия судов санкционировать проведение таких процедур, как аборт и стерилизация, у женщин-инвалидов, лишенных своей правосубъектн</w:t>
      </w:r>
      <w:r w:rsidRPr="00523C77">
        <w:t>о</w:t>
      </w:r>
      <w:r w:rsidRPr="00523C77">
        <w:t xml:space="preserve">сти (статьи 14 и 17). </w:t>
      </w:r>
    </w:p>
    <w:p w:rsidR="00E62BDA" w:rsidRPr="00523C77" w:rsidRDefault="00E62BDA" w:rsidP="00E62BDA">
      <w:pPr>
        <w:pStyle w:val="SingleTxtGR"/>
        <w:rPr>
          <w:b/>
        </w:rPr>
      </w:pPr>
      <w:r w:rsidRPr="00523C77">
        <w:rPr>
          <w:b/>
        </w:rPr>
        <w:t>Государству-участнику следует обеспечить бесплатное и эффективное з</w:t>
      </w:r>
      <w:r w:rsidRPr="00523C77">
        <w:rPr>
          <w:b/>
        </w:rPr>
        <w:t>а</w:t>
      </w:r>
      <w:r w:rsidRPr="00523C77">
        <w:rPr>
          <w:b/>
        </w:rPr>
        <w:t>конное представительство лиц в ходе всех процедур, касающихся их прав</w:t>
      </w:r>
      <w:r w:rsidRPr="00523C77">
        <w:rPr>
          <w:b/>
        </w:rPr>
        <w:t>о</w:t>
      </w:r>
      <w:r w:rsidRPr="00523C77">
        <w:rPr>
          <w:b/>
        </w:rPr>
        <w:t>субъектности, в том числе в ходе осуществления действий, направленных на пересмотр вопроса об их правосубъектности. Оно также должно пр</w:t>
      </w:r>
      <w:r w:rsidRPr="00523C77">
        <w:rPr>
          <w:b/>
        </w:rPr>
        <w:t>и</w:t>
      </w:r>
      <w:r w:rsidRPr="00523C77">
        <w:rPr>
          <w:b/>
        </w:rPr>
        <w:t>нять необходимые меры для обеспечения правовой помощи инвалидам по всем вопросам, затрагивающим их физическое и психическое здоровье.</w:t>
      </w:r>
    </w:p>
    <w:p w:rsidR="00E62BDA" w:rsidRPr="00523C77" w:rsidRDefault="00E62BDA" w:rsidP="00E62BDA">
      <w:pPr>
        <w:pStyle w:val="SingleTxtGR"/>
      </w:pPr>
      <w:r w:rsidRPr="00523C77">
        <w:t>15.</w:t>
      </w:r>
      <w:r w:rsidRPr="00523C77">
        <w:tab/>
        <w:t>Комитет обеспокоен тем, что, несмотря на принятие государством-участником ряда законодательных и институциональных мер, по-прежнему о</w:t>
      </w:r>
      <w:r w:rsidRPr="00523C77">
        <w:t>т</w:t>
      </w:r>
      <w:r w:rsidRPr="00523C77">
        <w:t>мечаются случаи проявления ксенофобии, прежде всего антисемитизма. Ком</w:t>
      </w:r>
      <w:r w:rsidRPr="00523C77">
        <w:t>и</w:t>
      </w:r>
      <w:r w:rsidRPr="00523C77">
        <w:t>тет обеспокоен также частыми случаями проявления ненависти и нетерпим</w:t>
      </w:r>
      <w:r w:rsidRPr="00523C77">
        <w:t>о</w:t>
      </w:r>
      <w:r w:rsidRPr="00523C77">
        <w:t>сти, особенно в Интернете, в отношении лиц, принадлежащих к национальным или этническим меньшинствам, а также ЛГБТ (статьи 2, 19, 20, 21, 22 и 27).</w:t>
      </w:r>
    </w:p>
    <w:p w:rsidR="00E62BDA" w:rsidRPr="00523C77" w:rsidRDefault="00E62BDA" w:rsidP="00E62BDA">
      <w:pPr>
        <w:pStyle w:val="SingleTxtGR"/>
        <w:rPr>
          <w:b/>
        </w:rPr>
      </w:pPr>
      <w:r w:rsidRPr="00523C77">
        <w:rPr>
          <w:b/>
        </w:rPr>
        <w:t>Государству-участнику следует в соответствии с замечанием общего поря</w:t>
      </w:r>
      <w:r w:rsidRPr="00523C77">
        <w:rPr>
          <w:b/>
        </w:rPr>
        <w:t>д</w:t>
      </w:r>
      <w:r w:rsidRPr="00523C77">
        <w:rPr>
          <w:b/>
        </w:rPr>
        <w:t>ка № 34 (2011) Комитета по статье 19 (свобода мнений и их выражения) у</w:t>
      </w:r>
      <w:r w:rsidRPr="00523C77">
        <w:rPr>
          <w:b/>
        </w:rPr>
        <w:t>к</w:t>
      </w:r>
      <w:r w:rsidRPr="00523C77">
        <w:rPr>
          <w:b/>
        </w:rPr>
        <w:t>реплять усилия по предупреждению преступлений, совершаемых по рас</w:t>
      </w:r>
      <w:r w:rsidRPr="00523C77">
        <w:rPr>
          <w:b/>
        </w:rPr>
        <w:t>о</w:t>
      </w:r>
      <w:r w:rsidRPr="00523C77">
        <w:rPr>
          <w:b/>
        </w:rPr>
        <w:t>вым, дискриминационным или ксенофобским мотивам, привлечению к о</w:t>
      </w:r>
      <w:r w:rsidRPr="00523C77">
        <w:rPr>
          <w:b/>
        </w:rPr>
        <w:t>т</w:t>
      </w:r>
      <w:r w:rsidRPr="00523C77">
        <w:rPr>
          <w:b/>
        </w:rPr>
        <w:t>ветственности виновных в совершении этих преступлений и по предоста</w:t>
      </w:r>
      <w:r w:rsidRPr="00523C77">
        <w:rPr>
          <w:b/>
        </w:rPr>
        <w:t>в</w:t>
      </w:r>
      <w:r w:rsidRPr="00523C77">
        <w:rPr>
          <w:b/>
        </w:rPr>
        <w:t>лению жертвам эффективных средств правовой защиты. Ему следует у</w:t>
      </w:r>
      <w:r w:rsidRPr="00523C77">
        <w:rPr>
          <w:b/>
        </w:rPr>
        <w:t>к</w:t>
      </w:r>
      <w:r w:rsidRPr="00523C77">
        <w:rPr>
          <w:b/>
        </w:rPr>
        <w:t>репить свои кампании по повышению уровня информированности общ</w:t>
      </w:r>
      <w:r w:rsidRPr="00523C77">
        <w:rPr>
          <w:b/>
        </w:rPr>
        <w:t>е</w:t>
      </w:r>
      <w:r w:rsidRPr="00523C77">
        <w:rPr>
          <w:b/>
        </w:rPr>
        <w:t>ственности и сократить случаи проявления ненависти и нетерпимости в СМИ, включая Интернет. В этой связи ему следует также продолжать свои программы подготовки, особенно для сотрудников правоохранительных органов.</w:t>
      </w:r>
    </w:p>
    <w:p w:rsidR="00E62BDA" w:rsidRPr="00523C77" w:rsidRDefault="00E62BDA" w:rsidP="00E62BDA">
      <w:pPr>
        <w:pStyle w:val="SingleTxtGR"/>
      </w:pPr>
      <w:r w:rsidRPr="00523C77">
        <w:t>16.</w:t>
      </w:r>
      <w:r w:rsidRPr="00523C77">
        <w:tab/>
        <w:t>Государству-участнику следует широко распространять информацию о Пакте, двух Факультативных протоколах к Пакту, текст третьего периодическ</w:t>
      </w:r>
      <w:r w:rsidRPr="00523C77">
        <w:t>о</w:t>
      </w:r>
      <w:r w:rsidRPr="00523C77">
        <w:t>го доклада, письменные ответы, которые оно представило в ответ на перечень вопросов, подготовленный Комитетом, и данные заключительные замечания, с тем чтобы повысить информированность среди органов судебной, законод</w:t>
      </w:r>
      <w:r w:rsidRPr="00523C77">
        <w:t>а</w:t>
      </w:r>
      <w:r w:rsidRPr="00523C77">
        <w:t>тельной и административной власти, в гражданском обществе и неправительс</w:t>
      </w:r>
      <w:r w:rsidRPr="00523C77">
        <w:t>т</w:t>
      </w:r>
      <w:r w:rsidRPr="00523C77">
        <w:t>венных организациях, действующих в стране, а также среди широкой общес</w:t>
      </w:r>
      <w:r w:rsidRPr="00523C77">
        <w:t>т</w:t>
      </w:r>
      <w:r w:rsidRPr="00523C77">
        <w:t>венности. Комитет предлагает перевести этот доклад и заключительные зам</w:t>
      </w:r>
      <w:r w:rsidRPr="00523C77">
        <w:t>е</w:t>
      </w:r>
      <w:r w:rsidRPr="00523C77">
        <w:t>чания на официальный язык государства-участника. Комитет также просит г</w:t>
      </w:r>
      <w:r w:rsidRPr="00523C77">
        <w:t>о</w:t>
      </w:r>
      <w:r w:rsidRPr="00523C77">
        <w:t>сударство-участник при подготовке своего четвертого периодического доклада провести широкие консультации с представителями гражданского общества и неправительственными организациями.</w:t>
      </w:r>
    </w:p>
    <w:p w:rsidR="00E62BDA" w:rsidRPr="00523C77" w:rsidRDefault="00E62BDA" w:rsidP="00E62BDA">
      <w:pPr>
        <w:pStyle w:val="SingleTxtGR"/>
      </w:pPr>
      <w:r w:rsidRPr="00523C77">
        <w:t>17.</w:t>
      </w:r>
      <w:r w:rsidRPr="00523C77">
        <w:tab/>
        <w:t>В соответствии с пунктом 5 правила 71 правил процедуры Комитета г</w:t>
      </w:r>
      <w:r w:rsidRPr="00523C77">
        <w:t>о</w:t>
      </w:r>
      <w:r w:rsidRPr="00523C77">
        <w:t>сударству-участнику следует представить в течение одного года соответству</w:t>
      </w:r>
      <w:r w:rsidRPr="00523C77">
        <w:t>ю</w:t>
      </w:r>
      <w:r w:rsidRPr="00523C77">
        <w:t>щую информацию о выполнении им рекомендаций Комитета, содержащихся в пунктах 8, 9 и 12 выше.</w:t>
      </w:r>
    </w:p>
    <w:p w:rsidR="00E62BDA" w:rsidRPr="00523C77" w:rsidRDefault="00E62BDA" w:rsidP="00E62BDA">
      <w:pPr>
        <w:pStyle w:val="SingleTxtGR"/>
      </w:pPr>
      <w:r w:rsidRPr="00523C77">
        <w:t>18.</w:t>
      </w:r>
      <w:r w:rsidRPr="00523C77">
        <w:tab/>
        <w:t>Комитет просит государство-участник включить в свой следующий п</w:t>
      </w:r>
      <w:r w:rsidRPr="00523C77">
        <w:t>е</w:t>
      </w:r>
      <w:r w:rsidRPr="00523C77">
        <w:t>риодический доклад, который должен быть представлен 27 июля 2017 года, конкретную обновленную информацию о все</w:t>
      </w:r>
      <w:r w:rsidR="00951442">
        <w:t>х его рекомендациях и о Пакте в</w:t>
      </w:r>
      <w:r w:rsidR="00951442">
        <w:rPr>
          <w:lang w:val="en-US"/>
        </w:rPr>
        <w:t> </w:t>
      </w:r>
      <w:r w:rsidRPr="00523C77">
        <w:t xml:space="preserve">целом. </w:t>
      </w:r>
    </w:p>
    <w:p w:rsidR="00E62BDA" w:rsidRPr="00523C77" w:rsidRDefault="00E62BDA" w:rsidP="00E62B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2BDA" w:rsidRPr="00523C77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5F" w:rsidRDefault="002A395F">
      <w:r>
        <w:rPr>
          <w:lang w:val="en-US"/>
        </w:rPr>
        <w:tab/>
      </w:r>
      <w:r>
        <w:separator/>
      </w:r>
    </w:p>
  </w:endnote>
  <w:endnote w:type="continuationSeparator" w:id="0">
    <w:p w:rsidR="002A395F" w:rsidRDefault="002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E4" w:rsidRPr="005F0588" w:rsidRDefault="008967E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57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GE.12-45578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E4" w:rsidRPr="005F0588" w:rsidRDefault="008967E4">
    <w:pPr>
      <w:pStyle w:val="Footer"/>
      <w:rPr>
        <w:lang w:val="en-US"/>
      </w:rPr>
    </w:pPr>
    <w:r>
      <w:rPr>
        <w:lang w:val="en-US"/>
      </w:rPr>
      <w:t>GE.12-45578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57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E4" w:rsidRPr="007B2C3F" w:rsidRDefault="008967E4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45578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091012  111012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5F" w:rsidRPr="00F71F63" w:rsidRDefault="002A395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A395F" w:rsidRPr="00F71F63" w:rsidRDefault="002A395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A395F" w:rsidRPr="00635E86" w:rsidRDefault="002A395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E4" w:rsidRPr="005F0588" w:rsidRDefault="008967E4">
    <w:pPr>
      <w:pStyle w:val="Header"/>
      <w:rPr>
        <w:lang w:val="en-US"/>
      </w:rPr>
    </w:pPr>
    <w:r>
      <w:rPr>
        <w:lang w:val="en-US"/>
      </w:rPr>
      <w:t>CCPR/C/LTU/CO/3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E4" w:rsidRPr="005F0588" w:rsidRDefault="008967E4">
    <w:pPr>
      <w:pStyle w:val="Header"/>
      <w:rPr>
        <w:lang w:val="en-US"/>
      </w:rPr>
    </w:pPr>
    <w:r>
      <w:rPr>
        <w:lang w:val="en-US"/>
      </w:rPr>
      <w:tab/>
      <w:t>CCPR/C/LTU/CO/3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F8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2FC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C299A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00FB"/>
    <w:rsid w:val="0028492B"/>
    <w:rsid w:val="00291C8F"/>
    <w:rsid w:val="002A395F"/>
    <w:rsid w:val="002C5036"/>
    <w:rsid w:val="002C6A71"/>
    <w:rsid w:val="002C6D5F"/>
    <w:rsid w:val="002D15EA"/>
    <w:rsid w:val="002D6C07"/>
    <w:rsid w:val="002E0CE6"/>
    <w:rsid w:val="002E1163"/>
    <w:rsid w:val="002E43F3"/>
    <w:rsid w:val="0031256A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6F8D"/>
    <w:rsid w:val="00457634"/>
    <w:rsid w:val="00474F42"/>
    <w:rsid w:val="0048244D"/>
    <w:rsid w:val="004A0DE8"/>
    <w:rsid w:val="004A4CB7"/>
    <w:rsid w:val="004A57B5"/>
    <w:rsid w:val="004B19DA"/>
    <w:rsid w:val="004B3E63"/>
    <w:rsid w:val="004C2A53"/>
    <w:rsid w:val="004C3B35"/>
    <w:rsid w:val="004C43EC"/>
    <w:rsid w:val="004E6729"/>
    <w:rsid w:val="004F0E47"/>
    <w:rsid w:val="00502C8D"/>
    <w:rsid w:val="0051339C"/>
    <w:rsid w:val="0051412F"/>
    <w:rsid w:val="00522B6F"/>
    <w:rsid w:val="0052430E"/>
    <w:rsid w:val="005276AD"/>
    <w:rsid w:val="00540A9A"/>
    <w:rsid w:val="00543522"/>
    <w:rsid w:val="00545680"/>
    <w:rsid w:val="00555CCB"/>
    <w:rsid w:val="00557FD5"/>
    <w:rsid w:val="0056618E"/>
    <w:rsid w:val="00576F59"/>
    <w:rsid w:val="00577A34"/>
    <w:rsid w:val="00580AAD"/>
    <w:rsid w:val="00593A04"/>
    <w:rsid w:val="00595467"/>
    <w:rsid w:val="005A6D5A"/>
    <w:rsid w:val="005B1B28"/>
    <w:rsid w:val="005B310E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6679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67E4"/>
    <w:rsid w:val="008A3879"/>
    <w:rsid w:val="008A5FA8"/>
    <w:rsid w:val="008A7575"/>
    <w:rsid w:val="008A7B26"/>
    <w:rsid w:val="008B5F47"/>
    <w:rsid w:val="008C7B87"/>
    <w:rsid w:val="008D6A7A"/>
    <w:rsid w:val="008E3E87"/>
    <w:rsid w:val="008E7F13"/>
    <w:rsid w:val="008F3185"/>
    <w:rsid w:val="00915B0A"/>
    <w:rsid w:val="0092457D"/>
    <w:rsid w:val="00926904"/>
    <w:rsid w:val="009372F0"/>
    <w:rsid w:val="00951442"/>
    <w:rsid w:val="00955022"/>
    <w:rsid w:val="00957B4D"/>
    <w:rsid w:val="00964EEA"/>
    <w:rsid w:val="009778DD"/>
    <w:rsid w:val="00980C86"/>
    <w:rsid w:val="009B1D9B"/>
    <w:rsid w:val="009B4074"/>
    <w:rsid w:val="009C2B4A"/>
    <w:rsid w:val="009C30BB"/>
    <w:rsid w:val="009C60BE"/>
    <w:rsid w:val="009D05D0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1DAF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112B"/>
    <w:rsid w:val="00CA609E"/>
    <w:rsid w:val="00CA7DA4"/>
    <w:rsid w:val="00CB31FB"/>
    <w:rsid w:val="00CE3D6F"/>
    <w:rsid w:val="00CE79A5"/>
    <w:rsid w:val="00CF0042"/>
    <w:rsid w:val="00CF262F"/>
    <w:rsid w:val="00D025D5"/>
    <w:rsid w:val="00D058E1"/>
    <w:rsid w:val="00D26B13"/>
    <w:rsid w:val="00D26CC1"/>
    <w:rsid w:val="00D27852"/>
    <w:rsid w:val="00D30662"/>
    <w:rsid w:val="00D32A0B"/>
    <w:rsid w:val="00D6236B"/>
    <w:rsid w:val="00D72D23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2BD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1539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4</TotalTime>
  <Pages>1</Pages>
  <Words>2108</Words>
  <Characters>12020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1245578</vt:lpstr>
    </vt:vector>
  </TitlesOfParts>
  <Company>CSD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1245578</dc:title>
  <dc:subject/>
  <dc:creator>Anna Petelina</dc:creator>
  <cp:keywords/>
  <dc:description/>
  <cp:lastModifiedBy>Anna Petelina</cp:lastModifiedBy>
  <cp:revision>3</cp:revision>
  <cp:lastPrinted>2012-10-11T08:23:00Z</cp:lastPrinted>
  <dcterms:created xsi:type="dcterms:W3CDTF">2012-10-11T08:23:00Z</dcterms:created>
  <dcterms:modified xsi:type="dcterms:W3CDTF">2012-10-11T08:26:00Z</dcterms:modified>
</cp:coreProperties>
</file>