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42170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190603    190603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18850153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CERD/C/62/CO/8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</w:rPr>
              <w:t xml:space="preserve">2 </w:t>
            </w:r>
            <w:r>
              <w:rPr>
                <w:sz w:val="22"/>
                <w:lang w:val="en-US"/>
              </w:rPr>
              <w:t>June</w:t>
            </w:r>
            <w:r>
              <w:rPr>
                <w:sz w:val="22"/>
              </w:rPr>
              <w:t xml:space="preserve"> 2003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</w:rPr>
              <w:t xml:space="preserve">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</w:pPr>
    </w:p>
    <w:p w:rsidR="00000000" w:rsidRDefault="00000000">
      <w:r>
        <w:t>КОМИТЕТ ПО ЛИКВИДАЦИИ</w:t>
      </w:r>
    </w:p>
    <w:p w:rsidR="00000000" w:rsidRDefault="00000000">
      <w:r>
        <w:t>РАСОВОЙ ДИСКРИМИНАЦИИ</w:t>
      </w:r>
    </w:p>
    <w:p w:rsidR="00000000" w:rsidRDefault="00000000">
      <w:r>
        <w:t>Шестьдесят вторая сессия</w:t>
      </w:r>
    </w:p>
    <w:p w:rsidR="00000000" w:rsidRDefault="00000000">
      <w:r>
        <w:t>3-21 марта 2003 года</w:t>
      </w:r>
    </w:p>
    <w:p w:rsidR="00000000" w:rsidRDefault="00000000"/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ПРЕДСТАВЛЯЕМЫХ ГОСУДАРСТВАМИ</w:t>
      </w:r>
      <w:r>
        <w:rPr>
          <w:b/>
          <w:bCs/>
        </w:rPr>
        <w:noBreakHyphen/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УЧАСТНИКАМИ В СООТВЕТСТВИИ СО СТАТЬЕЙ 9 КОНВЕНЦИИ 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ликвидации</w:t>
      </w:r>
    </w:p>
    <w:p w:rsidR="00000000" w:rsidRDefault="00000000">
      <w:pPr>
        <w:jc w:val="center"/>
        <w:rPr>
          <w:bCs/>
        </w:rPr>
      </w:pPr>
      <w:r>
        <w:rPr>
          <w:b/>
          <w:bCs/>
        </w:rPr>
        <w:t>расовой дискриминации</w:t>
      </w:r>
      <w:r>
        <w:rPr>
          <w:rStyle w:val="FootnoteReference"/>
          <w:b w:val="0"/>
          <w:bCs/>
        </w:rPr>
        <w:footnoteReference w:customMarkFollows="1" w:id="1"/>
        <w:t>*</w:t>
      </w:r>
    </w:p>
    <w:p w:rsidR="00000000" w:rsidRDefault="00000000">
      <w:pPr>
        <w:jc w:val="center"/>
        <w:rPr>
          <w:bCs/>
        </w:rPr>
      </w:pPr>
    </w:p>
    <w:p w:rsidR="00000000" w:rsidRDefault="00000000">
      <w:pPr>
        <w:jc w:val="center"/>
        <w:rPr>
          <w:bCs/>
        </w:rPr>
      </w:pPr>
      <w:r>
        <w:rPr>
          <w:b/>
        </w:rPr>
        <w:t>Саудовская Аравия</w:t>
      </w:r>
    </w:p>
    <w:p w:rsidR="00000000" w:rsidRDefault="00000000">
      <w:pPr>
        <w:jc w:val="center"/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1.</w:t>
      </w:r>
      <w:r>
        <w:rPr>
          <w:bCs/>
        </w:rPr>
        <w:tab/>
        <w:t>Комитет рассмотрел первоначальный и второй периодический доклады Саудовской Аравии, представленные в одном документе (</w:t>
      </w:r>
      <w:r>
        <w:rPr>
          <w:bCs/>
          <w:lang w:val="en-US"/>
        </w:rPr>
        <w:t>CERD</w:t>
      </w:r>
      <w:r>
        <w:rPr>
          <w:bCs/>
        </w:rPr>
        <w:t>/</w:t>
      </w:r>
      <w:r>
        <w:rPr>
          <w:bCs/>
          <w:lang w:val="en-US"/>
        </w:rPr>
        <w:t>C</w:t>
      </w:r>
      <w:r>
        <w:rPr>
          <w:bCs/>
        </w:rPr>
        <w:t>/370/</w:t>
      </w:r>
      <w:r>
        <w:rPr>
          <w:bCs/>
          <w:lang w:val="en-US"/>
        </w:rPr>
        <w:t>Add</w:t>
      </w:r>
      <w:r>
        <w:rPr>
          <w:bCs/>
        </w:rPr>
        <w:t>.1), и третий периодический доклад (</w:t>
      </w:r>
      <w:r>
        <w:rPr>
          <w:bCs/>
          <w:lang w:val="en-US"/>
        </w:rPr>
        <w:t>CERD</w:t>
      </w:r>
      <w:r>
        <w:rPr>
          <w:bCs/>
        </w:rPr>
        <w:t>/</w:t>
      </w:r>
      <w:r>
        <w:rPr>
          <w:bCs/>
          <w:lang w:val="en-US"/>
        </w:rPr>
        <w:t>C</w:t>
      </w:r>
      <w:r>
        <w:rPr>
          <w:bCs/>
        </w:rPr>
        <w:t>/439/</w:t>
      </w:r>
      <w:r>
        <w:rPr>
          <w:bCs/>
          <w:lang w:val="en-US"/>
        </w:rPr>
        <w:t>Add</w:t>
      </w:r>
      <w:r>
        <w:rPr>
          <w:bCs/>
        </w:rPr>
        <w:t>.1) на своих 1558</w:t>
      </w:r>
      <w:r>
        <w:rPr>
          <w:bCs/>
        </w:rPr>
        <w:noBreakHyphen/>
        <w:t>м и 1559</w:t>
      </w:r>
      <w:r>
        <w:rPr>
          <w:bCs/>
        </w:rPr>
        <w:noBreakHyphen/>
        <w:t>м заседаниях (</w:t>
      </w:r>
      <w:r>
        <w:rPr>
          <w:bCs/>
          <w:lang w:val="en-US"/>
        </w:rPr>
        <w:t>CERD</w:t>
      </w:r>
      <w:r>
        <w:rPr>
          <w:bCs/>
        </w:rPr>
        <w:t>/</w:t>
      </w:r>
      <w:r>
        <w:rPr>
          <w:bCs/>
          <w:lang w:val="en-US"/>
        </w:rPr>
        <w:t>C</w:t>
      </w:r>
      <w:r>
        <w:rPr>
          <w:bCs/>
        </w:rPr>
        <w:t>/</w:t>
      </w:r>
      <w:r>
        <w:rPr>
          <w:bCs/>
          <w:lang w:val="en-US"/>
        </w:rPr>
        <w:t>SR</w:t>
      </w:r>
      <w:r>
        <w:rPr>
          <w:bCs/>
        </w:rPr>
        <w:t>.1558 и 1559), состоявшихся 5 и 6 марта 2003 года, и на своем 1580</w:t>
      </w:r>
      <w:r>
        <w:rPr>
          <w:bCs/>
        </w:rPr>
        <w:noBreakHyphen/>
        <w:t>м заседании (</w:t>
      </w:r>
      <w:r>
        <w:rPr>
          <w:bCs/>
          <w:lang w:val="en-US"/>
        </w:rPr>
        <w:t>CERD</w:t>
      </w:r>
      <w:r>
        <w:rPr>
          <w:bCs/>
        </w:rPr>
        <w:t>/</w:t>
      </w:r>
      <w:r>
        <w:rPr>
          <w:bCs/>
          <w:lang w:val="en-US"/>
        </w:rPr>
        <w:t>C</w:t>
      </w:r>
      <w:r>
        <w:rPr>
          <w:bCs/>
        </w:rPr>
        <w:t>/</w:t>
      </w:r>
      <w:r>
        <w:rPr>
          <w:bCs/>
          <w:lang w:val="en-US"/>
        </w:rPr>
        <w:t>SR</w:t>
      </w:r>
      <w:r>
        <w:rPr>
          <w:bCs/>
        </w:rPr>
        <w:t>.1580), состоявшемся 20 марта 2003 года, и принял следующие заключительные замечания.</w:t>
      </w:r>
    </w:p>
    <w:p w:rsidR="00000000" w:rsidRDefault="00000000">
      <w:pPr>
        <w:rPr>
          <w:bCs/>
        </w:rPr>
      </w:pPr>
      <w:r>
        <w:rPr>
          <w:bCs/>
        </w:rPr>
        <w:br w:type="page"/>
      </w:r>
    </w:p>
    <w:p w:rsidR="00000000" w:rsidRDefault="00000000">
      <w:pPr>
        <w:jc w:val="center"/>
        <w:rPr>
          <w:bCs/>
        </w:rPr>
      </w:pPr>
      <w:r>
        <w:rPr>
          <w:b/>
        </w:rPr>
        <w:t>А.</w:t>
      </w:r>
      <w:r>
        <w:rPr>
          <w:b/>
        </w:rPr>
        <w:tab/>
        <w:t>Введение</w:t>
      </w:r>
    </w:p>
    <w:p w:rsidR="00000000" w:rsidRDefault="00000000">
      <w:pPr>
        <w:jc w:val="center"/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2.</w:t>
      </w:r>
      <w:r>
        <w:rPr>
          <w:bCs/>
        </w:rPr>
        <w:tab/>
        <w:t>Комитет приветствует доклады, представленные государством</w:t>
      </w:r>
      <w:r>
        <w:rPr>
          <w:bCs/>
        </w:rPr>
        <w:noBreakHyphen/>
        <w:t xml:space="preserve">участником, а также дополнительные ответы, представленные в письменной форме, и с признательностью отмечает присутствие делегации высокого уровня.  Комитет выражает признательность за состоявшийся диалог. 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3.</w:t>
      </w:r>
      <w:r>
        <w:rPr>
          <w:bCs/>
        </w:rPr>
        <w:tab/>
        <w:t>Вместе с тем Комитет отмечает, что представленные доклады не полностью соответствуют его руководящим принципам.  Хотя в них и содержится информация о соответствующих законах и положениях, а также о судебной системе, ни в докладах, ни в базовом документе не содержится информации о политической структуре страны и демографических особенностях населения.  Кроме того, в докладах мало информации о том, каким образом Конвенция осуществляется на практике, а также о том, какие факторы и трудности препятствуют ее полному осуществлению.</w:t>
      </w:r>
    </w:p>
    <w:p w:rsidR="00000000" w:rsidRDefault="00000000">
      <w:pPr>
        <w:rPr>
          <w:bCs/>
        </w:rPr>
      </w:pPr>
    </w:p>
    <w:p w:rsidR="00000000" w:rsidRDefault="00000000">
      <w:pPr>
        <w:jc w:val="center"/>
        <w:rPr>
          <w:bCs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000000" w:rsidRDefault="00000000">
      <w:pPr>
        <w:jc w:val="center"/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4.</w:t>
      </w:r>
      <w:r>
        <w:rPr>
          <w:bCs/>
        </w:rPr>
        <w:tab/>
        <w:t>Комитет отмечает реформы в области прав человека, к проведению которых приступило государство</w:t>
      </w:r>
      <w:r>
        <w:rPr>
          <w:bCs/>
        </w:rPr>
        <w:noBreakHyphen/>
        <w:t>участник.  Среди прочего он отмечает принятие новых кодексов:  Кодекса судопроизводства, Уголовно-процессуального кодекса и Кодекса юридической профессии;  учреждение постоянного комитета по расследованию жалоб в отношении пыток и недавно принятую национальную программу по ликвидации нищеты.  Кроме того, Комитет отмечает, что государство</w:t>
      </w:r>
      <w:r>
        <w:rPr>
          <w:bCs/>
        </w:rPr>
        <w:noBreakHyphen/>
        <w:t>участник в ближайшем будущем санкционирует создание в Саудовской Аравии первой неправительственной организации (НПО) по вопросам прав человека, и выражает пожелание получить в следующем докладе государства</w:t>
      </w:r>
      <w:r>
        <w:rPr>
          <w:bCs/>
        </w:rPr>
        <w:noBreakHyphen/>
        <w:t>участника информацию об этом позитивном изменении.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5.</w:t>
      </w:r>
      <w:r>
        <w:rPr>
          <w:bCs/>
        </w:rPr>
        <w:tab/>
        <w:t>Комитет приветствует диалог и сотрудничество государства</w:t>
      </w:r>
      <w:r>
        <w:rPr>
          <w:bCs/>
        </w:rPr>
        <w:noBreakHyphen/>
        <w:t>участника с механизмами Организации Объединенных Наций по правам человека, включая Специального докладчика по вопросу о независимости судей и адвокатов, а также с международными НПО, занимающимися вопросами прав человека.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6.</w:t>
      </w:r>
      <w:r>
        <w:rPr>
          <w:bCs/>
        </w:rPr>
        <w:tab/>
        <w:t xml:space="preserve">Комитет приветствует недавнюю инициативу по распространению системы медицинского страхования на лиц, не являющихся гражданами Саудовской Аравии.  Кроме того, Комитет с удовлетворением отмечает принятие мер, направленных на то, чтобы покончить с практикой изъятия работодателями паспортов их иностранных </w:t>
      </w:r>
    </w:p>
    <w:p w:rsidR="00000000" w:rsidRDefault="00000000">
      <w:pPr>
        <w:rPr>
          <w:bCs/>
        </w:rPr>
      </w:pPr>
      <w:r>
        <w:rPr>
          <w:bCs/>
        </w:rPr>
        <w:br w:type="page"/>
      </w:r>
    </w:p>
    <w:p w:rsidR="00000000" w:rsidRDefault="00000000">
      <w:pPr>
        <w:rPr>
          <w:bCs/>
        </w:rPr>
      </w:pPr>
      <w:r>
        <w:rPr>
          <w:bCs/>
        </w:rPr>
        <w:t>работников, в частности домашней прислуги.  Он также отмечает, что большому количеству школ было предписано предлагать детям трудящихся</w:t>
      </w:r>
      <w:r>
        <w:rPr>
          <w:bCs/>
        </w:rPr>
        <w:noBreakHyphen/>
        <w:t>мигрантов программы обучения, которые были разработаны в их стране происхождения.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7.</w:t>
      </w:r>
      <w:r>
        <w:rPr>
          <w:bCs/>
        </w:rPr>
        <w:tab/>
        <w:t>Комитет с удовлетворением отмечает, что 28 февраля 2003 года государство</w:t>
      </w:r>
      <w:r>
        <w:rPr>
          <w:bCs/>
        </w:rPr>
        <w:noBreakHyphen/>
        <w:t>участник ратифицировало поправку к пункту 6 статьи 8 Конвенции, принятую 15 января 1992 года на четырнадцатом совещании государств </w:t>
      </w:r>
      <w:r>
        <w:rPr>
          <w:bCs/>
        </w:rPr>
        <w:noBreakHyphen/>
        <w:t xml:space="preserve"> участников Конвенции.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8.</w:t>
      </w:r>
      <w:r>
        <w:rPr>
          <w:bCs/>
        </w:rPr>
        <w:tab/>
        <w:t>Комитет приветствует информацию о том, что государство</w:t>
      </w:r>
      <w:r>
        <w:rPr>
          <w:bCs/>
        </w:rPr>
        <w:noBreakHyphen/>
        <w:t>участник в ближайшем будущем присоединится к Международному пакту о гражданских и политических правах и к Международному пакту об экономических, социальных и культурных правах.</w:t>
      </w:r>
    </w:p>
    <w:p w:rsidR="00000000" w:rsidRDefault="00000000">
      <w:pPr>
        <w:rPr>
          <w:bCs/>
        </w:rPr>
      </w:pPr>
    </w:p>
    <w:p w:rsidR="00000000" w:rsidRDefault="00000000">
      <w:pPr>
        <w:jc w:val="center"/>
        <w:rPr>
          <w:bCs/>
        </w:rPr>
      </w:pPr>
      <w:r>
        <w:rPr>
          <w:b/>
        </w:rPr>
        <w:t>С.</w:t>
      </w:r>
      <w:r>
        <w:rPr>
          <w:b/>
        </w:rPr>
        <w:tab/>
        <w:t>Вопросы, вызывающие озабоченность, и рекомендации</w:t>
      </w:r>
    </w:p>
    <w:p w:rsidR="00000000" w:rsidRDefault="00000000">
      <w:pPr>
        <w:jc w:val="center"/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9.</w:t>
      </w:r>
      <w:r>
        <w:rPr>
          <w:bCs/>
        </w:rPr>
        <w:tab/>
        <w:t>Широкие и неуточненные рамки общей оговорки государства</w:t>
      </w:r>
      <w:r>
        <w:rPr>
          <w:bCs/>
        </w:rPr>
        <w:noBreakHyphen/>
        <w:t>участника вызывают обеспокоенность с точки зрения ее соответствия предмету и целям Конвенции.  Комитет призывает государство</w:t>
      </w:r>
      <w:r>
        <w:rPr>
          <w:bCs/>
        </w:rPr>
        <w:noBreakHyphen/>
        <w:t>участник пересмотреть данную оговорку, с тем чтобы официально отказаться от нее.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10.</w:t>
      </w:r>
      <w:r>
        <w:rPr>
          <w:bCs/>
        </w:rPr>
        <w:tab/>
        <w:t>Отмечая, что Основной закон, положения королевских указов, постановления и кодексы, а также исламский шариат гарантируют равенство, Комитет вместе с тем считает, что простое заявление об общем принципе недискриминации в этих законах является недостаточным для выполнения требований Конвенции.  Комитет рекомендует государству</w:t>
      </w:r>
      <w:r>
        <w:rPr>
          <w:bCs/>
        </w:rPr>
        <w:noBreakHyphen/>
        <w:t>участнику принять законодательство, отвечающее требованиям статей 2, 3 и 4 Конвенции.  В этой связи Комитет обращает внимание на свои общие рекомендации </w:t>
      </w:r>
      <w:r>
        <w:rPr>
          <w:bCs/>
          <w:lang w:val="en-US"/>
        </w:rPr>
        <w:t>I</w:t>
      </w:r>
      <w:r>
        <w:rPr>
          <w:bCs/>
        </w:rPr>
        <w:t>,</w:t>
      </w:r>
      <w:r>
        <w:rPr>
          <w:bCs/>
          <w:lang w:val="en-US"/>
        </w:rPr>
        <w:t> II</w:t>
      </w:r>
      <w:r>
        <w:rPr>
          <w:bCs/>
        </w:rPr>
        <w:t>,</w:t>
      </w:r>
      <w:r>
        <w:rPr>
          <w:bCs/>
          <w:lang w:val="en-US"/>
        </w:rPr>
        <w:t> VII </w:t>
      </w:r>
      <w:r>
        <w:rPr>
          <w:bCs/>
        </w:rPr>
        <w:t>и </w:t>
      </w:r>
      <w:r>
        <w:rPr>
          <w:bCs/>
          <w:lang w:val="en-US"/>
        </w:rPr>
        <w:t>XV</w:t>
      </w:r>
      <w:r>
        <w:rPr>
          <w:bCs/>
        </w:rPr>
        <w:t xml:space="preserve"> и подчеркивает превентивное значение законодательства, запрещающего конкретно расовую дискриминацию и расистскую пропаганду. 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11.</w:t>
      </w:r>
      <w:r>
        <w:rPr>
          <w:bCs/>
        </w:rPr>
        <w:tab/>
        <w:t>Кроме того, Комитет подчеркивает, что изложенные в законе гарантии недискриминации, не подтвержденные механизмами мониторинга их соблюдения, не гарантируют сами по себе обеспечение наличия недискриминации.  Он просит государство</w:t>
      </w:r>
      <w:r>
        <w:rPr>
          <w:bCs/>
        </w:rPr>
        <w:noBreakHyphen/>
        <w:t>участник представить в последующих докладах информацию о практическом выполнении и контроле за осуществлением статей 4, 5 и 6 Конвенции, включая информацию о механизмах получения жалоб, проведения расследований и преследования виновных лиц, а также исполнения последующих решений.</w:t>
      </w:r>
    </w:p>
    <w:p w:rsidR="00000000" w:rsidRDefault="00000000">
      <w:pPr>
        <w:rPr>
          <w:bCs/>
        </w:rPr>
      </w:pPr>
      <w:r>
        <w:rPr>
          <w:bCs/>
        </w:rPr>
        <w:br w:type="page"/>
      </w:r>
    </w:p>
    <w:p w:rsidR="00000000" w:rsidRDefault="00000000">
      <w:pPr>
        <w:rPr>
          <w:bCs/>
        </w:rPr>
      </w:pPr>
      <w:r>
        <w:rPr>
          <w:bCs/>
        </w:rPr>
        <w:t>12.</w:t>
      </w:r>
      <w:r>
        <w:rPr>
          <w:bCs/>
        </w:rPr>
        <w:tab/>
        <w:t>Комитет отмечает недостаточность представленной информации в отношении усилий по поощрению межрасовой терпимости в государстве</w:t>
      </w:r>
      <w:r>
        <w:rPr>
          <w:bCs/>
        </w:rPr>
        <w:noBreakHyphen/>
        <w:t>участнике, например в таких областях, как школьные учебные программы и публичные информационные кампании.  Комитет рекомендует государству</w:t>
      </w:r>
      <w:r>
        <w:rPr>
          <w:bCs/>
        </w:rPr>
        <w:noBreakHyphen/>
        <w:t xml:space="preserve">участнику включить такую информацию в его следующий доклад.  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13.</w:t>
      </w:r>
      <w:r>
        <w:rPr>
          <w:bCs/>
        </w:rPr>
        <w:tab/>
        <w:t>Комитет рекомендует государству</w:t>
      </w:r>
      <w:r>
        <w:rPr>
          <w:bCs/>
        </w:rPr>
        <w:noBreakHyphen/>
        <w:t xml:space="preserve">участнику разработать учебные программы по вопросам прав человека и взаимопонимания между этническими группами, рассчитанные на сотрудников правоохранительных органов, включая полицейских, военнослужащих и персонал тюрем и представителей судебной профессии.    </w:t>
      </w:r>
    </w:p>
    <w:p w:rsidR="00000000" w:rsidRDefault="00000000"/>
    <w:p w:rsidR="00000000" w:rsidRDefault="00000000">
      <w:r>
        <w:t>14.</w:t>
      </w:r>
      <w:r>
        <w:tab/>
        <w:t>Приняв к сведению представленную информацию в отношении получения гражданства в соответствии с Положениями о гражданстве, Комитет выражает тем не менее обеспокоенность в связи с тем, что саудовская женщина не может передать свое гражданство своему ребенку в случае вступления в брак с иностранцем и что мужчина иностранец не может получить саудовское гражданство таким же образом, как женщина</w:t>
      </w:r>
      <w:r>
        <w:noBreakHyphen/>
        <w:t>иностранка.  Комитет просит государство</w:t>
      </w:r>
      <w:r>
        <w:noBreakHyphen/>
        <w:t>участник рассмотреть возможность изменения этих положений с целью приведения их в соответствие со статьей 5 </w:t>
      </w:r>
      <w:r>
        <w:rPr>
          <w:lang w:val="en-US"/>
        </w:rPr>
        <w:t>d</w:t>
      </w:r>
      <w:r>
        <w:t>)</w:t>
      </w:r>
      <w:r>
        <w:rPr>
          <w:lang w:val="en-US"/>
        </w:rPr>
        <w:t> iii</w:t>
      </w:r>
      <w:r>
        <w:t>) Конвенции.</w:t>
      </w:r>
    </w:p>
    <w:p w:rsidR="00000000" w:rsidRDefault="00000000"/>
    <w:p w:rsidR="00000000" w:rsidRDefault="00000000">
      <w:r>
        <w:t>15.</w:t>
      </w:r>
      <w:r>
        <w:tab/>
        <w:t>Комитет обеспокоен сообщениями о том, что лица определенной расовой принадлежности или этнического происхождения не могут публично выражать свои религиозные убеждения в государстве</w:t>
      </w:r>
      <w:r>
        <w:noBreakHyphen/>
        <w:t xml:space="preserve">участнике.  Комитет хотел бы получить дополнительную информацию по данному вопросу.  </w:t>
      </w:r>
    </w:p>
    <w:p w:rsidR="00000000" w:rsidRDefault="00000000"/>
    <w:p w:rsidR="00000000" w:rsidRDefault="00000000">
      <w:r>
        <w:t>16.</w:t>
      </w:r>
      <w:r>
        <w:tab/>
        <w:t>Отмечая, что закон гарантирует равный статус всем трудящимся, саудовцам и несаудовцам, Комитет хотел бы получить дополнительную информацию о практическом соблюдении данного принципа, особенно учитывая значительную долю трудящихся-мигрантов в Саудовской Аравии (60% рабочей силы в Саудовской Аравии составляют трудящиеся</w:t>
      </w:r>
      <w:r>
        <w:noBreakHyphen/>
        <w:t>мигранты).</w:t>
      </w:r>
    </w:p>
    <w:p w:rsidR="00000000" w:rsidRDefault="00000000"/>
    <w:p w:rsidR="00000000" w:rsidRDefault="00000000">
      <w:r>
        <w:t>17.</w:t>
      </w:r>
      <w:r>
        <w:tab/>
        <w:t>Комитет обеспокоен сообщениями о широко распространенной предвзятости в отношении трудящихся</w:t>
      </w:r>
      <w:r>
        <w:noBreakHyphen/>
        <w:t>мигрантах, в частности выходцев из Азии и Африки.  Комитет призывает государство</w:t>
      </w:r>
      <w:r>
        <w:noBreakHyphen/>
        <w:t>участник представить информацию о положении, в частности, женской домашней прислуги и обращает внимание государства</w:t>
      </w:r>
      <w:r>
        <w:noBreakHyphen/>
        <w:t>участника на свою Общую рекомендацию </w:t>
      </w:r>
      <w:r>
        <w:rPr>
          <w:lang w:val="en-US"/>
        </w:rPr>
        <w:t>XXV</w:t>
      </w:r>
      <w:r>
        <w:t>, касающуюся связанных с гендерной проблематикой аспектов расовой дискриминации.</w:t>
      </w:r>
    </w:p>
    <w:p w:rsidR="00000000" w:rsidRDefault="00000000">
      <w:r>
        <w:br w:type="page"/>
      </w:r>
    </w:p>
    <w:p w:rsidR="00000000" w:rsidRDefault="00000000">
      <w:r>
        <w:t>18.</w:t>
      </w:r>
      <w:r>
        <w:tab/>
        <w:t>Комитет обеспокоен в связи с утверждениями о том, что несоизмеримое число иностранцев подвергаются смертной казни.  Комитет призывает государство</w:t>
      </w:r>
      <w:r>
        <w:noBreakHyphen/>
        <w:t>участник осуществлять тесное сотрудничество со Специальным докладчиком по вопросу о внесудебных казнях, казнях без надлежащего судебного разбирательства и произвольных казнях, который запросил информацию о ряде случаев, касающихся трудящихся-мигрантов, которые не получили правовой помощи и были приговорены к смертной казни.</w:t>
      </w:r>
    </w:p>
    <w:p w:rsidR="00000000" w:rsidRDefault="00000000"/>
    <w:p w:rsidR="00000000" w:rsidRDefault="00000000">
      <w:r>
        <w:t>19.</w:t>
      </w:r>
      <w:r>
        <w:tab/>
        <w:t>Комитет просит представить более подробную информацию о провозглашенном "Плане саудизации", в частности о его последствиях для трудящихся</w:t>
      </w:r>
      <w:r>
        <w:noBreakHyphen/>
        <w:t>мигрантов.</w:t>
      </w:r>
    </w:p>
    <w:p w:rsidR="00000000" w:rsidRDefault="00000000"/>
    <w:p w:rsidR="00000000" w:rsidRDefault="00000000">
      <w:r>
        <w:t>20.</w:t>
      </w:r>
      <w:r>
        <w:tab/>
        <w:t>Комитет предлагает государству</w:t>
      </w:r>
      <w:r>
        <w:noBreakHyphen/>
        <w:t>участнику включить в его следующий периодический доклад статистические данные, дезагрегированные по национальному происхождению мигрантов, которые помогут лучше понять экономический и социальный статус не являющихся гражданами лиц в Саудовской Аравии.</w:t>
      </w:r>
    </w:p>
    <w:p w:rsidR="00000000" w:rsidRDefault="00000000"/>
    <w:p w:rsidR="00000000" w:rsidRDefault="00000000">
      <w:r>
        <w:t>21.</w:t>
      </w:r>
      <w:r>
        <w:tab/>
        <w:t>Комитет обеспокоен положением иракских беженцев, проживающих уже более 12 лет в очень трудных условиях в лагере для беженцев Рафха.  Комитет надеется, что государство</w:t>
      </w:r>
      <w:r>
        <w:noBreakHyphen/>
        <w:t xml:space="preserve">участник найдет решение данной проблемы в ближайшем будущем. </w:t>
      </w:r>
    </w:p>
    <w:p w:rsidR="00000000" w:rsidRDefault="00000000"/>
    <w:p w:rsidR="00000000" w:rsidRDefault="00000000">
      <w:r>
        <w:t>22.</w:t>
      </w:r>
      <w:r>
        <w:tab/>
        <w:t>Комитет просит государство</w:t>
      </w:r>
      <w:r>
        <w:noBreakHyphen/>
        <w:t>участник включить в его следующий периодический доклад информацию о достигнутом прогрессе в области создания национального учреждения, занимающегося вопросами прав человека, а также дополнительные подробные данные о предполагаемом членском составе, полномочиях и статусе этого ведомства.  В этой связи он обращает внимание государства</w:t>
      </w:r>
      <w:r>
        <w:noBreakHyphen/>
        <w:t>участника на Парижские принципы, содержащиеся в приложении к резолюции 48/134 Генеральной Ассамблеи.</w:t>
      </w:r>
    </w:p>
    <w:p w:rsidR="00000000" w:rsidRDefault="00000000"/>
    <w:p w:rsidR="00000000" w:rsidRDefault="00000000">
      <w:r>
        <w:t>23.</w:t>
      </w:r>
      <w:r>
        <w:tab/>
        <w:t>Государству</w:t>
      </w:r>
      <w:r>
        <w:noBreakHyphen/>
        <w:t xml:space="preserve">участнику предлагается включить в его следующий периодический доклад конкретную информацию о политической структуре и составе населения, включая его этнические и демографические особенности.  </w:t>
      </w:r>
    </w:p>
    <w:p w:rsidR="00000000" w:rsidRDefault="00000000"/>
    <w:p w:rsidR="00000000" w:rsidRDefault="00000000">
      <w:r>
        <w:t>24.</w:t>
      </w:r>
      <w:r>
        <w:tab/>
        <w:t>Комитет рекомендует государству</w:t>
      </w:r>
      <w:r>
        <w:noBreakHyphen/>
        <w:t>участнику при применении положений Конвенции, в частности ее статей 2 и 7, во внутреннем праве учитывать соответствующие разделы Дурбанской декларации и программы действий, а также включить в свой следующий периодический доклад информацию о мерах по осуществлению Дурбанской декларации и Программы действий на национальном уровне.</w:t>
      </w:r>
    </w:p>
    <w:p w:rsidR="00000000" w:rsidRDefault="00000000">
      <w:r>
        <w:br w:type="page"/>
      </w:r>
    </w:p>
    <w:p w:rsidR="00000000" w:rsidRDefault="00000000">
      <w:r>
        <w:t>25.</w:t>
      </w:r>
      <w:r>
        <w:tab/>
        <w:t>Комитет отмечает, что государство</w:t>
      </w:r>
      <w:r>
        <w:noBreakHyphen/>
        <w:t>участник не сделало заявления, предусмотренного в статье 14 Конвенции, и настоятельно призывает государство- участник рассмотреть возможность сделать такое заявление.</w:t>
      </w:r>
    </w:p>
    <w:p w:rsidR="00000000" w:rsidRDefault="00000000"/>
    <w:p w:rsidR="00000000" w:rsidRDefault="00000000">
      <w:r>
        <w:t>26.</w:t>
      </w:r>
      <w:r>
        <w:tab/>
        <w:t>Комитет рекомендует государству</w:t>
      </w:r>
      <w:r>
        <w:noBreakHyphen/>
        <w:t>участнику обеспечить широкую доступность периодических докладов для общественности с момента их представления, а также возможность широкого ознакомления с замечаниями Комитета по этим докладам.</w:t>
      </w:r>
    </w:p>
    <w:p w:rsidR="00000000" w:rsidRDefault="00000000"/>
    <w:p w:rsidR="00000000" w:rsidRDefault="00000000">
      <w:r>
        <w:t>27.</w:t>
      </w:r>
      <w:r>
        <w:tab/>
        <w:t>Комитет рекомендует государству</w:t>
      </w:r>
      <w:r>
        <w:noBreakHyphen/>
        <w:t>участнику представить его четвертый периодический доклад вместе с пятым периодическим докладом (срок представления 22 октября 2006 года) и обеспечить освещение в нем всех вопросов, затронутых в настоящих заключительных замечаниях.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>
      <w:pPr>
        <w:tabs>
          <w:tab w:val="left" w:pos="0"/>
        </w:tabs>
        <w:rPr>
          <w:lang w:val="en-US"/>
        </w:rPr>
      </w:pPr>
    </w:p>
    <w:p w:rsidR="00000000" w:rsidRDefault="00000000">
      <w:pPr>
        <w:tabs>
          <w:tab w:val="left" w:pos="0"/>
        </w:tabs>
        <w:rPr>
          <w:lang w:val="en-US"/>
        </w:rPr>
      </w:pPr>
    </w:p>
    <w:p w:rsidR="00000000" w:rsidRDefault="00000000">
      <w:pPr>
        <w:tabs>
          <w:tab w:val="left" w:pos="0"/>
        </w:tabs>
        <w:rPr>
          <w:lang w:val="en-US"/>
        </w:rPr>
      </w:pP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  <w:t xml:space="preserve">Просьба учитывать, что вместо условного обозначения 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/304/</w:t>
      </w:r>
      <w:r>
        <w:rPr>
          <w:lang w:val="en-US"/>
        </w:rPr>
        <w:t>Add</w:t>
      </w:r>
      <w:r>
        <w:t xml:space="preserve">. … используется условное обозначение 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/№ сессии/</w:t>
      </w:r>
      <w:r>
        <w:rPr>
          <w:lang w:val="en-US"/>
        </w:rPr>
        <w:t>CO</w:t>
      </w:r>
      <w:r>
        <w:t>/… .</w:t>
      </w:r>
    </w:p>
    <w:p w:rsidR="00000000" w:rsidRDefault="00000000">
      <w:pPr>
        <w:pStyle w:val="FootnoteText"/>
      </w:pPr>
    </w:p>
    <w:p w:rsidR="00000000" w:rsidRDefault="0000000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CERD/C/62/CO/8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CERD/C/62/CO/8</w:t>
    </w:r>
  </w:p>
  <w:p w:rsidR="00000000" w:rsidRDefault="00000000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7</TotalTime>
  <Pages>1</Pages>
  <Words>1517</Words>
  <Characters>8649</Characters>
  <Application>Microsoft Office Word</Application>
  <DocSecurity>4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0342170.doc</vt:lpstr>
    </vt:vector>
  </TitlesOfParts>
  <Company> 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0342170.doc</dc:title>
  <dc:subject/>
  <dc:creator>Svetlana PROKOUDINA</dc:creator>
  <cp:keywords/>
  <dc:description/>
  <cp:lastModifiedBy>odsdba</cp:lastModifiedBy>
  <cp:revision>5</cp:revision>
  <cp:lastPrinted>2003-06-30T09:46:00Z</cp:lastPrinted>
  <dcterms:created xsi:type="dcterms:W3CDTF">2003-06-19T12:55:00Z</dcterms:created>
  <dcterms:modified xsi:type="dcterms:W3CDTF">2003-06-30T09:46:00Z</dcterms:modified>
</cp:coreProperties>
</file>