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54D30" w:rsidP="00D54D30">
            <w:pPr>
              <w:bidi w:val="0"/>
              <w:spacing w:after="20"/>
              <w:jc w:val="left"/>
              <w:rPr>
                <w:szCs w:val="20"/>
              </w:rPr>
            </w:pPr>
            <w:r w:rsidRPr="00D54D30">
              <w:rPr>
                <w:sz w:val="40"/>
                <w:szCs w:val="20"/>
              </w:rPr>
              <w:t>CCPR</w:t>
            </w:r>
            <w:r>
              <w:rPr>
                <w:szCs w:val="20"/>
              </w:rPr>
              <w:t>/C/109/D/1873/2009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54D30" w:rsidRDefault="00D54D30" w:rsidP="00D54D30">
            <w:pPr>
              <w:bidi w:val="0"/>
              <w:spacing w:before="240"/>
              <w:jc w:val="left"/>
            </w:pPr>
            <w:r>
              <w:t>Distr.: General</w:t>
            </w:r>
          </w:p>
          <w:p w:rsidR="00D54D30" w:rsidRDefault="00D54D30" w:rsidP="00D54D30">
            <w:pPr>
              <w:bidi w:val="0"/>
              <w:jc w:val="left"/>
            </w:pPr>
            <w:r>
              <w:t>2 December 2013</w:t>
            </w:r>
          </w:p>
          <w:p w:rsidR="00D54D30" w:rsidRDefault="00D54D30" w:rsidP="00D54D30">
            <w:pPr>
              <w:bidi w:val="0"/>
              <w:jc w:val="left"/>
            </w:pPr>
            <w:r>
              <w:t>Arabic</w:t>
            </w:r>
          </w:p>
          <w:p w:rsidR="00257225" w:rsidRPr="008B4BC6" w:rsidRDefault="00D54D30" w:rsidP="00D54D30">
            <w:pPr>
              <w:bidi w:val="0"/>
              <w:jc w:val="left"/>
            </w:pPr>
            <w:r>
              <w:t>Original: English</w:t>
            </w:r>
          </w:p>
        </w:tc>
      </w:tr>
    </w:tbl>
    <w:p w:rsidR="006B7E32" w:rsidRPr="003C5CDF" w:rsidRDefault="006B7E32" w:rsidP="006B7E32">
      <w:pPr>
        <w:spacing w:before="120" w:line="380" w:lineRule="exact"/>
        <w:rPr>
          <w:b/>
          <w:bCs/>
          <w:sz w:val="26"/>
          <w:szCs w:val="36"/>
        </w:rPr>
      </w:pPr>
      <w:r w:rsidRPr="006B7E32">
        <w:rPr>
          <w:rFonts w:hint="cs"/>
          <w:b/>
          <w:bCs/>
          <w:sz w:val="26"/>
          <w:szCs w:val="36"/>
          <w:rtl/>
          <w:lang w:val="fr-CH"/>
        </w:rPr>
        <w:t>اللجنة المعنية بحقوق الإنسان</w:t>
      </w:r>
    </w:p>
    <w:p w:rsidR="006B7E32" w:rsidRPr="00AD3682" w:rsidRDefault="006B7E32" w:rsidP="006B7E32">
      <w:pPr>
        <w:pStyle w:val="HChGA"/>
        <w:rPr>
          <w:rFonts w:hint="cs"/>
          <w:rtl/>
        </w:rPr>
      </w:pPr>
      <w:r w:rsidRPr="00AD3682">
        <w:rPr>
          <w:rFonts w:hint="cs"/>
          <w:rtl/>
        </w:rPr>
        <w:tab/>
      </w:r>
      <w:r w:rsidRPr="00AD3682">
        <w:rPr>
          <w:rFonts w:hint="cs"/>
          <w:rtl/>
        </w:rPr>
        <w:tab/>
      </w:r>
      <w:r w:rsidRPr="00AD3682">
        <w:rPr>
          <w:rtl/>
        </w:rPr>
        <w:t xml:space="preserve">البلاغ </w:t>
      </w:r>
      <w:r w:rsidRPr="00AD3682">
        <w:rPr>
          <w:rFonts w:hint="cs"/>
          <w:rtl/>
        </w:rPr>
        <w:t>رقم 18</w:t>
      </w:r>
      <w:r>
        <w:rPr>
          <w:rFonts w:hint="cs"/>
          <w:rtl/>
        </w:rPr>
        <w:t>73</w:t>
      </w:r>
      <w:r w:rsidRPr="00AD3682">
        <w:rPr>
          <w:rtl/>
        </w:rPr>
        <w:t>/200</w:t>
      </w:r>
      <w:r w:rsidRPr="00AD3682">
        <w:rPr>
          <w:rFonts w:hint="cs"/>
          <w:rtl/>
        </w:rPr>
        <w:t>9</w:t>
      </w:r>
    </w:p>
    <w:p w:rsidR="006B7E32" w:rsidRPr="00257709" w:rsidRDefault="006B7E32" w:rsidP="00105E19">
      <w:pPr>
        <w:pStyle w:val="H1GA"/>
        <w:rPr>
          <w:rFonts w:hint="cs"/>
          <w:rtl/>
          <w:lang w:val="fr-CH"/>
        </w:rPr>
      </w:pPr>
      <w:r>
        <w:rPr>
          <w:rFonts w:hint="cs"/>
          <w:rtl/>
          <w:lang w:val="fr-CH"/>
        </w:rPr>
        <w:tab/>
      </w:r>
      <w:r w:rsidRPr="00257709">
        <w:rPr>
          <w:rFonts w:hint="cs"/>
          <w:rtl/>
          <w:lang w:val="fr-CH"/>
        </w:rPr>
        <w:tab/>
        <w:t>آراء اعتمدتها اللجنة في دورتها ال</w:t>
      </w:r>
      <w:r>
        <w:rPr>
          <w:rFonts w:hint="cs"/>
          <w:rtl/>
          <w:lang w:val="fr-CH"/>
        </w:rPr>
        <w:t>تاس</w:t>
      </w:r>
      <w:r w:rsidRPr="00257709">
        <w:rPr>
          <w:rFonts w:hint="cs"/>
          <w:rtl/>
          <w:lang w:val="fr-CH"/>
        </w:rPr>
        <w:t>عة بعد المائة،</w:t>
      </w:r>
      <w:r>
        <w:rPr>
          <w:rFonts w:hint="cs"/>
          <w:rtl/>
          <w:lang w:val="fr-CH"/>
        </w:rPr>
        <w:t xml:space="preserve"> المعقودة في الفترة من 14 </w:t>
      </w:r>
      <w:r w:rsidR="00105E19">
        <w:rPr>
          <w:rFonts w:hint="cs"/>
          <w:rtl/>
          <w:lang w:val="fr-CH"/>
        </w:rPr>
        <w:t xml:space="preserve">تشرين الأول/أكتوبر </w:t>
      </w:r>
      <w:r w:rsidRPr="00257709">
        <w:rPr>
          <w:rFonts w:hint="cs"/>
          <w:rtl/>
          <w:lang w:val="fr-CH"/>
        </w:rPr>
        <w:t>إلى</w:t>
      </w:r>
      <w:r>
        <w:rPr>
          <w:rFonts w:hint="eastAsia"/>
          <w:rtl/>
          <w:lang w:val="fr-CH"/>
        </w:rPr>
        <w:t> </w:t>
      </w:r>
      <w:r>
        <w:rPr>
          <w:rFonts w:hint="cs"/>
          <w:rtl/>
          <w:lang w:val="fr-CH"/>
        </w:rPr>
        <w:t>1</w:t>
      </w:r>
      <w:r w:rsidRPr="00257709">
        <w:rPr>
          <w:rFonts w:hint="cs"/>
          <w:rtl/>
          <w:lang w:val="fr-CH"/>
        </w:rPr>
        <w:t xml:space="preserve"> </w:t>
      </w:r>
      <w:r>
        <w:rPr>
          <w:rFonts w:hint="cs"/>
          <w:rtl/>
          <w:lang w:val="fr-CH"/>
        </w:rPr>
        <w:t>تشرين الثاني</w:t>
      </w:r>
      <w:r w:rsidRPr="00257709">
        <w:rPr>
          <w:rFonts w:hint="cs"/>
          <w:rtl/>
          <w:lang w:val="fr-CH"/>
        </w:rPr>
        <w:t>/</w:t>
      </w:r>
      <w:r>
        <w:rPr>
          <w:rFonts w:hint="cs"/>
          <w:rtl/>
          <w:lang w:val="fr-CH"/>
        </w:rPr>
        <w:t>نوفمبر</w:t>
      </w:r>
      <w:r w:rsidRPr="00257709">
        <w:rPr>
          <w:rFonts w:hint="cs"/>
          <w:rtl/>
          <w:lang w:val="fr-CH"/>
        </w:rPr>
        <w:t xml:space="preserve"> 201</w:t>
      </w:r>
      <w:r>
        <w:rPr>
          <w:rFonts w:hint="cs"/>
          <w:rtl/>
          <w:lang w:val="fr-CH"/>
        </w:rPr>
        <w:t>3</w:t>
      </w:r>
    </w:p>
    <w:p w:rsidR="006B7E32" w:rsidRDefault="006B7E32" w:rsidP="006B7E32">
      <w:pPr>
        <w:pStyle w:val="SingleTxtGA"/>
        <w:ind w:left="1928"/>
        <w:rPr>
          <w:rFonts w:hint="cs"/>
          <w:rtl/>
        </w:rPr>
      </w:pPr>
      <w:r w:rsidRPr="00B74338">
        <w:rPr>
          <w:i/>
          <w:iCs/>
          <w:rtl/>
        </w:rPr>
        <w:t>المقدم من</w:t>
      </w:r>
      <w:r w:rsidRPr="00437B44">
        <w:rPr>
          <w:i/>
          <w:iCs/>
          <w:rtl/>
        </w:rPr>
        <w:t>:</w:t>
      </w:r>
      <w:r w:rsidRPr="00437B44">
        <w:rPr>
          <w:rFonts w:hint="cs"/>
          <w:i/>
          <w:iCs/>
          <w:rtl/>
        </w:rPr>
        <w:t xml:space="preserve"> </w:t>
      </w:r>
      <w:r>
        <w:rPr>
          <w:rFonts w:hint="cs"/>
          <w:i/>
          <w:iCs/>
          <w:rtl/>
        </w:rPr>
        <w:tab/>
      </w:r>
      <w:r>
        <w:rPr>
          <w:rFonts w:hint="cs"/>
          <w:i/>
          <w:iCs/>
          <w:rtl/>
        </w:rPr>
        <w:tab/>
      </w:r>
      <w:r>
        <w:rPr>
          <w:rFonts w:hint="cs"/>
          <w:i/>
          <w:iCs/>
          <w:rtl/>
        </w:rPr>
        <w:tab/>
      </w:r>
      <w:r>
        <w:rPr>
          <w:rFonts w:hint="cs"/>
          <w:rtl/>
        </w:rPr>
        <w:t xml:space="preserve">نيكولاي </w:t>
      </w:r>
      <w:proofErr w:type="spellStart"/>
      <w:r>
        <w:rPr>
          <w:rFonts w:hint="cs"/>
          <w:rtl/>
        </w:rPr>
        <w:t>ألكسييف</w:t>
      </w:r>
      <w:proofErr w:type="spellEnd"/>
      <w:r>
        <w:rPr>
          <w:rFonts w:hint="cs"/>
          <w:rtl/>
        </w:rPr>
        <w:t xml:space="preserve"> (لا يمثله محام)</w:t>
      </w:r>
    </w:p>
    <w:p w:rsidR="006B7E32" w:rsidRDefault="006B7E32" w:rsidP="006B7E32">
      <w:pPr>
        <w:pStyle w:val="SingleTxtGA"/>
        <w:ind w:left="1928"/>
        <w:rPr>
          <w:rFonts w:hint="cs"/>
          <w:rtl/>
        </w:rPr>
      </w:pPr>
      <w:r w:rsidRPr="004E7CAD">
        <w:rPr>
          <w:i/>
          <w:iCs/>
          <w:rtl/>
        </w:rPr>
        <w:t>الشخص المُدعى أنه ضحية:</w:t>
      </w:r>
      <w:r w:rsidRPr="00C35340">
        <w:rPr>
          <w:rtl/>
        </w:rPr>
        <w:tab/>
      </w:r>
      <w:r>
        <w:rPr>
          <w:rFonts w:hint="cs"/>
          <w:rtl/>
        </w:rPr>
        <w:t>صاحب البلاغ</w:t>
      </w:r>
    </w:p>
    <w:p w:rsidR="006B7E32" w:rsidRDefault="006B7E32" w:rsidP="006B7E32">
      <w:pPr>
        <w:pStyle w:val="SingleTxtGA"/>
        <w:ind w:left="1928"/>
        <w:rPr>
          <w:rFonts w:hint="cs"/>
          <w:rtl/>
        </w:rPr>
      </w:pPr>
      <w:r w:rsidRPr="00C35340">
        <w:rPr>
          <w:i/>
          <w:iCs/>
          <w:rtl/>
        </w:rPr>
        <w:t>الدولة الطرف</w:t>
      </w:r>
      <w:r w:rsidRPr="00437B44">
        <w:rPr>
          <w:i/>
          <w:iCs/>
          <w:rtl/>
        </w:rPr>
        <w:t>:</w:t>
      </w:r>
      <w:r>
        <w:rPr>
          <w:rFonts w:hint="cs"/>
          <w:rtl/>
        </w:rPr>
        <w:tab/>
      </w:r>
      <w:r>
        <w:rPr>
          <w:rFonts w:hint="cs"/>
          <w:rtl/>
        </w:rPr>
        <w:tab/>
      </w:r>
      <w:r>
        <w:rPr>
          <w:rFonts w:hint="cs"/>
          <w:rtl/>
        </w:rPr>
        <w:tab/>
        <w:t>الاتحاد الروسي</w:t>
      </w:r>
    </w:p>
    <w:p w:rsidR="006B7E32" w:rsidRPr="00A915D7" w:rsidRDefault="006B7E32" w:rsidP="006B7E32">
      <w:pPr>
        <w:pStyle w:val="SingleTxtGA"/>
        <w:ind w:left="1928"/>
        <w:rPr>
          <w:rFonts w:hAnsi="SimSun" w:hint="cs"/>
          <w:spacing w:val="6"/>
          <w:rtl/>
          <w:lang w:bidi="ar-MA"/>
        </w:rPr>
      </w:pPr>
      <w:r w:rsidRPr="00C35340">
        <w:rPr>
          <w:i/>
          <w:iCs/>
          <w:rtl/>
        </w:rPr>
        <w:t>تاريخ تقديم البلاغ</w:t>
      </w:r>
      <w:r w:rsidRPr="00C35340">
        <w:rPr>
          <w:rtl/>
        </w:rPr>
        <w:t>:</w:t>
      </w:r>
      <w:r>
        <w:rPr>
          <w:rFonts w:hint="cs"/>
          <w:rtl/>
        </w:rPr>
        <w:tab/>
      </w:r>
      <w:r w:rsidRPr="00C35340">
        <w:rPr>
          <w:rtl/>
        </w:rPr>
        <w:tab/>
      </w:r>
      <w:r>
        <w:rPr>
          <w:rFonts w:hint="cs"/>
          <w:rtl/>
        </w:rPr>
        <w:t>25 آذار</w:t>
      </w:r>
      <w:r w:rsidRPr="002E246C">
        <w:rPr>
          <w:rFonts w:hint="cs"/>
          <w:rtl/>
        </w:rPr>
        <w:t>/</w:t>
      </w:r>
      <w:r>
        <w:rPr>
          <w:rFonts w:hint="cs"/>
          <w:rtl/>
        </w:rPr>
        <w:t>مارس</w:t>
      </w:r>
      <w:r w:rsidRPr="002E246C">
        <w:rPr>
          <w:rFonts w:hint="cs"/>
          <w:rtl/>
        </w:rPr>
        <w:t xml:space="preserve"> </w:t>
      </w:r>
      <w:r>
        <w:rPr>
          <w:rFonts w:hint="cs"/>
          <w:rtl/>
        </w:rPr>
        <w:t>2009</w:t>
      </w:r>
      <w:r>
        <w:rPr>
          <w:rFonts w:ascii="SimSun" w:hAnsi="SimSun" w:hint="cs"/>
          <w:rtl/>
          <w:lang w:bidi="ar-MA"/>
        </w:rPr>
        <w:t xml:space="preserve"> </w:t>
      </w:r>
      <w:r w:rsidRPr="00437B44">
        <w:rPr>
          <w:rFonts w:ascii="SimSun" w:hAnsi="SimSun"/>
          <w:rtl/>
          <w:lang w:bidi="ar-MA"/>
        </w:rPr>
        <w:t>(</w:t>
      </w:r>
      <w:r w:rsidRPr="00437B44">
        <w:rPr>
          <w:rFonts w:ascii="SimSun" w:hAnsi="SimSun" w:hint="eastAsia"/>
          <w:rtl/>
          <w:lang w:bidi="ar-MA"/>
        </w:rPr>
        <w:t>تاريخ</w:t>
      </w:r>
      <w:r w:rsidRPr="00437B44">
        <w:rPr>
          <w:rFonts w:ascii="SimSun" w:hAnsi="SimSun" w:hint="cs"/>
          <w:rtl/>
          <w:lang w:bidi="ar-MA"/>
        </w:rPr>
        <w:t xml:space="preserve"> </w:t>
      </w:r>
      <w:r w:rsidRPr="00437B44">
        <w:rPr>
          <w:rFonts w:ascii="SimSun" w:hAnsi="SimSun" w:hint="eastAsia"/>
          <w:rtl/>
          <w:lang w:bidi="ar-MA"/>
        </w:rPr>
        <w:t>الرسالة</w:t>
      </w:r>
      <w:r w:rsidRPr="00437B44">
        <w:rPr>
          <w:rFonts w:ascii="SimSun" w:hAnsi="SimSun"/>
          <w:rtl/>
          <w:lang w:bidi="ar-MA"/>
        </w:rPr>
        <w:t xml:space="preserve"> </w:t>
      </w:r>
      <w:r w:rsidRPr="00437B44">
        <w:rPr>
          <w:rFonts w:ascii="SimSun" w:hAnsi="SimSun" w:hint="eastAsia"/>
          <w:rtl/>
          <w:lang w:bidi="ar-MA"/>
        </w:rPr>
        <w:t>الأولى</w:t>
      </w:r>
      <w:r w:rsidRPr="00437B44">
        <w:rPr>
          <w:rFonts w:ascii="SimSun" w:hAnsi="SimSun"/>
          <w:rtl/>
          <w:lang w:bidi="ar-MA"/>
        </w:rPr>
        <w:t>)</w:t>
      </w:r>
    </w:p>
    <w:p w:rsidR="006B7E32" w:rsidRPr="00437B44" w:rsidRDefault="006B7E32" w:rsidP="003C5CDF">
      <w:pPr>
        <w:pStyle w:val="SingleTxtGA"/>
        <w:spacing w:line="340" w:lineRule="exact"/>
        <w:ind w:left="4650" w:hanging="2722"/>
        <w:rPr>
          <w:rFonts w:hint="cs"/>
          <w:rtl/>
        </w:rPr>
      </w:pPr>
      <w:r w:rsidRPr="00437B44">
        <w:rPr>
          <w:i/>
          <w:iCs/>
          <w:rtl/>
        </w:rPr>
        <w:t>الوثائق المرجعية:</w:t>
      </w:r>
      <w:r w:rsidRPr="00437B44">
        <w:rPr>
          <w:i/>
          <w:iCs/>
          <w:rtl/>
        </w:rPr>
        <w:tab/>
      </w:r>
      <w:r>
        <w:rPr>
          <w:rFonts w:hint="cs"/>
          <w:i/>
          <w:iCs/>
          <w:rtl/>
        </w:rPr>
        <w:tab/>
      </w:r>
      <w:r>
        <w:rPr>
          <w:rFonts w:hint="cs"/>
          <w:i/>
          <w:iCs/>
          <w:rtl/>
        </w:rPr>
        <w:tab/>
      </w:r>
      <w:r>
        <w:rPr>
          <w:rFonts w:hint="cs"/>
          <w:rtl/>
        </w:rPr>
        <w:t xml:space="preserve">قرار المقرر الخاص بمقتضى المادة 97 من النظام الداخلي، الذي أُحيل إلى الدولة الطرف في 28 </w:t>
      </w:r>
      <w:r>
        <w:rPr>
          <w:rFonts w:hint="cs"/>
          <w:sz w:val="30"/>
          <w:rtl/>
        </w:rPr>
        <w:t>نيسان</w:t>
      </w:r>
      <w:r w:rsidRPr="00FA67BD">
        <w:rPr>
          <w:rFonts w:hint="cs"/>
          <w:sz w:val="30"/>
          <w:rtl/>
        </w:rPr>
        <w:t>/</w:t>
      </w:r>
      <w:r>
        <w:rPr>
          <w:rFonts w:hint="cs"/>
          <w:sz w:val="30"/>
          <w:rtl/>
        </w:rPr>
        <w:t>أبريل</w:t>
      </w:r>
      <w:r w:rsidRPr="00FA67BD">
        <w:rPr>
          <w:rFonts w:hint="cs"/>
          <w:sz w:val="30"/>
          <w:rtl/>
        </w:rPr>
        <w:t xml:space="preserve"> </w:t>
      </w:r>
      <w:r>
        <w:rPr>
          <w:rFonts w:hint="cs"/>
          <w:rtl/>
        </w:rPr>
        <w:t>2009 (لم يصدر في شكل وثيقة)</w:t>
      </w:r>
    </w:p>
    <w:p w:rsidR="006B7E32" w:rsidRDefault="006B7E32" w:rsidP="00105E19">
      <w:pPr>
        <w:pStyle w:val="SingleTxtGA"/>
        <w:ind w:left="1928"/>
        <w:rPr>
          <w:rFonts w:hint="cs"/>
          <w:rtl/>
        </w:rPr>
      </w:pPr>
      <w:r w:rsidRPr="00C35340">
        <w:rPr>
          <w:i/>
          <w:iCs/>
          <w:rtl/>
        </w:rPr>
        <w:t>تاريخ اعتماد الآراء</w:t>
      </w:r>
      <w:r w:rsidRPr="00437B44">
        <w:rPr>
          <w:i/>
          <w:iCs/>
          <w:rtl/>
        </w:rPr>
        <w:t>:</w:t>
      </w:r>
      <w:r>
        <w:rPr>
          <w:rFonts w:hint="cs"/>
          <w:i/>
          <w:iCs/>
          <w:rtl/>
        </w:rPr>
        <w:tab/>
      </w:r>
      <w:r w:rsidRPr="00C35340">
        <w:rPr>
          <w:rFonts w:hint="cs"/>
          <w:rtl/>
        </w:rPr>
        <w:tab/>
      </w:r>
      <w:r>
        <w:rPr>
          <w:rFonts w:hint="cs"/>
          <w:rtl/>
        </w:rPr>
        <w:t xml:space="preserve">25 </w:t>
      </w:r>
      <w:r w:rsidR="00105E19">
        <w:rPr>
          <w:rFonts w:hint="cs"/>
          <w:rtl/>
          <w:lang w:val="fr-CH"/>
        </w:rPr>
        <w:t xml:space="preserve">تشرين الأول/أكتوبر </w:t>
      </w:r>
      <w:r>
        <w:rPr>
          <w:rFonts w:hint="cs"/>
          <w:rtl/>
        </w:rPr>
        <w:t>2013</w:t>
      </w:r>
    </w:p>
    <w:p w:rsidR="006B7E32" w:rsidRDefault="006B7E32" w:rsidP="006B7E32">
      <w:pPr>
        <w:pStyle w:val="SingleTxtGA"/>
        <w:ind w:left="1928"/>
        <w:rPr>
          <w:rFonts w:hint="cs"/>
          <w:rtl/>
        </w:rPr>
      </w:pPr>
      <w:r>
        <w:rPr>
          <w:rFonts w:hint="cs"/>
          <w:i/>
          <w:iCs/>
          <w:rtl/>
        </w:rPr>
        <w:t>موضوع البلاغ</w:t>
      </w:r>
      <w:r w:rsidRPr="00437B44">
        <w:rPr>
          <w:i/>
          <w:iCs/>
          <w:rtl/>
        </w:rPr>
        <w:t>:</w:t>
      </w:r>
      <w:r w:rsidRPr="00C35340">
        <w:rPr>
          <w:rFonts w:hint="cs"/>
          <w:rtl/>
        </w:rPr>
        <w:tab/>
      </w:r>
      <w:r>
        <w:rPr>
          <w:rFonts w:hint="cs"/>
          <w:rtl/>
        </w:rPr>
        <w:tab/>
      </w:r>
      <w:r>
        <w:rPr>
          <w:rFonts w:hint="cs"/>
          <w:rtl/>
        </w:rPr>
        <w:tab/>
        <w:t>الحق في التجمع السلمي</w:t>
      </w:r>
    </w:p>
    <w:p w:rsidR="006B7E32" w:rsidRDefault="006B7E32" w:rsidP="003C5CDF">
      <w:pPr>
        <w:pStyle w:val="SingleTxtGA"/>
        <w:spacing w:line="340" w:lineRule="exact"/>
        <w:ind w:left="4650" w:hanging="2722"/>
        <w:rPr>
          <w:rFonts w:hint="cs"/>
          <w:spacing w:val="6"/>
          <w:rtl/>
          <w:lang w:bidi="ar-MA"/>
        </w:rPr>
      </w:pPr>
      <w:r w:rsidRPr="004E7CAD">
        <w:rPr>
          <w:i/>
          <w:iCs/>
          <w:rtl/>
        </w:rPr>
        <w:t>المسائل</w:t>
      </w:r>
      <w:r w:rsidRPr="004E7CAD">
        <w:rPr>
          <w:rFonts w:hint="cs"/>
          <w:i/>
          <w:iCs/>
          <w:rtl/>
        </w:rPr>
        <w:t xml:space="preserve"> الإجرائية</w:t>
      </w:r>
      <w:r w:rsidRPr="004E7CAD">
        <w:rPr>
          <w:i/>
          <w:iCs/>
          <w:rtl/>
        </w:rPr>
        <w:t>:</w:t>
      </w:r>
      <w:r w:rsidRPr="00C35340">
        <w:rPr>
          <w:rFonts w:hint="cs"/>
          <w:rtl/>
        </w:rPr>
        <w:tab/>
      </w:r>
      <w:r>
        <w:rPr>
          <w:rFonts w:hint="cs"/>
          <w:rtl/>
        </w:rPr>
        <w:tab/>
      </w:r>
      <w:r>
        <w:rPr>
          <w:rFonts w:hint="cs"/>
          <w:rtl/>
        </w:rPr>
        <w:tab/>
      </w:r>
      <w:r>
        <w:rPr>
          <w:rFonts w:hint="cs"/>
          <w:rtl/>
          <w:lang/>
        </w:rPr>
        <w:t xml:space="preserve">القضية </w:t>
      </w:r>
      <w:r w:rsidR="00B61A84">
        <w:rPr>
          <w:rFonts w:hint="cs"/>
          <w:rtl/>
          <w:lang/>
        </w:rPr>
        <w:t xml:space="preserve">نفسها سبق أن عُرضت في إطار </w:t>
      </w:r>
      <w:r>
        <w:rPr>
          <w:rFonts w:hint="cs"/>
          <w:rtl/>
          <w:lang/>
        </w:rPr>
        <w:t xml:space="preserve">إجراء آخر من إجراءات التحقيق الدولي أو التسوية الدولية؛ واستنفاد سبل الانتصاف المحلية؛ ومستوى إثبات الادعاءات </w:t>
      </w:r>
    </w:p>
    <w:p w:rsidR="006B7E32" w:rsidRPr="0050050A" w:rsidRDefault="006B7E32" w:rsidP="009F618A">
      <w:pPr>
        <w:pStyle w:val="SingleTxtGA"/>
        <w:ind w:left="4649" w:hanging="2721"/>
        <w:rPr>
          <w:rFonts w:hint="cs"/>
          <w:spacing w:val="-6"/>
          <w:rtl/>
        </w:rPr>
      </w:pPr>
      <w:r w:rsidRPr="0050050A">
        <w:rPr>
          <w:i/>
          <w:iCs/>
          <w:spacing w:val="-6"/>
          <w:rtl/>
        </w:rPr>
        <w:t>المسائل</w:t>
      </w:r>
      <w:r w:rsidRPr="0050050A">
        <w:rPr>
          <w:rFonts w:hint="cs"/>
          <w:i/>
          <w:iCs/>
          <w:spacing w:val="-6"/>
          <w:rtl/>
        </w:rPr>
        <w:t xml:space="preserve"> الموضوعية</w:t>
      </w:r>
      <w:r w:rsidRPr="0050050A">
        <w:rPr>
          <w:i/>
          <w:iCs/>
          <w:spacing w:val="-6"/>
          <w:rtl/>
        </w:rPr>
        <w:t>:</w:t>
      </w:r>
      <w:r w:rsidR="0050050A">
        <w:rPr>
          <w:rFonts w:hint="cs"/>
          <w:i/>
          <w:iCs/>
          <w:spacing w:val="-6"/>
          <w:rtl/>
        </w:rPr>
        <w:tab/>
      </w:r>
      <w:r w:rsidRPr="0050050A">
        <w:rPr>
          <w:rFonts w:hint="cs"/>
          <w:spacing w:val="-6"/>
          <w:rtl/>
        </w:rPr>
        <w:tab/>
      </w:r>
      <w:r w:rsidRPr="0050050A">
        <w:rPr>
          <w:rFonts w:hint="cs"/>
          <w:spacing w:val="-6"/>
          <w:rtl/>
        </w:rPr>
        <w:tab/>
      </w:r>
      <w:r w:rsidR="0052211E" w:rsidRPr="0050050A">
        <w:rPr>
          <w:rFonts w:hint="cs"/>
          <w:spacing w:val="-6"/>
          <w:rtl/>
        </w:rPr>
        <w:t xml:space="preserve">فرض </w:t>
      </w:r>
      <w:r w:rsidRPr="0050050A">
        <w:rPr>
          <w:rFonts w:hint="cs"/>
          <w:spacing w:val="-6"/>
          <w:rtl/>
        </w:rPr>
        <w:t>قيود لا مبرر لها على الحق في التجمع السلمي</w:t>
      </w:r>
    </w:p>
    <w:p w:rsidR="006B7E32" w:rsidRPr="00B110AE" w:rsidRDefault="006B7E32" w:rsidP="006B7E32">
      <w:pPr>
        <w:pStyle w:val="SingleTxtGA"/>
        <w:ind w:left="1928"/>
        <w:rPr>
          <w:rFonts w:hint="cs"/>
          <w:rtl/>
        </w:rPr>
      </w:pPr>
      <w:r w:rsidRPr="004E7CAD">
        <w:rPr>
          <w:i/>
          <w:iCs/>
          <w:rtl/>
        </w:rPr>
        <w:t>مواد العهد:</w:t>
      </w:r>
      <w:r>
        <w:rPr>
          <w:rFonts w:hint="cs"/>
          <w:rtl/>
        </w:rPr>
        <w:tab/>
      </w:r>
      <w:r>
        <w:rPr>
          <w:rFonts w:hint="cs"/>
          <w:rtl/>
        </w:rPr>
        <w:tab/>
      </w:r>
      <w:r w:rsidRPr="00B110AE">
        <w:rPr>
          <w:rFonts w:hint="cs"/>
          <w:rtl/>
        </w:rPr>
        <w:tab/>
      </w:r>
      <w:r>
        <w:rPr>
          <w:rFonts w:hint="cs"/>
          <w:rtl/>
        </w:rPr>
        <w:t>المادة 21</w:t>
      </w:r>
    </w:p>
    <w:p w:rsidR="006B7E32" w:rsidRPr="00A73F28" w:rsidRDefault="006B7E32" w:rsidP="003C5CDF">
      <w:pPr>
        <w:pStyle w:val="SingleTxtGA"/>
        <w:spacing w:after="240"/>
        <w:ind w:left="1928"/>
        <w:rPr>
          <w:rFonts w:hint="cs"/>
          <w:rtl/>
        </w:rPr>
      </w:pPr>
      <w:r w:rsidRPr="004E7CAD">
        <w:rPr>
          <w:i/>
          <w:iCs/>
          <w:rtl/>
        </w:rPr>
        <w:t>مواد البروتوكول الاختياري:</w:t>
      </w:r>
      <w:r w:rsidRPr="00C35340">
        <w:rPr>
          <w:rFonts w:hint="cs"/>
          <w:rtl/>
        </w:rPr>
        <w:tab/>
      </w:r>
      <w:r w:rsidR="00DD2F9A">
        <w:rPr>
          <w:rFonts w:hint="cs"/>
          <w:rtl/>
          <w:lang/>
        </w:rPr>
        <w:t>2 و5 (الفقرتان</w:t>
      </w:r>
      <w:r>
        <w:rPr>
          <w:rFonts w:hint="cs"/>
          <w:rtl/>
          <w:lang/>
        </w:rPr>
        <w:t xml:space="preserve"> 2(أ) و(ب))</w:t>
      </w:r>
      <w:r w:rsidR="00437B2E">
        <w:rPr>
          <w:rtl/>
        </w:rPr>
        <w:t xml:space="preserve"> </w:t>
      </w:r>
    </w:p>
    <w:p w:rsidR="006B7E32" w:rsidRDefault="006B7E32" w:rsidP="006B7E32">
      <w:pPr>
        <w:pStyle w:val="HChGA"/>
        <w:spacing w:before="120"/>
        <w:rPr>
          <w:rFonts w:hint="cs"/>
          <w:rtl/>
        </w:rPr>
      </w:pPr>
      <w:r>
        <w:rPr>
          <w:rtl/>
        </w:rPr>
        <w:br w:type="page"/>
      </w:r>
      <w:r>
        <w:rPr>
          <w:rFonts w:hint="cs"/>
          <w:rtl/>
        </w:rPr>
        <w:t>المرفق</w:t>
      </w:r>
    </w:p>
    <w:p w:rsidR="006B7E32" w:rsidRDefault="006B7E32" w:rsidP="006B7E32">
      <w:pPr>
        <w:pStyle w:val="H1GA"/>
        <w:rPr>
          <w:rFonts w:hint="cs"/>
          <w:rtl/>
        </w:rPr>
      </w:pPr>
      <w:r>
        <w:rPr>
          <w:rFonts w:hint="cs"/>
          <w:rtl/>
        </w:rPr>
        <w:tab/>
      </w:r>
      <w:r>
        <w:rPr>
          <w:rFonts w:hint="cs"/>
          <w:rtl/>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3C5CDF">
        <w:rPr>
          <w:rFonts w:hint="cs"/>
          <w:b w:val="0"/>
          <w:bCs w:val="0"/>
          <w:rtl/>
        </w:rPr>
        <w:t>(الدورة التاسعة بعد المائة)</w:t>
      </w:r>
    </w:p>
    <w:p w:rsidR="006B7E32" w:rsidRDefault="006B7E32" w:rsidP="006B7E32">
      <w:pPr>
        <w:pStyle w:val="SingleTxtGA"/>
        <w:rPr>
          <w:rFonts w:hint="cs"/>
          <w:rtl/>
        </w:rPr>
      </w:pPr>
      <w:r>
        <w:rPr>
          <w:rFonts w:hint="cs"/>
          <w:rtl/>
        </w:rPr>
        <w:t>بشأن</w:t>
      </w:r>
    </w:p>
    <w:p w:rsidR="006B7E32" w:rsidRPr="00DB00F1" w:rsidRDefault="006B7E32" w:rsidP="009A02ED">
      <w:pPr>
        <w:pStyle w:val="H1GA"/>
        <w:rPr>
          <w:rFonts w:hint="cs"/>
          <w:rtl/>
        </w:rPr>
      </w:pPr>
      <w:r>
        <w:rPr>
          <w:rFonts w:hint="cs"/>
          <w:rtl/>
        </w:rPr>
        <w:tab/>
      </w:r>
      <w:r>
        <w:rPr>
          <w:rFonts w:hint="cs"/>
          <w:rtl/>
        </w:rPr>
        <w:tab/>
      </w:r>
      <w:r w:rsidRPr="00C35340">
        <w:rPr>
          <w:rtl/>
        </w:rPr>
        <w:t xml:space="preserve">البلاغ رقم </w:t>
      </w:r>
      <w:r>
        <w:rPr>
          <w:rFonts w:hint="cs"/>
          <w:rtl/>
        </w:rPr>
        <w:t>1873</w:t>
      </w:r>
      <w:r w:rsidRPr="00C35340">
        <w:rPr>
          <w:rtl/>
        </w:rPr>
        <w:t>/</w:t>
      </w:r>
      <w:r w:rsidRPr="00C35340">
        <w:rPr>
          <w:rFonts w:hint="cs"/>
          <w:rtl/>
        </w:rPr>
        <w:t>200</w:t>
      </w:r>
      <w:r>
        <w:rPr>
          <w:rFonts w:hint="cs"/>
          <w:rtl/>
        </w:rPr>
        <w:t>9</w:t>
      </w:r>
      <w:r w:rsidR="009A02ED" w:rsidRPr="009A02ED">
        <w:rPr>
          <w:rStyle w:val="FootnoteReference"/>
          <w:sz w:val="20"/>
          <w:vertAlign w:val="baseline"/>
          <w:rtl/>
        </w:rPr>
        <w:footnoteReference w:customMarkFollows="1" w:id="1"/>
        <w:t>*</w:t>
      </w:r>
    </w:p>
    <w:p w:rsidR="006B7E32" w:rsidRDefault="006B7E32" w:rsidP="000250A2">
      <w:pPr>
        <w:pStyle w:val="SingleTxtGA"/>
        <w:tabs>
          <w:tab w:val="clear" w:pos="1928"/>
          <w:tab w:val="clear" w:pos="2608"/>
          <w:tab w:val="clear" w:pos="3289"/>
          <w:tab w:val="clear" w:pos="3969"/>
          <w:tab w:val="clear" w:pos="4649"/>
          <w:tab w:val="clear" w:pos="5330"/>
        </w:tabs>
        <w:ind w:left="4514" w:hanging="2616"/>
        <w:rPr>
          <w:rFonts w:hint="cs"/>
          <w:rtl/>
        </w:rPr>
      </w:pPr>
      <w:r w:rsidRPr="00B74338">
        <w:rPr>
          <w:i/>
          <w:iCs/>
          <w:rtl/>
        </w:rPr>
        <w:t>المقدم من</w:t>
      </w:r>
      <w:r w:rsidRPr="00437B44">
        <w:rPr>
          <w:i/>
          <w:iCs/>
          <w:rtl/>
        </w:rPr>
        <w:t>:</w:t>
      </w:r>
      <w:r>
        <w:rPr>
          <w:rFonts w:hint="cs"/>
          <w:i/>
          <w:iCs/>
          <w:rtl/>
        </w:rPr>
        <w:tab/>
      </w:r>
      <w:r>
        <w:rPr>
          <w:rFonts w:hint="cs"/>
          <w:rtl/>
        </w:rPr>
        <w:t xml:space="preserve">نيكولاي </w:t>
      </w:r>
      <w:proofErr w:type="spellStart"/>
      <w:r>
        <w:rPr>
          <w:rFonts w:hint="cs"/>
          <w:rtl/>
        </w:rPr>
        <w:t>ألكسييف</w:t>
      </w:r>
      <w:proofErr w:type="spellEnd"/>
      <w:r>
        <w:rPr>
          <w:rFonts w:hint="cs"/>
          <w:rtl/>
        </w:rPr>
        <w:t xml:space="preserve"> (لا يمثله محام)</w:t>
      </w:r>
    </w:p>
    <w:p w:rsidR="006B7E32" w:rsidRDefault="006B7E32" w:rsidP="006B7E32">
      <w:pPr>
        <w:pStyle w:val="SingleTxtGA"/>
        <w:tabs>
          <w:tab w:val="clear" w:pos="1928"/>
          <w:tab w:val="clear" w:pos="2608"/>
          <w:tab w:val="clear" w:pos="3289"/>
          <w:tab w:val="clear" w:pos="3969"/>
          <w:tab w:val="clear" w:pos="4649"/>
          <w:tab w:val="clear" w:pos="5330"/>
        </w:tabs>
        <w:ind w:left="4514" w:hanging="2616"/>
        <w:rPr>
          <w:rFonts w:hint="cs"/>
          <w:rtl/>
        </w:rPr>
      </w:pPr>
      <w:r w:rsidRPr="00416001">
        <w:rPr>
          <w:i/>
          <w:iCs/>
          <w:rtl/>
        </w:rPr>
        <w:t>الشخص المُدعى أنه ضحية</w:t>
      </w:r>
      <w:r w:rsidRPr="00437B44">
        <w:rPr>
          <w:i/>
          <w:iCs/>
          <w:rtl/>
        </w:rPr>
        <w:t>:</w:t>
      </w:r>
      <w:r w:rsidRPr="00C35340">
        <w:rPr>
          <w:rtl/>
        </w:rPr>
        <w:tab/>
      </w:r>
      <w:r>
        <w:rPr>
          <w:rFonts w:hint="cs"/>
          <w:rtl/>
        </w:rPr>
        <w:t>صاحب البلاغ</w:t>
      </w:r>
    </w:p>
    <w:p w:rsidR="006B7E32" w:rsidRDefault="006B7E32" w:rsidP="006B7E32">
      <w:pPr>
        <w:pStyle w:val="SingleTxtGA"/>
        <w:tabs>
          <w:tab w:val="clear" w:pos="1928"/>
          <w:tab w:val="clear" w:pos="2608"/>
          <w:tab w:val="clear" w:pos="3289"/>
          <w:tab w:val="clear" w:pos="3969"/>
          <w:tab w:val="clear" w:pos="4649"/>
          <w:tab w:val="clear" w:pos="5330"/>
        </w:tabs>
        <w:ind w:left="4514" w:hanging="2616"/>
        <w:rPr>
          <w:rFonts w:hint="cs"/>
          <w:rtl/>
        </w:rPr>
      </w:pPr>
      <w:r w:rsidRPr="00C35340">
        <w:rPr>
          <w:i/>
          <w:iCs/>
          <w:rtl/>
        </w:rPr>
        <w:t>الدولة الطرف</w:t>
      </w:r>
      <w:r w:rsidRPr="00437B44">
        <w:rPr>
          <w:i/>
          <w:iCs/>
          <w:rtl/>
        </w:rPr>
        <w:t>:</w:t>
      </w:r>
      <w:r>
        <w:rPr>
          <w:rFonts w:hint="cs"/>
          <w:rtl/>
        </w:rPr>
        <w:tab/>
        <w:t>الاتحاد الروسي</w:t>
      </w:r>
    </w:p>
    <w:p w:rsidR="006B7E32" w:rsidRPr="00A915D7" w:rsidRDefault="006B7E32" w:rsidP="006B7E32">
      <w:pPr>
        <w:pStyle w:val="SingleTxtGA"/>
        <w:tabs>
          <w:tab w:val="clear" w:pos="1928"/>
          <w:tab w:val="clear" w:pos="2608"/>
          <w:tab w:val="clear" w:pos="3289"/>
          <w:tab w:val="clear" w:pos="3969"/>
          <w:tab w:val="clear" w:pos="4649"/>
          <w:tab w:val="clear" w:pos="5330"/>
        </w:tabs>
        <w:ind w:left="4514" w:hanging="2616"/>
        <w:rPr>
          <w:rFonts w:hAnsi="SimSun" w:hint="cs"/>
          <w:spacing w:val="6"/>
          <w:rtl/>
          <w:lang w:bidi="ar-MA"/>
        </w:rPr>
      </w:pPr>
      <w:r w:rsidRPr="004E7CAD">
        <w:rPr>
          <w:i/>
          <w:iCs/>
          <w:rtl/>
        </w:rPr>
        <w:t>تاريخ تقديم البلاغ:</w:t>
      </w:r>
      <w:r w:rsidRPr="00C35340">
        <w:rPr>
          <w:rtl/>
        </w:rPr>
        <w:tab/>
      </w:r>
      <w:r>
        <w:rPr>
          <w:rFonts w:hint="cs"/>
          <w:spacing w:val="-2"/>
          <w:rtl/>
        </w:rPr>
        <w:t xml:space="preserve">25 </w:t>
      </w:r>
      <w:r>
        <w:rPr>
          <w:rFonts w:hint="cs"/>
          <w:spacing w:val="-2"/>
          <w:sz w:val="30"/>
          <w:rtl/>
        </w:rPr>
        <w:t>آذار</w:t>
      </w:r>
      <w:r w:rsidRPr="002E246C">
        <w:rPr>
          <w:rFonts w:hint="cs"/>
          <w:spacing w:val="-2"/>
          <w:sz w:val="30"/>
          <w:rtl/>
        </w:rPr>
        <w:t>/</w:t>
      </w:r>
      <w:r>
        <w:rPr>
          <w:rFonts w:hint="cs"/>
          <w:spacing w:val="-2"/>
          <w:sz w:val="30"/>
          <w:rtl/>
        </w:rPr>
        <w:t>مارس</w:t>
      </w:r>
      <w:r w:rsidRPr="002E246C">
        <w:rPr>
          <w:rFonts w:hint="cs"/>
          <w:spacing w:val="-2"/>
          <w:sz w:val="30"/>
          <w:rtl/>
        </w:rPr>
        <w:t xml:space="preserve"> </w:t>
      </w:r>
      <w:r>
        <w:rPr>
          <w:rFonts w:hint="cs"/>
          <w:spacing w:val="-2"/>
          <w:rtl/>
        </w:rPr>
        <w:t>2009</w:t>
      </w:r>
      <w:r>
        <w:rPr>
          <w:rFonts w:ascii="SimSun" w:hAnsi="SimSun" w:hint="cs"/>
          <w:spacing w:val="-2"/>
          <w:sz w:val="30"/>
          <w:rtl/>
          <w:lang w:bidi="ar-MA"/>
        </w:rPr>
        <w:t xml:space="preserve"> </w:t>
      </w:r>
      <w:r w:rsidRPr="00437B44">
        <w:rPr>
          <w:rFonts w:ascii="SimSun" w:hAnsi="SimSun"/>
          <w:spacing w:val="-2"/>
          <w:sz w:val="30"/>
          <w:rtl/>
          <w:lang w:bidi="ar-MA"/>
        </w:rPr>
        <w:t>(</w:t>
      </w:r>
      <w:r w:rsidRPr="00437B44">
        <w:rPr>
          <w:rFonts w:ascii="SimSun" w:hAnsi="SimSun" w:hint="eastAsia"/>
          <w:spacing w:val="-2"/>
          <w:sz w:val="30"/>
          <w:rtl/>
          <w:lang w:bidi="ar-MA"/>
        </w:rPr>
        <w:t>تاريخ</w:t>
      </w:r>
      <w:r w:rsidRPr="00437B44">
        <w:rPr>
          <w:rFonts w:ascii="SimSun" w:hAnsi="SimSun" w:hint="cs"/>
          <w:spacing w:val="-2"/>
          <w:sz w:val="30"/>
          <w:rtl/>
          <w:lang w:bidi="ar-MA"/>
        </w:rPr>
        <w:t xml:space="preserve"> </w:t>
      </w:r>
      <w:r w:rsidRPr="00437B44">
        <w:rPr>
          <w:rFonts w:ascii="SimSun" w:hAnsi="SimSun" w:hint="eastAsia"/>
          <w:spacing w:val="-2"/>
          <w:sz w:val="30"/>
          <w:rtl/>
          <w:lang w:bidi="ar-MA"/>
        </w:rPr>
        <w:t>الرسالة</w:t>
      </w:r>
      <w:r w:rsidRPr="00437B44">
        <w:rPr>
          <w:rFonts w:ascii="SimSun" w:hAnsi="SimSun"/>
          <w:spacing w:val="-2"/>
          <w:sz w:val="30"/>
          <w:rtl/>
          <w:lang w:bidi="ar-MA"/>
        </w:rPr>
        <w:t xml:space="preserve"> </w:t>
      </w:r>
      <w:r w:rsidRPr="00437B44">
        <w:rPr>
          <w:rFonts w:ascii="SimSun" w:hAnsi="SimSun" w:hint="eastAsia"/>
          <w:spacing w:val="-2"/>
          <w:sz w:val="30"/>
          <w:rtl/>
          <w:lang w:bidi="ar-MA"/>
        </w:rPr>
        <w:t>الأولى</w:t>
      </w:r>
      <w:r w:rsidRPr="00437B44">
        <w:rPr>
          <w:rFonts w:ascii="SimSun" w:hAnsi="SimSun"/>
          <w:spacing w:val="-2"/>
          <w:sz w:val="30"/>
          <w:rtl/>
          <w:lang w:bidi="ar-MA"/>
        </w:rPr>
        <w:t>)</w:t>
      </w:r>
    </w:p>
    <w:p w:rsidR="006B7E32" w:rsidRDefault="006B7E32" w:rsidP="006B7E32">
      <w:pPr>
        <w:pStyle w:val="SingleTxtGA"/>
        <w:rPr>
          <w:rFonts w:hint="cs"/>
          <w:rtl/>
        </w:rPr>
      </w:pPr>
      <w:r>
        <w:rPr>
          <w:rFonts w:hint="cs"/>
          <w:rtl/>
        </w:rPr>
        <w:tab/>
      </w:r>
      <w:r>
        <w:rPr>
          <w:rFonts w:hint="cs"/>
          <w:i/>
          <w:iCs/>
          <w:rtl/>
        </w:rPr>
        <w:t xml:space="preserve">إن اللجنة المعنية بحقوق الإنسان، </w:t>
      </w:r>
      <w:r>
        <w:rPr>
          <w:rFonts w:hint="cs"/>
          <w:rtl/>
        </w:rPr>
        <w:t>المنشأة بموجب المادة 28 من العهد الدولي الخاص بالحقوق المدنية والسياسية،</w:t>
      </w:r>
    </w:p>
    <w:p w:rsidR="006B7E32" w:rsidRDefault="006B7E32" w:rsidP="0050050A">
      <w:pPr>
        <w:pStyle w:val="SingleTxtGA"/>
        <w:rPr>
          <w:rFonts w:hint="cs"/>
          <w:rtl/>
        </w:rPr>
      </w:pPr>
      <w:r>
        <w:rPr>
          <w:rFonts w:hint="cs"/>
          <w:rtl/>
        </w:rPr>
        <w:tab/>
      </w:r>
      <w:r>
        <w:rPr>
          <w:rFonts w:hint="cs"/>
          <w:i/>
          <w:iCs/>
          <w:rtl/>
        </w:rPr>
        <w:t xml:space="preserve">وقد اجتمعت </w:t>
      </w:r>
      <w:r>
        <w:rPr>
          <w:rFonts w:hint="cs"/>
          <w:rtl/>
        </w:rPr>
        <w:t xml:space="preserve">في 25 </w:t>
      </w:r>
      <w:r w:rsidR="0050050A">
        <w:rPr>
          <w:rFonts w:hint="cs"/>
          <w:rtl/>
          <w:lang w:val="fr-CH"/>
        </w:rPr>
        <w:t xml:space="preserve">تشرين الأول/أكتوبر </w:t>
      </w:r>
      <w:r>
        <w:rPr>
          <w:rFonts w:hint="cs"/>
          <w:rtl/>
        </w:rPr>
        <w:t>2</w:t>
      </w:r>
      <w:r w:rsidR="002A5799">
        <w:rPr>
          <w:rFonts w:hint="cs"/>
          <w:rtl/>
        </w:rPr>
        <w:t>013</w:t>
      </w:r>
      <w:r>
        <w:rPr>
          <w:rFonts w:hint="cs"/>
          <w:rtl/>
        </w:rPr>
        <w:t>،</w:t>
      </w:r>
    </w:p>
    <w:p w:rsidR="006B7E32" w:rsidRDefault="006B7E32" w:rsidP="006B7E32">
      <w:pPr>
        <w:pStyle w:val="SingleTxtGA"/>
        <w:rPr>
          <w:rFonts w:hint="cs"/>
          <w:rtl/>
        </w:rPr>
      </w:pPr>
      <w:r>
        <w:rPr>
          <w:rFonts w:hint="cs"/>
          <w:rtl/>
        </w:rPr>
        <w:tab/>
      </w:r>
      <w:r>
        <w:rPr>
          <w:rFonts w:hint="cs"/>
          <w:i/>
          <w:iCs/>
          <w:rtl/>
        </w:rPr>
        <w:t>وقد فرغت</w:t>
      </w:r>
      <w:r>
        <w:rPr>
          <w:rFonts w:hint="cs"/>
          <w:rtl/>
        </w:rPr>
        <w:t xml:space="preserve"> من النظر في البلاغ رقم 1873/2009، المقدم إليها من السيد نيكولاي </w:t>
      </w:r>
      <w:proofErr w:type="spellStart"/>
      <w:r>
        <w:rPr>
          <w:rFonts w:hint="cs"/>
          <w:rtl/>
        </w:rPr>
        <w:t>ألكس</w:t>
      </w:r>
      <w:r>
        <w:rPr>
          <w:rFonts w:hint="cs"/>
          <w:rtl/>
          <w:lang w:val="fr-CH"/>
        </w:rPr>
        <w:t>ي</w:t>
      </w:r>
      <w:r>
        <w:rPr>
          <w:rFonts w:hint="cs"/>
          <w:rtl/>
        </w:rPr>
        <w:t>يف</w:t>
      </w:r>
      <w:proofErr w:type="spellEnd"/>
      <w:r>
        <w:rPr>
          <w:rFonts w:hint="cs"/>
          <w:rtl/>
        </w:rPr>
        <w:t xml:space="preserve"> بموجب البروتوكول الاختياري الملحق بالعهد الدولي الخاص بالحقوق المدنية والسياسية،</w:t>
      </w:r>
    </w:p>
    <w:p w:rsidR="006B7E32" w:rsidRDefault="006B7E32" w:rsidP="006B7E32">
      <w:pPr>
        <w:pStyle w:val="SingleTxtGA"/>
        <w:rPr>
          <w:rFonts w:hint="cs"/>
          <w:rtl/>
        </w:rPr>
      </w:pPr>
      <w:r>
        <w:rPr>
          <w:rFonts w:hint="cs"/>
          <w:rtl/>
        </w:rPr>
        <w:tab/>
      </w:r>
      <w:r>
        <w:rPr>
          <w:rFonts w:hint="cs"/>
          <w:i/>
          <w:iCs/>
          <w:rtl/>
        </w:rPr>
        <w:t>وقد وضعت في اعتبارها</w:t>
      </w:r>
      <w:r>
        <w:rPr>
          <w:rFonts w:hint="cs"/>
          <w:rtl/>
        </w:rPr>
        <w:t xml:space="preserve"> جميع المعلومات المكتوبة التي أتاحها لها صاحب البلاغ والدولة الطرف،</w:t>
      </w:r>
    </w:p>
    <w:p w:rsidR="006B7E32" w:rsidRDefault="006B7E32" w:rsidP="006B7E32">
      <w:pPr>
        <w:pStyle w:val="SingleTxtGA"/>
        <w:rPr>
          <w:rFonts w:hint="cs"/>
          <w:rtl/>
        </w:rPr>
      </w:pPr>
      <w:r>
        <w:rPr>
          <w:rFonts w:hint="cs"/>
          <w:rtl/>
        </w:rPr>
        <w:tab/>
      </w:r>
      <w:r w:rsidRPr="006B7E32">
        <w:rPr>
          <w:rFonts w:hint="cs"/>
          <w:i/>
          <w:iCs/>
          <w:rtl/>
        </w:rPr>
        <w:t>تعتمد</w:t>
      </w:r>
      <w:r>
        <w:rPr>
          <w:rFonts w:hint="cs"/>
          <w:rtl/>
        </w:rPr>
        <w:t xml:space="preserve"> ما يلي:</w:t>
      </w:r>
    </w:p>
    <w:p w:rsidR="006B7E32" w:rsidRPr="00CA4B90" w:rsidRDefault="006B7E32" w:rsidP="0008427B">
      <w:pPr>
        <w:pStyle w:val="HChGA"/>
        <w:rPr>
          <w:rFonts w:hint="cs"/>
          <w:rtl/>
        </w:rPr>
      </w:pPr>
      <w:r>
        <w:rPr>
          <w:rFonts w:hint="cs"/>
          <w:rtl/>
        </w:rPr>
        <w:tab/>
      </w:r>
      <w:r>
        <w:rPr>
          <w:rFonts w:hint="cs"/>
          <w:rtl/>
        </w:rPr>
        <w:tab/>
        <w:t>آراء بموجب الفقرة 4 من المادة 5 من البروتوكول الاختياري</w:t>
      </w:r>
    </w:p>
    <w:p w:rsidR="006B7E32" w:rsidRDefault="006B7E32" w:rsidP="00C05DB0">
      <w:pPr>
        <w:pStyle w:val="SingleTxtGA"/>
        <w:rPr>
          <w:rFonts w:hint="cs"/>
          <w:b/>
          <w:bCs/>
          <w:rtl/>
        </w:rPr>
      </w:pPr>
      <w:r>
        <w:rPr>
          <w:rFonts w:hint="cs"/>
          <w:rtl/>
        </w:rPr>
        <w:t>1-</w:t>
      </w:r>
      <w:r>
        <w:rPr>
          <w:rFonts w:hint="cs"/>
          <w:rtl/>
        </w:rPr>
        <w:tab/>
        <w:t xml:space="preserve">صاحب البلاغ هو نيكولاي </w:t>
      </w:r>
      <w:proofErr w:type="spellStart"/>
      <w:r>
        <w:rPr>
          <w:rFonts w:hint="cs"/>
          <w:rtl/>
        </w:rPr>
        <w:t>ألكسييف</w:t>
      </w:r>
      <w:proofErr w:type="spellEnd"/>
      <w:r w:rsidR="009D21EF">
        <w:rPr>
          <w:rFonts w:hint="cs"/>
          <w:rtl/>
        </w:rPr>
        <w:t>، وهو مواطن</w:t>
      </w:r>
      <w:r>
        <w:rPr>
          <w:rFonts w:hint="cs"/>
          <w:rtl/>
        </w:rPr>
        <w:t xml:space="preserve"> روسي</w:t>
      </w:r>
      <w:r>
        <w:rPr>
          <w:rtl/>
        </w:rPr>
        <w:t xml:space="preserve"> </w:t>
      </w:r>
      <w:r w:rsidR="009D21EF">
        <w:rPr>
          <w:rFonts w:hint="cs"/>
          <w:rtl/>
        </w:rPr>
        <w:t xml:space="preserve">وُلد </w:t>
      </w:r>
      <w:r>
        <w:rPr>
          <w:rFonts w:hint="cs"/>
          <w:rtl/>
        </w:rPr>
        <w:t>في عام 1977. وهو يدعي أنه ضحية انتهاك الاتحاد الروسي لحقوقه بموجب المادة 21 من العهد الدولي الخاص</w:t>
      </w:r>
      <w:r w:rsidR="006F77AD">
        <w:rPr>
          <w:rtl/>
        </w:rPr>
        <w:t xml:space="preserve"> </w:t>
      </w:r>
      <w:r>
        <w:rPr>
          <w:rFonts w:hint="cs"/>
          <w:rtl/>
        </w:rPr>
        <w:t>بالحقوق المدنية والسياسية</w:t>
      </w:r>
      <w:r w:rsidR="006F77AD">
        <w:rPr>
          <w:rStyle w:val="FootnoteReference"/>
          <w:rtl/>
        </w:rPr>
        <w:t>(</w:t>
      </w:r>
      <w:r w:rsidR="006F77AD">
        <w:rPr>
          <w:rStyle w:val="FootnoteReference"/>
          <w:rtl/>
        </w:rPr>
        <w:footnoteReference w:id="2"/>
      </w:r>
      <w:r w:rsidR="006F77AD">
        <w:rPr>
          <w:rStyle w:val="FootnoteReference"/>
          <w:rtl/>
        </w:rPr>
        <w:t>)</w:t>
      </w:r>
      <w:r>
        <w:rPr>
          <w:rFonts w:hint="cs"/>
          <w:rtl/>
        </w:rPr>
        <w:t>. ولا يمثله محام.</w:t>
      </w:r>
    </w:p>
    <w:p w:rsidR="006B7E32" w:rsidRDefault="006B7E32" w:rsidP="006B7E32">
      <w:pPr>
        <w:pStyle w:val="H23GA"/>
        <w:rPr>
          <w:rFonts w:hint="cs"/>
          <w:i/>
          <w:iCs/>
          <w:rtl/>
        </w:rPr>
      </w:pPr>
      <w:r>
        <w:rPr>
          <w:rFonts w:hint="cs"/>
          <w:rtl/>
        </w:rPr>
        <w:tab/>
      </w:r>
      <w:r>
        <w:rPr>
          <w:rFonts w:hint="cs"/>
          <w:rtl/>
        </w:rPr>
        <w:tab/>
      </w:r>
      <w:r w:rsidRPr="0084269C">
        <w:rPr>
          <w:rFonts w:hint="cs"/>
          <w:rtl/>
        </w:rPr>
        <w:t>الوقائع كما عرضها صاحب البلاغ</w:t>
      </w:r>
    </w:p>
    <w:p w:rsidR="006B7E32" w:rsidRDefault="006B7E32" w:rsidP="009D21EF">
      <w:pPr>
        <w:pStyle w:val="SingleTxtGA"/>
        <w:rPr>
          <w:rFonts w:hint="cs"/>
          <w:rtl/>
        </w:rPr>
      </w:pPr>
      <w:r>
        <w:rPr>
          <w:rFonts w:hint="cs"/>
          <w:rtl/>
        </w:rPr>
        <w:t>2-1</w:t>
      </w:r>
      <w:r>
        <w:rPr>
          <w:rFonts w:hint="cs"/>
          <w:rtl/>
        </w:rPr>
        <w:tab/>
      </w:r>
      <w:r w:rsidRPr="00C22AD6">
        <w:rPr>
          <w:rFonts w:hint="cs"/>
          <w:rtl/>
        </w:rPr>
        <w:t>صاحب البلاغ مثلي</w:t>
      </w:r>
      <w:r w:rsidR="009D21EF">
        <w:rPr>
          <w:rFonts w:hint="cs"/>
          <w:rtl/>
        </w:rPr>
        <w:t>ّ</w:t>
      </w:r>
      <w:r>
        <w:rPr>
          <w:rFonts w:hint="cs"/>
          <w:i/>
          <w:iCs/>
          <w:rtl/>
        </w:rPr>
        <w:t xml:space="preserve"> </w:t>
      </w:r>
      <w:r>
        <w:rPr>
          <w:rFonts w:hint="cs"/>
          <w:rtl/>
        </w:rPr>
        <w:t>و</w:t>
      </w:r>
      <w:r>
        <w:rPr>
          <w:rtl/>
        </w:rPr>
        <w:t>ناشط في مجال حقوق الإنسان</w:t>
      </w:r>
      <w:r>
        <w:rPr>
          <w:rFonts w:hint="cs"/>
          <w:rtl/>
        </w:rPr>
        <w:t xml:space="preserve">. وقد سعى صاحب البلاغ </w:t>
      </w:r>
      <w:r>
        <w:rPr>
          <w:rFonts w:hint="cs"/>
          <w:rtl/>
          <w:lang/>
        </w:rPr>
        <w:t>من</w:t>
      </w:r>
      <w:r>
        <w:rPr>
          <w:rFonts w:ascii="Traditional Arabic" w:hAnsi="Traditional Arabic" w:hint="cs"/>
          <w:rtl/>
          <w:lang/>
        </w:rPr>
        <w:t>ذ</w:t>
      </w:r>
      <w:r>
        <w:rPr>
          <w:rFonts w:hint="cs"/>
          <w:rtl/>
          <w:lang/>
        </w:rPr>
        <w:t xml:space="preserve"> عام 2006 </w:t>
      </w:r>
      <w:r w:rsidR="009D21EF">
        <w:rPr>
          <w:rFonts w:hint="cs"/>
          <w:rtl/>
          <w:lang/>
        </w:rPr>
        <w:t xml:space="preserve">وحتى </w:t>
      </w:r>
      <w:r>
        <w:rPr>
          <w:rFonts w:hint="cs"/>
          <w:rtl/>
          <w:lang/>
        </w:rPr>
        <w:t>عام 2008</w:t>
      </w:r>
      <w:r w:rsidRPr="00D009DD">
        <w:rPr>
          <w:rFonts w:hint="cs"/>
          <w:rtl/>
        </w:rPr>
        <w:t>،</w:t>
      </w:r>
      <w:r>
        <w:rPr>
          <w:rFonts w:hint="cs"/>
          <w:i/>
          <w:iCs/>
          <w:rtl/>
        </w:rPr>
        <w:t xml:space="preserve"> </w:t>
      </w:r>
      <w:r w:rsidRPr="00C25942">
        <w:rPr>
          <w:rFonts w:hint="cs"/>
          <w:rtl/>
        </w:rPr>
        <w:t>مع ناشطين حقوقيين آخرين</w:t>
      </w:r>
      <w:r w:rsidR="009D21EF">
        <w:rPr>
          <w:rFonts w:hint="cs"/>
          <w:rtl/>
        </w:rPr>
        <w:t>،</w:t>
      </w:r>
      <w:r>
        <w:rPr>
          <w:rFonts w:hint="cs"/>
          <w:rtl/>
        </w:rPr>
        <w:t xml:space="preserve"> إلى تنظيم عدد من التجمعات السلمية (</w:t>
      </w:r>
      <w:r>
        <w:rPr>
          <w:rFonts w:hint="cs"/>
          <w:rtl/>
          <w:lang/>
        </w:rPr>
        <w:t>مسيرات الاستعراض الفخري للمثليين</w:t>
      </w:r>
      <w:r w:rsidRPr="00F44EDF">
        <w:rPr>
          <w:rFonts w:hint="cs"/>
          <w:rtl/>
        </w:rPr>
        <w:t>)</w:t>
      </w:r>
      <w:r>
        <w:rPr>
          <w:rFonts w:hint="cs"/>
          <w:i/>
          <w:iCs/>
          <w:rtl/>
        </w:rPr>
        <w:t xml:space="preserve"> </w:t>
      </w:r>
      <w:r>
        <w:rPr>
          <w:rFonts w:hint="cs"/>
          <w:rtl/>
        </w:rPr>
        <w:t xml:space="preserve">في موسكو التي </w:t>
      </w:r>
      <w:r w:rsidR="009D21EF">
        <w:rPr>
          <w:rFonts w:hint="cs"/>
          <w:rtl/>
        </w:rPr>
        <w:t xml:space="preserve">منعت </w:t>
      </w:r>
      <w:r>
        <w:rPr>
          <w:rFonts w:hint="cs"/>
          <w:rtl/>
        </w:rPr>
        <w:t xml:space="preserve">السلطات المحلية </w:t>
      </w:r>
      <w:r w:rsidR="009D21EF">
        <w:rPr>
          <w:rFonts w:hint="cs"/>
          <w:rtl/>
        </w:rPr>
        <w:t>تنظيم أي منها</w:t>
      </w:r>
      <w:r>
        <w:rPr>
          <w:rFonts w:hint="cs"/>
          <w:rtl/>
        </w:rPr>
        <w:t xml:space="preserve">. </w:t>
      </w:r>
    </w:p>
    <w:p w:rsidR="006B7E32" w:rsidRDefault="006B7E32" w:rsidP="00C81C7B">
      <w:pPr>
        <w:pStyle w:val="SingleTxtGA"/>
        <w:rPr>
          <w:rFonts w:hint="cs"/>
          <w:rtl/>
        </w:rPr>
      </w:pPr>
      <w:r>
        <w:rPr>
          <w:rFonts w:hint="cs"/>
          <w:rtl/>
        </w:rPr>
        <w:t>2-2</w:t>
      </w:r>
      <w:r>
        <w:rPr>
          <w:rFonts w:hint="cs"/>
          <w:rtl/>
        </w:rPr>
        <w:tab/>
      </w:r>
      <w:r w:rsidR="00D009DD">
        <w:rPr>
          <w:rFonts w:hint="cs"/>
          <w:rtl/>
        </w:rPr>
        <w:t xml:space="preserve">وقد </w:t>
      </w:r>
      <w:r>
        <w:rPr>
          <w:rFonts w:hint="cs"/>
          <w:rtl/>
        </w:rPr>
        <w:t>قد</w:t>
      </w:r>
      <w:r w:rsidR="00D009DD">
        <w:rPr>
          <w:rFonts w:hint="cs"/>
          <w:rtl/>
        </w:rPr>
        <w:t>ّ</w:t>
      </w:r>
      <w:r>
        <w:rPr>
          <w:rFonts w:hint="cs"/>
          <w:rtl/>
        </w:rPr>
        <w:t xml:space="preserve">م صاحب البلاغ مع ناشطين </w:t>
      </w:r>
      <w:r w:rsidR="009D21EF">
        <w:rPr>
          <w:rFonts w:hint="cs"/>
          <w:rtl/>
        </w:rPr>
        <w:t xml:space="preserve">اثنين </w:t>
      </w:r>
      <w:r w:rsidR="00D009DD">
        <w:rPr>
          <w:rFonts w:hint="cs"/>
          <w:rtl/>
        </w:rPr>
        <w:t xml:space="preserve">آخرين بتاريخ 11 تموز/يوليه </w:t>
      </w:r>
      <w:r>
        <w:rPr>
          <w:rFonts w:hint="cs"/>
          <w:rtl/>
        </w:rPr>
        <w:t xml:space="preserve">2008 طلباً إلى </w:t>
      </w:r>
      <w:r w:rsidR="00D009DD">
        <w:rPr>
          <w:rFonts w:hint="cs"/>
          <w:rtl/>
        </w:rPr>
        <w:t xml:space="preserve">مدير </w:t>
      </w:r>
      <w:r>
        <w:rPr>
          <w:rFonts w:hint="cs"/>
          <w:rtl/>
        </w:rPr>
        <w:t xml:space="preserve">المقاطعة الإدارية المركزية لموسكو بهدف عقد اجتماع ثابت - اعتصام </w:t>
      </w:r>
      <w:r w:rsidR="00D009DD">
        <w:rPr>
          <w:rFonts w:hint="cs"/>
          <w:rtl/>
        </w:rPr>
        <w:t xml:space="preserve">- </w:t>
      </w:r>
      <w:r>
        <w:rPr>
          <w:rFonts w:hint="cs"/>
          <w:rtl/>
        </w:rPr>
        <w:t>أمام السفارة الإيرانية بموسكو. و</w:t>
      </w:r>
      <w:r w:rsidR="00D009DD">
        <w:rPr>
          <w:rFonts w:hint="cs"/>
          <w:rtl/>
        </w:rPr>
        <w:t xml:space="preserve">كان </w:t>
      </w:r>
      <w:r>
        <w:rPr>
          <w:rFonts w:hint="cs"/>
          <w:rtl/>
        </w:rPr>
        <w:t xml:space="preserve">الغرض من </w:t>
      </w:r>
      <w:r w:rsidR="00D009DD">
        <w:rPr>
          <w:rFonts w:hint="cs"/>
          <w:rtl/>
        </w:rPr>
        <w:t xml:space="preserve">التجمع </w:t>
      </w:r>
      <w:r>
        <w:rPr>
          <w:rFonts w:hint="cs"/>
          <w:rtl/>
        </w:rPr>
        <w:t xml:space="preserve">هو التعبير عن القلق إزاء إعدام المثليين والقاصرين في جمهورية </w:t>
      </w:r>
      <w:r w:rsidR="00D009DD">
        <w:rPr>
          <w:rFonts w:hint="cs"/>
          <w:rtl/>
        </w:rPr>
        <w:t xml:space="preserve">إيران </w:t>
      </w:r>
      <w:r>
        <w:rPr>
          <w:rFonts w:hint="cs"/>
          <w:rtl/>
        </w:rPr>
        <w:t xml:space="preserve">الإسلامية والدعوة إلى حظر مثل هذه الإعدامات. </w:t>
      </w:r>
      <w:r w:rsidR="00D009DD">
        <w:rPr>
          <w:rFonts w:hint="cs"/>
          <w:rtl/>
        </w:rPr>
        <w:t xml:space="preserve">وأبلغ </w:t>
      </w:r>
      <w:r>
        <w:rPr>
          <w:rFonts w:hint="cs"/>
          <w:rtl/>
        </w:rPr>
        <w:t xml:space="preserve">صاحب البلاغ السلطات بهدف الاعتصام وتاريخ ووقت ومكان انعقاده الذي كان من المقرر عقده من الساعة </w:t>
      </w:r>
      <w:r w:rsidR="00C81C7B">
        <w:rPr>
          <w:rFonts w:hint="cs"/>
          <w:rtl/>
        </w:rPr>
        <w:t xml:space="preserve">الواحدة </w:t>
      </w:r>
      <w:r>
        <w:rPr>
          <w:rFonts w:hint="cs"/>
          <w:rtl/>
        </w:rPr>
        <w:t xml:space="preserve">إلى الساعة </w:t>
      </w:r>
      <w:r w:rsidR="00C81C7B">
        <w:rPr>
          <w:rFonts w:hint="cs"/>
          <w:rtl/>
        </w:rPr>
        <w:t xml:space="preserve">الثانية </w:t>
      </w:r>
      <w:r>
        <w:rPr>
          <w:rFonts w:hint="cs"/>
          <w:rtl/>
        </w:rPr>
        <w:t xml:space="preserve">بعد ظهر يوم 19 تموز/يوليه 2008 أمام السفارة الإيرانية والذي </w:t>
      </w:r>
      <w:r w:rsidR="00C81C7B">
        <w:rPr>
          <w:rFonts w:hint="cs"/>
          <w:rtl/>
        </w:rPr>
        <w:t xml:space="preserve">كان </w:t>
      </w:r>
      <w:r>
        <w:rPr>
          <w:rFonts w:hint="cs"/>
          <w:rtl/>
        </w:rPr>
        <w:t xml:space="preserve">سيشارك فيه حوالي 30 شخصاً. </w:t>
      </w:r>
    </w:p>
    <w:p w:rsidR="006B7E32" w:rsidRDefault="006B7E32" w:rsidP="00C81C7B">
      <w:pPr>
        <w:pStyle w:val="SingleTxtGA"/>
        <w:rPr>
          <w:rFonts w:hint="cs"/>
          <w:rtl/>
        </w:rPr>
      </w:pPr>
      <w:r>
        <w:rPr>
          <w:rFonts w:hint="cs"/>
          <w:rtl/>
        </w:rPr>
        <w:t>2-3</w:t>
      </w:r>
      <w:r>
        <w:rPr>
          <w:rFonts w:hint="cs"/>
          <w:rtl/>
        </w:rPr>
        <w:tab/>
        <w:t>وفي التاريخ</w:t>
      </w:r>
      <w:r>
        <w:t xml:space="preserve"> </w:t>
      </w:r>
      <w:r>
        <w:rPr>
          <w:rFonts w:hint="cs"/>
          <w:rtl/>
        </w:rPr>
        <w:t>نفس</w:t>
      </w:r>
      <w:r>
        <w:rPr>
          <w:rFonts w:ascii="Traditional Arabic" w:hAnsi="Traditional Arabic" w:hint="cs"/>
          <w:rtl/>
        </w:rPr>
        <w:t>ه</w:t>
      </w:r>
      <w:r w:rsidR="003E0F44">
        <w:rPr>
          <w:rFonts w:hint="cs"/>
          <w:rtl/>
        </w:rPr>
        <w:t>،</w:t>
      </w:r>
      <w:r>
        <w:rPr>
          <w:rFonts w:hint="cs"/>
          <w:rtl/>
        </w:rPr>
        <w:t xml:space="preserve"> رفض نائب </w:t>
      </w:r>
      <w:r w:rsidR="00C81C7B">
        <w:rPr>
          <w:rFonts w:hint="cs"/>
          <w:rtl/>
        </w:rPr>
        <w:t xml:space="preserve">مدير </w:t>
      </w:r>
      <w:r>
        <w:rPr>
          <w:rFonts w:hint="cs"/>
          <w:rtl/>
        </w:rPr>
        <w:t xml:space="preserve">المقاطعة الإدارية المركزية لموسكو الإذن بتنظيم الاعتصام معتبراً أن الهدف من </w:t>
      </w:r>
      <w:r w:rsidR="00C81C7B">
        <w:rPr>
          <w:rFonts w:hint="cs"/>
          <w:rtl/>
        </w:rPr>
        <w:t xml:space="preserve">تنظيمه </w:t>
      </w:r>
      <w:r>
        <w:rPr>
          <w:rFonts w:hint="cs"/>
          <w:rtl/>
        </w:rPr>
        <w:t xml:space="preserve">سيؤدي إلى "رد فعل سلبي في المجتمع" وقد يفضي إلى "انتهاكات جماعية للنظام العام قد تعرض المشاركين </w:t>
      </w:r>
      <w:r w:rsidR="00C81C7B">
        <w:rPr>
          <w:rFonts w:hint="cs"/>
          <w:rtl/>
        </w:rPr>
        <w:t xml:space="preserve">فيه </w:t>
      </w:r>
      <w:r>
        <w:rPr>
          <w:rFonts w:hint="cs"/>
          <w:rtl/>
        </w:rPr>
        <w:t>للخطر".</w:t>
      </w:r>
    </w:p>
    <w:p w:rsidR="006B7E32" w:rsidRDefault="006B7E32" w:rsidP="00C81C7B">
      <w:pPr>
        <w:pStyle w:val="SingleTxtGA"/>
        <w:rPr>
          <w:rFonts w:hint="cs"/>
          <w:rtl/>
        </w:rPr>
      </w:pPr>
      <w:r>
        <w:rPr>
          <w:rFonts w:hint="cs"/>
          <w:rtl/>
        </w:rPr>
        <w:t>2-4</w:t>
      </w:r>
      <w:r>
        <w:rPr>
          <w:rFonts w:hint="cs"/>
          <w:rtl/>
        </w:rPr>
        <w:tab/>
        <w:t xml:space="preserve">وقدم صاحب البلاغ في 16 تموز/يوليه 2008 شكوى </w:t>
      </w:r>
      <w:r w:rsidR="00C81C7B">
        <w:rPr>
          <w:rFonts w:hint="cs"/>
          <w:rtl/>
        </w:rPr>
        <w:t xml:space="preserve">إلى </w:t>
      </w:r>
      <w:r>
        <w:rPr>
          <w:rFonts w:hint="cs"/>
          <w:rtl/>
        </w:rPr>
        <w:t xml:space="preserve">محكمة </w:t>
      </w:r>
      <w:proofErr w:type="spellStart"/>
      <w:r>
        <w:rPr>
          <w:rFonts w:hint="cs"/>
          <w:rtl/>
        </w:rPr>
        <w:t>طاغنسكي</w:t>
      </w:r>
      <w:proofErr w:type="spellEnd"/>
      <w:r>
        <w:rPr>
          <w:rFonts w:hint="cs"/>
          <w:rtl/>
        </w:rPr>
        <w:t xml:space="preserve"> </w:t>
      </w:r>
      <w:r w:rsidR="00C81C7B">
        <w:rPr>
          <w:rFonts w:hint="cs"/>
          <w:rtl/>
        </w:rPr>
        <w:t xml:space="preserve">الجزئية </w:t>
      </w:r>
      <w:r>
        <w:rPr>
          <w:rFonts w:hint="cs"/>
          <w:rtl/>
        </w:rPr>
        <w:t>بموسكو</w:t>
      </w:r>
      <w:r w:rsidR="00C81C7B" w:rsidRPr="00C81C7B">
        <w:rPr>
          <w:rFonts w:hint="cs"/>
          <w:rtl/>
        </w:rPr>
        <w:t xml:space="preserve"> </w:t>
      </w:r>
      <w:r w:rsidR="00C81C7B">
        <w:rPr>
          <w:rFonts w:hint="cs"/>
          <w:rtl/>
        </w:rPr>
        <w:t>ضد رفض تنظيم الاعتصام</w:t>
      </w:r>
      <w:r>
        <w:rPr>
          <w:rFonts w:hint="cs"/>
          <w:rtl/>
        </w:rPr>
        <w:t xml:space="preserve">. وادعى أن القانون الروسي لا </w:t>
      </w:r>
      <w:r w:rsidR="00C81C7B">
        <w:rPr>
          <w:rFonts w:hint="cs"/>
          <w:rtl/>
        </w:rPr>
        <w:t xml:space="preserve">يجيز فرض حظر </w:t>
      </w:r>
      <w:r>
        <w:rPr>
          <w:rFonts w:hint="cs"/>
          <w:rtl/>
        </w:rPr>
        <w:t xml:space="preserve">شامل على </w:t>
      </w:r>
      <w:r w:rsidR="00C81C7B">
        <w:rPr>
          <w:rFonts w:hint="cs"/>
          <w:rtl/>
        </w:rPr>
        <w:t xml:space="preserve">تنظيم </w:t>
      </w:r>
      <w:r>
        <w:rPr>
          <w:rFonts w:hint="cs"/>
          <w:rtl/>
        </w:rPr>
        <w:t>التجمع</w:t>
      </w:r>
      <w:r w:rsidR="00C81C7B">
        <w:rPr>
          <w:rFonts w:hint="cs"/>
          <w:rtl/>
        </w:rPr>
        <w:t>ات</w:t>
      </w:r>
      <w:r>
        <w:rPr>
          <w:rFonts w:hint="cs"/>
          <w:rtl/>
        </w:rPr>
        <w:t xml:space="preserve"> السلمي</w:t>
      </w:r>
      <w:r w:rsidR="00C81C7B">
        <w:rPr>
          <w:rFonts w:hint="cs"/>
          <w:rtl/>
        </w:rPr>
        <w:t>ة</w:t>
      </w:r>
      <w:r>
        <w:rPr>
          <w:rFonts w:hint="cs"/>
          <w:rtl/>
        </w:rPr>
        <w:t xml:space="preserve"> ما دام الغرض من التجمع يتوافق مع القيم الدستورية. وأضاف أنه إذا كانت لدى مسؤولي </w:t>
      </w:r>
      <w:r w:rsidR="00C81C7B">
        <w:rPr>
          <w:rFonts w:hint="cs"/>
          <w:rtl/>
        </w:rPr>
        <w:t xml:space="preserve">الإدارة المركزية </w:t>
      </w:r>
      <w:r>
        <w:rPr>
          <w:rFonts w:hint="cs"/>
          <w:rtl/>
        </w:rPr>
        <w:t xml:space="preserve">أسباب </w:t>
      </w:r>
      <w:r w:rsidR="00C81C7B">
        <w:rPr>
          <w:rFonts w:hint="cs"/>
          <w:rtl/>
        </w:rPr>
        <w:t xml:space="preserve">جدية </w:t>
      </w:r>
      <w:r>
        <w:rPr>
          <w:rFonts w:hint="cs"/>
          <w:rtl/>
        </w:rPr>
        <w:t>للاعتقاد بأن الاعتصام المقترح قد يؤدي إلى أعمال شغب جماعية، ف</w:t>
      </w:r>
      <w:r w:rsidR="00C81C7B">
        <w:rPr>
          <w:rFonts w:hint="cs"/>
          <w:rtl/>
        </w:rPr>
        <w:t xml:space="preserve">كان </w:t>
      </w:r>
      <w:r>
        <w:rPr>
          <w:rFonts w:hint="cs"/>
          <w:rtl/>
        </w:rPr>
        <w:t>يجب عليهم ترتيب حماية كافية</w:t>
      </w:r>
      <w:r w:rsidR="00437B2E">
        <w:rPr>
          <w:rFonts w:hint="cs"/>
          <w:rtl/>
        </w:rPr>
        <w:t xml:space="preserve"> </w:t>
      </w:r>
      <w:r>
        <w:rPr>
          <w:rFonts w:hint="cs"/>
          <w:rtl/>
        </w:rPr>
        <w:t xml:space="preserve">للمشاركين في التجمع من جانب قوات الشرطة </w:t>
      </w:r>
      <w:r w:rsidR="00C81C7B">
        <w:rPr>
          <w:rFonts w:hint="cs"/>
          <w:rtl/>
        </w:rPr>
        <w:t xml:space="preserve">من أجل </w:t>
      </w:r>
      <w:r>
        <w:rPr>
          <w:rFonts w:hint="cs"/>
          <w:rtl/>
        </w:rPr>
        <w:t xml:space="preserve">ضمان ممارستهم لحقهم الدستوري في التجمع السلمي. </w:t>
      </w:r>
    </w:p>
    <w:p w:rsidR="006B7E32" w:rsidRDefault="006B7E32" w:rsidP="0061535F">
      <w:pPr>
        <w:pStyle w:val="SingleTxtGA"/>
        <w:rPr>
          <w:rFonts w:hint="cs"/>
          <w:rtl/>
          <w:lang w:val="fr-CH"/>
        </w:rPr>
      </w:pPr>
      <w:r>
        <w:rPr>
          <w:rFonts w:hint="cs"/>
          <w:rtl/>
        </w:rPr>
        <w:t>2-5</w:t>
      </w:r>
      <w:r>
        <w:rPr>
          <w:rFonts w:hint="cs"/>
          <w:rtl/>
        </w:rPr>
        <w:tab/>
        <w:t xml:space="preserve">وفي 18 أيلول/سبتمبر 2008، رفضت محكمة </w:t>
      </w:r>
      <w:proofErr w:type="spellStart"/>
      <w:r>
        <w:rPr>
          <w:rFonts w:hint="cs"/>
          <w:rtl/>
        </w:rPr>
        <w:t>طاغنسكي</w:t>
      </w:r>
      <w:proofErr w:type="spellEnd"/>
      <w:r>
        <w:rPr>
          <w:rFonts w:hint="cs"/>
          <w:rtl/>
        </w:rPr>
        <w:t xml:space="preserve"> </w:t>
      </w:r>
      <w:r w:rsidR="00B146CD">
        <w:rPr>
          <w:rFonts w:hint="cs"/>
          <w:rtl/>
        </w:rPr>
        <w:t xml:space="preserve">الجزئية </w:t>
      </w:r>
      <w:r>
        <w:rPr>
          <w:rFonts w:hint="cs"/>
          <w:rtl/>
        </w:rPr>
        <w:t xml:space="preserve">بموسكو الشكوى وأيدت رأي السلطة المحلية بأنه من المستحيل ضمان أمن المشاركين في الاعتصام وتجنب </w:t>
      </w:r>
      <w:r w:rsidR="00B146CD">
        <w:rPr>
          <w:rFonts w:hint="cs"/>
          <w:rtl/>
        </w:rPr>
        <w:t xml:space="preserve">حدوث </w:t>
      </w:r>
      <w:r>
        <w:rPr>
          <w:rFonts w:hint="cs"/>
          <w:rtl/>
        </w:rPr>
        <w:t xml:space="preserve">أعمال شغب لأن الحدث المقترح من شأنه أن يتسبب في رد فعل قوي للجمهور. </w:t>
      </w:r>
      <w:r w:rsidR="007A1F45">
        <w:rPr>
          <w:rFonts w:hint="cs"/>
          <w:rtl/>
        </w:rPr>
        <w:t xml:space="preserve">ورأت </w:t>
      </w:r>
      <w:r>
        <w:rPr>
          <w:rFonts w:hint="cs"/>
          <w:rtl/>
        </w:rPr>
        <w:t xml:space="preserve">المحكمة </w:t>
      </w:r>
      <w:r w:rsidR="007A1F45">
        <w:rPr>
          <w:rFonts w:hint="cs"/>
          <w:rtl/>
        </w:rPr>
        <w:t xml:space="preserve">أن </w:t>
      </w:r>
      <w:r>
        <w:rPr>
          <w:rFonts w:hint="cs"/>
          <w:rtl/>
        </w:rPr>
        <w:t xml:space="preserve">قرار 11 تموز/يوليه 2008 </w:t>
      </w:r>
      <w:r w:rsidR="007A1F45">
        <w:rPr>
          <w:rFonts w:hint="cs"/>
          <w:rtl/>
        </w:rPr>
        <w:t xml:space="preserve">يتوافق </w:t>
      </w:r>
      <w:r>
        <w:rPr>
          <w:rFonts w:hint="cs"/>
          <w:rtl/>
        </w:rPr>
        <w:t>مع القانون الوطني و</w:t>
      </w:r>
      <w:r w:rsidR="007A1F45">
        <w:rPr>
          <w:rFonts w:hint="cs"/>
          <w:rtl/>
        </w:rPr>
        <w:t xml:space="preserve">مع </w:t>
      </w:r>
      <w:r>
        <w:rPr>
          <w:rFonts w:hint="cs"/>
          <w:rtl/>
        </w:rPr>
        <w:t xml:space="preserve">أحكام الاتفاقية الأوروبية لحقوق الإنسان والحريات الأساسية. وفي 5 </w:t>
      </w:r>
      <w:r w:rsidR="007A1F45">
        <w:rPr>
          <w:rFonts w:hint="cs"/>
          <w:rtl/>
          <w:lang w:val="fr-CH"/>
        </w:rPr>
        <w:t xml:space="preserve">تشرين الأول/أكتوبر </w:t>
      </w:r>
      <w:r>
        <w:rPr>
          <w:rFonts w:hint="cs"/>
          <w:rtl/>
          <w:lang w:val="fr-CH"/>
        </w:rPr>
        <w:t xml:space="preserve">2008، استأنف صاحب البلاغ الحكم لدى محكمة مدينة موسكو عن طريق إجراءات النقض غير أن استئنافه رفض بتاريخ 18 كانون الأول/ديسمبر 2008. </w:t>
      </w:r>
    </w:p>
    <w:p w:rsidR="006B7E32" w:rsidRDefault="006B7E32" w:rsidP="006B7E32">
      <w:pPr>
        <w:pStyle w:val="H23GA"/>
        <w:rPr>
          <w:rFonts w:hint="cs"/>
          <w:rtl/>
        </w:rPr>
      </w:pPr>
      <w:r>
        <w:rPr>
          <w:rFonts w:hint="cs"/>
          <w:rtl/>
          <w:lang w:val="fr-CH"/>
        </w:rPr>
        <w:tab/>
      </w:r>
      <w:r>
        <w:rPr>
          <w:rFonts w:hint="cs"/>
          <w:rtl/>
          <w:lang w:val="fr-CH"/>
        </w:rPr>
        <w:tab/>
      </w:r>
      <w:r w:rsidRPr="00E20138">
        <w:rPr>
          <w:rFonts w:hint="cs"/>
          <w:rtl/>
          <w:lang w:val="fr-CH"/>
        </w:rPr>
        <w:t>الشكوى</w:t>
      </w:r>
    </w:p>
    <w:p w:rsidR="006B7E32" w:rsidRPr="006B7E32" w:rsidRDefault="006B7E32" w:rsidP="00F5721B">
      <w:pPr>
        <w:pStyle w:val="SingleTxtGA"/>
        <w:rPr>
          <w:rStyle w:val="apple-converted-space"/>
          <w:rFonts w:hint="cs"/>
          <w:color w:val="000000"/>
          <w:sz w:val="30"/>
          <w:rtl/>
        </w:rPr>
      </w:pPr>
      <w:r w:rsidRPr="006B7E32">
        <w:rPr>
          <w:rFonts w:hint="cs"/>
          <w:sz w:val="30"/>
          <w:rtl/>
        </w:rPr>
        <w:t>3-</w:t>
      </w:r>
      <w:r>
        <w:rPr>
          <w:rFonts w:hint="cs"/>
          <w:sz w:val="30"/>
          <w:rtl/>
        </w:rPr>
        <w:tab/>
      </w:r>
      <w:r w:rsidRPr="006B7E32">
        <w:rPr>
          <w:rFonts w:hint="cs"/>
          <w:rtl/>
        </w:rPr>
        <w:t>يدعي صاحب البلاغ أن الدولة الطرف انتهكت حقه في التجمع السلمي الذي تحميه المادة 21 من العهد لأنها فرضت حظراً شاملاً على التجمع الذي كان يعتزم تنظيمه. ولم ي</w:t>
      </w:r>
      <w:r w:rsidR="00110978">
        <w:rPr>
          <w:rFonts w:hint="cs"/>
          <w:rtl/>
        </w:rPr>
        <w:t>ُ</w:t>
      </w:r>
      <w:r w:rsidRPr="006B7E32">
        <w:rPr>
          <w:rFonts w:hint="cs"/>
          <w:rtl/>
        </w:rPr>
        <w:t xml:space="preserve">فرض الرفض الذي </w:t>
      </w:r>
      <w:r w:rsidR="00110978">
        <w:rPr>
          <w:rFonts w:hint="cs"/>
          <w:rtl/>
        </w:rPr>
        <w:t xml:space="preserve">أعلنته السلطات "وفقاً للقانون" كما أنه </w:t>
      </w:r>
      <w:r w:rsidRPr="006B7E32">
        <w:rPr>
          <w:rFonts w:hint="cs"/>
          <w:rtl/>
        </w:rPr>
        <w:t>لم يكن "ضرورياً في مجتمع ديمقراطي". وعلى وجه الخصوص، يقتضي القانون الوطني بوضوح أن تتخذ السلطات التدابير اللازمة لضمان سلامة المشاركين في التجمع وسيره بسلام. وعلاوة على ذلك، لم تكن القيود المفروضة "ضرورية في مجتمع ديمقراطي" ولم تحقق أي هدف من الأهداف المشروعة المشار إليها في المادة 21 من العهد. ويبره</w:t>
      </w:r>
      <w:r w:rsidR="00110978">
        <w:rPr>
          <w:rFonts w:hint="cs"/>
          <w:rtl/>
        </w:rPr>
        <w:t xml:space="preserve">ن رفض السلطات اقتراح مكان بديل </w:t>
      </w:r>
      <w:r w:rsidRPr="006B7E32">
        <w:rPr>
          <w:rFonts w:hint="cs"/>
          <w:rtl/>
        </w:rPr>
        <w:t>لتنظيم الاعتصام الجماعي وتأكيدها عدم القدرة على توفير قوات شرطة كافية لحماي</w:t>
      </w:r>
      <w:r w:rsidR="00110978">
        <w:rPr>
          <w:rFonts w:hint="cs"/>
          <w:rtl/>
        </w:rPr>
        <w:t xml:space="preserve">ة المشاركين في التجمع أن الهدف </w:t>
      </w:r>
      <w:r w:rsidRPr="006B7E32">
        <w:rPr>
          <w:rFonts w:hint="cs"/>
          <w:rtl/>
        </w:rPr>
        <w:t xml:space="preserve">الحقيقي للسلطات كان </w:t>
      </w:r>
      <w:r w:rsidR="00F5721B">
        <w:rPr>
          <w:rFonts w:hint="cs"/>
          <w:rtl/>
        </w:rPr>
        <w:t>منع أقلية</w:t>
      </w:r>
      <w:r w:rsidRPr="006B7E32">
        <w:rPr>
          <w:rFonts w:hint="cs"/>
          <w:rtl/>
        </w:rPr>
        <w:t xml:space="preserve"> المثليين </w:t>
      </w:r>
      <w:r w:rsidR="00F5721B">
        <w:rPr>
          <w:rFonts w:hint="cs"/>
          <w:rtl/>
        </w:rPr>
        <w:t xml:space="preserve">والمثليات </w:t>
      </w:r>
      <w:r w:rsidRPr="006B7E32">
        <w:rPr>
          <w:rFonts w:hint="cs"/>
          <w:rtl/>
        </w:rPr>
        <w:t>في روسيا من لفت أنظار الجمهور وجذب اهتمام الرأي العام إلى انشغالاتهم. وأخيراً، إن كون أف</w:t>
      </w:r>
      <w:r w:rsidR="00C06682">
        <w:rPr>
          <w:rFonts w:hint="cs"/>
          <w:rtl/>
        </w:rPr>
        <w:t>كار أقلية من الأقليات يمكن أن "</w:t>
      </w:r>
      <w:r w:rsidRPr="006B7E32">
        <w:rPr>
          <w:color w:val="000000"/>
          <w:rtl/>
        </w:rPr>
        <w:t>تضايق أو تصدم أو ت</w:t>
      </w:r>
      <w:r w:rsidRPr="006B7E32">
        <w:rPr>
          <w:rFonts w:hint="cs"/>
          <w:color w:val="000000"/>
          <w:rtl/>
        </w:rPr>
        <w:t>زعج" الأغلبية</w:t>
      </w:r>
      <w:r w:rsidR="00437B2E">
        <w:rPr>
          <w:rStyle w:val="apple-converted-space"/>
          <w:color w:val="000000"/>
          <w:sz w:val="30"/>
          <w:rtl/>
        </w:rPr>
        <w:t xml:space="preserve"> </w:t>
      </w:r>
      <w:r w:rsidRPr="006B7E32">
        <w:rPr>
          <w:rStyle w:val="apple-converted-space"/>
          <w:rFonts w:hint="cs"/>
          <w:color w:val="000000"/>
          <w:sz w:val="30"/>
          <w:rtl/>
        </w:rPr>
        <w:t>وتتسبب</w:t>
      </w:r>
      <w:r w:rsidR="00437B2E">
        <w:rPr>
          <w:rStyle w:val="apple-converted-space"/>
          <w:rFonts w:hint="cs"/>
          <w:color w:val="000000"/>
          <w:sz w:val="30"/>
          <w:rtl/>
        </w:rPr>
        <w:t xml:space="preserve"> </w:t>
      </w:r>
      <w:r w:rsidRPr="006B7E32">
        <w:rPr>
          <w:rStyle w:val="apple-converted-space"/>
          <w:rFonts w:hint="cs"/>
          <w:color w:val="000000"/>
          <w:sz w:val="30"/>
          <w:rtl/>
        </w:rPr>
        <w:t xml:space="preserve">في معارضة عنيفة لا يمكن أن يبرر </w:t>
      </w:r>
      <w:r w:rsidR="00F5721B">
        <w:rPr>
          <w:rStyle w:val="apple-converted-space"/>
          <w:rFonts w:hint="cs"/>
          <w:color w:val="000000"/>
          <w:sz w:val="30"/>
          <w:rtl/>
        </w:rPr>
        <w:t>فرض حظر شامل</w:t>
      </w:r>
      <w:r w:rsidRPr="006B7E32">
        <w:rPr>
          <w:rStyle w:val="apple-converted-space"/>
          <w:rFonts w:hint="cs"/>
          <w:color w:val="000000"/>
          <w:sz w:val="30"/>
          <w:rtl/>
        </w:rPr>
        <w:t xml:space="preserve"> على التعبير عن آراء هذه الجماعات عن طريق التجمع السلمي. بل على العكس، يجب </w:t>
      </w:r>
      <w:r w:rsidR="00F5721B">
        <w:rPr>
          <w:rStyle w:val="apple-converted-space"/>
          <w:rFonts w:hint="cs"/>
          <w:color w:val="000000"/>
          <w:sz w:val="30"/>
          <w:rtl/>
        </w:rPr>
        <w:t xml:space="preserve">على </w:t>
      </w:r>
      <w:r w:rsidRPr="006B7E32">
        <w:rPr>
          <w:rStyle w:val="apple-converted-space"/>
          <w:rFonts w:hint="cs"/>
          <w:color w:val="000000"/>
          <w:sz w:val="30"/>
          <w:rtl/>
        </w:rPr>
        <w:t xml:space="preserve">الدولة الطرف </w:t>
      </w:r>
      <w:r w:rsidR="00F5721B" w:rsidRPr="006B7E32">
        <w:rPr>
          <w:rStyle w:val="apple-converted-space"/>
          <w:rFonts w:hint="cs"/>
          <w:color w:val="000000"/>
          <w:sz w:val="30"/>
          <w:rtl/>
        </w:rPr>
        <w:t xml:space="preserve">أن تحمي </w:t>
      </w:r>
      <w:r w:rsidRPr="006B7E32">
        <w:rPr>
          <w:rStyle w:val="apple-converted-space"/>
          <w:rFonts w:hint="cs"/>
          <w:color w:val="000000"/>
          <w:sz w:val="30"/>
          <w:rtl/>
        </w:rPr>
        <w:t xml:space="preserve">التجمعات السلمية </w:t>
      </w:r>
      <w:r w:rsidR="00F5721B">
        <w:rPr>
          <w:rStyle w:val="apple-converted-space"/>
          <w:rFonts w:hint="cs"/>
          <w:color w:val="000000"/>
          <w:sz w:val="30"/>
          <w:rtl/>
        </w:rPr>
        <w:t>ل</w:t>
      </w:r>
      <w:r w:rsidRPr="006B7E32">
        <w:rPr>
          <w:rStyle w:val="apple-converted-space"/>
          <w:rFonts w:hint="cs"/>
          <w:color w:val="000000"/>
          <w:sz w:val="30"/>
          <w:rtl/>
        </w:rPr>
        <w:t>لأقليات من التصرفات العنيفة.</w:t>
      </w:r>
    </w:p>
    <w:p w:rsidR="006B7E32" w:rsidRDefault="006B7E32" w:rsidP="006B7E32">
      <w:pPr>
        <w:pStyle w:val="H23GA"/>
        <w:rPr>
          <w:rStyle w:val="apple-converted-space"/>
          <w:rFonts w:hint="cs"/>
          <w:b w:val="0"/>
          <w:bCs w:val="0"/>
          <w:color w:val="000000"/>
          <w:sz w:val="36"/>
          <w:szCs w:val="36"/>
          <w:rtl/>
        </w:rPr>
      </w:pPr>
      <w:r>
        <w:rPr>
          <w:rFonts w:hint="cs"/>
          <w:rtl/>
        </w:rPr>
        <w:tab/>
      </w:r>
      <w:r>
        <w:rPr>
          <w:rFonts w:hint="cs"/>
          <w:rtl/>
        </w:rPr>
        <w:tab/>
      </w:r>
      <w:r w:rsidRPr="005E2E33">
        <w:rPr>
          <w:rtl/>
        </w:rPr>
        <w:t>ملاحظات الدولة الطرف على مقبولية البلاغ وأسسه الموضوعية</w:t>
      </w:r>
      <w:r w:rsidRPr="005E2E33">
        <w:rPr>
          <w:rStyle w:val="apple-converted-space"/>
          <w:b w:val="0"/>
          <w:bCs w:val="0"/>
          <w:color w:val="000000"/>
          <w:sz w:val="36"/>
          <w:szCs w:val="36"/>
        </w:rPr>
        <w:t> </w:t>
      </w:r>
    </w:p>
    <w:p w:rsidR="006B7E32" w:rsidRDefault="006B7E32" w:rsidP="0089000F">
      <w:pPr>
        <w:pStyle w:val="SingleTxtGA"/>
        <w:rPr>
          <w:rFonts w:hint="cs"/>
          <w:rtl/>
        </w:rPr>
      </w:pPr>
      <w:r>
        <w:rPr>
          <w:rFonts w:hint="cs"/>
          <w:rtl/>
        </w:rPr>
        <w:t>4-</w:t>
      </w:r>
      <w:r w:rsidRPr="005E2E33">
        <w:rPr>
          <w:rFonts w:hint="cs"/>
          <w:rtl/>
        </w:rPr>
        <w:t>1</w:t>
      </w:r>
      <w:r>
        <w:rPr>
          <w:rFonts w:hint="cs"/>
          <w:b/>
          <w:bCs/>
          <w:rtl/>
        </w:rPr>
        <w:tab/>
      </w:r>
      <w:r w:rsidRPr="000574A6">
        <w:rPr>
          <w:rFonts w:hint="cs"/>
          <w:rtl/>
        </w:rPr>
        <w:t>قدمت الدولة الطرف في 29 حزيران/يونيه 2009 ملاحظاتها على</w:t>
      </w:r>
      <w:r>
        <w:rPr>
          <w:rFonts w:hint="cs"/>
          <w:b/>
          <w:bCs/>
          <w:rtl/>
        </w:rPr>
        <w:t xml:space="preserve"> </w:t>
      </w:r>
      <w:r w:rsidRPr="005E2E33">
        <w:rPr>
          <w:rtl/>
        </w:rPr>
        <w:t>مقبولية البلاغ وأسسه الموضوعية</w:t>
      </w:r>
      <w:r>
        <w:rPr>
          <w:rFonts w:hint="cs"/>
          <w:rtl/>
        </w:rPr>
        <w:t>. و</w:t>
      </w:r>
      <w:r w:rsidR="00F5721B">
        <w:rPr>
          <w:rFonts w:hint="cs"/>
          <w:rtl/>
        </w:rPr>
        <w:t xml:space="preserve">هي </w:t>
      </w:r>
      <w:r>
        <w:rPr>
          <w:rFonts w:hint="cs"/>
          <w:rtl/>
        </w:rPr>
        <w:t>ت</w:t>
      </w:r>
      <w:r w:rsidR="00F5721B">
        <w:rPr>
          <w:rFonts w:hint="cs"/>
          <w:rtl/>
        </w:rPr>
        <w:t>ُ</w:t>
      </w:r>
      <w:r>
        <w:rPr>
          <w:rFonts w:hint="cs"/>
          <w:rtl/>
        </w:rPr>
        <w:t>ذك</w:t>
      </w:r>
      <w:r w:rsidR="00F5721B">
        <w:rPr>
          <w:rFonts w:hint="cs"/>
          <w:rtl/>
        </w:rPr>
        <w:t>ّ</w:t>
      </w:r>
      <w:r>
        <w:rPr>
          <w:rFonts w:hint="cs"/>
          <w:rtl/>
        </w:rPr>
        <w:t xml:space="preserve">ر بوقائع القضية والإجراءات التي </w:t>
      </w:r>
      <w:r w:rsidR="00F5721B">
        <w:rPr>
          <w:rFonts w:hint="cs"/>
          <w:rtl/>
        </w:rPr>
        <w:t xml:space="preserve">لجأ إليها </w:t>
      </w:r>
      <w:r>
        <w:rPr>
          <w:rFonts w:hint="cs"/>
          <w:rtl/>
        </w:rPr>
        <w:t xml:space="preserve">صاحب البلاغ. </w:t>
      </w:r>
      <w:r w:rsidR="00F5721B">
        <w:rPr>
          <w:rFonts w:hint="cs"/>
          <w:rtl/>
        </w:rPr>
        <w:t xml:space="preserve">وتلاحظ الدولة الطرف أيضاً </w:t>
      </w:r>
      <w:r>
        <w:rPr>
          <w:rFonts w:hint="cs"/>
          <w:rtl/>
        </w:rPr>
        <w:t xml:space="preserve">أن </w:t>
      </w:r>
      <w:r w:rsidR="00F5721B">
        <w:rPr>
          <w:rFonts w:hint="cs"/>
          <w:rtl/>
        </w:rPr>
        <w:t xml:space="preserve">ادعاءات </w:t>
      </w:r>
      <w:r>
        <w:rPr>
          <w:rFonts w:hint="cs"/>
          <w:rtl/>
        </w:rPr>
        <w:t xml:space="preserve">صاحب البلاغ </w:t>
      </w:r>
      <w:r w:rsidR="00F5721B">
        <w:rPr>
          <w:rFonts w:hint="cs"/>
          <w:rtl/>
        </w:rPr>
        <w:t xml:space="preserve">في إطار </w:t>
      </w:r>
      <w:r>
        <w:rPr>
          <w:rFonts w:hint="cs"/>
          <w:rtl/>
        </w:rPr>
        <w:t>المادة 21 من العهد لا</w:t>
      </w:r>
      <w:r w:rsidR="00F5721B">
        <w:rPr>
          <w:rFonts w:hint="eastAsia"/>
          <w:rtl/>
        </w:rPr>
        <w:t> </w:t>
      </w:r>
      <w:r>
        <w:rPr>
          <w:rFonts w:hint="cs"/>
          <w:rtl/>
        </w:rPr>
        <w:t xml:space="preserve">أساس لها لأنه لم يسمح له </w:t>
      </w:r>
      <w:r w:rsidR="00F5721B">
        <w:rPr>
          <w:rFonts w:hint="cs"/>
          <w:rtl/>
        </w:rPr>
        <w:t xml:space="preserve">بتنظيم الاعتصام </w:t>
      </w:r>
      <w:r>
        <w:rPr>
          <w:rFonts w:hint="cs"/>
          <w:rtl/>
        </w:rPr>
        <w:t xml:space="preserve">من أجل الحفاظ على </w:t>
      </w:r>
      <w:r w:rsidR="00F5721B">
        <w:rPr>
          <w:rFonts w:hint="cs"/>
          <w:rtl/>
        </w:rPr>
        <w:t xml:space="preserve">النظام </w:t>
      </w:r>
      <w:r>
        <w:rPr>
          <w:rFonts w:hint="cs"/>
          <w:rtl/>
        </w:rPr>
        <w:t xml:space="preserve">العام. وفي هذا الصدد، تلاحظ الدولة الطرف أن المادة 21 من العهد تعترف بالحق في التجمع السلمي غير أنها تنص على تقييد هذا الحق وفقاً للقانون </w:t>
      </w:r>
      <w:r w:rsidR="00F5721B">
        <w:rPr>
          <w:rFonts w:hint="cs"/>
          <w:rtl/>
        </w:rPr>
        <w:t xml:space="preserve">ومن أجل </w:t>
      </w:r>
      <w:r>
        <w:rPr>
          <w:rFonts w:hint="cs"/>
          <w:rtl/>
        </w:rPr>
        <w:t xml:space="preserve">مصالح الأمن القومي أو السلامة العامة أو </w:t>
      </w:r>
      <w:r w:rsidR="00DC369C">
        <w:rPr>
          <w:rFonts w:hint="cs"/>
          <w:rtl/>
        </w:rPr>
        <w:t xml:space="preserve">النظام </w:t>
      </w:r>
      <w:r>
        <w:rPr>
          <w:rFonts w:hint="cs"/>
          <w:rtl/>
        </w:rPr>
        <w:t xml:space="preserve">العام </w:t>
      </w:r>
      <w:r w:rsidR="00A90B08">
        <w:rPr>
          <w:rFonts w:hint="cs"/>
          <w:rtl/>
        </w:rPr>
        <w:t>أ</w:t>
      </w:r>
      <w:r>
        <w:rPr>
          <w:rFonts w:hint="cs"/>
          <w:rtl/>
        </w:rPr>
        <w:t>و</w:t>
      </w:r>
      <w:r w:rsidR="00A90B08">
        <w:rPr>
          <w:rFonts w:hint="cs"/>
          <w:rtl/>
        </w:rPr>
        <w:t xml:space="preserve"> </w:t>
      </w:r>
      <w:r>
        <w:rPr>
          <w:rFonts w:hint="cs"/>
          <w:rtl/>
        </w:rPr>
        <w:t>حماية الصحة العامة أو الآداب العامة أو حماية حقوق الآخرين وحرياتهم. وت</w:t>
      </w:r>
      <w:r w:rsidR="00083A08">
        <w:rPr>
          <w:rFonts w:hint="cs"/>
          <w:rtl/>
        </w:rPr>
        <w:t>ضمن المادتان 31 و55 من دستور الا</w:t>
      </w:r>
      <w:r>
        <w:rPr>
          <w:rFonts w:hint="cs"/>
          <w:rtl/>
        </w:rPr>
        <w:t xml:space="preserve">تحاد الروسي الحق في التجمع السلمي مع </w:t>
      </w:r>
      <w:r w:rsidR="00A90B08">
        <w:rPr>
          <w:rFonts w:hint="cs"/>
          <w:rtl/>
        </w:rPr>
        <w:t xml:space="preserve">إجازة فرض </w:t>
      </w:r>
      <w:r>
        <w:rPr>
          <w:rFonts w:hint="cs"/>
          <w:rtl/>
        </w:rPr>
        <w:t>قيود مماثلة لتلك الواردة</w:t>
      </w:r>
      <w:r w:rsidR="00A90B08">
        <w:rPr>
          <w:rFonts w:hint="cs"/>
          <w:rtl/>
        </w:rPr>
        <w:t xml:space="preserve"> في المادة 21 من العهد، وهي قيود يتناولها </w:t>
      </w:r>
      <w:r>
        <w:rPr>
          <w:rFonts w:hint="cs"/>
          <w:rtl/>
        </w:rPr>
        <w:t xml:space="preserve">القانون الاتحادي بشأن </w:t>
      </w:r>
      <w:r w:rsidR="00A90B08">
        <w:rPr>
          <w:rFonts w:hint="cs"/>
          <w:rtl/>
        </w:rPr>
        <w:t>تنظيم ال</w:t>
      </w:r>
      <w:r>
        <w:rPr>
          <w:rFonts w:hint="cs"/>
          <w:rtl/>
        </w:rPr>
        <w:t xml:space="preserve">تجمعات </w:t>
      </w:r>
      <w:r w:rsidR="00A90B08">
        <w:rPr>
          <w:rFonts w:hint="cs"/>
          <w:rtl/>
        </w:rPr>
        <w:t>ال</w:t>
      </w:r>
      <w:r>
        <w:rPr>
          <w:rFonts w:hint="cs"/>
          <w:rtl/>
        </w:rPr>
        <w:t>حاشدة و</w:t>
      </w:r>
      <w:r w:rsidR="00A90B08">
        <w:rPr>
          <w:rFonts w:hint="cs"/>
          <w:rtl/>
        </w:rPr>
        <w:t>ال</w:t>
      </w:r>
      <w:r>
        <w:rPr>
          <w:rFonts w:hint="cs"/>
          <w:rtl/>
        </w:rPr>
        <w:t>اجتماعات و</w:t>
      </w:r>
      <w:r w:rsidR="00A90B08">
        <w:rPr>
          <w:rFonts w:hint="cs"/>
          <w:rtl/>
        </w:rPr>
        <w:t>ال</w:t>
      </w:r>
      <w:r>
        <w:rPr>
          <w:rFonts w:hint="cs"/>
          <w:rtl/>
        </w:rPr>
        <w:t>مظاهرات و</w:t>
      </w:r>
      <w:r w:rsidR="00A90B08">
        <w:rPr>
          <w:rFonts w:hint="cs"/>
          <w:rtl/>
        </w:rPr>
        <w:t>ال</w:t>
      </w:r>
      <w:r>
        <w:rPr>
          <w:rFonts w:hint="cs"/>
          <w:rtl/>
        </w:rPr>
        <w:t xml:space="preserve">مسيرات </w:t>
      </w:r>
      <w:proofErr w:type="spellStart"/>
      <w:r>
        <w:rPr>
          <w:rFonts w:hint="cs"/>
          <w:rtl/>
        </w:rPr>
        <w:t>و</w:t>
      </w:r>
      <w:r w:rsidR="00A90B08">
        <w:rPr>
          <w:rFonts w:hint="cs"/>
          <w:rtl/>
        </w:rPr>
        <w:t>ال</w:t>
      </w:r>
      <w:r>
        <w:rPr>
          <w:rFonts w:hint="cs"/>
          <w:rtl/>
        </w:rPr>
        <w:t>اعتصامات</w:t>
      </w:r>
      <w:proofErr w:type="spellEnd"/>
      <w:r>
        <w:rPr>
          <w:rFonts w:hint="cs"/>
          <w:rtl/>
        </w:rPr>
        <w:t xml:space="preserve"> (القانون</w:t>
      </w:r>
      <w:r w:rsidRPr="0073330F">
        <w:rPr>
          <w:rFonts w:hint="cs"/>
          <w:rtl/>
        </w:rPr>
        <w:t xml:space="preserve"> </w:t>
      </w:r>
      <w:r>
        <w:rPr>
          <w:rFonts w:hint="cs"/>
          <w:rtl/>
        </w:rPr>
        <w:t xml:space="preserve">الاتحادي بشأن التظاهرات الجماهيرية). ووفقاً للفقرة 1 من المادة 8 من هذا القانون، يمكن أن </w:t>
      </w:r>
      <w:r w:rsidR="00610846">
        <w:rPr>
          <w:rFonts w:hint="cs"/>
          <w:rtl/>
        </w:rPr>
        <w:t xml:space="preserve">تنظم </w:t>
      </w:r>
      <w:r>
        <w:rPr>
          <w:rFonts w:hint="cs"/>
          <w:rtl/>
        </w:rPr>
        <w:t>التظاهرات الجماهيرية في أي مكان مناسب للأغراض المتوخاة من الحدث شريطة ألا يعرض أمن المشاركين</w:t>
      </w:r>
      <w:r w:rsidR="00437B2E">
        <w:rPr>
          <w:rFonts w:hint="cs"/>
          <w:rtl/>
        </w:rPr>
        <w:t xml:space="preserve"> </w:t>
      </w:r>
      <w:r>
        <w:rPr>
          <w:rFonts w:hint="cs"/>
          <w:rtl/>
        </w:rPr>
        <w:t xml:space="preserve">في الحدث المذكور للخطر. </w:t>
      </w:r>
      <w:r>
        <w:rPr>
          <w:rFonts w:hint="cs"/>
          <w:rtl/>
          <w:lang/>
        </w:rPr>
        <w:t xml:space="preserve">وتلاحظ الدولة الطرف أيضاً أن </w:t>
      </w:r>
      <w:r>
        <w:rPr>
          <w:rFonts w:hint="cs"/>
          <w:rtl/>
        </w:rPr>
        <w:t xml:space="preserve">محكمة </w:t>
      </w:r>
      <w:proofErr w:type="spellStart"/>
      <w:r>
        <w:rPr>
          <w:rFonts w:hint="cs"/>
          <w:rtl/>
        </w:rPr>
        <w:t>طاغنسكي</w:t>
      </w:r>
      <w:proofErr w:type="spellEnd"/>
      <w:r>
        <w:rPr>
          <w:rFonts w:hint="cs"/>
          <w:rtl/>
        </w:rPr>
        <w:t xml:space="preserve"> </w:t>
      </w:r>
      <w:r w:rsidR="00610846">
        <w:rPr>
          <w:rFonts w:hint="cs"/>
          <w:rtl/>
        </w:rPr>
        <w:t xml:space="preserve">الجزئية </w:t>
      </w:r>
      <w:r>
        <w:rPr>
          <w:rFonts w:hint="cs"/>
          <w:rtl/>
        </w:rPr>
        <w:t>بموسكو</w:t>
      </w:r>
      <w:r>
        <w:rPr>
          <w:rFonts w:hint="cs"/>
          <w:rtl/>
          <w:lang/>
        </w:rPr>
        <w:t xml:space="preserve"> </w:t>
      </w:r>
      <w:r w:rsidR="00E0287D">
        <w:rPr>
          <w:rFonts w:hint="cs"/>
          <w:rtl/>
          <w:lang/>
        </w:rPr>
        <w:t xml:space="preserve">خلصت في 18 أيلول/سبتمبر 2008 إلى </w:t>
      </w:r>
      <w:r>
        <w:rPr>
          <w:rFonts w:hint="cs"/>
          <w:rtl/>
        </w:rPr>
        <w:t xml:space="preserve">أنه في ضوء رد الفعل السلبي </w:t>
      </w:r>
      <w:r w:rsidR="00E0287D">
        <w:rPr>
          <w:rFonts w:hint="cs"/>
          <w:rtl/>
        </w:rPr>
        <w:t xml:space="preserve">المحتمل </w:t>
      </w:r>
      <w:r>
        <w:rPr>
          <w:rFonts w:hint="cs"/>
          <w:rtl/>
        </w:rPr>
        <w:t xml:space="preserve">للجمهور تجاه هذه </w:t>
      </w:r>
      <w:proofErr w:type="spellStart"/>
      <w:r>
        <w:rPr>
          <w:rFonts w:hint="cs"/>
          <w:rtl/>
        </w:rPr>
        <w:t>الاعتصامات</w:t>
      </w:r>
      <w:proofErr w:type="spellEnd"/>
      <w:r>
        <w:rPr>
          <w:rFonts w:hint="cs"/>
          <w:rtl/>
        </w:rPr>
        <w:t>، لم يكن بإمكان السلطات توف</w:t>
      </w:r>
      <w:r w:rsidR="00FA6039">
        <w:rPr>
          <w:rFonts w:hint="cs"/>
          <w:rtl/>
        </w:rPr>
        <w:t xml:space="preserve">ير الأمن التام </w:t>
      </w:r>
      <w:r>
        <w:rPr>
          <w:rFonts w:hint="cs"/>
          <w:rtl/>
        </w:rPr>
        <w:t>للمشاركين في مثل هذا الحدث الجماهيري. وتؤكد الدولة الطرف أن رفض السلطات في</w:t>
      </w:r>
      <w:r w:rsidR="00FA6039">
        <w:rPr>
          <w:rFonts w:hint="eastAsia"/>
          <w:rtl/>
        </w:rPr>
        <w:t> </w:t>
      </w:r>
      <w:r w:rsidR="0089000F">
        <w:rPr>
          <w:rFonts w:hint="cs"/>
          <w:rtl/>
        </w:rPr>
        <w:t xml:space="preserve">11 </w:t>
      </w:r>
      <w:r>
        <w:rPr>
          <w:rFonts w:hint="cs"/>
          <w:rtl/>
        </w:rPr>
        <w:t xml:space="preserve">تموز/يوليه 2008 يتماشى مع </w:t>
      </w:r>
      <w:r w:rsidR="00FA6039">
        <w:rPr>
          <w:rFonts w:hint="cs"/>
          <w:rtl/>
        </w:rPr>
        <w:t xml:space="preserve">المعايير </w:t>
      </w:r>
      <w:r>
        <w:rPr>
          <w:rFonts w:hint="cs"/>
          <w:rtl/>
        </w:rPr>
        <w:t xml:space="preserve">الدولية </w:t>
      </w:r>
      <w:r w:rsidR="00FA6039">
        <w:rPr>
          <w:rFonts w:hint="cs"/>
          <w:rtl/>
        </w:rPr>
        <w:t xml:space="preserve">ومع </w:t>
      </w:r>
      <w:r>
        <w:rPr>
          <w:rFonts w:hint="cs"/>
          <w:rtl/>
        </w:rPr>
        <w:t xml:space="preserve">التشريعات المحلية. </w:t>
      </w:r>
    </w:p>
    <w:p w:rsidR="006B7E32" w:rsidRDefault="006B7E32" w:rsidP="00E41B16">
      <w:pPr>
        <w:pStyle w:val="SingleTxtGA"/>
        <w:rPr>
          <w:rStyle w:val="apple-converted-space"/>
          <w:rFonts w:hint="cs"/>
          <w:color w:val="000000"/>
          <w:sz w:val="30"/>
          <w:rtl/>
        </w:rPr>
      </w:pPr>
      <w:r>
        <w:rPr>
          <w:rFonts w:hint="cs"/>
          <w:rtl/>
        </w:rPr>
        <w:t>4-2</w:t>
      </w:r>
      <w:r>
        <w:rPr>
          <w:rFonts w:hint="cs"/>
          <w:rtl/>
        </w:rPr>
        <w:tab/>
        <w:t xml:space="preserve">وتضيف الدولة الطرف أن صاحب البلاغ لم يستنفد جميع سبل الانتصاف المحلية </w:t>
      </w:r>
      <w:r>
        <w:rPr>
          <w:rFonts w:hint="cs"/>
          <w:rtl/>
          <w:lang/>
        </w:rPr>
        <w:t>وفقاً لما تقتضيه الفقرة 2(ب) من المادة 5 من البروتوكول الاختياري للعهد</w:t>
      </w:r>
      <w:r>
        <w:rPr>
          <w:rStyle w:val="apple-converted-space"/>
          <w:rFonts w:hint="cs"/>
          <w:color w:val="000000"/>
          <w:sz w:val="30"/>
          <w:rtl/>
          <w:lang/>
        </w:rPr>
        <w:t xml:space="preserve"> لأنه </w:t>
      </w:r>
      <w:r>
        <w:rPr>
          <w:rStyle w:val="apple-converted-space"/>
          <w:rFonts w:hint="cs"/>
          <w:color w:val="000000"/>
          <w:sz w:val="30"/>
          <w:rtl/>
        </w:rPr>
        <w:t>كان بإمكان صاحب البلاغ</w:t>
      </w:r>
      <w:r w:rsidR="00E41B16">
        <w:rPr>
          <w:rStyle w:val="apple-converted-space"/>
          <w:rFonts w:hint="cs"/>
          <w:smallCaps/>
          <w:color w:val="000000"/>
          <w:sz w:val="30"/>
          <w:rtl/>
          <w:lang/>
        </w:rPr>
        <w:t>،</w:t>
      </w:r>
      <w:r>
        <w:rPr>
          <w:rStyle w:val="apple-converted-space"/>
          <w:rFonts w:hint="cs"/>
          <w:color w:val="000000"/>
          <w:sz w:val="30"/>
          <w:rtl/>
          <w:lang/>
        </w:rPr>
        <w:t xml:space="preserve"> وفقاً للمواد 367 و376 و377 والفصل 41 من </w:t>
      </w:r>
      <w:r>
        <w:rPr>
          <w:rFonts w:hint="cs"/>
          <w:rtl/>
          <w:lang/>
        </w:rPr>
        <w:t>قانون الإجراءات المدنية،</w:t>
      </w:r>
      <w:r>
        <w:rPr>
          <w:rStyle w:val="apple-converted-space"/>
          <w:rFonts w:hint="cs"/>
          <w:color w:val="000000"/>
          <w:sz w:val="30"/>
          <w:rtl/>
        </w:rPr>
        <w:t xml:space="preserve"> أن يطلب من رئاسة محكمة مدينة موسكو </w:t>
      </w:r>
      <w:r w:rsidR="00E41B16">
        <w:rPr>
          <w:rStyle w:val="apple-converted-space"/>
          <w:rFonts w:hint="cs"/>
          <w:color w:val="000000"/>
          <w:sz w:val="30"/>
          <w:rtl/>
        </w:rPr>
        <w:t xml:space="preserve">ثم من المحكمة العليا إجراء </w:t>
      </w:r>
      <w:r>
        <w:rPr>
          <w:rStyle w:val="apple-converted-space"/>
          <w:rFonts w:hint="cs"/>
          <w:color w:val="000000"/>
          <w:sz w:val="30"/>
          <w:rtl/>
        </w:rPr>
        <w:t>مراجعة</w:t>
      </w:r>
      <w:r w:rsidR="00437B2E">
        <w:rPr>
          <w:rStyle w:val="apple-converted-space"/>
          <w:rFonts w:hint="cs"/>
          <w:color w:val="000000"/>
          <w:sz w:val="30"/>
          <w:rtl/>
        </w:rPr>
        <w:t xml:space="preserve"> </w:t>
      </w:r>
      <w:r>
        <w:rPr>
          <w:rStyle w:val="apple-converted-space"/>
          <w:rFonts w:hint="cs"/>
          <w:color w:val="000000"/>
          <w:sz w:val="30"/>
          <w:rtl/>
        </w:rPr>
        <w:t>قضائية لقرارات المحاكم الوطنية.</w:t>
      </w:r>
    </w:p>
    <w:p w:rsidR="006B7E32" w:rsidRDefault="006B7E32" w:rsidP="006B7E32">
      <w:pPr>
        <w:pStyle w:val="H23GA"/>
        <w:rPr>
          <w:rStyle w:val="apple-converted-space"/>
          <w:rFonts w:hint="cs"/>
          <w:b w:val="0"/>
          <w:bCs w:val="0"/>
          <w:color w:val="000000"/>
          <w:sz w:val="30"/>
          <w:rtl/>
        </w:rPr>
      </w:pPr>
      <w:r>
        <w:rPr>
          <w:rFonts w:hint="cs"/>
          <w:rtl/>
          <w:lang/>
        </w:rPr>
        <w:tab/>
      </w:r>
      <w:r>
        <w:rPr>
          <w:rFonts w:hint="cs"/>
          <w:rtl/>
          <w:lang/>
        </w:rPr>
        <w:tab/>
      </w:r>
      <w:r w:rsidRPr="00DA017C">
        <w:rPr>
          <w:rFonts w:hint="cs"/>
          <w:rtl/>
          <w:lang/>
        </w:rPr>
        <w:t>تعليقات</w:t>
      </w:r>
      <w:r w:rsidR="00E41B16">
        <w:rPr>
          <w:rFonts w:hint="cs"/>
          <w:rtl/>
          <w:lang/>
        </w:rPr>
        <w:t xml:space="preserve"> صاحب</w:t>
      </w:r>
      <w:r w:rsidRPr="00DA017C">
        <w:rPr>
          <w:rFonts w:hint="cs"/>
          <w:rtl/>
          <w:lang/>
        </w:rPr>
        <w:t xml:space="preserve"> البلاغ على ملاحظات الدولة الطرف</w:t>
      </w:r>
      <w:r w:rsidRPr="00DA017C">
        <w:t> </w:t>
      </w:r>
    </w:p>
    <w:p w:rsidR="006B7E32" w:rsidRDefault="006B7E32" w:rsidP="0081365E">
      <w:pPr>
        <w:pStyle w:val="SingleTxtGA"/>
        <w:rPr>
          <w:rStyle w:val="apple-converted-space"/>
          <w:rFonts w:hint="cs"/>
          <w:color w:val="000000"/>
          <w:sz w:val="30"/>
          <w:rtl/>
        </w:rPr>
      </w:pPr>
      <w:r>
        <w:rPr>
          <w:rStyle w:val="apple-converted-space"/>
          <w:rFonts w:hint="cs"/>
          <w:color w:val="000000"/>
          <w:sz w:val="30"/>
          <w:rtl/>
        </w:rPr>
        <w:t>5-1</w:t>
      </w:r>
      <w:r>
        <w:rPr>
          <w:rStyle w:val="apple-converted-space"/>
          <w:rFonts w:hint="cs"/>
          <w:color w:val="000000"/>
          <w:sz w:val="30"/>
          <w:rtl/>
        </w:rPr>
        <w:tab/>
        <w:t xml:space="preserve">في 9 تشرين الثاني/نوفمبر 2009، لاحظ صاحب البلاغ أن الدولة الطرف أشارت خطأ إلى المادة 8 من القانون الاتحادي المتعلق بالتظاهرات الجماهيرية. فهو يرى أن هذا الحكم يضمن الحق في </w:t>
      </w:r>
      <w:r w:rsidR="00E41B16">
        <w:rPr>
          <w:rStyle w:val="apple-converted-space"/>
          <w:rFonts w:hint="cs"/>
          <w:color w:val="000000"/>
          <w:sz w:val="30"/>
          <w:rtl/>
        </w:rPr>
        <w:t xml:space="preserve">تنظيم </w:t>
      </w:r>
      <w:r>
        <w:rPr>
          <w:rStyle w:val="apple-converted-space"/>
          <w:rFonts w:hint="cs"/>
          <w:color w:val="000000"/>
          <w:sz w:val="30"/>
          <w:rtl/>
        </w:rPr>
        <w:t xml:space="preserve">حدث جماهيري في أي مكان مناسب. غير أن القيود </w:t>
      </w:r>
      <w:r w:rsidR="00E41B16">
        <w:rPr>
          <w:rStyle w:val="apple-converted-space"/>
          <w:rFonts w:hint="cs"/>
          <w:color w:val="000000"/>
          <w:sz w:val="30"/>
          <w:rtl/>
        </w:rPr>
        <w:t xml:space="preserve">المفروضة </w:t>
      </w:r>
      <w:r>
        <w:rPr>
          <w:rStyle w:val="apple-converted-space"/>
          <w:rFonts w:hint="cs"/>
          <w:color w:val="000000"/>
          <w:sz w:val="30"/>
          <w:rtl/>
        </w:rPr>
        <w:t xml:space="preserve">على تنظيم التظاهرات الجماهيرية ترتبط </w:t>
      </w:r>
      <w:r w:rsidR="00E41B16">
        <w:rPr>
          <w:rStyle w:val="apple-converted-space"/>
          <w:rFonts w:hint="cs"/>
          <w:color w:val="000000"/>
          <w:sz w:val="30"/>
          <w:rtl/>
        </w:rPr>
        <w:t xml:space="preserve">حصراً </w:t>
      </w:r>
      <w:r>
        <w:rPr>
          <w:rStyle w:val="apple-converted-space"/>
          <w:rFonts w:hint="cs"/>
          <w:color w:val="000000"/>
          <w:sz w:val="30"/>
          <w:rtl/>
        </w:rPr>
        <w:t xml:space="preserve">باعتبارات أمنية خاصة بمكان معين بسبب خصائصه مثل خطر انهيار مبنى. وليس في نص المادة ما يشير إلى أن هدفه ينص على </w:t>
      </w:r>
      <w:r w:rsidR="00E41B16">
        <w:rPr>
          <w:rStyle w:val="apple-converted-space"/>
          <w:rFonts w:hint="cs"/>
          <w:color w:val="000000"/>
          <w:sz w:val="30"/>
          <w:rtl/>
        </w:rPr>
        <w:t xml:space="preserve">فرض </w:t>
      </w:r>
      <w:r>
        <w:rPr>
          <w:rStyle w:val="apple-converted-space"/>
          <w:rFonts w:hint="cs"/>
          <w:color w:val="000000"/>
          <w:sz w:val="30"/>
          <w:rtl/>
        </w:rPr>
        <w:t>قيود عامة على حق التجمع السلمي بسبب الاعتبارات الأمنية، وفقاً لما تحتج به الدولة الطرف. وعلاو</w:t>
      </w:r>
      <w:r w:rsidR="00CC227E">
        <w:rPr>
          <w:rStyle w:val="apple-converted-space"/>
          <w:rFonts w:hint="cs"/>
          <w:color w:val="000000"/>
          <w:sz w:val="30"/>
          <w:rtl/>
        </w:rPr>
        <w:t xml:space="preserve">ة على ذلك، ينبغي تأويل </w:t>
      </w:r>
      <w:r>
        <w:rPr>
          <w:rStyle w:val="apple-converted-space"/>
          <w:rFonts w:hint="cs"/>
          <w:color w:val="000000"/>
          <w:sz w:val="30"/>
          <w:rtl/>
        </w:rPr>
        <w:t>المادة المشا</w:t>
      </w:r>
      <w:r w:rsidR="00921254">
        <w:rPr>
          <w:rStyle w:val="apple-converted-space"/>
          <w:rFonts w:hint="cs"/>
          <w:color w:val="000000"/>
          <w:sz w:val="30"/>
          <w:rtl/>
        </w:rPr>
        <w:t>ر إليها، على أية حال، في سياق "</w:t>
      </w:r>
      <w:r>
        <w:rPr>
          <w:rStyle w:val="apple-converted-space"/>
          <w:rFonts w:hint="cs"/>
          <w:color w:val="000000"/>
          <w:sz w:val="30"/>
          <w:rtl/>
        </w:rPr>
        <w:t>ضمان إعمال حق مواطني الاتحاد الروسي</w:t>
      </w:r>
      <w:r w:rsidR="0081365E">
        <w:rPr>
          <w:rStyle w:val="apple-converted-space"/>
          <w:rFonts w:hint="cs"/>
          <w:color w:val="000000"/>
          <w:sz w:val="30"/>
          <w:rtl/>
        </w:rPr>
        <w:t>،</w:t>
      </w:r>
      <w:r>
        <w:rPr>
          <w:rStyle w:val="apple-converted-space"/>
          <w:rFonts w:hint="cs"/>
          <w:color w:val="000000"/>
          <w:sz w:val="30"/>
          <w:rtl/>
        </w:rPr>
        <w:t xml:space="preserve"> المحدد دستورياً</w:t>
      </w:r>
      <w:r w:rsidR="0081365E">
        <w:rPr>
          <w:rStyle w:val="apple-converted-space"/>
          <w:rFonts w:hint="cs"/>
          <w:color w:val="000000"/>
          <w:sz w:val="30"/>
          <w:rtl/>
        </w:rPr>
        <w:t>،</w:t>
      </w:r>
      <w:r>
        <w:rPr>
          <w:rStyle w:val="apple-converted-space"/>
          <w:rFonts w:hint="cs"/>
          <w:color w:val="000000"/>
          <w:sz w:val="30"/>
          <w:rtl/>
        </w:rPr>
        <w:t xml:space="preserve"> في التجمع السلمي </w:t>
      </w:r>
      <w:r w:rsidRPr="00007C2A">
        <w:t>[…]</w:t>
      </w:r>
      <w:r>
        <w:rPr>
          <w:rStyle w:val="apple-converted-space"/>
          <w:rFonts w:hint="cs"/>
          <w:color w:val="000000"/>
          <w:sz w:val="30"/>
          <w:rtl/>
        </w:rPr>
        <w:t xml:space="preserve">، </w:t>
      </w:r>
      <w:r w:rsidR="0081365E">
        <w:rPr>
          <w:rStyle w:val="apple-converted-space"/>
          <w:rFonts w:hint="cs"/>
          <w:color w:val="000000"/>
          <w:sz w:val="30"/>
          <w:rtl/>
        </w:rPr>
        <w:t>وتنظيم ال</w:t>
      </w:r>
      <w:r>
        <w:rPr>
          <w:rFonts w:hint="cs"/>
          <w:rtl/>
        </w:rPr>
        <w:t xml:space="preserve">تجمعات </w:t>
      </w:r>
      <w:r w:rsidR="0081365E">
        <w:rPr>
          <w:rFonts w:hint="cs"/>
          <w:rtl/>
        </w:rPr>
        <w:t>ال</w:t>
      </w:r>
      <w:r>
        <w:rPr>
          <w:rFonts w:hint="cs"/>
          <w:rtl/>
        </w:rPr>
        <w:t>حاشدة</w:t>
      </w:r>
      <w:r>
        <w:rPr>
          <w:rStyle w:val="apple-converted-space"/>
          <w:rFonts w:hint="cs"/>
          <w:color w:val="000000"/>
          <w:sz w:val="30"/>
          <w:rtl/>
        </w:rPr>
        <w:t xml:space="preserve"> </w:t>
      </w:r>
      <w:r>
        <w:rPr>
          <w:rFonts w:hint="cs"/>
          <w:rtl/>
        </w:rPr>
        <w:t>و</w:t>
      </w:r>
      <w:r w:rsidR="0081365E">
        <w:rPr>
          <w:rFonts w:hint="cs"/>
          <w:rtl/>
        </w:rPr>
        <w:t>ال</w:t>
      </w:r>
      <w:r>
        <w:rPr>
          <w:rFonts w:hint="cs"/>
          <w:rtl/>
        </w:rPr>
        <w:t>اجتماعات و</w:t>
      </w:r>
      <w:r w:rsidR="0081365E">
        <w:rPr>
          <w:rFonts w:hint="cs"/>
          <w:rtl/>
        </w:rPr>
        <w:t>ال</w:t>
      </w:r>
      <w:r>
        <w:rPr>
          <w:rFonts w:hint="cs"/>
          <w:rtl/>
        </w:rPr>
        <w:t>مظاهرات و</w:t>
      </w:r>
      <w:r w:rsidR="0081365E">
        <w:rPr>
          <w:rFonts w:hint="cs"/>
          <w:rtl/>
        </w:rPr>
        <w:t>ال</w:t>
      </w:r>
      <w:r>
        <w:rPr>
          <w:rFonts w:hint="cs"/>
          <w:rtl/>
        </w:rPr>
        <w:t xml:space="preserve">مسيرات </w:t>
      </w:r>
      <w:proofErr w:type="spellStart"/>
      <w:r>
        <w:rPr>
          <w:rFonts w:hint="cs"/>
          <w:rtl/>
        </w:rPr>
        <w:t>و</w:t>
      </w:r>
      <w:r w:rsidR="0081365E">
        <w:rPr>
          <w:rFonts w:hint="cs"/>
          <w:rtl/>
        </w:rPr>
        <w:t>ال</w:t>
      </w:r>
      <w:r>
        <w:rPr>
          <w:rFonts w:hint="cs"/>
          <w:rtl/>
        </w:rPr>
        <w:t>اعتصامات</w:t>
      </w:r>
      <w:proofErr w:type="spellEnd"/>
      <w:r>
        <w:rPr>
          <w:rStyle w:val="apple-converted-space"/>
          <w:rFonts w:hint="cs"/>
          <w:color w:val="000000"/>
          <w:sz w:val="30"/>
          <w:rtl/>
        </w:rPr>
        <w:t>" على النحو المنصوص عليه في ديباجة القانون الاتحادي بشأن التظاهرات الجماهيرية.</w:t>
      </w:r>
    </w:p>
    <w:p w:rsidR="006B7E32" w:rsidRDefault="006B7E32" w:rsidP="0081365E">
      <w:pPr>
        <w:pStyle w:val="SingleTxtGA"/>
        <w:rPr>
          <w:rStyle w:val="apple-converted-space"/>
          <w:rFonts w:hint="cs"/>
          <w:color w:val="000000"/>
          <w:sz w:val="30"/>
          <w:rtl/>
        </w:rPr>
      </w:pPr>
      <w:r>
        <w:rPr>
          <w:rStyle w:val="apple-converted-space"/>
          <w:rFonts w:hint="cs"/>
          <w:color w:val="000000"/>
          <w:sz w:val="30"/>
          <w:rtl/>
        </w:rPr>
        <w:t>5-2</w:t>
      </w:r>
      <w:r>
        <w:rPr>
          <w:rStyle w:val="apple-converted-space"/>
          <w:rFonts w:hint="cs"/>
          <w:color w:val="000000"/>
          <w:sz w:val="30"/>
          <w:rtl/>
        </w:rPr>
        <w:tab/>
      </w:r>
      <w:r w:rsidR="0081365E">
        <w:rPr>
          <w:rStyle w:val="apple-converted-space"/>
          <w:rFonts w:hint="cs"/>
          <w:color w:val="000000"/>
          <w:sz w:val="30"/>
          <w:rtl/>
        </w:rPr>
        <w:t xml:space="preserve">ويقول </w:t>
      </w:r>
      <w:r>
        <w:rPr>
          <w:rStyle w:val="apple-converted-space"/>
          <w:rFonts w:hint="cs"/>
          <w:color w:val="000000"/>
          <w:sz w:val="30"/>
          <w:rtl/>
        </w:rPr>
        <w:t xml:space="preserve">صاحب البلاغ </w:t>
      </w:r>
      <w:r w:rsidR="0081365E">
        <w:rPr>
          <w:rStyle w:val="apple-converted-space"/>
          <w:rFonts w:hint="cs"/>
          <w:color w:val="000000"/>
          <w:sz w:val="30"/>
          <w:rtl/>
        </w:rPr>
        <w:t>إ</w:t>
      </w:r>
      <w:r>
        <w:rPr>
          <w:rStyle w:val="apple-converted-space"/>
          <w:rFonts w:hint="cs"/>
          <w:color w:val="000000"/>
          <w:sz w:val="30"/>
          <w:rtl/>
        </w:rPr>
        <w:t xml:space="preserve">نه إذا كانت السلطات تحتَج بالاعتبارات الأمنية كذريعة لرفض </w:t>
      </w:r>
      <w:r w:rsidR="0081365E">
        <w:rPr>
          <w:rStyle w:val="apple-converted-space"/>
          <w:rFonts w:hint="cs"/>
          <w:color w:val="000000"/>
          <w:sz w:val="30"/>
          <w:rtl/>
        </w:rPr>
        <w:t xml:space="preserve">تنظيم </w:t>
      </w:r>
      <w:r>
        <w:rPr>
          <w:rStyle w:val="apple-converted-space"/>
          <w:rFonts w:hint="cs"/>
          <w:color w:val="000000"/>
          <w:sz w:val="30"/>
          <w:rtl/>
        </w:rPr>
        <w:t>التظاهرة الجماهيرية في المكان أو الطريق الذي اقترحه منظم</w:t>
      </w:r>
      <w:r w:rsidR="0081365E">
        <w:rPr>
          <w:rStyle w:val="apple-converted-space"/>
          <w:rFonts w:hint="cs"/>
          <w:color w:val="000000"/>
          <w:sz w:val="30"/>
          <w:rtl/>
        </w:rPr>
        <w:t>و</w:t>
      </w:r>
      <w:r>
        <w:rPr>
          <w:rStyle w:val="apple-converted-space"/>
          <w:rFonts w:hint="cs"/>
          <w:color w:val="000000"/>
          <w:sz w:val="30"/>
          <w:rtl/>
        </w:rPr>
        <w:t xml:space="preserve"> التجمع، فيجب عليها، بموجب المادة 12 من القانون المذكور، اقتراح مكان بديل للتجمع. وقد يؤدي </w:t>
      </w:r>
      <w:r w:rsidR="0081365E">
        <w:rPr>
          <w:rStyle w:val="apple-converted-space"/>
          <w:rFonts w:hint="cs"/>
          <w:color w:val="000000"/>
          <w:sz w:val="30"/>
          <w:rtl/>
        </w:rPr>
        <w:t>الأخذ ب</w:t>
      </w:r>
      <w:r>
        <w:rPr>
          <w:rStyle w:val="apple-converted-space"/>
          <w:rFonts w:hint="cs"/>
          <w:color w:val="000000"/>
          <w:sz w:val="30"/>
          <w:rtl/>
        </w:rPr>
        <w:t xml:space="preserve">تأويل مختلف </w:t>
      </w:r>
      <w:r w:rsidR="0081365E">
        <w:rPr>
          <w:rStyle w:val="apple-converted-space"/>
          <w:rFonts w:hint="cs"/>
          <w:color w:val="000000"/>
          <w:sz w:val="30"/>
          <w:rtl/>
        </w:rPr>
        <w:t xml:space="preserve">- </w:t>
      </w:r>
      <w:r>
        <w:rPr>
          <w:rStyle w:val="apple-converted-space"/>
          <w:rFonts w:hint="cs"/>
          <w:color w:val="000000"/>
          <w:sz w:val="30"/>
          <w:rtl/>
        </w:rPr>
        <w:t>مثل إلقاء عبء</w:t>
      </w:r>
      <w:r w:rsidR="00437B2E">
        <w:rPr>
          <w:rStyle w:val="apple-converted-space"/>
          <w:rFonts w:hint="cs"/>
          <w:color w:val="000000"/>
          <w:sz w:val="30"/>
          <w:rtl/>
        </w:rPr>
        <w:t xml:space="preserve"> </w:t>
      </w:r>
      <w:r>
        <w:rPr>
          <w:rStyle w:val="apple-converted-space"/>
          <w:rFonts w:hint="cs"/>
          <w:color w:val="000000"/>
          <w:sz w:val="30"/>
          <w:rtl/>
        </w:rPr>
        <w:t xml:space="preserve">تحديد مكان بديل على عاتق المنظمين </w:t>
      </w:r>
      <w:r w:rsidR="0081365E">
        <w:rPr>
          <w:rStyle w:val="apple-converted-space"/>
          <w:rFonts w:hint="cs"/>
          <w:color w:val="000000"/>
          <w:sz w:val="30"/>
          <w:rtl/>
        </w:rPr>
        <w:t>-</w:t>
      </w:r>
      <w:r>
        <w:rPr>
          <w:rStyle w:val="apple-converted-space"/>
          <w:rFonts w:hint="cs"/>
          <w:color w:val="000000"/>
          <w:sz w:val="30"/>
          <w:rtl/>
        </w:rPr>
        <w:t xml:space="preserve"> إلى استنتاج أن القانون المذكور يفتقر إلى ما يكفي من الوضوح ومن ثم لا يمكن القول إن القيود المفروضة على </w:t>
      </w:r>
      <w:r w:rsidR="0081365E">
        <w:rPr>
          <w:rStyle w:val="apple-converted-space"/>
          <w:rFonts w:hint="cs"/>
          <w:color w:val="000000"/>
          <w:sz w:val="30"/>
          <w:rtl/>
        </w:rPr>
        <w:t>ال</w:t>
      </w:r>
      <w:r>
        <w:rPr>
          <w:rStyle w:val="apple-converted-space"/>
          <w:rFonts w:hint="cs"/>
          <w:color w:val="000000"/>
          <w:sz w:val="30"/>
          <w:rtl/>
        </w:rPr>
        <w:t xml:space="preserve">حق </w:t>
      </w:r>
      <w:r w:rsidR="0081365E">
        <w:rPr>
          <w:rStyle w:val="apple-converted-space"/>
          <w:rFonts w:hint="cs"/>
          <w:color w:val="000000"/>
          <w:sz w:val="30"/>
          <w:rtl/>
        </w:rPr>
        <w:t xml:space="preserve">في </w:t>
      </w:r>
      <w:r>
        <w:rPr>
          <w:rStyle w:val="apple-converted-space"/>
          <w:rFonts w:hint="cs"/>
          <w:color w:val="000000"/>
          <w:sz w:val="30"/>
          <w:rtl/>
        </w:rPr>
        <w:t>حرية التجمع قد طبقت وفقاً للقانون وحسب مقاصد المادة 21 من العهد. ويرى صاحب البلاغ، أن مسؤولية</w:t>
      </w:r>
      <w:r w:rsidR="00437B2E">
        <w:rPr>
          <w:rStyle w:val="apple-converted-space"/>
          <w:rFonts w:hint="cs"/>
          <w:color w:val="000000"/>
          <w:sz w:val="30"/>
          <w:rtl/>
        </w:rPr>
        <w:t xml:space="preserve"> </w:t>
      </w:r>
      <w:r>
        <w:rPr>
          <w:rStyle w:val="apple-converted-space"/>
          <w:rFonts w:hint="cs"/>
          <w:color w:val="000000"/>
          <w:sz w:val="30"/>
          <w:rtl/>
        </w:rPr>
        <w:t xml:space="preserve">اقتراح مكان بديل </w:t>
      </w:r>
      <w:r w:rsidR="0081365E">
        <w:rPr>
          <w:rStyle w:val="apple-converted-space"/>
          <w:rFonts w:hint="cs"/>
          <w:color w:val="000000"/>
          <w:sz w:val="30"/>
          <w:rtl/>
        </w:rPr>
        <w:t xml:space="preserve">لتنظيم </w:t>
      </w:r>
      <w:r>
        <w:rPr>
          <w:rStyle w:val="apple-converted-space"/>
          <w:rFonts w:hint="cs"/>
          <w:color w:val="000000"/>
          <w:sz w:val="30"/>
          <w:rtl/>
        </w:rPr>
        <w:t>التجمع الجماهيري تقع على عاتق السلطات إذا كانت لديها مخاوف بشأن أمن المشاركين.</w:t>
      </w:r>
    </w:p>
    <w:p w:rsidR="006B7E32" w:rsidRDefault="006B7E32" w:rsidP="003E0F44">
      <w:pPr>
        <w:pStyle w:val="SingleTxtGA"/>
        <w:rPr>
          <w:rFonts w:hint="cs"/>
          <w:rtl/>
          <w:lang/>
        </w:rPr>
      </w:pPr>
      <w:r>
        <w:rPr>
          <w:rStyle w:val="apple-converted-space"/>
          <w:rFonts w:hint="cs"/>
          <w:color w:val="000000"/>
          <w:sz w:val="30"/>
          <w:rtl/>
        </w:rPr>
        <w:t>5-3</w:t>
      </w:r>
      <w:r>
        <w:rPr>
          <w:rStyle w:val="apple-converted-space"/>
          <w:rFonts w:hint="cs"/>
          <w:color w:val="000000"/>
          <w:sz w:val="30"/>
          <w:rtl/>
        </w:rPr>
        <w:tab/>
        <w:t>ويشير صاحب البلاغ</w:t>
      </w:r>
      <w:r w:rsidR="0081365E">
        <w:rPr>
          <w:rStyle w:val="apple-converted-space"/>
          <w:rFonts w:hint="cs"/>
          <w:color w:val="000000"/>
          <w:sz w:val="30"/>
          <w:rtl/>
        </w:rPr>
        <w:t>،</w:t>
      </w:r>
      <w:r>
        <w:rPr>
          <w:rStyle w:val="apple-converted-space"/>
          <w:rFonts w:hint="cs"/>
          <w:color w:val="000000"/>
          <w:sz w:val="30"/>
          <w:rtl/>
        </w:rPr>
        <w:t xml:space="preserve"> فيما يخص تعليق الدولة الطرف على </w:t>
      </w:r>
      <w:r w:rsidR="0081365E">
        <w:rPr>
          <w:rStyle w:val="apple-converted-space"/>
          <w:rFonts w:hint="cs"/>
          <w:color w:val="000000"/>
          <w:sz w:val="30"/>
          <w:rtl/>
        </w:rPr>
        <w:t xml:space="preserve">مسألة استنفاد سبل الانتصاف المحلية، إلى </w:t>
      </w:r>
      <w:r>
        <w:rPr>
          <w:rStyle w:val="apple-converted-space"/>
          <w:rFonts w:hint="cs"/>
          <w:color w:val="000000"/>
          <w:sz w:val="30"/>
          <w:rtl/>
        </w:rPr>
        <w:t xml:space="preserve">أن المراجعة القضائية للإجراءات لا تعد </w:t>
      </w:r>
      <w:r>
        <w:rPr>
          <w:rFonts w:hint="cs"/>
          <w:rtl/>
          <w:lang/>
        </w:rPr>
        <w:t>سبيل انتصاف فعالاً لأنها لا</w:t>
      </w:r>
      <w:r w:rsidR="003E0F44">
        <w:rPr>
          <w:rFonts w:hint="eastAsia"/>
          <w:rtl/>
          <w:lang/>
        </w:rPr>
        <w:t> </w:t>
      </w:r>
      <w:r>
        <w:rPr>
          <w:rFonts w:hint="cs"/>
          <w:rtl/>
          <w:lang/>
        </w:rPr>
        <w:t>تكفل</w:t>
      </w:r>
      <w:r w:rsidR="00437B2E">
        <w:rPr>
          <w:rFonts w:hint="cs"/>
          <w:rtl/>
          <w:lang/>
        </w:rPr>
        <w:t xml:space="preserve"> </w:t>
      </w:r>
      <w:r>
        <w:rPr>
          <w:rFonts w:hint="cs"/>
          <w:rtl/>
          <w:lang/>
        </w:rPr>
        <w:t>إعادة النظر في الأسس الموضوعية للقضية قيد الاستئناف من قبل فريق من القضاة (</w:t>
      </w:r>
      <w:r>
        <w:rPr>
          <w:rStyle w:val="apple-converted-space"/>
          <w:rFonts w:hint="cs"/>
          <w:color w:val="000000"/>
          <w:sz w:val="30"/>
          <w:rtl/>
        </w:rPr>
        <w:t xml:space="preserve">رئاسة محكمة مدينة موسكو أو المحكمة العليا). ووفقاً للمادة 381 من قانون الإجراءات المدنية، ينظر قاضي محكمة المراجعة القضائية في هذا الاستئناف ويمكن أن يرفضه دون فحص مستندات ملف القضية. ويمكن للقاضي أن يطلب ملف القضية إذا كان يرى أن الحجج المقدمة مقنعة وأن يحيل القضية، حسب سلطته التقديرية، إلى فريق قضاة من محكمة المراجعة القضائية للنظر فيها. وفي هذا الصدد، يشير صاحب البلاغ إلى قضية مماثلة في عام 2007، حيث استأنف صاحب الشكوى حكماً صادراً عن محكمة يرفض السماح </w:t>
      </w:r>
      <w:r w:rsidR="0081365E">
        <w:rPr>
          <w:rStyle w:val="apple-converted-space"/>
          <w:rFonts w:hint="cs"/>
          <w:color w:val="000000"/>
          <w:sz w:val="30"/>
          <w:rtl/>
        </w:rPr>
        <w:t xml:space="preserve">بتنظيم </w:t>
      </w:r>
      <w:r>
        <w:rPr>
          <w:rStyle w:val="apple-converted-space"/>
          <w:rFonts w:hint="cs"/>
          <w:color w:val="000000"/>
          <w:sz w:val="30"/>
          <w:rtl/>
        </w:rPr>
        <w:t xml:space="preserve">تجمع حاشد يهدف إلى الدعوة إلى التسامح مع الأقليات الجنسية، غير أن قاضي المحكمة العليا استنتج أيضاً أن الرفض قانوني لأنه كان من غير الممكن ضمان سلامة المشاركين وقرر عدم مراجعة القضية. ولأن قضية صاحب البلاغ تتعلق بظروف مشابهة، </w:t>
      </w:r>
      <w:r w:rsidR="00FA4F13">
        <w:rPr>
          <w:rStyle w:val="apple-converted-space"/>
          <w:rFonts w:hint="cs"/>
          <w:color w:val="000000"/>
          <w:sz w:val="30"/>
          <w:rtl/>
        </w:rPr>
        <w:t xml:space="preserve">فهو </w:t>
      </w:r>
      <w:r>
        <w:rPr>
          <w:rStyle w:val="apple-converted-space"/>
          <w:rFonts w:hint="cs"/>
          <w:color w:val="000000"/>
          <w:sz w:val="30"/>
          <w:rtl/>
        </w:rPr>
        <w:t xml:space="preserve">يؤكد أن الاستئناف عن طريق المراجعة القضائية أمر </w:t>
      </w:r>
      <w:r>
        <w:rPr>
          <w:rFonts w:hint="cs"/>
          <w:rtl/>
          <w:lang/>
        </w:rPr>
        <w:t>عديم الجدوى وغير فعال.</w:t>
      </w:r>
    </w:p>
    <w:p w:rsidR="006B7E32" w:rsidRDefault="006B7E32" w:rsidP="00605F1C">
      <w:pPr>
        <w:pStyle w:val="SingleTxtGA"/>
        <w:rPr>
          <w:rStyle w:val="apple-converted-space"/>
          <w:rFonts w:hint="cs"/>
          <w:color w:val="000000"/>
          <w:sz w:val="30"/>
          <w:rtl/>
        </w:rPr>
      </w:pPr>
      <w:r>
        <w:rPr>
          <w:rFonts w:hint="cs"/>
          <w:rtl/>
          <w:lang/>
        </w:rPr>
        <w:t>5-4</w:t>
      </w:r>
      <w:r>
        <w:rPr>
          <w:rFonts w:hint="cs"/>
          <w:rtl/>
          <w:lang/>
        </w:rPr>
        <w:tab/>
        <w:t xml:space="preserve">ويطلب صاحب البلاغ أيضاً إلى اللجنة أن تضع في الحسبان </w:t>
      </w:r>
      <w:r>
        <w:rPr>
          <w:rStyle w:val="apple-converted-space"/>
          <w:rFonts w:hint="cs"/>
          <w:color w:val="000000"/>
          <w:sz w:val="30"/>
          <w:rtl/>
        </w:rPr>
        <w:t xml:space="preserve">السوابق القضائية الصادرة عن المحكمة الأوروبية لحقوق الإنسان </w:t>
      </w:r>
      <w:r w:rsidR="00FA4F13">
        <w:rPr>
          <w:rStyle w:val="apple-converted-space"/>
          <w:rFonts w:hint="cs"/>
          <w:color w:val="000000"/>
          <w:sz w:val="30"/>
          <w:rtl/>
        </w:rPr>
        <w:t xml:space="preserve">فيما يتعلق </w:t>
      </w:r>
      <w:r>
        <w:rPr>
          <w:rStyle w:val="apple-converted-space"/>
          <w:rFonts w:hint="cs"/>
          <w:color w:val="000000"/>
          <w:sz w:val="30"/>
          <w:rtl/>
        </w:rPr>
        <w:t xml:space="preserve">بعدم فعالية إجراءات المراجعة القضائية نظراً لأن أسس إبطال الأحكام النهائية الصادرة عن المحاكم الدنيا غير واضحة في قانون الإجراءات المدنية، كما أن الإجراء ليس متاحاً </w:t>
      </w:r>
      <w:r w:rsidR="00FA4F13">
        <w:rPr>
          <w:rStyle w:val="apple-converted-space"/>
          <w:rFonts w:hint="cs"/>
          <w:color w:val="000000"/>
          <w:sz w:val="30"/>
          <w:rtl/>
        </w:rPr>
        <w:t xml:space="preserve">بصورة </w:t>
      </w:r>
      <w:r>
        <w:rPr>
          <w:rStyle w:val="apple-converted-space"/>
          <w:rFonts w:hint="cs"/>
          <w:color w:val="000000"/>
          <w:sz w:val="30"/>
          <w:rtl/>
        </w:rPr>
        <w:t xml:space="preserve">مباشرة لأصحاب الشكاوى. وإضافة إلى ذلك، يلاحظ صاحب البلاغ قلق اللجنة، بعد النظر في التقرير الدوري السادس الذي قدمه الاتحاد الروسي بموجب العهد، فيما يخص التمييز المنهجي الذي يتعرض له الأفراد </w:t>
      </w:r>
      <w:r w:rsidR="00C37F30">
        <w:rPr>
          <w:rStyle w:val="apple-converted-space"/>
          <w:rFonts w:hint="cs"/>
          <w:color w:val="000000"/>
          <w:sz w:val="30"/>
          <w:rtl/>
        </w:rPr>
        <w:t xml:space="preserve">في الدولة الطرف بسبب </w:t>
      </w:r>
      <w:r>
        <w:rPr>
          <w:rStyle w:val="apple-converted-space"/>
          <w:rFonts w:hint="cs"/>
          <w:color w:val="000000"/>
          <w:sz w:val="30"/>
          <w:rtl/>
        </w:rPr>
        <w:t>ميولهم الجنسية</w:t>
      </w:r>
      <w:r w:rsidR="00C37F30">
        <w:rPr>
          <w:rStyle w:val="apple-converted-space"/>
          <w:rFonts w:hint="cs"/>
          <w:color w:val="000000"/>
          <w:sz w:val="30"/>
          <w:rtl/>
        </w:rPr>
        <w:t>،</w:t>
      </w:r>
      <w:r>
        <w:rPr>
          <w:rStyle w:val="apple-converted-space"/>
          <w:rFonts w:hint="cs"/>
          <w:color w:val="000000"/>
          <w:sz w:val="30"/>
          <w:rtl/>
        </w:rPr>
        <w:t xml:space="preserve"> بما في ذلك </w:t>
      </w:r>
      <w:r>
        <w:rPr>
          <w:rFonts w:hint="cs"/>
          <w:rtl/>
        </w:rPr>
        <w:t xml:space="preserve">التحامل من جانب المسؤولين العامين </w:t>
      </w:r>
      <w:r w:rsidR="00C37F30">
        <w:rPr>
          <w:rFonts w:hint="cs"/>
          <w:rtl/>
        </w:rPr>
        <w:t>(</w:t>
      </w:r>
      <w:r w:rsidRPr="00007C2A">
        <w:t>CCPR/C/RUS/CO/6</w:t>
      </w:r>
      <w:r w:rsidR="00605F1C">
        <w:rPr>
          <w:rStyle w:val="apple-converted-space"/>
          <w:rFonts w:hint="cs"/>
          <w:color w:val="000000"/>
          <w:sz w:val="30"/>
          <w:rtl/>
        </w:rPr>
        <w:t>، و</w:t>
      </w:r>
      <w:r w:rsidR="00605F1C" w:rsidRPr="00007C2A">
        <w:t>Corr.1</w:t>
      </w:r>
      <w:r w:rsidR="00CB019C">
        <w:rPr>
          <w:rStyle w:val="apple-converted-space"/>
          <w:rFonts w:hint="cs"/>
          <w:color w:val="000000"/>
          <w:sz w:val="30"/>
          <w:rtl/>
        </w:rPr>
        <w:t>، الفقرة 27</w:t>
      </w:r>
      <w:r w:rsidR="00C37F30">
        <w:rPr>
          <w:rStyle w:val="apple-converted-space"/>
          <w:rFonts w:hint="cs"/>
          <w:color w:val="000000"/>
          <w:sz w:val="30"/>
          <w:rtl/>
        </w:rPr>
        <w:t>).</w:t>
      </w:r>
    </w:p>
    <w:p w:rsidR="006B7E32" w:rsidRDefault="006B7E32" w:rsidP="002347AE">
      <w:pPr>
        <w:pStyle w:val="SingleTxtGA"/>
        <w:rPr>
          <w:rStyle w:val="apple-converted-space"/>
          <w:rFonts w:hint="cs"/>
          <w:color w:val="000000"/>
          <w:sz w:val="30"/>
          <w:rtl/>
        </w:rPr>
      </w:pPr>
      <w:r>
        <w:rPr>
          <w:rStyle w:val="apple-converted-space"/>
          <w:rFonts w:hint="cs"/>
          <w:color w:val="000000"/>
          <w:sz w:val="30"/>
          <w:rtl/>
        </w:rPr>
        <w:t>5-5</w:t>
      </w:r>
      <w:r>
        <w:rPr>
          <w:rStyle w:val="apple-converted-space"/>
          <w:rFonts w:hint="cs"/>
          <w:color w:val="000000"/>
          <w:sz w:val="30"/>
          <w:rtl/>
        </w:rPr>
        <w:tab/>
        <w:t>وقدم صاحب البلاغ في 2 كانون الأول/ديسمبر 2009 معلومات إضافية. و</w:t>
      </w:r>
      <w:r w:rsidR="00CB019C">
        <w:rPr>
          <w:rStyle w:val="apple-converted-space"/>
          <w:rFonts w:hint="cs"/>
          <w:color w:val="000000"/>
          <w:sz w:val="30"/>
          <w:rtl/>
        </w:rPr>
        <w:t xml:space="preserve">هو </w:t>
      </w:r>
      <w:r>
        <w:rPr>
          <w:rStyle w:val="apple-converted-space"/>
          <w:rFonts w:hint="cs"/>
          <w:color w:val="000000"/>
          <w:sz w:val="30"/>
          <w:rtl/>
        </w:rPr>
        <w:t>يوجه الانتباه خاصة إلى الحكم الصادر عن المحكمة الأوروبية</w:t>
      </w:r>
      <w:r w:rsidR="00437B2E">
        <w:rPr>
          <w:rStyle w:val="apple-converted-space"/>
          <w:rFonts w:hint="cs"/>
          <w:color w:val="000000"/>
          <w:sz w:val="30"/>
          <w:rtl/>
        </w:rPr>
        <w:t xml:space="preserve"> </w:t>
      </w:r>
      <w:r>
        <w:rPr>
          <w:rStyle w:val="apple-converted-space"/>
          <w:rFonts w:hint="cs"/>
          <w:color w:val="000000"/>
          <w:sz w:val="30"/>
          <w:rtl/>
        </w:rPr>
        <w:t>لحقوق الإنسان بشأن</w:t>
      </w:r>
      <w:r w:rsidR="00437B2E">
        <w:rPr>
          <w:rStyle w:val="apple-converted-space"/>
          <w:rFonts w:hint="cs"/>
          <w:color w:val="000000"/>
          <w:sz w:val="30"/>
          <w:rtl/>
        </w:rPr>
        <w:t xml:space="preserve"> </w:t>
      </w:r>
      <w:r>
        <w:rPr>
          <w:rStyle w:val="apple-converted-space"/>
          <w:rFonts w:hint="cs"/>
          <w:color w:val="000000"/>
          <w:sz w:val="30"/>
          <w:rtl/>
        </w:rPr>
        <w:t xml:space="preserve">قضية </w:t>
      </w:r>
      <w:proofErr w:type="spellStart"/>
      <w:r w:rsidRPr="00D13E59">
        <w:rPr>
          <w:rStyle w:val="apple-converted-space"/>
          <w:rFonts w:hint="cs"/>
          <w:i/>
          <w:iCs/>
          <w:color w:val="000000"/>
          <w:sz w:val="30"/>
          <w:rtl/>
        </w:rPr>
        <w:t>مارتينتس</w:t>
      </w:r>
      <w:proofErr w:type="spellEnd"/>
      <w:r w:rsidRPr="00D13E59">
        <w:rPr>
          <w:rStyle w:val="apple-converted-space"/>
          <w:rFonts w:hint="cs"/>
          <w:i/>
          <w:iCs/>
          <w:color w:val="000000"/>
          <w:sz w:val="30"/>
          <w:rtl/>
        </w:rPr>
        <w:t xml:space="preserve"> ضد روسيا</w:t>
      </w:r>
      <w:r>
        <w:rPr>
          <w:rStyle w:val="apple-converted-space"/>
          <w:rFonts w:hint="cs"/>
          <w:color w:val="000000"/>
          <w:sz w:val="30"/>
          <w:rtl/>
        </w:rPr>
        <w:t>، التي ق</w:t>
      </w:r>
      <w:r w:rsidR="002347AE">
        <w:rPr>
          <w:rStyle w:val="apple-converted-space"/>
          <w:rFonts w:hint="cs"/>
          <w:color w:val="000000"/>
          <w:sz w:val="30"/>
          <w:rtl/>
        </w:rPr>
        <w:t>ي</w:t>
      </w:r>
      <w:r>
        <w:rPr>
          <w:rStyle w:val="apple-converted-space"/>
          <w:rFonts w:hint="cs"/>
          <w:color w:val="000000"/>
          <w:sz w:val="30"/>
          <w:rtl/>
        </w:rPr>
        <w:t xml:space="preserve">مت المحكمة الأوروبية من خلاله فعالية إجراءات المراجعة القضائية المعمول بها في الدولة الطرف </w:t>
      </w:r>
      <w:r w:rsidR="00CB019C">
        <w:rPr>
          <w:rStyle w:val="apple-converted-space"/>
          <w:rFonts w:hint="cs"/>
          <w:color w:val="000000"/>
          <w:sz w:val="30"/>
          <w:rtl/>
        </w:rPr>
        <w:t xml:space="preserve">منذ </w:t>
      </w:r>
      <w:r>
        <w:rPr>
          <w:rStyle w:val="apple-converted-space"/>
          <w:rFonts w:hint="cs"/>
          <w:color w:val="000000"/>
          <w:sz w:val="30"/>
          <w:rtl/>
        </w:rPr>
        <w:t>7 كانون الثاني/يناير 2008</w:t>
      </w:r>
      <w:r w:rsidR="003E0F44">
        <w:rPr>
          <w:rStyle w:val="apple-converted-space"/>
          <w:rFonts w:hint="cs"/>
          <w:color w:val="000000"/>
          <w:sz w:val="30"/>
          <w:rtl/>
        </w:rPr>
        <w:t>.</w:t>
      </w:r>
      <w:r>
        <w:rPr>
          <w:rStyle w:val="apple-converted-space"/>
          <w:rFonts w:hint="cs"/>
          <w:color w:val="000000"/>
          <w:sz w:val="30"/>
          <w:rtl/>
        </w:rPr>
        <w:t xml:space="preserve"> وخلصت </w:t>
      </w:r>
      <w:r w:rsidR="00CB019C">
        <w:rPr>
          <w:rStyle w:val="apple-converted-space"/>
          <w:rFonts w:hint="cs"/>
          <w:color w:val="000000"/>
          <w:sz w:val="30"/>
          <w:rtl/>
        </w:rPr>
        <w:t xml:space="preserve">المحكمة </w:t>
      </w:r>
      <w:r>
        <w:rPr>
          <w:rStyle w:val="apple-converted-space"/>
          <w:rFonts w:hint="cs"/>
          <w:color w:val="000000"/>
          <w:sz w:val="30"/>
          <w:rtl/>
        </w:rPr>
        <w:t xml:space="preserve">إلى أن إجراءات المراجعة القضائية في الدولة الطرف لا يمكن اعتبارها سبيل انتصاف محلياً يجب استنفاده بموجب المادة 35 من الاتفاقية الأوروبية لحقوق الإنسان قبل تقديم طلب </w:t>
      </w:r>
      <w:r w:rsidR="00CB019C">
        <w:rPr>
          <w:rStyle w:val="apple-converted-space"/>
          <w:rFonts w:hint="cs"/>
          <w:color w:val="000000"/>
          <w:sz w:val="30"/>
          <w:rtl/>
        </w:rPr>
        <w:t xml:space="preserve">إلى </w:t>
      </w:r>
      <w:r>
        <w:rPr>
          <w:rStyle w:val="apple-converted-space"/>
          <w:rFonts w:hint="cs"/>
          <w:color w:val="000000"/>
          <w:sz w:val="30"/>
          <w:rtl/>
        </w:rPr>
        <w:t xml:space="preserve">المحكمة، لأنه يمكن </w:t>
      </w:r>
      <w:r w:rsidR="00CB019C">
        <w:rPr>
          <w:rStyle w:val="apple-converted-space"/>
          <w:rFonts w:hint="cs"/>
          <w:color w:val="000000"/>
          <w:sz w:val="30"/>
          <w:rtl/>
        </w:rPr>
        <w:t xml:space="preserve">مباشرة </w:t>
      </w:r>
      <w:r>
        <w:rPr>
          <w:rStyle w:val="apple-converted-space"/>
          <w:rFonts w:hint="cs"/>
          <w:color w:val="000000"/>
          <w:sz w:val="30"/>
          <w:rtl/>
        </w:rPr>
        <w:t xml:space="preserve">إجراءات المراجعة القضائية فيما يتعلق بالأحكام الملزمة قانوناً </w:t>
      </w:r>
      <w:r>
        <w:rPr>
          <w:rFonts w:hint="cs"/>
          <w:rtl/>
          <w:lang/>
        </w:rPr>
        <w:t xml:space="preserve">من خلال هيئات </w:t>
      </w:r>
      <w:r w:rsidR="00CB019C">
        <w:rPr>
          <w:rFonts w:hint="cs"/>
          <w:rtl/>
          <w:lang/>
        </w:rPr>
        <w:t xml:space="preserve">قضائية </w:t>
      </w:r>
      <w:r>
        <w:rPr>
          <w:rFonts w:hint="cs"/>
          <w:rtl/>
          <w:lang/>
        </w:rPr>
        <w:t>متعددة، وقد يترتب على ذلك إحالة القضية من هيئة إلى أخرى لفترة غير محددة</w:t>
      </w:r>
      <w:r w:rsidR="0030682C">
        <w:rPr>
          <w:rStyle w:val="FootnoteReference"/>
          <w:rtl/>
          <w:lang/>
        </w:rPr>
        <w:t>(</w:t>
      </w:r>
      <w:r w:rsidR="0030682C">
        <w:rPr>
          <w:rStyle w:val="FootnoteReference"/>
          <w:rtl/>
          <w:lang/>
        </w:rPr>
        <w:footnoteReference w:id="3"/>
      </w:r>
      <w:r w:rsidR="0030682C">
        <w:rPr>
          <w:rStyle w:val="FootnoteReference"/>
          <w:rtl/>
          <w:lang/>
        </w:rPr>
        <w:t>)</w:t>
      </w:r>
      <w:r>
        <w:rPr>
          <w:rFonts w:hint="cs"/>
          <w:rtl/>
          <w:lang/>
        </w:rPr>
        <w:t>.</w:t>
      </w:r>
      <w:r>
        <w:rPr>
          <w:rStyle w:val="apple-converted-space"/>
          <w:rFonts w:hint="cs"/>
          <w:color w:val="000000"/>
          <w:sz w:val="30"/>
          <w:rtl/>
        </w:rPr>
        <w:t xml:space="preserve"> </w:t>
      </w:r>
    </w:p>
    <w:p w:rsidR="006B7E32" w:rsidRPr="002347AE" w:rsidRDefault="002347AE" w:rsidP="002347AE">
      <w:pPr>
        <w:pStyle w:val="H23GA"/>
        <w:rPr>
          <w:rStyle w:val="apple-converted-space"/>
          <w:rFonts w:hint="cs"/>
          <w:color w:val="000000"/>
          <w:sz w:val="30"/>
          <w:rtl/>
        </w:rPr>
      </w:pPr>
      <w:r>
        <w:rPr>
          <w:rStyle w:val="apple-converted-space"/>
          <w:rFonts w:hint="cs"/>
          <w:color w:val="000000"/>
          <w:sz w:val="30"/>
          <w:rtl/>
        </w:rPr>
        <w:tab/>
      </w:r>
      <w:r>
        <w:rPr>
          <w:rStyle w:val="apple-converted-space"/>
          <w:rFonts w:hint="cs"/>
          <w:color w:val="000000"/>
          <w:sz w:val="30"/>
          <w:rtl/>
        </w:rPr>
        <w:tab/>
      </w:r>
      <w:r w:rsidR="006B7E32" w:rsidRPr="002347AE">
        <w:rPr>
          <w:rStyle w:val="apple-converted-space"/>
          <w:rFonts w:hint="cs"/>
          <w:color w:val="000000"/>
          <w:sz w:val="30"/>
          <w:rtl/>
        </w:rPr>
        <w:t>الملاحظات الإضافية للدولة الطرف</w:t>
      </w:r>
    </w:p>
    <w:p w:rsidR="006B7E32" w:rsidRDefault="006B7E32" w:rsidP="0030682C">
      <w:pPr>
        <w:pStyle w:val="SingleTxtGA"/>
        <w:rPr>
          <w:rStyle w:val="apple-converted-space"/>
          <w:rFonts w:hint="cs"/>
          <w:color w:val="000000"/>
          <w:sz w:val="30"/>
          <w:rtl/>
          <w:lang/>
        </w:rPr>
      </w:pPr>
      <w:r>
        <w:rPr>
          <w:rStyle w:val="apple-converted-space"/>
          <w:rFonts w:hint="cs"/>
          <w:color w:val="000000"/>
          <w:sz w:val="30"/>
          <w:rtl/>
        </w:rPr>
        <w:t>6-1</w:t>
      </w:r>
      <w:r>
        <w:rPr>
          <w:rStyle w:val="apple-converted-space"/>
          <w:rFonts w:hint="cs"/>
          <w:color w:val="000000"/>
          <w:sz w:val="30"/>
          <w:rtl/>
        </w:rPr>
        <w:tab/>
        <w:t>في 29 أيلول/سبتمبر 2010</w:t>
      </w:r>
      <w:r w:rsidR="003E0F44">
        <w:rPr>
          <w:rStyle w:val="apple-converted-space"/>
          <w:rFonts w:hint="cs"/>
          <w:color w:val="000000"/>
          <w:sz w:val="30"/>
          <w:rtl/>
        </w:rPr>
        <w:t>،</w:t>
      </w:r>
      <w:r>
        <w:rPr>
          <w:rStyle w:val="apple-converted-space"/>
          <w:rFonts w:hint="cs"/>
          <w:color w:val="000000"/>
          <w:sz w:val="30"/>
          <w:rtl/>
        </w:rPr>
        <w:t xml:space="preserve"> </w:t>
      </w:r>
      <w:r>
        <w:rPr>
          <w:rFonts w:hint="cs"/>
          <w:rtl/>
          <w:lang/>
        </w:rPr>
        <w:t xml:space="preserve">أعادت الدولة الطرف </w:t>
      </w:r>
      <w:r w:rsidR="000859A5">
        <w:rPr>
          <w:rFonts w:hint="cs"/>
          <w:rtl/>
          <w:lang/>
        </w:rPr>
        <w:t xml:space="preserve">عرض </w:t>
      </w:r>
      <w:r>
        <w:rPr>
          <w:rStyle w:val="apple-converted-space"/>
          <w:rFonts w:hint="cs"/>
          <w:color w:val="000000"/>
          <w:sz w:val="30"/>
          <w:rtl/>
          <w:lang/>
        </w:rPr>
        <w:t xml:space="preserve">وقائع القضية والإجراءات التي </w:t>
      </w:r>
      <w:r w:rsidR="000859A5">
        <w:rPr>
          <w:rStyle w:val="apple-converted-space"/>
          <w:rFonts w:hint="cs"/>
          <w:color w:val="000000"/>
          <w:sz w:val="30"/>
          <w:rtl/>
          <w:lang/>
        </w:rPr>
        <w:t xml:space="preserve">لجأ إليها </w:t>
      </w:r>
      <w:r>
        <w:rPr>
          <w:rStyle w:val="apple-converted-space"/>
          <w:rFonts w:hint="cs"/>
          <w:color w:val="000000"/>
          <w:sz w:val="30"/>
          <w:rtl/>
          <w:lang/>
        </w:rPr>
        <w:t xml:space="preserve">صاحب البلاغ على الصعيد المحلي. </w:t>
      </w:r>
      <w:r w:rsidR="000859A5">
        <w:rPr>
          <w:rStyle w:val="apple-converted-space"/>
          <w:rFonts w:hint="cs"/>
          <w:color w:val="000000"/>
          <w:sz w:val="30"/>
          <w:rtl/>
          <w:lang/>
        </w:rPr>
        <w:t xml:space="preserve">وكررت الدولة الطرف قولها إن </w:t>
      </w:r>
      <w:r>
        <w:rPr>
          <w:rStyle w:val="apple-converted-space"/>
          <w:rFonts w:hint="cs"/>
          <w:color w:val="000000"/>
          <w:sz w:val="30"/>
          <w:rtl/>
          <w:lang/>
        </w:rPr>
        <w:t xml:space="preserve">دعوى صاحب البلاغ بموجب المادة 21 من العهد لا أساس لها </w:t>
      </w:r>
      <w:r w:rsidR="000859A5">
        <w:rPr>
          <w:rStyle w:val="apple-converted-space"/>
          <w:rFonts w:hint="cs"/>
          <w:color w:val="000000"/>
          <w:sz w:val="30"/>
          <w:rtl/>
          <w:lang/>
        </w:rPr>
        <w:t xml:space="preserve">وإن قيوداً مماثلة </w:t>
      </w:r>
      <w:r>
        <w:rPr>
          <w:rStyle w:val="apple-converted-space"/>
          <w:rFonts w:hint="cs"/>
          <w:color w:val="000000"/>
          <w:sz w:val="30"/>
          <w:rtl/>
          <w:lang/>
        </w:rPr>
        <w:t>بشأن التمتع بالحق في التجمع السلمي، كما هي واردة في هذه المادة، منصوص عليها أيضاً في المادة</w:t>
      </w:r>
      <w:r w:rsidR="0030682C">
        <w:rPr>
          <w:rStyle w:val="apple-converted-space"/>
          <w:rFonts w:hint="eastAsia"/>
          <w:color w:val="000000"/>
          <w:sz w:val="30"/>
          <w:rtl/>
          <w:lang/>
        </w:rPr>
        <w:t> </w:t>
      </w:r>
      <w:r>
        <w:rPr>
          <w:rStyle w:val="apple-converted-space"/>
          <w:rFonts w:hint="cs"/>
          <w:color w:val="000000"/>
          <w:sz w:val="30"/>
          <w:rtl/>
          <w:lang/>
        </w:rPr>
        <w:t xml:space="preserve">55 من الدستور والمادة 8 من القانون الاتحادي </w:t>
      </w:r>
      <w:r>
        <w:rPr>
          <w:rStyle w:val="apple-converted-space"/>
          <w:rFonts w:hint="cs"/>
          <w:color w:val="000000"/>
          <w:sz w:val="30"/>
          <w:rtl/>
        </w:rPr>
        <w:t xml:space="preserve">المتعلق بالتظاهرات الجماهيرية. </w:t>
      </w:r>
      <w:r>
        <w:rPr>
          <w:rStyle w:val="apple-converted-space"/>
          <w:rFonts w:hint="cs"/>
          <w:color w:val="000000"/>
          <w:sz w:val="30"/>
          <w:rtl/>
          <w:lang/>
        </w:rPr>
        <w:t>وت</w:t>
      </w:r>
      <w:r w:rsidR="000859A5">
        <w:rPr>
          <w:rStyle w:val="apple-converted-space"/>
          <w:rFonts w:hint="cs"/>
          <w:color w:val="000000"/>
          <w:sz w:val="30"/>
          <w:rtl/>
          <w:lang/>
        </w:rPr>
        <w:t>ُ</w:t>
      </w:r>
      <w:r>
        <w:rPr>
          <w:rStyle w:val="apple-converted-space"/>
          <w:rFonts w:hint="cs"/>
          <w:color w:val="000000"/>
          <w:sz w:val="30"/>
          <w:rtl/>
          <w:lang/>
        </w:rPr>
        <w:t>ذك</w:t>
      </w:r>
      <w:r w:rsidR="000859A5">
        <w:rPr>
          <w:rStyle w:val="apple-converted-space"/>
          <w:rFonts w:hint="cs"/>
          <w:color w:val="000000"/>
          <w:sz w:val="30"/>
          <w:rtl/>
          <w:lang/>
        </w:rPr>
        <w:t>ّ</w:t>
      </w:r>
      <w:r>
        <w:rPr>
          <w:rStyle w:val="apple-converted-space"/>
          <w:rFonts w:hint="cs"/>
          <w:color w:val="000000"/>
          <w:sz w:val="30"/>
          <w:rtl/>
          <w:lang/>
        </w:rPr>
        <w:t xml:space="preserve">ر الدولة الطرف بأن المادة 8 من هذا القانون تنص على أنه يمكن </w:t>
      </w:r>
      <w:r w:rsidR="000859A5">
        <w:rPr>
          <w:rStyle w:val="apple-converted-space"/>
          <w:rFonts w:hint="cs"/>
          <w:color w:val="000000"/>
          <w:sz w:val="30"/>
          <w:rtl/>
          <w:lang/>
        </w:rPr>
        <w:t xml:space="preserve">تنظيم </w:t>
      </w:r>
      <w:r>
        <w:rPr>
          <w:rStyle w:val="apple-converted-space"/>
          <w:rFonts w:hint="cs"/>
          <w:color w:val="000000"/>
          <w:sz w:val="30"/>
          <w:rtl/>
          <w:lang/>
        </w:rPr>
        <w:t>تظاهرة جماهيرية في أي مكان مناسب ل</w:t>
      </w:r>
      <w:r w:rsidR="000859A5">
        <w:rPr>
          <w:rStyle w:val="apple-converted-space"/>
          <w:rFonts w:hint="cs"/>
          <w:color w:val="000000"/>
          <w:sz w:val="30"/>
          <w:rtl/>
          <w:lang/>
        </w:rPr>
        <w:t xml:space="preserve">لغرض المتوخى من التظاهرة شريطة </w:t>
      </w:r>
      <w:r>
        <w:rPr>
          <w:rStyle w:val="apple-converted-space"/>
          <w:rFonts w:hint="cs"/>
          <w:color w:val="000000"/>
          <w:sz w:val="30"/>
          <w:rtl/>
          <w:lang/>
        </w:rPr>
        <w:t xml:space="preserve">ألا يعرض </w:t>
      </w:r>
      <w:r w:rsidR="000859A5">
        <w:rPr>
          <w:rStyle w:val="apple-converted-space"/>
          <w:rFonts w:hint="cs"/>
          <w:color w:val="000000"/>
          <w:sz w:val="30"/>
          <w:rtl/>
          <w:lang/>
        </w:rPr>
        <w:t xml:space="preserve">تنظيم </w:t>
      </w:r>
      <w:r>
        <w:rPr>
          <w:rStyle w:val="apple-converted-space"/>
          <w:rFonts w:hint="cs"/>
          <w:color w:val="000000"/>
          <w:sz w:val="30"/>
          <w:rtl/>
          <w:lang/>
        </w:rPr>
        <w:t xml:space="preserve">تلك التظاهرة أمن المشاركين للخطر. وفي هذا الصدد، تؤكد الدولة الطرف أن قرار نائب </w:t>
      </w:r>
      <w:r w:rsidR="00513663">
        <w:rPr>
          <w:rStyle w:val="apple-converted-space"/>
          <w:rFonts w:hint="cs"/>
          <w:color w:val="000000"/>
          <w:sz w:val="30"/>
          <w:rtl/>
          <w:lang/>
        </w:rPr>
        <w:t xml:space="preserve">مدير </w:t>
      </w:r>
      <w:r>
        <w:rPr>
          <w:rFonts w:hint="cs"/>
          <w:rtl/>
        </w:rPr>
        <w:t>المقاطعة الإدارية المركزية لموسكو</w:t>
      </w:r>
      <w:r>
        <w:rPr>
          <w:rStyle w:val="apple-converted-space"/>
          <w:rFonts w:hint="cs"/>
          <w:color w:val="000000"/>
          <w:sz w:val="30"/>
          <w:rtl/>
          <w:lang/>
        </w:rPr>
        <w:t xml:space="preserve"> يستند إلى مراعاة الجانب الأمني </w:t>
      </w:r>
      <w:r>
        <w:rPr>
          <w:rFonts w:hint="cs"/>
          <w:rtl/>
          <w:lang/>
        </w:rPr>
        <w:t>المذكور أعلاه</w:t>
      </w:r>
      <w:r>
        <w:rPr>
          <w:rStyle w:val="apple-converted-space"/>
          <w:rFonts w:hint="cs"/>
          <w:color w:val="000000"/>
          <w:sz w:val="30"/>
          <w:rtl/>
          <w:lang/>
        </w:rPr>
        <w:t xml:space="preserve">. </w:t>
      </w:r>
    </w:p>
    <w:p w:rsidR="006B7E32" w:rsidRDefault="006B7E32" w:rsidP="00513663">
      <w:pPr>
        <w:pStyle w:val="SingleTxtGA"/>
        <w:rPr>
          <w:rStyle w:val="apple-converted-space"/>
          <w:rFonts w:hint="cs"/>
          <w:color w:val="000000"/>
          <w:sz w:val="30"/>
          <w:rtl/>
          <w:lang/>
        </w:rPr>
      </w:pPr>
      <w:r>
        <w:rPr>
          <w:rStyle w:val="apple-converted-space"/>
          <w:rFonts w:hint="cs"/>
          <w:color w:val="000000"/>
          <w:sz w:val="30"/>
          <w:rtl/>
          <w:lang/>
        </w:rPr>
        <w:t>6-2</w:t>
      </w:r>
      <w:r>
        <w:rPr>
          <w:rStyle w:val="apple-converted-space"/>
          <w:rFonts w:hint="cs"/>
          <w:color w:val="000000"/>
          <w:sz w:val="30"/>
          <w:rtl/>
          <w:lang/>
        </w:rPr>
        <w:tab/>
        <w:t xml:space="preserve">كما </w:t>
      </w:r>
      <w:r w:rsidR="00513663">
        <w:rPr>
          <w:rStyle w:val="apple-converted-space"/>
          <w:rFonts w:hint="cs"/>
          <w:color w:val="000000"/>
          <w:sz w:val="30"/>
          <w:rtl/>
          <w:lang/>
        </w:rPr>
        <w:t xml:space="preserve">تكرر </w:t>
      </w:r>
      <w:r>
        <w:rPr>
          <w:rStyle w:val="apple-converted-space"/>
          <w:rFonts w:hint="cs"/>
          <w:color w:val="000000"/>
          <w:sz w:val="30"/>
          <w:rtl/>
          <w:lang/>
        </w:rPr>
        <w:t xml:space="preserve">الدولة الطرف </w:t>
      </w:r>
      <w:r w:rsidR="00513663">
        <w:rPr>
          <w:rStyle w:val="apple-converted-space"/>
          <w:rFonts w:hint="cs"/>
          <w:color w:val="000000"/>
          <w:sz w:val="30"/>
          <w:rtl/>
          <w:lang/>
        </w:rPr>
        <w:t xml:space="preserve">قولها إن </w:t>
      </w:r>
      <w:r>
        <w:rPr>
          <w:rStyle w:val="apple-converted-space"/>
          <w:rFonts w:hint="cs"/>
          <w:color w:val="000000"/>
          <w:sz w:val="30"/>
          <w:rtl/>
          <w:lang/>
        </w:rPr>
        <w:t xml:space="preserve">صاحب البلاغ </w:t>
      </w:r>
      <w:r>
        <w:rPr>
          <w:rFonts w:hint="cs"/>
          <w:rtl/>
          <w:lang/>
        </w:rPr>
        <w:t>لم يستنفد جميع سبل الانتصاف المحلية المتاحة في إطار إجراءات المراجعة القضائية، وعليه، فإن هذا البلاغ غير مقبول بموج</w:t>
      </w:r>
      <w:r w:rsidR="002347AE">
        <w:rPr>
          <w:rFonts w:hint="cs"/>
          <w:rtl/>
          <w:lang/>
        </w:rPr>
        <w:t>ب الفقرة 2</w:t>
      </w:r>
      <w:r>
        <w:rPr>
          <w:rFonts w:hint="cs"/>
          <w:rtl/>
          <w:lang/>
        </w:rPr>
        <w:t>(ب) من المادة 5 من البروتوكول الاختياري الملحق بالعهد</w:t>
      </w:r>
      <w:r>
        <w:rPr>
          <w:rStyle w:val="apple-converted-space"/>
          <w:rFonts w:hint="cs"/>
          <w:color w:val="000000"/>
          <w:sz w:val="30"/>
          <w:rtl/>
          <w:lang/>
        </w:rPr>
        <w:t>.</w:t>
      </w:r>
    </w:p>
    <w:p w:rsidR="006B7E32" w:rsidRDefault="006B7E32" w:rsidP="002347AE">
      <w:pPr>
        <w:pStyle w:val="SingleTxtGA"/>
        <w:rPr>
          <w:rStyle w:val="apple-converted-space"/>
          <w:rFonts w:hint="cs"/>
          <w:color w:val="000000"/>
          <w:sz w:val="30"/>
          <w:rtl/>
        </w:rPr>
      </w:pPr>
      <w:r>
        <w:rPr>
          <w:rStyle w:val="apple-converted-space"/>
          <w:rFonts w:hint="cs"/>
          <w:color w:val="000000"/>
          <w:sz w:val="30"/>
          <w:rtl/>
          <w:lang/>
        </w:rPr>
        <w:t>6-3</w:t>
      </w:r>
      <w:r>
        <w:rPr>
          <w:rStyle w:val="apple-converted-space"/>
          <w:rFonts w:hint="cs"/>
          <w:color w:val="000000"/>
          <w:sz w:val="30"/>
          <w:rtl/>
          <w:lang/>
        </w:rPr>
        <w:tab/>
        <w:t xml:space="preserve">وتضيف الدولة الطرف أن صاحب البلاغ أساء استعمال الحق في تقديم البلاغ، لأن المسألة </w:t>
      </w:r>
      <w:r w:rsidR="00513663">
        <w:rPr>
          <w:rStyle w:val="apple-converted-space"/>
          <w:rFonts w:hint="cs"/>
          <w:color w:val="000000"/>
          <w:sz w:val="30"/>
          <w:rtl/>
          <w:lang/>
        </w:rPr>
        <w:t xml:space="preserve">نفسها </w:t>
      </w:r>
      <w:r>
        <w:rPr>
          <w:rStyle w:val="apple-converted-space"/>
          <w:rFonts w:hint="cs"/>
          <w:color w:val="000000"/>
          <w:sz w:val="30"/>
          <w:rtl/>
          <w:lang/>
        </w:rPr>
        <w:t xml:space="preserve">هي قيد البحث </w:t>
      </w:r>
      <w:r w:rsidR="00513663">
        <w:rPr>
          <w:rStyle w:val="apple-converted-space"/>
          <w:rFonts w:hint="cs"/>
          <w:color w:val="000000"/>
          <w:sz w:val="30"/>
          <w:rtl/>
          <w:lang/>
        </w:rPr>
        <w:t xml:space="preserve">في إطار </w:t>
      </w:r>
      <w:r>
        <w:rPr>
          <w:rStyle w:val="apple-converted-space"/>
          <w:rFonts w:hint="cs"/>
          <w:color w:val="000000"/>
          <w:sz w:val="30"/>
          <w:rtl/>
          <w:lang/>
        </w:rPr>
        <w:t xml:space="preserve">إجراء آخر </w:t>
      </w:r>
      <w:r w:rsidR="00513663">
        <w:rPr>
          <w:rStyle w:val="apple-converted-space"/>
          <w:rFonts w:hint="cs"/>
          <w:color w:val="000000"/>
          <w:sz w:val="30"/>
          <w:rtl/>
          <w:lang/>
        </w:rPr>
        <w:t>من إجراءات ا</w:t>
      </w:r>
      <w:r>
        <w:rPr>
          <w:rStyle w:val="apple-converted-space"/>
          <w:rFonts w:hint="cs"/>
          <w:color w:val="000000"/>
          <w:sz w:val="30"/>
          <w:rtl/>
          <w:lang/>
        </w:rPr>
        <w:t>لتحقيق الدولي أو التسوية الدولية. وبوجه خاص، توجه الدولة الطرف الانتباه إلى أن صاحب البلاغ قدم</w:t>
      </w:r>
      <w:r w:rsidR="00513663">
        <w:rPr>
          <w:rStyle w:val="apple-converted-space"/>
          <w:rFonts w:hint="cs"/>
          <w:color w:val="000000"/>
          <w:sz w:val="30"/>
          <w:rtl/>
          <w:lang/>
        </w:rPr>
        <w:t>،</w:t>
      </w:r>
      <w:r>
        <w:rPr>
          <w:rStyle w:val="apple-converted-space"/>
          <w:rFonts w:hint="cs"/>
          <w:color w:val="000000"/>
          <w:sz w:val="30"/>
          <w:rtl/>
          <w:lang/>
        </w:rPr>
        <w:t xml:space="preserve"> في 29 كانون الثاني/يناير 2007 و14 شباط/فبراير 2</w:t>
      </w:r>
      <w:r w:rsidR="00513663">
        <w:rPr>
          <w:rStyle w:val="apple-converted-space"/>
          <w:rFonts w:hint="cs"/>
          <w:color w:val="000000"/>
          <w:sz w:val="30"/>
          <w:rtl/>
          <w:lang/>
        </w:rPr>
        <w:t xml:space="preserve">008 و10 آذار/مارس 2009، طلبات </w:t>
      </w:r>
      <w:r>
        <w:rPr>
          <w:rStyle w:val="apple-converted-space"/>
          <w:rFonts w:hint="cs"/>
          <w:color w:val="000000"/>
          <w:sz w:val="30"/>
          <w:rtl/>
          <w:lang/>
        </w:rPr>
        <w:t xml:space="preserve">إلى المحكمة الأوروبية لحقوق الإنسان تتعلق برفض السلطات السماح له </w:t>
      </w:r>
      <w:r w:rsidR="00513663">
        <w:rPr>
          <w:rStyle w:val="apple-converted-space"/>
          <w:rFonts w:hint="cs"/>
          <w:color w:val="000000"/>
          <w:sz w:val="30"/>
          <w:rtl/>
          <w:lang/>
        </w:rPr>
        <w:t xml:space="preserve">بتنظيم </w:t>
      </w:r>
      <w:r>
        <w:rPr>
          <w:rStyle w:val="apple-converted-space"/>
          <w:rFonts w:hint="cs"/>
          <w:color w:val="000000"/>
          <w:sz w:val="30"/>
          <w:rtl/>
          <w:lang/>
        </w:rPr>
        <w:t xml:space="preserve">تظاهرة جماهيرية </w:t>
      </w:r>
      <w:r>
        <w:rPr>
          <w:rFonts w:hint="cs"/>
          <w:rtl/>
        </w:rPr>
        <w:t>(</w:t>
      </w:r>
      <w:r>
        <w:rPr>
          <w:rFonts w:hint="cs"/>
          <w:rtl/>
          <w:lang/>
        </w:rPr>
        <w:t>مسيرات الاستعراض الفخري للمثليين</w:t>
      </w:r>
      <w:r w:rsidRPr="00F44EDF">
        <w:rPr>
          <w:rFonts w:hint="cs"/>
          <w:rtl/>
        </w:rPr>
        <w:t>)</w:t>
      </w:r>
      <w:r>
        <w:rPr>
          <w:rStyle w:val="apple-converted-space"/>
          <w:rFonts w:hint="cs"/>
          <w:color w:val="000000"/>
          <w:sz w:val="30"/>
          <w:rtl/>
        </w:rPr>
        <w:t xml:space="preserve"> واعتصام خاص بحقوق الأقليات الجنسية</w:t>
      </w:r>
      <w:r w:rsidR="006F77AD">
        <w:rPr>
          <w:rStyle w:val="FootnoteReference"/>
          <w:color w:val="000000"/>
          <w:sz w:val="30"/>
          <w:rtl/>
        </w:rPr>
        <w:t>(</w:t>
      </w:r>
      <w:r w:rsidR="006F77AD">
        <w:rPr>
          <w:rStyle w:val="FootnoteReference"/>
          <w:color w:val="000000"/>
          <w:sz w:val="30"/>
          <w:rtl/>
        </w:rPr>
        <w:footnoteReference w:id="4"/>
      </w:r>
      <w:r w:rsidR="006F77AD">
        <w:rPr>
          <w:rStyle w:val="FootnoteReference"/>
          <w:color w:val="000000"/>
          <w:sz w:val="30"/>
          <w:rtl/>
        </w:rPr>
        <w:t>)</w:t>
      </w:r>
      <w:r>
        <w:rPr>
          <w:rStyle w:val="apple-converted-space"/>
          <w:rFonts w:hint="cs"/>
          <w:color w:val="000000"/>
          <w:sz w:val="30"/>
          <w:rtl/>
        </w:rPr>
        <w:t xml:space="preserve">. وفي هذا الصدد، تؤكد </w:t>
      </w:r>
      <w:r w:rsidR="00513663">
        <w:rPr>
          <w:rStyle w:val="apple-converted-space"/>
          <w:rFonts w:hint="cs"/>
          <w:color w:val="000000"/>
          <w:sz w:val="30"/>
          <w:rtl/>
        </w:rPr>
        <w:t xml:space="preserve">الدولة الطرف </w:t>
      </w:r>
      <w:r>
        <w:rPr>
          <w:rStyle w:val="apple-converted-space"/>
          <w:rFonts w:hint="cs"/>
          <w:color w:val="000000"/>
          <w:sz w:val="30"/>
          <w:rtl/>
        </w:rPr>
        <w:t xml:space="preserve">أن الشكاوى </w:t>
      </w:r>
      <w:r w:rsidR="00513663">
        <w:rPr>
          <w:rStyle w:val="apple-converted-space"/>
          <w:rFonts w:hint="cs"/>
          <w:color w:val="000000"/>
          <w:sz w:val="30"/>
          <w:rtl/>
        </w:rPr>
        <w:t xml:space="preserve">المقدمة إلى </w:t>
      </w:r>
      <w:r>
        <w:rPr>
          <w:rStyle w:val="apple-converted-space"/>
          <w:rFonts w:hint="cs"/>
          <w:color w:val="000000"/>
          <w:sz w:val="30"/>
          <w:rtl/>
          <w:lang/>
        </w:rPr>
        <w:t xml:space="preserve">المحكمة الأوروبية لحقوق الإنسان </w:t>
      </w:r>
      <w:r w:rsidR="00513663">
        <w:rPr>
          <w:rStyle w:val="apple-converted-space"/>
          <w:rFonts w:hint="cs"/>
          <w:color w:val="000000"/>
          <w:sz w:val="30"/>
          <w:rtl/>
          <w:lang/>
        </w:rPr>
        <w:t xml:space="preserve">وتلك الواردة في هذا </w:t>
      </w:r>
      <w:r>
        <w:rPr>
          <w:rStyle w:val="apple-converted-space"/>
          <w:rFonts w:hint="cs"/>
          <w:color w:val="000000"/>
          <w:sz w:val="30"/>
          <w:rtl/>
          <w:lang/>
        </w:rPr>
        <w:t xml:space="preserve">البلاغ متماثلة في طبيعتها لأن الشخص </w:t>
      </w:r>
      <w:r w:rsidR="00513663">
        <w:rPr>
          <w:rStyle w:val="apple-converted-space"/>
          <w:rFonts w:hint="cs"/>
          <w:color w:val="000000"/>
          <w:sz w:val="30"/>
          <w:rtl/>
          <w:lang/>
        </w:rPr>
        <w:t xml:space="preserve">نفسه </w:t>
      </w:r>
      <w:r>
        <w:rPr>
          <w:rStyle w:val="apple-converted-space"/>
          <w:rFonts w:hint="cs"/>
          <w:color w:val="000000"/>
          <w:sz w:val="30"/>
          <w:rtl/>
          <w:lang/>
        </w:rPr>
        <w:t>هو الذي قدمها وهي تتعلق بح</w:t>
      </w:r>
      <w:r w:rsidR="000E78FD">
        <w:rPr>
          <w:rStyle w:val="apple-converted-space"/>
          <w:rFonts w:hint="cs"/>
          <w:color w:val="000000"/>
          <w:sz w:val="30"/>
          <w:rtl/>
          <w:lang/>
        </w:rPr>
        <w:t xml:space="preserve">قوق أشخاص </w:t>
      </w:r>
      <w:r>
        <w:rPr>
          <w:rStyle w:val="apple-converted-space"/>
          <w:rFonts w:hint="cs"/>
          <w:color w:val="000000"/>
          <w:sz w:val="30"/>
          <w:rtl/>
          <w:lang/>
        </w:rPr>
        <w:t xml:space="preserve">ينتمون </w:t>
      </w:r>
      <w:r w:rsidR="000E78FD">
        <w:rPr>
          <w:rStyle w:val="apple-converted-space"/>
          <w:rFonts w:hint="cs"/>
          <w:color w:val="000000"/>
          <w:sz w:val="30"/>
          <w:rtl/>
          <w:lang/>
        </w:rPr>
        <w:t>ل</w:t>
      </w:r>
      <w:r>
        <w:rPr>
          <w:rStyle w:val="apple-converted-space"/>
          <w:rFonts w:hint="cs"/>
          <w:color w:val="000000"/>
          <w:sz w:val="30"/>
          <w:rtl/>
          <w:lang/>
        </w:rPr>
        <w:t xml:space="preserve">لمجموعة </w:t>
      </w:r>
      <w:r w:rsidR="000E78FD">
        <w:rPr>
          <w:rStyle w:val="apple-converted-space"/>
          <w:rFonts w:hint="cs"/>
          <w:color w:val="000000"/>
          <w:sz w:val="30"/>
          <w:rtl/>
          <w:lang/>
        </w:rPr>
        <w:t xml:space="preserve">نفسها </w:t>
      </w:r>
      <w:r>
        <w:rPr>
          <w:rStyle w:val="apple-converted-space"/>
          <w:rFonts w:hint="cs"/>
          <w:color w:val="000000"/>
          <w:sz w:val="30"/>
          <w:rtl/>
          <w:lang/>
        </w:rPr>
        <w:t>(المنتمون للأقليات الجنسية) وبتصرفات السلطة المحلية</w:t>
      </w:r>
      <w:r w:rsidR="003E72E5">
        <w:rPr>
          <w:rStyle w:val="apple-converted-space"/>
          <w:rFonts w:hint="cs"/>
          <w:color w:val="000000"/>
          <w:sz w:val="30"/>
          <w:rtl/>
          <w:lang/>
        </w:rPr>
        <w:t xml:space="preserve"> نفسها</w:t>
      </w:r>
      <w:r>
        <w:rPr>
          <w:rStyle w:val="apple-converted-space"/>
          <w:rFonts w:hint="cs"/>
          <w:color w:val="000000"/>
          <w:sz w:val="30"/>
          <w:rtl/>
          <w:lang/>
        </w:rPr>
        <w:t>.</w:t>
      </w:r>
      <w:r>
        <w:rPr>
          <w:rStyle w:val="apple-converted-space"/>
          <w:rFonts w:hint="cs"/>
          <w:color w:val="000000"/>
          <w:sz w:val="30"/>
          <w:rtl/>
        </w:rPr>
        <w:t xml:space="preserve"> </w:t>
      </w:r>
    </w:p>
    <w:p w:rsidR="006B7E32" w:rsidRDefault="006B7E32" w:rsidP="006B7E32">
      <w:pPr>
        <w:pStyle w:val="H23GA"/>
        <w:rPr>
          <w:rStyle w:val="apple-converted-space"/>
          <w:rFonts w:hint="cs"/>
          <w:b w:val="0"/>
          <w:bCs w:val="0"/>
          <w:color w:val="000000"/>
          <w:sz w:val="30"/>
          <w:rtl/>
        </w:rPr>
      </w:pPr>
      <w:r>
        <w:rPr>
          <w:rFonts w:hint="cs"/>
          <w:rtl/>
          <w:lang/>
        </w:rPr>
        <w:tab/>
      </w:r>
      <w:r>
        <w:rPr>
          <w:rFonts w:hint="cs"/>
          <w:rtl/>
          <w:lang/>
        </w:rPr>
        <w:tab/>
      </w:r>
      <w:r w:rsidRPr="002537FA">
        <w:rPr>
          <w:rFonts w:hint="cs"/>
          <w:rtl/>
          <w:lang/>
        </w:rPr>
        <w:t>تعليقات إضافية من صاحب البلاغ</w:t>
      </w:r>
      <w:r w:rsidRPr="002537FA">
        <w:t> </w:t>
      </w:r>
    </w:p>
    <w:p w:rsidR="006B7E32" w:rsidRDefault="006B7E32" w:rsidP="003E72E5">
      <w:pPr>
        <w:pStyle w:val="SingleTxtGA"/>
        <w:rPr>
          <w:rStyle w:val="apple-converted-space"/>
          <w:rFonts w:hint="cs"/>
          <w:color w:val="000000"/>
          <w:sz w:val="30"/>
          <w:rtl/>
        </w:rPr>
      </w:pPr>
      <w:r w:rsidRPr="006B7E32">
        <w:rPr>
          <w:rStyle w:val="apple-converted-space"/>
          <w:rFonts w:hint="cs"/>
          <w:color w:val="000000"/>
          <w:sz w:val="30"/>
          <w:rtl/>
        </w:rPr>
        <w:t>7-1</w:t>
      </w:r>
      <w:r>
        <w:rPr>
          <w:rStyle w:val="apple-converted-space"/>
          <w:rFonts w:hint="cs"/>
          <w:b/>
          <w:bCs/>
          <w:color w:val="000000"/>
          <w:sz w:val="30"/>
          <w:rtl/>
        </w:rPr>
        <w:tab/>
      </w:r>
      <w:r w:rsidRPr="006B7E32">
        <w:rPr>
          <w:rStyle w:val="apple-converted-space"/>
          <w:rFonts w:hint="cs"/>
          <w:color w:val="000000"/>
          <w:sz w:val="30"/>
          <w:rtl/>
        </w:rPr>
        <w:t>في</w:t>
      </w:r>
      <w:r>
        <w:rPr>
          <w:rStyle w:val="apple-converted-space"/>
          <w:rFonts w:hint="cs"/>
          <w:color w:val="000000"/>
          <w:sz w:val="30"/>
          <w:rtl/>
        </w:rPr>
        <w:t xml:space="preserve"> </w:t>
      </w:r>
      <w:r w:rsidRPr="006B7E32">
        <w:rPr>
          <w:rStyle w:val="apple-converted-space"/>
          <w:rFonts w:hint="cs"/>
          <w:color w:val="000000"/>
          <w:sz w:val="30"/>
          <w:rtl/>
        </w:rPr>
        <w:t>1</w:t>
      </w:r>
      <w:r w:rsidRPr="002537FA">
        <w:rPr>
          <w:rStyle w:val="apple-converted-space"/>
          <w:rFonts w:hint="cs"/>
          <w:color w:val="000000"/>
          <w:sz w:val="30"/>
          <w:rtl/>
        </w:rPr>
        <w:t xml:space="preserve"> تشرين الثاني/نوفمبر 2010، </w:t>
      </w:r>
      <w:r w:rsidR="003E72E5">
        <w:rPr>
          <w:rStyle w:val="apple-converted-space"/>
          <w:rFonts w:hint="cs"/>
          <w:color w:val="000000"/>
          <w:sz w:val="30"/>
          <w:rtl/>
        </w:rPr>
        <w:t xml:space="preserve">أبلغ </w:t>
      </w:r>
      <w:r w:rsidRPr="002537FA">
        <w:rPr>
          <w:rStyle w:val="apple-converted-space"/>
          <w:rFonts w:hint="cs"/>
          <w:color w:val="000000"/>
          <w:sz w:val="30"/>
          <w:rtl/>
        </w:rPr>
        <w:t>صاحب البلاغ</w:t>
      </w:r>
      <w:r>
        <w:rPr>
          <w:rStyle w:val="apple-converted-space"/>
          <w:rFonts w:hint="cs"/>
          <w:b/>
          <w:bCs/>
          <w:color w:val="000000"/>
          <w:sz w:val="30"/>
          <w:rtl/>
        </w:rPr>
        <w:t xml:space="preserve"> </w:t>
      </w:r>
      <w:r w:rsidRPr="002537FA">
        <w:rPr>
          <w:rStyle w:val="apple-converted-space"/>
          <w:rFonts w:hint="cs"/>
          <w:color w:val="000000"/>
          <w:sz w:val="30"/>
          <w:rtl/>
        </w:rPr>
        <w:t>اللجنة</w:t>
      </w:r>
      <w:r>
        <w:rPr>
          <w:rStyle w:val="apple-converted-space"/>
          <w:rFonts w:hint="cs"/>
          <w:color w:val="000000"/>
          <w:sz w:val="30"/>
          <w:rtl/>
        </w:rPr>
        <w:t xml:space="preserve"> بأن </w:t>
      </w:r>
      <w:r>
        <w:rPr>
          <w:rStyle w:val="apple-converted-space"/>
          <w:rFonts w:hint="cs"/>
          <w:color w:val="000000"/>
          <w:sz w:val="30"/>
          <w:rtl/>
          <w:lang/>
        </w:rPr>
        <w:t>المحكمة الأوروبية لحقوق الإنسان</w:t>
      </w:r>
      <w:r>
        <w:rPr>
          <w:rStyle w:val="apple-converted-space"/>
          <w:rFonts w:hint="cs"/>
          <w:color w:val="000000"/>
          <w:sz w:val="30"/>
          <w:rtl/>
        </w:rPr>
        <w:t xml:space="preserve"> اعتمدت </w:t>
      </w:r>
      <w:r w:rsidR="003E72E5">
        <w:rPr>
          <w:rStyle w:val="apple-converted-space"/>
          <w:rFonts w:hint="cs"/>
          <w:color w:val="000000"/>
          <w:sz w:val="30"/>
          <w:rtl/>
        </w:rPr>
        <w:t xml:space="preserve">في 21 تشرين الأول/أكتوبر 2010 </w:t>
      </w:r>
      <w:r>
        <w:rPr>
          <w:rStyle w:val="apple-converted-space"/>
          <w:rFonts w:hint="cs"/>
          <w:color w:val="000000"/>
          <w:sz w:val="30"/>
          <w:rtl/>
          <w:lang/>
        </w:rPr>
        <w:t xml:space="preserve">حكماً في </w:t>
      </w:r>
      <w:r w:rsidR="003E72E5">
        <w:rPr>
          <w:rStyle w:val="apple-converted-space"/>
          <w:rFonts w:hint="cs"/>
          <w:color w:val="000000"/>
          <w:sz w:val="30"/>
          <w:rtl/>
          <w:lang/>
        </w:rPr>
        <w:t>قضيته</w:t>
      </w:r>
      <w:r w:rsidR="006F77AD">
        <w:rPr>
          <w:rStyle w:val="FootnoteReference"/>
          <w:color w:val="000000"/>
          <w:sz w:val="30"/>
          <w:rtl/>
          <w:lang/>
        </w:rPr>
        <w:t>(</w:t>
      </w:r>
      <w:r w:rsidR="006F77AD">
        <w:rPr>
          <w:rStyle w:val="FootnoteReference"/>
          <w:color w:val="000000"/>
          <w:sz w:val="30"/>
          <w:rtl/>
          <w:lang/>
        </w:rPr>
        <w:footnoteReference w:id="5"/>
      </w:r>
      <w:r w:rsidR="006F77AD">
        <w:rPr>
          <w:rStyle w:val="FootnoteReference"/>
          <w:color w:val="000000"/>
          <w:sz w:val="30"/>
          <w:rtl/>
          <w:lang/>
        </w:rPr>
        <w:t>)</w:t>
      </w:r>
      <w:r>
        <w:rPr>
          <w:rStyle w:val="apple-converted-space"/>
          <w:rFonts w:hint="cs"/>
          <w:color w:val="000000"/>
          <w:sz w:val="30"/>
          <w:rtl/>
          <w:lang/>
        </w:rPr>
        <w:t>، يتعلق برفض السلطات</w:t>
      </w:r>
      <w:r>
        <w:rPr>
          <w:rStyle w:val="apple-converted-space"/>
          <w:rFonts w:hint="cs"/>
          <w:color w:val="000000"/>
          <w:sz w:val="30"/>
          <w:rtl/>
        </w:rPr>
        <w:t xml:space="preserve"> </w:t>
      </w:r>
      <w:r w:rsidRPr="000907CA">
        <w:rPr>
          <w:rStyle w:val="apple-converted-space"/>
          <w:rFonts w:hint="cs"/>
          <w:color w:val="000000"/>
          <w:sz w:val="30"/>
          <w:rtl/>
        </w:rPr>
        <w:t>السماح</w:t>
      </w:r>
      <w:r>
        <w:rPr>
          <w:rStyle w:val="apple-converted-space"/>
          <w:rFonts w:hint="cs"/>
          <w:b/>
          <w:bCs/>
          <w:color w:val="000000"/>
          <w:sz w:val="30"/>
          <w:rtl/>
        </w:rPr>
        <w:t xml:space="preserve"> </w:t>
      </w:r>
      <w:r w:rsidRPr="000907CA">
        <w:rPr>
          <w:rStyle w:val="apple-converted-space"/>
          <w:rFonts w:hint="cs"/>
          <w:color w:val="000000"/>
          <w:sz w:val="30"/>
          <w:rtl/>
        </w:rPr>
        <w:t xml:space="preserve">له </w:t>
      </w:r>
      <w:r w:rsidR="003E72E5">
        <w:rPr>
          <w:rStyle w:val="apple-converted-space"/>
          <w:rFonts w:hint="cs"/>
          <w:color w:val="000000"/>
          <w:sz w:val="30"/>
          <w:rtl/>
        </w:rPr>
        <w:t xml:space="preserve">بتنظيم </w:t>
      </w:r>
      <w:r w:rsidRPr="000907CA">
        <w:rPr>
          <w:rStyle w:val="apple-converted-space"/>
          <w:rFonts w:hint="cs"/>
          <w:color w:val="000000"/>
          <w:sz w:val="30"/>
          <w:rtl/>
        </w:rPr>
        <w:t xml:space="preserve">أحداث </w:t>
      </w:r>
      <w:r w:rsidRPr="003E72E5">
        <w:rPr>
          <w:rStyle w:val="apple-converted-space"/>
          <w:rFonts w:hint="cs"/>
          <w:color w:val="000000"/>
          <w:sz w:val="30"/>
          <w:rtl/>
        </w:rPr>
        <w:t>مماثلة</w:t>
      </w:r>
      <w:r w:rsidR="003E72E5">
        <w:rPr>
          <w:rStyle w:val="apple-converted-space"/>
          <w:rFonts w:hint="cs"/>
          <w:color w:val="000000"/>
          <w:sz w:val="30"/>
          <w:rtl/>
        </w:rPr>
        <w:t xml:space="preserve"> </w:t>
      </w:r>
      <w:r w:rsidRPr="003E72E5">
        <w:rPr>
          <w:rStyle w:val="apple-converted-space"/>
          <w:rFonts w:hint="cs"/>
          <w:color w:val="000000"/>
          <w:sz w:val="30"/>
          <w:rtl/>
        </w:rPr>
        <w:t>للأحداث</w:t>
      </w:r>
      <w:r>
        <w:rPr>
          <w:rStyle w:val="apple-converted-space"/>
          <w:rFonts w:hint="cs"/>
          <w:color w:val="000000"/>
          <w:sz w:val="30"/>
          <w:rtl/>
        </w:rPr>
        <w:t xml:space="preserve"> المذكورة في هذا </w:t>
      </w:r>
      <w:r w:rsidR="003E72E5">
        <w:rPr>
          <w:rStyle w:val="apple-converted-space"/>
          <w:rFonts w:hint="cs"/>
          <w:color w:val="000000"/>
          <w:sz w:val="30"/>
          <w:rtl/>
        </w:rPr>
        <w:t xml:space="preserve">البلاغ </w:t>
      </w:r>
      <w:r>
        <w:rPr>
          <w:rStyle w:val="apple-converted-space"/>
          <w:rFonts w:hint="cs"/>
          <w:color w:val="000000"/>
          <w:sz w:val="30"/>
          <w:rtl/>
        </w:rPr>
        <w:t xml:space="preserve">في </w:t>
      </w:r>
      <w:r w:rsidR="003E72E5">
        <w:rPr>
          <w:rStyle w:val="apple-converted-space"/>
          <w:rFonts w:hint="cs"/>
          <w:color w:val="000000"/>
          <w:sz w:val="30"/>
          <w:rtl/>
        </w:rPr>
        <w:t xml:space="preserve">الأعوام </w:t>
      </w:r>
      <w:r>
        <w:rPr>
          <w:rStyle w:val="apple-converted-space"/>
          <w:rFonts w:hint="cs"/>
          <w:color w:val="000000"/>
          <w:sz w:val="30"/>
          <w:rtl/>
        </w:rPr>
        <w:t xml:space="preserve">2006 و2007 و2008. وفي هذه القضية بالذات، </w:t>
      </w:r>
      <w:r w:rsidR="003E72E5">
        <w:rPr>
          <w:rStyle w:val="apple-converted-space"/>
          <w:rFonts w:hint="cs"/>
          <w:color w:val="000000"/>
          <w:sz w:val="30"/>
          <w:rtl/>
        </w:rPr>
        <w:t xml:space="preserve">رأت </w:t>
      </w:r>
      <w:r>
        <w:rPr>
          <w:rStyle w:val="apple-converted-space"/>
          <w:rFonts w:hint="cs"/>
          <w:color w:val="000000"/>
          <w:sz w:val="30"/>
          <w:rtl/>
        </w:rPr>
        <w:t xml:space="preserve">المحكمة الأوروبية أن هناك انتهاكاً لحقوق صاحب البلاغ بموجب المادة 11 من الاتفاقية الأوروبية لحقوق الإنسان (الحق في التجمع السلمي). </w:t>
      </w:r>
    </w:p>
    <w:p w:rsidR="006B7E32" w:rsidRDefault="006B7E32" w:rsidP="00B5638A">
      <w:pPr>
        <w:pStyle w:val="SingleTxtGA"/>
        <w:rPr>
          <w:rStyle w:val="apple-converted-space"/>
          <w:rFonts w:hint="cs"/>
          <w:color w:val="000000"/>
          <w:sz w:val="30"/>
          <w:rtl/>
        </w:rPr>
      </w:pPr>
      <w:r>
        <w:rPr>
          <w:rStyle w:val="apple-converted-space"/>
          <w:rFonts w:hint="cs"/>
          <w:color w:val="000000"/>
          <w:sz w:val="30"/>
          <w:rtl/>
        </w:rPr>
        <w:t>7-2</w:t>
      </w:r>
      <w:r>
        <w:rPr>
          <w:rStyle w:val="apple-converted-space"/>
          <w:rFonts w:hint="cs"/>
          <w:color w:val="000000"/>
          <w:sz w:val="30"/>
          <w:rtl/>
        </w:rPr>
        <w:tab/>
        <w:t xml:space="preserve">وفي 30 تشرين الثاني/نوفمبر 2010، </w:t>
      </w:r>
      <w:r w:rsidR="001E0C43">
        <w:rPr>
          <w:rStyle w:val="apple-converted-space"/>
          <w:rFonts w:hint="cs"/>
          <w:color w:val="000000"/>
          <w:sz w:val="30"/>
          <w:rtl/>
        </w:rPr>
        <w:t xml:space="preserve">كرّر </w:t>
      </w:r>
      <w:r>
        <w:rPr>
          <w:rStyle w:val="apple-converted-space"/>
          <w:rFonts w:hint="cs"/>
          <w:color w:val="000000"/>
          <w:sz w:val="30"/>
          <w:rtl/>
        </w:rPr>
        <w:t xml:space="preserve">صاحب البلاغ </w:t>
      </w:r>
      <w:r w:rsidR="001E0C43">
        <w:rPr>
          <w:rStyle w:val="apple-converted-space"/>
          <w:rFonts w:hint="cs"/>
          <w:color w:val="000000"/>
          <w:sz w:val="30"/>
          <w:rtl/>
        </w:rPr>
        <w:t xml:space="preserve">قوله إنه </w:t>
      </w:r>
      <w:r>
        <w:rPr>
          <w:rStyle w:val="apple-converted-space"/>
          <w:rFonts w:hint="cs"/>
          <w:color w:val="000000"/>
          <w:sz w:val="30"/>
          <w:rtl/>
        </w:rPr>
        <w:t xml:space="preserve">لا يمكن اعتبار إجراءات المراجعة القضائية سبيل انتصاف فعالاً لأغراض </w:t>
      </w:r>
      <w:proofErr w:type="spellStart"/>
      <w:r>
        <w:rPr>
          <w:rStyle w:val="apple-converted-space"/>
          <w:rFonts w:hint="cs"/>
          <w:color w:val="000000"/>
          <w:sz w:val="30"/>
          <w:rtl/>
        </w:rPr>
        <w:t>المقبولية</w:t>
      </w:r>
      <w:proofErr w:type="spellEnd"/>
      <w:r>
        <w:rPr>
          <w:rStyle w:val="apple-converted-space"/>
          <w:rFonts w:hint="cs"/>
          <w:color w:val="000000"/>
          <w:sz w:val="30"/>
          <w:rtl/>
        </w:rPr>
        <w:t xml:space="preserve">. </w:t>
      </w:r>
      <w:r>
        <w:rPr>
          <w:rFonts w:hint="cs"/>
          <w:rtl/>
          <w:lang/>
        </w:rPr>
        <w:t>وفيما يتعلق بحجة الدولة الطرف</w:t>
      </w:r>
      <w:r>
        <w:rPr>
          <w:rStyle w:val="apple-converted-space"/>
          <w:rFonts w:hint="cs"/>
          <w:color w:val="000000"/>
          <w:sz w:val="30"/>
          <w:rtl/>
          <w:lang/>
        </w:rPr>
        <w:t xml:space="preserve"> بوجوب </w:t>
      </w:r>
      <w:r w:rsidR="001E0C43">
        <w:rPr>
          <w:rStyle w:val="apple-converted-space"/>
          <w:rFonts w:hint="cs"/>
          <w:color w:val="000000"/>
          <w:sz w:val="30"/>
          <w:rtl/>
          <w:lang/>
        </w:rPr>
        <w:t xml:space="preserve">اعتبار هذا </w:t>
      </w:r>
      <w:r>
        <w:rPr>
          <w:rStyle w:val="apple-converted-space"/>
          <w:rFonts w:hint="cs"/>
          <w:color w:val="000000"/>
          <w:sz w:val="30"/>
          <w:rtl/>
          <w:lang/>
        </w:rPr>
        <w:t>البلاغ سوء استعمال للحق في تقديم الشك</w:t>
      </w:r>
      <w:r w:rsidR="001E0C43">
        <w:rPr>
          <w:rStyle w:val="apple-converted-space"/>
          <w:rFonts w:hint="cs"/>
          <w:color w:val="000000"/>
          <w:sz w:val="30"/>
          <w:rtl/>
          <w:lang/>
        </w:rPr>
        <w:t>ا</w:t>
      </w:r>
      <w:r>
        <w:rPr>
          <w:rStyle w:val="apple-converted-space"/>
          <w:rFonts w:hint="cs"/>
          <w:color w:val="000000"/>
          <w:sz w:val="30"/>
          <w:rtl/>
          <w:lang/>
        </w:rPr>
        <w:t xml:space="preserve">وى لأن المسألة </w:t>
      </w:r>
      <w:r w:rsidR="001E0C43">
        <w:rPr>
          <w:rStyle w:val="apple-converted-space"/>
          <w:rFonts w:hint="cs"/>
          <w:color w:val="000000"/>
          <w:sz w:val="30"/>
          <w:rtl/>
          <w:lang/>
        </w:rPr>
        <w:t xml:space="preserve">نفسها كانت موضع دراسة في إطار </w:t>
      </w:r>
      <w:r>
        <w:rPr>
          <w:rStyle w:val="apple-converted-space"/>
          <w:rFonts w:hint="cs"/>
          <w:color w:val="000000"/>
          <w:sz w:val="30"/>
          <w:rtl/>
          <w:lang/>
        </w:rPr>
        <w:t xml:space="preserve">إجراء دولي آخر، </w:t>
      </w:r>
      <w:r w:rsidR="001E0C43">
        <w:rPr>
          <w:rStyle w:val="apple-converted-space"/>
          <w:rFonts w:hint="cs"/>
          <w:color w:val="000000"/>
          <w:sz w:val="30"/>
          <w:rtl/>
          <w:lang/>
        </w:rPr>
        <w:t xml:space="preserve">يرى </w:t>
      </w:r>
      <w:r>
        <w:rPr>
          <w:rStyle w:val="apple-converted-space"/>
          <w:rFonts w:hint="cs"/>
          <w:color w:val="000000"/>
          <w:sz w:val="30"/>
          <w:rtl/>
          <w:lang/>
        </w:rPr>
        <w:t xml:space="preserve">صاحب البلاغ أن </w:t>
      </w:r>
      <w:r w:rsidR="001E0C43">
        <w:rPr>
          <w:rStyle w:val="apple-converted-space"/>
          <w:rFonts w:hint="cs"/>
          <w:color w:val="000000"/>
          <w:sz w:val="30"/>
          <w:rtl/>
          <w:lang/>
        </w:rPr>
        <w:t xml:space="preserve">هذه </w:t>
      </w:r>
      <w:r>
        <w:rPr>
          <w:rStyle w:val="apple-converted-space"/>
          <w:rFonts w:hint="cs"/>
          <w:color w:val="000000"/>
          <w:sz w:val="30"/>
          <w:rtl/>
          <w:lang/>
        </w:rPr>
        <w:t>الشكوى تتعلق بوقائع مختلفة</w:t>
      </w:r>
      <w:r w:rsidR="001E0C43">
        <w:rPr>
          <w:rStyle w:val="apple-converted-space"/>
          <w:rFonts w:hint="cs"/>
          <w:color w:val="000000"/>
          <w:sz w:val="30"/>
          <w:rtl/>
          <w:lang/>
        </w:rPr>
        <w:t xml:space="preserve"> وتستند إليها</w:t>
      </w:r>
      <w:r>
        <w:rPr>
          <w:rStyle w:val="apple-converted-space"/>
          <w:rFonts w:hint="cs"/>
          <w:color w:val="000000"/>
          <w:sz w:val="30"/>
          <w:rtl/>
          <w:lang/>
        </w:rPr>
        <w:t xml:space="preserve">. </w:t>
      </w:r>
      <w:r w:rsidR="001E0C43">
        <w:rPr>
          <w:rStyle w:val="apple-converted-space"/>
          <w:rFonts w:hint="cs"/>
          <w:color w:val="000000"/>
          <w:sz w:val="30"/>
          <w:rtl/>
          <w:lang/>
        </w:rPr>
        <w:t>ف</w:t>
      </w:r>
      <w:r>
        <w:rPr>
          <w:rStyle w:val="apple-converted-space"/>
          <w:rFonts w:hint="cs"/>
          <w:color w:val="000000"/>
          <w:sz w:val="30"/>
          <w:rtl/>
          <w:lang/>
        </w:rPr>
        <w:t xml:space="preserve">الطلبات المقدمة </w:t>
      </w:r>
      <w:r w:rsidR="001E0C43">
        <w:rPr>
          <w:rStyle w:val="apple-converted-space"/>
          <w:rFonts w:hint="cs"/>
          <w:color w:val="000000"/>
          <w:sz w:val="30"/>
          <w:rtl/>
          <w:lang/>
        </w:rPr>
        <w:t xml:space="preserve">إلى </w:t>
      </w:r>
      <w:r>
        <w:rPr>
          <w:rStyle w:val="apple-converted-space"/>
          <w:rFonts w:hint="cs"/>
          <w:color w:val="000000"/>
          <w:sz w:val="30"/>
          <w:rtl/>
          <w:lang/>
        </w:rPr>
        <w:t xml:space="preserve">المحكمة الأوروبية لحقوق الإنسان </w:t>
      </w:r>
      <w:r w:rsidR="001E0C43">
        <w:rPr>
          <w:rStyle w:val="apple-converted-space"/>
          <w:rFonts w:hint="cs"/>
          <w:color w:val="000000"/>
          <w:sz w:val="30"/>
          <w:rtl/>
          <w:lang/>
        </w:rPr>
        <w:t xml:space="preserve">تتعلق بمسألة حظر تنظيم </w:t>
      </w:r>
      <w:r>
        <w:rPr>
          <w:rFonts w:hint="cs"/>
          <w:rtl/>
          <w:lang/>
        </w:rPr>
        <w:t>مسيرات الاستعراض الفخري</w:t>
      </w:r>
      <w:r w:rsidR="001E0C43">
        <w:rPr>
          <w:rFonts w:hint="cs"/>
          <w:rtl/>
          <w:lang/>
        </w:rPr>
        <w:t>،</w:t>
      </w:r>
      <w:r>
        <w:rPr>
          <w:rFonts w:hint="cs"/>
          <w:rtl/>
          <w:lang/>
        </w:rPr>
        <w:t xml:space="preserve"> </w:t>
      </w:r>
      <w:r>
        <w:rPr>
          <w:rStyle w:val="apple-converted-space"/>
          <w:rFonts w:hint="cs"/>
          <w:color w:val="000000"/>
          <w:sz w:val="30"/>
          <w:rtl/>
          <w:lang/>
        </w:rPr>
        <w:t xml:space="preserve">أو الاعتصام </w:t>
      </w:r>
      <w:r w:rsidR="001E0C43">
        <w:rPr>
          <w:rStyle w:val="apple-converted-space"/>
          <w:rFonts w:hint="cs"/>
          <w:color w:val="000000"/>
          <w:sz w:val="30"/>
          <w:rtl/>
          <w:lang/>
        </w:rPr>
        <w:t xml:space="preserve">الذي </w:t>
      </w:r>
      <w:r>
        <w:rPr>
          <w:rStyle w:val="apple-converted-space"/>
          <w:rFonts w:hint="cs"/>
          <w:color w:val="000000"/>
          <w:sz w:val="30"/>
          <w:rtl/>
          <w:lang/>
        </w:rPr>
        <w:t xml:space="preserve">اقترحه صاحب البلاغ كبدائل </w:t>
      </w:r>
      <w:r w:rsidR="003C3338">
        <w:rPr>
          <w:rStyle w:val="apple-converted-space"/>
          <w:rFonts w:hint="cs"/>
          <w:color w:val="000000"/>
          <w:sz w:val="30"/>
          <w:rtl/>
          <w:lang/>
        </w:rPr>
        <w:t>لتلك المسيرات</w:t>
      </w:r>
      <w:r>
        <w:rPr>
          <w:rStyle w:val="apple-converted-space"/>
          <w:rFonts w:hint="cs"/>
          <w:color w:val="000000"/>
          <w:sz w:val="30"/>
          <w:rtl/>
          <w:lang/>
        </w:rPr>
        <w:t xml:space="preserve">، بينما تتعلق الشكوى الحالية بحظر </w:t>
      </w:r>
      <w:r w:rsidR="003C3338">
        <w:rPr>
          <w:rStyle w:val="apple-converted-space"/>
          <w:rFonts w:hint="cs"/>
          <w:color w:val="000000"/>
          <w:sz w:val="30"/>
          <w:rtl/>
          <w:lang/>
        </w:rPr>
        <w:t xml:space="preserve">تنظيم </w:t>
      </w:r>
      <w:r>
        <w:rPr>
          <w:rStyle w:val="apple-converted-space"/>
          <w:rFonts w:hint="cs"/>
          <w:color w:val="000000"/>
          <w:sz w:val="30"/>
          <w:rtl/>
          <w:lang/>
        </w:rPr>
        <w:t xml:space="preserve">اعتصام يحتج على إعدام المثليين والقاصرين في </w:t>
      </w:r>
      <w:r>
        <w:rPr>
          <w:rFonts w:hint="cs"/>
          <w:rtl/>
          <w:lang/>
        </w:rPr>
        <w:t>جمهورية إيران الإسلامية.</w:t>
      </w:r>
      <w:r>
        <w:rPr>
          <w:rStyle w:val="apple-converted-space"/>
          <w:rFonts w:hint="cs"/>
          <w:color w:val="000000"/>
          <w:sz w:val="30"/>
          <w:rtl/>
          <w:lang/>
        </w:rPr>
        <w:t xml:space="preserve"> ولذلك، يرى صاحب البلاغ أن </w:t>
      </w:r>
      <w:r w:rsidR="003C3338">
        <w:rPr>
          <w:rStyle w:val="apple-converted-space"/>
          <w:rFonts w:hint="cs"/>
          <w:color w:val="000000"/>
          <w:sz w:val="30"/>
          <w:rtl/>
          <w:lang/>
        </w:rPr>
        <w:t xml:space="preserve">بلاغه هذا </w:t>
      </w:r>
      <w:r>
        <w:rPr>
          <w:rStyle w:val="apple-converted-space"/>
          <w:rFonts w:hint="cs"/>
          <w:color w:val="000000"/>
          <w:sz w:val="30"/>
          <w:rtl/>
          <w:lang/>
        </w:rPr>
        <w:t xml:space="preserve">ينبغي </w:t>
      </w:r>
      <w:r w:rsidR="00B5638A">
        <w:rPr>
          <w:rStyle w:val="apple-converted-space"/>
          <w:rFonts w:hint="cs"/>
          <w:color w:val="000000"/>
          <w:sz w:val="30"/>
          <w:rtl/>
          <w:lang/>
        </w:rPr>
        <w:t xml:space="preserve">أن يعتبر </w:t>
      </w:r>
      <w:r>
        <w:rPr>
          <w:rStyle w:val="apple-converted-space"/>
          <w:rFonts w:hint="cs"/>
          <w:color w:val="000000"/>
          <w:sz w:val="30"/>
          <w:rtl/>
          <w:lang/>
        </w:rPr>
        <w:t>مقبولاً بموجب المادة 5 من البروتوكول الاختياري الملحق بالعهد.</w:t>
      </w:r>
    </w:p>
    <w:p w:rsidR="006B7E32" w:rsidRDefault="006B7E32" w:rsidP="006B7E32">
      <w:pPr>
        <w:pStyle w:val="H23GA"/>
        <w:rPr>
          <w:rStyle w:val="apple-converted-space"/>
          <w:rFonts w:hint="cs"/>
          <w:b w:val="0"/>
          <w:bCs w:val="0"/>
          <w:color w:val="000000"/>
          <w:sz w:val="30"/>
          <w:rtl/>
        </w:rPr>
      </w:pPr>
      <w:r>
        <w:rPr>
          <w:rFonts w:hint="cs"/>
          <w:rtl/>
          <w:lang/>
        </w:rPr>
        <w:tab/>
      </w:r>
      <w:r>
        <w:rPr>
          <w:rFonts w:hint="cs"/>
          <w:rtl/>
          <w:lang/>
        </w:rPr>
        <w:tab/>
      </w:r>
      <w:r w:rsidRPr="00DE2BD1">
        <w:rPr>
          <w:rFonts w:hint="cs"/>
          <w:rtl/>
          <w:lang/>
        </w:rPr>
        <w:t>المسائل والإجراءات المعروضة على اللجنة</w:t>
      </w:r>
    </w:p>
    <w:p w:rsidR="006B7E32" w:rsidRDefault="006B7E32" w:rsidP="006B7E32">
      <w:pPr>
        <w:pStyle w:val="H4GA"/>
        <w:rPr>
          <w:rStyle w:val="apple-converted-space"/>
          <w:rFonts w:hint="cs"/>
          <w:b/>
          <w:bCs/>
          <w:i w:val="0"/>
          <w:iCs w:val="0"/>
          <w:color w:val="000000"/>
          <w:sz w:val="30"/>
          <w:rtl/>
        </w:rPr>
      </w:pPr>
      <w:r>
        <w:rPr>
          <w:rFonts w:hint="cs"/>
          <w:rtl/>
          <w:lang/>
        </w:rPr>
        <w:tab/>
      </w:r>
      <w:r>
        <w:rPr>
          <w:rFonts w:hint="cs"/>
          <w:rtl/>
          <w:lang/>
        </w:rPr>
        <w:tab/>
      </w:r>
      <w:r w:rsidRPr="00113AA2">
        <w:rPr>
          <w:rFonts w:hint="cs"/>
          <w:rtl/>
          <w:lang/>
        </w:rPr>
        <w:t>النظر في مقبولية</w:t>
      </w:r>
      <w:r w:rsidR="00BA4E9D">
        <w:rPr>
          <w:rFonts w:hint="cs"/>
          <w:rtl/>
          <w:lang/>
        </w:rPr>
        <w:t xml:space="preserve"> البلاغ</w:t>
      </w:r>
    </w:p>
    <w:p w:rsidR="006B7E32" w:rsidRDefault="006B7E32" w:rsidP="00BA4E9D">
      <w:pPr>
        <w:pStyle w:val="SingleTxtGA"/>
        <w:rPr>
          <w:rFonts w:hint="cs"/>
          <w:rtl/>
          <w:lang w:val="fr-CH"/>
        </w:rPr>
      </w:pPr>
      <w:r>
        <w:rPr>
          <w:rFonts w:hint="cs"/>
          <w:rtl/>
          <w:lang w:val="fr-CH"/>
        </w:rPr>
        <w:t>8-1</w:t>
      </w:r>
      <w:r>
        <w:rPr>
          <w:rFonts w:hint="cs"/>
          <w:rtl/>
          <w:lang w:val="fr-CH"/>
        </w:rPr>
        <w:tab/>
      </w:r>
      <w:r w:rsidRPr="0083116F">
        <w:rPr>
          <w:rFonts w:hint="cs"/>
          <w:rtl/>
          <w:lang w:val="fr-CH"/>
        </w:rPr>
        <w:t xml:space="preserve">قبل النظر في أي ادعاءات ترد في </w:t>
      </w:r>
      <w:r w:rsidR="00BA4E9D">
        <w:rPr>
          <w:rFonts w:hint="cs"/>
          <w:rtl/>
          <w:lang w:val="fr-CH"/>
        </w:rPr>
        <w:t>بلاغ ما</w:t>
      </w:r>
      <w:r w:rsidRPr="0083116F">
        <w:rPr>
          <w:rFonts w:hint="cs"/>
          <w:rtl/>
          <w:lang w:val="fr-CH"/>
        </w:rPr>
        <w:t xml:space="preserve">، يجب على اللجنة المعنية بحقوق الإنسان أن تقرر، وفقاً للمادة 93 من نظامها الداخلي، ما إذا كان البلاغ مقبولاً أم </w:t>
      </w:r>
      <w:r w:rsidR="00BA4E9D">
        <w:rPr>
          <w:rFonts w:hint="cs"/>
          <w:rtl/>
          <w:lang w:val="fr-CH"/>
        </w:rPr>
        <w:t xml:space="preserve">لا </w:t>
      </w:r>
      <w:r w:rsidRPr="0083116F">
        <w:rPr>
          <w:rFonts w:hint="cs"/>
          <w:rtl/>
          <w:lang w:val="fr-CH"/>
        </w:rPr>
        <w:t>بموجب البروتوكول الاختياري الملحق بالعهد</w:t>
      </w:r>
      <w:r>
        <w:rPr>
          <w:rFonts w:hint="cs"/>
          <w:rtl/>
          <w:lang w:val="fr-CH"/>
        </w:rPr>
        <w:t>.</w:t>
      </w:r>
    </w:p>
    <w:p w:rsidR="006B7E32" w:rsidRDefault="006B7E32" w:rsidP="007A3BCD">
      <w:pPr>
        <w:pStyle w:val="SingleTxtGA"/>
        <w:rPr>
          <w:rFonts w:hint="cs"/>
          <w:rtl/>
          <w:lang/>
        </w:rPr>
      </w:pPr>
      <w:r>
        <w:rPr>
          <w:rFonts w:hint="cs"/>
          <w:rtl/>
          <w:lang w:val="fr-CH"/>
        </w:rPr>
        <w:t>8-2</w:t>
      </w:r>
      <w:r>
        <w:rPr>
          <w:rFonts w:hint="cs"/>
          <w:rtl/>
          <w:lang w:val="fr-CH"/>
        </w:rPr>
        <w:tab/>
      </w:r>
      <w:r>
        <w:rPr>
          <w:rFonts w:hint="cs"/>
          <w:rtl/>
          <w:lang/>
        </w:rPr>
        <w:t xml:space="preserve">ويجب أن تتحقق اللجنة، وفق ما تقتضيه الفقرة 2(أ) من المادة 5 من البروتوكول الاختياري، </w:t>
      </w:r>
      <w:r w:rsidR="00BA4E9D">
        <w:rPr>
          <w:rFonts w:hint="cs"/>
          <w:rtl/>
          <w:lang/>
        </w:rPr>
        <w:t xml:space="preserve">من أن </w:t>
      </w:r>
      <w:r>
        <w:rPr>
          <w:rFonts w:hint="cs"/>
          <w:rtl/>
          <w:lang/>
        </w:rPr>
        <w:t xml:space="preserve">المسألة نفسها </w:t>
      </w:r>
      <w:r w:rsidR="00BA4E9D">
        <w:rPr>
          <w:rFonts w:hint="cs"/>
          <w:rtl/>
          <w:lang/>
        </w:rPr>
        <w:t xml:space="preserve">ليست </w:t>
      </w:r>
      <w:r>
        <w:rPr>
          <w:rFonts w:hint="cs"/>
          <w:rtl/>
          <w:lang/>
        </w:rPr>
        <w:t xml:space="preserve">قيد البحث في إطار إجراء آخر من إجراءات </w:t>
      </w:r>
      <w:r>
        <w:rPr>
          <w:rFonts w:hint="cs"/>
          <w:rtl/>
        </w:rPr>
        <w:t>التحقيق</w:t>
      </w:r>
      <w:r>
        <w:rPr>
          <w:rFonts w:hint="cs"/>
          <w:rtl/>
          <w:lang/>
        </w:rPr>
        <w:t xml:space="preserve"> الدولي أو التسوية الدولية.</w:t>
      </w:r>
      <w:r>
        <w:rPr>
          <w:rFonts w:hint="cs"/>
          <w:rtl/>
          <w:lang w:val="fr-CH"/>
        </w:rPr>
        <w:t xml:space="preserve"> وفي هذا الصدد، تلاحظ اللجنة </w:t>
      </w:r>
      <w:r>
        <w:rPr>
          <w:rFonts w:hint="cs"/>
          <w:rtl/>
          <w:lang/>
        </w:rPr>
        <w:t xml:space="preserve">حجة الدولة الطرف بأنه في 29 كانون الثاني/يناير 2007 و14 شباط/فبراير 2008 و10 آذار/مارس 2009، </w:t>
      </w:r>
      <w:r w:rsidR="00BA4E9D">
        <w:rPr>
          <w:rFonts w:hint="cs"/>
          <w:rtl/>
          <w:lang/>
        </w:rPr>
        <w:t xml:space="preserve">قدّم </w:t>
      </w:r>
      <w:r>
        <w:rPr>
          <w:rFonts w:hint="cs"/>
          <w:rtl/>
          <w:lang/>
        </w:rPr>
        <w:t xml:space="preserve">صاحب البلاغ طلبات إلى </w:t>
      </w:r>
      <w:r>
        <w:rPr>
          <w:rStyle w:val="apple-converted-space"/>
          <w:rFonts w:hint="cs"/>
          <w:color w:val="000000"/>
          <w:sz w:val="30"/>
          <w:rtl/>
          <w:lang/>
        </w:rPr>
        <w:t xml:space="preserve">المحكمة الأوروبية لحقوق الإنسان فيما يتعلق برفض سلطات الدولة السماح له </w:t>
      </w:r>
      <w:r w:rsidR="00BA4E9D">
        <w:rPr>
          <w:rStyle w:val="apple-converted-space"/>
          <w:rFonts w:hint="cs"/>
          <w:color w:val="000000"/>
          <w:sz w:val="30"/>
          <w:rtl/>
          <w:lang/>
        </w:rPr>
        <w:t xml:space="preserve">بتنظيم </w:t>
      </w:r>
      <w:r>
        <w:rPr>
          <w:rStyle w:val="apple-converted-space"/>
          <w:rFonts w:hint="cs"/>
          <w:color w:val="000000"/>
          <w:sz w:val="30"/>
          <w:rtl/>
          <w:lang/>
        </w:rPr>
        <w:t>أحداث جماهيرية واعتصام خاص بحقوق الأقليات الجنسية و</w:t>
      </w:r>
      <w:r w:rsidR="00BA4E9D">
        <w:rPr>
          <w:rStyle w:val="apple-converted-space"/>
          <w:rFonts w:hint="cs"/>
          <w:color w:val="000000"/>
          <w:sz w:val="30"/>
          <w:rtl/>
          <w:lang/>
        </w:rPr>
        <w:t xml:space="preserve">أنه قد جرى تسجيل تلك الطلبات لدى </w:t>
      </w:r>
      <w:r>
        <w:rPr>
          <w:rStyle w:val="apple-converted-space"/>
          <w:rFonts w:hint="cs"/>
          <w:color w:val="000000"/>
          <w:sz w:val="30"/>
          <w:rtl/>
          <w:lang/>
        </w:rPr>
        <w:t xml:space="preserve">المحكمة الأوروبية لحقوق الإنسان. وتؤكد الدولة الطرف أن الشكاوى </w:t>
      </w:r>
      <w:r w:rsidR="00BA4E9D">
        <w:rPr>
          <w:rStyle w:val="apple-converted-space"/>
          <w:rFonts w:hint="cs"/>
          <w:color w:val="000000"/>
          <w:sz w:val="30"/>
          <w:rtl/>
          <w:lang/>
        </w:rPr>
        <w:t xml:space="preserve">المعروضة على المحكمة الأوروبية </w:t>
      </w:r>
      <w:r>
        <w:rPr>
          <w:rStyle w:val="apple-converted-space"/>
          <w:rFonts w:hint="cs"/>
          <w:color w:val="000000"/>
          <w:sz w:val="30"/>
          <w:rtl/>
          <w:lang/>
        </w:rPr>
        <w:t>و</w:t>
      </w:r>
      <w:r w:rsidR="00BA4E9D">
        <w:rPr>
          <w:rStyle w:val="apple-converted-space"/>
          <w:rFonts w:hint="cs"/>
          <w:color w:val="000000"/>
          <w:sz w:val="30"/>
          <w:rtl/>
          <w:lang/>
        </w:rPr>
        <w:t xml:space="preserve">تلك الواردة في </w:t>
      </w:r>
      <w:r>
        <w:rPr>
          <w:rStyle w:val="apple-converted-space"/>
          <w:rFonts w:hint="cs"/>
          <w:color w:val="000000"/>
          <w:sz w:val="30"/>
          <w:rtl/>
          <w:lang/>
        </w:rPr>
        <w:t xml:space="preserve">البلاغ الحالي متماثلة في طبيعتها لأن </w:t>
      </w:r>
      <w:r w:rsidR="00BA4E9D">
        <w:rPr>
          <w:rStyle w:val="apple-converted-space"/>
          <w:rFonts w:hint="cs"/>
          <w:color w:val="000000"/>
          <w:sz w:val="30"/>
          <w:rtl/>
          <w:lang/>
        </w:rPr>
        <w:t xml:space="preserve">الشخص نفسه </w:t>
      </w:r>
      <w:r>
        <w:rPr>
          <w:rStyle w:val="apple-converted-space"/>
          <w:rFonts w:hint="cs"/>
          <w:color w:val="000000"/>
          <w:sz w:val="30"/>
          <w:rtl/>
          <w:lang/>
        </w:rPr>
        <w:t xml:space="preserve">هو الذي قدمها وهي </w:t>
      </w:r>
      <w:r w:rsidR="007A3BCD">
        <w:rPr>
          <w:rStyle w:val="apple-converted-space"/>
          <w:rFonts w:hint="cs"/>
          <w:color w:val="000000"/>
          <w:sz w:val="30"/>
          <w:rtl/>
          <w:lang/>
        </w:rPr>
        <w:t>ت</w:t>
      </w:r>
      <w:r>
        <w:rPr>
          <w:rStyle w:val="apple-converted-space"/>
          <w:rFonts w:hint="cs"/>
          <w:color w:val="000000"/>
          <w:sz w:val="30"/>
          <w:rtl/>
          <w:lang/>
        </w:rPr>
        <w:t>تعلق بحقوق أشخاص</w:t>
      </w:r>
      <w:r w:rsidR="00437B2E">
        <w:rPr>
          <w:rStyle w:val="apple-converted-space"/>
          <w:rFonts w:hint="cs"/>
          <w:color w:val="000000"/>
          <w:sz w:val="30"/>
          <w:rtl/>
          <w:lang/>
        </w:rPr>
        <w:t xml:space="preserve"> </w:t>
      </w:r>
      <w:r>
        <w:rPr>
          <w:rStyle w:val="apple-converted-space"/>
          <w:rFonts w:hint="cs"/>
          <w:color w:val="000000"/>
          <w:sz w:val="30"/>
          <w:rtl/>
          <w:lang/>
        </w:rPr>
        <w:t>ينتمون لنفس المجموعة (المنتمون للأقليات الجنسية) وتتعلق بتصرفات السلطة المحلية</w:t>
      </w:r>
      <w:r w:rsidR="00BA4E9D">
        <w:rPr>
          <w:rStyle w:val="apple-converted-space"/>
          <w:rFonts w:hint="cs"/>
          <w:color w:val="000000"/>
          <w:sz w:val="30"/>
          <w:rtl/>
          <w:lang/>
        </w:rPr>
        <w:t xml:space="preserve"> نفسها</w:t>
      </w:r>
      <w:r>
        <w:rPr>
          <w:rStyle w:val="apple-converted-space"/>
          <w:rFonts w:hint="cs"/>
          <w:color w:val="000000"/>
          <w:sz w:val="30"/>
          <w:rtl/>
          <w:lang/>
        </w:rPr>
        <w:t>.</w:t>
      </w:r>
      <w:r>
        <w:rPr>
          <w:rStyle w:val="apple-converted-space"/>
          <w:rFonts w:hint="cs"/>
          <w:color w:val="000000"/>
          <w:sz w:val="30"/>
          <w:rtl/>
        </w:rPr>
        <w:t xml:space="preserve"> </w:t>
      </w:r>
      <w:r>
        <w:rPr>
          <w:rFonts w:hint="cs"/>
          <w:rtl/>
          <w:lang/>
        </w:rPr>
        <w:t>وتلاحظ اللجنة كذلك</w:t>
      </w:r>
      <w:r>
        <w:rPr>
          <w:rStyle w:val="apple-converted-space"/>
          <w:rFonts w:hint="cs"/>
          <w:color w:val="000000"/>
          <w:sz w:val="30"/>
          <w:rtl/>
          <w:lang/>
        </w:rPr>
        <w:t xml:space="preserve"> أن توضيحات صاحب البلاغ بشأن الطلبات المقدمة </w:t>
      </w:r>
      <w:r w:rsidR="00BA4E9D">
        <w:rPr>
          <w:rStyle w:val="apple-converted-space"/>
          <w:rFonts w:hint="cs"/>
          <w:color w:val="000000"/>
          <w:sz w:val="30"/>
          <w:rtl/>
          <w:lang/>
        </w:rPr>
        <w:t xml:space="preserve">إلى </w:t>
      </w:r>
      <w:r>
        <w:rPr>
          <w:rStyle w:val="apple-converted-space"/>
          <w:rFonts w:hint="cs"/>
          <w:color w:val="000000"/>
          <w:sz w:val="30"/>
          <w:rtl/>
          <w:lang/>
        </w:rPr>
        <w:t xml:space="preserve">المحكمة الأوروبية لحقوق الإنسان كانت تتعلق بظروف </w:t>
      </w:r>
      <w:proofErr w:type="spellStart"/>
      <w:r w:rsidR="00BA4E9D">
        <w:rPr>
          <w:rStyle w:val="apple-converted-space"/>
          <w:rFonts w:hint="cs"/>
          <w:color w:val="000000"/>
          <w:sz w:val="30"/>
          <w:rtl/>
          <w:lang/>
        </w:rPr>
        <w:t>وقائعية</w:t>
      </w:r>
      <w:proofErr w:type="spellEnd"/>
      <w:r w:rsidR="00BA4E9D">
        <w:rPr>
          <w:rStyle w:val="apple-converted-space"/>
          <w:rFonts w:hint="cs"/>
          <w:color w:val="000000"/>
          <w:sz w:val="30"/>
          <w:rtl/>
          <w:lang/>
        </w:rPr>
        <w:t xml:space="preserve"> </w:t>
      </w:r>
      <w:r>
        <w:rPr>
          <w:rStyle w:val="apple-converted-space"/>
          <w:rFonts w:hint="cs"/>
          <w:color w:val="000000"/>
          <w:sz w:val="30"/>
          <w:rtl/>
          <w:lang/>
        </w:rPr>
        <w:t xml:space="preserve">مختلفة، أي حظر </w:t>
      </w:r>
      <w:r w:rsidR="00BA4E9D">
        <w:rPr>
          <w:rStyle w:val="apple-converted-space"/>
          <w:rFonts w:hint="cs"/>
          <w:color w:val="000000"/>
          <w:sz w:val="30"/>
          <w:rtl/>
          <w:lang/>
        </w:rPr>
        <w:t xml:space="preserve">تنظيم </w:t>
      </w:r>
      <w:r>
        <w:rPr>
          <w:rFonts w:hint="cs"/>
          <w:rtl/>
          <w:lang/>
        </w:rPr>
        <w:t>مسيرات الاستعراض الفخري</w:t>
      </w:r>
      <w:r>
        <w:rPr>
          <w:rStyle w:val="apple-converted-space"/>
          <w:rFonts w:hint="cs"/>
          <w:color w:val="000000"/>
          <w:sz w:val="30"/>
          <w:rtl/>
          <w:lang/>
        </w:rPr>
        <w:t xml:space="preserve"> أو تجمعات الاعتصام التي اقترحها صاحب البلاغ كبديل </w:t>
      </w:r>
      <w:r w:rsidR="00BA4E9D">
        <w:rPr>
          <w:rFonts w:hint="cs"/>
          <w:rtl/>
          <w:lang/>
        </w:rPr>
        <w:t xml:space="preserve">لتلك المسيرات </w:t>
      </w:r>
      <w:r>
        <w:rPr>
          <w:rFonts w:hint="cs"/>
          <w:rtl/>
          <w:lang/>
        </w:rPr>
        <w:t xml:space="preserve">في الفترة الممتدة من عام 2006 إلى عام 2008، بينما تتعلق الشكوى الحالية بحظر </w:t>
      </w:r>
      <w:r w:rsidR="00BA4E9D">
        <w:rPr>
          <w:rFonts w:hint="cs"/>
          <w:rtl/>
          <w:lang/>
        </w:rPr>
        <w:t xml:space="preserve">تنظيم </w:t>
      </w:r>
      <w:r>
        <w:rPr>
          <w:rFonts w:hint="cs"/>
          <w:rtl/>
          <w:lang/>
        </w:rPr>
        <w:t>اعتصام للاحتجاج على إعدام المثليين والقاصرين في جمهورية إيران الإسلامية.</w:t>
      </w:r>
    </w:p>
    <w:p w:rsidR="006B7E32" w:rsidRDefault="006B7E32" w:rsidP="007A3BCD">
      <w:pPr>
        <w:pStyle w:val="SingleTxtGA"/>
        <w:rPr>
          <w:rStyle w:val="apple-converted-space"/>
          <w:rFonts w:hint="cs"/>
          <w:color w:val="000000"/>
          <w:sz w:val="30"/>
          <w:rtl/>
          <w:lang/>
        </w:rPr>
      </w:pPr>
      <w:r>
        <w:rPr>
          <w:rFonts w:hint="cs"/>
          <w:rtl/>
          <w:lang/>
        </w:rPr>
        <w:t>8-3</w:t>
      </w:r>
      <w:r>
        <w:rPr>
          <w:rFonts w:hint="cs"/>
          <w:rtl/>
          <w:lang/>
        </w:rPr>
        <w:tab/>
        <w:t>وتذكر اللجنة بأن مفهوم "المسألة</w:t>
      </w:r>
      <w:r w:rsidR="00DC45FB">
        <w:rPr>
          <w:rFonts w:hint="cs"/>
          <w:rtl/>
          <w:lang/>
        </w:rPr>
        <w:t xml:space="preserve"> نفسها</w:t>
      </w:r>
      <w:r>
        <w:rPr>
          <w:rFonts w:hint="cs"/>
          <w:rtl/>
          <w:lang/>
        </w:rPr>
        <w:t xml:space="preserve">" في إطار المعنى المقصود في الفقرة (أ) من المادة 5 من البروتوكول الاختياري </w:t>
      </w:r>
      <w:r w:rsidR="00DC45FB">
        <w:rPr>
          <w:rFonts w:hint="cs"/>
          <w:rtl/>
          <w:lang/>
        </w:rPr>
        <w:t xml:space="preserve">يعني </w:t>
      </w:r>
      <w:r>
        <w:rPr>
          <w:rFonts w:hint="cs"/>
          <w:rtl/>
          <w:lang/>
        </w:rPr>
        <w:t xml:space="preserve">أنه يشمل </w:t>
      </w:r>
      <w:r>
        <w:rPr>
          <w:rFonts w:hint="cs"/>
          <w:rtl/>
        </w:rPr>
        <w:t>أصحاب البلاغ</w:t>
      </w:r>
      <w:r w:rsidR="00DC45FB">
        <w:rPr>
          <w:rFonts w:hint="cs"/>
          <w:rtl/>
        </w:rPr>
        <w:t xml:space="preserve"> أنفسهم</w:t>
      </w:r>
      <w:r>
        <w:rPr>
          <w:rFonts w:hint="cs"/>
          <w:rtl/>
        </w:rPr>
        <w:t xml:space="preserve">، والوقائع </w:t>
      </w:r>
      <w:r w:rsidR="00DC45FB">
        <w:rPr>
          <w:rFonts w:hint="cs"/>
          <w:rtl/>
        </w:rPr>
        <w:t xml:space="preserve">نفسها، </w:t>
      </w:r>
      <w:r>
        <w:rPr>
          <w:rFonts w:hint="cs"/>
          <w:rtl/>
        </w:rPr>
        <w:t>والحقوق الموضوعية</w:t>
      </w:r>
      <w:r w:rsidR="00DC45FB">
        <w:rPr>
          <w:rFonts w:hint="cs"/>
          <w:rtl/>
        </w:rPr>
        <w:t xml:space="preserve"> نفسها</w:t>
      </w:r>
      <w:r w:rsidR="006F77AD">
        <w:rPr>
          <w:rStyle w:val="FootnoteReference"/>
          <w:rtl/>
        </w:rPr>
        <w:t>(</w:t>
      </w:r>
      <w:r w:rsidR="006F77AD">
        <w:rPr>
          <w:rStyle w:val="FootnoteReference"/>
          <w:rtl/>
        </w:rPr>
        <w:footnoteReference w:id="6"/>
      </w:r>
      <w:r w:rsidR="006F77AD">
        <w:rPr>
          <w:rStyle w:val="FootnoteReference"/>
          <w:rtl/>
        </w:rPr>
        <w:t>)</w:t>
      </w:r>
      <w:r>
        <w:rPr>
          <w:rFonts w:hint="cs"/>
          <w:rtl/>
        </w:rPr>
        <w:t xml:space="preserve">. وتلاحظ اللجنة أنه يتضح من المعلومات المتاحة عن ملف القضية أن طلبات صاحب البلاغ المقدمة إلى </w:t>
      </w:r>
      <w:r>
        <w:rPr>
          <w:rStyle w:val="apple-converted-space"/>
          <w:rFonts w:hint="cs"/>
          <w:color w:val="000000"/>
          <w:sz w:val="30"/>
          <w:rtl/>
          <w:lang/>
        </w:rPr>
        <w:t>ا</w:t>
      </w:r>
      <w:r w:rsidR="00DC45FB">
        <w:rPr>
          <w:rStyle w:val="apple-converted-space"/>
          <w:rFonts w:hint="cs"/>
          <w:color w:val="000000"/>
          <w:sz w:val="30"/>
          <w:rtl/>
          <w:lang/>
        </w:rPr>
        <w:t xml:space="preserve">لمحكمة الأوروبية لحقوق الإنسان </w:t>
      </w:r>
      <w:r>
        <w:rPr>
          <w:rStyle w:val="apple-converted-space"/>
          <w:rFonts w:hint="cs"/>
          <w:color w:val="000000"/>
          <w:sz w:val="30"/>
          <w:rtl/>
          <w:lang/>
        </w:rPr>
        <w:t xml:space="preserve">تتعلق </w:t>
      </w:r>
      <w:r w:rsidR="00DC45FB">
        <w:rPr>
          <w:rStyle w:val="apple-converted-space"/>
          <w:rFonts w:hint="cs"/>
          <w:color w:val="000000"/>
          <w:sz w:val="30"/>
          <w:rtl/>
          <w:lang/>
        </w:rPr>
        <w:t>ب</w:t>
      </w:r>
      <w:r>
        <w:rPr>
          <w:rStyle w:val="apple-converted-space"/>
          <w:rFonts w:hint="cs"/>
          <w:color w:val="000000"/>
          <w:sz w:val="30"/>
          <w:rtl/>
          <w:lang/>
        </w:rPr>
        <w:t xml:space="preserve">الشخص </w:t>
      </w:r>
      <w:r w:rsidR="00DC45FB">
        <w:rPr>
          <w:rStyle w:val="apple-converted-space"/>
          <w:rFonts w:hint="cs"/>
          <w:color w:val="000000"/>
          <w:sz w:val="30"/>
          <w:rtl/>
          <w:lang/>
        </w:rPr>
        <w:t xml:space="preserve">نفسه </w:t>
      </w:r>
      <w:r w:rsidR="00DC45FB">
        <w:rPr>
          <w:rFonts w:hint="cs"/>
          <w:rtl/>
        </w:rPr>
        <w:t>وب</w:t>
      </w:r>
      <w:r>
        <w:rPr>
          <w:rFonts w:hint="cs"/>
          <w:rtl/>
        </w:rPr>
        <w:t>الحقوق الموضوعية</w:t>
      </w:r>
      <w:r>
        <w:rPr>
          <w:rStyle w:val="apple-converted-space"/>
          <w:rFonts w:hint="cs"/>
          <w:color w:val="000000"/>
          <w:sz w:val="30"/>
          <w:rtl/>
        </w:rPr>
        <w:t xml:space="preserve"> </w:t>
      </w:r>
      <w:r>
        <w:rPr>
          <w:rFonts w:hint="cs"/>
          <w:rtl/>
          <w:lang/>
        </w:rPr>
        <w:t>التي يستند إليها هذا البلاغ</w:t>
      </w:r>
      <w:r w:rsidR="00DC45FB">
        <w:rPr>
          <w:rFonts w:hint="cs"/>
          <w:rtl/>
          <w:lang/>
        </w:rPr>
        <w:t xml:space="preserve"> هي نفسها</w:t>
      </w:r>
      <w:r>
        <w:rPr>
          <w:rStyle w:val="apple-converted-space"/>
          <w:rFonts w:hint="cs"/>
          <w:color w:val="000000"/>
          <w:sz w:val="30"/>
          <w:rtl/>
          <w:lang/>
        </w:rPr>
        <w:t xml:space="preserve">. ورغم ذلك، تلاحظ اللجنة أن الطلبات المقدمة </w:t>
      </w:r>
      <w:r w:rsidR="00DC45FB">
        <w:rPr>
          <w:rStyle w:val="apple-converted-space"/>
          <w:rFonts w:hint="cs"/>
          <w:color w:val="000000"/>
          <w:sz w:val="30"/>
          <w:rtl/>
          <w:lang/>
        </w:rPr>
        <w:t xml:space="preserve">إلى </w:t>
      </w:r>
      <w:r>
        <w:rPr>
          <w:rStyle w:val="apple-converted-space"/>
          <w:rFonts w:hint="cs"/>
          <w:color w:val="000000"/>
          <w:sz w:val="30"/>
          <w:rtl/>
          <w:lang/>
        </w:rPr>
        <w:t xml:space="preserve">المحكمة الأوروبية لحقوق الإنسان لا تتعلق </w:t>
      </w:r>
      <w:r w:rsidR="00DC45FB">
        <w:rPr>
          <w:rStyle w:val="apple-converted-space"/>
          <w:rFonts w:hint="cs"/>
          <w:color w:val="000000"/>
          <w:sz w:val="30"/>
          <w:rtl/>
          <w:lang/>
        </w:rPr>
        <w:t>ب</w:t>
      </w:r>
      <w:r>
        <w:rPr>
          <w:rStyle w:val="apple-converted-space"/>
          <w:rFonts w:hint="cs"/>
          <w:color w:val="000000"/>
          <w:sz w:val="30"/>
          <w:rtl/>
          <w:lang/>
        </w:rPr>
        <w:t xml:space="preserve">الوقائع </w:t>
      </w:r>
      <w:r w:rsidR="00DC45FB">
        <w:rPr>
          <w:rStyle w:val="apple-converted-space"/>
          <w:rFonts w:hint="cs"/>
          <w:color w:val="000000"/>
          <w:sz w:val="30"/>
          <w:rtl/>
          <w:lang/>
        </w:rPr>
        <w:t xml:space="preserve">نفسها، </w:t>
      </w:r>
      <w:r>
        <w:rPr>
          <w:rStyle w:val="apple-converted-space"/>
          <w:rFonts w:hint="cs"/>
          <w:color w:val="000000"/>
          <w:sz w:val="30"/>
          <w:rtl/>
          <w:lang/>
        </w:rPr>
        <w:t xml:space="preserve">أي الحدث الخاص المشار إليه في هذا البلاغ. وعليه، </w:t>
      </w:r>
      <w:r>
        <w:rPr>
          <w:rFonts w:hint="cs"/>
          <w:rtl/>
          <w:lang/>
        </w:rPr>
        <w:t xml:space="preserve">ترى اللجنة، لأغراض </w:t>
      </w:r>
      <w:proofErr w:type="spellStart"/>
      <w:r>
        <w:rPr>
          <w:rFonts w:hint="cs"/>
          <w:rtl/>
          <w:lang/>
        </w:rPr>
        <w:t>المقبولية</w:t>
      </w:r>
      <w:proofErr w:type="spellEnd"/>
      <w:r>
        <w:rPr>
          <w:rFonts w:hint="cs"/>
          <w:rtl/>
          <w:lang/>
        </w:rPr>
        <w:t>، أنه ليس هناك ما يمنع النظر في البلاغ المقدم بموجب الفقرة 2(أ) من المادة 5 من البروتوكول الاختياري.</w:t>
      </w:r>
    </w:p>
    <w:p w:rsidR="006B7E32" w:rsidRPr="00535A0E" w:rsidRDefault="006B7E32" w:rsidP="004D53C4">
      <w:pPr>
        <w:pStyle w:val="SingleTxtGA"/>
        <w:rPr>
          <w:rStyle w:val="apple-converted-space"/>
          <w:rFonts w:hint="cs"/>
          <w:rtl/>
          <w:lang w:val="fr-CH"/>
        </w:rPr>
      </w:pPr>
      <w:r>
        <w:rPr>
          <w:rStyle w:val="apple-converted-space"/>
          <w:rFonts w:hint="cs"/>
          <w:color w:val="000000"/>
          <w:sz w:val="30"/>
          <w:rtl/>
          <w:lang/>
        </w:rPr>
        <w:t>8-4</w:t>
      </w:r>
      <w:r>
        <w:rPr>
          <w:rStyle w:val="apple-converted-space"/>
          <w:rFonts w:hint="cs"/>
          <w:color w:val="000000"/>
          <w:sz w:val="30"/>
          <w:rtl/>
          <w:lang/>
        </w:rPr>
        <w:tab/>
      </w:r>
      <w:r>
        <w:rPr>
          <w:rFonts w:hint="cs"/>
          <w:rtl/>
          <w:lang w:val="fr-CH"/>
        </w:rPr>
        <w:t xml:space="preserve">وفيما يتعلق بالشرط المُدرج في الفقرة 2(ب) من المادة 5 من البروتوكول </w:t>
      </w:r>
      <w:r w:rsidRPr="00963DA3">
        <w:rPr>
          <w:rFonts w:hint="cs"/>
          <w:rtl/>
        </w:rPr>
        <w:t>الاختياري</w:t>
      </w:r>
      <w:r>
        <w:rPr>
          <w:rFonts w:hint="cs"/>
          <w:rtl/>
          <w:lang w:val="fr-CH"/>
        </w:rPr>
        <w:t>، تحيط اللجنة علماً بحجة الدولة الطرف</w:t>
      </w:r>
      <w:r>
        <w:rPr>
          <w:rStyle w:val="apple-converted-space"/>
          <w:rFonts w:hint="cs"/>
          <w:color w:val="000000"/>
          <w:sz w:val="30"/>
          <w:rtl/>
        </w:rPr>
        <w:t xml:space="preserve"> بأن صاحب البلاغ </w:t>
      </w:r>
      <w:r>
        <w:rPr>
          <w:rFonts w:hint="cs"/>
          <w:rtl/>
          <w:lang/>
        </w:rPr>
        <w:t xml:space="preserve">لم يستنفد سبل الانتصاف المحلية </w:t>
      </w:r>
      <w:r w:rsidR="00DC45FB">
        <w:rPr>
          <w:rFonts w:hint="cs"/>
          <w:rtl/>
          <w:lang/>
        </w:rPr>
        <w:t xml:space="preserve">عن طريق </w:t>
      </w:r>
      <w:r>
        <w:rPr>
          <w:rFonts w:hint="cs"/>
          <w:rtl/>
          <w:lang/>
        </w:rPr>
        <w:t xml:space="preserve">إجراءات المراجعة القضائية، ولذلك فإن البلاغ غير مقبول. وفي هذا الصدد، تلاحظ اللجنة أن صاحب البلاغ </w:t>
      </w:r>
      <w:r w:rsidR="00DC45FB">
        <w:rPr>
          <w:rFonts w:hint="cs"/>
          <w:rtl/>
          <w:lang/>
        </w:rPr>
        <w:t xml:space="preserve">قدم دعوى استئناف </w:t>
      </w:r>
      <w:r>
        <w:rPr>
          <w:rFonts w:hint="cs"/>
          <w:rtl/>
          <w:lang/>
        </w:rPr>
        <w:t>لدى محكمة مدينة موسكو التي أيدت الحكم الصادر عن المحكمة الأدنى درجة.</w:t>
      </w:r>
      <w:r>
        <w:rPr>
          <w:rStyle w:val="apple-converted-space"/>
          <w:rFonts w:hint="cs"/>
          <w:color w:val="000000"/>
          <w:sz w:val="30"/>
          <w:rtl/>
          <w:lang/>
        </w:rPr>
        <w:t xml:space="preserve"> </w:t>
      </w:r>
      <w:r>
        <w:rPr>
          <w:rFonts w:hint="cs"/>
          <w:rtl/>
          <w:lang w:val="fr-CH"/>
        </w:rPr>
        <w:t>وتشير اللجنة إلى اجتهاداتها القانونية السابقة التي تعتبر إجراءات المراجعة القضائية لقرارات المحاكم التي دخلت حيز التنفيذ سبيل انتصاف استثنائياً يخضع للسلطة التقديرية للقاضي أو المدعي العام</w:t>
      </w:r>
      <w:r w:rsidR="006F77AD">
        <w:rPr>
          <w:rStyle w:val="FootnoteReference"/>
          <w:rtl/>
          <w:lang w:val="fr-CH"/>
        </w:rPr>
        <w:t>(</w:t>
      </w:r>
      <w:r w:rsidR="006F77AD">
        <w:rPr>
          <w:rStyle w:val="FootnoteReference"/>
          <w:rtl/>
          <w:lang w:val="fr-CH"/>
        </w:rPr>
        <w:footnoteReference w:id="7"/>
      </w:r>
      <w:r w:rsidR="006F77AD">
        <w:rPr>
          <w:rStyle w:val="FootnoteReference"/>
          <w:rtl/>
          <w:lang w:val="fr-CH"/>
        </w:rPr>
        <w:t>)</w:t>
      </w:r>
      <w:r>
        <w:rPr>
          <w:rFonts w:hint="cs"/>
          <w:rtl/>
          <w:lang w:val="fr-CH"/>
        </w:rPr>
        <w:t xml:space="preserve"> ولا يتعين استنفاد هذا السبيل لأغراض </w:t>
      </w:r>
      <w:proofErr w:type="spellStart"/>
      <w:r>
        <w:rPr>
          <w:rFonts w:hint="cs"/>
          <w:rtl/>
          <w:lang w:val="fr-CH"/>
        </w:rPr>
        <w:t>المقبولية</w:t>
      </w:r>
      <w:proofErr w:type="spellEnd"/>
      <w:r>
        <w:rPr>
          <w:rFonts w:hint="cs"/>
          <w:rtl/>
          <w:lang w:val="fr-CH"/>
        </w:rPr>
        <w:t>.</w:t>
      </w:r>
      <w:r>
        <w:rPr>
          <w:rStyle w:val="apple-converted-space"/>
          <w:rFonts w:hint="cs"/>
          <w:color w:val="000000"/>
          <w:sz w:val="30"/>
          <w:rtl/>
        </w:rPr>
        <w:t xml:space="preserve"> </w:t>
      </w:r>
      <w:r w:rsidR="00DC45FB">
        <w:rPr>
          <w:rStyle w:val="apple-converted-space"/>
          <w:rFonts w:hint="cs"/>
          <w:color w:val="000000"/>
          <w:sz w:val="30"/>
          <w:rtl/>
        </w:rPr>
        <w:t xml:space="preserve">وفي غياب أي معلومات ذات صلة </w:t>
      </w:r>
      <w:r>
        <w:rPr>
          <w:rStyle w:val="apple-converted-space"/>
          <w:rFonts w:hint="cs"/>
          <w:color w:val="000000"/>
          <w:sz w:val="30"/>
          <w:rtl/>
        </w:rPr>
        <w:t xml:space="preserve">في الملف، </w:t>
      </w:r>
      <w:r>
        <w:rPr>
          <w:rFonts w:hint="cs"/>
          <w:rtl/>
          <w:lang w:val="fr-CH"/>
        </w:rPr>
        <w:t xml:space="preserve">ترى اللجنة </w:t>
      </w:r>
      <w:r w:rsidR="00DC45FB">
        <w:rPr>
          <w:rFonts w:hint="cs"/>
          <w:rtl/>
          <w:lang w:val="fr-CH"/>
        </w:rPr>
        <w:t>أنه ليس ثمة ما يمنعها</w:t>
      </w:r>
      <w:r>
        <w:rPr>
          <w:rFonts w:hint="cs"/>
          <w:rtl/>
          <w:lang w:val="fr-CH"/>
        </w:rPr>
        <w:t>، في إطار هذه القضية، من النظر في هذا البلاغ</w:t>
      </w:r>
      <w:r w:rsidR="006F77AD">
        <w:rPr>
          <w:rStyle w:val="FootnoteReference"/>
          <w:rtl/>
          <w:lang w:val="fr-CH"/>
        </w:rPr>
        <w:t>(</w:t>
      </w:r>
      <w:r w:rsidR="006F77AD">
        <w:rPr>
          <w:rStyle w:val="FootnoteReference"/>
          <w:rtl/>
          <w:lang w:val="fr-CH"/>
        </w:rPr>
        <w:footnoteReference w:id="8"/>
      </w:r>
      <w:r w:rsidR="006F77AD">
        <w:rPr>
          <w:rStyle w:val="FootnoteReference"/>
          <w:rtl/>
          <w:lang w:val="fr-CH"/>
        </w:rPr>
        <w:t>)</w:t>
      </w:r>
      <w:r>
        <w:rPr>
          <w:rFonts w:hint="cs"/>
          <w:rtl/>
          <w:lang w:val="fr-CH"/>
        </w:rPr>
        <w:t xml:space="preserve"> بموجب الفقرة</w:t>
      </w:r>
      <w:r w:rsidR="004D53C4">
        <w:rPr>
          <w:rFonts w:hint="eastAsia"/>
          <w:rtl/>
          <w:lang w:val="fr-CH"/>
        </w:rPr>
        <w:t> </w:t>
      </w:r>
      <w:r>
        <w:rPr>
          <w:rFonts w:hint="cs"/>
          <w:rtl/>
          <w:lang w:val="fr-CH"/>
        </w:rPr>
        <w:t>2(ب) من المادة 5 من البروتوكول الاختياري.</w:t>
      </w:r>
    </w:p>
    <w:p w:rsidR="006B7E32" w:rsidRDefault="006B7E32" w:rsidP="00796DBD">
      <w:pPr>
        <w:pStyle w:val="SingleTxtGA"/>
        <w:rPr>
          <w:rStyle w:val="apple-converted-space"/>
          <w:rFonts w:hint="cs"/>
          <w:color w:val="000000"/>
          <w:sz w:val="30"/>
          <w:rtl/>
          <w:lang/>
        </w:rPr>
      </w:pPr>
      <w:r>
        <w:rPr>
          <w:rStyle w:val="apple-converted-space"/>
          <w:rFonts w:hint="cs"/>
          <w:color w:val="000000"/>
          <w:sz w:val="30"/>
          <w:rtl/>
        </w:rPr>
        <w:t>8-5</w:t>
      </w:r>
      <w:r>
        <w:rPr>
          <w:rStyle w:val="apple-converted-space"/>
          <w:rFonts w:hint="cs"/>
          <w:color w:val="000000"/>
          <w:sz w:val="30"/>
          <w:rtl/>
        </w:rPr>
        <w:tab/>
      </w:r>
      <w:r>
        <w:rPr>
          <w:rFonts w:hint="cs"/>
          <w:rtl/>
          <w:lang w:val="fr-CH"/>
        </w:rPr>
        <w:t xml:space="preserve">وترى اللجنة </w:t>
      </w:r>
      <w:r w:rsidRPr="00963DA3">
        <w:rPr>
          <w:rFonts w:hint="cs"/>
          <w:rtl/>
        </w:rPr>
        <w:t>أن</w:t>
      </w:r>
      <w:r>
        <w:rPr>
          <w:rFonts w:hint="cs"/>
          <w:rtl/>
          <w:lang w:val="fr-CH"/>
        </w:rPr>
        <w:t xml:space="preserve"> ادعاء صاحب البلاغ </w:t>
      </w:r>
      <w:r w:rsidR="00796DBD">
        <w:rPr>
          <w:rFonts w:hint="cs"/>
          <w:rtl/>
          <w:lang w:val="fr-CH"/>
        </w:rPr>
        <w:t xml:space="preserve">في إطار </w:t>
      </w:r>
      <w:r>
        <w:rPr>
          <w:rFonts w:hint="cs"/>
          <w:rtl/>
          <w:lang w:val="fr-CH"/>
        </w:rPr>
        <w:t xml:space="preserve">المادة 21 من العهد تدعمه أدلة كافية لأغراض </w:t>
      </w:r>
      <w:proofErr w:type="spellStart"/>
      <w:r>
        <w:rPr>
          <w:rFonts w:hint="cs"/>
          <w:rtl/>
          <w:lang w:val="fr-CH"/>
        </w:rPr>
        <w:t>المقبولية</w:t>
      </w:r>
      <w:proofErr w:type="spellEnd"/>
      <w:r>
        <w:rPr>
          <w:rFonts w:hint="cs"/>
          <w:rtl/>
          <w:lang w:val="fr-CH"/>
        </w:rPr>
        <w:t xml:space="preserve">، وتعلن قبول الادعاء </w:t>
      </w:r>
      <w:r>
        <w:rPr>
          <w:rFonts w:hint="cs"/>
          <w:rtl/>
          <w:lang/>
        </w:rPr>
        <w:t>وتشرع في بحثه من حيث الأسس الموضوعية</w:t>
      </w:r>
      <w:r>
        <w:rPr>
          <w:rStyle w:val="apple-converted-space"/>
          <w:rFonts w:hint="cs"/>
          <w:color w:val="000000"/>
          <w:sz w:val="30"/>
          <w:rtl/>
          <w:lang/>
        </w:rPr>
        <w:t xml:space="preserve">. </w:t>
      </w:r>
    </w:p>
    <w:p w:rsidR="006B7E32" w:rsidRPr="00DF6CF2" w:rsidRDefault="006B7E32" w:rsidP="006B7E32">
      <w:pPr>
        <w:pStyle w:val="H4GA"/>
        <w:rPr>
          <w:rFonts w:hint="cs"/>
          <w:rtl/>
          <w:lang w:val="fr-CH"/>
        </w:rPr>
      </w:pPr>
      <w:r>
        <w:rPr>
          <w:rFonts w:hint="cs"/>
          <w:rtl/>
          <w:lang w:val="fr-CH"/>
        </w:rPr>
        <w:tab/>
      </w:r>
      <w:r>
        <w:rPr>
          <w:rFonts w:hint="cs"/>
          <w:rtl/>
          <w:lang w:val="fr-CH"/>
        </w:rPr>
        <w:tab/>
      </w:r>
      <w:r w:rsidRPr="00DF6CF2">
        <w:rPr>
          <w:rFonts w:hint="cs"/>
          <w:rtl/>
          <w:lang w:val="fr-CH"/>
        </w:rPr>
        <w:t>النظر في الأسس الموضوعية</w:t>
      </w:r>
    </w:p>
    <w:p w:rsidR="006B7E32" w:rsidRDefault="006B7E32" w:rsidP="00796DBD">
      <w:pPr>
        <w:pStyle w:val="SingleTxtGA"/>
        <w:rPr>
          <w:rStyle w:val="apple-converted-space"/>
          <w:rFonts w:hint="cs"/>
          <w:color w:val="000000"/>
          <w:sz w:val="30"/>
          <w:rtl/>
        </w:rPr>
      </w:pPr>
      <w:r>
        <w:rPr>
          <w:rFonts w:hint="cs"/>
          <w:rtl/>
          <w:lang w:val="fr-CH"/>
        </w:rPr>
        <w:t>9-1</w:t>
      </w:r>
      <w:r>
        <w:rPr>
          <w:rFonts w:hint="cs"/>
          <w:rtl/>
          <w:lang w:val="fr-CH"/>
        </w:rPr>
        <w:tab/>
        <w:t xml:space="preserve">نظرت اللجنة المعنية بحقوق الإنسان في هذا البلاغ في ضوء جميع المعلومات التي </w:t>
      </w:r>
      <w:r w:rsidR="00796DBD">
        <w:rPr>
          <w:rFonts w:hint="cs"/>
          <w:rtl/>
          <w:lang w:val="fr-CH"/>
        </w:rPr>
        <w:t>تلقتها</w:t>
      </w:r>
      <w:r>
        <w:rPr>
          <w:rFonts w:hint="cs"/>
          <w:rtl/>
          <w:lang w:val="fr-CH"/>
        </w:rPr>
        <w:t xml:space="preserve">، وفقاً للفقرة 1 من المادة 5 من البروتوكول </w:t>
      </w:r>
      <w:r w:rsidRPr="00963DA3">
        <w:rPr>
          <w:rFonts w:hint="cs"/>
          <w:rtl/>
        </w:rPr>
        <w:t>الاختياري</w:t>
      </w:r>
      <w:r>
        <w:rPr>
          <w:rFonts w:hint="cs"/>
          <w:rtl/>
          <w:lang w:val="fr-CH"/>
        </w:rPr>
        <w:t>.</w:t>
      </w:r>
    </w:p>
    <w:p w:rsidR="006B7E32" w:rsidRDefault="006B7E32" w:rsidP="006B7E32">
      <w:pPr>
        <w:pStyle w:val="SingleTxtGA"/>
        <w:rPr>
          <w:rStyle w:val="apple-converted-space"/>
          <w:rFonts w:hint="cs"/>
          <w:color w:val="000000"/>
          <w:sz w:val="30"/>
          <w:rtl/>
        </w:rPr>
      </w:pPr>
      <w:r>
        <w:rPr>
          <w:rStyle w:val="apple-converted-space"/>
          <w:rFonts w:hint="cs"/>
          <w:color w:val="000000"/>
          <w:sz w:val="30"/>
          <w:rtl/>
        </w:rPr>
        <w:t>9-2</w:t>
      </w:r>
      <w:r>
        <w:rPr>
          <w:rStyle w:val="apple-converted-space"/>
          <w:rFonts w:hint="cs"/>
          <w:color w:val="000000"/>
          <w:sz w:val="30"/>
          <w:rtl/>
        </w:rPr>
        <w:tab/>
        <w:t>وتتعلق أول قضية أمام اللجنة بما إذا كانت القيود التي فرضتها سلطات الدولة الطرف على حق صاحب البلاغ في التجمع السلمي مسموحاً بها بموجب أي معيار من المعايير الواردة في المادة 21 من العهد.</w:t>
      </w:r>
    </w:p>
    <w:p w:rsidR="006B7E32" w:rsidRDefault="006B7E32" w:rsidP="00796DBD">
      <w:pPr>
        <w:pStyle w:val="SingleTxtGA"/>
        <w:rPr>
          <w:rFonts w:hint="cs"/>
          <w:rtl/>
          <w:lang w:val="en-CA" w:bidi="ar-SY"/>
        </w:rPr>
      </w:pPr>
      <w:r>
        <w:rPr>
          <w:rStyle w:val="apple-converted-space"/>
          <w:rFonts w:hint="cs"/>
          <w:color w:val="000000"/>
          <w:sz w:val="30"/>
          <w:rtl/>
        </w:rPr>
        <w:t>9-3</w:t>
      </w:r>
      <w:r>
        <w:rPr>
          <w:rStyle w:val="apple-converted-space"/>
          <w:rFonts w:hint="cs"/>
          <w:color w:val="000000"/>
          <w:sz w:val="30"/>
          <w:rtl/>
        </w:rPr>
        <w:tab/>
      </w:r>
      <w:r>
        <w:rPr>
          <w:rFonts w:hint="cs"/>
          <w:rtl/>
          <w:lang w:val="en-CA"/>
        </w:rPr>
        <w:t>وتذكر</w:t>
      </w:r>
      <w:r w:rsidRPr="007D226C">
        <w:rPr>
          <w:rtl/>
          <w:lang w:val="en-CA"/>
        </w:rPr>
        <w:t xml:space="preserve"> اللجنة </w:t>
      </w:r>
      <w:r>
        <w:rPr>
          <w:rFonts w:hint="cs"/>
          <w:rtl/>
          <w:lang w:val="en-CA"/>
        </w:rPr>
        <w:t>ب</w:t>
      </w:r>
      <w:r w:rsidRPr="007D226C">
        <w:rPr>
          <w:rtl/>
          <w:lang w:val="en-CA"/>
        </w:rPr>
        <w:t xml:space="preserve">أن حق التجمع السلمي، </w:t>
      </w:r>
      <w:r>
        <w:rPr>
          <w:rFonts w:hint="cs"/>
          <w:rtl/>
          <w:lang w:val="en-CA"/>
        </w:rPr>
        <w:t>الذي تضمنه</w:t>
      </w:r>
      <w:r w:rsidRPr="007D226C">
        <w:rPr>
          <w:rtl/>
          <w:lang w:val="en-CA"/>
        </w:rPr>
        <w:t xml:space="preserve"> المادة 21 من العهد، </w:t>
      </w:r>
      <w:r w:rsidR="00796DBD">
        <w:rPr>
          <w:rFonts w:hint="cs"/>
          <w:rtl/>
          <w:lang w:val="en-CA"/>
        </w:rPr>
        <w:t xml:space="preserve">هو حق أساسي </w:t>
      </w:r>
      <w:r w:rsidRPr="007D226C">
        <w:rPr>
          <w:rtl/>
          <w:lang w:val="en-CA"/>
        </w:rPr>
        <w:t>لتعبير المرء عن رؤاه وآرائه بطريقة علنية، ولا</w:t>
      </w:r>
      <w:r>
        <w:rPr>
          <w:rFonts w:hint="cs"/>
          <w:rtl/>
          <w:lang w:val="en-CA"/>
        </w:rPr>
        <w:t> </w:t>
      </w:r>
      <w:r w:rsidRPr="007D226C">
        <w:rPr>
          <w:rtl/>
          <w:lang w:val="en-CA"/>
        </w:rPr>
        <w:t>غنى عنه في أي مجتمع ديمقراطي</w:t>
      </w:r>
      <w:r w:rsidR="006F77AD">
        <w:rPr>
          <w:rStyle w:val="FootnoteReference"/>
          <w:rtl/>
          <w:lang w:val="en-CA"/>
        </w:rPr>
        <w:t>(</w:t>
      </w:r>
      <w:r w:rsidR="006F77AD">
        <w:rPr>
          <w:rStyle w:val="FootnoteReference"/>
          <w:rtl/>
          <w:lang w:val="en-CA"/>
        </w:rPr>
        <w:footnoteReference w:id="9"/>
      </w:r>
      <w:r w:rsidR="006F77AD">
        <w:rPr>
          <w:rStyle w:val="FootnoteReference"/>
          <w:rtl/>
          <w:lang w:val="en-CA"/>
        </w:rPr>
        <w:t>)</w:t>
      </w:r>
      <w:r w:rsidR="00796DBD">
        <w:rPr>
          <w:rFonts w:hint="cs"/>
          <w:rtl/>
          <w:lang w:val="en-CA"/>
        </w:rPr>
        <w:t xml:space="preserve">. </w:t>
      </w:r>
      <w:r>
        <w:rPr>
          <w:rFonts w:hint="cs"/>
          <w:rtl/>
          <w:lang w:val="en-CA" w:bidi="ar-SY"/>
        </w:rPr>
        <w:t xml:space="preserve">وتذكر </w:t>
      </w:r>
      <w:r w:rsidR="00796DBD">
        <w:rPr>
          <w:rFonts w:hint="cs"/>
          <w:rtl/>
          <w:lang w:val="en-CA" w:bidi="ar-SY"/>
        </w:rPr>
        <w:t xml:space="preserve">اللجنة </w:t>
      </w:r>
      <w:r>
        <w:rPr>
          <w:rFonts w:hint="cs"/>
          <w:rtl/>
          <w:lang w:val="en-CA" w:bidi="ar-SY"/>
        </w:rPr>
        <w:t xml:space="preserve">أيضاً بأن الدول الأطراف </w:t>
      </w:r>
      <w:r w:rsidR="00796DBD">
        <w:rPr>
          <w:rFonts w:hint="cs"/>
          <w:rtl/>
          <w:lang w:val="en-CA" w:bidi="ar-SY"/>
        </w:rPr>
        <w:t xml:space="preserve">ملزمة باتخاذ </w:t>
      </w:r>
      <w:r>
        <w:rPr>
          <w:rFonts w:hint="cs"/>
          <w:rtl/>
          <w:lang w:val="en-CA" w:bidi="ar-SY"/>
        </w:rPr>
        <w:t xml:space="preserve">تدابير فعالة للحماية </w:t>
      </w:r>
      <w:r w:rsidR="00796DBD">
        <w:rPr>
          <w:rFonts w:hint="cs"/>
          <w:rtl/>
          <w:lang w:val="en-CA" w:bidi="ar-SY"/>
        </w:rPr>
        <w:t xml:space="preserve">من الاعتداءات </w:t>
      </w:r>
      <w:r>
        <w:rPr>
          <w:rFonts w:hint="cs"/>
          <w:rtl/>
          <w:lang w:val="en-CA" w:bidi="ar-SY"/>
        </w:rPr>
        <w:t>الرامية إلى إسكات أولئك الذين يمارسون حقوقهم في حرية التعبير عن طريق التجمع السلمي</w:t>
      </w:r>
      <w:r w:rsidR="006F77AD">
        <w:rPr>
          <w:rStyle w:val="FootnoteReference"/>
          <w:rtl/>
          <w:lang w:val="en-CA" w:bidi="ar-SY"/>
        </w:rPr>
        <w:t>(</w:t>
      </w:r>
      <w:r w:rsidR="006F77AD">
        <w:rPr>
          <w:rStyle w:val="FootnoteReference"/>
          <w:rtl/>
          <w:lang w:val="en-CA" w:bidi="ar-SY"/>
        </w:rPr>
        <w:footnoteReference w:id="10"/>
      </w:r>
      <w:r w:rsidR="006F77AD">
        <w:rPr>
          <w:rStyle w:val="FootnoteReference"/>
          <w:rtl/>
          <w:lang w:val="en-CA" w:bidi="ar-SY"/>
        </w:rPr>
        <w:t>)</w:t>
      </w:r>
      <w:r>
        <w:rPr>
          <w:rFonts w:hint="cs"/>
          <w:rtl/>
          <w:lang w:val="en-CA" w:bidi="ar-SY"/>
        </w:rPr>
        <w:t>. وي</w:t>
      </w:r>
      <w:r w:rsidR="00796DBD">
        <w:rPr>
          <w:rFonts w:hint="cs"/>
          <w:rtl/>
          <w:lang w:val="en-CA" w:bidi="ar-SY"/>
        </w:rPr>
        <w:t>ُ</w:t>
      </w:r>
      <w:r>
        <w:rPr>
          <w:rFonts w:hint="cs"/>
          <w:rtl/>
          <w:lang w:val="en-CA" w:bidi="ar-SY"/>
        </w:rPr>
        <w:t>عد</w:t>
      </w:r>
      <w:r w:rsidR="00796DBD">
        <w:rPr>
          <w:rFonts w:hint="cs"/>
          <w:rtl/>
          <w:lang w:val="en-CA" w:bidi="ar-SY"/>
        </w:rPr>
        <w:t>ّ</w:t>
      </w:r>
      <w:r>
        <w:rPr>
          <w:rFonts w:hint="cs"/>
          <w:rtl/>
          <w:lang w:val="en-CA" w:bidi="ar-SY"/>
        </w:rPr>
        <w:t xml:space="preserve"> فرض قيود على الحق في التجمع السلمي أمراً مسموحاً </w:t>
      </w:r>
      <w:r w:rsidR="00796DBD">
        <w:rPr>
          <w:rFonts w:hint="cs"/>
          <w:rtl/>
          <w:lang w:val="en-CA" w:bidi="ar-SY"/>
        </w:rPr>
        <w:t>به إذا كان (أ) وفقاً للقانون، و</w:t>
      </w:r>
      <w:r>
        <w:rPr>
          <w:rFonts w:hint="cs"/>
          <w:rtl/>
          <w:lang w:val="en-CA" w:bidi="ar-SY"/>
        </w:rPr>
        <w:t xml:space="preserve">(ب) ضرورياً في مجتمع ديمقراطي لحماية مصالح الأمن القومي أو السلامة العامة أو </w:t>
      </w:r>
      <w:r w:rsidR="00796DBD">
        <w:rPr>
          <w:rFonts w:hint="cs"/>
          <w:rtl/>
          <w:lang w:val="en-CA" w:bidi="ar-SY"/>
        </w:rPr>
        <w:t xml:space="preserve">النظام </w:t>
      </w:r>
      <w:r>
        <w:rPr>
          <w:rFonts w:hint="cs"/>
          <w:rtl/>
          <w:lang w:val="en-CA" w:bidi="ar-SY"/>
        </w:rPr>
        <w:t>العام أو حماية الصحة العامة أو الآداب العامة أو حماية حقوق الآخرين</w:t>
      </w:r>
      <w:r w:rsidR="00796DBD">
        <w:rPr>
          <w:rFonts w:hint="cs"/>
          <w:rtl/>
          <w:lang w:val="en-CA" w:bidi="ar-SY"/>
        </w:rPr>
        <w:t xml:space="preserve"> وحرياتهم</w:t>
      </w:r>
      <w:r>
        <w:rPr>
          <w:rFonts w:hint="cs"/>
          <w:rtl/>
          <w:lang w:val="en-CA" w:bidi="ar-SY"/>
        </w:rPr>
        <w:t>.</w:t>
      </w:r>
    </w:p>
    <w:p w:rsidR="006B7E32" w:rsidRPr="008445EB" w:rsidRDefault="006B7E32" w:rsidP="007A3BCD">
      <w:pPr>
        <w:pStyle w:val="SingleTxtGA"/>
        <w:rPr>
          <w:rFonts w:hint="cs"/>
          <w:rtl/>
          <w:lang w:val="en-CA" w:bidi="ar-SY"/>
        </w:rPr>
      </w:pPr>
      <w:r>
        <w:rPr>
          <w:rFonts w:hint="cs"/>
          <w:rtl/>
          <w:lang w:val="en-CA" w:bidi="ar-SY"/>
        </w:rPr>
        <w:t>9-4</w:t>
      </w:r>
      <w:r>
        <w:rPr>
          <w:rFonts w:hint="cs"/>
          <w:rtl/>
          <w:lang w:val="en-CA" w:bidi="ar-SY"/>
        </w:rPr>
        <w:tab/>
        <w:t xml:space="preserve">وفي هذه </w:t>
      </w:r>
      <w:r w:rsidR="00C8034B">
        <w:rPr>
          <w:rFonts w:hint="cs"/>
          <w:rtl/>
          <w:lang w:val="en-CA" w:bidi="ar-SY"/>
        </w:rPr>
        <w:t>القضية</w:t>
      </w:r>
      <w:r>
        <w:rPr>
          <w:rFonts w:hint="cs"/>
          <w:rtl/>
          <w:lang w:val="en-CA" w:bidi="ar-SY"/>
        </w:rPr>
        <w:t>،</w:t>
      </w:r>
      <w:r w:rsidR="00CA0181">
        <w:rPr>
          <w:rFonts w:hint="cs"/>
          <w:rtl/>
          <w:lang w:val="en-CA" w:bidi="ar-SY"/>
        </w:rPr>
        <w:t xml:space="preserve"> تلاحظ اللجنة أن الدولة الطرف و</w:t>
      </w:r>
      <w:r>
        <w:rPr>
          <w:rFonts w:hint="cs"/>
          <w:rtl/>
          <w:lang w:val="en-CA" w:bidi="ar-SY"/>
        </w:rPr>
        <w:t xml:space="preserve">صاحب البلاغ </w:t>
      </w:r>
      <w:r w:rsidR="00C8034B">
        <w:rPr>
          <w:rFonts w:hint="cs"/>
          <w:rtl/>
          <w:lang w:val="en-CA" w:bidi="ar-SY"/>
        </w:rPr>
        <w:t xml:space="preserve">متفقان </w:t>
      </w:r>
      <w:r>
        <w:rPr>
          <w:rFonts w:hint="cs"/>
          <w:rtl/>
          <w:lang w:val="en-CA" w:bidi="ar-SY"/>
        </w:rPr>
        <w:t xml:space="preserve">على أن رفض السماح </w:t>
      </w:r>
      <w:r w:rsidR="00C8034B">
        <w:rPr>
          <w:rFonts w:hint="cs"/>
          <w:rtl/>
          <w:lang w:val="en-CA" w:bidi="ar-SY"/>
        </w:rPr>
        <w:t xml:space="preserve">بتنظيم </w:t>
      </w:r>
      <w:r>
        <w:rPr>
          <w:rFonts w:hint="cs"/>
          <w:rtl/>
          <w:lang w:val="en-CA" w:bidi="ar-SY"/>
        </w:rPr>
        <w:t xml:space="preserve">الاعتصام من الساعة </w:t>
      </w:r>
      <w:r w:rsidR="00C8034B">
        <w:rPr>
          <w:rFonts w:hint="cs"/>
          <w:rtl/>
          <w:lang w:val="en-CA" w:bidi="ar-SY"/>
        </w:rPr>
        <w:t xml:space="preserve">الواحدة </w:t>
      </w:r>
      <w:r>
        <w:rPr>
          <w:rFonts w:hint="cs"/>
          <w:rtl/>
          <w:lang w:val="en-CA" w:bidi="ar-SY"/>
        </w:rPr>
        <w:t xml:space="preserve">إلى الساعة </w:t>
      </w:r>
      <w:r w:rsidR="00C8034B">
        <w:rPr>
          <w:rFonts w:hint="cs"/>
          <w:rtl/>
          <w:lang w:val="en-CA" w:bidi="ar-SY"/>
        </w:rPr>
        <w:t xml:space="preserve">الثانية </w:t>
      </w:r>
      <w:r>
        <w:rPr>
          <w:rFonts w:hint="cs"/>
          <w:rtl/>
          <w:lang w:val="en-CA" w:bidi="ar-SY"/>
        </w:rPr>
        <w:t xml:space="preserve">بعد ظهر </w:t>
      </w:r>
      <w:r w:rsidR="00C8034B">
        <w:rPr>
          <w:rFonts w:hint="cs"/>
          <w:rtl/>
          <w:lang w:val="en-CA" w:bidi="ar-SY"/>
        </w:rPr>
        <w:t xml:space="preserve">يوم </w:t>
      </w:r>
      <w:r>
        <w:rPr>
          <w:rFonts w:hint="cs"/>
          <w:rtl/>
          <w:lang w:val="en-CA" w:bidi="ar-SY"/>
        </w:rPr>
        <w:t>19 تموز/</w:t>
      </w:r>
      <w:r w:rsidR="0030682C">
        <w:rPr>
          <w:rFonts w:hint="cs"/>
          <w:rtl/>
          <w:lang w:val="en-CA" w:bidi="ar-SY"/>
        </w:rPr>
        <w:t xml:space="preserve"> </w:t>
      </w:r>
      <w:r w:rsidR="007A3BCD">
        <w:rPr>
          <w:rFonts w:hint="cs"/>
          <w:rtl/>
          <w:lang w:val="en-CA" w:bidi="ar-SY"/>
        </w:rPr>
        <w:t>يوليه</w:t>
      </w:r>
      <w:r>
        <w:rPr>
          <w:rFonts w:hint="cs"/>
          <w:rtl/>
          <w:lang w:val="en-CA" w:bidi="ar-SY"/>
        </w:rPr>
        <w:t xml:space="preserve"> 2008 أمام السفارة الإيرانية بموسكو كان تدخلاً في حق صاحب البلاغ في التجمع</w:t>
      </w:r>
      <w:r w:rsidR="007A3BCD">
        <w:rPr>
          <w:rFonts w:hint="cs"/>
          <w:rtl/>
          <w:lang w:val="en-CA" w:bidi="ar-SY"/>
        </w:rPr>
        <w:t>،</w:t>
      </w:r>
      <w:r>
        <w:rPr>
          <w:rFonts w:hint="cs"/>
          <w:rtl/>
          <w:lang w:val="en-CA" w:bidi="ar-SY"/>
        </w:rPr>
        <w:t xml:space="preserve"> غير أن </w:t>
      </w:r>
      <w:r w:rsidR="00C8034B">
        <w:rPr>
          <w:rFonts w:hint="cs"/>
          <w:rtl/>
          <w:lang w:val="en-CA" w:bidi="ar-SY"/>
        </w:rPr>
        <w:t xml:space="preserve">الطرفين يختلفان </w:t>
      </w:r>
      <w:r>
        <w:rPr>
          <w:rFonts w:hint="cs"/>
          <w:rtl/>
          <w:lang w:val="en-CA" w:bidi="ar-SY"/>
        </w:rPr>
        <w:t xml:space="preserve">بشأن ما إذا كانت القيود </w:t>
      </w:r>
      <w:r w:rsidR="00C8034B">
        <w:rPr>
          <w:rFonts w:hint="cs"/>
          <w:rtl/>
          <w:lang w:val="en-CA" w:bidi="ar-SY"/>
        </w:rPr>
        <w:t xml:space="preserve">المفروضة </w:t>
      </w:r>
      <w:r>
        <w:rPr>
          <w:rFonts w:hint="cs"/>
          <w:rtl/>
          <w:lang w:val="en-CA" w:bidi="ar-SY"/>
        </w:rPr>
        <w:t>جائزة أم</w:t>
      </w:r>
      <w:r w:rsidR="00C8034B">
        <w:rPr>
          <w:rFonts w:hint="cs"/>
          <w:rtl/>
          <w:lang w:val="en-CA" w:bidi="ar-SY"/>
        </w:rPr>
        <w:t xml:space="preserve"> لا</w:t>
      </w:r>
      <w:r>
        <w:rPr>
          <w:rFonts w:hint="cs"/>
          <w:rtl/>
          <w:lang w:val="en-CA" w:bidi="ar-SY"/>
        </w:rPr>
        <w:t xml:space="preserve">. </w:t>
      </w:r>
    </w:p>
    <w:p w:rsidR="006B7E32" w:rsidRPr="006F42E0" w:rsidRDefault="006B7E32" w:rsidP="00C8034B">
      <w:pPr>
        <w:pStyle w:val="SingleTxtGA"/>
        <w:rPr>
          <w:rFonts w:hint="cs"/>
          <w:rtl/>
        </w:rPr>
      </w:pPr>
      <w:r>
        <w:rPr>
          <w:rFonts w:hint="cs"/>
          <w:rtl/>
          <w:lang w:val="en-CA" w:bidi="ar-SY"/>
        </w:rPr>
        <w:t>9-5</w:t>
      </w:r>
      <w:r>
        <w:rPr>
          <w:rFonts w:hint="cs"/>
          <w:rtl/>
          <w:lang w:val="en-CA" w:bidi="ar-SY"/>
        </w:rPr>
        <w:tab/>
      </w:r>
      <w:r w:rsidRPr="00BB1D49">
        <w:rPr>
          <w:rFonts w:hint="cs"/>
          <w:rtl/>
          <w:lang w:val="en-CA" w:bidi="ar-SY"/>
        </w:rPr>
        <w:t xml:space="preserve">وتلاحظ اللجنة أيضاً أن الدولة الطرف تدافع عن رفض السماح </w:t>
      </w:r>
      <w:r w:rsidR="00C8034B">
        <w:rPr>
          <w:rFonts w:hint="cs"/>
          <w:rtl/>
          <w:lang w:val="en-CA" w:bidi="ar-SY"/>
        </w:rPr>
        <w:t xml:space="preserve">بتنظيم </w:t>
      </w:r>
      <w:r w:rsidRPr="00BB1D49">
        <w:rPr>
          <w:rFonts w:hint="cs"/>
          <w:rtl/>
          <w:lang w:val="en-CA" w:bidi="ar-SY"/>
        </w:rPr>
        <w:t xml:space="preserve">الاعتصام المذكور كأمر ضروري لحماية السلامة العامة. وترى اللجنة، رغم تأكيد صاحب البلاغ أن اللجوء إلى مبرر السلامة </w:t>
      </w:r>
      <w:r w:rsidR="00C8034B">
        <w:rPr>
          <w:rFonts w:hint="cs"/>
          <w:rtl/>
          <w:lang w:val="en-CA" w:bidi="ar-SY"/>
        </w:rPr>
        <w:t xml:space="preserve">العامة </w:t>
      </w:r>
      <w:r w:rsidRPr="00BB1D49">
        <w:rPr>
          <w:rFonts w:hint="cs"/>
          <w:rtl/>
          <w:lang w:val="en-CA" w:bidi="ar-SY"/>
        </w:rPr>
        <w:t xml:space="preserve">ما هو إلا ذريعة لرفض </w:t>
      </w:r>
      <w:r w:rsidR="00C8034B">
        <w:rPr>
          <w:rFonts w:hint="cs"/>
          <w:rtl/>
          <w:lang w:val="en-CA" w:bidi="ar-SY"/>
        </w:rPr>
        <w:t xml:space="preserve">السماح </w:t>
      </w:r>
      <w:r w:rsidRPr="00BB1D49">
        <w:rPr>
          <w:rFonts w:hint="cs"/>
          <w:rtl/>
          <w:lang w:val="en-CA" w:bidi="ar-SY"/>
        </w:rPr>
        <w:t xml:space="preserve">بالاعتصام، </w:t>
      </w:r>
      <w:r w:rsidR="00C8034B">
        <w:rPr>
          <w:rFonts w:hint="cs"/>
          <w:rtl/>
          <w:lang w:val="en-CA" w:bidi="ar-SY"/>
        </w:rPr>
        <w:t xml:space="preserve">أن لا ضرورة لتقييم </w:t>
      </w:r>
      <w:r w:rsidRPr="00BB1D49">
        <w:rPr>
          <w:rtl/>
        </w:rPr>
        <w:t>الادعاءات المتعلقة بالوقائع</w:t>
      </w:r>
      <w:r w:rsidRPr="00BB1D49">
        <w:rPr>
          <w:rFonts w:hint="cs"/>
          <w:rtl/>
        </w:rPr>
        <w:t xml:space="preserve"> لأن ادعاء صاحب البلاغ </w:t>
      </w:r>
      <w:r w:rsidR="00C8034B">
        <w:rPr>
          <w:rFonts w:hint="cs"/>
          <w:rtl/>
        </w:rPr>
        <w:t xml:space="preserve">في إطار </w:t>
      </w:r>
      <w:r w:rsidRPr="00BB1D49">
        <w:rPr>
          <w:rFonts w:hint="cs"/>
          <w:rtl/>
        </w:rPr>
        <w:t xml:space="preserve">المادة 21 يمكن </w:t>
      </w:r>
      <w:r>
        <w:rPr>
          <w:rFonts w:hint="cs"/>
          <w:rtl/>
        </w:rPr>
        <w:t>البت فيه</w:t>
      </w:r>
      <w:r w:rsidRPr="00BB1D49">
        <w:rPr>
          <w:rFonts w:hint="cs"/>
          <w:rtl/>
        </w:rPr>
        <w:t xml:space="preserve"> </w:t>
      </w:r>
      <w:r>
        <w:rPr>
          <w:rFonts w:hint="cs"/>
          <w:rtl/>
        </w:rPr>
        <w:t xml:space="preserve">على </w:t>
      </w:r>
      <w:r w:rsidR="00C8034B">
        <w:rPr>
          <w:rFonts w:hint="cs"/>
          <w:rtl/>
        </w:rPr>
        <w:t xml:space="preserve">أساس </w:t>
      </w:r>
      <w:r w:rsidRPr="00BB1D49">
        <w:rPr>
          <w:rFonts w:hint="cs"/>
          <w:rtl/>
        </w:rPr>
        <w:t xml:space="preserve">افتراض أن القيود </w:t>
      </w:r>
      <w:r w:rsidR="00C8034B">
        <w:rPr>
          <w:rFonts w:hint="cs"/>
          <w:rtl/>
        </w:rPr>
        <w:t xml:space="preserve">المعترض عليها قد فُرضت بسبب </w:t>
      </w:r>
      <w:r w:rsidRPr="00BB1D49">
        <w:rPr>
          <w:rFonts w:hint="cs"/>
          <w:rtl/>
        </w:rPr>
        <w:t xml:space="preserve">وجود مخاوف </w:t>
      </w:r>
      <w:r w:rsidR="00C8034B">
        <w:rPr>
          <w:rFonts w:hint="cs"/>
          <w:rtl/>
        </w:rPr>
        <w:t xml:space="preserve">إزاء </w:t>
      </w:r>
      <w:r w:rsidRPr="00BB1D49">
        <w:rPr>
          <w:rFonts w:hint="cs"/>
          <w:rtl/>
        </w:rPr>
        <w:t>السلامة العامة.</w:t>
      </w:r>
      <w:r>
        <w:rPr>
          <w:rFonts w:hint="cs"/>
          <w:rtl/>
        </w:rPr>
        <w:t xml:space="preserve"> </w:t>
      </w:r>
    </w:p>
    <w:p w:rsidR="006B7E32" w:rsidRPr="00B464A2" w:rsidRDefault="006B7E32" w:rsidP="0063066C">
      <w:pPr>
        <w:pStyle w:val="SingleTxtGA"/>
        <w:rPr>
          <w:rStyle w:val="apple-converted-space"/>
          <w:rFonts w:hint="cs"/>
          <w:rtl/>
        </w:rPr>
      </w:pPr>
      <w:r>
        <w:rPr>
          <w:rFonts w:hint="cs"/>
          <w:rtl/>
        </w:rPr>
        <w:t>9-6</w:t>
      </w:r>
      <w:r>
        <w:rPr>
          <w:rFonts w:hint="cs"/>
          <w:rtl/>
        </w:rPr>
        <w:tab/>
      </w:r>
      <w:r w:rsidRPr="006F42E0">
        <w:rPr>
          <w:rFonts w:hint="cs"/>
          <w:rtl/>
        </w:rPr>
        <w:t>وتلاحظ اللجنة أن</w:t>
      </w:r>
      <w:r>
        <w:rPr>
          <w:rFonts w:hint="cs"/>
          <w:rtl/>
        </w:rPr>
        <w:t xml:space="preserve"> رفض الإذن </w:t>
      </w:r>
      <w:r w:rsidRPr="006F42E0">
        <w:rPr>
          <w:rFonts w:hint="cs"/>
          <w:rtl/>
        </w:rPr>
        <w:t xml:space="preserve">لصاحب البلاغ بتنظيم الاعتصام المقترح </w:t>
      </w:r>
      <w:r>
        <w:rPr>
          <w:rFonts w:hint="cs"/>
          <w:rtl/>
        </w:rPr>
        <w:t xml:space="preserve">كان بسبب </w:t>
      </w:r>
      <w:r w:rsidR="00C8034B">
        <w:rPr>
          <w:rFonts w:hint="cs"/>
          <w:rtl/>
        </w:rPr>
        <w:t xml:space="preserve">واحد هو أن الموضوع الذي يتناوله، أي الدعوة </w:t>
      </w:r>
      <w:r w:rsidRPr="006F42E0">
        <w:rPr>
          <w:rFonts w:hint="cs"/>
          <w:rtl/>
        </w:rPr>
        <w:t>إلى احترام حقوق</w:t>
      </w:r>
      <w:r w:rsidR="00D445C6">
        <w:rPr>
          <w:rFonts w:hint="cs"/>
          <w:rtl/>
        </w:rPr>
        <w:t xml:space="preserve"> الأشخاص المنتمين لأقليات جنسية، </w:t>
      </w:r>
      <w:r w:rsidRPr="006F42E0">
        <w:rPr>
          <w:rFonts w:hint="cs"/>
          <w:rtl/>
        </w:rPr>
        <w:t xml:space="preserve">من شأنه أن يتسبب في رد فعل سلبي يمكن أن يؤدي إلى </w:t>
      </w:r>
      <w:r w:rsidR="00D445C6">
        <w:rPr>
          <w:rFonts w:hint="cs"/>
          <w:rtl/>
        </w:rPr>
        <w:t xml:space="preserve">إخلال بالنظام </w:t>
      </w:r>
      <w:r w:rsidRPr="006F42E0">
        <w:rPr>
          <w:rFonts w:hint="cs"/>
          <w:rtl/>
        </w:rPr>
        <w:t xml:space="preserve">العام. </w:t>
      </w:r>
      <w:r w:rsidR="00D445C6">
        <w:rPr>
          <w:rFonts w:hint="cs"/>
          <w:rtl/>
        </w:rPr>
        <w:t>و</w:t>
      </w:r>
      <w:r w:rsidRPr="006F42E0">
        <w:rPr>
          <w:rFonts w:hint="cs"/>
          <w:rtl/>
        </w:rPr>
        <w:t xml:space="preserve">هذا الرفض لا </w:t>
      </w:r>
      <w:r w:rsidR="00D445C6">
        <w:rPr>
          <w:rFonts w:hint="cs"/>
          <w:rtl/>
        </w:rPr>
        <w:t xml:space="preserve">صلة له </w:t>
      </w:r>
      <w:r w:rsidRPr="006F42E0">
        <w:rPr>
          <w:rFonts w:hint="cs"/>
          <w:rtl/>
        </w:rPr>
        <w:t xml:space="preserve">البتة بالمكان المختار </w:t>
      </w:r>
      <w:r w:rsidR="00D445C6">
        <w:rPr>
          <w:rFonts w:hint="cs"/>
          <w:rtl/>
        </w:rPr>
        <w:t xml:space="preserve">لتنظيم </w:t>
      </w:r>
      <w:r w:rsidR="00D445C6" w:rsidRPr="006F42E0">
        <w:rPr>
          <w:rFonts w:hint="cs"/>
          <w:rtl/>
        </w:rPr>
        <w:t>التجمع الشعبي المقترح</w:t>
      </w:r>
      <w:r w:rsidR="00D445C6">
        <w:rPr>
          <w:rFonts w:hint="cs"/>
          <w:rtl/>
        </w:rPr>
        <w:t xml:space="preserve"> أو تاريخه أو توقيته </w:t>
      </w:r>
      <w:r w:rsidRPr="006F42E0">
        <w:rPr>
          <w:rFonts w:hint="cs"/>
          <w:rtl/>
        </w:rPr>
        <w:t xml:space="preserve">أو المدة التي يستغرقها أو </w:t>
      </w:r>
      <w:r w:rsidR="00D445C6">
        <w:rPr>
          <w:rFonts w:hint="cs"/>
          <w:rtl/>
        </w:rPr>
        <w:t>طريقة تنظيمه</w:t>
      </w:r>
      <w:r w:rsidRPr="006F42E0">
        <w:rPr>
          <w:rFonts w:hint="cs"/>
          <w:rtl/>
        </w:rPr>
        <w:t xml:space="preserve">. ولذلك فالقرار الصادر عن نائب </w:t>
      </w:r>
      <w:r w:rsidR="00D445C6">
        <w:rPr>
          <w:rFonts w:hint="cs"/>
          <w:rtl/>
        </w:rPr>
        <w:t xml:space="preserve">مدير </w:t>
      </w:r>
      <w:r w:rsidRPr="006F42E0">
        <w:rPr>
          <w:rFonts w:hint="cs"/>
          <w:rtl/>
        </w:rPr>
        <w:t xml:space="preserve">المقاطعة الإدارية المركزية لموسكو في 11 </w:t>
      </w:r>
      <w:r w:rsidR="00D445C6">
        <w:rPr>
          <w:rFonts w:hint="cs"/>
          <w:rtl/>
        </w:rPr>
        <w:t xml:space="preserve">تموز/يوليه 2008 </w:t>
      </w:r>
      <w:r w:rsidRPr="006F42E0">
        <w:rPr>
          <w:rFonts w:hint="cs"/>
          <w:rtl/>
        </w:rPr>
        <w:t>هو رفض لحق صاحب البلاغ في تنظيم تجمع شعبي يتناول الموضوع الذي تم اختياره</w:t>
      </w:r>
      <w:r w:rsidR="00CC5265">
        <w:rPr>
          <w:rFonts w:hint="cs"/>
          <w:rtl/>
        </w:rPr>
        <w:t>،</w:t>
      </w:r>
      <w:r w:rsidRPr="006F42E0">
        <w:rPr>
          <w:rFonts w:hint="cs"/>
          <w:rtl/>
        </w:rPr>
        <w:t xml:space="preserve"> مما يشكل أحد أخطر التدخلات</w:t>
      </w:r>
      <w:r w:rsidR="00437B2E">
        <w:rPr>
          <w:rFonts w:hint="cs"/>
          <w:rtl/>
        </w:rPr>
        <w:t xml:space="preserve"> </w:t>
      </w:r>
      <w:r w:rsidRPr="006F42E0">
        <w:rPr>
          <w:rFonts w:hint="cs"/>
          <w:rtl/>
        </w:rPr>
        <w:t xml:space="preserve">في حرية التجمع السلمي. وتلاحظ اللجنة أن حرية التجمع </w:t>
      </w:r>
      <w:r>
        <w:rPr>
          <w:rFonts w:hint="cs"/>
          <w:rtl/>
        </w:rPr>
        <w:t>ت</w:t>
      </w:r>
      <w:r w:rsidRPr="006F42E0">
        <w:rPr>
          <w:rFonts w:hint="cs"/>
          <w:rtl/>
        </w:rPr>
        <w:t xml:space="preserve">حمي المظاهرات التي تروج لأفكار يمكن </w:t>
      </w:r>
      <w:r w:rsidR="00CC5265">
        <w:rPr>
          <w:rFonts w:hint="cs"/>
          <w:rtl/>
        </w:rPr>
        <w:t xml:space="preserve">أن يعتبرها الآخرون مزعجة أو مسيئة، </w:t>
      </w:r>
      <w:r w:rsidRPr="006F42E0">
        <w:rPr>
          <w:rFonts w:hint="cs"/>
          <w:rtl/>
        </w:rPr>
        <w:t>و</w:t>
      </w:r>
      <w:r w:rsidR="00CC5265">
        <w:rPr>
          <w:rFonts w:hint="cs"/>
          <w:rtl/>
        </w:rPr>
        <w:t xml:space="preserve">من ثم </w:t>
      </w:r>
      <w:r w:rsidRPr="006F42E0">
        <w:rPr>
          <w:rFonts w:hint="cs"/>
          <w:rtl/>
        </w:rPr>
        <w:t xml:space="preserve">يجب على الدول الأطراف في هذه الحالات حماية المشاركين </w:t>
      </w:r>
      <w:r w:rsidR="00CC5265">
        <w:rPr>
          <w:rFonts w:hint="cs"/>
          <w:rtl/>
        </w:rPr>
        <w:t>في هذه المظاهرات</w:t>
      </w:r>
      <w:r w:rsidRPr="006F42E0">
        <w:rPr>
          <w:rFonts w:hint="cs"/>
          <w:rtl/>
        </w:rPr>
        <w:t xml:space="preserve"> </w:t>
      </w:r>
      <w:r w:rsidR="00CC5265">
        <w:rPr>
          <w:rFonts w:hint="cs"/>
          <w:rtl/>
        </w:rPr>
        <w:t xml:space="preserve">من </w:t>
      </w:r>
      <w:r w:rsidRPr="006F42E0">
        <w:rPr>
          <w:rFonts w:hint="cs"/>
          <w:rtl/>
        </w:rPr>
        <w:t>عنف الآخرين</w:t>
      </w:r>
      <w:r w:rsidR="00CC5265">
        <w:rPr>
          <w:rFonts w:hint="cs"/>
          <w:rtl/>
        </w:rPr>
        <w:t xml:space="preserve"> أثناء ممارستهم لحقوقهم</w:t>
      </w:r>
      <w:r w:rsidRPr="006F42E0">
        <w:rPr>
          <w:rFonts w:hint="cs"/>
          <w:rtl/>
        </w:rPr>
        <w:t xml:space="preserve">. كما تلاحظ اللجنة أن القول بأن هناك خطراً </w:t>
      </w:r>
      <w:r w:rsidR="00CC5265">
        <w:rPr>
          <w:rFonts w:hint="cs"/>
          <w:rtl/>
        </w:rPr>
        <w:t xml:space="preserve">عاماً </w:t>
      </w:r>
      <w:r w:rsidRPr="006F42E0">
        <w:rPr>
          <w:rFonts w:hint="cs"/>
          <w:rtl/>
        </w:rPr>
        <w:t xml:space="preserve">غير محدد </w:t>
      </w:r>
      <w:r w:rsidR="00CC5265">
        <w:rPr>
          <w:rFonts w:hint="cs"/>
          <w:rtl/>
        </w:rPr>
        <w:t xml:space="preserve">يتمثل في نشوء </w:t>
      </w:r>
      <w:r w:rsidRPr="006F42E0">
        <w:rPr>
          <w:rFonts w:hint="cs"/>
          <w:rtl/>
        </w:rPr>
        <w:t xml:space="preserve">مظاهرة مضادة وعنيفة أو مجرد </w:t>
      </w:r>
      <w:r>
        <w:rPr>
          <w:rFonts w:hint="cs"/>
          <w:rtl/>
        </w:rPr>
        <w:t>احتمال عدم قدرة السلطات على منع العنف وإبطاله</w:t>
      </w:r>
      <w:r w:rsidRPr="006F42E0">
        <w:rPr>
          <w:rFonts w:hint="cs"/>
          <w:rtl/>
        </w:rPr>
        <w:t xml:space="preserve"> ليس كافياً لحظر </w:t>
      </w:r>
      <w:r w:rsidR="003A38B9">
        <w:rPr>
          <w:rFonts w:hint="cs"/>
          <w:rtl/>
        </w:rPr>
        <w:t xml:space="preserve">تنظيم </w:t>
      </w:r>
      <w:r w:rsidRPr="006F42E0">
        <w:rPr>
          <w:rFonts w:hint="cs"/>
          <w:rtl/>
        </w:rPr>
        <w:t>مظاهرة.</w:t>
      </w:r>
      <w:r w:rsidRPr="006F42E0">
        <w:rPr>
          <w:rStyle w:val="apple-converted-space"/>
          <w:rFonts w:hint="cs"/>
          <w:color w:val="000000"/>
          <w:sz w:val="30"/>
          <w:rtl/>
        </w:rPr>
        <w:t xml:space="preserve"> ولم تقدم الدولة الطرف إلى اللجنة أي معلومات فيما يخص هذه القضية </w:t>
      </w:r>
      <w:r w:rsidR="003A38B9">
        <w:rPr>
          <w:rFonts w:hint="cs"/>
          <w:rtl/>
          <w:lang/>
        </w:rPr>
        <w:t>ل</w:t>
      </w:r>
      <w:r w:rsidRPr="006F42E0">
        <w:rPr>
          <w:rFonts w:hint="cs"/>
          <w:rtl/>
          <w:lang/>
        </w:rPr>
        <w:t xml:space="preserve">دعم الادعاء </w:t>
      </w:r>
      <w:r w:rsidRPr="006F42E0">
        <w:rPr>
          <w:rStyle w:val="apple-converted-space"/>
          <w:rFonts w:hint="cs"/>
          <w:color w:val="000000"/>
          <w:sz w:val="30"/>
          <w:rtl/>
        </w:rPr>
        <w:t xml:space="preserve">بأن </w:t>
      </w:r>
      <w:r w:rsidR="003A38B9">
        <w:rPr>
          <w:rStyle w:val="apple-converted-space"/>
          <w:rFonts w:hint="cs"/>
          <w:color w:val="000000"/>
          <w:sz w:val="30"/>
          <w:rtl/>
        </w:rPr>
        <w:t xml:space="preserve">أي </w:t>
      </w:r>
      <w:r w:rsidRPr="006F42E0">
        <w:rPr>
          <w:rStyle w:val="apple-converted-space"/>
          <w:rFonts w:hint="cs"/>
          <w:color w:val="000000"/>
          <w:sz w:val="30"/>
          <w:rtl/>
        </w:rPr>
        <w:t xml:space="preserve">"رد فعل سلبي" </w:t>
      </w:r>
      <w:r>
        <w:rPr>
          <w:rStyle w:val="apple-converted-space"/>
          <w:rFonts w:hint="cs"/>
          <w:color w:val="000000"/>
          <w:sz w:val="30"/>
          <w:rtl/>
        </w:rPr>
        <w:t>من جانب</w:t>
      </w:r>
      <w:r w:rsidRPr="006F42E0">
        <w:rPr>
          <w:rStyle w:val="apple-converted-space"/>
          <w:rFonts w:hint="cs"/>
          <w:color w:val="000000"/>
          <w:sz w:val="30"/>
          <w:rtl/>
        </w:rPr>
        <w:t xml:space="preserve"> الجمهور تجاه الاعتصام الذي اقترحه صاحب البلاغ من شأنه أن يفضي إلى </w:t>
      </w:r>
      <w:r w:rsidR="0063066C">
        <w:rPr>
          <w:rStyle w:val="apple-converted-space"/>
          <w:rFonts w:hint="cs"/>
          <w:color w:val="000000"/>
          <w:sz w:val="30"/>
          <w:rtl/>
        </w:rPr>
        <w:t xml:space="preserve">وقوع </w:t>
      </w:r>
      <w:r w:rsidRPr="006F42E0">
        <w:rPr>
          <w:rStyle w:val="apple-converted-space"/>
          <w:rFonts w:hint="cs"/>
          <w:color w:val="000000"/>
          <w:sz w:val="30"/>
          <w:rtl/>
        </w:rPr>
        <w:t xml:space="preserve">أحداث عنف أو </w:t>
      </w:r>
      <w:r w:rsidR="0063066C">
        <w:rPr>
          <w:rStyle w:val="apple-converted-space"/>
          <w:rFonts w:hint="cs"/>
          <w:color w:val="000000"/>
          <w:sz w:val="30"/>
          <w:rtl/>
        </w:rPr>
        <w:t xml:space="preserve">إلى </w:t>
      </w:r>
      <w:r w:rsidRPr="006F42E0">
        <w:rPr>
          <w:rStyle w:val="apple-converted-space"/>
          <w:rFonts w:hint="cs"/>
          <w:color w:val="000000"/>
          <w:sz w:val="30"/>
          <w:rtl/>
        </w:rPr>
        <w:t xml:space="preserve">عدم قدرة الشرطة على منع نشوب </w:t>
      </w:r>
      <w:r w:rsidR="0063066C">
        <w:rPr>
          <w:rStyle w:val="apple-converted-space"/>
          <w:rFonts w:hint="cs"/>
          <w:color w:val="000000"/>
          <w:sz w:val="30"/>
          <w:rtl/>
        </w:rPr>
        <w:t xml:space="preserve">هذا </w:t>
      </w:r>
      <w:r w:rsidRPr="006F42E0">
        <w:rPr>
          <w:rStyle w:val="apple-converted-space"/>
          <w:rFonts w:hint="cs"/>
          <w:color w:val="000000"/>
          <w:sz w:val="30"/>
          <w:rtl/>
        </w:rPr>
        <w:t xml:space="preserve">العنف إذا ما </w:t>
      </w:r>
      <w:r w:rsidR="0063066C">
        <w:rPr>
          <w:rStyle w:val="apple-converted-space"/>
          <w:rFonts w:hint="cs"/>
          <w:color w:val="000000"/>
          <w:sz w:val="30"/>
          <w:rtl/>
        </w:rPr>
        <w:t>قامت بتأدية واجباتها</w:t>
      </w:r>
      <w:r w:rsidRPr="006F42E0">
        <w:rPr>
          <w:rStyle w:val="apple-converted-space"/>
          <w:rFonts w:hint="cs"/>
          <w:color w:val="000000"/>
          <w:sz w:val="30"/>
          <w:rtl/>
        </w:rPr>
        <w:t xml:space="preserve"> على الوجه الصحيح. وفي هذه الظروف، من واجب الدولة الطرف حماية صاحب البلاغ </w:t>
      </w:r>
      <w:r w:rsidR="0063066C">
        <w:rPr>
          <w:rStyle w:val="apple-converted-space"/>
          <w:rFonts w:hint="cs"/>
          <w:color w:val="000000"/>
          <w:sz w:val="30"/>
          <w:rtl/>
        </w:rPr>
        <w:t xml:space="preserve">لدى </w:t>
      </w:r>
      <w:r w:rsidRPr="006F42E0">
        <w:rPr>
          <w:rStyle w:val="apple-converted-space"/>
          <w:rFonts w:hint="cs"/>
          <w:color w:val="000000"/>
          <w:sz w:val="30"/>
          <w:rtl/>
        </w:rPr>
        <w:t xml:space="preserve">ممارسة حقوقه في إطار العهد وليس الإسهام في </w:t>
      </w:r>
      <w:r w:rsidR="0063066C">
        <w:rPr>
          <w:rStyle w:val="apple-converted-space"/>
          <w:rFonts w:hint="cs"/>
          <w:color w:val="000000"/>
          <w:sz w:val="30"/>
          <w:rtl/>
        </w:rPr>
        <w:t xml:space="preserve">إبطال إعمال </w:t>
      </w:r>
      <w:r w:rsidRPr="006F42E0">
        <w:rPr>
          <w:rStyle w:val="apple-converted-space"/>
          <w:rFonts w:hint="cs"/>
          <w:color w:val="000000"/>
          <w:sz w:val="30"/>
          <w:rtl/>
        </w:rPr>
        <w:t xml:space="preserve">هذه الحقوق. وبالتالي تستنتج اللجنة أن القيود التي فرضت على حقوق صاحب البلاغ لم تكن ضرورية في مجتمع ديمقراطي من أجل حماية السلامة العامة و </w:t>
      </w:r>
      <w:r>
        <w:rPr>
          <w:rStyle w:val="apple-converted-space"/>
          <w:rFonts w:hint="cs"/>
          <w:color w:val="000000"/>
          <w:sz w:val="30"/>
          <w:rtl/>
        </w:rPr>
        <w:t>تعد</w:t>
      </w:r>
      <w:r w:rsidRPr="006F42E0">
        <w:rPr>
          <w:rStyle w:val="apple-converted-space"/>
          <w:rFonts w:hint="cs"/>
          <w:color w:val="000000"/>
          <w:sz w:val="30"/>
          <w:rtl/>
        </w:rPr>
        <w:t xml:space="preserve"> انتهاكاً للمادة 21 من العهد.</w:t>
      </w:r>
    </w:p>
    <w:p w:rsidR="006B7E32" w:rsidRDefault="006B7E32" w:rsidP="0063066C">
      <w:pPr>
        <w:pStyle w:val="SingleTxtGA"/>
        <w:rPr>
          <w:rStyle w:val="apple-converted-space"/>
          <w:rFonts w:hint="cs"/>
          <w:color w:val="000000"/>
          <w:sz w:val="30"/>
          <w:rtl/>
        </w:rPr>
      </w:pPr>
      <w:r>
        <w:rPr>
          <w:rStyle w:val="apple-converted-space"/>
          <w:rFonts w:hint="cs"/>
          <w:color w:val="000000"/>
          <w:sz w:val="30"/>
          <w:rtl/>
        </w:rPr>
        <w:t>9-7</w:t>
      </w:r>
      <w:r>
        <w:rPr>
          <w:rStyle w:val="apple-converted-space"/>
          <w:rFonts w:hint="cs"/>
          <w:color w:val="000000"/>
          <w:sz w:val="30"/>
          <w:rtl/>
        </w:rPr>
        <w:tab/>
      </w:r>
      <w:r>
        <w:rPr>
          <w:rFonts w:hint="cs"/>
          <w:rtl/>
          <w:lang/>
        </w:rPr>
        <w:t>وفي ضوء هذا الاستنتاج،</w:t>
      </w:r>
      <w:r>
        <w:rPr>
          <w:rStyle w:val="apple-converted-space"/>
          <w:rFonts w:hint="cs"/>
          <w:color w:val="000000"/>
          <w:sz w:val="30"/>
          <w:rtl/>
        </w:rPr>
        <w:t xml:space="preserve"> تقرر اللجنة عدم دراسة الادعاءات الإضافية لصاحب البلاغ التي مفادها أن رفض السماح بالاعتصام لم يكن وفقاً للقانون بحجة أن القانون الوطني يشير فقط إلى الشواغل المتعلقة بالسلامة </w:t>
      </w:r>
      <w:r w:rsidR="0063066C">
        <w:rPr>
          <w:rStyle w:val="apple-converted-space"/>
          <w:rFonts w:hint="cs"/>
          <w:color w:val="000000"/>
          <w:sz w:val="30"/>
          <w:rtl/>
        </w:rPr>
        <w:t xml:space="preserve">العامة </w:t>
      </w:r>
      <w:r>
        <w:rPr>
          <w:rStyle w:val="apple-converted-space"/>
          <w:rFonts w:hint="cs"/>
          <w:color w:val="000000"/>
          <w:sz w:val="30"/>
          <w:rtl/>
        </w:rPr>
        <w:t>مثل خطر انهيار مبنى</w:t>
      </w:r>
      <w:r w:rsidR="0063066C">
        <w:rPr>
          <w:rStyle w:val="apple-converted-space"/>
          <w:rFonts w:hint="cs"/>
          <w:color w:val="000000"/>
          <w:sz w:val="30"/>
          <w:rtl/>
        </w:rPr>
        <w:t xml:space="preserve">، وهو يُلزم </w:t>
      </w:r>
      <w:r>
        <w:rPr>
          <w:rStyle w:val="apple-converted-space"/>
          <w:rFonts w:hint="cs"/>
          <w:color w:val="000000"/>
          <w:sz w:val="30"/>
          <w:rtl/>
        </w:rPr>
        <w:t xml:space="preserve">السلطات </w:t>
      </w:r>
      <w:r w:rsidR="0063066C">
        <w:rPr>
          <w:rStyle w:val="apple-converted-space"/>
          <w:rFonts w:hint="cs"/>
          <w:color w:val="000000"/>
          <w:sz w:val="30"/>
          <w:rtl/>
        </w:rPr>
        <w:t>ب</w:t>
      </w:r>
      <w:r>
        <w:rPr>
          <w:rStyle w:val="apple-converted-space"/>
          <w:rFonts w:hint="cs"/>
          <w:color w:val="000000"/>
          <w:sz w:val="30"/>
          <w:rtl/>
        </w:rPr>
        <w:t xml:space="preserve">تعيين مكان بديل </w:t>
      </w:r>
      <w:r w:rsidR="0063066C">
        <w:rPr>
          <w:rStyle w:val="apple-converted-space"/>
          <w:rFonts w:hint="cs"/>
          <w:color w:val="000000"/>
          <w:sz w:val="30"/>
          <w:rtl/>
        </w:rPr>
        <w:t xml:space="preserve">لتنظيم </w:t>
      </w:r>
      <w:r>
        <w:rPr>
          <w:rStyle w:val="apple-converted-space"/>
          <w:rFonts w:hint="cs"/>
          <w:color w:val="000000"/>
          <w:sz w:val="30"/>
          <w:rtl/>
        </w:rPr>
        <w:t>التجمع عند رفضها للطلب الأصلي.</w:t>
      </w:r>
    </w:p>
    <w:p w:rsidR="006B7E32" w:rsidRDefault="006B7E32" w:rsidP="006B7E32">
      <w:pPr>
        <w:pStyle w:val="SingleTxtGA"/>
        <w:rPr>
          <w:rStyle w:val="apple-converted-space"/>
          <w:rFonts w:hint="cs"/>
          <w:color w:val="000000"/>
          <w:sz w:val="30"/>
          <w:rtl/>
        </w:rPr>
      </w:pPr>
      <w:r>
        <w:rPr>
          <w:rStyle w:val="apple-converted-space"/>
          <w:rFonts w:hint="cs"/>
          <w:color w:val="000000"/>
          <w:sz w:val="30"/>
          <w:rtl/>
        </w:rPr>
        <w:t>10</w:t>
      </w:r>
      <w:r w:rsidRPr="00A75D51">
        <w:rPr>
          <w:rStyle w:val="apple-converted-space"/>
          <w:color w:val="000000"/>
          <w:sz w:val="30"/>
          <w:rtl/>
        </w:rPr>
        <w:t>-</w:t>
      </w:r>
      <w:r>
        <w:rPr>
          <w:rStyle w:val="apple-converted-space"/>
          <w:rFonts w:hint="cs"/>
          <w:color w:val="000000"/>
          <w:sz w:val="30"/>
          <w:rtl/>
        </w:rPr>
        <w:tab/>
      </w:r>
      <w:r w:rsidRPr="00A75D51">
        <w:rPr>
          <w:rStyle w:val="apple-converted-space"/>
          <w:color w:val="000000"/>
          <w:sz w:val="30"/>
          <w:rtl/>
        </w:rPr>
        <w:t>وإن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حق صاحب البلاغ بموجب المادة 21 من العهد.</w:t>
      </w:r>
    </w:p>
    <w:p w:rsidR="006B7E32" w:rsidRDefault="006B7E32" w:rsidP="006154E0">
      <w:pPr>
        <w:pStyle w:val="SingleTxtGA"/>
        <w:rPr>
          <w:rFonts w:hint="cs"/>
          <w:rtl/>
          <w:lang w:val="fr-CH"/>
        </w:rPr>
      </w:pPr>
      <w:r>
        <w:rPr>
          <w:rFonts w:hint="cs"/>
          <w:rtl/>
          <w:lang w:val="fr-CH"/>
        </w:rPr>
        <w:t>11-</w:t>
      </w:r>
      <w:r>
        <w:rPr>
          <w:rFonts w:hint="cs"/>
          <w:rtl/>
          <w:lang w:val="fr-CH"/>
        </w:rPr>
        <w:tab/>
        <w:t xml:space="preserve">وعملاً بالفقرة 3(أ) من المادة 2 من العهد، فإن الدولة الطرف ملزمة بتوفير سبيل انتصاف فعال لصاحب البلاغ، بما في ذلك تقديم تعويض </w:t>
      </w:r>
      <w:r w:rsidR="006154E0">
        <w:rPr>
          <w:rFonts w:hint="cs"/>
          <w:rtl/>
          <w:lang w:val="fr-CH"/>
        </w:rPr>
        <w:t xml:space="preserve">كافٍ </w:t>
      </w:r>
      <w:r>
        <w:rPr>
          <w:rFonts w:hint="cs"/>
          <w:rtl/>
          <w:lang w:val="fr-CH"/>
        </w:rPr>
        <w:t>وسداد أية تكاليف تكبدها في إطار</w:t>
      </w:r>
      <w:r>
        <w:rPr>
          <w:rStyle w:val="apple-converted-space"/>
          <w:rFonts w:hint="cs"/>
          <w:color w:val="000000"/>
          <w:sz w:val="30"/>
          <w:rtl/>
        </w:rPr>
        <w:t xml:space="preserve"> </w:t>
      </w:r>
      <w:r>
        <w:rPr>
          <w:rFonts w:hint="cs"/>
          <w:rtl/>
          <w:lang w:val="fr-CH"/>
        </w:rPr>
        <w:t xml:space="preserve">الإجراءات القانونية. كما أن الدولة الطرف ملزمة باتخاذ خطوات </w:t>
      </w:r>
      <w:r w:rsidR="006154E0">
        <w:rPr>
          <w:rFonts w:hint="cs"/>
          <w:rtl/>
          <w:lang w:val="fr-CH"/>
        </w:rPr>
        <w:t xml:space="preserve">لمنع </w:t>
      </w:r>
      <w:r>
        <w:rPr>
          <w:rFonts w:hint="cs"/>
          <w:rtl/>
          <w:lang w:val="fr-CH"/>
        </w:rPr>
        <w:t xml:space="preserve">أي انتهاكات </w:t>
      </w:r>
      <w:r w:rsidRPr="00963DA3">
        <w:rPr>
          <w:rFonts w:hint="cs"/>
          <w:rtl/>
        </w:rPr>
        <w:t>مماثلة</w:t>
      </w:r>
      <w:r>
        <w:rPr>
          <w:rFonts w:hint="cs"/>
          <w:rtl/>
          <w:lang w:val="fr-CH"/>
        </w:rPr>
        <w:t xml:space="preserve"> في المستقبل.</w:t>
      </w:r>
    </w:p>
    <w:p w:rsidR="006B7E32" w:rsidRPr="002E1D51" w:rsidRDefault="006B7E32" w:rsidP="003209C1">
      <w:pPr>
        <w:pStyle w:val="SingleTxtGA"/>
        <w:rPr>
          <w:rStyle w:val="apple-converted-space"/>
          <w:color w:val="000000"/>
          <w:sz w:val="30"/>
          <w:rtl/>
        </w:rPr>
      </w:pPr>
      <w:r>
        <w:rPr>
          <w:rStyle w:val="apple-converted-space"/>
          <w:rFonts w:hint="cs"/>
          <w:color w:val="000000"/>
          <w:sz w:val="30"/>
          <w:rtl/>
        </w:rPr>
        <w:t>12</w:t>
      </w:r>
      <w:r w:rsidRPr="002E1D51">
        <w:rPr>
          <w:rStyle w:val="apple-converted-space"/>
          <w:color w:val="000000"/>
          <w:sz w:val="30"/>
          <w:rtl/>
        </w:rPr>
        <w:t>-</w:t>
      </w:r>
      <w:r>
        <w:rPr>
          <w:rStyle w:val="apple-converted-space"/>
          <w:rFonts w:hint="cs"/>
          <w:color w:val="000000"/>
          <w:sz w:val="30"/>
          <w:rtl/>
        </w:rPr>
        <w:tab/>
      </w:r>
      <w:r w:rsidRPr="002E1D51">
        <w:rPr>
          <w:rStyle w:val="apple-converted-space"/>
          <w:color w:val="000000"/>
          <w:sz w:val="30"/>
          <w:rtl/>
        </w:rPr>
        <w:t xml:space="preserve">وبما أن الدولة الطرف، بانضمامها إلى البروتوكول الاختياري، اعترفت باختصاص اللجنة في تحديد ما إذا كان هناك انتهاك للعهد وتعهدت، بموجب المادة 2 من العهد، بأن تكفل لجميع الأفراد الموجودين في إقليمها </w:t>
      </w:r>
      <w:r w:rsidR="003209C1">
        <w:rPr>
          <w:rStyle w:val="apple-converted-space"/>
          <w:rFonts w:hint="cs"/>
          <w:color w:val="000000"/>
          <w:sz w:val="30"/>
          <w:rtl/>
        </w:rPr>
        <w:t>والخاضعين ل</w:t>
      </w:r>
      <w:r w:rsidRPr="002E1D51">
        <w:rPr>
          <w:rStyle w:val="apple-converted-space"/>
          <w:color w:val="000000"/>
          <w:sz w:val="30"/>
          <w:rtl/>
        </w:rPr>
        <w:t>ولايتها الحقوق المعترف بها في العهد وبأن تضمن لهم سبيل انتصاف فعالاً وقابلاً للإنفاذ في حالة ثبوت وقوع انتهاك، فإن اللجنة تود أن تتلقى من الدولة الطرف، في غضون 180 يوماً، معلومات عما اتخذته من تدابير لوضع آراء اللجنة موضع التنفيذ. كما تدعو اللجنة الدولة الطرف إلى نشر هذه الآراء على نطاق واسع باللغة الرسمية للدولة الطرف.</w:t>
      </w:r>
    </w:p>
    <w:p w:rsidR="006B7E32" w:rsidRDefault="006B7E32" w:rsidP="006B7E32">
      <w:pPr>
        <w:pStyle w:val="SingleTxtGA"/>
        <w:rPr>
          <w:rFonts w:hint="cs"/>
          <w:rtl/>
        </w:rPr>
      </w:pPr>
      <w:r w:rsidRPr="002E1D51">
        <w:rPr>
          <w:rStyle w:val="apple-converted-space"/>
          <w:color w:val="000000"/>
          <w:sz w:val="30"/>
          <w:rtl/>
        </w:rPr>
        <w:t>[اعتُمدت هذه الآراء بالإسبانية والإنكليزية والفرنسية، علماً بأن النص الإنكليزي هو النص الأصلي. وستصدر لاحقاً بالروسية والصينية والعربية كجزء من تقرير اللجنة السنوي المقدم إلى الجمعية العامة.]</w:t>
      </w:r>
    </w:p>
    <w:p w:rsidR="00105E19" w:rsidRPr="00105E19" w:rsidRDefault="00105E19" w:rsidP="00DC45FB">
      <w:pPr>
        <w:spacing w:before="120"/>
        <w:jc w:val="center"/>
        <w:rPr>
          <w:rFonts w:hint="cs"/>
          <w:u w:val="single"/>
          <w:rtl/>
        </w:rPr>
      </w:pPr>
      <w:r>
        <w:rPr>
          <w:u w:val="single"/>
          <w:rtl/>
        </w:rPr>
        <w:tab/>
      </w:r>
      <w:r>
        <w:rPr>
          <w:u w:val="single"/>
          <w:rtl/>
        </w:rPr>
        <w:tab/>
      </w:r>
      <w:r>
        <w:rPr>
          <w:u w:val="single"/>
          <w:rtl/>
        </w:rPr>
        <w:tab/>
      </w:r>
    </w:p>
    <w:sectPr w:rsidR="00105E19" w:rsidRPr="00105E19"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96E" w:rsidRPr="00FE6865" w:rsidRDefault="0034096E" w:rsidP="00FE6865">
      <w:pPr>
        <w:pStyle w:val="Footer"/>
      </w:pPr>
    </w:p>
  </w:endnote>
  <w:endnote w:type="continuationSeparator" w:id="0">
    <w:p w:rsidR="0034096E" w:rsidRDefault="00340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E" w:rsidRPr="00D54D30" w:rsidRDefault="0081365E" w:rsidP="00D14096">
    <w:pPr>
      <w:pStyle w:val="Footer"/>
      <w:tabs>
        <w:tab w:val="right" w:pos="9598"/>
      </w:tabs>
    </w:pPr>
    <w:r>
      <w:t>GE.13-49338</w:t>
    </w:r>
    <w:r>
      <w:tab/>
    </w:r>
    <w:r w:rsidRPr="00D54D30">
      <w:rPr>
        <w:b/>
        <w:sz w:val="18"/>
      </w:rPr>
      <w:fldChar w:fldCharType="begin"/>
    </w:r>
    <w:r w:rsidRPr="00D54D30">
      <w:rPr>
        <w:b/>
        <w:sz w:val="18"/>
      </w:rPr>
      <w:instrText xml:space="preserve"> PAGE  \* MERGEFORMAT </w:instrText>
    </w:r>
    <w:r w:rsidRPr="00D54D30">
      <w:rPr>
        <w:b/>
        <w:sz w:val="18"/>
      </w:rPr>
      <w:fldChar w:fldCharType="separate"/>
    </w:r>
    <w:r w:rsidR="003C5CDF">
      <w:rPr>
        <w:b/>
        <w:noProof/>
        <w:sz w:val="18"/>
      </w:rPr>
      <w:t>2</w:t>
    </w:r>
    <w:r w:rsidRPr="00D54D3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E" w:rsidRPr="00D14096" w:rsidRDefault="0081365E" w:rsidP="00D14096">
    <w:pPr>
      <w:pStyle w:val="Footer"/>
      <w:tabs>
        <w:tab w:val="right" w:pos="9598"/>
      </w:tabs>
      <w:rPr>
        <w:b/>
        <w:sz w:val="18"/>
        <w:lang w:val="en-US"/>
      </w:rPr>
    </w:pPr>
    <w:r w:rsidRPr="00D54D30">
      <w:rPr>
        <w:b/>
        <w:sz w:val="18"/>
      </w:rPr>
      <w:fldChar w:fldCharType="begin"/>
    </w:r>
    <w:r w:rsidRPr="00D54D30">
      <w:rPr>
        <w:b/>
        <w:sz w:val="18"/>
      </w:rPr>
      <w:instrText xml:space="preserve"> PAGE  \* MERGEFORMAT </w:instrText>
    </w:r>
    <w:r w:rsidRPr="00D54D30">
      <w:rPr>
        <w:b/>
        <w:sz w:val="18"/>
      </w:rPr>
      <w:fldChar w:fldCharType="separate"/>
    </w:r>
    <w:r w:rsidR="003C5CDF">
      <w:rPr>
        <w:b/>
        <w:noProof/>
        <w:sz w:val="18"/>
      </w:rPr>
      <w:t>11</w:t>
    </w:r>
    <w:r w:rsidRPr="00D54D30">
      <w:rPr>
        <w:b/>
        <w:sz w:val="18"/>
      </w:rPr>
      <w:fldChar w:fldCharType="end"/>
    </w:r>
    <w:r>
      <w:rPr>
        <w:b/>
        <w:sz w:val="18"/>
      </w:rPr>
      <w:tab/>
    </w:r>
    <w:r>
      <w:t>GE.13-4933</w:t>
    </w:r>
    <w:r w:rsidR="00D14096">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E" w:rsidRDefault="0081365E" w:rsidP="00D14096">
    <w:pPr>
      <w:pStyle w:val="Footer"/>
      <w:jc w:val="right"/>
    </w:pPr>
    <w:r>
      <w:rPr>
        <w:sz w:val="20"/>
      </w:rPr>
      <w:t>(A)   GE.13-49338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437B2E">
      <w:rPr>
        <w:sz w:val="20"/>
      </w:rPr>
      <w:t xml:space="preserve">    160114    170114</w:t>
    </w:r>
    <w:r w:rsidR="003C5CDF">
      <w:br/>
    </w:r>
    <w:r w:rsidR="003C5CDF" w:rsidRPr="003C5CDF">
      <w:rPr>
        <w:rFonts w:ascii="C39T30Lfz" w:hAnsi="C39T30Lfz"/>
        <w:sz w:val="56"/>
      </w:rPr>
      <w:t></w:t>
    </w:r>
    <w:r w:rsidR="003C5CDF" w:rsidRPr="003C5CDF">
      <w:rPr>
        <w:rFonts w:ascii="C39T30Lfz" w:hAnsi="C39T30Lfz"/>
        <w:sz w:val="56"/>
      </w:rPr>
      <w:t></w:t>
    </w:r>
    <w:r w:rsidR="003C5CDF" w:rsidRPr="003C5CDF">
      <w:rPr>
        <w:rFonts w:ascii="C39T30Lfz" w:hAnsi="C39T30Lfz"/>
        <w:sz w:val="56"/>
      </w:rPr>
      <w:t></w:t>
    </w:r>
    <w:r w:rsidR="003C5CDF" w:rsidRPr="003C5CDF">
      <w:rPr>
        <w:rFonts w:ascii="C39T30Lfz" w:hAnsi="C39T30Lfz"/>
        <w:sz w:val="56"/>
      </w:rPr>
      <w:t></w:t>
    </w:r>
    <w:r w:rsidR="003C5CDF" w:rsidRPr="003C5CDF">
      <w:rPr>
        <w:rFonts w:ascii="C39T30Lfz" w:hAnsi="C39T30Lfz"/>
        <w:sz w:val="56"/>
      </w:rPr>
      <w:t></w:t>
    </w:r>
    <w:r w:rsidR="003C5CDF" w:rsidRPr="003C5CDF">
      <w:rPr>
        <w:rFonts w:ascii="C39T30Lfz" w:hAnsi="C39T30Lfz"/>
        <w:sz w:val="56"/>
      </w:rPr>
      <w:t></w:t>
    </w:r>
    <w:r w:rsidR="003C5CDF" w:rsidRPr="003C5CDF">
      <w:rPr>
        <w:rFonts w:ascii="C39T30Lfz" w:hAnsi="C39T30Lfz"/>
        <w:sz w:val="56"/>
      </w:rPr>
      <w:t></w:t>
    </w:r>
    <w:r w:rsidR="003C5CDF" w:rsidRPr="003C5CDF">
      <w:rPr>
        <w:rFonts w:ascii="C39T30Lfz" w:hAnsi="C39T30Lfz"/>
        <w:sz w:val="56"/>
      </w:rPr>
      <w:t></w:t>
    </w:r>
    <w:r w:rsidR="003C5CDF" w:rsidRPr="003C5CDF">
      <w:rPr>
        <w:rFonts w:ascii="C39T30Lfz" w:hAnsi="C39T30Lfz"/>
        <w:sz w:val="56"/>
      </w:rPr>
      <w:t></w:t>
    </w:r>
    <w:r w:rsidR="003C5CDF">
      <w:rPr>
        <w:noProof/>
        <w:lang w:val="en-US"/>
      </w:rPr>
      <w:pict>
        <v:shape id="_x0000_s2054" type="#_x0000_t75" style="position:absolute;left:0;text-align:left;margin-left:.05pt;margin-top:0;width:50.25pt;height:50.25pt;z-index:3;mso-position-horizontal-relative:text;mso-position-vertical-relative:text" o:allowincell="f">
          <v:imagedata r:id="rId2" o:title="2009&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96E" w:rsidRDefault="0034096E" w:rsidP="007E4686">
      <w:pPr>
        <w:pStyle w:val="Footer"/>
        <w:bidi/>
        <w:spacing w:after="80" w:line="200" w:lineRule="exact"/>
        <w:ind w:left="680"/>
      </w:pPr>
      <w:r>
        <w:rPr>
          <w:rFonts w:hint="cs"/>
          <w:rtl/>
        </w:rPr>
        <w:t>__________</w:t>
      </w:r>
    </w:p>
  </w:footnote>
  <w:footnote w:type="continuationSeparator" w:id="0">
    <w:p w:rsidR="0034096E" w:rsidRDefault="0034096E" w:rsidP="007E4686">
      <w:pPr>
        <w:pStyle w:val="Footer"/>
        <w:bidi/>
        <w:spacing w:after="80" w:line="200" w:lineRule="exact"/>
        <w:ind w:left="680"/>
      </w:pPr>
      <w:r>
        <w:rPr>
          <w:rFonts w:hint="cs"/>
          <w:rtl/>
        </w:rPr>
        <w:t>__________</w:t>
      </w:r>
    </w:p>
  </w:footnote>
  <w:footnote w:id="1">
    <w:p w:rsidR="009A02ED" w:rsidRPr="009A02ED" w:rsidRDefault="009A02ED" w:rsidP="00DB05B3">
      <w:pPr>
        <w:pStyle w:val="footnoteText0"/>
        <w:rPr>
          <w:rFonts w:hint="cs"/>
        </w:rPr>
      </w:pPr>
      <w:r>
        <w:rPr>
          <w:rtl/>
        </w:rPr>
        <w:tab/>
      </w:r>
      <w:r w:rsidRPr="009A02ED">
        <w:rPr>
          <w:rStyle w:val="FootnoteReference"/>
          <w:sz w:val="20"/>
          <w:vertAlign w:val="baseline"/>
          <w:rtl/>
        </w:rPr>
        <w:t>*</w:t>
      </w:r>
      <w:r>
        <w:rPr>
          <w:rtl/>
        </w:rPr>
        <w:tab/>
      </w:r>
      <w:r w:rsidRPr="009A02ED">
        <w:rPr>
          <w:rFonts w:hint="cs"/>
          <w:rtl/>
        </w:rPr>
        <w:t xml:space="preserve">شارك في دراسة هذا البلاغ أعضاء اللجنة التالية أسماؤهم: </w:t>
      </w:r>
      <w:r w:rsidRPr="009A02ED">
        <w:rPr>
          <w:rtl/>
        </w:rPr>
        <w:t>السيد عياض بن عاشور</w:t>
      </w:r>
      <w:r w:rsidRPr="009A02ED">
        <w:rPr>
          <w:rFonts w:hint="cs"/>
          <w:rtl/>
        </w:rPr>
        <w:t>، والسيد لزها</w:t>
      </w:r>
      <w:r w:rsidRPr="009A02ED">
        <w:rPr>
          <w:rtl/>
        </w:rPr>
        <w:t>ري بوزيد،</w:t>
      </w:r>
      <w:r w:rsidRPr="009A02ED">
        <w:rPr>
          <w:rFonts w:hint="cs"/>
          <w:rtl/>
        </w:rPr>
        <w:t xml:space="preserve"> </w:t>
      </w:r>
      <w:r w:rsidRPr="009A02ED">
        <w:rPr>
          <w:rtl/>
        </w:rPr>
        <w:t xml:space="preserve">والسيد أحمد أمين فتح الله، </w:t>
      </w:r>
      <w:r w:rsidRPr="009A02ED">
        <w:rPr>
          <w:rFonts w:hint="cs"/>
          <w:rtl/>
        </w:rPr>
        <w:t>والسيد كورنيليس فلي</w:t>
      </w:r>
      <w:r w:rsidR="00C06682">
        <w:rPr>
          <w:rFonts w:hint="cs"/>
          <w:rtl/>
        </w:rPr>
        <w:t>ن</w:t>
      </w:r>
      <w:r w:rsidRPr="009A02ED">
        <w:rPr>
          <w:rFonts w:hint="cs"/>
          <w:rtl/>
        </w:rPr>
        <w:t xml:space="preserve">ترمان، </w:t>
      </w:r>
      <w:r w:rsidRPr="009A02ED">
        <w:rPr>
          <w:rtl/>
        </w:rPr>
        <w:t>والسيد يو</w:t>
      </w:r>
      <w:r w:rsidRPr="009A02ED">
        <w:rPr>
          <w:rFonts w:hint="cs"/>
          <w:rtl/>
        </w:rPr>
        <w:t>ج</w:t>
      </w:r>
      <w:r w:rsidRPr="009A02ED">
        <w:rPr>
          <w:rtl/>
        </w:rPr>
        <w:t xml:space="preserve">ي إواساوا، </w:t>
      </w:r>
      <w:r w:rsidRPr="009A02ED">
        <w:rPr>
          <w:rFonts w:hint="cs"/>
          <w:rtl/>
        </w:rPr>
        <w:t xml:space="preserve">والسيد فالتر كالين، </w:t>
      </w:r>
      <w:r w:rsidRPr="009A02ED">
        <w:rPr>
          <w:rtl/>
        </w:rPr>
        <w:t>والسيدة زونكي زانيلي ماجودينا،</w:t>
      </w:r>
      <w:r w:rsidRPr="009A02ED">
        <w:rPr>
          <w:rFonts w:hint="cs"/>
          <w:rtl/>
        </w:rPr>
        <w:t xml:space="preserve"> والسيد </w:t>
      </w:r>
      <w:r w:rsidRPr="009A02ED">
        <w:rPr>
          <w:rtl/>
        </w:rPr>
        <w:t>خيشو بَرساد ماتادين</w:t>
      </w:r>
      <w:r w:rsidR="00C06682">
        <w:rPr>
          <w:rFonts w:hint="cs"/>
          <w:rtl/>
        </w:rPr>
        <w:t>،</w:t>
      </w:r>
      <w:r w:rsidRPr="009A02ED">
        <w:rPr>
          <w:rFonts w:hint="cs"/>
          <w:rtl/>
        </w:rPr>
        <w:t xml:space="preserve"> والسيد جيرالد ل. نومان، </w:t>
      </w:r>
      <w:r w:rsidRPr="009A02ED">
        <w:rPr>
          <w:rtl/>
        </w:rPr>
        <w:t>والسير نايجل رودلي</w:t>
      </w:r>
      <w:r w:rsidRPr="009A02ED">
        <w:rPr>
          <w:rFonts w:hint="cs"/>
          <w:rtl/>
        </w:rPr>
        <w:t>، و</w:t>
      </w:r>
      <w:r w:rsidRPr="009A02ED">
        <w:rPr>
          <w:rtl/>
        </w:rPr>
        <w:t xml:space="preserve">السيد </w:t>
      </w:r>
      <w:r w:rsidRPr="009A02ED">
        <w:rPr>
          <w:rFonts w:hint="cs"/>
          <w:rtl/>
        </w:rPr>
        <w:t>في</w:t>
      </w:r>
      <w:r w:rsidRPr="009A02ED">
        <w:rPr>
          <w:rtl/>
        </w:rPr>
        <w:t xml:space="preserve">كتور مانويل رودريغيس </w:t>
      </w:r>
      <w:r w:rsidR="00DB05B3">
        <w:rPr>
          <w:rFonts w:hint="cs"/>
          <w:rtl/>
        </w:rPr>
        <w:t xml:space="preserve">- </w:t>
      </w:r>
      <w:r w:rsidRPr="009A02ED">
        <w:rPr>
          <w:rtl/>
        </w:rPr>
        <w:t>ريسيا</w:t>
      </w:r>
      <w:r w:rsidRPr="009A02ED">
        <w:rPr>
          <w:rFonts w:hint="cs"/>
          <w:rtl/>
        </w:rPr>
        <w:t>،</w:t>
      </w:r>
      <w:r w:rsidRPr="009A02ED">
        <w:rPr>
          <w:rtl/>
        </w:rPr>
        <w:t xml:space="preserve"> والسيد فابيان عمر سالفيولي،</w:t>
      </w:r>
      <w:r w:rsidRPr="009A02ED">
        <w:rPr>
          <w:rFonts w:hint="cs"/>
          <w:rtl/>
        </w:rPr>
        <w:t xml:space="preserve"> والسيدة أنيا زايبرت - فور، والسيد </w:t>
      </w:r>
      <w:r w:rsidRPr="009A02ED">
        <w:rPr>
          <w:rtl/>
        </w:rPr>
        <w:t>يوفال شاني</w:t>
      </w:r>
      <w:r w:rsidRPr="009A02ED">
        <w:rPr>
          <w:rFonts w:hint="cs"/>
          <w:rtl/>
        </w:rPr>
        <w:t xml:space="preserve">، والسيد كونسطنطين </w:t>
      </w:r>
      <w:r w:rsidRPr="009A02ED">
        <w:rPr>
          <w:rtl/>
        </w:rPr>
        <w:t>فاردزيلاشفيلي</w:t>
      </w:r>
      <w:r w:rsidRPr="009A02ED">
        <w:rPr>
          <w:rFonts w:hint="cs"/>
          <w:rtl/>
        </w:rPr>
        <w:t>، والسيدة مارغو واترفال.</w:t>
      </w:r>
    </w:p>
  </w:footnote>
  <w:footnote w:id="2">
    <w:p w:rsidR="006F77AD" w:rsidRPr="002B4AB1" w:rsidRDefault="006F77AD" w:rsidP="006F77AD">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دخل البروتوكول الاختياري حيز النفاذ في الدولة الطرف في 1 كانون الثاني/يناير 1992.</w:t>
      </w:r>
    </w:p>
  </w:footnote>
  <w:footnote w:id="3">
    <w:p w:rsidR="0030682C" w:rsidRPr="002B4AB1" w:rsidRDefault="0030682C" w:rsidP="0030682C">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 xml:space="preserve">المحكمة الأوروبية لحقوق الإنسان، قضية </w:t>
      </w:r>
      <w:r w:rsidRPr="00B005A1">
        <w:rPr>
          <w:rFonts w:hint="cs"/>
          <w:i/>
          <w:iCs/>
          <w:sz w:val="18"/>
          <w:szCs w:val="26"/>
          <w:rtl/>
        </w:rPr>
        <w:t>مارتينتس ضد روسيا</w:t>
      </w:r>
      <w:r w:rsidRPr="002B4AB1">
        <w:rPr>
          <w:rFonts w:hint="cs"/>
          <w:sz w:val="18"/>
          <w:szCs w:val="26"/>
          <w:rtl/>
        </w:rPr>
        <w:t>، الطلب رقم 29612</w:t>
      </w:r>
      <w:r w:rsidR="002347AE">
        <w:rPr>
          <w:rFonts w:hint="cs"/>
          <w:sz w:val="18"/>
          <w:szCs w:val="26"/>
          <w:rtl/>
        </w:rPr>
        <w:t>/09</w:t>
      </w:r>
      <w:r w:rsidRPr="002B4AB1">
        <w:rPr>
          <w:rFonts w:hint="cs"/>
          <w:sz w:val="18"/>
          <w:szCs w:val="26"/>
          <w:rtl/>
        </w:rPr>
        <w:t>، القرار الصادر في 5 تشرين الثاني/نوفمبر 2009 فيما يخص المقبولية.</w:t>
      </w:r>
    </w:p>
  </w:footnote>
  <w:footnote w:id="4">
    <w:p w:rsidR="006F77AD" w:rsidRPr="002B4AB1" w:rsidRDefault="006F77AD" w:rsidP="006F77AD">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 xml:space="preserve">سجلت الطلبات لدى المحكمة الأوروبية لحقوق الإنسان تحت الأرقام </w:t>
      </w:r>
      <w:r w:rsidR="00B005A1">
        <w:rPr>
          <w:rFonts w:hint="cs"/>
          <w:sz w:val="18"/>
          <w:szCs w:val="26"/>
          <w:rtl/>
        </w:rPr>
        <w:t>4916/07؛ و25924/08؛ و</w:t>
      </w:r>
      <w:r w:rsidRPr="002B4AB1">
        <w:rPr>
          <w:rFonts w:hint="cs"/>
          <w:sz w:val="18"/>
          <w:szCs w:val="26"/>
          <w:rtl/>
        </w:rPr>
        <w:t>14500/09.</w:t>
      </w:r>
    </w:p>
  </w:footnote>
  <w:footnote w:id="5">
    <w:p w:rsidR="006F77AD" w:rsidRPr="002B4AB1" w:rsidRDefault="006F77AD" w:rsidP="006F77AD">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 xml:space="preserve"> انظر المحكمة الأوروبية لحقوق الإنسان، قضية </w:t>
      </w:r>
      <w:r w:rsidRPr="00B005A1">
        <w:rPr>
          <w:rFonts w:hint="cs"/>
          <w:i/>
          <w:iCs/>
          <w:sz w:val="18"/>
          <w:szCs w:val="26"/>
          <w:rtl/>
        </w:rPr>
        <w:t>ألكسييف ضد روسيا</w:t>
      </w:r>
      <w:r w:rsidRPr="002B4AB1">
        <w:rPr>
          <w:rFonts w:hint="cs"/>
          <w:sz w:val="18"/>
          <w:szCs w:val="26"/>
          <w:rtl/>
        </w:rPr>
        <w:t>، الطلبات المرقمة 4916/07؛ و25924/08؛ و14500/09.</w:t>
      </w:r>
    </w:p>
  </w:footnote>
  <w:footnote w:id="6">
    <w:p w:rsidR="006F77AD" w:rsidRPr="002B4AB1" w:rsidRDefault="006F77AD" w:rsidP="006F77AD">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 xml:space="preserve">انظر، على سبيل المثال، البلاغ رقم 1002/2001، </w:t>
      </w:r>
      <w:r w:rsidRPr="00B005A1">
        <w:rPr>
          <w:rFonts w:hint="cs"/>
          <w:i/>
          <w:iCs/>
          <w:sz w:val="18"/>
          <w:szCs w:val="26"/>
          <w:rtl/>
        </w:rPr>
        <w:t>فالمان وآخرون ضد النمسا</w:t>
      </w:r>
      <w:r w:rsidRPr="002B4AB1">
        <w:rPr>
          <w:rFonts w:hint="cs"/>
          <w:sz w:val="18"/>
          <w:szCs w:val="26"/>
          <w:rtl/>
        </w:rPr>
        <w:t>، الآراء المعتمدة في 1 نيسان/أبريل 2004، الفقرة 8-4.</w:t>
      </w:r>
    </w:p>
  </w:footnote>
  <w:footnote w:id="7">
    <w:p w:rsidR="006F77AD" w:rsidRPr="002B4AB1" w:rsidRDefault="006F77AD" w:rsidP="00B005A1">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 xml:space="preserve">انظر، في جملة مراجع أخرى، البلاغ رقم 836/1998، </w:t>
      </w:r>
      <w:r w:rsidR="007A3BCD">
        <w:rPr>
          <w:rFonts w:hint="cs"/>
          <w:i/>
          <w:iCs/>
          <w:sz w:val="18"/>
          <w:szCs w:val="26"/>
          <w:rtl/>
        </w:rPr>
        <w:t>جيلا</w:t>
      </w:r>
      <w:r w:rsidRPr="00B005A1">
        <w:rPr>
          <w:rFonts w:hint="cs"/>
          <w:i/>
          <w:iCs/>
          <w:sz w:val="18"/>
          <w:szCs w:val="26"/>
          <w:rtl/>
        </w:rPr>
        <w:t>زاوسكس ضد ليتوانيا</w:t>
      </w:r>
      <w:r w:rsidRPr="002B4AB1">
        <w:rPr>
          <w:rFonts w:hint="cs"/>
          <w:sz w:val="18"/>
          <w:szCs w:val="26"/>
          <w:rtl/>
        </w:rPr>
        <w:t>، الآراء المعتمدة في</w:t>
      </w:r>
      <w:r w:rsidR="00B005A1">
        <w:rPr>
          <w:rFonts w:hint="eastAsia"/>
          <w:sz w:val="18"/>
          <w:szCs w:val="26"/>
          <w:rtl/>
        </w:rPr>
        <w:t> </w:t>
      </w:r>
      <w:r w:rsidRPr="002B4AB1">
        <w:rPr>
          <w:rFonts w:hint="cs"/>
          <w:sz w:val="18"/>
          <w:szCs w:val="26"/>
          <w:rtl/>
        </w:rPr>
        <w:t xml:space="preserve">17 آذار/مارس 2003، والبلاغ رقم 1537/2006، </w:t>
      </w:r>
      <w:r w:rsidRPr="00B005A1">
        <w:rPr>
          <w:rFonts w:hint="cs"/>
          <w:i/>
          <w:iCs/>
          <w:sz w:val="18"/>
          <w:szCs w:val="26"/>
          <w:rtl/>
        </w:rPr>
        <w:t>غيراشينكو ضد بيلاروس</w:t>
      </w:r>
      <w:r w:rsidRPr="002B4AB1">
        <w:rPr>
          <w:rFonts w:hint="cs"/>
          <w:sz w:val="18"/>
          <w:szCs w:val="26"/>
          <w:rtl/>
        </w:rPr>
        <w:t>، قرار عدم المقبولية المعتمد في 23 تشرين الأول/أكتوبر 2009.</w:t>
      </w:r>
    </w:p>
  </w:footnote>
  <w:footnote w:id="8">
    <w:p w:rsidR="006F77AD" w:rsidRPr="002B4AB1" w:rsidRDefault="006F77AD" w:rsidP="006F77AD">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 xml:space="preserve">انظر، على سبيل المثال، البلاغ رقم 1866/2009، </w:t>
      </w:r>
      <w:r w:rsidRPr="00B005A1">
        <w:rPr>
          <w:rFonts w:hint="cs"/>
          <w:i/>
          <w:iCs/>
          <w:sz w:val="18"/>
          <w:szCs w:val="26"/>
          <w:rtl/>
        </w:rPr>
        <w:t>شبوطرفا ضد الاتحاد الروسي</w:t>
      </w:r>
      <w:r w:rsidRPr="002B4AB1">
        <w:rPr>
          <w:rFonts w:hint="cs"/>
          <w:sz w:val="18"/>
          <w:szCs w:val="26"/>
          <w:rtl/>
        </w:rPr>
        <w:t xml:space="preserve">، الآراء المعتمدة في 26 آذار/مارس 2012، الفقرة 8-3. </w:t>
      </w:r>
    </w:p>
  </w:footnote>
  <w:footnote w:id="9">
    <w:p w:rsidR="006F77AD" w:rsidRPr="002B4AB1" w:rsidRDefault="006F77AD" w:rsidP="00B005A1">
      <w:pPr>
        <w:pStyle w:val="FootnoteText"/>
        <w:numPr>
          <w:ilvl w:val="0"/>
          <w:numId w:val="40"/>
        </w:numPr>
        <w:tabs>
          <w:tab w:val="clear" w:pos="1301"/>
        </w:tabs>
        <w:spacing w:after="60" w:line="300" w:lineRule="exact"/>
        <w:ind w:left="1247" w:right="1247"/>
        <w:rPr>
          <w:sz w:val="18"/>
          <w:szCs w:val="26"/>
        </w:rPr>
      </w:pPr>
      <w:r w:rsidRPr="002B4AB1">
        <w:rPr>
          <w:rFonts w:hint="cs"/>
          <w:sz w:val="18"/>
          <w:szCs w:val="26"/>
          <w:rtl/>
        </w:rPr>
        <w:t xml:space="preserve">انظر البلاغ رقم 1948/2010، </w:t>
      </w:r>
      <w:r w:rsidR="007A3BCD">
        <w:rPr>
          <w:rFonts w:hint="cs"/>
          <w:i/>
          <w:iCs/>
          <w:sz w:val="18"/>
          <w:szCs w:val="26"/>
          <w:rtl/>
        </w:rPr>
        <w:t>دي</w:t>
      </w:r>
      <w:r w:rsidRPr="00B005A1">
        <w:rPr>
          <w:rFonts w:hint="cs"/>
          <w:i/>
          <w:iCs/>
          <w:sz w:val="18"/>
          <w:szCs w:val="26"/>
          <w:rtl/>
        </w:rPr>
        <w:t>س تورشنياك وآخرون ضد بيلاروس</w:t>
      </w:r>
      <w:r w:rsidRPr="002B4AB1">
        <w:rPr>
          <w:rFonts w:hint="cs"/>
          <w:sz w:val="18"/>
          <w:szCs w:val="26"/>
          <w:rtl/>
        </w:rPr>
        <w:t>، الآراء المعتمدة في 24 تموز/</w:t>
      </w:r>
      <w:r w:rsidR="00B005A1">
        <w:rPr>
          <w:rFonts w:hint="cs"/>
          <w:sz w:val="18"/>
          <w:szCs w:val="26"/>
          <w:rtl/>
        </w:rPr>
        <w:t xml:space="preserve"> </w:t>
      </w:r>
      <w:r w:rsidRPr="002B4AB1">
        <w:rPr>
          <w:rFonts w:hint="cs"/>
          <w:sz w:val="18"/>
          <w:szCs w:val="26"/>
          <w:rtl/>
        </w:rPr>
        <w:t>يوليه 2013، الفقرة 7</w:t>
      </w:r>
      <w:r w:rsidR="00B005A1">
        <w:rPr>
          <w:rFonts w:hint="cs"/>
          <w:sz w:val="18"/>
          <w:szCs w:val="26"/>
          <w:rtl/>
        </w:rPr>
        <w:t>-</w:t>
      </w:r>
      <w:r w:rsidRPr="002B4AB1">
        <w:rPr>
          <w:rFonts w:hint="cs"/>
          <w:sz w:val="18"/>
          <w:szCs w:val="26"/>
          <w:rtl/>
        </w:rPr>
        <w:t>4.</w:t>
      </w:r>
    </w:p>
  </w:footnote>
  <w:footnote w:id="10">
    <w:p w:rsidR="006F77AD" w:rsidRPr="006F77AD" w:rsidRDefault="007A3BCD" w:rsidP="00B005A1">
      <w:pPr>
        <w:pStyle w:val="FootnoteText"/>
        <w:numPr>
          <w:ilvl w:val="0"/>
          <w:numId w:val="40"/>
        </w:numPr>
        <w:tabs>
          <w:tab w:val="clear" w:pos="1301"/>
        </w:tabs>
        <w:spacing w:after="60" w:line="300" w:lineRule="exact"/>
        <w:ind w:left="1247" w:right="1247"/>
      </w:pPr>
      <w:r>
        <w:rPr>
          <w:rFonts w:hint="cs"/>
          <w:sz w:val="18"/>
          <w:szCs w:val="26"/>
          <w:rtl/>
        </w:rPr>
        <w:t>انظر تعليق اللجنة العام رقم 34</w:t>
      </w:r>
      <w:r w:rsidR="006F77AD" w:rsidRPr="002B4AB1">
        <w:rPr>
          <w:rFonts w:hint="cs"/>
          <w:sz w:val="18"/>
          <w:szCs w:val="26"/>
          <w:rtl/>
        </w:rPr>
        <w:t xml:space="preserve">(2011) بشأن حرية الرأي والتعبير، الفقرة 23، </w:t>
      </w:r>
      <w:r w:rsidR="006F77AD" w:rsidRPr="00B005A1">
        <w:rPr>
          <w:rFonts w:hint="cs"/>
          <w:i/>
          <w:iCs/>
          <w:sz w:val="18"/>
          <w:szCs w:val="26"/>
          <w:rtl/>
        </w:rPr>
        <w:t>الوثائق الرسمية للجمعية العامة، الدورة السادسة والستون، الملحق رقم 40</w:t>
      </w:r>
      <w:r w:rsidR="00B005A1">
        <w:rPr>
          <w:rFonts w:hint="cs"/>
          <w:sz w:val="18"/>
          <w:szCs w:val="26"/>
          <w:rtl/>
        </w:rPr>
        <w:t>،</w:t>
      </w:r>
      <w:r w:rsidR="006F77AD" w:rsidRPr="002B4AB1">
        <w:rPr>
          <w:rFonts w:hint="cs"/>
          <w:sz w:val="18"/>
          <w:szCs w:val="26"/>
          <w:rtl/>
        </w:rPr>
        <w:t xml:space="preserve"> المجلد الأول </w:t>
      </w:r>
      <w:r w:rsidR="006F77AD" w:rsidRPr="002B4AB1">
        <w:rPr>
          <w:sz w:val="18"/>
          <w:szCs w:val="26"/>
        </w:rPr>
        <w:t>(A/66/40)</w:t>
      </w:r>
      <w:r w:rsidR="003E0F44">
        <w:rPr>
          <w:rFonts w:hint="cs"/>
          <w:sz w:val="18"/>
          <w:szCs w:val="26"/>
          <w:rtl/>
        </w:rPr>
        <w:t>،</w:t>
      </w:r>
      <w:r w:rsidR="006F77AD" w:rsidRPr="002B4AB1">
        <w:rPr>
          <w:rFonts w:hint="cs"/>
          <w:sz w:val="18"/>
          <w:szCs w:val="26"/>
          <w:rtl/>
        </w:rPr>
        <w:t xml:space="preserve"> المرفق الخامس. وتلاحظ اللجنة أنه رغم إشارة التعليق العام رقم 34 إلى المادة 19 من العهد، فإنه يقدم أيضاً توجيهات فيما يتعلق بعناصر واردة في المادة 21. انظر البلاغ رقم 1790</w:t>
      </w:r>
      <w:r w:rsidR="006F77AD" w:rsidRPr="002B4AB1">
        <w:rPr>
          <w:sz w:val="18"/>
          <w:szCs w:val="26"/>
          <w:rtl/>
        </w:rPr>
        <w:t>/</w:t>
      </w:r>
      <w:r w:rsidR="006F77AD" w:rsidRPr="002B4AB1">
        <w:rPr>
          <w:rFonts w:hint="cs"/>
          <w:sz w:val="18"/>
          <w:szCs w:val="26"/>
          <w:rtl/>
        </w:rPr>
        <w:t xml:space="preserve">2008، </w:t>
      </w:r>
      <w:r w:rsidR="006F77AD" w:rsidRPr="00B005A1">
        <w:rPr>
          <w:rFonts w:hint="cs"/>
          <w:i/>
          <w:iCs/>
          <w:sz w:val="18"/>
          <w:szCs w:val="26"/>
          <w:rtl/>
        </w:rPr>
        <w:t>غوفشا وآخرون ضد بيلاروس</w:t>
      </w:r>
      <w:r w:rsidR="006F77AD" w:rsidRPr="002B4AB1">
        <w:rPr>
          <w:rFonts w:hint="cs"/>
          <w:sz w:val="18"/>
          <w:szCs w:val="26"/>
          <w:rtl/>
        </w:rPr>
        <w:t>، الآراء المعتمدة في 27 تموز/يوليه 2012، الفقرة 9</w:t>
      </w:r>
      <w:r w:rsidR="00B005A1">
        <w:rPr>
          <w:rFonts w:hint="cs"/>
          <w:sz w:val="18"/>
          <w:szCs w:val="26"/>
          <w:rtl/>
        </w:rPr>
        <w:t>-</w:t>
      </w:r>
      <w:r w:rsidR="006F77AD" w:rsidRPr="002B4AB1">
        <w:rPr>
          <w:rFonts w:hint="cs"/>
          <w:sz w:val="18"/>
          <w:szCs w:val="26"/>
          <w:rtl/>
        </w:rPr>
        <w:t>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E" w:rsidRPr="00D54D30" w:rsidRDefault="0081365E" w:rsidP="00D54D30">
    <w:pPr>
      <w:pStyle w:val="Header"/>
      <w:jc w:val="right"/>
    </w:pPr>
    <w:r w:rsidRPr="00D54D30">
      <w:t>CCPR/C/109/D/1873/2009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E" w:rsidRPr="00D54D30" w:rsidRDefault="0081365E" w:rsidP="00D54D30">
    <w:pPr>
      <w:pStyle w:val="Header"/>
      <w:jc w:val="left"/>
    </w:pPr>
    <w:r w:rsidRPr="00D54D30">
      <w:t>CCPR/C/109/D/1873/2009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E" w:rsidRDefault="0081365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81365E" w:rsidRPr="008F6743" w:rsidRDefault="0081365E"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337581"/>
    <w:multiLevelType w:val="hybridMultilevel"/>
    <w:tmpl w:val="1FAEBECC"/>
    <w:lvl w:ilvl="0" w:tplc="DBE21818">
      <w:start w:val="1"/>
      <w:numFmt w:val="decimal"/>
      <w:lvlRestart w:val="0"/>
      <w:lvlText w:val="(%1)"/>
      <w:lvlJc w:val="right"/>
      <w:pPr>
        <w:tabs>
          <w:tab w:val="num" w:pos="1301"/>
        </w:tabs>
        <w:ind w:left="130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5F2"/>
    <w:rsid w:val="000250A2"/>
    <w:rsid w:val="00040E25"/>
    <w:rsid w:val="00042149"/>
    <w:rsid w:val="000648EA"/>
    <w:rsid w:val="00064BB3"/>
    <w:rsid w:val="00083A08"/>
    <w:rsid w:val="0008427B"/>
    <w:rsid w:val="000859A5"/>
    <w:rsid w:val="00085F85"/>
    <w:rsid w:val="000957C8"/>
    <w:rsid w:val="00097049"/>
    <w:rsid w:val="000A04D5"/>
    <w:rsid w:val="000B52F2"/>
    <w:rsid w:val="000D0EAE"/>
    <w:rsid w:val="000D5380"/>
    <w:rsid w:val="000D6654"/>
    <w:rsid w:val="000E103D"/>
    <w:rsid w:val="000E78FD"/>
    <w:rsid w:val="000F0264"/>
    <w:rsid w:val="000F2EBF"/>
    <w:rsid w:val="000F3A9F"/>
    <w:rsid w:val="000F5FF6"/>
    <w:rsid w:val="001022B5"/>
    <w:rsid w:val="00105E19"/>
    <w:rsid w:val="00110978"/>
    <w:rsid w:val="00113FA5"/>
    <w:rsid w:val="001455A0"/>
    <w:rsid w:val="001602A3"/>
    <w:rsid w:val="001A5161"/>
    <w:rsid w:val="001A60BD"/>
    <w:rsid w:val="001C43D4"/>
    <w:rsid w:val="001C6D53"/>
    <w:rsid w:val="001E0C43"/>
    <w:rsid w:val="00232277"/>
    <w:rsid w:val="002347AE"/>
    <w:rsid w:val="0023736D"/>
    <w:rsid w:val="00257225"/>
    <w:rsid w:val="00297497"/>
    <w:rsid w:val="002A5799"/>
    <w:rsid w:val="002B4AB1"/>
    <w:rsid w:val="0030682C"/>
    <w:rsid w:val="00310160"/>
    <w:rsid w:val="003209C1"/>
    <w:rsid w:val="0034096E"/>
    <w:rsid w:val="00341A8C"/>
    <w:rsid w:val="003519E6"/>
    <w:rsid w:val="00355F81"/>
    <w:rsid w:val="00382A46"/>
    <w:rsid w:val="00385B4C"/>
    <w:rsid w:val="003A38B9"/>
    <w:rsid w:val="003B4356"/>
    <w:rsid w:val="003C3338"/>
    <w:rsid w:val="003C5CDF"/>
    <w:rsid w:val="003E0F44"/>
    <w:rsid w:val="003E72E5"/>
    <w:rsid w:val="003F08A8"/>
    <w:rsid w:val="004250E3"/>
    <w:rsid w:val="00437B2E"/>
    <w:rsid w:val="0044376D"/>
    <w:rsid w:val="00472A81"/>
    <w:rsid w:val="004A20A6"/>
    <w:rsid w:val="004B2C92"/>
    <w:rsid w:val="004D53C4"/>
    <w:rsid w:val="004D6A3A"/>
    <w:rsid w:val="004E15F2"/>
    <w:rsid w:val="004E7CAD"/>
    <w:rsid w:val="004F4AD7"/>
    <w:rsid w:val="0050050A"/>
    <w:rsid w:val="00513663"/>
    <w:rsid w:val="0052211E"/>
    <w:rsid w:val="00557CD3"/>
    <w:rsid w:val="00571432"/>
    <w:rsid w:val="005732A2"/>
    <w:rsid w:val="005762A5"/>
    <w:rsid w:val="00590BA3"/>
    <w:rsid w:val="005B46D9"/>
    <w:rsid w:val="005B7AE0"/>
    <w:rsid w:val="005E23F5"/>
    <w:rsid w:val="005F146F"/>
    <w:rsid w:val="005F71B6"/>
    <w:rsid w:val="00605F1C"/>
    <w:rsid w:val="00610846"/>
    <w:rsid w:val="0061535F"/>
    <w:rsid w:val="006154E0"/>
    <w:rsid w:val="0063066C"/>
    <w:rsid w:val="00654786"/>
    <w:rsid w:val="00660FD4"/>
    <w:rsid w:val="00665BE4"/>
    <w:rsid w:val="006A4425"/>
    <w:rsid w:val="006B00A4"/>
    <w:rsid w:val="006B4669"/>
    <w:rsid w:val="006B7E32"/>
    <w:rsid w:val="006D3CFA"/>
    <w:rsid w:val="006F6BF8"/>
    <w:rsid w:val="006F77AD"/>
    <w:rsid w:val="00707BDF"/>
    <w:rsid w:val="00710727"/>
    <w:rsid w:val="00715F45"/>
    <w:rsid w:val="0072608F"/>
    <w:rsid w:val="00731815"/>
    <w:rsid w:val="00731B84"/>
    <w:rsid w:val="00734AE7"/>
    <w:rsid w:val="00734EC7"/>
    <w:rsid w:val="0079344E"/>
    <w:rsid w:val="00796DBD"/>
    <w:rsid w:val="007A1F45"/>
    <w:rsid w:val="007A3BCD"/>
    <w:rsid w:val="007E197F"/>
    <w:rsid w:val="007E2786"/>
    <w:rsid w:val="007E4686"/>
    <w:rsid w:val="007F68C4"/>
    <w:rsid w:val="0081365E"/>
    <w:rsid w:val="008153DE"/>
    <w:rsid w:val="00852A10"/>
    <w:rsid w:val="00862634"/>
    <w:rsid w:val="00866C59"/>
    <w:rsid w:val="00877306"/>
    <w:rsid w:val="00885524"/>
    <w:rsid w:val="0089000F"/>
    <w:rsid w:val="008A6242"/>
    <w:rsid w:val="008B4BC6"/>
    <w:rsid w:val="008F6743"/>
    <w:rsid w:val="00901E57"/>
    <w:rsid w:val="009070DF"/>
    <w:rsid w:val="00921254"/>
    <w:rsid w:val="00930BC1"/>
    <w:rsid w:val="00935F0E"/>
    <w:rsid w:val="0095208F"/>
    <w:rsid w:val="00977B3F"/>
    <w:rsid w:val="009814AE"/>
    <w:rsid w:val="009901D3"/>
    <w:rsid w:val="0099038B"/>
    <w:rsid w:val="00996BBE"/>
    <w:rsid w:val="009A02ED"/>
    <w:rsid w:val="009B2C03"/>
    <w:rsid w:val="009D17B9"/>
    <w:rsid w:val="009D1DD5"/>
    <w:rsid w:val="009D21EF"/>
    <w:rsid w:val="009F618A"/>
    <w:rsid w:val="009F722C"/>
    <w:rsid w:val="00A26157"/>
    <w:rsid w:val="00A265C3"/>
    <w:rsid w:val="00A43F9A"/>
    <w:rsid w:val="00A53F38"/>
    <w:rsid w:val="00A543D4"/>
    <w:rsid w:val="00A90B08"/>
    <w:rsid w:val="00AD0014"/>
    <w:rsid w:val="00AD4CF2"/>
    <w:rsid w:val="00AF0BBA"/>
    <w:rsid w:val="00B005A1"/>
    <w:rsid w:val="00B14548"/>
    <w:rsid w:val="00B146CD"/>
    <w:rsid w:val="00B25159"/>
    <w:rsid w:val="00B25A55"/>
    <w:rsid w:val="00B30468"/>
    <w:rsid w:val="00B44E31"/>
    <w:rsid w:val="00B5638A"/>
    <w:rsid w:val="00B61A84"/>
    <w:rsid w:val="00BA4E9D"/>
    <w:rsid w:val="00BA4F7E"/>
    <w:rsid w:val="00BB2C41"/>
    <w:rsid w:val="00BC55C8"/>
    <w:rsid w:val="00BC5C10"/>
    <w:rsid w:val="00BE2964"/>
    <w:rsid w:val="00C05DB0"/>
    <w:rsid w:val="00C06682"/>
    <w:rsid w:val="00C21623"/>
    <w:rsid w:val="00C24FBD"/>
    <w:rsid w:val="00C37F30"/>
    <w:rsid w:val="00C473BA"/>
    <w:rsid w:val="00C611ED"/>
    <w:rsid w:val="00C6490A"/>
    <w:rsid w:val="00C64FE1"/>
    <w:rsid w:val="00C726D2"/>
    <w:rsid w:val="00C74296"/>
    <w:rsid w:val="00C8034B"/>
    <w:rsid w:val="00C81C7B"/>
    <w:rsid w:val="00C8345E"/>
    <w:rsid w:val="00CA0181"/>
    <w:rsid w:val="00CA5F7C"/>
    <w:rsid w:val="00CB019C"/>
    <w:rsid w:val="00CC227E"/>
    <w:rsid w:val="00CC5265"/>
    <w:rsid w:val="00D009DD"/>
    <w:rsid w:val="00D14096"/>
    <w:rsid w:val="00D445C6"/>
    <w:rsid w:val="00D51067"/>
    <w:rsid w:val="00D54D30"/>
    <w:rsid w:val="00D75657"/>
    <w:rsid w:val="00D960AD"/>
    <w:rsid w:val="00DA0E0E"/>
    <w:rsid w:val="00DA76C4"/>
    <w:rsid w:val="00DB05B3"/>
    <w:rsid w:val="00DB0885"/>
    <w:rsid w:val="00DB0C39"/>
    <w:rsid w:val="00DB7679"/>
    <w:rsid w:val="00DC369C"/>
    <w:rsid w:val="00DC45FB"/>
    <w:rsid w:val="00DD2F9A"/>
    <w:rsid w:val="00DF1702"/>
    <w:rsid w:val="00DF4DD8"/>
    <w:rsid w:val="00DF668E"/>
    <w:rsid w:val="00E0287D"/>
    <w:rsid w:val="00E04826"/>
    <w:rsid w:val="00E06CD5"/>
    <w:rsid w:val="00E14D2B"/>
    <w:rsid w:val="00E20DBA"/>
    <w:rsid w:val="00E41B16"/>
    <w:rsid w:val="00E6524A"/>
    <w:rsid w:val="00E660D6"/>
    <w:rsid w:val="00E771AB"/>
    <w:rsid w:val="00EA796F"/>
    <w:rsid w:val="00EB077B"/>
    <w:rsid w:val="00EC50B9"/>
    <w:rsid w:val="00ED26A0"/>
    <w:rsid w:val="00F1727A"/>
    <w:rsid w:val="00F34764"/>
    <w:rsid w:val="00F54E3C"/>
    <w:rsid w:val="00F5721B"/>
    <w:rsid w:val="00F76C8F"/>
    <w:rsid w:val="00F874BD"/>
    <w:rsid w:val="00FA4F13"/>
    <w:rsid w:val="00FA6039"/>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link w:val="SingleTxtGA"/>
    <w:rsid w:val="006B7E32"/>
    <w:rPr>
      <w:rFonts w:cs="Traditional Arabic"/>
      <w:szCs w:val="30"/>
      <w:lang w:val="en-US" w:eastAsia="en-US" w:bidi="ar-SA"/>
    </w:rPr>
  </w:style>
  <w:style w:type="character" w:customStyle="1" w:styleId="apple-converted-space">
    <w:name w:val="apple-converted-space"/>
    <w:basedOn w:val="DefaultParagraphFont"/>
    <w:rsid w:val="006B7E32"/>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12</Pages>
  <Words>3567</Words>
  <Characters>17698</Characters>
  <Application>Microsoft Office Outlook</Application>
  <DocSecurity>4</DocSecurity>
  <Lines>316</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CCPR/C/109/D/1873/2009</vt:lpstr>
      <vt:lpstr>CCPR/C/109/D/1873/2009</vt:lpstr>
    </vt:vector>
  </TitlesOfParts>
  <Company>CSD</Company>
  <LinksUpToDate>false</LinksUpToDate>
  <CharactersWithSpaces>21172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CCPR/C/109/D/1873/2009</dc:title>
  <dc:subject>MOUHOUB, EL HAJ</dc:subject>
  <dc:creator>SAYED</dc:creator>
  <cp:keywords/>
  <dc:description/>
  <cp:lastModifiedBy>TPS</cp:lastModifiedBy>
  <cp:revision>2</cp:revision>
  <cp:lastPrinted>2014-01-17T11:05:00Z</cp:lastPrinted>
  <dcterms:created xsi:type="dcterms:W3CDTF">2014-01-17T11:19:00Z</dcterms:created>
  <dcterms:modified xsi:type="dcterms:W3CDTF">2014-01-17T11:19:00Z</dcterms:modified>
</cp:coreProperties>
</file>