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64008B"/>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96D33" w:rsidP="00696D33">
            <w:pPr>
              <w:jc w:val="right"/>
            </w:pPr>
            <w:r w:rsidRPr="00696D33">
              <w:rPr>
                <w:sz w:val="40"/>
              </w:rPr>
              <w:t>CCPR</w:t>
            </w:r>
            <w:r>
              <w:t>/C/109/D/1851/2008</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96D33" w:rsidRDefault="00696D33" w:rsidP="00464EEE">
            <w:pPr>
              <w:spacing w:before="240"/>
            </w:pPr>
            <w:r>
              <w:t xml:space="preserve">Distr. </w:t>
            </w:r>
            <w:r w:rsidR="009D0C1A">
              <w:t>générale</w:t>
            </w:r>
          </w:p>
          <w:p w:rsidR="00696D33" w:rsidRDefault="009D0C1A" w:rsidP="00696D33">
            <w:pPr>
              <w:spacing w:line="240" w:lineRule="exact"/>
            </w:pPr>
            <w:r>
              <w:t>2 décembre</w:t>
            </w:r>
            <w:r w:rsidR="00696D33">
              <w:t xml:space="preserve"> 2013</w:t>
            </w:r>
          </w:p>
          <w:p w:rsidR="00696D33" w:rsidRDefault="00696D33" w:rsidP="00696D33">
            <w:pPr>
              <w:spacing w:line="240" w:lineRule="exact"/>
            </w:pPr>
            <w:r>
              <w:t>Français</w:t>
            </w:r>
          </w:p>
          <w:p w:rsidR="00AF1CE8" w:rsidRPr="00DB58B5" w:rsidRDefault="00696D33" w:rsidP="00696D33">
            <w:pPr>
              <w:spacing w:line="240" w:lineRule="exact"/>
            </w:pPr>
            <w:r>
              <w:t>Original: anglais</w:t>
            </w:r>
          </w:p>
        </w:tc>
      </w:tr>
    </w:tbl>
    <w:p w:rsidR="00DF3BF1" w:rsidRDefault="00DF3BF1" w:rsidP="00696D33">
      <w:pPr>
        <w:spacing w:before="120"/>
        <w:rPr>
          <w:b/>
          <w:sz w:val="24"/>
          <w:szCs w:val="24"/>
        </w:rPr>
      </w:pPr>
      <w:r w:rsidRPr="00DF3BF1">
        <w:rPr>
          <w:b/>
          <w:sz w:val="24"/>
          <w:szCs w:val="24"/>
        </w:rPr>
        <w:t>Comité des droits de l</w:t>
      </w:r>
      <w:r w:rsidR="0064008B">
        <w:rPr>
          <w:b/>
          <w:sz w:val="24"/>
          <w:szCs w:val="24"/>
        </w:rPr>
        <w:t>’</w:t>
      </w:r>
      <w:r w:rsidRPr="00DF3BF1">
        <w:rPr>
          <w:b/>
          <w:sz w:val="24"/>
          <w:szCs w:val="24"/>
        </w:rPr>
        <w:t>homme</w:t>
      </w:r>
    </w:p>
    <w:p w:rsidR="0081758B" w:rsidRPr="008725E7" w:rsidRDefault="0081758B" w:rsidP="0081758B">
      <w:pPr>
        <w:pStyle w:val="HChG"/>
      </w:pPr>
      <w:r w:rsidRPr="008F3F94">
        <w:tab/>
      </w:r>
      <w:r w:rsidRPr="008F3F94">
        <w:tab/>
        <w:t>Communication n</w:t>
      </w:r>
      <w:r w:rsidRPr="008F3F94">
        <w:rPr>
          <w:vertAlign w:val="superscript"/>
        </w:rPr>
        <w:t>o</w:t>
      </w:r>
      <w:r w:rsidRPr="008F3F94">
        <w:t> 1851/2008</w:t>
      </w:r>
    </w:p>
    <w:p w:rsidR="0081758B" w:rsidRDefault="0081758B" w:rsidP="0081758B">
      <w:pPr>
        <w:pStyle w:val="H1G"/>
      </w:pPr>
      <w:r w:rsidRPr="008F3F94">
        <w:rPr>
          <w:szCs w:val="24"/>
        </w:rPr>
        <w:tab/>
      </w:r>
      <w:r w:rsidRPr="008F3F94">
        <w:rPr>
          <w:szCs w:val="24"/>
        </w:rPr>
        <w:tab/>
      </w:r>
      <w:r w:rsidR="00063AEE">
        <w:t>Constatations adoptées par le Comité à sa 109</w:t>
      </w:r>
      <w:r w:rsidR="00063AEE" w:rsidRPr="00063AEE">
        <w:rPr>
          <w:vertAlign w:val="superscript"/>
        </w:rPr>
        <w:t>e</w:t>
      </w:r>
      <w:r w:rsidR="00063AEE">
        <w:t xml:space="preserve"> session</w:t>
      </w:r>
      <w:r w:rsidR="00063AEE">
        <w:br/>
        <w:t>(14</w:t>
      </w:r>
      <w:r w:rsidR="00E223F8">
        <w:t> octobre</w:t>
      </w:r>
      <w:r w:rsidR="00063AEE">
        <w:noBreakHyphen/>
        <w:t>1</w:t>
      </w:r>
      <w:r w:rsidR="00063AEE" w:rsidRPr="00063AEE">
        <w:rPr>
          <w:vertAlign w:val="superscript"/>
        </w:rPr>
        <w:t>er</w:t>
      </w:r>
      <w:r w:rsidR="00063AEE">
        <w:t> novembre 2013)</w:t>
      </w:r>
    </w:p>
    <w:tbl>
      <w:tblPr>
        <w:tblW w:w="0" w:type="auto"/>
        <w:tblInd w:w="1701" w:type="dxa"/>
        <w:tblLayout w:type="fixed"/>
        <w:tblCellMar>
          <w:left w:w="0" w:type="dxa"/>
          <w:right w:w="0" w:type="dxa"/>
        </w:tblCellMar>
        <w:tblLook w:val="01E0"/>
      </w:tblPr>
      <w:tblGrid>
        <w:gridCol w:w="3119"/>
        <w:gridCol w:w="3686"/>
      </w:tblGrid>
      <w:tr w:rsidR="0081758B" w:rsidRPr="00974382" w:rsidTr="009F43D0">
        <w:tc>
          <w:tcPr>
            <w:tcW w:w="3119" w:type="dxa"/>
          </w:tcPr>
          <w:p w:rsidR="0081758B" w:rsidRPr="006E4031" w:rsidRDefault="0081758B" w:rsidP="009F43D0">
            <w:pPr>
              <w:pStyle w:val="SingleTxtG"/>
              <w:ind w:left="0" w:right="0"/>
              <w:jc w:val="left"/>
              <w:rPr>
                <w:i/>
                <w:sz w:val="24"/>
                <w:szCs w:val="24"/>
              </w:rPr>
            </w:pPr>
            <w:r w:rsidRPr="008F3F94">
              <w:rPr>
                <w:i/>
                <w:szCs w:val="24"/>
              </w:rPr>
              <w:t>Communication présentée par</w:t>
            </w:r>
            <w:r w:rsidRPr="008F3F94">
              <w:rPr>
                <w:szCs w:val="24"/>
              </w:rPr>
              <w:t>:</w:t>
            </w:r>
          </w:p>
        </w:tc>
        <w:tc>
          <w:tcPr>
            <w:tcW w:w="3686" w:type="dxa"/>
          </w:tcPr>
          <w:p w:rsidR="0081758B" w:rsidRPr="008F3F94" w:rsidRDefault="0081758B" w:rsidP="009F43D0">
            <w:pPr>
              <w:pStyle w:val="SingleTxtG"/>
              <w:ind w:left="0" w:right="0"/>
              <w:jc w:val="left"/>
              <w:rPr>
                <w:szCs w:val="24"/>
              </w:rPr>
            </w:pPr>
            <w:r w:rsidRPr="008F3F94">
              <w:rPr>
                <w:szCs w:val="24"/>
              </w:rPr>
              <w:t>Vladimir Seke</w:t>
            </w:r>
            <w:r>
              <w:rPr>
                <w:szCs w:val="24"/>
              </w:rPr>
              <w:t>rko</w:t>
            </w:r>
            <w:r>
              <w:rPr>
                <w:szCs w:val="24"/>
              </w:rPr>
              <w:br/>
              <w:t xml:space="preserve">(non représenté par un </w:t>
            </w:r>
            <w:r w:rsidRPr="008F3F94">
              <w:rPr>
                <w:szCs w:val="24"/>
              </w:rPr>
              <w:t>conseil)</w:t>
            </w:r>
          </w:p>
        </w:tc>
      </w:tr>
      <w:tr w:rsidR="0081758B" w:rsidRPr="00974382" w:rsidTr="009F43D0">
        <w:tc>
          <w:tcPr>
            <w:tcW w:w="3119" w:type="dxa"/>
          </w:tcPr>
          <w:p w:rsidR="0081758B" w:rsidRPr="006E4031" w:rsidRDefault="0081758B" w:rsidP="009F43D0">
            <w:pPr>
              <w:pStyle w:val="SingleTxtG"/>
              <w:ind w:left="0" w:right="0"/>
              <w:jc w:val="left"/>
              <w:rPr>
                <w:i/>
                <w:sz w:val="24"/>
                <w:szCs w:val="24"/>
              </w:rPr>
            </w:pPr>
            <w:r w:rsidRPr="008F3F94">
              <w:rPr>
                <w:i/>
                <w:szCs w:val="24"/>
              </w:rPr>
              <w:t>Au nom de</w:t>
            </w:r>
            <w:r w:rsidRPr="008F3F94">
              <w:rPr>
                <w:szCs w:val="24"/>
              </w:rPr>
              <w:t>:</w:t>
            </w:r>
          </w:p>
        </w:tc>
        <w:tc>
          <w:tcPr>
            <w:tcW w:w="3686" w:type="dxa"/>
          </w:tcPr>
          <w:p w:rsidR="0081758B" w:rsidRPr="008F3F94" w:rsidRDefault="0081758B" w:rsidP="009F43D0">
            <w:pPr>
              <w:pStyle w:val="SingleTxtG"/>
              <w:ind w:left="0" w:right="0"/>
              <w:jc w:val="left"/>
              <w:rPr>
                <w:szCs w:val="24"/>
              </w:rPr>
            </w:pPr>
            <w:r w:rsidRPr="008F3F94">
              <w:rPr>
                <w:szCs w:val="24"/>
              </w:rPr>
              <w:t>L</w:t>
            </w:r>
            <w:r w:rsidR="0064008B">
              <w:rPr>
                <w:szCs w:val="24"/>
              </w:rPr>
              <w:t>’</w:t>
            </w:r>
            <w:r w:rsidRPr="008F3F94">
              <w:rPr>
                <w:szCs w:val="24"/>
              </w:rPr>
              <w:t>auteur</w:t>
            </w:r>
          </w:p>
        </w:tc>
      </w:tr>
      <w:tr w:rsidR="0081758B" w:rsidRPr="00974382" w:rsidTr="009F43D0">
        <w:tc>
          <w:tcPr>
            <w:tcW w:w="3119" w:type="dxa"/>
          </w:tcPr>
          <w:p w:rsidR="0081758B" w:rsidRPr="008F3F94" w:rsidRDefault="0081758B" w:rsidP="009F43D0">
            <w:pPr>
              <w:pStyle w:val="SingleTxtG"/>
              <w:ind w:left="0" w:right="0"/>
              <w:jc w:val="left"/>
              <w:rPr>
                <w:i/>
                <w:szCs w:val="24"/>
              </w:rPr>
            </w:pPr>
            <w:r w:rsidRPr="008F3F94">
              <w:rPr>
                <w:i/>
                <w:szCs w:val="24"/>
              </w:rPr>
              <w:t>État partie</w:t>
            </w:r>
            <w:r w:rsidRPr="008F3F94">
              <w:rPr>
                <w:szCs w:val="24"/>
              </w:rPr>
              <w:t>:</w:t>
            </w:r>
          </w:p>
        </w:tc>
        <w:tc>
          <w:tcPr>
            <w:tcW w:w="3686" w:type="dxa"/>
          </w:tcPr>
          <w:p w:rsidR="0081758B" w:rsidRPr="008F3F94" w:rsidRDefault="0081758B" w:rsidP="009F43D0">
            <w:pPr>
              <w:pStyle w:val="SingleTxtG"/>
              <w:ind w:left="0" w:right="0"/>
              <w:jc w:val="left"/>
              <w:rPr>
                <w:szCs w:val="24"/>
                <w:u w:val="dash"/>
              </w:rPr>
            </w:pPr>
            <w:r w:rsidRPr="008F3F94">
              <w:t>Bélarus</w:t>
            </w:r>
          </w:p>
        </w:tc>
      </w:tr>
      <w:tr w:rsidR="0081758B" w:rsidRPr="00974382" w:rsidTr="009F43D0">
        <w:tc>
          <w:tcPr>
            <w:tcW w:w="3119" w:type="dxa"/>
          </w:tcPr>
          <w:p w:rsidR="0081758B" w:rsidRPr="006E4031" w:rsidRDefault="0081758B" w:rsidP="009F43D0">
            <w:pPr>
              <w:pStyle w:val="SingleTxtG"/>
              <w:ind w:left="0" w:right="0"/>
              <w:jc w:val="left"/>
              <w:rPr>
                <w:i/>
                <w:sz w:val="24"/>
                <w:szCs w:val="24"/>
              </w:rPr>
            </w:pPr>
            <w:r w:rsidRPr="008F3F94">
              <w:rPr>
                <w:i/>
                <w:szCs w:val="24"/>
              </w:rPr>
              <w:t>Date de la communication</w:t>
            </w:r>
            <w:r w:rsidRPr="008F3F94">
              <w:rPr>
                <w:szCs w:val="24"/>
              </w:rPr>
              <w:t>:</w:t>
            </w:r>
          </w:p>
        </w:tc>
        <w:tc>
          <w:tcPr>
            <w:tcW w:w="3686" w:type="dxa"/>
          </w:tcPr>
          <w:p w:rsidR="0081758B" w:rsidRPr="008F3F94" w:rsidRDefault="0081758B" w:rsidP="009F43D0">
            <w:pPr>
              <w:pStyle w:val="SingleTxtG"/>
              <w:ind w:left="0" w:right="0"/>
              <w:jc w:val="left"/>
              <w:rPr>
                <w:szCs w:val="24"/>
              </w:rPr>
            </w:pPr>
            <w:r>
              <w:rPr>
                <w:szCs w:val="24"/>
              </w:rPr>
              <w:t>17 </w:t>
            </w:r>
            <w:r w:rsidRPr="008F3F94">
              <w:rPr>
                <w:szCs w:val="24"/>
              </w:rPr>
              <w:t>septembre 2008 (date de la lettre initiale)</w:t>
            </w:r>
          </w:p>
        </w:tc>
      </w:tr>
      <w:tr w:rsidR="0081758B" w:rsidRPr="00974382" w:rsidTr="009F43D0">
        <w:tc>
          <w:tcPr>
            <w:tcW w:w="3119" w:type="dxa"/>
          </w:tcPr>
          <w:p w:rsidR="0081758B" w:rsidRPr="006E4031" w:rsidRDefault="0081758B" w:rsidP="009F43D0">
            <w:pPr>
              <w:pStyle w:val="SingleTxtG"/>
              <w:ind w:left="0" w:right="0"/>
              <w:jc w:val="left"/>
              <w:rPr>
                <w:i/>
                <w:sz w:val="24"/>
                <w:szCs w:val="24"/>
              </w:rPr>
            </w:pPr>
            <w:r w:rsidRPr="008F3F94">
              <w:rPr>
                <w:i/>
                <w:szCs w:val="24"/>
              </w:rPr>
              <w:t>Références</w:t>
            </w:r>
            <w:r w:rsidRPr="008F3F94">
              <w:rPr>
                <w:szCs w:val="24"/>
              </w:rPr>
              <w:t>:</w:t>
            </w:r>
          </w:p>
        </w:tc>
        <w:tc>
          <w:tcPr>
            <w:tcW w:w="3686" w:type="dxa"/>
          </w:tcPr>
          <w:p w:rsidR="0081758B" w:rsidRPr="008F3F94" w:rsidRDefault="0081758B" w:rsidP="009F43D0">
            <w:pPr>
              <w:pStyle w:val="SingleTxtG"/>
              <w:ind w:left="0" w:right="0"/>
              <w:jc w:val="left"/>
              <w:rPr>
                <w:szCs w:val="24"/>
              </w:rPr>
            </w:pPr>
            <w:r w:rsidRPr="008F3F94">
              <w:rPr>
                <w:szCs w:val="24"/>
              </w:rPr>
              <w:t>Décision prise par le Rapporteur spécial en application de l</w:t>
            </w:r>
            <w:r w:rsidR="0064008B">
              <w:rPr>
                <w:szCs w:val="24"/>
              </w:rPr>
              <w:t>’</w:t>
            </w:r>
            <w:r w:rsidRPr="008F3F94">
              <w:rPr>
                <w:szCs w:val="24"/>
              </w:rPr>
              <w:t>article</w:t>
            </w:r>
            <w:r>
              <w:rPr>
                <w:szCs w:val="24"/>
              </w:rPr>
              <w:t> </w:t>
            </w:r>
            <w:r w:rsidRPr="008F3F94">
              <w:rPr>
                <w:szCs w:val="24"/>
              </w:rPr>
              <w:t>97 du Règlement intérieur, communiquée à l</w:t>
            </w:r>
            <w:r w:rsidR="0064008B">
              <w:rPr>
                <w:szCs w:val="24"/>
              </w:rPr>
              <w:t>’</w:t>
            </w:r>
            <w:r w:rsidRPr="008F3F94">
              <w:rPr>
                <w:szCs w:val="24"/>
              </w:rPr>
              <w:t>État partie le 15 décembre 2008 (non publiée sous forme de document)</w:t>
            </w:r>
          </w:p>
        </w:tc>
      </w:tr>
      <w:tr w:rsidR="0081758B" w:rsidRPr="00974382" w:rsidTr="009F43D0">
        <w:tc>
          <w:tcPr>
            <w:tcW w:w="3119" w:type="dxa"/>
          </w:tcPr>
          <w:p w:rsidR="0081758B" w:rsidRPr="006E4031" w:rsidRDefault="0081758B" w:rsidP="009F43D0">
            <w:pPr>
              <w:pStyle w:val="SingleTxtG"/>
              <w:ind w:left="0" w:right="0"/>
              <w:jc w:val="left"/>
              <w:rPr>
                <w:i/>
                <w:sz w:val="24"/>
                <w:szCs w:val="24"/>
              </w:rPr>
            </w:pPr>
            <w:r w:rsidRPr="008F3F94">
              <w:rPr>
                <w:i/>
                <w:szCs w:val="24"/>
              </w:rPr>
              <w:t>Date de l</w:t>
            </w:r>
            <w:r w:rsidR="0064008B">
              <w:rPr>
                <w:i/>
                <w:szCs w:val="24"/>
              </w:rPr>
              <w:t>’</w:t>
            </w:r>
            <w:r w:rsidRPr="008F3F94">
              <w:rPr>
                <w:i/>
                <w:szCs w:val="24"/>
              </w:rPr>
              <w:t>adoption des constatations</w:t>
            </w:r>
            <w:r w:rsidRPr="008F3F94">
              <w:rPr>
                <w:szCs w:val="24"/>
              </w:rPr>
              <w:t>:</w:t>
            </w:r>
          </w:p>
        </w:tc>
        <w:tc>
          <w:tcPr>
            <w:tcW w:w="3686" w:type="dxa"/>
            <w:vAlign w:val="bottom"/>
          </w:tcPr>
          <w:p w:rsidR="0081758B" w:rsidRPr="008F3F94" w:rsidRDefault="00063AEE" w:rsidP="009F43D0">
            <w:pPr>
              <w:pStyle w:val="SingleTxtG"/>
              <w:ind w:left="0" w:right="0"/>
              <w:jc w:val="left"/>
              <w:rPr>
                <w:szCs w:val="24"/>
              </w:rPr>
            </w:pPr>
            <w:r>
              <w:rPr>
                <w:szCs w:val="24"/>
              </w:rPr>
              <w:t>28 </w:t>
            </w:r>
            <w:r w:rsidR="0081758B" w:rsidRPr="008F3F94">
              <w:rPr>
                <w:szCs w:val="24"/>
              </w:rPr>
              <w:t>octobre 2013</w:t>
            </w:r>
          </w:p>
        </w:tc>
      </w:tr>
      <w:tr w:rsidR="0081758B" w:rsidRPr="00974382" w:rsidTr="009F43D0">
        <w:tc>
          <w:tcPr>
            <w:tcW w:w="3119" w:type="dxa"/>
          </w:tcPr>
          <w:p w:rsidR="0081758B" w:rsidRPr="008F3F94" w:rsidRDefault="0081758B" w:rsidP="009F43D0">
            <w:pPr>
              <w:pStyle w:val="SingleTxtG"/>
              <w:keepNext/>
              <w:keepLines/>
              <w:ind w:left="0" w:right="0"/>
              <w:jc w:val="left"/>
              <w:rPr>
                <w:i/>
                <w:szCs w:val="24"/>
              </w:rPr>
            </w:pPr>
            <w:r>
              <w:br w:type="page"/>
            </w:r>
            <w:r>
              <w:br w:type="page"/>
            </w:r>
            <w:r>
              <w:br w:type="page"/>
            </w:r>
            <w:r>
              <w:br w:type="page"/>
            </w:r>
            <w:r>
              <w:br w:type="page"/>
            </w:r>
            <w:r w:rsidRPr="008F3F94">
              <w:rPr>
                <w:szCs w:val="24"/>
              </w:rPr>
              <w:br w:type="page"/>
            </w:r>
            <w:r w:rsidRPr="008F3F94">
              <w:rPr>
                <w:i/>
                <w:iCs/>
                <w:szCs w:val="24"/>
              </w:rPr>
              <w:t>Objet</w:t>
            </w:r>
            <w:r w:rsidRPr="008F3F94">
              <w:rPr>
                <w:szCs w:val="24"/>
              </w:rPr>
              <w:t>:</w:t>
            </w:r>
          </w:p>
        </w:tc>
        <w:tc>
          <w:tcPr>
            <w:tcW w:w="3686" w:type="dxa"/>
          </w:tcPr>
          <w:p w:rsidR="0081758B" w:rsidRPr="008F3F94" w:rsidRDefault="0081758B" w:rsidP="009F43D0">
            <w:pPr>
              <w:pStyle w:val="SingleTxtG"/>
              <w:keepNext/>
              <w:keepLines/>
              <w:ind w:left="0" w:right="0"/>
              <w:jc w:val="left"/>
              <w:rPr>
                <w:szCs w:val="24"/>
              </w:rPr>
            </w:pPr>
            <w:r w:rsidRPr="008F3F94">
              <w:t>Refus d</w:t>
            </w:r>
            <w:r w:rsidR="00063AEE">
              <w:t>e l</w:t>
            </w:r>
            <w:r w:rsidR="0064008B">
              <w:t>’</w:t>
            </w:r>
            <w:r w:rsidRPr="008F3F94">
              <w:t>autorisation d</w:t>
            </w:r>
            <w:r w:rsidR="0064008B">
              <w:t>’</w:t>
            </w:r>
            <w:r w:rsidRPr="008F3F94">
              <w:t>organiser une</w:t>
            </w:r>
            <w:r w:rsidR="00063AEE">
              <w:t> </w:t>
            </w:r>
            <w:r w:rsidRPr="008F3F94">
              <w:t>réunion pacifique</w:t>
            </w:r>
            <w:r w:rsidRPr="008F3F94">
              <w:rPr>
                <w:szCs w:val="24"/>
              </w:rPr>
              <w:t>.</w:t>
            </w:r>
          </w:p>
        </w:tc>
      </w:tr>
      <w:tr w:rsidR="00063AEE" w:rsidRPr="00974382" w:rsidTr="009F43D0">
        <w:tc>
          <w:tcPr>
            <w:tcW w:w="3119" w:type="dxa"/>
          </w:tcPr>
          <w:p w:rsidR="00063AEE" w:rsidRPr="008F3F94" w:rsidRDefault="00063AEE" w:rsidP="009837BB">
            <w:pPr>
              <w:pStyle w:val="SingleTxtG"/>
              <w:keepNext/>
              <w:keepLines/>
              <w:ind w:left="0" w:right="0"/>
              <w:jc w:val="left"/>
              <w:rPr>
                <w:i/>
                <w:iCs/>
                <w:szCs w:val="24"/>
              </w:rPr>
            </w:pPr>
            <w:r w:rsidRPr="008F3F94">
              <w:rPr>
                <w:i/>
                <w:iCs/>
                <w:szCs w:val="24"/>
              </w:rPr>
              <w:t>Questions de fond</w:t>
            </w:r>
            <w:r w:rsidRPr="008F3F94">
              <w:rPr>
                <w:szCs w:val="24"/>
              </w:rPr>
              <w:t>:</w:t>
            </w:r>
          </w:p>
        </w:tc>
        <w:tc>
          <w:tcPr>
            <w:tcW w:w="3686" w:type="dxa"/>
          </w:tcPr>
          <w:p w:rsidR="00063AEE" w:rsidRPr="008F3F94" w:rsidRDefault="00063AEE" w:rsidP="009837BB">
            <w:pPr>
              <w:pStyle w:val="SingleTxtG"/>
              <w:keepNext/>
              <w:keepLines/>
              <w:ind w:left="0" w:right="0"/>
              <w:jc w:val="left"/>
              <w:rPr>
                <w:szCs w:val="24"/>
              </w:rPr>
            </w:pPr>
            <w:r w:rsidRPr="008F3F94">
              <w:t>Droit de réunion pacifique</w:t>
            </w:r>
            <w:r>
              <w:t>;</w:t>
            </w:r>
            <w:r w:rsidRPr="008F3F94">
              <w:t xml:space="preserve"> restrictions licites</w:t>
            </w:r>
          </w:p>
        </w:tc>
      </w:tr>
      <w:tr w:rsidR="0081758B" w:rsidRPr="00974382" w:rsidTr="009F43D0">
        <w:tc>
          <w:tcPr>
            <w:tcW w:w="3119" w:type="dxa"/>
          </w:tcPr>
          <w:p w:rsidR="0081758B" w:rsidRPr="008F3F94" w:rsidRDefault="0081758B" w:rsidP="009F43D0">
            <w:pPr>
              <w:pStyle w:val="SingleTxtG"/>
              <w:keepNext/>
              <w:keepLines/>
              <w:ind w:left="0" w:right="0"/>
              <w:jc w:val="left"/>
              <w:rPr>
                <w:i/>
                <w:iCs/>
                <w:szCs w:val="24"/>
              </w:rPr>
            </w:pPr>
            <w:r w:rsidRPr="008F3F94">
              <w:rPr>
                <w:i/>
                <w:iCs/>
                <w:szCs w:val="24"/>
              </w:rPr>
              <w:t>Questions de procédure</w:t>
            </w:r>
            <w:r w:rsidRPr="008F3F94">
              <w:rPr>
                <w:szCs w:val="24"/>
              </w:rPr>
              <w:t>:</w:t>
            </w:r>
          </w:p>
        </w:tc>
        <w:tc>
          <w:tcPr>
            <w:tcW w:w="3686" w:type="dxa"/>
          </w:tcPr>
          <w:p w:rsidR="0081758B" w:rsidRPr="006E4031" w:rsidRDefault="0081758B" w:rsidP="009F43D0">
            <w:pPr>
              <w:keepNext/>
              <w:keepLines/>
              <w:spacing w:after="120"/>
            </w:pPr>
            <w:r w:rsidRPr="006E4031">
              <w:t>Épuisement des recours internes</w:t>
            </w:r>
          </w:p>
        </w:tc>
      </w:tr>
      <w:tr w:rsidR="0081758B" w:rsidRPr="00974382" w:rsidTr="009F43D0">
        <w:tc>
          <w:tcPr>
            <w:tcW w:w="3119" w:type="dxa"/>
          </w:tcPr>
          <w:p w:rsidR="0081758B" w:rsidRPr="006E4031" w:rsidRDefault="0081758B" w:rsidP="009F43D0">
            <w:pPr>
              <w:pStyle w:val="SingleTxtG"/>
              <w:keepNext/>
              <w:keepLines/>
              <w:ind w:left="0" w:right="0"/>
              <w:jc w:val="left"/>
              <w:rPr>
                <w:i/>
                <w:iCs/>
                <w:sz w:val="24"/>
                <w:szCs w:val="24"/>
              </w:rPr>
            </w:pPr>
            <w:r w:rsidRPr="008F3F94">
              <w:rPr>
                <w:i/>
                <w:iCs/>
                <w:szCs w:val="24"/>
              </w:rPr>
              <w:t>Article du Pacte</w:t>
            </w:r>
            <w:r w:rsidRPr="008F3F94">
              <w:rPr>
                <w:szCs w:val="24"/>
              </w:rPr>
              <w:t>:</w:t>
            </w:r>
          </w:p>
        </w:tc>
        <w:tc>
          <w:tcPr>
            <w:tcW w:w="3686" w:type="dxa"/>
          </w:tcPr>
          <w:p w:rsidR="0081758B" w:rsidRPr="008F3F94" w:rsidRDefault="0081758B" w:rsidP="009F43D0">
            <w:pPr>
              <w:pStyle w:val="SingleTxtG"/>
              <w:keepNext/>
              <w:keepLines/>
              <w:ind w:left="0" w:right="0"/>
              <w:jc w:val="left"/>
              <w:rPr>
                <w:szCs w:val="24"/>
              </w:rPr>
            </w:pPr>
            <w:r w:rsidRPr="008F3F94">
              <w:rPr>
                <w:szCs w:val="24"/>
              </w:rPr>
              <w:t>21</w:t>
            </w:r>
          </w:p>
        </w:tc>
      </w:tr>
      <w:tr w:rsidR="0081758B" w:rsidRPr="00974382" w:rsidTr="009F43D0">
        <w:tc>
          <w:tcPr>
            <w:tcW w:w="3119" w:type="dxa"/>
          </w:tcPr>
          <w:p w:rsidR="0081758B" w:rsidRPr="006E4031" w:rsidRDefault="0081758B" w:rsidP="009F43D0">
            <w:pPr>
              <w:pStyle w:val="SingleTxtG"/>
              <w:keepNext/>
              <w:keepLines/>
              <w:ind w:left="0" w:right="0"/>
              <w:jc w:val="left"/>
              <w:rPr>
                <w:i/>
                <w:iCs/>
                <w:sz w:val="24"/>
                <w:szCs w:val="24"/>
              </w:rPr>
            </w:pPr>
            <w:r w:rsidRPr="008F3F94">
              <w:rPr>
                <w:i/>
                <w:iCs/>
                <w:szCs w:val="24"/>
              </w:rPr>
              <w:t>Article du Protocole facultatif</w:t>
            </w:r>
            <w:r w:rsidRPr="008F3F94">
              <w:rPr>
                <w:szCs w:val="24"/>
              </w:rPr>
              <w:t>:</w:t>
            </w:r>
          </w:p>
        </w:tc>
        <w:tc>
          <w:tcPr>
            <w:tcW w:w="3686" w:type="dxa"/>
          </w:tcPr>
          <w:p w:rsidR="0081758B" w:rsidRPr="008F3F94" w:rsidRDefault="0081758B" w:rsidP="009F43D0">
            <w:pPr>
              <w:pStyle w:val="SingleTxtG"/>
              <w:keepNext/>
              <w:keepLines/>
              <w:ind w:left="0" w:right="0"/>
              <w:jc w:val="left"/>
              <w:rPr>
                <w:szCs w:val="24"/>
              </w:rPr>
            </w:pPr>
            <w:r>
              <w:rPr>
                <w:szCs w:val="24"/>
              </w:rPr>
              <w:t>5 (par. 2 </w:t>
            </w:r>
            <w:r w:rsidRPr="008F3F94">
              <w:rPr>
                <w:szCs w:val="24"/>
              </w:rPr>
              <w:t>b)</w:t>
            </w:r>
            <w:r>
              <w:rPr>
                <w:szCs w:val="24"/>
              </w:rPr>
              <w:t>)</w:t>
            </w:r>
          </w:p>
        </w:tc>
      </w:tr>
    </w:tbl>
    <w:p w:rsidR="0081758B" w:rsidRPr="00222C9B" w:rsidRDefault="0081758B" w:rsidP="00842F83">
      <w:pPr>
        <w:pStyle w:val="HChG"/>
        <w:spacing w:before="320" w:after="220"/>
      </w:pPr>
      <w:r w:rsidRPr="008F3F94">
        <w:rPr>
          <w:szCs w:val="24"/>
        </w:rPr>
        <w:br w:type="page"/>
      </w:r>
      <w:r w:rsidRPr="008F3F94">
        <w:t>Annexe</w:t>
      </w:r>
    </w:p>
    <w:p w:rsidR="0081758B" w:rsidRPr="008F3F94" w:rsidRDefault="0081758B" w:rsidP="00842F83">
      <w:pPr>
        <w:pStyle w:val="HChG"/>
        <w:spacing w:before="320" w:after="220"/>
      </w:pPr>
      <w:r w:rsidRPr="008F3F94">
        <w:rPr>
          <w:sz w:val="20"/>
          <w:szCs w:val="24"/>
        </w:rPr>
        <w:tab/>
      </w:r>
      <w:r w:rsidRPr="008F3F94">
        <w:rPr>
          <w:sz w:val="20"/>
          <w:szCs w:val="24"/>
        </w:rPr>
        <w:tab/>
      </w:r>
      <w:r w:rsidRPr="008F3F94">
        <w:t>Constatations du Comité des droits de l</w:t>
      </w:r>
      <w:r w:rsidR="0064008B">
        <w:t>’</w:t>
      </w:r>
      <w:r>
        <w:t>homme au titre</w:t>
      </w:r>
      <w:r>
        <w:br/>
        <w:t>du paragraphe </w:t>
      </w:r>
      <w:r w:rsidRPr="008F3F94">
        <w:t>4 de l</w:t>
      </w:r>
      <w:r w:rsidR="0064008B">
        <w:t>’</w:t>
      </w:r>
      <w:r>
        <w:t>article </w:t>
      </w:r>
      <w:r w:rsidRPr="008F3F94">
        <w:t>5 du Protocole facultatif</w:t>
      </w:r>
      <w:r w:rsidRPr="008F3F94">
        <w:br/>
        <w:t>se rapportant</w:t>
      </w:r>
      <w:r w:rsidR="001E008E">
        <w:t xml:space="preserve"> au Pacte international relatif</w:t>
      </w:r>
      <w:r w:rsidR="001E008E">
        <w:br/>
      </w:r>
      <w:r w:rsidRPr="008F3F94">
        <w:t>aux droits civils et politiques (109</w:t>
      </w:r>
      <w:r w:rsidRPr="00222C9B">
        <w:rPr>
          <w:vertAlign w:val="superscript"/>
        </w:rPr>
        <w:t>e</w:t>
      </w:r>
      <w:r>
        <w:t> </w:t>
      </w:r>
      <w:r w:rsidRPr="008F3F94">
        <w:t>session)</w:t>
      </w:r>
    </w:p>
    <w:p w:rsidR="0081758B" w:rsidRPr="004F75DC" w:rsidRDefault="0081758B" w:rsidP="0081758B">
      <w:pPr>
        <w:pStyle w:val="SingleTxtG"/>
      </w:pPr>
      <w:r w:rsidRPr="008F3F94">
        <w:t>concernant la</w:t>
      </w:r>
    </w:p>
    <w:p w:rsidR="0081758B" w:rsidRPr="004F75DC" w:rsidRDefault="0081758B" w:rsidP="00842F83">
      <w:pPr>
        <w:pStyle w:val="H1G"/>
        <w:spacing w:before="320" w:after="220"/>
      </w:pPr>
      <w:r w:rsidRPr="008F3F94">
        <w:tab/>
      </w:r>
      <w:r w:rsidRPr="008F3F94">
        <w:tab/>
        <w:t xml:space="preserve">Communication </w:t>
      </w:r>
      <w:r w:rsidRPr="008F3F94">
        <w:rPr>
          <w:rFonts w:eastAsia="MS Mincho"/>
        </w:rPr>
        <w:t>n</w:t>
      </w:r>
      <w:r w:rsidRPr="008F3F94">
        <w:rPr>
          <w:rFonts w:eastAsia="MS Mincho"/>
          <w:vertAlign w:val="superscript"/>
        </w:rPr>
        <w:t>o</w:t>
      </w:r>
      <w:r w:rsidRPr="008F3F94">
        <w:t> 1851/2008</w:t>
      </w:r>
      <w:r w:rsidR="001E008E" w:rsidRPr="00B6176D">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3119"/>
        <w:gridCol w:w="3686"/>
      </w:tblGrid>
      <w:tr w:rsidR="0081758B" w:rsidRPr="00974382" w:rsidTr="009F43D0">
        <w:tc>
          <w:tcPr>
            <w:tcW w:w="3119" w:type="dxa"/>
          </w:tcPr>
          <w:p w:rsidR="0081758B" w:rsidRPr="00F65358" w:rsidRDefault="0081758B" w:rsidP="009F43D0">
            <w:pPr>
              <w:spacing w:after="120"/>
              <w:rPr>
                <w:i/>
                <w:sz w:val="24"/>
                <w:szCs w:val="24"/>
                <w:lang w:eastAsia="fr-FR"/>
              </w:rPr>
            </w:pPr>
            <w:r w:rsidRPr="008F3F94">
              <w:rPr>
                <w:i/>
                <w:szCs w:val="24"/>
                <w:lang w:eastAsia="fr-FR"/>
              </w:rPr>
              <w:t>Présentée par</w:t>
            </w:r>
            <w:r w:rsidRPr="008F3F94">
              <w:rPr>
                <w:szCs w:val="24"/>
                <w:lang w:eastAsia="fr-FR"/>
              </w:rPr>
              <w:t>:</w:t>
            </w:r>
          </w:p>
        </w:tc>
        <w:tc>
          <w:tcPr>
            <w:tcW w:w="3686" w:type="dxa"/>
          </w:tcPr>
          <w:p w:rsidR="0081758B" w:rsidRPr="008F3F94" w:rsidRDefault="0081758B" w:rsidP="009F43D0">
            <w:pPr>
              <w:spacing w:after="120"/>
              <w:rPr>
                <w:szCs w:val="24"/>
                <w:lang w:eastAsia="fr-FR"/>
              </w:rPr>
            </w:pPr>
            <w:r w:rsidRPr="008F3F94">
              <w:rPr>
                <w:szCs w:val="24"/>
                <w:lang w:eastAsia="fr-FR"/>
              </w:rPr>
              <w:t>Vladimir Sekerko</w:t>
            </w:r>
            <w:r>
              <w:rPr>
                <w:szCs w:val="24"/>
                <w:lang w:eastAsia="fr-FR"/>
              </w:rPr>
              <w:br/>
              <w:t>(non représenté</w:t>
            </w:r>
            <w:r w:rsidRPr="008F3F94">
              <w:rPr>
                <w:szCs w:val="24"/>
                <w:lang w:eastAsia="fr-FR"/>
              </w:rPr>
              <w:t xml:space="preserve"> par un conseil)</w:t>
            </w:r>
          </w:p>
        </w:tc>
      </w:tr>
      <w:tr w:rsidR="0081758B" w:rsidRPr="00974382" w:rsidTr="009F43D0">
        <w:tc>
          <w:tcPr>
            <w:tcW w:w="3119" w:type="dxa"/>
          </w:tcPr>
          <w:p w:rsidR="0081758B" w:rsidRPr="00F65358" w:rsidRDefault="0081758B" w:rsidP="009F43D0">
            <w:pPr>
              <w:spacing w:after="120"/>
              <w:rPr>
                <w:i/>
                <w:sz w:val="24"/>
                <w:szCs w:val="24"/>
                <w:lang w:eastAsia="fr-FR"/>
              </w:rPr>
            </w:pPr>
            <w:r w:rsidRPr="008F3F94">
              <w:rPr>
                <w:i/>
                <w:szCs w:val="24"/>
                <w:lang w:eastAsia="fr-FR"/>
              </w:rPr>
              <w:t>Au nom de</w:t>
            </w:r>
            <w:r w:rsidRPr="008F3F94">
              <w:rPr>
                <w:szCs w:val="24"/>
                <w:lang w:eastAsia="fr-FR"/>
              </w:rPr>
              <w:t>:</w:t>
            </w:r>
          </w:p>
        </w:tc>
        <w:tc>
          <w:tcPr>
            <w:tcW w:w="3686" w:type="dxa"/>
          </w:tcPr>
          <w:p w:rsidR="0081758B" w:rsidRPr="008F3F94" w:rsidRDefault="0081758B" w:rsidP="009F43D0">
            <w:pPr>
              <w:spacing w:after="120"/>
              <w:rPr>
                <w:szCs w:val="24"/>
                <w:lang w:eastAsia="fr-FR"/>
              </w:rPr>
            </w:pPr>
            <w:r w:rsidRPr="008F3F94">
              <w:rPr>
                <w:szCs w:val="24"/>
                <w:lang w:eastAsia="fr-FR"/>
              </w:rPr>
              <w:t>L</w:t>
            </w:r>
            <w:r w:rsidR="0064008B">
              <w:rPr>
                <w:szCs w:val="24"/>
                <w:lang w:eastAsia="fr-FR"/>
              </w:rPr>
              <w:t>’</w:t>
            </w:r>
            <w:r w:rsidRPr="008F3F94">
              <w:rPr>
                <w:szCs w:val="24"/>
                <w:lang w:eastAsia="fr-FR"/>
              </w:rPr>
              <w:t>auteur</w:t>
            </w:r>
          </w:p>
        </w:tc>
      </w:tr>
      <w:tr w:rsidR="0081758B" w:rsidRPr="00974382" w:rsidTr="009F43D0">
        <w:tc>
          <w:tcPr>
            <w:tcW w:w="3119" w:type="dxa"/>
          </w:tcPr>
          <w:p w:rsidR="0081758B" w:rsidRPr="00F65358" w:rsidRDefault="0081758B" w:rsidP="009F43D0">
            <w:pPr>
              <w:spacing w:after="120"/>
              <w:rPr>
                <w:i/>
                <w:sz w:val="24"/>
                <w:szCs w:val="24"/>
                <w:lang w:eastAsia="fr-FR"/>
              </w:rPr>
            </w:pPr>
            <w:r w:rsidRPr="008F3F94">
              <w:rPr>
                <w:i/>
                <w:szCs w:val="24"/>
                <w:lang w:eastAsia="fr-FR"/>
              </w:rPr>
              <w:t>État partie</w:t>
            </w:r>
            <w:r w:rsidRPr="008F3F94">
              <w:rPr>
                <w:szCs w:val="24"/>
                <w:lang w:eastAsia="fr-FR"/>
              </w:rPr>
              <w:t>:</w:t>
            </w:r>
          </w:p>
        </w:tc>
        <w:tc>
          <w:tcPr>
            <w:tcW w:w="3686" w:type="dxa"/>
          </w:tcPr>
          <w:p w:rsidR="0081758B" w:rsidRPr="008F3F94" w:rsidRDefault="0081758B" w:rsidP="009F43D0">
            <w:pPr>
              <w:spacing w:after="120"/>
              <w:rPr>
                <w:szCs w:val="24"/>
                <w:lang w:eastAsia="fr-FR"/>
              </w:rPr>
            </w:pPr>
            <w:r w:rsidRPr="008F3F94">
              <w:rPr>
                <w:szCs w:val="24"/>
                <w:lang w:eastAsia="fr-FR"/>
              </w:rPr>
              <w:t>Bélarus</w:t>
            </w:r>
          </w:p>
        </w:tc>
      </w:tr>
      <w:tr w:rsidR="0081758B" w:rsidRPr="00974382" w:rsidTr="009F43D0">
        <w:tc>
          <w:tcPr>
            <w:tcW w:w="3119" w:type="dxa"/>
          </w:tcPr>
          <w:p w:rsidR="0081758B" w:rsidRPr="00F65358" w:rsidRDefault="0081758B" w:rsidP="009F43D0">
            <w:pPr>
              <w:spacing w:after="120"/>
              <w:rPr>
                <w:i/>
                <w:sz w:val="24"/>
                <w:szCs w:val="24"/>
                <w:lang w:eastAsia="fr-FR"/>
              </w:rPr>
            </w:pPr>
            <w:r w:rsidRPr="008F3F94">
              <w:rPr>
                <w:i/>
                <w:szCs w:val="24"/>
                <w:lang w:eastAsia="fr-FR"/>
              </w:rPr>
              <w:t>Date de la communication</w:t>
            </w:r>
            <w:r w:rsidRPr="008F3F94">
              <w:rPr>
                <w:szCs w:val="24"/>
                <w:lang w:eastAsia="fr-FR"/>
              </w:rPr>
              <w:t>:</w:t>
            </w:r>
          </w:p>
        </w:tc>
        <w:tc>
          <w:tcPr>
            <w:tcW w:w="3686" w:type="dxa"/>
          </w:tcPr>
          <w:p w:rsidR="0081758B" w:rsidRPr="008F3F94" w:rsidRDefault="0081758B" w:rsidP="009F43D0">
            <w:pPr>
              <w:spacing w:after="120"/>
              <w:rPr>
                <w:szCs w:val="24"/>
                <w:lang w:eastAsia="fr-FR"/>
              </w:rPr>
            </w:pPr>
            <w:r>
              <w:rPr>
                <w:szCs w:val="24"/>
                <w:lang w:eastAsia="fr-FR"/>
              </w:rPr>
              <w:t>17 </w:t>
            </w:r>
            <w:r w:rsidRPr="008F3F94">
              <w:rPr>
                <w:szCs w:val="24"/>
                <w:lang w:eastAsia="fr-FR"/>
              </w:rPr>
              <w:t>septembre 2008 (date de la lettre initiale)</w:t>
            </w:r>
          </w:p>
        </w:tc>
      </w:tr>
    </w:tbl>
    <w:p w:rsidR="0081758B" w:rsidRPr="008F3F94" w:rsidRDefault="0081758B" w:rsidP="00143BB6">
      <w:pPr>
        <w:pStyle w:val="SingleTxtG"/>
        <w:ind w:firstLine="567"/>
        <w:rPr>
          <w:szCs w:val="24"/>
        </w:rPr>
      </w:pPr>
      <w:r w:rsidRPr="008F3F94">
        <w:rPr>
          <w:i/>
          <w:iCs/>
          <w:szCs w:val="24"/>
        </w:rPr>
        <w:t>Le Comité des droits de l</w:t>
      </w:r>
      <w:r w:rsidR="0064008B">
        <w:rPr>
          <w:i/>
          <w:iCs/>
          <w:szCs w:val="24"/>
        </w:rPr>
        <w:t>’</w:t>
      </w:r>
      <w:r w:rsidRPr="008F3F94">
        <w:rPr>
          <w:i/>
          <w:iCs/>
          <w:szCs w:val="24"/>
        </w:rPr>
        <w:t>homme</w:t>
      </w:r>
      <w:r w:rsidRPr="008F3F94">
        <w:rPr>
          <w:szCs w:val="24"/>
        </w:rPr>
        <w:t>, institué en vertu de l</w:t>
      </w:r>
      <w:r w:rsidR="0064008B">
        <w:rPr>
          <w:szCs w:val="24"/>
        </w:rPr>
        <w:t>’</w:t>
      </w:r>
      <w:r w:rsidRPr="008F3F94">
        <w:rPr>
          <w:szCs w:val="24"/>
        </w:rPr>
        <w:t>article 28 du Pacte international relatif aux droits civils et politiques,</w:t>
      </w:r>
    </w:p>
    <w:p w:rsidR="0081758B" w:rsidRPr="008F3F94" w:rsidRDefault="0081758B" w:rsidP="0081758B">
      <w:pPr>
        <w:pStyle w:val="SingleTxtG"/>
        <w:ind w:firstLine="567"/>
        <w:rPr>
          <w:szCs w:val="24"/>
        </w:rPr>
      </w:pPr>
      <w:r w:rsidRPr="008F3F94">
        <w:rPr>
          <w:i/>
          <w:szCs w:val="24"/>
        </w:rPr>
        <w:t>Réuni le</w:t>
      </w:r>
      <w:r w:rsidRPr="008F3F94">
        <w:rPr>
          <w:szCs w:val="24"/>
        </w:rPr>
        <w:t xml:space="preserve"> </w:t>
      </w:r>
      <w:r w:rsidR="004E2CB5">
        <w:rPr>
          <w:szCs w:val="24"/>
        </w:rPr>
        <w:t>28</w:t>
      </w:r>
      <w:r w:rsidRPr="008F3F94">
        <w:rPr>
          <w:szCs w:val="24"/>
        </w:rPr>
        <w:t xml:space="preserve"> octobre 2013,</w:t>
      </w:r>
    </w:p>
    <w:p w:rsidR="0081758B" w:rsidRPr="008F3F94" w:rsidRDefault="0081758B" w:rsidP="0081758B">
      <w:pPr>
        <w:pStyle w:val="SingleTxtG"/>
        <w:ind w:firstLine="567"/>
        <w:rPr>
          <w:szCs w:val="24"/>
        </w:rPr>
      </w:pPr>
      <w:r w:rsidRPr="008F3F94">
        <w:rPr>
          <w:i/>
          <w:szCs w:val="24"/>
        </w:rPr>
        <w:t>Ayant achevé</w:t>
      </w:r>
      <w:r w:rsidRPr="008F3F94">
        <w:rPr>
          <w:szCs w:val="24"/>
        </w:rPr>
        <w:t xml:space="preserve"> l</w:t>
      </w:r>
      <w:r w:rsidR="0064008B">
        <w:rPr>
          <w:szCs w:val="24"/>
        </w:rPr>
        <w:t>’</w:t>
      </w:r>
      <w:r w:rsidRPr="008F3F94">
        <w:rPr>
          <w:szCs w:val="24"/>
        </w:rPr>
        <w:t xml:space="preserve">examen de la communication </w:t>
      </w:r>
      <w:r w:rsidRPr="00AA682E">
        <w:rPr>
          <w:rFonts w:eastAsia="MS Mincho"/>
          <w:szCs w:val="24"/>
        </w:rPr>
        <w:t>n</w:t>
      </w:r>
      <w:r w:rsidRPr="00AA682E">
        <w:rPr>
          <w:rFonts w:eastAsia="MS Mincho"/>
          <w:szCs w:val="24"/>
          <w:vertAlign w:val="superscript"/>
        </w:rPr>
        <w:t>o</w:t>
      </w:r>
      <w:r w:rsidRPr="008F3F94">
        <w:rPr>
          <w:szCs w:val="24"/>
        </w:rPr>
        <w:t> 1851/2008 présentée par Vladimir</w:t>
      </w:r>
      <w:r w:rsidR="0064008B">
        <w:rPr>
          <w:szCs w:val="24"/>
        </w:rPr>
        <w:t> </w:t>
      </w:r>
      <w:r w:rsidRPr="008F3F94">
        <w:rPr>
          <w:szCs w:val="24"/>
        </w:rPr>
        <w:t xml:space="preserve">Sekerko en vertu du Protocole </w:t>
      </w:r>
      <w:r w:rsidRPr="00572509">
        <w:t>facultatif</w:t>
      </w:r>
      <w:r w:rsidRPr="008F3F94">
        <w:rPr>
          <w:szCs w:val="24"/>
        </w:rPr>
        <w:t xml:space="preserve"> se rapportant au Pacte international relatif aux droits civils et politiques,</w:t>
      </w:r>
    </w:p>
    <w:p w:rsidR="0081758B" w:rsidRPr="008F3F94" w:rsidRDefault="0081758B" w:rsidP="0081758B">
      <w:pPr>
        <w:pStyle w:val="SingleTxtG"/>
        <w:ind w:firstLine="567"/>
        <w:rPr>
          <w:szCs w:val="24"/>
        </w:rPr>
      </w:pPr>
      <w:r w:rsidRPr="008F3F94">
        <w:rPr>
          <w:i/>
          <w:szCs w:val="24"/>
        </w:rPr>
        <w:t>Ayant tenu compte</w:t>
      </w:r>
      <w:r w:rsidRPr="008F3F94">
        <w:rPr>
          <w:szCs w:val="24"/>
        </w:rPr>
        <w:t xml:space="preserve"> de toutes les informations écrites qui lui ont été communiquées par l</w:t>
      </w:r>
      <w:r w:rsidR="0064008B">
        <w:rPr>
          <w:szCs w:val="24"/>
        </w:rPr>
        <w:t>’</w:t>
      </w:r>
      <w:r w:rsidRPr="008F3F94">
        <w:rPr>
          <w:szCs w:val="24"/>
        </w:rPr>
        <w:t>auteur de la communication et l</w:t>
      </w:r>
      <w:r w:rsidR="0064008B">
        <w:rPr>
          <w:szCs w:val="24"/>
        </w:rPr>
        <w:t>’</w:t>
      </w:r>
      <w:r>
        <w:rPr>
          <w:szCs w:val="24"/>
        </w:rPr>
        <w:t>État partie,</w:t>
      </w:r>
    </w:p>
    <w:p w:rsidR="0081758B" w:rsidRPr="008F3F94" w:rsidRDefault="0081758B" w:rsidP="0081758B">
      <w:pPr>
        <w:pStyle w:val="SingleTxtG"/>
        <w:ind w:firstLine="567"/>
        <w:rPr>
          <w:szCs w:val="24"/>
        </w:rPr>
      </w:pPr>
      <w:r w:rsidRPr="008F3F94">
        <w:rPr>
          <w:i/>
          <w:szCs w:val="24"/>
        </w:rPr>
        <w:t>Adopte ce qui suit</w:t>
      </w:r>
      <w:r w:rsidRPr="008F3F94">
        <w:rPr>
          <w:szCs w:val="24"/>
        </w:rPr>
        <w:t>:</w:t>
      </w:r>
    </w:p>
    <w:p w:rsidR="0081758B" w:rsidRPr="008F3F94" w:rsidRDefault="0081758B" w:rsidP="0081758B">
      <w:pPr>
        <w:pStyle w:val="H1G"/>
      </w:pPr>
      <w:r w:rsidRPr="008F3F94">
        <w:tab/>
      </w:r>
      <w:r w:rsidRPr="008F3F94">
        <w:tab/>
        <w:t>Consta</w:t>
      </w:r>
      <w:r>
        <w:t>tations au titre du paragraphe </w:t>
      </w:r>
      <w:r w:rsidRPr="008F3F94">
        <w:t>4 de l</w:t>
      </w:r>
      <w:r w:rsidR="0064008B">
        <w:t>’</w:t>
      </w:r>
      <w:r>
        <w:t>article </w:t>
      </w:r>
      <w:r w:rsidRPr="008F3F94">
        <w:t>5</w:t>
      </w:r>
      <w:r>
        <w:br/>
      </w:r>
      <w:r w:rsidR="004E2CB5">
        <w:t>du Protocole facultatif</w:t>
      </w:r>
    </w:p>
    <w:p w:rsidR="0081758B" w:rsidRDefault="0081758B" w:rsidP="0081758B">
      <w:pPr>
        <w:pStyle w:val="SingleTxtG"/>
        <w:rPr>
          <w:szCs w:val="24"/>
          <w:lang w:val="fr-FR"/>
        </w:rPr>
      </w:pPr>
      <w:r w:rsidRPr="008F3F94">
        <w:rPr>
          <w:szCs w:val="24"/>
          <w:lang w:val="fr-FR"/>
        </w:rPr>
        <w:t>1.1</w:t>
      </w:r>
      <w:r w:rsidRPr="008F3F94">
        <w:rPr>
          <w:szCs w:val="24"/>
          <w:lang w:val="fr-FR"/>
        </w:rPr>
        <w:tab/>
        <w:t>L</w:t>
      </w:r>
      <w:r w:rsidR="0064008B">
        <w:rPr>
          <w:szCs w:val="24"/>
          <w:lang w:val="fr-FR"/>
        </w:rPr>
        <w:t>’</w:t>
      </w:r>
      <w:r w:rsidRPr="008F3F94">
        <w:rPr>
          <w:szCs w:val="24"/>
          <w:lang w:val="fr-FR"/>
        </w:rPr>
        <w:t>auteur de la communication est Vladimir</w:t>
      </w:r>
      <w:r w:rsidR="006F0945">
        <w:rPr>
          <w:szCs w:val="24"/>
          <w:lang w:val="fr-FR"/>
        </w:rPr>
        <w:t> </w:t>
      </w:r>
      <w:r w:rsidRPr="008F3F94">
        <w:rPr>
          <w:szCs w:val="24"/>
          <w:lang w:val="fr-FR"/>
        </w:rPr>
        <w:t>Sekerko, de nationalité bélarussienne, né</w:t>
      </w:r>
      <w:r>
        <w:rPr>
          <w:szCs w:val="24"/>
          <w:lang w:val="fr-FR"/>
        </w:rPr>
        <w:t> </w:t>
      </w:r>
      <w:r w:rsidRPr="008F3F94">
        <w:rPr>
          <w:szCs w:val="24"/>
          <w:lang w:val="fr-FR"/>
        </w:rPr>
        <w:t>en 1947. Il affirme être</w:t>
      </w:r>
      <w:r>
        <w:rPr>
          <w:szCs w:val="24"/>
          <w:lang w:val="fr-FR"/>
        </w:rPr>
        <w:t xml:space="preserve"> </w:t>
      </w:r>
      <w:r w:rsidRPr="008F3F94">
        <w:t>victime d</w:t>
      </w:r>
      <w:r w:rsidR="0064008B">
        <w:t>’</w:t>
      </w:r>
      <w:r w:rsidRPr="008F3F94">
        <w:t xml:space="preserve">une violation par le Bélarus des droits qui </w:t>
      </w:r>
      <w:r w:rsidRPr="008F3F94">
        <w:rPr>
          <w:szCs w:val="24"/>
          <w:lang w:val="fr-FR"/>
        </w:rPr>
        <w:t>lui</w:t>
      </w:r>
      <w:r w:rsidRPr="008F3F94">
        <w:t xml:space="preserve"> sont garantis par l</w:t>
      </w:r>
      <w:r w:rsidR="0064008B">
        <w:t>’</w:t>
      </w:r>
      <w:r w:rsidRPr="008F3F94">
        <w:t>article</w:t>
      </w:r>
      <w:r>
        <w:t> </w:t>
      </w:r>
      <w:r w:rsidRPr="008F3F94">
        <w:t xml:space="preserve">21 du Pacte international relatif aux droits civils et </w:t>
      </w:r>
      <w:r w:rsidRPr="008F3F94">
        <w:rPr>
          <w:szCs w:val="24"/>
          <w:lang w:val="fr-FR"/>
        </w:rPr>
        <w:t>politiques (ci-après «le Pacte»)</w:t>
      </w:r>
      <w:r w:rsidR="004E2CB5">
        <w:rPr>
          <w:rStyle w:val="FootnoteReference"/>
          <w:szCs w:val="24"/>
        </w:rPr>
        <w:footnoteReference w:id="3"/>
      </w:r>
      <w:r w:rsidRPr="008F3F94">
        <w:rPr>
          <w:szCs w:val="24"/>
          <w:lang w:val="fr-FR"/>
        </w:rPr>
        <w:t>.</w:t>
      </w:r>
      <w:r w:rsidRPr="008F3F94">
        <w:t xml:space="preserve"> </w:t>
      </w:r>
      <w:r w:rsidRPr="008F3F94">
        <w:rPr>
          <w:szCs w:val="24"/>
          <w:lang w:val="fr-FR"/>
        </w:rPr>
        <w:t>L</w:t>
      </w:r>
      <w:r w:rsidR="0064008B">
        <w:rPr>
          <w:szCs w:val="24"/>
          <w:lang w:val="fr-FR"/>
        </w:rPr>
        <w:t>’</w:t>
      </w:r>
      <w:r w:rsidRPr="008F3F94">
        <w:rPr>
          <w:szCs w:val="24"/>
          <w:lang w:val="fr-FR"/>
        </w:rPr>
        <w:t>auteur n</w:t>
      </w:r>
      <w:r w:rsidR="0064008B">
        <w:rPr>
          <w:szCs w:val="24"/>
          <w:lang w:val="fr-FR"/>
        </w:rPr>
        <w:t>’</w:t>
      </w:r>
      <w:r w:rsidRPr="008F3F94">
        <w:rPr>
          <w:szCs w:val="24"/>
          <w:lang w:val="fr-FR"/>
        </w:rPr>
        <w:t>est</w:t>
      </w:r>
      <w:r w:rsidRPr="008F3F94">
        <w:t xml:space="preserve"> pas représenté par un conseil</w:t>
      </w:r>
      <w:r>
        <w:rPr>
          <w:szCs w:val="24"/>
          <w:lang w:val="fr-FR"/>
        </w:rPr>
        <w:t>.</w:t>
      </w:r>
    </w:p>
    <w:p w:rsidR="0081758B" w:rsidRPr="008B7781" w:rsidRDefault="0081758B" w:rsidP="0081758B">
      <w:pPr>
        <w:pStyle w:val="SingleTxtG"/>
        <w:rPr>
          <w:spacing w:val="-4"/>
          <w:szCs w:val="24"/>
        </w:rPr>
      </w:pPr>
      <w:r>
        <w:rPr>
          <w:szCs w:val="24"/>
          <w:lang w:val="fr-FR"/>
        </w:rPr>
        <w:t>1.2</w:t>
      </w:r>
      <w:r>
        <w:rPr>
          <w:szCs w:val="24"/>
          <w:lang w:val="fr-FR"/>
        </w:rPr>
        <w:tab/>
        <w:t>Le 16 </w:t>
      </w:r>
      <w:r w:rsidRPr="008F3F94">
        <w:rPr>
          <w:szCs w:val="24"/>
          <w:lang w:val="fr-FR"/>
        </w:rPr>
        <w:t xml:space="preserve">février 2009, </w:t>
      </w:r>
      <w:r w:rsidRPr="008F3F94">
        <w:t>l</w:t>
      </w:r>
      <w:r w:rsidR="0064008B">
        <w:t>’</w:t>
      </w:r>
      <w:r w:rsidRPr="008F3F94">
        <w:t>État partie a demandé au Comité d</w:t>
      </w:r>
      <w:r w:rsidR="0064008B">
        <w:t>’</w:t>
      </w:r>
      <w:r w:rsidRPr="008F3F94">
        <w:t>examiner la question de la recevabilité de la communication séparément du f</w:t>
      </w:r>
      <w:r>
        <w:t xml:space="preserve">ond, </w:t>
      </w:r>
      <w:r w:rsidRPr="008B7781">
        <w:rPr>
          <w:spacing w:val="-2"/>
        </w:rPr>
        <w:t>conformément au paragraphe 3 de l</w:t>
      </w:r>
      <w:r w:rsidR="0064008B">
        <w:rPr>
          <w:spacing w:val="-2"/>
        </w:rPr>
        <w:t>’</w:t>
      </w:r>
      <w:r w:rsidRPr="008B7781">
        <w:rPr>
          <w:spacing w:val="-2"/>
        </w:rPr>
        <w:t>article 97 du Règlement intérieur du Comité.</w:t>
      </w:r>
      <w:r w:rsidRPr="008B7781">
        <w:rPr>
          <w:spacing w:val="-2"/>
          <w:szCs w:val="24"/>
        </w:rPr>
        <w:t xml:space="preserve"> Le 6 mars 2009, </w:t>
      </w:r>
      <w:r w:rsidRPr="008B7781">
        <w:rPr>
          <w:spacing w:val="-2"/>
        </w:rPr>
        <w:t>par l</w:t>
      </w:r>
      <w:r w:rsidR="0064008B">
        <w:rPr>
          <w:spacing w:val="-2"/>
        </w:rPr>
        <w:t>’</w:t>
      </w:r>
      <w:r w:rsidRPr="008B7781">
        <w:rPr>
          <w:spacing w:val="-2"/>
        </w:rPr>
        <w:t xml:space="preserve">intermédiaire de son Rapporteur spécial chargé des nouvelles communications et des mesures provisoires, </w:t>
      </w:r>
      <w:r w:rsidRPr="008B7781">
        <w:rPr>
          <w:spacing w:val="-4"/>
          <w:szCs w:val="24"/>
        </w:rPr>
        <w:t>le</w:t>
      </w:r>
      <w:r>
        <w:rPr>
          <w:spacing w:val="-4"/>
          <w:szCs w:val="24"/>
        </w:rPr>
        <w:t> </w:t>
      </w:r>
      <w:r w:rsidRPr="008B7781">
        <w:rPr>
          <w:spacing w:val="-4"/>
        </w:rPr>
        <w:t>Comité a décidé d</w:t>
      </w:r>
      <w:r w:rsidR="0064008B">
        <w:rPr>
          <w:spacing w:val="-4"/>
        </w:rPr>
        <w:t>’</w:t>
      </w:r>
      <w:r w:rsidRPr="008B7781">
        <w:rPr>
          <w:spacing w:val="-4"/>
        </w:rPr>
        <w:t>examiner la recevabilité de la communication en même temps que le fond.</w:t>
      </w:r>
    </w:p>
    <w:p w:rsidR="0081758B" w:rsidRDefault="0081758B" w:rsidP="0081758B">
      <w:pPr>
        <w:pStyle w:val="H23G"/>
      </w:pPr>
      <w:r w:rsidRPr="008F3F94">
        <w:rPr>
          <w:szCs w:val="24"/>
        </w:rPr>
        <w:tab/>
      </w:r>
      <w:r w:rsidRPr="008F3F94">
        <w:rPr>
          <w:szCs w:val="24"/>
        </w:rPr>
        <w:tab/>
      </w:r>
      <w:r w:rsidRPr="008F3F94">
        <w:t xml:space="preserve">Rappel des faits présentés par </w:t>
      </w:r>
      <w:r w:rsidR="00106150">
        <w:t>l</w:t>
      </w:r>
      <w:r w:rsidR="0064008B">
        <w:t>’</w:t>
      </w:r>
      <w:r w:rsidR="00106150">
        <w:t>auteur</w:t>
      </w:r>
    </w:p>
    <w:p w:rsidR="0081758B" w:rsidRDefault="0081758B" w:rsidP="008936C4">
      <w:pPr>
        <w:pStyle w:val="SingleTxtG"/>
        <w:rPr>
          <w:szCs w:val="24"/>
          <w:lang w:val="fr-FR"/>
        </w:rPr>
      </w:pPr>
      <w:r w:rsidRPr="008F3F94">
        <w:rPr>
          <w:szCs w:val="24"/>
          <w:lang w:val="fr-FR"/>
        </w:rPr>
        <w:t>2.1</w:t>
      </w:r>
      <w:r w:rsidRPr="008F3F94">
        <w:rPr>
          <w:szCs w:val="24"/>
          <w:lang w:val="fr-FR"/>
        </w:rPr>
        <w:tab/>
        <w:t>L</w:t>
      </w:r>
      <w:r w:rsidR="0064008B">
        <w:rPr>
          <w:szCs w:val="24"/>
          <w:lang w:val="fr-FR"/>
        </w:rPr>
        <w:t>’</w:t>
      </w:r>
      <w:r w:rsidRPr="008F3F94">
        <w:rPr>
          <w:szCs w:val="24"/>
          <w:lang w:val="fr-FR"/>
        </w:rPr>
        <w:t>auteur</w:t>
      </w:r>
      <w:r>
        <w:rPr>
          <w:szCs w:val="24"/>
          <w:lang w:val="fr-FR"/>
        </w:rPr>
        <w:t xml:space="preserve"> et</w:t>
      </w:r>
      <w:r w:rsidRPr="008F3F94">
        <w:rPr>
          <w:szCs w:val="24"/>
          <w:lang w:val="fr-FR"/>
        </w:rPr>
        <w:t xml:space="preserve"> un groupe de résidents de la ville de Gomel (ci-après «les autres requérants»), ont demandé au Comité exécutif de la ville de Gomel l</w:t>
      </w:r>
      <w:r w:rsidR="0064008B">
        <w:rPr>
          <w:szCs w:val="24"/>
          <w:lang w:val="fr-FR"/>
        </w:rPr>
        <w:t>’</w:t>
      </w:r>
      <w:r w:rsidRPr="008F3F94">
        <w:rPr>
          <w:szCs w:val="24"/>
          <w:lang w:val="fr-FR"/>
        </w:rPr>
        <w:t>autorisation d</w:t>
      </w:r>
      <w:r w:rsidR="0064008B">
        <w:rPr>
          <w:szCs w:val="24"/>
          <w:lang w:val="fr-FR"/>
        </w:rPr>
        <w:t>’</w:t>
      </w:r>
      <w:r w:rsidRPr="008F3F94">
        <w:rPr>
          <w:szCs w:val="24"/>
          <w:lang w:val="fr-FR"/>
        </w:rPr>
        <w:t>organiser des</w:t>
      </w:r>
      <w:r>
        <w:rPr>
          <w:szCs w:val="24"/>
          <w:lang w:val="fr-FR"/>
        </w:rPr>
        <w:t xml:space="preserve"> </w:t>
      </w:r>
      <w:r w:rsidRPr="008F3F94">
        <w:rPr>
          <w:szCs w:val="24"/>
          <w:lang w:val="fr-FR"/>
        </w:rPr>
        <w:t xml:space="preserve">manifestations </w:t>
      </w:r>
      <w:r w:rsidR="00106150">
        <w:rPr>
          <w:szCs w:val="24"/>
          <w:lang w:val="fr-FR"/>
        </w:rPr>
        <w:t>de masse</w:t>
      </w:r>
      <w:r w:rsidRPr="008F3F94">
        <w:rPr>
          <w:szCs w:val="24"/>
          <w:lang w:val="fr-FR"/>
        </w:rPr>
        <w:t xml:space="preserve"> en différents endroits de la ville pour protester contre la suppression des prestations sociales pour les personnes dans le besoin. Les</w:t>
      </w:r>
      <w:r>
        <w:rPr>
          <w:szCs w:val="24"/>
          <w:lang w:val="fr-FR"/>
        </w:rPr>
        <w:t> </w:t>
      </w:r>
      <w:r w:rsidRPr="008F3F94">
        <w:rPr>
          <w:szCs w:val="24"/>
          <w:lang w:val="fr-FR"/>
        </w:rPr>
        <w:t>manifestations prévues par l</w:t>
      </w:r>
      <w:r w:rsidR="0064008B">
        <w:rPr>
          <w:szCs w:val="24"/>
          <w:lang w:val="fr-FR"/>
        </w:rPr>
        <w:t>’</w:t>
      </w:r>
      <w:r w:rsidRPr="008F3F94">
        <w:rPr>
          <w:szCs w:val="24"/>
          <w:lang w:val="fr-FR"/>
        </w:rPr>
        <w:t xml:space="preserve">auteur devaient avoir lieu </w:t>
      </w:r>
      <w:r w:rsidR="008936C4">
        <w:rPr>
          <w:szCs w:val="24"/>
          <w:lang w:val="fr-FR"/>
        </w:rPr>
        <w:t xml:space="preserve">dans des espaces situés devant </w:t>
      </w:r>
      <w:r w:rsidRPr="008F3F94">
        <w:rPr>
          <w:szCs w:val="24"/>
          <w:lang w:val="fr-FR"/>
        </w:rPr>
        <w:t xml:space="preserve">le Palais de la culture de </w:t>
      </w:r>
      <w:r w:rsidRPr="008F3F94">
        <w:t>l</w:t>
      </w:r>
      <w:r w:rsidR="0064008B">
        <w:t>’</w:t>
      </w:r>
      <w:r w:rsidRPr="008F3F94">
        <w:t>entreprise unitaire privée</w:t>
      </w:r>
      <w:r w:rsidRPr="008F3F94">
        <w:rPr>
          <w:szCs w:val="24"/>
          <w:lang w:val="fr-FR"/>
        </w:rPr>
        <w:t xml:space="preserve"> Vipra et devant</w:t>
      </w:r>
      <w:r>
        <w:rPr>
          <w:szCs w:val="24"/>
          <w:lang w:val="fr-FR"/>
        </w:rPr>
        <w:t xml:space="preserve"> </w:t>
      </w:r>
      <w:r w:rsidRPr="008F3F94">
        <w:rPr>
          <w:szCs w:val="24"/>
          <w:lang w:val="fr-FR"/>
        </w:rPr>
        <w:t>le centre commercial Retchitskiy. La demande a été soumise conformément à l</w:t>
      </w:r>
      <w:r w:rsidR="0064008B">
        <w:rPr>
          <w:szCs w:val="24"/>
          <w:lang w:val="fr-FR"/>
        </w:rPr>
        <w:t>’</w:t>
      </w:r>
      <w:r>
        <w:rPr>
          <w:szCs w:val="24"/>
          <w:lang w:val="fr-FR"/>
        </w:rPr>
        <w:t>article </w:t>
      </w:r>
      <w:r w:rsidRPr="008F3F94">
        <w:rPr>
          <w:szCs w:val="24"/>
          <w:lang w:val="fr-FR"/>
        </w:rPr>
        <w:t>5</w:t>
      </w:r>
      <w:r>
        <w:rPr>
          <w:szCs w:val="24"/>
          <w:lang w:val="fr-FR"/>
        </w:rPr>
        <w:t xml:space="preserve"> </w:t>
      </w:r>
      <w:r w:rsidRPr="008F3F94">
        <w:rPr>
          <w:szCs w:val="24"/>
          <w:lang w:val="fr-FR"/>
        </w:rPr>
        <w:t xml:space="preserve">de la </w:t>
      </w:r>
      <w:r w:rsidRPr="008F3F94">
        <w:t xml:space="preserve">loi </w:t>
      </w:r>
      <w:r w:rsidR="00106150">
        <w:t xml:space="preserve">du 30 décembre 1997 </w:t>
      </w:r>
      <w:r w:rsidRPr="008F3F94">
        <w:t>sur les manifestations de masse</w:t>
      </w:r>
      <w:r>
        <w:rPr>
          <w:szCs w:val="24"/>
          <w:lang w:val="fr-FR"/>
        </w:rPr>
        <w:t xml:space="preserve"> </w:t>
      </w:r>
      <w:r w:rsidRPr="008F3F94">
        <w:rPr>
          <w:szCs w:val="24"/>
          <w:lang w:val="fr-FR"/>
        </w:rPr>
        <w:t>en</w:t>
      </w:r>
      <w:r>
        <w:rPr>
          <w:szCs w:val="24"/>
          <w:lang w:val="fr-FR"/>
        </w:rPr>
        <w:t xml:space="preserve"> </w:t>
      </w:r>
      <w:r w:rsidRPr="008F3F94">
        <w:rPr>
          <w:szCs w:val="24"/>
          <w:lang w:val="fr-FR"/>
        </w:rPr>
        <w:t>République du Bélarus (</w:t>
      </w:r>
      <w:r w:rsidR="008936C4">
        <w:rPr>
          <w:szCs w:val="24"/>
          <w:lang w:val="fr-FR"/>
        </w:rPr>
        <w:t xml:space="preserve">ci-après la </w:t>
      </w:r>
      <w:r w:rsidRPr="008F3F94">
        <w:rPr>
          <w:szCs w:val="24"/>
          <w:lang w:val="fr-FR"/>
        </w:rPr>
        <w:t xml:space="preserve">loi </w:t>
      </w:r>
      <w:r w:rsidRPr="008F3F94">
        <w:rPr>
          <w:szCs w:val="24"/>
        </w:rPr>
        <w:t>sur les manifestations de masse</w:t>
      </w:r>
      <w:r>
        <w:rPr>
          <w:szCs w:val="24"/>
          <w:lang w:val="fr-FR"/>
        </w:rPr>
        <w:t>).</w:t>
      </w:r>
    </w:p>
    <w:p w:rsidR="0081758B" w:rsidRDefault="0081758B" w:rsidP="0081758B">
      <w:pPr>
        <w:pStyle w:val="SingleTxtG"/>
        <w:rPr>
          <w:szCs w:val="24"/>
          <w:lang w:val="fr-FR"/>
        </w:rPr>
      </w:pPr>
      <w:r>
        <w:rPr>
          <w:szCs w:val="24"/>
          <w:lang w:val="fr-FR"/>
        </w:rPr>
        <w:t>2.2</w:t>
      </w:r>
      <w:r>
        <w:rPr>
          <w:szCs w:val="24"/>
          <w:lang w:val="fr-FR"/>
        </w:rPr>
        <w:tab/>
        <w:t>Le 5 </w:t>
      </w:r>
      <w:r w:rsidRPr="008F3F94">
        <w:rPr>
          <w:szCs w:val="24"/>
          <w:lang w:val="fr-FR"/>
        </w:rPr>
        <w:t>décembre 2007, le Comité exécutif de la ville de Gomel a refusé d</w:t>
      </w:r>
      <w:r w:rsidR="0064008B">
        <w:rPr>
          <w:szCs w:val="24"/>
          <w:lang w:val="fr-FR"/>
        </w:rPr>
        <w:t>’</w:t>
      </w:r>
      <w:r w:rsidRPr="008F3F94">
        <w:rPr>
          <w:szCs w:val="24"/>
          <w:lang w:val="fr-FR"/>
        </w:rPr>
        <w:t xml:space="preserve">autoriser la tenue de ces manifestations de masse au motif que la demande ne contenait pas les </w:t>
      </w:r>
      <w:r>
        <w:rPr>
          <w:szCs w:val="24"/>
          <w:lang w:val="fr-FR"/>
        </w:rPr>
        <w:t xml:space="preserve">informations requises </w:t>
      </w:r>
      <w:r w:rsidRPr="008F3F94">
        <w:rPr>
          <w:szCs w:val="24"/>
          <w:lang w:val="fr-FR"/>
        </w:rPr>
        <w:t>sur les horaires et le déroulement de ces manifestations</w:t>
      </w:r>
      <w:r>
        <w:rPr>
          <w:szCs w:val="24"/>
          <w:lang w:val="fr-FR"/>
        </w:rPr>
        <w:t>,</w:t>
      </w:r>
      <w:r w:rsidRPr="008F3F94">
        <w:rPr>
          <w:szCs w:val="24"/>
          <w:lang w:val="fr-FR"/>
        </w:rPr>
        <w:t xml:space="preserve"> en violation des dispositions de l</w:t>
      </w:r>
      <w:r w:rsidR="0064008B">
        <w:rPr>
          <w:szCs w:val="24"/>
          <w:lang w:val="fr-FR"/>
        </w:rPr>
        <w:t>’</w:t>
      </w:r>
      <w:r>
        <w:rPr>
          <w:szCs w:val="24"/>
          <w:lang w:val="fr-FR"/>
        </w:rPr>
        <w:t>article </w:t>
      </w:r>
      <w:r w:rsidRPr="008F3F94">
        <w:rPr>
          <w:szCs w:val="24"/>
          <w:lang w:val="fr-FR"/>
        </w:rPr>
        <w:t>5 de la loi sur les manifestations de masse</w:t>
      </w:r>
      <w:r w:rsidRPr="000B26C0">
        <w:rPr>
          <w:rStyle w:val="FootnoteReference"/>
        </w:rPr>
        <w:footnoteReference w:id="4"/>
      </w:r>
      <w:r>
        <w:rPr>
          <w:szCs w:val="24"/>
          <w:lang w:val="fr-FR"/>
        </w:rPr>
        <w:t>.</w:t>
      </w:r>
    </w:p>
    <w:p w:rsidR="0081758B" w:rsidRDefault="0081758B" w:rsidP="0081758B">
      <w:pPr>
        <w:pStyle w:val="SingleTxtG"/>
        <w:rPr>
          <w:szCs w:val="24"/>
          <w:lang w:val="fr-FR"/>
        </w:rPr>
      </w:pPr>
      <w:r>
        <w:rPr>
          <w:szCs w:val="24"/>
          <w:lang w:val="fr-FR"/>
        </w:rPr>
        <w:t>2.3</w:t>
      </w:r>
      <w:r>
        <w:rPr>
          <w:szCs w:val="24"/>
          <w:lang w:val="fr-FR"/>
        </w:rPr>
        <w:tab/>
        <w:t>Le 5 </w:t>
      </w:r>
      <w:r w:rsidRPr="008F3F94">
        <w:rPr>
          <w:szCs w:val="24"/>
          <w:lang w:val="fr-FR"/>
        </w:rPr>
        <w:t>décembre 2007, l</w:t>
      </w:r>
      <w:r w:rsidR="0064008B">
        <w:rPr>
          <w:szCs w:val="24"/>
          <w:lang w:val="fr-FR"/>
        </w:rPr>
        <w:t>’</w:t>
      </w:r>
      <w:r w:rsidRPr="008F3F94">
        <w:rPr>
          <w:szCs w:val="24"/>
          <w:lang w:val="fr-FR"/>
        </w:rPr>
        <w:t xml:space="preserve">auteur et les autres requérants ont déposé une plainte auprès du </w:t>
      </w:r>
      <w:r w:rsidRPr="008F3F94">
        <w:t>tribunal du district central</w:t>
      </w:r>
      <w:r>
        <w:rPr>
          <w:szCs w:val="24"/>
          <w:lang w:val="fr-FR"/>
        </w:rPr>
        <w:t xml:space="preserve"> </w:t>
      </w:r>
      <w:r w:rsidRPr="008F3F94">
        <w:rPr>
          <w:szCs w:val="24"/>
          <w:lang w:val="fr-FR"/>
        </w:rPr>
        <w:t>de Gomel pour contester la décision du Comité exécutif de la ville de Gomel. Dans cette plainte, l</w:t>
      </w:r>
      <w:r w:rsidR="0064008B">
        <w:rPr>
          <w:szCs w:val="24"/>
          <w:lang w:val="fr-FR"/>
        </w:rPr>
        <w:t>’</w:t>
      </w:r>
      <w:r w:rsidRPr="008F3F94">
        <w:rPr>
          <w:szCs w:val="24"/>
          <w:lang w:val="fr-FR"/>
        </w:rPr>
        <w:t>auteur indiquait qu</w:t>
      </w:r>
      <w:r w:rsidR="0064008B">
        <w:rPr>
          <w:szCs w:val="24"/>
          <w:lang w:val="fr-FR"/>
        </w:rPr>
        <w:t>’</w:t>
      </w:r>
      <w:r w:rsidRPr="008F3F94">
        <w:rPr>
          <w:szCs w:val="24"/>
          <w:lang w:val="fr-FR"/>
        </w:rPr>
        <w:t xml:space="preserve">il avait fourni les </w:t>
      </w:r>
      <w:r>
        <w:rPr>
          <w:szCs w:val="24"/>
          <w:lang w:val="fr-FR"/>
        </w:rPr>
        <w:t>informations</w:t>
      </w:r>
      <w:r w:rsidRPr="008F3F94">
        <w:rPr>
          <w:szCs w:val="24"/>
          <w:lang w:val="fr-FR"/>
        </w:rPr>
        <w:t xml:space="preserve"> requises sur les horaires et le déroulement des manifestations</w:t>
      </w:r>
      <w:r>
        <w:rPr>
          <w:szCs w:val="24"/>
          <w:lang w:val="fr-FR"/>
        </w:rPr>
        <w:t xml:space="preserve"> </w:t>
      </w:r>
      <w:r w:rsidRPr="008F3F94">
        <w:rPr>
          <w:szCs w:val="24"/>
          <w:lang w:val="fr-FR"/>
        </w:rPr>
        <w:t>dans un</w:t>
      </w:r>
      <w:r w:rsidR="008936C4">
        <w:rPr>
          <w:szCs w:val="24"/>
          <w:lang w:val="fr-FR"/>
        </w:rPr>
        <w:t xml:space="preserve"> engagement </w:t>
      </w:r>
      <w:r w:rsidRPr="008F3F94">
        <w:rPr>
          <w:szCs w:val="24"/>
          <w:lang w:val="fr-FR"/>
        </w:rPr>
        <w:t>écrit annexé à la demande adressée au Comité exécutif de la ville de Gomel. Le Comité exécutif avait donc restreint son droit de réunion pacifique sans justification.</w:t>
      </w:r>
    </w:p>
    <w:p w:rsidR="0081758B" w:rsidRDefault="0081758B" w:rsidP="0081758B">
      <w:pPr>
        <w:pStyle w:val="SingleTxtG"/>
        <w:rPr>
          <w:szCs w:val="24"/>
          <w:lang w:val="fr-FR"/>
        </w:rPr>
      </w:pPr>
      <w:r w:rsidRPr="008F3F94">
        <w:rPr>
          <w:szCs w:val="24"/>
          <w:lang w:val="fr-FR"/>
        </w:rPr>
        <w:t>2.4</w:t>
      </w:r>
      <w:r w:rsidRPr="008F3F94">
        <w:rPr>
          <w:szCs w:val="24"/>
          <w:lang w:val="fr-FR"/>
        </w:rPr>
        <w:tab/>
        <w:t>Le 1</w:t>
      </w:r>
      <w:r w:rsidRPr="008F3F94">
        <w:rPr>
          <w:szCs w:val="24"/>
          <w:vertAlign w:val="superscript"/>
          <w:lang w:val="fr-FR"/>
        </w:rPr>
        <w:t>er</w:t>
      </w:r>
      <w:r>
        <w:rPr>
          <w:szCs w:val="24"/>
          <w:lang w:val="fr-FR"/>
        </w:rPr>
        <w:t> </w:t>
      </w:r>
      <w:r w:rsidRPr="008F3F94">
        <w:rPr>
          <w:szCs w:val="24"/>
          <w:lang w:val="fr-FR"/>
        </w:rPr>
        <w:t>février 2008, le tribunal du district central de Gomel a rejeté les plaintes de l</w:t>
      </w:r>
      <w:r w:rsidR="0064008B">
        <w:rPr>
          <w:szCs w:val="24"/>
          <w:lang w:val="fr-FR"/>
        </w:rPr>
        <w:t>’</w:t>
      </w:r>
      <w:r w:rsidRPr="008F3F94">
        <w:rPr>
          <w:szCs w:val="24"/>
          <w:lang w:val="fr-FR"/>
        </w:rPr>
        <w:t xml:space="preserve">auteur et des autres requérants, en faisant observer que la demande </w:t>
      </w:r>
      <w:r w:rsidR="008936C4">
        <w:rPr>
          <w:szCs w:val="24"/>
          <w:lang w:val="fr-FR"/>
        </w:rPr>
        <w:t xml:space="preserve">ne </w:t>
      </w:r>
      <w:r w:rsidRPr="008F3F94">
        <w:rPr>
          <w:szCs w:val="24"/>
          <w:lang w:val="fr-FR"/>
        </w:rPr>
        <w:t xml:space="preserve">contenait </w:t>
      </w:r>
      <w:r w:rsidR="008936C4">
        <w:rPr>
          <w:szCs w:val="24"/>
          <w:lang w:val="fr-FR"/>
        </w:rPr>
        <w:t>que l</w:t>
      </w:r>
      <w:r w:rsidR="0064008B">
        <w:rPr>
          <w:szCs w:val="24"/>
          <w:lang w:val="fr-FR"/>
        </w:rPr>
        <w:t>’</w:t>
      </w:r>
      <w:r w:rsidR="008936C4">
        <w:rPr>
          <w:szCs w:val="24"/>
          <w:lang w:val="fr-FR"/>
        </w:rPr>
        <w:t xml:space="preserve">engagement de </w:t>
      </w:r>
      <w:r w:rsidRPr="008F3F94">
        <w:rPr>
          <w:szCs w:val="24"/>
          <w:lang w:val="fr-FR"/>
        </w:rPr>
        <w:t>l</w:t>
      </w:r>
      <w:r w:rsidR="0064008B">
        <w:rPr>
          <w:szCs w:val="24"/>
          <w:lang w:val="fr-FR"/>
        </w:rPr>
        <w:t>’</w:t>
      </w:r>
      <w:r w:rsidRPr="008F3F94">
        <w:rPr>
          <w:szCs w:val="24"/>
          <w:lang w:val="fr-FR"/>
        </w:rPr>
        <w:t xml:space="preserve">auteur </w:t>
      </w:r>
      <w:r w:rsidR="008936C4">
        <w:rPr>
          <w:szCs w:val="24"/>
          <w:lang w:val="fr-FR"/>
        </w:rPr>
        <w:t>quant à l</w:t>
      </w:r>
      <w:r w:rsidR="0064008B">
        <w:rPr>
          <w:szCs w:val="24"/>
          <w:lang w:val="fr-FR"/>
        </w:rPr>
        <w:t>’</w:t>
      </w:r>
      <w:r w:rsidRPr="008F3F94">
        <w:rPr>
          <w:szCs w:val="24"/>
          <w:lang w:val="fr-FR"/>
        </w:rPr>
        <w:t>organis</w:t>
      </w:r>
      <w:r w:rsidR="008936C4">
        <w:rPr>
          <w:szCs w:val="24"/>
          <w:lang w:val="fr-FR"/>
        </w:rPr>
        <w:t>ation</w:t>
      </w:r>
      <w:r w:rsidRPr="008F3F94">
        <w:rPr>
          <w:szCs w:val="24"/>
          <w:lang w:val="fr-FR"/>
        </w:rPr>
        <w:t xml:space="preserve"> desdites manifestations </w:t>
      </w:r>
      <w:r w:rsidR="008936C4">
        <w:rPr>
          <w:szCs w:val="24"/>
          <w:lang w:val="fr-FR"/>
        </w:rPr>
        <w:t xml:space="preserve">dans le respect des règles et </w:t>
      </w:r>
      <w:r w:rsidRPr="008F3F94">
        <w:rPr>
          <w:szCs w:val="24"/>
          <w:lang w:val="fr-FR"/>
        </w:rPr>
        <w:t>qu</w:t>
      </w:r>
      <w:r w:rsidR="0064008B">
        <w:rPr>
          <w:szCs w:val="24"/>
          <w:lang w:val="fr-FR"/>
        </w:rPr>
        <w:t>’</w:t>
      </w:r>
      <w:r w:rsidRPr="008F3F94">
        <w:rPr>
          <w:szCs w:val="24"/>
          <w:lang w:val="fr-FR"/>
        </w:rPr>
        <w:t xml:space="preserve">il manquait les </w:t>
      </w:r>
      <w:r>
        <w:rPr>
          <w:szCs w:val="24"/>
          <w:lang w:val="fr-FR"/>
        </w:rPr>
        <w:t xml:space="preserve">informations </w:t>
      </w:r>
      <w:r w:rsidRPr="008F3F94">
        <w:rPr>
          <w:szCs w:val="24"/>
          <w:lang w:val="fr-FR"/>
        </w:rPr>
        <w:t>requises sur les horaires et le déroulement de ces actions. Cependant,</w:t>
      </w:r>
      <w:r>
        <w:rPr>
          <w:szCs w:val="24"/>
          <w:lang w:val="fr-FR"/>
        </w:rPr>
        <w:t xml:space="preserve"> </w:t>
      </w:r>
      <w:r w:rsidRPr="008F3F94">
        <w:rPr>
          <w:szCs w:val="24"/>
          <w:lang w:val="fr-FR"/>
        </w:rPr>
        <w:t>selon l</w:t>
      </w:r>
      <w:r w:rsidR="0064008B">
        <w:rPr>
          <w:szCs w:val="24"/>
          <w:lang w:val="fr-FR"/>
        </w:rPr>
        <w:t>’</w:t>
      </w:r>
      <w:r w:rsidRPr="008F3F94">
        <w:rPr>
          <w:szCs w:val="24"/>
          <w:lang w:val="fr-FR"/>
        </w:rPr>
        <w:t>auteur</w:t>
      </w:r>
      <w:r>
        <w:rPr>
          <w:szCs w:val="24"/>
          <w:lang w:val="fr-FR"/>
        </w:rPr>
        <w:t xml:space="preserve">, </w:t>
      </w:r>
      <w:r w:rsidRPr="008F3F94">
        <w:rPr>
          <w:szCs w:val="24"/>
          <w:lang w:val="fr-FR"/>
        </w:rPr>
        <w:t xml:space="preserve">la raison sous-jacente de la décision du tribunal </w:t>
      </w:r>
      <w:r>
        <w:rPr>
          <w:szCs w:val="24"/>
          <w:lang w:val="fr-FR"/>
        </w:rPr>
        <w:t>serait</w:t>
      </w:r>
      <w:r w:rsidRPr="008F3F94">
        <w:rPr>
          <w:szCs w:val="24"/>
          <w:lang w:val="fr-FR"/>
        </w:rPr>
        <w:t xml:space="preserve"> qu</w:t>
      </w:r>
      <w:r w:rsidR="0064008B">
        <w:rPr>
          <w:szCs w:val="24"/>
          <w:lang w:val="fr-FR"/>
        </w:rPr>
        <w:t>’</w:t>
      </w:r>
      <w:r w:rsidRPr="008F3F94">
        <w:rPr>
          <w:szCs w:val="24"/>
          <w:lang w:val="fr-FR"/>
        </w:rPr>
        <w:t>il ait voulu organiser avec les autres requérants des manifestations dans des lie</w:t>
      </w:r>
      <w:r>
        <w:rPr>
          <w:szCs w:val="24"/>
          <w:lang w:val="fr-FR"/>
        </w:rPr>
        <w:t>ux interdits aux rassemblements</w:t>
      </w:r>
      <w:r w:rsidRPr="008F3F94">
        <w:rPr>
          <w:szCs w:val="24"/>
          <w:lang w:val="fr-FR"/>
        </w:rPr>
        <w:t xml:space="preserve">. En effet, conformément à la décision </w:t>
      </w:r>
      <w:r w:rsidRPr="00B46820">
        <w:rPr>
          <w:rFonts w:eastAsia="MS Mincho"/>
          <w:szCs w:val="24"/>
          <w:lang w:val="fr-FR"/>
        </w:rPr>
        <w:t>n</w:t>
      </w:r>
      <w:r w:rsidRPr="00B46820">
        <w:rPr>
          <w:rFonts w:eastAsia="MS Mincho"/>
          <w:szCs w:val="24"/>
          <w:vertAlign w:val="superscript"/>
          <w:lang w:val="fr-FR"/>
        </w:rPr>
        <w:t>o</w:t>
      </w:r>
      <w:r>
        <w:rPr>
          <w:szCs w:val="24"/>
          <w:lang w:val="fr-FR"/>
        </w:rPr>
        <w:t> </w:t>
      </w:r>
      <w:r w:rsidRPr="008F3F94">
        <w:rPr>
          <w:szCs w:val="24"/>
          <w:lang w:val="fr-FR"/>
        </w:rPr>
        <w:t xml:space="preserve">318 </w:t>
      </w:r>
      <w:r>
        <w:rPr>
          <w:szCs w:val="24"/>
          <w:lang w:val="fr-FR"/>
        </w:rPr>
        <w:t xml:space="preserve">du </w:t>
      </w:r>
      <w:r w:rsidRPr="008F3F94">
        <w:rPr>
          <w:szCs w:val="24"/>
          <w:lang w:val="fr-FR"/>
        </w:rPr>
        <w:t>Comité e</w:t>
      </w:r>
      <w:r>
        <w:rPr>
          <w:szCs w:val="24"/>
          <w:lang w:val="fr-FR"/>
        </w:rPr>
        <w:t xml:space="preserve">xécutif de la ville de Gomel du </w:t>
      </w:r>
      <w:r w:rsidRPr="008F3F94">
        <w:rPr>
          <w:szCs w:val="24"/>
          <w:lang w:val="fr-FR"/>
        </w:rPr>
        <w:t>11</w:t>
      </w:r>
      <w:r>
        <w:rPr>
          <w:szCs w:val="24"/>
          <w:lang w:val="fr-FR"/>
        </w:rPr>
        <w:t> </w:t>
      </w:r>
      <w:r w:rsidRPr="008F3F94">
        <w:rPr>
          <w:szCs w:val="24"/>
          <w:lang w:val="fr-FR"/>
        </w:rPr>
        <w:t xml:space="preserve">avril 2006, </w:t>
      </w:r>
      <w:r>
        <w:rPr>
          <w:szCs w:val="24"/>
          <w:lang w:val="fr-FR"/>
        </w:rPr>
        <w:t xml:space="preserve">les </w:t>
      </w:r>
      <w:r w:rsidRPr="008F3F94">
        <w:rPr>
          <w:szCs w:val="24"/>
          <w:lang w:val="fr-FR"/>
        </w:rPr>
        <w:t xml:space="preserve">manifestations de masse </w:t>
      </w:r>
      <w:r>
        <w:rPr>
          <w:szCs w:val="24"/>
          <w:lang w:val="fr-FR"/>
        </w:rPr>
        <w:t xml:space="preserve">ne pouvaient être organisées que dans un seul lieu, </w:t>
      </w:r>
      <w:r w:rsidRPr="008F3F94">
        <w:rPr>
          <w:szCs w:val="24"/>
          <w:lang w:val="fr-FR"/>
        </w:rPr>
        <w:t>dans</w:t>
      </w:r>
      <w:r>
        <w:rPr>
          <w:szCs w:val="24"/>
          <w:lang w:val="fr-FR"/>
        </w:rPr>
        <w:t xml:space="preserve"> une ville de 500 000 habitants</w:t>
      </w:r>
      <w:r w:rsidRPr="000B26C0">
        <w:rPr>
          <w:rStyle w:val="FootnoteReference"/>
        </w:rPr>
        <w:footnoteReference w:id="5"/>
      </w:r>
      <w:r>
        <w:rPr>
          <w:szCs w:val="24"/>
          <w:lang w:val="fr-FR"/>
        </w:rPr>
        <w:t>.</w:t>
      </w:r>
      <w:r w:rsidRPr="008F3F94">
        <w:rPr>
          <w:szCs w:val="24"/>
          <w:vertAlign w:val="superscript"/>
          <w:lang w:val="fr-FR"/>
        </w:rPr>
        <w:t xml:space="preserve"> </w:t>
      </w:r>
      <w:r w:rsidRPr="008F3F94">
        <w:rPr>
          <w:szCs w:val="24"/>
          <w:lang w:val="fr-FR"/>
        </w:rPr>
        <w:t>L</w:t>
      </w:r>
      <w:r w:rsidR="0064008B">
        <w:rPr>
          <w:szCs w:val="24"/>
          <w:lang w:val="fr-FR"/>
        </w:rPr>
        <w:t>’</w:t>
      </w:r>
      <w:r w:rsidRPr="008F3F94">
        <w:rPr>
          <w:szCs w:val="24"/>
          <w:lang w:val="fr-FR"/>
        </w:rPr>
        <w:t>auteur et les autres requérants ont fait appel de la décision du tribunal de district devant le tribunal</w:t>
      </w:r>
      <w:r>
        <w:rPr>
          <w:szCs w:val="24"/>
          <w:lang w:val="fr-FR"/>
        </w:rPr>
        <w:t xml:space="preserve"> régional de la ville de Gomel.</w:t>
      </w:r>
    </w:p>
    <w:p w:rsidR="0081758B" w:rsidRDefault="0081758B" w:rsidP="0081758B">
      <w:pPr>
        <w:pStyle w:val="SingleTxtG"/>
        <w:rPr>
          <w:szCs w:val="24"/>
          <w:lang w:val="fr-FR"/>
        </w:rPr>
      </w:pPr>
      <w:r w:rsidRPr="008F3F94">
        <w:rPr>
          <w:szCs w:val="24"/>
          <w:lang w:val="fr-FR"/>
        </w:rPr>
        <w:t>2.5</w:t>
      </w:r>
      <w:r w:rsidRPr="008F3F94">
        <w:rPr>
          <w:szCs w:val="24"/>
          <w:lang w:val="fr-FR"/>
        </w:rPr>
        <w:tab/>
        <w:t>Le 20</w:t>
      </w:r>
      <w:r>
        <w:rPr>
          <w:szCs w:val="24"/>
          <w:lang w:val="fr-FR"/>
        </w:rPr>
        <w:t> </w:t>
      </w:r>
      <w:r w:rsidRPr="008F3F94">
        <w:rPr>
          <w:szCs w:val="24"/>
          <w:lang w:val="fr-FR"/>
        </w:rPr>
        <w:t>mars 2008, le tribunal régional de Gomel a</w:t>
      </w:r>
      <w:r>
        <w:rPr>
          <w:szCs w:val="24"/>
          <w:lang w:val="fr-FR"/>
        </w:rPr>
        <w:t xml:space="preserve"> confirmé</w:t>
      </w:r>
      <w:r w:rsidRPr="008F3F94">
        <w:rPr>
          <w:szCs w:val="24"/>
          <w:lang w:val="fr-FR"/>
        </w:rPr>
        <w:t xml:space="preserve"> la décision du tribunal du district central de Gomel. </w:t>
      </w:r>
      <w:r w:rsidRPr="008F3F94">
        <w:t>En vertu de l</w:t>
      </w:r>
      <w:r w:rsidR="0064008B">
        <w:t>’</w:t>
      </w:r>
      <w:r>
        <w:t>article </w:t>
      </w:r>
      <w:r w:rsidRPr="008F3F94">
        <w:t>432 du Code de procédure civile bélarussien, les décisions du tribunal régional sont définitives et</w:t>
      </w:r>
      <w:r w:rsidR="00106150">
        <w:t xml:space="preserve"> deviennent </w:t>
      </w:r>
      <w:r w:rsidRPr="008F3F94">
        <w:t>exécutoires dès leur adoption.</w:t>
      </w:r>
      <w:r>
        <w:rPr>
          <w:szCs w:val="24"/>
          <w:lang w:val="fr-FR"/>
        </w:rPr>
        <w:t xml:space="preserve"> D</w:t>
      </w:r>
      <w:r w:rsidR="0064008B">
        <w:rPr>
          <w:szCs w:val="24"/>
          <w:lang w:val="fr-FR"/>
        </w:rPr>
        <w:t>’</w:t>
      </w:r>
      <w:r>
        <w:rPr>
          <w:szCs w:val="24"/>
          <w:lang w:val="fr-FR"/>
        </w:rPr>
        <w:t>après</w:t>
      </w:r>
      <w:r w:rsidRPr="008F3F94">
        <w:rPr>
          <w:szCs w:val="24"/>
          <w:lang w:val="fr-FR"/>
        </w:rPr>
        <w:t xml:space="preserve"> la décision du tribunal régional de Gomel, le Comité exécutif de la ville a refusé de délivrer une autorisation à l</w:t>
      </w:r>
      <w:r w:rsidR="0064008B">
        <w:rPr>
          <w:szCs w:val="24"/>
          <w:lang w:val="fr-FR"/>
        </w:rPr>
        <w:t>’</w:t>
      </w:r>
      <w:r w:rsidRPr="008F3F94">
        <w:rPr>
          <w:szCs w:val="24"/>
          <w:lang w:val="fr-FR"/>
        </w:rPr>
        <w:t>auteur et aux autres requérants au motif que l</w:t>
      </w:r>
      <w:r w:rsidR="0064008B">
        <w:rPr>
          <w:szCs w:val="24"/>
          <w:lang w:val="fr-FR"/>
        </w:rPr>
        <w:t>’</w:t>
      </w:r>
      <w:r w:rsidR="008936C4">
        <w:rPr>
          <w:szCs w:val="24"/>
          <w:lang w:val="fr-FR"/>
        </w:rPr>
        <w:t>engagement</w:t>
      </w:r>
      <w:r w:rsidRPr="008F3F94">
        <w:rPr>
          <w:szCs w:val="24"/>
          <w:lang w:val="fr-FR"/>
        </w:rPr>
        <w:t xml:space="preserve"> écrit annexé à la demande ne contenait pas les </w:t>
      </w:r>
      <w:r>
        <w:rPr>
          <w:szCs w:val="24"/>
          <w:lang w:val="fr-FR"/>
        </w:rPr>
        <w:t xml:space="preserve">informations </w:t>
      </w:r>
      <w:r w:rsidRPr="008F3F94">
        <w:rPr>
          <w:szCs w:val="24"/>
          <w:lang w:val="fr-FR"/>
        </w:rPr>
        <w:t xml:space="preserve">requises sur les horaires et le déroulement des manifestations prévues, </w:t>
      </w:r>
      <w:r w:rsidR="008936C4">
        <w:rPr>
          <w:szCs w:val="24"/>
          <w:lang w:val="fr-FR"/>
        </w:rPr>
        <w:t xml:space="preserve">dont la communication était </w:t>
      </w:r>
      <w:r w:rsidRPr="008F3F94">
        <w:rPr>
          <w:szCs w:val="24"/>
          <w:lang w:val="fr-FR"/>
        </w:rPr>
        <w:t>une condition essentielle et obligatoire pour obtenir une autorisation</w:t>
      </w:r>
      <w:r>
        <w:rPr>
          <w:szCs w:val="24"/>
          <w:lang w:val="fr-FR"/>
        </w:rPr>
        <w:t>.</w:t>
      </w:r>
    </w:p>
    <w:p w:rsidR="0081758B" w:rsidRPr="00FF6839" w:rsidRDefault="0081758B" w:rsidP="006F0945">
      <w:pPr>
        <w:pStyle w:val="SingleTxtG"/>
        <w:rPr>
          <w:spacing w:val="-2"/>
          <w:szCs w:val="24"/>
          <w:lang w:val="fr-FR"/>
        </w:rPr>
      </w:pPr>
      <w:r w:rsidRPr="008F3F94">
        <w:rPr>
          <w:szCs w:val="24"/>
          <w:lang w:val="fr-FR"/>
        </w:rPr>
        <w:t>2.6</w:t>
      </w:r>
      <w:r w:rsidRPr="008F3F94">
        <w:rPr>
          <w:szCs w:val="24"/>
          <w:lang w:val="fr-FR"/>
        </w:rPr>
        <w:tab/>
      </w:r>
      <w:r w:rsidRPr="00FF6839">
        <w:rPr>
          <w:spacing w:val="-2"/>
          <w:szCs w:val="24"/>
          <w:lang w:val="fr-FR"/>
        </w:rPr>
        <w:t>L</w:t>
      </w:r>
      <w:r w:rsidR="0064008B">
        <w:rPr>
          <w:spacing w:val="-2"/>
          <w:szCs w:val="24"/>
          <w:lang w:val="fr-FR"/>
        </w:rPr>
        <w:t>’</w:t>
      </w:r>
      <w:r w:rsidRPr="00FF6839">
        <w:rPr>
          <w:spacing w:val="-2"/>
          <w:szCs w:val="24"/>
          <w:lang w:val="fr-FR"/>
        </w:rPr>
        <w:t>auteur fait valoir qu</w:t>
      </w:r>
      <w:r w:rsidR="0064008B">
        <w:rPr>
          <w:spacing w:val="-2"/>
          <w:szCs w:val="24"/>
          <w:lang w:val="fr-FR"/>
        </w:rPr>
        <w:t>’</w:t>
      </w:r>
      <w:r w:rsidRPr="00FF6839">
        <w:rPr>
          <w:spacing w:val="-2"/>
          <w:szCs w:val="24"/>
          <w:lang w:val="fr-FR"/>
        </w:rPr>
        <w:t>il a épuisé tous les recours internes utiles qui lui étaient ouverts.</w:t>
      </w:r>
    </w:p>
    <w:p w:rsidR="0081758B" w:rsidRPr="00774877" w:rsidRDefault="0081758B" w:rsidP="0081758B">
      <w:pPr>
        <w:pStyle w:val="H23G"/>
      </w:pPr>
      <w:r>
        <w:rPr>
          <w:lang w:val="fr-FR"/>
        </w:rPr>
        <w:tab/>
      </w:r>
      <w:r>
        <w:rPr>
          <w:lang w:val="fr-FR"/>
        </w:rPr>
        <w:tab/>
      </w:r>
      <w:r w:rsidRPr="008F3F94">
        <w:rPr>
          <w:lang w:val="fr-FR"/>
        </w:rPr>
        <w:t>Teneur de la plainte</w:t>
      </w:r>
    </w:p>
    <w:p w:rsidR="0081758B" w:rsidRPr="00FF6839" w:rsidRDefault="0081758B" w:rsidP="0081758B">
      <w:pPr>
        <w:pStyle w:val="SingleTxtG"/>
        <w:rPr>
          <w:spacing w:val="-2"/>
          <w:szCs w:val="24"/>
          <w:lang w:val="fr-FR"/>
        </w:rPr>
      </w:pPr>
      <w:r w:rsidRPr="008F3F94">
        <w:rPr>
          <w:szCs w:val="24"/>
          <w:lang w:val="fr-FR"/>
        </w:rPr>
        <w:t>3.1</w:t>
      </w:r>
      <w:r w:rsidRPr="008F3F94">
        <w:rPr>
          <w:szCs w:val="24"/>
          <w:lang w:val="fr-FR"/>
        </w:rPr>
        <w:tab/>
        <w:t>L</w:t>
      </w:r>
      <w:r w:rsidR="0064008B">
        <w:rPr>
          <w:szCs w:val="24"/>
          <w:lang w:val="fr-FR"/>
        </w:rPr>
        <w:t>’</w:t>
      </w:r>
      <w:r w:rsidRPr="008F3F94">
        <w:rPr>
          <w:szCs w:val="24"/>
          <w:lang w:val="fr-FR"/>
        </w:rPr>
        <w:t>auteur dénonce une violation du droit de réunion pacifique garanti par l</w:t>
      </w:r>
      <w:r w:rsidR="0064008B">
        <w:rPr>
          <w:szCs w:val="24"/>
          <w:lang w:val="fr-FR"/>
        </w:rPr>
        <w:t>’</w:t>
      </w:r>
      <w:r>
        <w:rPr>
          <w:szCs w:val="24"/>
          <w:lang w:val="fr-FR"/>
        </w:rPr>
        <w:t>article </w:t>
      </w:r>
      <w:r w:rsidRPr="008F3F94">
        <w:rPr>
          <w:szCs w:val="24"/>
          <w:lang w:val="fr-FR"/>
        </w:rPr>
        <w:t xml:space="preserve">21 du Pacte. </w:t>
      </w:r>
      <w:r w:rsidR="008936C4">
        <w:rPr>
          <w:szCs w:val="24"/>
          <w:lang w:val="fr-FR"/>
        </w:rPr>
        <w:t>Il affirme que s</w:t>
      </w:r>
      <w:r w:rsidRPr="008F3F94">
        <w:rPr>
          <w:szCs w:val="24"/>
          <w:lang w:val="fr-FR"/>
        </w:rPr>
        <w:t>es droits ont été restreints au motif que sa demande relative à la tenue d</w:t>
      </w:r>
      <w:r w:rsidR="0064008B">
        <w:rPr>
          <w:szCs w:val="24"/>
          <w:lang w:val="fr-FR"/>
        </w:rPr>
        <w:t>’</w:t>
      </w:r>
      <w:r w:rsidRPr="008F3F94">
        <w:rPr>
          <w:szCs w:val="24"/>
          <w:lang w:val="fr-FR"/>
        </w:rPr>
        <w:t>une manifestation de masse était incomplète et qu</w:t>
      </w:r>
      <w:r w:rsidR="0064008B">
        <w:rPr>
          <w:szCs w:val="24"/>
          <w:lang w:val="fr-FR"/>
        </w:rPr>
        <w:t>’</w:t>
      </w:r>
      <w:r w:rsidRPr="008F3F94">
        <w:rPr>
          <w:szCs w:val="24"/>
          <w:lang w:val="fr-FR"/>
        </w:rPr>
        <w:t xml:space="preserve">il projetait </w:t>
      </w:r>
      <w:r>
        <w:rPr>
          <w:szCs w:val="24"/>
          <w:lang w:val="fr-FR"/>
        </w:rPr>
        <w:t>d</w:t>
      </w:r>
      <w:r w:rsidR="0064008B">
        <w:rPr>
          <w:szCs w:val="24"/>
          <w:lang w:val="fr-FR"/>
        </w:rPr>
        <w:t>’</w:t>
      </w:r>
      <w:r w:rsidRPr="008F3F94">
        <w:rPr>
          <w:szCs w:val="24"/>
          <w:lang w:val="fr-FR"/>
        </w:rPr>
        <w:t>organise</w:t>
      </w:r>
      <w:r>
        <w:rPr>
          <w:szCs w:val="24"/>
          <w:lang w:val="fr-FR"/>
        </w:rPr>
        <w:t>r une des manifestations dans un lieu non autorisé.</w:t>
      </w:r>
      <w:r w:rsidRPr="008F3F94">
        <w:rPr>
          <w:szCs w:val="24"/>
          <w:vertAlign w:val="superscript"/>
          <w:lang w:val="fr-FR"/>
        </w:rPr>
        <w:t xml:space="preserve"> </w:t>
      </w:r>
      <w:r w:rsidRPr="00FF6839">
        <w:rPr>
          <w:spacing w:val="-2"/>
          <w:szCs w:val="24"/>
          <w:lang w:val="fr-FR"/>
        </w:rPr>
        <w:t xml:space="preserve">Selon lui, les autorités nationales, notamment </w:t>
      </w:r>
      <w:r w:rsidR="00106150">
        <w:rPr>
          <w:spacing w:val="-2"/>
          <w:szCs w:val="24"/>
          <w:lang w:val="fr-FR"/>
        </w:rPr>
        <w:t>l</w:t>
      </w:r>
      <w:r w:rsidRPr="00FF6839">
        <w:rPr>
          <w:spacing w:val="-2"/>
          <w:szCs w:val="24"/>
          <w:lang w:val="fr-FR"/>
        </w:rPr>
        <w:t>es tribunaux nationaux, n</w:t>
      </w:r>
      <w:r w:rsidR="0064008B">
        <w:rPr>
          <w:spacing w:val="-2"/>
          <w:szCs w:val="24"/>
          <w:lang w:val="fr-FR"/>
        </w:rPr>
        <w:t>’</w:t>
      </w:r>
      <w:r w:rsidRPr="00FF6839">
        <w:rPr>
          <w:spacing w:val="-2"/>
          <w:szCs w:val="24"/>
          <w:lang w:val="fr-FR"/>
        </w:rPr>
        <w:t xml:space="preserve">ont pas cherché à justifier les restrictions imposées </w:t>
      </w:r>
      <w:r w:rsidR="008936C4">
        <w:rPr>
          <w:spacing w:val="-2"/>
          <w:szCs w:val="24"/>
          <w:lang w:val="fr-FR"/>
        </w:rPr>
        <w:t xml:space="preserve">ni à présenter </w:t>
      </w:r>
      <w:r w:rsidRPr="00FF6839">
        <w:rPr>
          <w:spacing w:val="-2"/>
          <w:szCs w:val="24"/>
          <w:lang w:val="fr-FR"/>
        </w:rPr>
        <w:t xml:space="preserve">des arguments quant à la nécessité de telles restrictions pour </w:t>
      </w:r>
      <w:r w:rsidRPr="00FF6839">
        <w:rPr>
          <w:spacing w:val="-2"/>
        </w:rPr>
        <w:t xml:space="preserve">protéger la sécurité nationale </w:t>
      </w:r>
      <w:r w:rsidRPr="00FF6839">
        <w:rPr>
          <w:spacing w:val="-2"/>
          <w:szCs w:val="24"/>
          <w:lang w:val="fr-FR"/>
        </w:rPr>
        <w:t>ou la</w:t>
      </w:r>
      <w:r>
        <w:rPr>
          <w:spacing w:val="-2"/>
          <w:szCs w:val="24"/>
          <w:lang w:val="fr-FR"/>
        </w:rPr>
        <w:t> </w:t>
      </w:r>
      <w:r w:rsidRPr="00FF6839">
        <w:rPr>
          <w:spacing w:val="-2"/>
          <w:szCs w:val="24"/>
          <w:lang w:val="fr-FR"/>
        </w:rPr>
        <w:t>sûreté publique</w:t>
      </w:r>
      <w:r w:rsidRPr="00FF6839">
        <w:rPr>
          <w:spacing w:val="-2"/>
        </w:rPr>
        <w:t>, l</w:t>
      </w:r>
      <w:r w:rsidR="0064008B">
        <w:rPr>
          <w:spacing w:val="-2"/>
        </w:rPr>
        <w:t>’</w:t>
      </w:r>
      <w:r w:rsidRPr="00FF6839">
        <w:rPr>
          <w:spacing w:val="-2"/>
        </w:rPr>
        <w:t>ordre public, la santé ou la moralité publiques, ou les droits et libertés</w:t>
      </w:r>
      <w:r>
        <w:rPr>
          <w:spacing w:val="-2"/>
        </w:rPr>
        <w:t> </w:t>
      </w:r>
      <w:r w:rsidRPr="00FF6839">
        <w:rPr>
          <w:spacing w:val="-2"/>
        </w:rPr>
        <w:t>d</w:t>
      </w:r>
      <w:r w:rsidR="0064008B">
        <w:rPr>
          <w:spacing w:val="-2"/>
        </w:rPr>
        <w:t>’</w:t>
      </w:r>
      <w:r w:rsidRPr="00FF6839">
        <w:rPr>
          <w:spacing w:val="-2"/>
        </w:rPr>
        <w:t>autrui</w:t>
      </w:r>
      <w:r>
        <w:rPr>
          <w:spacing w:val="-2"/>
          <w:szCs w:val="24"/>
          <w:lang w:val="fr-FR"/>
        </w:rPr>
        <w:t>.</w:t>
      </w:r>
    </w:p>
    <w:p w:rsidR="0081758B" w:rsidRDefault="0081758B" w:rsidP="0081758B">
      <w:pPr>
        <w:pStyle w:val="SingleTxtG"/>
        <w:rPr>
          <w:szCs w:val="24"/>
          <w:lang w:val="fr-FR"/>
        </w:rPr>
      </w:pPr>
      <w:r w:rsidRPr="008F3F94">
        <w:rPr>
          <w:szCs w:val="24"/>
          <w:lang w:val="fr-FR"/>
        </w:rPr>
        <w:t>3.2</w:t>
      </w:r>
      <w:r w:rsidRPr="008F3F94">
        <w:rPr>
          <w:szCs w:val="24"/>
          <w:lang w:val="fr-FR"/>
        </w:rPr>
        <w:tab/>
        <w:t>L</w:t>
      </w:r>
      <w:r w:rsidR="0064008B">
        <w:rPr>
          <w:szCs w:val="24"/>
          <w:lang w:val="fr-FR"/>
        </w:rPr>
        <w:t>’</w:t>
      </w:r>
      <w:r w:rsidRPr="008F3F94">
        <w:rPr>
          <w:szCs w:val="24"/>
          <w:lang w:val="fr-FR"/>
        </w:rPr>
        <w:t>auteur affirme que les tribunaux n</w:t>
      </w:r>
      <w:r w:rsidR="0064008B">
        <w:rPr>
          <w:szCs w:val="24"/>
          <w:lang w:val="fr-FR"/>
        </w:rPr>
        <w:t>’</w:t>
      </w:r>
      <w:r w:rsidRPr="008F3F94">
        <w:rPr>
          <w:szCs w:val="24"/>
          <w:lang w:val="fr-FR"/>
        </w:rPr>
        <w:t>ont pas tenu compte des dispositions du Pacte lorsqu</w:t>
      </w:r>
      <w:r w:rsidR="0064008B">
        <w:rPr>
          <w:szCs w:val="24"/>
          <w:lang w:val="fr-FR"/>
        </w:rPr>
        <w:t>’</w:t>
      </w:r>
      <w:r w:rsidRPr="008F3F94">
        <w:rPr>
          <w:szCs w:val="24"/>
          <w:lang w:val="fr-FR"/>
        </w:rPr>
        <w:t xml:space="preserve">ils ont examiné la décision du Comité exécutif de Gomel. Conformément aux </w:t>
      </w:r>
      <w:r w:rsidRPr="008F3F94">
        <w:t>articles 26 et 27 de la Convention de Vienne de 1969 sur le droit des traités</w:t>
      </w:r>
      <w:r w:rsidRPr="008F3F94">
        <w:rPr>
          <w:szCs w:val="24"/>
          <w:lang w:val="fr-FR"/>
        </w:rPr>
        <w:t xml:space="preserve">, le Bélarus est lié par le Pacte et devrait </w:t>
      </w:r>
      <w:r w:rsidRPr="008F3F94">
        <w:t>l</w:t>
      </w:r>
      <w:r w:rsidR="0064008B">
        <w:t>’</w:t>
      </w:r>
      <w:r w:rsidR="008936C4">
        <w:t xml:space="preserve">appliquer </w:t>
      </w:r>
      <w:r w:rsidRPr="008F3F94">
        <w:t xml:space="preserve">de bonne foi et ne peut invoquer les dispositions de son droit interne </w:t>
      </w:r>
      <w:r w:rsidR="00557072">
        <w:t>pour justifier</w:t>
      </w:r>
      <w:r w:rsidRPr="008F3F94">
        <w:t xml:space="preserve"> </w:t>
      </w:r>
      <w:r w:rsidR="008936C4">
        <w:t>s</w:t>
      </w:r>
      <w:r w:rsidRPr="008F3F94">
        <w:t>a non-</w:t>
      </w:r>
      <w:r w:rsidR="008936C4">
        <w:t>applicat</w:t>
      </w:r>
      <w:r w:rsidR="00570D8B">
        <w:t>ion</w:t>
      </w:r>
      <w:r w:rsidRPr="008F3F94">
        <w:rPr>
          <w:szCs w:val="24"/>
          <w:lang w:val="fr-FR"/>
        </w:rPr>
        <w:t>. Conformément à l</w:t>
      </w:r>
      <w:r w:rsidR="0064008B">
        <w:rPr>
          <w:szCs w:val="24"/>
          <w:lang w:val="fr-FR"/>
        </w:rPr>
        <w:t>’</w:t>
      </w:r>
      <w:r w:rsidRPr="008F3F94">
        <w:rPr>
          <w:szCs w:val="24"/>
          <w:lang w:val="fr-FR"/>
        </w:rPr>
        <w:t>article</w:t>
      </w:r>
      <w:r>
        <w:rPr>
          <w:szCs w:val="24"/>
          <w:lang w:val="fr-FR"/>
        </w:rPr>
        <w:t> </w:t>
      </w:r>
      <w:r w:rsidRPr="008F3F94">
        <w:rPr>
          <w:szCs w:val="24"/>
          <w:lang w:val="fr-FR"/>
        </w:rPr>
        <w:t>15 de la loi sur les traités internationaux, les principes du droit international et les dispositions des traités internationaux universellement reconnus</w:t>
      </w:r>
      <w:r w:rsidR="00557072">
        <w:rPr>
          <w:szCs w:val="24"/>
          <w:lang w:val="fr-FR"/>
        </w:rPr>
        <w:t xml:space="preserve"> auxquels le Bélarus est partie</w:t>
      </w:r>
      <w:r w:rsidRPr="008F3F94">
        <w:rPr>
          <w:szCs w:val="24"/>
          <w:lang w:val="fr-FR"/>
        </w:rPr>
        <w:t xml:space="preserve"> font partie intégrante du droit interne. L</w:t>
      </w:r>
      <w:r w:rsidR="0064008B">
        <w:rPr>
          <w:szCs w:val="24"/>
          <w:lang w:val="fr-FR"/>
        </w:rPr>
        <w:t>’</w:t>
      </w:r>
      <w:r w:rsidRPr="008F3F94">
        <w:rPr>
          <w:szCs w:val="24"/>
          <w:lang w:val="fr-FR"/>
        </w:rPr>
        <w:t>auteur souligne que les tribunaux nationaux ont restreint son droit de réunion pacifique au motif qu</w:t>
      </w:r>
      <w:r w:rsidR="0064008B">
        <w:rPr>
          <w:szCs w:val="24"/>
          <w:lang w:val="fr-FR"/>
        </w:rPr>
        <w:t>’</w:t>
      </w:r>
      <w:r w:rsidRPr="008F3F94">
        <w:rPr>
          <w:szCs w:val="24"/>
          <w:lang w:val="fr-FR"/>
        </w:rPr>
        <w:t>il comptait organiser une manifestation dans un lieu non autorisé, en violation d</w:t>
      </w:r>
      <w:r w:rsidR="0064008B">
        <w:rPr>
          <w:szCs w:val="24"/>
          <w:lang w:val="fr-FR"/>
        </w:rPr>
        <w:t>’</w:t>
      </w:r>
      <w:r w:rsidR="008936C4">
        <w:rPr>
          <w:szCs w:val="24"/>
          <w:lang w:val="fr-FR"/>
        </w:rPr>
        <w:t xml:space="preserve">un règlement. Cette </w:t>
      </w:r>
      <w:r w:rsidRPr="008F3F94">
        <w:rPr>
          <w:szCs w:val="24"/>
          <w:lang w:val="fr-FR"/>
        </w:rPr>
        <w:t>restriction est contraire à l</w:t>
      </w:r>
      <w:r w:rsidR="0064008B">
        <w:rPr>
          <w:szCs w:val="24"/>
          <w:lang w:val="fr-FR"/>
        </w:rPr>
        <w:t>’</w:t>
      </w:r>
      <w:r w:rsidRPr="008F3F94">
        <w:rPr>
          <w:szCs w:val="24"/>
          <w:lang w:val="fr-FR"/>
        </w:rPr>
        <w:t>esprit de l</w:t>
      </w:r>
      <w:r w:rsidR="0064008B">
        <w:rPr>
          <w:szCs w:val="24"/>
          <w:lang w:val="fr-FR"/>
        </w:rPr>
        <w:t>’</w:t>
      </w:r>
      <w:r>
        <w:rPr>
          <w:szCs w:val="24"/>
          <w:lang w:val="fr-FR"/>
        </w:rPr>
        <w:t>article </w:t>
      </w:r>
      <w:r w:rsidRPr="008F3F94">
        <w:rPr>
          <w:szCs w:val="24"/>
          <w:lang w:val="fr-FR"/>
        </w:rPr>
        <w:t>21 du Pacte et aux motifs de restrictions qui y sont énoncés.</w:t>
      </w:r>
    </w:p>
    <w:p w:rsidR="0081758B" w:rsidRDefault="0081758B" w:rsidP="0081758B">
      <w:pPr>
        <w:pStyle w:val="H23G"/>
        <w:rPr>
          <w:lang w:val="fr-FR"/>
        </w:rPr>
      </w:pPr>
      <w:r>
        <w:rPr>
          <w:lang w:val="fr-FR"/>
        </w:rPr>
        <w:tab/>
      </w:r>
      <w:r>
        <w:rPr>
          <w:lang w:val="fr-FR"/>
        </w:rPr>
        <w:tab/>
      </w:r>
      <w:r w:rsidRPr="008F3F94">
        <w:rPr>
          <w:lang w:val="fr-FR"/>
        </w:rPr>
        <w:t>Observations de l</w:t>
      </w:r>
      <w:r w:rsidR="0064008B">
        <w:rPr>
          <w:lang w:val="fr-FR"/>
        </w:rPr>
        <w:t>’</w:t>
      </w:r>
      <w:r w:rsidRPr="008F3F94">
        <w:rPr>
          <w:lang w:val="fr-FR"/>
        </w:rPr>
        <w:t>État partie sur la recevabilité</w:t>
      </w:r>
    </w:p>
    <w:p w:rsidR="0081758B" w:rsidRPr="008F3F94" w:rsidRDefault="0081758B" w:rsidP="00557072">
      <w:pPr>
        <w:pStyle w:val="SingleTxtG"/>
        <w:rPr>
          <w:szCs w:val="24"/>
          <w:lang w:val="fr-FR"/>
        </w:rPr>
      </w:pPr>
      <w:r>
        <w:rPr>
          <w:szCs w:val="24"/>
          <w:lang w:val="fr-FR"/>
        </w:rPr>
        <w:t>4.1</w:t>
      </w:r>
      <w:r>
        <w:rPr>
          <w:szCs w:val="24"/>
          <w:lang w:val="fr-FR"/>
        </w:rPr>
        <w:tab/>
        <w:t>Le 16 </w:t>
      </w:r>
      <w:r w:rsidRPr="008F3F94">
        <w:rPr>
          <w:szCs w:val="24"/>
          <w:lang w:val="fr-FR"/>
        </w:rPr>
        <w:t>février 2009, l</w:t>
      </w:r>
      <w:r w:rsidR="0064008B">
        <w:rPr>
          <w:szCs w:val="24"/>
          <w:lang w:val="fr-FR"/>
        </w:rPr>
        <w:t>’</w:t>
      </w:r>
      <w:r w:rsidRPr="008F3F94">
        <w:rPr>
          <w:szCs w:val="24"/>
          <w:lang w:val="fr-FR"/>
        </w:rPr>
        <w:t xml:space="preserve">État partie a contesté la recevabilité de </w:t>
      </w:r>
      <w:r w:rsidR="008936C4">
        <w:rPr>
          <w:szCs w:val="24"/>
          <w:lang w:val="fr-FR"/>
        </w:rPr>
        <w:t>la</w:t>
      </w:r>
      <w:r w:rsidRPr="008F3F94">
        <w:rPr>
          <w:szCs w:val="24"/>
          <w:lang w:val="fr-FR"/>
        </w:rPr>
        <w:t xml:space="preserve"> communication, </w:t>
      </w:r>
      <w:r w:rsidRPr="008F3F94">
        <w:t>arguant que l</w:t>
      </w:r>
      <w:r w:rsidR="0064008B">
        <w:t>’</w:t>
      </w:r>
      <w:r w:rsidRPr="008F3F94">
        <w:t>auteur n</w:t>
      </w:r>
      <w:r w:rsidR="0064008B">
        <w:t>’</w:t>
      </w:r>
      <w:r w:rsidRPr="008F3F94">
        <w:t>avait pas épuisé tous les recours internes, puisque l</w:t>
      </w:r>
      <w:r w:rsidR="0064008B">
        <w:t>’</w:t>
      </w:r>
      <w:r w:rsidRPr="008F3F94">
        <w:t>affaire n</w:t>
      </w:r>
      <w:r w:rsidR="0064008B">
        <w:t>’</w:t>
      </w:r>
      <w:r w:rsidRPr="008F3F94">
        <w:t xml:space="preserve">avait pas été examinée par </w:t>
      </w:r>
      <w:r w:rsidRPr="008F3F94">
        <w:rPr>
          <w:szCs w:val="24"/>
          <w:lang w:val="fr-FR"/>
        </w:rPr>
        <w:t>le Bureau du Procureur</w:t>
      </w:r>
      <w:r w:rsidRPr="008F3F94">
        <w:t xml:space="preserve"> dans le cadre de la procédure de contrôle</w:t>
      </w:r>
      <w:r>
        <w:rPr>
          <w:szCs w:val="24"/>
          <w:lang w:val="fr-FR"/>
        </w:rPr>
        <w:t>.</w:t>
      </w:r>
    </w:p>
    <w:p w:rsidR="0081758B" w:rsidRDefault="0081758B" w:rsidP="0081758B">
      <w:pPr>
        <w:pStyle w:val="SingleTxtG"/>
        <w:rPr>
          <w:szCs w:val="24"/>
          <w:lang w:val="fr-FR"/>
        </w:rPr>
      </w:pPr>
      <w:r w:rsidRPr="008F3F94">
        <w:rPr>
          <w:szCs w:val="24"/>
          <w:lang w:val="fr-FR"/>
        </w:rPr>
        <w:t>4.2</w:t>
      </w:r>
      <w:r w:rsidRPr="008F3F94">
        <w:rPr>
          <w:szCs w:val="24"/>
          <w:lang w:val="fr-FR"/>
        </w:rPr>
        <w:tab/>
        <w:t>L</w:t>
      </w:r>
      <w:r w:rsidR="0064008B">
        <w:rPr>
          <w:szCs w:val="24"/>
          <w:lang w:val="fr-FR"/>
        </w:rPr>
        <w:t>’</w:t>
      </w:r>
      <w:r w:rsidRPr="008F3F94">
        <w:rPr>
          <w:szCs w:val="24"/>
          <w:lang w:val="fr-FR"/>
        </w:rPr>
        <w:t>État partie fait également valoir que l</w:t>
      </w:r>
      <w:r w:rsidR="0064008B">
        <w:rPr>
          <w:szCs w:val="24"/>
          <w:lang w:val="fr-FR"/>
        </w:rPr>
        <w:t>’</w:t>
      </w:r>
      <w:r w:rsidRPr="008F3F94">
        <w:rPr>
          <w:szCs w:val="24"/>
          <w:lang w:val="fr-FR"/>
        </w:rPr>
        <w:t>auteur n</w:t>
      </w:r>
      <w:r w:rsidR="0064008B">
        <w:rPr>
          <w:szCs w:val="24"/>
          <w:lang w:val="fr-FR"/>
        </w:rPr>
        <w:t>’</w:t>
      </w:r>
      <w:r w:rsidRPr="008F3F94">
        <w:rPr>
          <w:szCs w:val="24"/>
          <w:lang w:val="fr-FR"/>
        </w:rPr>
        <w:t>a pas demandé au Président du tribunal régional de Gomel ni au Président de la Cour suprême du Bélarus d</w:t>
      </w:r>
      <w:r w:rsidR="0064008B">
        <w:rPr>
          <w:szCs w:val="24"/>
          <w:lang w:val="fr-FR"/>
        </w:rPr>
        <w:t>’</w:t>
      </w:r>
      <w:r w:rsidRPr="008F3F94">
        <w:rPr>
          <w:szCs w:val="24"/>
          <w:lang w:val="fr-FR"/>
        </w:rPr>
        <w:t>engager une procédure de contrôle des décisions du tribunal du district central et du tribunal régional de Gomel, conformément à l</w:t>
      </w:r>
      <w:r w:rsidR="0064008B">
        <w:rPr>
          <w:szCs w:val="24"/>
          <w:lang w:val="fr-FR"/>
        </w:rPr>
        <w:t>’</w:t>
      </w:r>
      <w:r>
        <w:rPr>
          <w:szCs w:val="24"/>
          <w:lang w:val="fr-FR"/>
        </w:rPr>
        <w:t>article </w:t>
      </w:r>
      <w:r w:rsidRPr="008F3F94">
        <w:rPr>
          <w:szCs w:val="24"/>
          <w:lang w:val="fr-FR"/>
        </w:rPr>
        <w:t>439 du Code de procédure civile. L</w:t>
      </w:r>
      <w:r w:rsidR="0064008B">
        <w:rPr>
          <w:szCs w:val="24"/>
          <w:lang w:val="fr-FR"/>
        </w:rPr>
        <w:t>’</w:t>
      </w:r>
      <w:r w:rsidRPr="008F3F94">
        <w:rPr>
          <w:szCs w:val="24"/>
          <w:lang w:val="fr-FR"/>
        </w:rPr>
        <w:t>auteur n</w:t>
      </w:r>
      <w:r w:rsidR="0064008B">
        <w:rPr>
          <w:szCs w:val="24"/>
          <w:lang w:val="fr-FR"/>
        </w:rPr>
        <w:t>’</w:t>
      </w:r>
      <w:r w:rsidRPr="008F3F94">
        <w:rPr>
          <w:szCs w:val="24"/>
          <w:lang w:val="fr-FR"/>
        </w:rPr>
        <w:t xml:space="preserve">a donc pas épuisé tous les recours disponibles </w:t>
      </w:r>
      <w:r w:rsidRPr="008F3F94">
        <w:t>et il n</w:t>
      </w:r>
      <w:r w:rsidR="0064008B">
        <w:t>’</w:t>
      </w:r>
      <w:r w:rsidRPr="008F3F94">
        <w:t xml:space="preserve">y a aucune raison de croire que ces </w:t>
      </w:r>
      <w:r w:rsidR="008936C4">
        <w:t>moyens</w:t>
      </w:r>
      <w:r w:rsidRPr="008F3F94">
        <w:t xml:space="preserve"> de recours n</w:t>
      </w:r>
      <w:r w:rsidR="0064008B">
        <w:t>’</w:t>
      </w:r>
      <w:r w:rsidRPr="008F3F94">
        <w:t>auraient pas été accessibles ou auraient été inutiles</w:t>
      </w:r>
      <w:r>
        <w:rPr>
          <w:szCs w:val="24"/>
          <w:lang w:val="fr-FR"/>
        </w:rPr>
        <w:t>.</w:t>
      </w:r>
    </w:p>
    <w:p w:rsidR="0081758B" w:rsidRDefault="0081758B" w:rsidP="0081758B">
      <w:pPr>
        <w:pStyle w:val="H23G"/>
        <w:rPr>
          <w:lang w:val="fr-FR"/>
        </w:rPr>
      </w:pPr>
      <w:r>
        <w:rPr>
          <w:lang w:val="fr-FR"/>
        </w:rPr>
        <w:tab/>
      </w:r>
      <w:r>
        <w:rPr>
          <w:lang w:val="fr-FR"/>
        </w:rPr>
        <w:tab/>
      </w:r>
      <w:r w:rsidRPr="008F3F94">
        <w:rPr>
          <w:lang w:val="fr-FR"/>
        </w:rPr>
        <w:t>Commentaires de l</w:t>
      </w:r>
      <w:r w:rsidR="0064008B">
        <w:rPr>
          <w:lang w:val="fr-FR"/>
        </w:rPr>
        <w:t>’</w:t>
      </w:r>
      <w:r w:rsidRPr="008F3F94">
        <w:rPr>
          <w:lang w:val="fr-FR"/>
        </w:rPr>
        <w:t>auteur sur les observations de l</w:t>
      </w:r>
      <w:r w:rsidR="0064008B">
        <w:rPr>
          <w:lang w:val="fr-FR"/>
        </w:rPr>
        <w:t>’</w:t>
      </w:r>
      <w:r w:rsidRPr="008F3F94">
        <w:rPr>
          <w:lang w:val="fr-FR"/>
        </w:rPr>
        <w:t>État partie sur la recevabilité</w:t>
      </w:r>
    </w:p>
    <w:p w:rsidR="0081758B" w:rsidRDefault="0081758B" w:rsidP="0081758B">
      <w:pPr>
        <w:pStyle w:val="SingleTxtG"/>
        <w:rPr>
          <w:szCs w:val="24"/>
          <w:lang w:val="fr-FR"/>
        </w:rPr>
      </w:pPr>
      <w:r>
        <w:rPr>
          <w:szCs w:val="24"/>
          <w:lang w:val="fr-FR"/>
        </w:rPr>
        <w:t>5.</w:t>
      </w:r>
      <w:r>
        <w:rPr>
          <w:szCs w:val="24"/>
          <w:lang w:val="fr-FR"/>
        </w:rPr>
        <w:tab/>
        <w:t xml:space="preserve">Dans une lettre </w:t>
      </w:r>
      <w:r w:rsidR="008936C4">
        <w:rPr>
          <w:szCs w:val="24"/>
          <w:lang w:val="fr-FR"/>
        </w:rPr>
        <w:t xml:space="preserve">datée </w:t>
      </w:r>
      <w:r>
        <w:rPr>
          <w:szCs w:val="24"/>
          <w:lang w:val="fr-FR"/>
        </w:rPr>
        <w:t>du 5 </w:t>
      </w:r>
      <w:r w:rsidRPr="008F3F94">
        <w:rPr>
          <w:szCs w:val="24"/>
          <w:lang w:val="fr-FR"/>
        </w:rPr>
        <w:t>mars 2009, l</w:t>
      </w:r>
      <w:r w:rsidR="0064008B">
        <w:rPr>
          <w:szCs w:val="24"/>
          <w:lang w:val="fr-FR"/>
        </w:rPr>
        <w:t>’</w:t>
      </w:r>
      <w:r w:rsidRPr="008F3F94">
        <w:rPr>
          <w:szCs w:val="24"/>
          <w:lang w:val="fr-FR"/>
        </w:rPr>
        <w:t xml:space="preserve">auteur </w:t>
      </w:r>
      <w:r>
        <w:rPr>
          <w:szCs w:val="24"/>
          <w:lang w:val="fr-FR"/>
        </w:rPr>
        <w:t xml:space="preserve">rappelle </w:t>
      </w:r>
      <w:r w:rsidRPr="008F3F94">
        <w:rPr>
          <w:szCs w:val="24"/>
          <w:lang w:val="fr-FR"/>
        </w:rPr>
        <w:t>q</w:t>
      </w:r>
      <w:r>
        <w:rPr>
          <w:szCs w:val="24"/>
          <w:lang w:val="fr-FR"/>
        </w:rPr>
        <w:t>ue, conformément au paragraphe 2 </w:t>
      </w:r>
      <w:r w:rsidRPr="008F3F94">
        <w:rPr>
          <w:szCs w:val="24"/>
          <w:lang w:val="fr-FR"/>
        </w:rPr>
        <w:t>b) de l</w:t>
      </w:r>
      <w:r w:rsidR="0064008B">
        <w:rPr>
          <w:szCs w:val="24"/>
          <w:lang w:val="fr-FR"/>
        </w:rPr>
        <w:t>’</w:t>
      </w:r>
      <w:r w:rsidRPr="008F3F94">
        <w:rPr>
          <w:szCs w:val="24"/>
          <w:lang w:val="fr-FR"/>
        </w:rPr>
        <w:t>article</w:t>
      </w:r>
      <w:r>
        <w:rPr>
          <w:szCs w:val="24"/>
          <w:lang w:val="fr-FR"/>
        </w:rPr>
        <w:t> </w:t>
      </w:r>
      <w:r w:rsidRPr="008F3F94">
        <w:rPr>
          <w:szCs w:val="24"/>
          <w:lang w:val="fr-FR"/>
        </w:rPr>
        <w:t xml:space="preserve">5 du Protocole facultatif se rapportant au Pacte, les particuliers </w:t>
      </w:r>
      <w:r w:rsidR="00D15366">
        <w:rPr>
          <w:szCs w:val="24"/>
          <w:lang w:val="fr-FR"/>
        </w:rPr>
        <w:t>doivent</w:t>
      </w:r>
      <w:r w:rsidRPr="008F3F94">
        <w:rPr>
          <w:szCs w:val="24"/>
          <w:lang w:val="fr-FR"/>
        </w:rPr>
        <w:t xml:space="preserve"> épuiser tous les recours internes disponibles avant de soumettre une </w:t>
      </w:r>
      <w:r w:rsidR="008936C4">
        <w:rPr>
          <w:szCs w:val="24"/>
          <w:lang w:val="fr-FR"/>
        </w:rPr>
        <w:t>requête</w:t>
      </w:r>
      <w:r w:rsidRPr="008F3F94">
        <w:rPr>
          <w:szCs w:val="24"/>
          <w:lang w:val="fr-FR"/>
        </w:rPr>
        <w:t xml:space="preserve"> au Comité. Il fait observer que le Comité a conclu dans d</w:t>
      </w:r>
      <w:r w:rsidR="0064008B">
        <w:rPr>
          <w:szCs w:val="24"/>
          <w:lang w:val="fr-FR"/>
        </w:rPr>
        <w:t>’</w:t>
      </w:r>
      <w:r w:rsidRPr="008F3F94">
        <w:rPr>
          <w:szCs w:val="24"/>
          <w:lang w:val="fr-FR"/>
        </w:rPr>
        <w:t>autres affaires que</w:t>
      </w:r>
      <w:r>
        <w:rPr>
          <w:szCs w:val="24"/>
          <w:lang w:val="fr-FR"/>
        </w:rPr>
        <w:t>,</w:t>
      </w:r>
      <w:r w:rsidRPr="008F3F94">
        <w:rPr>
          <w:szCs w:val="24"/>
          <w:lang w:val="fr-FR"/>
        </w:rPr>
        <w:t xml:space="preserve"> lorsque dans l</w:t>
      </w:r>
      <w:r w:rsidR="0064008B">
        <w:rPr>
          <w:szCs w:val="24"/>
          <w:lang w:val="fr-FR"/>
        </w:rPr>
        <w:t>’</w:t>
      </w:r>
      <w:r w:rsidRPr="008F3F94">
        <w:rPr>
          <w:szCs w:val="24"/>
          <w:lang w:val="fr-FR"/>
        </w:rPr>
        <w:t>État partie le déclenchement d</w:t>
      </w:r>
      <w:r w:rsidR="0064008B">
        <w:rPr>
          <w:szCs w:val="24"/>
          <w:lang w:val="fr-FR"/>
        </w:rPr>
        <w:t>’</w:t>
      </w:r>
      <w:r w:rsidRPr="008F3F94">
        <w:rPr>
          <w:szCs w:val="24"/>
          <w:lang w:val="fr-FR"/>
        </w:rPr>
        <w:t xml:space="preserve">une procédure de contrôle dépend du pouvoir discrétionnaire du juge ou du Procureur, les voies de recours sont limitées </w:t>
      </w:r>
      <w:r w:rsidR="00D15366">
        <w:rPr>
          <w:szCs w:val="24"/>
          <w:lang w:val="fr-FR"/>
        </w:rPr>
        <w:t>au recours</w:t>
      </w:r>
      <w:r w:rsidRPr="008F3F94">
        <w:rPr>
          <w:szCs w:val="24"/>
          <w:lang w:val="fr-FR"/>
        </w:rPr>
        <w:t xml:space="preserve"> en</w:t>
      </w:r>
      <w:r w:rsidR="00833074">
        <w:rPr>
          <w:szCs w:val="24"/>
          <w:lang w:val="fr-FR"/>
        </w:rPr>
        <w:t xml:space="preserve"> cassation. L</w:t>
      </w:r>
      <w:r w:rsidR="0064008B">
        <w:rPr>
          <w:szCs w:val="24"/>
          <w:lang w:val="fr-FR"/>
        </w:rPr>
        <w:t>’</w:t>
      </w:r>
      <w:r w:rsidR="00833074">
        <w:rPr>
          <w:szCs w:val="24"/>
          <w:lang w:val="fr-FR"/>
        </w:rPr>
        <w:t>auteur n</w:t>
      </w:r>
      <w:r w:rsidR="0064008B">
        <w:rPr>
          <w:szCs w:val="24"/>
          <w:lang w:val="fr-FR"/>
        </w:rPr>
        <w:t>’</w:t>
      </w:r>
      <w:r w:rsidR="00833074">
        <w:rPr>
          <w:szCs w:val="24"/>
          <w:lang w:val="fr-FR"/>
        </w:rPr>
        <w:t xml:space="preserve">a pas </w:t>
      </w:r>
      <w:r w:rsidRPr="008F3F94">
        <w:rPr>
          <w:szCs w:val="24"/>
          <w:lang w:val="fr-FR"/>
        </w:rPr>
        <w:t>demandé au tribunal régional de Gomel ou à la Cour suprême d</w:t>
      </w:r>
      <w:r w:rsidR="0064008B">
        <w:rPr>
          <w:szCs w:val="24"/>
          <w:lang w:val="fr-FR"/>
        </w:rPr>
        <w:t>’</w:t>
      </w:r>
      <w:r w:rsidRPr="008F3F94">
        <w:rPr>
          <w:szCs w:val="24"/>
          <w:lang w:val="fr-FR"/>
        </w:rPr>
        <w:t>engager une procédure de contrôle puisqu</w:t>
      </w:r>
      <w:r w:rsidR="0064008B">
        <w:rPr>
          <w:szCs w:val="24"/>
          <w:lang w:val="fr-FR"/>
        </w:rPr>
        <w:t>’</w:t>
      </w:r>
      <w:r w:rsidRPr="008F3F94">
        <w:rPr>
          <w:szCs w:val="24"/>
          <w:lang w:val="fr-FR"/>
        </w:rPr>
        <w:t>une telle demande n</w:t>
      </w:r>
      <w:r w:rsidR="0064008B">
        <w:rPr>
          <w:szCs w:val="24"/>
          <w:lang w:val="fr-FR"/>
        </w:rPr>
        <w:t>’</w:t>
      </w:r>
      <w:r w:rsidRPr="008F3F94">
        <w:rPr>
          <w:szCs w:val="24"/>
          <w:lang w:val="fr-FR"/>
        </w:rPr>
        <w:t>aurait pas entraîné le réexamen de l</w:t>
      </w:r>
      <w:r w:rsidR="0064008B">
        <w:rPr>
          <w:szCs w:val="24"/>
          <w:lang w:val="fr-FR"/>
        </w:rPr>
        <w:t>’</w:t>
      </w:r>
      <w:r w:rsidRPr="008F3F94">
        <w:rPr>
          <w:szCs w:val="24"/>
          <w:lang w:val="fr-FR"/>
        </w:rPr>
        <w:t>affaire. Conformément à la jurisprudence du Comité, les recours internes doivent être à la fois disponibles et utile</w:t>
      </w:r>
      <w:r>
        <w:rPr>
          <w:szCs w:val="24"/>
          <w:lang w:val="fr-FR"/>
        </w:rPr>
        <w:t>s</w:t>
      </w:r>
      <w:r w:rsidRPr="008F3F94">
        <w:rPr>
          <w:szCs w:val="24"/>
          <w:lang w:val="fr-FR"/>
        </w:rPr>
        <w:t xml:space="preserve">. </w:t>
      </w:r>
      <w:r>
        <w:rPr>
          <w:szCs w:val="24"/>
          <w:lang w:val="fr-FR"/>
        </w:rPr>
        <w:t>L</w:t>
      </w:r>
      <w:r w:rsidR="0064008B">
        <w:rPr>
          <w:szCs w:val="24"/>
          <w:lang w:val="fr-FR"/>
        </w:rPr>
        <w:t>’</w:t>
      </w:r>
      <w:r w:rsidRPr="008F3F94">
        <w:rPr>
          <w:szCs w:val="24"/>
          <w:lang w:val="fr-FR"/>
        </w:rPr>
        <w:t xml:space="preserve">auteur affirme </w:t>
      </w:r>
      <w:r>
        <w:rPr>
          <w:szCs w:val="24"/>
          <w:lang w:val="fr-FR"/>
        </w:rPr>
        <w:t>qu</w:t>
      </w:r>
      <w:r w:rsidR="0064008B">
        <w:rPr>
          <w:szCs w:val="24"/>
          <w:lang w:val="fr-FR"/>
        </w:rPr>
        <w:t>’</w:t>
      </w:r>
      <w:r>
        <w:rPr>
          <w:szCs w:val="24"/>
          <w:lang w:val="fr-FR"/>
        </w:rPr>
        <w:t xml:space="preserve">en se pourvoyant en cassation </w:t>
      </w:r>
      <w:r w:rsidRPr="008F3F94">
        <w:rPr>
          <w:szCs w:val="24"/>
          <w:lang w:val="fr-FR"/>
        </w:rPr>
        <w:t xml:space="preserve">il a épuisé tous les recours internes qui lui étaient ouverts. La décision de </w:t>
      </w:r>
      <w:r w:rsidR="00833074">
        <w:rPr>
          <w:szCs w:val="24"/>
          <w:lang w:val="fr-FR"/>
        </w:rPr>
        <w:t xml:space="preserve">la juridiction </w:t>
      </w:r>
      <w:r w:rsidRPr="008F3F94">
        <w:rPr>
          <w:szCs w:val="24"/>
          <w:lang w:val="fr-FR"/>
        </w:rPr>
        <w:t xml:space="preserve">inférieure </w:t>
      </w:r>
      <w:r w:rsidRPr="008F3F94">
        <w:t>a acquis force de chose jugée</w:t>
      </w:r>
      <w:r>
        <w:rPr>
          <w:szCs w:val="24"/>
          <w:lang w:val="fr-FR"/>
        </w:rPr>
        <w:t xml:space="preserve"> </w:t>
      </w:r>
      <w:r w:rsidRPr="008F3F94">
        <w:rPr>
          <w:szCs w:val="24"/>
          <w:lang w:val="fr-FR"/>
        </w:rPr>
        <w:t>et est devenue exécutoire dès l</w:t>
      </w:r>
      <w:r w:rsidR="0064008B">
        <w:rPr>
          <w:szCs w:val="24"/>
          <w:lang w:val="fr-FR"/>
        </w:rPr>
        <w:t>’</w:t>
      </w:r>
      <w:r w:rsidRPr="008F3F94">
        <w:rPr>
          <w:szCs w:val="24"/>
          <w:lang w:val="fr-FR"/>
        </w:rPr>
        <w:t>adoption de la décision de la juridiction d</w:t>
      </w:r>
      <w:r w:rsidR="0064008B">
        <w:rPr>
          <w:szCs w:val="24"/>
          <w:lang w:val="fr-FR"/>
        </w:rPr>
        <w:t>’</w:t>
      </w:r>
      <w:r w:rsidRPr="008F3F94">
        <w:rPr>
          <w:szCs w:val="24"/>
          <w:lang w:val="fr-FR"/>
        </w:rPr>
        <w:t>appel.</w:t>
      </w:r>
    </w:p>
    <w:p w:rsidR="0081758B" w:rsidRPr="009D513B" w:rsidRDefault="0081758B" w:rsidP="0081758B">
      <w:pPr>
        <w:pStyle w:val="H23G"/>
      </w:pPr>
      <w:r>
        <w:rPr>
          <w:lang w:val="fr-FR"/>
        </w:rPr>
        <w:tab/>
      </w:r>
      <w:r>
        <w:rPr>
          <w:lang w:val="fr-FR"/>
        </w:rPr>
        <w:tab/>
      </w:r>
      <w:r w:rsidRPr="008F3F94">
        <w:rPr>
          <w:lang w:val="fr-FR"/>
        </w:rPr>
        <w:t>Commentaires de l</w:t>
      </w:r>
      <w:r w:rsidR="0064008B">
        <w:rPr>
          <w:lang w:val="fr-FR"/>
        </w:rPr>
        <w:t>’</w:t>
      </w:r>
      <w:r w:rsidRPr="008F3F94">
        <w:rPr>
          <w:lang w:val="fr-FR"/>
        </w:rPr>
        <w:t>État partie sur le fond</w:t>
      </w:r>
    </w:p>
    <w:p w:rsidR="0081758B" w:rsidRDefault="0081758B" w:rsidP="006F0945">
      <w:pPr>
        <w:pStyle w:val="SingleTxtG"/>
        <w:keepLines/>
        <w:rPr>
          <w:szCs w:val="24"/>
          <w:lang w:val="fr-FR"/>
        </w:rPr>
      </w:pPr>
      <w:r>
        <w:rPr>
          <w:szCs w:val="24"/>
          <w:lang w:val="fr-FR"/>
        </w:rPr>
        <w:t>6.1</w:t>
      </w:r>
      <w:r>
        <w:rPr>
          <w:szCs w:val="24"/>
          <w:lang w:val="fr-FR"/>
        </w:rPr>
        <w:tab/>
        <w:t>Le 3 </w:t>
      </w:r>
      <w:r w:rsidRPr="008F3F94">
        <w:rPr>
          <w:szCs w:val="24"/>
          <w:lang w:val="fr-FR"/>
        </w:rPr>
        <w:t>août 2009, l</w:t>
      </w:r>
      <w:r w:rsidR="0064008B">
        <w:rPr>
          <w:szCs w:val="24"/>
          <w:lang w:val="fr-FR"/>
        </w:rPr>
        <w:t>’</w:t>
      </w:r>
      <w:r w:rsidRPr="008F3F94">
        <w:rPr>
          <w:szCs w:val="24"/>
          <w:lang w:val="fr-FR"/>
        </w:rPr>
        <w:t>État partie a fait part de ses commentaires sur le fond de l</w:t>
      </w:r>
      <w:r w:rsidR="0064008B">
        <w:rPr>
          <w:szCs w:val="24"/>
          <w:lang w:val="fr-FR"/>
        </w:rPr>
        <w:t>’</w:t>
      </w:r>
      <w:r w:rsidRPr="008F3F94">
        <w:rPr>
          <w:szCs w:val="24"/>
          <w:lang w:val="fr-FR"/>
        </w:rPr>
        <w:t>affaire. Il expose les faits une nouvelle fois et affirme que le Comité exécutif de Gomel a rejeté les plaintes de l</w:t>
      </w:r>
      <w:r w:rsidR="0064008B">
        <w:rPr>
          <w:szCs w:val="24"/>
          <w:lang w:val="fr-FR"/>
        </w:rPr>
        <w:t>’</w:t>
      </w:r>
      <w:r w:rsidRPr="008F3F94">
        <w:rPr>
          <w:szCs w:val="24"/>
          <w:lang w:val="fr-FR"/>
        </w:rPr>
        <w:t xml:space="preserve">auteur et des autres requérants au motif que </w:t>
      </w:r>
      <w:r w:rsidR="00833074">
        <w:rPr>
          <w:szCs w:val="24"/>
          <w:lang w:val="fr-FR"/>
        </w:rPr>
        <w:t>l</w:t>
      </w:r>
      <w:r w:rsidR="0064008B">
        <w:rPr>
          <w:szCs w:val="24"/>
          <w:lang w:val="fr-FR"/>
        </w:rPr>
        <w:t>’</w:t>
      </w:r>
      <w:r w:rsidR="00833074">
        <w:rPr>
          <w:szCs w:val="24"/>
          <w:lang w:val="fr-FR"/>
        </w:rPr>
        <w:t>engagement</w:t>
      </w:r>
      <w:r w:rsidRPr="008F3F94">
        <w:rPr>
          <w:szCs w:val="24"/>
          <w:lang w:val="fr-FR"/>
        </w:rPr>
        <w:t xml:space="preserve"> écrit joint aux demandes d</w:t>
      </w:r>
      <w:r w:rsidR="0064008B">
        <w:rPr>
          <w:szCs w:val="24"/>
          <w:lang w:val="fr-FR"/>
        </w:rPr>
        <w:t>’</w:t>
      </w:r>
      <w:r w:rsidRPr="008F3F94">
        <w:rPr>
          <w:szCs w:val="24"/>
          <w:lang w:val="fr-FR"/>
        </w:rPr>
        <w:t xml:space="preserve">autorisation </w:t>
      </w:r>
      <w:r w:rsidR="00833074">
        <w:rPr>
          <w:szCs w:val="24"/>
          <w:lang w:val="fr-FR"/>
        </w:rPr>
        <w:t>d</w:t>
      </w:r>
      <w:r w:rsidR="0064008B">
        <w:rPr>
          <w:szCs w:val="24"/>
          <w:lang w:val="fr-FR"/>
        </w:rPr>
        <w:t>’</w:t>
      </w:r>
      <w:r w:rsidR="00833074">
        <w:rPr>
          <w:szCs w:val="24"/>
          <w:lang w:val="fr-FR"/>
        </w:rPr>
        <w:t>organiser</w:t>
      </w:r>
      <w:r w:rsidRPr="008F3F94">
        <w:rPr>
          <w:szCs w:val="24"/>
          <w:lang w:val="fr-FR"/>
        </w:rPr>
        <w:t xml:space="preserve"> des manifestations </w:t>
      </w:r>
      <w:r w:rsidR="00D15366">
        <w:rPr>
          <w:szCs w:val="24"/>
          <w:lang w:val="fr-FR"/>
        </w:rPr>
        <w:t>de masse</w:t>
      </w:r>
      <w:r w:rsidRPr="008F3F94">
        <w:rPr>
          <w:szCs w:val="24"/>
          <w:lang w:val="fr-FR"/>
        </w:rPr>
        <w:t xml:space="preserve"> ne contenait pas toutes les précisions requises quant aux horaires et au déroulement de ces manifestations. En vertu de l</w:t>
      </w:r>
      <w:r w:rsidR="0064008B">
        <w:rPr>
          <w:szCs w:val="24"/>
          <w:lang w:val="fr-FR"/>
        </w:rPr>
        <w:t>’</w:t>
      </w:r>
      <w:r w:rsidRPr="008F3F94">
        <w:rPr>
          <w:szCs w:val="24"/>
          <w:lang w:val="fr-FR"/>
        </w:rPr>
        <w:t>article</w:t>
      </w:r>
      <w:r>
        <w:rPr>
          <w:szCs w:val="24"/>
          <w:lang w:val="fr-FR"/>
        </w:rPr>
        <w:t> </w:t>
      </w:r>
      <w:r w:rsidRPr="008F3F94">
        <w:rPr>
          <w:szCs w:val="24"/>
          <w:lang w:val="fr-FR"/>
        </w:rPr>
        <w:t xml:space="preserve">10 de la loi sur les manifestations de masse, ces renseignements doivent obligatoirement être fournis et leur </w:t>
      </w:r>
      <w:r w:rsidR="00833074">
        <w:rPr>
          <w:szCs w:val="24"/>
          <w:lang w:val="fr-FR"/>
        </w:rPr>
        <w:t>communication</w:t>
      </w:r>
      <w:r w:rsidRPr="008F3F94">
        <w:rPr>
          <w:szCs w:val="24"/>
          <w:lang w:val="fr-FR"/>
        </w:rPr>
        <w:t xml:space="preserve"> constitue une condition essentielle pour obtenir l</w:t>
      </w:r>
      <w:r w:rsidR="0064008B">
        <w:rPr>
          <w:szCs w:val="24"/>
          <w:lang w:val="fr-FR"/>
        </w:rPr>
        <w:t>’</w:t>
      </w:r>
      <w:r w:rsidRPr="008F3F94">
        <w:rPr>
          <w:szCs w:val="24"/>
          <w:lang w:val="fr-FR"/>
        </w:rPr>
        <w:t>autorisation d</w:t>
      </w:r>
      <w:r w:rsidR="0064008B">
        <w:rPr>
          <w:szCs w:val="24"/>
          <w:lang w:val="fr-FR"/>
        </w:rPr>
        <w:t>’</w:t>
      </w:r>
      <w:r w:rsidRPr="008F3F94">
        <w:rPr>
          <w:szCs w:val="24"/>
          <w:lang w:val="fr-FR"/>
        </w:rPr>
        <w:t>organiser de telles manifestations. En outre, les tribunaux ont établi que l</w:t>
      </w:r>
      <w:r w:rsidR="0064008B">
        <w:rPr>
          <w:szCs w:val="24"/>
          <w:lang w:val="fr-FR"/>
        </w:rPr>
        <w:t>’</w:t>
      </w:r>
      <w:r w:rsidRPr="008F3F94">
        <w:rPr>
          <w:szCs w:val="24"/>
          <w:lang w:val="fr-FR"/>
        </w:rPr>
        <w:t>auteur et les autres requérants n</w:t>
      </w:r>
      <w:r w:rsidR="0064008B">
        <w:rPr>
          <w:szCs w:val="24"/>
          <w:lang w:val="fr-FR"/>
        </w:rPr>
        <w:t>’</w:t>
      </w:r>
      <w:r w:rsidRPr="008F3F94">
        <w:rPr>
          <w:szCs w:val="24"/>
          <w:lang w:val="fr-FR"/>
        </w:rPr>
        <w:t>avaient pas indiqué les mesures prises pour garantir l</w:t>
      </w:r>
      <w:r w:rsidR="0064008B">
        <w:rPr>
          <w:szCs w:val="24"/>
          <w:lang w:val="fr-FR"/>
        </w:rPr>
        <w:t>’</w:t>
      </w:r>
      <w:r w:rsidRPr="008F3F94">
        <w:rPr>
          <w:szCs w:val="24"/>
          <w:lang w:val="fr-FR"/>
        </w:rPr>
        <w:t xml:space="preserve">ordre public et la sûreté publique, la prestation de soins médicaux et le nettoyage du lieu pendant et après la manifestation, ni fourni les preuves attestant du paiement pour la fourniture de ces services. En </w:t>
      </w:r>
      <w:r w:rsidR="00D15366">
        <w:rPr>
          <w:szCs w:val="24"/>
          <w:lang w:val="fr-FR"/>
        </w:rPr>
        <w:t xml:space="preserve">outre, certains des requérants avaient </w:t>
      </w:r>
      <w:r>
        <w:rPr>
          <w:szCs w:val="24"/>
          <w:lang w:val="fr-FR"/>
        </w:rPr>
        <w:t xml:space="preserve">demandé </w:t>
      </w:r>
      <w:r w:rsidR="00D15366">
        <w:rPr>
          <w:szCs w:val="24"/>
          <w:lang w:val="fr-FR"/>
        </w:rPr>
        <w:t xml:space="preserve">à </w:t>
      </w:r>
      <w:r w:rsidRPr="008F3F94">
        <w:rPr>
          <w:szCs w:val="24"/>
          <w:lang w:val="fr-FR"/>
        </w:rPr>
        <w:t>organiser des piquets dans des lieux non autorisés. Dans ces circonstances</w:t>
      </w:r>
      <w:r>
        <w:rPr>
          <w:szCs w:val="24"/>
          <w:lang w:val="fr-FR"/>
        </w:rPr>
        <w:t>,</w:t>
      </w:r>
      <w:r w:rsidRPr="008F3F94">
        <w:rPr>
          <w:szCs w:val="24"/>
          <w:lang w:val="fr-FR"/>
        </w:rPr>
        <w:t xml:space="preserve"> qui ne sont pas favorables au maintien de l</w:t>
      </w:r>
      <w:r w:rsidR="0064008B">
        <w:rPr>
          <w:szCs w:val="24"/>
          <w:lang w:val="fr-FR"/>
        </w:rPr>
        <w:t>’</w:t>
      </w:r>
      <w:r w:rsidRPr="008F3F94">
        <w:rPr>
          <w:szCs w:val="24"/>
          <w:lang w:val="fr-FR"/>
        </w:rPr>
        <w:t xml:space="preserve">ordre public et </w:t>
      </w:r>
      <w:r w:rsidR="00833074">
        <w:rPr>
          <w:szCs w:val="24"/>
          <w:lang w:val="fr-FR"/>
        </w:rPr>
        <w:t xml:space="preserve">à la protection </w:t>
      </w:r>
      <w:r w:rsidRPr="008F3F94">
        <w:rPr>
          <w:szCs w:val="24"/>
          <w:lang w:val="fr-FR"/>
        </w:rPr>
        <w:t>de la sûreté publique, le tribunal du district central de Gomel a rejeté la plainte de l</w:t>
      </w:r>
      <w:r w:rsidR="0064008B">
        <w:rPr>
          <w:szCs w:val="24"/>
          <w:lang w:val="fr-FR"/>
        </w:rPr>
        <w:t>’</w:t>
      </w:r>
      <w:r w:rsidRPr="008F3F94">
        <w:rPr>
          <w:szCs w:val="24"/>
          <w:lang w:val="fr-FR"/>
        </w:rPr>
        <w:t xml:space="preserve">auteur et des autres requérants dans une décision motivée </w:t>
      </w:r>
      <w:r>
        <w:rPr>
          <w:szCs w:val="24"/>
          <w:lang w:val="fr-FR"/>
        </w:rPr>
        <w:t xml:space="preserve">en date </w:t>
      </w:r>
      <w:r w:rsidRPr="008F3F94">
        <w:rPr>
          <w:szCs w:val="24"/>
          <w:lang w:val="fr-FR"/>
        </w:rPr>
        <w:t>du 1</w:t>
      </w:r>
      <w:r w:rsidRPr="008F3F94">
        <w:rPr>
          <w:szCs w:val="24"/>
          <w:vertAlign w:val="superscript"/>
          <w:lang w:val="fr-FR"/>
        </w:rPr>
        <w:t>er</w:t>
      </w:r>
      <w:r>
        <w:rPr>
          <w:szCs w:val="24"/>
          <w:lang w:val="fr-FR"/>
        </w:rPr>
        <w:t> </w:t>
      </w:r>
      <w:r w:rsidRPr="008F3F94">
        <w:rPr>
          <w:szCs w:val="24"/>
          <w:lang w:val="fr-FR"/>
        </w:rPr>
        <w:t>février 2008.</w:t>
      </w:r>
    </w:p>
    <w:p w:rsidR="0081758B" w:rsidRDefault="0081758B" w:rsidP="00D15366">
      <w:pPr>
        <w:pStyle w:val="SingleTxtG"/>
        <w:rPr>
          <w:szCs w:val="24"/>
          <w:lang w:val="fr-FR"/>
        </w:rPr>
      </w:pPr>
      <w:r>
        <w:rPr>
          <w:szCs w:val="24"/>
          <w:lang w:val="fr-FR"/>
        </w:rPr>
        <w:t>6.2</w:t>
      </w:r>
      <w:r>
        <w:rPr>
          <w:szCs w:val="24"/>
          <w:lang w:val="fr-FR"/>
        </w:rPr>
        <w:tab/>
        <w:t>L</w:t>
      </w:r>
      <w:r w:rsidR="0064008B">
        <w:rPr>
          <w:szCs w:val="24"/>
          <w:lang w:val="fr-FR"/>
        </w:rPr>
        <w:t>’</w:t>
      </w:r>
      <w:r w:rsidRPr="008F3F94">
        <w:rPr>
          <w:szCs w:val="24"/>
          <w:lang w:val="fr-FR"/>
        </w:rPr>
        <w:t>organisation et le déroulement des manifestations de masse</w:t>
      </w:r>
      <w:r>
        <w:rPr>
          <w:szCs w:val="24"/>
          <w:lang w:val="fr-FR"/>
        </w:rPr>
        <w:t xml:space="preserve"> sont régis par la loi du 30 </w:t>
      </w:r>
      <w:r w:rsidRPr="008F3F94">
        <w:rPr>
          <w:szCs w:val="24"/>
          <w:lang w:val="fr-FR"/>
        </w:rPr>
        <w:t xml:space="preserve">décembre 1997 </w:t>
      </w:r>
      <w:r>
        <w:rPr>
          <w:szCs w:val="24"/>
          <w:lang w:val="fr-FR"/>
        </w:rPr>
        <w:t>sur les manifestations de masse</w:t>
      </w:r>
      <w:r w:rsidRPr="008F3F94">
        <w:rPr>
          <w:szCs w:val="24"/>
          <w:lang w:val="fr-FR"/>
        </w:rPr>
        <w:t xml:space="preserve">. Cette loi </w:t>
      </w:r>
      <w:r>
        <w:rPr>
          <w:szCs w:val="24"/>
          <w:lang w:val="fr-FR"/>
        </w:rPr>
        <w:t>a pour but de</w:t>
      </w:r>
      <w:r w:rsidRPr="008F3F94">
        <w:rPr>
          <w:szCs w:val="24"/>
          <w:lang w:val="fr-FR"/>
        </w:rPr>
        <w:t xml:space="preserve"> créer des conditions favorables à la réalisation des droits et libertés constitutionnels du citoyen et </w:t>
      </w:r>
      <w:r w:rsidR="00570D8B">
        <w:rPr>
          <w:szCs w:val="24"/>
          <w:lang w:val="fr-FR"/>
        </w:rPr>
        <w:t xml:space="preserve">à </w:t>
      </w:r>
      <w:r w:rsidR="00833074">
        <w:rPr>
          <w:szCs w:val="24"/>
          <w:lang w:val="fr-FR"/>
        </w:rPr>
        <w:t xml:space="preserve">la protection de </w:t>
      </w:r>
      <w:r w:rsidRPr="008F3F94">
        <w:rPr>
          <w:szCs w:val="24"/>
          <w:lang w:val="fr-FR"/>
        </w:rPr>
        <w:t>l</w:t>
      </w:r>
      <w:r w:rsidR="0064008B">
        <w:rPr>
          <w:szCs w:val="24"/>
          <w:lang w:val="fr-FR"/>
        </w:rPr>
        <w:t>’</w:t>
      </w:r>
      <w:r w:rsidRPr="008F3F94">
        <w:rPr>
          <w:szCs w:val="24"/>
          <w:lang w:val="fr-FR"/>
        </w:rPr>
        <w:t xml:space="preserve">ordre public et </w:t>
      </w:r>
      <w:r w:rsidR="00833074">
        <w:rPr>
          <w:szCs w:val="24"/>
          <w:lang w:val="fr-FR"/>
        </w:rPr>
        <w:t xml:space="preserve">de </w:t>
      </w:r>
      <w:r w:rsidRPr="008F3F94">
        <w:rPr>
          <w:szCs w:val="24"/>
          <w:lang w:val="fr-FR"/>
        </w:rPr>
        <w:t>la sûreté publique pendant la tenue de telles manifestations dans des lieux publics. Conformément à ladite loi,</w:t>
      </w:r>
      <w:r>
        <w:rPr>
          <w:szCs w:val="24"/>
          <w:lang w:val="fr-FR"/>
        </w:rPr>
        <w:t xml:space="preserve"> </w:t>
      </w:r>
      <w:r w:rsidRPr="008F3F94">
        <w:rPr>
          <w:szCs w:val="24"/>
          <w:lang w:val="fr-FR"/>
        </w:rPr>
        <w:t>«l</w:t>
      </w:r>
      <w:r w:rsidR="0064008B">
        <w:rPr>
          <w:szCs w:val="24"/>
          <w:lang w:val="fr-FR"/>
        </w:rPr>
        <w:t>’</w:t>
      </w:r>
      <w:r w:rsidRPr="008F3F94">
        <w:rPr>
          <w:szCs w:val="24"/>
          <w:lang w:val="fr-FR"/>
        </w:rPr>
        <w:t>État garantit à chacun la liberté d</w:t>
      </w:r>
      <w:r w:rsidR="0064008B">
        <w:rPr>
          <w:szCs w:val="24"/>
          <w:lang w:val="fr-FR"/>
        </w:rPr>
        <w:t>’</w:t>
      </w:r>
      <w:r w:rsidRPr="008F3F94">
        <w:rPr>
          <w:szCs w:val="24"/>
          <w:lang w:val="fr-FR"/>
        </w:rPr>
        <w:t>organiser des activités de masse qui ne sont pas contraires à l</w:t>
      </w:r>
      <w:r w:rsidR="0064008B">
        <w:rPr>
          <w:szCs w:val="24"/>
          <w:lang w:val="fr-FR"/>
        </w:rPr>
        <w:t>’</w:t>
      </w:r>
      <w:r w:rsidRPr="008F3F94">
        <w:rPr>
          <w:szCs w:val="24"/>
          <w:lang w:val="fr-FR"/>
        </w:rPr>
        <w:t>ordre juridique et ne portent pas atteinte aux droits des autres citoyens de la République du Bélarus».</w:t>
      </w:r>
    </w:p>
    <w:p w:rsidR="0081758B" w:rsidRDefault="0081758B" w:rsidP="00833074">
      <w:pPr>
        <w:pStyle w:val="SingleTxtG"/>
        <w:rPr>
          <w:szCs w:val="24"/>
          <w:lang w:val="fr-FR"/>
        </w:rPr>
      </w:pPr>
      <w:r w:rsidRPr="008F3F94">
        <w:rPr>
          <w:szCs w:val="24"/>
          <w:lang w:val="fr-FR"/>
        </w:rPr>
        <w:t>6.3</w:t>
      </w:r>
      <w:r w:rsidRPr="008F3F94">
        <w:rPr>
          <w:szCs w:val="24"/>
          <w:lang w:val="fr-FR"/>
        </w:rPr>
        <w:tab/>
        <w:t xml:space="preserve">Le droit de réunion pacifique est consacré </w:t>
      </w:r>
      <w:r w:rsidR="00833074">
        <w:rPr>
          <w:szCs w:val="24"/>
          <w:lang w:val="fr-FR"/>
        </w:rPr>
        <w:t>à</w:t>
      </w:r>
      <w:r w:rsidRPr="008F3F94">
        <w:rPr>
          <w:szCs w:val="24"/>
          <w:lang w:val="fr-FR"/>
        </w:rPr>
        <w:t xml:space="preserve"> l</w:t>
      </w:r>
      <w:r w:rsidR="0064008B">
        <w:rPr>
          <w:szCs w:val="24"/>
          <w:lang w:val="fr-FR"/>
        </w:rPr>
        <w:t>’</w:t>
      </w:r>
      <w:r>
        <w:rPr>
          <w:szCs w:val="24"/>
          <w:lang w:val="fr-FR"/>
        </w:rPr>
        <w:t>article </w:t>
      </w:r>
      <w:r w:rsidRPr="008F3F94">
        <w:rPr>
          <w:szCs w:val="24"/>
          <w:lang w:val="fr-FR"/>
        </w:rPr>
        <w:t xml:space="preserve">21 du Pacte. </w:t>
      </w:r>
      <w:r w:rsidR="00833074">
        <w:rPr>
          <w:szCs w:val="24"/>
          <w:lang w:val="fr-FR"/>
        </w:rPr>
        <w:t xml:space="preserve">Le </w:t>
      </w:r>
      <w:r w:rsidRPr="008F3F94">
        <w:rPr>
          <w:szCs w:val="24"/>
          <w:lang w:val="fr-FR"/>
        </w:rPr>
        <w:t>Bélarus a ratifié le Pacte et incorporé ses disposi</w:t>
      </w:r>
      <w:r>
        <w:rPr>
          <w:szCs w:val="24"/>
          <w:lang w:val="fr-FR"/>
        </w:rPr>
        <w:t>tions, y </w:t>
      </w:r>
      <w:r w:rsidRPr="008F3F94">
        <w:rPr>
          <w:szCs w:val="24"/>
          <w:lang w:val="fr-FR"/>
        </w:rPr>
        <w:t xml:space="preserve">compris </w:t>
      </w:r>
      <w:r w:rsidR="00833074">
        <w:rPr>
          <w:szCs w:val="24"/>
          <w:lang w:val="fr-FR"/>
        </w:rPr>
        <w:t>celles</w:t>
      </w:r>
      <w:r>
        <w:rPr>
          <w:szCs w:val="24"/>
          <w:lang w:val="fr-FR"/>
        </w:rPr>
        <w:t xml:space="preserve"> des articles </w:t>
      </w:r>
      <w:r w:rsidRPr="008F3F94">
        <w:rPr>
          <w:szCs w:val="24"/>
          <w:lang w:val="fr-FR"/>
        </w:rPr>
        <w:t>19 et 21</w:t>
      </w:r>
      <w:r>
        <w:rPr>
          <w:szCs w:val="24"/>
          <w:lang w:val="fr-FR"/>
        </w:rPr>
        <w:t>, dans son droit interne</w:t>
      </w:r>
      <w:r w:rsidRPr="008F3F94">
        <w:rPr>
          <w:szCs w:val="24"/>
          <w:lang w:val="fr-FR"/>
        </w:rPr>
        <w:t xml:space="preserve">. En particulier, </w:t>
      </w:r>
      <w:r w:rsidRPr="008F3F94">
        <w:t>l</w:t>
      </w:r>
      <w:r w:rsidR="0064008B">
        <w:t>’</w:t>
      </w:r>
      <w:r w:rsidRPr="008F3F94">
        <w:t>article 33 de la Constitution garantit le droit de chacun à la liberté de pensée et d</w:t>
      </w:r>
      <w:r w:rsidR="0064008B">
        <w:t>’</w:t>
      </w:r>
      <w:r w:rsidRPr="008F3F94">
        <w:t>opinion et à la liberté d</w:t>
      </w:r>
      <w:r w:rsidR="0064008B">
        <w:t>’</w:t>
      </w:r>
      <w:r w:rsidRPr="008F3F94">
        <w:t>expression, tandis que l</w:t>
      </w:r>
      <w:r w:rsidR="0064008B">
        <w:t>’</w:t>
      </w:r>
      <w:r w:rsidRPr="008F3F94">
        <w:t>article 35 dispose que la liberté de tenir des réunions, des rassemblements, des défilés de rue, des manifestations et des «piquets» qui ne troublent pas l</w:t>
      </w:r>
      <w:r w:rsidR="0064008B">
        <w:t>’</w:t>
      </w:r>
      <w:r w:rsidRPr="008F3F94">
        <w:t>ordre public et ne portent pas atteinte aux droits des autres citoyens du Bélarus est garantie par l</w:t>
      </w:r>
      <w:r w:rsidR="0064008B">
        <w:t>’</w:t>
      </w:r>
      <w:r w:rsidRPr="008F3F94">
        <w:t>État</w:t>
      </w:r>
      <w:r w:rsidRPr="008F3F94">
        <w:rPr>
          <w:szCs w:val="24"/>
          <w:lang w:val="fr-FR"/>
        </w:rPr>
        <w:t>. En</w:t>
      </w:r>
      <w:r>
        <w:rPr>
          <w:szCs w:val="24"/>
          <w:lang w:val="fr-FR"/>
        </w:rPr>
        <w:t> </w:t>
      </w:r>
      <w:r w:rsidRPr="008F3F94">
        <w:rPr>
          <w:szCs w:val="24"/>
          <w:lang w:val="fr-FR"/>
        </w:rPr>
        <w:t>outre, conformément à l</w:t>
      </w:r>
      <w:r w:rsidR="0064008B">
        <w:rPr>
          <w:szCs w:val="24"/>
          <w:lang w:val="fr-FR"/>
        </w:rPr>
        <w:t>’</w:t>
      </w:r>
      <w:r>
        <w:rPr>
          <w:szCs w:val="24"/>
          <w:lang w:val="fr-FR"/>
        </w:rPr>
        <w:t>article </w:t>
      </w:r>
      <w:r w:rsidRPr="008F3F94">
        <w:rPr>
          <w:szCs w:val="24"/>
          <w:lang w:val="fr-FR"/>
        </w:rPr>
        <w:t>23 de la Constitution, les</w:t>
      </w:r>
      <w:r w:rsidRPr="008F3F94">
        <w:rPr>
          <w:szCs w:val="24"/>
        </w:rPr>
        <w:t xml:space="preserve"> droit</w:t>
      </w:r>
      <w:r>
        <w:rPr>
          <w:szCs w:val="24"/>
        </w:rPr>
        <w:t>s</w:t>
      </w:r>
      <w:r w:rsidRPr="008F3F94">
        <w:rPr>
          <w:szCs w:val="24"/>
        </w:rPr>
        <w:t xml:space="preserve"> et libertés des citoyens ne peuvent faire l</w:t>
      </w:r>
      <w:r w:rsidR="0064008B">
        <w:rPr>
          <w:szCs w:val="24"/>
        </w:rPr>
        <w:t>’</w:t>
      </w:r>
      <w:r w:rsidRPr="008F3F94">
        <w:rPr>
          <w:szCs w:val="24"/>
        </w:rPr>
        <w:t xml:space="preserve">objet que des </w:t>
      </w:r>
      <w:r w:rsidRPr="008F3F94">
        <w:t>seules restrictions imposées conformément à la lo</w:t>
      </w:r>
      <w:r w:rsidRPr="008F3F94">
        <w:rPr>
          <w:szCs w:val="24"/>
        </w:rPr>
        <w:t xml:space="preserve">i </w:t>
      </w:r>
      <w:r w:rsidRPr="008F3F94">
        <w:t>dans l</w:t>
      </w:r>
      <w:r w:rsidR="0064008B">
        <w:t>’</w:t>
      </w:r>
      <w:r w:rsidRPr="008F3F94">
        <w:t>intérêt de la sécurité nationale, de la sûreté publique ou pour protéger la santé ou la moralité publiques, ou les droits et les libertés d</w:t>
      </w:r>
      <w:r w:rsidR="0064008B">
        <w:t>’</w:t>
      </w:r>
      <w:r w:rsidRPr="008F3F94">
        <w:t>autrui</w:t>
      </w:r>
      <w:r w:rsidRPr="008F3F94">
        <w:rPr>
          <w:szCs w:val="24"/>
          <w:lang w:val="fr-FR"/>
        </w:rPr>
        <w:t>.</w:t>
      </w:r>
    </w:p>
    <w:p w:rsidR="0081758B" w:rsidRDefault="0081758B" w:rsidP="0081758B">
      <w:pPr>
        <w:pStyle w:val="H23G"/>
        <w:rPr>
          <w:lang w:val="fr-FR"/>
        </w:rPr>
      </w:pPr>
      <w:r>
        <w:tab/>
      </w:r>
      <w:r>
        <w:tab/>
      </w:r>
      <w:r w:rsidRPr="008F3F94">
        <w:t>Commentaires de l</w:t>
      </w:r>
      <w:r w:rsidR="0064008B">
        <w:t>’</w:t>
      </w:r>
      <w:r w:rsidRPr="008F3F94">
        <w:t>auteur sur les observations de l</w:t>
      </w:r>
      <w:r w:rsidR="0064008B">
        <w:t>’</w:t>
      </w:r>
      <w:r>
        <w:t>État partie sur le fond</w:t>
      </w:r>
    </w:p>
    <w:p w:rsidR="0081758B" w:rsidRDefault="0081758B" w:rsidP="0081758B">
      <w:pPr>
        <w:pStyle w:val="SingleTxtG"/>
        <w:rPr>
          <w:szCs w:val="24"/>
          <w:lang w:val="fr-FR"/>
        </w:rPr>
      </w:pPr>
      <w:r>
        <w:rPr>
          <w:szCs w:val="24"/>
          <w:lang w:val="fr-FR"/>
        </w:rPr>
        <w:t>7.1</w:t>
      </w:r>
      <w:r>
        <w:rPr>
          <w:szCs w:val="24"/>
          <w:lang w:val="fr-FR"/>
        </w:rPr>
        <w:tab/>
        <w:t>Dans une lettre</w:t>
      </w:r>
      <w:r w:rsidR="00833074">
        <w:rPr>
          <w:szCs w:val="24"/>
          <w:lang w:val="fr-FR"/>
        </w:rPr>
        <w:t xml:space="preserve"> datée </w:t>
      </w:r>
      <w:r>
        <w:rPr>
          <w:szCs w:val="24"/>
          <w:lang w:val="fr-FR"/>
        </w:rPr>
        <w:t>du 5 </w:t>
      </w:r>
      <w:r w:rsidRPr="008F3F94">
        <w:rPr>
          <w:szCs w:val="24"/>
          <w:lang w:val="fr-FR"/>
        </w:rPr>
        <w:t>octobre 2009, l</w:t>
      </w:r>
      <w:r w:rsidR="0064008B">
        <w:rPr>
          <w:szCs w:val="24"/>
          <w:lang w:val="fr-FR"/>
        </w:rPr>
        <w:t>’</w:t>
      </w:r>
      <w:r w:rsidRPr="008F3F94">
        <w:rPr>
          <w:szCs w:val="24"/>
          <w:lang w:val="fr-FR"/>
        </w:rPr>
        <w:t>auteur soulign</w:t>
      </w:r>
      <w:r>
        <w:rPr>
          <w:szCs w:val="24"/>
          <w:lang w:val="fr-FR"/>
        </w:rPr>
        <w:t>e</w:t>
      </w:r>
      <w:r w:rsidRPr="008F3F94">
        <w:rPr>
          <w:szCs w:val="24"/>
          <w:lang w:val="fr-FR"/>
        </w:rPr>
        <w:t xml:space="preserve"> que le droit consacré par l</w:t>
      </w:r>
      <w:r w:rsidR="0064008B">
        <w:rPr>
          <w:szCs w:val="24"/>
          <w:lang w:val="fr-FR"/>
        </w:rPr>
        <w:t>’</w:t>
      </w:r>
      <w:r>
        <w:rPr>
          <w:szCs w:val="24"/>
          <w:lang w:val="fr-FR"/>
        </w:rPr>
        <w:t>article </w:t>
      </w:r>
      <w:r w:rsidRPr="008F3F94">
        <w:rPr>
          <w:szCs w:val="24"/>
          <w:lang w:val="fr-FR"/>
        </w:rPr>
        <w:t>21 du Pacte ne peut faire l</w:t>
      </w:r>
      <w:r w:rsidR="0064008B">
        <w:rPr>
          <w:szCs w:val="24"/>
          <w:lang w:val="fr-FR"/>
        </w:rPr>
        <w:t>’</w:t>
      </w:r>
      <w:r w:rsidRPr="008F3F94">
        <w:rPr>
          <w:szCs w:val="24"/>
          <w:lang w:val="fr-FR"/>
        </w:rPr>
        <w:t>objet de restrictions que sous certaines conditions énumérées dans ledit article</w:t>
      </w:r>
      <w:r>
        <w:rPr>
          <w:szCs w:val="24"/>
          <w:lang w:val="fr-FR"/>
        </w:rPr>
        <w:t xml:space="preserve">, et </w:t>
      </w:r>
      <w:r w:rsidRPr="008F3F94">
        <w:rPr>
          <w:szCs w:val="24"/>
          <w:lang w:val="fr-FR"/>
        </w:rPr>
        <w:t>les restrictions imposées par les États parties sur l</w:t>
      </w:r>
      <w:r w:rsidR="0064008B">
        <w:rPr>
          <w:szCs w:val="24"/>
          <w:lang w:val="fr-FR"/>
        </w:rPr>
        <w:t>’</w:t>
      </w:r>
      <w:r w:rsidRPr="008F3F94">
        <w:rPr>
          <w:szCs w:val="24"/>
          <w:lang w:val="fr-FR"/>
        </w:rPr>
        <w:t>exercice du droit de réunion pacifique ne doivent pas</w:t>
      </w:r>
      <w:r>
        <w:rPr>
          <w:szCs w:val="24"/>
          <w:lang w:val="fr-FR"/>
        </w:rPr>
        <w:t xml:space="preserve"> </w:t>
      </w:r>
      <w:r w:rsidRPr="008F3F94">
        <w:rPr>
          <w:szCs w:val="24"/>
          <w:lang w:val="fr-FR"/>
        </w:rPr>
        <w:t>être contraires à l</w:t>
      </w:r>
      <w:r w:rsidR="0064008B">
        <w:rPr>
          <w:szCs w:val="24"/>
          <w:lang w:val="fr-FR"/>
        </w:rPr>
        <w:t>’</w:t>
      </w:r>
      <w:r w:rsidRPr="008F3F94">
        <w:rPr>
          <w:szCs w:val="24"/>
          <w:lang w:val="fr-FR"/>
        </w:rPr>
        <w:t>essence de ce droit. Les États parties doivent s</w:t>
      </w:r>
      <w:r w:rsidR="0064008B">
        <w:rPr>
          <w:szCs w:val="24"/>
          <w:lang w:val="fr-FR"/>
        </w:rPr>
        <w:t>’</w:t>
      </w:r>
      <w:r w:rsidRPr="008F3F94">
        <w:rPr>
          <w:szCs w:val="24"/>
          <w:lang w:val="fr-FR"/>
        </w:rPr>
        <w:t>assurer que les restrictions imposées sont justifiées par l</w:t>
      </w:r>
      <w:r w:rsidR="0064008B">
        <w:rPr>
          <w:szCs w:val="24"/>
          <w:lang w:val="fr-FR"/>
        </w:rPr>
        <w:t>’</w:t>
      </w:r>
      <w:r w:rsidRPr="008F3F94">
        <w:rPr>
          <w:szCs w:val="24"/>
          <w:lang w:val="fr-FR"/>
        </w:rPr>
        <w:t>un des objectifs légitimes énoncés à l</w:t>
      </w:r>
      <w:r w:rsidR="0064008B">
        <w:rPr>
          <w:szCs w:val="24"/>
          <w:lang w:val="fr-FR"/>
        </w:rPr>
        <w:t>’</w:t>
      </w:r>
      <w:r w:rsidRPr="008F3F94">
        <w:rPr>
          <w:szCs w:val="24"/>
          <w:lang w:val="fr-FR"/>
        </w:rPr>
        <w:t>article</w:t>
      </w:r>
      <w:r>
        <w:rPr>
          <w:szCs w:val="24"/>
          <w:lang w:val="fr-FR"/>
        </w:rPr>
        <w:t> 21 du Pacte.</w:t>
      </w:r>
    </w:p>
    <w:p w:rsidR="0081758B" w:rsidRDefault="0081758B" w:rsidP="0081758B">
      <w:pPr>
        <w:pStyle w:val="SingleTxtG"/>
        <w:rPr>
          <w:szCs w:val="24"/>
          <w:lang w:val="fr-FR"/>
        </w:rPr>
      </w:pPr>
      <w:r w:rsidRPr="008F3F94">
        <w:rPr>
          <w:szCs w:val="24"/>
          <w:lang w:val="fr-FR"/>
        </w:rPr>
        <w:t>7.2</w:t>
      </w:r>
      <w:r w:rsidRPr="008F3F94">
        <w:rPr>
          <w:szCs w:val="24"/>
          <w:lang w:val="fr-FR"/>
        </w:rPr>
        <w:tab/>
        <w:t>Selon l</w:t>
      </w:r>
      <w:r w:rsidR="0064008B">
        <w:rPr>
          <w:szCs w:val="24"/>
          <w:lang w:val="fr-FR"/>
        </w:rPr>
        <w:t>’</w:t>
      </w:r>
      <w:r w:rsidRPr="008F3F94">
        <w:rPr>
          <w:szCs w:val="24"/>
          <w:lang w:val="fr-FR"/>
        </w:rPr>
        <w:t>auteur, même en supposant que l</w:t>
      </w:r>
      <w:r w:rsidR="0064008B">
        <w:rPr>
          <w:szCs w:val="24"/>
          <w:lang w:val="fr-FR"/>
        </w:rPr>
        <w:t>’</w:t>
      </w:r>
      <w:r w:rsidR="00833074">
        <w:rPr>
          <w:szCs w:val="24"/>
          <w:lang w:val="fr-FR"/>
        </w:rPr>
        <w:t>engagement</w:t>
      </w:r>
      <w:r w:rsidRPr="008F3F94">
        <w:rPr>
          <w:szCs w:val="24"/>
          <w:lang w:val="fr-FR"/>
        </w:rPr>
        <w:t xml:space="preserve"> écrit joint à sa demande d</w:t>
      </w:r>
      <w:r w:rsidR="0064008B">
        <w:rPr>
          <w:szCs w:val="24"/>
          <w:lang w:val="fr-FR"/>
        </w:rPr>
        <w:t>’</w:t>
      </w:r>
      <w:r w:rsidRPr="008F3F94">
        <w:rPr>
          <w:szCs w:val="24"/>
          <w:lang w:val="fr-FR"/>
        </w:rPr>
        <w:t>autorisation d</w:t>
      </w:r>
      <w:r w:rsidR="0064008B">
        <w:rPr>
          <w:szCs w:val="24"/>
          <w:lang w:val="fr-FR"/>
        </w:rPr>
        <w:t>’</w:t>
      </w:r>
      <w:r w:rsidRPr="008F3F94">
        <w:rPr>
          <w:szCs w:val="24"/>
          <w:lang w:val="fr-FR"/>
        </w:rPr>
        <w:t xml:space="preserve">organiser une manifestation </w:t>
      </w:r>
      <w:r w:rsidR="00F47590">
        <w:rPr>
          <w:szCs w:val="24"/>
          <w:lang w:val="fr-FR"/>
        </w:rPr>
        <w:t>de masse</w:t>
      </w:r>
      <w:r w:rsidRPr="008F3F94">
        <w:rPr>
          <w:szCs w:val="24"/>
          <w:lang w:val="fr-FR"/>
        </w:rPr>
        <w:t xml:space="preserve"> ne contenait pas tous les renseignements requis au titre de l</w:t>
      </w:r>
      <w:r w:rsidR="0064008B">
        <w:rPr>
          <w:szCs w:val="24"/>
          <w:lang w:val="fr-FR"/>
        </w:rPr>
        <w:t>’</w:t>
      </w:r>
      <w:r w:rsidRPr="008F3F94">
        <w:rPr>
          <w:szCs w:val="24"/>
          <w:lang w:val="fr-FR"/>
        </w:rPr>
        <w:t>article</w:t>
      </w:r>
      <w:r>
        <w:rPr>
          <w:szCs w:val="24"/>
          <w:lang w:val="fr-FR"/>
        </w:rPr>
        <w:t> </w:t>
      </w:r>
      <w:r w:rsidRPr="008F3F94">
        <w:rPr>
          <w:szCs w:val="24"/>
          <w:lang w:val="fr-FR"/>
        </w:rPr>
        <w:t>5 de la loi sur les manifestations de masse, et en supposant qu</w:t>
      </w:r>
      <w:r w:rsidR="0064008B">
        <w:rPr>
          <w:szCs w:val="24"/>
          <w:lang w:val="fr-FR"/>
        </w:rPr>
        <w:t>’</w:t>
      </w:r>
      <w:r w:rsidRPr="008F3F94">
        <w:rPr>
          <w:szCs w:val="24"/>
          <w:lang w:val="fr-FR"/>
        </w:rPr>
        <w:t>il avait l</w:t>
      </w:r>
      <w:r w:rsidR="0064008B">
        <w:rPr>
          <w:szCs w:val="24"/>
          <w:lang w:val="fr-FR"/>
        </w:rPr>
        <w:t>’</w:t>
      </w:r>
      <w:r w:rsidRPr="008F3F94">
        <w:rPr>
          <w:szCs w:val="24"/>
          <w:lang w:val="fr-FR"/>
        </w:rPr>
        <w:t>intention d</w:t>
      </w:r>
      <w:r w:rsidR="0064008B">
        <w:rPr>
          <w:szCs w:val="24"/>
          <w:lang w:val="fr-FR"/>
        </w:rPr>
        <w:t>’</w:t>
      </w:r>
      <w:r w:rsidRPr="008F3F94">
        <w:rPr>
          <w:szCs w:val="24"/>
          <w:lang w:val="fr-FR"/>
        </w:rPr>
        <w:t xml:space="preserve">organiser un rassemblement pacifique dans un lieu non autorisé pour des rassemblements, les autorités avaient la possibilité </w:t>
      </w:r>
      <w:r w:rsidR="00833074">
        <w:rPr>
          <w:szCs w:val="24"/>
          <w:lang w:val="fr-FR"/>
        </w:rPr>
        <w:t>d</w:t>
      </w:r>
      <w:r w:rsidR="0064008B">
        <w:rPr>
          <w:szCs w:val="24"/>
          <w:lang w:val="fr-FR"/>
        </w:rPr>
        <w:t>’</w:t>
      </w:r>
      <w:r w:rsidR="00833074">
        <w:rPr>
          <w:szCs w:val="24"/>
          <w:lang w:val="fr-FR"/>
        </w:rPr>
        <w:t>arrêter,</w:t>
      </w:r>
      <w:r w:rsidRPr="008F3F94">
        <w:rPr>
          <w:szCs w:val="24"/>
          <w:lang w:val="fr-FR"/>
        </w:rPr>
        <w:t xml:space="preserve"> </w:t>
      </w:r>
      <w:r>
        <w:rPr>
          <w:szCs w:val="24"/>
          <w:lang w:val="fr-FR"/>
        </w:rPr>
        <w:t>en</w:t>
      </w:r>
      <w:r w:rsidR="00833074">
        <w:rPr>
          <w:szCs w:val="24"/>
          <w:lang w:val="fr-FR"/>
        </w:rPr>
        <w:t> </w:t>
      </w:r>
      <w:r>
        <w:rPr>
          <w:szCs w:val="24"/>
          <w:lang w:val="fr-FR"/>
        </w:rPr>
        <w:t xml:space="preserve">consultation avec lui, </w:t>
      </w:r>
      <w:r w:rsidR="00833074">
        <w:rPr>
          <w:szCs w:val="24"/>
          <w:lang w:val="fr-FR"/>
        </w:rPr>
        <w:t xml:space="preserve">des mesures </w:t>
      </w:r>
      <w:r w:rsidRPr="008F3F94">
        <w:rPr>
          <w:szCs w:val="24"/>
          <w:lang w:val="fr-FR"/>
        </w:rPr>
        <w:t>pour protéger son droit. Conformément à l</w:t>
      </w:r>
      <w:r w:rsidR="0064008B">
        <w:rPr>
          <w:szCs w:val="24"/>
          <w:lang w:val="fr-FR"/>
        </w:rPr>
        <w:t>’</w:t>
      </w:r>
      <w:r w:rsidRPr="008F3F94">
        <w:rPr>
          <w:szCs w:val="24"/>
          <w:lang w:val="fr-FR"/>
        </w:rPr>
        <w:t>article</w:t>
      </w:r>
      <w:r>
        <w:rPr>
          <w:szCs w:val="24"/>
          <w:lang w:val="fr-FR"/>
        </w:rPr>
        <w:t> </w:t>
      </w:r>
      <w:r w:rsidRPr="008F3F94">
        <w:rPr>
          <w:szCs w:val="24"/>
          <w:lang w:val="fr-FR"/>
        </w:rPr>
        <w:t xml:space="preserve">6 de la loi sur les manifestations de masse, le </w:t>
      </w:r>
      <w:r w:rsidR="00833074">
        <w:rPr>
          <w:szCs w:val="24"/>
          <w:lang w:val="fr-FR"/>
        </w:rPr>
        <w:t xml:space="preserve">président </w:t>
      </w:r>
      <w:r w:rsidRPr="008F3F94">
        <w:rPr>
          <w:szCs w:val="24"/>
          <w:lang w:val="fr-FR"/>
        </w:rPr>
        <w:t>du Comité exécutif local est habilité</w:t>
      </w:r>
      <w:r w:rsidR="00833074">
        <w:rPr>
          <w:szCs w:val="24"/>
          <w:lang w:val="fr-FR"/>
        </w:rPr>
        <w:t xml:space="preserve"> ou son adjoint</w:t>
      </w:r>
      <w:r w:rsidRPr="008F3F94">
        <w:rPr>
          <w:szCs w:val="24"/>
          <w:lang w:val="fr-FR"/>
        </w:rPr>
        <w:t xml:space="preserve"> à changer la date, l</w:t>
      </w:r>
      <w:r w:rsidR="0064008B">
        <w:rPr>
          <w:szCs w:val="24"/>
          <w:lang w:val="fr-FR"/>
        </w:rPr>
        <w:t>’</w:t>
      </w:r>
      <w:r w:rsidRPr="008F3F94">
        <w:rPr>
          <w:szCs w:val="24"/>
          <w:lang w:val="fr-FR"/>
        </w:rPr>
        <w:t>heure et le lieu de la manifestation, en accord avec les organisateurs, afin de garantir la protection des droits et des libertés des citoyens, la sûreté publique et le fonctionnement normal des transports et des entreprises. L</w:t>
      </w:r>
      <w:r w:rsidR="0064008B">
        <w:rPr>
          <w:szCs w:val="24"/>
          <w:lang w:val="fr-FR"/>
        </w:rPr>
        <w:t>’</w:t>
      </w:r>
      <w:r w:rsidRPr="008F3F94">
        <w:rPr>
          <w:szCs w:val="24"/>
          <w:lang w:val="fr-FR"/>
        </w:rPr>
        <w:t xml:space="preserve">auteur affirme une nouvelle fois que le Comité exécutif de Gomel a rejeté sa demande sans apporter aucune justification </w:t>
      </w:r>
      <w:r w:rsidR="00833074">
        <w:rPr>
          <w:szCs w:val="24"/>
          <w:lang w:val="fr-FR"/>
        </w:rPr>
        <w:t xml:space="preserve">fondée sur </w:t>
      </w:r>
      <w:r w:rsidRPr="008F3F94">
        <w:rPr>
          <w:szCs w:val="24"/>
          <w:lang w:val="fr-FR"/>
        </w:rPr>
        <w:t>l</w:t>
      </w:r>
      <w:r w:rsidR="0064008B">
        <w:rPr>
          <w:szCs w:val="24"/>
          <w:lang w:val="fr-FR"/>
        </w:rPr>
        <w:t>’</w:t>
      </w:r>
      <w:r>
        <w:rPr>
          <w:szCs w:val="24"/>
          <w:lang w:val="fr-FR"/>
        </w:rPr>
        <w:t>article </w:t>
      </w:r>
      <w:r w:rsidRPr="008F3F94">
        <w:rPr>
          <w:szCs w:val="24"/>
          <w:lang w:val="fr-FR"/>
        </w:rPr>
        <w:t xml:space="preserve">21 du Pacte. Par conséquent, son droit de </w:t>
      </w:r>
      <w:r>
        <w:rPr>
          <w:szCs w:val="24"/>
          <w:lang w:val="fr-FR"/>
        </w:rPr>
        <w:t>réunion pacifique a été bafoué.</w:t>
      </w:r>
    </w:p>
    <w:p w:rsidR="0081758B" w:rsidRDefault="0081758B" w:rsidP="0081758B">
      <w:pPr>
        <w:pStyle w:val="SingleTxtG"/>
        <w:rPr>
          <w:szCs w:val="24"/>
          <w:lang w:val="fr-FR"/>
        </w:rPr>
      </w:pPr>
      <w:r>
        <w:rPr>
          <w:szCs w:val="24"/>
          <w:lang w:val="fr-FR"/>
        </w:rPr>
        <w:t>7.3</w:t>
      </w:r>
      <w:r>
        <w:rPr>
          <w:szCs w:val="24"/>
          <w:lang w:val="fr-FR"/>
        </w:rPr>
        <w:tab/>
      </w:r>
      <w:r w:rsidR="00833074">
        <w:rPr>
          <w:szCs w:val="24"/>
          <w:lang w:val="fr-FR"/>
        </w:rPr>
        <w:t>L</w:t>
      </w:r>
      <w:r w:rsidR="0064008B">
        <w:rPr>
          <w:szCs w:val="24"/>
          <w:lang w:val="fr-FR"/>
        </w:rPr>
        <w:t>’</w:t>
      </w:r>
      <w:r w:rsidR="00833074">
        <w:rPr>
          <w:szCs w:val="24"/>
          <w:lang w:val="fr-FR"/>
        </w:rPr>
        <w:t>auteur</w:t>
      </w:r>
      <w:r>
        <w:rPr>
          <w:szCs w:val="24"/>
          <w:lang w:val="fr-FR"/>
        </w:rPr>
        <w:t xml:space="preserve"> ajoute que, le 2 </w:t>
      </w:r>
      <w:r w:rsidRPr="008F3F94">
        <w:rPr>
          <w:szCs w:val="24"/>
          <w:lang w:val="fr-FR"/>
        </w:rPr>
        <w:t xml:space="preserve">avril 2008, le Comité exécutif de Gomel a adopté la décision </w:t>
      </w:r>
      <w:r w:rsidRPr="004567AA">
        <w:rPr>
          <w:rFonts w:eastAsia="MS Mincho"/>
          <w:szCs w:val="24"/>
          <w:lang w:val="fr-FR"/>
        </w:rPr>
        <w:t>n</w:t>
      </w:r>
      <w:r w:rsidRPr="004567AA">
        <w:rPr>
          <w:rFonts w:eastAsia="MS Mincho"/>
          <w:szCs w:val="24"/>
          <w:vertAlign w:val="superscript"/>
          <w:lang w:val="fr-FR"/>
        </w:rPr>
        <w:t>o</w:t>
      </w:r>
      <w:r>
        <w:rPr>
          <w:szCs w:val="24"/>
          <w:lang w:val="fr-FR"/>
        </w:rPr>
        <w:t> </w:t>
      </w:r>
      <w:r w:rsidRPr="008F3F94">
        <w:rPr>
          <w:szCs w:val="24"/>
          <w:lang w:val="fr-FR"/>
        </w:rPr>
        <w:t xml:space="preserve">299 sur les manifestations de masse dans la ville de Gomel, qui impose </w:t>
      </w:r>
      <w:r w:rsidR="00833074">
        <w:rPr>
          <w:szCs w:val="24"/>
          <w:lang w:val="fr-FR"/>
        </w:rPr>
        <w:t xml:space="preserve">plusieurs </w:t>
      </w:r>
      <w:r w:rsidRPr="008F3F94">
        <w:rPr>
          <w:szCs w:val="24"/>
          <w:lang w:val="fr-FR"/>
        </w:rPr>
        <w:t>restrictions aux organisateurs de manifestations pacifiques autres que les autorités municipales. Ces restrictions constituent une menace pour le droit de réunion pacifique lui</w:t>
      </w:r>
      <w:r w:rsidR="00833074">
        <w:rPr>
          <w:szCs w:val="24"/>
          <w:lang w:val="fr-FR"/>
        </w:rPr>
        <w:noBreakHyphen/>
      </w:r>
      <w:r w:rsidRPr="008F3F94">
        <w:rPr>
          <w:szCs w:val="24"/>
          <w:lang w:val="fr-FR"/>
        </w:rPr>
        <w:t xml:space="preserve">même. Ainsi, </w:t>
      </w:r>
      <w:r>
        <w:rPr>
          <w:szCs w:val="24"/>
          <w:lang w:val="fr-FR"/>
        </w:rPr>
        <w:t>un seul lieu est autorisé pour l</w:t>
      </w:r>
      <w:r w:rsidR="0064008B">
        <w:rPr>
          <w:szCs w:val="24"/>
          <w:lang w:val="fr-FR"/>
        </w:rPr>
        <w:t>’</w:t>
      </w:r>
      <w:r>
        <w:rPr>
          <w:szCs w:val="24"/>
          <w:lang w:val="fr-FR"/>
        </w:rPr>
        <w:t>organisation de manifestations</w:t>
      </w:r>
      <w:r w:rsidRPr="008F3F94">
        <w:rPr>
          <w:szCs w:val="24"/>
          <w:lang w:val="fr-FR"/>
        </w:rPr>
        <w:t>, à</w:t>
      </w:r>
      <w:r>
        <w:rPr>
          <w:szCs w:val="24"/>
          <w:lang w:val="fr-FR"/>
        </w:rPr>
        <w:t> </w:t>
      </w:r>
      <w:r w:rsidRPr="008F3F94">
        <w:rPr>
          <w:szCs w:val="24"/>
          <w:lang w:val="fr-FR"/>
        </w:rPr>
        <w:t xml:space="preserve">savoir </w:t>
      </w:r>
      <w:r w:rsidR="00833074">
        <w:rPr>
          <w:szCs w:val="24"/>
          <w:lang w:val="fr-FR"/>
        </w:rPr>
        <w:t>un espace</w:t>
      </w:r>
      <w:r w:rsidRPr="008F3F94">
        <w:rPr>
          <w:szCs w:val="24"/>
          <w:lang w:val="fr-FR"/>
        </w:rPr>
        <w:t xml:space="preserve"> situé devant le Palais de la culture de l</w:t>
      </w:r>
      <w:r w:rsidR="0064008B">
        <w:rPr>
          <w:szCs w:val="24"/>
          <w:lang w:val="fr-FR"/>
        </w:rPr>
        <w:t>’</w:t>
      </w:r>
      <w:r w:rsidRPr="008F3F94">
        <w:rPr>
          <w:szCs w:val="24"/>
          <w:lang w:val="fr-FR"/>
        </w:rPr>
        <w:t xml:space="preserve">entreprise unitaire privée Vipra, à la périphérie de la ville. En outre, </w:t>
      </w:r>
      <w:r>
        <w:rPr>
          <w:szCs w:val="24"/>
          <w:lang w:val="fr-FR"/>
        </w:rPr>
        <w:t xml:space="preserve">la </w:t>
      </w:r>
      <w:r w:rsidRPr="008F3F94">
        <w:rPr>
          <w:szCs w:val="24"/>
          <w:lang w:val="fr-FR"/>
        </w:rPr>
        <w:t>décision</w:t>
      </w:r>
      <w:r>
        <w:rPr>
          <w:szCs w:val="24"/>
          <w:lang w:val="fr-FR"/>
        </w:rPr>
        <w:t xml:space="preserve"> impose aux </w:t>
      </w:r>
      <w:r w:rsidRPr="008F3F94">
        <w:rPr>
          <w:szCs w:val="24"/>
          <w:lang w:val="fr-FR"/>
        </w:rPr>
        <w:t xml:space="preserve">organisateurs </w:t>
      </w:r>
      <w:r>
        <w:rPr>
          <w:szCs w:val="24"/>
          <w:lang w:val="fr-FR"/>
        </w:rPr>
        <w:t xml:space="preserve">de conclure des accords </w:t>
      </w:r>
      <w:r w:rsidRPr="008F3F94">
        <w:rPr>
          <w:szCs w:val="24"/>
          <w:lang w:val="fr-FR"/>
        </w:rPr>
        <w:t xml:space="preserve">avec la police, les services médicaux et des agences de nettoyage avant </w:t>
      </w:r>
      <w:r>
        <w:rPr>
          <w:szCs w:val="24"/>
          <w:lang w:val="fr-FR"/>
        </w:rPr>
        <w:t>l</w:t>
      </w:r>
      <w:r w:rsidR="0064008B">
        <w:rPr>
          <w:szCs w:val="24"/>
          <w:lang w:val="fr-FR"/>
        </w:rPr>
        <w:t>’</w:t>
      </w:r>
      <w:r>
        <w:rPr>
          <w:szCs w:val="24"/>
          <w:lang w:val="fr-FR"/>
        </w:rPr>
        <w:t xml:space="preserve">organisation de toute </w:t>
      </w:r>
      <w:r w:rsidRPr="008F3F94">
        <w:rPr>
          <w:szCs w:val="24"/>
          <w:lang w:val="fr-FR"/>
        </w:rPr>
        <w:t xml:space="preserve">manifestation publique. La décision </w:t>
      </w:r>
      <w:r w:rsidRPr="004567AA">
        <w:rPr>
          <w:rFonts w:eastAsia="MS Mincho"/>
          <w:szCs w:val="24"/>
          <w:lang w:val="fr-FR"/>
        </w:rPr>
        <w:t>n</w:t>
      </w:r>
      <w:r w:rsidRPr="004567AA">
        <w:rPr>
          <w:rFonts w:eastAsia="MS Mincho"/>
          <w:szCs w:val="24"/>
          <w:vertAlign w:val="superscript"/>
          <w:lang w:val="fr-FR"/>
        </w:rPr>
        <w:t>o</w:t>
      </w:r>
      <w:r>
        <w:rPr>
          <w:szCs w:val="24"/>
          <w:lang w:val="fr-FR"/>
        </w:rPr>
        <w:t> </w:t>
      </w:r>
      <w:r w:rsidRPr="008F3F94">
        <w:rPr>
          <w:szCs w:val="24"/>
          <w:lang w:val="fr-FR"/>
        </w:rPr>
        <w:t>299 remplace la décision</w:t>
      </w:r>
      <w:r>
        <w:rPr>
          <w:szCs w:val="24"/>
          <w:lang w:val="fr-FR"/>
        </w:rPr>
        <w:t xml:space="preserve"> </w:t>
      </w:r>
      <w:r w:rsidRPr="004567AA">
        <w:rPr>
          <w:rFonts w:eastAsia="MS Mincho"/>
          <w:szCs w:val="24"/>
          <w:lang w:val="fr-FR"/>
        </w:rPr>
        <w:t>n</w:t>
      </w:r>
      <w:r w:rsidRPr="004567AA">
        <w:rPr>
          <w:rFonts w:eastAsia="MS Mincho"/>
          <w:szCs w:val="24"/>
          <w:vertAlign w:val="superscript"/>
          <w:lang w:val="fr-FR"/>
        </w:rPr>
        <w:t>o</w:t>
      </w:r>
      <w:r>
        <w:rPr>
          <w:szCs w:val="24"/>
          <w:lang w:val="fr-FR"/>
        </w:rPr>
        <w:t> </w:t>
      </w:r>
      <w:r w:rsidRPr="008F3F94">
        <w:rPr>
          <w:szCs w:val="24"/>
          <w:lang w:val="fr-FR"/>
        </w:rPr>
        <w:t>318 du Comité exécutif de Gomel</w:t>
      </w:r>
      <w:r>
        <w:rPr>
          <w:szCs w:val="24"/>
          <w:lang w:val="fr-FR"/>
        </w:rPr>
        <w:t>,</w:t>
      </w:r>
      <w:r w:rsidRPr="008F3F94">
        <w:rPr>
          <w:szCs w:val="24"/>
          <w:lang w:val="fr-FR"/>
        </w:rPr>
        <w:t xml:space="preserve"> qui limitait également </w:t>
      </w:r>
      <w:r w:rsidR="00833074">
        <w:rPr>
          <w:szCs w:val="24"/>
          <w:lang w:val="fr-FR"/>
        </w:rPr>
        <w:t>l</w:t>
      </w:r>
      <w:r w:rsidR="0064008B">
        <w:rPr>
          <w:szCs w:val="24"/>
          <w:lang w:val="fr-FR"/>
        </w:rPr>
        <w:t>’</w:t>
      </w:r>
      <w:r w:rsidR="00833074">
        <w:rPr>
          <w:szCs w:val="24"/>
          <w:lang w:val="fr-FR"/>
        </w:rPr>
        <w:t>exercice du</w:t>
      </w:r>
      <w:r w:rsidRPr="008F3F94">
        <w:rPr>
          <w:szCs w:val="24"/>
          <w:lang w:val="fr-FR"/>
        </w:rPr>
        <w:t xml:space="preserve"> droit de réunion.</w:t>
      </w:r>
    </w:p>
    <w:p w:rsidR="0081758B" w:rsidRDefault="00F47590" w:rsidP="0081758B">
      <w:pPr>
        <w:pStyle w:val="SingleTxtG"/>
        <w:rPr>
          <w:szCs w:val="24"/>
          <w:lang w:val="fr-FR"/>
        </w:rPr>
      </w:pPr>
      <w:r>
        <w:rPr>
          <w:szCs w:val="24"/>
          <w:lang w:val="fr-FR"/>
        </w:rPr>
        <w:t>7.4</w:t>
      </w:r>
      <w:r w:rsidR="0081758B" w:rsidRPr="008F3F94">
        <w:rPr>
          <w:szCs w:val="24"/>
          <w:lang w:val="fr-FR"/>
        </w:rPr>
        <w:tab/>
        <w:t>L</w:t>
      </w:r>
      <w:r w:rsidR="0064008B">
        <w:rPr>
          <w:szCs w:val="24"/>
          <w:lang w:val="fr-FR"/>
        </w:rPr>
        <w:t>’</w:t>
      </w:r>
      <w:r w:rsidR="0081758B" w:rsidRPr="008F3F94">
        <w:rPr>
          <w:szCs w:val="24"/>
          <w:lang w:val="fr-FR"/>
        </w:rPr>
        <w:t>auteur soutient que, compte tenu de c</w:t>
      </w:r>
      <w:r w:rsidR="0081758B">
        <w:rPr>
          <w:szCs w:val="24"/>
          <w:lang w:val="fr-FR"/>
        </w:rPr>
        <w:t>e qui précède, la décision du 2 </w:t>
      </w:r>
      <w:r w:rsidR="0081758B" w:rsidRPr="008F3F94">
        <w:rPr>
          <w:szCs w:val="24"/>
          <w:lang w:val="fr-FR"/>
        </w:rPr>
        <w:t>avril 2008 du Comité exécutif de Gomel</w:t>
      </w:r>
      <w:r w:rsidR="0081758B">
        <w:rPr>
          <w:szCs w:val="24"/>
          <w:lang w:val="fr-FR"/>
        </w:rPr>
        <w:t xml:space="preserve"> </w:t>
      </w:r>
      <w:r w:rsidR="0081758B" w:rsidRPr="008F3F94">
        <w:rPr>
          <w:szCs w:val="24"/>
          <w:lang w:val="fr-FR"/>
        </w:rPr>
        <w:t>porte atteinte à l</w:t>
      </w:r>
      <w:r w:rsidR="0064008B">
        <w:rPr>
          <w:szCs w:val="24"/>
          <w:lang w:val="fr-FR"/>
        </w:rPr>
        <w:t>’</w:t>
      </w:r>
      <w:r w:rsidR="0081758B" w:rsidRPr="008F3F94">
        <w:rPr>
          <w:szCs w:val="24"/>
          <w:lang w:val="fr-FR"/>
        </w:rPr>
        <w:t>essence du droit consacré par l</w:t>
      </w:r>
      <w:r w:rsidR="0064008B">
        <w:rPr>
          <w:szCs w:val="24"/>
          <w:lang w:val="fr-FR"/>
        </w:rPr>
        <w:t>’</w:t>
      </w:r>
      <w:r w:rsidR="0081758B">
        <w:rPr>
          <w:szCs w:val="24"/>
          <w:lang w:val="fr-FR"/>
        </w:rPr>
        <w:t>article </w:t>
      </w:r>
      <w:r w:rsidR="0081758B" w:rsidRPr="008F3F94">
        <w:rPr>
          <w:szCs w:val="24"/>
          <w:lang w:val="fr-FR"/>
        </w:rPr>
        <w:t>21 du</w:t>
      </w:r>
      <w:r w:rsidR="0081758B">
        <w:rPr>
          <w:szCs w:val="24"/>
          <w:lang w:val="fr-FR"/>
        </w:rPr>
        <w:t> </w:t>
      </w:r>
      <w:r w:rsidR="0081758B" w:rsidRPr="008F3F94">
        <w:rPr>
          <w:szCs w:val="24"/>
          <w:lang w:val="fr-FR"/>
        </w:rPr>
        <w:t>Pacte et qu</w:t>
      </w:r>
      <w:r w:rsidR="0064008B">
        <w:rPr>
          <w:szCs w:val="24"/>
          <w:lang w:val="fr-FR"/>
        </w:rPr>
        <w:t>’</w:t>
      </w:r>
      <w:r w:rsidR="0081758B" w:rsidRPr="008F3F94">
        <w:rPr>
          <w:szCs w:val="24"/>
          <w:lang w:val="fr-FR"/>
        </w:rPr>
        <w:t xml:space="preserve">il a été privé de </w:t>
      </w:r>
      <w:r w:rsidR="0081758B">
        <w:rPr>
          <w:szCs w:val="24"/>
          <w:lang w:val="fr-FR"/>
        </w:rPr>
        <w:t>son droit de réunion pacifique.</w:t>
      </w:r>
    </w:p>
    <w:p w:rsidR="0081758B" w:rsidRDefault="0081758B" w:rsidP="0081758B">
      <w:pPr>
        <w:pStyle w:val="H23G"/>
        <w:rPr>
          <w:lang w:val="fr-FR"/>
        </w:rPr>
      </w:pPr>
      <w:r>
        <w:rPr>
          <w:lang w:val="fr-FR"/>
        </w:rPr>
        <w:tab/>
      </w:r>
      <w:r>
        <w:rPr>
          <w:lang w:val="fr-FR"/>
        </w:rPr>
        <w:tab/>
      </w:r>
      <w:r w:rsidRPr="008F3F94">
        <w:rPr>
          <w:lang w:val="fr-FR"/>
        </w:rPr>
        <w:t>Délibérations du Comité</w:t>
      </w:r>
    </w:p>
    <w:p w:rsidR="0081758B" w:rsidRDefault="0081758B" w:rsidP="0081758B">
      <w:pPr>
        <w:pStyle w:val="H4G"/>
        <w:rPr>
          <w:lang w:val="fr-FR"/>
        </w:rPr>
      </w:pPr>
      <w:r>
        <w:rPr>
          <w:lang w:val="fr-FR"/>
        </w:rPr>
        <w:tab/>
      </w:r>
      <w:r>
        <w:rPr>
          <w:lang w:val="fr-FR"/>
        </w:rPr>
        <w:tab/>
      </w:r>
      <w:r w:rsidRPr="008F3F94">
        <w:rPr>
          <w:lang w:val="fr-FR"/>
        </w:rPr>
        <w:t>Examen de la recevabilité</w:t>
      </w:r>
    </w:p>
    <w:p w:rsidR="0081758B" w:rsidRPr="008F3F94" w:rsidRDefault="0081758B" w:rsidP="0081758B">
      <w:pPr>
        <w:pStyle w:val="SingleTxtG"/>
        <w:rPr>
          <w:szCs w:val="24"/>
          <w:lang w:val="fr-FR"/>
        </w:rPr>
      </w:pPr>
      <w:r w:rsidRPr="008F3F94">
        <w:rPr>
          <w:szCs w:val="24"/>
          <w:lang w:val="fr-FR"/>
        </w:rPr>
        <w:t>8.1</w:t>
      </w:r>
      <w:r w:rsidRPr="008F3F94">
        <w:rPr>
          <w:szCs w:val="24"/>
          <w:lang w:val="fr-FR"/>
        </w:rPr>
        <w:tab/>
      </w:r>
      <w:r w:rsidRPr="008F3F94">
        <w:t>Avant d</w:t>
      </w:r>
      <w:r w:rsidR="0064008B">
        <w:t>’</w:t>
      </w:r>
      <w:r w:rsidRPr="008F3F94">
        <w:t>examiner</w:t>
      </w:r>
      <w:r>
        <w:t xml:space="preserve"> </w:t>
      </w:r>
      <w:r w:rsidRPr="008F3F94">
        <w:t>toute plainte soumise dans une communi</w:t>
      </w:r>
      <w:r>
        <w:t xml:space="preserve">cation, le Comité des droits de </w:t>
      </w:r>
      <w:r w:rsidRPr="008F3F94">
        <w:t>l</w:t>
      </w:r>
      <w:r w:rsidR="0064008B">
        <w:t>’</w:t>
      </w:r>
      <w:r w:rsidRPr="008F3F94">
        <w:t>homme doit, conformément à l</w:t>
      </w:r>
      <w:r w:rsidR="0064008B">
        <w:t>’</w:t>
      </w:r>
      <w:r w:rsidRPr="008F3F94">
        <w:t>article 93 de son règlement intérieur, déterminer si la communication est recevable en vertu du Protocole facultatif se rapportant au Pact</w:t>
      </w:r>
      <w:r w:rsidRPr="008F3F94">
        <w:rPr>
          <w:szCs w:val="24"/>
        </w:rPr>
        <w:t>e</w:t>
      </w:r>
      <w:r>
        <w:rPr>
          <w:szCs w:val="24"/>
          <w:lang w:val="fr-FR"/>
        </w:rPr>
        <w:t>.</w:t>
      </w:r>
    </w:p>
    <w:p w:rsidR="0081758B" w:rsidRDefault="0081758B" w:rsidP="0081758B">
      <w:pPr>
        <w:pStyle w:val="SingleTxtG"/>
      </w:pPr>
      <w:r w:rsidRPr="008F3F94">
        <w:rPr>
          <w:szCs w:val="24"/>
          <w:lang w:val="fr-FR"/>
        </w:rPr>
        <w:t>8.2</w:t>
      </w:r>
      <w:r w:rsidRPr="008F3F94">
        <w:rPr>
          <w:szCs w:val="24"/>
          <w:lang w:val="fr-FR"/>
        </w:rPr>
        <w:tab/>
      </w:r>
      <w:r w:rsidRPr="008F3F94">
        <w:t>Le Comité s</w:t>
      </w:r>
      <w:r w:rsidR="0064008B">
        <w:t>’</w:t>
      </w:r>
      <w:r w:rsidRPr="008F3F94">
        <w:t>est assuré, comme il est tenu de le faire conformément aux dispositions du paragraphe</w:t>
      </w:r>
      <w:r>
        <w:t> </w:t>
      </w:r>
      <w:r w:rsidRPr="008F3F94">
        <w:t>2</w:t>
      </w:r>
      <w:r w:rsidR="00285DB3">
        <w:t> </w:t>
      </w:r>
      <w:r w:rsidRPr="008F3F94">
        <w:t>a) de l</w:t>
      </w:r>
      <w:r w:rsidR="0064008B">
        <w:t>’</w:t>
      </w:r>
      <w:r w:rsidRPr="008F3F94">
        <w:t>article</w:t>
      </w:r>
      <w:r>
        <w:t> </w:t>
      </w:r>
      <w:r w:rsidRPr="008F3F94">
        <w:t>5 du Protocole facultatif, que la même affaire n</w:t>
      </w:r>
      <w:r w:rsidR="0064008B">
        <w:t>’</w:t>
      </w:r>
      <w:r w:rsidRPr="008F3F94">
        <w:t>était pas en</w:t>
      </w:r>
      <w:r>
        <w:t> </w:t>
      </w:r>
      <w:r w:rsidRPr="008F3F94">
        <w:t>cours d</w:t>
      </w:r>
      <w:r w:rsidR="0064008B">
        <w:t>’</w:t>
      </w:r>
      <w:r w:rsidRPr="008F3F94">
        <w:t>examen devant une autre instance internationale d</w:t>
      </w:r>
      <w:r w:rsidR="0064008B">
        <w:t>’</w:t>
      </w:r>
      <w:r>
        <w:t>enquête ou de règlement.</w:t>
      </w:r>
    </w:p>
    <w:p w:rsidR="0081758B" w:rsidRDefault="0081758B" w:rsidP="0081758B">
      <w:pPr>
        <w:pStyle w:val="SingleTxtG"/>
        <w:rPr>
          <w:szCs w:val="24"/>
          <w:lang w:val="fr-FR"/>
        </w:rPr>
      </w:pPr>
      <w:r w:rsidRPr="008F3F94">
        <w:rPr>
          <w:szCs w:val="24"/>
          <w:lang w:val="fr-FR"/>
        </w:rPr>
        <w:t>8.3</w:t>
      </w:r>
      <w:r w:rsidRPr="008F3F94">
        <w:rPr>
          <w:szCs w:val="24"/>
          <w:lang w:val="fr-FR"/>
        </w:rPr>
        <w:tab/>
        <w:t>Le Comité prend note de l</w:t>
      </w:r>
      <w:r w:rsidR="0064008B">
        <w:rPr>
          <w:szCs w:val="24"/>
          <w:lang w:val="fr-FR"/>
        </w:rPr>
        <w:t>’</w:t>
      </w:r>
      <w:r w:rsidRPr="008F3F94">
        <w:rPr>
          <w:szCs w:val="24"/>
          <w:lang w:val="fr-FR"/>
        </w:rPr>
        <w:t>argument de l</w:t>
      </w:r>
      <w:r w:rsidR="0064008B">
        <w:rPr>
          <w:szCs w:val="24"/>
          <w:lang w:val="fr-FR"/>
        </w:rPr>
        <w:t>’</w:t>
      </w:r>
      <w:r w:rsidRPr="008F3F94">
        <w:rPr>
          <w:szCs w:val="24"/>
          <w:lang w:val="fr-FR"/>
        </w:rPr>
        <w:t>État partie selon lequel l</w:t>
      </w:r>
      <w:r w:rsidR="0064008B">
        <w:rPr>
          <w:szCs w:val="24"/>
          <w:lang w:val="fr-FR"/>
        </w:rPr>
        <w:t>’</w:t>
      </w:r>
      <w:r w:rsidRPr="008F3F94">
        <w:rPr>
          <w:szCs w:val="24"/>
          <w:lang w:val="fr-FR"/>
        </w:rPr>
        <w:t xml:space="preserve">auteur aurait pu demander au Bureau du Procureur général et au Président du tribunal régional de Gomel ou au Président de la Cour suprême </w:t>
      </w:r>
      <w:r>
        <w:rPr>
          <w:szCs w:val="24"/>
          <w:lang w:val="fr-FR"/>
        </w:rPr>
        <w:t>d</w:t>
      </w:r>
      <w:r w:rsidR="0064008B">
        <w:rPr>
          <w:szCs w:val="24"/>
          <w:lang w:val="fr-FR"/>
        </w:rPr>
        <w:t>’</w:t>
      </w:r>
      <w:r>
        <w:rPr>
          <w:szCs w:val="24"/>
          <w:lang w:val="fr-FR"/>
        </w:rPr>
        <w:t>engager</w:t>
      </w:r>
      <w:r w:rsidRPr="008F3F94">
        <w:rPr>
          <w:szCs w:val="24"/>
          <w:lang w:val="fr-FR"/>
        </w:rPr>
        <w:t xml:space="preserve"> une procédure de contrôle des décisions du tribunal du district central de Gomel et du tribunal régional de Gomel. Cependant</w:t>
      </w:r>
      <w:r>
        <w:rPr>
          <w:szCs w:val="24"/>
          <w:lang w:val="fr-FR"/>
        </w:rPr>
        <w:t>,</w:t>
      </w:r>
      <w:r w:rsidRPr="008F3F94">
        <w:rPr>
          <w:szCs w:val="24"/>
          <w:lang w:val="fr-FR"/>
        </w:rPr>
        <w:t xml:space="preserve"> l</w:t>
      </w:r>
      <w:r w:rsidR="0064008B">
        <w:rPr>
          <w:szCs w:val="24"/>
          <w:lang w:val="fr-FR"/>
        </w:rPr>
        <w:t>’</w:t>
      </w:r>
      <w:r w:rsidRPr="008F3F94">
        <w:rPr>
          <w:szCs w:val="24"/>
          <w:lang w:val="fr-FR"/>
        </w:rPr>
        <w:t>État partie n</w:t>
      </w:r>
      <w:r w:rsidR="0064008B">
        <w:rPr>
          <w:szCs w:val="24"/>
          <w:lang w:val="fr-FR"/>
        </w:rPr>
        <w:t>’</w:t>
      </w:r>
      <w:r w:rsidRPr="008F3F94">
        <w:rPr>
          <w:szCs w:val="24"/>
          <w:lang w:val="fr-FR"/>
        </w:rPr>
        <w:t xml:space="preserve">a pas </w:t>
      </w:r>
      <w:r>
        <w:rPr>
          <w:szCs w:val="24"/>
          <w:lang w:val="fr-FR"/>
        </w:rPr>
        <w:t xml:space="preserve">démontré que </w:t>
      </w:r>
      <w:r w:rsidRPr="008F3F94">
        <w:rPr>
          <w:szCs w:val="24"/>
          <w:lang w:val="fr-FR"/>
        </w:rPr>
        <w:t>ces procédures de contrôle étaient réellement disponibles et</w:t>
      </w:r>
      <w:r>
        <w:rPr>
          <w:szCs w:val="24"/>
          <w:lang w:val="fr-FR"/>
        </w:rPr>
        <w:t> utiles</w:t>
      </w:r>
      <w:r w:rsidRPr="008F3F94">
        <w:rPr>
          <w:szCs w:val="24"/>
          <w:lang w:val="fr-FR"/>
        </w:rPr>
        <w:t xml:space="preserve">. En particulier, </w:t>
      </w:r>
      <w:r w:rsidR="00285DB3">
        <w:rPr>
          <w:szCs w:val="24"/>
          <w:lang w:val="fr-FR"/>
        </w:rPr>
        <w:t>il</w:t>
      </w:r>
      <w:r w:rsidRPr="008F3F94">
        <w:rPr>
          <w:szCs w:val="24"/>
        </w:rPr>
        <w:t xml:space="preserve"> n</w:t>
      </w:r>
      <w:r w:rsidR="0064008B">
        <w:rPr>
          <w:szCs w:val="24"/>
        </w:rPr>
        <w:t>’</w:t>
      </w:r>
      <w:r w:rsidRPr="008F3F94">
        <w:rPr>
          <w:szCs w:val="24"/>
        </w:rPr>
        <w:t xml:space="preserve">a pas indiqué si </w:t>
      </w:r>
      <w:r>
        <w:rPr>
          <w:szCs w:val="24"/>
        </w:rPr>
        <w:t>de telles</w:t>
      </w:r>
      <w:r w:rsidRPr="008F3F94">
        <w:rPr>
          <w:szCs w:val="24"/>
        </w:rPr>
        <w:t xml:space="preserve"> procédure</w:t>
      </w:r>
      <w:r>
        <w:rPr>
          <w:szCs w:val="24"/>
        </w:rPr>
        <w:t xml:space="preserve">s ont déjà </w:t>
      </w:r>
      <w:r w:rsidRPr="008F3F94">
        <w:rPr>
          <w:szCs w:val="24"/>
        </w:rPr>
        <w:t>été appliquée</w:t>
      </w:r>
      <w:r>
        <w:rPr>
          <w:szCs w:val="24"/>
        </w:rPr>
        <w:t>s</w:t>
      </w:r>
      <w:r w:rsidRPr="008F3F94">
        <w:rPr>
          <w:szCs w:val="24"/>
        </w:rPr>
        <w:t xml:space="preserve"> avec succès dans des affaires concernant le </w:t>
      </w:r>
      <w:r w:rsidRPr="008F3F94">
        <w:rPr>
          <w:szCs w:val="24"/>
          <w:lang w:val="fr-FR"/>
        </w:rPr>
        <w:t xml:space="preserve">droit de réunion pacifique </w:t>
      </w:r>
      <w:r w:rsidRPr="008F3F94">
        <w:rPr>
          <w:szCs w:val="24"/>
        </w:rPr>
        <w:t xml:space="preserve">ni précisé, </w:t>
      </w:r>
      <w:r>
        <w:rPr>
          <w:szCs w:val="24"/>
        </w:rPr>
        <w:t xml:space="preserve">si tel est </w:t>
      </w:r>
      <w:r w:rsidRPr="008F3F94">
        <w:rPr>
          <w:szCs w:val="24"/>
        </w:rPr>
        <w:t>le</w:t>
      </w:r>
      <w:r>
        <w:rPr>
          <w:szCs w:val="24"/>
        </w:rPr>
        <w:t xml:space="preserve"> cas</w:t>
      </w:r>
      <w:r w:rsidRPr="008F3F94">
        <w:rPr>
          <w:szCs w:val="24"/>
        </w:rPr>
        <w:t>, le nombre de ces affaires.</w:t>
      </w:r>
      <w:r w:rsidRPr="008F3F94">
        <w:rPr>
          <w:szCs w:val="24"/>
          <w:lang w:val="fr-FR"/>
        </w:rPr>
        <w:t xml:space="preserve"> </w:t>
      </w:r>
      <w:r w:rsidRPr="008F3F94">
        <w:t>Le</w:t>
      </w:r>
      <w:r w:rsidR="00833074">
        <w:t xml:space="preserve"> </w:t>
      </w:r>
      <w:r w:rsidRPr="008F3F94">
        <w:t>Comité rappelle sa jurisprudence</w:t>
      </w:r>
      <w:r w:rsidRPr="008F3F94">
        <w:rPr>
          <w:szCs w:val="24"/>
        </w:rPr>
        <w:t xml:space="preserve"> </w:t>
      </w:r>
      <w:r w:rsidRPr="008F3F94">
        <w:t xml:space="preserve">et </w:t>
      </w:r>
      <w:r w:rsidR="00285DB3">
        <w:t xml:space="preserve">selon laquelle </w:t>
      </w:r>
      <w:r w:rsidRPr="008F3F94">
        <w:t xml:space="preserve">les procédures de contrôle </w:t>
      </w:r>
      <w:r w:rsidR="00285DB3">
        <w:t>par l</w:t>
      </w:r>
      <w:r w:rsidR="0064008B">
        <w:t>’</w:t>
      </w:r>
      <w:r w:rsidR="00285DB3">
        <w:t xml:space="preserve">État partie </w:t>
      </w:r>
      <w:r w:rsidRPr="008F3F94">
        <w:t>des décisions de justice devenues exécutoires ne constituent pas un recours qui doit être épuisé aux fins du paragraphe 2 b) de l</w:t>
      </w:r>
      <w:r w:rsidR="0064008B">
        <w:t>’</w:t>
      </w:r>
      <w:r w:rsidRPr="008F3F94">
        <w:t>article 5 du Protocole facultatif</w:t>
      </w:r>
      <w:r w:rsidRPr="000B26C0">
        <w:rPr>
          <w:rStyle w:val="FootnoteReference"/>
        </w:rPr>
        <w:footnoteReference w:id="6"/>
      </w:r>
      <w:r w:rsidR="00285DB3">
        <w:t>.</w:t>
      </w:r>
      <w:r>
        <w:rPr>
          <w:szCs w:val="24"/>
          <w:lang w:val="fr-FR"/>
        </w:rPr>
        <w:t xml:space="preserve"> </w:t>
      </w:r>
      <w:r w:rsidRPr="008F3F94">
        <w:t>En conséquence, le</w:t>
      </w:r>
      <w:r w:rsidR="00833074">
        <w:t xml:space="preserve"> </w:t>
      </w:r>
      <w:r w:rsidRPr="008F3F94">
        <w:t>Comité considère qu</w:t>
      </w:r>
      <w:r w:rsidR="0064008B">
        <w:t>’</w:t>
      </w:r>
      <w:r w:rsidRPr="008F3F94">
        <w:t>il n</w:t>
      </w:r>
      <w:r w:rsidR="0064008B">
        <w:t>’</w:t>
      </w:r>
      <w:r w:rsidRPr="008F3F94">
        <w:t>est pas empêché par les dispositions du paragraphe 2 b) de l</w:t>
      </w:r>
      <w:r w:rsidR="0064008B">
        <w:t>’</w:t>
      </w:r>
      <w:r w:rsidRPr="008F3F94">
        <w:t>article 5 du Protocole facultatif d</w:t>
      </w:r>
      <w:r w:rsidR="0064008B">
        <w:t>’</w:t>
      </w:r>
      <w:r w:rsidRPr="008F3F94">
        <w:t>examiner la présente communication</w:t>
      </w:r>
      <w:r w:rsidRPr="008F3F94">
        <w:rPr>
          <w:szCs w:val="24"/>
        </w:rPr>
        <w:t>.</w:t>
      </w:r>
    </w:p>
    <w:p w:rsidR="0081758B" w:rsidRPr="008F3F94" w:rsidRDefault="0081758B" w:rsidP="0081758B">
      <w:pPr>
        <w:pStyle w:val="SingleTxtG"/>
        <w:rPr>
          <w:szCs w:val="24"/>
          <w:lang w:val="fr-FR"/>
        </w:rPr>
      </w:pPr>
      <w:r w:rsidRPr="008F3F94">
        <w:rPr>
          <w:szCs w:val="24"/>
          <w:lang w:val="fr-FR"/>
        </w:rPr>
        <w:t>8.4</w:t>
      </w:r>
      <w:r w:rsidRPr="008F3F94">
        <w:rPr>
          <w:szCs w:val="24"/>
          <w:lang w:val="fr-FR"/>
        </w:rPr>
        <w:tab/>
      </w:r>
      <w:r w:rsidRPr="008F3F94">
        <w:t>Le Comité considère que l</w:t>
      </w:r>
      <w:r w:rsidR="0064008B">
        <w:t>’</w:t>
      </w:r>
      <w:r w:rsidRPr="008F3F94">
        <w:t xml:space="preserve">auteur a suffisamment étayé le grief </w:t>
      </w:r>
      <w:r w:rsidR="00285DB3">
        <w:t xml:space="preserve">au titre </w:t>
      </w:r>
      <w:r w:rsidRPr="008F3F94">
        <w:t xml:space="preserve">de </w:t>
      </w:r>
      <w:r w:rsidRPr="008F3F94">
        <w:rPr>
          <w:szCs w:val="24"/>
        </w:rPr>
        <w:t>l</w:t>
      </w:r>
      <w:r w:rsidR="0064008B">
        <w:rPr>
          <w:szCs w:val="24"/>
        </w:rPr>
        <w:t>’</w:t>
      </w:r>
      <w:r w:rsidRPr="008F3F94">
        <w:rPr>
          <w:szCs w:val="24"/>
        </w:rPr>
        <w:t>article 21</w:t>
      </w:r>
      <w:r w:rsidRPr="008F3F94">
        <w:t xml:space="preserve"> du Pacte</w:t>
      </w:r>
      <w:r w:rsidR="00285DB3">
        <w:t xml:space="preserve"> aux fins de la</w:t>
      </w:r>
      <w:r w:rsidR="009B2382">
        <w:t xml:space="preserve"> recevabilité</w:t>
      </w:r>
      <w:r w:rsidRPr="008F3F94">
        <w:t>. En conséquence, il déclare la communication recevable et proc</w:t>
      </w:r>
      <w:r>
        <w:t>ède à son examen quant au fond.</w:t>
      </w:r>
    </w:p>
    <w:p w:rsidR="0081758B" w:rsidRDefault="0081758B" w:rsidP="0081758B">
      <w:pPr>
        <w:pStyle w:val="H4G"/>
        <w:rPr>
          <w:lang w:val="fr-FR"/>
        </w:rPr>
      </w:pPr>
      <w:r>
        <w:rPr>
          <w:lang w:val="fr-FR"/>
        </w:rPr>
        <w:tab/>
      </w:r>
      <w:r>
        <w:rPr>
          <w:lang w:val="fr-FR"/>
        </w:rPr>
        <w:tab/>
      </w:r>
      <w:r w:rsidRPr="008F3F94">
        <w:rPr>
          <w:lang w:val="fr-FR"/>
        </w:rPr>
        <w:t>Examen au fond</w:t>
      </w:r>
    </w:p>
    <w:p w:rsidR="0081758B" w:rsidRDefault="0081758B" w:rsidP="0081758B">
      <w:pPr>
        <w:pStyle w:val="SingleTxtG"/>
        <w:rPr>
          <w:szCs w:val="24"/>
          <w:lang w:val="fr-FR"/>
        </w:rPr>
      </w:pPr>
      <w:r w:rsidRPr="008F3F94">
        <w:rPr>
          <w:szCs w:val="24"/>
          <w:lang w:val="fr-FR"/>
        </w:rPr>
        <w:t>9.1</w:t>
      </w:r>
      <w:r w:rsidRPr="008F3F94">
        <w:rPr>
          <w:szCs w:val="24"/>
          <w:lang w:val="fr-FR"/>
        </w:rPr>
        <w:tab/>
      </w:r>
      <w:r w:rsidRPr="008F3F94">
        <w:t>Conformément au paragraphe 1 de l</w:t>
      </w:r>
      <w:r w:rsidR="0064008B">
        <w:t>’</w:t>
      </w:r>
      <w:r w:rsidRPr="008F3F94">
        <w:t>article 5 du Protocole facultatif, le Comité des droits de l</w:t>
      </w:r>
      <w:r w:rsidR="0064008B">
        <w:t>’</w:t>
      </w:r>
      <w:r w:rsidRPr="008F3F94">
        <w:t>homme a examiné la présente communication en tenant compte de toutes les informations qui lui ont été communiquées</w:t>
      </w:r>
      <w:r w:rsidRPr="008F3F94">
        <w:rPr>
          <w:szCs w:val="24"/>
          <w:lang w:val="fr-FR"/>
        </w:rPr>
        <w:t>.</w:t>
      </w:r>
    </w:p>
    <w:p w:rsidR="0081758B" w:rsidRDefault="0081758B" w:rsidP="0081758B">
      <w:pPr>
        <w:pStyle w:val="SingleTxtG"/>
        <w:rPr>
          <w:szCs w:val="24"/>
          <w:lang w:val="fr-FR"/>
        </w:rPr>
      </w:pPr>
      <w:r w:rsidRPr="008F3F94">
        <w:rPr>
          <w:szCs w:val="24"/>
          <w:lang w:val="fr-FR"/>
        </w:rPr>
        <w:t>9.2.</w:t>
      </w:r>
      <w:r w:rsidRPr="008F3F94">
        <w:rPr>
          <w:szCs w:val="24"/>
          <w:lang w:val="fr-FR"/>
        </w:rPr>
        <w:tab/>
      </w:r>
      <w:r w:rsidRPr="008F3F94">
        <w:t>Le Comité doit déterminer si</w:t>
      </w:r>
      <w:r w:rsidRPr="008F3F94">
        <w:rPr>
          <w:szCs w:val="24"/>
          <w:lang w:val="fr-FR"/>
        </w:rPr>
        <w:t xml:space="preserve"> le refus d</w:t>
      </w:r>
      <w:r w:rsidR="0064008B">
        <w:rPr>
          <w:szCs w:val="24"/>
          <w:lang w:val="fr-FR"/>
        </w:rPr>
        <w:t>’</w:t>
      </w:r>
      <w:r w:rsidRPr="008F3F94">
        <w:rPr>
          <w:szCs w:val="24"/>
          <w:lang w:val="fr-FR"/>
        </w:rPr>
        <w:t>autoriser l</w:t>
      </w:r>
      <w:r w:rsidR="0064008B">
        <w:rPr>
          <w:szCs w:val="24"/>
          <w:lang w:val="fr-FR"/>
        </w:rPr>
        <w:t>’</w:t>
      </w:r>
      <w:r w:rsidRPr="008F3F94">
        <w:rPr>
          <w:szCs w:val="24"/>
          <w:lang w:val="fr-FR"/>
        </w:rPr>
        <w:t xml:space="preserve">organisation des </w:t>
      </w:r>
      <w:r>
        <w:rPr>
          <w:szCs w:val="24"/>
          <w:lang w:val="fr-FR"/>
        </w:rPr>
        <w:t xml:space="preserve">manifestations </w:t>
      </w:r>
      <w:r w:rsidR="00F47590">
        <w:rPr>
          <w:szCs w:val="24"/>
          <w:lang w:val="fr-FR"/>
        </w:rPr>
        <w:t>de masse</w:t>
      </w:r>
      <w:r w:rsidRPr="008F3F94">
        <w:rPr>
          <w:szCs w:val="24"/>
          <w:lang w:val="fr-FR"/>
        </w:rPr>
        <w:t xml:space="preserve"> planifiées par l</w:t>
      </w:r>
      <w:r w:rsidR="0064008B">
        <w:rPr>
          <w:szCs w:val="24"/>
          <w:lang w:val="fr-FR"/>
        </w:rPr>
        <w:t>’</w:t>
      </w:r>
      <w:r w:rsidRPr="008F3F94">
        <w:rPr>
          <w:szCs w:val="24"/>
          <w:lang w:val="fr-FR"/>
        </w:rPr>
        <w:t xml:space="preserve">auteur avec un groupe de résidents de la ville de Gomel </w:t>
      </w:r>
      <w:r w:rsidRPr="008F3F94">
        <w:t>constitue une violation des droits que l</w:t>
      </w:r>
      <w:r w:rsidR="0064008B">
        <w:t>’</w:t>
      </w:r>
      <w:r w:rsidRPr="008F3F94">
        <w:t>auteur tient de l</w:t>
      </w:r>
      <w:r w:rsidR="0064008B">
        <w:t>’</w:t>
      </w:r>
      <w:r>
        <w:t>article 21 du Pacte.</w:t>
      </w:r>
    </w:p>
    <w:p w:rsidR="0081758B" w:rsidRDefault="0081758B" w:rsidP="0081758B">
      <w:pPr>
        <w:pStyle w:val="SingleTxtG"/>
        <w:rPr>
          <w:szCs w:val="24"/>
          <w:lang w:val="fr-FR"/>
        </w:rPr>
      </w:pPr>
      <w:r w:rsidRPr="008F3F94">
        <w:rPr>
          <w:szCs w:val="24"/>
          <w:lang w:val="fr-FR"/>
        </w:rPr>
        <w:t>9.3</w:t>
      </w:r>
      <w:r w:rsidRPr="008F3F94">
        <w:rPr>
          <w:szCs w:val="24"/>
          <w:lang w:val="fr-FR"/>
        </w:rPr>
        <w:tab/>
        <w:t>Le Comité rappelle que le</w:t>
      </w:r>
      <w:r w:rsidRPr="008F3F94">
        <w:rPr>
          <w:szCs w:val="24"/>
        </w:rPr>
        <w:t xml:space="preserve"> </w:t>
      </w:r>
      <w:r w:rsidRPr="008F3F94">
        <w:t>droit de réunion pacifique, garanti par l</w:t>
      </w:r>
      <w:r w:rsidR="0064008B">
        <w:t>’</w:t>
      </w:r>
      <w:r w:rsidRPr="008F3F94">
        <w:t>article 21 du Pacte, est un droit de l</w:t>
      </w:r>
      <w:r w:rsidR="0064008B">
        <w:t>’</w:t>
      </w:r>
      <w:r w:rsidRPr="008F3F94">
        <w:t>homme fondamental, qui est essentiel à l</w:t>
      </w:r>
      <w:r w:rsidR="0064008B">
        <w:t>’</w:t>
      </w:r>
      <w:r w:rsidRPr="008F3F94">
        <w:t>expression publique des points de vue et opinions de chacun et indispensable dans une société démocratique</w:t>
      </w:r>
      <w:r w:rsidRPr="000B26C0">
        <w:rPr>
          <w:rStyle w:val="FootnoteReference"/>
        </w:rPr>
        <w:footnoteReference w:id="7"/>
      </w:r>
      <w:r>
        <w:t>.</w:t>
      </w:r>
      <w:r w:rsidRPr="008F3F94">
        <w:t xml:space="preserve"> </w:t>
      </w:r>
      <w:r w:rsidRPr="008F3F94">
        <w:rPr>
          <w:szCs w:val="24"/>
          <w:lang w:val="fr-FR"/>
        </w:rPr>
        <w:t>Ce</w:t>
      </w:r>
      <w:r>
        <w:rPr>
          <w:szCs w:val="24"/>
          <w:lang w:val="fr-FR"/>
        </w:rPr>
        <w:t> </w:t>
      </w:r>
      <w:r w:rsidRPr="008F3F94">
        <w:rPr>
          <w:szCs w:val="24"/>
          <w:lang w:val="fr-FR"/>
        </w:rPr>
        <w:t>droit</w:t>
      </w:r>
      <w:r w:rsidRPr="008F3F94">
        <w:t xml:space="preserve"> suppose notamment la possibilité d</w:t>
      </w:r>
      <w:r w:rsidR="0064008B">
        <w:t>’</w:t>
      </w:r>
      <w:r w:rsidRPr="008F3F94">
        <w:t>organiser une réunion pacifique</w:t>
      </w:r>
      <w:r>
        <w:rPr>
          <w:szCs w:val="24"/>
          <w:lang w:val="fr-FR"/>
        </w:rPr>
        <w:t>, y </w:t>
      </w:r>
      <w:r w:rsidRPr="008F3F94">
        <w:rPr>
          <w:szCs w:val="24"/>
          <w:lang w:val="fr-FR"/>
        </w:rPr>
        <w:t xml:space="preserve">compris un rassemblement </w:t>
      </w:r>
      <w:r w:rsidR="00E45121">
        <w:rPr>
          <w:szCs w:val="24"/>
          <w:lang w:val="fr-FR"/>
        </w:rPr>
        <w:t>fixe</w:t>
      </w:r>
      <w:r w:rsidRPr="008F3F94">
        <w:rPr>
          <w:szCs w:val="24"/>
          <w:lang w:val="fr-FR"/>
        </w:rPr>
        <w:t xml:space="preserve"> dans un lieu public (piquet)</w:t>
      </w:r>
      <w:r>
        <w:rPr>
          <w:szCs w:val="24"/>
          <w:lang w:val="fr-FR"/>
        </w:rPr>
        <w:t>, et d</w:t>
      </w:r>
      <w:r w:rsidR="0064008B">
        <w:rPr>
          <w:szCs w:val="24"/>
          <w:lang w:val="fr-FR"/>
        </w:rPr>
        <w:t>’</w:t>
      </w:r>
      <w:r>
        <w:rPr>
          <w:szCs w:val="24"/>
          <w:lang w:val="fr-FR"/>
        </w:rPr>
        <w:t>y participer</w:t>
      </w:r>
      <w:r w:rsidRPr="008F3F94">
        <w:rPr>
          <w:szCs w:val="24"/>
          <w:lang w:val="fr-FR"/>
        </w:rPr>
        <w:t>. C</w:t>
      </w:r>
      <w:r w:rsidRPr="008F3F94">
        <w:rPr>
          <w:szCs w:val="24"/>
        </w:rPr>
        <w:t>e droit ne peut faire l</w:t>
      </w:r>
      <w:r w:rsidR="0064008B">
        <w:rPr>
          <w:szCs w:val="24"/>
        </w:rPr>
        <w:t>’</w:t>
      </w:r>
      <w:r w:rsidRPr="008F3F94">
        <w:rPr>
          <w:szCs w:val="24"/>
        </w:rPr>
        <w:t>objet d</w:t>
      </w:r>
      <w:r w:rsidR="0064008B">
        <w:rPr>
          <w:szCs w:val="24"/>
        </w:rPr>
        <w:t>’</w:t>
      </w:r>
      <w:r>
        <w:rPr>
          <w:szCs w:val="24"/>
        </w:rPr>
        <w:t xml:space="preserve">aucune restriction excepté </w:t>
      </w:r>
      <w:r w:rsidR="00E45121">
        <w:rPr>
          <w:szCs w:val="24"/>
        </w:rPr>
        <w:t>a</w:t>
      </w:r>
      <w:r>
        <w:rPr>
          <w:szCs w:val="24"/>
        </w:rPr>
        <w:t>) </w:t>
      </w:r>
      <w:r w:rsidRPr="008F3F94">
        <w:rPr>
          <w:szCs w:val="24"/>
        </w:rPr>
        <w:t xml:space="preserve">si </w:t>
      </w:r>
      <w:r>
        <w:rPr>
          <w:szCs w:val="24"/>
        </w:rPr>
        <w:t>l</w:t>
      </w:r>
      <w:r w:rsidR="00E45121">
        <w:rPr>
          <w:szCs w:val="24"/>
        </w:rPr>
        <w:t>a</w:t>
      </w:r>
      <w:r>
        <w:rPr>
          <w:szCs w:val="24"/>
        </w:rPr>
        <w:t xml:space="preserve"> restriction en question </w:t>
      </w:r>
      <w:r w:rsidR="00E45121">
        <w:rPr>
          <w:szCs w:val="24"/>
        </w:rPr>
        <w:t>es</w:t>
      </w:r>
      <w:r>
        <w:rPr>
          <w:szCs w:val="24"/>
        </w:rPr>
        <w:t xml:space="preserve">t </w:t>
      </w:r>
      <w:r w:rsidRPr="008F3F94">
        <w:rPr>
          <w:szCs w:val="24"/>
        </w:rPr>
        <w:t>impos</w:t>
      </w:r>
      <w:r>
        <w:rPr>
          <w:szCs w:val="24"/>
        </w:rPr>
        <w:t xml:space="preserve">ée conformément à la loi et </w:t>
      </w:r>
      <w:r w:rsidR="00E45121">
        <w:rPr>
          <w:szCs w:val="24"/>
        </w:rPr>
        <w:t>b</w:t>
      </w:r>
      <w:r>
        <w:rPr>
          <w:szCs w:val="24"/>
        </w:rPr>
        <w:t>) </w:t>
      </w:r>
      <w:r w:rsidRPr="008F3F94">
        <w:rPr>
          <w:szCs w:val="24"/>
        </w:rPr>
        <w:t>si elle</w:t>
      </w:r>
      <w:r>
        <w:rPr>
          <w:szCs w:val="24"/>
        </w:rPr>
        <w:t xml:space="preserve"> </w:t>
      </w:r>
      <w:r w:rsidR="00E45121">
        <w:rPr>
          <w:szCs w:val="24"/>
        </w:rPr>
        <w:t>es</w:t>
      </w:r>
      <w:r w:rsidRPr="008F3F94">
        <w:t>t nécessaire dans une société démocratique, dans</w:t>
      </w:r>
      <w:r>
        <w:t> </w:t>
      </w:r>
      <w:r w:rsidRPr="008F3F94">
        <w:t>l</w:t>
      </w:r>
      <w:r w:rsidR="0064008B">
        <w:t>’</w:t>
      </w:r>
      <w:r w:rsidRPr="008F3F94">
        <w:t>intérêt de la sécurité nationale, de la sûreté publique, de l</w:t>
      </w:r>
      <w:r w:rsidR="0064008B">
        <w:t>’</w:t>
      </w:r>
      <w:r w:rsidRPr="008F3F94">
        <w:t>ordre public ou pour protéger la santé ou la moralité publiques, ou les droits et libertés d</w:t>
      </w:r>
      <w:r w:rsidR="0064008B">
        <w:t>’</w:t>
      </w:r>
      <w:r w:rsidRPr="008F3F94">
        <w:t>autrui</w:t>
      </w:r>
      <w:r>
        <w:rPr>
          <w:szCs w:val="24"/>
          <w:lang w:val="fr-FR"/>
        </w:rPr>
        <w:t>.</w:t>
      </w:r>
    </w:p>
    <w:p w:rsidR="0081758B" w:rsidRDefault="0081758B" w:rsidP="0081758B">
      <w:pPr>
        <w:pStyle w:val="SingleTxtG"/>
        <w:rPr>
          <w:szCs w:val="24"/>
          <w:lang w:val="fr-FR"/>
        </w:rPr>
      </w:pPr>
      <w:r w:rsidRPr="008F3F94">
        <w:rPr>
          <w:szCs w:val="24"/>
          <w:lang w:val="fr-FR"/>
        </w:rPr>
        <w:t>9.4</w:t>
      </w:r>
      <w:r w:rsidRPr="008F3F94">
        <w:rPr>
          <w:szCs w:val="24"/>
          <w:lang w:val="fr-FR"/>
        </w:rPr>
        <w:tab/>
      </w:r>
      <w:r w:rsidRPr="008F3F94">
        <w:rPr>
          <w:szCs w:val="24"/>
        </w:rPr>
        <w:t>L</w:t>
      </w:r>
      <w:r w:rsidRPr="008F3F94">
        <w:t>e Comité constate que</w:t>
      </w:r>
      <w:r>
        <w:t>,</w:t>
      </w:r>
      <w:r w:rsidRPr="008F3F94">
        <w:t xml:space="preserve"> </w:t>
      </w:r>
      <w:r w:rsidRPr="008F3F94">
        <w:rPr>
          <w:szCs w:val="24"/>
        </w:rPr>
        <w:t>puisque l</w:t>
      </w:r>
      <w:r w:rsidR="0064008B">
        <w:rPr>
          <w:szCs w:val="24"/>
        </w:rPr>
        <w:t>’</w:t>
      </w:r>
      <w:r w:rsidRPr="008F3F94">
        <w:rPr>
          <w:szCs w:val="24"/>
        </w:rPr>
        <w:t xml:space="preserve">État partie </w:t>
      </w:r>
      <w:r w:rsidRPr="008F3F94">
        <w:t>a imposé une procédure pour l</w:t>
      </w:r>
      <w:r w:rsidR="0064008B">
        <w:t>’</w:t>
      </w:r>
      <w:r w:rsidRPr="008F3F94">
        <w:t>organisation des manifestations de masse</w:t>
      </w:r>
      <w:r w:rsidRPr="008F3F94">
        <w:rPr>
          <w:szCs w:val="24"/>
        </w:rPr>
        <w:t xml:space="preserve"> </w:t>
      </w:r>
      <w:r>
        <w:rPr>
          <w:szCs w:val="24"/>
        </w:rPr>
        <w:t>et refusé</w:t>
      </w:r>
      <w:r w:rsidRPr="008F3F94">
        <w:rPr>
          <w:szCs w:val="24"/>
        </w:rPr>
        <w:t xml:space="preserve"> d</w:t>
      </w:r>
      <w:r w:rsidR="0064008B">
        <w:rPr>
          <w:szCs w:val="24"/>
        </w:rPr>
        <w:t>’</w:t>
      </w:r>
      <w:r w:rsidRPr="008F3F94">
        <w:rPr>
          <w:szCs w:val="24"/>
        </w:rPr>
        <w:t>autoriser l</w:t>
      </w:r>
      <w:r w:rsidR="0064008B">
        <w:rPr>
          <w:szCs w:val="24"/>
        </w:rPr>
        <w:t>’</w:t>
      </w:r>
      <w:r w:rsidRPr="008F3F94">
        <w:rPr>
          <w:szCs w:val="24"/>
        </w:rPr>
        <w:t>auteur à organiser l</w:t>
      </w:r>
      <w:r w:rsidR="00E45121">
        <w:rPr>
          <w:szCs w:val="24"/>
        </w:rPr>
        <w:t>es</w:t>
      </w:r>
      <w:r w:rsidRPr="008F3F94">
        <w:rPr>
          <w:szCs w:val="24"/>
        </w:rPr>
        <w:t xml:space="preserve"> manifestation</w:t>
      </w:r>
      <w:r w:rsidR="00E45121">
        <w:rPr>
          <w:szCs w:val="24"/>
        </w:rPr>
        <w:t>s</w:t>
      </w:r>
      <w:r w:rsidRPr="008F3F94">
        <w:rPr>
          <w:szCs w:val="24"/>
        </w:rPr>
        <w:t xml:space="preserve"> </w:t>
      </w:r>
      <w:r w:rsidR="003A4416">
        <w:rPr>
          <w:szCs w:val="24"/>
        </w:rPr>
        <w:t xml:space="preserve">de masse </w:t>
      </w:r>
      <w:r w:rsidRPr="008F3F94">
        <w:rPr>
          <w:szCs w:val="24"/>
        </w:rPr>
        <w:t>prévue, il a établi une restriction à l</w:t>
      </w:r>
      <w:r w:rsidR="0064008B">
        <w:rPr>
          <w:szCs w:val="24"/>
        </w:rPr>
        <w:t>’</w:t>
      </w:r>
      <w:r w:rsidRPr="008F3F94">
        <w:rPr>
          <w:szCs w:val="24"/>
        </w:rPr>
        <w:t>exercice du droit à la liberté de réunion. Le Comité doit donc déterminer si les restrictions imposées aux droits de l</w:t>
      </w:r>
      <w:r w:rsidR="0064008B">
        <w:rPr>
          <w:szCs w:val="24"/>
        </w:rPr>
        <w:t>’</w:t>
      </w:r>
      <w:r w:rsidRPr="008F3F94">
        <w:rPr>
          <w:szCs w:val="24"/>
        </w:rPr>
        <w:t>auteur</w:t>
      </w:r>
      <w:r>
        <w:rPr>
          <w:szCs w:val="24"/>
        </w:rPr>
        <w:t xml:space="preserve"> </w:t>
      </w:r>
      <w:r w:rsidRPr="008F3F94">
        <w:rPr>
          <w:szCs w:val="24"/>
        </w:rPr>
        <w:t>de la présente communication sont justifiées au regard des critères fixés dans la seconde phrase de l</w:t>
      </w:r>
      <w:r w:rsidR="0064008B">
        <w:rPr>
          <w:szCs w:val="24"/>
        </w:rPr>
        <w:t>’</w:t>
      </w:r>
      <w:r>
        <w:rPr>
          <w:szCs w:val="24"/>
        </w:rPr>
        <w:t>article </w:t>
      </w:r>
      <w:r w:rsidRPr="008F3F94">
        <w:rPr>
          <w:szCs w:val="24"/>
          <w:lang w:val="fr-FR"/>
        </w:rPr>
        <w:t xml:space="preserve">21 du Pacte. Le Comité </w:t>
      </w:r>
      <w:r>
        <w:rPr>
          <w:szCs w:val="24"/>
          <w:lang w:val="fr-FR"/>
        </w:rPr>
        <w:t xml:space="preserve">souligne que, </w:t>
      </w:r>
      <w:r w:rsidRPr="008F3F94">
        <w:rPr>
          <w:szCs w:val="24"/>
          <w:lang w:val="fr-FR"/>
        </w:rPr>
        <w:t>si l</w:t>
      </w:r>
      <w:r w:rsidR="0064008B">
        <w:rPr>
          <w:szCs w:val="24"/>
          <w:lang w:val="fr-FR"/>
        </w:rPr>
        <w:t>’</w:t>
      </w:r>
      <w:r w:rsidRPr="008F3F94">
        <w:rPr>
          <w:szCs w:val="24"/>
          <w:lang w:val="fr-FR"/>
        </w:rPr>
        <w:t>État partie impose une restriction, c</w:t>
      </w:r>
      <w:r w:rsidR="0064008B">
        <w:rPr>
          <w:szCs w:val="24"/>
          <w:lang w:val="fr-FR"/>
        </w:rPr>
        <w:t>’</w:t>
      </w:r>
      <w:r w:rsidRPr="008F3F94">
        <w:rPr>
          <w:szCs w:val="24"/>
          <w:lang w:val="fr-FR"/>
        </w:rPr>
        <w:t>est à lui de prouver qu</w:t>
      </w:r>
      <w:r w:rsidR="0064008B">
        <w:rPr>
          <w:szCs w:val="24"/>
          <w:lang w:val="fr-FR"/>
        </w:rPr>
        <w:t>’</w:t>
      </w:r>
      <w:r w:rsidRPr="008F3F94">
        <w:rPr>
          <w:szCs w:val="24"/>
          <w:lang w:val="fr-FR"/>
        </w:rPr>
        <w:t>elle est nécessaire pour atteindre les objectifs fixés dans les dispositions dudit article.</w:t>
      </w:r>
    </w:p>
    <w:p w:rsidR="00E45121" w:rsidRDefault="0081758B" w:rsidP="0081758B">
      <w:pPr>
        <w:pStyle w:val="SingleTxtG"/>
        <w:rPr>
          <w:szCs w:val="24"/>
          <w:lang w:val="fr-FR"/>
        </w:rPr>
      </w:pPr>
      <w:r w:rsidRPr="008F3F94">
        <w:rPr>
          <w:szCs w:val="24"/>
          <w:lang w:val="fr-FR"/>
        </w:rPr>
        <w:t>9.5</w:t>
      </w:r>
      <w:r w:rsidRPr="008F3F94">
        <w:rPr>
          <w:szCs w:val="24"/>
          <w:lang w:val="fr-FR"/>
        </w:rPr>
        <w:tab/>
        <w:t>Le Comité a pris note des explications de l</w:t>
      </w:r>
      <w:r w:rsidR="0064008B">
        <w:rPr>
          <w:szCs w:val="24"/>
          <w:lang w:val="fr-FR"/>
        </w:rPr>
        <w:t>’</w:t>
      </w:r>
      <w:r w:rsidRPr="008F3F94">
        <w:rPr>
          <w:szCs w:val="24"/>
          <w:lang w:val="fr-FR"/>
        </w:rPr>
        <w:t xml:space="preserve">État partie </w:t>
      </w:r>
      <w:r w:rsidR="00E45121">
        <w:rPr>
          <w:szCs w:val="24"/>
          <w:lang w:val="fr-FR"/>
        </w:rPr>
        <w:t>selon laquelle</w:t>
      </w:r>
      <w:r>
        <w:rPr>
          <w:szCs w:val="24"/>
          <w:lang w:val="fr-FR"/>
        </w:rPr>
        <w:t xml:space="preserve"> l</w:t>
      </w:r>
      <w:r w:rsidR="0064008B">
        <w:rPr>
          <w:szCs w:val="24"/>
          <w:lang w:val="fr-FR"/>
        </w:rPr>
        <w:t>’</w:t>
      </w:r>
      <w:r>
        <w:rPr>
          <w:szCs w:val="24"/>
          <w:lang w:val="fr-FR"/>
        </w:rPr>
        <w:t>auteur n</w:t>
      </w:r>
      <w:r w:rsidR="0064008B">
        <w:rPr>
          <w:szCs w:val="24"/>
          <w:lang w:val="fr-FR"/>
        </w:rPr>
        <w:t>’</w:t>
      </w:r>
      <w:r>
        <w:rPr>
          <w:szCs w:val="24"/>
          <w:lang w:val="fr-FR"/>
        </w:rPr>
        <w:t>avait pas eu l</w:t>
      </w:r>
      <w:r w:rsidR="0064008B">
        <w:rPr>
          <w:szCs w:val="24"/>
          <w:lang w:val="fr-FR"/>
        </w:rPr>
        <w:t>’</w:t>
      </w:r>
      <w:r>
        <w:rPr>
          <w:szCs w:val="24"/>
          <w:lang w:val="fr-FR"/>
        </w:rPr>
        <w:t>autorisation d</w:t>
      </w:r>
      <w:r w:rsidR="0064008B">
        <w:rPr>
          <w:szCs w:val="24"/>
          <w:lang w:val="fr-FR"/>
        </w:rPr>
        <w:t>’</w:t>
      </w:r>
      <w:r w:rsidRPr="008F3F94">
        <w:rPr>
          <w:szCs w:val="24"/>
          <w:lang w:val="fr-FR"/>
        </w:rPr>
        <w:t xml:space="preserve">organiser des manifestations </w:t>
      </w:r>
      <w:r w:rsidR="003A4416">
        <w:rPr>
          <w:szCs w:val="24"/>
          <w:lang w:val="fr-FR"/>
        </w:rPr>
        <w:t xml:space="preserve">de masse </w:t>
      </w:r>
      <w:r>
        <w:rPr>
          <w:szCs w:val="24"/>
          <w:lang w:val="fr-FR"/>
        </w:rPr>
        <w:t>parce qu</w:t>
      </w:r>
      <w:r w:rsidR="0064008B">
        <w:rPr>
          <w:szCs w:val="24"/>
          <w:lang w:val="fr-FR"/>
        </w:rPr>
        <w:t>’</w:t>
      </w:r>
      <w:r>
        <w:rPr>
          <w:szCs w:val="24"/>
          <w:lang w:val="fr-FR"/>
        </w:rPr>
        <w:t xml:space="preserve">il </w:t>
      </w:r>
      <w:r w:rsidRPr="008F3F94">
        <w:rPr>
          <w:szCs w:val="24"/>
          <w:lang w:val="fr-FR"/>
        </w:rPr>
        <w:t>n</w:t>
      </w:r>
      <w:r w:rsidR="0064008B">
        <w:rPr>
          <w:szCs w:val="24"/>
          <w:lang w:val="fr-FR"/>
        </w:rPr>
        <w:t>’</w:t>
      </w:r>
      <w:r w:rsidRPr="008F3F94">
        <w:rPr>
          <w:szCs w:val="24"/>
          <w:lang w:val="fr-FR"/>
        </w:rPr>
        <w:t xml:space="preserve">avait pas fourni tous les renseignements requis au titre de la loi sur les manifestations de masse, </w:t>
      </w:r>
      <w:r>
        <w:rPr>
          <w:szCs w:val="24"/>
          <w:lang w:val="fr-FR"/>
        </w:rPr>
        <w:t xml:space="preserve">notamment en ce qui concerne </w:t>
      </w:r>
      <w:r w:rsidRPr="008F3F94">
        <w:rPr>
          <w:szCs w:val="24"/>
          <w:lang w:val="fr-FR"/>
        </w:rPr>
        <w:t>les mesures prises pour garantir la sécurité des participants</w:t>
      </w:r>
      <w:r>
        <w:rPr>
          <w:szCs w:val="24"/>
          <w:lang w:val="fr-FR"/>
        </w:rPr>
        <w:t xml:space="preserve">, pour assurer </w:t>
      </w:r>
      <w:r w:rsidRPr="008F3F94">
        <w:rPr>
          <w:szCs w:val="24"/>
          <w:lang w:val="fr-FR"/>
        </w:rPr>
        <w:t xml:space="preserve">la prestation de soins médicaux et </w:t>
      </w:r>
      <w:r>
        <w:rPr>
          <w:szCs w:val="24"/>
          <w:lang w:val="fr-FR"/>
        </w:rPr>
        <w:t xml:space="preserve">pour faire en sorte que les lieux restent propres pendant </w:t>
      </w:r>
      <w:r w:rsidRPr="008F3F94">
        <w:rPr>
          <w:szCs w:val="24"/>
          <w:lang w:val="fr-FR"/>
        </w:rPr>
        <w:t>et après la manifestation. Il a également noté que l</w:t>
      </w:r>
      <w:r w:rsidR="0064008B">
        <w:rPr>
          <w:szCs w:val="24"/>
          <w:lang w:val="fr-FR"/>
        </w:rPr>
        <w:t>’</w:t>
      </w:r>
      <w:r w:rsidRPr="008F3F94">
        <w:rPr>
          <w:szCs w:val="24"/>
          <w:lang w:val="fr-FR"/>
        </w:rPr>
        <w:t>État partie considérait qu</w:t>
      </w:r>
      <w:r w:rsidR="0064008B">
        <w:rPr>
          <w:szCs w:val="24"/>
          <w:lang w:val="fr-FR"/>
        </w:rPr>
        <w:t>’</w:t>
      </w:r>
      <w:r w:rsidRPr="008F3F94">
        <w:rPr>
          <w:szCs w:val="24"/>
          <w:lang w:val="fr-FR"/>
        </w:rPr>
        <w:t>en l</w:t>
      </w:r>
      <w:r w:rsidR="0064008B">
        <w:rPr>
          <w:szCs w:val="24"/>
          <w:lang w:val="fr-FR"/>
        </w:rPr>
        <w:t>’</w:t>
      </w:r>
      <w:r w:rsidRPr="008F3F94">
        <w:rPr>
          <w:szCs w:val="24"/>
          <w:lang w:val="fr-FR"/>
        </w:rPr>
        <w:t>absence de ces renseignements l</w:t>
      </w:r>
      <w:r w:rsidR="0064008B">
        <w:rPr>
          <w:szCs w:val="24"/>
          <w:lang w:val="fr-FR"/>
        </w:rPr>
        <w:t>’</w:t>
      </w:r>
      <w:r w:rsidRPr="008F3F94">
        <w:rPr>
          <w:szCs w:val="24"/>
          <w:lang w:val="fr-FR"/>
        </w:rPr>
        <w:t xml:space="preserve">ordre public et la sûreté publique ne pouvaient être garantis, et que la loi en question visait à créer des conditions favorables pour la réalisation des droits et libertés constitutionnels des citoyens et pour protéger </w:t>
      </w:r>
      <w:r>
        <w:rPr>
          <w:szCs w:val="24"/>
          <w:lang w:val="fr-FR"/>
        </w:rPr>
        <w:t xml:space="preserve">la sûreté </w:t>
      </w:r>
      <w:r w:rsidRPr="008F3F94">
        <w:rPr>
          <w:szCs w:val="24"/>
          <w:lang w:val="fr-FR"/>
        </w:rPr>
        <w:t>publique et l</w:t>
      </w:r>
      <w:r w:rsidR="0064008B">
        <w:rPr>
          <w:szCs w:val="24"/>
          <w:lang w:val="fr-FR"/>
        </w:rPr>
        <w:t>’</w:t>
      </w:r>
      <w:r w:rsidRPr="008F3F94">
        <w:rPr>
          <w:szCs w:val="24"/>
          <w:lang w:val="fr-FR"/>
        </w:rPr>
        <w:t>ordre public lorsque de telles manifestations sont organisées dans des espaces publics.</w:t>
      </w:r>
    </w:p>
    <w:p w:rsidR="0081758B" w:rsidRDefault="0081758B" w:rsidP="003A4416">
      <w:pPr>
        <w:pStyle w:val="SingleTxtG"/>
        <w:rPr>
          <w:szCs w:val="24"/>
          <w:lang w:val="fr-FR"/>
        </w:rPr>
      </w:pPr>
      <w:r w:rsidRPr="008F3F94">
        <w:rPr>
          <w:szCs w:val="24"/>
          <w:lang w:val="fr-FR"/>
        </w:rPr>
        <w:t>9.6</w:t>
      </w:r>
      <w:r w:rsidRPr="008F3F94">
        <w:rPr>
          <w:szCs w:val="24"/>
          <w:lang w:val="fr-FR"/>
        </w:rPr>
        <w:tab/>
        <w:t>Le Comité rappelle que</w:t>
      </w:r>
      <w:r>
        <w:rPr>
          <w:szCs w:val="24"/>
          <w:lang w:val="fr-FR"/>
        </w:rPr>
        <w:t>,</w:t>
      </w:r>
      <w:r w:rsidR="00E45121">
        <w:rPr>
          <w:szCs w:val="24"/>
          <w:lang w:val="fr-FR"/>
        </w:rPr>
        <w:t xml:space="preserve"> lorsqu</w:t>
      </w:r>
      <w:r w:rsidR="0064008B">
        <w:rPr>
          <w:szCs w:val="24"/>
          <w:lang w:val="fr-FR"/>
        </w:rPr>
        <w:t>’</w:t>
      </w:r>
      <w:r w:rsidR="00E45121">
        <w:rPr>
          <w:szCs w:val="24"/>
          <w:lang w:val="fr-FR"/>
        </w:rPr>
        <w:t xml:space="preserve">un </w:t>
      </w:r>
      <w:r w:rsidRPr="008F3F94">
        <w:rPr>
          <w:szCs w:val="24"/>
          <w:lang w:val="fr-FR"/>
        </w:rPr>
        <w:t xml:space="preserve">État partie impose des restrictions </w:t>
      </w:r>
      <w:r w:rsidRPr="008F3F94">
        <w:t>dans le but de</w:t>
      </w:r>
      <w:r>
        <w:t xml:space="preserve"> </w:t>
      </w:r>
      <w:r w:rsidRPr="008F3F94">
        <w:t>concilier le droit de réunion d</w:t>
      </w:r>
      <w:r w:rsidR="0064008B">
        <w:t>’</w:t>
      </w:r>
      <w:r w:rsidRPr="008F3F94">
        <w:t>un particulier avec l</w:t>
      </w:r>
      <w:r w:rsidR="0064008B">
        <w:t>’</w:t>
      </w:r>
      <w:r w:rsidRPr="008F3F94">
        <w:t>intérêt général</w:t>
      </w:r>
      <w:r w:rsidRPr="008F3F94">
        <w:rPr>
          <w:szCs w:val="24"/>
          <w:lang w:val="fr-FR"/>
        </w:rPr>
        <w:t xml:space="preserve"> mentionné ci-dessus, il</w:t>
      </w:r>
      <w:r>
        <w:rPr>
          <w:szCs w:val="24"/>
          <w:lang w:val="fr-FR"/>
        </w:rPr>
        <w:t> </w:t>
      </w:r>
      <w:r w:rsidRPr="008F3F94">
        <w:rPr>
          <w:szCs w:val="24"/>
        </w:rPr>
        <w:t xml:space="preserve">devrait </w:t>
      </w:r>
      <w:r w:rsidRPr="008F3F94">
        <w:t>chercher à faciliter l</w:t>
      </w:r>
      <w:r w:rsidR="0064008B">
        <w:t>’</w:t>
      </w:r>
      <w:r w:rsidRPr="008F3F94">
        <w:t>exercice de ce droit et non s</w:t>
      </w:r>
      <w:r w:rsidR="0064008B">
        <w:t>’</w:t>
      </w:r>
      <w:r w:rsidRPr="008F3F94">
        <w:t>employer à le restreindre par des moyens qui ne sont ni nécessaires ni proportionnés</w:t>
      </w:r>
      <w:r w:rsidRPr="000B26C0">
        <w:rPr>
          <w:rStyle w:val="FootnoteReference"/>
        </w:rPr>
        <w:footnoteReference w:id="8"/>
      </w:r>
      <w:r>
        <w:rPr>
          <w:szCs w:val="24"/>
          <w:lang w:val="fr-FR"/>
        </w:rPr>
        <w:t>.</w:t>
      </w:r>
      <w:r w:rsidRPr="008F3F94">
        <w:rPr>
          <w:szCs w:val="24"/>
          <w:vertAlign w:val="superscript"/>
          <w:lang w:val="fr-FR"/>
        </w:rPr>
        <w:t xml:space="preserve"> </w:t>
      </w:r>
      <w:r w:rsidRPr="008F3F94">
        <w:t xml:space="preserve">Toute restriction </w:t>
      </w:r>
      <w:r w:rsidR="00E45121">
        <w:t>de</w:t>
      </w:r>
      <w:r w:rsidRPr="008F3F94">
        <w:t xml:space="preserve"> l</w:t>
      </w:r>
      <w:r w:rsidR="0064008B">
        <w:t>’</w:t>
      </w:r>
      <w:r w:rsidRPr="008F3F94">
        <w:t xml:space="preserve">exercice du droit </w:t>
      </w:r>
      <w:r w:rsidRPr="008F3F94">
        <w:rPr>
          <w:szCs w:val="24"/>
          <w:lang w:val="fr-FR"/>
        </w:rPr>
        <w:t>de réunion pacifique</w:t>
      </w:r>
      <w:r w:rsidRPr="008F3F94">
        <w:t xml:space="preserve"> doit répondre aux critères stricts de nécessité et de proportionnalité</w:t>
      </w:r>
      <w:r w:rsidRPr="008F3F94">
        <w:rPr>
          <w:szCs w:val="24"/>
          <w:lang w:val="fr-FR"/>
        </w:rPr>
        <w:t>.</w:t>
      </w:r>
    </w:p>
    <w:p w:rsidR="00E45121" w:rsidRDefault="00E45121" w:rsidP="00E45121">
      <w:pPr>
        <w:pStyle w:val="SingleTxtG"/>
        <w:rPr>
          <w:szCs w:val="24"/>
          <w:lang w:val="fr-FR"/>
        </w:rPr>
      </w:pPr>
      <w:r>
        <w:rPr>
          <w:szCs w:val="24"/>
          <w:lang w:val="fr-FR"/>
        </w:rPr>
        <w:t>9.7</w:t>
      </w:r>
      <w:r>
        <w:rPr>
          <w:szCs w:val="24"/>
          <w:lang w:val="fr-FR"/>
        </w:rPr>
        <w:tab/>
      </w:r>
      <w:r w:rsidRPr="008F3F94">
        <w:rPr>
          <w:szCs w:val="24"/>
          <w:lang w:val="fr-FR"/>
        </w:rPr>
        <w:t>Cependant, le Comité constate que l</w:t>
      </w:r>
      <w:r w:rsidR="0064008B">
        <w:rPr>
          <w:szCs w:val="24"/>
          <w:lang w:val="fr-FR"/>
        </w:rPr>
        <w:t>’</w:t>
      </w:r>
      <w:r w:rsidRPr="008F3F94">
        <w:rPr>
          <w:szCs w:val="24"/>
          <w:lang w:val="fr-FR"/>
        </w:rPr>
        <w:t>État partie n</w:t>
      </w:r>
      <w:r w:rsidR="0064008B">
        <w:rPr>
          <w:szCs w:val="24"/>
          <w:lang w:val="fr-FR"/>
        </w:rPr>
        <w:t>’</w:t>
      </w:r>
      <w:r w:rsidRPr="008F3F94">
        <w:rPr>
          <w:szCs w:val="24"/>
          <w:lang w:val="fr-FR"/>
        </w:rPr>
        <w:t>a pas expliqué en quoi le refus d</w:t>
      </w:r>
      <w:r w:rsidR="0064008B">
        <w:rPr>
          <w:szCs w:val="24"/>
          <w:lang w:val="fr-FR"/>
        </w:rPr>
        <w:t>’</w:t>
      </w:r>
      <w:r w:rsidRPr="008F3F94">
        <w:rPr>
          <w:szCs w:val="24"/>
          <w:lang w:val="fr-FR"/>
        </w:rPr>
        <w:t>accorder une autorisation à l</w:t>
      </w:r>
      <w:r w:rsidR="0064008B">
        <w:rPr>
          <w:szCs w:val="24"/>
          <w:lang w:val="fr-FR"/>
        </w:rPr>
        <w:t>’</w:t>
      </w:r>
      <w:r w:rsidRPr="008F3F94">
        <w:rPr>
          <w:szCs w:val="24"/>
          <w:lang w:val="fr-FR"/>
        </w:rPr>
        <w:t xml:space="preserve">auteur </w:t>
      </w:r>
      <w:r>
        <w:rPr>
          <w:szCs w:val="24"/>
          <w:lang w:val="fr-FR"/>
        </w:rPr>
        <w:t>− </w:t>
      </w:r>
      <w:r w:rsidRPr="008F3F94">
        <w:rPr>
          <w:szCs w:val="24"/>
          <w:lang w:val="fr-FR"/>
        </w:rPr>
        <w:t>même si ce refus était fondé sur une loi</w:t>
      </w:r>
      <w:r>
        <w:rPr>
          <w:szCs w:val="24"/>
          <w:lang w:val="fr-FR"/>
        </w:rPr>
        <w:t> −</w:t>
      </w:r>
      <w:r w:rsidRPr="008F3F94">
        <w:rPr>
          <w:szCs w:val="24"/>
          <w:lang w:val="fr-FR"/>
        </w:rPr>
        <w:t xml:space="preserve"> était nécessaire </w:t>
      </w:r>
      <w:r>
        <w:rPr>
          <w:szCs w:val="24"/>
          <w:lang w:val="fr-FR"/>
        </w:rPr>
        <w:t xml:space="preserve">pour parvenir </w:t>
      </w:r>
      <w:r w:rsidRPr="008F3F94">
        <w:rPr>
          <w:szCs w:val="24"/>
          <w:lang w:val="fr-FR"/>
        </w:rPr>
        <w:t>à l</w:t>
      </w:r>
      <w:r w:rsidR="0064008B">
        <w:rPr>
          <w:szCs w:val="24"/>
          <w:lang w:val="fr-FR"/>
        </w:rPr>
        <w:t>’</w:t>
      </w:r>
      <w:r w:rsidRPr="008F3F94">
        <w:rPr>
          <w:szCs w:val="24"/>
          <w:lang w:val="fr-FR"/>
        </w:rPr>
        <w:t>une des fins légitimes prévues dans la seconde phrase de l</w:t>
      </w:r>
      <w:r w:rsidR="0064008B">
        <w:rPr>
          <w:szCs w:val="24"/>
          <w:lang w:val="fr-FR"/>
        </w:rPr>
        <w:t>’</w:t>
      </w:r>
      <w:r w:rsidRPr="008F3F94">
        <w:rPr>
          <w:szCs w:val="24"/>
          <w:lang w:val="fr-FR"/>
        </w:rPr>
        <w:t>article</w:t>
      </w:r>
      <w:r>
        <w:rPr>
          <w:szCs w:val="24"/>
          <w:lang w:val="fr-FR"/>
        </w:rPr>
        <w:t> </w:t>
      </w:r>
      <w:r w:rsidRPr="008F3F94">
        <w:rPr>
          <w:szCs w:val="24"/>
          <w:lang w:val="fr-FR"/>
        </w:rPr>
        <w:t>21 du Pacte. En particulier, l</w:t>
      </w:r>
      <w:r w:rsidR="0064008B">
        <w:rPr>
          <w:szCs w:val="24"/>
          <w:lang w:val="fr-FR"/>
        </w:rPr>
        <w:t>’</w:t>
      </w:r>
      <w:r w:rsidRPr="008F3F94">
        <w:rPr>
          <w:szCs w:val="24"/>
          <w:lang w:val="fr-FR"/>
        </w:rPr>
        <w:t>État partie n</w:t>
      </w:r>
      <w:r w:rsidR="0064008B">
        <w:rPr>
          <w:szCs w:val="24"/>
          <w:lang w:val="fr-FR"/>
        </w:rPr>
        <w:t>’</w:t>
      </w:r>
      <w:r w:rsidRPr="008F3F94">
        <w:rPr>
          <w:szCs w:val="24"/>
          <w:lang w:val="fr-FR"/>
        </w:rPr>
        <w:t xml:space="preserve">a pas indiqué quelles </w:t>
      </w:r>
      <w:r>
        <w:rPr>
          <w:szCs w:val="24"/>
          <w:lang w:val="fr-FR"/>
        </w:rPr>
        <w:t xml:space="preserve">informations </w:t>
      </w:r>
      <w:r w:rsidRPr="008F3F94">
        <w:rPr>
          <w:szCs w:val="24"/>
          <w:lang w:val="fr-FR"/>
        </w:rPr>
        <w:t xml:space="preserve">relatives aux horaires et au déroulement des manifestations </w:t>
      </w:r>
      <w:r>
        <w:rPr>
          <w:szCs w:val="24"/>
          <w:lang w:val="fr-FR"/>
        </w:rPr>
        <w:t>de masse pouvaient manquer, dont l</w:t>
      </w:r>
      <w:r w:rsidR="0064008B">
        <w:rPr>
          <w:szCs w:val="24"/>
          <w:lang w:val="fr-FR"/>
        </w:rPr>
        <w:t>’</w:t>
      </w:r>
      <w:r>
        <w:rPr>
          <w:szCs w:val="24"/>
          <w:lang w:val="fr-FR"/>
        </w:rPr>
        <w:t>absence constituerait une</w:t>
      </w:r>
      <w:r w:rsidRPr="008F3F94">
        <w:rPr>
          <w:szCs w:val="24"/>
          <w:lang w:val="fr-FR"/>
        </w:rPr>
        <w:t xml:space="preserve"> menace à la sûreté publique, à l</w:t>
      </w:r>
      <w:r w:rsidR="0064008B">
        <w:rPr>
          <w:szCs w:val="24"/>
          <w:lang w:val="fr-FR"/>
        </w:rPr>
        <w:t>’</w:t>
      </w:r>
      <w:r w:rsidRPr="008F3F94">
        <w:rPr>
          <w:szCs w:val="24"/>
          <w:lang w:val="fr-FR"/>
        </w:rPr>
        <w:t xml:space="preserve">ordre public, </w:t>
      </w:r>
      <w:r w:rsidRPr="008F3F94">
        <w:rPr>
          <w:szCs w:val="24"/>
        </w:rPr>
        <w:t xml:space="preserve">à la protection de la santé ou </w:t>
      </w:r>
      <w:r>
        <w:rPr>
          <w:szCs w:val="24"/>
        </w:rPr>
        <w:t xml:space="preserve">de </w:t>
      </w:r>
      <w:r w:rsidRPr="008F3F94">
        <w:rPr>
          <w:szCs w:val="24"/>
        </w:rPr>
        <w:t xml:space="preserve">la moralité publiques, ou </w:t>
      </w:r>
      <w:r>
        <w:rPr>
          <w:szCs w:val="24"/>
        </w:rPr>
        <w:t xml:space="preserve">à la protection </w:t>
      </w:r>
      <w:r w:rsidRPr="008F3F94">
        <w:rPr>
          <w:szCs w:val="24"/>
        </w:rPr>
        <w:t>des droits et libertés d</w:t>
      </w:r>
      <w:r w:rsidR="0064008B">
        <w:rPr>
          <w:szCs w:val="24"/>
        </w:rPr>
        <w:t>’</w:t>
      </w:r>
      <w:r w:rsidRPr="008F3F94">
        <w:rPr>
          <w:szCs w:val="24"/>
        </w:rPr>
        <w:t>autrui</w:t>
      </w:r>
      <w:r w:rsidRPr="008F3F94">
        <w:rPr>
          <w:szCs w:val="24"/>
          <w:lang w:val="fr-FR"/>
        </w:rPr>
        <w:t xml:space="preserve">. </w:t>
      </w:r>
      <w:r w:rsidRPr="003C303D">
        <w:rPr>
          <w:spacing w:val="-1"/>
          <w:szCs w:val="24"/>
          <w:lang w:val="fr-FR"/>
        </w:rPr>
        <w:t>L</w:t>
      </w:r>
      <w:r w:rsidR="0064008B">
        <w:rPr>
          <w:spacing w:val="-1"/>
          <w:szCs w:val="24"/>
          <w:lang w:val="fr-FR"/>
        </w:rPr>
        <w:t>’</w:t>
      </w:r>
      <w:r w:rsidRPr="003C303D">
        <w:rPr>
          <w:spacing w:val="-1"/>
          <w:szCs w:val="24"/>
          <w:lang w:val="fr-FR"/>
        </w:rPr>
        <w:t>État partie n</w:t>
      </w:r>
      <w:r w:rsidR="0064008B">
        <w:rPr>
          <w:spacing w:val="-1"/>
          <w:szCs w:val="24"/>
          <w:lang w:val="fr-FR"/>
        </w:rPr>
        <w:t>’</w:t>
      </w:r>
      <w:r w:rsidRPr="003C303D">
        <w:rPr>
          <w:spacing w:val="-1"/>
          <w:szCs w:val="24"/>
          <w:lang w:val="fr-FR"/>
        </w:rPr>
        <w:t>a pas non plus montré que, dans le cas d</w:t>
      </w:r>
      <w:r w:rsidR="0064008B">
        <w:rPr>
          <w:spacing w:val="-1"/>
          <w:szCs w:val="24"/>
          <w:lang w:val="fr-FR"/>
        </w:rPr>
        <w:t>’</w:t>
      </w:r>
      <w:r w:rsidRPr="003C303D">
        <w:rPr>
          <w:spacing w:val="-1"/>
          <w:szCs w:val="24"/>
          <w:lang w:val="fr-FR"/>
        </w:rPr>
        <w:t>espèce, ces objectifs ne pouvaient être atteints que par le refus d</w:t>
      </w:r>
      <w:r w:rsidR="0064008B">
        <w:rPr>
          <w:spacing w:val="-1"/>
          <w:szCs w:val="24"/>
          <w:lang w:val="fr-FR"/>
        </w:rPr>
        <w:t>’</w:t>
      </w:r>
      <w:r w:rsidRPr="003C303D">
        <w:rPr>
          <w:spacing w:val="-1"/>
          <w:szCs w:val="24"/>
          <w:lang w:val="fr-FR"/>
        </w:rPr>
        <w:t>autoriser les manifestations de masse prévues.</w:t>
      </w:r>
      <w:r w:rsidR="003C303D" w:rsidRPr="003C303D">
        <w:rPr>
          <w:spacing w:val="-1"/>
          <w:szCs w:val="24"/>
          <w:lang w:val="fr-FR"/>
        </w:rPr>
        <w:t xml:space="preserve"> Étant donné que l</w:t>
      </w:r>
      <w:r w:rsidR="0064008B">
        <w:rPr>
          <w:spacing w:val="-1"/>
          <w:szCs w:val="24"/>
          <w:lang w:val="fr-FR"/>
        </w:rPr>
        <w:t>’</w:t>
      </w:r>
      <w:r w:rsidR="003C303D" w:rsidRPr="003C303D">
        <w:rPr>
          <w:spacing w:val="-1"/>
          <w:szCs w:val="24"/>
          <w:lang w:val="fr-FR"/>
        </w:rPr>
        <w:t>État partie n</w:t>
      </w:r>
      <w:r w:rsidR="0064008B">
        <w:rPr>
          <w:spacing w:val="-1"/>
          <w:szCs w:val="24"/>
          <w:lang w:val="fr-FR"/>
        </w:rPr>
        <w:t>’</w:t>
      </w:r>
      <w:r w:rsidR="003C303D" w:rsidRPr="003C303D">
        <w:rPr>
          <w:spacing w:val="-1"/>
          <w:szCs w:val="24"/>
          <w:lang w:val="fr-FR"/>
        </w:rPr>
        <w:t>a pas montré que le refus d</w:t>
      </w:r>
      <w:r w:rsidR="0064008B">
        <w:rPr>
          <w:spacing w:val="-1"/>
          <w:szCs w:val="24"/>
          <w:lang w:val="fr-FR"/>
        </w:rPr>
        <w:t>’</w:t>
      </w:r>
      <w:r w:rsidR="003C303D" w:rsidRPr="003C303D">
        <w:rPr>
          <w:spacing w:val="-1"/>
          <w:szCs w:val="24"/>
          <w:lang w:val="fr-FR"/>
        </w:rPr>
        <w:t>accorder l</w:t>
      </w:r>
      <w:r w:rsidR="0064008B">
        <w:rPr>
          <w:spacing w:val="-1"/>
          <w:szCs w:val="24"/>
          <w:lang w:val="fr-FR"/>
        </w:rPr>
        <w:t>’</w:t>
      </w:r>
      <w:r w:rsidR="003C303D" w:rsidRPr="003C303D">
        <w:rPr>
          <w:spacing w:val="-1"/>
          <w:szCs w:val="24"/>
          <w:lang w:val="fr-FR"/>
        </w:rPr>
        <w:t>autorisation respectait les critères énoncés à l</w:t>
      </w:r>
      <w:r w:rsidR="0064008B">
        <w:rPr>
          <w:spacing w:val="-1"/>
          <w:szCs w:val="24"/>
          <w:lang w:val="fr-FR"/>
        </w:rPr>
        <w:t>’</w:t>
      </w:r>
      <w:r w:rsidR="003C303D" w:rsidRPr="003C303D">
        <w:rPr>
          <w:spacing w:val="-1"/>
          <w:szCs w:val="24"/>
          <w:lang w:val="fr-FR"/>
        </w:rPr>
        <w:t xml:space="preserve">article 21 du Pacte, le Comité conclut </w:t>
      </w:r>
      <w:r w:rsidR="003C303D" w:rsidRPr="003C303D">
        <w:rPr>
          <w:spacing w:val="-1"/>
        </w:rPr>
        <w:t>que les faits dont il est saisi font apparaître une violation par l</w:t>
      </w:r>
      <w:r w:rsidR="0064008B">
        <w:rPr>
          <w:spacing w:val="-1"/>
        </w:rPr>
        <w:t>’</w:t>
      </w:r>
      <w:r w:rsidR="003C303D" w:rsidRPr="003C303D">
        <w:rPr>
          <w:spacing w:val="-1"/>
        </w:rPr>
        <w:t>État partie des droits que l</w:t>
      </w:r>
      <w:r w:rsidR="0064008B">
        <w:rPr>
          <w:spacing w:val="-1"/>
        </w:rPr>
        <w:t>’</w:t>
      </w:r>
      <w:r w:rsidR="003C303D" w:rsidRPr="003C303D">
        <w:rPr>
          <w:spacing w:val="-1"/>
        </w:rPr>
        <w:t>auteur tient de l</w:t>
      </w:r>
      <w:r w:rsidR="0064008B">
        <w:rPr>
          <w:spacing w:val="-1"/>
        </w:rPr>
        <w:t>’</w:t>
      </w:r>
      <w:r w:rsidR="003C303D" w:rsidRPr="003C303D">
        <w:rPr>
          <w:spacing w:val="-1"/>
        </w:rPr>
        <w:t>article 21 du Pacte</w:t>
      </w:r>
      <w:r w:rsidR="003C303D" w:rsidRPr="003C303D">
        <w:rPr>
          <w:spacing w:val="-1"/>
          <w:szCs w:val="24"/>
          <w:lang w:val="fr-FR"/>
        </w:rPr>
        <w:t>.</w:t>
      </w:r>
    </w:p>
    <w:p w:rsidR="0081758B" w:rsidRDefault="0081758B" w:rsidP="0081758B">
      <w:pPr>
        <w:pStyle w:val="SingleTxtG"/>
        <w:rPr>
          <w:szCs w:val="24"/>
          <w:lang w:val="fr-FR"/>
        </w:rPr>
      </w:pPr>
      <w:r w:rsidRPr="008F3F94">
        <w:rPr>
          <w:szCs w:val="24"/>
          <w:lang w:val="fr-FR"/>
        </w:rPr>
        <w:t>10.</w:t>
      </w:r>
      <w:r w:rsidRPr="008F3F94">
        <w:rPr>
          <w:szCs w:val="24"/>
          <w:lang w:val="fr-FR"/>
        </w:rPr>
        <w:tab/>
      </w:r>
      <w:r w:rsidRPr="008725E7">
        <w:rPr>
          <w:szCs w:val="24"/>
          <w:lang w:val="fr-FR"/>
        </w:rPr>
        <w:t>Le</w:t>
      </w:r>
      <w:r w:rsidRPr="008F3F94">
        <w:t xml:space="preserve"> Comité des droits de l</w:t>
      </w:r>
      <w:r w:rsidR="0064008B">
        <w:t>’</w:t>
      </w:r>
      <w:r w:rsidRPr="008F3F94">
        <w:t xml:space="preserve">homme, </w:t>
      </w:r>
      <w:r>
        <w:t>agissant en vertu du paragraphe </w:t>
      </w:r>
      <w:r w:rsidRPr="008F3F94">
        <w:t>4 de l</w:t>
      </w:r>
      <w:r w:rsidR="0064008B">
        <w:t>’</w:t>
      </w:r>
      <w:r>
        <w:t>article </w:t>
      </w:r>
      <w:r w:rsidRPr="008F3F94">
        <w:t xml:space="preserve">5 du Protocole facultatif se rapportant au Pacte, </w:t>
      </w:r>
      <w:r w:rsidR="003C303D">
        <w:t xml:space="preserve">considère </w:t>
      </w:r>
      <w:r w:rsidRPr="008F3F94">
        <w:t>que l</w:t>
      </w:r>
      <w:r w:rsidR="0064008B">
        <w:t>’</w:t>
      </w:r>
      <w:r w:rsidR="003C303D">
        <w:t>État partie a violé les droits garantis à l</w:t>
      </w:r>
      <w:r w:rsidR="0064008B">
        <w:t>’</w:t>
      </w:r>
      <w:r w:rsidR="003C303D">
        <w:t xml:space="preserve">auteur par </w:t>
      </w:r>
      <w:r w:rsidRPr="008F3F94">
        <w:t>l</w:t>
      </w:r>
      <w:r w:rsidR="0064008B">
        <w:t>’</w:t>
      </w:r>
      <w:r>
        <w:t>article </w:t>
      </w:r>
      <w:r w:rsidRPr="008F3F94">
        <w:t>21 du Pacte</w:t>
      </w:r>
      <w:r>
        <w:rPr>
          <w:szCs w:val="24"/>
          <w:lang w:val="fr-FR"/>
        </w:rPr>
        <w:t>.</w:t>
      </w:r>
    </w:p>
    <w:p w:rsidR="0081758B" w:rsidRDefault="0081758B" w:rsidP="0081758B">
      <w:pPr>
        <w:pStyle w:val="SingleTxtG"/>
        <w:rPr>
          <w:szCs w:val="24"/>
          <w:lang w:val="fr-FR"/>
        </w:rPr>
      </w:pPr>
      <w:r>
        <w:rPr>
          <w:szCs w:val="24"/>
          <w:lang w:val="fr-FR"/>
        </w:rPr>
        <w:t>11.</w:t>
      </w:r>
      <w:r>
        <w:rPr>
          <w:szCs w:val="24"/>
          <w:lang w:val="fr-FR"/>
        </w:rPr>
        <w:tab/>
        <w:t>Conformément au paragraphe </w:t>
      </w:r>
      <w:r w:rsidRPr="008F3F94">
        <w:rPr>
          <w:szCs w:val="24"/>
          <w:lang w:val="fr-FR"/>
        </w:rPr>
        <w:t>3 a) de l</w:t>
      </w:r>
      <w:r w:rsidR="0064008B">
        <w:rPr>
          <w:szCs w:val="24"/>
          <w:lang w:val="fr-FR"/>
        </w:rPr>
        <w:t>’</w:t>
      </w:r>
      <w:r>
        <w:rPr>
          <w:szCs w:val="24"/>
          <w:lang w:val="fr-FR"/>
        </w:rPr>
        <w:t>article </w:t>
      </w:r>
      <w:r w:rsidRPr="008F3F94">
        <w:rPr>
          <w:szCs w:val="24"/>
          <w:lang w:val="fr-FR"/>
        </w:rPr>
        <w:t>2 du Pacte</w:t>
      </w:r>
      <w:r w:rsidRPr="008F3F94">
        <w:t>, l</w:t>
      </w:r>
      <w:r w:rsidR="0064008B">
        <w:t>’</w:t>
      </w:r>
      <w:r w:rsidRPr="008F3F94">
        <w:t>État partie est tenu d</w:t>
      </w:r>
      <w:r w:rsidR="0064008B">
        <w:t>’</w:t>
      </w:r>
      <w:r>
        <w:t xml:space="preserve">assurer </w:t>
      </w:r>
      <w:r w:rsidRPr="008F3F94">
        <w:t>à l</w:t>
      </w:r>
      <w:r w:rsidR="0064008B">
        <w:t>’</w:t>
      </w:r>
      <w:r w:rsidRPr="008F3F94">
        <w:t>auteur un recours utile, sous la forme du remboursement des frais de justice encourus par l</w:t>
      </w:r>
      <w:r w:rsidR="0064008B">
        <w:t>’</w:t>
      </w:r>
      <w:r w:rsidRPr="008F3F94">
        <w:t>auteur, ainsi que d</w:t>
      </w:r>
      <w:r w:rsidR="0064008B">
        <w:t>’</w:t>
      </w:r>
      <w:r w:rsidRPr="008F3F94">
        <w:t>une indemnisation</w:t>
      </w:r>
      <w:r w:rsidR="003C303D">
        <w:t xml:space="preserve"> adéquate</w:t>
      </w:r>
      <w:r w:rsidRPr="008F3F94">
        <w:t>. L</w:t>
      </w:r>
      <w:r w:rsidR="0064008B">
        <w:t>’</w:t>
      </w:r>
      <w:r w:rsidRPr="008F3F94">
        <w:t>État partie est en outre tenu de veiller à ce que des violations analogues ne se reproduisent pas à l</w:t>
      </w:r>
      <w:r w:rsidR="0064008B">
        <w:t>’</w:t>
      </w:r>
      <w:r w:rsidRPr="008F3F94">
        <w:t>avenir.</w:t>
      </w:r>
      <w:r w:rsidRPr="008F3F94">
        <w:rPr>
          <w:szCs w:val="24"/>
          <w:lang w:val="fr-FR"/>
        </w:rPr>
        <w:t xml:space="preserve"> À ce sujet, le</w:t>
      </w:r>
      <w:r>
        <w:rPr>
          <w:szCs w:val="24"/>
          <w:lang w:val="fr-FR"/>
        </w:rPr>
        <w:t> </w:t>
      </w:r>
      <w:r w:rsidRPr="008F3F94">
        <w:rPr>
          <w:szCs w:val="24"/>
          <w:lang w:val="fr-FR"/>
        </w:rPr>
        <w:t>Comité note une nouvelle fois que l</w:t>
      </w:r>
      <w:r w:rsidR="0064008B">
        <w:rPr>
          <w:szCs w:val="24"/>
          <w:lang w:val="fr-FR"/>
        </w:rPr>
        <w:t>’</w:t>
      </w:r>
      <w:r w:rsidRPr="008F3F94">
        <w:rPr>
          <w:szCs w:val="24"/>
          <w:lang w:val="fr-FR"/>
        </w:rPr>
        <w:t>État partie devrait réviser sa législation, en</w:t>
      </w:r>
      <w:r>
        <w:rPr>
          <w:szCs w:val="24"/>
          <w:lang w:val="fr-FR"/>
        </w:rPr>
        <w:t> </w:t>
      </w:r>
      <w:r w:rsidRPr="008F3F94">
        <w:rPr>
          <w:szCs w:val="24"/>
          <w:lang w:val="fr-FR"/>
        </w:rPr>
        <w:t xml:space="preserve">particulier la loi </w:t>
      </w:r>
      <w:r w:rsidR="00F91D4D">
        <w:rPr>
          <w:szCs w:val="24"/>
          <w:lang w:val="fr-FR"/>
        </w:rPr>
        <w:t xml:space="preserve">du 30 décembre 1997 </w:t>
      </w:r>
      <w:r w:rsidRPr="008F3F94">
        <w:rPr>
          <w:szCs w:val="24"/>
          <w:lang w:val="fr-FR"/>
        </w:rPr>
        <w:t xml:space="preserve">sur les manifestations de masse appliquée dans le cas </w:t>
      </w:r>
      <w:r>
        <w:rPr>
          <w:szCs w:val="24"/>
          <w:lang w:val="fr-FR"/>
        </w:rPr>
        <w:t>d</w:t>
      </w:r>
      <w:r w:rsidR="0064008B">
        <w:rPr>
          <w:szCs w:val="24"/>
          <w:lang w:val="fr-FR"/>
        </w:rPr>
        <w:t>’</w:t>
      </w:r>
      <w:r>
        <w:rPr>
          <w:szCs w:val="24"/>
          <w:lang w:val="fr-FR"/>
        </w:rPr>
        <w:t>espèce</w:t>
      </w:r>
      <w:r w:rsidRPr="008F3F94">
        <w:rPr>
          <w:szCs w:val="24"/>
          <w:lang w:val="fr-FR"/>
        </w:rPr>
        <w:t>, afin que le droit consacré par l</w:t>
      </w:r>
      <w:r w:rsidR="0064008B">
        <w:rPr>
          <w:szCs w:val="24"/>
          <w:lang w:val="fr-FR"/>
        </w:rPr>
        <w:t>’</w:t>
      </w:r>
      <w:r>
        <w:rPr>
          <w:szCs w:val="24"/>
          <w:lang w:val="fr-FR"/>
        </w:rPr>
        <w:t>article </w:t>
      </w:r>
      <w:r w:rsidRPr="008F3F94">
        <w:rPr>
          <w:szCs w:val="24"/>
          <w:lang w:val="fr-FR"/>
        </w:rPr>
        <w:t>21 du Pacte puisse être pleinement exercé dans l</w:t>
      </w:r>
      <w:r w:rsidR="0064008B">
        <w:rPr>
          <w:szCs w:val="24"/>
          <w:lang w:val="fr-FR"/>
        </w:rPr>
        <w:t>’</w:t>
      </w:r>
      <w:r w:rsidRPr="008F3F94">
        <w:rPr>
          <w:szCs w:val="24"/>
          <w:lang w:val="fr-FR"/>
        </w:rPr>
        <w:t>État partie</w:t>
      </w:r>
      <w:r w:rsidRPr="000B26C0">
        <w:rPr>
          <w:rStyle w:val="FootnoteReference"/>
        </w:rPr>
        <w:footnoteReference w:id="9"/>
      </w:r>
      <w:r>
        <w:rPr>
          <w:szCs w:val="24"/>
          <w:lang w:val="fr-FR"/>
        </w:rPr>
        <w:t>.</w:t>
      </w:r>
    </w:p>
    <w:p w:rsidR="0081758B" w:rsidRPr="008F3F94" w:rsidRDefault="0081758B" w:rsidP="0081758B">
      <w:pPr>
        <w:pStyle w:val="SingleTxtG"/>
        <w:rPr>
          <w:szCs w:val="24"/>
          <w:lang w:val="fr-FR"/>
        </w:rPr>
      </w:pPr>
      <w:r w:rsidRPr="008F3F94">
        <w:rPr>
          <w:szCs w:val="24"/>
          <w:lang w:val="fr-FR"/>
        </w:rPr>
        <w:t>12.</w:t>
      </w:r>
      <w:r w:rsidRPr="008F3F94">
        <w:rPr>
          <w:szCs w:val="24"/>
          <w:lang w:val="fr-FR"/>
        </w:rPr>
        <w:tab/>
      </w:r>
      <w:r w:rsidRPr="008F3F94">
        <w:t>Étant donné qu</w:t>
      </w:r>
      <w:r w:rsidR="0064008B">
        <w:t>’</w:t>
      </w:r>
      <w:r w:rsidRPr="008F3F94">
        <w:t>en adhérant au Protocole facultatif l</w:t>
      </w:r>
      <w:r w:rsidR="0064008B">
        <w:t>’</w:t>
      </w:r>
      <w:r w:rsidRPr="008F3F94">
        <w:t>État partie a reconnu que le Comité avait compétence pour déterminer s</w:t>
      </w:r>
      <w:r w:rsidR="0064008B">
        <w:t>’</w:t>
      </w:r>
      <w:r w:rsidRPr="008F3F94">
        <w:t>il y avait eu ou non violation du Pacte et que, conformément à l</w:t>
      </w:r>
      <w:r w:rsidR="0064008B">
        <w:t>’</w:t>
      </w:r>
      <w:r w:rsidRPr="008F3F94">
        <w:t>article 2 du Pacte, il s</w:t>
      </w:r>
      <w:r w:rsidR="0064008B">
        <w:t>’</w:t>
      </w:r>
      <w:r w:rsidRPr="008F3F94">
        <w:t>est engagé à garantir à tous les individus se</w:t>
      </w:r>
      <w:r>
        <w:t xml:space="preserve"> trouvant sur son territoire et </w:t>
      </w:r>
      <w:r w:rsidRPr="008F3F94">
        <w:t>relevant de sa juridiction les droits reconnus dans le Pacte et à assurer un recours utile et exécutoire lorsqu</w:t>
      </w:r>
      <w:r w:rsidR="0064008B">
        <w:t>’</w:t>
      </w:r>
      <w:r w:rsidRPr="008F3F94">
        <w:t>une violation a été établie, le Comité souhaite recevoir de l</w:t>
      </w:r>
      <w:r w:rsidR="0064008B">
        <w:t>’</w:t>
      </w:r>
      <w:r w:rsidRPr="008F3F94">
        <w:t>État partie, dans un</w:t>
      </w:r>
      <w:r>
        <w:t xml:space="preserve"> </w:t>
      </w:r>
      <w:r w:rsidRPr="008F3F94">
        <w:t>délai de cent quatre-vingts jours, des renseignements sur les mesures prises pour donner effet à ses constatations. L</w:t>
      </w:r>
      <w:r w:rsidR="0064008B">
        <w:t>’</w:t>
      </w:r>
      <w:r w:rsidRPr="008F3F94">
        <w:t>État partie est invité en outre à rendre publiques les présentes constatations et à les faire diffuser largement dans le pays en</w:t>
      </w:r>
      <w:r>
        <w:t> biélorusse</w:t>
      </w:r>
      <w:r w:rsidRPr="008F3F94">
        <w:t xml:space="preserve"> et en russe</w:t>
      </w:r>
      <w:r>
        <w:rPr>
          <w:szCs w:val="24"/>
          <w:lang w:val="fr-FR"/>
        </w:rPr>
        <w:t>.</w:t>
      </w:r>
    </w:p>
    <w:p w:rsidR="0081758B" w:rsidRDefault="0081758B" w:rsidP="0081758B">
      <w:pPr>
        <w:pStyle w:val="SingleTxtG"/>
        <w:rPr>
          <w:szCs w:val="24"/>
          <w:lang w:val="fr-FR"/>
        </w:rPr>
      </w:pPr>
      <w:r w:rsidRPr="008F3F94">
        <w:rPr>
          <w:szCs w:val="24"/>
          <w:lang w:val="fr-FR"/>
        </w:rPr>
        <w:t>[</w:t>
      </w:r>
      <w:r w:rsidRPr="008F3F94">
        <w:t xml:space="preserve">Adopté en anglais (version originale), en espagnol et en français. Paraîtra ultérieurement en arabe, en chinois et en russe dans le rapport annuel </w:t>
      </w:r>
      <w:r w:rsidR="00510743">
        <w:t>du</w:t>
      </w:r>
      <w:r w:rsidRPr="008F3F94">
        <w:t xml:space="preserve"> Comité à</w:t>
      </w:r>
      <w:r w:rsidR="00510743">
        <w:t xml:space="preserve"> </w:t>
      </w:r>
      <w:r w:rsidRPr="008F3F94">
        <w:t>l</w:t>
      </w:r>
      <w:r w:rsidR="0064008B">
        <w:t>’</w:t>
      </w:r>
      <w:r w:rsidRPr="008F3F94">
        <w:t>Assemblée</w:t>
      </w:r>
      <w:r w:rsidR="00510743">
        <w:t xml:space="preserve"> </w:t>
      </w:r>
      <w:r w:rsidRPr="008F3F94">
        <w:t>générale</w:t>
      </w:r>
      <w:r w:rsidRPr="008F3F94">
        <w:rPr>
          <w:szCs w:val="24"/>
          <w:lang w:val="fr-FR"/>
        </w:rPr>
        <w:t>.]</w:t>
      </w:r>
    </w:p>
    <w:p w:rsidR="00EF3D1B" w:rsidRPr="00EF3D1B" w:rsidRDefault="00EF3D1B" w:rsidP="00EF3D1B">
      <w:pPr>
        <w:pStyle w:val="SingleTxtG"/>
        <w:spacing w:before="240" w:after="0"/>
        <w:jc w:val="center"/>
        <w:rPr>
          <w:u w:val="single"/>
        </w:rPr>
      </w:pPr>
      <w:r>
        <w:rPr>
          <w:u w:val="single"/>
        </w:rPr>
        <w:tab/>
      </w:r>
      <w:r>
        <w:rPr>
          <w:u w:val="single"/>
        </w:rPr>
        <w:tab/>
      </w:r>
      <w:r>
        <w:rPr>
          <w:u w:val="single"/>
        </w:rPr>
        <w:tab/>
      </w:r>
    </w:p>
    <w:sectPr w:rsidR="00EF3D1B" w:rsidRPr="00EF3D1B" w:rsidSect="00696D3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9C" w:rsidRDefault="00A05B9C"/>
  </w:endnote>
  <w:endnote w:type="continuationSeparator" w:id="0">
    <w:p w:rsidR="00A05B9C" w:rsidRDefault="00A05B9C"/>
  </w:endnote>
  <w:endnote w:type="continuationNotice" w:id="1">
    <w:p w:rsidR="00A05B9C" w:rsidRPr="00903B66" w:rsidRDefault="00A05B9C"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33" w:rsidRPr="00696D33" w:rsidRDefault="00696D33" w:rsidP="00696D33">
    <w:pPr>
      <w:pStyle w:val="Footer"/>
      <w:tabs>
        <w:tab w:val="right" w:pos="9638"/>
      </w:tabs>
    </w:pPr>
    <w:r w:rsidRPr="00696D33">
      <w:rPr>
        <w:b/>
        <w:sz w:val="18"/>
      </w:rPr>
      <w:fldChar w:fldCharType="begin"/>
    </w:r>
    <w:r w:rsidRPr="00696D33">
      <w:rPr>
        <w:b/>
        <w:sz w:val="18"/>
      </w:rPr>
      <w:instrText xml:space="preserve"> PAGE  \* MERGEFORMAT </w:instrText>
    </w:r>
    <w:r w:rsidRPr="00696D33">
      <w:rPr>
        <w:b/>
        <w:sz w:val="18"/>
      </w:rPr>
      <w:fldChar w:fldCharType="separate"/>
    </w:r>
    <w:r w:rsidR="00775C91">
      <w:rPr>
        <w:b/>
        <w:noProof/>
        <w:sz w:val="18"/>
      </w:rPr>
      <w:t>4</w:t>
    </w:r>
    <w:r w:rsidRPr="00696D33">
      <w:rPr>
        <w:b/>
        <w:sz w:val="18"/>
      </w:rPr>
      <w:fldChar w:fldCharType="end"/>
    </w:r>
    <w:r>
      <w:rPr>
        <w:b/>
        <w:sz w:val="18"/>
      </w:rPr>
      <w:tab/>
    </w:r>
    <w:r>
      <w:t>GE.13-4</w:t>
    </w:r>
    <w:r w:rsidR="004E2CB5">
      <w:t>9334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33" w:rsidRPr="00696D33" w:rsidRDefault="004E2CB5" w:rsidP="00696D33">
    <w:pPr>
      <w:pStyle w:val="Footer"/>
      <w:tabs>
        <w:tab w:val="right" w:pos="9638"/>
      </w:tabs>
      <w:rPr>
        <w:b/>
        <w:sz w:val="18"/>
      </w:rPr>
    </w:pPr>
    <w:r>
      <w:t>GE.13-49334</w:t>
    </w:r>
    <w:r w:rsidR="00696D33">
      <w:tab/>
    </w:r>
    <w:r w:rsidR="00696D33" w:rsidRPr="00696D33">
      <w:rPr>
        <w:b/>
        <w:sz w:val="18"/>
      </w:rPr>
      <w:fldChar w:fldCharType="begin"/>
    </w:r>
    <w:r w:rsidR="00696D33" w:rsidRPr="00696D33">
      <w:rPr>
        <w:b/>
        <w:sz w:val="18"/>
      </w:rPr>
      <w:instrText xml:space="preserve"> PAGE  \* MERGEFORMAT </w:instrText>
    </w:r>
    <w:r w:rsidR="00696D33" w:rsidRPr="00696D33">
      <w:rPr>
        <w:b/>
        <w:sz w:val="18"/>
      </w:rPr>
      <w:fldChar w:fldCharType="separate"/>
    </w:r>
    <w:r w:rsidR="00775C91">
      <w:rPr>
        <w:b/>
        <w:noProof/>
        <w:sz w:val="18"/>
      </w:rPr>
      <w:t>3</w:t>
    </w:r>
    <w:r w:rsidR="00696D33" w:rsidRPr="00696D3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D0" w:rsidRDefault="00DB1902">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652.05pt;width:86.95pt;height:18.35pt;z-index:1;mso-position-vertical-relative:margin">
          <v:imagedata r:id="rId1" o:title="recycle_French"/>
          <w10:wrap anchory="margin"/>
        </v:shape>
      </w:pict>
    </w:r>
    <w:r w:rsidR="00696D33">
      <w:rPr>
        <w:sz w:val="20"/>
      </w:rPr>
      <w:t>GE.13-</w:t>
    </w:r>
    <w:r w:rsidR="005773DE">
      <w:rPr>
        <w:sz w:val="20"/>
      </w:rPr>
      <w:t>49334</w:t>
    </w:r>
    <w:r w:rsidR="00696D33">
      <w:rPr>
        <w:sz w:val="20"/>
      </w:rPr>
      <w:t xml:space="preserve"> (F)    </w:t>
    </w:r>
    <w:r w:rsidR="00063AEE">
      <w:rPr>
        <w:sz w:val="20"/>
      </w:rPr>
      <w:t xml:space="preserve">051213    </w:t>
    </w:r>
    <w:r w:rsidR="0006315F">
      <w:rPr>
        <w:sz w:val="20"/>
      </w:rPr>
      <w:t>061213</w:t>
    </w:r>
    <w:r>
      <w:rPr>
        <w:sz w:val="20"/>
      </w:rPr>
      <w:br/>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r w:rsidRPr="00F2005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9C" w:rsidRPr="00D27D5E" w:rsidRDefault="00A05B9C" w:rsidP="00D27D5E">
      <w:pPr>
        <w:tabs>
          <w:tab w:val="right" w:pos="2155"/>
        </w:tabs>
        <w:spacing w:after="80"/>
        <w:ind w:left="680"/>
        <w:rPr>
          <w:u w:val="single"/>
        </w:rPr>
      </w:pPr>
      <w:r>
        <w:rPr>
          <w:u w:val="single"/>
        </w:rPr>
        <w:tab/>
      </w:r>
    </w:p>
  </w:footnote>
  <w:footnote w:type="continuationSeparator" w:id="0">
    <w:p w:rsidR="00A05B9C" w:rsidRPr="00091505" w:rsidRDefault="00A05B9C" w:rsidP="00091505">
      <w:pPr>
        <w:tabs>
          <w:tab w:val="right" w:pos="2155"/>
        </w:tabs>
        <w:spacing w:after="80"/>
        <w:ind w:left="680"/>
        <w:rPr>
          <w:u w:val="single"/>
        </w:rPr>
      </w:pPr>
      <w:r w:rsidRPr="00091505">
        <w:rPr>
          <w:u w:val="single"/>
        </w:rPr>
        <w:tab/>
      </w:r>
    </w:p>
  </w:footnote>
  <w:footnote w:type="continuationNotice" w:id="1">
    <w:p w:rsidR="00A05B9C" w:rsidRPr="00903B66" w:rsidRDefault="00A05B9C" w:rsidP="00903B66">
      <w:pPr>
        <w:spacing w:line="240" w:lineRule="auto"/>
        <w:rPr>
          <w:sz w:val="2"/>
          <w:szCs w:val="2"/>
        </w:rPr>
      </w:pPr>
    </w:p>
  </w:footnote>
  <w:footnote w:id="2">
    <w:p w:rsidR="001E008E" w:rsidRPr="001E008E" w:rsidRDefault="001E008E">
      <w:pPr>
        <w:pStyle w:val="FootnoteText"/>
        <w:rPr>
          <w:lang w:val="fr-FR"/>
        </w:rPr>
      </w:pPr>
      <w:r>
        <w:tab/>
      </w:r>
      <w:r w:rsidRPr="001E008E">
        <w:rPr>
          <w:rStyle w:val="FootnoteReference"/>
          <w:sz w:val="20"/>
          <w:vertAlign w:val="baseline"/>
        </w:rPr>
        <w:t>*</w:t>
      </w:r>
      <w:r>
        <w:rPr>
          <w:sz w:val="20"/>
        </w:rPr>
        <w:tab/>
      </w:r>
      <w:r>
        <w:rPr>
          <w:szCs w:val="18"/>
          <w:lang w:val="fr-FR"/>
        </w:rPr>
        <w:t xml:space="preserve">Les membres du </w:t>
      </w:r>
      <w:r w:rsidR="00063AEE">
        <w:rPr>
          <w:szCs w:val="18"/>
          <w:lang w:val="fr-FR"/>
        </w:rPr>
        <w:t>Comité</w:t>
      </w:r>
      <w:r>
        <w:rPr>
          <w:szCs w:val="18"/>
          <w:lang w:val="fr-FR"/>
        </w:rPr>
        <w:t xml:space="preserve"> dont le nom suit ont participé à l’examen de la communication: </w:t>
      </w:r>
      <w:r w:rsidR="00063AEE">
        <w:rPr>
          <w:szCs w:val="18"/>
        </w:rPr>
        <w:t xml:space="preserve">M. Yadh Ben Achour, </w:t>
      </w:r>
      <w:r w:rsidR="00063AEE" w:rsidRPr="009131F3">
        <w:rPr>
          <w:bCs/>
          <w:szCs w:val="18"/>
        </w:rPr>
        <w:t xml:space="preserve">M. Lazhari Bouzid, </w:t>
      </w:r>
      <w:r w:rsidR="00063AEE">
        <w:rPr>
          <w:bCs/>
          <w:szCs w:val="18"/>
          <w:lang w:val="en-US"/>
        </w:rPr>
        <w:t>M. </w:t>
      </w:r>
      <w:r w:rsidR="00063AEE" w:rsidRPr="009131F3">
        <w:rPr>
          <w:bCs/>
          <w:szCs w:val="18"/>
          <w:lang w:val="en-US"/>
        </w:rPr>
        <w:t xml:space="preserve">Ahmad Amin Fathalla, </w:t>
      </w:r>
      <w:r w:rsidR="00063AEE">
        <w:rPr>
          <w:bCs/>
          <w:szCs w:val="18"/>
        </w:rPr>
        <w:t>M. </w:t>
      </w:r>
      <w:r w:rsidR="00063AEE" w:rsidRPr="009131F3">
        <w:rPr>
          <w:bCs/>
          <w:szCs w:val="18"/>
        </w:rPr>
        <w:t xml:space="preserve">Cornelis Flinterman, </w:t>
      </w:r>
      <w:r w:rsidR="00063AEE">
        <w:rPr>
          <w:bCs/>
          <w:szCs w:val="18"/>
        </w:rPr>
        <w:t xml:space="preserve">M. Walter Kälin, </w:t>
      </w:r>
      <w:r w:rsidR="006F0945">
        <w:rPr>
          <w:bCs/>
          <w:szCs w:val="18"/>
        </w:rPr>
        <w:t>M</w:t>
      </w:r>
      <w:r w:rsidR="006F0945" w:rsidRPr="00063AEE">
        <w:rPr>
          <w:bCs/>
          <w:szCs w:val="18"/>
          <w:vertAlign w:val="superscript"/>
        </w:rPr>
        <w:t>me</w:t>
      </w:r>
      <w:r w:rsidR="006F0945">
        <w:rPr>
          <w:bCs/>
          <w:szCs w:val="18"/>
        </w:rPr>
        <w:t> </w:t>
      </w:r>
      <w:r w:rsidR="00063AEE" w:rsidRPr="009131F3">
        <w:rPr>
          <w:bCs/>
          <w:szCs w:val="18"/>
        </w:rPr>
        <w:t>Zonke Zanele Majodina,</w:t>
      </w:r>
      <w:r w:rsidR="00063AEE">
        <w:rPr>
          <w:bCs/>
          <w:szCs w:val="18"/>
        </w:rPr>
        <w:t xml:space="preserve"> M. Kheshoe Parsad Matadeen,</w:t>
      </w:r>
      <w:r w:rsidR="00063AEE" w:rsidRPr="009131F3">
        <w:rPr>
          <w:bCs/>
          <w:szCs w:val="18"/>
        </w:rPr>
        <w:t xml:space="preserve"> </w:t>
      </w:r>
      <w:r w:rsidR="00063AEE">
        <w:rPr>
          <w:bCs/>
          <w:szCs w:val="18"/>
        </w:rPr>
        <w:t>M. </w:t>
      </w:r>
      <w:r w:rsidR="00063AEE" w:rsidRPr="009131F3">
        <w:rPr>
          <w:bCs/>
          <w:szCs w:val="18"/>
        </w:rPr>
        <w:t>Gerald L.</w:t>
      </w:r>
      <w:r w:rsidR="00063AEE">
        <w:rPr>
          <w:bCs/>
          <w:szCs w:val="18"/>
        </w:rPr>
        <w:t> </w:t>
      </w:r>
      <w:r w:rsidR="00063AEE" w:rsidRPr="009131F3">
        <w:rPr>
          <w:bCs/>
          <w:szCs w:val="18"/>
        </w:rPr>
        <w:t xml:space="preserve">Neuman, </w:t>
      </w:r>
      <w:r w:rsidR="00063AEE" w:rsidRPr="001107FF">
        <w:rPr>
          <w:bCs/>
          <w:spacing w:val="-4"/>
          <w:szCs w:val="18"/>
        </w:rPr>
        <w:t>Sir</w:t>
      </w:r>
      <w:r w:rsidR="001107FF" w:rsidRPr="001107FF">
        <w:rPr>
          <w:bCs/>
          <w:spacing w:val="-4"/>
          <w:szCs w:val="18"/>
        </w:rPr>
        <w:t> </w:t>
      </w:r>
      <w:r w:rsidR="00063AEE" w:rsidRPr="001107FF">
        <w:rPr>
          <w:bCs/>
          <w:spacing w:val="-4"/>
          <w:szCs w:val="18"/>
        </w:rPr>
        <w:t xml:space="preserve">Nigel Rodley, M. Víctor Manuel Rodríguez Rescia, </w:t>
      </w:r>
      <w:r w:rsidR="00063AEE" w:rsidRPr="001107FF">
        <w:rPr>
          <w:bCs/>
          <w:spacing w:val="-4"/>
          <w:szCs w:val="18"/>
          <w:lang w:val="en-US"/>
        </w:rPr>
        <w:t xml:space="preserve">M. Fabián Omar Salvioli, </w:t>
      </w:r>
      <w:r w:rsidR="001107FF" w:rsidRPr="001107FF">
        <w:rPr>
          <w:bCs/>
          <w:spacing w:val="-4"/>
          <w:szCs w:val="18"/>
        </w:rPr>
        <w:t>M</w:t>
      </w:r>
      <w:r w:rsidR="001107FF" w:rsidRPr="001107FF">
        <w:rPr>
          <w:bCs/>
          <w:spacing w:val="-4"/>
          <w:szCs w:val="18"/>
          <w:vertAlign w:val="superscript"/>
        </w:rPr>
        <w:t>me</w:t>
      </w:r>
      <w:r w:rsidR="001107FF" w:rsidRPr="001107FF">
        <w:rPr>
          <w:bCs/>
          <w:spacing w:val="-4"/>
          <w:szCs w:val="18"/>
        </w:rPr>
        <w:t> </w:t>
      </w:r>
      <w:r w:rsidR="00063AEE" w:rsidRPr="001107FF">
        <w:rPr>
          <w:bCs/>
          <w:spacing w:val="-4"/>
          <w:szCs w:val="18"/>
          <w:lang w:val="en-US"/>
        </w:rPr>
        <w:t>Anja Seibert</w:t>
      </w:r>
      <w:r w:rsidR="00063AEE" w:rsidRPr="001107FF">
        <w:rPr>
          <w:bCs/>
          <w:spacing w:val="-4"/>
          <w:szCs w:val="18"/>
          <w:lang w:val="en-US"/>
        </w:rPr>
        <w:noBreakHyphen/>
        <w:t>Fohr,</w:t>
      </w:r>
      <w:r w:rsidR="00063AEE">
        <w:rPr>
          <w:bCs/>
          <w:szCs w:val="18"/>
          <w:lang w:val="en-US"/>
        </w:rPr>
        <w:t xml:space="preserve"> </w:t>
      </w:r>
      <w:r w:rsidR="00063AEE" w:rsidRPr="009131F3">
        <w:rPr>
          <w:bCs/>
          <w:szCs w:val="18"/>
          <w:lang w:val="en-US"/>
        </w:rPr>
        <w:t>M.</w:t>
      </w:r>
      <w:r w:rsidR="00063AEE">
        <w:rPr>
          <w:bCs/>
          <w:szCs w:val="18"/>
          <w:lang w:val="en-US"/>
        </w:rPr>
        <w:t> Yuval Shany, M. Konstantine Vardzelashvili</w:t>
      </w:r>
      <w:r w:rsidR="00063AEE" w:rsidRPr="009131F3">
        <w:rPr>
          <w:bCs/>
          <w:szCs w:val="18"/>
          <w:lang w:val="en-US"/>
        </w:rPr>
        <w:t xml:space="preserve"> </w:t>
      </w:r>
      <w:r w:rsidR="00063AEE">
        <w:rPr>
          <w:bCs/>
          <w:szCs w:val="18"/>
          <w:lang w:val="en-US"/>
        </w:rPr>
        <w:t>et</w:t>
      </w:r>
      <w:r w:rsidR="00063AEE" w:rsidRPr="009131F3">
        <w:rPr>
          <w:bCs/>
          <w:szCs w:val="18"/>
          <w:lang w:val="en-US"/>
        </w:rPr>
        <w:t xml:space="preserve"> </w:t>
      </w:r>
      <w:r w:rsidR="00063AEE">
        <w:rPr>
          <w:bCs/>
          <w:szCs w:val="18"/>
        </w:rPr>
        <w:t>M</w:t>
      </w:r>
      <w:r w:rsidR="00063AEE" w:rsidRPr="00063AEE">
        <w:rPr>
          <w:bCs/>
          <w:szCs w:val="18"/>
          <w:vertAlign w:val="superscript"/>
        </w:rPr>
        <w:t>me</w:t>
      </w:r>
      <w:r w:rsidR="00063AEE">
        <w:rPr>
          <w:bCs/>
          <w:szCs w:val="18"/>
        </w:rPr>
        <w:t> </w:t>
      </w:r>
      <w:r w:rsidR="00063AEE" w:rsidRPr="009131F3">
        <w:rPr>
          <w:bCs/>
          <w:szCs w:val="18"/>
        </w:rPr>
        <w:t>Margo Waterval.</w:t>
      </w:r>
    </w:p>
  </w:footnote>
  <w:footnote w:id="3">
    <w:p w:rsidR="004E2CB5" w:rsidRDefault="004E2CB5">
      <w:pPr>
        <w:pStyle w:val="FootnoteText"/>
      </w:pPr>
      <w:r>
        <w:tab/>
      </w:r>
      <w:r>
        <w:rPr>
          <w:rStyle w:val="FootnoteReference"/>
        </w:rPr>
        <w:footnoteRef/>
      </w:r>
      <w:r>
        <w:tab/>
        <w:t>Le Protocole facultatif est entré en vigueur pour le Bélarus le 30 décembre 1992.</w:t>
      </w:r>
    </w:p>
  </w:footnote>
  <w:footnote w:id="4">
    <w:p w:rsidR="0081758B" w:rsidRPr="008F3F94" w:rsidRDefault="0081758B" w:rsidP="0081758B">
      <w:pPr>
        <w:pStyle w:val="FootnoteText"/>
      </w:pPr>
      <w:r w:rsidRPr="008F3F94">
        <w:tab/>
      </w:r>
      <w:r w:rsidRPr="000B26C0">
        <w:rPr>
          <w:rStyle w:val="FootnoteReference"/>
        </w:rPr>
        <w:footnoteRef/>
      </w:r>
      <w:r>
        <w:tab/>
        <w:t>Le paragraphe </w:t>
      </w:r>
      <w:r w:rsidRPr="008F3F94">
        <w:t>5 de l</w:t>
      </w:r>
      <w:r>
        <w:t>’</w:t>
      </w:r>
      <w:r w:rsidRPr="008F3F94">
        <w:t>article</w:t>
      </w:r>
      <w:r>
        <w:t> </w:t>
      </w:r>
      <w:r w:rsidRPr="008F3F94">
        <w:t xml:space="preserve">5 de la loi sur les manifestations </w:t>
      </w:r>
      <w:r>
        <w:t xml:space="preserve">de masse </w:t>
      </w:r>
      <w:r w:rsidR="008936C4">
        <w:t xml:space="preserve">énumère, entre autres, </w:t>
      </w:r>
      <w:r>
        <w:t>comme suit</w:t>
      </w:r>
      <w:r w:rsidR="008936C4">
        <w:t xml:space="preserve"> les renseignements que </w:t>
      </w:r>
      <w:r w:rsidRPr="008F3F94">
        <w:t xml:space="preserve">doit comporter </w:t>
      </w:r>
      <w:r w:rsidR="008936C4">
        <w:t>une demande</w:t>
      </w:r>
      <w:r w:rsidRPr="008F3F94">
        <w:t xml:space="preserve">: objet, </w:t>
      </w:r>
      <w:r w:rsidR="008936C4">
        <w:t xml:space="preserve">nature </w:t>
      </w:r>
      <w:r>
        <w:t>et lieu de la manifestation de </w:t>
      </w:r>
      <w:r w:rsidRPr="008F3F94">
        <w:t>masse; date, heure</w:t>
      </w:r>
      <w:r w:rsidR="00106150">
        <w:t>s</w:t>
      </w:r>
      <w:r w:rsidRPr="008F3F94">
        <w:t xml:space="preserve"> de début et de fin, itinéraire; estimation du nombre de participants; prénom, patronyme et nom de famille de l</w:t>
      </w:r>
      <w:r>
        <w:t>’</w:t>
      </w:r>
      <w:r w:rsidRPr="008F3F94">
        <w:t>organisateur (ou des organisateurs); lieu de résidence et de travail (ou d</w:t>
      </w:r>
      <w:r>
        <w:t>’</w:t>
      </w:r>
      <w:r w:rsidRPr="008F3F94">
        <w:t>études) de l</w:t>
      </w:r>
      <w:r>
        <w:t>’</w:t>
      </w:r>
      <w:r w:rsidRPr="008F3F94">
        <w:t>organisateur (ou des organisateurs); mesures visant à assurer la protection de l</w:t>
      </w:r>
      <w:r>
        <w:t>’</w:t>
      </w:r>
      <w:r w:rsidRPr="008F3F94">
        <w:t>ordre public et la sécurité lors de la manifestation de masse; mesures</w:t>
      </w:r>
      <w:r>
        <w:t xml:space="preserve"> liées aux soins médicaux et au </w:t>
      </w:r>
      <w:r w:rsidRPr="008F3F94">
        <w:t>nettoyage du site après la manifestation de mass</w:t>
      </w:r>
      <w:r w:rsidR="009D4689">
        <w:t>e; date de dépôt de la demande.</w:t>
      </w:r>
    </w:p>
  </w:footnote>
  <w:footnote w:id="5">
    <w:p w:rsidR="0081758B" w:rsidRDefault="0081758B" w:rsidP="0081758B">
      <w:pPr>
        <w:pStyle w:val="FootnoteText"/>
      </w:pPr>
      <w:r w:rsidRPr="005E6E8A">
        <w:rPr>
          <w:lang w:val="fr-FR"/>
        </w:rPr>
        <w:tab/>
      </w:r>
      <w:r w:rsidRPr="000B26C0">
        <w:rPr>
          <w:rStyle w:val="FootnoteReference"/>
        </w:rPr>
        <w:footnoteRef/>
      </w:r>
      <w:r w:rsidRPr="005E6E8A">
        <w:rPr>
          <w:lang w:val="fr-FR"/>
        </w:rPr>
        <w:tab/>
        <w:t>Conformé</w:t>
      </w:r>
      <w:r>
        <w:rPr>
          <w:lang w:val="fr-FR"/>
        </w:rPr>
        <w:t xml:space="preserve">ment à la décision </w:t>
      </w:r>
      <w:r w:rsidRPr="005B6352">
        <w:rPr>
          <w:lang w:val="fr-FR"/>
        </w:rPr>
        <w:t>n</w:t>
      </w:r>
      <w:r w:rsidRPr="005B6352">
        <w:rPr>
          <w:vertAlign w:val="superscript"/>
          <w:lang w:val="fr-FR"/>
        </w:rPr>
        <w:t>o</w:t>
      </w:r>
      <w:r>
        <w:rPr>
          <w:lang w:val="fr-FR"/>
        </w:rPr>
        <w:t> 318 du 11 </w:t>
      </w:r>
      <w:r w:rsidRPr="005E6E8A">
        <w:rPr>
          <w:lang w:val="fr-FR"/>
        </w:rPr>
        <w:t>avril 2006 du Comité exé</w:t>
      </w:r>
      <w:r>
        <w:rPr>
          <w:lang w:val="fr-FR"/>
        </w:rPr>
        <w:t>cutif de la ville de Gomel, les manifestations de masse</w:t>
      </w:r>
      <w:r w:rsidRPr="005E6E8A">
        <w:rPr>
          <w:lang w:val="fr-FR"/>
        </w:rPr>
        <w:t xml:space="preserve"> doiven</w:t>
      </w:r>
      <w:r>
        <w:rPr>
          <w:lang w:val="fr-FR"/>
        </w:rPr>
        <w:t xml:space="preserve">t être organisées </w:t>
      </w:r>
      <w:r w:rsidR="008936C4">
        <w:rPr>
          <w:lang w:val="fr-FR"/>
        </w:rPr>
        <w:t>dans une zone</w:t>
      </w:r>
      <w:r>
        <w:rPr>
          <w:lang w:val="fr-FR"/>
        </w:rPr>
        <w:t xml:space="preserve"> située devant le Palais de la culture de l’entreprise unitaire privée </w:t>
      </w:r>
      <w:r w:rsidRPr="00CF0510">
        <w:rPr>
          <w:lang w:val="fr-FR"/>
        </w:rPr>
        <w:t>Vipra.</w:t>
      </w:r>
    </w:p>
  </w:footnote>
  <w:footnote w:id="6">
    <w:p w:rsidR="0081758B" w:rsidRDefault="0081758B" w:rsidP="0081758B">
      <w:pPr>
        <w:pStyle w:val="FootnoteText"/>
      </w:pPr>
      <w:r w:rsidRPr="005E6E8A">
        <w:rPr>
          <w:lang w:val="fr-FR"/>
        </w:rPr>
        <w:tab/>
      </w:r>
      <w:r w:rsidRPr="000B26C0">
        <w:rPr>
          <w:rStyle w:val="FootnoteReference"/>
        </w:rPr>
        <w:footnoteRef/>
      </w:r>
      <w:r w:rsidRPr="005E6E8A">
        <w:rPr>
          <w:lang w:val="fr-FR"/>
        </w:rPr>
        <w:t xml:space="preserve"> </w:t>
      </w:r>
      <w:r w:rsidRPr="005E6E8A">
        <w:rPr>
          <w:lang w:val="fr-FR"/>
        </w:rPr>
        <w:tab/>
        <w:t>Voir par exemple l</w:t>
      </w:r>
      <w:r w:rsidR="009B2382">
        <w:rPr>
          <w:lang w:val="fr-FR"/>
        </w:rPr>
        <w:t>es</w:t>
      </w:r>
      <w:r w:rsidRPr="005E6E8A">
        <w:rPr>
          <w:lang w:val="fr-FR"/>
        </w:rPr>
        <w:t xml:space="preserve"> communication</w:t>
      </w:r>
      <w:r w:rsidR="009B2382">
        <w:rPr>
          <w:lang w:val="fr-FR"/>
        </w:rPr>
        <w:t>s</w:t>
      </w:r>
      <w:r w:rsidRPr="005E6E8A">
        <w:rPr>
          <w:lang w:val="fr-FR"/>
        </w:rPr>
        <w:t xml:space="preserve"> </w:t>
      </w:r>
      <w:r w:rsidRPr="005B6352">
        <w:rPr>
          <w:lang w:val="fr-FR"/>
        </w:rPr>
        <w:t>n</w:t>
      </w:r>
      <w:r w:rsidRPr="005B6352">
        <w:rPr>
          <w:vertAlign w:val="superscript"/>
          <w:lang w:val="fr-FR"/>
        </w:rPr>
        <w:t>o</w:t>
      </w:r>
      <w:r w:rsidR="009B2382">
        <w:rPr>
          <w:vertAlign w:val="superscript"/>
          <w:lang w:val="fr-FR"/>
        </w:rPr>
        <w:t>s</w:t>
      </w:r>
      <w:r>
        <w:rPr>
          <w:lang w:val="fr-FR"/>
        </w:rPr>
        <w:t> </w:t>
      </w:r>
      <w:r w:rsidRPr="005E6E8A">
        <w:rPr>
          <w:lang w:val="fr-FR"/>
        </w:rPr>
        <w:t xml:space="preserve">1785/2008, </w:t>
      </w:r>
      <w:r w:rsidRPr="005E6E8A">
        <w:rPr>
          <w:i/>
          <w:lang w:val="fr-FR"/>
        </w:rPr>
        <w:t xml:space="preserve">Olechkevitch </w:t>
      </w:r>
      <w:r w:rsidRPr="000D5BB2">
        <w:rPr>
          <w:lang w:val="fr-FR"/>
        </w:rPr>
        <w:t>c.</w:t>
      </w:r>
      <w:r w:rsidRPr="005E6E8A">
        <w:rPr>
          <w:i/>
          <w:lang w:val="fr-FR"/>
        </w:rPr>
        <w:t xml:space="preserve"> Bélarus</w:t>
      </w:r>
      <w:r w:rsidRPr="005E6E8A">
        <w:rPr>
          <w:lang w:val="fr-FR"/>
        </w:rPr>
        <w:t>, constatations adoptées le</w:t>
      </w:r>
      <w:r>
        <w:rPr>
          <w:lang w:val="fr-FR"/>
        </w:rPr>
        <w:t> </w:t>
      </w:r>
      <w:r w:rsidRPr="005E6E8A">
        <w:rPr>
          <w:lang w:val="fr-FR"/>
        </w:rPr>
        <w:t>18</w:t>
      </w:r>
      <w:r>
        <w:rPr>
          <w:lang w:val="fr-FR"/>
        </w:rPr>
        <w:t> mars 2013, par. </w:t>
      </w:r>
      <w:r w:rsidR="009B2382">
        <w:rPr>
          <w:lang w:val="fr-FR"/>
        </w:rPr>
        <w:t xml:space="preserve">7.3, </w:t>
      </w:r>
      <w:r w:rsidRPr="005E6E8A">
        <w:rPr>
          <w:lang w:val="fr-FR"/>
        </w:rPr>
        <w:t xml:space="preserve">1784/2008, </w:t>
      </w:r>
      <w:r w:rsidRPr="005E6E8A">
        <w:rPr>
          <w:i/>
          <w:lang w:val="fr-FR"/>
        </w:rPr>
        <w:t>Schumilin</w:t>
      </w:r>
      <w:r w:rsidRPr="002B1337">
        <w:rPr>
          <w:lang w:val="fr-FR"/>
        </w:rPr>
        <w:t xml:space="preserve"> c.</w:t>
      </w:r>
      <w:r w:rsidRPr="005E6E8A">
        <w:rPr>
          <w:i/>
          <w:lang w:val="fr-FR"/>
        </w:rPr>
        <w:t xml:space="preserve"> Bélarus</w:t>
      </w:r>
      <w:r w:rsidRPr="005E6E8A">
        <w:rPr>
          <w:lang w:val="fr-FR"/>
        </w:rPr>
        <w:t>, constatations adoptées le 23</w:t>
      </w:r>
      <w:r>
        <w:rPr>
          <w:lang w:val="fr-FR"/>
        </w:rPr>
        <w:t> </w:t>
      </w:r>
      <w:r w:rsidRPr="005E6E8A">
        <w:rPr>
          <w:lang w:val="fr-FR"/>
        </w:rPr>
        <w:t>juillet 2012, par.</w:t>
      </w:r>
      <w:r>
        <w:rPr>
          <w:lang w:val="fr-FR"/>
        </w:rPr>
        <w:t> </w:t>
      </w:r>
      <w:r w:rsidRPr="005E6E8A">
        <w:rPr>
          <w:lang w:val="fr-FR"/>
        </w:rPr>
        <w:t>8.3</w:t>
      </w:r>
      <w:r w:rsidR="009B2382">
        <w:rPr>
          <w:lang w:val="fr-FR"/>
        </w:rPr>
        <w:t>,</w:t>
      </w:r>
      <w:r w:rsidRPr="005E6E8A">
        <w:rPr>
          <w:lang w:val="fr-FR"/>
        </w:rPr>
        <w:t xml:space="preserve"> et 1841/2008, </w:t>
      </w:r>
      <w:r w:rsidRPr="005E6E8A">
        <w:rPr>
          <w:i/>
          <w:lang w:val="fr-FR"/>
        </w:rPr>
        <w:t>P.</w:t>
      </w:r>
      <w:r>
        <w:rPr>
          <w:i/>
          <w:lang w:val="fr-FR"/>
        </w:rPr>
        <w:t> </w:t>
      </w:r>
      <w:r w:rsidRPr="005E6E8A">
        <w:rPr>
          <w:i/>
          <w:lang w:val="fr-FR"/>
        </w:rPr>
        <w:t xml:space="preserve">L. </w:t>
      </w:r>
      <w:r w:rsidRPr="002B1337">
        <w:rPr>
          <w:lang w:val="fr-FR"/>
        </w:rPr>
        <w:t>c.</w:t>
      </w:r>
      <w:r w:rsidRPr="005E6E8A">
        <w:rPr>
          <w:i/>
          <w:lang w:val="fr-FR"/>
        </w:rPr>
        <w:t xml:space="preserve"> Bélarus</w:t>
      </w:r>
      <w:r w:rsidRPr="005E6E8A">
        <w:rPr>
          <w:lang w:val="fr-FR"/>
        </w:rPr>
        <w:t>, décision d</w:t>
      </w:r>
      <w:r>
        <w:rPr>
          <w:lang w:val="fr-FR"/>
        </w:rPr>
        <w:t>’</w:t>
      </w:r>
      <w:r w:rsidRPr="005E6E8A">
        <w:rPr>
          <w:lang w:val="fr-FR"/>
        </w:rPr>
        <w:t>irrecevabilité du 26 juillet 2011, par.</w:t>
      </w:r>
      <w:r>
        <w:rPr>
          <w:lang w:val="fr-FR"/>
        </w:rPr>
        <w:t> </w:t>
      </w:r>
      <w:r w:rsidRPr="005E6E8A">
        <w:rPr>
          <w:lang w:val="fr-FR"/>
        </w:rPr>
        <w:t>6.2.</w:t>
      </w:r>
    </w:p>
  </w:footnote>
  <w:footnote w:id="7">
    <w:p w:rsidR="0081758B" w:rsidRDefault="0081758B" w:rsidP="0081758B">
      <w:pPr>
        <w:pStyle w:val="FootnoteText"/>
      </w:pPr>
      <w:r w:rsidRPr="005E6E8A">
        <w:rPr>
          <w:lang w:val="fr-FR"/>
        </w:rPr>
        <w:tab/>
      </w:r>
      <w:r w:rsidRPr="000B26C0">
        <w:rPr>
          <w:rStyle w:val="FootnoteReference"/>
        </w:rPr>
        <w:footnoteRef/>
      </w:r>
      <w:r w:rsidRPr="005E6E8A">
        <w:rPr>
          <w:lang w:val="fr-FR"/>
        </w:rPr>
        <w:tab/>
        <w:t xml:space="preserve">Voir par exemple la communication </w:t>
      </w:r>
      <w:r w:rsidRPr="005B6352">
        <w:rPr>
          <w:lang w:val="fr-FR"/>
        </w:rPr>
        <w:t>n</w:t>
      </w:r>
      <w:r w:rsidRPr="005B6352">
        <w:rPr>
          <w:vertAlign w:val="superscript"/>
          <w:lang w:val="fr-FR"/>
        </w:rPr>
        <w:t>o</w:t>
      </w:r>
      <w:r>
        <w:rPr>
          <w:lang w:val="fr-FR"/>
        </w:rPr>
        <w:t> </w:t>
      </w:r>
      <w:r w:rsidRPr="005E6E8A">
        <w:rPr>
          <w:lang w:val="fr-FR"/>
        </w:rPr>
        <w:t xml:space="preserve">1948/2010, </w:t>
      </w:r>
      <w:r w:rsidRPr="005E6E8A">
        <w:rPr>
          <w:i/>
          <w:lang w:val="fr-FR"/>
        </w:rPr>
        <w:t xml:space="preserve">Turchenyak et consorts </w:t>
      </w:r>
      <w:r w:rsidRPr="0067140E">
        <w:rPr>
          <w:lang w:val="fr-FR"/>
        </w:rPr>
        <w:t>c.</w:t>
      </w:r>
      <w:r w:rsidRPr="005E6E8A">
        <w:rPr>
          <w:i/>
          <w:lang w:val="fr-FR"/>
        </w:rPr>
        <w:t xml:space="preserve"> Bélarus</w:t>
      </w:r>
      <w:r w:rsidRPr="005E6E8A">
        <w:rPr>
          <w:lang w:val="fr-FR"/>
        </w:rPr>
        <w:t xml:space="preserve">, </w:t>
      </w:r>
      <w:r>
        <w:rPr>
          <w:lang w:val="fr-FR"/>
        </w:rPr>
        <w:t>c</w:t>
      </w:r>
      <w:r w:rsidRPr="005E6E8A">
        <w:rPr>
          <w:lang w:val="fr-FR"/>
        </w:rPr>
        <w:t>onstatations ado</w:t>
      </w:r>
      <w:r>
        <w:rPr>
          <w:lang w:val="fr-FR"/>
        </w:rPr>
        <w:t>ptées le 24 juillet 2013, par. </w:t>
      </w:r>
      <w:r w:rsidR="009D4689">
        <w:rPr>
          <w:lang w:val="fr-FR"/>
        </w:rPr>
        <w:t>7.</w:t>
      </w:r>
      <w:r w:rsidRPr="005E6E8A">
        <w:rPr>
          <w:lang w:val="fr-FR"/>
        </w:rPr>
        <w:t>4.</w:t>
      </w:r>
    </w:p>
  </w:footnote>
  <w:footnote w:id="8">
    <w:p w:rsidR="0081758B" w:rsidRDefault="0081758B" w:rsidP="0081758B">
      <w:pPr>
        <w:pStyle w:val="FootnoteText"/>
      </w:pPr>
      <w:r w:rsidRPr="005E6E8A">
        <w:rPr>
          <w:lang w:val="fr-FR"/>
        </w:rPr>
        <w:tab/>
      </w:r>
      <w:r w:rsidRPr="000B26C0">
        <w:rPr>
          <w:rStyle w:val="FootnoteReference"/>
        </w:rPr>
        <w:footnoteRef/>
      </w:r>
      <w:r w:rsidRPr="005E6E8A">
        <w:rPr>
          <w:lang w:val="fr-FR"/>
        </w:rPr>
        <w:tab/>
        <w:t>Ibid</w:t>
      </w:r>
      <w:r w:rsidR="003C303D">
        <w:rPr>
          <w:lang w:val="fr-FR"/>
        </w:rPr>
        <w:t>., par. 7.4.</w:t>
      </w:r>
    </w:p>
  </w:footnote>
  <w:footnote w:id="9">
    <w:p w:rsidR="0081758B" w:rsidRDefault="0081758B" w:rsidP="0081758B">
      <w:pPr>
        <w:pStyle w:val="FootnoteText"/>
      </w:pPr>
      <w:r w:rsidRPr="005E6E8A">
        <w:rPr>
          <w:lang w:val="fr-FR"/>
        </w:rPr>
        <w:tab/>
      </w:r>
      <w:r w:rsidRPr="000B26C0">
        <w:rPr>
          <w:rStyle w:val="FootnoteReference"/>
        </w:rPr>
        <w:footnoteRef/>
      </w:r>
      <w:r w:rsidRPr="005E6E8A">
        <w:rPr>
          <w:lang w:val="fr-FR"/>
        </w:rPr>
        <w:tab/>
        <w:t>Voir</w:t>
      </w:r>
      <w:r>
        <w:rPr>
          <w:lang w:val="fr-FR"/>
        </w:rPr>
        <w:t>,</w:t>
      </w:r>
      <w:r w:rsidRPr="005E6E8A">
        <w:rPr>
          <w:lang w:val="fr-FR"/>
        </w:rPr>
        <w:t xml:space="preserve"> par exemple</w:t>
      </w:r>
      <w:r w:rsidR="003C303D">
        <w:rPr>
          <w:lang w:val="fr-FR"/>
        </w:rPr>
        <w:t>, les</w:t>
      </w:r>
      <w:r>
        <w:rPr>
          <w:lang w:val="fr-FR"/>
        </w:rPr>
        <w:t xml:space="preserve"> communication</w:t>
      </w:r>
      <w:r w:rsidR="003C303D">
        <w:rPr>
          <w:lang w:val="fr-FR"/>
        </w:rPr>
        <w:t>s</w:t>
      </w:r>
      <w:r>
        <w:rPr>
          <w:lang w:val="fr-FR"/>
        </w:rPr>
        <w:t xml:space="preserve"> </w:t>
      </w:r>
      <w:r w:rsidRPr="005A0D2F">
        <w:rPr>
          <w:rFonts w:eastAsia="MS Mincho"/>
          <w:lang w:val="fr-FR"/>
        </w:rPr>
        <w:t>n</w:t>
      </w:r>
      <w:r w:rsidRPr="005A0D2F">
        <w:rPr>
          <w:rFonts w:eastAsia="MS Mincho"/>
          <w:vertAlign w:val="superscript"/>
          <w:lang w:val="fr-FR"/>
        </w:rPr>
        <w:t>o</w:t>
      </w:r>
      <w:r w:rsidR="003C303D">
        <w:rPr>
          <w:rFonts w:eastAsia="MS Mincho"/>
          <w:vertAlign w:val="superscript"/>
          <w:lang w:val="fr-FR"/>
        </w:rPr>
        <w:t>s</w:t>
      </w:r>
      <w:r>
        <w:rPr>
          <w:rFonts w:eastAsia="MS Mincho"/>
          <w:lang w:val="fr-FR"/>
        </w:rPr>
        <w:t> </w:t>
      </w:r>
      <w:r w:rsidR="009D4689">
        <w:rPr>
          <w:lang w:val="fr-FR"/>
        </w:rPr>
        <w:t>1</w:t>
      </w:r>
      <w:r w:rsidRPr="005E6E8A">
        <w:rPr>
          <w:lang w:val="fr-FR"/>
        </w:rPr>
        <w:t xml:space="preserve">948/2010, </w:t>
      </w:r>
      <w:r w:rsidRPr="005E6E8A">
        <w:rPr>
          <w:i/>
          <w:lang w:val="fr-FR"/>
        </w:rPr>
        <w:t xml:space="preserve">Turchenyak et consorts </w:t>
      </w:r>
      <w:r w:rsidRPr="005A0D2F">
        <w:rPr>
          <w:lang w:val="fr-FR"/>
        </w:rPr>
        <w:t>c.</w:t>
      </w:r>
      <w:r w:rsidRPr="005E6E8A">
        <w:rPr>
          <w:i/>
          <w:lang w:val="fr-FR"/>
        </w:rPr>
        <w:t xml:space="preserve"> Bélarus</w:t>
      </w:r>
      <w:r>
        <w:rPr>
          <w:lang w:val="fr-FR"/>
        </w:rPr>
        <w:t>, id., par. 9</w:t>
      </w:r>
      <w:r w:rsidR="003C303D">
        <w:rPr>
          <w:lang w:val="fr-FR"/>
        </w:rPr>
        <w:t>,</w:t>
      </w:r>
      <w:r>
        <w:rPr>
          <w:lang w:val="fr-FR"/>
        </w:rPr>
        <w:t xml:space="preserve"> et </w:t>
      </w:r>
      <w:r w:rsidRPr="005E6E8A">
        <w:rPr>
          <w:lang w:val="fr-FR"/>
        </w:rPr>
        <w:t xml:space="preserve">1790/2008, </w:t>
      </w:r>
      <w:r w:rsidRPr="005E6E8A">
        <w:rPr>
          <w:i/>
          <w:lang w:val="fr-FR"/>
        </w:rPr>
        <w:t xml:space="preserve">Sergei Govsha, Viktor Syritsa et Viktor Mezyak </w:t>
      </w:r>
      <w:r w:rsidRPr="00901190">
        <w:rPr>
          <w:lang w:val="fr-FR"/>
        </w:rPr>
        <w:t>c.</w:t>
      </w:r>
      <w:r w:rsidRPr="005E6E8A">
        <w:rPr>
          <w:i/>
          <w:lang w:val="fr-FR"/>
        </w:rPr>
        <w:t xml:space="preserve"> Bélarus</w:t>
      </w:r>
      <w:r>
        <w:rPr>
          <w:lang w:val="fr-FR"/>
        </w:rPr>
        <w:t>, constatations adoptées le</w:t>
      </w:r>
      <w:r w:rsidR="003C303D">
        <w:rPr>
          <w:lang w:val="fr-FR"/>
        </w:rPr>
        <w:t> </w:t>
      </w:r>
      <w:r>
        <w:rPr>
          <w:lang w:val="fr-FR"/>
        </w:rPr>
        <w:t>27 juillet 2012, par. </w:t>
      </w:r>
      <w:r w:rsidRPr="005E6E8A">
        <w:rPr>
          <w:lang w:val="fr-FR"/>
        </w:rPr>
        <w:t>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33" w:rsidRPr="00696D33" w:rsidRDefault="00696D33">
    <w:pPr>
      <w:pStyle w:val="Header"/>
    </w:pPr>
    <w:r>
      <w:t>CCPR/C/109/D/1851/2008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33" w:rsidRPr="00696D33" w:rsidRDefault="00696D33" w:rsidP="00696D33">
    <w:pPr>
      <w:pStyle w:val="Header"/>
      <w:jc w:val="right"/>
    </w:pPr>
    <w:r>
      <w:t>CCPR/C/109/D/1851/2008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10D06A"/>
    <w:lvl w:ilvl="0">
      <w:start w:val="1"/>
      <w:numFmt w:val="decimal"/>
      <w:lvlText w:val="%1."/>
      <w:lvlJc w:val="left"/>
      <w:pPr>
        <w:tabs>
          <w:tab w:val="num" w:pos="1492"/>
        </w:tabs>
        <w:ind w:left="1492" w:hanging="360"/>
      </w:pPr>
    </w:lvl>
  </w:abstractNum>
  <w:abstractNum w:abstractNumId="1">
    <w:nsid w:val="FFFFFF7D"/>
    <w:multiLevelType w:val="singleLevel"/>
    <w:tmpl w:val="D6CC0F10"/>
    <w:lvl w:ilvl="0">
      <w:start w:val="1"/>
      <w:numFmt w:val="decimal"/>
      <w:lvlText w:val="%1."/>
      <w:lvlJc w:val="left"/>
      <w:pPr>
        <w:tabs>
          <w:tab w:val="num" w:pos="1209"/>
        </w:tabs>
        <w:ind w:left="1209" w:hanging="360"/>
      </w:pPr>
    </w:lvl>
  </w:abstractNum>
  <w:abstractNum w:abstractNumId="2">
    <w:nsid w:val="FFFFFF7E"/>
    <w:multiLevelType w:val="singleLevel"/>
    <w:tmpl w:val="A198ADCA"/>
    <w:lvl w:ilvl="0">
      <w:start w:val="1"/>
      <w:numFmt w:val="decimal"/>
      <w:lvlText w:val="%1."/>
      <w:lvlJc w:val="left"/>
      <w:pPr>
        <w:tabs>
          <w:tab w:val="num" w:pos="926"/>
        </w:tabs>
        <w:ind w:left="926" w:hanging="360"/>
      </w:pPr>
    </w:lvl>
  </w:abstractNum>
  <w:abstractNum w:abstractNumId="3">
    <w:nsid w:val="FFFFFF7F"/>
    <w:multiLevelType w:val="singleLevel"/>
    <w:tmpl w:val="30F80F52"/>
    <w:lvl w:ilvl="0">
      <w:start w:val="1"/>
      <w:numFmt w:val="decimal"/>
      <w:lvlText w:val="%1."/>
      <w:lvlJc w:val="left"/>
      <w:pPr>
        <w:tabs>
          <w:tab w:val="num" w:pos="643"/>
        </w:tabs>
        <w:ind w:left="643" w:hanging="360"/>
      </w:pPr>
    </w:lvl>
  </w:abstractNum>
  <w:abstractNum w:abstractNumId="4">
    <w:nsid w:val="FFFFFF80"/>
    <w:multiLevelType w:val="singleLevel"/>
    <w:tmpl w:val="6C86E0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B88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6ACA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30CD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86B638"/>
    <w:lvl w:ilvl="0">
      <w:start w:val="1"/>
      <w:numFmt w:val="decimal"/>
      <w:lvlText w:val="%1."/>
      <w:lvlJc w:val="left"/>
      <w:pPr>
        <w:tabs>
          <w:tab w:val="num" w:pos="360"/>
        </w:tabs>
        <w:ind w:left="360" w:hanging="360"/>
      </w:pPr>
    </w:lvl>
  </w:abstractNum>
  <w:abstractNum w:abstractNumId="9">
    <w:nsid w:val="FFFFFF89"/>
    <w:multiLevelType w:val="singleLevel"/>
    <w:tmpl w:val="0D745B2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ED0"/>
    <w:rsid w:val="00016AC5"/>
    <w:rsid w:val="0006315F"/>
    <w:rsid w:val="00063AEE"/>
    <w:rsid w:val="00091505"/>
    <w:rsid w:val="000A147A"/>
    <w:rsid w:val="000D4772"/>
    <w:rsid w:val="000E61F8"/>
    <w:rsid w:val="000F41F2"/>
    <w:rsid w:val="00106150"/>
    <w:rsid w:val="001107FF"/>
    <w:rsid w:val="00143BB6"/>
    <w:rsid w:val="00160540"/>
    <w:rsid w:val="00192EEB"/>
    <w:rsid w:val="001A20FB"/>
    <w:rsid w:val="001B102E"/>
    <w:rsid w:val="001C3080"/>
    <w:rsid w:val="001D7F8A"/>
    <w:rsid w:val="001E008E"/>
    <w:rsid w:val="001E3FEB"/>
    <w:rsid w:val="001E4A02"/>
    <w:rsid w:val="001F25C4"/>
    <w:rsid w:val="00225A8C"/>
    <w:rsid w:val="002659F1"/>
    <w:rsid w:val="0027751F"/>
    <w:rsid w:val="00285DB3"/>
    <w:rsid w:val="00287E79"/>
    <w:rsid w:val="002928F9"/>
    <w:rsid w:val="002A5D07"/>
    <w:rsid w:val="002B337C"/>
    <w:rsid w:val="002E0222"/>
    <w:rsid w:val="002E1A7F"/>
    <w:rsid w:val="003016B7"/>
    <w:rsid w:val="00326067"/>
    <w:rsid w:val="003515AA"/>
    <w:rsid w:val="00366F5B"/>
    <w:rsid w:val="00374106"/>
    <w:rsid w:val="003976D5"/>
    <w:rsid w:val="003A28B4"/>
    <w:rsid w:val="003A4416"/>
    <w:rsid w:val="003C303D"/>
    <w:rsid w:val="003D6C68"/>
    <w:rsid w:val="00413931"/>
    <w:rsid w:val="004159D0"/>
    <w:rsid w:val="00464EEE"/>
    <w:rsid w:val="004E2CB5"/>
    <w:rsid w:val="00510743"/>
    <w:rsid w:val="00543D5E"/>
    <w:rsid w:val="00557072"/>
    <w:rsid w:val="00570D8B"/>
    <w:rsid w:val="00571F41"/>
    <w:rsid w:val="005773DE"/>
    <w:rsid w:val="005E5D1F"/>
    <w:rsid w:val="00611D43"/>
    <w:rsid w:val="00612D48"/>
    <w:rsid w:val="00612ED0"/>
    <w:rsid w:val="00616B45"/>
    <w:rsid w:val="00630D9B"/>
    <w:rsid w:val="00631953"/>
    <w:rsid w:val="0064008B"/>
    <w:rsid w:val="006439EC"/>
    <w:rsid w:val="00696D33"/>
    <w:rsid w:val="006B4590"/>
    <w:rsid w:val="006C340C"/>
    <w:rsid w:val="006F0945"/>
    <w:rsid w:val="0070347C"/>
    <w:rsid w:val="0071451B"/>
    <w:rsid w:val="007176C1"/>
    <w:rsid w:val="00725DC9"/>
    <w:rsid w:val="00737DEE"/>
    <w:rsid w:val="00775C91"/>
    <w:rsid w:val="00775D99"/>
    <w:rsid w:val="00796940"/>
    <w:rsid w:val="007C7846"/>
    <w:rsid w:val="007F55CB"/>
    <w:rsid w:val="0081758B"/>
    <w:rsid w:val="00833074"/>
    <w:rsid w:val="00842F83"/>
    <w:rsid w:val="00844750"/>
    <w:rsid w:val="00873B3C"/>
    <w:rsid w:val="00892241"/>
    <w:rsid w:val="008936C4"/>
    <w:rsid w:val="008A39ED"/>
    <w:rsid w:val="008B44C4"/>
    <w:rsid w:val="008E7FAE"/>
    <w:rsid w:val="008F53ED"/>
    <w:rsid w:val="00903B66"/>
    <w:rsid w:val="00911BF7"/>
    <w:rsid w:val="009426C4"/>
    <w:rsid w:val="00943FFD"/>
    <w:rsid w:val="00977EC8"/>
    <w:rsid w:val="009837BB"/>
    <w:rsid w:val="00993DE6"/>
    <w:rsid w:val="009B2382"/>
    <w:rsid w:val="009D0C1A"/>
    <w:rsid w:val="009D3A8C"/>
    <w:rsid w:val="009D4689"/>
    <w:rsid w:val="009E7956"/>
    <w:rsid w:val="009F43D0"/>
    <w:rsid w:val="00A05B9C"/>
    <w:rsid w:val="00A228B4"/>
    <w:rsid w:val="00A2492E"/>
    <w:rsid w:val="00A720C2"/>
    <w:rsid w:val="00A9469F"/>
    <w:rsid w:val="00AA3390"/>
    <w:rsid w:val="00AB51C8"/>
    <w:rsid w:val="00AC67A1"/>
    <w:rsid w:val="00AC7977"/>
    <w:rsid w:val="00AE352C"/>
    <w:rsid w:val="00AF1CE8"/>
    <w:rsid w:val="00B32E2D"/>
    <w:rsid w:val="00B6176D"/>
    <w:rsid w:val="00B61990"/>
    <w:rsid w:val="00B93051"/>
    <w:rsid w:val="00BF0556"/>
    <w:rsid w:val="00BF6AF3"/>
    <w:rsid w:val="00C261F8"/>
    <w:rsid w:val="00C33100"/>
    <w:rsid w:val="00C4083C"/>
    <w:rsid w:val="00C74C66"/>
    <w:rsid w:val="00C85209"/>
    <w:rsid w:val="00CA6A02"/>
    <w:rsid w:val="00CB5A09"/>
    <w:rsid w:val="00CD1A71"/>
    <w:rsid w:val="00CD1FBB"/>
    <w:rsid w:val="00CF5128"/>
    <w:rsid w:val="00D016B5"/>
    <w:rsid w:val="00D034F1"/>
    <w:rsid w:val="00D15366"/>
    <w:rsid w:val="00D27D5E"/>
    <w:rsid w:val="00D35B2D"/>
    <w:rsid w:val="00DB1902"/>
    <w:rsid w:val="00DE6D90"/>
    <w:rsid w:val="00DF002F"/>
    <w:rsid w:val="00DF3BF1"/>
    <w:rsid w:val="00E0244D"/>
    <w:rsid w:val="00E144C5"/>
    <w:rsid w:val="00E223F8"/>
    <w:rsid w:val="00E25C59"/>
    <w:rsid w:val="00E368FF"/>
    <w:rsid w:val="00E45121"/>
    <w:rsid w:val="00E81E94"/>
    <w:rsid w:val="00E82607"/>
    <w:rsid w:val="00EF318A"/>
    <w:rsid w:val="00EF3D1B"/>
    <w:rsid w:val="00F33865"/>
    <w:rsid w:val="00F47590"/>
    <w:rsid w:val="00F7795B"/>
    <w:rsid w:val="00F91D4D"/>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 w:type="character" w:customStyle="1" w:styleId="SingleTxtGChar">
    <w:name w:val="_ Single Txt_G Char"/>
    <w:link w:val="SingleTxtG"/>
    <w:locked/>
    <w:rsid w:val="0081758B"/>
    <w:rPr>
      <w:lang w:val="fr-CH" w:eastAsia="en-US" w:bidi="ar-SA"/>
    </w:rPr>
  </w:style>
  <w:style w:type="character" w:customStyle="1" w:styleId="H1GChar">
    <w:name w:val="_ H_1_G Char"/>
    <w:basedOn w:val="DefaultParagraphFont"/>
    <w:link w:val="H1G"/>
    <w:locked/>
    <w:rsid w:val="0081758B"/>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3660</Words>
  <Characters>20133</Characters>
  <Application>Microsoft Office Outlook</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CCPR/C/109/DR/1851/2008</vt:lpstr>
    </vt:vector>
  </TitlesOfParts>
  <Company>CSD</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CCPR/C/109/DR/1851/2008</dc:title>
  <dc:subject>FINAL</dc:subject>
  <dc:creator>Nath. V</dc:creator>
  <cp:keywords/>
  <dc:description/>
  <cp:lastModifiedBy>C. ROBERT</cp:lastModifiedBy>
  <cp:revision>2</cp:revision>
  <cp:lastPrinted>2013-12-06T09:53:00Z</cp:lastPrinted>
  <dcterms:created xsi:type="dcterms:W3CDTF">2013-12-06T14:43:00Z</dcterms:created>
  <dcterms:modified xsi:type="dcterms:W3CDTF">2013-12-06T14:43:00Z</dcterms:modified>
</cp:coreProperties>
</file>