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C443FD" w:rsidP="008071FE">
            <w:pPr>
              <w:jc w:val="right"/>
            </w:pPr>
            <w:r w:rsidRPr="00C443FD">
              <w:rPr>
                <w:sz w:val="40"/>
              </w:rPr>
              <w:t>CCPR</w:t>
            </w:r>
            <w:r>
              <w:t>/C/107/2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C443FD" w:rsidRDefault="00C443FD" w:rsidP="00464EEE">
            <w:pPr>
              <w:spacing w:before="240"/>
            </w:pPr>
            <w:r>
              <w:t xml:space="preserve">Distr. </w:t>
            </w:r>
            <w:r w:rsidR="008071FE">
              <w:t>gén</w:t>
            </w:r>
            <w:r w:rsidR="00BE2D15">
              <w:t>é</w:t>
            </w:r>
            <w:r w:rsidR="008071FE">
              <w:t>ral</w:t>
            </w:r>
            <w:r w:rsidR="00BE2D15">
              <w:t>e</w:t>
            </w:r>
          </w:p>
          <w:p w:rsidR="00C443FD" w:rsidRDefault="00A42374" w:rsidP="00896468">
            <w:pPr>
              <w:spacing w:line="240" w:lineRule="exact"/>
            </w:pPr>
            <w:r>
              <w:t>30</w:t>
            </w:r>
            <w:r w:rsidR="000F7CF5">
              <w:t xml:space="preserve"> </w:t>
            </w:r>
            <w:r w:rsidR="00896468">
              <w:t xml:space="preserve">avril </w:t>
            </w:r>
            <w:r w:rsidR="000F7CF5">
              <w:t>2013</w:t>
            </w:r>
          </w:p>
          <w:p w:rsidR="00C443FD" w:rsidRDefault="00C443FD" w:rsidP="00C443FD">
            <w:pPr>
              <w:spacing w:line="240" w:lineRule="exact"/>
            </w:pPr>
          </w:p>
          <w:p w:rsidR="00AF1CE8" w:rsidRPr="00DB58B5" w:rsidRDefault="00C443FD" w:rsidP="00C443FD">
            <w:pPr>
              <w:spacing w:line="240" w:lineRule="exact"/>
            </w:pPr>
            <w:r>
              <w:t xml:space="preserve">Original: </w:t>
            </w:r>
            <w:r w:rsidR="000F7CF5">
              <w:t>français</w:t>
            </w:r>
          </w:p>
        </w:tc>
      </w:tr>
    </w:tbl>
    <w:p w:rsidR="00C443FD" w:rsidRPr="00EE24CB" w:rsidRDefault="00C443FD" w:rsidP="00C443FD">
      <w:pPr>
        <w:spacing w:before="120"/>
        <w:rPr>
          <w:b/>
          <w:sz w:val="24"/>
          <w:szCs w:val="24"/>
        </w:rPr>
      </w:pPr>
      <w:r w:rsidRPr="00EE24CB">
        <w:rPr>
          <w:b/>
          <w:sz w:val="24"/>
          <w:szCs w:val="24"/>
        </w:rPr>
        <w:t>Comité des droits de l</w:t>
      </w:r>
      <w:r w:rsidR="00AA2481">
        <w:rPr>
          <w:b/>
          <w:sz w:val="24"/>
          <w:szCs w:val="24"/>
        </w:rPr>
        <w:t>’</w:t>
      </w:r>
      <w:r w:rsidRPr="00EE24CB">
        <w:rPr>
          <w:b/>
          <w:sz w:val="24"/>
          <w:szCs w:val="24"/>
        </w:rPr>
        <w:t>homme</w:t>
      </w:r>
    </w:p>
    <w:p w:rsidR="00C443FD" w:rsidRPr="000F7CF5" w:rsidRDefault="00C443FD" w:rsidP="009F754F">
      <w:pPr>
        <w:pStyle w:val="HChG"/>
        <w:spacing w:before="240" w:after="180"/>
      </w:pPr>
      <w:r w:rsidRPr="00EE24CB">
        <w:tab/>
      </w:r>
      <w:r w:rsidRPr="00EE24CB">
        <w:tab/>
      </w:r>
      <w:r w:rsidR="009F754F">
        <w:t>R</w:t>
      </w:r>
      <w:r w:rsidRPr="000F7CF5">
        <w:t>apport</w:t>
      </w:r>
      <w:r w:rsidRPr="00EE24CB">
        <w:t xml:space="preserve"> </w:t>
      </w:r>
      <w:r w:rsidR="009F754F" w:rsidRPr="00EE24CB">
        <w:t xml:space="preserve">de la Rapporteuse spéciale </w:t>
      </w:r>
      <w:r w:rsidR="009F754F">
        <w:t>chargée du</w:t>
      </w:r>
      <w:r w:rsidRPr="00EE24CB">
        <w:t xml:space="preserve"> suivi des observations finales</w:t>
      </w:r>
      <w:r w:rsidR="009F754F">
        <w:t xml:space="preserve"> </w:t>
      </w:r>
      <w:r w:rsidRPr="00EE24CB">
        <w:t>du Comité des droits de l</w:t>
      </w:r>
      <w:r w:rsidR="00AA2481">
        <w:t>’</w:t>
      </w:r>
      <w:r w:rsidRPr="00EE24CB">
        <w:t>homme (107</w:t>
      </w:r>
      <w:r w:rsidRPr="00EE24CB">
        <w:rPr>
          <w:vertAlign w:val="superscript"/>
        </w:rPr>
        <w:t>e</w:t>
      </w:r>
      <w:r w:rsidRPr="00EE24CB">
        <w:t> session,</w:t>
      </w:r>
      <w:r w:rsidR="00DD0678">
        <w:t xml:space="preserve"> </w:t>
      </w:r>
      <w:r w:rsidR="005F41DF">
        <w:t>11-28</w:t>
      </w:r>
      <w:r w:rsidRPr="00EE24CB">
        <w:t xml:space="preserve"> mars 2013)</w:t>
      </w:r>
      <w:r w:rsidRPr="00EE24CB">
        <w:tab/>
      </w:r>
      <w:r w:rsidRPr="00EE24CB">
        <w:tab/>
      </w:r>
    </w:p>
    <w:p w:rsidR="00B518A8" w:rsidRDefault="00C443FD" w:rsidP="00EC29B6">
      <w:pPr>
        <w:pStyle w:val="SingleTxtG"/>
        <w:spacing w:line="220" w:lineRule="atLeast"/>
        <w:ind w:firstLine="567"/>
      </w:pPr>
      <w:r w:rsidRPr="00F7444C">
        <w:t>Le rapport ci-après présente les informations reçues par la Rapporteuse spéciale chargée du suivi des observations finales du Comité des droits de l</w:t>
      </w:r>
      <w:r w:rsidR="00AA2481">
        <w:t>’</w:t>
      </w:r>
      <w:r w:rsidRPr="00F7444C">
        <w:t>homme entre les 106</w:t>
      </w:r>
      <w:r w:rsidRPr="00F7444C">
        <w:rPr>
          <w:vertAlign w:val="superscript"/>
        </w:rPr>
        <w:t>e</w:t>
      </w:r>
      <w:r w:rsidRPr="00F7444C">
        <w:t> et 107</w:t>
      </w:r>
      <w:r w:rsidRPr="00F7444C">
        <w:rPr>
          <w:vertAlign w:val="superscript"/>
        </w:rPr>
        <w:t>e</w:t>
      </w:r>
      <w:r w:rsidRPr="00F7444C">
        <w:t> sessions conformément au Règlement intérieur du Comité, et les analyses et décisions adoptées par le Comité au cours de sa 107</w:t>
      </w:r>
      <w:r w:rsidRPr="00F7444C">
        <w:rPr>
          <w:vertAlign w:val="superscript"/>
        </w:rPr>
        <w:t>e</w:t>
      </w:r>
      <w:r w:rsidRPr="00F7444C">
        <w:t> session. L</w:t>
      </w:r>
      <w:r w:rsidR="00AA2481">
        <w:t>’</w:t>
      </w:r>
      <w:r w:rsidRPr="00F7444C">
        <w:t>intégralité des informations sur la procédure de suivi engagée par le Comité depuis la quatre</w:t>
      </w:r>
      <w:r w:rsidR="000F7FAE">
        <w:t>-</w:t>
      </w:r>
      <w:r w:rsidRPr="00F7444C">
        <w:t>vingt</w:t>
      </w:r>
      <w:r w:rsidR="000F7FAE">
        <w:t>-</w:t>
      </w:r>
      <w:r w:rsidRPr="00F7444C">
        <w:t>septième session (juillet 2006) est présentée dans le tableau figurant en annexe au présent rapport</w:t>
      </w:r>
      <w:r w:rsidRPr="00EE24CB">
        <w:t>.</w:t>
      </w:r>
    </w:p>
    <w:p w:rsidR="00C443FD" w:rsidRDefault="00B518A8" w:rsidP="00EC29B6">
      <w:pPr>
        <w:pStyle w:val="SingleTxtG"/>
        <w:spacing w:line="220" w:lineRule="atLeast"/>
        <w:ind w:firstLine="567"/>
      </w:pPr>
      <w:r>
        <w:br w:type="page"/>
      </w:r>
    </w:p>
    <w:tbl>
      <w:tblPr>
        <w:tblW w:w="0" w:type="auto"/>
        <w:tblInd w:w="1134" w:type="dxa"/>
        <w:tblLayout w:type="fixed"/>
        <w:tblCellMar>
          <w:left w:w="0" w:type="dxa"/>
          <w:right w:w="0" w:type="dxa"/>
        </w:tblCellMar>
        <w:tblLook w:val="00A0"/>
      </w:tblPr>
      <w:tblGrid>
        <w:gridCol w:w="567"/>
        <w:gridCol w:w="7938"/>
      </w:tblGrid>
      <w:tr w:rsidR="00180092" w:rsidRPr="000B596E" w:rsidTr="009F454F">
        <w:trPr>
          <w:trHeight w:val="20"/>
          <w:tblHeader/>
        </w:trPr>
        <w:tc>
          <w:tcPr>
            <w:tcW w:w="8505" w:type="dxa"/>
            <w:gridSpan w:val="2"/>
            <w:tcBorders>
              <w:top w:val="single" w:sz="4" w:space="0" w:color="auto"/>
              <w:bottom w:val="single" w:sz="12" w:space="0" w:color="auto"/>
            </w:tcBorders>
            <w:shd w:val="clear" w:color="auto" w:fill="auto"/>
            <w:vAlign w:val="bottom"/>
          </w:tcPr>
          <w:p w:rsidR="00180092" w:rsidRPr="000B596E" w:rsidRDefault="00180092" w:rsidP="00AA08A8">
            <w:pPr>
              <w:suppressAutoHyphens w:val="0"/>
              <w:spacing w:before="80" w:after="80" w:line="200" w:lineRule="exact"/>
              <w:rPr>
                <w:rFonts w:eastAsia="MS Mincho"/>
                <w:i/>
                <w:sz w:val="16"/>
              </w:rPr>
            </w:pPr>
            <w:r w:rsidRPr="00180092">
              <w:rPr>
                <w:rFonts w:eastAsia="MS Mincho"/>
                <w:i/>
                <w:sz w:val="16"/>
              </w:rPr>
              <w:br w:type="page"/>
            </w:r>
            <w:r w:rsidRPr="00180092">
              <w:rPr>
                <w:rFonts w:eastAsia="MS Mincho"/>
                <w:i/>
                <w:sz w:val="16"/>
              </w:rPr>
              <w:br w:type="column"/>
            </w:r>
            <w:r w:rsidRPr="00180092">
              <w:rPr>
                <w:rFonts w:eastAsia="MS Mincho"/>
                <w:i/>
                <w:sz w:val="16"/>
              </w:rPr>
              <w:br w:type="column"/>
            </w:r>
            <w:r w:rsidRPr="00180092">
              <w:rPr>
                <w:rFonts w:eastAsia="MS Mincho"/>
                <w:i/>
                <w:sz w:val="16"/>
              </w:rPr>
              <w:br w:type="page"/>
            </w:r>
            <w:r w:rsidRPr="00180092">
              <w:rPr>
                <w:rFonts w:eastAsia="MS Mincho"/>
                <w:i/>
                <w:sz w:val="16"/>
              </w:rPr>
              <w:br w:type="page"/>
            </w:r>
            <w:r w:rsidRPr="000B596E">
              <w:rPr>
                <w:rFonts w:eastAsia="MS Mincho"/>
                <w:i/>
                <w:sz w:val="16"/>
              </w:rPr>
              <w:t>Critères d</w:t>
            </w:r>
            <w:r>
              <w:rPr>
                <w:rFonts w:eastAsia="MS Mincho"/>
                <w:i/>
                <w:sz w:val="16"/>
              </w:rPr>
              <w:t>’</w:t>
            </w:r>
            <w:r w:rsidRPr="000B596E">
              <w:rPr>
                <w:rFonts w:eastAsia="MS Mincho"/>
                <w:i/>
                <w:sz w:val="16"/>
              </w:rPr>
              <w:t>évaluation</w:t>
            </w:r>
          </w:p>
        </w:tc>
      </w:tr>
      <w:tr w:rsidR="00C443FD" w:rsidRPr="000B596E" w:rsidTr="00180092">
        <w:trPr>
          <w:trHeight w:hRule="exact" w:val="113"/>
          <w:tblHeader/>
        </w:trPr>
        <w:tc>
          <w:tcPr>
            <w:tcW w:w="567" w:type="dxa"/>
            <w:tcBorders>
              <w:top w:val="single" w:sz="12" w:space="0" w:color="auto"/>
            </w:tcBorders>
            <w:shd w:val="clear" w:color="auto" w:fill="auto"/>
          </w:tcPr>
          <w:p w:rsidR="00C443FD" w:rsidRPr="000B596E" w:rsidRDefault="00C443FD" w:rsidP="00AA08A8">
            <w:pPr>
              <w:suppressAutoHyphens w:val="0"/>
              <w:spacing w:after="120"/>
              <w:ind w:right="113"/>
            </w:pPr>
          </w:p>
        </w:tc>
        <w:tc>
          <w:tcPr>
            <w:tcW w:w="7938" w:type="dxa"/>
            <w:tcBorders>
              <w:top w:val="single" w:sz="12" w:space="0" w:color="auto"/>
            </w:tcBorders>
            <w:shd w:val="clear" w:color="auto" w:fill="auto"/>
          </w:tcPr>
          <w:p w:rsidR="00C443FD" w:rsidRPr="000B596E" w:rsidRDefault="00C443FD" w:rsidP="00AA08A8">
            <w:pPr>
              <w:suppressAutoHyphens w:val="0"/>
              <w:spacing w:after="120"/>
              <w:ind w:right="113"/>
              <w:rPr>
                <w:rFonts w:eastAsia="MS Mincho"/>
                <w:i/>
              </w:rPr>
            </w:pPr>
          </w:p>
        </w:tc>
      </w:tr>
      <w:tr w:rsidR="00C443FD" w:rsidRPr="000B596E" w:rsidTr="00180092">
        <w:trPr>
          <w:trHeight w:val="20"/>
        </w:trPr>
        <w:tc>
          <w:tcPr>
            <w:tcW w:w="8505" w:type="dxa"/>
            <w:gridSpan w:val="2"/>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Réponse</w:t>
            </w:r>
            <w:r w:rsidR="000F7CF5">
              <w:rPr>
                <w:rFonts w:eastAsia="MS Mincho"/>
              </w:rPr>
              <w:t xml:space="preserve"> ou mesure satisfaisante</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A</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u w:val="dashLong"/>
              </w:rPr>
            </w:pPr>
            <w:r w:rsidRPr="000B596E">
              <w:rPr>
                <w:rFonts w:eastAsia="MS Mincho"/>
              </w:rPr>
              <w:t>Réponse satisfaisante dans l</w:t>
            </w:r>
            <w:r w:rsidR="00AA2481">
              <w:rPr>
                <w:rFonts w:eastAsia="MS Mincho"/>
              </w:rPr>
              <w:t>’</w:t>
            </w:r>
            <w:r w:rsidRPr="000B596E">
              <w:rPr>
                <w:rFonts w:eastAsia="MS Mincho"/>
              </w:rPr>
              <w:t>ensemble</w:t>
            </w:r>
          </w:p>
        </w:tc>
      </w:tr>
      <w:tr w:rsidR="00C443FD" w:rsidRPr="000B596E" w:rsidTr="00180092">
        <w:trPr>
          <w:trHeight w:val="20"/>
        </w:trPr>
        <w:tc>
          <w:tcPr>
            <w:tcW w:w="8505" w:type="dxa"/>
            <w:gridSpan w:val="2"/>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Réponse</w:t>
            </w:r>
            <w:r w:rsidR="000F7CF5">
              <w:rPr>
                <w:rFonts w:eastAsia="MS Mincho"/>
              </w:rPr>
              <w:t xml:space="preserve"> ou mesure partiellement satisfaisante</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B1</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Des mesures concrètes ont été prises, mais des renseignements supplémentaires sont nécessaires</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B2</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u w:val="dashLong"/>
              </w:rPr>
            </w:pPr>
            <w:r w:rsidRPr="000B596E">
              <w:rPr>
                <w:rFonts w:eastAsia="MS Mincho"/>
              </w:rPr>
              <w:t xml:space="preserve">Des mesures initiales ont été prises, mais des </w:t>
            </w:r>
            <w:r w:rsidR="000F7CF5">
              <w:rPr>
                <w:rFonts w:eastAsia="MS Mincho"/>
              </w:rPr>
              <w:t xml:space="preserve">actions et </w:t>
            </w:r>
            <w:r w:rsidRPr="000B596E">
              <w:rPr>
                <w:rFonts w:eastAsia="MS Mincho"/>
              </w:rPr>
              <w:t xml:space="preserve">renseignements supplémentaires </w:t>
            </w:r>
            <w:r w:rsidR="00180092">
              <w:rPr>
                <w:rFonts w:eastAsia="MS Mincho"/>
              </w:rPr>
              <w:br/>
            </w:r>
            <w:r w:rsidRPr="000B596E">
              <w:rPr>
                <w:rFonts w:eastAsia="MS Mincho"/>
              </w:rPr>
              <w:t>sont nécessaires</w:t>
            </w:r>
          </w:p>
        </w:tc>
      </w:tr>
      <w:tr w:rsidR="00C443FD" w:rsidRPr="000B596E" w:rsidTr="00180092">
        <w:trPr>
          <w:trHeight w:val="20"/>
        </w:trPr>
        <w:tc>
          <w:tcPr>
            <w:tcW w:w="8505" w:type="dxa"/>
            <w:gridSpan w:val="2"/>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Réponse</w:t>
            </w:r>
            <w:r w:rsidR="000F7CF5">
              <w:rPr>
                <w:rFonts w:eastAsia="MS Mincho"/>
              </w:rPr>
              <w:t xml:space="preserve"> ou mesure insatisfaisante</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C1</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Une réponse a été reçue, mais les mesures prises ne perme</w:t>
            </w:r>
            <w:r w:rsidR="00180092">
              <w:rPr>
                <w:rFonts w:eastAsia="MS Mincho"/>
              </w:rPr>
              <w:t>ttent pas de mettre en œuvre la </w:t>
            </w:r>
            <w:r w:rsidRPr="000B596E">
              <w:rPr>
                <w:rFonts w:eastAsia="MS Mincho"/>
              </w:rPr>
              <w:t>recommandation</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C2</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u w:val="dashLong"/>
              </w:rPr>
            </w:pPr>
            <w:r w:rsidRPr="000B596E">
              <w:rPr>
                <w:rFonts w:eastAsia="MS Mincho"/>
              </w:rPr>
              <w:t>Une réponse a été reçue, mais elle est sans rapport avec l</w:t>
            </w:r>
            <w:r w:rsidR="000F7CF5">
              <w:rPr>
                <w:rFonts w:eastAsia="MS Mincho"/>
              </w:rPr>
              <w:t>a</w:t>
            </w:r>
            <w:r w:rsidRPr="000B596E">
              <w:rPr>
                <w:rFonts w:eastAsia="MS Mincho"/>
              </w:rPr>
              <w:t xml:space="preserve"> recommandation</w:t>
            </w:r>
          </w:p>
        </w:tc>
      </w:tr>
      <w:tr w:rsidR="00C443FD" w:rsidRPr="000B596E" w:rsidTr="00180092">
        <w:trPr>
          <w:trHeight w:val="20"/>
        </w:trPr>
        <w:tc>
          <w:tcPr>
            <w:tcW w:w="8505" w:type="dxa"/>
            <w:gridSpan w:val="2"/>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Absence de coopération avec le Comité</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D1</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Aucune réponse n</w:t>
            </w:r>
            <w:r w:rsidR="00AA2481">
              <w:rPr>
                <w:rFonts w:eastAsia="MS Mincho"/>
              </w:rPr>
              <w:t>’</w:t>
            </w:r>
            <w:r w:rsidRPr="000B596E">
              <w:rPr>
                <w:rFonts w:eastAsia="MS Mincho"/>
              </w:rPr>
              <w:t xml:space="preserve">a été reçue dans les délais, ou aucune réponse à une question précise </w:t>
            </w:r>
            <w:r w:rsidR="00180092">
              <w:rPr>
                <w:rFonts w:eastAsia="MS Mincho"/>
              </w:rPr>
              <w:br/>
            </w:r>
            <w:r w:rsidRPr="000B596E">
              <w:rPr>
                <w:rFonts w:eastAsia="MS Mincho"/>
              </w:rPr>
              <w:t>ne figure dans le rapport</w:t>
            </w:r>
          </w:p>
        </w:tc>
      </w:tr>
      <w:tr w:rsidR="00C443FD" w:rsidRPr="000B596E" w:rsidTr="00180092">
        <w:trPr>
          <w:trHeight w:val="20"/>
        </w:trPr>
        <w:tc>
          <w:tcPr>
            <w:tcW w:w="567" w:type="dxa"/>
            <w:shd w:val="clear" w:color="auto" w:fill="auto"/>
          </w:tcPr>
          <w:p w:rsidR="00C443FD" w:rsidRPr="000B596E" w:rsidRDefault="00C443FD" w:rsidP="00180092">
            <w:pPr>
              <w:suppressAutoHyphens w:val="0"/>
              <w:spacing w:before="20" w:after="80" w:line="236" w:lineRule="exact"/>
              <w:ind w:right="113"/>
              <w:rPr>
                <w:rFonts w:eastAsia="MS Mincho"/>
              </w:rPr>
            </w:pPr>
            <w:r w:rsidRPr="000B596E">
              <w:rPr>
                <w:rFonts w:eastAsia="MS Mincho"/>
              </w:rPr>
              <w:t>D2</w:t>
            </w:r>
          </w:p>
        </w:tc>
        <w:tc>
          <w:tcPr>
            <w:tcW w:w="7938" w:type="dxa"/>
            <w:shd w:val="clear" w:color="auto" w:fill="auto"/>
          </w:tcPr>
          <w:p w:rsidR="00C443FD" w:rsidRPr="000B596E" w:rsidRDefault="00C443FD" w:rsidP="00180092">
            <w:pPr>
              <w:suppressAutoHyphens w:val="0"/>
              <w:spacing w:before="20" w:after="80" w:line="220" w:lineRule="atLeast"/>
              <w:ind w:right="113"/>
              <w:rPr>
                <w:rFonts w:eastAsia="MS Mincho"/>
              </w:rPr>
            </w:pPr>
            <w:r w:rsidRPr="000B596E">
              <w:rPr>
                <w:rFonts w:eastAsia="MS Mincho"/>
              </w:rPr>
              <w:t>Aucune réponse reçue après un ou plusieurs rappels</w:t>
            </w:r>
          </w:p>
        </w:tc>
      </w:tr>
      <w:tr w:rsidR="000F7CF5" w:rsidRPr="000B596E" w:rsidTr="00180092">
        <w:trPr>
          <w:trHeight w:val="20"/>
        </w:trPr>
        <w:tc>
          <w:tcPr>
            <w:tcW w:w="8505" w:type="dxa"/>
            <w:gridSpan w:val="2"/>
            <w:shd w:val="clear" w:color="auto" w:fill="auto"/>
          </w:tcPr>
          <w:p w:rsidR="000F7CF5" w:rsidRPr="000B596E" w:rsidRDefault="000F7CF5" w:rsidP="00180092">
            <w:pPr>
              <w:suppressAutoHyphens w:val="0"/>
              <w:spacing w:before="20" w:after="80" w:line="220" w:lineRule="atLeast"/>
              <w:ind w:right="113"/>
              <w:rPr>
                <w:rFonts w:eastAsia="MS Mincho"/>
              </w:rPr>
            </w:pPr>
            <w:r>
              <w:rPr>
                <w:rFonts w:eastAsia="MS Mincho"/>
              </w:rPr>
              <w:t>Les mesures prises vont à l</w:t>
            </w:r>
            <w:r w:rsidR="00AA2481">
              <w:rPr>
                <w:rFonts w:eastAsia="MS Mincho"/>
              </w:rPr>
              <w:t>’</w:t>
            </w:r>
            <w:r>
              <w:rPr>
                <w:rFonts w:eastAsia="MS Mincho"/>
              </w:rPr>
              <w:t>encontre des recommandations du Comité</w:t>
            </w:r>
          </w:p>
        </w:tc>
      </w:tr>
      <w:tr w:rsidR="00C443FD" w:rsidRPr="000B596E" w:rsidTr="00180092">
        <w:trPr>
          <w:trHeight w:val="20"/>
        </w:trPr>
        <w:tc>
          <w:tcPr>
            <w:tcW w:w="567" w:type="dxa"/>
            <w:tcBorders>
              <w:bottom w:val="single" w:sz="12" w:space="0" w:color="auto"/>
            </w:tcBorders>
            <w:shd w:val="clear" w:color="auto" w:fill="auto"/>
          </w:tcPr>
          <w:p w:rsidR="00C443FD" w:rsidRPr="000B596E" w:rsidRDefault="00C443FD" w:rsidP="00180092">
            <w:pPr>
              <w:suppressAutoHyphens w:val="0"/>
              <w:spacing w:before="20" w:after="80" w:line="236" w:lineRule="exact"/>
              <w:ind w:right="113"/>
              <w:rPr>
                <w:rFonts w:eastAsia="MS Mincho"/>
              </w:rPr>
            </w:pPr>
            <w:r>
              <w:rPr>
                <w:rFonts w:eastAsia="MS Mincho"/>
              </w:rPr>
              <w:t>E</w:t>
            </w:r>
          </w:p>
        </w:tc>
        <w:tc>
          <w:tcPr>
            <w:tcW w:w="7938" w:type="dxa"/>
            <w:tcBorders>
              <w:bottom w:val="single" w:sz="12" w:space="0" w:color="auto"/>
            </w:tcBorders>
            <w:shd w:val="clear" w:color="auto" w:fill="auto"/>
          </w:tcPr>
          <w:p w:rsidR="00C443FD" w:rsidRPr="000B596E" w:rsidRDefault="00C443FD" w:rsidP="00180092">
            <w:pPr>
              <w:suppressAutoHyphens w:val="0"/>
              <w:spacing w:before="20" w:after="80" w:line="220" w:lineRule="atLeast"/>
              <w:ind w:right="113"/>
              <w:rPr>
                <w:rFonts w:eastAsia="MS Mincho"/>
              </w:rPr>
            </w:pPr>
            <w:r w:rsidRPr="00EE24CB">
              <w:rPr>
                <w:rFonts w:eastAsia="MS Mincho"/>
                <w:szCs w:val="22"/>
              </w:rPr>
              <w:t>La réponse indique que les mesures prises vont à l</w:t>
            </w:r>
            <w:r w:rsidR="00AA2481">
              <w:rPr>
                <w:rFonts w:eastAsia="MS Mincho"/>
                <w:szCs w:val="22"/>
              </w:rPr>
              <w:t>’</w:t>
            </w:r>
            <w:r w:rsidRPr="00EE24CB">
              <w:rPr>
                <w:rFonts w:eastAsia="MS Mincho"/>
                <w:szCs w:val="22"/>
              </w:rPr>
              <w:t>encontre des recommandations du Comité</w:t>
            </w:r>
          </w:p>
        </w:tc>
      </w:tr>
    </w:tbl>
    <w:p w:rsidR="00C443FD" w:rsidRDefault="00C443FD" w:rsidP="00C443FD">
      <w:pPr>
        <w:pStyle w:val="H1G"/>
      </w:pPr>
      <w:r>
        <w:tab/>
      </w:r>
      <w:r>
        <w:tab/>
        <w:t>Quatre</w:t>
      </w:r>
      <w:r w:rsidR="00152D3E">
        <w:t>-</w:t>
      </w:r>
      <w:r>
        <w:t>vingt</w:t>
      </w:r>
      <w:r w:rsidR="00152D3E">
        <w:t>-</w:t>
      </w:r>
      <w:r>
        <w:t>seizième session (juillet 2009)</w:t>
      </w:r>
    </w:p>
    <w:tbl>
      <w:tblPr>
        <w:tblW w:w="8506" w:type="dxa"/>
        <w:tblInd w:w="1134" w:type="dxa"/>
        <w:tblLayout w:type="fixed"/>
        <w:tblCellMar>
          <w:left w:w="0" w:type="dxa"/>
          <w:right w:w="0" w:type="dxa"/>
        </w:tblCellMar>
        <w:tblLook w:val="00A0"/>
      </w:tblPr>
      <w:tblGrid>
        <w:gridCol w:w="1985"/>
        <w:gridCol w:w="6521"/>
      </w:tblGrid>
      <w:tr w:rsidR="00C443FD" w:rsidRPr="004431E4" w:rsidTr="001036B5">
        <w:trPr>
          <w:tblHeader/>
        </w:trPr>
        <w:tc>
          <w:tcPr>
            <w:tcW w:w="1985" w:type="dxa"/>
            <w:tcBorders>
              <w:top w:val="single" w:sz="4" w:space="0" w:color="auto"/>
              <w:bottom w:val="single" w:sz="12" w:space="0" w:color="auto"/>
            </w:tcBorders>
            <w:shd w:val="clear" w:color="auto" w:fill="auto"/>
          </w:tcPr>
          <w:p w:rsidR="00C443FD" w:rsidRPr="004431E4" w:rsidRDefault="00C443FD" w:rsidP="00EF1051">
            <w:pPr>
              <w:spacing w:before="80" w:after="80" w:line="200" w:lineRule="exact"/>
              <w:ind w:right="57"/>
              <w:rPr>
                <w:i/>
                <w:sz w:val="16"/>
                <w:lang w:val="fr-FR"/>
              </w:rPr>
            </w:pPr>
            <w:r w:rsidRPr="00274F05">
              <w:rPr>
                <w:i/>
                <w:sz w:val="16"/>
              </w:rPr>
              <w:t>Tanzanie</w:t>
            </w:r>
          </w:p>
        </w:tc>
        <w:tc>
          <w:tcPr>
            <w:tcW w:w="6521" w:type="dxa"/>
            <w:tcBorders>
              <w:top w:val="single" w:sz="4" w:space="0" w:color="auto"/>
              <w:bottom w:val="single" w:sz="12" w:space="0" w:color="auto"/>
            </w:tcBorders>
            <w:shd w:val="clear" w:color="auto" w:fill="auto"/>
          </w:tcPr>
          <w:p w:rsidR="00C443FD" w:rsidRPr="004431E4" w:rsidRDefault="00C443FD" w:rsidP="00EF1051">
            <w:pPr>
              <w:spacing w:before="80" w:after="80" w:line="200" w:lineRule="exact"/>
              <w:ind w:right="57"/>
              <w:rPr>
                <w:i/>
                <w:sz w:val="16"/>
                <w:lang w:val="fr-FR"/>
              </w:rPr>
            </w:pPr>
          </w:p>
        </w:tc>
      </w:tr>
      <w:tr w:rsidR="00C443FD" w:rsidRPr="004431E4" w:rsidTr="001036B5">
        <w:trPr>
          <w:trHeight w:hRule="exact" w:val="113"/>
          <w:tblHeader/>
        </w:trPr>
        <w:tc>
          <w:tcPr>
            <w:tcW w:w="1985" w:type="dxa"/>
            <w:tcBorders>
              <w:top w:val="single" w:sz="12" w:space="0" w:color="auto"/>
            </w:tcBorders>
            <w:shd w:val="clear" w:color="auto" w:fill="auto"/>
          </w:tcPr>
          <w:p w:rsidR="00C443FD" w:rsidRPr="004431E4" w:rsidRDefault="00C443FD" w:rsidP="00EF1051">
            <w:pPr>
              <w:spacing w:before="40" w:after="120"/>
              <w:ind w:right="57"/>
              <w:rPr>
                <w:lang w:val="fr-FR"/>
              </w:rPr>
            </w:pPr>
          </w:p>
        </w:tc>
        <w:tc>
          <w:tcPr>
            <w:tcW w:w="6521" w:type="dxa"/>
            <w:tcBorders>
              <w:top w:val="single" w:sz="12" w:space="0" w:color="auto"/>
            </w:tcBorders>
            <w:shd w:val="clear" w:color="auto" w:fill="auto"/>
          </w:tcPr>
          <w:p w:rsidR="00C443FD" w:rsidRPr="004431E4" w:rsidRDefault="00C443FD" w:rsidP="00EF1051">
            <w:pPr>
              <w:spacing w:before="40" w:after="120"/>
              <w:ind w:right="57"/>
              <w:rPr>
                <w:lang w:val="fr-FR"/>
              </w:rPr>
            </w:pPr>
          </w:p>
        </w:tc>
      </w:tr>
      <w:tr w:rsidR="00C443FD" w:rsidRPr="004431E4" w:rsidTr="001036B5">
        <w:tc>
          <w:tcPr>
            <w:tcW w:w="1985" w:type="dxa"/>
            <w:shd w:val="clear" w:color="auto" w:fill="auto"/>
          </w:tcPr>
          <w:p w:rsidR="00C443FD" w:rsidRPr="004431E4" w:rsidRDefault="00C443FD" w:rsidP="00EF1051">
            <w:pPr>
              <w:spacing w:before="40" w:after="120"/>
              <w:ind w:right="57"/>
              <w:rPr>
                <w:lang w:val="fr-FR"/>
              </w:rPr>
            </w:pPr>
            <w:r w:rsidRPr="004431E4">
              <w:rPr>
                <w:lang w:val="fr-FR"/>
              </w:rPr>
              <w:t>Observations finales</w:t>
            </w:r>
          </w:p>
        </w:tc>
        <w:tc>
          <w:tcPr>
            <w:tcW w:w="6521" w:type="dxa"/>
            <w:shd w:val="clear" w:color="auto" w:fill="auto"/>
          </w:tcPr>
          <w:p w:rsidR="00C443FD" w:rsidRPr="006A3EF4" w:rsidRDefault="00C443FD" w:rsidP="00EF1051">
            <w:pPr>
              <w:spacing w:before="40" w:after="120"/>
              <w:ind w:right="57"/>
            </w:pPr>
            <w:r w:rsidRPr="00C7498A">
              <w:t>CCPR/C/TZA/CO/4</w:t>
            </w:r>
            <w:r w:rsidRPr="00C443FD">
              <w:t xml:space="preserve">, </w:t>
            </w:r>
            <w:r w:rsidR="001036B5">
              <w:t xml:space="preserve">adoptées le </w:t>
            </w:r>
            <w:r w:rsidRPr="00C443FD">
              <w:t>28</w:t>
            </w:r>
            <w:r w:rsidR="0092510D">
              <w:t>/7/</w:t>
            </w:r>
            <w:r w:rsidRPr="00C443FD">
              <w:t>09</w:t>
            </w:r>
          </w:p>
        </w:tc>
      </w:tr>
      <w:tr w:rsidR="00C443FD" w:rsidRPr="004431E4" w:rsidTr="001036B5">
        <w:tc>
          <w:tcPr>
            <w:tcW w:w="1985" w:type="dxa"/>
            <w:shd w:val="clear" w:color="auto" w:fill="auto"/>
          </w:tcPr>
          <w:p w:rsidR="00C443FD" w:rsidRPr="004431E4" w:rsidRDefault="00C443FD" w:rsidP="0092510D">
            <w:pPr>
              <w:spacing w:before="40" w:after="120"/>
              <w:ind w:right="57"/>
            </w:pPr>
            <w:r w:rsidRPr="004431E4">
              <w:t>Paragraphes</w:t>
            </w:r>
            <w:r w:rsidR="0092510D">
              <w:t xml:space="preserve"> </w:t>
            </w:r>
            <w:r w:rsidRPr="004431E4">
              <w:t>l</w:t>
            </w:r>
            <w:r w:rsidR="00AA2481">
              <w:t>’</w:t>
            </w:r>
            <w:r w:rsidRPr="004431E4">
              <w:t>objet d</w:t>
            </w:r>
            <w:r w:rsidR="00AA2481">
              <w:t>’</w:t>
            </w:r>
            <w:r w:rsidRPr="004431E4">
              <w:t>un suivi:</w:t>
            </w:r>
          </w:p>
        </w:tc>
        <w:tc>
          <w:tcPr>
            <w:tcW w:w="6521" w:type="dxa"/>
            <w:shd w:val="clear" w:color="auto" w:fill="auto"/>
          </w:tcPr>
          <w:p w:rsidR="00C443FD" w:rsidRPr="00AF28A6" w:rsidRDefault="00C443FD" w:rsidP="00EF1051">
            <w:pPr>
              <w:spacing w:before="40" w:after="120"/>
              <w:ind w:right="57"/>
            </w:pPr>
            <w:r w:rsidRPr="00C443FD">
              <w:t>11, 16, 20</w:t>
            </w:r>
          </w:p>
        </w:tc>
      </w:tr>
      <w:tr w:rsidR="00C443FD" w:rsidRPr="004431E4" w:rsidTr="001036B5">
        <w:tc>
          <w:tcPr>
            <w:tcW w:w="1985" w:type="dxa"/>
            <w:shd w:val="clear" w:color="auto" w:fill="auto"/>
          </w:tcPr>
          <w:p w:rsidR="00C443FD" w:rsidRPr="004431E4" w:rsidRDefault="00C443FD" w:rsidP="00EF1051">
            <w:pPr>
              <w:spacing w:before="40" w:after="120"/>
              <w:ind w:right="57"/>
            </w:pPr>
            <w:r>
              <w:t>Première réponse</w:t>
            </w:r>
            <w:r>
              <w:br/>
              <w:t>de l</w:t>
            </w:r>
            <w:r w:rsidR="00AA2481">
              <w:t>’</w:t>
            </w:r>
            <w:r>
              <w:t>État partie</w:t>
            </w:r>
            <w:r w:rsidR="000F7CF5">
              <w:t>:</w:t>
            </w:r>
          </w:p>
        </w:tc>
        <w:tc>
          <w:tcPr>
            <w:tcW w:w="6521" w:type="dxa"/>
            <w:shd w:val="clear" w:color="auto" w:fill="auto"/>
          </w:tcPr>
          <w:p w:rsidR="00C443FD" w:rsidRPr="00C443FD" w:rsidRDefault="001036B5" w:rsidP="00EF1051">
            <w:pPr>
              <w:spacing w:before="40" w:after="120"/>
              <w:ind w:right="57"/>
            </w:pPr>
            <w:r w:rsidRPr="001036B5">
              <w:t>Attendue le 28</w:t>
            </w:r>
            <w:r w:rsidR="0092510D">
              <w:t>/7/</w:t>
            </w:r>
            <w:r w:rsidRPr="001036B5">
              <w:t xml:space="preserve">10 </w:t>
            </w:r>
            <w:r w:rsidR="00663DE6">
              <w:t>−</w:t>
            </w:r>
            <w:r w:rsidRPr="001036B5">
              <w:t xml:space="preserve"> </w:t>
            </w:r>
            <w:r w:rsidR="000F7CF5" w:rsidRPr="001036B5">
              <w:t>R</w:t>
            </w:r>
            <w:r w:rsidRPr="001036B5">
              <w:t>eçue le 9</w:t>
            </w:r>
            <w:r w:rsidR="0092510D">
              <w:t>/10/</w:t>
            </w:r>
            <w:r w:rsidRPr="001036B5">
              <w:t>12</w:t>
            </w:r>
          </w:p>
        </w:tc>
      </w:tr>
      <w:tr w:rsidR="001036B5" w:rsidRPr="004431E4" w:rsidTr="001036B5">
        <w:tc>
          <w:tcPr>
            <w:tcW w:w="1985" w:type="dxa"/>
            <w:shd w:val="clear" w:color="auto" w:fill="auto"/>
          </w:tcPr>
          <w:p w:rsidR="001036B5" w:rsidRDefault="000F7CF5" w:rsidP="00EF1051">
            <w:pPr>
              <w:spacing w:before="40" w:after="120"/>
              <w:ind w:right="57"/>
            </w:pPr>
            <w:r>
              <w:t>Mesures prises</w:t>
            </w:r>
            <w:r>
              <w:br/>
              <w:t>par le Comité:</w:t>
            </w:r>
          </w:p>
        </w:tc>
        <w:tc>
          <w:tcPr>
            <w:tcW w:w="6521" w:type="dxa"/>
            <w:shd w:val="clear" w:color="auto" w:fill="auto"/>
          </w:tcPr>
          <w:p w:rsidR="001036B5" w:rsidRPr="001036B5" w:rsidRDefault="001036B5" w:rsidP="00EF1051">
            <w:pPr>
              <w:spacing w:before="40" w:after="120"/>
              <w:ind w:right="57"/>
            </w:pPr>
            <w:r w:rsidRPr="001036B5">
              <w:t>Rappels envoyés en décembre et en avril 2011. Demande</w:t>
            </w:r>
            <w:r w:rsidR="000F7CF5">
              <w:t>s</w:t>
            </w:r>
            <w:r w:rsidRPr="001036B5">
              <w:t xml:space="preserve"> de</w:t>
            </w:r>
            <w:r w:rsidR="000F7CF5">
              <w:t xml:space="preserve"> rencontre</w:t>
            </w:r>
            <w:r w:rsidRPr="001036B5">
              <w:t xml:space="preserve"> formulée</w:t>
            </w:r>
            <w:r w:rsidR="000F7CF5">
              <w:t>s</w:t>
            </w:r>
            <w:r w:rsidRPr="001036B5">
              <w:t xml:space="preserve"> en février et en octobre 2012. Aucune réponse reç</w:t>
            </w:r>
            <w:r w:rsidRPr="00E64E27">
              <w:t>ue</w:t>
            </w:r>
          </w:p>
        </w:tc>
      </w:tr>
      <w:tr w:rsidR="000F7CF5" w:rsidRPr="001C7EC5" w:rsidTr="001036B5">
        <w:tc>
          <w:tcPr>
            <w:tcW w:w="1985" w:type="dxa"/>
            <w:shd w:val="clear" w:color="auto" w:fill="auto"/>
          </w:tcPr>
          <w:p w:rsidR="000F7CF5" w:rsidRDefault="000F7CF5" w:rsidP="00EF1051">
            <w:pPr>
              <w:keepNext/>
              <w:spacing w:before="40" w:after="120"/>
              <w:ind w:right="57"/>
            </w:pPr>
            <w:r w:rsidRPr="00B66730">
              <w:t>Informations d</w:t>
            </w:r>
            <w:r w:rsidR="00AA2481">
              <w:t>’</w:t>
            </w:r>
            <w:r w:rsidRPr="00026939">
              <w:t>ONG:</w:t>
            </w:r>
          </w:p>
        </w:tc>
        <w:tc>
          <w:tcPr>
            <w:tcW w:w="6521" w:type="dxa"/>
            <w:shd w:val="clear" w:color="auto" w:fill="auto"/>
          </w:tcPr>
          <w:p w:rsidR="000F7CF5" w:rsidRPr="001C7EC5" w:rsidRDefault="000F7CF5" w:rsidP="00EF1051">
            <w:pPr>
              <w:keepNext/>
              <w:spacing w:before="40" w:after="120"/>
              <w:ind w:right="57"/>
              <w:rPr>
                <w:lang w:val="en-GB"/>
              </w:rPr>
            </w:pPr>
            <w:r w:rsidRPr="001C7EC5">
              <w:rPr>
                <w:lang w:val="en-GB"/>
              </w:rPr>
              <w:t>Tanganyika Law Society − CCPR Center: 16/1/2012</w:t>
            </w:r>
          </w:p>
        </w:tc>
      </w:tr>
      <w:tr w:rsidR="00D818DD" w:rsidRPr="004431E4" w:rsidTr="00AA08A8">
        <w:tc>
          <w:tcPr>
            <w:tcW w:w="1985" w:type="dxa"/>
            <w:shd w:val="clear" w:color="auto" w:fill="auto"/>
          </w:tcPr>
          <w:p w:rsidR="00D818DD" w:rsidRPr="00D818DD" w:rsidRDefault="00D818DD" w:rsidP="00EF1051">
            <w:pPr>
              <w:spacing w:before="40" w:after="120"/>
              <w:ind w:right="57"/>
            </w:pPr>
            <w:r w:rsidRPr="00D818DD">
              <w:rPr>
                <w:b/>
              </w:rPr>
              <w:t xml:space="preserve">Paragraphe 11: </w:t>
            </w:r>
          </w:p>
        </w:tc>
        <w:tc>
          <w:tcPr>
            <w:tcW w:w="6521" w:type="dxa"/>
            <w:shd w:val="clear" w:color="auto" w:fill="auto"/>
          </w:tcPr>
          <w:p w:rsidR="00D818DD" w:rsidRPr="001036B5" w:rsidRDefault="00D818DD" w:rsidP="00EF1051">
            <w:pPr>
              <w:spacing w:before="40" w:after="120"/>
              <w:ind w:right="57"/>
            </w:pPr>
            <w:r w:rsidRPr="00D818DD">
              <w:rPr>
                <w:b/>
              </w:rPr>
              <w:t>L</w:t>
            </w:r>
            <w:r w:rsidR="00AA2481">
              <w:rPr>
                <w:b/>
              </w:rPr>
              <w:t>’</w:t>
            </w:r>
            <w:r w:rsidRPr="00D818DD">
              <w:rPr>
                <w:b/>
              </w:rPr>
              <w:t>État partie devrait adopter des mesures efficaces et concrètes</w:t>
            </w:r>
            <w:r w:rsidR="00152D3E">
              <w:rPr>
                <w:b/>
              </w:rPr>
              <w:t xml:space="preserve"> </w:t>
            </w:r>
            <w:r w:rsidRPr="00D818DD">
              <w:rPr>
                <w:b/>
              </w:rPr>
              <w:t xml:space="preserve">pour combattre énergiquement les mutilations génitales féminines, </w:t>
            </w:r>
            <w:r w:rsidR="00152D3E">
              <w:rPr>
                <w:b/>
              </w:rPr>
              <w:t>en </w:t>
            </w:r>
            <w:r w:rsidRPr="00D818DD">
              <w:rPr>
                <w:b/>
              </w:rPr>
              <w:t>particulier dans les régions où cette pratique reste répandue, et faire en</w:t>
            </w:r>
            <w:r>
              <w:rPr>
                <w:b/>
              </w:rPr>
              <w:t> </w:t>
            </w:r>
            <w:r w:rsidRPr="00D818DD">
              <w:rPr>
                <w:b/>
              </w:rPr>
              <w:t>sorte que les auteurs soient traduits en justice. Il devrait également modifier sa législation afin de qualifier pénalement les mutilations génitales féminines dans le cas des femmes âgées de plus de 18 ans.</w:t>
            </w:r>
          </w:p>
        </w:tc>
      </w:tr>
      <w:tr w:rsidR="00B5158E" w:rsidRPr="004431E4" w:rsidTr="00AA08A8">
        <w:tc>
          <w:tcPr>
            <w:tcW w:w="1985" w:type="dxa"/>
            <w:shd w:val="clear" w:color="auto" w:fill="auto"/>
          </w:tcPr>
          <w:p w:rsidR="00B5158E" w:rsidRPr="00B5158E" w:rsidRDefault="00B5158E" w:rsidP="0092510D">
            <w:pPr>
              <w:spacing w:before="40" w:after="120"/>
              <w:ind w:right="57"/>
            </w:pPr>
            <w:r w:rsidRPr="00B5158E">
              <w:t>Résumé réponse</w:t>
            </w:r>
            <w:r w:rsidR="0092510D">
              <w:t xml:space="preserve"> </w:t>
            </w:r>
            <w:r w:rsidRPr="00B5158E">
              <w:t>l</w:t>
            </w:r>
            <w:r w:rsidR="00AA2481">
              <w:t>’</w:t>
            </w:r>
            <w:r w:rsidRPr="00B5158E">
              <w:t>État partie:</w:t>
            </w:r>
          </w:p>
        </w:tc>
        <w:tc>
          <w:tcPr>
            <w:tcW w:w="6521" w:type="dxa"/>
            <w:shd w:val="clear" w:color="auto" w:fill="auto"/>
          </w:tcPr>
          <w:p w:rsidR="00B5158E" w:rsidRPr="00B5158E" w:rsidRDefault="00B5158E" w:rsidP="00EF1051">
            <w:pPr>
              <w:pStyle w:val="Bullet1G"/>
              <w:tabs>
                <w:tab w:val="clear" w:pos="1701"/>
                <w:tab w:val="num" w:pos="284"/>
              </w:tabs>
              <w:ind w:left="284" w:right="57" w:hanging="284"/>
              <w:jc w:val="left"/>
            </w:pPr>
            <w:r w:rsidRPr="00B5158E">
              <w:t>Les mutilations génitales féminines infligées à toute mineure de 18</w:t>
            </w:r>
            <w:r w:rsidR="00274F05">
              <w:t> </w:t>
            </w:r>
            <w:r w:rsidRPr="00B5158E">
              <w:t>ans sont punies d</w:t>
            </w:r>
            <w:r w:rsidR="00AA2481">
              <w:t>’</w:t>
            </w:r>
            <w:r w:rsidRPr="00B5158E">
              <w:t>une peine d</w:t>
            </w:r>
            <w:r w:rsidR="00AA2481">
              <w:t>’</w:t>
            </w:r>
            <w:r w:rsidRPr="00B5158E">
              <w:t>emprisonnement (de cinq à quinze an</w:t>
            </w:r>
            <w:r w:rsidR="006D1672">
              <w:t>s) et d</w:t>
            </w:r>
            <w:r w:rsidR="00AA2481">
              <w:t>’</w:t>
            </w:r>
            <w:r w:rsidR="006D1672">
              <w:t>une amende (200</w:t>
            </w:r>
            <w:r w:rsidR="006D1672">
              <w:t> </w:t>
            </w:r>
            <w:r w:rsidR="00A127A0">
              <w:t>$</w:t>
            </w:r>
            <w:r w:rsidRPr="00B5158E">
              <w:t>É</w:t>
            </w:r>
            <w:r w:rsidR="006D1672">
              <w:t>.</w:t>
            </w:r>
            <w:r w:rsidR="006D1672">
              <w:noBreakHyphen/>
            </w:r>
            <w:r w:rsidR="00152D3E">
              <w:t>U</w:t>
            </w:r>
            <w:r w:rsidR="000F7CF5">
              <w:t>.</w:t>
            </w:r>
            <w:r w:rsidR="00152D3E">
              <w:t xml:space="preserve">). Les </w:t>
            </w:r>
            <w:r w:rsidRPr="00B5158E">
              <w:t>mutilations génitales féminines pratiquées sur les femmes ayant plus de 18 ans ne sont pas érigées en infraction, mais les femmes adultes peuvent poursuivre l</w:t>
            </w:r>
            <w:r w:rsidR="00AA2481">
              <w:t>’</w:t>
            </w:r>
            <w:r w:rsidRPr="00B5158E">
              <w:t>auteur pour agression ou lésions corporelle</w:t>
            </w:r>
            <w:r w:rsidR="00152D3E">
              <w:t xml:space="preserve">s graves. En </w:t>
            </w:r>
            <w:r w:rsidRPr="00B5158E">
              <w:t>décembre 2010, une personne a été condamnée à dix</w:t>
            </w:r>
            <w:r w:rsidR="001731C3">
              <w:t> </w:t>
            </w:r>
            <w:r w:rsidRPr="00B5158E">
              <w:t>ans d</w:t>
            </w:r>
            <w:r w:rsidR="00AA2481">
              <w:t>’</w:t>
            </w:r>
            <w:r w:rsidRPr="00B5158E">
              <w:t>emprisonnement pour avoir pratiqué</w:t>
            </w:r>
            <w:r>
              <w:t xml:space="preserve"> </w:t>
            </w:r>
            <w:r w:rsidRPr="00B5158E">
              <w:t>des mutilations génitales féminines sur 86 filles.</w:t>
            </w:r>
          </w:p>
        </w:tc>
      </w:tr>
      <w:tr w:rsidR="001731C3" w:rsidRPr="004431E4" w:rsidTr="00AA08A8">
        <w:tc>
          <w:tcPr>
            <w:tcW w:w="1985" w:type="dxa"/>
            <w:shd w:val="clear" w:color="auto" w:fill="auto"/>
          </w:tcPr>
          <w:p w:rsidR="001731C3" w:rsidRPr="00B5158E" w:rsidRDefault="001731C3" w:rsidP="00EF1051">
            <w:pPr>
              <w:spacing w:before="40" w:after="120"/>
              <w:ind w:right="57"/>
            </w:pPr>
          </w:p>
        </w:tc>
        <w:tc>
          <w:tcPr>
            <w:tcW w:w="6521" w:type="dxa"/>
            <w:shd w:val="clear" w:color="auto" w:fill="auto"/>
          </w:tcPr>
          <w:p w:rsidR="001731C3" w:rsidRPr="00B5158E" w:rsidRDefault="001731C3" w:rsidP="00EF1051">
            <w:pPr>
              <w:pStyle w:val="Bullet1G"/>
              <w:tabs>
                <w:tab w:val="clear" w:pos="1701"/>
                <w:tab w:val="num" w:pos="284"/>
              </w:tabs>
              <w:ind w:left="284" w:right="57" w:hanging="284"/>
              <w:jc w:val="left"/>
            </w:pPr>
            <w:r w:rsidRPr="001731C3">
              <w:t>Des formations sont organisées à l</w:t>
            </w:r>
            <w:r w:rsidR="00AA2481">
              <w:t>’</w:t>
            </w:r>
            <w:r w:rsidRPr="001731C3">
              <w:t>intention des dirigeants locaux,</w:t>
            </w:r>
            <w:r>
              <w:t xml:space="preserve"> </w:t>
            </w:r>
            <w:r w:rsidRPr="001731C3">
              <w:t>des conseillers communautaires</w:t>
            </w:r>
            <w:r>
              <w:t xml:space="preserve"> </w:t>
            </w:r>
            <w:r w:rsidRPr="001731C3">
              <w:t>ainsi que des organisations religieuses et des médias. Des personnes qui préconisaient les mutilations génitales féminines ont participé à cette formation. Des campagnes de sensibilisation sont mises sur pied (par exemple: «Dire non à la violence» et la Journée nationale contre les mutilations génitales féminines).</w:t>
            </w:r>
          </w:p>
        </w:tc>
      </w:tr>
      <w:tr w:rsidR="004C7A33" w:rsidRPr="004431E4" w:rsidTr="00AA08A8">
        <w:tc>
          <w:tcPr>
            <w:tcW w:w="1985" w:type="dxa"/>
            <w:shd w:val="clear" w:color="auto" w:fill="auto"/>
          </w:tcPr>
          <w:p w:rsidR="004C7A33" w:rsidRPr="00B5158E" w:rsidRDefault="004C7A33" w:rsidP="00EF1051">
            <w:pPr>
              <w:spacing w:before="40" w:after="120"/>
              <w:ind w:right="57"/>
            </w:pPr>
          </w:p>
        </w:tc>
        <w:tc>
          <w:tcPr>
            <w:tcW w:w="6521" w:type="dxa"/>
            <w:shd w:val="clear" w:color="auto" w:fill="auto"/>
          </w:tcPr>
          <w:p w:rsidR="004C7A33" w:rsidRPr="001731C3" w:rsidRDefault="004C7A33" w:rsidP="00EF1051">
            <w:pPr>
              <w:pStyle w:val="Bullet1G"/>
              <w:tabs>
                <w:tab w:val="clear" w:pos="1701"/>
                <w:tab w:val="num" w:pos="284"/>
              </w:tabs>
              <w:ind w:left="284" w:right="57" w:hanging="284"/>
              <w:jc w:val="left"/>
            </w:pPr>
            <w:r w:rsidRPr="004C7A33">
              <w:t xml:space="preserve">Des </w:t>
            </w:r>
            <w:r w:rsidRPr="000F7CF5">
              <w:rPr>
                <w:spacing w:val="-4"/>
              </w:rPr>
              <w:t>points d</w:t>
            </w:r>
            <w:r w:rsidR="00AA2481">
              <w:rPr>
                <w:spacing w:val="-4"/>
              </w:rPr>
              <w:t>’</w:t>
            </w:r>
            <w:r w:rsidRPr="000F7CF5">
              <w:rPr>
                <w:spacing w:val="-4"/>
              </w:rPr>
              <w:t>accueil pour les femmes dans les postes de police ainsi qu</w:t>
            </w:r>
            <w:r w:rsidR="00AA2481">
              <w:rPr>
                <w:spacing w:val="-4"/>
              </w:rPr>
              <w:t>’</w:t>
            </w:r>
            <w:r w:rsidRPr="000F7CF5">
              <w:rPr>
                <w:spacing w:val="-4"/>
              </w:rPr>
              <w:t>un Comité national multisectoriel sur la violence contre les femmes ont été établis. Un Comité national contre la violence sexiste a été créé à Zanzibar. Un Plan national d</w:t>
            </w:r>
            <w:r w:rsidR="00AA2481">
              <w:rPr>
                <w:spacing w:val="-4"/>
              </w:rPr>
              <w:t>’</w:t>
            </w:r>
            <w:r w:rsidRPr="000F7CF5">
              <w:rPr>
                <w:spacing w:val="-4"/>
              </w:rPr>
              <w:t>action pour l</w:t>
            </w:r>
            <w:r w:rsidR="00AA2481">
              <w:rPr>
                <w:spacing w:val="-4"/>
              </w:rPr>
              <w:t>’</w:t>
            </w:r>
            <w:r w:rsidRPr="000F7CF5">
              <w:rPr>
                <w:spacing w:val="-4"/>
              </w:rPr>
              <w:t>élimination de la violence contre les femmes (2001</w:t>
            </w:r>
            <w:r w:rsidRPr="000F7CF5">
              <w:rPr>
                <w:spacing w:val="-4"/>
              </w:rPr>
              <w:noBreakHyphen/>
              <w:t>2015) a été adopté, de même que la branche tanzanienne du Réseau d</w:t>
            </w:r>
            <w:r w:rsidR="00AA2481">
              <w:rPr>
                <w:spacing w:val="-4"/>
              </w:rPr>
              <w:t>’</w:t>
            </w:r>
            <w:r w:rsidRPr="000F7CF5">
              <w:rPr>
                <w:spacing w:val="-4"/>
              </w:rPr>
              <w:t>Afrique de l</w:t>
            </w:r>
            <w:r w:rsidR="00AA2481">
              <w:rPr>
                <w:spacing w:val="-4"/>
              </w:rPr>
              <w:t>’</w:t>
            </w:r>
            <w:r w:rsidRPr="000F7CF5">
              <w:rPr>
                <w:spacing w:val="-4"/>
              </w:rPr>
              <w:t>Est pour l</w:t>
            </w:r>
            <w:r w:rsidR="00AA2481">
              <w:rPr>
                <w:spacing w:val="-4"/>
              </w:rPr>
              <w:t>’</w:t>
            </w:r>
            <w:r w:rsidRPr="000F7CF5">
              <w:rPr>
                <w:spacing w:val="-4"/>
              </w:rPr>
              <w:t>élimination des mutilations génitales féminines (MGF).</w:t>
            </w:r>
          </w:p>
        </w:tc>
      </w:tr>
      <w:tr w:rsidR="006630FF" w:rsidRPr="004431E4" w:rsidTr="001036B5">
        <w:tc>
          <w:tcPr>
            <w:tcW w:w="1985" w:type="dxa"/>
            <w:shd w:val="clear" w:color="auto" w:fill="auto"/>
          </w:tcPr>
          <w:p w:rsidR="006630FF" w:rsidRDefault="001D5B38" w:rsidP="00EF1051">
            <w:pPr>
              <w:spacing w:before="40" w:after="120"/>
              <w:ind w:right="57"/>
            </w:pPr>
            <w:r>
              <w:t>Informations d</w:t>
            </w:r>
            <w:r w:rsidR="00AA2481">
              <w:t>’</w:t>
            </w:r>
            <w:r>
              <w:t>ONG:</w:t>
            </w:r>
          </w:p>
        </w:tc>
        <w:tc>
          <w:tcPr>
            <w:tcW w:w="6521" w:type="dxa"/>
            <w:shd w:val="clear" w:color="auto" w:fill="auto"/>
          </w:tcPr>
          <w:p w:rsidR="006630FF" w:rsidRPr="001036B5" w:rsidRDefault="001D5B38" w:rsidP="00EF1051">
            <w:pPr>
              <w:spacing w:before="40" w:after="120"/>
              <w:ind w:right="57"/>
            </w:pPr>
            <w:r w:rsidRPr="001D5B38">
              <w:t xml:space="preserve">Pas de changement depuis 2008. Craignant des poursuites pénales, les personnes qui pratiquent les mutilations génitales féminines </w:t>
            </w:r>
            <w:r>
              <w:t xml:space="preserve">le font maintenant sur des nourrissons </w:t>
            </w:r>
            <w:r w:rsidRPr="001D5B38">
              <w:t>de quelques mois. La pratique a augmenté dans certaines régions (par exemple: Mara). Il n</w:t>
            </w:r>
            <w:r w:rsidR="00AA2481">
              <w:t>’</w:t>
            </w:r>
            <w:r w:rsidRPr="001D5B38">
              <w:t xml:space="preserve">y a eu </w:t>
            </w:r>
            <w:r w:rsidR="000F7CF5">
              <w:t xml:space="preserve">quasiment </w:t>
            </w:r>
            <w:r w:rsidRPr="001D5B38">
              <w:t>aucune poursuite contre les auteu</w:t>
            </w:r>
            <w:r>
              <w:t xml:space="preserve">rs, même lorsque leur pratique </w:t>
            </w:r>
            <w:r w:rsidR="00152D3E">
              <w:t>es</w:t>
            </w:r>
            <w:r>
              <w:t>t connue.</w:t>
            </w:r>
          </w:p>
        </w:tc>
      </w:tr>
      <w:tr w:rsidR="004C7A33" w:rsidRPr="004431E4" w:rsidTr="001036B5">
        <w:tc>
          <w:tcPr>
            <w:tcW w:w="1985" w:type="dxa"/>
            <w:shd w:val="clear" w:color="auto" w:fill="auto"/>
          </w:tcPr>
          <w:p w:rsidR="004C7A33" w:rsidRDefault="004C7A33" w:rsidP="00EF1051">
            <w:pPr>
              <w:keepNext/>
              <w:spacing w:before="40" w:after="120"/>
              <w:ind w:right="57"/>
            </w:pPr>
            <w:r w:rsidRPr="00D818DD">
              <w:t>Évaluation Comité:</w:t>
            </w:r>
          </w:p>
        </w:tc>
        <w:tc>
          <w:tcPr>
            <w:tcW w:w="6521" w:type="dxa"/>
            <w:shd w:val="clear" w:color="auto" w:fill="auto"/>
          </w:tcPr>
          <w:p w:rsidR="004C7A33" w:rsidRPr="001D5B38" w:rsidRDefault="00D378BC" w:rsidP="00EC7DFC">
            <w:pPr>
              <w:keepNext/>
              <w:spacing w:before="40" w:after="120"/>
              <w:ind w:right="57"/>
            </w:pPr>
            <w:r w:rsidRPr="00D378BC">
              <w:rPr>
                <w:b/>
              </w:rPr>
              <w:t>[</w:t>
            </w:r>
            <w:r w:rsidR="00EC7DFC">
              <w:rPr>
                <w:b/>
              </w:rPr>
              <w:t>C1</w:t>
            </w:r>
            <w:r w:rsidR="00FC7213">
              <w:rPr>
                <w:b/>
              </w:rPr>
              <w:t xml:space="preserve">] </w:t>
            </w:r>
            <w:r w:rsidR="00EC7DFC" w:rsidRPr="00F71353">
              <w:t>La recommandation n</w:t>
            </w:r>
            <w:r w:rsidR="00EC7DFC">
              <w:t>’</w:t>
            </w:r>
            <w:r w:rsidR="00EC7DFC" w:rsidRPr="00F71353">
              <w:t xml:space="preserve">a pas été </w:t>
            </w:r>
            <w:r w:rsidR="00EC7DFC">
              <w:t>mise en application</w:t>
            </w:r>
            <w:r w:rsidR="00EC7DFC" w:rsidRPr="00F71353">
              <w:t>.</w:t>
            </w:r>
            <w:r w:rsidR="00EC7DFC">
              <w:t xml:space="preserve"> </w:t>
            </w:r>
            <w:r w:rsidRPr="00D378BC">
              <w:t xml:space="preserve">Des mesures </w:t>
            </w:r>
            <w:r w:rsidR="00BB0BF9">
              <w:t xml:space="preserve">restent nécessaires </w:t>
            </w:r>
            <w:r w:rsidRPr="00D378BC">
              <w:t>pour:</w:t>
            </w:r>
          </w:p>
        </w:tc>
      </w:tr>
      <w:tr w:rsidR="004C7A33" w:rsidRPr="004431E4" w:rsidTr="001036B5">
        <w:tc>
          <w:tcPr>
            <w:tcW w:w="1985" w:type="dxa"/>
            <w:shd w:val="clear" w:color="auto" w:fill="auto"/>
          </w:tcPr>
          <w:p w:rsidR="004C7A33" w:rsidRDefault="004C7A33" w:rsidP="00EF1051">
            <w:pPr>
              <w:keepNext/>
              <w:spacing w:before="40" w:after="120"/>
              <w:ind w:right="57"/>
            </w:pPr>
          </w:p>
        </w:tc>
        <w:tc>
          <w:tcPr>
            <w:tcW w:w="6521" w:type="dxa"/>
            <w:shd w:val="clear" w:color="auto" w:fill="auto"/>
          </w:tcPr>
          <w:p w:rsidR="004C7A33" w:rsidRPr="001D5B38" w:rsidRDefault="002D257D" w:rsidP="00EF1051">
            <w:pPr>
              <w:pStyle w:val="Bullet1G"/>
              <w:keepNext/>
              <w:tabs>
                <w:tab w:val="clear" w:pos="1701"/>
                <w:tab w:val="num" w:pos="284"/>
              </w:tabs>
              <w:ind w:left="284" w:right="57" w:hanging="284"/>
              <w:jc w:val="left"/>
            </w:pPr>
            <w:r w:rsidRPr="002D257D">
              <w:t xml:space="preserve">Criminaliser les MGF pratiquées sur </w:t>
            </w:r>
            <w:r w:rsidR="000F7CF5">
              <w:t>d</w:t>
            </w:r>
            <w:r w:rsidRPr="002D257D">
              <w:t>es femmes adultes;</w:t>
            </w:r>
          </w:p>
        </w:tc>
      </w:tr>
      <w:tr w:rsidR="004C7A33" w:rsidRPr="004431E4" w:rsidTr="001036B5">
        <w:tc>
          <w:tcPr>
            <w:tcW w:w="1985" w:type="dxa"/>
            <w:shd w:val="clear" w:color="auto" w:fill="auto"/>
          </w:tcPr>
          <w:p w:rsidR="004C7A33" w:rsidRDefault="004C7A33" w:rsidP="00EF1051">
            <w:pPr>
              <w:spacing w:before="40" w:after="120"/>
              <w:ind w:right="57"/>
            </w:pPr>
          </w:p>
        </w:tc>
        <w:tc>
          <w:tcPr>
            <w:tcW w:w="6521" w:type="dxa"/>
            <w:shd w:val="clear" w:color="auto" w:fill="auto"/>
          </w:tcPr>
          <w:p w:rsidR="004C7A33" w:rsidRPr="001D5B38" w:rsidRDefault="002D257D" w:rsidP="00EF1051">
            <w:pPr>
              <w:pStyle w:val="Bullet1G"/>
              <w:tabs>
                <w:tab w:val="clear" w:pos="1701"/>
                <w:tab w:val="num" w:pos="284"/>
              </w:tabs>
              <w:ind w:left="284" w:right="57" w:hanging="284"/>
              <w:jc w:val="left"/>
            </w:pPr>
            <w:r w:rsidRPr="002D257D">
              <w:t>Faire en sorte que les praticiens de MGF soient traduits en justice</w:t>
            </w:r>
            <w:r w:rsidR="003D2B3E">
              <w:br/>
            </w:r>
            <w:r w:rsidRPr="002D257D">
              <w:t>(un seul cas est signalé dans le rapport);</w:t>
            </w:r>
          </w:p>
        </w:tc>
      </w:tr>
      <w:tr w:rsidR="004C7A33" w:rsidRPr="004431E4" w:rsidTr="001036B5">
        <w:tc>
          <w:tcPr>
            <w:tcW w:w="1985" w:type="dxa"/>
            <w:shd w:val="clear" w:color="auto" w:fill="auto"/>
          </w:tcPr>
          <w:p w:rsidR="004C7A33" w:rsidRDefault="004C7A33" w:rsidP="00EF1051">
            <w:pPr>
              <w:spacing w:before="40" w:after="120"/>
              <w:ind w:right="57"/>
            </w:pPr>
          </w:p>
        </w:tc>
        <w:tc>
          <w:tcPr>
            <w:tcW w:w="6521" w:type="dxa"/>
            <w:shd w:val="clear" w:color="auto" w:fill="auto"/>
          </w:tcPr>
          <w:p w:rsidR="004C7A33" w:rsidRPr="001D5B38" w:rsidRDefault="002D257D" w:rsidP="00EF1051">
            <w:pPr>
              <w:pStyle w:val="Bullet1G"/>
              <w:tabs>
                <w:tab w:val="clear" w:pos="1701"/>
                <w:tab w:val="num" w:pos="284"/>
              </w:tabs>
              <w:ind w:left="284" w:right="57" w:hanging="284"/>
              <w:jc w:val="left"/>
            </w:pPr>
            <w:r w:rsidRPr="002D257D">
              <w:t>Renforcer les activités dans les régions où la pratique est encore</w:t>
            </w:r>
            <w:r>
              <w:br/>
            </w:r>
            <w:r w:rsidRPr="002D257D">
              <w:t>très répandue.</w:t>
            </w:r>
          </w:p>
        </w:tc>
      </w:tr>
      <w:tr w:rsidR="002D257D" w:rsidRPr="004431E4" w:rsidTr="001036B5">
        <w:tc>
          <w:tcPr>
            <w:tcW w:w="1985" w:type="dxa"/>
            <w:shd w:val="clear" w:color="auto" w:fill="auto"/>
          </w:tcPr>
          <w:p w:rsidR="002D257D" w:rsidRDefault="00D96C77" w:rsidP="00EF1051">
            <w:pPr>
              <w:spacing w:before="40" w:after="120"/>
              <w:ind w:right="57"/>
            </w:pPr>
            <w:r w:rsidRPr="00D96C77">
              <w:rPr>
                <w:b/>
              </w:rPr>
              <w:t>Paragraphe 16:</w:t>
            </w:r>
          </w:p>
        </w:tc>
        <w:tc>
          <w:tcPr>
            <w:tcW w:w="6521" w:type="dxa"/>
            <w:shd w:val="clear" w:color="auto" w:fill="auto"/>
          </w:tcPr>
          <w:p w:rsidR="002D257D" w:rsidRPr="001D5B38" w:rsidRDefault="00D96C77" w:rsidP="00EF1051">
            <w:pPr>
              <w:spacing w:before="40" w:after="120"/>
              <w:ind w:right="57"/>
            </w:pPr>
            <w:r w:rsidRPr="00D96C77">
              <w:rPr>
                <w:b/>
              </w:rPr>
              <w:t>L</w:t>
            </w:r>
            <w:r w:rsidR="00AA2481">
              <w:rPr>
                <w:b/>
              </w:rPr>
              <w:t>’</w:t>
            </w:r>
            <w:r w:rsidRPr="00D96C77">
              <w:rPr>
                <w:b/>
              </w:rPr>
              <w:t>État partie devrait prendre des mesures pour abolir les châtiments corporels en tant que sanctions autorisées par la loi. Il devrait également promouvoir des formes non violentes de discipline pour remplacer les châtiments corporels dans le système éducatif et mener des campagnes d</w:t>
            </w:r>
            <w:r w:rsidR="00AA2481">
              <w:rPr>
                <w:b/>
              </w:rPr>
              <w:t>’</w:t>
            </w:r>
            <w:r w:rsidRPr="00D96C77">
              <w:rPr>
                <w:b/>
              </w:rPr>
              <w:t>information auprès du public sur leurs effets nocifs.</w:t>
            </w:r>
          </w:p>
        </w:tc>
      </w:tr>
      <w:tr w:rsidR="002D257D" w:rsidRPr="004431E4" w:rsidTr="001036B5">
        <w:tc>
          <w:tcPr>
            <w:tcW w:w="1985" w:type="dxa"/>
            <w:shd w:val="clear" w:color="auto" w:fill="auto"/>
          </w:tcPr>
          <w:p w:rsidR="002D257D" w:rsidRPr="00B45418" w:rsidRDefault="00D96C77" w:rsidP="0092510D">
            <w:pPr>
              <w:spacing w:before="40" w:after="120"/>
              <w:ind w:right="57"/>
            </w:pPr>
            <w:r w:rsidRPr="00B45418">
              <w:t>Résumé</w:t>
            </w:r>
            <w:r w:rsidR="0092510D">
              <w:t xml:space="preserve"> </w:t>
            </w:r>
            <w:r w:rsidRPr="00B45418">
              <w:t xml:space="preserve"> réponse l</w:t>
            </w:r>
            <w:r w:rsidR="00AA2481">
              <w:t>’</w:t>
            </w:r>
            <w:r w:rsidRPr="00B45418">
              <w:t>État partie:</w:t>
            </w:r>
          </w:p>
        </w:tc>
        <w:tc>
          <w:tcPr>
            <w:tcW w:w="6521" w:type="dxa"/>
            <w:shd w:val="clear" w:color="auto" w:fill="auto"/>
          </w:tcPr>
          <w:p w:rsidR="002D257D" w:rsidRPr="001D5B38" w:rsidRDefault="00D96C77" w:rsidP="00EF1051">
            <w:pPr>
              <w:pStyle w:val="Bullet1G"/>
              <w:tabs>
                <w:tab w:val="clear" w:pos="1701"/>
                <w:tab w:val="num" w:pos="284"/>
              </w:tabs>
              <w:ind w:left="284" w:right="57" w:hanging="284"/>
              <w:jc w:val="left"/>
            </w:pPr>
            <w:r w:rsidRPr="00D96C77">
              <w:t>Le châtiment corporel fait partie du système pénal national. Cette peine</w:t>
            </w:r>
            <w:r w:rsidR="00A23AD6">
              <w:t xml:space="preserve"> </w:t>
            </w:r>
            <w:r w:rsidRPr="00D96C77">
              <w:t>n</w:t>
            </w:r>
            <w:r w:rsidR="00AA2481">
              <w:t>’</w:t>
            </w:r>
            <w:r w:rsidRPr="00D96C77">
              <w:t xml:space="preserve">est pas applicable aux </w:t>
            </w:r>
            <w:r w:rsidR="00E20050">
              <w:t xml:space="preserve">personnes </w:t>
            </w:r>
            <w:r w:rsidRPr="00D96C77">
              <w:t>âgé</w:t>
            </w:r>
            <w:r w:rsidR="00E20050">
              <w:t>e</w:t>
            </w:r>
            <w:r w:rsidRPr="00D96C77">
              <w:t>s de plus de 55 ans.</w:t>
            </w:r>
            <w:r w:rsidR="00E20050">
              <w:t xml:space="preserve"> </w:t>
            </w:r>
            <w:r w:rsidRPr="00D96C77">
              <w:t>La</w:t>
            </w:r>
            <w:r>
              <w:t xml:space="preserve"> </w:t>
            </w:r>
            <w:r w:rsidRPr="00D96C77">
              <w:t>procédure d</w:t>
            </w:r>
            <w:r w:rsidR="00AA2481">
              <w:t>’</w:t>
            </w:r>
            <w:r w:rsidRPr="00D96C77">
              <w:t>application est strictement contrôlée. Cette peine n</w:t>
            </w:r>
            <w:r w:rsidR="00AA2481">
              <w:t>’</w:t>
            </w:r>
            <w:r w:rsidRPr="00D96C77">
              <w:t>a pas été appliquée depuis plus d</w:t>
            </w:r>
            <w:r w:rsidR="00AA2481">
              <w:t>’</w:t>
            </w:r>
            <w:r w:rsidRPr="00D96C77">
              <w:t>une décennie.</w:t>
            </w:r>
          </w:p>
        </w:tc>
      </w:tr>
      <w:tr w:rsidR="002D257D" w:rsidRPr="004431E4" w:rsidTr="001036B5">
        <w:tc>
          <w:tcPr>
            <w:tcW w:w="1985" w:type="dxa"/>
            <w:shd w:val="clear" w:color="auto" w:fill="auto"/>
          </w:tcPr>
          <w:p w:rsidR="002D257D" w:rsidRPr="00B45418" w:rsidRDefault="002D257D" w:rsidP="00EF1051">
            <w:pPr>
              <w:spacing w:before="40" w:after="120"/>
              <w:ind w:right="57"/>
            </w:pPr>
          </w:p>
        </w:tc>
        <w:tc>
          <w:tcPr>
            <w:tcW w:w="6521" w:type="dxa"/>
            <w:shd w:val="clear" w:color="auto" w:fill="auto"/>
          </w:tcPr>
          <w:p w:rsidR="002D257D" w:rsidRPr="00B45418" w:rsidRDefault="00B45418" w:rsidP="0092510D">
            <w:pPr>
              <w:pStyle w:val="Bullet1G"/>
              <w:tabs>
                <w:tab w:val="clear" w:pos="1701"/>
                <w:tab w:val="num" w:pos="284"/>
              </w:tabs>
              <w:ind w:left="284" w:right="57" w:hanging="284"/>
              <w:jc w:val="left"/>
            </w:pPr>
            <w:r w:rsidRPr="00B45418">
              <w:t>La fustigation est infligée dans les écoles pour des actes de grave indiscipline. Elle est considérée comme une forme de punition légitime</w:t>
            </w:r>
            <w:r w:rsidR="0092510D">
              <w:t>.</w:t>
            </w:r>
            <w:r>
              <w:br/>
            </w:r>
            <w:r w:rsidRPr="00B45418">
              <w:t>La politique éducative encourage d</w:t>
            </w:r>
            <w:r w:rsidR="00AA2481">
              <w:t>’</w:t>
            </w:r>
            <w:r w:rsidRPr="00B45418">
              <w:t>autres moyens de discipline, comme le conseil ou les recommandations.</w:t>
            </w:r>
          </w:p>
        </w:tc>
      </w:tr>
      <w:tr w:rsidR="00B45418" w:rsidRPr="004431E4" w:rsidTr="001036B5">
        <w:tc>
          <w:tcPr>
            <w:tcW w:w="1985" w:type="dxa"/>
            <w:shd w:val="clear" w:color="auto" w:fill="auto"/>
          </w:tcPr>
          <w:p w:rsidR="00B45418" w:rsidRPr="00B45418" w:rsidRDefault="00B45418" w:rsidP="00EF1051">
            <w:pPr>
              <w:spacing w:before="40" w:after="120"/>
              <w:ind w:right="57"/>
            </w:pPr>
          </w:p>
        </w:tc>
        <w:tc>
          <w:tcPr>
            <w:tcW w:w="6521" w:type="dxa"/>
            <w:shd w:val="clear" w:color="auto" w:fill="auto"/>
          </w:tcPr>
          <w:p w:rsidR="00B45418" w:rsidRPr="00B45418" w:rsidRDefault="00B66730" w:rsidP="00EF1051">
            <w:pPr>
              <w:pStyle w:val="Bullet1G"/>
              <w:tabs>
                <w:tab w:val="clear" w:pos="1701"/>
                <w:tab w:val="num" w:pos="284"/>
              </w:tabs>
              <w:ind w:left="284" w:right="57" w:hanging="284"/>
              <w:jc w:val="left"/>
            </w:pPr>
            <w:r w:rsidRPr="00B66730">
              <w:t>Les châtiments corporels sont interdits dans les structures assurant une protection de remplacement. À la maison, il est conseillé aux parents et tuteurs de ne pas infliger des châtiments corporels. La Commission de réforme législative a mené une étude sur le recours aux châtiments corporels. Ses recommandations ont été soumises au Gouvernement. L</w:t>
            </w:r>
            <w:r w:rsidR="00E2735F">
              <w:t>e Fonds des Nations Unies pour l’enfance (</w:t>
            </w:r>
            <w:r w:rsidRPr="00103E43">
              <w:t>UNICEF</w:t>
            </w:r>
            <w:r w:rsidR="00E2735F">
              <w:t>)</w:t>
            </w:r>
            <w:r w:rsidRPr="00B66730">
              <w:t xml:space="preserve"> supervise un projet pilote d</w:t>
            </w:r>
            <w:r w:rsidR="00AA2481">
              <w:t>’</w:t>
            </w:r>
            <w:r w:rsidRPr="00B66730">
              <w:t>observation dans certaines écoles qui n</w:t>
            </w:r>
            <w:r w:rsidR="00AA2481">
              <w:t>’</w:t>
            </w:r>
            <w:r w:rsidRPr="00B66730">
              <w:t>utilisent pas cette forme de punition.</w:t>
            </w:r>
          </w:p>
        </w:tc>
      </w:tr>
      <w:tr w:rsidR="00B45418" w:rsidRPr="004431E4" w:rsidTr="001036B5">
        <w:tc>
          <w:tcPr>
            <w:tcW w:w="1985" w:type="dxa"/>
            <w:shd w:val="clear" w:color="auto" w:fill="auto"/>
          </w:tcPr>
          <w:p w:rsidR="00B45418" w:rsidRPr="00B45418" w:rsidRDefault="00B45418" w:rsidP="00EF1051">
            <w:pPr>
              <w:spacing w:before="40" w:after="120"/>
              <w:ind w:right="57"/>
            </w:pPr>
          </w:p>
        </w:tc>
        <w:tc>
          <w:tcPr>
            <w:tcW w:w="6521" w:type="dxa"/>
            <w:shd w:val="clear" w:color="auto" w:fill="auto"/>
          </w:tcPr>
          <w:p w:rsidR="00B45418" w:rsidRPr="00B45418" w:rsidRDefault="00B66730" w:rsidP="00EF1051">
            <w:pPr>
              <w:pStyle w:val="Bullet1G"/>
              <w:tabs>
                <w:tab w:val="clear" w:pos="1701"/>
                <w:tab w:val="num" w:pos="284"/>
              </w:tabs>
              <w:ind w:left="284" w:right="57" w:hanging="284"/>
              <w:jc w:val="left"/>
            </w:pPr>
            <w:r w:rsidRPr="00B66730">
              <w:t>À Zanzibar, le châtiment corporel est interdit par la loi. Il existe un service spécialement chargé de promouvoir d</w:t>
            </w:r>
            <w:r w:rsidR="00AA2481">
              <w:t>’</w:t>
            </w:r>
            <w:r w:rsidR="000F7CF5">
              <w:t>autres moyens de discipline. L</w:t>
            </w:r>
            <w:r w:rsidR="00AA2481">
              <w:t>’</w:t>
            </w:r>
            <w:r w:rsidR="000F7CF5">
              <w:t>o</w:t>
            </w:r>
            <w:r w:rsidRPr="00B66730">
              <w:t>rganisation Save the Children mène actuellement un programme pilote dans 20 écoles.</w:t>
            </w:r>
          </w:p>
        </w:tc>
      </w:tr>
      <w:tr w:rsidR="00B45418" w:rsidRPr="004431E4" w:rsidTr="001036B5">
        <w:tc>
          <w:tcPr>
            <w:tcW w:w="1985" w:type="dxa"/>
            <w:shd w:val="clear" w:color="auto" w:fill="auto"/>
          </w:tcPr>
          <w:p w:rsidR="00B45418" w:rsidRPr="00B45418" w:rsidRDefault="00B66730" w:rsidP="00EF1051">
            <w:pPr>
              <w:spacing w:before="40" w:after="120"/>
              <w:ind w:right="57"/>
            </w:pPr>
            <w:r w:rsidRPr="00B66730">
              <w:t>Informations d</w:t>
            </w:r>
            <w:r w:rsidR="00AA2481">
              <w:t>’</w:t>
            </w:r>
            <w:r w:rsidRPr="00B66730">
              <w:t>ONG:</w:t>
            </w:r>
          </w:p>
        </w:tc>
        <w:tc>
          <w:tcPr>
            <w:tcW w:w="6521" w:type="dxa"/>
            <w:shd w:val="clear" w:color="auto" w:fill="auto"/>
          </w:tcPr>
          <w:p w:rsidR="00B45418" w:rsidRPr="00B45418" w:rsidRDefault="006C04FE" w:rsidP="00EF1051">
            <w:pPr>
              <w:spacing w:before="40" w:after="120"/>
              <w:ind w:right="57"/>
            </w:pPr>
            <w:r w:rsidRPr="006C04FE">
              <w:t>Les châtiments corporels sont toujours autorisés et largement pratiqués dans</w:t>
            </w:r>
            <w:r w:rsidR="00A23AD6">
              <w:t xml:space="preserve"> </w:t>
            </w:r>
            <w:r w:rsidRPr="006C04FE">
              <w:t xml:space="preserve">le système </w:t>
            </w:r>
            <w:r>
              <w:t>scolaire</w:t>
            </w:r>
            <w:r w:rsidRPr="006C04FE">
              <w:t>. La législation nationale autorise encore le recours aux châtiments corporels par les agents de la force publique.</w:t>
            </w:r>
          </w:p>
        </w:tc>
      </w:tr>
      <w:tr w:rsidR="00B66730" w:rsidRPr="004431E4" w:rsidTr="001036B5">
        <w:tc>
          <w:tcPr>
            <w:tcW w:w="1985" w:type="dxa"/>
            <w:shd w:val="clear" w:color="auto" w:fill="auto"/>
          </w:tcPr>
          <w:p w:rsidR="00B66730" w:rsidRPr="00B45418" w:rsidRDefault="00641440" w:rsidP="00EF1051">
            <w:pPr>
              <w:spacing w:before="40" w:after="120"/>
              <w:ind w:right="57"/>
            </w:pPr>
            <w:r w:rsidRPr="00641440">
              <w:t>Évaluation Comité:</w:t>
            </w:r>
          </w:p>
        </w:tc>
        <w:tc>
          <w:tcPr>
            <w:tcW w:w="6521" w:type="dxa"/>
            <w:shd w:val="clear" w:color="auto" w:fill="auto"/>
          </w:tcPr>
          <w:p w:rsidR="00B66730" w:rsidRPr="00B45418" w:rsidRDefault="00641440" w:rsidP="00EF1051">
            <w:pPr>
              <w:spacing w:before="40" w:after="120"/>
              <w:ind w:right="57"/>
            </w:pPr>
            <w:r w:rsidRPr="00641440">
              <w:rPr>
                <w:b/>
              </w:rPr>
              <w:t>[B2</w:t>
            </w:r>
            <w:r w:rsidR="00FC7213">
              <w:rPr>
                <w:b/>
              </w:rPr>
              <w:t xml:space="preserve">] </w:t>
            </w:r>
            <w:r w:rsidRPr="00641440">
              <w:t xml:space="preserve">Des mesures </w:t>
            </w:r>
            <w:r w:rsidR="004F4EF0">
              <w:t xml:space="preserve">supplémentaires </w:t>
            </w:r>
            <w:r w:rsidRPr="00641440">
              <w:t>restent nécessaires afin d</w:t>
            </w:r>
            <w:r w:rsidR="00AA2481">
              <w:t>’</w:t>
            </w:r>
            <w:r w:rsidRPr="00641440">
              <w:t>interdire officiellement l</w:t>
            </w:r>
            <w:r w:rsidR="00AA2481">
              <w:t>’</w:t>
            </w:r>
            <w:r w:rsidRPr="00641440">
              <w:t xml:space="preserve">imposition de châtiments corporels en tant que peine </w:t>
            </w:r>
            <w:r w:rsidR="004F4EF0">
              <w:t xml:space="preserve">infligée par </w:t>
            </w:r>
            <w:r w:rsidRPr="00641440">
              <w:t xml:space="preserve">le système judiciaire, à la maison et dans le </w:t>
            </w:r>
            <w:r w:rsidR="004F4EF0">
              <w:t xml:space="preserve">système </w:t>
            </w:r>
            <w:r w:rsidRPr="00641440">
              <w:t>scolaire.</w:t>
            </w:r>
          </w:p>
        </w:tc>
      </w:tr>
      <w:tr w:rsidR="00B66730" w:rsidRPr="004431E4" w:rsidTr="001036B5">
        <w:tc>
          <w:tcPr>
            <w:tcW w:w="1985" w:type="dxa"/>
            <w:shd w:val="clear" w:color="auto" w:fill="auto"/>
          </w:tcPr>
          <w:p w:rsidR="00B66730" w:rsidRPr="00E4052A" w:rsidRDefault="00E4052A" w:rsidP="00EF1051">
            <w:pPr>
              <w:spacing w:before="40" w:after="120"/>
              <w:ind w:right="57"/>
              <w:rPr>
                <w:b/>
              </w:rPr>
            </w:pPr>
            <w:r w:rsidRPr="00E4052A">
              <w:rPr>
                <w:b/>
              </w:rPr>
              <w:t>Paragraphe 20:</w:t>
            </w:r>
          </w:p>
        </w:tc>
        <w:tc>
          <w:tcPr>
            <w:tcW w:w="6521" w:type="dxa"/>
            <w:shd w:val="clear" w:color="auto" w:fill="auto"/>
          </w:tcPr>
          <w:p w:rsidR="00B66730" w:rsidRPr="00E4052A" w:rsidRDefault="00E4052A" w:rsidP="00EF1051">
            <w:pPr>
              <w:spacing w:before="40" w:after="120"/>
              <w:ind w:right="57"/>
              <w:rPr>
                <w:b/>
              </w:rPr>
            </w:pPr>
            <w:r w:rsidRPr="00E4052A">
              <w:rPr>
                <w:b/>
              </w:rPr>
              <w:t>L</w:t>
            </w:r>
            <w:r w:rsidR="00AA2481">
              <w:rPr>
                <w:b/>
              </w:rPr>
              <w:t>’</w:t>
            </w:r>
            <w:r w:rsidRPr="00E4052A">
              <w:rPr>
                <w:b/>
              </w:rPr>
              <w:t>État partie devrait se conformer à l</w:t>
            </w:r>
            <w:r w:rsidR="00AA2481">
              <w:rPr>
                <w:b/>
              </w:rPr>
              <w:t>’</w:t>
            </w:r>
            <w:r w:rsidRPr="00E4052A">
              <w:rPr>
                <w:b/>
              </w:rPr>
              <w:t>article 11 du Pacte et modifier</w:t>
            </w:r>
            <w:r w:rsidR="00A23AD6">
              <w:rPr>
                <w:b/>
              </w:rPr>
              <w:t xml:space="preserve"> sa </w:t>
            </w:r>
            <w:r w:rsidRPr="00E4052A">
              <w:rPr>
                <w:b/>
              </w:rPr>
              <w:t xml:space="preserve">législation instaurant la prison pour </w:t>
            </w:r>
            <w:r w:rsidR="00BA482E">
              <w:rPr>
                <w:b/>
              </w:rPr>
              <w:t>défaut de paiement d</w:t>
            </w:r>
            <w:r w:rsidR="00AA2481">
              <w:rPr>
                <w:b/>
              </w:rPr>
              <w:t>’</w:t>
            </w:r>
            <w:r w:rsidR="00BA482E">
              <w:rPr>
                <w:b/>
              </w:rPr>
              <w:t>une dette</w:t>
            </w:r>
            <w:r w:rsidRPr="00E4052A">
              <w:rPr>
                <w:b/>
              </w:rPr>
              <w:t>.</w:t>
            </w:r>
          </w:p>
        </w:tc>
      </w:tr>
      <w:tr w:rsidR="004F4EF0" w:rsidRPr="004431E4" w:rsidTr="001036B5">
        <w:tc>
          <w:tcPr>
            <w:tcW w:w="1985" w:type="dxa"/>
            <w:shd w:val="clear" w:color="auto" w:fill="auto"/>
          </w:tcPr>
          <w:p w:rsidR="004F4EF0" w:rsidRPr="00B45418" w:rsidRDefault="009E7352" w:rsidP="00EF1051">
            <w:pPr>
              <w:spacing w:before="40" w:after="120"/>
              <w:ind w:right="57"/>
            </w:pPr>
            <w:r w:rsidRPr="009E7352">
              <w:t>Résumé réponse l</w:t>
            </w:r>
            <w:r w:rsidR="00AA2481">
              <w:t>’</w:t>
            </w:r>
            <w:r w:rsidRPr="009E7352">
              <w:t>État partie:</w:t>
            </w:r>
          </w:p>
        </w:tc>
        <w:tc>
          <w:tcPr>
            <w:tcW w:w="6521" w:type="dxa"/>
            <w:shd w:val="clear" w:color="auto" w:fill="auto"/>
          </w:tcPr>
          <w:p w:rsidR="004F4EF0" w:rsidRPr="00B45418" w:rsidRDefault="009E7352" w:rsidP="00EF1051">
            <w:pPr>
              <w:spacing w:before="40" w:after="120"/>
              <w:ind w:right="57"/>
            </w:pPr>
            <w:r w:rsidRPr="009E7352">
              <w:t>Le Code de procédure civile prévoit la contrainte par corps en cas de non</w:t>
            </w:r>
            <w:r>
              <w:noBreakHyphen/>
            </w:r>
            <w:r w:rsidRPr="009E7352">
              <w:t>paiement d</w:t>
            </w:r>
            <w:r w:rsidR="00AA2481">
              <w:t>’</w:t>
            </w:r>
            <w:r w:rsidRPr="009E7352">
              <w:t>une dette. La Commission de réforme législative est en train d</w:t>
            </w:r>
            <w:r w:rsidR="00AA2481">
              <w:t>’</w:t>
            </w:r>
            <w:r w:rsidRPr="009E7352">
              <w:t>examiner en détail les lois relatives au système de justice civile. Elle</w:t>
            </w:r>
            <w:r>
              <w:t> </w:t>
            </w:r>
            <w:r w:rsidRPr="009E7352">
              <w:t>va probablement prendre en compte les principes énoncés à l</w:t>
            </w:r>
            <w:r w:rsidR="00AA2481">
              <w:t>’</w:t>
            </w:r>
            <w:r w:rsidRPr="009E7352">
              <w:t>article 11 du Pacte.</w:t>
            </w:r>
          </w:p>
        </w:tc>
      </w:tr>
      <w:tr w:rsidR="004F4EF0" w:rsidRPr="004431E4" w:rsidTr="001036B5">
        <w:tc>
          <w:tcPr>
            <w:tcW w:w="1985" w:type="dxa"/>
            <w:shd w:val="clear" w:color="auto" w:fill="auto"/>
          </w:tcPr>
          <w:p w:rsidR="004F4EF0" w:rsidRPr="00B45418" w:rsidRDefault="009179D1" w:rsidP="00EF1051">
            <w:pPr>
              <w:spacing w:before="40" w:after="120"/>
              <w:ind w:right="57"/>
            </w:pPr>
            <w:r w:rsidRPr="009179D1">
              <w:t>Informations d</w:t>
            </w:r>
            <w:r w:rsidR="00AA2481">
              <w:t>’</w:t>
            </w:r>
            <w:r w:rsidRPr="009179D1">
              <w:t>ONG:</w:t>
            </w:r>
            <w:r w:rsidRPr="009179D1">
              <w:rPr>
                <w:b/>
              </w:rPr>
              <w:t xml:space="preserve"> </w:t>
            </w:r>
          </w:p>
        </w:tc>
        <w:tc>
          <w:tcPr>
            <w:tcW w:w="6521" w:type="dxa"/>
            <w:shd w:val="clear" w:color="auto" w:fill="auto"/>
          </w:tcPr>
          <w:p w:rsidR="004F4EF0" w:rsidRPr="00B45418" w:rsidRDefault="009179D1" w:rsidP="00EF1051">
            <w:pPr>
              <w:spacing w:before="40" w:after="120"/>
              <w:ind w:right="57"/>
            </w:pPr>
            <w:r w:rsidRPr="009179D1">
              <w:t>Rien n</w:t>
            </w:r>
            <w:r w:rsidR="00AA2481">
              <w:t>’</w:t>
            </w:r>
            <w:r w:rsidRPr="009179D1">
              <w:t>a changé.</w:t>
            </w:r>
          </w:p>
        </w:tc>
      </w:tr>
      <w:tr w:rsidR="004F4EF0" w:rsidRPr="004431E4" w:rsidTr="001036B5">
        <w:tc>
          <w:tcPr>
            <w:tcW w:w="1985" w:type="dxa"/>
            <w:shd w:val="clear" w:color="auto" w:fill="auto"/>
          </w:tcPr>
          <w:p w:rsidR="004F4EF0" w:rsidRPr="00B45418" w:rsidRDefault="00F71353" w:rsidP="00EF1051">
            <w:pPr>
              <w:spacing w:before="40" w:after="120"/>
              <w:ind w:right="57"/>
            </w:pPr>
            <w:r w:rsidRPr="00F71353">
              <w:t>Évaluation Comité:</w:t>
            </w:r>
          </w:p>
        </w:tc>
        <w:tc>
          <w:tcPr>
            <w:tcW w:w="6521" w:type="dxa"/>
            <w:shd w:val="clear" w:color="auto" w:fill="auto"/>
          </w:tcPr>
          <w:p w:rsidR="004F4EF0" w:rsidRPr="00B45418" w:rsidRDefault="00F71353" w:rsidP="00EF1051">
            <w:pPr>
              <w:spacing w:before="40" w:after="120"/>
              <w:ind w:right="57"/>
            </w:pPr>
            <w:r w:rsidRPr="00F71353">
              <w:rPr>
                <w:b/>
              </w:rPr>
              <w:t>[C1</w:t>
            </w:r>
            <w:r w:rsidR="00FC7213">
              <w:rPr>
                <w:b/>
              </w:rPr>
              <w:t xml:space="preserve">] </w:t>
            </w:r>
            <w:r w:rsidRPr="00F71353">
              <w:t>La recommandation n</w:t>
            </w:r>
            <w:r w:rsidR="00AA2481">
              <w:t>’</w:t>
            </w:r>
            <w:r w:rsidRPr="00F71353">
              <w:t xml:space="preserve">a pas été </w:t>
            </w:r>
            <w:r w:rsidR="00BA482E">
              <w:t>mise en application</w:t>
            </w:r>
            <w:r w:rsidRPr="00F71353">
              <w:t xml:space="preserve">. Des informations </w:t>
            </w:r>
            <w:r w:rsidR="00BA482E">
              <w:t xml:space="preserve">demeurent </w:t>
            </w:r>
            <w:r w:rsidRPr="00F71353">
              <w:t>nécessaires sur les progrès réalisés par la Commission de réforme législative pour faire en sorte que la législation soit compatible avec l</w:t>
            </w:r>
            <w:r w:rsidR="00AA2481">
              <w:t>’</w:t>
            </w:r>
            <w:r w:rsidRPr="00F71353">
              <w:t>article 11 du</w:t>
            </w:r>
            <w:r w:rsidR="00BA482E">
              <w:t> </w:t>
            </w:r>
            <w:r w:rsidRPr="00F71353">
              <w:t>Pacte.</w:t>
            </w:r>
          </w:p>
        </w:tc>
      </w:tr>
      <w:tr w:rsidR="004F4EF0" w:rsidRPr="004431E4" w:rsidTr="00241C1A">
        <w:tc>
          <w:tcPr>
            <w:tcW w:w="1985" w:type="dxa"/>
            <w:shd w:val="clear" w:color="auto" w:fill="auto"/>
          </w:tcPr>
          <w:p w:rsidR="004F4EF0" w:rsidRPr="00B45418" w:rsidRDefault="0077644B" w:rsidP="00EF1051">
            <w:pPr>
              <w:spacing w:before="40" w:after="120"/>
              <w:ind w:right="57"/>
            </w:pPr>
            <w:r>
              <w:t>Mesure</w:t>
            </w:r>
            <w:r w:rsidR="00AF3F04">
              <w:t>s</w:t>
            </w:r>
            <w:r>
              <w:t xml:space="preserve"> recommandée</w:t>
            </w:r>
            <w:r w:rsidR="00953D60">
              <w:t>s</w:t>
            </w:r>
            <w:r w:rsidRPr="0077644B">
              <w:t>:</w:t>
            </w:r>
          </w:p>
        </w:tc>
        <w:tc>
          <w:tcPr>
            <w:tcW w:w="6521" w:type="dxa"/>
            <w:shd w:val="clear" w:color="auto" w:fill="auto"/>
          </w:tcPr>
          <w:p w:rsidR="004F4EF0" w:rsidRPr="00BA482E" w:rsidRDefault="00B94830" w:rsidP="00EF1051">
            <w:pPr>
              <w:spacing w:before="40" w:after="120"/>
              <w:ind w:right="57"/>
              <w:rPr>
                <w:spacing w:val="-2"/>
              </w:rPr>
            </w:pPr>
            <w:r w:rsidRPr="00BA482E">
              <w:rPr>
                <w:spacing w:val="-2"/>
              </w:rPr>
              <w:t xml:space="preserve">Une lettre </w:t>
            </w:r>
            <w:r w:rsidR="00BA482E" w:rsidRPr="00BA482E">
              <w:rPr>
                <w:spacing w:val="-2"/>
              </w:rPr>
              <w:t>présentant l</w:t>
            </w:r>
            <w:r w:rsidR="00AA2481">
              <w:rPr>
                <w:spacing w:val="-2"/>
              </w:rPr>
              <w:t>’</w:t>
            </w:r>
            <w:r w:rsidR="00BA482E" w:rsidRPr="00BA482E">
              <w:rPr>
                <w:spacing w:val="-2"/>
              </w:rPr>
              <w:t xml:space="preserve">analyse du Comité devrait être envoyée. </w:t>
            </w:r>
            <w:r w:rsidRPr="00BA482E">
              <w:rPr>
                <w:spacing w:val="-2"/>
              </w:rPr>
              <w:t>Les informations demandées devraient figurer dans le prochain rapport périodique.</w:t>
            </w:r>
          </w:p>
        </w:tc>
      </w:tr>
      <w:tr w:rsidR="009E7352" w:rsidRPr="004431E4" w:rsidTr="00241C1A">
        <w:tc>
          <w:tcPr>
            <w:tcW w:w="1985" w:type="dxa"/>
            <w:tcBorders>
              <w:bottom w:val="single" w:sz="12" w:space="0" w:color="auto"/>
            </w:tcBorders>
            <w:shd w:val="clear" w:color="auto" w:fill="auto"/>
          </w:tcPr>
          <w:p w:rsidR="009E7352" w:rsidRPr="00B45418" w:rsidRDefault="001F387E" w:rsidP="00EF1051">
            <w:pPr>
              <w:spacing w:before="40" w:after="120"/>
              <w:ind w:right="57"/>
            </w:pPr>
            <w:r w:rsidRPr="001F387E">
              <w:t>Prochain rapport périodique:</w:t>
            </w:r>
            <w:r>
              <w:t xml:space="preserve"> </w:t>
            </w:r>
          </w:p>
        </w:tc>
        <w:tc>
          <w:tcPr>
            <w:tcW w:w="6521" w:type="dxa"/>
            <w:tcBorders>
              <w:bottom w:val="single" w:sz="12" w:space="0" w:color="auto"/>
            </w:tcBorders>
            <w:shd w:val="clear" w:color="auto" w:fill="auto"/>
          </w:tcPr>
          <w:p w:rsidR="009E7352" w:rsidRPr="00B45418" w:rsidRDefault="001F387E" w:rsidP="0092510D">
            <w:pPr>
              <w:spacing w:before="40" w:after="120"/>
              <w:ind w:right="57"/>
            </w:pPr>
            <w:r w:rsidRPr="001F387E">
              <w:t>1</w:t>
            </w:r>
            <w:r w:rsidR="0092510D">
              <w:t>/8/</w:t>
            </w:r>
            <w:r w:rsidRPr="001F387E">
              <w:t>13</w:t>
            </w:r>
          </w:p>
        </w:tc>
      </w:tr>
    </w:tbl>
    <w:p w:rsidR="008763DF" w:rsidRDefault="00953D60" w:rsidP="008763DF">
      <w:pPr>
        <w:pStyle w:val="H1G"/>
      </w:pPr>
      <w:r>
        <w:tab/>
      </w:r>
      <w:r>
        <w:tab/>
        <w:t>Quatre-vingt-</w:t>
      </w:r>
      <w:r w:rsidR="008763DF">
        <w:t xml:space="preserve">dix-huitième </w:t>
      </w:r>
      <w:r w:rsidR="008763DF" w:rsidRPr="00A2381D">
        <w:t>session (</w:t>
      </w:r>
      <w:r w:rsidR="008763DF">
        <w:t>mars 2010</w:t>
      </w:r>
      <w:r w:rsidR="008763DF" w:rsidRPr="00A2381D">
        <w:t>)</w:t>
      </w:r>
    </w:p>
    <w:tbl>
      <w:tblPr>
        <w:tblW w:w="8506" w:type="dxa"/>
        <w:tblInd w:w="1134" w:type="dxa"/>
        <w:tblLayout w:type="fixed"/>
        <w:tblCellMar>
          <w:left w:w="0" w:type="dxa"/>
          <w:right w:w="0" w:type="dxa"/>
        </w:tblCellMar>
        <w:tblLook w:val="00A0"/>
      </w:tblPr>
      <w:tblGrid>
        <w:gridCol w:w="1985"/>
        <w:gridCol w:w="6521"/>
      </w:tblGrid>
      <w:tr w:rsidR="008763DF" w:rsidRPr="00FE2D64" w:rsidTr="00C735A6">
        <w:trPr>
          <w:tblHeader/>
        </w:trPr>
        <w:tc>
          <w:tcPr>
            <w:tcW w:w="1985" w:type="dxa"/>
            <w:tcBorders>
              <w:top w:val="single" w:sz="4" w:space="0" w:color="auto"/>
              <w:bottom w:val="single" w:sz="12" w:space="0" w:color="auto"/>
            </w:tcBorders>
            <w:shd w:val="clear" w:color="auto" w:fill="auto"/>
            <w:vAlign w:val="bottom"/>
          </w:tcPr>
          <w:p w:rsidR="008763DF" w:rsidRPr="00FE2D64" w:rsidRDefault="008763DF" w:rsidP="00EF1051">
            <w:pPr>
              <w:spacing w:before="80" w:after="80" w:line="200" w:lineRule="exact"/>
              <w:ind w:right="57"/>
              <w:rPr>
                <w:i/>
                <w:sz w:val="16"/>
              </w:rPr>
            </w:pPr>
            <w:r>
              <w:rPr>
                <w:i/>
                <w:sz w:val="16"/>
              </w:rPr>
              <w:t>Colombie</w:t>
            </w:r>
          </w:p>
        </w:tc>
        <w:tc>
          <w:tcPr>
            <w:tcW w:w="6521" w:type="dxa"/>
            <w:tcBorders>
              <w:top w:val="single" w:sz="4" w:space="0" w:color="auto"/>
              <w:bottom w:val="single" w:sz="12" w:space="0" w:color="auto"/>
            </w:tcBorders>
            <w:shd w:val="clear" w:color="auto" w:fill="auto"/>
            <w:vAlign w:val="bottom"/>
          </w:tcPr>
          <w:p w:rsidR="008763DF" w:rsidRPr="00FE2D64" w:rsidRDefault="008763DF" w:rsidP="00EF1051">
            <w:pPr>
              <w:spacing w:before="80" w:after="80" w:line="200" w:lineRule="exact"/>
              <w:ind w:right="57"/>
              <w:rPr>
                <w:i/>
                <w:sz w:val="16"/>
              </w:rPr>
            </w:pPr>
          </w:p>
        </w:tc>
      </w:tr>
      <w:tr w:rsidR="008763DF" w:rsidRPr="00FE2D64" w:rsidTr="00C735A6">
        <w:trPr>
          <w:trHeight w:hRule="exact" w:val="113"/>
          <w:tblHeader/>
        </w:trPr>
        <w:tc>
          <w:tcPr>
            <w:tcW w:w="1985" w:type="dxa"/>
            <w:tcBorders>
              <w:top w:val="single" w:sz="12" w:space="0" w:color="auto"/>
            </w:tcBorders>
            <w:shd w:val="clear" w:color="auto" w:fill="auto"/>
          </w:tcPr>
          <w:p w:rsidR="008763DF" w:rsidRPr="00FE2D64" w:rsidRDefault="008763DF" w:rsidP="00EF1051">
            <w:pPr>
              <w:spacing w:before="40" w:after="120"/>
              <w:ind w:right="57"/>
            </w:pPr>
          </w:p>
        </w:tc>
        <w:tc>
          <w:tcPr>
            <w:tcW w:w="6521" w:type="dxa"/>
            <w:tcBorders>
              <w:top w:val="single" w:sz="12" w:space="0" w:color="auto"/>
            </w:tcBorders>
            <w:shd w:val="clear" w:color="auto" w:fill="auto"/>
          </w:tcPr>
          <w:p w:rsidR="008763DF" w:rsidRPr="00FE2D64" w:rsidRDefault="008763DF" w:rsidP="00EF1051">
            <w:pPr>
              <w:spacing w:before="40" w:after="120"/>
              <w:ind w:right="57"/>
            </w:pPr>
          </w:p>
        </w:tc>
      </w:tr>
      <w:tr w:rsidR="008763DF" w:rsidRPr="00FE2D64" w:rsidTr="00C735A6">
        <w:tc>
          <w:tcPr>
            <w:tcW w:w="1985" w:type="dxa"/>
            <w:shd w:val="clear" w:color="auto" w:fill="auto"/>
          </w:tcPr>
          <w:p w:rsidR="008763DF" w:rsidRPr="00FE2D64" w:rsidRDefault="008763DF" w:rsidP="00EF1051">
            <w:pPr>
              <w:spacing w:before="40" w:after="120"/>
              <w:ind w:right="57"/>
            </w:pPr>
            <w:r w:rsidRPr="00FE2D64">
              <w:t>Observations finales</w:t>
            </w:r>
          </w:p>
        </w:tc>
        <w:tc>
          <w:tcPr>
            <w:tcW w:w="6521" w:type="dxa"/>
            <w:shd w:val="clear" w:color="auto" w:fill="auto"/>
          </w:tcPr>
          <w:p w:rsidR="008763DF" w:rsidRPr="00B009EA" w:rsidRDefault="008763DF" w:rsidP="00EF1051">
            <w:pPr>
              <w:spacing w:before="40" w:after="120"/>
              <w:ind w:right="57"/>
            </w:pPr>
            <w:r w:rsidRPr="00C7498A">
              <w:t>CCPR/C/COL/CO/6</w:t>
            </w:r>
            <w:r>
              <w:t xml:space="preserve">, </w:t>
            </w:r>
            <w:r w:rsidR="00992CDF">
              <w:t xml:space="preserve">adoptées le </w:t>
            </w:r>
            <w:r>
              <w:t>23</w:t>
            </w:r>
            <w:r w:rsidR="0092510D">
              <w:t>/3/</w:t>
            </w:r>
            <w:r>
              <w:t>10</w:t>
            </w:r>
          </w:p>
        </w:tc>
      </w:tr>
      <w:tr w:rsidR="008763DF" w:rsidRPr="00FE2D64" w:rsidTr="00C735A6">
        <w:tc>
          <w:tcPr>
            <w:tcW w:w="1985" w:type="dxa"/>
            <w:shd w:val="clear" w:color="auto" w:fill="auto"/>
          </w:tcPr>
          <w:p w:rsidR="008763DF" w:rsidRPr="00FE2D64" w:rsidRDefault="008763DF" w:rsidP="00EF1051">
            <w:pPr>
              <w:spacing w:before="40" w:after="120"/>
              <w:ind w:right="57"/>
              <w:rPr>
                <w:lang w:val="fr-FR"/>
              </w:rPr>
            </w:pPr>
            <w:r w:rsidRPr="00FE2D64">
              <w:rPr>
                <w:lang w:val="fr-FR"/>
              </w:rPr>
              <w:t>Paragraphes faisant l</w:t>
            </w:r>
            <w:r w:rsidR="00AA2481">
              <w:rPr>
                <w:lang w:val="fr-FR"/>
              </w:rPr>
              <w:t>’</w:t>
            </w:r>
            <w:r w:rsidRPr="00FE2D64">
              <w:rPr>
                <w:lang w:val="fr-FR"/>
              </w:rPr>
              <w:t>objet d</w:t>
            </w:r>
            <w:r w:rsidR="00AA2481">
              <w:rPr>
                <w:lang w:val="fr-FR"/>
              </w:rPr>
              <w:t>’</w:t>
            </w:r>
            <w:r w:rsidRPr="00FE2D64">
              <w:rPr>
                <w:lang w:val="fr-FR"/>
              </w:rPr>
              <w:t xml:space="preserve">un suivi: </w:t>
            </w:r>
          </w:p>
        </w:tc>
        <w:tc>
          <w:tcPr>
            <w:tcW w:w="6521" w:type="dxa"/>
            <w:shd w:val="clear" w:color="auto" w:fill="auto"/>
          </w:tcPr>
          <w:p w:rsidR="008763DF" w:rsidRPr="00FE2D64" w:rsidRDefault="008763DF" w:rsidP="00EF1051">
            <w:pPr>
              <w:spacing w:before="40" w:after="120"/>
              <w:ind w:right="57"/>
              <w:rPr>
                <w:bCs/>
              </w:rPr>
            </w:pPr>
            <w:r>
              <w:rPr>
                <w:bCs/>
              </w:rPr>
              <w:t>9, 14, 16</w:t>
            </w:r>
          </w:p>
        </w:tc>
      </w:tr>
      <w:tr w:rsidR="008763DF" w:rsidRPr="00FE2D64" w:rsidTr="00C735A6">
        <w:tc>
          <w:tcPr>
            <w:tcW w:w="1985" w:type="dxa"/>
            <w:shd w:val="clear" w:color="auto" w:fill="auto"/>
          </w:tcPr>
          <w:p w:rsidR="008763DF" w:rsidRPr="00FE2D64" w:rsidRDefault="00953D60" w:rsidP="00EF1051">
            <w:pPr>
              <w:spacing w:before="40" w:after="120"/>
              <w:ind w:right="57"/>
              <w:rPr>
                <w:lang w:val="fr-FR"/>
              </w:rPr>
            </w:pPr>
            <w:r w:rsidRPr="00953D60">
              <w:rPr>
                <w:lang w:val="fr-FR"/>
              </w:rPr>
              <w:t>Première réponse</w:t>
            </w:r>
            <w:r w:rsidR="00844A54" w:rsidRPr="00953D60">
              <w:rPr>
                <w:lang w:val="fr-FR"/>
              </w:rPr>
              <w:br/>
              <w:t>de l</w:t>
            </w:r>
            <w:r w:rsidR="00AA2481">
              <w:rPr>
                <w:lang w:val="fr-FR"/>
              </w:rPr>
              <w:t>’</w:t>
            </w:r>
            <w:r w:rsidR="00844A54" w:rsidRPr="00953D60">
              <w:rPr>
                <w:lang w:val="fr-FR"/>
              </w:rPr>
              <w:t>État partie</w:t>
            </w:r>
            <w:r w:rsidR="00992CDF" w:rsidRPr="00953D60">
              <w:rPr>
                <w:lang w:val="fr-FR"/>
              </w:rPr>
              <w:t>:</w:t>
            </w:r>
          </w:p>
        </w:tc>
        <w:tc>
          <w:tcPr>
            <w:tcW w:w="6521" w:type="dxa"/>
            <w:shd w:val="clear" w:color="auto" w:fill="auto"/>
          </w:tcPr>
          <w:p w:rsidR="008763DF" w:rsidRDefault="00992CDF" w:rsidP="00EF1051">
            <w:pPr>
              <w:spacing w:before="40" w:after="120"/>
              <w:ind w:right="57"/>
              <w:rPr>
                <w:bCs/>
              </w:rPr>
            </w:pPr>
            <w:r>
              <w:rPr>
                <w:bCs/>
              </w:rPr>
              <w:t>Attendue le 23</w:t>
            </w:r>
            <w:r w:rsidR="0092510D">
              <w:rPr>
                <w:bCs/>
              </w:rPr>
              <w:t>/3/</w:t>
            </w:r>
            <w:r>
              <w:rPr>
                <w:bCs/>
              </w:rPr>
              <w:t xml:space="preserve">11 </w:t>
            </w:r>
            <w:r w:rsidR="00A37327">
              <w:rPr>
                <w:bCs/>
              </w:rPr>
              <w:t>−</w:t>
            </w:r>
            <w:r>
              <w:rPr>
                <w:bCs/>
              </w:rPr>
              <w:t xml:space="preserve"> Reçue le 8</w:t>
            </w:r>
            <w:r w:rsidR="0092510D">
              <w:rPr>
                <w:bCs/>
              </w:rPr>
              <w:t>/8/</w:t>
            </w:r>
            <w:r>
              <w:rPr>
                <w:bCs/>
              </w:rPr>
              <w:t>11</w:t>
            </w:r>
          </w:p>
        </w:tc>
      </w:tr>
      <w:tr w:rsidR="00992CDF" w:rsidRPr="00FE2D64" w:rsidTr="00C735A6">
        <w:tc>
          <w:tcPr>
            <w:tcW w:w="1985" w:type="dxa"/>
            <w:shd w:val="clear" w:color="auto" w:fill="auto"/>
          </w:tcPr>
          <w:p w:rsidR="00992CDF" w:rsidRPr="00FE2D64" w:rsidRDefault="00992CDF" w:rsidP="00EF1051">
            <w:pPr>
              <w:spacing w:before="40" w:after="120"/>
              <w:ind w:right="57"/>
              <w:rPr>
                <w:lang w:val="fr-FR"/>
              </w:rPr>
            </w:pPr>
            <w:r>
              <w:rPr>
                <w:lang w:val="fr-FR"/>
              </w:rPr>
              <w:t>Évaluation Comité:</w:t>
            </w:r>
          </w:p>
        </w:tc>
        <w:tc>
          <w:tcPr>
            <w:tcW w:w="6521" w:type="dxa"/>
            <w:shd w:val="clear" w:color="auto" w:fill="auto"/>
          </w:tcPr>
          <w:p w:rsidR="00992CDF" w:rsidRDefault="00992CDF" w:rsidP="00EF1051">
            <w:pPr>
              <w:spacing w:before="40" w:after="120"/>
              <w:ind w:right="57"/>
              <w:rPr>
                <w:bCs/>
              </w:rPr>
            </w:pPr>
            <w:r>
              <w:rPr>
                <w:bCs/>
              </w:rPr>
              <w:t xml:space="preserve">Informations supplémentaires requises sur les paragraphes 9 </w:t>
            </w:r>
            <w:r w:rsidRPr="00953D60">
              <w:rPr>
                <w:b/>
                <w:bCs/>
              </w:rPr>
              <w:t>[C1]</w:t>
            </w:r>
            <w:r>
              <w:rPr>
                <w:bCs/>
              </w:rPr>
              <w:t>, 14 </w:t>
            </w:r>
            <w:r w:rsidRPr="00992CDF">
              <w:rPr>
                <w:b/>
                <w:bCs/>
              </w:rPr>
              <w:t>[B2</w:t>
            </w:r>
            <w:r w:rsidR="00937540">
              <w:rPr>
                <w:bCs/>
              </w:rPr>
              <w:t> </w:t>
            </w:r>
            <w:r w:rsidRPr="00844A54">
              <w:rPr>
                <w:b/>
                <w:bCs/>
              </w:rPr>
              <w:t>et</w:t>
            </w:r>
            <w:r w:rsidR="00937540">
              <w:rPr>
                <w:bCs/>
              </w:rPr>
              <w:t> </w:t>
            </w:r>
            <w:r w:rsidRPr="00992CDF">
              <w:rPr>
                <w:b/>
                <w:bCs/>
              </w:rPr>
              <w:t>D1]</w:t>
            </w:r>
            <w:r>
              <w:rPr>
                <w:bCs/>
              </w:rPr>
              <w:t xml:space="preserve"> et 16 </w:t>
            </w:r>
            <w:r w:rsidRPr="00992CDF">
              <w:rPr>
                <w:b/>
                <w:bCs/>
              </w:rPr>
              <w:t>[B2]</w:t>
            </w:r>
          </w:p>
        </w:tc>
      </w:tr>
      <w:tr w:rsidR="00844A54" w:rsidRPr="00FE2D64" w:rsidTr="00C735A6">
        <w:tc>
          <w:tcPr>
            <w:tcW w:w="1985" w:type="dxa"/>
            <w:shd w:val="clear" w:color="auto" w:fill="auto"/>
          </w:tcPr>
          <w:p w:rsidR="00844A54" w:rsidRDefault="00953D60" w:rsidP="00EF1051">
            <w:pPr>
              <w:spacing w:before="40" w:after="120"/>
              <w:ind w:right="57"/>
              <w:rPr>
                <w:lang w:val="fr-FR"/>
              </w:rPr>
            </w:pPr>
            <w:r w:rsidRPr="00953D60">
              <w:rPr>
                <w:lang w:val="fr-FR"/>
              </w:rPr>
              <w:t>Deuxième réponse</w:t>
            </w:r>
            <w:r w:rsidR="00844A54" w:rsidRPr="00953D60">
              <w:rPr>
                <w:lang w:val="fr-FR"/>
              </w:rPr>
              <w:br/>
              <w:t>de l</w:t>
            </w:r>
            <w:r w:rsidR="00AA2481">
              <w:rPr>
                <w:lang w:val="fr-FR"/>
              </w:rPr>
              <w:t>’</w:t>
            </w:r>
            <w:r w:rsidR="00844A54" w:rsidRPr="00953D60">
              <w:rPr>
                <w:lang w:val="fr-FR"/>
              </w:rPr>
              <w:t>État partie:</w:t>
            </w:r>
          </w:p>
        </w:tc>
        <w:tc>
          <w:tcPr>
            <w:tcW w:w="6521" w:type="dxa"/>
            <w:shd w:val="clear" w:color="auto" w:fill="auto"/>
          </w:tcPr>
          <w:p w:rsidR="00844A54" w:rsidRDefault="00844A54" w:rsidP="0092510D">
            <w:pPr>
              <w:spacing w:before="40" w:after="120"/>
              <w:ind w:right="57"/>
              <w:rPr>
                <w:bCs/>
              </w:rPr>
            </w:pPr>
            <w:r>
              <w:rPr>
                <w:bCs/>
              </w:rPr>
              <w:t>Réponse à la lettre du Comité du 30</w:t>
            </w:r>
            <w:r w:rsidR="0092510D">
              <w:rPr>
                <w:bCs/>
              </w:rPr>
              <w:t>/4/</w:t>
            </w:r>
            <w:r w:rsidR="00953D60">
              <w:rPr>
                <w:bCs/>
              </w:rPr>
              <w:t>12, reçue le 27</w:t>
            </w:r>
            <w:r w:rsidR="0092510D">
              <w:rPr>
                <w:bCs/>
              </w:rPr>
              <w:t>/8/</w:t>
            </w:r>
            <w:r w:rsidR="00953D60">
              <w:rPr>
                <w:bCs/>
              </w:rPr>
              <w:t>12</w:t>
            </w:r>
          </w:p>
        </w:tc>
      </w:tr>
      <w:tr w:rsidR="00844A54" w:rsidRPr="00FE2D64" w:rsidTr="00C735A6">
        <w:tc>
          <w:tcPr>
            <w:tcW w:w="1985" w:type="dxa"/>
            <w:shd w:val="clear" w:color="auto" w:fill="auto"/>
          </w:tcPr>
          <w:p w:rsidR="00844A54" w:rsidRDefault="00C619F0" w:rsidP="00EF1051">
            <w:pPr>
              <w:spacing w:before="40" w:after="120"/>
              <w:ind w:right="57"/>
              <w:rPr>
                <w:lang w:val="fr-FR"/>
              </w:rPr>
            </w:pPr>
            <w:r>
              <w:rPr>
                <w:lang w:val="fr-FR"/>
              </w:rPr>
              <w:t>Autres sources d</w:t>
            </w:r>
            <w:r w:rsidR="00AA2481">
              <w:rPr>
                <w:lang w:val="fr-FR"/>
              </w:rPr>
              <w:t>’</w:t>
            </w:r>
            <w:r>
              <w:rPr>
                <w:lang w:val="fr-FR"/>
              </w:rPr>
              <w:t>information:</w:t>
            </w:r>
          </w:p>
        </w:tc>
        <w:tc>
          <w:tcPr>
            <w:tcW w:w="6521" w:type="dxa"/>
            <w:shd w:val="clear" w:color="auto" w:fill="auto"/>
          </w:tcPr>
          <w:p w:rsidR="00844A54" w:rsidRDefault="00953D60" w:rsidP="00EF1051">
            <w:pPr>
              <w:spacing w:before="40" w:after="120"/>
              <w:ind w:right="57"/>
              <w:rPr>
                <w:bCs/>
              </w:rPr>
            </w:pPr>
            <w:r>
              <w:rPr>
                <w:bCs/>
              </w:rPr>
              <w:t xml:space="preserve">ONU: </w:t>
            </w:r>
            <w:r w:rsidR="00C619F0">
              <w:rPr>
                <w:bCs/>
              </w:rPr>
              <w:t>Procédures spéciales et Haut-Commissariat aux droits de l</w:t>
            </w:r>
            <w:r w:rsidR="00AA2481">
              <w:rPr>
                <w:bCs/>
              </w:rPr>
              <w:t>’</w:t>
            </w:r>
            <w:r w:rsidR="00C619F0">
              <w:rPr>
                <w:bCs/>
              </w:rPr>
              <w:t>homme</w:t>
            </w:r>
          </w:p>
        </w:tc>
      </w:tr>
      <w:tr w:rsidR="00844A54" w:rsidRPr="00FE2D64" w:rsidTr="00C735A6">
        <w:tc>
          <w:tcPr>
            <w:tcW w:w="1985" w:type="dxa"/>
            <w:shd w:val="clear" w:color="auto" w:fill="auto"/>
          </w:tcPr>
          <w:p w:rsidR="00844A54" w:rsidRPr="00C619F0" w:rsidRDefault="00C619F0" w:rsidP="00EF1051">
            <w:pPr>
              <w:spacing w:before="40" w:after="120"/>
              <w:ind w:right="57"/>
              <w:rPr>
                <w:b/>
                <w:lang w:val="fr-FR"/>
              </w:rPr>
            </w:pPr>
            <w:r w:rsidRPr="00C619F0">
              <w:rPr>
                <w:b/>
                <w:lang w:val="fr-FR"/>
              </w:rPr>
              <w:t>Paragraphe 9:</w:t>
            </w:r>
          </w:p>
        </w:tc>
        <w:tc>
          <w:tcPr>
            <w:tcW w:w="6521" w:type="dxa"/>
            <w:shd w:val="clear" w:color="auto" w:fill="auto"/>
          </w:tcPr>
          <w:p w:rsidR="00844A54" w:rsidRPr="00C619F0" w:rsidRDefault="00C619F0" w:rsidP="00EF1051">
            <w:pPr>
              <w:spacing w:before="40" w:after="120"/>
              <w:ind w:right="57"/>
              <w:rPr>
                <w:bCs/>
              </w:rPr>
            </w:pPr>
            <w:r w:rsidRPr="00C619F0">
              <w:rPr>
                <w:b/>
                <w:bCs/>
              </w:rPr>
              <w:t>L</w:t>
            </w:r>
            <w:r w:rsidR="00AA2481">
              <w:rPr>
                <w:b/>
                <w:bCs/>
              </w:rPr>
              <w:t>’</w:t>
            </w:r>
            <w:r w:rsidRPr="00C619F0">
              <w:rPr>
                <w:b/>
                <w:bCs/>
              </w:rPr>
              <w:t>État partie doit s</w:t>
            </w:r>
            <w:r w:rsidR="00AA2481">
              <w:rPr>
                <w:b/>
                <w:bCs/>
              </w:rPr>
              <w:t>’</w:t>
            </w:r>
            <w:r w:rsidRPr="00C619F0">
              <w:rPr>
                <w:b/>
                <w:bCs/>
              </w:rPr>
              <w:t>acquitter des obligations qui sont les siennes en vertu du Pacte et d</w:t>
            </w:r>
            <w:r w:rsidR="00AA2481">
              <w:rPr>
                <w:b/>
                <w:bCs/>
              </w:rPr>
              <w:t>’</w:t>
            </w:r>
            <w:r w:rsidRPr="00C619F0">
              <w:rPr>
                <w:b/>
                <w:bCs/>
              </w:rPr>
              <w:t>autres instruments internationaux, y compris du Statut de Rome de la Cour pénale internationale, enquêter sur les violations graves des droits de l</w:t>
            </w:r>
            <w:r w:rsidR="00AA2481">
              <w:rPr>
                <w:b/>
                <w:bCs/>
              </w:rPr>
              <w:t>’</w:t>
            </w:r>
            <w:r w:rsidRPr="00C619F0">
              <w:rPr>
                <w:b/>
                <w:bCs/>
              </w:rPr>
              <w:t>homme et du droit international humanitaire et condamner les auteurs à des peines à la mesure de la gravité des faits.</w:t>
            </w:r>
          </w:p>
        </w:tc>
      </w:tr>
      <w:tr w:rsidR="00C619F0" w:rsidRPr="00FE2D64" w:rsidTr="00C735A6">
        <w:tc>
          <w:tcPr>
            <w:tcW w:w="1985" w:type="dxa"/>
            <w:shd w:val="clear" w:color="auto" w:fill="auto"/>
          </w:tcPr>
          <w:p w:rsidR="00C619F0" w:rsidRDefault="00C619F0" w:rsidP="00EF1051">
            <w:pPr>
              <w:keepNext/>
              <w:spacing w:before="40" w:after="120"/>
              <w:ind w:right="57"/>
              <w:rPr>
                <w:lang w:val="fr-FR"/>
              </w:rPr>
            </w:pPr>
          </w:p>
        </w:tc>
        <w:tc>
          <w:tcPr>
            <w:tcW w:w="6521" w:type="dxa"/>
            <w:shd w:val="clear" w:color="auto" w:fill="auto"/>
          </w:tcPr>
          <w:p w:rsidR="00C619F0" w:rsidRPr="00953D60" w:rsidRDefault="00C619F0" w:rsidP="00EF1051">
            <w:pPr>
              <w:keepNext/>
              <w:spacing w:before="40" w:after="120"/>
              <w:ind w:right="57"/>
              <w:rPr>
                <w:b/>
                <w:bCs/>
              </w:rPr>
            </w:pPr>
            <w:r w:rsidRPr="00953D60">
              <w:rPr>
                <w:b/>
                <w:lang w:val="fr-FR"/>
              </w:rPr>
              <w:t>Objet du suivi:</w:t>
            </w:r>
          </w:p>
        </w:tc>
      </w:tr>
      <w:tr w:rsidR="00C619F0" w:rsidRPr="00FE2D64" w:rsidTr="00C735A6">
        <w:tc>
          <w:tcPr>
            <w:tcW w:w="1985" w:type="dxa"/>
            <w:shd w:val="clear" w:color="auto" w:fill="auto"/>
          </w:tcPr>
          <w:p w:rsidR="00C619F0" w:rsidRDefault="00C619F0" w:rsidP="00EF1051">
            <w:pPr>
              <w:spacing w:before="40" w:after="120"/>
              <w:ind w:right="57"/>
              <w:rPr>
                <w:lang w:val="fr-FR"/>
              </w:rPr>
            </w:pPr>
          </w:p>
        </w:tc>
        <w:tc>
          <w:tcPr>
            <w:tcW w:w="6521" w:type="dxa"/>
            <w:shd w:val="clear" w:color="auto" w:fill="auto"/>
          </w:tcPr>
          <w:p w:rsidR="00C619F0" w:rsidRDefault="00C619F0" w:rsidP="00EF1051">
            <w:pPr>
              <w:pStyle w:val="Bullet1G"/>
              <w:tabs>
                <w:tab w:val="clear" w:pos="1701"/>
                <w:tab w:val="num" w:pos="284"/>
              </w:tabs>
              <w:ind w:left="284" w:right="57" w:hanging="284"/>
              <w:jc w:val="left"/>
              <w:rPr>
                <w:bCs/>
              </w:rPr>
            </w:pPr>
            <w:r w:rsidRPr="00C619F0">
              <w:rPr>
                <w:bCs/>
              </w:rPr>
              <w:t xml:space="preserve">Le Comité reste préoccupé par </w:t>
            </w:r>
            <w:r w:rsidR="006314B9">
              <w:rPr>
                <w:bCs/>
              </w:rPr>
              <w:t>les résultats limités de la loi </w:t>
            </w:r>
            <w:r w:rsidRPr="00C619F0">
              <w:rPr>
                <w:bCs/>
              </w:rPr>
              <w:t>975,</w:t>
            </w:r>
            <w:r w:rsidR="00937540">
              <w:rPr>
                <w:bCs/>
              </w:rPr>
              <w:t xml:space="preserve"> par </w:t>
            </w:r>
            <w:r w:rsidRPr="00C619F0">
              <w:rPr>
                <w:bCs/>
              </w:rPr>
              <w:t>l</w:t>
            </w:r>
            <w:r w:rsidR="00AA2481">
              <w:rPr>
                <w:bCs/>
              </w:rPr>
              <w:t>’</w:t>
            </w:r>
            <w:r w:rsidRPr="00C619F0">
              <w:rPr>
                <w:bCs/>
              </w:rPr>
              <w:t xml:space="preserve">impunité, </w:t>
            </w:r>
            <w:r>
              <w:rPr>
                <w:bCs/>
              </w:rPr>
              <w:t xml:space="preserve">par les </w:t>
            </w:r>
            <w:r w:rsidRPr="00C619F0">
              <w:rPr>
                <w:bCs/>
              </w:rPr>
              <w:t xml:space="preserve">difficultés de mise en œuvre de la loi 1424, et </w:t>
            </w:r>
            <w:r>
              <w:rPr>
                <w:bCs/>
              </w:rPr>
              <w:t xml:space="preserve">les </w:t>
            </w:r>
            <w:r w:rsidRPr="00C619F0">
              <w:rPr>
                <w:bCs/>
              </w:rPr>
              <w:t>risques qu</w:t>
            </w:r>
            <w:r w:rsidR="00AA2481">
              <w:rPr>
                <w:bCs/>
              </w:rPr>
              <w:t>’</w:t>
            </w:r>
            <w:r w:rsidRPr="00C619F0">
              <w:rPr>
                <w:bCs/>
              </w:rPr>
              <w:t>elle introduit en termes d</w:t>
            </w:r>
            <w:r w:rsidR="00AA2481">
              <w:rPr>
                <w:bCs/>
              </w:rPr>
              <w:t>’</w:t>
            </w:r>
            <w:r w:rsidRPr="00C619F0">
              <w:rPr>
                <w:bCs/>
              </w:rPr>
              <w:t xml:space="preserve">accès des victimes à la justice, la vérité et la réparation. </w:t>
            </w:r>
          </w:p>
        </w:tc>
      </w:tr>
      <w:tr w:rsidR="00C619F0" w:rsidRPr="00FE2D64" w:rsidTr="00C735A6">
        <w:tc>
          <w:tcPr>
            <w:tcW w:w="1985" w:type="dxa"/>
            <w:shd w:val="clear" w:color="auto" w:fill="auto"/>
          </w:tcPr>
          <w:p w:rsidR="00C619F0" w:rsidRDefault="00C619F0" w:rsidP="00EF1051">
            <w:pPr>
              <w:spacing w:before="40" w:after="120"/>
              <w:ind w:right="57"/>
              <w:rPr>
                <w:lang w:val="fr-FR"/>
              </w:rPr>
            </w:pPr>
          </w:p>
        </w:tc>
        <w:tc>
          <w:tcPr>
            <w:tcW w:w="6521" w:type="dxa"/>
            <w:shd w:val="clear" w:color="auto" w:fill="auto"/>
          </w:tcPr>
          <w:p w:rsidR="00C619F0" w:rsidRDefault="00491433" w:rsidP="00EF1051">
            <w:pPr>
              <w:pStyle w:val="Bullet1G"/>
              <w:tabs>
                <w:tab w:val="clear" w:pos="1701"/>
                <w:tab w:val="num" w:pos="284"/>
              </w:tabs>
              <w:ind w:left="284" w:right="57" w:hanging="284"/>
              <w:jc w:val="left"/>
              <w:rPr>
                <w:bCs/>
              </w:rPr>
            </w:pPr>
            <w:r w:rsidRPr="00491433">
              <w:rPr>
                <w:bCs/>
              </w:rPr>
              <w:t>Des informations sont requises sur les mesures prises pour s</w:t>
            </w:r>
            <w:r w:rsidR="00AA2481">
              <w:rPr>
                <w:bCs/>
              </w:rPr>
              <w:t>’</w:t>
            </w:r>
            <w:r w:rsidRPr="00491433">
              <w:rPr>
                <w:bCs/>
              </w:rPr>
              <w:t>assurer</w:t>
            </w:r>
            <w:r w:rsidR="00937540">
              <w:rPr>
                <w:bCs/>
              </w:rPr>
              <w:t xml:space="preserve"> </w:t>
            </w:r>
            <w:r w:rsidRPr="00491433">
              <w:rPr>
                <w:bCs/>
              </w:rPr>
              <w:t>que</w:t>
            </w:r>
            <w:r w:rsidR="0044701A">
              <w:rPr>
                <w:bCs/>
              </w:rPr>
              <w:t xml:space="preserve"> </w:t>
            </w:r>
            <w:r w:rsidRPr="00491433">
              <w:rPr>
                <w:bCs/>
              </w:rPr>
              <w:t>les</w:t>
            </w:r>
            <w:r w:rsidR="00937540">
              <w:rPr>
                <w:bCs/>
              </w:rPr>
              <w:t> </w:t>
            </w:r>
            <w:r w:rsidRPr="00491433">
              <w:rPr>
                <w:bCs/>
              </w:rPr>
              <w:t>réformes en cours abordent les causes de l</w:t>
            </w:r>
            <w:r w:rsidR="00AA2481">
              <w:rPr>
                <w:bCs/>
              </w:rPr>
              <w:t>’</w:t>
            </w:r>
            <w:r w:rsidRPr="00491433">
              <w:rPr>
                <w:bCs/>
              </w:rPr>
              <w:t>impunité et les traitent</w:t>
            </w:r>
            <w:r w:rsidR="00937540">
              <w:rPr>
                <w:bCs/>
              </w:rPr>
              <w:t xml:space="preserve"> </w:t>
            </w:r>
            <w:r w:rsidRPr="00491433">
              <w:rPr>
                <w:bCs/>
              </w:rPr>
              <w:t>de façon adéquate.</w:t>
            </w:r>
          </w:p>
        </w:tc>
      </w:tr>
      <w:tr w:rsidR="00C619F0" w:rsidRPr="00FE2D64" w:rsidTr="00C735A6">
        <w:tc>
          <w:tcPr>
            <w:tcW w:w="1985" w:type="dxa"/>
            <w:shd w:val="clear" w:color="auto" w:fill="auto"/>
          </w:tcPr>
          <w:p w:rsidR="00C619F0" w:rsidRDefault="006E582F" w:rsidP="00EF1051">
            <w:pPr>
              <w:keepNext/>
              <w:spacing w:before="40" w:after="120"/>
              <w:ind w:right="57"/>
              <w:rPr>
                <w:lang w:val="fr-FR"/>
              </w:rPr>
            </w:pPr>
            <w:r>
              <w:rPr>
                <w:lang w:val="fr-FR"/>
              </w:rPr>
              <w:t>Résumé réponse l</w:t>
            </w:r>
            <w:r w:rsidR="00AA2481">
              <w:rPr>
                <w:lang w:val="fr-FR"/>
              </w:rPr>
              <w:t>’</w:t>
            </w:r>
            <w:r>
              <w:rPr>
                <w:lang w:val="fr-FR"/>
              </w:rPr>
              <w:t>État partie:</w:t>
            </w:r>
          </w:p>
        </w:tc>
        <w:tc>
          <w:tcPr>
            <w:tcW w:w="6521" w:type="dxa"/>
            <w:shd w:val="clear" w:color="auto" w:fill="auto"/>
          </w:tcPr>
          <w:p w:rsidR="00C619F0" w:rsidRDefault="006E582F" w:rsidP="00EF1051">
            <w:pPr>
              <w:keepNext/>
              <w:spacing w:before="40" w:after="120"/>
              <w:ind w:right="57"/>
              <w:rPr>
                <w:bCs/>
              </w:rPr>
            </w:pPr>
            <w:r w:rsidRPr="006E582F">
              <w:rPr>
                <w:bCs/>
              </w:rPr>
              <w:t>Les violations des droits de l</w:t>
            </w:r>
            <w:r w:rsidR="00AA2481">
              <w:rPr>
                <w:bCs/>
              </w:rPr>
              <w:t>’</w:t>
            </w:r>
            <w:r w:rsidRPr="006E582F">
              <w:rPr>
                <w:bCs/>
              </w:rPr>
              <w:t>homme commises au cours du conflit armé colombien sont irréparables. Les réparations accordées dans le cadre de la loi 1448 de 2011 doivent viser à la cohérence plus qu</w:t>
            </w:r>
            <w:r w:rsidR="00AA2481">
              <w:rPr>
                <w:bCs/>
              </w:rPr>
              <w:t>’</w:t>
            </w:r>
            <w:r w:rsidRPr="006E582F">
              <w:rPr>
                <w:bCs/>
              </w:rPr>
              <w:t>à «remettre la victime dans une situation semblable à celle qui précédait la violation ou l</w:t>
            </w:r>
            <w:r w:rsidR="00AA2481">
              <w:rPr>
                <w:bCs/>
              </w:rPr>
              <w:t>’</w:t>
            </w:r>
            <w:r w:rsidRPr="006E582F">
              <w:rPr>
                <w:bCs/>
              </w:rPr>
              <w:t xml:space="preserve">infraction». </w:t>
            </w:r>
          </w:p>
        </w:tc>
      </w:tr>
      <w:tr w:rsidR="00C619F0" w:rsidRPr="00FE2D64" w:rsidTr="00C735A6">
        <w:tc>
          <w:tcPr>
            <w:tcW w:w="1985" w:type="dxa"/>
            <w:shd w:val="clear" w:color="auto" w:fill="auto"/>
          </w:tcPr>
          <w:p w:rsidR="00C619F0" w:rsidRDefault="006E582F" w:rsidP="00EF1051">
            <w:pPr>
              <w:spacing w:before="40" w:after="120"/>
              <w:ind w:right="57"/>
              <w:rPr>
                <w:lang w:val="fr-FR"/>
              </w:rPr>
            </w:pPr>
            <w:r>
              <w:rPr>
                <w:lang w:val="fr-FR"/>
              </w:rPr>
              <w:t>Programmes de réparation mis</w:t>
            </w:r>
            <w:r>
              <w:rPr>
                <w:lang w:val="fr-FR"/>
              </w:rPr>
              <w:br/>
              <w:t>en œuvre:</w:t>
            </w:r>
          </w:p>
        </w:tc>
        <w:tc>
          <w:tcPr>
            <w:tcW w:w="6521" w:type="dxa"/>
            <w:shd w:val="clear" w:color="auto" w:fill="auto"/>
          </w:tcPr>
          <w:p w:rsidR="00C619F0" w:rsidRDefault="00953D60" w:rsidP="00EF1051">
            <w:pPr>
              <w:pStyle w:val="Bullet1G"/>
              <w:tabs>
                <w:tab w:val="clear" w:pos="1701"/>
                <w:tab w:val="num" w:pos="284"/>
              </w:tabs>
              <w:ind w:left="284" w:right="57" w:hanging="284"/>
              <w:jc w:val="left"/>
              <w:rPr>
                <w:bCs/>
              </w:rPr>
            </w:pPr>
            <w:r>
              <w:rPr>
                <w:bCs/>
              </w:rPr>
              <w:t>i)</w:t>
            </w:r>
            <w:r>
              <w:rPr>
                <w:bCs/>
              </w:rPr>
              <w:tab/>
            </w:r>
            <w:r w:rsidR="00BE75A7" w:rsidRPr="00BE75A7">
              <w:rPr>
                <w:bCs/>
              </w:rPr>
              <w:t>Loi 1448: mécanismes d</w:t>
            </w:r>
            <w:r w:rsidR="00AA2481">
              <w:rPr>
                <w:bCs/>
              </w:rPr>
              <w:t>’</w:t>
            </w:r>
            <w:r w:rsidR="00BE75A7" w:rsidRPr="00BE75A7">
              <w:rPr>
                <w:bCs/>
              </w:rPr>
              <w:t>assistance, d</w:t>
            </w:r>
            <w:r w:rsidR="00AA2481">
              <w:rPr>
                <w:bCs/>
              </w:rPr>
              <w:t>’</w:t>
            </w:r>
            <w:r w:rsidR="00BE75A7" w:rsidRPr="00BE75A7">
              <w:rPr>
                <w:bCs/>
              </w:rPr>
              <w:t>attention, de réparation et de protection pour les victimes. Le décret 4800 (2011) établit les procédures nécessaires à l</w:t>
            </w:r>
            <w:r w:rsidR="00AA2481">
              <w:rPr>
                <w:bCs/>
              </w:rPr>
              <w:t>’</w:t>
            </w:r>
            <w:r w:rsidR="00BE75A7" w:rsidRPr="00BE75A7">
              <w:rPr>
                <w:bCs/>
              </w:rPr>
              <w:t>accès des victimes à ces mécanismes. L</w:t>
            </w:r>
            <w:r w:rsidR="00AA2481">
              <w:rPr>
                <w:bCs/>
              </w:rPr>
              <w:t>’</w:t>
            </w:r>
            <w:r w:rsidR="00BE75A7" w:rsidRPr="00BE75A7">
              <w:rPr>
                <w:bCs/>
              </w:rPr>
              <w:t>application efficace de la loi dépend néanmoins de l</w:t>
            </w:r>
            <w:r w:rsidR="00AA2481">
              <w:rPr>
                <w:bCs/>
              </w:rPr>
              <w:t>’</w:t>
            </w:r>
            <w:r w:rsidR="00BE75A7" w:rsidRPr="00BE75A7">
              <w:rPr>
                <w:bCs/>
              </w:rPr>
              <w:t>attribution de fonds suffisants et du niveau de participation des victimes, lequel a été affecté négativement par la continuité du conflit armé, l</w:t>
            </w:r>
            <w:r w:rsidR="00AA2481">
              <w:rPr>
                <w:bCs/>
              </w:rPr>
              <w:t>’</w:t>
            </w:r>
            <w:r w:rsidR="00BE75A7" w:rsidRPr="00BE75A7">
              <w:rPr>
                <w:bCs/>
              </w:rPr>
              <w:t>insécurité et le manque d</w:t>
            </w:r>
            <w:r w:rsidR="00AA2481">
              <w:rPr>
                <w:bCs/>
              </w:rPr>
              <w:t>’</w:t>
            </w:r>
            <w:r w:rsidR="00BE75A7" w:rsidRPr="00BE75A7">
              <w:rPr>
                <w:bCs/>
              </w:rPr>
              <w:t xml:space="preserve">avocats de la </w:t>
            </w:r>
            <w:r w:rsidR="00BE75A7" w:rsidRPr="001C7EC5">
              <w:rPr>
                <w:bCs/>
                <w:iCs/>
              </w:rPr>
              <w:t xml:space="preserve">Defensoría </w:t>
            </w:r>
            <w:r w:rsidR="00103E43" w:rsidRPr="001C7EC5">
              <w:rPr>
                <w:bCs/>
                <w:iCs/>
              </w:rPr>
              <w:t>del Pueblo.</w:t>
            </w:r>
          </w:p>
        </w:tc>
      </w:tr>
      <w:tr w:rsidR="00C619F0" w:rsidRPr="00FE2D64" w:rsidTr="00C735A6">
        <w:tc>
          <w:tcPr>
            <w:tcW w:w="1985" w:type="dxa"/>
            <w:shd w:val="clear" w:color="auto" w:fill="auto"/>
          </w:tcPr>
          <w:p w:rsidR="00C619F0" w:rsidRDefault="00C619F0" w:rsidP="00EF1051">
            <w:pPr>
              <w:spacing w:before="40" w:after="120"/>
              <w:ind w:right="57"/>
              <w:rPr>
                <w:lang w:val="fr-FR"/>
              </w:rPr>
            </w:pPr>
          </w:p>
        </w:tc>
        <w:tc>
          <w:tcPr>
            <w:tcW w:w="6521" w:type="dxa"/>
            <w:shd w:val="clear" w:color="auto" w:fill="auto"/>
          </w:tcPr>
          <w:p w:rsidR="00C619F0" w:rsidRDefault="00953D60" w:rsidP="00EF1051">
            <w:pPr>
              <w:pStyle w:val="Bullet1G"/>
              <w:tabs>
                <w:tab w:val="clear" w:pos="1701"/>
                <w:tab w:val="num" w:pos="284"/>
              </w:tabs>
              <w:ind w:left="284" w:right="57" w:hanging="284"/>
              <w:jc w:val="left"/>
              <w:rPr>
                <w:bCs/>
              </w:rPr>
            </w:pPr>
            <w:r>
              <w:rPr>
                <w:bCs/>
              </w:rPr>
              <w:t>ii)</w:t>
            </w:r>
            <w:r>
              <w:rPr>
                <w:bCs/>
              </w:rPr>
              <w:tab/>
            </w:r>
            <w:r w:rsidR="00BE75A7" w:rsidRPr="00BE75A7">
              <w:rPr>
                <w:bCs/>
              </w:rPr>
              <w:t>Mécanismes d</w:t>
            </w:r>
            <w:r w:rsidR="00AA2481">
              <w:rPr>
                <w:bCs/>
              </w:rPr>
              <w:t>’</w:t>
            </w:r>
            <w:r w:rsidR="00BE75A7" w:rsidRPr="00BE75A7">
              <w:rPr>
                <w:bCs/>
              </w:rPr>
              <w:t>accès à la justice: la recherche d</w:t>
            </w:r>
            <w:r w:rsidR="00AA2481">
              <w:rPr>
                <w:bCs/>
              </w:rPr>
              <w:t>’</w:t>
            </w:r>
            <w:r w:rsidR="00BE75A7" w:rsidRPr="00BE75A7">
              <w:rPr>
                <w:bCs/>
              </w:rPr>
              <w:t>accords de réconciliation exige une certaine flexibilité pour la mise en œuvre des principes relatifs à l</w:t>
            </w:r>
            <w:r w:rsidR="00AA2481">
              <w:rPr>
                <w:bCs/>
              </w:rPr>
              <w:t>’</w:t>
            </w:r>
            <w:r w:rsidR="00BE75A7" w:rsidRPr="00BE75A7">
              <w:rPr>
                <w:bCs/>
              </w:rPr>
              <w:t>exercice de la fonction judiciaire. Exemple: réduction de la peine privative de liberté dans le cas de la loi 975. En</w:t>
            </w:r>
            <w:r w:rsidR="00BE75A7">
              <w:rPr>
                <w:bCs/>
              </w:rPr>
              <w:t> </w:t>
            </w:r>
            <w:r w:rsidR="00BE75A7" w:rsidRPr="00BE75A7">
              <w:rPr>
                <w:bCs/>
              </w:rPr>
              <w:t>mars 2012, environ 33</w:t>
            </w:r>
            <w:r w:rsidR="00BE75A7">
              <w:rPr>
                <w:bCs/>
              </w:rPr>
              <w:t> </w:t>
            </w:r>
            <w:r w:rsidR="00BE75A7" w:rsidRPr="00BE75A7">
              <w:rPr>
                <w:bCs/>
              </w:rPr>
              <w:t>407 victimes avaient participé aux procédures de la loi de justice et paix, et 322</w:t>
            </w:r>
            <w:r w:rsidR="00BE75A7">
              <w:rPr>
                <w:bCs/>
              </w:rPr>
              <w:t> </w:t>
            </w:r>
            <w:r w:rsidR="00BE75A7" w:rsidRPr="00BE75A7">
              <w:rPr>
                <w:bCs/>
              </w:rPr>
              <w:t xml:space="preserve">370 </w:t>
            </w:r>
            <w:r>
              <w:rPr>
                <w:bCs/>
              </w:rPr>
              <w:t xml:space="preserve">faits </w:t>
            </w:r>
            <w:r w:rsidR="00194166">
              <w:rPr>
                <w:bCs/>
              </w:rPr>
              <w:t>ont fait l</w:t>
            </w:r>
            <w:r w:rsidR="00AA2481">
              <w:rPr>
                <w:bCs/>
              </w:rPr>
              <w:t>’</w:t>
            </w:r>
            <w:r w:rsidR="00194166">
              <w:rPr>
                <w:bCs/>
              </w:rPr>
              <w:t>objet d</w:t>
            </w:r>
            <w:r w:rsidR="00AA2481">
              <w:rPr>
                <w:bCs/>
              </w:rPr>
              <w:t>’</w:t>
            </w:r>
            <w:r w:rsidR="00194166">
              <w:rPr>
                <w:bCs/>
              </w:rPr>
              <w:t>enquêtes</w:t>
            </w:r>
            <w:r w:rsidR="00BE75A7" w:rsidRPr="00BE75A7">
              <w:rPr>
                <w:bCs/>
              </w:rPr>
              <w:t>.</w:t>
            </w:r>
          </w:p>
        </w:tc>
      </w:tr>
      <w:tr w:rsidR="006E582F" w:rsidRPr="00FE2D64" w:rsidTr="00C735A6">
        <w:tc>
          <w:tcPr>
            <w:tcW w:w="1985" w:type="dxa"/>
            <w:shd w:val="clear" w:color="auto" w:fill="auto"/>
          </w:tcPr>
          <w:p w:rsidR="006E582F" w:rsidRDefault="006E582F" w:rsidP="00EF1051">
            <w:pPr>
              <w:spacing w:before="40" w:after="120"/>
              <w:ind w:right="57"/>
              <w:rPr>
                <w:lang w:val="fr-FR"/>
              </w:rPr>
            </w:pPr>
          </w:p>
        </w:tc>
        <w:tc>
          <w:tcPr>
            <w:tcW w:w="6521" w:type="dxa"/>
            <w:shd w:val="clear" w:color="auto" w:fill="auto"/>
          </w:tcPr>
          <w:p w:rsidR="006E582F" w:rsidRDefault="00823911" w:rsidP="00EF1051">
            <w:pPr>
              <w:pStyle w:val="Bullet1G"/>
              <w:tabs>
                <w:tab w:val="clear" w:pos="1701"/>
                <w:tab w:val="num" w:pos="284"/>
              </w:tabs>
              <w:ind w:left="284" w:right="57" w:hanging="284"/>
              <w:jc w:val="left"/>
              <w:rPr>
                <w:bCs/>
              </w:rPr>
            </w:pPr>
            <w:r w:rsidRPr="00823911">
              <w:rPr>
                <w:bCs/>
              </w:rPr>
              <w:t>De multiples activités doivent être prises en compte pour évaluer l</w:t>
            </w:r>
            <w:r w:rsidR="00AA2481">
              <w:rPr>
                <w:bCs/>
              </w:rPr>
              <w:t>’</w:t>
            </w:r>
            <w:r w:rsidRPr="00823911">
              <w:rPr>
                <w:bCs/>
              </w:rPr>
              <w:t>application de la loi 975, et pas seulement le nombre de décisions adoptées. Un bilan de ces activités est présenté dans le rapport.</w:t>
            </w:r>
          </w:p>
        </w:tc>
      </w:tr>
      <w:tr w:rsidR="006E582F" w:rsidRPr="00FE2D64" w:rsidTr="00C735A6">
        <w:tc>
          <w:tcPr>
            <w:tcW w:w="1985" w:type="dxa"/>
            <w:shd w:val="clear" w:color="auto" w:fill="auto"/>
          </w:tcPr>
          <w:p w:rsidR="006E582F" w:rsidRDefault="006E582F" w:rsidP="00EF1051">
            <w:pPr>
              <w:spacing w:before="40" w:after="120"/>
              <w:ind w:right="57"/>
              <w:rPr>
                <w:lang w:val="fr-FR"/>
              </w:rPr>
            </w:pPr>
          </w:p>
        </w:tc>
        <w:tc>
          <w:tcPr>
            <w:tcW w:w="6521" w:type="dxa"/>
            <w:shd w:val="clear" w:color="auto" w:fill="auto"/>
          </w:tcPr>
          <w:p w:rsidR="006E582F" w:rsidRDefault="00823911" w:rsidP="0092510D">
            <w:pPr>
              <w:pStyle w:val="Bullet1G"/>
              <w:tabs>
                <w:tab w:val="clear" w:pos="1701"/>
                <w:tab w:val="num" w:pos="284"/>
              </w:tabs>
              <w:ind w:left="284" w:right="57" w:hanging="284"/>
              <w:jc w:val="left"/>
              <w:rPr>
                <w:bCs/>
              </w:rPr>
            </w:pPr>
            <w:r w:rsidRPr="00823911">
              <w:rPr>
                <w:bCs/>
              </w:rPr>
              <w:t>La loi 1424 de 2010 introduit un «mécanisme non judiciaire de vérité»</w:t>
            </w:r>
            <w:r>
              <w:rPr>
                <w:bCs/>
              </w:rPr>
              <w:br/>
            </w:r>
            <w:r w:rsidRPr="00823911">
              <w:rPr>
                <w:bCs/>
              </w:rPr>
              <w:t>dont l</w:t>
            </w:r>
            <w:r w:rsidR="00AA2481">
              <w:rPr>
                <w:bCs/>
              </w:rPr>
              <w:t>’</w:t>
            </w:r>
            <w:r w:rsidRPr="00823911">
              <w:rPr>
                <w:bCs/>
              </w:rPr>
              <w:t>objectif est de compléter et d</w:t>
            </w:r>
            <w:r w:rsidR="00AA2481">
              <w:rPr>
                <w:bCs/>
              </w:rPr>
              <w:t>’</w:t>
            </w:r>
            <w:r w:rsidRPr="00823911">
              <w:rPr>
                <w:bCs/>
              </w:rPr>
              <w:t>alimenter les mécanismes d</w:t>
            </w:r>
            <w:r w:rsidR="00AA2481">
              <w:rPr>
                <w:bCs/>
              </w:rPr>
              <w:t>’</w:t>
            </w:r>
            <w:r w:rsidRPr="00823911">
              <w:rPr>
                <w:bCs/>
              </w:rPr>
              <w:t>enquêtes judiciaires. L</w:t>
            </w:r>
            <w:r w:rsidR="00AA2481">
              <w:rPr>
                <w:bCs/>
              </w:rPr>
              <w:t>’</w:t>
            </w:r>
            <w:r w:rsidR="00953D60">
              <w:rPr>
                <w:bCs/>
              </w:rPr>
              <w:t>É</w:t>
            </w:r>
            <w:r w:rsidRPr="00823911">
              <w:rPr>
                <w:bCs/>
              </w:rPr>
              <w:t>tat j</w:t>
            </w:r>
            <w:r w:rsidR="00953D60">
              <w:rPr>
                <w:bCs/>
              </w:rPr>
              <w:t>oint en annexe une liste de 124 </w:t>
            </w:r>
            <w:r w:rsidRPr="00823911">
              <w:rPr>
                <w:bCs/>
              </w:rPr>
              <w:t>personnes poursuivies dans le cadre de la loi de justice et paix.</w:t>
            </w:r>
          </w:p>
        </w:tc>
      </w:tr>
      <w:tr w:rsidR="00BE75A7" w:rsidRPr="00FE2D64" w:rsidTr="00C735A6">
        <w:tc>
          <w:tcPr>
            <w:tcW w:w="1985" w:type="dxa"/>
            <w:shd w:val="clear" w:color="auto" w:fill="auto"/>
          </w:tcPr>
          <w:p w:rsidR="00BE75A7" w:rsidRDefault="00511D59" w:rsidP="00EF1051">
            <w:pPr>
              <w:spacing w:before="40" w:after="120"/>
              <w:ind w:right="57"/>
              <w:rPr>
                <w:lang w:val="fr-FR"/>
              </w:rPr>
            </w:pPr>
            <w:r>
              <w:rPr>
                <w:lang w:val="fr-FR"/>
              </w:rPr>
              <w:t>Évaluation Comité:</w:t>
            </w:r>
          </w:p>
        </w:tc>
        <w:tc>
          <w:tcPr>
            <w:tcW w:w="6521" w:type="dxa"/>
            <w:shd w:val="clear" w:color="auto" w:fill="auto"/>
          </w:tcPr>
          <w:p w:rsidR="00BE75A7" w:rsidRDefault="00511D59" w:rsidP="00EF1051">
            <w:pPr>
              <w:spacing w:before="40" w:after="120"/>
              <w:ind w:right="57"/>
              <w:rPr>
                <w:bCs/>
              </w:rPr>
            </w:pPr>
            <w:r w:rsidRPr="00344DA4">
              <w:rPr>
                <w:b/>
              </w:rPr>
              <w:t>[B2</w:t>
            </w:r>
            <w:r w:rsidR="00FC7213">
              <w:rPr>
                <w:b/>
              </w:rPr>
              <w:t xml:space="preserve">] </w:t>
            </w:r>
            <w:r w:rsidRPr="00AA5221">
              <w:rPr>
                <w:bCs/>
              </w:rPr>
              <w:t>Des informations actualisées devront être fournies dans le prochain rapport périodique</w:t>
            </w:r>
            <w:r w:rsidR="00953D60">
              <w:rPr>
                <w:bCs/>
              </w:rPr>
              <w:t>:</w:t>
            </w:r>
            <w:r w:rsidRPr="00AA5221">
              <w:rPr>
                <w:bCs/>
              </w:rPr>
              <w:t xml:space="preserve"> 1)</w:t>
            </w:r>
            <w:r>
              <w:rPr>
                <w:bCs/>
              </w:rPr>
              <w:t> </w:t>
            </w:r>
            <w:r w:rsidRPr="00AA5221">
              <w:rPr>
                <w:bCs/>
              </w:rPr>
              <w:t>sur les résultats obtenus en application des réformes</w:t>
            </w:r>
            <w:r w:rsidR="00825CE1">
              <w:rPr>
                <w:bCs/>
              </w:rPr>
              <w:br/>
            </w:r>
            <w:r w:rsidRPr="00AA5221">
              <w:rPr>
                <w:bCs/>
              </w:rPr>
              <w:t xml:space="preserve">de la loi 975; </w:t>
            </w:r>
            <w:r>
              <w:rPr>
                <w:bCs/>
              </w:rPr>
              <w:t>2</w:t>
            </w:r>
            <w:r w:rsidRPr="00AA5221">
              <w:rPr>
                <w:bCs/>
              </w:rPr>
              <w:t>)</w:t>
            </w:r>
            <w:r>
              <w:rPr>
                <w:bCs/>
              </w:rPr>
              <w:t> </w:t>
            </w:r>
            <w:r w:rsidRPr="00AA5221">
              <w:rPr>
                <w:bCs/>
              </w:rPr>
              <w:t>sur les mécanismes de coordination introduits pour éviter</w:t>
            </w:r>
            <w:r w:rsidR="00AA5DA8">
              <w:rPr>
                <w:bCs/>
              </w:rPr>
              <w:br/>
            </w:r>
            <w:r w:rsidRPr="00AA5221">
              <w:rPr>
                <w:bCs/>
              </w:rPr>
              <w:t xml:space="preserve">la duplication des interventions </w:t>
            </w:r>
            <w:r w:rsidR="00B56A51">
              <w:rPr>
                <w:bCs/>
              </w:rPr>
              <w:t xml:space="preserve">effectuées </w:t>
            </w:r>
            <w:r w:rsidRPr="00AA5221">
              <w:rPr>
                <w:bCs/>
              </w:rPr>
              <w:t>et en garantir l</w:t>
            </w:r>
            <w:r w:rsidR="00AA2481">
              <w:rPr>
                <w:bCs/>
              </w:rPr>
              <w:t>’</w:t>
            </w:r>
            <w:r w:rsidRPr="00AA5221">
              <w:rPr>
                <w:bCs/>
              </w:rPr>
              <w:t>efficacité.</w:t>
            </w:r>
          </w:p>
        </w:tc>
      </w:tr>
      <w:tr w:rsidR="00BE75A7" w:rsidRPr="00FE2D64" w:rsidTr="00C735A6">
        <w:tc>
          <w:tcPr>
            <w:tcW w:w="1985" w:type="dxa"/>
            <w:shd w:val="clear" w:color="auto" w:fill="auto"/>
          </w:tcPr>
          <w:p w:rsidR="00BE75A7" w:rsidRPr="000A5E75" w:rsidRDefault="000A5E75" w:rsidP="00EF1051">
            <w:pPr>
              <w:spacing w:before="40" w:after="120"/>
              <w:ind w:right="57"/>
              <w:rPr>
                <w:b/>
                <w:lang w:val="fr-FR"/>
              </w:rPr>
            </w:pPr>
            <w:r w:rsidRPr="000A5E75">
              <w:rPr>
                <w:b/>
                <w:lang w:val="fr-FR"/>
              </w:rPr>
              <w:t>Paragraphe 14:</w:t>
            </w:r>
          </w:p>
        </w:tc>
        <w:tc>
          <w:tcPr>
            <w:tcW w:w="6521" w:type="dxa"/>
            <w:shd w:val="clear" w:color="auto" w:fill="auto"/>
          </w:tcPr>
          <w:p w:rsidR="00BE75A7" w:rsidRPr="000A5E75" w:rsidRDefault="000A5E75" w:rsidP="00EF1051">
            <w:pPr>
              <w:spacing w:before="40" w:after="120"/>
              <w:ind w:right="57"/>
              <w:rPr>
                <w:bCs/>
              </w:rPr>
            </w:pPr>
            <w:r w:rsidRPr="000A5E75">
              <w:rPr>
                <w:b/>
                <w:bCs/>
              </w:rPr>
              <w:t>L</w:t>
            </w:r>
            <w:r w:rsidR="00AA2481">
              <w:rPr>
                <w:b/>
                <w:bCs/>
              </w:rPr>
              <w:t>’</w:t>
            </w:r>
            <w:r w:rsidRPr="000A5E75">
              <w:rPr>
                <w:b/>
                <w:bCs/>
              </w:rPr>
              <w:t>État partie devrait prendre des mesures efficaces pour abroger toute directive du Ministère de la défense qui peut conduire à des atteintes graves aux droits de l</w:t>
            </w:r>
            <w:r w:rsidR="00AA2481">
              <w:rPr>
                <w:b/>
                <w:bCs/>
              </w:rPr>
              <w:t>’</w:t>
            </w:r>
            <w:r w:rsidRPr="000A5E75">
              <w:rPr>
                <w:b/>
                <w:bCs/>
              </w:rPr>
              <w:t>homme comme des exécutions extrajudiciaires,</w:t>
            </w:r>
            <w:r w:rsidR="00F85B7A">
              <w:rPr>
                <w:b/>
                <w:bCs/>
              </w:rPr>
              <w:br/>
            </w:r>
            <w:r w:rsidRPr="000A5E75">
              <w:rPr>
                <w:b/>
                <w:bCs/>
              </w:rPr>
              <w:t>et s</w:t>
            </w:r>
            <w:r w:rsidR="00AA2481">
              <w:rPr>
                <w:b/>
                <w:bCs/>
              </w:rPr>
              <w:t>’</w:t>
            </w:r>
            <w:r w:rsidRPr="000A5E75">
              <w:rPr>
                <w:b/>
                <w:bCs/>
              </w:rPr>
              <w:t>acquitter pleinement de son obligation de veiller à ce que toutes les violations graves des droits de l</w:t>
            </w:r>
            <w:r w:rsidR="00AA2481">
              <w:rPr>
                <w:b/>
                <w:bCs/>
              </w:rPr>
              <w:t>’</w:t>
            </w:r>
            <w:r w:rsidRPr="000A5E75">
              <w:rPr>
                <w:b/>
                <w:bCs/>
              </w:rPr>
              <w:t>homme fassent l</w:t>
            </w:r>
            <w:r w:rsidR="00AA2481">
              <w:rPr>
                <w:b/>
                <w:bCs/>
              </w:rPr>
              <w:t>’</w:t>
            </w:r>
            <w:r w:rsidRPr="000A5E75">
              <w:rPr>
                <w:b/>
                <w:bCs/>
              </w:rPr>
              <w:t>objet d</w:t>
            </w:r>
            <w:r w:rsidR="00AA2481">
              <w:rPr>
                <w:b/>
                <w:bCs/>
              </w:rPr>
              <w:t>’</w:t>
            </w:r>
            <w:r w:rsidRPr="000A5E75">
              <w:rPr>
                <w:b/>
                <w:bCs/>
              </w:rPr>
              <w:t>enquêtes impartiales conduites par les juridictions ordinaires et que les auteurs</w:t>
            </w:r>
            <w:r w:rsidR="00F85B7A">
              <w:rPr>
                <w:b/>
                <w:bCs/>
              </w:rPr>
              <w:br/>
            </w:r>
            <w:r w:rsidRPr="000A5E75">
              <w:rPr>
                <w:b/>
                <w:bCs/>
              </w:rPr>
              <w:t>de ces violations soient punis. Le Comité souligne la responsabilité qu</w:t>
            </w:r>
            <w:r w:rsidR="00AA2481">
              <w:rPr>
                <w:b/>
                <w:bCs/>
              </w:rPr>
              <w:t>’</w:t>
            </w:r>
            <w:r w:rsidRPr="000A5E75">
              <w:rPr>
                <w:b/>
                <w:bCs/>
              </w:rPr>
              <w:t>a</w:t>
            </w:r>
            <w:r w:rsidR="00F85B7A">
              <w:rPr>
                <w:b/>
                <w:bCs/>
              </w:rPr>
              <w:br/>
            </w:r>
            <w:r w:rsidRPr="000A5E75">
              <w:rPr>
                <w:b/>
                <w:bCs/>
              </w:rPr>
              <w:t>le Conseil supérieur de la magistrature pour ce qui est de résoudre les conflits de compétence et de garantir que, dans la pratique, ces crimes restent clairement hors de la compétence de la justice militaire.</w:t>
            </w:r>
          </w:p>
        </w:tc>
      </w:tr>
      <w:tr w:rsidR="00511D59" w:rsidRPr="00FE2D64" w:rsidTr="00C735A6">
        <w:tc>
          <w:tcPr>
            <w:tcW w:w="1985" w:type="dxa"/>
            <w:shd w:val="clear" w:color="auto" w:fill="auto"/>
          </w:tcPr>
          <w:p w:rsidR="00511D59" w:rsidRDefault="00511D59" w:rsidP="00EF1051">
            <w:pPr>
              <w:spacing w:before="40" w:after="120"/>
              <w:ind w:right="57"/>
              <w:rPr>
                <w:lang w:val="fr-FR"/>
              </w:rPr>
            </w:pPr>
          </w:p>
        </w:tc>
        <w:tc>
          <w:tcPr>
            <w:tcW w:w="6521" w:type="dxa"/>
            <w:shd w:val="clear" w:color="auto" w:fill="auto"/>
          </w:tcPr>
          <w:p w:rsidR="00511D59" w:rsidRDefault="00D00700" w:rsidP="00EF1051">
            <w:pPr>
              <w:spacing w:before="40" w:after="120"/>
              <w:ind w:right="57"/>
              <w:rPr>
                <w:bCs/>
              </w:rPr>
            </w:pPr>
            <w:r w:rsidRPr="00D00700">
              <w:rPr>
                <w:b/>
                <w:bCs/>
              </w:rPr>
              <w:t>L</w:t>
            </w:r>
            <w:r w:rsidR="00AA2481">
              <w:rPr>
                <w:b/>
                <w:bCs/>
              </w:rPr>
              <w:t>’</w:t>
            </w:r>
            <w:r w:rsidRPr="00D00700">
              <w:rPr>
                <w:b/>
                <w:bCs/>
              </w:rPr>
              <w:t>État partie devrait garantir la sécurité des témoins et des proches</w:t>
            </w:r>
            <w:r w:rsidR="00F85B7A">
              <w:rPr>
                <w:b/>
                <w:bCs/>
              </w:rPr>
              <w:br/>
            </w:r>
            <w:r w:rsidRPr="00D00700">
              <w:rPr>
                <w:b/>
                <w:bCs/>
              </w:rPr>
              <w:t>dans ce type d</w:t>
            </w:r>
            <w:r w:rsidR="00AA2481">
              <w:rPr>
                <w:b/>
                <w:bCs/>
              </w:rPr>
              <w:t>’</w:t>
            </w:r>
            <w:r w:rsidRPr="00D00700">
              <w:rPr>
                <w:b/>
                <w:bCs/>
              </w:rPr>
              <w:t>affaires.</w:t>
            </w:r>
          </w:p>
        </w:tc>
      </w:tr>
      <w:tr w:rsidR="000A5E75" w:rsidRPr="00FE2D64" w:rsidTr="00C735A6">
        <w:tc>
          <w:tcPr>
            <w:tcW w:w="1985" w:type="dxa"/>
            <w:shd w:val="clear" w:color="auto" w:fill="auto"/>
          </w:tcPr>
          <w:p w:rsidR="000A5E75" w:rsidRDefault="000A5E75" w:rsidP="00EF1051">
            <w:pPr>
              <w:spacing w:before="40" w:after="120"/>
              <w:ind w:right="57"/>
              <w:rPr>
                <w:lang w:val="fr-FR"/>
              </w:rPr>
            </w:pPr>
          </w:p>
        </w:tc>
        <w:tc>
          <w:tcPr>
            <w:tcW w:w="6521" w:type="dxa"/>
            <w:shd w:val="clear" w:color="auto" w:fill="auto"/>
          </w:tcPr>
          <w:p w:rsidR="000A5E75" w:rsidRDefault="00D00700" w:rsidP="00EF1051">
            <w:pPr>
              <w:spacing w:before="40" w:after="120"/>
              <w:ind w:right="57"/>
              <w:rPr>
                <w:bCs/>
              </w:rPr>
            </w:pPr>
            <w:r w:rsidRPr="00D00700">
              <w:rPr>
                <w:b/>
                <w:bCs/>
              </w:rPr>
              <w:t>L</w:t>
            </w:r>
            <w:r w:rsidR="00AA2481">
              <w:rPr>
                <w:b/>
                <w:bCs/>
              </w:rPr>
              <w:t>’</w:t>
            </w:r>
            <w:r w:rsidRPr="00D00700">
              <w:rPr>
                <w:b/>
                <w:bCs/>
              </w:rPr>
              <w:t>État partie devrait donner effet aux recommandations que le Rapporteur spécial sur les exécutions extrajudiciaires, sommaires</w:t>
            </w:r>
            <w:r w:rsidR="00CB7051">
              <w:rPr>
                <w:b/>
                <w:bCs/>
              </w:rPr>
              <w:t xml:space="preserve"> </w:t>
            </w:r>
            <w:r w:rsidRPr="00D00700">
              <w:rPr>
                <w:b/>
                <w:bCs/>
              </w:rPr>
              <w:t>ou arbitraires a faites à l</w:t>
            </w:r>
            <w:r w:rsidR="00AA2481">
              <w:rPr>
                <w:b/>
                <w:bCs/>
              </w:rPr>
              <w:t>’</w:t>
            </w:r>
            <w:r w:rsidRPr="00D00700">
              <w:rPr>
                <w:b/>
                <w:bCs/>
              </w:rPr>
              <w:t>issue de sa mission en Colombie en 2009 (</w:t>
            </w:r>
            <w:r w:rsidRPr="00C7498A">
              <w:rPr>
                <w:b/>
                <w:bCs/>
              </w:rPr>
              <w:t>A/HRC/14/24/Add.2</w:t>
            </w:r>
            <w:r w:rsidRPr="00D00700">
              <w:rPr>
                <w:b/>
                <w:bCs/>
              </w:rPr>
              <w:t>).</w:t>
            </w:r>
          </w:p>
        </w:tc>
      </w:tr>
      <w:tr w:rsidR="00D00700" w:rsidRPr="00FE2D64" w:rsidTr="00C735A6">
        <w:tc>
          <w:tcPr>
            <w:tcW w:w="1985" w:type="dxa"/>
            <w:shd w:val="clear" w:color="auto" w:fill="auto"/>
          </w:tcPr>
          <w:p w:rsidR="00D00700" w:rsidRDefault="00D00700" w:rsidP="00EF1051">
            <w:pPr>
              <w:keepNext/>
              <w:spacing w:before="40" w:after="120"/>
              <w:ind w:right="57"/>
              <w:rPr>
                <w:lang w:val="fr-FR"/>
              </w:rPr>
            </w:pPr>
          </w:p>
        </w:tc>
        <w:tc>
          <w:tcPr>
            <w:tcW w:w="6521" w:type="dxa"/>
            <w:shd w:val="clear" w:color="auto" w:fill="auto"/>
          </w:tcPr>
          <w:p w:rsidR="00D00700" w:rsidRPr="00534B13" w:rsidRDefault="00534B13" w:rsidP="00EF1051">
            <w:pPr>
              <w:keepNext/>
              <w:spacing w:before="40" w:after="120"/>
              <w:ind w:right="57"/>
              <w:rPr>
                <w:b/>
                <w:bCs/>
              </w:rPr>
            </w:pPr>
            <w:r w:rsidRPr="00953D60">
              <w:rPr>
                <w:b/>
                <w:bCs/>
              </w:rPr>
              <w:t>Objet du suivi:</w:t>
            </w:r>
          </w:p>
        </w:tc>
      </w:tr>
      <w:tr w:rsidR="00D00700" w:rsidRPr="00FE2D64" w:rsidTr="00C735A6">
        <w:tc>
          <w:tcPr>
            <w:tcW w:w="1985" w:type="dxa"/>
            <w:shd w:val="clear" w:color="auto" w:fill="auto"/>
          </w:tcPr>
          <w:p w:rsidR="00D00700" w:rsidRDefault="00D00700" w:rsidP="00EF1051">
            <w:pPr>
              <w:spacing w:before="40" w:after="120"/>
              <w:ind w:right="57"/>
              <w:rPr>
                <w:lang w:val="fr-FR"/>
              </w:rPr>
            </w:pPr>
          </w:p>
        </w:tc>
        <w:tc>
          <w:tcPr>
            <w:tcW w:w="6521" w:type="dxa"/>
            <w:shd w:val="clear" w:color="auto" w:fill="auto"/>
          </w:tcPr>
          <w:p w:rsidR="00D00700" w:rsidRDefault="00534B13" w:rsidP="00EF1051">
            <w:pPr>
              <w:pStyle w:val="Bullet1G"/>
              <w:tabs>
                <w:tab w:val="clear" w:pos="1701"/>
                <w:tab w:val="num" w:pos="284"/>
              </w:tabs>
              <w:ind w:left="284" w:right="57" w:hanging="284"/>
              <w:jc w:val="left"/>
              <w:rPr>
                <w:bCs/>
              </w:rPr>
            </w:pPr>
            <w:r w:rsidRPr="00534B13">
              <w:rPr>
                <w:bCs/>
              </w:rPr>
              <w:t>Le Comité manifeste son inquiétude quant au projet d</w:t>
            </w:r>
            <w:r w:rsidR="00AA2481">
              <w:rPr>
                <w:bCs/>
              </w:rPr>
              <w:t>’</w:t>
            </w:r>
            <w:r w:rsidRPr="00534B13">
              <w:rPr>
                <w:bCs/>
              </w:rPr>
              <w:t>établir une présomption de compétence de la justice militaire dans les cas impliquant</w:t>
            </w:r>
            <w:r>
              <w:rPr>
                <w:bCs/>
              </w:rPr>
              <w:br/>
            </w:r>
            <w:r w:rsidRPr="00534B13">
              <w:rPr>
                <w:bCs/>
              </w:rPr>
              <w:t>des membres des forces armées et de la police. Des informations sont requises sur les mesures prises pour éviter un tel recul.</w:t>
            </w:r>
          </w:p>
        </w:tc>
      </w:tr>
      <w:tr w:rsidR="00D00700" w:rsidRPr="00FE2D64" w:rsidTr="00C735A6">
        <w:tc>
          <w:tcPr>
            <w:tcW w:w="1985" w:type="dxa"/>
            <w:shd w:val="clear" w:color="auto" w:fill="auto"/>
          </w:tcPr>
          <w:p w:rsidR="00D00700" w:rsidRDefault="00D00700" w:rsidP="00EF1051">
            <w:pPr>
              <w:spacing w:before="40" w:after="120"/>
              <w:ind w:right="57"/>
              <w:rPr>
                <w:lang w:val="fr-FR"/>
              </w:rPr>
            </w:pPr>
          </w:p>
        </w:tc>
        <w:tc>
          <w:tcPr>
            <w:tcW w:w="6521" w:type="dxa"/>
            <w:shd w:val="clear" w:color="auto" w:fill="auto"/>
          </w:tcPr>
          <w:p w:rsidR="00D00700" w:rsidRDefault="00534B13" w:rsidP="00EF1051">
            <w:pPr>
              <w:pStyle w:val="Bullet1G"/>
              <w:tabs>
                <w:tab w:val="clear" w:pos="1701"/>
                <w:tab w:val="num" w:pos="284"/>
              </w:tabs>
              <w:ind w:left="284" w:right="57" w:hanging="284"/>
              <w:jc w:val="left"/>
              <w:rPr>
                <w:bCs/>
              </w:rPr>
            </w:pPr>
            <w:r w:rsidRPr="00534B13">
              <w:rPr>
                <w:bCs/>
              </w:rPr>
              <w:t>Aucune information n</w:t>
            </w:r>
            <w:r w:rsidR="00AA2481">
              <w:rPr>
                <w:bCs/>
              </w:rPr>
              <w:t>’</w:t>
            </w:r>
            <w:r w:rsidRPr="00534B13">
              <w:rPr>
                <w:bCs/>
              </w:rPr>
              <w:t>est fournie sur les mesures prises pour garantir la sécurité des témoins et des proches des victimes dans ce type d</w:t>
            </w:r>
            <w:r w:rsidR="00AA2481">
              <w:rPr>
                <w:bCs/>
              </w:rPr>
              <w:t>’</w:t>
            </w:r>
            <w:r w:rsidRPr="00534B13">
              <w:rPr>
                <w:bCs/>
              </w:rPr>
              <w:t>affaires.</w:t>
            </w:r>
          </w:p>
        </w:tc>
      </w:tr>
      <w:tr w:rsidR="00534B13" w:rsidRPr="00FE2D64" w:rsidTr="00C735A6">
        <w:tc>
          <w:tcPr>
            <w:tcW w:w="1985" w:type="dxa"/>
            <w:shd w:val="clear" w:color="auto" w:fill="auto"/>
          </w:tcPr>
          <w:p w:rsidR="00534B13" w:rsidRDefault="00534B13" w:rsidP="00EF1051">
            <w:pPr>
              <w:spacing w:before="40" w:after="120"/>
              <w:ind w:right="57"/>
              <w:rPr>
                <w:lang w:val="fr-FR"/>
              </w:rPr>
            </w:pPr>
            <w:r>
              <w:rPr>
                <w:lang w:val="fr-FR"/>
              </w:rPr>
              <w:t>Résumé réponse l</w:t>
            </w:r>
            <w:r w:rsidR="00AA2481">
              <w:rPr>
                <w:lang w:val="fr-FR"/>
              </w:rPr>
              <w:t>’</w:t>
            </w:r>
            <w:r>
              <w:rPr>
                <w:lang w:val="fr-FR"/>
              </w:rPr>
              <w:t>État partie:</w:t>
            </w:r>
          </w:p>
        </w:tc>
        <w:tc>
          <w:tcPr>
            <w:tcW w:w="6521" w:type="dxa"/>
            <w:shd w:val="clear" w:color="auto" w:fill="auto"/>
          </w:tcPr>
          <w:p w:rsidR="00534B13" w:rsidRDefault="00534B13" w:rsidP="0092510D">
            <w:pPr>
              <w:spacing w:before="40" w:after="120"/>
              <w:ind w:right="57"/>
              <w:rPr>
                <w:bCs/>
              </w:rPr>
            </w:pPr>
            <w:r w:rsidRPr="00534B13">
              <w:rPr>
                <w:bCs/>
              </w:rPr>
              <w:t>Le fonctionnement de la justice pénale militaire a été déterminé par la situation nationale de conflit armé interne. Son objectif est de permettre aux forces armées d</w:t>
            </w:r>
            <w:r w:rsidR="00AA2481">
              <w:rPr>
                <w:bCs/>
              </w:rPr>
              <w:t>’</w:t>
            </w:r>
            <w:r w:rsidRPr="00534B13">
              <w:rPr>
                <w:bCs/>
              </w:rPr>
              <w:t>exercer leurs fonctions conformément à la Constitution.</w:t>
            </w:r>
            <w:r>
              <w:rPr>
                <w:bCs/>
              </w:rPr>
              <w:br/>
            </w:r>
            <w:r w:rsidR="0092510D">
              <w:rPr>
                <w:bCs/>
              </w:rPr>
              <w:t>I</w:t>
            </w:r>
            <w:r w:rsidRPr="00534B13">
              <w:rPr>
                <w:bCs/>
              </w:rPr>
              <w:t>ntroduit les points suivants:</w:t>
            </w:r>
          </w:p>
        </w:tc>
      </w:tr>
      <w:tr w:rsidR="00534B13" w:rsidRPr="00FE2D64" w:rsidTr="00C735A6">
        <w:tc>
          <w:tcPr>
            <w:tcW w:w="1985" w:type="dxa"/>
            <w:shd w:val="clear" w:color="auto" w:fill="auto"/>
          </w:tcPr>
          <w:p w:rsidR="00534B13" w:rsidRDefault="00534B13" w:rsidP="00EF1051">
            <w:pPr>
              <w:spacing w:before="40" w:after="120"/>
              <w:ind w:right="57"/>
              <w:rPr>
                <w:lang w:val="fr-FR"/>
              </w:rPr>
            </w:pPr>
          </w:p>
        </w:tc>
        <w:tc>
          <w:tcPr>
            <w:tcW w:w="6521" w:type="dxa"/>
            <w:shd w:val="clear" w:color="auto" w:fill="auto"/>
          </w:tcPr>
          <w:p w:rsidR="00534B13" w:rsidRDefault="009E1EB6" w:rsidP="00EF1051">
            <w:pPr>
              <w:spacing w:before="40" w:after="120"/>
              <w:ind w:right="57" w:firstLine="284"/>
              <w:rPr>
                <w:bCs/>
              </w:rPr>
            </w:pPr>
            <w:r>
              <w:rPr>
                <w:bCs/>
              </w:rPr>
              <w:t>1)</w:t>
            </w:r>
            <w:r>
              <w:rPr>
                <w:bCs/>
              </w:rPr>
              <w:tab/>
            </w:r>
            <w:r w:rsidR="0003600F" w:rsidRPr="0003600F">
              <w:rPr>
                <w:bCs/>
              </w:rPr>
              <w:t>Définition de paramètres clairs pour établir la compétence des juridictions pénales militaires ou de la justice ordinaire.</w:t>
            </w:r>
          </w:p>
        </w:tc>
      </w:tr>
      <w:tr w:rsidR="00534B13" w:rsidRPr="00FE2D64" w:rsidTr="00C735A6">
        <w:tc>
          <w:tcPr>
            <w:tcW w:w="1985" w:type="dxa"/>
            <w:shd w:val="clear" w:color="auto" w:fill="auto"/>
          </w:tcPr>
          <w:p w:rsidR="00534B13" w:rsidRDefault="00534B13" w:rsidP="00EF1051">
            <w:pPr>
              <w:spacing w:before="40" w:after="120"/>
              <w:ind w:right="57"/>
              <w:rPr>
                <w:lang w:val="fr-FR"/>
              </w:rPr>
            </w:pPr>
          </w:p>
        </w:tc>
        <w:tc>
          <w:tcPr>
            <w:tcW w:w="6521" w:type="dxa"/>
            <w:shd w:val="clear" w:color="auto" w:fill="auto"/>
          </w:tcPr>
          <w:p w:rsidR="00534B13" w:rsidRDefault="0003600F" w:rsidP="00EF1051">
            <w:pPr>
              <w:spacing w:before="40" w:after="120"/>
              <w:ind w:right="57" w:firstLine="284"/>
              <w:rPr>
                <w:bCs/>
              </w:rPr>
            </w:pPr>
            <w:r w:rsidRPr="0003600F">
              <w:rPr>
                <w:bCs/>
              </w:rPr>
              <w:t>2)</w:t>
            </w:r>
            <w:r w:rsidR="009E1EB6">
              <w:rPr>
                <w:bCs/>
              </w:rPr>
              <w:tab/>
            </w:r>
            <w:r w:rsidRPr="009E1EB6">
              <w:rPr>
                <w:bCs/>
                <w:spacing w:val="-2"/>
              </w:rPr>
              <w:t>Création d</w:t>
            </w:r>
            <w:r w:rsidR="00AA2481">
              <w:rPr>
                <w:bCs/>
                <w:spacing w:val="-2"/>
              </w:rPr>
              <w:t>’</w:t>
            </w:r>
            <w:r w:rsidRPr="009E1EB6">
              <w:rPr>
                <w:bCs/>
                <w:spacing w:val="-2"/>
              </w:rPr>
              <w:t>une commission technique de coordination avec des représentants des deux ordres juridictionnels, chargée d</w:t>
            </w:r>
            <w:r w:rsidR="00AA2481">
              <w:rPr>
                <w:bCs/>
                <w:spacing w:val="-2"/>
              </w:rPr>
              <w:t>’</w:t>
            </w:r>
            <w:r w:rsidRPr="009E1EB6">
              <w:rPr>
                <w:bCs/>
                <w:spacing w:val="-2"/>
              </w:rPr>
              <w:t>intervenir en cas</w:t>
            </w:r>
            <w:r w:rsidR="00A37327">
              <w:rPr>
                <w:bCs/>
                <w:spacing w:val="-2"/>
              </w:rPr>
              <w:br/>
            </w:r>
            <w:r w:rsidRPr="009E1EB6">
              <w:rPr>
                <w:bCs/>
                <w:spacing w:val="-2"/>
              </w:rPr>
              <w:t>de doutes sur la compétence de la justice pénale militaire.</w:t>
            </w:r>
          </w:p>
        </w:tc>
      </w:tr>
      <w:tr w:rsidR="0003600F" w:rsidRPr="00FE2D64" w:rsidTr="00C735A6">
        <w:tc>
          <w:tcPr>
            <w:tcW w:w="1985" w:type="dxa"/>
            <w:shd w:val="clear" w:color="auto" w:fill="auto"/>
          </w:tcPr>
          <w:p w:rsidR="0003600F" w:rsidRDefault="0003600F" w:rsidP="00EF1051">
            <w:pPr>
              <w:spacing w:before="40" w:after="120"/>
              <w:ind w:right="57"/>
              <w:rPr>
                <w:lang w:val="fr-FR"/>
              </w:rPr>
            </w:pPr>
          </w:p>
        </w:tc>
        <w:tc>
          <w:tcPr>
            <w:tcW w:w="6521" w:type="dxa"/>
            <w:shd w:val="clear" w:color="auto" w:fill="auto"/>
          </w:tcPr>
          <w:p w:rsidR="0003600F" w:rsidRDefault="009E1EB6" w:rsidP="00EF1051">
            <w:pPr>
              <w:spacing w:before="40" w:after="120"/>
              <w:ind w:right="57" w:firstLine="284"/>
              <w:rPr>
                <w:bCs/>
              </w:rPr>
            </w:pPr>
            <w:r>
              <w:rPr>
                <w:bCs/>
              </w:rPr>
              <w:t>3)</w:t>
            </w:r>
            <w:r>
              <w:rPr>
                <w:bCs/>
              </w:rPr>
              <w:tab/>
            </w:r>
            <w:r w:rsidR="0003600F" w:rsidRPr="0003600F">
              <w:rPr>
                <w:bCs/>
              </w:rPr>
              <w:t xml:space="preserve">Reconnaissance constitutionnelle de la «police judiciaire pénale militaire». </w:t>
            </w:r>
          </w:p>
        </w:tc>
      </w:tr>
      <w:tr w:rsidR="0003600F" w:rsidRPr="00FE2D64" w:rsidTr="00C735A6">
        <w:tc>
          <w:tcPr>
            <w:tcW w:w="1985" w:type="dxa"/>
            <w:shd w:val="clear" w:color="auto" w:fill="auto"/>
          </w:tcPr>
          <w:p w:rsidR="0003600F" w:rsidRDefault="0003600F" w:rsidP="00EF1051">
            <w:pPr>
              <w:spacing w:before="40" w:after="120"/>
              <w:ind w:right="57"/>
              <w:rPr>
                <w:lang w:val="fr-FR"/>
              </w:rPr>
            </w:pPr>
          </w:p>
        </w:tc>
        <w:tc>
          <w:tcPr>
            <w:tcW w:w="6521" w:type="dxa"/>
            <w:shd w:val="clear" w:color="auto" w:fill="auto"/>
          </w:tcPr>
          <w:p w:rsidR="0003600F" w:rsidRDefault="0003600F" w:rsidP="00EF1051">
            <w:pPr>
              <w:spacing w:before="40" w:after="120"/>
              <w:ind w:right="57" w:firstLine="284"/>
              <w:rPr>
                <w:bCs/>
              </w:rPr>
            </w:pPr>
            <w:r w:rsidRPr="0003600F">
              <w:rPr>
                <w:bCs/>
              </w:rPr>
              <w:t>4)</w:t>
            </w:r>
            <w:r w:rsidR="009E1EB6">
              <w:rPr>
                <w:bCs/>
              </w:rPr>
              <w:tab/>
            </w:r>
            <w:r w:rsidRPr="0003600F">
              <w:rPr>
                <w:bCs/>
              </w:rPr>
              <w:t>Création d</w:t>
            </w:r>
            <w:r w:rsidR="00AA2481">
              <w:rPr>
                <w:bCs/>
              </w:rPr>
              <w:t>’</w:t>
            </w:r>
            <w:r w:rsidRPr="0003600F">
              <w:rPr>
                <w:bCs/>
              </w:rPr>
              <w:t>un fond</w:t>
            </w:r>
            <w:r w:rsidR="00953D60">
              <w:rPr>
                <w:bCs/>
              </w:rPr>
              <w:t>s</w:t>
            </w:r>
            <w:r w:rsidRPr="0003600F">
              <w:rPr>
                <w:bCs/>
              </w:rPr>
              <w:t xml:space="preserve"> public pour la défense technique et spécialisée</w:t>
            </w:r>
            <w:r w:rsidR="009E1EB6">
              <w:rPr>
                <w:bCs/>
              </w:rPr>
              <w:br/>
            </w:r>
            <w:r w:rsidRPr="0003600F">
              <w:rPr>
                <w:bCs/>
              </w:rPr>
              <w:t>des membres de la force publique.</w:t>
            </w:r>
          </w:p>
        </w:tc>
      </w:tr>
      <w:tr w:rsidR="0003600F" w:rsidRPr="00FE2D64" w:rsidTr="00C735A6">
        <w:tc>
          <w:tcPr>
            <w:tcW w:w="1985" w:type="dxa"/>
            <w:shd w:val="clear" w:color="auto" w:fill="auto"/>
          </w:tcPr>
          <w:p w:rsidR="0003600F" w:rsidRDefault="0003600F" w:rsidP="00EF1051">
            <w:pPr>
              <w:spacing w:before="40" w:after="120"/>
              <w:ind w:right="57"/>
              <w:rPr>
                <w:lang w:val="fr-FR"/>
              </w:rPr>
            </w:pPr>
          </w:p>
        </w:tc>
        <w:tc>
          <w:tcPr>
            <w:tcW w:w="6521" w:type="dxa"/>
            <w:shd w:val="clear" w:color="auto" w:fill="auto"/>
          </w:tcPr>
          <w:p w:rsidR="0003600F" w:rsidRDefault="0003600F" w:rsidP="00EF1051">
            <w:pPr>
              <w:spacing w:before="40" w:after="120"/>
              <w:ind w:right="57" w:firstLine="284"/>
              <w:rPr>
                <w:bCs/>
              </w:rPr>
            </w:pPr>
            <w:r w:rsidRPr="0003600F">
              <w:rPr>
                <w:bCs/>
              </w:rPr>
              <w:t>5)</w:t>
            </w:r>
            <w:r w:rsidR="00ED6E82">
              <w:rPr>
                <w:bCs/>
              </w:rPr>
              <w:tab/>
            </w:r>
            <w:r w:rsidRPr="0003600F">
              <w:rPr>
                <w:bCs/>
              </w:rPr>
              <w:t>Développement des réformes par loi statutaire, pour en garantir</w:t>
            </w:r>
            <w:r w:rsidR="00ED6E82">
              <w:rPr>
                <w:bCs/>
              </w:rPr>
              <w:br/>
            </w:r>
            <w:r w:rsidRPr="0003600F">
              <w:rPr>
                <w:bCs/>
              </w:rPr>
              <w:t>la continuité.</w:t>
            </w:r>
          </w:p>
        </w:tc>
      </w:tr>
      <w:tr w:rsidR="0003600F" w:rsidRPr="00FE2D64" w:rsidTr="00C735A6">
        <w:tc>
          <w:tcPr>
            <w:tcW w:w="1985" w:type="dxa"/>
            <w:shd w:val="clear" w:color="auto" w:fill="auto"/>
          </w:tcPr>
          <w:p w:rsidR="0003600F" w:rsidRDefault="0003600F" w:rsidP="00EF1051">
            <w:pPr>
              <w:spacing w:before="40" w:after="120"/>
              <w:ind w:right="57"/>
              <w:rPr>
                <w:lang w:val="fr-FR"/>
              </w:rPr>
            </w:pPr>
          </w:p>
        </w:tc>
        <w:tc>
          <w:tcPr>
            <w:tcW w:w="6521" w:type="dxa"/>
            <w:shd w:val="clear" w:color="auto" w:fill="auto"/>
          </w:tcPr>
          <w:p w:rsidR="0003600F" w:rsidRDefault="0003600F" w:rsidP="00EF1051">
            <w:pPr>
              <w:spacing w:before="40" w:after="120"/>
              <w:ind w:right="57" w:firstLine="284"/>
              <w:rPr>
                <w:bCs/>
              </w:rPr>
            </w:pPr>
            <w:r w:rsidRPr="0003600F">
              <w:rPr>
                <w:bCs/>
              </w:rPr>
              <w:t>6)</w:t>
            </w:r>
            <w:r w:rsidR="00ED6E82">
              <w:rPr>
                <w:bCs/>
              </w:rPr>
              <w:tab/>
            </w:r>
            <w:r w:rsidRPr="0003600F">
              <w:rPr>
                <w:bCs/>
              </w:rPr>
              <w:t>Création de tribunaux pénaux de police et adoption d</w:t>
            </w:r>
            <w:r w:rsidR="00AA2481">
              <w:rPr>
                <w:bCs/>
              </w:rPr>
              <w:t>’</w:t>
            </w:r>
            <w:r w:rsidRPr="0003600F">
              <w:rPr>
                <w:bCs/>
              </w:rPr>
              <w:t>un Code</w:t>
            </w:r>
            <w:r w:rsidR="006911E0">
              <w:rPr>
                <w:bCs/>
              </w:rPr>
              <w:br/>
            </w:r>
            <w:r w:rsidRPr="0003600F">
              <w:rPr>
                <w:bCs/>
              </w:rPr>
              <w:t>de</w:t>
            </w:r>
            <w:r w:rsidR="006911E0">
              <w:rPr>
                <w:bCs/>
              </w:rPr>
              <w:t xml:space="preserve"> </w:t>
            </w:r>
            <w:r w:rsidRPr="0003600F">
              <w:rPr>
                <w:bCs/>
              </w:rPr>
              <w:t>la police.</w:t>
            </w:r>
          </w:p>
        </w:tc>
      </w:tr>
      <w:tr w:rsidR="0003600F" w:rsidRPr="00FE2D64" w:rsidTr="00C735A6">
        <w:tc>
          <w:tcPr>
            <w:tcW w:w="1985" w:type="dxa"/>
            <w:shd w:val="clear" w:color="auto" w:fill="auto"/>
          </w:tcPr>
          <w:p w:rsidR="0003600F" w:rsidRDefault="0003600F" w:rsidP="00EF1051">
            <w:pPr>
              <w:spacing w:before="40" w:after="120"/>
              <w:ind w:right="57"/>
              <w:rPr>
                <w:lang w:val="fr-FR"/>
              </w:rPr>
            </w:pPr>
          </w:p>
        </w:tc>
        <w:tc>
          <w:tcPr>
            <w:tcW w:w="6521" w:type="dxa"/>
            <w:shd w:val="clear" w:color="auto" w:fill="auto"/>
          </w:tcPr>
          <w:p w:rsidR="0003600F" w:rsidRDefault="00ED6E82" w:rsidP="00EF1051">
            <w:pPr>
              <w:spacing w:before="40" w:after="120"/>
              <w:ind w:right="57" w:firstLine="284"/>
              <w:rPr>
                <w:bCs/>
              </w:rPr>
            </w:pPr>
            <w:r>
              <w:rPr>
                <w:bCs/>
              </w:rPr>
              <w:t>7)</w:t>
            </w:r>
            <w:r>
              <w:rPr>
                <w:bCs/>
              </w:rPr>
              <w:tab/>
            </w:r>
            <w:r w:rsidR="0003600F" w:rsidRPr="0003600F">
              <w:rPr>
                <w:bCs/>
              </w:rPr>
              <w:t>Introduction d</w:t>
            </w:r>
            <w:r w:rsidR="00AA2481">
              <w:rPr>
                <w:bCs/>
              </w:rPr>
              <w:t>’</w:t>
            </w:r>
            <w:r w:rsidR="0003600F" w:rsidRPr="0003600F">
              <w:rPr>
                <w:bCs/>
              </w:rPr>
              <w:t>un système de carrière propre et indépendant</w:t>
            </w:r>
            <w:r w:rsidR="006911E0">
              <w:rPr>
                <w:bCs/>
              </w:rPr>
              <w:br/>
            </w:r>
            <w:r w:rsidR="0003600F" w:rsidRPr="0003600F">
              <w:rPr>
                <w:bCs/>
              </w:rPr>
              <w:t>pour les membres de la «police pénale militaire».</w:t>
            </w:r>
          </w:p>
        </w:tc>
      </w:tr>
      <w:tr w:rsidR="0003600F" w:rsidRPr="00FE2D64" w:rsidTr="00C735A6">
        <w:tc>
          <w:tcPr>
            <w:tcW w:w="1985" w:type="dxa"/>
            <w:shd w:val="clear" w:color="auto" w:fill="auto"/>
          </w:tcPr>
          <w:p w:rsidR="0003600F" w:rsidRDefault="00DC44C2" w:rsidP="00EF1051">
            <w:pPr>
              <w:spacing w:before="40" w:after="120"/>
              <w:ind w:right="57"/>
              <w:rPr>
                <w:lang w:val="fr-FR"/>
              </w:rPr>
            </w:pPr>
            <w:r w:rsidRPr="00AA08A8">
              <w:rPr>
                <w:lang w:val="fr-FR"/>
              </w:rPr>
              <w:t>Note du secrétariat:</w:t>
            </w:r>
          </w:p>
        </w:tc>
        <w:tc>
          <w:tcPr>
            <w:tcW w:w="6521" w:type="dxa"/>
            <w:shd w:val="clear" w:color="auto" w:fill="auto"/>
          </w:tcPr>
          <w:p w:rsidR="0003600F" w:rsidRDefault="00DC44C2" w:rsidP="00772101">
            <w:pPr>
              <w:spacing w:before="40" w:after="120"/>
              <w:ind w:right="57"/>
              <w:rPr>
                <w:bCs/>
              </w:rPr>
            </w:pPr>
            <w:r w:rsidRPr="00344DA4">
              <w:t>La</w:t>
            </w:r>
            <w:r w:rsidRPr="001F2326">
              <w:t xml:space="preserve"> réforme constitutionnelle de la justice pénale militaire a été adoptée</w:t>
            </w:r>
            <w:r>
              <w:rPr>
                <w:bCs/>
              </w:rPr>
              <w:br/>
            </w:r>
            <w:r w:rsidRPr="00DF51ED">
              <w:rPr>
                <w:bCs/>
              </w:rPr>
              <w:t>le 27</w:t>
            </w:r>
            <w:r w:rsidR="00772101">
              <w:rPr>
                <w:bCs/>
              </w:rPr>
              <w:t>/12/</w:t>
            </w:r>
            <w:r w:rsidRPr="00DF51ED">
              <w:rPr>
                <w:bCs/>
              </w:rPr>
              <w:t>12.</w:t>
            </w:r>
          </w:p>
        </w:tc>
      </w:tr>
      <w:tr w:rsidR="0003600F" w:rsidRPr="00FE2D64" w:rsidTr="00C735A6">
        <w:tc>
          <w:tcPr>
            <w:tcW w:w="1985" w:type="dxa"/>
            <w:shd w:val="clear" w:color="auto" w:fill="auto"/>
          </w:tcPr>
          <w:p w:rsidR="0003600F" w:rsidRDefault="00AA08A8" w:rsidP="00EF1051">
            <w:pPr>
              <w:spacing w:before="40" w:after="120"/>
              <w:ind w:right="57"/>
              <w:rPr>
                <w:lang w:val="fr-FR"/>
              </w:rPr>
            </w:pPr>
            <w:r>
              <w:rPr>
                <w:lang w:val="fr-FR"/>
              </w:rPr>
              <w:t>Information</w:t>
            </w:r>
            <w:r w:rsidR="002C6E8B">
              <w:rPr>
                <w:lang w:val="fr-FR"/>
              </w:rPr>
              <w:t>s</w:t>
            </w:r>
            <w:r w:rsidR="002C6E8B">
              <w:rPr>
                <w:lang w:val="fr-FR"/>
              </w:rPr>
              <w:br/>
            </w:r>
            <w:r>
              <w:rPr>
                <w:lang w:val="fr-FR"/>
              </w:rPr>
              <w:t>de l</w:t>
            </w:r>
            <w:r w:rsidR="00AA2481">
              <w:rPr>
                <w:lang w:val="fr-FR"/>
              </w:rPr>
              <w:t>’</w:t>
            </w:r>
            <w:r>
              <w:rPr>
                <w:lang w:val="fr-FR"/>
              </w:rPr>
              <w:t>ONU:</w:t>
            </w:r>
          </w:p>
        </w:tc>
        <w:tc>
          <w:tcPr>
            <w:tcW w:w="6521" w:type="dxa"/>
            <w:shd w:val="clear" w:color="auto" w:fill="auto"/>
          </w:tcPr>
          <w:p w:rsidR="0003600F" w:rsidRPr="00A83D19" w:rsidRDefault="00AA08A8" w:rsidP="00772101">
            <w:pPr>
              <w:spacing w:before="40" w:after="120"/>
              <w:ind w:right="57"/>
              <w:rPr>
                <w:bCs/>
                <w:spacing w:val="-2"/>
              </w:rPr>
            </w:pPr>
            <w:r w:rsidRPr="00A83D19">
              <w:rPr>
                <w:bCs/>
                <w:spacing w:val="-2"/>
              </w:rPr>
              <w:t xml:space="preserve">En 2012, les procédures spéciales des Nations Unies et le </w:t>
            </w:r>
            <w:r w:rsidR="00A37327">
              <w:rPr>
                <w:bCs/>
                <w:spacing w:val="-2"/>
              </w:rPr>
              <w:t>Haut-Commissariat</w:t>
            </w:r>
            <w:r w:rsidR="00937540">
              <w:rPr>
                <w:bCs/>
                <w:spacing w:val="-2"/>
              </w:rPr>
              <w:t xml:space="preserve"> des </w:t>
            </w:r>
            <w:r w:rsidRPr="00A83D19">
              <w:rPr>
                <w:bCs/>
                <w:spacing w:val="-2"/>
              </w:rPr>
              <w:t xml:space="preserve">Nations Unies </w:t>
            </w:r>
            <w:r w:rsidR="0025699B" w:rsidRPr="00A83D19">
              <w:rPr>
                <w:bCs/>
                <w:spacing w:val="-2"/>
              </w:rPr>
              <w:t xml:space="preserve">aux </w:t>
            </w:r>
            <w:r w:rsidRPr="00A83D19">
              <w:rPr>
                <w:bCs/>
                <w:spacing w:val="-2"/>
              </w:rPr>
              <w:t>droits de l</w:t>
            </w:r>
            <w:r w:rsidR="00AA2481">
              <w:rPr>
                <w:bCs/>
                <w:spacing w:val="-2"/>
              </w:rPr>
              <w:t>’</w:t>
            </w:r>
            <w:r w:rsidRPr="00A83D19">
              <w:rPr>
                <w:bCs/>
                <w:spacing w:val="-2"/>
              </w:rPr>
              <w:t>homme ont fait des déclarations publiques invitant à la révision ou au retrait de la réforme de la justice pénale militaire.</w:t>
            </w:r>
            <w:r w:rsidR="00937540">
              <w:rPr>
                <w:bCs/>
                <w:spacing w:val="-2"/>
              </w:rPr>
              <w:t xml:space="preserve"> Après </w:t>
            </w:r>
            <w:r w:rsidRPr="00A83D19">
              <w:rPr>
                <w:bCs/>
                <w:spacing w:val="-2"/>
              </w:rPr>
              <w:t>l</w:t>
            </w:r>
            <w:r w:rsidR="00AA2481">
              <w:rPr>
                <w:bCs/>
                <w:spacing w:val="-2"/>
              </w:rPr>
              <w:t>’</w:t>
            </w:r>
            <w:r w:rsidRPr="00A83D19">
              <w:rPr>
                <w:bCs/>
                <w:spacing w:val="-2"/>
              </w:rPr>
              <w:t>adoption de la réforme</w:t>
            </w:r>
            <w:r w:rsidR="00A37327">
              <w:rPr>
                <w:bCs/>
                <w:spacing w:val="-2"/>
              </w:rPr>
              <w:t xml:space="preserve"> </w:t>
            </w:r>
            <w:r w:rsidRPr="00A83D19">
              <w:rPr>
                <w:bCs/>
                <w:spacing w:val="-2"/>
              </w:rPr>
              <w:t>le</w:t>
            </w:r>
            <w:r w:rsidR="00636279">
              <w:rPr>
                <w:bCs/>
                <w:spacing w:val="-2"/>
              </w:rPr>
              <w:t xml:space="preserve"> </w:t>
            </w:r>
            <w:r w:rsidRPr="00A83D19">
              <w:rPr>
                <w:bCs/>
                <w:spacing w:val="-2"/>
              </w:rPr>
              <w:t>27</w:t>
            </w:r>
            <w:r w:rsidR="00772101">
              <w:rPr>
                <w:bCs/>
                <w:spacing w:val="-2"/>
              </w:rPr>
              <w:t>/12/</w:t>
            </w:r>
            <w:r w:rsidRPr="00A83D19">
              <w:rPr>
                <w:bCs/>
                <w:spacing w:val="-2"/>
              </w:rPr>
              <w:t>12, les représentants</w:t>
            </w:r>
            <w:r w:rsidR="00937540">
              <w:rPr>
                <w:bCs/>
                <w:spacing w:val="-2"/>
              </w:rPr>
              <w:t xml:space="preserve"> </w:t>
            </w:r>
            <w:r w:rsidRPr="00A83D19">
              <w:rPr>
                <w:bCs/>
                <w:spacing w:val="-2"/>
              </w:rPr>
              <w:t xml:space="preserve">du </w:t>
            </w:r>
            <w:r w:rsidR="00A83D19" w:rsidRPr="00A83D19">
              <w:rPr>
                <w:bCs/>
                <w:spacing w:val="-2"/>
              </w:rPr>
              <w:t xml:space="preserve">HCDH </w:t>
            </w:r>
            <w:r w:rsidRPr="00A83D19">
              <w:rPr>
                <w:bCs/>
                <w:spacing w:val="-2"/>
              </w:rPr>
              <w:t>et de l</w:t>
            </w:r>
            <w:r w:rsidR="00AA2481">
              <w:rPr>
                <w:bCs/>
                <w:spacing w:val="-2"/>
              </w:rPr>
              <w:t>’</w:t>
            </w:r>
            <w:r w:rsidRPr="00A83D19">
              <w:rPr>
                <w:bCs/>
                <w:spacing w:val="-2"/>
              </w:rPr>
              <w:t xml:space="preserve">Union </w:t>
            </w:r>
            <w:r w:rsidR="00953D60" w:rsidRPr="00A83D19">
              <w:rPr>
                <w:bCs/>
                <w:spacing w:val="-2"/>
              </w:rPr>
              <w:t>e</w:t>
            </w:r>
            <w:r w:rsidRPr="00A83D19">
              <w:rPr>
                <w:bCs/>
                <w:spacing w:val="-2"/>
              </w:rPr>
              <w:t>uropéenne</w:t>
            </w:r>
            <w:r w:rsidR="00A37327">
              <w:rPr>
                <w:bCs/>
                <w:spacing w:val="-2"/>
              </w:rPr>
              <w:t xml:space="preserve"> </w:t>
            </w:r>
            <w:r w:rsidRPr="00A83D19">
              <w:rPr>
                <w:bCs/>
                <w:spacing w:val="-2"/>
              </w:rPr>
              <w:t>en Colombie ont manifesté publiquement</w:t>
            </w:r>
            <w:r w:rsidR="00A83D19" w:rsidRPr="00A83D19">
              <w:rPr>
                <w:bCs/>
                <w:spacing w:val="-2"/>
              </w:rPr>
              <w:t xml:space="preserve"> </w:t>
            </w:r>
            <w:r w:rsidRPr="00A83D19">
              <w:rPr>
                <w:bCs/>
                <w:spacing w:val="-2"/>
              </w:rPr>
              <w:t>leur préoccupation.</w:t>
            </w:r>
          </w:p>
        </w:tc>
      </w:tr>
      <w:tr w:rsidR="0003600F" w:rsidRPr="00FE2D64" w:rsidTr="00C735A6">
        <w:trPr>
          <w:cantSplit/>
        </w:trPr>
        <w:tc>
          <w:tcPr>
            <w:tcW w:w="1985" w:type="dxa"/>
            <w:shd w:val="clear" w:color="auto" w:fill="auto"/>
          </w:tcPr>
          <w:p w:rsidR="0003600F" w:rsidRDefault="00641506" w:rsidP="00EF1051">
            <w:pPr>
              <w:spacing w:before="40" w:after="120"/>
              <w:ind w:right="57"/>
              <w:rPr>
                <w:lang w:val="fr-FR"/>
              </w:rPr>
            </w:pPr>
            <w:r>
              <w:rPr>
                <w:lang w:val="fr-FR"/>
              </w:rPr>
              <w:t>Évaluation Comité:</w:t>
            </w:r>
          </w:p>
        </w:tc>
        <w:tc>
          <w:tcPr>
            <w:tcW w:w="6521" w:type="dxa"/>
            <w:shd w:val="clear" w:color="auto" w:fill="auto"/>
          </w:tcPr>
          <w:p w:rsidR="0003600F" w:rsidRDefault="00641506" w:rsidP="00772101">
            <w:pPr>
              <w:spacing w:before="40" w:after="120"/>
              <w:ind w:right="57"/>
              <w:rPr>
                <w:bCs/>
              </w:rPr>
            </w:pPr>
            <w:r w:rsidRPr="00641506">
              <w:rPr>
                <w:b/>
                <w:bCs/>
              </w:rPr>
              <w:t>[E</w:t>
            </w:r>
            <w:r w:rsidR="00FC7213">
              <w:rPr>
                <w:b/>
                <w:bCs/>
              </w:rPr>
              <w:t xml:space="preserve">] </w:t>
            </w:r>
            <w:r w:rsidRPr="00641506">
              <w:rPr>
                <w:bCs/>
              </w:rPr>
              <w:t>Les mesures prises vont à l</w:t>
            </w:r>
            <w:r w:rsidR="00AA2481">
              <w:rPr>
                <w:bCs/>
              </w:rPr>
              <w:t>’</w:t>
            </w:r>
            <w:r w:rsidRPr="00641506">
              <w:rPr>
                <w:bCs/>
              </w:rPr>
              <w:t>encontre des recommandations du Comité:</w:t>
            </w:r>
            <w:r>
              <w:rPr>
                <w:bCs/>
              </w:rPr>
              <w:br/>
            </w:r>
            <w:r w:rsidRPr="00641506">
              <w:rPr>
                <w:bCs/>
              </w:rPr>
              <w:t>la réforme de la justice pénale militaire adoptée le 27</w:t>
            </w:r>
            <w:r w:rsidR="00772101">
              <w:rPr>
                <w:bCs/>
              </w:rPr>
              <w:t>/12/</w:t>
            </w:r>
            <w:r w:rsidRPr="00641506">
              <w:rPr>
                <w:bCs/>
              </w:rPr>
              <w:t>12 remet</w:t>
            </w:r>
            <w:r>
              <w:rPr>
                <w:bCs/>
              </w:rPr>
              <w:br/>
            </w:r>
            <w:r w:rsidRPr="00641506">
              <w:rPr>
                <w:bCs/>
              </w:rPr>
              <w:t xml:space="preserve">en question les progrès réalisés par le </w:t>
            </w:r>
            <w:r w:rsidR="00953D60" w:rsidRPr="00641506">
              <w:rPr>
                <w:bCs/>
              </w:rPr>
              <w:t>G</w:t>
            </w:r>
            <w:r w:rsidRPr="00641506">
              <w:rPr>
                <w:bCs/>
              </w:rPr>
              <w:t>ouvernement pour garantir que les violations des droits de l</w:t>
            </w:r>
            <w:r w:rsidR="00AA2481">
              <w:rPr>
                <w:bCs/>
              </w:rPr>
              <w:t>’</w:t>
            </w:r>
            <w:r w:rsidRPr="00641506">
              <w:rPr>
                <w:bCs/>
              </w:rPr>
              <w:t>homme commises par les forces de l</w:t>
            </w:r>
            <w:r w:rsidR="00AA2481">
              <w:rPr>
                <w:bCs/>
              </w:rPr>
              <w:t>’</w:t>
            </w:r>
            <w:r w:rsidRPr="00641506">
              <w:rPr>
                <w:bCs/>
              </w:rPr>
              <w:t>ordre fassent l</w:t>
            </w:r>
            <w:r w:rsidR="00AA2481">
              <w:rPr>
                <w:bCs/>
              </w:rPr>
              <w:t>’</w:t>
            </w:r>
            <w:r w:rsidRPr="00641506">
              <w:rPr>
                <w:bCs/>
              </w:rPr>
              <w:t>objet d</w:t>
            </w:r>
            <w:r w:rsidR="00AA2481">
              <w:rPr>
                <w:bCs/>
              </w:rPr>
              <w:t>’</w:t>
            </w:r>
            <w:r w:rsidRPr="00641506">
              <w:rPr>
                <w:bCs/>
              </w:rPr>
              <w:t>une enquête conforme aux principes du procès équitable et pour que la responsabilité des auteurs soit établie. Le champ d</w:t>
            </w:r>
            <w:r w:rsidR="00AA2481">
              <w:rPr>
                <w:bCs/>
              </w:rPr>
              <w:t>’</w:t>
            </w:r>
            <w:r w:rsidRPr="00641506">
              <w:rPr>
                <w:bCs/>
              </w:rPr>
              <w:t xml:space="preserve">intervention de la justice pénale militaire doit être strictement limité aux </w:t>
            </w:r>
            <w:r>
              <w:rPr>
                <w:bCs/>
              </w:rPr>
              <w:t xml:space="preserve">comportements </w:t>
            </w:r>
            <w:r w:rsidRPr="00641506">
              <w:rPr>
                <w:bCs/>
              </w:rPr>
              <w:t xml:space="preserve">militaires </w:t>
            </w:r>
            <w:r>
              <w:rPr>
                <w:bCs/>
              </w:rPr>
              <w:t xml:space="preserve">du </w:t>
            </w:r>
            <w:r w:rsidRPr="00641506">
              <w:rPr>
                <w:bCs/>
              </w:rPr>
              <w:t>personnel en service.</w:t>
            </w:r>
          </w:p>
        </w:tc>
      </w:tr>
      <w:tr w:rsidR="00641506" w:rsidRPr="00FE2D64" w:rsidTr="00C735A6">
        <w:tc>
          <w:tcPr>
            <w:tcW w:w="1985" w:type="dxa"/>
            <w:shd w:val="clear" w:color="auto" w:fill="auto"/>
          </w:tcPr>
          <w:p w:rsidR="00641506" w:rsidRDefault="00641506" w:rsidP="00EF1051">
            <w:pPr>
              <w:spacing w:before="40" w:after="120"/>
              <w:ind w:right="57"/>
              <w:rPr>
                <w:lang w:val="fr-FR"/>
              </w:rPr>
            </w:pPr>
          </w:p>
        </w:tc>
        <w:tc>
          <w:tcPr>
            <w:tcW w:w="6521" w:type="dxa"/>
            <w:shd w:val="clear" w:color="auto" w:fill="auto"/>
          </w:tcPr>
          <w:p w:rsidR="00641506" w:rsidRDefault="00682A5C" w:rsidP="00EF1051">
            <w:pPr>
              <w:spacing w:before="40" w:after="120"/>
              <w:ind w:right="57"/>
              <w:rPr>
                <w:bCs/>
              </w:rPr>
            </w:pPr>
            <w:r w:rsidRPr="00682A5C">
              <w:rPr>
                <w:b/>
                <w:bCs/>
              </w:rPr>
              <w:t>[D1</w:t>
            </w:r>
            <w:r w:rsidR="00FC7213">
              <w:rPr>
                <w:b/>
                <w:bCs/>
              </w:rPr>
              <w:t xml:space="preserve">] </w:t>
            </w:r>
            <w:r w:rsidRPr="00682A5C">
              <w:rPr>
                <w:bCs/>
              </w:rPr>
              <w:t>Toujours aucune information n</w:t>
            </w:r>
            <w:r w:rsidR="00AA2481">
              <w:rPr>
                <w:bCs/>
              </w:rPr>
              <w:t>’</w:t>
            </w:r>
            <w:r w:rsidRPr="00682A5C">
              <w:rPr>
                <w:bCs/>
              </w:rPr>
              <w:t>est fournie sur les mesures prises pour garantir la sécurité des témoins et des proches des victimes.</w:t>
            </w:r>
          </w:p>
        </w:tc>
      </w:tr>
      <w:tr w:rsidR="00641506" w:rsidRPr="00FE2D64" w:rsidTr="00C735A6">
        <w:tc>
          <w:tcPr>
            <w:tcW w:w="1985" w:type="dxa"/>
            <w:shd w:val="clear" w:color="auto" w:fill="auto"/>
          </w:tcPr>
          <w:p w:rsidR="00641506" w:rsidRPr="007224E7" w:rsidRDefault="007224E7" w:rsidP="00EF1051">
            <w:pPr>
              <w:spacing w:before="40" w:after="120"/>
              <w:ind w:right="57"/>
              <w:rPr>
                <w:b/>
                <w:lang w:val="fr-FR"/>
              </w:rPr>
            </w:pPr>
            <w:r w:rsidRPr="007224E7">
              <w:rPr>
                <w:b/>
                <w:lang w:val="fr-FR"/>
              </w:rPr>
              <w:t>Paragraphe 16:</w:t>
            </w:r>
          </w:p>
        </w:tc>
        <w:tc>
          <w:tcPr>
            <w:tcW w:w="6521" w:type="dxa"/>
            <w:shd w:val="clear" w:color="auto" w:fill="auto"/>
          </w:tcPr>
          <w:p w:rsidR="00641506" w:rsidRPr="007224E7" w:rsidRDefault="007224E7" w:rsidP="00EF1051">
            <w:pPr>
              <w:spacing w:before="40" w:after="120"/>
              <w:ind w:right="57"/>
              <w:rPr>
                <w:bCs/>
              </w:rPr>
            </w:pPr>
            <w:r w:rsidRPr="007224E7">
              <w:rPr>
                <w:b/>
                <w:bCs/>
              </w:rPr>
              <w:t>L</w:t>
            </w:r>
            <w:r w:rsidR="00AA2481">
              <w:rPr>
                <w:b/>
                <w:bCs/>
              </w:rPr>
              <w:t>’</w:t>
            </w:r>
            <w:r w:rsidRPr="007224E7">
              <w:rPr>
                <w:b/>
                <w:bCs/>
              </w:rPr>
              <w:t>État partie devrait créer des mécanismes solides pour le contrôle</w:t>
            </w:r>
            <w:r>
              <w:rPr>
                <w:b/>
                <w:bCs/>
              </w:rPr>
              <w:br/>
            </w:r>
            <w:r w:rsidRPr="007224E7">
              <w:rPr>
                <w:b/>
                <w:bCs/>
              </w:rPr>
              <w:t>et la surveillance des services du renseignement et mettre en place</w:t>
            </w:r>
            <w:r>
              <w:rPr>
                <w:b/>
                <w:bCs/>
              </w:rPr>
              <w:br/>
            </w:r>
            <w:r w:rsidRPr="007224E7">
              <w:rPr>
                <w:b/>
                <w:bCs/>
              </w:rPr>
              <w:t>un mécanisme national pour le tri des archives du renseignement,</w:t>
            </w:r>
            <w:r>
              <w:rPr>
                <w:b/>
                <w:bCs/>
              </w:rPr>
              <w:br/>
            </w:r>
            <w:r w:rsidRPr="007224E7">
              <w:rPr>
                <w:b/>
                <w:bCs/>
              </w:rPr>
              <w:t>en consultation avec les victimes et les organisations intéressées, et</w:t>
            </w:r>
            <w:r>
              <w:rPr>
                <w:b/>
                <w:bCs/>
              </w:rPr>
              <w:br/>
            </w:r>
            <w:r w:rsidRPr="007224E7">
              <w:rPr>
                <w:b/>
                <w:bCs/>
              </w:rPr>
              <w:t xml:space="preserve">en coordination avec le </w:t>
            </w:r>
            <w:r w:rsidR="00953D60" w:rsidRPr="007224E7">
              <w:rPr>
                <w:b/>
                <w:bCs/>
              </w:rPr>
              <w:t>B</w:t>
            </w:r>
            <w:r w:rsidRPr="007224E7">
              <w:rPr>
                <w:b/>
                <w:bCs/>
              </w:rPr>
              <w:t>ureau du Procureur général de la nation.</w:t>
            </w:r>
            <w:r>
              <w:rPr>
                <w:b/>
                <w:bCs/>
              </w:rPr>
              <w:br/>
            </w:r>
            <w:r w:rsidRPr="007224E7">
              <w:rPr>
                <w:b/>
                <w:bCs/>
              </w:rPr>
              <w:t>L</w:t>
            </w:r>
            <w:r w:rsidR="00AA2481">
              <w:rPr>
                <w:b/>
                <w:bCs/>
              </w:rPr>
              <w:t>’</w:t>
            </w:r>
            <w:r w:rsidRPr="007224E7">
              <w:rPr>
                <w:b/>
                <w:bCs/>
              </w:rPr>
              <w:t>État partie devrait ouvrir des enquêtes, juger et condamner comme</w:t>
            </w:r>
            <w:r>
              <w:rPr>
                <w:b/>
                <w:bCs/>
              </w:rPr>
              <w:br/>
            </w:r>
            <w:r w:rsidRPr="007224E7">
              <w:rPr>
                <w:b/>
                <w:bCs/>
              </w:rPr>
              <w:t>il convient tous les auteurs des infractions signalées.</w:t>
            </w:r>
          </w:p>
        </w:tc>
      </w:tr>
      <w:tr w:rsidR="00641506" w:rsidRPr="00FE2D64" w:rsidTr="00C735A6">
        <w:tc>
          <w:tcPr>
            <w:tcW w:w="1985" w:type="dxa"/>
            <w:shd w:val="clear" w:color="auto" w:fill="auto"/>
          </w:tcPr>
          <w:p w:rsidR="00641506" w:rsidRDefault="00641506" w:rsidP="00EF1051">
            <w:pPr>
              <w:keepNext/>
              <w:spacing w:before="40" w:after="120"/>
              <w:ind w:right="57"/>
              <w:rPr>
                <w:lang w:val="fr-FR"/>
              </w:rPr>
            </w:pPr>
          </w:p>
        </w:tc>
        <w:tc>
          <w:tcPr>
            <w:tcW w:w="6521" w:type="dxa"/>
            <w:shd w:val="clear" w:color="auto" w:fill="auto"/>
          </w:tcPr>
          <w:p w:rsidR="00641506" w:rsidRPr="004B6CB1" w:rsidRDefault="004B6CB1" w:rsidP="00EF1051">
            <w:pPr>
              <w:keepNext/>
              <w:spacing w:before="40" w:after="120"/>
              <w:ind w:right="57"/>
              <w:rPr>
                <w:b/>
                <w:bCs/>
              </w:rPr>
            </w:pPr>
            <w:r w:rsidRPr="00953D60">
              <w:rPr>
                <w:b/>
                <w:bCs/>
              </w:rPr>
              <w:t>Objet du suivi:</w:t>
            </w:r>
          </w:p>
        </w:tc>
      </w:tr>
      <w:tr w:rsidR="007224E7" w:rsidRPr="00FE2D64" w:rsidTr="00C735A6">
        <w:tc>
          <w:tcPr>
            <w:tcW w:w="1985" w:type="dxa"/>
            <w:shd w:val="clear" w:color="auto" w:fill="auto"/>
          </w:tcPr>
          <w:p w:rsidR="007224E7" w:rsidRDefault="007224E7" w:rsidP="00EF1051">
            <w:pPr>
              <w:spacing w:before="40" w:after="120"/>
              <w:ind w:right="57"/>
              <w:rPr>
                <w:lang w:val="fr-FR"/>
              </w:rPr>
            </w:pPr>
          </w:p>
        </w:tc>
        <w:tc>
          <w:tcPr>
            <w:tcW w:w="6521" w:type="dxa"/>
            <w:shd w:val="clear" w:color="auto" w:fill="auto"/>
          </w:tcPr>
          <w:p w:rsidR="007224E7" w:rsidRDefault="008D6E3C" w:rsidP="00EF1051">
            <w:pPr>
              <w:pStyle w:val="Bullet1G"/>
              <w:tabs>
                <w:tab w:val="clear" w:pos="1701"/>
                <w:tab w:val="num" w:pos="284"/>
              </w:tabs>
              <w:ind w:left="284" w:right="57" w:hanging="284"/>
              <w:jc w:val="left"/>
              <w:rPr>
                <w:bCs/>
              </w:rPr>
            </w:pPr>
            <w:r w:rsidRPr="008D6E3C">
              <w:rPr>
                <w:bCs/>
              </w:rPr>
              <w:t xml:space="preserve">Le Comité reste inquiet de la </w:t>
            </w:r>
            <w:r>
              <w:rPr>
                <w:bCs/>
              </w:rPr>
              <w:t xml:space="preserve">persistance </w:t>
            </w:r>
            <w:r w:rsidRPr="008D6E3C">
              <w:rPr>
                <w:bCs/>
              </w:rPr>
              <w:t>de cas de renseignement</w:t>
            </w:r>
            <w:r>
              <w:rPr>
                <w:bCs/>
              </w:rPr>
              <w:t>s</w:t>
            </w:r>
            <w:r w:rsidRPr="008D6E3C">
              <w:rPr>
                <w:bCs/>
              </w:rPr>
              <w:t xml:space="preserve"> </w:t>
            </w:r>
            <w:r>
              <w:rPr>
                <w:bCs/>
              </w:rPr>
              <w:t xml:space="preserve">illicites </w:t>
            </w:r>
            <w:r w:rsidRPr="008D6E3C">
              <w:rPr>
                <w:bCs/>
              </w:rPr>
              <w:t xml:space="preserve">portés à sa connaissance. </w:t>
            </w:r>
          </w:p>
        </w:tc>
      </w:tr>
      <w:tr w:rsidR="007224E7" w:rsidRPr="00FE2D64" w:rsidTr="00C735A6">
        <w:tc>
          <w:tcPr>
            <w:tcW w:w="1985" w:type="dxa"/>
            <w:shd w:val="clear" w:color="auto" w:fill="auto"/>
          </w:tcPr>
          <w:p w:rsidR="007224E7" w:rsidRDefault="007224E7" w:rsidP="00EF1051">
            <w:pPr>
              <w:spacing w:before="40" w:after="120"/>
              <w:ind w:right="57"/>
              <w:rPr>
                <w:lang w:val="fr-FR"/>
              </w:rPr>
            </w:pPr>
          </w:p>
        </w:tc>
        <w:tc>
          <w:tcPr>
            <w:tcW w:w="6521" w:type="dxa"/>
            <w:shd w:val="clear" w:color="auto" w:fill="auto"/>
          </w:tcPr>
          <w:p w:rsidR="007224E7" w:rsidRDefault="000B6D27" w:rsidP="00EF1051">
            <w:pPr>
              <w:pStyle w:val="Bullet1G"/>
              <w:tabs>
                <w:tab w:val="clear" w:pos="1701"/>
                <w:tab w:val="num" w:pos="284"/>
              </w:tabs>
              <w:ind w:left="284" w:right="57" w:hanging="284"/>
              <w:jc w:val="left"/>
              <w:rPr>
                <w:bCs/>
              </w:rPr>
            </w:pPr>
            <w:r w:rsidRPr="000B6D27">
              <w:rPr>
                <w:bCs/>
              </w:rPr>
              <w:t>Informatio</w:t>
            </w:r>
            <w:r w:rsidR="00937540">
              <w:rPr>
                <w:bCs/>
              </w:rPr>
              <w:t xml:space="preserve">ns supplémentaires requises sur </w:t>
            </w:r>
            <w:r w:rsidRPr="000B6D27">
              <w:rPr>
                <w:bCs/>
              </w:rPr>
              <w:t>les mesures prises pour réguler</w:t>
            </w:r>
            <w:r>
              <w:rPr>
                <w:bCs/>
              </w:rPr>
              <w:br/>
            </w:r>
            <w:r w:rsidRPr="000B6D27">
              <w:rPr>
                <w:bCs/>
              </w:rPr>
              <w:t>les services de renseignement</w:t>
            </w:r>
            <w:r w:rsidR="00953D60">
              <w:rPr>
                <w:bCs/>
              </w:rPr>
              <w:t>s</w:t>
            </w:r>
            <w:r w:rsidRPr="000B6D27">
              <w:rPr>
                <w:bCs/>
              </w:rPr>
              <w:t xml:space="preserve"> militaire</w:t>
            </w:r>
            <w:r w:rsidR="00953D60">
              <w:rPr>
                <w:bCs/>
              </w:rPr>
              <w:t>s</w:t>
            </w:r>
            <w:r w:rsidRPr="000B6D27">
              <w:rPr>
                <w:bCs/>
              </w:rPr>
              <w:t>, et sur la mise en œuvre du projet de tri des archives d</w:t>
            </w:r>
            <w:r w:rsidR="007276BD">
              <w:rPr>
                <w:bCs/>
              </w:rPr>
              <w:t>u</w:t>
            </w:r>
            <w:r w:rsidRPr="000B6D27">
              <w:rPr>
                <w:bCs/>
              </w:rPr>
              <w:t xml:space="preserve"> renseignement.</w:t>
            </w:r>
          </w:p>
        </w:tc>
      </w:tr>
      <w:tr w:rsidR="004B6CB1" w:rsidRPr="00FE2D64" w:rsidTr="00C735A6">
        <w:tc>
          <w:tcPr>
            <w:tcW w:w="1985" w:type="dxa"/>
            <w:shd w:val="clear" w:color="auto" w:fill="auto"/>
          </w:tcPr>
          <w:p w:rsidR="004B6CB1" w:rsidRDefault="006B1739" w:rsidP="00EF1051">
            <w:pPr>
              <w:spacing w:before="40" w:after="120"/>
              <w:ind w:right="57"/>
              <w:rPr>
                <w:lang w:val="fr-FR"/>
              </w:rPr>
            </w:pPr>
            <w:r>
              <w:rPr>
                <w:lang w:val="fr-FR"/>
              </w:rPr>
              <w:t>Résumé réponse l</w:t>
            </w:r>
            <w:r w:rsidR="00AA2481">
              <w:rPr>
                <w:lang w:val="fr-FR"/>
              </w:rPr>
              <w:t>’</w:t>
            </w:r>
            <w:r>
              <w:rPr>
                <w:lang w:val="fr-FR"/>
              </w:rPr>
              <w:t>État partie:</w:t>
            </w:r>
          </w:p>
        </w:tc>
        <w:tc>
          <w:tcPr>
            <w:tcW w:w="6521" w:type="dxa"/>
            <w:shd w:val="clear" w:color="auto" w:fill="auto"/>
          </w:tcPr>
          <w:p w:rsidR="004B6CB1" w:rsidRDefault="006B1739" w:rsidP="00EF1051">
            <w:pPr>
              <w:pStyle w:val="Bullet1G"/>
              <w:tabs>
                <w:tab w:val="clear" w:pos="1701"/>
                <w:tab w:val="num" w:pos="284"/>
              </w:tabs>
              <w:ind w:left="284" w:right="57" w:hanging="284"/>
              <w:jc w:val="left"/>
              <w:rPr>
                <w:bCs/>
              </w:rPr>
            </w:pPr>
            <w:r w:rsidRPr="006B1739">
              <w:rPr>
                <w:bCs/>
              </w:rPr>
              <w:t xml:space="preserve">Les enquêtes ouvertes contre des fonctionnaires du DAS sur les écoutes et </w:t>
            </w:r>
            <w:r>
              <w:rPr>
                <w:bCs/>
              </w:rPr>
              <w:t>filatures illéga</w:t>
            </w:r>
            <w:r w:rsidR="00953D60">
              <w:rPr>
                <w:bCs/>
              </w:rPr>
              <w:t>les</w:t>
            </w:r>
            <w:r>
              <w:rPr>
                <w:bCs/>
              </w:rPr>
              <w:t xml:space="preserve"> </w:t>
            </w:r>
            <w:r w:rsidRPr="006B1739">
              <w:rPr>
                <w:bCs/>
              </w:rPr>
              <w:t>ont progressé. Des fonctionnaires ont déjà été sanctionnés.</w:t>
            </w:r>
          </w:p>
        </w:tc>
      </w:tr>
      <w:tr w:rsidR="004B6CB1" w:rsidRPr="00FE2D64" w:rsidTr="00C735A6">
        <w:tc>
          <w:tcPr>
            <w:tcW w:w="1985" w:type="dxa"/>
            <w:shd w:val="clear" w:color="auto" w:fill="auto"/>
          </w:tcPr>
          <w:p w:rsidR="004B6CB1" w:rsidRDefault="004B6CB1" w:rsidP="00EF1051">
            <w:pPr>
              <w:spacing w:before="40" w:after="120"/>
              <w:ind w:right="57"/>
              <w:rPr>
                <w:lang w:val="fr-FR"/>
              </w:rPr>
            </w:pPr>
          </w:p>
        </w:tc>
        <w:tc>
          <w:tcPr>
            <w:tcW w:w="6521" w:type="dxa"/>
            <w:shd w:val="clear" w:color="auto" w:fill="auto"/>
          </w:tcPr>
          <w:p w:rsidR="004B6CB1" w:rsidRDefault="006B1739" w:rsidP="00EF1051">
            <w:pPr>
              <w:pStyle w:val="Bullet1G"/>
              <w:tabs>
                <w:tab w:val="clear" w:pos="1701"/>
                <w:tab w:val="num" w:pos="284"/>
              </w:tabs>
              <w:ind w:left="284" w:right="57" w:hanging="284"/>
              <w:jc w:val="left"/>
              <w:rPr>
                <w:bCs/>
              </w:rPr>
            </w:pPr>
            <w:r w:rsidRPr="006B1739">
              <w:rPr>
                <w:bCs/>
              </w:rPr>
              <w:t>Le Procu</w:t>
            </w:r>
            <w:r w:rsidRPr="00953D60">
              <w:rPr>
                <w:bCs/>
                <w:spacing w:val="-2"/>
              </w:rPr>
              <w:t xml:space="preserve">reur de la </w:t>
            </w:r>
            <w:r w:rsidR="00953D60" w:rsidRPr="00953D60">
              <w:rPr>
                <w:bCs/>
                <w:spacing w:val="-2"/>
              </w:rPr>
              <w:t>n</w:t>
            </w:r>
            <w:r w:rsidRPr="00953D60">
              <w:rPr>
                <w:bCs/>
                <w:spacing w:val="-2"/>
              </w:rPr>
              <w:t>ation est chargé du projet de tri des archives</w:t>
            </w:r>
            <w:r w:rsidR="00B8306F">
              <w:rPr>
                <w:bCs/>
                <w:spacing w:val="-2"/>
              </w:rPr>
              <w:t xml:space="preserve"> </w:t>
            </w:r>
            <w:r w:rsidRPr="00953D60">
              <w:rPr>
                <w:bCs/>
                <w:spacing w:val="-2"/>
              </w:rPr>
              <w:t xml:space="preserve">de renseignement. Leur </w:t>
            </w:r>
            <w:r w:rsidR="00C91D71" w:rsidRPr="00953D60">
              <w:rPr>
                <w:bCs/>
                <w:spacing w:val="-2"/>
              </w:rPr>
              <w:t xml:space="preserve">scellement </w:t>
            </w:r>
            <w:r w:rsidRPr="00953D60">
              <w:rPr>
                <w:bCs/>
                <w:spacing w:val="-2"/>
              </w:rPr>
              <w:t>a été réalisé par des spécialistes.</w:t>
            </w:r>
            <w:r w:rsidR="00B8306F">
              <w:rPr>
                <w:bCs/>
                <w:spacing w:val="-2"/>
              </w:rPr>
              <w:t xml:space="preserve"> </w:t>
            </w:r>
            <w:r w:rsidRPr="00953D60">
              <w:rPr>
                <w:bCs/>
                <w:spacing w:val="-2"/>
              </w:rPr>
              <w:t xml:space="preserve">Leur transfert et </w:t>
            </w:r>
            <w:r w:rsidR="00C91D71" w:rsidRPr="00953D60">
              <w:rPr>
                <w:bCs/>
                <w:spacing w:val="-2"/>
              </w:rPr>
              <w:t xml:space="preserve">stockage </w:t>
            </w:r>
            <w:r w:rsidRPr="00953D60">
              <w:rPr>
                <w:bCs/>
                <w:spacing w:val="-2"/>
              </w:rPr>
              <w:t xml:space="preserve">sont en cours. Les archives seront ensuite classées, organisées et épurées. La procédure suit les recommandations des </w:t>
            </w:r>
            <w:r w:rsidR="00953D60" w:rsidRPr="00953D60">
              <w:rPr>
                <w:bCs/>
                <w:spacing w:val="-2"/>
              </w:rPr>
              <w:t>R</w:t>
            </w:r>
            <w:r w:rsidRPr="00953D60">
              <w:rPr>
                <w:bCs/>
                <w:spacing w:val="-2"/>
              </w:rPr>
              <w:t>apporteurs spéciaux pour la liberté d</w:t>
            </w:r>
            <w:r w:rsidR="00AA2481">
              <w:rPr>
                <w:bCs/>
                <w:spacing w:val="-2"/>
              </w:rPr>
              <w:t>’</w:t>
            </w:r>
            <w:r w:rsidRPr="00953D60">
              <w:rPr>
                <w:bCs/>
                <w:spacing w:val="-2"/>
              </w:rPr>
              <w:t>expression de l</w:t>
            </w:r>
            <w:r w:rsidR="00AA2481">
              <w:rPr>
                <w:bCs/>
                <w:spacing w:val="-2"/>
              </w:rPr>
              <w:t>’</w:t>
            </w:r>
            <w:r w:rsidRPr="00953D60">
              <w:rPr>
                <w:bCs/>
                <w:spacing w:val="-2"/>
              </w:rPr>
              <w:t>ONU, l</w:t>
            </w:r>
            <w:r w:rsidR="00AA2481">
              <w:rPr>
                <w:bCs/>
                <w:spacing w:val="-2"/>
              </w:rPr>
              <w:t>’</w:t>
            </w:r>
            <w:r w:rsidRPr="00953D60">
              <w:rPr>
                <w:bCs/>
                <w:spacing w:val="-2"/>
              </w:rPr>
              <w:t>OEA et l</w:t>
            </w:r>
            <w:r w:rsidR="00AA2481">
              <w:rPr>
                <w:bCs/>
                <w:spacing w:val="-2"/>
              </w:rPr>
              <w:t>’</w:t>
            </w:r>
            <w:r w:rsidRPr="00953D60">
              <w:rPr>
                <w:bCs/>
                <w:spacing w:val="-2"/>
              </w:rPr>
              <w:t>OCDE.</w:t>
            </w:r>
          </w:p>
        </w:tc>
      </w:tr>
      <w:tr w:rsidR="006B1739" w:rsidRPr="00FE2D64" w:rsidTr="00C735A6">
        <w:tc>
          <w:tcPr>
            <w:tcW w:w="1985" w:type="dxa"/>
            <w:shd w:val="clear" w:color="auto" w:fill="auto"/>
          </w:tcPr>
          <w:p w:rsidR="006B1739" w:rsidRDefault="00565E82" w:rsidP="00EF1051">
            <w:pPr>
              <w:spacing w:before="40" w:after="120"/>
              <w:ind w:right="57"/>
              <w:rPr>
                <w:lang w:val="fr-FR"/>
              </w:rPr>
            </w:pPr>
            <w:r>
              <w:rPr>
                <w:lang w:val="fr-FR"/>
              </w:rPr>
              <w:t>Évaluation Comité:</w:t>
            </w:r>
          </w:p>
        </w:tc>
        <w:tc>
          <w:tcPr>
            <w:tcW w:w="6521" w:type="dxa"/>
            <w:shd w:val="clear" w:color="auto" w:fill="auto"/>
          </w:tcPr>
          <w:p w:rsidR="006B1739" w:rsidRDefault="00565E82" w:rsidP="00B85816">
            <w:pPr>
              <w:spacing w:before="40" w:after="120"/>
              <w:ind w:right="57"/>
              <w:rPr>
                <w:bCs/>
              </w:rPr>
            </w:pPr>
            <w:r w:rsidRPr="00565E82">
              <w:rPr>
                <w:b/>
                <w:bCs/>
              </w:rPr>
              <w:t>[B2</w:t>
            </w:r>
            <w:r w:rsidR="00FC7213">
              <w:rPr>
                <w:b/>
                <w:bCs/>
              </w:rPr>
              <w:t xml:space="preserve">] </w:t>
            </w:r>
            <w:r w:rsidRPr="00565E82">
              <w:rPr>
                <w:bCs/>
              </w:rPr>
              <w:t>Des actions restent nécessaires sur: i)</w:t>
            </w:r>
            <w:r>
              <w:rPr>
                <w:bCs/>
              </w:rPr>
              <w:t> </w:t>
            </w:r>
            <w:r w:rsidRPr="00565E82">
              <w:rPr>
                <w:bCs/>
              </w:rPr>
              <w:t>les progrès du processus</w:t>
            </w:r>
            <w:r w:rsidR="00373921">
              <w:rPr>
                <w:bCs/>
              </w:rPr>
              <w:t xml:space="preserve"> </w:t>
            </w:r>
            <w:r w:rsidRPr="00565E82">
              <w:rPr>
                <w:bCs/>
              </w:rPr>
              <w:t>d</w:t>
            </w:r>
            <w:r w:rsidR="00953D60">
              <w:rPr>
                <w:bCs/>
              </w:rPr>
              <w:t>e stockage</w:t>
            </w:r>
            <w:r w:rsidRPr="00565E82">
              <w:rPr>
                <w:bCs/>
              </w:rPr>
              <w:t xml:space="preserve"> et de tri des archives; ii)</w:t>
            </w:r>
            <w:r>
              <w:rPr>
                <w:bCs/>
              </w:rPr>
              <w:t> </w:t>
            </w:r>
            <w:r w:rsidRPr="00565E82">
              <w:rPr>
                <w:bCs/>
              </w:rPr>
              <w:t>les progrès réalisés dans l</w:t>
            </w:r>
            <w:r w:rsidR="00AA2481">
              <w:rPr>
                <w:bCs/>
              </w:rPr>
              <w:t>’</w:t>
            </w:r>
            <w:r w:rsidRPr="00565E82">
              <w:rPr>
                <w:bCs/>
              </w:rPr>
              <w:t>ensemble</w:t>
            </w:r>
            <w:r w:rsidR="00373921">
              <w:rPr>
                <w:bCs/>
              </w:rPr>
              <w:t xml:space="preserve"> </w:t>
            </w:r>
            <w:r w:rsidRPr="00565E82">
              <w:rPr>
                <w:bCs/>
              </w:rPr>
              <w:t xml:space="preserve">des enquêtes </w:t>
            </w:r>
            <w:r w:rsidR="00953D60">
              <w:rPr>
                <w:bCs/>
              </w:rPr>
              <w:t>ouvertes</w:t>
            </w:r>
            <w:r w:rsidRPr="00565E82">
              <w:rPr>
                <w:bCs/>
              </w:rPr>
              <w:t xml:space="preserve"> contre les ex-fonctionnaires du DAS</w:t>
            </w:r>
            <w:r w:rsidR="00B85816">
              <w:rPr>
                <w:bCs/>
              </w:rPr>
              <w:t xml:space="preserve"> </w:t>
            </w:r>
            <w:r w:rsidRPr="00565E82">
              <w:rPr>
                <w:bCs/>
              </w:rPr>
              <w:t>(à fournir dans le prochain rapport périodique).</w:t>
            </w:r>
          </w:p>
        </w:tc>
      </w:tr>
      <w:tr w:rsidR="006B1739" w:rsidRPr="00FE2D64" w:rsidTr="00C735A6">
        <w:tc>
          <w:tcPr>
            <w:tcW w:w="1985" w:type="dxa"/>
            <w:shd w:val="clear" w:color="auto" w:fill="auto"/>
          </w:tcPr>
          <w:p w:rsidR="006B1739" w:rsidRDefault="000467AA" w:rsidP="00EF1051">
            <w:pPr>
              <w:spacing w:before="40" w:after="120"/>
              <w:ind w:right="57"/>
              <w:rPr>
                <w:lang w:val="fr-FR"/>
              </w:rPr>
            </w:pPr>
            <w:r>
              <w:rPr>
                <w:lang w:val="fr-FR"/>
              </w:rPr>
              <w:t>Mesure recommandée:</w:t>
            </w:r>
          </w:p>
        </w:tc>
        <w:tc>
          <w:tcPr>
            <w:tcW w:w="6521" w:type="dxa"/>
            <w:shd w:val="clear" w:color="auto" w:fill="auto"/>
          </w:tcPr>
          <w:p w:rsidR="006B1739" w:rsidRDefault="000467AA" w:rsidP="001616E0">
            <w:pPr>
              <w:spacing w:before="40" w:after="120"/>
              <w:ind w:right="57"/>
              <w:rPr>
                <w:bCs/>
              </w:rPr>
            </w:pPr>
            <w:r w:rsidRPr="000467AA">
              <w:rPr>
                <w:bCs/>
              </w:rPr>
              <w:t xml:space="preserve">Lettre </w:t>
            </w:r>
            <w:r w:rsidR="00C735A6">
              <w:rPr>
                <w:bCs/>
              </w:rPr>
              <w:t xml:space="preserve">présentant </w:t>
            </w:r>
            <w:r w:rsidRPr="000467AA">
              <w:rPr>
                <w:bCs/>
              </w:rPr>
              <w:t>l</w:t>
            </w:r>
            <w:r w:rsidR="00AA2481">
              <w:rPr>
                <w:bCs/>
              </w:rPr>
              <w:t>’</w:t>
            </w:r>
            <w:r w:rsidRPr="000467AA">
              <w:rPr>
                <w:bCs/>
              </w:rPr>
              <w:t>analyse du Comité</w:t>
            </w:r>
            <w:r w:rsidR="001616E0">
              <w:rPr>
                <w:bCs/>
              </w:rPr>
              <w:t>, requérant que les informations sollicitées soient incluses dans le prochain rapport périodique.</w:t>
            </w:r>
          </w:p>
        </w:tc>
      </w:tr>
      <w:tr w:rsidR="00565E82" w:rsidRPr="00FE2D64" w:rsidTr="00C735A6">
        <w:tc>
          <w:tcPr>
            <w:tcW w:w="1985" w:type="dxa"/>
            <w:tcBorders>
              <w:bottom w:val="single" w:sz="12" w:space="0" w:color="auto"/>
            </w:tcBorders>
            <w:shd w:val="clear" w:color="auto" w:fill="auto"/>
          </w:tcPr>
          <w:p w:rsidR="00565E82" w:rsidRDefault="00302BEC" w:rsidP="00EF1051">
            <w:pPr>
              <w:spacing w:before="40" w:after="120"/>
              <w:ind w:right="57"/>
              <w:rPr>
                <w:lang w:val="fr-FR"/>
              </w:rPr>
            </w:pPr>
            <w:r>
              <w:rPr>
                <w:lang w:val="fr-FR"/>
              </w:rPr>
              <w:t>Prochain rapport périodique:</w:t>
            </w:r>
          </w:p>
        </w:tc>
        <w:tc>
          <w:tcPr>
            <w:tcW w:w="6521" w:type="dxa"/>
            <w:tcBorders>
              <w:bottom w:val="single" w:sz="12" w:space="0" w:color="auto"/>
            </w:tcBorders>
            <w:shd w:val="clear" w:color="auto" w:fill="auto"/>
          </w:tcPr>
          <w:p w:rsidR="00565E82" w:rsidRDefault="00302BEC" w:rsidP="00EF1051">
            <w:pPr>
              <w:spacing w:before="40" w:after="120"/>
              <w:ind w:right="57"/>
              <w:rPr>
                <w:bCs/>
              </w:rPr>
            </w:pPr>
            <w:r w:rsidRPr="00302BEC">
              <w:rPr>
                <w:bCs/>
                <w:lang w:val="fr-FR"/>
              </w:rPr>
              <w:t>1</w:t>
            </w:r>
            <w:r w:rsidR="00772101">
              <w:rPr>
                <w:bCs/>
                <w:lang w:val="fr-FR"/>
              </w:rPr>
              <w:t>/4/</w:t>
            </w:r>
            <w:r w:rsidRPr="00302BEC">
              <w:rPr>
                <w:bCs/>
                <w:lang w:val="fr-FR"/>
              </w:rPr>
              <w:t>14</w:t>
            </w:r>
          </w:p>
        </w:tc>
      </w:tr>
    </w:tbl>
    <w:p w:rsidR="00C735A6" w:rsidRDefault="00C735A6" w:rsidP="00C735A6">
      <w:pPr>
        <w:pStyle w:val="H1G"/>
      </w:pPr>
      <w:r>
        <w:tab/>
      </w:r>
      <w:r>
        <w:tab/>
        <w:t xml:space="preserve">Quatre-vingt dix-neuvième </w:t>
      </w:r>
      <w:r w:rsidRPr="00A2381D">
        <w:t>session (</w:t>
      </w:r>
      <w:r>
        <w:t>juillet 2010</w:t>
      </w:r>
      <w:r w:rsidRPr="00A2381D">
        <w:t>)</w:t>
      </w:r>
    </w:p>
    <w:tbl>
      <w:tblPr>
        <w:tblW w:w="8506" w:type="dxa"/>
        <w:tblInd w:w="1134" w:type="dxa"/>
        <w:tblLayout w:type="fixed"/>
        <w:tblCellMar>
          <w:left w:w="0" w:type="dxa"/>
          <w:right w:w="0" w:type="dxa"/>
        </w:tblCellMar>
        <w:tblLook w:val="00A0"/>
      </w:tblPr>
      <w:tblGrid>
        <w:gridCol w:w="2000"/>
        <w:gridCol w:w="6506"/>
      </w:tblGrid>
      <w:tr w:rsidR="00C735A6" w:rsidRPr="00FE2D64" w:rsidTr="001C7EC5">
        <w:trPr>
          <w:tblHeader/>
        </w:trPr>
        <w:tc>
          <w:tcPr>
            <w:tcW w:w="2000" w:type="dxa"/>
            <w:tcBorders>
              <w:top w:val="single" w:sz="4" w:space="0" w:color="auto"/>
              <w:bottom w:val="single" w:sz="12" w:space="0" w:color="auto"/>
            </w:tcBorders>
            <w:shd w:val="clear" w:color="auto" w:fill="auto"/>
            <w:vAlign w:val="bottom"/>
          </w:tcPr>
          <w:p w:rsidR="00C735A6" w:rsidRPr="00FE2D64" w:rsidRDefault="00C735A6" w:rsidP="00EF1051">
            <w:pPr>
              <w:keepNext/>
              <w:spacing w:before="80" w:after="80" w:line="200" w:lineRule="exact"/>
              <w:ind w:right="57"/>
              <w:rPr>
                <w:i/>
                <w:sz w:val="16"/>
              </w:rPr>
            </w:pPr>
            <w:r>
              <w:rPr>
                <w:i/>
                <w:sz w:val="16"/>
              </w:rPr>
              <w:t>Mexique</w:t>
            </w:r>
          </w:p>
        </w:tc>
        <w:tc>
          <w:tcPr>
            <w:tcW w:w="6506" w:type="dxa"/>
            <w:tcBorders>
              <w:top w:val="single" w:sz="4" w:space="0" w:color="auto"/>
              <w:bottom w:val="single" w:sz="12" w:space="0" w:color="auto"/>
            </w:tcBorders>
            <w:shd w:val="clear" w:color="auto" w:fill="auto"/>
            <w:vAlign w:val="bottom"/>
          </w:tcPr>
          <w:p w:rsidR="00C735A6" w:rsidRPr="00FE2D64" w:rsidRDefault="00C735A6" w:rsidP="00EF1051">
            <w:pPr>
              <w:keepNext/>
              <w:spacing w:before="80" w:after="80" w:line="200" w:lineRule="exact"/>
              <w:ind w:right="57"/>
              <w:rPr>
                <w:i/>
                <w:sz w:val="16"/>
              </w:rPr>
            </w:pPr>
          </w:p>
        </w:tc>
      </w:tr>
      <w:tr w:rsidR="00C735A6" w:rsidRPr="00FE2D64" w:rsidTr="001C7EC5">
        <w:trPr>
          <w:trHeight w:hRule="exact" w:val="113"/>
          <w:tblHeader/>
        </w:trPr>
        <w:tc>
          <w:tcPr>
            <w:tcW w:w="2000" w:type="dxa"/>
            <w:tcBorders>
              <w:top w:val="single" w:sz="12" w:space="0" w:color="auto"/>
            </w:tcBorders>
            <w:shd w:val="clear" w:color="auto" w:fill="auto"/>
          </w:tcPr>
          <w:p w:rsidR="00C735A6" w:rsidRPr="00FE2D64" w:rsidRDefault="00C735A6" w:rsidP="00EF1051">
            <w:pPr>
              <w:keepNext/>
              <w:spacing w:before="40" w:after="120"/>
              <w:ind w:right="57"/>
            </w:pPr>
          </w:p>
        </w:tc>
        <w:tc>
          <w:tcPr>
            <w:tcW w:w="6506" w:type="dxa"/>
            <w:tcBorders>
              <w:top w:val="single" w:sz="12" w:space="0" w:color="auto"/>
            </w:tcBorders>
            <w:shd w:val="clear" w:color="auto" w:fill="auto"/>
          </w:tcPr>
          <w:p w:rsidR="00C735A6" w:rsidRPr="00FE2D64" w:rsidRDefault="00C735A6" w:rsidP="00EF1051">
            <w:pPr>
              <w:keepNext/>
              <w:spacing w:before="40" w:after="120"/>
              <w:ind w:right="57"/>
            </w:pPr>
          </w:p>
        </w:tc>
      </w:tr>
      <w:tr w:rsidR="00C735A6" w:rsidRPr="00FE2D64" w:rsidTr="001C7EC5">
        <w:tc>
          <w:tcPr>
            <w:tcW w:w="2000" w:type="dxa"/>
            <w:shd w:val="clear" w:color="auto" w:fill="auto"/>
          </w:tcPr>
          <w:p w:rsidR="00C735A6" w:rsidRPr="00FE2D64" w:rsidRDefault="00C735A6" w:rsidP="00EF1051">
            <w:pPr>
              <w:keepNext/>
              <w:spacing w:before="40" w:after="120"/>
              <w:ind w:right="57"/>
            </w:pPr>
            <w:r w:rsidRPr="00FE2D64">
              <w:t>Observations finales</w:t>
            </w:r>
          </w:p>
        </w:tc>
        <w:tc>
          <w:tcPr>
            <w:tcW w:w="6506" w:type="dxa"/>
            <w:shd w:val="clear" w:color="auto" w:fill="auto"/>
          </w:tcPr>
          <w:p w:rsidR="00C735A6" w:rsidRPr="00B009EA" w:rsidRDefault="00C735A6" w:rsidP="00EF1051">
            <w:pPr>
              <w:keepNext/>
              <w:spacing w:before="40" w:after="120"/>
              <w:ind w:right="57"/>
            </w:pPr>
            <w:r w:rsidRPr="00C7498A">
              <w:t>CCPR/C/MEX/CO/5</w:t>
            </w:r>
            <w:r w:rsidRPr="00C735A6">
              <w:t xml:space="preserve">, </w:t>
            </w:r>
            <w:r>
              <w:t xml:space="preserve">adoptées le </w:t>
            </w:r>
            <w:r w:rsidRPr="00C735A6">
              <w:t>23</w:t>
            </w:r>
            <w:r w:rsidR="00772101">
              <w:t>/3/</w:t>
            </w:r>
            <w:r w:rsidRPr="00C735A6">
              <w:t>10</w:t>
            </w:r>
          </w:p>
        </w:tc>
      </w:tr>
      <w:tr w:rsidR="00C735A6" w:rsidRPr="00FE2D64" w:rsidTr="001C7EC5">
        <w:tc>
          <w:tcPr>
            <w:tcW w:w="2000" w:type="dxa"/>
            <w:shd w:val="clear" w:color="auto" w:fill="auto"/>
          </w:tcPr>
          <w:p w:rsidR="00C735A6" w:rsidRPr="00FE2D64" w:rsidRDefault="00C735A6" w:rsidP="00EF1051">
            <w:pPr>
              <w:spacing w:before="40" w:after="120"/>
              <w:ind w:right="57"/>
              <w:rPr>
                <w:lang w:val="fr-FR"/>
              </w:rPr>
            </w:pPr>
            <w:r w:rsidRPr="00FE2D64">
              <w:rPr>
                <w:lang w:val="fr-FR"/>
              </w:rPr>
              <w:t>Paragraphes faisant l</w:t>
            </w:r>
            <w:r w:rsidR="00AA2481">
              <w:rPr>
                <w:lang w:val="fr-FR"/>
              </w:rPr>
              <w:t>’</w:t>
            </w:r>
            <w:r w:rsidRPr="00FE2D64">
              <w:rPr>
                <w:lang w:val="fr-FR"/>
              </w:rPr>
              <w:t>objet d</w:t>
            </w:r>
            <w:r w:rsidR="00AA2481">
              <w:rPr>
                <w:lang w:val="fr-FR"/>
              </w:rPr>
              <w:t>’</w:t>
            </w:r>
            <w:r w:rsidRPr="00FE2D64">
              <w:rPr>
                <w:lang w:val="fr-FR"/>
              </w:rPr>
              <w:t xml:space="preserve">un suivi: </w:t>
            </w:r>
          </w:p>
        </w:tc>
        <w:tc>
          <w:tcPr>
            <w:tcW w:w="6506" w:type="dxa"/>
            <w:shd w:val="clear" w:color="auto" w:fill="auto"/>
          </w:tcPr>
          <w:p w:rsidR="00C735A6" w:rsidRPr="00FE2D64" w:rsidRDefault="00C735A6" w:rsidP="00EF1051">
            <w:pPr>
              <w:spacing w:before="40" w:after="120"/>
              <w:ind w:right="57"/>
              <w:rPr>
                <w:bCs/>
              </w:rPr>
            </w:pPr>
            <w:r>
              <w:rPr>
                <w:bCs/>
              </w:rPr>
              <w:t>8, 9, 15, 20</w:t>
            </w:r>
          </w:p>
        </w:tc>
      </w:tr>
      <w:tr w:rsidR="00C735A6" w:rsidRPr="00FE2D64" w:rsidTr="001C7EC5">
        <w:tc>
          <w:tcPr>
            <w:tcW w:w="2000" w:type="dxa"/>
            <w:shd w:val="clear" w:color="auto" w:fill="auto"/>
          </w:tcPr>
          <w:p w:rsidR="00C735A6" w:rsidRPr="00FE2D64" w:rsidRDefault="00C735A6" w:rsidP="00EF1051">
            <w:pPr>
              <w:spacing w:before="40" w:after="120"/>
              <w:ind w:right="57"/>
              <w:rPr>
                <w:lang w:val="fr-FR"/>
              </w:rPr>
            </w:pPr>
            <w:r w:rsidRPr="00953D60">
              <w:rPr>
                <w:lang w:val="fr-FR"/>
              </w:rPr>
              <w:t>Première réponse</w:t>
            </w:r>
            <w:r w:rsidR="00953D60">
              <w:rPr>
                <w:lang w:val="fr-FR"/>
              </w:rPr>
              <w:br/>
            </w:r>
            <w:r w:rsidRPr="00953D60">
              <w:rPr>
                <w:lang w:val="fr-FR"/>
              </w:rPr>
              <w:t>de l</w:t>
            </w:r>
            <w:r w:rsidR="00AA2481">
              <w:rPr>
                <w:lang w:val="fr-FR"/>
              </w:rPr>
              <w:t>’</w:t>
            </w:r>
            <w:r w:rsidRPr="00953D60">
              <w:rPr>
                <w:lang w:val="fr-FR"/>
              </w:rPr>
              <w:t>État partie:</w:t>
            </w:r>
          </w:p>
        </w:tc>
        <w:tc>
          <w:tcPr>
            <w:tcW w:w="6506" w:type="dxa"/>
            <w:shd w:val="clear" w:color="auto" w:fill="auto"/>
          </w:tcPr>
          <w:p w:rsidR="00C735A6" w:rsidRDefault="00194AEB" w:rsidP="00EF1051">
            <w:pPr>
              <w:spacing w:before="40" w:after="120"/>
              <w:ind w:right="57"/>
              <w:rPr>
                <w:bCs/>
              </w:rPr>
            </w:pPr>
            <w:r>
              <w:rPr>
                <w:bCs/>
              </w:rPr>
              <w:t>Attendue le 23</w:t>
            </w:r>
            <w:r w:rsidR="00772101">
              <w:rPr>
                <w:bCs/>
              </w:rPr>
              <w:t>/3/</w:t>
            </w:r>
            <w:r w:rsidR="00C735A6" w:rsidRPr="00C735A6">
              <w:rPr>
                <w:bCs/>
              </w:rPr>
              <w:t xml:space="preserve">11 </w:t>
            </w:r>
            <w:r>
              <w:rPr>
                <w:bCs/>
              </w:rPr>
              <w:t>−</w:t>
            </w:r>
            <w:r w:rsidR="00C735A6" w:rsidRPr="00C735A6">
              <w:rPr>
                <w:bCs/>
              </w:rPr>
              <w:t xml:space="preserve"> Reçue le 21</w:t>
            </w:r>
            <w:r w:rsidR="00772101">
              <w:rPr>
                <w:bCs/>
              </w:rPr>
              <w:t>/3/</w:t>
            </w:r>
            <w:r w:rsidR="00C735A6" w:rsidRPr="00C735A6">
              <w:rPr>
                <w:bCs/>
              </w:rPr>
              <w:t>11</w:t>
            </w:r>
          </w:p>
        </w:tc>
      </w:tr>
      <w:tr w:rsidR="00A37327" w:rsidRPr="00FE2D64" w:rsidTr="001C7EC5">
        <w:tc>
          <w:tcPr>
            <w:tcW w:w="2000" w:type="dxa"/>
            <w:shd w:val="clear" w:color="auto" w:fill="auto"/>
          </w:tcPr>
          <w:p w:rsidR="00A37327" w:rsidRPr="00C735A6" w:rsidRDefault="00A37327" w:rsidP="00772101">
            <w:pPr>
              <w:spacing w:before="40" w:after="120"/>
              <w:ind w:right="57"/>
              <w:rPr>
                <w:highlight w:val="yellow"/>
                <w:lang w:val="fr-FR"/>
              </w:rPr>
            </w:pPr>
            <w:r w:rsidRPr="00A37327">
              <w:rPr>
                <w:lang w:val="fr-FR"/>
              </w:rPr>
              <w:t>Évaluation Comité:</w:t>
            </w:r>
          </w:p>
        </w:tc>
        <w:tc>
          <w:tcPr>
            <w:tcW w:w="6506" w:type="dxa"/>
            <w:shd w:val="clear" w:color="auto" w:fill="auto"/>
          </w:tcPr>
          <w:p w:rsidR="00A37327" w:rsidRDefault="00A37327" w:rsidP="00EF1051">
            <w:pPr>
              <w:spacing w:before="40" w:after="120"/>
              <w:ind w:right="57"/>
              <w:rPr>
                <w:bCs/>
              </w:rPr>
            </w:pPr>
            <w:r w:rsidRPr="00A37327">
              <w:rPr>
                <w:bCs/>
              </w:rPr>
              <w:t>Des informations supplémentaires sont nécessaires sur les paragraphes</w:t>
            </w:r>
            <w:r>
              <w:rPr>
                <w:bCs/>
              </w:rPr>
              <w:t> </w:t>
            </w:r>
            <w:r w:rsidRPr="00A37327">
              <w:rPr>
                <w:bCs/>
              </w:rPr>
              <w:t>15 et</w:t>
            </w:r>
            <w:r>
              <w:rPr>
                <w:bCs/>
              </w:rPr>
              <w:t> </w:t>
            </w:r>
            <w:r w:rsidRPr="00A37327">
              <w:rPr>
                <w:bCs/>
              </w:rPr>
              <w:t>20. Une</w:t>
            </w:r>
            <w:r>
              <w:rPr>
                <w:bCs/>
              </w:rPr>
              <w:t> </w:t>
            </w:r>
            <w:r w:rsidRPr="00A37327">
              <w:rPr>
                <w:bCs/>
              </w:rPr>
              <w:t>actualisation des données sur les paragraphes</w:t>
            </w:r>
            <w:r>
              <w:rPr>
                <w:bCs/>
              </w:rPr>
              <w:t xml:space="preserve"> </w:t>
            </w:r>
            <w:r w:rsidRPr="00A37327">
              <w:rPr>
                <w:bCs/>
              </w:rPr>
              <w:t>8 et</w:t>
            </w:r>
            <w:r>
              <w:rPr>
                <w:bCs/>
              </w:rPr>
              <w:t> </w:t>
            </w:r>
            <w:r w:rsidRPr="00A37327">
              <w:rPr>
                <w:bCs/>
              </w:rPr>
              <w:t>9</w:t>
            </w:r>
            <w:r w:rsidR="00B2599B">
              <w:rPr>
                <w:bCs/>
              </w:rPr>
              <w:t xml:space="preserve"> </w:t>
            </w:r>
            <w:r w:rsidR="00B2599B" w:rsidRPr="00A37327">
              <w:rPr>
                <w:bCs/>
              </w:rPr>
              <w:t>est requise dans le prochain rapport périodique</w:t>
            </w:r>
            <w:r w:rsidR="00B2599B">
              <w:rPr>
                <w:bCs/>
              </w:rPr>
              <w:t>.</w:t>
            </w:r>
            <w:r w:rsidR="00B2599B" w:rsidRPr="00A37327">
              <w:rPr>
                <w:bCs/>
              </w:rPr>
              <w:t xml:space="preserve"> </w:t>
            </w:r>
          </w:p>
        </w:tc>
      </w:tr>
      <w:tr w:rsidR="00A37327" w:rsidRPr="00FE2D64" w:rsidTr="001C7EC5">
        <w:tc>
          <w:tcPr>
            <w:tcW w:w="2000" w:type="dxa"/>
            <w:shd w:val="clear" w:color="auto" w:fill="auto"/>
          </w:tcPr>
          <w:p w:rsidR="00A37327" w:rsidRPr="00953D60" w:rsidRDefault="00A0475A" w:rsidP="00EF1051">
            <w:pPr>
              <w:spacing w:before="40" w:after="120"/>
              <w:ind w:right="57"/>
              <w:rPr>
                <w:lang w:val="fr-FR"/>
              </w:rPr>
            </w:pPr>
            <w:r w:rsidRPr="00953D60">
              <w:rPr>
                <w:lang w:val="fr-FR"/>
              </w:rPr>
              <w:t>Deuxième réponse</w:t>
            </w:r>
            <w:r w:rsidRPr="00953D60">
              <w:rPr>
                <w:lang w:val="fr-FR"/>
              </w:rPr>
              <w:br/>
              <w:t>de l</w:t>
            </w:r>
            <w:r w:rsidR="00AA2481">
              <w:rPr>
                <w:lang w:val="fr-FR"/>
              </w:rPr>
              <w:t>’</w:t>
            </w:r>
            <w:r w:rsidRPr="00953D60">
              <w:rPr>
                <w:lang w:val="fr-FR"/>
              </w:rPr>
              <w:t>État partie:</w:t>
            </w:r>
          </w:p>
        </w:tc>
        <w:tc>
          <w:tcPr>
            <w:tcW w:w="6506" w:type="dxa"/>
            <w:shd w:val="clear" w:color="auto" w:fill="auto"/>
          </w:tcPr>
          <w:p w:rsidR="00A37327" w:rsidRPr="00A0475A" w:rsidRDefault="00A0475A" w:rsidP="00EF1051">
            <w:pPr>
              <w:spacing w:before="40" w:after="120"/>
              <w:ind w:right="57"/>
              <w:rPr>
                <w:bCs/>
                <w:spacing w:val="-2"/>
              </w:rPr>
            </w:pPr>
            <w:r w:rsidRPr="00A0475A">
              <w:rPr>
                <w:bCs/>
                <w:spacing w:val="-2"/>
              </w:rPr>
              <w:t>Réponse à la lettre du Comité du 20</w:t>
            </w:r>
            <w:r w:rsidR="00772101">
              <w:rPr>
                <w:bCs/>
                <w:spacing w:val="-2"/>
              </w:rPr>
              <w:t>/09/</w:t>
            </w:r>
            <w:r w:rsidRPr="00A0475A">
              <w:rPr>
                <w:bCs/>
                <w:spacing w:val="-2"/>
              </w:rPr>
              <w:t>11 −</w:t>
            </w:r>
            <w:r w:rsidR="00636279">
              <w:rPr>
                <w:bCs/>
                <w:spacing w:val="-2"/>
              </w:rPr>
              <w:t xml:space="preserve"> </w:t>
            </w:r>
            <w:r w:rsidRPr="00A0475A">
              <w:rPr>
                <w:bCs/>
                <w:spacing w:val="-2"/>
              </w:rPr>
              <w:t>Reçue le 30</w:t>
            </w:r>
            <w:r w:rsidR="00772101">
              <w:rPr>
                <w:bCs/>
                <w:spacing w:val="-2"/>
              </w:rPr>
              <w:t>/07/</w:t>
            </w:r>
            <w:r w:rsidRPr="00A0475A">
              <w:rPr>
                <w:bCs/>
                <w:spacing w:val="-2"/>
              </w:rPr>
              <w:t>12</w:t>
            </w:r>
          </w:p>
        </w:tc>
      </w:tr>
      <w:tr w:rsidR="00A0475A" w:rsidRPr="00FE2D64" w:rsidTr="001C7EC5">
        <w:tc>
          <w:tcPr>
            <w:tcW w:w="2000" w:type="dxa"/>
            <w:shd w:val="clear" w:color="auto" w:fill="auto"/>
          </w:tcPr>
          <w:p w:rsidR="00A0475A" w:rsidRPr="00A37327" w:rsidRDefault="00943C85" w:rsidP="00EF1051">
            <w:pPr>
              <w:spacing w:before="40" w:after="120"/>
              <w:ind w:right="57"/>
              <w:rPr>
                <w:lang w:val="fr-FR"/>
              </w:rPr>
            </w:pPr>
            <w:r>
              <w:rPr>
                <w:lang w:val="fr-FR"/>
              </w:rPr>
              <w:t>Rapport d</w:t>
            </w:r>
            <w:r w:rsidR="00AA2481">
              <w:rPr>
                <w:lang w:val="fr-FR"/>
              </w:rPr>
              <w:t>’</w:t>
            </w:r>
            <w:r>
              <w:rPr>
                <w:lang w:val="fr-FR"/>
              </w:rPr>
              <w:t>ONG:</w:t>
            </w:r>
          </w:p>
        </w:tc>
        <w:tc>
          <w:tcPr>
            <w:tcW w:w="6506" w:type="dxa"/>
            <w:shd w:val="clear" w:color="auto" w:fill="auto"/>
          </w:tcPr>
          <w:p w:rsidR="00A0475A" w:rsidRPr="00A37327" w:rsidRDefault="00943C85" w:rsidP="00EF1051">
            <w:pPr>
              <w:spacing w:before="40" w:after="120"/>
              <w:ind w:right="57"/>
              <w:rPr>
                <w:bCs/>
              </w:rPr>
            </w:pPr>
            <w:r w:rsidRPr="00943C85">
              <w:rPr>
                <w:bCs/>
              </w:rPr>
              <w:t>Ligue des droits de l</w:t>
            </w:r>
            <w:r w:rsidR="00AA2481">
              <w:rPr>
                <w:bCs/>
              </w:rPr>
              <w:t>’</w:t>
            </w:r>
            <w:r>
              <w:rPr>
                <w:bCs/>
              </w:rPr>
              <w:t>homme et CCPR </w:t>
            </w:r>
            <w:r w:rsidRPr="00943C85">
              <w:rPr>
                <w:bCs/>
              </w:rPr>
              <w:t>Center, janvier</w:t>
            </w:r>
            <w:r>
              <w:rPr>
                <w:bCs/>
              </w:rPr>
              <w:t> </w:t>
            </w:r>
            <w:r w:rsidRPr="00943C85">
              <w:rPr>
                <w:bCs/>
              </w:rPr>
              <w:t>2012</w:t>
            </w:r>
          </w:p>
        </w:tc>
      </w:tr>
      <w:tr w:rsidR="00943C85" w:rsidRPr="00FE2D64" w:rsidTr="001C7EC5">
        <w:tc>
          <w:tcPr>
            <w:tcW w:w="2000" w:type="dxa"/>
            <w:shd w:val="clear" w:color="auto" w:fill="auto"/>
          </w:tcPr>
          <w:p w:rsidR="00943C85" w:rsidRPr="002B60B8" w:rsidRDefault="002B60B8" w:rsidP="00EF1051">
            <w:pPr>
              <w:spacing w:before="40" w:after="120"/>
              <w:ind w:right="57"/>
              <w:rPr>
                <w:b/>
                <w:lang w:val="fr-FR"/>
              </w:rPr>
            </w:pPr>
            <w:r w:rsidRPr="002B60B8">
              <w:rPr>
                <w:b/>
                <w:lang w:val="fr-FR"/>
              </w:rPr>
              <w:t>Paragraphe 15:</w:t>
            </w:r>
          </w:p>
        </w:tc>
        <w:tc>
          <w:tcPr>
            <w:tcW w:w="6506" w:type="dxa"/>
            <w:shd w:val="clear" w:color="auto" w:fill="auto"/>
          </w:tcPr>
          <w:p w:rsidR="00943C85" w:rsidRPr="002B60B8" w:rsidRDefault="002B60B8" w:rsidP="00772101">
            <w:pPr>
              <w:spacing w:before="40" w:after="120"/>
              <w:ind w:right="57"/>
              <w:rPr>
                <w:bCs/>
              </w:rPr>
            </w:pPr>
            <w:r w:rsidRPr="002B60B8">
              <w:rPr>
                <w:b/>
                <w:bCs/>
              </w:rPr>
              <w:t>Compte tenu de la décision rendue par la Cour suprême de justice de</w:t>
            </w:r>
            <w:r w:rsidR="00373921">
              <w:rPr>
                <w:b/>
                <w:bCs/>
              </w:rPr>
              <w:t xml:space="preserve"> </w:t>
            </w:r>
            <w:r w:rsidRPr="002B60B8">
              <w:rPr>
                <w:b/>
                <w:bCs/>
              </w:rPr>
              <w:t xml:space="preserve">la nation en 2005 selon laquelle </w:t>
            </w:r>
            <w:r w:rsidR="003C0207" w:rsidRPr="003C0207">
              <w:rPr>
                <w:b/>
                <w:bCs/>
              </w:rPr>
              <w:t>l</w:t>
            </w:r>
            <w:r w:rsidR="00AA2481">
              <w:rPr>
                <w:b/>
                <w:bCs/>
              </w:rPr>
              <w:t>’</w:t>
            </w:r>
            <w:r w:rsidR="003C0207" w:rsidRPr="003C0207">
              <w:rPr>
                <w:b/>
                <w:bCs/>
                <w:i/>
              </w:rPr>
              <w:t>arraigo</w:t>
            </w:r>
            <w:r w:rsidRPr="002B60B8">
              <w:rPr>
                <w:b/>
                <w:bCs/>
              </w:rPr>
              <w:t xml:space="preserve"> pénal n</w:t>
            </w:r>
            <w:r w:rsidR="00AA2481">
              <w:rPr>
                <w:b/>
                <w:bCs/>
              </w:rPr>
              <w:t>’</w:t>
            </w:r>
            <w:r w:rsidRPr="002B60B8">
              <w:rPr>
                <w:b/>
                <w:bCs/>
              </w:rPr>
              <w:t>est pas conforme à la Constitution et du fait qu</w:t>
            </w:r>
            <w:r w:rsidR="00AA2481">
              <w:rPr>
                <w:b/>
                <w:bCs/>
              </w:rPr>
              <w:t>’</w:t>
            </w:r>
            <w:r w:rsidRPr="002B60B8">
              <w:rPr>
                <w:b/>
                <w:bCs/>
              </w:rPr>
              <w:t>il a été classé comme détention arbitraire par le Groupe de travail sur la détention arbitraire, l</w:t>
            </w:r>
            <w:r w:rsidR="00AA2481">
              <w:rPr>
                <w:b/>
                <w:bCs/>
              </w:rPr>
              <w:t>’</w:t>
            </w:r>
            <w:r w:rsidRPr="002B60B8">
              <w:rPr>
                <w:b/>
                <w:bCs/>
              </w:rPr>
              <w:t xml:space="preserve">État partie devrait prendre toutes les mesures nécessaires pour éliminer la détention en vertu de </w:t>
            </w:r>
            <w:r w:rsidR="003C0207" w:rsidRPr="003C0207">
              <w:rPr>
                <w:b/>
                <w:bCs/>
              </w:rPr>
              <w:t>l</w:t>
            </w:r>
            <w:r w:rsidR="00AA2481">
              <w:rPr>
                <w:b/>
                <w:bCs/>
              </w:rPr>
              <w:t>’</w:t>
            </w:r>
            <w:r w:rsidR="003C0207" w:rsidRPr="003C0207">
              <w:rPr>
                <w:b/>
                <w:bCs/>
                <w:i/>
              </w:rPr>
              <w:t>arraigo</w:t>
            </w:r>
            <w:r w:rsidRPr="002B60B8">
              <w:rPr>
                <w:b/>
                <w:bCs/>
              </w:rPr>
              <w:t xml:space="preserve"> dans la</w:t>
            </w:r>
            <w:r w:rsidR="00636279">
              <w:rPr>
                <w:b/>
                <w:bCs/>
              </w:rPr>
              <w:t xml:space="preserve"> </w:t>
            </w:r>
            <w:r w:rsidRPr="002B60B8">
              <w:rPr>
                <w:b/>
                <w:bCs/>
              </w:rPr>
              <w:t>législation et la pratique, aux niveaux fédéral et fédéré.</w:t>
            </w:r>
          </w:p>
        </w:tc>
      </w:tr>
      <w:tr w:rsidR="002B60B8" w:rsidRPr="00FE2D64" w:rsidTr="001C7EC5">
        <w:tc>
          <w:tcPr>
            <w:tcW w:w="2000" w:type="dxa"/>
            <w:shd w:val="clear" w:color="auto" w:fill="auto"/>
          </w:tcPr>
          <w:p w:rsidR="002B60B8" w:rsidRPr="00A37327" w:rsidRDefault="002B60B8" w:rsidP="00EF1051">
            <w:pPr>
              <w:keepNext/>
              <w:spacing w:before="40" w:after="120"/>
              <w:ind w:right="57"/>
              <w:rPr>
                <w:lang w:val="fr-FR"/>
              </w:rPr>
            </w:pPr>
          </w:p>
        </w:tc>
        <w:tc>
          <w:tcPr>
            <w:tcW w:w="6506" w:type="dxa"/>
            <w:shd w:val="clear" w:color="auto" w:fill="auto"/>
          </w:tcPr>
          <w:p w:rsidR="002B60B8" w:rsidRPr="00953D60" w:rsidRDefault="00366F47" w:rsidP="00EF1051">
            <w:pPr>
              <w:keepNext/>
              <w:spacing w:before="40" w:after="120"/>
              <w:ind w:right="57"/>
              <w:rPr>
                <w:b/>
                <w:bCs/>
              </w:rPr>
            </w:pPr>
            <w:r w:rsidRPr="00953D60">
              <w:rPr>
                <w:b/>
                <w:lang w:val="fr-FR"/>
              </w:rPr>
              <w:t>Objet du suivi:</w:t>
            </w:r>
          </w:p>
        </w:tc>
      </w:tr>
      <w:tr w:rsidR="00366F47" w:rsidRPr="00FE2D64" w:rsidTr="001C7EC5">
        <w:tc>
          <w:tcPr>
            <w:tcW w:w="2000" w:type="dxa"/>
            <w:shd w:val="clear" w:color="auto" w:fill="auto"/>
          </w:tcPr>
          <w:p w:rsidR="00366F47" w:rsidRPr="003C0207" w:rsidRDefault="00366F47" w:rsidP="00EF1051">
            <w:pPr>
              <w:spacing w:before="40" w:after="120"/>
              <w:ind w:right="57"/>
              <w:rPr>
                <w:highlight w:val="yellow"/>
                <w:lang w:val="fr-FR"/>
              </w:rPr>
            </w:pPr>
          </w:p>
        </w:tc>
        <w:tc>
          <w:tcPr>
            <w:tcW w:w="6506" w:type="dxa"/>
            <w:shd w:val="clear" w:color="auto" w:fill="auto"/>
          </w:tcPr>
          <w:p w:rsidR="00366F47" w:rsidRPr="003C0207" w:rsidRDefault="00366F47" w:rsidP="00772101">
            <w:pPr>
              <w:spacing w:before="40" w:after="120"/>
              <w:ind w:right="57"/>
              <w:rPr>
                <w:bCs/>
              </w:rPr>
            </w:pPr>
            <w:r w:rsidRPr="003C0207">
              <w:rPr>
                <w:bCs/>
              </w:rPr>
              <w:t>Informations complémentaires requises sur: le nombre de cas dans lesquels l</w:t>
            </w:r>
            <w:r w:rsidR="00AA2481">
              <w:rPr>
                <w:bCs/>
              </w:rPr>
              <w:t>’</w:t>
            </w:r>
            <w:r w:rsidRPr="003C0207">
              <w:rPr>
                <w:bCs/>
                <w:i/>
              </w:rPr>
              <w:t>arraigo</w:t>
            </w:r>
            <w:r>
              <w:rPr>
                <w:bCs/>
                <w:i/>
              </w:rPr>
              <w:t xml:space="preserve"> </w:t>
            </w:r>
            <w:r w:rsidRPr="003C0207">
              <w:rPr>
                <w:bCs/>
              </w:rPr>
              <w:t>a été appliqué aux cours des cinq dernières années; les crimes pour lesquels la mesure a été appliquée et sa durée</w:t>
            </w:r>
            <w:r>
              <w:rPr>
                <w:bCs/>
              </w:rPr>
              <w:t>;</w:t>
            </w:r>
            <w:r w:rsidRPr="003C0207">
              <w:rPr>
                <w:bCs/>
              </w:rPr>
              <w:t xml:space="preserve"> les mesures prises pour garantir le respect des droits de la défense; les conditions dans lesquelles le juge en charge du contrôle de l</w:t>
            </w:r>
            <w:r w:rsidR="00AA2481">
              <w:rPr>
                <w:bCs/>
              </w:rPr>
              <w:t>’</w:t>
            </w:r>
            <w:r w:rsidRPr="003C0207">
              <w:rPr>
                <w:bCs/>
                <w:i/>
              </w:rPr>
              <w:t>arraigo</w:t>
            </w:r>
            <w:r w:rsidRPr="003C0207">
              <w:rPr>
                <w:bCs/>
              </w:rPr>
              <w:t xml:space="preserve"> peut intervenir.</w:t>
            </w:r>
          </w:p>
        </w:tc>
      </w:tr>
      <w:tr w:rsidR="009B7DD1" w:rsidRPr="00FE2D64" w:rsidTr="001C7EC5">
        <w:tc>
          <w:tcPr>
            <w:tcW w:w="2000" w:type="dxa"/>
            <w:shd w:val="clear" w:color="auto" w:fill="auto"/>
          </w:tcPr>
          <w:p w:rsidR="009B7DD1" w:rsidRPr="00A37327" w:rsidRDefault="003C0207" w:rsidP="00EF1051">
            <w:pPr>
              <w:spacing w:before="40" w:after="120"/>
              <w:ind w:right="57"/>
              <w:rPr>
                <w:lang w:val="fr-FR"/>
              </w:rPr>
            </w:pPr>
            <w:r>
              <w:rPr>
                <w:lang w:val="fr-FR"/>
              </w:rPr>
              <w:t>Résumé réponse l</w:t>
            </w:r>
            <w:r w:rsidR="00AA2481">
              <w:rPr>
                <w:lang w:val="fr-FR"/>
              </w:rPr>
              <w:t>’</w:t>
            </w:r>
            <w:r>
              <w:rPr>
                <w:lang w:val="fr-FR"/>
              </w:rPr>
              <w:t>État partie:</w:t>
            </w:r>
          </w:p>
        </w:tc>
        <w:tc>
          <w:tcPr>
            <w:tcW w:w="6506" w:type="dxa"/>
            <w:shd w:val="clear" w:color="auto" w:fill="auto"/>
          </w:tcPr>
          <w:p w:rsidR="009B7DD1" w:rsidRPr="00A37327" w:rsidRDefault="003C0207" w:rsidP="00EF1051">
            <w:pPr>
              <w:pStyle w:val="Bullet1G"/>
              <w:tabs>
                <w:tab w:val="clear" w:pos="1701"/>
                <w:tab w:val="num" w:pos="284"/>
              </w:tabs>
              <w:ind w:left="284" w:right="57" w:hanging="284"/>
              <w:jc w:val="left"/>
              <w:rPr>
                <w:bCs/>
              </w:rPr>
            </w:pPr>
            <w:r w:rsidRPr="003C0207">
              <w:rPr>
                <w:bCs/>
              </w:rPr>
              <w:t xml:space="preserve">Le juge ne peut décréter </w:t>
            </w:r>
            <w:r w:rsidRPr="00953D60">
              <w:rPr>
                <w:bCs/>
              </w:rPr>
              <w:t>l</w:t>
            </w:r>
            <w:r w:rsidR="00AA2481">
              <w:rPr>
                <w:bCs/>
              </w:rPr>
              <w:t>’</w:t>
            </w:r>
            <w:r w:rsidRPr="003C0207">
              <w:rPr>
                <w:bCs/>
                <w:i/>
              </w:rPr>
              <w:t>arraigo</w:t>
            </w:r>
            <w:r w:rsidRPr="003C0207">
              <w:rPr>
                <w:bCs/>
              </w:rPr>
              <w:t xml:space="preserve"> que lorsque les éléments de preuve produits par le Procureur permettent d</w:t>
            </w:r>
            <w:r w:rsidR="00AA2481">
              <w:rPr>
                <w:bCs/>
              </w:rPr>
              <w:t>’</w:t>
            </w:r>
            <w:r w:rsidRPr="003C0207">
              <w:rPr>
                <w:bCs/>
              </w:rPr>
              <w:t>établir avec un grand degré de certitude que le suspect a commis l</w:t>
            </w:r>
            <w:r w:rsidR="00AA2481">
              <w:rPr>
                <w:bCs/>
              </w:rPr>
              <w:t>’</w:t>
            </w:r>
            <w:r w:rsidRPr="003C0207">
              <w:rPr>
                <w:bCs/>
              </w:rPr>
              <w:t>infraction. Seules les informations recueillies directement par les agents ont valeur de preuve.</w:t>
            </w:r>
          </w:p>
        </w:tc>
      </w:tr>
      <w:tr w:rsidR="003C0207" w:rsidRPr="00FE2D64" w:rsidTr="001C7EC5">
        <w:tc>
          <w:tcPr>
            <w:tcW w:w="2000" w:type="dxa"/>
            <w:shd w:val="clear" w:color="auto" w:fill="auto"/>
          </w:tcPr>
          <w:p w:rsidR="003C0207" w:rsidRPr="00A37327" w:rsidRDefault="003C0207" w:rsidP="00EF1051">
            <w:pPr>
              <w:spacing w:before="40" w:after="120"/>
              <w:ind w:right="57"/>
              <w:rPr>
                <w:lang w:val="fr-FR"/>
              </w:rPr>
            </w:pPr>
          </w:p>
        </w:tc>
        <w:tc>
          <w:tcPr>
            <w:tcW w:w="6506" w:type="dxa"/>
            <w:shd w:val="clear" w:color="auto" w:fill="auto"/>
          </w:tcPr>
          <w:p w:rsidR="003C0207" w:rsidRPr="00A37327" w:rsidRDefault="003C0207" w:rsidP="00EF1051">
            <w:pPr>
              <w:pStyle w:val="Bullet1G"/>
              <w:tabs>
                <w:tab w:val="clear" w:pos="1701"/>
                <w:tab w:val="num" w:pos="284"/>
              </w:tabs>
              <w:ind w:left="284" w:right="57" w:hanging="284"/>
              <w:jc w:val="left"/>
              <w:rPr>
                <w:bCs/>
              </w:rPr>
            </w:pPr>
            <w:r w:rsidRPr="003C0207">
              <w:rPr>
                <w:bCs/>
              </w:rPr>
              <w:t>L</w:t>
            </w:r>
            <w:r w:rsidR="00AA2481">
              <w:rPr>
                <w:bCs/>
              </w:rPr>
              <w:t>’</w:t>
            </w:r>
            <w:r w:rsidRPr="003C0207">
              <w:rPr>
                <w:bCs/>
              </w:rPr>
              <w:t xml:space="preserve">exécution de la mesure </w:t>
            </w:r>
            <w:r w:rsidRPr="00953D60">
              <w:rPr>
                <w:bCs/>
              </w:rPr>
              <w:t>d</w:t>
            </w:r>
            <w:r w:rsidR="00AA2481">
              <w:rPr>
                <w:bCs/>
              </w:rPr>
              <w:t>’</w:t>
            </w:r>
            <w:r w:rsidRPr="003C0207">
              <w:rPr>
                <w:bCs/>
                <w:i/>
              </w:rPr>
              <w:t>arraigo</w:t>
            </w:r>
            <w:r w:rsidRPr="003C0207">
              <w:rPr>
                <w:bCs/>
              </w:rPr>
              <w:t xml:space="preserve"> est contrôlée par le </w:t>
            </w:r>
            <w:r w:rsidR="004B64FF">
              <w:rPr>
                <w:bCs/>
              </w:rPr>
              <w:t>m</w:t>
            </w:r>
            <w:r w:rsidRPr="003C0207">
              <w:rPr>
                <w:bCs/>
              </w:rPr>
              <w:t>inistère public fédéral et par la Commission nationale des droits de l</w:t>
            </w:r>
            <w:r w:rsidR="00AA2481">
              <w:rPr>
                <w:bCs/>
              </w:rPr>
              <w:t>’</w:t>
            </w:r>
            <w:r>
              <w:rPr>
                <w:bCs/>
              </w:rPr>
              <w:t>homme. À </w:t>
            </w:r>
            <w:r w:rsidRPr="003C0207">
              <w:rPr>
                <w:bCs/>
              </w:rPr>
              <w:t>tout moment, le juge peut, d</w:t>
            </w:r>
            <w:r w:rsidR="00AA2481">
              <w:rPr>
                <w:bCs/>
              </w:rPr>
              <w:t>’</w:t>
            </w:r>
            <w:r w:rsidRPr="003C0207">
              <w:rPr>
                <w:bCs/>
              </w:rPr>
              <w:t xml:space="preserve">office ou à la demande du détenu sous </w:t>
            </w:r>
            <w:r w:rsidRPr="003C0207">
              <w:rPr>
                <w:bCs/>
                <w:i/>
              </w:rPr>
              <w:t>arraigo</w:t>
            </w:r>
            <w:r>
              <w:rPr>
                <w:bCs/>
              </w:rPr>
              <w:t>,</w:t>
            </w:r>
            <w:r>
              <w:rPr>
                <w:bCs/>
              </w:rPr>
              <w:br/>
            </w:r>
            <w:r w:rsidRPr="003C0207">
              <w:rPr>
                <w:bCs/>
              </w:rPr>
              <w:t>se rendre sur le lieu de détention pour vérifier le respect des garanties fondamentales.</w:t>
            </w:r>
          </w:p>
        </w:tc>
      </w:tr>
      <w:tr w:rsidR="003C0207" w:rsidRPr="00FE2D64" w:rsidTr="001C7EC5">
        <w:trPr>
          <w:cantSplit/>
        </w:trPr>
        <w:tc>
          <w:tcPr>
            <w:tcW w:w="2000" w:type="dxa"/>
            <w:shd w:val="clear" w:color="auto" w:fill="auto"/>
          </w:tcPr>
          <w:p w:rsidR="003C0207" w:rsidRPr="00A37327" w:rsidRDefault="003C0207" w:rsidP="00EF1051">
            <w:pPr>
              <w:spacing w:before="40" w:after="120"/>
              <w:ind w:right="57"/>
              <w:rPr>
                <w:lang w:val="fr-FR"/>
              </w:rPr>
            </w:pPr>
          </w:p>
        </w:tc>
        <w:tc>
          <w:tcPr>
            <w:tcW w:w="6506" w:type="dxa"/>
            <w:shd w:val="clear" w:color="auto" w:fill="auto"/>
          </w:tcPr>
          <w:p w:rsidR="003C0207" w:rsidRPr="00A37327" w:rsidRDefault="003C0207" w:rsidP="00772101">
            <w:pPr>
              <w:pStyle w:val="Bullet1G"/>
              <w:tabs>
                <w:tab w:val="clear" w:pos="1701"/>
                <w:tab w:val="num" w:pos="284"/>
              </w:tabs>
              <w:ind w:left="284" w:right="57" w:hanging="284"/>
              <w:jc w:val="left"/>
              <w:rPr>
                <w:bCs/>
              </w:rPr>
            </w:pPr>
            <w:r w:rsidRPr="003C0207">
              <w:rPr>
                <w:bCs/>
              </w:rPr>
              <w:t>Si les raisons ayant motivé la mesure subsistent, l</w:t>
            </w:r>
            <w:r w:rsidR="00AA2481">
              <w:rPr>
                <w:bCs/>
              </w:rPr>
              <w:t>’</w:t>
            </w:r>
            <w:r w:rsidRPr="003C0207">
              <w:rPr>
                <w:bCs/>
              </w:rPr>
              <w:t xml:space="preserve">agent du ministère public fédéral adresse une demande de prolongation de </w:t>
            </w:r>
            <w:r w:rsidRPr="00953D60">
              <w:rPr>
                <w:bCs/>
              </w:rPr>
              <w:t>l</w:t>
            </w:r>
            <w:r w:rsidR="00AA2481">
              <w:rPr>
                <w:bCs/>
              </w:rPr>
              <w:t>’</w:t>
            </w:r>
            <w:r w:rsidRPr="003C0207">
              <w:rPr>
                <w:bCs/>
                <w:i/>
              </w:rPr>
              <w:t>arraigo</w:t>
            </w:r>
            <w:r>
              <w:rPr>
                <w:bCs/>
                <w:i/>
              </w:rPr>
              <w:br/>
            </w:r>
            <w:r w:rsidRPr="003C0207">
              <w:rPr>
                <w:bCs/>
              </w:rPr>
              <w:t>au juge fédéral pour une durée maximale de quatre-vingts jours. L</w:t>
            </w:r>
            <w:r w:rsidR="00AA2481">
              <w:rPr>
                <w:bCs/>
              </w:rPr>
              <w:t>’</w:t>
            </w:r>
            <w:r w:rsidRPr="003C0207">
              <w:rPr>
                <w:bCs/>
              </w:rPr>
              <w:t xml:space="preserve">intéressé peut demander </w:t>
            </w:r>
            <w:r w:rsidR="00772101">
              <w:rPr>
                <w:bCs/>
              </w:rPr>
              <w:t xml:space="preserve">la suspension de </w:t>
            </w:r>
            <w:r w:rsidRPr="003C0207">
              <w:rPr>
                <w:bCs/>
              </w:rPr>
              <w:t xml:space="preserve">la mesure ou engager une procédure </w:t>
            </w:r>
            <w:r w:rsidRPr="00953D60">
              <w:rPr>
                <w:bCs/>
              </w:rPr>
              <w:t>d</w:t>
            </w:r>
            <w:r w:rsidR="00AA2481">
              <w:rPr>
                <w:bCs/>
              </w:rPr>
              <w:t>’</w:t>
            </w:r>
            <w:r w:rsidRPr="003C0207">
              <w:rPr>
                <w:bCs/>
                <w:i/>
              </w:rPr>
              <w:t>amparo</w:t>
            </w:r>
            <w:r w:rsidRPr="003C0207">
              <w:rPr>
                <w:bCs/>
              </w:rPr>
              <w:t xml:space="preserve">. Les autorités ont </w:t>
            </w:r>
            <w:r w:rsidR="00953D60">
              <w:rPr>
                <w:bCs/>
              </w:rPr>
              <w:t>dix</w:t>
            </w:r>
            <w:r w:rsidRPr="003C0207">
              <w:rPr>
                <w:bCs/>
              </w:rPr>
              <w:t xml:space="preserve"> jours pour prendre leur décision. Néanmoins, «de multiples circonstances peuvent faire que la procédure s</w:t>
            </w:r>
            <w:r w:rsidR="00AA2481">
              <w:rPr>
                <w:bCs/>
              </w:rPr>
              <w:t>’</w:t>
            </w:r>
            <w:r w:rsidRPr="003C0207">
              <w:rPr>
                <w:bCs/>
              </w:rPr>
              <w:t>éternise».</w:t>
            </w:r>
          </w:p>
        </w:tc>
      </w:tr>
      <w:tr w:rsidR="003C0207" w:rsidRPr="00FE2D64" w:rsidTr="001C7EC5">
        <w:tc>
          <w:tcPr>
            <w:tcW w:w="2000" w:type="dxa"/>
            <w:shd w:val="clear" w:color="auto" w:fill="auto"/>
          </w:tcPr>
          <w:p w:rsidR="003C0207" w:rsidRPr="00A37327" w:rsidRDefault="003C0207" w:rsidP="00EF1051">
            <w:pPr>
              <w:spacing w:before="40" w:after="120"/>
              <w:ind w:right="57"/>
              <w:rPr>
                <w:lang w:val="fr-FR"/>
              </w:rPr>
            </w:pPr>
            <w:r>
              <w:rPr>
                <w:lang w:val="fr-FR"/>
              </w:rPr>
              <w:t>Évaluation Comité:</w:t>
            </w:r>
          </w:p>
        </w:tc>
        <w:tc>
          <w:tcPr>
            <w:tcW w:w="6506" w:type="dxa"/>
            <w:shd w:val="clear" w:color="auto" w:fill="auto"/>
          </w:tcPr>
          <w:p w:rsidR="003C0207" w:rsidRPr="00A37327" w:rsidRDefault="003C0207" w:rsidP="00EF1051">
            <w:pPr>
              <w:spacing w:before="40" w:after="120"/>
              <w:ind w:right="57"/>
              <w:rPr>
                <w:bCs/>
              </w:rPr>
            </w:pPr>
            <w:r w:rsidRPr="003C0207">
              <w:rPr>
                <w:b/>
                <w:bCs/>
              </w:rPr>
              <w:t>[C1</w:t>
            </w:r>
            <w:r w:rsidR="00FC7213">
              <w:rPr>
                <w:b/>
                <w:bCs/>
              </w:rPr>
              <w:t xml:space="preserve">] </w:t>
            </w:r>
            <w:r w:rsidRPr="003C0207">
              <w:rPr>
                <w:bCs/>
              </w:rPr>
              <w:t>La recommandation n</w:t>
            </w:r>
            <w:r w:rsidR="00AA2481">
              <w:rPr>
                <w:bCs/>
              </w:rPr>
              <w:t>’</w:t>
            </w:r>
            <w:r w:rsidRPr="003C0207">
              <w:rPr>
                <w:bCs/>
              </w:rPr>
              <w:t>a pas été mise en œuvre. Le Comité la réitère.</w:t>
            </w:r>
          </w:p>
        </w:tc>
      </w:tr>
      <w:tr w:rsidR="003C0207" w:rsidRPr="00FE2D64" w:rsidTr="001C7EC5">
        <w:tc>
          <w:tcPr>
            <w:tcW w:w="2000" w:type="dxa"/>
            <w:shd w:val="clear" w:color="auto" w:fill="auto"/>
          </w:tcPr>
          <w:p w:rsidR="003C0207" w:rsidRPr="00366F47" w:rsidRDefault="00366F47" w:rsidP="00EF1051">
            <w:pPr>
              <w:spacing w:before="40" w:after="120"/>
              <w:ind w:right="57"/>
              <w:rPr>
                <w:b/>
                <w:lang w:val="fr-FR"/>
              </w:rPr>
            </w:pPr>
            <w:r w:rsidRPr="00366F47">
              <w:rPr>
                <w:b/>
                <w:lang w:val="fr-FR"/>
              </w:rPr>
              <w:t>Paragraphe 20:</w:t>
            </w:r>
          </w:p>
        </w:tc>
        <w:tc>
          <w:tcPr>
            <w:tcW w:w="6506" w:type="dxa"/>
            <w:shd w:val="clear" w:color="auto" w:fill="auto"/>
          </w:tcPr>
          <w:p w:rsidR="003C0207" w:rsidRPr="00366F47" w:rsidRDefault="00366F47" w:rsidP="00EF1051">
            <w:pPr>
              <w:spacing w:before="40" w:after="120"/>
              <w:ind w:right="57"/>
              <w:rPr>
                <w:bCs/>
              </w:rPr>
            </w:pPr>
            <w:r w:rsidRPr="00366F47">
              <w:rPr>
                <w:b/>
                <w:bCs/>
              </w:rPr>
              <w:t>L</w:t>
            </w:r>
            <w:r w:rsidR="00AA2481">
              <w:rPr>
                <w:b/>
                <w:bCs/>
              </w:rPr>
              <w:t>’</w:t>
            </w:r>
            <w:r w:rsidRPr="00366F47">
              <w:rPr>
                <w:b/>
                <w:bCs/>
              </w:rPr>
              <w:t>État partie devrait garantir aux journalistes et aux militants des droits de l</w:t>
            </w:r>
            <w:r w:rsidR="00AA2481">
              <w:rPr>
                <w:b/>
                <w:bCs/>
              </w:rPr>
              <w:t>’</w:t>
            </w:r>
            <w:r w:rsidRPr="00366F47">
              <w:rPr>
                <w:b/>
                <w:bCs/>
              </w:rPr>
              <w:t>homme le droit à la liberté d</w:t>
            </w:r>
            <w:r w:rsidR="00AA2481">
              <w:rPr>
                <w:b/>
                <w:bCs/>
              </w:rPr>
              <w:t>’</w:t>
            </w:r>
            <w:r w:rsidRPr="00366F47">
              <w:rPr>
                <w:b/>
                <w:bCs/>
              </w:rPr>
              <w:t>expression dans leurs activités. I</w:t>
            </w:r>
            <w:r>
              <w:rPr>
                <w:b/>
                <w:bCs/>
              </w:rPr>
              <w:t>l </w:t>
            </w:r>
            <w:r w:rsidRPr="00366F47">
              <w:rPr>
                <w:b/>
                <w:bCs/>
              </w:rPr>
              <w:t>devrait également:</w:t>
            </w:r>
          </w:p>
        </w:tc>
      </w:tr>
      <w:tr w:rsidR="00366F47" w:rsidRPr="00366F47" w:rsidTr="001C7EC5">
        <w:tc>
          <w:tcPr>
            <w:tcW w:w="2000" w:type="dxa"/>
            <w:shd w:val="clear" w:color="auto" w:fill="auto"/>
          </w:tcPr>
          <w:p w:rsidR="00366F47" w:rsidRPr="00366F47" w:rsidRDefault="00366F47" w:rsidP="00EF1051">
            <w:pPr>
              <w:spacing w:before="40" w:after="120"/>
              <w:ind w:right="57"/>
              <w:rPr>
                <w:lang w:val="fr-FR"/>
              </w:rPr>
            </w:pPr>
          </w:p>
        </w:tc>
        <w:tc>
          <w:tcPr>
            <w:tcW w:w="6506" w:type="dxa"/>
            <w:shd w:val="clear" w:color="auto" w:fill="auto"/>
          </w:tcPr>
          <w:p w:rsidR="00366F47" w:rsidRPr="00366F47" w:rsidRDefault="00366F47" w:rsidP="00EF1051">
            <w:pPr>
              <w:spacing w:before="40" w:after="120"/>
              <w:ind w:right="57" w:firstLine="284"/>
              <w:rPr>
                <w:bCs/>
              </w:rPr>
            </w:pPr>
            <w:r w:rsidRPr="00366F47">
              <w:rPr>
                <w:b/>
                <w:bCs/>
              </w:rPr>
              <w:t>a)</w:t>
            </w:r>
            <w:r>
              <w:rPr>
                <w:b/>
                <w:bCs/>
              </w:rPr>
              <w:tab/>
            </w:r>
            <w:r w:rsidRPr="00366F47">
              <w:rPr>
                <w:b/>
                <w:bCs/>
              </w:rPr>
              <w:t>Prendre des mesures immédiates pour protéger effectivement les journalistes et militants des droits de l</w:t>
            </w:r>
            <w:r w:rsidR="00AA2481">
              <w:rPr>
                <w:b/>
                <w:bCs/>
              </w:rPr>
              <w:t>’</w:t>
            </w:r>
            <w:r w:rsidRPr="00366F47">
              <w:rPr>
                <w:b/>
                <w:bCs/>
              </w:rPr>
              <w:t>homme dont la vie et la sécurité sont menacées en raison de leurs activités professionnelles, y compris en adoptant en temps voulu le projet de loi sur les atteintes à l</w:t>
            </w:r>
            <w:r w:rsidR="00AA2481">
              <w:rPr>
                <w:b/>
                <w:bCs/>
              </w:rPr>
              <w:t>’</w:t>
            </w:r>
            <w:r w:rsidRPr="00366F47">
              <w:rPr>
                <w:b/>
                <w:bCs/>
              </w:rPr>
              <w:t>exercice de la liberté d</w:t>
            </w:r>
            <w:r w:rsidR="00AA2481">
              <w:rPr>
                <w:b/>
                <w:bCs/>
              </w:rPr>
              <w:t>’</w:t>
            </w:r>
            <w:r w:rsidRPr="00366F47">
              <w:rPr>
                <w:b/>
                <w:bCs/>
              </w:rPr>
              <w:t>expression par la pratique du journalisme;</w:t>
            </w:r>
          </w:p>
        </w:tc>
      </w:tr>
      <w:tr w:rsidR="00366F47" w:rsidRPr="00FE2D64" w:rsidTr="001C7EC5">
        <w:tc>
          <w:tcPr>
            <w:tcW w:w="2000" w:type="dxa"/>
            <w:shd w:val="clear" w:color="auto" w:fill="auto"/>
          </w:tcPr>
          <w:p w:rsidR="00366F47" w:rsidRPr="00ED03AD" w:rsidRDefault="00366F47" w:rsidP="00EF1051">
            <w:pPr>
              <w:spacing w:before="40" w:after="120"/>
              <w:ind w:right="57"/>
              <w:rPr>
                <w:lang w:val="fr-FR"/>
              </w:rPr>
            </w:pPr>
          </w:p>
        </w:tc>
        <w:tc>
          <w:tcPr>
            <w:tcW w:w="6506" w:type="dxa"/>
            <w:shd w:val="clear" w:color="auto" w:fill="auto"/>
          </w:tcPr>
          <w:p w:rsidR="00366F47" w:rsidRPr="00ED03AD" w:rsidRDefault="00ED03AD" w:rsidP="00EF1051">
            <w:pPr>
              <w:spacing w:before="40" w:after="120"/>
              <w:ind w:right="57" w:firstLine="284"/>
              <w:rPr>
                <w:bCs/>
              </w:rPr>
            </w:pPr>
            <w:r w:rsidRPr="00ED03AD">
              <w:rPr>
                <w:b/>
                <w:bCs/>
              </w:rPr>
              <w:t>b)</w:t>
            </w:r>
            <w:r>
              <w:rPr>
                <w:b/>
                <w:bCs/>
              </w:rPr>
              <w:tab/>
            </w:r>
            <w:r w:rsidRPr="00ED03AD">
              <w:rPr>
                <w:b/>
                <w:bCs/>
                <w:spacing w:val="-1"/>
              </w:rPr>
              <w:t>Faire en sorte que les menaces, les voies de fait graves et les homicides volontaires concernant des journalistes et des militants des droits de l</w:t>
            </w:r>
            <w:r w:rsidR="00AA2481">
              <w:rPr>
                <w:b/>
                <w:bCs/>
                <w:spacing w:val="-1"/>
              </w:rPr>
              <w:t>’</w:t>
            </w:r>
            <w:r w:rsidRPr="00ED03AD">
              <w:rPr>
                <w:b/>
                <w:bCs/>
                <w:spacing w:val="-1"/>
              </w:rPr>
              <w:t>homme fassent l</w:t>
            </w:r>
            <w:r w:rsidR="00AA2481">
              <w:rPr>
                <w:b/>
                <w:bCs/>
                <w:spacing w:val="-1"/>
              </w:rPr>
              <w:t>’</w:t>
            </w:r>
            <w:r w:rsidRPr="00ED03AD">
              <w:rPr>
                <w:b/>
                <w:bCs/>
                <w:spacing w:val="-1"/>
              </w:rPr>
              <w:t>objet d</w:t>
            </w:r>
            <w:r w:rsidR="00AA2481">
              <w:rPr>
                <w:b/>
                <w:bCs/>
                <w:spacing w:val="-1"/>
              </w:rPr>
              <w:t>’</w:t>
            </w:r>
            <w:r w:rsidRPr="00ED03AD">
              <w:rPr>
                <w:b/>
                <w:bCs/>
                <w:spacing w:val="-1"/>
              </w:rPr>
              <w:t>enquêtes promptes, efficaces et impartiales et, le cas échéant, poursuivre et traduire en justice les auteurs de tels actes</w:t>
            </w:r>
            <w:r w:rsidRPr="00ED03AD">
              <w:rPr>
                <w:b/>
                <w:bCs/>
              </w:rPr>
              <w:t>;</w:t>
            </w:r>
          </w:p>
        </w:tc>
      </w:tr>
      <w:tr w:rsidR="00366F47" w:rsidRPr="00ED03AD" w:rsidTr="001C7EC5">
        <w:tc>
          <w:tcPr>
            <w:tcW w:w="2000" w:type="dxa"/>
            <w:shd w:val="clear" w:color="auto" w:fill="auto"/>
          </w:tcPr>
          <w:p w:rsidR="00366F47" w:rsidRPr="00ED03AD" w:rsidRDefault="00366F47" w:rsidP="00EF1051">
            <w:pPr>
              <w:spacing w:before="40" w:after="120"/>
              <w:ind w:right="57"/>
              <w:rPr>
                <w:lang w:val="fr-FR"/>
              </w:rPr>
            </w:pPr>
          </w:p>
        </w:tc>
        <w:tc>
          <w:tcPr>
            <w:tcW w:w="6506" w:type="dxa"/>
            <w:shd w:val="clear" w:color="auto" w:fill="auto"/>
          </w:tcPr>
          <w:p w:rsidR="00366F47" w:rsidRPr="00ED03AD" w:rsidRDefault="00ED03AD" w:rsidP="00EF1051">
            <w:pPr>
              <w:spacing w:before="40" w:after="120"/>
              <w:ind w:right="57" w:firstLine="284"/>
              <w:rPr>
                <w:bCs/>
              </w:rPr>
            </w:pPr>
            <w:r w:rsidRPr="00ED03AD">
              <w:rPr>
                <w:b/>
              </w:rPr>
              <w:t>c)</w:t>
            </w:r>
            <w:r>
              <w:rPr>
                <w:b/>
              </w:rPr>
              <w:tab/>
            </w:r>
            <w:r w:rsidRPr="00ED03AD">
              <w:rPr>
                <w:b/>
              </w:rPr>
              <w:t>Communiquer au Comité, dans son prochain rapport périodique,</w:t>
            </w:r>
            <w:r>
              <w:rPr>
                <w:b/>
              </w:rPr>
              <w:br/>
            </w:r>
            <w:r w:rsidRPr="00ED03AD">
              <w:rPr>
                <w:b/>
              </w:rPr>
              <w:t>des renseignements détaillés sur tous les cas dans lesquels ont été lancées des poursuites pénales au motif de menaces, de voies de fait graves et d</w:t>
            </w:r>
            <w:r w:rsidR="00AA2481">
              <w:rPr>
                <w:b/>
              </w:rPr>
              <w:t>’</w:t>
            </w:r>
            <w:r w:rsidRPr="00ED03AD">
              <w:rPr>
                <w:b/>
              </w:rPr>
              <w:t>assassinats de journalistes et de militants des droits de l</w:t>
            </w:r>
            <w:r w:rsidR="00AA2481">
              <w:rPr>
                <w:b/>
              </w:rPr>
              <w:t>’</w:t>
            </w:r>
            <w:r w:rsidRPr="00ED03AD">
              <w:rPr>
                <w:b/>
              </w:rPr>
              <w:t>homme commis sur son territoire;</w:t>
            </w:r>
          </w:p>
        </w:tc>
      </w:tr>
      <w:tr w:rsidR="00ED03AD" w:rsidRPr="00FE2D64" w:rsidTr="001C7EC5">
        <w:tc>
          <w:tcPr>
            <w:tcW w:w="2000" w:type="dxa"/>
            <w:shd w:val="clear" w:color="auto" w:fill="auto"/>
          </w:tcPr>
          <w:p w:rsidR="00ED03AD" w:rsidRPr="000E246E" w:rsidRDefault="00ED03AD" w:rsidP="00EF1051">
            <w:pPr>
              <w:spacing w:before="40" w:after="120"/>
              <w:ind w:right="57"/>
              <w:rPr>
                <w:lang w:val="fr-FR"/>
              </w:rPr>
            </w:pPr>
          </w:p>
        </w:tc>
        <w:tc>
          <w:tcPr>
            <w:tcW w:w="6506" w:type="dxa"/>
            <w:shd w:val="clear" w:color="auto" w:fill="auto"/>
          </w:tcPr>
          <w:p w:rsidR="00ED03AD" w:rsidRPr="000E246E" w:rsidRDefault="000E246E" w:rsidP="00EF1051">
            <w:pPr>
              <w:spacing w:before="40" w:after="120"/>
              <w:ind w:right="57" w:firstLine="284"/>
              <w:rPr>
                <w:bCs/>
              </w:rPr>
            </w:pPr>
            <w:r>
              <w:rPr>
                <w:b/>
              </w:rPr>
              <w:t>d)</w:t>
            </w:r>
            <w:r>
              <w:rPr>
                <w:b/>
              </w:rPr>
              <w:tab/>
            </w:r>
            <w:r w:rsidRPr="000E246E">
              <w:rPr>
                <w:b/>
              </w:rPr>
              <w:t>Prendre des mesures pour dépénaliser la diffamation dans tous</w:t>
            </w:r>
            <w:r>
              <w:rPr>
                <w:b/>
              </w:rPr>
              <w:br/>
            </w:r>
            <w:r w:rsidRPr="000E246E">
              <w:rPr>
                <w:b/>
              </w:rPr>
              <w:t>les États.</w:t>
            </w:r>
          </w:p>
        </w:tc>
      </w:tr>
      <w:tr w:rsidR="00ED03AD" w:rsidRPr="00FE2D64" w:rsidTr="001C7EC5">
        <w:tc>
          <w:tcPr>
            <w:tcW w:w="2000" w:type="dxa"/>
            <w:shd w:val="clear" w:color="auto" w:fill="auto"/>
          </w:tcPr>
          <w:p w:rsidR="00ED03AD" w:rsidRPr="00A37327" w:rsidRDefault="00ED03AD" w:rsidP="00EF1051">
            <w:pPr>
              <w:keepNext/>
              <w:spacing w:before="40" w:after="120"/>
              <w:ind w:right="57"/>
              <w:rPr>
                <w:lang w:val="fr-FR"/>
              </w:rPr>
            </w:pPr>
          </w:p>
        </w:tc>
        <w:tc>
          <w:tcPr>
            <w:tcW w:w="6506" w:type="dxa"/>
            <w:shd w:val="clear" w:color="auto" w:fill="auto"/>
          </w:tcPr>
          <w:p w:rsidR="00ED03AD" w:rsidRPr="00F31E4B" w:rsidRDefault="00F31E4B" w:rsidP="00EF1051">
            <w:pPr>
              <w:keepNext/>
              <w:spacing w:before="40" w:after="120"/>
              <w:ind w:right="57"/>
              <w:rPr>
                <w:b/>
                <w:bCs/>
              </w:rPr>
            </w:pPr>
            <w:r w:rsidRPr="00953D60">
              <w:rPr>
                <w:b/>
                <w:bCs/>
              </w:rPr>
              <w:t>Objet du suivi:</w:t>
            </w:r>
          </w:p>
        </w:tc>
      </w:tr>
      <w:tr w:rsidR="00ED03AD" w:rsidRPr="00FE2D64" w:rsidTr="001C7EC5">
        <w:tc>
          <w:tcPr>
            <w:tcW w:w="2000" w:type="dxa"/>
            <w:shd w:val="clear" w:color="auto" w:fill="auto"/>
          </w:tcPr>
          <w:p w:rsidR="00ED03AD" w:rsidRPr="00A37327" w:rsidRDefault="00ED03AD" w:rsidP="00EF1051">
            <w:pPr>
              <w:spacing w:before="40" w:after="120"/>
              <w:ind w:right="57"/>
              <w:rPr>
                <w:lang w:val="fr-FR"/>
              </w:rPr>
            </w:pPr>
          </w:p>
        </w:tc>
        <w:tc>
          <w:tcPr>
            <w:tcW w:w="6506" w:type="dxa"/>
            <w:shd w:val="clear" w:color="auto" w:fill="auto"/>
          </w:tcPr>
          <w:p w:rsidR="00ED03AD" w:rsidRPr="00A37327" w:rsidRDefault="00274F05" w:rsidP="00EF1051">
            <w:pPr>
              <w:spacing w:before="40" w:after="120"/>
              <w:ind w:right="57"/>
            </w:pPr>
            <w:r w:rsidRPr="00274F05">
              <w:t>Informations complémentaires requises sur: les mesures visant à offrir une protection efficace aux journalistes et aux milit</w:t>
            </w:r>
            <w:r w:rsidR="00953D60">
              <w:t>ants des droits de l</w:t>
            </w:r>
            <w:r w:rsidR="00AA2481">
              <w:t>’</w:t>
            </w:r>
            <w:r w:rsidR="00953D60">
              <w:t>homme; les </w:t>
            </w:r>
            <w:r w:rsidRPr="00274F05">
              <w:t xml:space="preserve">progrès </w:t>
            </w:r>
            <w:r>
              <w:t xml:space="preserve">accomplis en vue de </w:t>
            </w:r>
            <w:r w:rsidRPr="00274F05">
              <w:t>l</w:t>
            </w:r>
            <w:r w:rsidR="00AA2481">
              <w:t>’</w:t>
            </w:r>
            <w:r w:rsidRPr="00274F05">
              <w:t>adoption du projet de loi sur les atteintes</w:t>
            </w:r>
            <w:r w:rsidR="00371841">
              <w:br/>
            </w:r>
            <w:r w:rsidRPr="00274F05">
              <w:t>à l</w:t>
            </w:r>
            <w:r w:rsidR="00AA2481">
              <w:t>’</w:t>
            </w:r>
            <w:r w:rsidRPr="00274F05">
              <w:t>exercice de la liberté d</w:t>
            </w:r>
            <w:r w:rsidR="00AA2481">
              <w:t>’</w:t>
            </w:r>
            <w:r w:rsidRPr="00274F05">
              <w:t>expression.</w:t>
            </w:r>
          </w:p>
        </w:tc>
      </w:tr>
      <w:tr w:rsidR="000E246E" w:rsidRPr="00FE2D64" w:rsidTr="001C7EC5">
        <w:tc>
          <w:tcPr>
            <w:tcW w:w="2000" w:type="dxa"/>
            <w:shd w:val="clear" w:color="auto" w:fill="auto"/>
          </w:tcPr>
          <w:p w:rsidR="000E246E" w:rsidRPr="00A37327" w:rsidRDefault="00255BCB" w:rsidP="00EF1051">
            <w:pPr>
              <w:spacing w:before="40" w:after="120"/>
              <w:ind w:right="57"/>
              <w:rPr>
                <w:lang w:val="fr-FR"/>
              </w:rPr>
            </w:pPr>
            <w:r>
              <w:rPr>
                <w:lang w:val="fr-FR"/>
              </w:rPr>
              <w:t>Résumé réponse l</w:t>
            </w:r>
            <w:r w:rsidR="00AA2481">
              <w:rPr>
                <w:lang w:val="fr-FR"/>
              </w:rPr>
              <w:t>’</w:t>
            </w:r>
            <w:r>
              <w:rPr>
                <w:lang w:val="fr-FR"/>
              </w:rPr>
              <w:t>État partie</w:t>
            </w:r>
            <w:r w:rsidR="00F93259">
              <w:rPr>
                <w:lang w:val="fr-FR"/>
              </w:rPr>
              <w:t>:</w:t>
            </w:r>
          </w:p>
        </w:tc>
        <w:tc>
          <w:tcPr>
            <w:tcW w:w="6506" w:type="dxa"/>
            <w:shd w:val="clear" w:color="auto" w:fill="auto"/>
          </w:tcPr>
          <w:p w:rsidR="000E246E" w:rsidRPr="00A37327" w:rsidRDefault="00255BCB" w:rsidP="00EF1051">
            <w:pPr>
              <w:spacing w:before="40" w:after="120"/>
              <w:ind w:right="57" w:firstLine="284"/>
              <w:rPr>
                <w:bCs/>
              </w:rPr>
            </w:pPr>
            <w:r w:rsidRPr="001F2326">
              <w:t>1)</w:t>
            </w:r>
            <w:r>
              <w:tab/>
            </w:r>
            <w:r w:rsidRPr="008771F4">
              <w:t>Un</w:t>
            </w:r>
            <w:r w:rsidRPr="00C04384">
              <w:t xml:space="preserve"> </w:t>
            </w:r>
            <w:r w:rsidR="00390477">
              <w:t>p</w:t>
            </w:r>
            <w:r w:rsidRPr="00C04384">
              <w:t>arquet spécial compétent en matière de délits contre la liberté d</w:t>
            </w:r>
            <w:r w:rsidR="00AA2481">
              <w:t>’</w:t>
            </w:r>
            <w:r w:rsidRPr="00C04384">
              <w:t>expression (FEADL</w:t>
            </w:r>
            <w:r>
              <w:t>E) a été créé en juillet 2010.</w:t>
            </w:r>
          </w:p>
        </w:tc>
      </w:tr>
      <w:tr w:rsidR="000E246E" w:rsidRPr="00FE2D64" w:rsidTr="001C7EC5">
        <w:tc>
          <w:tcPr>
            <w:tcW w:w="2000" w:type="dxa"/>
            <w:shd w:val="clear" w:color="auto" w:fill="auto"/>
          </w:tcPr>
          <w:p w:rsidR="000E246E" w:rsidRPr="00A37327" w:rsidRDefault="000E246E" w:rsidP="00EF1051">
            <w:pPr>
              <w:spacing w:before="40" w:after="120"/>
              <w:ind w:right="57"/>
              <w:rPr>
                <w:lang w:val="fr-FR"/>
              </w:rPr>
            </w:pPr>
          </w:p>
        </w:tc>
        <w:tc>
          <w:tcPr>
            <w:tcW w:w="6506" w:type="dxa"/>
            <w:shd w:val="clear" w:color="auto" w:fill="auto"/>
          </w:tcPr>
          <w:p w:rsidR="000E246E" w:rsidRPr="00A37327" w:rsidRDefault="00255BCB" w:rsidP="00772101">
            <w:pPr>
              <w:spacing w:before="40" w:after="120"/>
              <w:ind w:right="57" w:firstLine="284"/>
              <w:rPr>
                <w:bCs/>
              </w:rPr>
            </w:pPr>
            <w:r w:rsidRPr="00255BCB">
              <w:rPr>
                <w:bCs/>
              </w:rPr>
              <w:t>2)</w:t>
            </w:r>
            <w:r>
              <w:rPr>
                <w:bCs/>
              </w:rPr>
              <w:tab/>
            </w:r>
            <w:r w:rsidRPr="00255BCB">
              <w:rPr>
                <w:bCs/>
              </w:rPr>
              <w:t xml:space="preserve">Une nouvelle </w:t>
            </w:r>
            <w:r w:rsidR="00953D60" w:rsidRPr="00255BCB">
              <w:rPr>
                <w:bCs/>
              </w:rPr>
              <w:t>P</w:t>
            </w:r>
            <w:r w:rsidRPr="00255BCB">
              <w:rPr>
                <w:bCs/>
              </w:rPr>
              <w:t>rocureure spéciale a été nommée en février 2012 et des réformes ont été adoptées (mesures décrites dans le rapport).</w:t>
            </w:r>
          </w:p>
        </w:tc>
      </w:tr>
      <w:tr w:rsidR="00255BCB" w:rsidRPr="00FE2D64" w:rsidTr="001C7EC5">
        <w:tc>
          <w:tcPr>
            <w:tcW w:w="2000" w:type="dxa"/>
            <w:shd w:val="clear" w:color="auto" w:fill="auto"/>
          </w:tcPr>
          <w:p w:rsidR="00255BCB" w:rsidRPr="00A37327" w:rsidRDefault="00255BCB" w:rsidP="00EF1051">
            <w:pPr>
              <w:spacing w:before="40" w:after="120"/>
              <w:ind w:right="57"/>
              <w:rPr>
                <w:lang w:val="fr-FR"/>
              </w:rPr>
            </w:pPr>
          </w:p>
        </w:tc>
        <w:tc>
          <w:tcPr>
            <w:tcW w:w="6506" w:type="dxa"/>
            <w:shd w:val="clear" w:color="auto" w:fill="auto"/>
          </w:tcPr>
          <w:p w:rsidR="00255BCB" w:rsidRPr="00A37327" w:rsidRDefault="00255BCB" w:rsidP="00772101">
            <w:pPr>
              <w:spacing w:before="40" w:after="120"/>
              <w:ind w:right="57" w:firstLine="284"/>
              <w:rPr>
                <w:bCs/>
              </w:rPr>
            </w:pPr>
            <w:r>
              <w:rPr>
                <w:bCs/>
              </w:rPr>
              <w:t>3)</w:t>
            </w:r>
            <w:r>
              <w:rPr>
                <w:bCs/>
              </w:rPr>
              <w:tab/>
            </w:r>
            <w:r w:rsidRPr="00255BCB">
              <w:rPr>
                <w:bCs/>
                <w:spacing w:val="-2"/>
              </w:rPr>
              <w:t>Réuni à neuf occasions, le Comité consultatif qui existait avant l</w:t>
            </w:r>
            <w:r w:rsidR="00AA2481">
              <w:rPr>
                <w:bCs/>
                <w:spacing w:val="-2"/>
              </w:rPr>
              <w:t>’</w:t>
            </w:r>
            <w:r w:rsidRPr="00255BCB">
              <w:rPr>
                <w:bCs/>
                <w:spacing w:val="-2"/>
              </w:rPr>
              <w:t>adoption de la loi de 2011 a évalué sept demandes de mesure de protection et élaboré des protocoles d</w:t>
            </w:r>
            <w:r w:rsidR="00AA2481">
              <w:rPr>
                <w:bCs/>
                <w:spacing w:val="-2"/>
              </w:rPr>
              <w:t>’</w:t>
            </w:r>
            <w:r w:rsidRPr="00255BCB">
              <w:rPr>
                <w:bCs/>
                <w:spacing w:val="-2"/>
              </w:rPr>
              <w:t>évaluation des risques et des obligations du bénéficiaire. De janvier 2011 à juin 2012, le Procureur général</w:t>
            </w:r>
            <w:r w:rsidR="00831295">
              <w:rPr>
                <w:bCs/>
                <w:spacing w:val="-2"/>
              </w:rPr>
              <w:t xml:space="preserve"> de la République a demandé 108 </w:t>
            </w:r>
            <w:r w:rsidRPr="00255BCB">
              <w:rPr>
                <w:bCs/>
                <w:spacing w:val="-2"/>
              </w:rPr>
              <w:t>mesures de protection pour des journalistes, de</w:t>
            </w:r>
            <w:r w:rsidR="00953D60">
              <w:rPr>
                <w:bCs/>
                <w:spacing w:val="-2"/>
              </w:rPr>
              <w:t>s</w:t>
            </w:r>
            <w:r w:rsidRPr="00255BCB">
              <w:rPr>
                <w:bCs/>
                <w:spacing w:val="-2"/>
              </w:rPr>
              <w:t xml:space="preserve"> membres de familles de victimes et des infrastructures de médias. Des informations sont fournies sur les enquêtes et les décisions adoptées.</w:t>
            </w:r>
          </w:p>
        </w:tc>
      </w:tr>
      <w:tr w:rsidR="00255BCB" w:rsidRPr="00FE2D64" w:rsidTr="001C7EC5">
        <w:tc>
          <w:tcPr>
            <w:tcW w:w="2000" w:type="dxa"/>
            <w:shd w:val="clear" w:color="auto" w:fill="auto"/>
          </w:tcPr>
          <w:p w:rsidR="00255BCB" w:rsidRPr="00A37327" w:rsidRDefault="00255BCB" w:rsidP="00EF1051">
            <w:pPr>
              <w:spacing w:before="40" w:after="120"/>
              <w:ind w:right="57"/>
              <w:rPr>
                <w:lang w:val="fr-FR"/>
              </w:rPr>
            </w:pPr>
          </w:p>
        </w:tc>
        <w:tc>
          <w:tcPr>
            <w:tcW w:w="6506" w:type="dxa"/>
            <w:shd w:val="clear" w:color="auto" w:fill="auto"/>
          </w:tcPr>
          <w:p w:rsidR="00255BCB" w:rsidRPr="00A37327" w:rsidRDefault="00255BCB" w:rsidP="00EF1051">
            <w:pPr>
              <w:spacing w:before="40" w:after="120"/>
              <w:ind w:right="57" w:firstLine="284"/>
              <w:rPr>
                <w:bCs/>
              </w:rPr>
            </w:pPr>
            <w:r w:rsidRPr="00255BCB">
              <w:rPr>
                <w:bCs/>
              </w:rPr>
              <w:t>4)</w:t>
            </w:r>
            <w:r>
              <w:rPr>
                <w:bCs/>
              </w:rPr>
              <w:tab/>
            </w:r>
            <w:r w:rsidRPr="007A3E0F">
              <w:rPr>
                <w:bCs/>
              </w:rPr>
              <w:t>Mesures visant à dépénaliser la diffamation: la législation des</w:t>
            </w:r>
            <w:r w:rsidR="007A3E0F">
              <w:rPr>
                <w:bCs/>
              </w:rPr>
              <w:t xml:space="preserve"> </w:t>
            </w:r>
            <w:r w:rsidRPr="007A3E0F">
              <w:rPr>
                <w:bCs/>
              </w:rPr>
              <w:t>États fédérés en matière de diffamation, de calomnie et autres actes portant «atteinte</w:t>
            </w:r>
            <w:r w:rsidR="007A3E0F">
              <w:rPr>
                <w:bCs/>
              </w:rPr>
              <w:t xml:space="preserve"> </w:t>
            </w:r>
            <w:r w:rsidRPr="007A3E0F">
              <w:rPr>
                <w:bCs/>
              </w:rPr>
              <w:t>à l</w:t>
            </w:r>
            <w:r w:rsidR="00AA2481">
              <w:rPr>
                <w:bCs/>
              </w:rPr>
              <w:t>’</w:t>
            </w:r>
            <w:r w:rsidRPr="007A3E0F">
              <w:rPr>
                <w:bCs/>
              </w:rPr>
              <w:t>honneur» est décrite</w:t>
            </w:r>
            <w:r w:rsidR="004B64FF">
              <w:rPr>
                <w:bCs/>
              </w:rPr>
              <w:t>;</w:t>
            </w:r>
            <w:r w:rsidRPr="007A3E0F">
              <w:rPr>
                <w:bCs/>
              </w:rPr>
              <w:t xml:space="preserve"> la dépénalisation a été adoptée dans 16</w:t>
            </w:r>
            <w:r w:rsidR="007A3E0F" w:rsidRPr="007A3E0F">
              <w:rPr>
                <w:bCs/>
              </w:rPr>
              <w:t> </w:t>
            </w:r>
            <w:r w:rsidRPr="007A3E0F">
              <w:rPr>
                <w:bCs/>
              </w:rPr>
              <w:t>entités; 15</w:t>
            </w:r>
            <w:r w:rsidR="007A3E0F" w:rsidRPr="007A3E0F">
              <w:rPr>
                <w:bCs/>
              </w:rPr>
              <w:t> </w:t>
            </w:r>
            <w:r w:rsidRPr="007A3E0F">
              <w:rPr>
                <w:bCs/>
              </w:rPr>
              <w:t>maintiennent l</w:t>
            </w:r>
            <w:r w:rsidR="00AA2481">
              <w:rPr>
                <w:bCs/>
              </w:rPr>
              <w:t>’</w:t>
            </w:r>
            <w:r w:rsidRPr="007A3E0F">
              <w:rPr>
                <w:bCs/>
              </w:rPr>
              <w:t>infraction; 2 entités ont modifié leur législation sans dépénaliser.</w:t>
            </w:r>
          </w:p>
        </w:tc>
      </w:tr>
      <w:tr w:rsidR="00255BCB" w:rsidRPr="00FE2D64" w:rsidTr="001C7EC5">
        <w:tc>
          <w:tcPr>
            <w:tcW w:w="2000" w:type="dxa"/>
            <w:shd w:val="clear" w:color="auto" w:fill="auto"/>
          </w:tcPr>
          <w:p w:rsidR="00255BCB" w:rsidRPr="00A37327" w:rsidRDefault="00EE4280" w:rsidP="00EF1051">
            <w:pPr>
              <w:spacing w:before="40" w:after="120"/>
              <w:ind w:right="57"/>
              <w:rPr>
                <w:lang w:val="fr-FR"/>
              </w:rPr>
            </w:pPr>
            <w:r>
              <w:rPr>
                <w:lang w:val="fr-FR"/>
              </w:rPr>
              <w:t>Évaluation Comité:</w:t>
            </w:r>
          </w:p>
        </w:tc>
        <w:tc>
          <w:tcPr>
            <w:tcW w:w="6506" w:type="dxa"/>
            <w:shd w:val="clear" w:color="auto" w:fill="auto"/>
          </w:tcPr>
          <w:p w:rsidR="00255BCB" w:rsidRPr="00A37327" w:rsidRDefault="00EE4280" w:rsidP="00EF1051">
            <w:pPr>
              <w:spacing w:before="40" w:after="120"/>
              <w:ind w:right="57"/>
              <w:rPr>
                <w:bCs/>
              </w:rPr>
            </w:pPr>
            <w:r w:rsidRPr="001F2AFC">
              <w:rPr>
                <w:b/>
              </w:rPr>
              <w:t>[B2</w:t>
            </w:r>
            <w:r w:rsidR="00FC7213">
              <w:rPr>
                <w:b/>
              </w:rPr>
              <w:t xml:space="preserve">] </w:t>
            </w:r>
            <w:r w:rsidRPr="00C12C77">
              <w:t>Des</w:t>
            </w:r>
            <w:r w:rsidRPr="00C04384">
              <w:t xml:space="preserve"> mesures restent nécessaires</w:t>
            </w:r>
            <w:r w:rsidR="00953D60">
              <w:t>:</w:t>
            </w:r>
            <w:r w:rsidRPr="00C04384">
              <w:t xml:space="preserve"> i)</w:t>
            </w:r>
            <w:r w:rsidR="004B64FF">
              <w:t> </w:t>
            </w:r>
            <w:r w:rsidRPr="00C04384">
              <w:t>pour s</w:t>
            </w:r>
            <w:r w:rsidR="00AA2481">
              <w:t>’</w:t>
            </w:r>
            <w:r w:rsidRPr="00C04384">
              <w:t>assurer de la mise en œuvre</w:t>
            </w:r>
            <w:r w:rsidR="004B64FF">
              <w:br/>
            </w:r>
            <w:r w:rsidRPr="00C04384">
              <w:t xml:space="preserve">des lois adoptées et des mesures prises par le </w:t>
            </w:r>
            <w:r w:rsidR="004B64FF">
              <w:t>m</w:t>
            </w:r>
            <w:r w:rsidRPr="00C04384">
              <w:t xml:space="preserve">inistère </w:t>
            </w:r>
            <w:r w:rsidR="004B64FF">
              <w:t>p</w:t>
            </w:r>
            <w:r w:rsidRPr="00C04384">
              <w:t>ublic; ii)</w:t>
            </w:r>
            <w:r w:rsidR="004B64FF">
              <w:t> </w:t>
            </w:r>
            <w:r w:rsidRPr="00C04384">
              <w:t xml:space="preserve">pour garantir la dépénalisation de la diffamation dans tous les </w:t>
            </w:r>
            <w:r w:rsidR="004B64FF">
              <w:t>É</w:t>
            </w:r>
            <w:r w:rsidRPr="00C04384">
              <w:t>tats fédérés.</w:t>
            </w:r>
          </w:p>
        </w:tc>
      </w:tr>
      <w:tr w:rsidR="00255BCB" w:rsidRPr="00FE2D64" w:rsidTr="001C7EC5">
        <w:tc>
          <w:tcPr>
            <w:tcW w:w="2000" w:type="dxa"/>
            <w:shd w:val="clear" w:color="auto" w:fill="auto"/>
          </w:tcPr>
          <w:p w:rsidR="00255BCB" w:rsidRPr="00A37327" w:rsidRDefault="004B64FF" w:rsidP="00EF1051">
            <w:pPr>
              <w:spacing w:before="40" w:after="120"/>
              <w:ind w:right="57"/>
              <w:rPr>
                <w:lang w:val="fr-FR"/>
              </w:rPr>
            </w:pPr>
            <w:r>
              <w:rPr>
                <w:lang w:val="fr-FR"/>
              </w:rPr>
              <w:t>Mesure recommandée:</w:t>
            </w:r>
          </w:p>
        </w:tc>
        <w:tc>
          <w:tcPr>
            <w:tcW w:w="6506" w:type="dxa"/>
            <w:shd w:val="clear" w:color="auto" w:fill="auto"/>
          </w:tcPr>
          <w:p w:rsidR="00255BCB" w:rsidRPr="00A37327" w:rsidRDefault="004B64FF" w:rsidP="00EF1051">
            <w:pPr>
              <w:spacing w:before="40" w:after="120"/>
              <w:ind w:right="57"/>
              <w:rPr>
                <w:bCs/>
              </w:rPr>
            </w:pPr>
            <w:r w:rsidRPr="004B64FF">
              <w:rPr>
                <w:bCs/>
              </w:rPr>
              <w:t xml:space="preserve">Lettre </w:t>
            </w:r>
            <w:r>
              <w:rPr>
                <w:bCs/>
              </w:rPr>
              <w:t>présentant</w:t>
            </w:r>
            <w:r w:rsidR="00953D60">
              <w:rPr>
                <w:bCs/>
              </w:rPr>
              <w:t xml:space="preserve"> </w:t>
            </w:r>
            <w:r w:rsidRPr="004B64FF">
              <w:rPr>
                <w:bCs/>
              </w:rPr>
              <w:t>l</w:t>
            </w:r>
            <w:r w:rsidR="00AA2481">
              <w:rPr>
                <w:bCs/>
              </w:rPr>
              <w:t>’</w:t>
            </w:r>
            <w:r w:rsidRPr="004B64FF">
              <w:rPr>
                <w:bCs/>
              </w:rPr>
              <w:t xml:space="preserve">analyse du Comité et sollicitant </w:t>
            </w:r>
            <w:r>
              <w:rPr>
                <w:bCs/>
              </w:rPr>
              <w:t>d</w:t>
            </w:r>
            <w:r w:rsidRPr="004B64FF">
              <w:rPr>
                <w:bCs/>
              </w:rPr>
              <w:t>es informations supplémentaires dans le prochain rapport périodique.</w:t>
            </w:r>
          </w:p>
        </w:tc>
      </w:tr>
      <w:tr w:rsidR="00F93259" w:rsidRPr="00FE2D64" w:rsidTr="001C7EC5">
        <w:tc>
          <w:tcPr>
            <w:tcW w:w="2000" w:type="dxa"/>
            <w:tcBorders>
              <w:bottom w:val="single" w:sz="12" w:space="0" w:color="auto"/>
            </w:tcBorders>
            <w:shd w:val="clear" w:color="auto" w:fill="auto"/>
          </w:tcPr>
          <w:p w:rsidR="00F93259" w:rsidRPr="00A37327" w:rsidRDefault="004B64FF" w:rsidP="00EF1051">
            <w:pPr>
              <w:spacing w:before="40" w:after="120"/>
              <w:ind w:right="57"/>
              <w:rPr>
                <w:lang w:val="fr-FR"/>
              </w:rPr>
            </w:pPr>
            <w:r>
              <w:rPr>
                <w:lang w:val="fr-FR"/>
              </w:rPr>
              <w:t>Prochain rapport périodique:</w:t>
            </w:r>
          </w:p>
        </w:tc>
        <w:tc>
          <w:tcPr>
            <w:tcW w:w="6506" w:type="dxa"/>
            <w:tcBorders>
              <w:bottom w:val="single" w:sz="12" w:space="0" w:color="auto"/>
            </w:tcBorders>
            <w:shd w:val="clear" w:color="auto" w:fill="auto"/>
          </w:tcPr>
          <w:p w:rsidR="00F93259" w:rsidRPr="00A37327" w:rsidRDefault="004B64FF" w:rsidP="00EF1051">
            <w:pPr>
              <w:spacing w:before="40" w:after="120"/>
              <w:ind w:right="57"/>
              <w:rPr>
                <w:bCs/>
              </w:rPr>
            </w:pPr>
            <w:r>
              <w:rPr>
                <w:bCs/>
              </w:rPr>
              <w:t>30</w:t>
            </w:r>
            <w:r w:rsidR="00772101">
              <w:rPr>
                <w:bCs/>
              </w:rPr>
              <w:t>/3/</w:t>
            </w:r>
            <w:r>
              <w:rPr>
                <w:bCs/>
              </w:rPr>
              <w:t>14</w:t>
            </w:r>
          </w:p>
        </w:tc>
      </w:tr>
    </w:tbl>
    <w:p w:rsidR="004B64FF" w:rsidRDefault="004B64FF" w:rsidP="004B64FF">
      <w:pPr>
        <w:pStyle w:val="H1G"/>
      </w:pPr>
      <w:r>
        <w:tab/>
      </w:r>
      <w:r>
        <w:tab/>
      </w:r>
      <w:r w:rsidR="00953D60">
        <w:t>100</w:t>
      </w:r>
      <w:r w:rsidR="00953D60" w:rsidRPr="00953D60">
        <w:rPr>
          <w:vertAlign w:val="superscript"/>
        </w:rPr>
        <w:t>e</w:t>
      </w:r>
      <w:r w:rsidR="00953D60">
        <w:t xml:space="preserve"> </w:t>
      </w:r>
      <w:r w:rsidRPr="00A2381D">
        <w:t>session (</w:t>
      </w:r>
      <w:r w:rsidR="006D1D77">
        <w:t xml:space="preserve">octobre </w:t>
      </w:r>
      <w:r>
        <w:t>2010</w:t>
      </w:r>
      <w:r w:rsidRPr="00A2381D">
        <w:t>)</w:t>
      </w:r>
    </w:p>
    <w:tbl>
      <w:tblPr>
        <w:tblW w:w="8506" w:type="dxa"/>
        <w:tblInd w:w="1134" w:type="dxa"/>
        <w:tblLayout w:type="fixed"/>
        <w:tblCellMar>
          <w:left w:w="0" w:type="dxa"/>
          <w:right w:w="0" w:type="dxa"/>
        </w:tblCellMar>
        <w:tblLook w:val="00A0"/>
      </w:tblPr>
      <w:tblGrid>
        <w:gridCol w:w="1985"/>
        <w:gridCol w:w="6521"/>
      </w:tblGrid>
      <w:tr w:rsidR="004B64FF" w:rsidRPr="00FE2D64" w:rsidTr="00566B66">
        <w:trPr>
          <w:tblHeader/>
        </w:trPr>
        <w:tc>
          <w:tcPr>
            <w:tcW w:w="1985" w:type="dxa"/>
            <w:tcBorders>
              <w:top w:val="single" w:sz="4" w:space="0" w:color="auto"/>
              <w:bottom w:val="single" w:sz="12" w:space="0" w:color="auto"/>
            </w:tcBorders>
            <w:shd w:val="clear" w:color="auto" w:fill="auto"/>
            <w:vAlign w:val="bottom"/>
          </w:tcPr>
          <w:p w:rsidR="004B64FF" w:rsidRPr="00FE2D64" w:rsidRDefault="006D1D77" w:rsidP="00EF1051">
            <w:pPr>
              <w:spacing w:before="80" w:after="80" w:line="200" w:lineRule="exact"/>
              <w:ind w:right="57"/>
              <w:rPr>
                <w:i/>
                <w:sz w:val="16"/>
              </w:rPr>
            </w:pPr>
            <w:r>
              <w:rPr>
                <w:i/>
                <w:sz w:val="16"/>
              </w:rPr>
              <w:t>Belgique</w:t>
            </w:r>
          </w:p>
        </w:tc>
        <w:tc>
          <w:tcPr>
            <w:tcW w:w="6521" w:type="dxa"/>
            <w:tcBorders>
              <w:top w:val="single" w:sz="4" w:space="0" w:color="auto"/>
              <w:bottom w:val="single" w:sz="12" w:space="0" w:color="auto"/>
            </w:tcBorders>
            <w:shd w:val="clear" w:color="auto" w:fill="auto"/>
            <w:vAlign w:val="bottom"/>
          </w:tcPr>
          <w:p w:rsidR="004B64FF" w:rsidRPr="00FE2D64" w:rsidRDefault="004B64FF" w:rsidP="00EF1051">
            <w:pPr>
              <w:spacing w:before="80" w:after="80" w:line="200" w:lineRule="exact"/>
              <w:ind w:right="57"/>
              <w:rPr>
                <w:i/>
                <w:sz w:val="16"/>
              </w:rPr>
            </w:pPr>
          </w:p>
        </w:tc>
      </w:tr>
      <w:tr w:rsidR="004B64FF" w:rsidRPr="00FE2D64" w:rsidTr="00566B66">
        <w:trPr>
          <w:trHeight w:hRule="exact" w:val="113"/>
          <w:tblHeader/>
        </w:trPr>
        <w:tc>
          <w:tcPr>
            <w:tcW w:w="1985" w:type="dxa"/>
            <w:tcBorders>
              <w:top w:val="single" w:sz="12" w:space="0" w:color="auto"/>
            </w:tcBorders>
            <w:shd w:val="clear" w:color="auto" w:fill="auto"/>
          </w:tcPr>
          <w:p w:rsidR="004B64FF" w:rsidRPr="00FE2D64" w:rsidRDefault="004B64FF" w:rsidP="00EF1051">
            <w:pPr>
              <w:spacing w:before="40" w:after="120"/>
              <w:ind w:right="57"/>
            </w:pPr>
          </w:p>
        </w:tc>
        <w:tc>
          <w:tcPr>
            <w:tcW w:w="6521" w:type="dxa"/>
            <w:tcBorders>
              <w:top w:val="single" w:sz="12" w:space="0" w:color="auto"/>
            </w:tcBorders>
            <w:shd w:val="clear" w:color="auto" w:fill="auto"/>
          </w:tcPr>
          <w:p w:rsidR="004B64FF" w:rsidRPr="00FE2D64" w:rsidRDefault="004B64FF" w:rsidP="00EF1051">
            <w:pPr>
              <w:spacing w:before="40" w:after="120"/>
              <w:ind w:right="57"/>
            </w:pPr>
          </w:p>
        </w:tc>
      </w:tr>
      <w:tr w:rsidR="004B64FF" w:rsidRPr="00FE2D64" w:rsidTr="00566B66">
        <w:tc>
          <w:tcPr>
            <w:tcW w:w="1985" w:type="dxa"/>
            <w:shd w:val="clear" w:color="auto" w:fill="auto"/>
          </w:tcPr>
          <w:p w:rsidR="004B64FF" w:rsidRPr="00FE2D64" w:rsidRDefault="004B64FF" w:rsidP="00EF1051">
            <w:pPr>
              <w:spacing w:before="40" w:after="120"/>
              <w:ind w:right="57"/>
            </w:pPr>
            <w:r w:rsidRPr="00FE2D64">
              <w:t>Observations finales</w:t>
            </w:r>
          </w:p>
        </w:tc>
        <w:tc>
          <w:tcPr>
            <w:tcW w:w="6521" w:type="dxa"/>
            <w:shd w:val="clear" w:color="auto" w:fill="auto"/>
          </w:tcPr>
          <w:p w:rsidR="004B64FF" w:rsidRPr="00B009EA" w:rsidRDefault="006D1D77" w:rsidP="00EF1051">
            <w:pPr>
              <w:spacing w:before="40" w:after="120"/>
              <w:ind w:right="57"/>
            </w:pPr>
            <w:r w:rsidRPr="001C7EC5">
              <w:t>CCPR/C/BEL/CO/5, adoptées le 26</w:t>
            </w:r>
            <w:r w:rsidR="00772101">
              <w:t>/10/</w:t>
            </w:r>
            <w:r w:rsidRPr="001C7EC5">
              <w:t xml:space="preserve">10 </w:t>
            </w:r>
          </w:p>
        </w:tc>
      </w:tr>
      <w:tr w:rsidR="004B64FF" w:rsidRPr="00FE2D64" w:rsidTr="00566B66">
        <w:tc>
          <w:tcPr>
            <w:tcW w:w="1985" w:type="dxa"/>
            <w:shd w:val="clear" w:color="auto" w:fill="auto"/>
          </w:tcPr>
          <w:p w:rsidR="004B64FF" w:rsidRPr="00FE2D64" w:rsidRDefault="004B64FF" w:rsidP="00EF1051">
            <w:pPr>
              <w:spacing w:before="40" w:after="120"/>
              <w:ind w:right="57"/>
              <w:rPr>
                <w:lang w:val="fr-FR"/>
              </w:rPr>
            </w:pPr>
            <w:r w:rsidRPr="00FE2D64">
              <w:rPr>
                <w:lang w:val="fr-FR"/>
              </w:rPr>
              <w:t>Paragraphes faisant l</w:t>
            </w:r>
            <w:r w:rsidR="00AA2481">
              <w:rPr>
                <w:lang w:val="fr-FR"/>
              </w:rPr>
              <w:t>’</w:t>
            </w:r>
            <w:r w:rsidRPr="00FE2D64">
              <w:rPr>
                <w:lang w:val="fr-FR"/>
              </w:rPr>
              <w:t>objet d</w:t>
            </w:r>
            <w:r w:rsidR="00AA2481">
              <w:rPr>
                <w:lang w:val="fr-FR"/>
              </w:rPr>
              <w:t>’</w:t>
            </w:r>
            <w:r w:rsidRPr="00FE2D64">
              <w:rPr>
                <w:lang w:val="fr-FR"/>
              </w:rPr>
              <w:t xml:space="preserve">un suivi: </w:t>
            </w:r>
          </w:p>
        </w:tc>
        <w:tc>
          <w:tcPr>
            <w:tcW w:w="6521" w:type="dxa"/>
            <w:shd w:val="clear" w:color="auto" w:fill="auto"/>
          </w:tcPr>
          <w:p w:rsidR="004B64FF" w:rsidRPr="00FE2D64" w:rsidRDefault="006D1D77" w:rsidP="00EF1051">
            <w:pPr>
              <w:spacing w:before="40" w:after="120"/>
              <w:ind w:right="57"/>
              <w:rPr>
                <w:bCs/>
              </w:rPr>
            </w:pPr>
            <w:r>
              <w:rPr>
                <w:bCs/>
              </w:rPr>
              <w:t>14, 17, 21</w:t>
            </w:r>
          </w:p>
        </w:tc>
      </w:tr>
      <w:tr w:rsidR="00953D60" w:rsidRPr="00FE2D64" w:rsidTr="00566B66">
        <w:tc>
          <w:tcPr>
            <w:tcW w:w="1985" w:type="dxa"/>
            <w:shd w:val="clear" w:color="auto" w:fill="auto"/>
          </w:tcPr>
          <w:p w:rsidR="00953D60" w:rsidRPr="00FE2D64" w:rsidRDefault="00953D60" w:rsidP="00EF1051">
            <w:pPr>
              <w:spacing w:before="40" w:after="120"/>
              <w:ind w:right="57"/>
              <w:rPr>
                <w:lang w:val="fr-FR"/>
              </w:rPr>
            </w:pPr>
            <w:r>
              <w:rPr>
                <w:lang w:val="fr-FR"/>
              </w:rPr>
              <w:t>Première réponse</w:t>
            </w:r>
            <w:r>
              <w:rPr>
                <w:lang w:val="fr-FR"/>
              </w:rPr>
              <w:br/>
              <w:t>de l</w:t>
            </w:r>
            <w:r w:rsidR="00AA2481">
              <w:rPr>
                <w:lang w:val="fr-FR"/>
              </w:rPr>
              <w:t>’</w:t>
            </w:r>
            <w:r>
              <w:rPr>
                <w:lang w:val="fr-FR"/>
              </w:rPr>
              <w:t>État partie</w:t>
            </w:r>
          </w:p>
        </w:tc>
        <w:tc>
          <w:tcPr>
            <w:tcW w:w="6521" w:type="dxa"/>
            <w:shd w:val="clear" w:color="auto" w:fill="auto"/>
          </w:tcPr>
          <w:p w:rsidR="00953D60" w:rsidRDefault="00953D60" w:rsidP="00EF1051">
            <w:pPr>
              <w:spacing w:before="40" w:after="120"/>
              <w:ind w:right="57"/>
              <w:rPr>
                <w:bCs/>
              </w:rPr>
            </w:pPr>
            <w:r>
              <w:rPr>
                <w:bCs/>
              </w:rPr>
              <w:t>Attendue le 26</w:t>
            </w:r>
            <w:r w:rsidR="00772101">
              <w:rPr>
                <w:bCs/>
              </w:rPr>
              <w:t>/10/</w:t>
            </w:r>
            <w:r>
              <w:rPr>
                <w:bCs/>
              </w:rPr>
              <w:t>11 − Reçue le 18</w:t>
            </w:r>
            <w:r w:rsidR="00772101">
              <w:rPr>
                <w:bCs/>
              </w:rPr>
              <w:t>/11/</w:t>
            </w:r>
            <w:r>
              <w:rPr>
                <w:bCs/>
              </w:rPr>
              <w:t>11</w:t>
            </w:r>
          </w:p>
        </w:tc>
      </w:tr>
      <w:tr w:rsidR="006D1D77" w:rsidRPr="00FE2D64" w:rsidTr="00566B66">
        <w:tc>
          <w:tcPr>
            <w:tcW w:w="1985" w:type="dxa"/>
            <w:shd w:val="clear" w:color="auto" w:fill="auto"/>
          </w:tcPr>
          <w:p w:rsidR="006D1D77" w:rsidRPr="00FE2D64" w:rsidRDefault="006D1D77" w:rsidP="00EF1051">
            <w:pPr>
              <w:spacing w:before="40" w:after="120"/>
              <w:ind w:right="57"/>
              <w:rPr>
                <w:lang w:val="fr-FR"/>
              </w:rPr>
            </w:pPr>
            <w:r>
              <w:rPr>
                <w:lang w:val="fr-FR"/>
              </w:rPr>
              <w:t>Évaluation Comité:</w:t>
            </w:r>
          </w:p>
        </w:tc>
        <w:tc>
          <w:tcPr>
            <w:tcW w:w="6521" w:type="dxa"/>
            <w:shd w:val="clear" w:color="auto" w:fill="auto"/>
          </w:tcPr>
          <w:p w:rsidR="006D1D77" w:rsidRDefault="006D1D77" w:rsidP="00EF1051">
            <w:pPr>
              <w:spacing w:before="40" w:after="120"/>
              <w:ind w:right="57"/>
              <w:rPr>
                <w:bCs/>
              </w:rPr>
            </w:pPr>
            <w:r w:rsidRPr="006D1D77">
              <w:rPr>
                <w:bCs/>
              </w:rPr>
              <w:t xml:space="preserve">La procédure a abouti </w:t>
            </w:r>
            <w:r>
              <w:rPr>
                <w:bCs/>
              </w:rPr>
              <w:t xml:space="preserve">concernant </w:t>
            </w:r>
            <w:r w:rsidRPr="006D1D77">
              <w:rPr>
                <w:bCs/>
              </w:rPr>
              <w:t>le résultat des enquêtes aux év</w:t>
            </w:r>
            <w:r>
              <w:rPr>
                <w:bCs/>
              </w:rPr>
              <w:t>é</w:t>
            </w:r>
            <w:r w:rsidRPr="006D1D77">
              <w:rPr>
                <w:bCs/>
              </w:rPr>
              <w:t>nements</w:t>
            </w:r>
            <w:r>
              <w:rPr>
                <w:bCs/>
              </w:rPr>
              <w:br/>
            </w:r>
            <w:r w:rsidRPr="006D1D77">
              <w:rPr>
                <w:bCs/>
              </w:rPr>
              <w:t>du 29</w:t>
            </w:r>
            <w:r>
              <w:rPr>
                <w:bCs/>
              </w:rPr>
              <w:t> </w:t>
            </w:r>
            <w:r w:rsidRPr="006D1D77">
              <w:rPr>
                <w:bCs/>
              </w:rPr>
              <w:t xml:space="preserve">septembre et du </w:t>
            </w:r>
            <w:r>
              <w:rPr>
                <w:bCs/>
              </w:rPr>
              <w:t>1</w:t>
            </w:r>
            <w:r w:rsidRPr="006D1D77">
              <w:rPr>
                <w:bCs/>
                <w:vertAlign w:val="superscript"/>
              </w:rPr>
              <w:t>er</w:t>
            </w:r>
            <w:r>
              <w:rPr>
                <w:bCs/>
              </w:rPr>
              <w:t> </w:t>
            </w:r>
            <w:r w:rsidRPr="006D1D77">
              <w:rPr>
                <w:bCs/>
              </w:rPr>
              <w:t>octobre 2010. Des informations supplémentaires</w:t>
            </w:r>
            <w:r w:rsidR="005F74B3">
              <w:rPr>
                <w:bCs/>
              </w:rPr>
              <w:br/>
            </w:r>
            <w:r w:rsidRPr="006D1D77">
              <w:rPr>
                <w:bCs/>
              </w:rPr>
              <w:t>sont requises sur les autres recommandations.</w:t>
            </w:r>
          </w:p>
        </w:tc>
      </w:tr>
      <w:tr w:rsidR="006D1D77" w:rsidRPr="00FE2D64" w:rsidTr="00566B66">
        <w:tc>
          <w:tcPr>
            <w:tcW w:w="1985" w:type="dxa"/>
            <w:shd w:val="clear" w:color="auto" w:fill="auto"/>
          </w:tcPr>
          <w:p w:rsidR="006D1D77" w:rsidRDefault="006D1D77" w:rsidP="00EF1051">
            <w:pPr>
              <w:spacing w:before="40" w:after="120"/>
              <w:ind w:right="57"/>
              <w:rPr>
                <w:lang w:val="fr-FR"/>
              </w:rPr>
            </w:pPr>
            <w:r w:rsidRPr="00953D60">
              <w:rPr>
                <w:lang w:val="fr-FR"/>
              </w:rPr>
              <w:t>Deuxième réponse</w:t>
            </w:r>
            <w:r w:rsidRPr="00953D60">
              <w:rPr>
                <w:lang w:val="fr-FR"/>
              </w:rPr>
              <w:br/>
              <w:t>de l</w:t>
            </w:r>
            <w:r w:rsidR="00AA2481">
              <w:rPr>
                <w:lang w:val="fr-FR"/>
              </w:rPr>
              <w:t>’</w:t>
            </w:r>
            <w:r w:rsidRPr="00953D60">
              <w:rPr>
                <w:lang w:val="fr-FR"/>
              </w:rPr>
              <w:t>État partie:</w:t>
            </w:r>
          </w:p>
        </w:tc>
        <w:tc>
          <w:tcPr>
            <w:tcW w:w="6521" w:type="dxa"/>
            <w:shd w:val="clear" w:color="auto" w:fill="auto"/>
          </w:tcPr>
          <w:p w:rsidR="006D1D77" w:rsidRPr="006D1D77" w:rsidRDefault="006D1D77" w:rsidP="00EF1051">
            <w:pPr>
              <w:spacing w:before="40" w:after="120"/>
              <w:ind w:right="57"/>
              <w:rPr>
                <w:bCs/>
              </w:rPr>
            </w:pPr>
            <w:r w:rsidRPr="006D1D77">
              <w:rPr>
                <w:bCs/>
              </w:rPr>
              <w:t>Réponse à la lettre du Comité du 29</w:t>
            </w:r>
            <w:r w:rsidR="00772101">
              <w:rPr>
                <w:bCs/>
              </w:rPr>
              <w:t>/4/</w:t>
            </w:r>
            <w:r w:rsidRPr="006D1D77">
              <w:rPr>
                <w:bCs/>
              </w:rPr>
              <w:t>12</w:t>
            </w:r>
            <w:r>
              <w:rPr>
                <w:bCs/>
              </w:rPr>
              <w:t xml:space="preserve"> −</w:t>
            </w:r>
            <w:r w:rsidRPr="006D1D77">
              <w:rPr>
                <w:bCs/>
              </w:rPr>
              <w:t xml:space="preserve"> </w:t>
            </w:r>
            <w:r w:rsidR="00953D60" w:rsidRPr="006D1D77">
              <w:rPr>
                <w:bCs/>
              </w:rPr>
              <w:t>R</w:t>
            </w:r>
            <w:r w:rsidRPr="006D1D77">
              <w:rPr>
                <w:bCs/>
              </w:rPr>
              <w:t>eçue le 20</w:t>
            </w:r>
            <w:r w:rsidR="00772101">
              <w:rPr>
                <w:bCs/>
              </w:rPr>
              <w:t>/7/</w:t>
            </w:r>
            <w:r w:rsidR="00953D60">
              <w:rPr>
                <w:bCs/>
              </w:rPr>
              <w:t>12</w:t>
            </w:r>
          </w:p>
        </w:tc>
      </w:tr>
      <w:tr w:rsidR="006D1D77" w:rsidRPr="00FE2D64" w:rsidTr="00566B66">
        <w:tc>
          <w:tcPr>
            <w:tcW w:w="1985" w:type="dxa"/>
            <w:shd w:val="clear" w:color="auto" w:fill="auto"/>
          </w:tcPr>
          <w:p w:rsidR="006D1D77" w:rsidRDefault="008F2C4A" w:rsidP="00EF1051">
            <w:pPr>
              <w:spacing w:before="40" w:after="120"/>
              <w:ind w:right="57"/>
              <w:rPr>
                <w:lang w:val="fr-FR"/>
              </w:rPr>
            </w:pPr>
            <w:r>
              <w:rPr>
                <w:lang w:val="fr-FR"/>
              </w:rPr>
              <w:t>Informations d</w:t>
            </w:r>
            <w:r w:rsidR="00AA2481">
              <w:rPr>
                <w:lang w:val="fr-FR"/>
              </w:rPr>
              <w:t>’</w:t>
            </w:r>
            <w:r>
              <w:rPr>
                <w:lang w:val="fr-FR"/>
              </w:rPr>
              <w:t>ONG:</w:t>
            </w:r>
          </w:p>
        </w:tc>
        <w:tc>
          <w:tcPr>
            <w:tcW w:w="6521" w:type="dxa"/>
            <w:shd w:val="clear" w:color="auto" w:fill="auto"/>
          </w:tcPr>
          <w:p w:rsidR="006D1D77" w:rsidRPr="006D1D77" w:rsidRDefault="008F2C4A" w:rsidP="00EF1051">
            <w:pPr>
              <w:spacing w:before="40" w:after="120"/>
              <w:ind w:right="57"/>
              <w:rPr>
                <w:bCs/>
              </w:rPr>
            </w:pPr>
            <w:r>
              <w:rPr>
                <w:bCs/>
              </w:rPr>
              <w:t>Ligue des droits de l</w:t>
            </w:r>
            <w:r w:rsidR="00AA2481">
              <w:rPr>
                <w:bCs/>
              </w:rPr>
              <w:t>’</w:t>
            </w:r>
            <w:r>
              <w:rPr>
                <w:bCs/>
              </w:rPr>
              <w:t>homme et CCPR Center, janvier 2012</w:t>
            </w:r>
          </w:p>
        </w:tc>
      </w:tr>
      <w:tr w:rsidR="008F2C4A" w:rsidRPr="00FE2D64" w:rsidTr="00566B66">
        <w:tc>
          <w:tcPr>
            <w:tcW w:w="1985" w:type="dxa"/>
            <w:shd w:val="clear" w:color="auto" w:fill="auto"/>
          </w:tcPr>
          <w:p w:rsidR="008F2C4A" w:rsidRDefault="008F2C4A" w:rsidP="00EF1051">
            <w:pPr>
              <w:spacing w:before="40" w:after="120"/>
              <w:ind w:right="57"/>
              <w:rPr>
                <w:lang w:val="fr-FR"/>
              </w:rPr>
            </w:pPr>
            <w:r w:rsidRPr="008F2C4A">
              <w:rPr>
                <w:b/>
                <w:bCs/>
              </w:rPr>
              <w:t xml:space="preserve">Paragraphe 14: </w:t>
            </w:r>
          </w:p>
        </w:tc>
        <w:tc>
          <w:tcPr>
            <w:tcW w:w="6521" w:type="dxa"/>
            <w:shd w:val="clear" w:color="auto" w:fill="auto"/>
          </w:tcPr>
          <w:p w:rsidR="008F2C4A" w:rsidRPr="008F2C4A" w:rsidRDefault="008F2C4A" w:rsidP="00EF1051">
            <w:pPr>
              <w:spacing w:before="40" w:after="120"/>
              <w:ind w:right="57"/>
              <w:rPr>
                <w:bCs/>
              </w:rPr>
            </w:pPr>
            <w:r w:rsidRPr="008F2C4A">
              <w:rPr>
                <w:b/>
                <w:bCs/>
              </w:rPr>
              <w:t>L</w:t>
            </w:r>
            <w:r w:rsidR="00AA2481">
              <w:rPr>
                <w:b/>
                <w:bCs/>
              </w:rPr>
              <w:t>’</w:t>
            </w:r>
            <w:r w:rsidRPr="008F2C4A">
              <w:rPr>
                <w:b/>
                <w:bCs/>
              </w:rPr>
              <w:t>État partie devrait prendre toutes les mesures nécessaires pour garantir que les membres de la police, en recourant à l</w:t>
            </w:r>
            <w:r w:rsidR="00AA2481">
              <w:rPr>
                <w:b/>
                <w:bCs/>
              </w:rPr>
              <w:t>’</w:t>
            </w:r>
            <w:r w:rsidRPr="008F2C4A">
              <w:rPr>
                <w:b/>
                <w:bCs/>
              </w:rPr>
              <w:t>emploi de la force, agissent en conformité avec les Principes de base des Nations Unies sur le recours</w:t>
            </w:r>
            <w:r>
              <w:rPr>
                <w:b/>
                <w:bCs/>
              </w:rPr>
              <w:t xml:space="preserve"> </w:t>
            </w:r>
            <w:r w:rsidRPr="008F2C4A">
              <w:rPr>
                <w:b/>
                <w:bCs/>
              </w:rPr>
              <w:t>à la force et l</w:t>
            </w:r>
            <w:r w:rsidR="00AA2481">
              <w:rPr>
                <w:b/>
                <w:bCs/>
              </w:rPr>
              <w:t>’</w:t>
            </w:r>
            <w:r w:rsidRPr="008F2C4A">
              <w:rPr>
                <w:b/>
                <w:bCs/>
              </w:rPr>
              <w:t>utilisation des armes à feu par les responsables de l</w:t>
            </w:r>
            <w:r w:rsidR="00AA2481">
              <w:rPr>
                <w:b/>
                <w:bCs/>
              </w:rPr>
              <w:t>’</w:t>
            </w:r>
            <w:r w:rsidRPr="008F2C4A">
              <w:rPr>
                <w:b/>
                <w:bCs/>
              </w:rPr>
              <w:t>application des lois, et pour s</w:t>
            </w:r>
            <w:r w:rsidR="00AA2481">
              <w:rPr>
                <w:b/>
                <w:bCs/>
              </w:rPr>
              <w:t>’</w:t>
            </w:r>
            <w:r w:rsidRPr="008F2C4A">
              <w:rPr>
                <w:b/>
                <w:bCs/>
              </w:rPr>
              <w:t>assurer que les arrestations se déroulent dans le strict respect des dispositions du Pacte. L</w:t>
            </w:r>
            <w:r w:rsidR="00AA2481">
              <w:rPr>
                <w:b/>
                <w:bCs/>
              </w:rPr>
              <w:t>’</w:t>
            </w:r>
            <w:r w:rsidRPr="008F2C4A">
              <w:rPr>
                <w:b/>
                <w:bCs/>
              </w:rPr>
              <w:t>État partie devrait, en cas de plaintes alléguant de mauvais traitements, conduire systématiquement des enquêtes et poursuivre et sanctionner les auteurs à hauteur des faits commis.</w:t>
            </w:r>
            <w:r>
              <w:rPr>
                <w:b/>
                <w:bCs/>
              </w:rPr>
              <w:br/>
            </w:r>
            <w:r w:rsidRPr="008F2C4A">
              <w:rPr>
                <w:b/>
                <w:bCs/>
              </w:rPr>
              <w:t>L</w:t>
            </w:r>
            <w:r w:rsidR="00AA2481">
              <w:rPr>
                <w:b/>
                <w:bCs/>
              </w:rPr>
              <w:t>’</w:t>
            </w:r>
            <w:r w:rsidRPr="008F2C4A">
              <w:rPr>
                <w:b/>
                <w:bCs/>
              </w:rPr>
              <w:t>État partie devra informer le Comité sur la suite qui aura été donnée aux plaintes déposées à la suite des manifestations qui se sont tenues le 29</w:t>
            </w:r>
            <w:r>
              <w:rPr>
                <w:b/>
                <w:bCs/>
              </w:rPr>
              <w:t> </w:t>
            </w:r>
            <w:r w:rsidRPr="008F2C4A">
              <w:rPr>
                <w:b/>
                <w:bCs/>
              </w:rPr>
              <w:t xml:space="preserve">septembre et le </w:t>
            </w:r>
            <w:r>
              <w:rPr>
                <w:b/>
                <w:bCs/>
              </w:rPr>
              <w:t>1</w:t>
            </w:r>
            <w:r w:rsidRPr="008F2C4A">
              <w:rPr>
                <w:b/>
                <w:bCs/>
                <w:vertAlign w:val="superscript"/>
              </w:rPr>
              <w:t>er</w:t>
            </w:r>
            <w:r>
              <w:rPr>
                <w:b/>
                <w:bCs/>
              </w:rPr>
              <w:t> </w:t>
            </w:r>
            <w:r w:rsidRPr="008F2C4A">
              <w:rPr>
                <w:b/>
                <w:bCs/>
              </w:rPr>
              <w:t>octobre 2010.</w:t>
            </w:r>
          </w:p>
        </w:tc>
      </w:tr>
      <w:tr w:rsidR="00953D60" w:rsidRPr="00FE2D64" w:rsidTr="00566B66">
        <w:tc>
          <w:tcPr>
            <w:tcW w:w="1985" w:type="dxa"/>
            <w:shd w:val="clear" w:color="auto" w:fill="auto"/>
          </w:tcPr>
          <w:p w:rsidR="00953D60" w:rsidRPr="008F2C4A" w:rsidRDefault="00953D60" w:rsidP="00EF1051">
            <w:pPr>
              <w:keepNext/>
              <w:spacing w:before="40" w:after="120"/>
              <w:ind w:right="57"/>
              <w:rPr>
                <w:b/>
                <w:bCs/>
              </w:rPr>
            </w:pPr>
          </w:p>
        </w:tc>
        <w:tc>
          <w:tcPr>
            <w:tcW w:w="6521" w:type="dxa"/>
            <w:shd w:val="clear" w:color="auto" w:fill="auto"/>
          </w:tcPr>
          <w:p w:rsidR="00953D60" w:rsidRPr="008F2C4A" w:rsidRDefault="00953D60" w:rsidP="00EF1051">
            <w:pPr>
              <w:keepNext/>
              <w:spacing w:before="40" w:after="120"/>
              <w:ind w:right="57"/>
              <w:rPr>
                <w:b/>
                <w:bCs/>
              </w:rPr>
            </w:pPr>
            <w:r w:rsidRPr="00953D60">
              <w:rPr>
                <w:b/>
                <w:bCs/>
              </w:rPr>
              <w:t>Objet du suivi:</w:t>
            </w:r>
            <w:r w:rsidRPr="008F2C4A">
              <w:rPr>
                <w:bCs/>
              </w:rPr>
              <w:t xml:space="preserve"> </w:t>
            </w:r>
          </w:p>
        </w:tc>
      </w:tr>
      <w:tr w:rsidR="008F2C4A" w:rsidRPr="00FE2D64" w:rsidTr="00566B66">
        <w:tc>
          <w:tcPr>
            <w:tcW w:w="1985" w:type="dxa"/>
            <w:shd w:val="clear" w:color="auto" w:fill="auto"/>
          </w:tcPr>
          <w:p w:rsidR="008F2C4A" w:rsidRDefault="008F2C4A" w:rsidP="00EF1051">
            <w:pPr>
              <w:keepNext/>
              <w:spacing w:before="40" w:after="120"/>
              <w:ind w:right="57"/>
              <w:rPr>
                <w:lang w:val="fr-FR"/>
              </w:rPr>
            </w:pPr>
          </w:p>
        </w:tc>
        <w:tc>
          <w:tcPr>
            <w:tcW w:w="6521" w:type="dxa"/>
            <w:shd w:val="clear" w:color="auto" w:fill="auto"/>
          </w:tcPr>
          <w:p w:rsidR="008F2C4A" w:rsidRPr="008F2C4A" w:rsidRDefault="008F2C4A" w:rsidP="00EF1051">
            <w:pPr>
              <w:keepNext/>
              <w:spacing w:before="40" w:after="120"/>
              <w:ind w:right="57"/>
              <w:rPr>
                <w:b/>
                <w:bCs/>
              </w:rPr>
            </w:pPr>
            <w:r w:rsidRPr="008F2C4A">
              <w:rPr>
                <w:bCs/>
              </w:rPr>
              <w:t>Aucune nouvelle mesure n</w:t>
            </w:r>
            <w:r w:rsidR="00AA2481">
              <w:rPr>
                <w:bCs/>
              </w:rPr>
              <w:t>’</w:t>
            </w:r>
            <w:r w:rsidRPr="008F2C4A">
              <w:rPr>
                <w:bCs/>
              </w:rPr>
              <w:t xml:space="preserve">est mentionnée. </w:t>
            </w:r>
            <w:r w:rsidR="009E0EEC">
              <w:rPr>
                <w:bCs/>
              </w:rPr>
              <w:br/>
            </w:r>
            <w:r w:rsidRPr="008F2C4A">
              <w:rPr>
                <w:bCs/>
              </w:rPr>
              <w:t>Informations supplémentaires requises sur</w:t>
            </w:r>
            <w:r w:rsidR="00636279">
              <w:rPr>
                <w:bCs/>
              </w:rPr>
              <w:t xml:space="preserve"> </w:t>
            </w:r>
            <w:r w:rsidRPr="008F2C4A">
              <w:rPr>
                <w:bCs/>
              </w:rPr>
              <w:t>les mesures prises pour: i)</w:t>
            </w:r>
            <w:r>
              <w:rPr>
                <w:bCs/>
              </w:rPr>
              <w:t> </w:t>
            </w:r>
            <w:r w:rsidRPr="008F2C4A">
              <w:rPr>
                <w:bCs/>
              </w:rPr>
              <w:t xml:space="preserve">améliorer la situation </w:t>
            </w:r>
            <w:r w:rsidR="004E034F">
              <w:rPr>
                <w:bCs/>
              </w:rPr>
              <w:t xml:space="preserve">concernant le </w:t>
            </w:r>
            <w:r w:rsidRPr="008F2C4A">
              <w:rPr>
                <w:bCs/>
              </w:rPr>
              <w:t>recours à la force par la police</w:t>
            </w:r>
            <w:r w:rsidR="00953D60">
              <w:rPr>
                <w:bCs/>
              </w:rPr>
              <w:t>;</w:t>
            </w:r>
            <w:r w:rsidRPr="008F2C4A">
              <w:rPr>
                <w:bCs/>
              </w:rPr>
              <w:t xml:space="preserve"> ii)</w:t>
            </w:r>
            <w:r>
              <w:rPr>
                <w:bCs/>
              </w:rPr>
              <w:t> </w:t>
            </w:r>
            <w:r w:rsidRPr="008F2C4A">
              <w:rPr>
                <w:bCs/>
              </w:rPr>
              <w:t>garantir la conduite systématique d</w:t>
            </w:r>
            <w:r w:rsidR="00AA2481">
              <w:rPr>
                <w:bCs/>
              </w:rPr>
              <w:t>’</w:t>
            </w:r>
            <w:r w:rsidRPr="008F2C4A">
              <w:rPr>
                <w:bCs/>
              </w:rPr>
              <w:t>enquêtes en cas de plaintes alléguant des mauvais traitements</w:t>
            </w:r>
            <w:r w:rsidR="00953D60">
              <w:rPr>
                <w:bCs/>
              </w:rPr>
              <w:t>;</w:t>
            </w:r>
            <w:r w:rsidRPr="008F2C4A">
              <w:rPr>
                <w:bCs/>
              </w:rPr>
              <w:t xml:space="preserve"> iii)</w:t>
            </w:r>
            <w:r>
              <w:rPr>
                <w:bCs/>
              </w:rPr>
              <w:t> </w:t>
            </w:r>
            <w:r w:rsidRPr="008F2C4A">
              <w:rPr>
                <w:bCs/>
              </w:rPr>
              <w:t>poursuivre et sanctionner les auteurs des faits.</w:t>
            </w:r>
          </w:p>
        </w:tc>
      </w:tr>
      <w:tr w:rsidR="008F2C4A" w:rsidRPr="00FE2D64" w:rsidTr="00566B66">
        <w:tc>
          <w:tcPr>
            <w:tcW w:w="1985" w:type="dxa"/>
            <w:shd w:val="clear" w:color="auto" w:fill="auto"/>
          </w:tcPr>
          <w:p w:rsidR="008F2C4A" w:rsidRDefault="004E034F" w:rsidP="00EF1051">
            <w:pPr>
              <w:spacing w:before="40" w:after="120"/>
              <w:ind w:right="57"/>
              <w:rPr>
                <w:lang w:val="fr-FR"/>
              </w:rPr>
            </w:pPr>
            <w:r>
              <w:rPr>
                <w:lang w:val="fr-FR"/>
              </w:rPr>
              <w:t>Résumé réponse</w:t>
            </w:r>
            <w:r>
              <w:rPr>
                <w:lang w:val="fr-FR"/>
              </w:rPr>
              <w:br/>
              <w:t xml:space="preserve"> l</w:t>
            </w:r>
            <w:r w:rsidR="00AA2481">
              <w:rPr>
                <w:lang w:val="fr-FR"/>
              </w:rPr>
              <w:t>’</w:t>
            </w:r>
            <w:r>
              <w:rPr>
                <w:lang w:val="fr-FR"/>
              </w:rPr>
              <w:t>État partie</w:t>
            </w:r>
          </w:p>
        </w:tc>
        <w:tc>
          <w:tcPr>
            <w:tcW w:w="6521" w:type="dxa"/>
            <w:shd w:val="clear" w:color="auto" w:fill="auto"/>
          </w:tcPr>
          <w:p w:rsidR="008F2C4A" w:rsidRDefault="004E034F" w:rsidP="00EF1051">
            <w:pPr>
              <w:pStyle w:val="Bullet1G"/>
              <w:tabs>
                <w:tab w:val="clear" w:pos="1701"/>
                <w:tab w:val="num" w:pos="284"/>
              </w:tabs>
              <w:ind w:left="284" w:right="57" w:hanging="284"/>
              <w:jc w:val="left"/>
              <w:rPr>
                <w:bCs/>
              </w:rPr>
            </w:pPr>
            <w:r w:rsidRPr="004E034F">
              <w:rPr>
                <w:bCs/>
              </w:rPr>
              <w:t xml:space="preserve">Les «nouvelles» mesures consistent à poursuivre la formation du personnel sur le traitement des incidents conformément aux principes internationaux. Des statistiques des procédures judiciaires sont jointes au rapport. </w:t>
            </w:r>
          </w:p>
        </w:tc>
      </w:tr>
      <w:tr w:rsidR="008F2C4A" w:rsidRPr="00FE2D64" w:rsidTr="00566B66">
        <w:tc>
          <w:tcPr>
            <w:tcW w:w="1985" w:type="dxa"/>
            <w:shd w:val="clear" w:color="auto" w:fill="auto"/>
          </w:tcPr>
          <w:p w:rsidR="008F2C4A" w:rsidRDefault="008F2C4A" w:rsidP="00EF1051">
            <w:pPr>
              <w:spacing w:before="40" w:after="120"/>
              <w:ind w:right="57"/>
              <w:rPr>
                <w:lang w:val="fr-FR"/>
              </w:rPr>
            </w:pPr>
          </w:p>
        </w:tc>
        <w:tc>
          <w:tcPr>
            <w:tcW w:w="6521" w:type="dxa"/>
            <w:shd w:val="clear" w:color="auto" w:fill="auto"/>
          </w:tcPr>
          <w:p w:rsidR="008F2C4A" w:rsidRDefault="004E034F" w:rsidP="00EF1051">
            <w:pPr>
              <w:pStyle w:val="Bullet1G"/>
              <w:tabs>
                <w:tab w:val="clear" w:pos="1701"/>
                <w:tab w:val="num" w:pos="284"/>
              </w:tabs>
              <w:ind w:left="284" w:right="57" w:hanging="284"/>
              <w:jc w:val="left"/>
              <w:rPr>
                <w:bCs/>
              </w:rPr>
            </w:pPr>
            <w:r w:rsidRPr="004E034F">
              <w:rPr>
                <w:bCs/>
              </w:rPr>
              <w:t>Conformément à la loi du 18</w:t>
            </w:r>
            <w:r>
              <w:rPr>
                <w:bCs/>
              </w:rPr>
              <w:t> </w:t>
            </w:r>
            <w:r w:rsidRPr="004E034F">
              <w:rPr>
                <w:bCs/>
              </w:rPr>
              <w:t>juillet 1991, le Comité P supervise le traitement des plaintes et leur issue. Il réalise des enquêtes de contrôle sur les services de police dans 30 zones locales et contrôle l</w:t>
            </w:r>
            <w:r w:rsidR="00AA2481">
              <w:rPr>
                <w:bCs/>
              </w:rPr>
              <w:t>’</w:t>
            </w:r>
            <w:r w:rsidRPr="004E034F">
              <w:rPr>
                <w:bCs/>
              </w:rPr>
              <w:t>appli</w:t>
            </w:r>
            <w:r>
              <w:rPr>
                <w:bCs/>
              </w:rPr>
              <w:t>cation de la circulaire CP3. Il </w:t>
            </w:r>
            <w:r w:rsidRPr="004E034F">
              <w:rPr>
                <w:bCs/>
              </w:rPr>
              <w:t>n</w:t>
            </w:r>
            <w:r w:rsidR="00AA2481">
              <w:rPr>
                <w:bCs/>
              </w:rPr>
              <w:t>’</w:t>
            </w:r>
            <w:r w:rsidRPr="004E034F">
              <w:rPr>
                <w:bCs/>
              </w:rPr>
              <w:t>y a pas d</w:t>
            </w:r>
            <w:r w:rsidR="00AA2481">
              <w:rPr>
                <w:bCs/>
              </w:rPr>
              <w:t>’</w:t>
            </w:r>
            <w:r w:rsidRPr="004E034F">
              <w:rPr>
                <w:bCs/>
              </w:rPr>
              <w:t xml:space="preserve">évaluation globale du système de traitement des plaintes </w:t>
            </w:r>
            <w:r>
              <w:rPr>
                <w:bCs/>
              </w:rPr>
              <w:t xml:space="preserve">visant des </w:t>
            </w:r>
            <w:r w:rsidRPr="004E034F">
              <w:rPr>
                <w:bCs/>
              </w:rPr>
              <w:t>membres des services de police.</w:t>
            </w:r>
          </w:p>
        </w:tc>
      </w:tr>
      <w:tr w:rsidR="004E034F" w:rsidRPr="00FE2D64" w:rsidTr="00566B66">
        <w:tc>
          <w:tcPr>
            <w:tcW w:w="1985" w:type="dxa"/>
            <w:shd w:val="clear" w:color="auto" w:fill="auto"/>
          </w:tcPr>
          <w:p w:rsidR="004E034F" w:rsidRDefault="00DF6670" w:rsidP="00EF1051">
            <w:pPr>
              <w:spacing w:before="40" w:after="120"/>
              <w:ind w:right="57"/>
              <w:rPr>
                <w:lang w:val="fr-FR"/>
              </w:rPr>
            </w:pPr>
            <w:r>
              <w:rPr>
                <w:lang w:val="fr-FR"/>
              </w:rPr>
              <w:t>Informations d</w:t>
            </w:r>
            <w:r w:rsidR="00AA2481">
              <w:rPr>
                <w:lang w:val="fr-FR"/>
              </w:rPr>
              <w:t>’</w:t>
            </w:r>
            <w:r>
              <w:rPr>
                <w:lang w:val="fr-FR"/>
              </w:rPr>
              <w:t>ONG:</w:t>
            </w:r>
          </w:p>
        </w:tc>
        <w:tc>
          <w:tcPr>
            <w:tcW w:w="6521" w:type="dxa"/>
            <w:shd w:val="clear" w:color="auto" w:fill="auto"/>
          </w:tcPr>
          <w:p w:rsidR="004E034F" w:rsidRDefault="00DF6670" w:rsidP="00EF1051">
            <w:pPr>
              <w:pStyle w:val="Bullet1G"/>
              <w:tabs>
                <w:tab w:val="clear" w:pos="1701"/>
                <w:tab w:val="num" w:pos="284"/>
              </w:tabs>
              <w:ind w:left="284" w:right="57" w:hanging="284"/>
              <w:jc w:val="left"/>
              <w:rPr>
                <w:bCs/>
              </w:rPr>
            </w:pPr>
            <w:r w:rsidRPr="00DF6670">
              <w:rPr>
                <w:bCs/>
              </w:rPr>
              <w:t>Depuis octobre 2010, l</w:t>
            </w:r>
            <w:r w:rsidR="00AA2481">
              <w:rPr>
                <w:bCs/>
              </w:rPr>
              <w:t>’</w:t>
            </w:r>
            <w:r>
              <w:rPr>
                <w:bCs/>
              </w:rPr>
              <w:t>É</w:t>
            </w:r>
            <w:r w:rsidRPr="00DF6670">
              <w:rPr>
                <w:bCs/>
              </w:rPr>
              <w:t>tat belge n</w:t>
            </w:r>
            <w:r w:rsidR="00AA2481">
              <w:rPr>
                <w:bCs/>
              </w:rPr>
              <w:t>’</w:t>
            </w:r>
            <w:r w:rsidRPr="00DF6670">
              <w:rPr>
                <w:bCs/>
              </w:rPr>
              <w:t>a entrepris aucune action pour garantir que les membres de la police agissent en conformité avec les Principes de base des Nations Unies sur l</w:t>
            </w:r>
            <w:r w:rsidR="00AA2481">
              <w:rPr>
                <w:bCs/>
              </w:rPr>
              <w:t>’</w:t>
            </w:r>
            <w:r w:rsidRPr="00DF6670">
              <w:rPr>
                <w:bCs/>
              </w:rPr>
              <w:t>emploi de la force et pour s</w:t>
            </w:r>
            <w:r w:rsidR="00AA2481">
              <w:rPr>
                <w:bCs/>
              </w:rPr>
              <w:t>’</w:t>
            </w:r>
            <w:r w:rsidRPr="00DF6670">
              <w:rPr>
                <w:bCs/>
              </w:rPr>
              <w:t>assurer que les arrestations se déroulent conformément aux dispositions du Pacte.</w:t>
            </w:r>
            <w:r>
              <w:rPr>
                <w:bCs/>
              </w:rPr>
              <w:t xml:space="preserve"> </w:t>
            </w:r>
            <w:r w:rsidRPr="00DF6670">
              <w:rPr>
                <w:bCs/>
              </w:rPr>
              <w:t>Des cas</w:t>
            </w:r>
            <w:r>
              <w:rPr>
                <w:bCs/>
              </w:rPr>
              <w:br/>
            </w:r>
            <w:r w:rsidRPr="00DF6670">
              <w:rPr>
                <w:bCs/>
              </w:rPr>
              <w:t>de brutalités excessives des forces de l</w:t>
            </w:r>
            <w:r w:rsidR="00AA2481">
              <w:rPr>
                <w:bCs/>
              </w:rPr>
              <w:t>’</w:t>
            </w:r>
            <w:r w:rsidRPr="00DF6670">
              <w:rPr>
                <w:bCs/>
              </w:rPr>
              <w:t xml:space="preserve">ordre continuent à être </w:t>
            </w:r>
            <w:r>
              <w:rPr>
                <w:bCs/>
              </w:rPr>
              <w:t xml:space="preserve">signalés </w:t>
            </w:r>
            <w:r w:rsidRPr="00DF6670">
              <w:rPr>
                <w:bCs/>
              </w:rPr>
              <w:t>(voir</w:t>
            </w:r>
            <w:r>
              <w:rPr>
                <w:bCs/>
              </w:rPr>
              <w:t> </w:t>
            </w:r>
            <w:r w:rsidRPr="00DF6670">
              <w:rPr>
                <w:bCs/>
              </w:rPr>
              <w:t>exemples).</w:t>
            </w:r>
          </w:p>
        </w:tc>
      </w:tr>
      <w:tr w:rsidR="004E034F" w:rsidRPr="00FE2D64" w:rsidTr="00566B66">
        <w:tc>
          <w:tcPr>
            <w:tcW w:w="1985" w:type="dxa"/>
            <w:shd w:val="clear" w:color="auto" w:fill="auto"/>
          </w:tcPr>
          <w:p w:rsidR="004E034F" w:rsidRDefault="004E034F" w:rsidP="00EF1051">
            <w:pPr>
              <w:spacing w:before="40" w:after="120"/>
              <w:ind w:right="57"/>
              <w:rPr>
                <w:lang w:val="fr-FR"/>
              </w:rPr>
            </w:pPr>
          </w:p>
        </w:tc>
        <w:tc>
          <w:tcPr>
            <w:tcW w:w="6521" w:type="dxa"/>
            <w:shd w:val="clear" w:color="auto" w:fill="auto"/>
          </w:tcPr>
          <w:p w:rsidR="004E034F" w:rsidRDefault="00DF6670" w:rsidP="00EF1051">
            <w:pPr>
              <w:pStyle w:val="Bullet1G"/>
              <w:tabs>
                <w:tab w:val="clear" w:pos="1701"/>
                <w:tab w:val="num" w:pos="284"/>
              </w:tabs>
              <w:ind w:left="284" w:right="57" w:hanging="284"/>
              <w:jc w:val="left"/>
              <w:rPr>
                <w:bCs/>
              </w:rPr>
            </w:pPr>
            <w:r w:rsidRPr="00DF6670">
              <w:rPr>
                <w:bCs/>
              </w:rPr>
              <w:t xml:space="preserve">Les contrôles </w:t>
            </w:r>
            <w:r>
              <w:rPr>
                <w:bCs/>
              </w:rPr>
              <w:t xml:space="preserve">exercés </w:t>
            </w:r>
            <w:r w:rsidRPr="00DF6670">
              <w:rPr>
                <w:bCs/>
              </w:rPr>
              <w:t>sur les services de police n</w:t>
            </w:r>
            <w:r w:rsidR="00AA2481">
              <w:rPr>
                <w:bCs/>
              </w:rPr>
              <w:t>’</w:t>
            </w:r>
            <w:r w:rsidRPr="00DF6670">
              <w:rPr>
                <w:bCs/>
              </w:rPr>
              <w:t>ont pas été renforcés.</w:t>
            </w:r>
            <w:r>
              <w:rPr>
                <w:bCs/>
              </w:rPr>
              <w:t xml:space="preserve"> </w:t>
            </w:r>
            <w:r>
              <w:rPr>
                <w:bCs/>
              </w:rPr>
              <w:br/>
            </w:r>
            <w:r w:rsidRPr="00DF6670">
              <w:rPr>
                <w:bCs/>
              </w:rPr>
              <w:t>N</w:t>
            </w:r>
            <w:r w:rsidR="00AA2481">
              <w:rPr>
                <w:bCs/>
              </w:rPr>
              <w:t>’</w:t>
            </w:r>
            <w:r w:rsidRPr="00DF6670">
              <w:rPr>
                <w:bCs/>
              </w:rPr>
              <w:t>ont lieu qu</w:t>
            </w:r>
            <w:r w:rsidR="00AA2481">
              <w:rPr>
                <w:bCs/>
              </w:rPr>
              <w:t>’</w:t>
            </w:r>
            <w:r w:rsidRPr="00DF6670">
              <w:rPr>
                <w:bCs/>
              </w:rPr>
              <w:t>en cas de plaintes, lesquelles sont souvent classées sans suite (voir exemples).</w:t>
            </w:r>
          </w:p>
        </w:tc>
      </w:tr>
      <w:tr w:rsidR="00DF6670" w:rsidRPr="00FE2D64" w:rsidTr="00566B66">
        <w:tc>
          <w:tcPr>
            <w:tcW w:w="1985" w:type="dxa"/>
            <w:shd w:val="clear" w:color="auto" w:fill="auto"/>
          </w:tcPr>
          <w:p w:rsidR="00DF6670" w:rsidRDefault="005C1846" w:rsidP="00EF1051">
            <w:pPr>
              <w:spacing w:before="40" w:after="120"/>
              <w:ind w:right="57"/>
              <w:rPr>
                <w:lang w:val="fr-FR"/>
              </w:rPr>
            </w:pPr>
            <w:r>
              <w:rPr>
                <w:lang w:val="fr-FR"/>
              </w:rPr>
              <w:t>Évaluation Comité:</w:t>
            </w:r>
          </w:p>
        </w:tc>
        <w:tc>
          <w:tcPr>
            <w:tcW w:w="6521" w:type="dxa"/>
            <w:shd w:val="clear" w:color="auto" w:fill="auto"/>
          </w:tcPr>
          <w:p w:rsidR="00DF6670" w:rsidRDefault="005C1846" w:rsidP="00EF1051">
            <w:pPr>
              <w:spacing w:before="40" w:after="120"/>
              <w:ind w:right="57"/>
              <w:rPr>
                <w:bCs/>
              </w:rPr>
            </w:pPr>
            <w:r w:rsidRPr="005C1846">
              <w:rPr>
                <w:b/>
                <w:bCs/>
              </w:rPr>
              <w:t>[B1</w:t>
            </w:r>
            <w:r w:rsidR="00FC7213">
              <w:rPr>
                <w:b/>
                <w:bCs/>
              </w:rPr>
              <w:t xml:space="preserve">] </w:t>
            </w:r>
            <w:r w:rsidRPr="005C1846">
              <w:rPr>
                <w:bCs/>
              </w:rPr>
              <w:t>Des informations restent nécessaires sur: i)</w:t>
            </w:r>
            <w:r>
              <w:rPr>
                <w:bCs/>
              </w:rPr>
              <w:t> </w:t>
            </w:r>
            <w:r w:rsidRPr="005C1846">
              <w:rPr>
                <w:bCs/>
              </w:rPr>
              <w:t>les résultats de l</w:t>
            </w:r>
            <w:r w:rsidR="00AA2481">
              <w:rPr>
                <w:bCs/>
              </w:rPr>
              <w:t>’</w:t>
            </w:r>
            <w:r w:rsidRPr="005C1846">
              <w:rPr>
                <w:bCs/>
              </w:rPr>
              <w:t>enquête</w:t>
            </w:r>
            <w:r>
              <w:rPr>
                <w:bCs/>
              </w:rPr>
              <w:br/>
            </w:r>
            <w:r w:rsidRPr="005C1846">
              <w:rPr>
                <w:bCs/>
              </w:rPr>
              <w:t>de contrôle en cours par le Comité</w:t>
            </w:r>
            <w:r>
              <w:rPr>
                <w:bCs/>
              </w:rPr>
              <w:t> </w:t>
            </w:r>
            <w:r w:rsidRPr="005C1846">
              <w:rPr>
                <w:bCs/>
              </w:rPr>
              <w:t>P sur 30 zones locales de police;</w:t>
            </w:r>
            <w:r>
              <w:rPr>
                <w:bCs/>
              </w:rPr>
              <w:br/>
            </w:r>
            <w:r w:rsidRPr="005C1846">
              <w:rPr>
                <w:bCs/>
              </w:rPr>
              <w:t>ii)</w:t>
            </w:r>
            <w:r>
              <w:rPr>
                <w:bCs/>
              </w:rPr>
              <w:t> </w:t>
            </w:r>
            <w:r w:rsidRPr="005C1846">
              <w:rPr>
                <w:bCs/>
              </w:rPr>
              <w:t xml:space="preserve">les procédures mises en place pour assurer la transparence et </w:t>
            </w:r>
            <w:r>
              <w:rPr>
                <w:bCs/>
              </w:rPr>
              <w:t>l</w:t>
            </w:r>
            <w:r w:rsidR="00AA2481">
              <w:rPr>
                <w:bCs/>
              </w:rPr>
              <w:t>’</w:t>
            </w:r>
            <w:r w:rsidRPr="005C1846">
              <w:rPr>
                <w:bCs/>
              </w:rPr>
              <w:t>autonomie du système de traitement des plaintes contre les membres des services de police.</w:t>
            </w:r>
          </w:p>
        </w:tc>
      </w:tr>
      <w:tr w:rsidR="00DF6670" w:rsidRPr="00FE2D64" w:rsidTr="00566B66">
        <w:tc>
          <w:tcPr>
            <w:tcW w:w="1985" w:type="dxa"/>
            <w:shd w:val="clear" w:color="auto" w:fill="auto"/>
          </w:tcPr>
          <w:p w:rsidR="00DF6670" w:rsidRPr="005C1846" w:rsidRDefault="005C1846" w:rsidP="00EF1051">
            <w:pPr>
              <w:spacing w:before="40" w:after="120"/>
              <w:ind w:right="57"/>
              <w:rPr>
                <w:b/>
                <w:lang w:val="fr-FR"/>
              </w:rPr>
            </w:pPr>
            <w:r w:rsidRPr="005C1846">
              <w:rPr>
                <w:b/>
                <w:lang w:val="fr-FR"/>
              </w:rPr>
              <w:t>Paragraphe 17:</w:t>
            </w:r>
          </w:p>
        </w:tc>
        <w:tc>
          <w:tcPr>
            <w:tcW w:w="6521" w:type="dxa"/>
            <w:shd w:val="clear" w:color="auto" w:fill="auto"/>
          </w:tcPr>
          <w:p w:rsidR="00DF6670" w:rsidRPr="005C1846" w:rsidRDefault="005C1846" w:rsidP="00EF1051">
            <w:pPr>
              <w:spacing w:before="40" w:after="120"/>
              <w:ind w:right="57"/>
              <w:rPr>
                <w:bCs/>
              </w:rPr>
            </w:pPr>
            <w:r w:rsidRPr="005C1846">
              <w:rPr>
                <w:b/>
                <w:bCs/>
              </w:rPr>
              <w:t>L</w:t>
            </w:r>
            <w:r w:rsidR="00AA2481">
              <w:rPr>
                <w:b/>
                <w:bCs/>
              </w:rPr>
              <w:t>’</w:t>
            </w:r>
            <w:r w:rsidRPr="005C1846">
              <w:rPr>
                <w:b/>
                <w:bCs/>
              </w:rPr>
              <w:t>État partie devrait prendre toutes les mesures nécessaires en vue</w:t>
            </w:r>
            <w:r>
              <w:rPr>
                <w:b/>
                <w:bCs/>
              </w:rPr>
              <w:br/>
            </w:r>
            <w:r w:rsidRPr="005C1846">
              <w:rPr>
                <w:b/>
                <w:bCs/>
              </w:rPr>
              <w:t>de garantir l</w:t>
            </w:r>
            <w:r w:rsidR="00AA2481">
              <w:rPr>
                <w:b/>
                <w:bCs/>
              </w:rPr>
              <w:t>’</w:t>
            </w:r>
            <w:r w:rsidRPr="005C1846">
              <w:rPr>
                <w:b/>
                <w:bCs/>
              </w:rPr>
              <w:t>accès à un avocat dès les premières heures de la privation</w:t>
            </w:r>
            <w:r>
              <w:rPr>
                <w:b/>
                <w:bCs/>
              </w:rPr>
              <w:br/>
            </w:r>
            <w:r w:rsidRPr="005C1846">
              <w:rPr>
                <w:b/>
                <w:bCs/>
              </w:rPr>
              <w:t>de liberté, tant dans le cadre de l</w:t>
            </w:r>
            <w:r w:rsidR="00AA2481">
              <w:rPr>
                <w:b/>
                <w:bCs/>
              </w:rPr>
              <w:t>’</w:t>
            </w:r>
            <w:r w:rsidRPr="005C1846">
              <w:rPr>
                <w:b/>
                <w:bCs/>
              </w:rPr>
              <w:t>arrestation judiciaire ou administrative que dans celui de la garde à vue, ainsi que le droit d</w:t>
            </w:r>
            <w:r w:rsidR="00AA2481">
              <w:rPr>
                <w:b/>
                <w:bCs/>
              </w:rPr>
              <w:t>’</w:t>
            </w:r>
            <w:r w:rsidRPr="005C1846">
              <w:rPr>
                <w:b/>
                <w:bCs/>
              </w:rPr>
              <w:t>accès systématique</w:t>
            </w:r>
            <w:r>
              <w:rPr>
                <w:b/>
                <w:bCs/>
              </w:rPr>
              <w:br/>
            </w:r>
            <w:r w:rsidRPr="005C1846">
              <w:rPr>
                <w:b/>
                <w:bCs/>
              </w:rPr>
              <w:t>à un médecin.</w:t>
            </w:r>
          </w:p>
        </w:tc>
      </w:tr>
      <w:tr w:rsidR="00953D60" w:rsidRPr="00FE2D64" w:rsidTr="00566B66">
        <w:tc>
          <w:tcPr>
            <w:tcW w:w="1985" w:type="dxa"/>
            <w:shd w:val="clear" w:color="auto" w:fill="auto"/>
          </w:tcPr>
          <w:p w:rsidR="00953D60" w:rsidRPr="005C1846" w:rsidRDefault="00953D60" w:rsidP="00EF1051">
            <w:pPr>
              <w:spacing w:before="40" w:after="120"/>
              <w:ind w:right="57"/>
              <w:rPr>
                <w:b/>
                <w:lang w:val="fr-FR"/>
              </w:rPr>
            </w:pPr>
          </w:p>
        </w:tc>
        <w:tc>
          <w:tcPr>
            <w:tcW w:w="6521" w:type="dxa"/>
            <w:shd w:val="clear" w:color="auto" w:fill="auto"/>
          </w:tcPr>
          <w:p w:rsidR="00953D60" w:rsidRPr="005C1846" w:rsidRDefault="00953D60" w:rsidP="00EF1051">
            <w:pPr>
              <w:spacing w:before="40" w:after="120"/>
              <w:ind w:right="57"/>
              <w:rPr>
                <w:b/>
                <w:bCs/>
              </w:rPr>
            </w:pPr>
            <w:r w:rsidRPr="00953D60">
              <w:rPr>
                <w:b/>
                <w:bCs/>
              </w:rPr>
              <w:t>Objet du suivi:</w:t>
            </w:r>
            <w:r>
              <w:rPr>
                <w:b/>
                <w:bCs/>
              </w:rPr>
              <w:t xml:space="preserve"> </w:t>
            </w:r>
          </w:p>
        </w:tc>
      </w:tr>
      <w:tr w:rsidR="005C1846" w:rsidRPr="00FE2D64" w:rsidTr="00BB6586">
        <w:trPr>
          <w:cantSplit/>
        </w:trPr>
        <w:tc>
          <w:tcPr>
            <w:tcW w:w="1985" w:type="dxa"/>
            <w:shd w:val="clear" w:color="auto" w:fill="auto"/>
          </w:tcPr>
          <w:p w:rsidR="005C1846" w:rsidRDefault="005C1846" w:rsidP="00EF1051">
            <w:pPr>
              <w:spacing w:before="40" w:after="120"/>
              <w:ind w:right="57"/>
              <w:rPr>
                <w:lang w:val="fr-FR"/>
              </w:rPr>
            </w:pPr>
          </w:p>
        </w:tc>
        <w:tc>
          <w:tcPr>
            <w:tcW w:w="6521" w:type="dxa"/>
            <w:shd w:val="clear" w:color="auto" w:fill="auto"/>
          </w:tcPr>
          <w:p w:rsidR="005C1846" w:rsidRPr="00BB6586" w:rsidRDefault="00BB6586" w:rsidP="00EF1051">
            <w:pPr>
              <w:spacing w:before="40" w:after="120"/>
              <w:ind w:right="57"/>
              <w:rPr>
                <w:b/>
                <w:bCs/>
              </w:rPr>
            </w:pPr>
            <w:r w:rsidRPr="00BB6586">
              <w:rPr>
                <w:bCs/>
              </w:rPr>
              <w:t>Des informations supplémentaires restent nécessaires sur les mesures prises pour mettre en œuvre la législation sur l</w:t>
            </w:r>
            <w:r w:rsidR="00AA2481">
              <w:rPr>
                <w:bCs/>
              </w:rPr>
              <w:t>’</w:t>
            </w:r>
            <w:r w:rsidRPr="00BB6586">
              <w:rPr>
                <w:bCs/>
              </w:rPr>
              <w:t>accès à un avocat et à un médecin dès les premières heures de la privation de liberté.</w:t>
            </w:r>
          </w:p>
        </w:tc>
      </w:tr>
      <w:tr w:rsidR="005C1846" w:rsidRPr="00FE2D64" w:rsidTr="00566B66">
        <w:tc>
          <w:tcPr>
            <w:tcW w:w="1985" w:type="dxa"/>
            <w:shd w:val="clear" w:color="auto" w:fill="auto"/>
          </w:tcPr>
          <w:p w:rsidR="005C1846" w:rsidRDefault="00BB6586" w:rsidP="00EF1051">
            <w:pPr>
              <w:spacing w:before="40" w:after="120"/>
              <w:ind w:right="57"/>
              <w:rPr>
                <w:lang w:val="fr-FR"/>
              </w:rPr>
            </w:pPr>
            <w:r>
              <w:rPr>
                <w:lang w:val="fr-FR"/>
              </w:rPr>
              <w:t>Résumé réponse</w:t>
            </w:r>
            <w:r>
              <w:rPr>
                <w:lang w:val="fr-FR"/>
              </w:rPr>
              <w:br/>
              <w:t xml:space="preserve"> l</w:t>
            </w:r>
            <w:r w:rsidR="00AA2481">
              <w:rPr>
                <w:lang w:val="fr-FR"/>
              </w:rPr>
              <w:t>’</w:t>
            </w:r>
            <w:r>
              <w:rPr>
                <w:lang w:val="fr-FR"/>
              </w:rPr>
              <w:t>État partie:</w:t>
            </w:r>
          </w:p>
        </w:tc>
        <w:tc>
          <w:tcPr>
            <w:tcW w:w="6521" w:type="dxa"/>
            <w:shd w:val="clear" w:color="auto" w:fill="auto"/>
          </w:tcPr>
          <w:p w:rsidR="005C1846" w:rsidRPr="00BB6586" w:rsidRDefault="00BB6586" w:rsidP="00EF1051">
            <w:pPr>
              <w:spacing w:before="40" w:after="120"/>
              <w:ind w:right="57"/>
              <w:rPr>
                <w:bCs/>
                <w:spacing w:val="-2"/>
              </w:rPr>
            </w:pPr>
            <w:r w:rsidRPr="00BB6586">
              <w:rPr>
                <w:bCs/>
                <w:spacing w:val="-2"/>
              </w:rPr>
              <w:t>La mise en œuvre de la loi Salduz (2011) est accompagnée d</w:t>
            </w:r>
            <w:r w:rsidR="00AA2481">
              <w:rPr>
                <w:bCs/>
                <w:spacing w:val="-2"/>
              </w:rPr>
              <w:t>’</w:t>
            </w:r>
            <w:r w:rsidRPr="00BB6586">
              <w:rPr>
                <w:bCs/>
                <w:spacing w:val="-2"/>
              </w:rPr>
              <w:t xml:space="preserve">une évaluation permanente par le Service de </w:t>
            </w:r>
            <w:r w:rsidR="00245FB5">
              <w:rPr>
                <w:bCs/>
                <w:spacing w:val="-2"/>
              </w:rPr>
              <w:t>la P</w:t>
            </w:r>
            <w:r w:rsidRPr="00BB6586">
              <w:rPr>
                <w:bCs/>
                <w:spacing w:val="-2"/>
              </w:rPr>
              <w:t xml:space="preserve">olitique criminelle du </w:t>
            </w:r>
            <w:r w:rsidR="00245FB5">
              <w:rPr>
                <w:bCs/>
                <w:spacing w:val="-2"/>
              </w:rPr>
              <w:t>Service public fédéral (</w:t>
            </w:r>
            <w:r w:rsidRPr="00BB6586">
              <w:rPr>
                <w:bCs/>
                <w:spacing w:val="-2"/>
              </w:rPr>
              <w:t>SPF</w:t>
            </w:r>
            <w:r w:rsidR="00245FB5">
              <w:rPr>
                <w:bCs/>
                <w:spacing w:val="-2"/>
              </w:rPr>
              <w:t>)</w:t>
            </w:r>
            <w:r w:rsidRPr="00BB6586">
              <w:rPr>
                <w:bCs/>
                <w:spacing w:val="-2"/>
              </w:rPr>
              <w:t xml:space="preserve"> Justice. Depuis l</w:t>
            </w:r>
            <w:r w:rsidR="00AA2481">
              <w:rPr>
                <w:bCs/>
                <w:spacing w:val="-2"/>
              </w:rPr>
              <w:t>’</w:t>
            </w:r>
            <w:r w:rsidRPr="00BB6586">
              <w:rPr>
                <w:bCs/>
                <w:spacing w:val="-2"/>
              </w:rPr>
              <w:t>entrée en vigueur de la loi, il a rendu trois rapports (</w:t>
            </w:r>
            <w:hyperlink r:id="rId8" w:history="1">
              <w:r w:rsidRPr="00BB6586">
                <w:rPr>
                  <w:rStyle w:val="Hyperlink"/>
                  <w:bCs/>
                  <w:spacing w:val="-2"/>
                </w:rPr>
                <w:t>http://www.dsb-spc.be/web/</w:t>
              </w:r>
            </w:hyperlink>
            <w:r w:rsidRPr="00BB6586">
              <w:rPr>
                <w:bCs/>
                <w:spacing w:val="-2"/>
              </w:rPr>
              <w:t>).</w:t>
            </w:r>
            <w:r>
              <w:rPr>
                <w:bCs/>
                <w:spacing w:val="-2"/>
              </w:rPr>
              <w:br/>
            </w:r>
            <w:r w:rsidRPr="00BB6586">
              <w:rPr>
                <w:bCs/>
                <w:spacing w:val="-2"/>
              </w:rPr>
              <w:t>Le rapport final est attendu fin janvier 2013. Une réflexion sur le système d</w:t>
            </w:r>
            <w:r w:rsidR="00AA2481">
              <w:rPr>
                <w:bCs/>
                <w:spacing w:val="-2"/>
              </w:rPr>
              <w:t>’</w:t>
            </w:r>
            <w:r w:rsidRPr="00BB6586">
              <w:rPr>
                <w:bCs/>
                <w:spacing w:val="-2"/>
              </w:rPr>
              <w:t>aide juridique gratuite est en cours. Un texte explicatif sur la loi est joint au rapport.</w:t>
            </w:r>
          </w:p>
        </w:tc>
      </w:tr>
      <w:tr w:rsidR="005C1846" w:rsidRPr="00FE2D64" w:rsidTr="00566B66">
        <w:tc>
          <w:tcPr>
            <w:tcW w:w="1985" w:type="dxa"/>
            <w:shd w:val="clear" w:color="auto" w:fill="auto"/>
          </w:tcPr>
          <w:p w:rsidR="005C1846" w:rsidRDefault="008F59C9" w:rsidP="00EF1051">
            <w:pPr>
              <w:keepNext/>
              <w:spacing w:before="40" w:after="120"/>
              <w:ind w:right="57"/>
              <w:rPr>
                <w:lang w:val="fr-FR"/>
              </w:rPr>
            </w:pPr>
            <w:r>
              <w:rPr>
                <w:lang w:val="fr-FR"/>
              </w:rPr>
              <w:t>Informations d</w:t>
            </w:r>
            <w:r w:rsidR="00AA2481">
              <w:rPr>
                <w:lang w:val="fr-FR"/>
              </w:rPr>
              <w:t>’</w:t>
            </w:r>
            <w:r>
              <w:rPr>
                <w:lang w:val="fr-FR"/>
              </w:rPr>
              <w:t>ONG:</w:t>
            </w:r>
          </w:p>
        </w:tc>
        <w:tc>
          <w:tcPr>
            <w:tcW w:w="6521" w:type="dxa"/>
            <w:shd w:val="clear" w:color="auto" w:fill="auto"/>
          </w:tcPr>
          <w:p w:rsidR="005C1846" w:rsidRPr="000F34D6" w:rsidRDefault="008F59C9" w:rsidP="00EF1051">
            <w:pPr>
              <w:keepNext/>
              <w:spacing w:before="40" w:after="120"/>
              <w:ind w:right="57"/>
              <w:rPr>
                <w:bCs/>
                <w:spacing w:val="-2"/>
              </w:rPr>
            </w:pPr>
            <w:r w:rsidRPr="000F34D6">
              <w:rPr>
                <w:bCs/>
                <w:spacing w:val="-2"/>
              </w:rPr>
              <w:t>La loi du 20</w:t>
            </w:r>
            <w:r w:rsidR="0029510F">
              <w:rPr>
                <w:bCs/>
                <w:spacing w:val="-2"/>
              </w:rPr>
              <w:t>/7/</w:t>
            </w:r>
            <w:r w:rsidRPr="000F34D6">
              <w:rPr>
                <w:bCs/>
                <w:spacing w:val="-2"/>
              </w:rPr>
              <w:t>11 n</w:t>
            </w:r>
            <w:r w:rsidR="00AA2481">
              <w:rPr>
                <w:bCs/>
                <w:spacing w:val="-2"/>
              </w:rPr>
              <w:t>’</w:t>
            </w:r>
            <w:r w:rsidRPr="000F34D6">
              <w:rPr>
                <w:bCs/>
                <w:spacing w:val="-2"/>
              </w:rPr>
              <w:t xml:space="preserve">est pas conforme à la jurisprudence de la Cour européenne des </w:t>
            </w:r>
            <w:r w:rsidR="00D80726" w:rsidRPr="000F34D6">
              <w:rPr>
                <w:bCs/>
                <w:spacing w:val="-2"/>
              </w:rPr>
              <w:t>d</w:t>
            </w:r>
            <w:r w:rsidRPr="000F34D6">
              <w:rPr>
                <w:bCs/>
                <w:spacing w:val="-2"/>
              </w:rPr>
              <w:t>roits de l</w:t>
            </w:r>
            <w:r w:rsidR="00AA2481">
              <w:rPr>
                <w:bCs/>
                <w:spacing w:val="-2"/>
              </w:rPr>
              <w:t>’</w:t>
            </w:r>
            <w:r w:rsidRPr="000F34D6">
              <w:rPr>
                <w:bCs/>
                <w:spacing w:val="-2"/>
              </w:rPr>
              <w:t>homme. L</w:t>
            </w:r>
            <w:r w:rsidR="00953D60">
              <w:rPr>
                <w:bCs/>
                <w:spacing w:val="-2"/>
              </w:rPr>
              <w:t>es</w:t>
            </w:r>
            <w:r w:rsidRPr="000F34D6">
              <w:rPr>
                <w:bCs/>
                <w:spacing w:val="-2"/>
              </w:rPr>
              <w:t xml:space="preserve"> droits essentiels ne sont pas assurés</w:t>
            </w:r>
            <w:r w:rsidR="000F34D6" w:rsidRPr="000F34D6">
              <w:rPr>
                <w:bCs/>
                <w:spacing w:val="-2"/>
              </w:rPr>
              <w:t xml:space="preserve"> </w:t>
            </w:r>
            <w:r w:rsidRPr="000F34D6">
              <w:rPr>
                <w:bCs/>
                <w:spacing w:val="-2"/>
              </w:rPr>
              <w:t>(accès au dossier avant l</w:t>
            </w:r>
            <w:r w:rsidR="00AA2481">
              <w:rPr>
                <w:bCs/>
                <w:spacing w:val="-2"/>
              </w:rPr>
              <w:t>’</w:t>
            </w:r>
            <w:r w:rsidRPr="000F34D6">
              <w:rPr>
                <w:bCs/>
                <w:spacing w:val="-2"/>
              </w:rPr>
              <w:t>interrogatoire, assistance d</w:t>
            </w:r>
            <w:r w:rsidR="00AA2481">
              <w:rPr>
                <w:bCs/>
                <w:spacing w:val="-2"/>
              </w:rPr>
              <w:t>’</w:t>
            </w:r>
            <w:r w:rsidRPr="000F34D6">
              <w:rPr>
                <w:bCs/>
                <w:spacing w:val="-2"/>
              </w:rPr>
              <w:t>un avocat dès la première audition, accès à l</w:t>
            </w:r>
            <w:r w:rsidR="00AA2481">
              <w:rPr>
                <w:bCs/>
                <w:spacing w:val="-2"/>
              </w:rPr>
              <w:t>’</w:t>
            </w:r>
            <w:r w:rsidRPr="000F34D6">
              <w:rPr>
                <w:bCs/>
                <w:spacing w:val="-2"/>
              </w:rPr>
              <w:t xml:space="preserve">aide </w:t>
            </w:r>
            <w:r w:rsidR="000F34D6" w:rsidRPr="000F34D6">
              <w:rPr>
                <w:bCs/>
                <w:spacing w:val="-2"/>
              </w:rPr>
              <w:t>juridictionnelle</w:t>
            </w:r>
            <w:r w:rsidRPr="000F34D6">
              <w:rPr>
                <w:bCs/>
                <w:spacing w:val="-2"/>
              </w:rPr>
              <w:t>). Une réforme de la loi de 2011 reste nécessaire.</w:t>
            </w:r>
          </w:p>
        </w:tc>
      </w:tr>
      <w:tr w:rsidR="00BB6586" w:rsidRPr="00FE2D64" w:rsidTr="00566B66">
        <w:tc>
          <w:tcPr>
            <w:tcW w:w="1985" w:type="dxa"/>
            <w:shd w:val="clear" w:color="auto" w:fill="auto"/>
          </w:tcPr>
          <w:p w:rsidR="00BB6586" w:rsidRDefault="00503CA3" w:rsidP="00EF1051">
            <w:pPr>
              <w:spacing w:before="40" w:after="120"/>
              <w:ind w:right="57"/>
              <w:rPr>
                <w:lang w:val="fr-FR"/>
              </w:rPr>
            </w:pPr>
            <w:r>
              <w:rPr>
                <w:lang w:val="fr-FR"/>
              </w:rPr>
              <w:t>Évaluation Comité:</w:t>
            </w:r>
          </w:p>
        </w:tc>
        <w:tc>
          <w:tcPr>
            <w:tcW w:w="6521" w:type="dxa"/>
            <w:shd w:val="clear" w:color="auto" w:fill="auto"/>
          </w:tcPr>
          <w:p w:rsidR="00BB6586" w:rsidRDefault="00503CA3" w:rsidP="001B0721">
            <w:pPr>
              <w:spacing w:before="40" w:after="120"/>
              <w:ind w:right="57"/>
              <w:rPr>
                <w:bCs/>
              </w:rPr>
            </w:pPr>
            <w:r w:rsidRPr="00503CA3">
              <w:rPr>
                <w:b/>
                <w:bCs/>
              </w:rPr>
              <w:t>[B1</w:t>
            </w:r>
            <w:r w:rsidR="00FC7213">
              <w:rPr>
                <w:b/>
                <w:bCs/>
              </w:rPr>
              <w:t xml:space="preserve">] </w:t>
            </w:r>
            <w:r w:rsidRPr="00503CA3">
              <w:rPr>
                <w:bCs/>
              </w:rPr>
              <w:t>Des informations supplémenta</w:t>
            </w:r>
            <w:r w:rsidR="00A338AB">
              <w:rPr>
                <w:bCs/>
              </w:rPr>
              <w:t xml:space="preserve">ires sont requises </w:t>
            </w:r>
            <w:r w:rsidRPr="00503CA3">
              <w:rPr>
                <w:bCs/>
              </w:rPr>
              <w:t>sur</w:t>
            </w:r>
            <w:r w:rsidR="00953D60">
              <w:rPr>
                <w:bCs/>
              </w:rPr>
              <w:t>:</w:t>
            </w:r>
            <w:r w:rsidRPr="00503CA3">
              <w:rPr>
                <w:bCs/>
              </w:rPr>
              <w:t xml:space="preserve"> i)</w:t>
            </w:r>
            <w:r w:rsidR="00A338AB">
              <w:rPr>
                <w:bCs/>
              </w:rPr>
              <w:t> </w:t>
            </w:r>
            <w:r w:rsidRPr="00503CA3">
              <w:rPr>
                <w:bCs/>
              </w:rPr>
              <w:t>les mesures adoptées pour mettre en œuvre les conclusions et recommandations du</w:t>
            </w:r>
            <w:r w:rsidR="00A338AB">
              <w:rPr>
                <w:bCs/>
              </w:rPr>
              <w:t xml:space="preserve"> </w:t>
            </w:r>
            <w:r w:rsidRPr="00503CA3">
              <w:rPr>
                <w:bCs/>
              </w:rPr>
              <w:t xml:space="preserve">Service de </w:t>
            </w:r>
            <w:r w:rsidR="008963F5">
              <w:rPr>
                <w:bCs/>
              </w:rPr>
              <w:t>la P</w:t>
            </w:r>
            <w:r w:rsidRPr="00503CA3">
              <w:rPr>
                <w:bCs/>
              </w:rPr>
              <w:t>olitique criminelle du SPF Justice, principalement quant à l</w:t>
            </w:r>
            <w:r w:rsidR="00AA2481">
              <w:rPr>
                <w:bCs/>
              </w:rPr>
              <w:t>’</w:t>
            </w:r>
            <w:r w:rsidRPr="00503CA3">
              <w:rPr>
                <w:bCs/>
              </w:rPr>
              <w:t>infrastructure et aux ressou</w:t>
            </w:r>
            <w:r w:rsidR="00A338AB">
              <w:rPr>
                <w:bCs/>
              </w:rPr>
              <w:t>rces humaines nécessaires; ii) </w:t>
            </w:r>
            <w:r w:rsidR="00953D60">
              <w:rPr>
                <w:bCs/>
              </w:rPr>
              <w:t>les mécanismes de contrôle</w:t>
            </w:r>
            <w:r w:rsidRPr="00503CA3">
              <w:rPr>
                <w:bCs/>
              </w:rPr>
              <w:t xml:space="preserve"> prévus après la remise du rapport final du SPF en janvier 2013; iii)</w:t>
            </w:r>
            <w:r w:rsidR="00A338AB">
              <w:rPr>
                <w:bCs/>
              </w:rPr>
              <w:t> </w:t>
            </w:r>
            <w:r w:rsidRPr="00503CA3">
              <w:rPr>
                <w:bCs/>
              </w:rPr>
              <w:t xml:space="preserve">les mesures prises pour assurer la </w:t>
            </w:r>
            <w:r w:rsidR="001616E0">
              <w:rPr>
                <w:bCs/>
              </w:rPr>
              <w:t xml:space="preserve">mise en œuvre </w:t>
            </w:r>
            <w:r w:rsidRPr="00503CA3">
              <w:rPr>
                <w:bCs/>
              </w:rPr>
              <w:t xml:space="preserve">de la loi de 2011 </w:t>
            </w:r>
            <w:r w:rsidR="00A338AB">
              <w:rPr>
                <w:bCs/>
              </w:rPr>
              <w:t>(</w:t>
            </w:r>
            <w:r w:rsidRPr="00503CA3">
              <w:rPr>
                <w:bCs/>
              </w:rPr>
              <w:t>«</w:t>
            </w:r>
            <w:r w:rsidRPr="00953D60">
              <w:rPr>
                <w:bCs/>
                <w:i/>
              </w:rPr>
              <w:t>Salduz v.</w:t>
            </w:r>
            <w:r w:rsidR="00A338AB" w:rsidRPr="00953D60">
              <w:rPr>
                <w:bCs/>
                <w:i/>
              </w:rPr>
              <w:t> </w:t>
            </w:r>
            <w:r w:rsidR="001B0721">
              <w:rPr>
                <w:bCs/>
                <w:i/>
              </w:rPr>
              <w:t>Turkey</w:t>
            </w:r>
            <w:r w:rsidRPr="00503CA3">
              <w:rPr>
                <w:bCs/>
              </w:rPr>
              <w:t>»).</w:t>
            </w:r>
          </w:p>
        </w:tc>
      </w:tr>
      <w:tr w:rsidR="00BB6586" w:rsidRPr="00FE2D64" w:rsidTr="00566B66">
        <w:tc>
          <w:tcPr>
            <w:tcW w:w="1985" w:type="dxa"/>
            <w:shd w:val="clear" w:color="auto" w:fill="auto"/>
          </w:tcPr>
          <w:p w:rsidR="00BB6586" w:rsidRPr="00D73ECA" w:rsidRDefault="00D73ECA" w:rsidP="00EF1051">
            <w:pPr>
              <w:spacing w:before="40" w:after="120"/>
              <w:ind w:right="57"/>
              <w:rPr>
                <w:b/>
                <w:lang w:val="fr-FR"/>
              </w:rPr>
            </w:pPr>
            <w:r>
              <w:rPr>
                <w:b/>
                <w:lang w:val="fr-FR"/>
              </w:rPr>
              <w:t>Paragraphe 21:</w:t>
            </w:r>
          </w:p>
        </w:tc>
        <w:tc>
          <w:tcPr>
            <w:tcW w:w="6521" w:type="dxa"/>
            <w:shd w:val="clear" w:color="auto" w:fill="auto"/>
          </w:tcPr>
          <w:p w:rsidR="00BB6586" w:rsidRPr="00D73ECA" w:rsidRDefault="00D73ECA" w:rsidP="00EF1051">
            <w:pPr>
              <w:spacing w:before="40" w:after="120"/>
              <w:ind w:right="57"/>
              <w:rPr>
                <w:bCs/>
              </w:rPr>
            </w:pPr>
            <w:r w:rsidRPr="00D73ECA">
              <w:rPr>
                <w:b/>
                <w:bCs/>
              </w:rPr>
              <w:t>L</w:t>
            </w:r>
            <w:r w:rsidR="00AA2481">
              <w:rPr>
                <w:b/>
                <w:bCs/>
              </w:rPr>
              <w:t>’</w:t>
            </w:r>
            <w:r w:rsidRPr="00D73ECA">
              <w:rPr>
                <w:b/>
                <w:bCs/>
              </w:rPr>
              <w:t>État partie de</w:t>
            </w:r>
            <w:r w:rsidR="00A50C89">
              <w:rPr>
                <w:b/>
                <w:bCs/>
              </w:rPr>
              <w:t>vr</w:t>
            </w:r>
            <w:r w:rsidRPr="00D73ECA">
              <w:rPr>
                <w:b/>
                <w:bCs/>
              </w:rPr>
              <w:t>ait accroître les contrôles exercés sur les opérations d</w:t>
            </w:r>
            <w:r w:rsidR="00AA2481">
              <w:rPr>
                <w:b/>
                <w:bCs/>
              </w:rPr>
              <w:t>’</w:t>
            </w:r>
            <w:r w:rsidRPr="00D73ECA">
              <w:rPr>
                <w:b/>
                <w:bCs/>
              </w:rPr>
              <w:t>expulsion des étrangers et s</w:t>
            </w:r>
            <w:r w:rsidR="00AA2481">
              <w:rPr>
                <w:b/>
                <w:bCs/>
              </w:rPr>
              <w:t>’</w:t>
            </w:r>
            <w:r w:rsidRPr="00D73ECA">
              <w:rPr>
                <w:b/>
                <w:bCs/>
              </w:rPr>
              <w:t>assurer de l</w:t>
            </w:r>
            <w:r w:rsidR="00AA2481">
              <w:rPr>
                <w:b/>
                <w:bCs/>
              </w:rPr>
              <w:t>’</w:t>
            </w:r>
            <w:r w:rsidRPr="00D73ECA">
              <w:rPr>
                <w:b/>
                <w:bCs/>
              </w:rPr>
              <w:t>indépendance et de l</w:t>
            </w:r>
            <w:r w:rsidR="00AA2481">
              <w:rPr>
                <w:b/>
                <w:bCs/>
              </w:rPr>
              <w:t>’</w:t>
            </w:r>
            <w:r w:rsidRPr="00D73ECA">
              <w:rPr>
                <w:b/>
                <w:bCs/>
              </w:rPr>
              <w:t>objectivité des organes chargés de ces contrôles.</w:t>
            </w:r>
          </w:p>
        </w:tc>
      </w:tr>
      <w:tr w:rsidR="00953D60" w:rsidRPr="00FE2D64" w:rsidTr="00566B66">
        <w:tc>
          <w:tcPr>
            <w:tcW w:w="1985" w:type="dxa"/>
            <w:shd w:val="clear" w:color="auto" w:fill="auto"/>
          </w:tcPr>
          <w:p w:rsidR="00953D60" w:rsidRDefault="00953D60" w:rsidP="00EF1051">
            <w:pPr>
              <w:keepNext/>
              <w:spacing w:before="40" w:after="120"/>
              <w:ind w:right="57"/>
              <w:rPr>
                <w:b/>
                <w:lang w:val="fr-FR"/>
              </w:rPr>
            </w:pPr>
          </w:p>
        </w:tc>
        <w:tc>
          <w:tcPr>
            <w:tcW w:w="6521" w:type="dxa"/>
            <w:shd w:val="clear" w:color="auto" w:fill="auto"/>
          </w:tcPr>
          <w:p w:rsidR="00953D60" w:rsidRPr="00D73ECA" w:rsidRDefault="00953D60" w:rsidP="00EF1051">
            <w:pPr>
              <w:keepNext/>
              <w:spacing w:before="40" w:after="120"/>
              <w:ind w:right="57"/>
              <w:rPr>
                <w:b/>
                <w:bCs/>
              </w:rPr>
            </w:pPr>
            <w:r w:rsidRPr="00D73ECA">
              <w:rPr>
                <w:b/>
                <w:bCs/>
              </w:rPr>
              <w:t>Objet du suivi:</w:t>
            </w:r>
            <w:r>
              <w:rPr>
                <w:b/>
                <w:bCs/>
              </w:rPr>
              <w:t xml:space="preserve"> </w:t>
            </w:r>
          </w:p>
        </w:tc>
      </w:tr>
      <w:tr w:rsidR="00503CA3" w:rsidRPr="00FE2D64" w:rsidTr="00566B66">
        <w:tc>
          <w:tcPr>
            <w:tcW w:w="1985" w:type="dxa"/>
            <w:shd w:val="clear" w:color="auto" w:fill="auto"/>
          </w:tcPr>
          <w:p w:rsidR="00503CA3" w:rsidRDefault="00503CA3" w:rsidP="00EF1051">
            <w:pPr>
              <w:spacing w:before="40" w:after="120"/>
              <w:ind w:right="57"/>
              <w:rPr>
                <w:lang w:val="fr-FR"/>
              </w:rPr>
            </w:pPr>
          </w:p>
        </w:tc>
        <w:tc>
          <w:tcPr>
            <w:tcW w:w="6521" w:type="dxa"/>
            <w:shd w:val="clear" w:color="auto" w:fill="auto"/>
          </w:tcPr>
          <w:p w:rsidR="00503CA3" w:rsidRPr="00D73ECA" w:rsidRDefault="00A05035" w:rsidP="00EF1051">
            <w:pPr>
              <w:spacing w:before="40" w:after="120"/>
              <w:ind w:right="57"/>
              <w:rPr>
                <w:b/>
                <w:bCs/>
              </w:rPr>
            </w:pPr>
            <w:r w:rsidRPr="00A05035">
              <w:rPr>
                <w:bCs/>
              </w:rPr>
              <w:t>Informations requises sur les mesures prises pour maintenir</w:t>
            </w:r>
            <w:r w:rsidR="006813AB">
              <w:rPr>
                <w:bCs/>
              </w:rPr>
              <w:br/>
            </w:r>
            <w:r w:rsidRPr="00A05035">
              <w:rPr>
                <w:bCs/>
              </w:rPr>
              <w:t>le niveau de contrôle sur les opérations d</w:t>
            </w:r>
            <w:r w:rsidR="00AA2481">
              <w:rPr>
                <w:bCs/>
              </w:rPr>
              <w:t>’</w:t>
            </w:r>
            <w:r w:rsidRPr="00A05035">
              <w:rPr>
                <w:bCs/>
              </w:rPr>
              <w:t>expulsion à l</w:t>
            </w:r>
            <w:r w:rsidR="00AA2481">
              <w:rPr>
                <w:bCs/>
              </w:rPr>
              <w:t>’</w:t>
            </w:r>
            <w:r w:rsidRPr="00A05035">
              <w:rPr>
                <w:bCs/>
              </w:rPr>
              <w:t>expiration du projet</w:t>
            </w:r>
            <w:r w:rsidR="006813AB">
              <w:rPr>
                <w:bCs/>
              </w:rPr>
              <w:br/>
            </w:r>
            <w:r w:rsidRPr="00A05035">
              <w:rPr>
                <w:bCs/>
              </w:rPr>
              <w:t>de la Commission européenne en 2013.</w:t>
            </w:r>
          </w:p>
        </w:tc>
      </w:tr>
      <w:tr w:rsidR="00503CA3" w:rsidRPr="00FE2D64" w:rsidTr="00566B66">
        <w:tc>
          <w:tcPr>
            <w:tcW w:w="1985" w:type="dxa"/>
            <w:shd w:val="clear" w:color="auto" w:fill="auto"/>
          </w:tcPr>
          <w:p w:rsidR="00503CA3" w:rsidRDefault="005024A8" w:rsidP="00EF1051">
            <w:pPr>
              <w:spacing w:before="40" w:after="120"/>
              <w:ind w:right="57"/>
              <w:rPr>
                <w:lang w:val="fr-FR"/>
              </w:rPr>
            </w:pPr>
            <w:r>
              <w:rPr>
                <w:lang w:val="fr-FR"/>
              </w:rPr>
              <w:t>Résumé réponse</w:t>
            </w:r>
            <w:r>
              <w:rPr>
                <w:lang w:val="fr-FR"/>
              </w:rPr>
              <w:br/>
              <w:t xml:space="preserve"> l</w:t>
            </w:r>
            <w:r w:rsidR="00AA2481">
              <w:rPr>
                <w:lang w:val="fr-FR"/>
              </w:rPr>
              <w:t>’</w:t>
            </w:r>
            <w:r>
              <w:rPr>
                <w:lang w:val="fr-FR"/>
              </w:rPr>
              <w:t>État partie:</w:t>
            </w:r>
          </w:p>
        </w:tc>
        <w:tc>
          <w:tcPr>
            <w:tcW w:w="6521" w:type="dxa"/>
            <w:shd w:val="clear" w:color="auto" w:fill="auto"/>
          </w:tcPr>
          <w:p w:rsidR="00503CA3" w:rsidRPr="001C7EC5" w:rsidRDefault="005024A8" w:rsidP="00EF1051">
            <w:pPr>
              <w:pStyle w:val="Bullet1G"/>
              <w:tabs>
                <w:tab w:val="clear" w:pos="1701"/>
                <w:tab w:val="num" w:pos="284"/>
              </w:tabs>
              <w:ind w:left="284" w:right="57" w:hanging="284"/>
              <w:jc w:val="left"/>
              <w:rPr>
                <w:bCs/>
              </w:rPr>
            </w:pPr>
            <w:r w:rsidRPr="001C7EC5">
              <w:rPr>
                <w:bCs/>
              </w:rPr>
              <w:t>La demande de prolongement des subsides du Fonds européen jusqu</w:t>
            </w:r>
            <w:r w:rsidR="00AA2481" w:rsidRPr="001C7EC5">
              <w:rPr>
                <w:bCs/>
              </w:rPr>
              <w:t>’</w:t>
            </w:r>
            <w:r w:rsidR="000C4FDA" w:rsidRPr="001C7EC5">
              <w:rPr>
                <w:bCs/>
              </w:rPr>
              <w:t>en</w:t>
            </w:r>
            <w:r w:rsidRPr="001C7EC5">
              <w:rPr>
                <w:bCs/>
              </w:rPr>
              <w:t xml:space="preserve"> juin 2015 est en voie d</w:t>
            </w:r>
            <w:r w:rsidR="00AA2481" w:rsidRPr="001C7EC5">
              <w:rPr>
                <w:bCs/>
              </w:rPr>
              <w:t>’</w:t>
            </w:r>
            <w:r w:rsidRPr="001C7EC5">
              <w:rPr>
                <w:bCs/>
              </w:rPr>
              <w:t xml:space="preserve">être complétée. La reconduction du protocole ne devrait pas poser de difficultés. </w:t>
            </w:r>
          </w:p>
        </w:tc>
      </w:tr>
      <w:tr w:rsidR="00A05035" w:rsidRPr="00FE2D64" w:rsidTr="00566B66">
        <w:tc>
          <w:tcPr>
            <w:tcW w:w="1985" w:type="dxa"/>
            <w:shd w:val="clear" w:color="auto" w:fill="auto"/>
          </w:tcPr>
          <w:p w:rsidR="00A05035" w:rsidRDefault="00A05035" w:rsidP="00EF1051">
            <w:pPr>
              <w:spacing w:before="40" w:after="120"/>
              <w:ind w:right="57"/>
              <w:rPr>
                <w:lang w:val="fr-FR"/>
              </w:rPr>
            </w:pPr>
          </w:p>
        </w:tc>
        <w:tc>
          <w:tcPr>
            <w:tcW w:w="6521" w:type="dxa"/>
            <w:shd w:val="clear" w:color="auto" w:fill="auto"/>
          </w:tcPr>
          <w:p w:rsidR="00A05035" w:rsidRPr="001C7EC5" w:rsidRDefault="005024A8" w:rsidP="00EF1051">
            <w:pPr>
              <w:pStyle w:val="Bullet1G"/>
              <w:tabs>
                <w:tab w:val="clear" w:pos="1701"/>
                <w:tab w:val="num" w:pos="284"/>
              </w:tabs>
              <w:ind w:left="284" w:right="57" w:hanging="284"/>
              <w:jc w:val="left"/>
              <w:rPr>
                <w:bCs/>
              </w:rPr>
            </w:pPr>
            <w:r w:rsidRPr="001C7EC5">
              <w:rPr>
                <w:bCs/>
              </w:rPr>
              <w:t>L</w:t>
            </w:r>
            <w:r w:rsidR="00AA2481" w:rsidRPr="001C7EC5">
              <w:rPr>
                <w:bCs/>
              </w:rPr>
              <w:t>’</w:t>
            </w:r>
            <w:r w:rsidRPr="001C7EC5">
              <w:rPr>
                <w:bCs/>
              </w:rPr>
              <w:t xml:space="preserve">Inspection générale de la police </w:t>
            </w:r>
            <w:r w:rsidR="00CD56CF" w:rsidRPr="001C7EC5">
              <w:rPr>
                <w:bCs/>
              </w:rPr>
              <w:t xml:space="preserve">fédérale et de la police locale </w:t>
            </w:r>
            <w:r w:rsidRPr="001C7EC5">
              <w:rPr>
                <w:bCs/>
              </w:rPr>
              <w:t>(AIG) a été confirmée dans son rôle d</w:t>
            </w:r>
            <w:r w:rsidR="00AA2481" w:rsidRPr="001C7EC5">
              <w:rPr>
                <w:bCs/>
              </w:rPr>
              <w:t>’</w:t>
            </w:r>
            <w:r w:rsidRPr="001C7EC5">
              <w:rPr>
                <w:bCs/>
              </w:rPr>
              <w:t xml:space="preserve">organe de contrôle des retours forcés (loi de janvier 2012). Sa compétence devrait être élargie pour contrôler le processus des retours forcés. </w:t>
            </w:r>
          </w:p>
        </w:tc>
      </w:tr>
      <w:tr w:rsidR="00A05035" w:rsidRPr="00FE2D64" w:rsidTr="00566B66">
        <w:tc>
          <w:tcPr>
            <w:tcW w:w="1985" w:type="dxa"/>
            <w:shd w:val="clear" w:color="auto" w:fill="auto"/>
          </w:tcPr>
          <w:p w:rsidR="00A05035" w:rsidRDefault="00A05035" w:rsidP="00EF1051">
            <w:pPr>
              <w:spacing w:before="40" w:after="120"/>
              <w:ind w:right="57"/>
              <w:rPr>
                <w:lang w:val="fr-FR"/>
              </w:rPr>
            </w:pPr>
          </w:p>
        </w:tc>
        <w:tc>
          <w:tcPr>
            <w:tcW w:w="6521" w:type="dxa"/>
            <w:shd w:val="clear" w:color="auto" w:fill="auto"/>
          </w:tcPr>
          <w:p w:rsidR="00A05035" w:rsidRDefault="005024A8" w:rsidP="00EF1051">
            <w:pPr>
              <w:pStyle w:val="Bullet1G"/>
              <w:tabs>
                <w:tab w:val="clear" w:pos="1701"/>
                <w:tab w:val="num" w:pos="284"/>
              </w:tabs>
              <w:ind w:left="284" w:right="57" w:hanging="284"/>
              <w:jc w:val="left"/>
              <w:rPr>
                <w:bCs/>
              </w:rPr>
            </w:pPr>
            <w:r w:rsidRPr="005024A8">
              <w:rPr>
                <w:bCs/>
              </w:rPr>
              <w:t>Le nombre de contrôles opérés par l</w:t>
            </w:r>
            <w:r w:rsidR="00AA2481">
              <w:rPr>
                <w:bCs/>
              </w:rPr>
              <w:t>’</w:t>
            </w:r>
            <w:r w:rsidRPr="005024A8">
              <w:rPr>
                <w:bCs/>
              </w:rPr>
              <w:t>AIG continue à augmenter. Le</w:t>
            </w:r>
            <w:r>
              <w:rPr>
                <w:bCs/>
              </w:rPr>
              <w:t> </w:t>
            </w:r>
            <w:r w:rsidRPr="005024A8">
              <w:rPr>
                <w:bCs/>
              </w:rPr>
              <w:t>nombre de plaintes déposées est assez constant (AIG: 6 de 2006 à 2012; Comité</w:t>
            </w:r>
            <w:r>
              <w:rPr>
                <w:bCs/>
              </w:rPr>
              <w:t> </w:t>
            </w:r>
            <w:r w:rsidRPr="005024A8">
              <w:rPr>
                <w:bCs/>
              </w:rPr>
              <w:t>P: 6</w:t>
            </w:r>
            <w:r>
              <w:rPr>
                <w:bCs/>
              </w:rPr>
              <w:t> </w:t>
            </w:r>
            <w:r w:rsidR="000C4FDA">
              <w:rPr>
                <w:bCs/>
              </w:rPr>
              <w:t>p</w:t>
            </w:r>
            <w:r w:rsidRPr="005024A8">
              <w:rPr>
                <w:bCs/>
              </w:rPr>
              <w:t>laintes en 2010 et 4</w:t>
            </w:r>
            <w:r w:rsidR="000C4FDA">
              <w:rPr>
                <w:bCs/>
              </w:rPr>
              <w:t> </w:t>
            </w:r>
            <w:r w:rsidRPr="005024A8">
              <w:rPr>
                <w:bCs/>
              </w:rPr>
              <w:t>en 2011).</w:t>
            </w:r>
          </w:p>
        </w:tc>
      </w:tr>
      <w:tr w:rsidR="005024A8" w:rsidRPr="00FE2D64" w:rsidTr="00566B66">
        <w:tc>
          <w:tcPr>
            <w:tcW w:w="1985" w:type="dxa"/>
            <w:shd w:val="clear" w:color="auto" w:fill="auto"/>
          </w:tcPr>
          <w:p w:rsidR="005024A8" w:rsidRDefault="000C4FDA" w:rsidP="00EF1051">
            <w:pPr>
              <w:spacing w:before="40" w:after="120"/>
              <w:ind w:right="57"/>
              <w:rPr>
                <w:lang w:val="fr-FR"/>
              </w:rPr>
            </w:pPr>
            <w:r>
              <w:rPr>
                <w:lang w:val="fr-FR"/>
              </w:rPr>
              <w:t>Informations d</w:t>
            </w:r>
            <w:r w:rsidR="00AA2481">
              <w:rPr>
                <w:lang w:val="fr-FR"/>
              </w:rPr>
              <w:t>’</w:t>
            </w:r>
            <w:r>
              <w:rPr>
                <w:lang w:val="fr-FR"/>
              </w:rPr>
              <w:t>ONG:</w:t>
            </w:r>
          </w:p>
        </w:tc>
        <w:tc>
          <w:tcPr>
            <w:tcW w:w="6521" w:type="dxa"/>
            <w:shd w:val="clear" w:color="auto" w:fill="auto"/>
          </w:tcPr>
          <w:p w:rsidR="005024A8" w:rsidRPr="000C4FDA" w:rsidRDefault="000C4FDA" w:rsidP="001C7EC5">
            <w:pPr>
              <w:pStyle w:val="Bullet1G"/>
              <w:numPr>
                <w:ilvl w:val="0"/>
                <w:numId w:val="0"/>
              </w:numPr>
              <w:ind w:right="57"/>
              <w:jc w:val="left"/>
              <w:rPr>
                <w:bCs/>
                <w:spacing w:val="-2"/>
              </w:rPr>
            </w:pPr>
            <w:r w:rsidRPr="000C4FDA">
              <w:rPr>
                <w:bCs/>
                <w:spacing w:val="-2"/>
              </w:rPr>
              <w:t>Un projet de loi prévoit la mise en place d</w:t>
            </w:r>
            <w:r w:rsidR="00AA2481">
              <w:rPr>
                <w:bCs/>
                <w:spacing w:val="-2"/>
              </w:rPr>
              <w:t>’</w:t>
            </w:r>
            <w:r w:rsidRPr="000C4FDA">
              <w:rPr>
                <w:bCs/>
                <w:spacing w:val="-2"/>
              </w:rPr>
              <w:t>un contrôle par une instance, qui devrait être totalement indépendante des services de police. L</w:t>
            </w:r>
            <w:r w:rsidR="00AA2481">
              <w:rPr>
                <w:bCs/>
                <w:spacing w:val="-2"/>
              </w:rPr>
              <w:t>’</w:t>
            </w:r>
            <w:r w:rsidRPr="000C4FDA">
              <w:rPr>
                <w:bCs/>
                <w:spacing w:val="-2"/>
              </w:rPr>
              <w:t>AIG, actuellement en charge du contrôle, ne devrait pas être désignée. Des cas de brutalités excessives au cours d</w:t>
            </w:r>
            <w:r w:rsidR="00AA2481">
              <w:rPr>
                <w:bCs/>
                <w:spacing w:val="-2"/>
              </w:rPr>
              <w:t>’</w:t>
            </w:r>
            <w:r w:rsidRPr="000C4FDA">
              <w:rPr>
                <w:bCs/>
                <w:spacing w:val="-2"/>
              </w:rPr>
              <w:t>expulsions continuent à être enregistrés.</w:t>
            </w:r>
          </w:p>
        </w:tc>
      </w:tr>
      <w:tr w:rsidR="000C4FDA" w:rsidRPr="00FE2D64" w:rsidTr="00566B66">
        <w:tc>
          <w:tcPr>
            <w:tcW w:w="1985" w:type="dxa"/>
            <w:shd w:val="clear" w:color="auto" w:fill="auto"/>
          </w:tcPr>
          <w:p w:rsidR="000C4FDA" w:rsidRDefault="00805C6F" w:rsidP="00EF1051">
            <w:pPr>
              <w:spacing w:before="40" w:after="120"/>
              <w:ind w:right="57"/>
              <w:rPr>
                <w:lang w:val="fr-FR"/>
              </w:rPr>
            </w:pPr>
            <w:r>
              <w:rPr>
                <w:lang w:val="fr-FR"/>
              </w:rPr>
              <w:t>Évaluation Comité:</w:t>
            </w:r>
          </w:p>
        </w:tc>
        <w:tc>
          <w:tcPr>
            <w:tcW w:w="6521" w:type="dxa"/>
            <w:shd w:val="clear" w:color="auto" w:fill="auto"/>
          </w:tcPr>
          <w:p w:rsidR="000C4FDA" w:rsidRDefault="00805C6F" w:rsidP="005D52CD">
            <w:pPr>
              <w:spacing w:before="40" w:after="120"/>
              <w:ind w:right="57"/>
              <w:rPr>
                <w:bCs/>
              </w:rPr>
            </w:pPr>
            <w:r w:rsidRPr="00805C6F">
              <w:rPr>
                <w:b/>
                <w:bCs/>
              </w:rPr>
              <w:t>[B</w:t>
            </w:r>
            <w:r w:rsidR="005D52CD">
              <w:rPr>
                <w:b/>
                <w:bCs/>
              </w:rPr>
              <w:t>2</w:t>
            </w:r>
            <w:r w:rsidR="00FC7213">
              <w:rPr>
                <w:b/>
                <w:bCs/>
              </w:rPr>
              <w:t xml:space="preserve">] </w:t>
            </w:r>
            <w:r w:rsidRPr="00805C6F">
              <w:rPr>
                <w:bCs/>
              </w:rPr>
              <w:t>Des informations</w:t>
            </w:r>
            <w:r w:rsidR="005D52CD">
              <w:rPr>
                <w:bCs/>
              </w:rPr>
              <w:t xml:space="preserve"> complémentaires</w:t>
            </w:r>
            <w:r w:rsidRPr="00805C6F">
              <w:rPr>
                <w:bCs/>
              </w:rPr>
              <w:t xml:space="preserve"> sont requises</w:t>
            </w:r>
            <w:r>
              <w:rPr>
                <w:bCs/>
              </w:rPr>
              <w:t xml:space="preserve"> </w:t>
            </w:r>
            <w:r w:rsidRPr="00805C6F">
              <w:rPr>
                <w:bCs/>
              </w:rPr>
              <w:t>sur</w:t>
            </w:r>
            <w:r>
              <w:rPr>
                <w:bCs/>
              </w:rPr>
              <w:t> </w:t>
            </w:r>
            <w:r w:rsidRPr="00805C6F">
              <w:rPr>
                <w:bCs/>
              </w:rPr>
              <w:t>l</w:t>
            </w:r>
            <w:r w:rsidR="00AA2481">
              <w:rPr>
                <w:bCs/>
              </w:rPr>
              <w:t>’</w:t>
            </w:r>
            <w:r w:rsidRPr="00805C6F">
              <w:rPr>
                <w:bCs/>
              </w:rPr>
              <w:t>issue de la présentation du projet de prolongement des s</w:t>
            </w:r>
            <w:r w:rsidR="00944744">
              <w:rPr>
                <w:bCs/>
              </w:rPr>
              <w:t>ubsides du Fonds européen jusqu</w:t>
            </w:r>
            <w:r w:rsidR="00AA2481">
              <w:rPr>
                <w:bCs/>
              </w:rPr>
              <w:t>’</w:t>
            </w:r>
            <w:r w:rsidR="00944744">
              <w:rPr>
                <w:bCs/>
              </w:rPr>
              <w:t>en</w:t>
            </w:r>
            <w:r w:rsidRPr="00805C6F">
              <w:rPr>
                <w:bCs/>
              </w:rPr>
              <w:t xml:space="preserve"> juin 2015</w:t>
            </w:r>
            <w:r w:rsidR="005D52CD">
              <w:rPr>
                <w:bCs/>
              </w:rPr>
              <w:t>. Le Comité considère par ailleurs nécessaire que l’</w:t>
            </w:r>
            <w:r w:rsidR="00832575">
              <w:rPr>
                <w:bCs/>
              </w:rPr>
              <w:t>É</w:t>
            </w:r>
            <w:r w:rsidR="005D52CD">
              <w:rPr>
                <w:bCs/>
              </w:rPr>
              <w:t xml:space="preserve">tat partie  instaure un organe de contrôle des retours forcés qui soit </w:t>
            </w:r>
            <w:r w:rsidR="00944744" w:rsidRPr="00805C6F">
              <w:rPr>
                <w:bCs/>
              </w:rPr>
              <w:t>complètement</w:t>
            </w:r>
            <w:r w:rsidRPr="00805C6F">
              <w:rPr>
                <w:bCs/>
              </w:rPr>
              <w:t xml:space="preserve"> indépendante des services de police</w:t>
            </w:r>
            <w:r w:rsidR="005D52CD">
              <w:rPr>
                <w:bCs/>
              </w:rPr>
              <w:t xml:space="preserve"> et requiert que des informations lui soient transmises sur les mesures prises en la matière</w:t>
            </w:r>
            <w:r w:rsidRPr="00805C6F">
              <w:rPr>
                <w:bCs/>
              </w:rPr>
              <w:t>.</w:t>
            </w:r>
          </w:p>
        </w:tc>
      </w:tr>
      <w:tr w:rsidR="00805C6F" w:rsidRPr="00FE2D64" w:rsidTr="009E0EEC">
        <w:tc>
          <w:tcPr>
            <w:tcW w:w="1985" w:type="dxa"/>
            <w:shd w:val="clear" w:color="auto" w:fill="auto"/>
          </w:tcPr>
          <w:p w:rsidR="00805C6F" w:rsidRDefault="00944744" w:rsidP="00EF1051">
            <w:pPr>
              <w:spacing w:before="40" w:after="120"/>
              <w:ind w:right="57"/>
              <w:rPr>
                <w:lang w:val="fr-FR"/>
              </w:rPr>
            </w:pPr>
            <w:r>
              <w:rPr>
                <w:lang w:val="fr-FR"/>
              </w:rPr>
              <w:t>Mesure recommandée:</w:t>
            </w:r>
          </w:p>
        </w:tc>
        <w:tc>
          <w:tcPr>
            <w:tcW w:w="6521" w:type="dxa"/>
            <w:shd w:val="clear" w:color="auto" w:fill="auto"/>
          </w:tcPr>
          <w:p w:rsidR="00805C6F" w:rsidRDefault="00944744" w:rsidP="00EF1051">
            <w:pPr>
              <w:spacing w:before="40" w:after="120"/>
              <w:ind w:right="57"/>
              <w:rPr>
                <w:bCs/>
              </w:rPr>
            </w:pPr>
            <w:r>
              <w:rPr>
                <w:bCs/>
              </w:rPr>
              <w:t>Lettre présentant l</w:t>
            </w:r>
            <w:r w:rsidR="00AA2481">
              <w:rPr>
                <w:bCs/>
              </w:rPr>
              <w:t>’</w:t>
            </w:r>
            <w:r>
              <w:rPr>
                <w:bCs/>
              </w:rPr>
              <w:t>analyse du Comité</w:t>
            </w:r>
            <w:r w:rsidR="00A54367">
              <w:rPr>
                <w:bCs/>
              </w:rPr>
              <w:t xml:space="preserve"> et sollicitant l’inclusion d’informations supplémentaires dans le prochain rapport périodique.</w:t>
            </w:r>
          </w:p>
        </w:tc>
      </w:tr>
      <w:tr w:rsidR="00805C6F" w:rsidRPr="00FE2D64" w:rsidTr="009E0EEC">
        <w:tc>
          <w:tcPr>
            <w:tcW w:w="1985" w:type="dxa"/>
            <w:tcBorders>
              <w:bottom w:val="single" w:sz="12" w:space="0" w:color="auto"/>
            </w:tcBorders>
            <w:shd w:val="clear" w:color="auto" w:fill="auto"/>
          </w:tcPr>
          <w:p w:rsidR="00805C6F" w:rsidRDefault="00944744" w:rsidP="00EF1051">
            <w:pPr>
              <w:spacing w:before="40" w:after="120"/>
              <w:ind w:right="57"/>
              <w:rPr>
                <w:lang w:val="fr-FR"/>
              </w:rPr>
            </w:pPr>
            <w:r>
              <w:rPr>
                <w:lang w:val="fr-FR"/>
              </w:rPr>
              <w:t>Prochain rapport</w:t>
            </w:r>
            <w:r>
              <w:rPr>
                <w:lang w:val="fr-FR"/>
              </w:rPr>
              <w:br/>
              <w:t>périodique:</w:t>
            </w:r>
          </w:p>
        </w:tc>
        <w:tc>
          <w:tcPr>
            <w:tcW w:w="6521" w:type="dxa"/>
            <w:tcBorders>
              <w:bottom w:val="single" w:sz="12" w:space="0" w:color="auto"/>
            </w:tcBorders>
            <w:shd w:val="clear" w:color="auto" w:fill="auto"/>
          </w:tcPr>
          <w:p w:rsidR="00805C6F" w:rsidRDefault="00944744" w:rsidP="00EF1051">
            <w:pPr>
              <w:spacing w:before="40" w:after="120"/>
              <w:ind w:right="57"/>
              <w:rPr>
                <w:bCs/>
              </w:rPr>
            </w:pPr>
            <w:r>
              <w:rPr>
                <w:bCs/>
              </w:rPr>
              <w:t>30 octobre 2015</w:t>
            </w:r>
          </w:p>
        </w:tc>
      </w:tr>
    </w:tbl>
    <w:p w:rsidR="009E0EEC" w:rsidRDefault="009E0EEC" w:rsidP="009E0EEC">
      <w:pPr>
        <w:spacing w:after="120"/>
      </w:pPr>
    </w:p>
    <w:tbl>
      <w:tblPr>
        <w:tblW w:w="8506" w:type="dxa"/>
        <w:tblInd w:w="1134" w:type="dxa"/>
        <w:tblLayout w:type="fixed"/>
        <w:tblCellMar>
          <w:left w:w="0" w:type="dxa"/>
          <w:right w:w="0" w:type="dxa"/>
        </w:tblCellMar>
        <w:tblLook w:val="00A0"/>
      </w:tblPr>
      <w:tblGrid>
        <w:gridCol w:w="1985"/>
        <w:gridCol w:w="6521"/>
      </w:tblGrid>
      <w:tr w:rsidR="009E0EEC" w:rsidRPr="00FE2D64" w:rsidTr="00566B66">
        <w:trPr>
          <w:tblHeader/>
        </w:trPr>
        <w:tc>
          <w:tcPr>
            <w:tcW w:w="1985" w:type="dxa"/>
            <w:tcBorders>
              <w:top w:val="single" w:sz="4" w:space="0" w:color="auto"/>
              <w:bottom w:val="single" w:sz="12" w:space="0" w:color="auto"/>
            </w:tcBorders>
            <w:shd w:val="clear" w:color="auto" w:fill="auto"/>
            <w:vAlign w:val="bottom"/>
          </w:tcPr>
          <w:p w:rsidR="009E0EEC" w:rsidRPr="00FE2D64" w:rsidRDefault="009E0EEC" w:rsidP="00EF1051">
            <w:pPr>
              <w:keepNext/>
              <w:spacing w:before="80" w:after="80" w:line="200" w:lineRule="exact"/>
              <w:ind w:right="57"/>
              <w:rPr>
                <w:i/>
                <w:sz w:val="16"/>
              </w:rPr>
            </w:pPr>
            <w:r>
              <w:rPr>
                <w:i/>
                <w:sz w:val="16"/>
              </w:rPr>
              <w:t>Hongrie</w:t>
            </w:r>
          </w:p>
        </w:tc>
        <w:tc>
          <w:tcPr>
            <w:tcW w:w="6521" w:type="dxa"/>
            <w:tcBorders>
              <w:top w:val="single" w:sz="4" w:space="0" w:color="auto"/>
              <w:bottom w:val="single" w:sz="12" w:space="0" w:color="auto"/>
            </w:tcBorders>
            <w:shd w:val="clear" w:color="auto" w:fill="auto"/>
            <w:vAlign w:val="bottom"/>
          </w:tcPr>
          <w:p w:rsidR="009E0EEC" w:rsidRPr="00FE2D64" w:rsidRDefault="009E0EEC" w:rsidP="00EF1051">
            <w:pPr>
              <w:keepNext/>
              <w:spacing w:before="80" w:after="80" w:line="200" w:lineRule="exact"/>
              <w:ind w:right="57"/>
              <w:rPr>
                <w:i/>
                <w:sz w:val="16"/>
              </w:rPr>
            </w:pPr>
          </w:p>
        </w:tc>
      </w:tr>
      <w:tr w:rsidR="009E0EEC" w:rsidRPr="00FE2D64" w:rsidTr="00566B66">
        <w:trPr>
          <w:trHeight w:hRule="exact" w:val="113"/>
          <w:tblHeader/>
        </w:trPr>
        <w:tc>
          <w:tcPr>
            <w:tcW w:w="1985" w:type="dxa"/>
            <w:tcBorders>
              <w:top w:val="single" w:sz="12" w:space="0" w:color="auto"/>
            </w:tcBorders>
            <w:shd w:val="clear" w:color="auto" w:fill="auto"/>
          </w:tcPr>
          <w:p w:rsidR="009E0EEC" w:rsidRPr="00FE2D64" w:rsidRDefault="009E0EEC" w:rsidP="00EF1051">
            <w:pPr>
              <w:keepNext/>
              <w:spacing w:before="40" w:after="120"/>
              <w:ind w:right="57"/>
            </w:pPr>
          </w:p>
        </w:tc>
        <w:tc>
          <w:tcPr>
            <w:tcW w:w="6521" w:type="dxa"/>
            <w:tcBorders>
              <w:top w:val="single" w:sz="12" w:space="0" w:color="auto"/>
            </w:tcBorders>
            <w:shd w:val="clear" w:color="auto" w:fill="auto"/>
          </w:tcPr>
          <w:p w:rsidR="009E0EEC" w:rsidRPr="00FE2D64" w:rsidRDefault="009E0EEC" w:rsidP="00EF1051">
            <w:pPr>
              <w:keepNext/>
              <w:spacing w:before="40" w:after="120"/>
              <w:ind w:right="57"/>
            </w:pPr>
          </w:p>
        </w:tc>
      </w:tr>
      <w:tr w:rsidR="009E0EEC" w:rsidRPr="00FE2D64" w:rsidTr="00566B66">
        <w:tc>
          <w:tcPr>
            <w:tcW w:w="1985" w:type="dxa"/>
            <w:shd w:val="clear" w:color="auto" w:fill="auto"/>
          </w:tcPr>
          <w:p w:rsidR="009E0EEC" w:rsidRPr="001C28EE" w:rsidRDefault="009E0EEC" w:rsidP="00EF1051">
            <w:pPr>
              <w:spacing w:before="40" w:after="120"/>
              <w:ind w:right="57"/>
            </w:pPr>
            <w:r w:rsidRPr="001C28EE">
              <w:t>Observations finales</w:t>
            </w:r>
          </w:p>
        </w:tc>
        <w:tc>
          <w:tcPr>
            <w:tcW w:w="6521" w:type="dxa"/>
            <w:shd w:val="clear" w:color="auto" w:fill="auto"/>
          </w:tcPr>
          <w:p w:rsidR="009E0EEC" w:rsidRPr="001C28EE" w:rsidRDefault="001C28EE" w:rsidP="00EF1051">
            <w:pPr>
              <w:spacing w:before="40" w:after="120"/>
              <w:ind w:right="57"/>
            </w:pPr>
            <w:r w:rsidRPr="00C7498A">
              <w:t>CCPR/C/HUN/CO/5</w:t>
            </w:r>
            <w:r w:rsidRPr="001C28EE">
              <w:t xml:space="preserve">, </w:t>
            </w:r>
            <w:r w:rsidR="00442780" w:rsidRPr="001C28EE">
              <w:t>adoptées</w:t>
            </w:r>
            <w:r w:rsidRPr="001C28EE">
              <w:t xml:space="preserve"> le 29</w:t>
            </w:r>
            <w:r w:rsidR="0029510F">
              <w:t>/10/</w:t>
            </w:r>
            <w:r w:rsidRPr="001C28EE">
              <w:t xml:space="preserve">10 </w:t>
            </w:r>
          </w:p>
        </w:tc>
      </w:tr>
      <w:tr w:rsidR="009E0EEC" w:rsidRPr="00FE2D64" w:rsidTr="00566B66">
        <w:tc>
          <w:tcPr>
            <w:tcW w:w="1985" w:type="dxa"/>
            <w:shd w:val="clear" w:color="auto" w:fill="auto"/>
          </w:tcPr>
          <w:p w:rsidR="009E0EEC" w:rsidRPr="001C28EE" w:rsidRDefault="009E0EEC" w:rsidP="00EF1051">
            <w:pPr>
              <w:spacing w:before="40" w:after="120"/>
              <w:ind w:right="57"/>
            </w:pPr>
            <w:r w:rsidRPr="001C28EE">
              <w:t>Paragraphes faisant l</w:t>
            </w:r>
            <w:r w:rsidR="00AA2481">
              <w:t>’</w:t>
            </w:r>
            <w:r w:rsidRPr="001C28EE">
              <w:t>objet d</w:t>
            </w:r>
            <w:r w:rsidR="00AA2481">
              <w:t>’</w:t>
            </w:r>
            <w:r w:rsidRPr="001C28EE">
              <w:t xml:space="preserve">un suivi: </w:t>
            </w:r>
          </w:p>
        </w:tc>
        <w:tc>
          <w:tcPr>
            <w:tcW w:w="6521" w:type="dxa"/>
            <w:shd w:val="clear" w:color="auto" w:fill="auto"/>
          </w:tcPr>
          <w:p w:rsidR="009E0EEC" w:rsidRPr="001C28EE" w:rsidRDefault="00442780" w:rsidP="00EF1051">
            <w:pPr>
              <w:spacing w:before="40" w:after="120"/>
              <w:ind w:right="57"/>
              <w:rPr>
                <w:bCs/>
              </w:rPr>
            </w:pPr>
            <w:r>
              <w:rPr>
                <w:bCs/>
              </w:rPr>
              <w:t>6, 15, 18</w:t>
            </w:r>
          </w:p>
        </w:tc>
      </w:tr>
      <w:tr w:rsidR="00442780" w:rsidRPr="00FE2D64" w:rsidTr="00566B66">
        <w:tc>
          <w:tcPr>
            <w:tcW w:w="1985" w:type="dxa"/>
            <w:shd w:val="clear" w:color="auto" w:fill="auto"/>
          </w:tcPr>
          <w:p w:rsidR="00442780" w:rsidRPr="001C28EE" w:rsidRDefault="00442780" w:rsidP="00EF1051">
            <w:pPr>
              <w:spacing w:before="40" w:after="120"/>
              <w:ind w:right="57"/>
            </w:pPr>
            <w:r w:rsidRPr="00953D60">
              <w:t>Première réponse</w:t>
            </w:r>
            <w:r w:rsidRPr="00953D60">
              <w:br/>
              <w:t>de l</w:t>
            </w:r>
            <w:r w:rsidR="00AA2481">
              <w:t>’</w:t>
            </w:r>
            <w:r w:rsidRPr="00953D60">
              <w:t>État partie:</w:t>
            </w:r>
          </w:p>
        </w:tc>
        <w:tc>
          <w:tcPr>
            <w:tcW w:w="6521" w:type="dxa"/>
            <w:shd w:val="clear" w:color="auto" w:fill="auto"/>
          </w:tcPr>
          <w:p w:rsidR="00442780" w:rsidRDefault="00442780" w:rsidP="00EF1051">
            <w:pPr>
              <w:spacing w:before="40" w:after="120"/>
              <w:ind w:right="57"/>
              <w:rPr>
                <w:bCs/>
              </w:rPr>
            </w:pPr>
            <w:r w:rsidRPr="00442780">
              <w:rPr>
                <w:bCs/>
              </w:rPr>
              <w:t>Attendue le 26</w:t>
            </w:r>
            <w:r w:rsidR="0029510F">
              <w:rPr>
                <w:bCs/>
              </w:rPr>
              <w:t>/10/</w:t>
            </w:r>
            <w:r w:rsidRPr="00442780">
              <w:rPr>
                <w:bCs/>
              </w:rPr>
              <w:t xml:space="preserve">11 </w:t>
            </w:r>
            <w:r>
              <w:rPr>
                <w:bCs/>
              </w:rPr>
              <w:t>−</w:t>
            </w:r>
            <w:r w:rsidRPr="00442780">
              <w:rPr>
                <w:bCs/>
              </w:rPr>
              <w:t xml:space="preserve"> Reçue le 15</w:t>
            </w:r>
            <w:r w:rsidR="0029510F">
              <w:rPr>
                <w:bCs/>
              </w:rPr>
              <w:t>/8/</w:t>
            </w:r>
            <w:r w:rsidRPr="00442780">
              <w:rPr>
                <w:bCs/>
              </w:rPr>
              <w:t>12, après lettre de rappel envoyée le 30</w:t>
            </w:r>
            <w:r w:rsidR="0029510F">
              <w:rPr>
                <w:bCs/>
              </w:rPr>
              <w:t>/4/</w:t>
            </w:r>
            <w:r w:rsidRPr="00442780">
              <w:rPr>
                <w:bCs/>
              </w:rPr>
              <w:t>12</w:t>
            </w:r>
          </w:p>
        </w:tc>
      </w:tr>
      <w:tr w:rsidR="00442780" w:rsidRPr="00442780" w:rsidTr="00566B66">
        <w:tc>
          <w:tcPr>
            <w:tcW w:w="1985" w:type="dxa"/>
            <w:shd w:val="clear" w:color="auto" w:fill="auto"/>
          </w:tcPr>
          <w:p w:rsidR="00442780" w:rsidRPr="00442780" w:rsidRDefault="00442780" w:rsidP="00EF1051">
            <w:pPr>
              <w:spacing w:before="40" w:after="120"/>
              <w:ind w:right="57"/>
            </w:pPr>
            <w:r w:rsidRPr="00442780">
              <w:t>Informations d</w:t>
            </w:r>
            <w:r w:rsidR="00AA2481">
              <w:t>’</w:t>
            </w:r>
            <w:r w:rsidRPr="00442780">
              <w:t>ONG:</w:t>
            </w:r>
          </w:p>
        </w:tc>
        <w:tc>
          <w:tcPr>
            <w:tcW w:w="6521" w:type="dxa"/>
            <w:shd w:val="clear" w:color="auto" w:fill="auto"/>
          </w:tcPr>
          <w:p w:rsidR="00442780" w:rsidRPr="00442780" w:rsidRDefault="00442780" w:rsidP="00EF1051">
            <w:pPr>
              <w:spacing w:before="40" w:after="120"/>
              <w:ind w:right="57"/>
              <w:rPr>
                <w:bCs/>
              </w:rPr>
            </w:pPr>
            <w:r w:rsidRPr="00442780">
              <w:rPr>
                <w:bCs/>
              </w:rPr>
              <w:t>Hungarian Liberties Uni</w:t>
            </w:r>
            <w:r w:rsidR="00953D60">
              <w:rPr>
                <w:bCs/>
              </w:rPr>
              <w:t>on et CCPR Center, janvier 2012</w:t>
            </w:r>
          </w:p>
        </w:tc>
      </w:tr>
      <w:tr w:rsidR="00442780" w:rsidRPr="00FE2D64" w:rsidTr="00566B66">
        <w:tc>
          <w:tcPr>
            <w:tcW w:w="1985" w:type="dxa"/>
            <w:shd w:val="clear" w:color="auto" w:fill="auto"/>
          </w:tcPr>
          <w:p w:rsidR="00442780" w:rsidRPr="00442780" w:rsidRDefault="00442780" w:rsidP="00EF1051">
            <w:pPr>
              <w:spacing w:before="40" w:after="120"/>
              <w:ind w:right="57"/>
              <w:rPr>
                <w:b/>
              </w:rPr>
            </w:pPr>
            <w:r w:rsidRPr="00442780">
              <w:rPr>
                <w:b/>
              </w:rPr>
              <w:t>Paragraphe 6:</w:t>
            </w:r>
          </w:p>
        </w:tc>
        <w:tc>
          <w:tcPr>
            <w:tcW w:w="6521" w:type="dxa"/>
            <w:shd w:val="clear" w:color="auto" w:fill="auto"/>
          </w:tcPr>
          <w:p w:rsidR="00442780" w:rsidRPr="00442780" w:rsidRDefault="00442780" w:rsidP="00EF1051">
            <w:pPr>
              <w:spacing w:before="40" w:after="120"/>
              <w:ind w:right="57"/>
              <w:rPr>
                <w:bCs/>
              </w:rPr>
            </w:pPr>
            <w:r w:rsidRPr="00442780">
              <w:rPr>
                <w:b/>
                <w:bCs/>
              </w:rPr>
              <w:t>L</w:t>
            </w:r>
            <w:r w:rsidR="00AA2481">
              <w:rPr>
                <w:b/>
                <w:bCs/>
              </w:rPr>
              <w:t>’</w:t>
            </w:r>
            <w:r w:rsidRPr="00442780">
              <w:rPr>
                <w:b/>
                <w:bCs/>
              </w:rPr>
              <w:t>État partie devrait revoir la loi LXIII sur la protection des données personnelles</w:t>
            </w:r>
            <w:r w:rsidRPr="00442780">
              <w:rPr>
                <w:bCs/>
                <w:lang w:val="fr-FR"/>
              </w:rPr>
              <w:t xml:space="preserve"> </w:t>
            </w:r>
            <w:r w:rsidRPr="00442780">
              <w:rPr>
                <w:b/>
                <w:bCs/>
              </w:rPr>
              <w:t>pour la rendre conforme aux dispositions du Pacte, en particulier l</w:t>
            </w:r>
            <w:r w:rsidR="00AA2481">
              <w:rPr>
                <w:b/>
                <w:bCs/>
              </w:rPr>
              <w:t>’</w:t>
            </w:r>
            <w:r w:rsidRPr="00442780">
              <w:rPr>
                <w:b/>
                <w:bCs/>
              </w:rPr>
              <w:t>article 17, comme</w:t>
            </w:r>
            <w:r w:rsidRPr="00442780">
              <w:rPr>
                <w:bCs/>
                <w:lang w:val="fr-FR"/>
              </w:rPr>
              <w:t xml:space="preserve"> </w:t>
            </w:r>
            <w:r w:rsidRPr="00442780">
              <w:rPr>
                <w:b/>
                <w:bCs/>
              </w:rPr>
              <w:t>indiqué dans l</w:t>
            </w:r>
            <w:r w:rsidR="00AA2481">
              <w:rPr>
                <w:b/>
                <w:bCs/>
              </w:rPr>
              <w:t>’</w:t>
            </w:r>
            <w:r w:rsidRPr="00442780">
              <w:rPr>
                <w:b/>
                <w:bCs/>
              </w:rPr>
              <w:t xml:space="preserve">Observation générale </w:t>
            </w:r>
            <w:r w:rsidRPr="00442780">
              <w:rPr>
                <w:rFonts w:eastAsia="MS Mincho"/>
                <w:b/>
                <w:bCs/>
              </w:rPr>
              <w:t>n</w:t>
            </w:r>
            <w:r w:rsidRPr="00442780">
              <w:rPr>
                <w:rFonts w:eastAsia="MS Mincho"/>
                <w:b/>
                <w:bCs/>
                <w:vertAlign w:val="superscript"/>
              </w:rPr>
              <w:t>o</w:t>
            </w:r>
            <w:r>
              <w:rPr>
                <w:b/>
                <w:bCs/>
              </w:rPr>
              <w:t> </w:t>
            </w:r>
            <w:r w:rsidRPr="00442780">
              <w:rPr>
                <w:b/>
                <w:bCs/>
              </w:rPr>
              <w:t>16 du Comité. L</w:t>
            </w:r>
            <w:r w:rsidR="00AA2481">
              <w:rPr>
                <w:b/>
                <w:bCs/>
              </w:rPr>
              <w:t>’</w:t>
            </w:r>
            <w:r w:rsidRPr="00442780">
              <w:rPr>
                <w:b/>
                <w:bCs/>
              </w:rPr>
              <w:t>État partie devrait s</w:t>
            </w:r>
            <w:r w:rsidR="00AA2481">
              <w:rPr>
                <w:b/>
                <w:bCs/>
              </w:rPr>
              <w:t>’</w:t>
            </w:r>
            <w:r w:rsidRPr="00442780">
              <w:rPr>
                <w:b/>
                <w:bCs/>
              </w:rPr>
              <w:t>assurer</w:t>
            </w:r>
            <w:r w:rsidRPr="00442780">
              <w:rPr>
                <w:bCs/>
                <w:lang w:val="fr-FR"/>
              </w:rPr>
              <w:t xml:space="preserve"> </w:t>
            </w:r>
            <w:r w:rsidRPr="00442780">
              <w:rPr>
                <w:b/>
                <w:bCs/>
              </w:rPr>
              <w:t>que la protection des données personnelles ne constitue pas un obstacle à la collecte</w:t>
            </w:r>
            <w:r w:rsidRPr="00442780">
              <w:rPr>
                <w:bCs/>
                <w:lang w:val="fr-FR"/>
              </w:rPr>
              <w:t xml:space="preserve"> </w:t>
            </w:r>
            <w:r w:rsidRPr="00442780">
              <w:rPr>
                <w:b/>
                <w:bCs/>
              </w:rPr>
              <w:t>légitime de données qui faciliteraient le suivi et l</w:t>
            </w:r>
            <w:r w:rsidR="00AA2481">
              <w:rPr>
                <w:b/>
                <w:bCs/>
              </w:rPr>
              <w:t>’</w:t>
            </w:r>
            <w:r w:rsidRPr="00442780">
              <w:rPr>
                <w:b/>
                <w:bCs/>
              </w:rPr>
              <w:t>évaluation des programmes ayant</w:t>
            </w:r>
            <w:r w:rsidRPr="00442780">
              <w:rPr>
                <w:bCs/>
                <w:lang w:val="fr-FR"/>
              </w:rPr>
              <w:t xml:space="preserve"> </w:t>
            </w:r>
            <w:r w:rsidRPr="00442780">
              <w:rPr>
                <w:b/>
                <w:bCs/>
              </w:rPr>
              <w:t>une incidence sur la mise en œuvre du Pacte.</w:t>
            </w:r>
          </w:p>
        </w:tc>
      </w:tr>
      <w:tr w:rsidR="00442780" w:rsidRPr="00FE2D64" w:rsidTr="00566B66">
        <w:tc>
          <w:tcPr>
            <w:tcW w:w="1985" w:type="dxa"/>
            <w:shd w:val="clear" w:color="auto" w:fill="auto"/>
          </w:tcPr>
          <w:p w:rsidR="00442780" w:rsidRPr="00442780" w:rsidRDefault="00442780" w:rsidP="00EF1051">
            <w:pPr>
              <w:spacing w:before="40" w:after="120"/>
              <w:ind w:right="57"/>
            </w:pPr>
            <w:r>
              <w:t>Résumé réponse</w:t>
            </w:r>
            <w:r>
              <w:br/>
              <w:t xml:space="preserve"> l</w:t>
            </w:r>
            <w:r w:rsidR="00AA2481">
              <w:t>’</w:t>
            </w:r>
            <w:r>
              <w:t>État partie:</w:t>
            </w:r>
          </w:p>
        </w:tc>
        <w:tc>
          <w:tcPr>
            <w:tcW w:w="6521" w:type="dxa"/>
            <w:shd w:val="clear" w:color="auto" w:fill="auto"/>
          </w:tcPr>
          <w:p w:rsidR="00442780" w:rsidRPr="00442780" w:rsidRDefault="006369A8" w:rsidP="00EF1051">
            <w:pPr>
              <w:tabs>
                <w:tab w:val="left" w:pos="284"/>
              </w:tabs>
              <w:spacing w:before="40" w:after="120"/>
              <w:ind w:right="57" w:hanging="284"/>
              <w:rPr>
                <w:bCs/>
              </w:rPr>
            </w:pPr>
            <w:r>
              <w:rPr>
                <w:bCs/>
              </w:rPr>
              <w:t>•</w:t>
            </w:r>
            <w:r>
              <w:rPr>
                <w:bCs/>
              </w:rPr>
              <w:tab/>
            </w:r>
            <w:r w:rsidR="00442780" w:rsidRPr="00442780">
              <w:rPr>
                <w:bCs/>
              </w:rPr>
              <w:t>La loi CXII sur l</w:t>
            </w:r>
            <w:r w:rsidR="00AA2481">
              <w:rPr>
                <w:bCs/>
              </w:rPr>
              <w:t>’</w:t>
            </w:r>
            <w:r w:rsidR="00442780" w:rsidRPr="00442780">
              <w:rPr>
                <w:bCs/>
              </w:rPr>
              <w:t>autodétermination en matière d</w:t>
            </w:r>
            <w:r w:rsidR="00AA2481">
              <w:rPr>
                <w:bCs/>
              </w:rPr>
              <w:t>’</w:t>
            </w:r>
            <w:r w:rsidR="00442780" w:rsidRPr="00442780">
              <w:rPr>
                <w:bCs/>
              </w:rPr>
              <w:t>information et la liberté d</w:t>
            </w:r>
            <w:r w:rsidR="00AA2481">
              <w:rPr>
                <w:bCs/>
              </w:rPr>
              <w:t>’</w:t>
            </w:r>
            <w:r w:rsidR="00442780" w:rsidRPr="00442780">
              <w:rPr>
                <w:bCs/>
              </w:rPr>
              <w:t xml:space="preserve">information est entrée en vigueur le </w:t>
            </w:r>
            <w:r w:rsidR="00442780">
              <w:rPr>
                <w:bCs/>
              </w:rPr>
              <w:t>1</w:t>
            </w:r>
            <w:r w:rsidR="00442780" w:rsidRPr="00442780">
              <w:rPr>
                <w:bCs/>
                <w:vertAlign w:val="superscript"/>
              </w:rPr>
              <w:t>er</w:t>
            </w:r>
            <w:r w:rsidR="00442780">
              <w:rPr>
                <w:bCs/>
              </w:rPr>
              <w:t> </w:t>
            </w:r>
            <w:r w:rsidR="00442780" w:rsidRPr="00442780">
              <w:rPr>
                <w:bCs/>
              </w:rPr>
              <w:t xml:space="preserve">janvier 2012. </w:t>
            </w:r>
            <w:r w:rsidR="00442780" w:rsidRPr="00E64E27">
              <w:rPr>
                <w:bCs/>
              </w:rPr>
              <w:t>Abroge la loi LXIII. Dorénavant, les données personnelles sur l</w:t>
            </w:r>
            <w:r w:rsidR="00AA2481" w:rsidRPr="00E64E27">
              <w:rPr>
                <w:bCs/>
              </w:rPr>
              <w:t>’</w:t>
            </w:r>
            <w:r w:rsidR="00442780" w:rsidRPr="00E64E27">
              <w:rPr>
                <w:bCs/>
              </w:rPr>
              <w:t>origine raciale ou nationale</w:t>
            </w:r>
            <w:r w:rsidR="00442780" w:rsidRPr="00442780">
              <w:rPr>
                <w:bCs/>
              </w:rPr>
              <w:t xml:space="preserve"> constituent des «données spéciales». Leur traitement n</w:t>
            </w:r>
            <w:r w:rsidR="00AA2481">
              <w:rPr>
                <w:bCs/>
              </w:rPr>
              <w:t>’</w:t>
            </w:r>
            <w:r w:rsidR="00442780" w:rsidRPr="00442780">
              <w:rPr>
                <w:bCs/>
              </w:rPr>
              <w:t>est possible que si</w:t>
            </w:r>
            <w:r w:rsidR="00442780">
              <w:rPr>
                <w:bCs/>
              </w:rPr>
              <w:br/>
            </w:r>
            <w:r w:rsidR="00442780" w:rsidRPr="00442780">
              <w:rPr>
                <w:bCs/>
              </w:rPr>
              <w:t>la personne concernée donne son autorisation écrite, dans des circonstances spécifiques énoncées dans le rapport. Aucune donnée personnelle relative</w:t>
            </w:r>
            <w:r w:rsidR="00442780">
              <w:rPr>
                <w:bCs/>
              </w:rPr>
              <w:br/>
            </w:r>
            <w:r w:rsidR="00442780" w:rsidRPr="00442780">
              <w:rPr>
                <w:bCs/>
              </w:rPr>
              <w:t>à l</w:t>
            </w:r>
            <w:r w:rsidR="00AA2481">
              <w:rPr>
                <w:bCs/>
              </w:rPr>
              <w:t>’</w:t>
            </w:r>
            <w:r w:rsidR="00442780" w:rsidRPr="00442780">
              <w:rPr>
                <w:bCs/>
              </w:rPr>
              <w:t>origine raciale ou nationale n</w:t>
            </w:r>
            <w:r w:rsidR="00AA2481">
              <w:rPr>
                <w:bCs/>
              </w:rPr>
              <w:t>’</w:t>
            </w:r>
            <w:r w:rsidR="00442780" w:rsidRPr="00442780">
              <w:rPr>
                <w:bCs/>
              </w:rPr>
              <w:t>est collectée par les autorités. D</w:t>
            </w:r>
            <w:r w:rsidR="00442780">
              <w:rPr>
                <w:bCs/>
              </w:rPr>
              <w:t>es </w:t>
            </w:r>
            <w:r w:rsidR="00442780" w:rsidRPr="00442780">
              <w:rPr>
                <w:bCs/>
              </w:rPr>
              <w:t>données reflétant les résultats de la redistribution des interventions relatives</w:t>
            </w:r>
            <w:r w:rsidR="00442780">
              <w:rPr>
                <w:bCs/>
              </w:rPr>
              <w:br/>
            </w:r>
            <w:r w:rsidR="00442780" w:rsidRPr="00442780">
              <w:rPr>
                <w:bCs/>
              </w:rPr>
              <w:t>à l</w:t>
            </w:r>
            <w:r w:rsidR="00AA2481">
              <w:rPr>
                <w:bCs/>
              </w:rPr>
              <w:t>’</w:t>
            </w:r>
            <w:r w:rsidR="00442780" w:rsidRPr="00442780">
              <w:rPr>
                <w:bCs/>
              </w:rPr>
              <w:t>intégration des Roms sont toutefois nécessaires. Un projet prévoit donc</w:t>
            </w:r>
            <w:r w:rsidR="00442780">
              <w:rPr>
                <w:bCs/>
              </w:rPr>
              <w:br/>
            </w:r>
            <w:r w:rsidR="00442780" w:rsidRPr="00442780">
              <w:rPr>
                <w:bCs/>
              </w:rPr>
              <w:t>la collecte de données ethniques, basées sur l</w:t>
            </w:r>
            <w:r w:rsidR="00AA2481">
              <w:rPr>
                <w:bCs/>
              </w:rPr>
              <w:t>’</w:t>
            </w:r>
            <w:r w:rsidR="00442780" w:rsidRPr="00442780">
              <w:rPr>
                <w:bCs/>
              </w:rPr>
              <w:t>auto-évaluation volontaire.</w:t>
            </w:r>
          </w:p>
        </w:tc>
      </w:tr>
      <w:tr w:rsidR="00442780" w:rsidRPr="00FE2D64" w:rsidTr="00566B66">
        <w:tc>
          <w:tcPr>
            <w:tcW w:w="1985" w:type="dxa"/>
            <w:shd w:val="clear" w:color="auto" w:fill="auto"/>
          </w:tcPr>
          <w:p w:rsidR="00442780" w:rsidRPr="00442780" w:rsidRDefault="00834D53" w:rsidP="00EF1051">
            <w:pPr>
              <w:spacing w:before="40" w:after="120"/>
              <w:ind w:right="57"/>
            </w:pPr>
            <w:r>
              <w:t>Informations d</w:t>
            </w:r>
            <w:r w:rsidR="00AA2481">
              <w:t>’</w:t>
            </w:r>
            <w:r>
              <w:t>ONG:</w:t>
            </w:r>
          </w:p>
        </w:tc>
        <w:tc>
          <w:tcPr>
            <w:tcW w:w="6521" w:type="dxa"/>
            <w:shd w:val="clear" w:color="auto" w:fill="auto"/>
          </w:tcPr>
          <w:p w:rsidR="00442780" w:rsidRPr="00442780" w:rsidRDefault="00834D53" w:rsidP="00EF1051">
            <w:pPr>
              <w:spacing w:before="40" w:after="120"/>
              <w:ind w:right="57"/>
              <w:rPr>
                <w:bCs/>
              </w:rPr>
            </w:pPr>
            <w:r w:rsidRPr="00834D53">
              <w:rPr>
                <w:bCs/>
              </w:rPr>
              <w:t>La tension entre l</w:t>
            </w:r>
            <w:r w:rsidR="00AA2481">
              <w:rPr>
                <w:bCs/>
              </w:rPr>
              <w:t>’</w:t>
            </w:r>
            <w:r w:rsidRPr="00834D53">
              <w:rPr>
                <w:bCs/>
              </w:rPr>
              <w:t>importance d</w:t>
            </w:r>
            <w:r w:rsidR="00AA2481">
              <w:rPr>
                <w:bCs/>
              </w:rPr>
              <w:t>’</w:t>
            </w:r>
            <w:r w:rsidRPr="00834D53">
              <w:rPr>
                <w:bCs/>
              </w:rPr>
              <w:t>avoir des informations sur la discrimination</w:t>
            </w:r>
            <w:r>
              <w:rPr>
                <w:bCs/>
              </w:rPr>
              <w:br/>
            </w:r>
            <w:r w:rsidRPr="00834D53">
              <w:rPr>
                <w:bCs/>
              </w:rPr>
              <w:t>des minorités ethniques et le droit à la vie privée est largement reconnue</w:t>
            </w:r>
            <w:r w:rsidR="008940E0">
              <w:rPr>
                <w:bCs/>
              </w:rPr>
              <w:br/>
            </w:r>
            <w:r w:rsidRPr="00834D53">
              <w:rPr>
                <w:bCs/>
              </w:rPr>
              <w:t>en Hongrie, mais n</w:t>
            </w:r>
            <w:r w:rsidR="00AA2481">
              <w:rPr>
                <w:bCs/>
              </w:rPr>
              <w:t>’</w:t>
            </w:r>
            <w:r w:rsidRPr="00834D53">
              <w:rPr>
                <w:bCs/>
              </w:rPr>
              <w:t>est toujours pas résolue.</w:t>
            </w:r>
          </w:p>
        </w:tc>
      </w:tr>
      <w:tr w:rsidR="00442780" w:rsidRPr="00FE2D64" w:rsidTr="00566B66">
        <w:tc>
          <w:tcPr>
            <w:tcW w:w="1985" w:type="dxa"/>
            <w:shd w:val="clear" w:color="auto" w:fill="auto"/>
          </w:tcPr>
          <w:p w:rsidR="00442780" w:rsidRPr="00442780" w:rsidRDefault="001B16C5" w:rsidP="00EF1051">
            <w:pPr>
              <w:spacing w:before="40" w:after="120"/>
              <w:ind w:right="57"/>
            </w:pPr>
            <w:r>
              <w:t>Évaluation Comité:</w:t>
            </w:r>
          </w:p>
        </w:tc>
        <w:tc>
          <w:tcPr>
            <w:tcW w:w="6521" w:type="dxa"/>
            <w:shd w:val="clear" w:color="auto" w:fill="auto"/>
          </w:tcPr>
          <w:p w:rsidR="00442780" w:rsidRPr="00442780" w:rsidRDefault="001B16C5" w:rsidP="00EF1051">
            <w:pPr>
              <w:spacing w:before="40" w:after="120"/>
              <w:ind w:right="57"/>
              <w:rPr>
                <w:bCs/>
              </w:rPr>
            </w:pPr>
            <w:r w:rsidRPr="001B16C5">
              <w:rPr>
                <w:b/>
                <w:bCs/>
              </w:rPr>
              <w:t>[B1</w:t>
            </w:r>
            <w:r w:rsidR="00FC7213">
              <w:rPr>
                <w:b/>
                <w:bCs/>
              </w:rPr>
              <w:t xml:space="preserve">] </w:t>
            </w:r>
            <w:r w:rsidRPr="001B16C5">
              <w:rPr>
                <w:bCs/>
                <w:spacing w:val="-2"/>
              </w:rPr>
              <w:t>Des informations sont requises sur</w:t>
            </w:r>
            <w:r w:rsidR="00953D60">
              <w:rPr>
                <w:bCs/>
                <w:spacing w:val="-2"/>
              </w:rPr>
              <w:t>:</w:t>
            </w:r>
            <w:r w:rsidRPr="001B16C5">
              <w:rPr>
                <w:bCs/>
                <w:spacing w:val="-2"/>
              </w:rPr>
              <w:t xml:space="preserve"> i)</w:t>
            </w:r>
            <w:r w:rsidR="00935501">
              <w:rPr>
                <w:bCs/>
                <w:spacing w:val="-2"/>
              </w:rPr>
              <w:t> </w:t>
            </w:r>
            <w:r w:rsidRPr="001B16C5">
              <w:rPr>
                <w:bCs/>
                <w:spacing w:val="-2"/>
              </w:rPr>
              <w:t>la mise en œuvre de la loi CXII</w:t>
            </w:r>
            <w:r w:rsidRPr="001B16C5">
              <w:rPr>
                <w:bCs/>
                <w:spacing w:val="-2"/>
              </w:rPr>
              <w:br/>
              <w:t>de 2011, en particulier pour l</w:t>
            </w:r>
            <w:r w:rsidR="00AA2481">
              <w:rPr>
                <w:bCs/>
                <w:spacing w:val="-2"/>
              </w:rPr>
              <w:t>’</w:t>
            </w:r>
            <w:r w:rsidRPr="001B16C5">
              <w:rPr>
                <w:bCs/>
                <w:spacing w:val="-2"/>
              </w:rPr>
              <w:t>évaluation des programmes ayant une incidence sur la mise en œuvre du Pacte; ii)</w:t>
            </w:r>
            <w:r w:rsidR="00935501">
              <w:rPr>
                <w:bCs/>
                <w:spacing w:val="-2"/>
              </w:rPr>
              <w:t> </w:t>
            </w:r>
            <w:r w:rsidRPr="001B16C5">
              <w:rPr>
                <w:bCs/>
                <w:spacing w:val="-2"/>
              </w:rPr>
              <w:t>les mesures prises pour assurer la compatibilité du système de collecte de données ethniques (pour l</w:t>
            </w:r>
            <w:r w:rsidR="00AA2481">
              <w:rPr>
                <w:bCs/>
                <w:spacing w:val="-2"/>
              </w:rPr>
              <w:t>’</w:t>
            </w:r>
            <w:r w:rsidRPr="001B16C5">
              <w:rPr>
                <w:bCs/>
                <w:spacing w:val="-2"/>
              </w:rPr>
              <w:t>évaluation de la redistribution des interventions pour l</w:t>
            </w:r>
            <w:r w:rsidR="00AA2481">
              <w:rPr>
                <w:bCs/>
                <w:spacing w:val="-2"/>
              </w:rPr>
              <w:t>’</w:t>
            </w:r>
            <w:r w:rsidRPr="001B16C5">
              <w:rPr>
                <w:bCs/>
                <w:spacing w:val="-2"/>
              </w:rPr>
              <w:t>intégration des Roms) avec les principes du Pacte.</w:t>
            </w:r>
          </w:p>
        </w:tc>
      </w:tr>
      <w:tr w:rsidR="004931C3" w:rsidRPr="00FE2D64" w:rsidTr="00607AD9">
        <w:tc>
          <w:tcPr>
            <w:tcW w:w="1985" w:type="dxa"/>
            <w:shd w:val="clear" w:color="auto" w:fill="auto"/>
          </w:tcPr>
          <w:p w:rsidR="004931C3" w:rsidRDefault="004931C3" w:rsidP="00EF1051">
            <w:pPr>
              <w:spacing w:before="40" w:after="120"/>
              <w:ind w:right="57"/>
            </w:pPr>
            <w:r w:rsidRPr="001F6706">
              <w:rPr>
                <w:b/>
              </w:rPr>
              <w:t>Paragraphe 15:</w:t>
            </w:r>
            <w:r w:rsidRPr="00AC79CA">
              <w:rPr>
                <w:b/>
                <w:i/>
              </w:rPr>
              <w:t xml:space="preserve"> </w:t>
            </w:r>
          </w:p>
        </w:tc>
        <w:tc>
          <w:tcPr>
            <w:tcW w:w="6521" w:type="dxa"/>
            <w:shd w:val="clear" w:color="auto" w:fill="auto"/>
          </w:tcPr>
          <w:p w:rsidR="004931C3" w:rsidRPr="001B16C5" w:rsidRDefault="004931C3" w:rsidP="00EF1051">
            <w:pPr>
              <w:spacing w:before="40" w:after="120"/>
              <w:ind w:right="57"/>
              <w:rPr>
                <w:b/>
                <w:bCs/>
              </w:rPr>
            </w:pPr>
            <w:r w:rsidRPr="00592908">
              <w:rPr>
                <w:b/>
                <w:bCs/>
              </w:rPr>
              <w:t>L</w:t>
            </w:r>
            <w:r w:rsidR="00AA2481">
              <w:rPr>
                <w:b/>
                <w:bCs/>
              </w:rPr>
              <w:t>’</w:t>
            </w:r>
            <w:r w:rsidRPr="00592908">
              <w:rPr>
                <w:b/>
                <w:bCs/>
              </w:rPr>
              <w:t>État partie devrait intensifier ses efforts pour améliorer les conditions de vie et le traitement des demandeurs d</w:t>
            </w:r>
            <w:r w:rsidR="00AA2481">
              <w:rPr>
                <w:b/>
                <w:bCs/>
              </w:rPr>
              <w:t>’</w:t>
            </w:r>
            <w:r w:rsidRPr="00592908">
              <w:rPr>
                <w:b/>
                <w:bCs/>
              </w:rPr>
              <w:t>asile et des réfugiés et veiller à ce qu</w:t>
            </w:r>
            <w:r w:rsidR="00AA2481">
              <w:rPr>
                <w:b/>
                <w:bCs/>
              </w:rPr>
              <w:t>’</w:t>
            </w:r>
            <w:r w:rsidRPr="00592908">
              <w:rPr>
                <w:b/>
                <w:bCs/>
              </w:rPr>
              <w:t>ils soient traités dans le respect de la dignité humaine. Les demandeurs d</w:t>
            </w:r>
            <w:r w:rsidR="00AA2481">
              <w:rPr>
                <w:b/>
                <w:bCs/>
              </w:rPr>
              <w:t>’</w:t>
            </w:r>
            <w:r w:rsidRPr="00592908">
              <w:rPr>
                <w:b/>
                <w:bCs/>
              </w:rPr>
              <w:t>asile et les réfugiés ne devraient jamais être retenus dans des conditions carcérales. L</w:t>
            </w:r>
            <w:r w:rsidR="00AA2481">
              <w:rPr>
                <w:b/>
                <w:bCs/>
              </w:rPr>
              <w:t>’</w:t>
            </w:r>
            <w:r w:rsidRPr="00592908">
              <w:rPr>
                <w:b/>
                <w:bCs/>
              </w:rPr>
              <w:t>État partie devrait faire en sorte que le principe du non</w:t>
            </w:r>
            <w:r>
              <w:rPr>
                <w:b/>
                <w:bCs/>
              </w:rPr>
              <w:noBreakHyphen/>
            </w:r>
            <w:r w:rsidRPr="00592908">
              <w:rPr>
                <w:b/>
                <w:bCs/>
              </w:rPr>
              <w:t>refoulement soit respecté sans réserve et que toutes les personnes qui ont besoin d</w:t>
            </w:r>
            <w:r w:rsidR="00AA2481">
              <w:rPr>
                <w:b/>
                <w:bCs/>
              </w:rPr>
              <w:t>’</w:t>
            </w:r>
            <w:r w:rsidRPr="00592908">
              <w:rPr>
                <w:b/>
                <w:bCs/>
              </w:rPr>
              <w:t>une protection internationale reçoivent, à tous les stades, un traitement approprié et équitable et que les décisions d</w:t>
            </w:r>
            <w:r w:rsidR="00AA2481">
              <w:rPr>
                <w:b/>
                <w:bCs/>
              </w:rPr>
              <w:t>’</w:t>
            </w:r>
            <w:r w:rsidRPr="00592908">
              <w:rPr>
                <w:b/>
                <w:bCs/>
              </w:rPr>
              <w:t>expulsion, de renvoi ou d</w:t>
            </w:r>
            <w:r w:rsidR="00AA2481">
              <w:rPr>
                <w:b/>
                <w:bCs/>
              </w:rPr>
              <w:t>’</w:t>
            </w:r>
            <w:r w:rsidRPr="00592908">
              <w:rPr>
                <w:b/>
                <w:bCs/>
              </w:rPr>
              <w:t>extradition soient prises avec diligence et dans le respect des garanties de procédure.</w:t>
            </w:r>
          </w:p>
        </w:tc>
      </w:tr>
      <w:tr w:rsidR="004931C3" w:rsidRPr="00FE2D64" w:rsidTr="00705EC5">
        <w:tc>
          <w:tcPr>
            <w:tcW w:w="1985" w:type="dxa"/>
            <w:shd w:val="clear" w:color="auto" w:fill="auto"/>
          </w:tcPr>
          <w:p w:rsidR="004931C3" w:rsidRDefault="004931C3" w:rsidP="00EF1051">
            <w:pPr>
              <w:keepNext/>
              <w:spacing w:before="40" w:after="120"/>
              <w:ind w:right="57"/>
            </w:pPr>
            <w:r w:rsidRPr="00FD2DAD">
              <w:t>Résumé</w:t>
            </w:r>
            <w:r>
              <w:t xml:space="preserve"> </w:t>
            </w:r>
            <w:r w:rsidRPr="00FD2DAD">
              <w:t>réponse l</w:t>
            </w:r>
            <w:r w:rsidR="00AA2481">
              <w:t>’</w:t>
            </w:r>
            <w:r w:rsidRPr="00FD2DAD">
              <w:t>État partie:</w:t>
            </w:r>
          </w:p>
        </w:tc>
        <w:tc>
          <w:tcPr>
            <w:tcW w:w="6521" w:type="dxa"/>
            <w:shd w:val="clear" w:color="auto" w:fill="auto"/>
          </w:tcPr>
          <w:p w:rsidR="004931C3" w:rsidRPr="00705EC5" w:rsidRDefault="00550BCD" w:rsidP="00EF1051">
            <w:pPr>
              <w:keepNext/>
              <w:tabs>
                <w:tab w:val="left" w:pos="284"/>
              </w:tabs>
              <w:spacing w:before="40" w:after="120"/>
              <w:ind w:right="57" w:hanging="284"/>
            </w:pPr>
            <w:r>
              <w:t>•</w:t>
            </w:r>
            <w:r>
              <w:tab/>
            </w:r>
            <w:r w:rsidR="004931C3" w:rsidRPr="00FA409B">
              <w:t>La rétention d</w:t>
            </w:r>
            <w:r w:rsidR="00AA2481">
              <w:t>’</w:t>
            </w:r>
            <w:r w:rsidR="004931C3" w:rsidRPr="00FA409B">
              <w:t>un étranger ne peut être ordonnée que pour l</w:t>
            </w:r>
            <w:r w:rsidR="00AA2481">
              <w:t>’</w:t>
            </w:r>
            <w:r w:rsidR="004931C3" w:rsidRPr="00FA409B">
              <w:t>un des motifs énoncés dans la loi sur l</w:t>
            </w:r>
            <w:r w:rsidR="00AA2481">
              <w:t>’</w:t>
            </w:r>
            <w:r w:rsidR="004931C3" w:rsidRPr="00FA409B">
              <w:t>admission et le droit de résidence des ressortissants de pays tiers (2007).</w:t>
            </w:r>
          </w:p>
        </w:tc>
      </w:tr>
      <w:tr w:rsidR="00607AD9" w:rsidRPr="00FE2D64" w:rsidTr="00705EC5">
        <w:tc>
          <w:tcPr>
            <w:tcW w:w="1985" w:type="dxa"/>
            <w:shd w:val="clear" w:color="auto" w:fill="auto"/>
          </w:tcPr>
          <w:p w:rsidR="00607AD9" w:rsidRPr="00FD2DAD" w:rsidRDefault="00607AD9" w:rsidP="00EF1051">
            <w:pPr>
              <w:spacing w:before="40" w:after="120"/>
              <w:ind w:right="57"/>
            </w:pPr>
          </w:p>
        </w:tc>
        <w:tc>
          <w:tcPr>
            <w:tcW w:w="6521" w:type="dxa"/>
            <w:shd w:val="clear" w:color="auto" w:fill="auto"/>
          </w:tcPr>
          <w:p w:rsidR="00607AD9" w:rsidRDefault="00607AD9" w:rsidP="00EF1051">
            <w:pPr>
              <w:tabs>
                <w:tab w:val="left" w:pos="284"/>
              </w:tabs>
              <w:spacing w:before="40" w:after="120"/>
              <w:ind w:right="57" w:hanging="284"/>
            </w:pPr>
            <w:r>
              <w:t>•</w:t>
            </w:r>
            <w:r>
              <w:tab/>
            </w:r>
            <w:r w:rsidRPr="00A74A44">
              <w:t>Lorsque le placement en rétention est motivé par un risque de fuite ou d</w:t>
            </w:r>
            <w:r>
              <w:t>’</w:t>
            </w:r>
            <w:r w:rsidRPr="00A74A44">
              <w:t>obstruction à l</w:t>
            </w:r>
            <w:r>
              <w:t>’</w:t>
            </w:r>
            <w:r w:rsidRPr="00A74A44">
              <w:t>exécution de la mesure d</w:t>
            </w:r>
            <w:r>
              <w:t>’</w:t>
            </w:r>
            <w:r w:rsidRPr="00A74A44">
              <w:t>expulsion ou de transfert, les autorités ont l</w:t>
            </w:r>
            <w:r>
              <w:t>’</w:t>
            </w:r>
            <w:r w:rsidRPr="00A74A44">
              <w:t>obligation d</w:t>
            </w:r>
            <w:r>
              <w:t>’</w:t>
            </w:r>
            <w:r w:rsidRPr="00A74A44">
              <w:t>envisager les solutions de substitution à la détention.</w:t>
            </w:r>
          </w:p>
        </w:tc>
      </w:tr>
      <w:tr w:rsidR="00607AD9" w:rsidRPr="00FE2D64" w:rsidTr="00705EC5">
        <w:tc>
          <w:tcPr>
            <w:tcW w:w="1985" w:type="dxa"/>
            <w:shd w:val="clear" w:color="auto" w:fill="auto"/>
          </w:tcPr>
          <w:p w:rsidR="00607AD9" w:rsidRPr="00FD2DAD" w:rsidRDefault="00607AD9" w:rsidP="00EF1051">
            <w:pPr>
              <w:spacing w:before="40" w:after="120"/>
              <w:ind w:right="57"/>
            </w:pPr>
          </w:p>
        </w:tc>
        <w:tc>
          <w:tcPr>
            <w:tcW w:w="6521" w:type="dxa"/>
            <w:shd w:val="clear" w:color="auto" w:fill="auto"/>
          </w:tcPr>
          <w:p w:rsidR="00607AD9" w:rsidRDefault="00705EC5" w:rsidP="00EF1051">
            <w:pPr>
              <w:tabs>
                <w:tab w:val="left" w:pos="284"/>
              </w:tabs>
              <w:spacing w:before="40" w:after="120"/>
              <w:ind w:right="57" w:hanging="284"/>
            </w:pPr>
            <w:r>
              <w:t>•</w:t>
            </w:r>
            <w:r>
              <w:tab/>
            </w:r>
            <w:r w:rsidRPr="00D95CB7">
              <w:t>Chaque décision de placement en détention est précédée d</w:t>
            </w:r>
            <w:r>
              <w:t>’</w:t>
            </w:r>
            <w:r w:rsidRPr="00D95CB7">
              <w:t>une évaluation individuelle des cas. Les mineurs non accompagnés ne peuvent pas être placés en détention: ils sont reçus dans une institution spécialisée.</w:t>
            </w:r>
          </w:p>
        </w:tc>
      </w:tr>
      <w:tr w:rsidR="00607AD9" w:rsidRPr="00FE2D64" w:rsidTr="00705EC5">
        <w:tc>
          <w:tcPr>
            <w:tcW w:w="1985" w:type="dxa"/>
            <w:shd w:val="clear" w:color="auto" w:fill="auto"/>
          </w:tcPr>
          <w:p w:rsidR="00607AD9" w:rsidRPr="00FD2DAD" w:rsidRDefault="00607AD9" w:rsidP="00EF1051">
            <w:pPr>
              <w:spacing w:before="40" w:after="120"/>
              <w:ind w:right="57"/>
            </w:pPr>
          </w:p>
        </w:tc>
        <w:tc>
          <w:tcPr>
            <w:tcW w:w="6521" w:type="dxa"/>
            <w:shd w:val="clear" w:color="auto" w:fill="auto"/>
          </w:tcPr>
          <w:p w:rsidR="00607AD9" w:rsidRDefault="00705EC5" w:rsidP="00EF1051">
            <w:pPr>
              <w:tabs>
                <w:tab w:val="left" w:pos="284"/>
              </w:tabs>
              <w:spacing w:before="40" w:after="120"/>
              <w:ind w:right="57" w:hanging="284"/>
            </w:pPr>
            <w:r>
              <w:t>•</w:t>
            </w:r>
            <w:r>
              <w:tab/>
            </w:r>
            <w:r w:rsidRPr="00D95CB7">
              <w:t>Le bureau du Procureur vérifie la légalité de l</w:t>
            </w:r>
            <w:r>
              <w:t>’</w:t>
            </w:r>
            <w:r w:rsidRPr="00D95CB7">
              <w:t>application de la mesure de détention toutes les deux semaines. La détention est d</w:t>
            </w:r>
            <w:r>
              <w:t>’</w:t>
            </w:r>
            <w:r w:rsidRPr="00D95CB7">
              <w:t xml:space="preserve">une durée maximum de </w:t>
            </w:r>
            <w:r w:rsidR="006C26DF">
              <w:t>72</w:t>
            </w:r>
            <w:r w:rsidRPr="00D95CB7">
              <w:t xml:space="preserve"> heures mais peut être prolongée par le tribunal compétent. Le droit des détenus à être représentés par un conseil est garanti. Une révision des conditions de rétention des étrangers est prévue à l</w:t>
            </w:r>
            <w:r>
              <w:t>’</w:t>
            </w:r>
            <w:r w:rsidRPr="00D95CB7">
              <w:t xml:space="preserve">automne 2012. </w:t>
            </w:r>
          </w:p>
        </w:tc>
      </w:tr>
      <w:tr w:rsidR="00607AD9" w:rsidRPr="00FE2D64" w:rsidTr="00705EC5">
        <w:tc>
          <w:tcPr>
            <w:tcW w:w="1985" w:type="dxa"/>
            <w:shd w:val="clear" w:color="auto" w:fill="auto"/>
          </w:tcPr>
          <w:p w:rsidR="00607AD9" w:rsidRPr="00FD2DAD" w:rsidRDefault="00607AD9" w:rsidP="00EF1051">
            <w:pPr>
              <w:spacing w:before="40" w:after="120"/>
              <w:ind w:right="57"/>
            </w:pPr>
          </w:p>
        </w:tc>
        <w:tc>
          <w:tcPr>
            <w:tcW w:w="6521" w:type="dxa"/>
            <w:shd w:val="clear" w:color="auto" w:fill="auto"/>
          </w:tcPr>
          <w:p w:rsidR="00607AD9" w:rsidRDefault="00705EC5" w:rsidP="00EF1051">
            <w:pPr>
              <w:tabs>
                <w:tab w:val="left" w:pos="284"/>
              </w:tabs>
              <w:spacing w:before="40" w:after="120"/>
              <w:ind w:right="57" w:hanging="284"/>
            </w:pPr>
            <w:r>
              <w:t>•</w:t>
            </w:r>
            <w:r>
              <w:tab/>
            </w:r>
            <w:r w:rsidRPr="00D95CB7">
              <w:t xml:space="preserve">Les établissements pénitentiaires ne répondant pas aux normes définies par le Comité européen pour la prévention de la </w:t>
            </w:r>
            <w:r>
              <w:t>torture ont été fermés en 2010.</w:t>
            </w:r>
            <w:r>
              <w:br/>
            </w:r>
            <w:r w:rsidRPr="00D95CB7">
              <w:t>Huit logements surveillés sont en service, pouvant accueillir 635 personnes.</w:t>
            </w:r>
          </w:p>
        </w:tc>
      </w:tr>
      <w:tr w:rsidR="00607AD9" w:rsidRPr="00FE2D64" w:rsidTr="00705EC5">
        <w:tc>
          <w:tcPr>
            <w:tcW w:w="1985" w:type="dxa"/>
            <w:shd w:val="clear" w:color="auto" w:fill="auto"/>
          </w:tcPr>
          <w:p w:rsidR="00607AD9" w:rsidRPr="00FD2DAD" w:rsidRDefault="00607AD9" w:rsidP="00EF1051">
            <w:pPr>
              <w:spacing w:before="40" w:after="120"/>
              <w:ind w:right="57"/>
            </w:pPr>
          </w:p>
        </w:tc>
        <w:tc>
          <w:tcPr>
            <w:tcW w:w="6521" w:type="dxa"/>
            <w:shd w:val="clear" w:color="auto" w:fill="auto"/>
          </w:tcPr>
          <w:p w:rsidR="00607AD9" w:rsidRDefault="00705EC5" w:rsidP="00EF1051">
            <w:pPr>
              <w:tabs>
                <w:tab w:val="left" w:pos="284"/>
              </w:tabs>
              <w:spacing w:before="40" w:after="120"/>
              <w:ind w:right="57" w:hanging="284"/>
            </w:pPr>
            <w:r>
              <w:t>•</w:t>
            </w:r>
            <w:r>
              <w:tab/>
            </w:r>
            <w:r w:rsidRPr="00D95CB7">
              <w:t xml:space="preserve">La police, en </w:t>
            </w:r>
            <w:r w:rsidRPr="001C7EC5">
              <w:t>collaboration avec le HCR, l’</w:t>
            </w:r>
            <w:r w:rsidR="006C26DF" w:rsidRPr="001C7EC5">
              <w:t>Organisation internationale pour les migrations (</w:t>
            </w:r>
            <w:r w:rsidRPr="001C7EC5">
              <w:t>OIM</w:t>
            </w:r>
            <w:r w:rsidR="006C26DF" w:rsidRPr="001C7EC5">
              <w:t>)</w:t>
            </w:r>
            <w:r w:rsidRPr="001C7EC5">
              <w:t xml:space="preserve"> et des ONG, assure des conditions de vie appropriées aux étrangers retenus dans les logements surveillés. Les services disponibles sont décrits. Un plan d’action, achevé en mars</w:t>
            </w:r>
            <w:r w:rsidRPr="00D95CB7">
              <w:t> 2012, aidera la police à poursuivre ses efforts pour améliorer les conditions de rétention des étrangers.</w:t>
            </w:r>
          </w:p>
        </w:tc>
      </w:tr>
      <w:tr w:rsidR="00607AD9" w:rsidRPr="00FE2D64" w:rsidTr="00705EC5">
        <w:tc>
          <w:tcPr>
            <w:tcW w:w="1985" w:type="dxa"/>
            <w:shd w:val="clear" w:color="auto" w:fill="auto"/>
          </w:tcPr>
          <w:p w:rsidR="00607AD9" w:rsidRPr="00FD2DAD" w:rsidRDefault="00607AD9" w:rsidP="00EF1051">
            <w:pPr>
              <w:spacing w:before="40" w:after="120"/>
              <w:ind w:right="57"/>
            </w:pPr>
          </w:p>
        </w:tc>
        <w:tc>
          <w:tcPr>
            <w:tcW w:w="6521" w:type="dxa"/>
            <w:shd w:val="clear" w:color="auto" w:fill="auto"/>
          </w:tcPr>
          <w:p w:rsidR="00607AD9" w:rsidRDefault="00705EC5" w:rsidP="00EF1051">
            <w:pPr>
              <w:tabs>
                <w:tab w:val="left" w:pos="284"/>
              </w:tabs>
              <w:spacing w:before="40" w:after="120"/>
              <w:ind w:right="57" w:hanging="284"/>
            </w:pPr>
            <w:r>
              <w:t>•</w:t>
            </w:r>
            <w:r>
              <w:tab/>
            </w:r>
            <w:r w:rsidRPr="00D95CB7">
              <w:t>Les étrangers placés en détention peuvent porter plainte contre les mesures prises à leur encontre (auprès du Procureur et du commissaire parlementaire compétent).</w:t>
            </w:r>
          </w:p>
        </w:tc>
      </w:tr>
      <w:tr w:rsidR="00705EC5" w:rsidRPr="00FE2D64" w:rsidTr="00705EC5">
        <w:tc>
          <w:tcPr>
            <w:tcW w:w="1985" w:type="dxa"/>
            <w:shd w:val="clear" w:color="auto" w:fill="auto"/>
          </w:tcPr>
          <w:p w:rsidR="00705EC5" w:rsidRPr="00FD2DAD" w:rsidRDefault="00705EC5" w:rsidP="00EF1051">
            <w:pPr>
              <w:spacing w:before="40" w:after="120"/>
              <w:ind w:right="57"/>
            </w:pPr>
          </w:p>
        </w:tc>
        <w:tc>
          <w:tcPr>
            <w:tcW w:w="6521" w:type="dxa"/>
            <w:shd w:val="clear" w:color="auto" w:fill="auto"/>
          </w:tcPr>
          <w:p w:rsidR="00705EC5" w:rsidRDefault="00705EC5" w:rsidP="00EF1051">
            <w:pPr>
              <w:tabs>
                <w:tab w:val="left" w:pos="284"/>
              </w:tabs>
              <w:spacing w:before="40" w:after="120"/>
              <w:ind w:right="57" w:hanging="284"/>
            </w:pPr>
            <w:r>
              <w:t>•</w:t>
            </w:r>
            <w:r>
              <w:tab/>
            </w:r>
            <w:r w:rsidRPr="00D95CB7">
              <w:t>Les réfugiés ou demandeurs d</w:t>
            </w:r>
            <w:r>
              <w:t>’</w:t>
            </w:r>
            <w:r w:rsidRPr="00D95CB7">
              <w:t>asile ne peuvent être placés en détention que dans le cadre d</w:t>
            </w:r>
            <w:r>
              <w:t>’</w:t>
            </w:r>
            <w:r w:rsidRPr="00D95CB7">
              <w:t>une procédure pénale. Les demandeurs d</w:t>
            </w:r>
            <w:r>
              <w:t>’</w:t>
            </w:r>
            <w:r w:rsidRPr="00D95CB7">
              <w:t>asile sont hébergés dans des centres d</w:t>
            </w:r>
            <w:r>
              <w:t>’</w:t>
            </w:r>
            <w:r w:rsidRPr="00D95CB7">
              <w:t xml:space="preserve">accueil. Ils jouissent des mêmes droits que les citoyens hongrois et bénéficient de prestations spéciales (énoncées dans le rapport). </w:t>
            </w:r>
          </w:p>
        </w:tc>
      </w:tr>
      <w:tr w:rsidR="00705EC5" w:rsidRPr="00FE2D64" w:rsidTr="00705EC5">
        <w:tc>
          <w:tcPr>
            <w:tcW w:w="1985" w:type="dxa"/>
            <w:shd w:val="clear" w:color="auto" w:fill="auto"/>
          </w:tcPr>
          <w:p w:rsidR="00705EC5" w:rsidRPr="00FD2DAD" w:rsidRDefault="00705EC5" w:rsidP="00EF1051">
            <w:pPr>
              <w:spacing w:before="40" w:after="120"/>
              <w:ind w:right="57"/>
            </w:pPr>
          </w:p>
        </w:tc>
        <w:tc>
          <w:tcPr>
            <w:tcW w:w="6521" w:type="dxa"/>
            <w:shd w:val="clear" w:color="auto" w:fill="auto"/>
          </w:tcPr>
          <w:p w:rsidR="00705EC5" w:rsidRDefault="00705EC5" w:rsidP="00EF1051">
            <w:pPr>
              <w:tabs>
                <w:tab w:val="left" w:pos="284"/>
              </w:tabs>
              <w:spacing w:before="40" w:after="120"/>
              <w:ind w:right="57" w:hanging="284"/>
            </w:pPr>
            <w:r>
              <w:t>•</w:t>
            </w:r>
            <w:r>
              <w:tab/>
            </w:r>
            <w:r w:rsidRPr="00D95CB7">
              <w:t>Refoulement de demandeurs d</w:t>
            </w:r>
            <w:r>
              <w:t>’</w:t>
            </w:r>
            <w:r w:rsidRPr="00D95CB7">
              <w:t>asile somaliens et afghans: la réglementation hongroise sur les procédures d</w:t>
            </w:r>
            <w:r>
              <w:t>’</w:t>
            </w:r>
            <w:r w:rsidRPr="00D95CB7">
              <w:t>extradition (loi de 1996) est conforme aux normes internationales. Les personnes bénéficiant d</w:t>
            </w:r>
            <w:r>
              <w:t>’</w:t>
            </w:r>
            <w:r w:rsidRPr="00D95CB7">
              <w:t>une protection temporaire, d</w:t>
            </w:r>
            <w:r>
              <w:t>’</w:t>
            </w:r>
            <w:r w:rsidRPr="00D95CB7">
              <w:t>une autorisation de séjour, ou ayant sollicité le statut de réfugié ou de demandeur d</w:t>
            </w:r>
            <w:r>
              <w:t>’</w:t>
            </w:r>
            <w:r w:rsidRPr="00D95CB7">
              <w:t>asile ne peuvent pas être extradées vers le pays d</w:t>
            </w:r>
            <w:r>
              <w:t>’</w:t>
            </w:r>
            <w:r w:rsidRPr="00D95CB7">
              <w:t>où elles ont fui.</w:t>
            </w:r>
          </w:p>
        </w:tc>
      </w:tr>
      <w:tr w:rsidR="00705EC5" w:rsidRPr="00FE2D64" w:rsidTr="00705EC5">
        <w:tc>
          <w:tcPr>
            <w:tcW w:w="1985" w:type="dxa"/>
            <w:shd w:val="clear" w:color="auto" w:fill="auto"/>
          </w:tcPr>
          <w:p w:rsidR="00705EC5" w:rsidRPr="00FD2DAD" w:rsidRDefault="00705EC5" w:rsidP="00EF1051">
            <w:pPr>
              <w:spacing w:before="40" w:after="120"/>
              <w:ind w:right="57"/>
            </w:pPr>
          </w:p>
        </w:tc>
        <w:tc>
          <w:tcPr>
            <w:tcW w:w="6521" w:type="dxa"/>
            <w:shd w:val="clear" w:color="auto" w:fill="auto"/>
          </w:tcPr>
          <w:p w:rsidR="00705EC5" w:rsidRDefault="00705EC5" w:rsidP="00EF1051">
            <w:pPr>
              <w:tabs>
                <w:tab w:val="left" w:pos="284"/>
              </w:tabs>
              <w:spacing w:before="40" w:after="120"/>
              <w:ind w:right="57" w:hanging="284"/>
            </w:pPr>
            <w:r>
              <w:t>•</w:t>
            </w:r>
            <w:r>
              <w:tab/>
            </w:r>
            <w:r w:rsidRPr="00D95CB7">
              <w:t>Un accord tripartite de surveillance des frontières conclu en 2007 entre la police hongroise, le HCR et le Comité Helsinki de Hongrie permet au Comité de vérifier comment la police applique le principe de non-refoulement et de publier un rapport périodique. La Hongrie n</w:t>
            </w:r>
            <w:r>
              <w:t>’</w:t>
            </w:r>
            <w:r w:rsidRPr="00D95CB7">
              <w:t>a connaissance d</w:t>
            </w:r>
            <w:r>
              <w:t>’</w:t>
            </w:r>
            <w:r w:rsidRPr="00D95CB7">
              <w:t>aucun cas de refoulement de demandeurs d</w:t>
            </w:r>
            <w:r>
              <w:t>’</w:t>
            </w:r>
            <w:r w:rsidRPr="00D95CB7">
              <w:t>asile vers l</w:t>
            </w:r>
            <w:r>
              <w:t>’</w:t>
            </w:r>
            <w:r w:rsidRPr="00D95CB7">
              <w:t>Ukraine tant que la procédure d</w:t>
            </w:r>
            <w:r>
              <w:t>’</w:t>
            </w:r>
            <w:r w:rsidRPr="00D95CB7">
              <w:t xml:space="preserve">asile est en cours. </w:t>
            </w:r>
          </w:p>
        </w:tc>
      </w:tr>
      <w:tr w:rsidR="004931C3" w:rsidRPr="001350B7" w:rsidTr="0033168E">
        <w:tc>
          <w:tcPr>
            <w:tcW w:w="1985" w:type="dxa"/>
            <w:shd w:val="clear" w:color="auto" w:fill="auto"/>
          </w:tcPr>
          <w:p w:rsidR="004931C3" w:rsidRPr="00FD2DAD" w:rsidRDefault="004931C3" w:rsidP="00EF1051">
            <w:pPr>
              <w:spacing w:before="40" w:after="120"/>
              <w:ind w:right="57"/>
            </w:pPr>
            <w:r w:rsidRPr="00F774B8">
              <w:t xml:space="preserve">Informations </w:t>
            </w:r>
            <w:r>
              <w:t>d</w:t>
            </w:r>
            <w:r w:rsidR="00AA2481">
              <w:t>’</w:t>
            </w:r>
            <w:r w:rsidRPr="00F774B8">
              <w:t>ONG:</w:t>
            </w:r>
            <w:r>
              <w:rPr>
                <w:b/>
              </w:rPr>
              <w:t xml:space="preserve"> </w:t>
            </w:r>
          </w:p>
        </w:tc>
        <w:tc>
          <w:tcPr>
            <w:tcW w:w="6521" w:type="dxa"/>
            <w:shd w:val="clear" w:color="auto" w:fill="auto"/>
          </w:tcPr>
          <w:p w:rsidR="004931C3" w:rsidRPr="001350B7" w:rsidRDefault="004931C3" w:rsidP="00EF1051">
            <w:pPr>
              <w:spacing w:before="40" w:after="120"/>
              <w:ind w:right="57"/>
              <w:rPr>
                <w:bCs/>
                <w:spacing w:val="-2"/>
              </w:rPr>
            </w:pPr>
            <w:r>
              <w:t>Pas d</w:t>
            </w:r>
            <w:r w:rsidR="00AA2481">
              <w:t>’</w:t>
            </w:r>
            <w:r>
              <w:t>information sur ce point.</w:t>
            </w:r>
          </w:p>
        </w:tc>
      </w:tr>
      <w:tr w:rsidR="004931C3" w:rsidRPr="001350B7" w:rsidTr="00AA2481">
        <w:tc>
          <w:tcPr>
            <w:tcW w:w="1985" w:type="dxa"/>
            <w:shd w:val="clear" w:color="auto" w:fill="auto"/>
          </w:tcPr>
          <w:p w:rsidR="004931C3" w:rsidRPr="00F774B8" w:rsidRDefault="004931C3" w:rsidP="00EF1051">
            <w:pPr>
              <w:keepNext/>
              <w:spacing w:before="40" w:after="120"/>
              <w:ind w:right="57"/>
            </w:pPr>
            <w:r w:rsidRPr="00DC7E5C">
              <w:t>Évaluation</w:t>
            </w:r>
            <w:r w:rsidR="0029510F">
              <w:t xml:space="preserve"> </w:t>
            </w:r>
            <w:r w:rsidRPr="00DC7E5C">
              <w:t>Comité:</w:t>
            </w:r>
            <w:r w:rsidRPr="00E25C8F">
              <w:rPr>
                <w:b/>
                <w:u w:val="single"/>
              </w:rPr>
              <w:t xml:space="preserve"> </w:t>
            </w:r>
          </w:p>
        </w:tc>
        <w:tc>
          <w:tcPr>
            <w:tcW w:w="6521" w:type="dxa"/>
            <w:shd w:val="clear" w:color="auto" w:fill="auto"/>
          </w:tcPr>
          <w:p w:rsidR="004931C3" w:rsidRDefault="004931C3" w:rsidP="00EF1051">
            <w:pPr>
              <w:keepNext/>
              <w:spacing w:before="40" w:after="120"/>
              <w:ind w:right="57"/>
            </w:pPr>
            <w:r w:rsidRPr="00A07252">
              <w:rPr>
                <w:b/>
              </w:rPr>
              <w:t xml:space="preserve">[B2] </w:t>
            </w:r>
            <w:r w:rsidRPr="00E25C8F">
              <w:t>Des actions</w:t>
            </w:r>
            <w:r w:rsidRPr="00D95CB7">
              <w:t xml:space="preserve"> restent nécessaires sur les points suivants:</w:t>
            </w:r>
            <w:r>
              <w:t xml:space="preserve"> </w:t>
            </w:r>
          </w:p>
        </w:tc>
      </w:tr>
      <w:tr w:rsidR="003F162F" w:rsidRPr="001350B7" w:rsidTr="00AA2481">
        <w:tc>
          <w:tcPr>
            <w:tcW w:w="1985" w:type="dxa"/>
            <w:shd w:val="clear" w:color="auto" w:fill="auto"/>
          </w:tcPr>
          <w:p w:rsidR="003F162F" w:rsidRPr="00DC7E5C" w:rsidRDefault="003F162F" w:rsidP="00EF1051">
            <w:pPr>
              <w:keepNext/>
              <w:spacing w:before="40" w:after="120"/>
              <w:ind w:right="57"/>
            </w:pPr>
          </w:p>
        </w:tc>
        <w:tc>
          <w:tcPr>
            <w:tcW w:w="6521" w:type="dxa"/>
            <w:shd w:val="clear" w:color="auto" w:fill="auto"/>
          </w:tcPr>
          <w:p w:rsidR="003F162F" w:rsidRPr="00A07252" w:rsidRDefault="003F162F" w:rsidP="00EF1051">
            <w:pPr>
              <w:keepNext/>
              <w:spacing w:before="40" w:after="120"/>
              <w:ind w:left="284" w:right="57" w:hanging="284"/>
              <w:rPr>
                <w:b/>
              </w:rPr>
            </w:pPr>
            <w:r w:rsidRPr="0004369D">
              <w:rPr>
                <w:bCs/>
              </w:rPr>
              <w:t>i</w:t>
            </w:r>
            <w:r>
              <w:rPr>
                <w:bCs/>
              </w:rPr>
              <w:t>)</w:t>
            </w:r>
            <w:r>
              <w:rPr>
                <w:bCs/>
              </w:rPr>
              <w:tab/>
              <w:t>L</w:t>
            </w:r>
            <w:r w:rsidRPr="0004369D">
              <w:rPr>
                <w:bCs/>
              </w:rPr>
              <w:t>a révision des conditions de rétention des étrangers prévue à l</w:t>
            </w:r>
            <w:r>
              <w:rPr>
                <w:bCs/>
              </w:rPr>
              <w:t>’</w:t>
            </w:r>
            <w:r w:rsidR="00B45D09">
              <w:rPr>
                <w:bCs/>
              </w:rPr>
              <w:t>automne </w:t>
            </w:r>
            <w:r w:rsidRPr="0004369D">
              <w:rPr>
                <w:bCs/>
              </w:rPr>
              <w:t>2012;</w:t>
            </w:r>
          </w:p>
        </w:tc>
      </w:tr>
      <w:tr w:rsidR="003F162F" w:rsidRPr="001350B7" w:rsidTr="00AA2481">
        <w:tc>
          <w:tcPr>
            <w:tcW w:w="1985" w:type="dxa"/>
            <w:shd w:val="clear" w:color="auto" w:fill="auto"/>
          </w:tcPr>
          <w:p w:rsidR="003F162F" w:rsidRPr="00DC7E5C" w:rsidRDefault="003F162F" w:rsidP="00EF1051">
            <w:pPr>
              <w:spacing w:before="40" w:after="120"/>
              <w:ind w:right="57"/>
            </w:pPr>
          </w:p>
        </w:tc>
        <w:tc>
          <w:tcPr>
            <w:tcW w:w="6521" w:type="dxa"/>
            <w:shd w:val="clear" w:color="auto" w:fill="auto"/>
          </w:tcPr>
          <w:p w:rsidR="003F162F" w:rsidRDefault="003F162F" w:rsidP="00EF1051">
            <w:pPr>
              <w:spacing w:before="40" w:after="120"/>
              <w:ind w:left="284" w:right="57" w:hanging="284"/>
              <w:rPr>
                <w:bCs/>
              </w:rPr>
            </w:pPr>
            <w:r>
              <w:t>ii)</w:t>
            </w:r>
            <w:r>
              <w:tab/>
              <w:t>L</w:t>
            </w:r>
            <w:r w:rsidRPr="00D95CB7">
              <w:t>es mesures prises dans le cadre du plan d</w:t>
            </w:r>
            <w:r>
              <w:t>’</w:t>
            </w:r>
            <w:r w:rsidRPr="00D95CB7">
              <w:t>ac</w:t>
            </w:r>
            <w:r w:rsidR="00B45D09">
              <w:t>tion de mars 2012 pour aider la </w:t>
            </w:r>
            <w:r w:rsidRPr="00D95CB7">
              <w:t>police à améliorer les condit</w:t>
            </w:r>
            <w:r>
              <w:t>ions de rétention des étrangers;</w:t>
            </w:r>
          </w:p>
        </w:tc>
      </w:tr>
      <w:tr w:rsidR="003F162F" w:rsidRPr="001350B7" w:rsidTr="00AA2481">
        <w:tc>
          <w:tcPr>
            <w:tcW w:w="1985" w:type="dxa"/>
            <w:shd w:val="clear" w:color="auto" w:fill="auto"/>
          </w:tcPr>
          <w:p w:rsidR="003F162F" w:rsidRPr="00DC7E5C" w:rsidRDefault="003F162F" w:rsidP="00EF1051">
            <w:pPr>
              <w:spacing w:before="40" w:after="120"/>
              <w:ind w:right="57"/>
            </w:pPr>
          </w:p>
        </w:tc>
        <w:tc>
          <w:tcPr>
            <w:tcW w:w="6521" w:type="dxa"/>
            <w:shd w:val="clear" w:color="auto" w:fill="auto"/>
          </w:tcPr>
          <w:p w:rsidR="003F162F" w:rsidRDefault="003F162F" w:rsidP="00EF1051">
            <w:pPr>
              <w:spacing w:before="40" w:after="120"/>
              <w:ind w:left="284" w:right="57" w:hanging="284"/>
            </w:pPr>
            <w:r>
              <w:t>iii)</w:t>
            </w:r>
            <w:r>
              <w:tab/>
              <w:t>L</w:t>
            </w:r>
            <w:r w:rsidRPr="00D95CB7">
              <w:t xml:space="preserve">es pays identifiés comme </w:t>
            </w:r>
            <w:r>
              <w:t>«</w:t>
            </w:r>
            <w:r w:rsidRPr="00D95CB7">
              <w:t>sûrs</w:t>
            </w:r>
            <w:r>
              <w:t>»</w:t>
            </w:r>
            <w:r w:rsidRPr="00D95CB7">
              <w:t xml:space="preserve"> par la loi sur l</w:t>
            </w:r>
            <w:r>
              <w:t>’asile.</w:t>
            </w:r>
          </w:p>
        </w:tc>
      </w:tr>
      <w:tr w:rsidR="003F162F" w:rsidRPr="001350B7" w:rsidTr="00AA2481">
        <w:tc>
          <w:tcPr>
            <w:tcW w:w="1985" w:type="dxa"/>
            <w:shd w:val="clear" w:color="auto" w:fill="auto"/>
          </w:tcPr>
          <w:p w:rsidR="003F162F" w:rsidRPr="00DC7E5C" w:rsidRDefault="003F162F" w:rsidP="00EF1051">
            <w:pPr>
              <w:spacing w:before="40" w:after="120"/>
              <w:ind w:right="57"/>
            </w:pPr>
          </w:p>
        </w:tc>
        <w:tc>
          <w:tcPr>
            <w:tcW w:w="6521" w:type="dxa"/>
            <w:shd w:val="clear" w:color="auto" w:fill="auto"/>
          </w:tcPr>
          <w:p w:rsidR="003F162F" w:rsidRDefault="003F162F" w:rsidP="00EF1051">
            <w:pPr>
              <w:spacing w:before="40" w:after="120"/>
              <w:ind w:right="57" w:hanging="284"/>
            </w:pPr>
            <w:r w:rsidRPr="00E25C8F">
              <w:rPr>
                <w:b/>
              </w:rPr>
              <w:t>[D</w:t>
            </w:r>
            <w:r w:rsidR="00A54367">
              <w:rPr>
                <w:b/>
              </w:rPr>
              <w:t>[D1</w:t>
            </w:r>
            <w:r w:rsidRPr="00E25C8F">
              <w:rPr>
                <w:b/>
              </w:rPr>
              <w:t>]</w:t>
            </w:r>
            <w:r w:rsidRPr="00D95CB7">
              <w:t xml:space="preserve"> Aucune information n</w:t>
            </w:r>
            <w:r>
              <w:t>’</w:t>
            </w:r>
            <w:r w:rsidRPr="00D95CB7">
              <w:t>est fournie sur les cas d</w:t>
            </w:r>
            <w:r>
              <w:t>’</w:t>
            </w:r>
            <w:r w:rsidRPr="00D95CB7">
              <w:t>expulsions illégales de demandeurs d</w:t>
            </w:r>
            <w:r>
              <w:t>’</w:t>
            </w:r>
            <w:r w:rsidRPr="00D95CB7">
              <w:t xml:space="preserve">asile afghans et somaliens. </w:t>
            </w:r>
          </w:p>
        </w:tc>
      </w:tr>
      <w:tr w:rsidR="004931C3" w:rsidRPr="001350B7" w:rsidTr="00AA2481">
        <w:tc>
          <w:tcPr>
            <w:tcW w:w="1985" w:type="dxa"/>
            <w:shd w:val="clear" w:color="auto" w:fill="auto"/>
          </w:tcPr>
          <w:p w:rsidR="004931C3" w:rsidRPr="00DC7E5C" w:rsidRDefault="004931C3" w:rsidP="00EF1051">
            <w:pPr>
              <w:spacing w:before="40" w:after="120"/>
              <w:ind w:right="57"/>
            </w:pPr>
            <w:r w:rsidRPr="009E1464">
              <w:rPr>
                <w:b/>
              </w:rPr>
              <w:t>Paragraphe 18:</w:t>
            </w:r>
            <w:r>
              <w:rPr>
                <w:b/>
                <w:i/>
              </w:rPr>
              <w:t xml:space="preserve"> </w:t>
            </w:r>
          </w:p>
        </w:tc>
        <w:tc>
          <w:tcPr>
            <w:tcW w:w="6521" w:type="dxa"/>
            <w:shd w:val="clear" w:color="auto" w:fill="auto"/>
          </w:tcPr>
          <w:p w:rsidR="004931C3" w:rsidRPr="00A07252" w:rsidRDefault="004931C3" w:rsidP="00EF1051">
            <w:pPr>
              <w:spacing w:before="40" w:after="120"/>
              <w:ind w:right="57"/>
              <w:rPr>
                <w:b/>
              </w:rPr>
            </w:pPr>
            <w:r w:rsidRPr="00BA703B">
              <w:rPr>
                <w:b/>
                <w:bCs/>
              </w:rPr>
              <w:t>L</w:t>
            </w:r>
            <w:r w:rsidR="00AA2481">
              <w:rPr>
                <w:b/>
                <w:bCs/>
              </w:rPr>
              <w:t>’</w:t>
            </w:r>
            <w:r w:rsidRPr="00BA703B">
              <w:rPr>
                <w:b/>
                <w:bCs/>
              </w:rPr>
              <w:t>État partie devrait prendre des mesures spécifiques de sensibilisation afin de promouvoir la tolérance et la diversité dans la société et faire en sorte que les juges, les magistrats, les procureurs et tous les agents de la force publique reçoivent une formation leur permettant de déceler les crimes motivés par la haine et le racisme. L</w:t>
            </w:r>
            <w:r w:rsidR="00AA2481">
              <w:rPr>
                <w:b/>
                <w:bCs/>
              </w:rPr>
              <w:t>’</w:t>
            </w:r>
            <w:r w:rsidRPr="00BA703B">
              <w:rPr>
                <w:b/>
                <w:bCs/>
              </w:rPr>
              <w:t>État partie devrait veiller à ce que les membres ou les associés de l</w:t>
            </w:r>
            <w:r w:rsidR="00AA2481">
              <w:rPr>
                <w:b/>
                <w:bCs/>
              </w:rPr>
              <w:t>’</w:t>
            </w:r>
            <w:r w:rsidRPr="00BA703B">
              <w:rPr>
                <w:b/>
                <w:bCs/>
              </w:rPr>
              <w:t>actuelle ou de l</w:t>
            </w:r>
            <w:r w:rsidR="00AA2481">
              <w:rPr>
                <w:b/>
                <w:bCs/>
              </w:rPr>
              <w:t>’</w:t>
            </w:r>
            <w:r w:rsidRPr="00BA703B">
              <w:rPr>
                <w:b/>
                <w:bCs/>
              </w:rPr>
              <w:t>ancienne Magyar Gàrda fassent l</w:t>
            </w:r>
            <w:r w:rsidR="00AA2481">
              <w:rPr>
                <w:b/>
                <w:bCs/>
              </w:rPr>
              <w:t>’</w:t>
            </w:r>
            <w:r w:rsidRPr="00BA703B">
              <w:rPr>
                <w:b/>
                <w:bCs/>
              </w:rPr>
              <w:t>objet d</w:t>
            </w:r>
            <w:r w:rsidR="00AA2481">
              <w:rPr>
                <w:b/>
                <w:bCs/>
              </w:rPr>
              <w:t>’</w:t>
            </w:r>
            <w:r w:rsidRPr="00BA703B">
              <w:rPr>
                <w:b/>
                <w:bCs/>
              </w:rPr>
              <w:t>une enquête, soient poursuivis et, s</w:t>
            </w:r>
            <w:r w:rsidR="00AA2481">
              <w:rPr>
                <w:b/>
                <w:bCs/>
              </w:rPr>
              <w:t>’</w:t>
            </w:r>
            <w:r w:rsidRPr="00BA703B">
              <w:rPr>
                <w:b/>
                <w:bCs/>
              </w:rPr>
              <w:t>ils sont reconnus coupables, soient condamnés à des peines appropriées. De plus il devrait lever les obstacles à l</w:t>
            </w:r>
            <w:r w:rsidR="00AA2481">
              <w:rPr>
                <w:b/>
                <w:bCs/>
              </w:rPr>
              <w:t>’</w:t>
            </w:r>
            <w:r w:rsidRPr="00BA703B">
              <w:rPr>
                <w:b/>
                <w:bCs/>
              </w:rPr>
              <w:t>adoption et à la mise en œuvre d</w:t>
            </w:r>
            <w:r w:rsidR="00AA2481">
              <w:rPr>
                <w:b/>
                <w:bCs/>
              </w:rPr>
              <w:t>’</w:t>
            </w:r>
            <w:r w:rsidRPr="00BA703B">
              <w:rPr>
                <w:b/>
                <w:bCs/>
              </w:rPr>
              <w:t>une législation visant à lutter contre les discours haineux, qui soit conforme au Pacte.</w:t>
            </w:r>
          </w:p>
        </w:tc>
      </w:tr>
      <w:tr w:rsidR="004931C3" w:rsidRPr="001350B7" w:rsidTr="00AA2481">
        <w:tc>
          <w:tcPr>
            <w:tcW w:w="1985" w:type="dxa"/>
            <w:shd w:val="clear" w:color="auto" w:fill="auto"/>
          </w:tcPr>
          <w:p w:rsidR="004931C3" w:rsidRPr="009E1464" w:rsidRDefault="004931C3" w:rsidP="00EF1051">
            <w:pPr>
              <w:spacing w:before="40" w:after="120"/>
              <w:ind w:right="57"/>
              <w:rPr>
                <w:b/>
              </w:rPr>
            </w:pPr>
            <w:r w:rsidRPr="00C334C6">
              <w:t>Résumé réponse l</w:t>
            </w:r>
            <w:r w:rsidR="00AA2481">
              <w:t>’</w:t>
            </w:r>
            <w:r w:rsidRPr="00C334C6">
              <w:t>État partie:</w:t>
            </w:r>
          </w:p>
        </w:tc>
        <w:tc>
          <w:tcPr>
            <w:tcW w:w="6521" w:type="dxa"/>
            <w:shd w:val="clear" w:color="auto" w:fill="auto"/>
          </w:tcPr>
          <w:p w:rsidR="004931C3" w:rsidRPr="00943867" w:rsidRDefault="00705EC5" w:rsidP="00EF1051">
            <w:pPr>
              <w:tabs>
                <w:tab w:val="left" w:pos="284"/>
              </w:tabs>
              <w:spacing w:before="40" w:after="120"/>
              <w:ind w:right="57" w:hanging="284"/>
            </w:pPr>
            <w:r>
              <w:t>•</w:t>
            </w:r>
            <w:r>
              <w:tab/>
            </w:r>
            <w:r w:rsidR="004931C3" w:rsidRPr="00E25C8F">
              <w:t xml:space="preserve">En </w:t>
            </w:r>
            <w:r w:rsidR="004931C3" w:rsidRPr="00D95CB7">
              <w:t>mai 2011, la législation sur la violence à l</w:t>
            </w:r>
            <w:r w:rsidR="00AA2481">
              <w:t>’</w:t>
            </w:r>
            <w:r w:rsidR="004931C3" w:rsidRPr="00D95CB7">
              <w:t xml:space="preserve">égard des communautés ethniques a été modifiée. Des sanctions sont prévues en cas de comportements créant </w:t>
            </w:r>
            <w:r w:rsidR="004931C3">
              <w:t>«</w:t>
            </w:r>
            <w:r w:rsidR="004931C3" w:rsidRPr="00D95CB7">
              <w:t>un climat de peur</w:t>
            </w:r>
            <w:r w:rsidR="004931C3">
              <w:t>»</w:t>
            </w:r>
            <w:r w:rsidR="004931C3" w:rsidRPr="00D95CB7">
              <w:t>. Les députés ne sont pas couverts par l</w:t>
            </w:r>
            <w:r w:rsidR="00AA2481">
              <w:t>’</w:t>
            </w:r>
            <w:r w:rsidR="004931C3" w:rsidRPr="00D95CB7">
              <w:t xml:space="preserve">immunité. </w:t>
            </w:r>
          </w:p>
        </w:tc>
      </w:tr>
      <w:tr w:rsidR="00705EC5" w:rsidRPr="001350B7" w:rsidTr="00AA2481">
        <w:tc>
          <w:tcPr>
            <w:tcW w:w="1985" w:type="dxa"/>
            <w:shd w:val="clear" w:color="auto" w:fill="auto"/>
          </w:tcPr>
          <w:p w:rsidR="00705EC5" w:rsidRPr="00C334C6" w:rsidRDefault="00705EC5" w:rsidP="00EF1051">
            <w:pPr>
              <w:spacing w:before="40" w:after="120"/>
              <w:ind w:right="57"/>
            </w:pPr>
          </w:p>
        </w:tc>
        <w:tc>
          <w:tcPr>
            <w:tcW w:w="6521" w:type="dxa"/>
            <w:shd w:val="clear" w:color="auto" w:fill="auto"/>
          </w:tcPr>
          <w:p w:rsidR="00705EC5" w:rsidRPr="00E25C8F" w:rsidRDefault="00943867" w:rsidP="00EF1051">
            <w:pPr>
              <w:tabs>
                <w:tab w:val="left" w:pos="284"/>
              </w:tabs>
              <w:spacing w:before="40" w:after="120"/>
              <w:ind w:right="57" w:hanging="284"/>
            </w:pPr>
            <w:r>
              <w:t>•</w:t>
            </w:r>
            <w:r>
              <w:tab/>
            </w:r>
            <w:r w:rsidRPr="00A07252">
              <w:t>Mesu</w:t>
            </w:r>
            <w:r>
              <w:t xml:space="preserve">res de sensibilisation: </w:t>
            </w:r>
            <w:r w:rsidRPr="00E25C8F">
              <w:t>2012 a</w:t>
            </w:r>
            <w:r w:rsidRPr="00D95CB7">
              <w:t xml:space="preserve"> été déclarée année Raoul Wallenberg. Les activités contribuant à la lutte contre les préjugés, le racisme, l</w:t>
            </w:r>
            <w:r>
              <w:t>’</w:t>
            </w:r>
            <w:r w:rsidRPr="00D95CB7">
              <w:t>antitsiganisme et le rejet de la démocratie sont mises en valeur par l</w:t>
            </w:r>
            <w:r>
              <w:t>’</w:t>
            </w:r>
            <w:r w:rsidRPr="00D95CB7">
              <w:t>attribution de prix annuels.</w:t>
            </w:r>
          </w:p>
        </w:tc>
      </w:tr>
      <w:tr w:rsidR="00705EC5" w:rsidRPr="001350B7" w:rsidTr="00AA2481">
        <w:tc>
          <w:tcPr>
            <w:tcW w:w="1985" w:type="dxa"/>
            <w:shd w:val="clear" w:color="auto" w:fill="auto"/>
          </w:tcPr>
          <w:p w:rsidR="00705EC5" w:rsidRPr="00C334C6" w:rsidRDefault="00705EC5" w:rsidP="00EF1051">
            <w:pPr>
              <w:spacing w:before="40" w:after="120"/>
              <w:ind w:right="57"/>
            </w:pPr>
          </w:p>
        </w:tc>
        <w:tc>
          <w:tcPr>
            <w:tcW w:w="6521" w:type="dxa"/>
            <w:shd w:val="clear" w:color="auto" w:fill="auto"/>
          </w:tcPr>
          <w:p w:rsidR="00705EC5" w:rsidRPr="00E25C8F" w:rsidRDefault="00943867" w:rsidP="00EF1051">
            <w:pPr>
              <w:tabs>
                <w:tab w:val="left" w:pos="284"/>
              </w:tabs>
              <w:spacing w:before="40" w:after="120"/>
              <w:ind w:right="57" w:hanging="284"/>
            </w:pPr>
            <w:r>
              <w:t>•</w:t>
            </w:r>
            <w:r>
              <w:tab/>
            </w:r>
            <w:r w:rsidRPr="00D95CB7">
              <w:t>Allégations de profilage racial de la part de la police: aucune donnée personnelle relative à l</w:t>
            </w:r>
            <w:r>
              <w:t>’</w:t>
            </w:r>
            <w:r w:rsidRPr="00D95CB7">
              <w:t>origine raciale ou nationale n</w:t>
            </w:r>
            <w:r>
              <w:t>’</w:t>
            </w:r>
            <w:r w:rsidRPr="00D95CB7">
              <w:t>est collectée par les autorités. La police n</w:t>
            </w:r>
            <w:r>
              <w:t>’</w:t>
            </w:r>
            <w:r w:rsidRPr="00D95CB7">
              <w:t>a donc recours à aucune méthode de profilage racial. Les contrôles réalisés en violation des droits fondamentaux peuvent faire l</w:t>
            </w:r>
            <w:r>
              <w:t>’</w:t>
            </w:r>
            <w:r w:rsidRPr="00D95CB7">
              <w:t>objet de plaintes auprès de l</w:t>
            </w:r>
            <w:r>
              <w:t>’</w:t>
            </w:r>
            <w:r w:rsidRPr="00D95CB7">
              <w:t>institution ayant</w:t>
            </w:r>
            <w:r>
              <w:t xml:space="preserve"> pris la décision contestée, ou </w:t>
            </w:r>
            <w:r w:rsidRPr="00D95CB7">
              <w:t>à la Commission indépendante des plaintes contre la police, ou être examinées par le chef de la police. Les décisions prises par le chef de la police peuvent faire l</w:t>
            </w:r>
            <w:r>
              <w:t>’</w:t>
            </w:r>
            <w:r w:rsidRPr="00D95CB7">
              <w:t>objet d</w:t>
            </w:r>
            <w:r>
              <w:t>’</w:t>
            </w:r>
            <w:r w:rsidRPr="00D95CB7">
              <w:t>un contrôle juridictionnel. Dans le cadre du programme STEPSS (Strategies for Effecti</w:t>
            </w:r>
            <w:r>
              <w:t>ve Police Stop and Search), des </w:t>
            </w:r>
            <w:r w:rsidRPr="00D95CB7">
              <w:t>agents de police et des civils ont examiné les modalités et le degré d</w:t>
            </w:r>
            <w:r>
              <w:t>’</w:t>
            </w:r>
            <w:r w:rsidRPr="00D95CB7">
              <w:t>efficacité des contrôles d</w:t>
            </w:r>
            <w:r>
              <w:t>’</w:t>
            </w:r>
            <w:r w:rsidRPr="00D95CB7">
              <w:t>identité, et la mesure dans laquelle ils touchent certains groupes sociaux.</w:t>
            </w:r>
          </w:p>
        </w:tc>
      </w:tr>
      <w:tr w:rsidR="00705EC5" w:rsidRPr="001350B7" w:rsidTr="00AA2481">
        <w:tc>
          <w:tcPr>
            <w:tcW w:w="1985" w:type="dxa"/>
            <w:shd w:val="clear" w:color="auto" w:fill="auto"/>
          </w:tcPr>
          <w:p w:rsidR="00705EC5" w:rsidRPr="00C334C6" w:rsidRDefault="00705EC5" w:rsidP="00EF1051">
            <w:pPr>
              <w:spacing w:before="40" w:after="120"/>
              <w:ind w:right="57"/>
            </w:pPr>
          </w:p>
        </w:tc>
        <w:tc>
          <w:tcPr>
            <w:tcW w:w="6521" w:type="dxa"/>
            <w:shd w:val="clear" w:color="auto" w:fill="auto"/>
          </w:tcPr>
          <w:p w:rsidR="00705EC5" w:rsidRPr="00E25C8F" w:rsidRDefault="00943867" w:rsidP="00EF1051">
            <w:pPr>
              <w:tabs>
                <w:tab w:val="left" w:pos="284"/>
              </w:tabs>
              <w:spacing w:before="40" w:after="120"/>
              <w:ind w:right="57" w:hanging="284"/>
            </w:pPr>
            <w:r>
              <w:t>•</w:t>
            </w:r>
            <w:r>
              <w:tab/>
            </w:r>
            <w:r w:rsidRPr="00D95CB7">
              <w:t>La police a pris des mesures pour mettre fin aux manifestations racistes anti</w:t>
            </w:r>
            <w:r>
              <w:noBreakHyphen/>
            </w:r>
            <w:r w:rsidRPr="00D95CB7">
              <w:t>Roms, qui sont de plus en plus virulentes. Les enquêtes ouvertes dans les cas d</w:t>
            </w:r>
            <w:r>
              <w:t>’</w:t>
            </w:r>
            <w:r w:rsidRPr="00D95CB7">
              <w:t>homicide à motivation raciale commis contre des Roms en 2008-2009 ont abouti: les auteurs ont été traduits en justice.</w:t>
            </w:r>
          </w:p>
        </w:tc>
      </w:tr>
      <w:tr w:rsidR="00705EC5" w:rsidRPr="001350B7" w:rsidTr="00943867">
        <w:trPr>
          <w:cantSplit/>
        </w:trPr>
        <w:tc>
          <w:tcPr>
            <w:tcW w:w="1985" w:type="dxa"/>
            <w:shd w:val="clear" w:color="auto" w:fill="auto"/>
          </w:tcPr>
          <w:p w:rsidR="00705EC5" w:rsidRPr="00C334C6" w:rsidRDefault="00705EC5" w:rsidP="00EF1051">
            <w:pPr>
              <w:spacing w:before="40" w:after="120"/>
              <w:ind w:right="57"/>
            </w:pPr>
          </w:p>
        </w:tc>
        <w:tc>
          <w:tcPr>
            <w:tcW w:w="6521" w:type="dxa"/>
            <w:shd w:val="clear" w:color="auto" w:fill="auto"/>
          </w:tcPr>
          <w:p w:rsidR="00705EC5" w:rsidRPr="00E25C8F" w:rsidRDefault="00943867" w:rsidP="00EF1051">
            <w:pPr>
              <w:tabs>
                <w:tab w:val="left" w:pos="284"/>
              </w:tabs>
              <w:spacing w:before="40" w:after="120"/>
              <w:ind w:right="57" w:hanging="284"/>
            </w:pPr>
            <w:r>
              <w:t>•</w:t>
            </w:r>
            <w:r>
              <w:tab/>
            </w:r>
            <w:r w:rsidRPr="00D95CB7">
              <w:t>L</w:t>
            </w:r>
            <w:r>
              <w:t>’</w:t>
            </w:r>
            <w:r w:rsidRPr="00D95CB7">
              <w:t>organisation d</w:t>
            </w:r>
            <w:r>
              <w:t>’</w:t>
            </w:r>
            <w:r w:rsidRPr="00D95CB7">
              <w:t>extrême droite Magyar Gárda est interdite par un arrêt définitif. Son démantèlement a été ordon</w:t>
            </w:r>
            <w:r>
              <w:t>né par décision de justice. Son </w:t>
            </w:r>
            <w:r w:rsidRPr="00D95CB7">
              <w:t>uniforme et ses symboles sont interdits. Des forces de police ont été affectées dans les communautés attaquées. Une Commission parlementaire spéciale a été créée pour enquêter sur les événements survenus au village de Gyöngyöspata. Un rapport rendu en mai 2012 conclut que le Gouvernement a pris les mesures nécessaires.</w:t>
            </w:r>
          </w:p>
        </w:tc>
      </w:tr>
      <w:tr w:rsidR="00705EC5" w:rsidRPr="001350B7" w:rsidTr="00AA2481">
        <w:tc>
          <w:tcPr>
            <w:tcW w:w="1985" w:type="dxa"/>
            <w:shd w:val="clear" w:color="auto" w:fill="auto"/>
          </w:tcPr>
          <w:p w:rsidR="00705EC5" w:rsidRPr="00C334C6" w:rsidRDefault="00705EC5" w:rsidP="00EF1051">
            <w:pPr>
              <w:spacing w:before="40" w:after="120"/>
              <w:ind w:right="57"/>
            </w:pPr>
          </w:p>
        </w:tc>
        <w:tc>
          <w:tcPr>
            <w:tcW w:w="6521" w:type="dxa"/>
            <w:shd w:val="clear" w:color="auto" w:fill="auto"/>
          </w:tcPr>
          <w:p w:rsidR="00705EC5" w:rsidRPr="00E25C8F" w:rsidRDefault="00943867" w:rsidP="00EF1051">
            <w:pPr>
              <w:tabs>
                <w:tab w:val="left" w:pos="284"/>
              </w:tabs>
              <w:spacing w:before="40" w:after="120"/>
              <w:ind w:right="57" w:hanging="284"/>
            </w:pPr>
            <w:r>
              <w:t>•</w:t>
            </w:r>
            <w:r>
              <w:tab/>
            </w:r>
            <w:r w:rsidRPr="00D95CB7">
              <w:t>Les réformes du Code pénal adoptées en 2011 renforcent les sanctions contre les personnes ayant un comportement ouvertement antisocial motivé par l</w:t>
            </w:r>
            <w:r>
              <w:t>’</w:t>
            </w:r>
            <w:r w:rsidRPr="00D95CB7">
              <w:t>appartenance réelle ou supposée d</w:t>
            </w:r>
            <w:r>
              <w:t>’</w:t>
            </w:r>
            <w:r w:rsidRPr="00D95CB7">
              <w:t xml:space="preserve">une personne à un groupe national, ethnique, racial ou religieux, </w:t>
            </w:r>
            <w:r w:rsidR="0051623F">
              <w:t xml:space="preserve">par </w:t>
            </w:r>
            <w:r w:rsidRPr="00D95CB7">
              <w:t xml:space="preserve">un handicap, ou </w:t>
            </w:r>
            <w:r w:rsidR="0051623F">
              <w:t>par</w:t>
            </w:r>
            <w:r w:rsidR="0051623F" w:rsidRPr="00D95CB7">
              <w:t xml:space="preserve"> </w:t>
            </w:r>
            <w:r w:rsidRPr="00D95CB7">
              <w:t>leur identité ou orientation sexuelle.</w:t>
            </w:r>
          </w:p>
        </w:tc>
      </w:tr>
      <w:tr w:rsidR="00705EC5" w:rsidRPr="001350B7" w:rsidTr="00AA2481">
        <w:tc>
          <w:tcPr>
            <w:tcW w:w="1985" w:type="dxa"/>
            <w:shd w:val="clear" w:color="auto" w:fill="auto"/>
          </w:tcPr>
          <w:p w:rsidR="00705EC5" w:rsidRPr="00C334C6" w:rsidRDefault="00705EC5" w:rsidP="00EF1051">
            <w:pPr>
              <w:spacing w:before="40" w:after="120"/>
              <w:ind w:right="57"/>
            </w:pPr>
          </w:p>
        </w:tc>
        <w:tc>
          <w:tcPr>
            <w:tcW w:w="6521" w:type="dxa"/>
            <w:shd w:val="clear" w:color="auto" w:fill="auto"/>
          </w:tcPr>
          <w:p w:rsidR="00705EC5" w:rsidRPr="00E25C8F" w:rsidRDefault="00943867" w:rsidP="00EF1051">
            <w:pPr>
              <w:tabs>
                <w:tab w:val="left" w:pos="284"/>
              </w:tabs>
              <w:spacing w:before="40" w:after="120"/>
              <w:ind w:right="57" w:hanging="284"/>
            </w:pPr>
            <w:r>
              <w:t>•</w:t>
            </w:r>
            <w:r>
              <w:tab/>
            </w:r>
            <w:r w:rsidRPr="00D95CB7">
              <w:t>Initiatives améliorant la situation de la minorité rom: coopération entre l</w:t>
            </w:r>
            <w:r>
              <w:t>’</w:t>
            </w:r>
            <w:r w:rsidR="0051623F">
              <w:t>Organisation pour la sécurité et la coopération en Europe (</w:t>
            </w:r>
            <w:r w:rsidRPr="00D95CB7">
              <w:t>OSCE</w:t>
            </w:r>
            <w:r w:rsidR="0051623F">
              <w:t>)</w:t>
            </w:r>
            <w:r w:rsidRPr="00D95CB7">
              <w:t xml:space="preserve"> et le Ministère hongrois de l</w:t>
            </w:r>
            <w:r>
              <w:t>’</w:t>
            </w:r>
            <w:r w:rsidRPr="00D95CB7">
              <w:t xml:space="preserve">intérieur; coopération avec les administrations locales et organisations civiles roms; plus grande représentation des </w:t>
            </w:r>
            <w:r w:rsidR="00A50C89">
              <w:t>R</w:t>
            </w:r>
            <w:r w:rsidRPr="00D95CB7">
              <w:t>oms dans les forces de l</w:t>
            </w:r>
            <w:r>
              <w:t>’ordre (programmes de formation</w:t>
            </w:r>
            <w:r w:rsidRPr="00D95CB7">
              <w:t xml:space="preserve"> et de bourses); programme d</w:t>
            </w:r>
            <w:r>
              <w:t>’</w:t>
            </w:r>
            <w:r w:rsidRPr="00D95CB7">
              <w:t>emploi dans la fonction publique pour les chômeurs de longue durée et les personnes vivant dans l</w:t>
            </w:r>
            <w:r>
              <w:t>’</w:t>
            </w:r>
            <w:r w:rsidRPr="00D95CB7">
              <w:t>extrême pauvreté; formation des fonctionnaires sur le racisme, la communication avec les minorités et la tolérance.</w:t>
            </w:r>
          </w:p>
        </w:tc>
      </w:tr>
      <w:tr w:rsidR="004931C3" w:rsidRPr="001350B7" w:rsidTr="00AA2481">
        <w:tc>
          <w:tcPr>
            <w:tcW w:w="1985" w:type="dxa"/>
            <w:shd w:val="clear" w:color="auto" w:fill="auto"/>
          </w:tcPr>
          <w:p w:rsidR="004931C3" w:rsidRPr="00C334C6" w:rsidRDefault="004931C3" w:rsidP="00EF1051">
            <w:pPr>
              <w:spacing w:before="40" w:after="120"/>
              <w:ind w:right="57"/>
            </w:pPr>
            <w:r w:rsidRPr="00383988">
              <w:t xml:space="preserve">Informations </w:t>
            </w:r>
            <w:r>
              <w:t>d</w:t>
            </w:r>
            <w:r w:rsidR="00AA2481">
              <w:t>’</w:t>
            </w:r>
            <w:r w:rsidRPr="00383988">
              <w:t>ONG:</w:t>
            </w:r>
          </w:p>
        </w:tc>
        <w:tc>
          <w:tcPr>
            <w:tcW w:w="6521" w:type="dxa"/>
            <w:shd w:val="clear" w:color="auto" w:fill="auto"/>
          </w:tcPr>
          <w:p w:rsidR="004931C3" w:rsidRPr="00943867" w:rsidRDefault="00943867" w:rsidP="00EF1051">
            <w:pPr>
              <w:tabs>
                <w:tab w:val="left" w:pos="284"/>
              </w:tabs>
              <w:spacing w:before="40" w:after="120"/>
              <w:ind w:right="57" w:hanging="284"/>
              <w:rPr>
                <w:bCs/>
              </w:rPr>
            </w:pPr>
            <w:r>
              <w:rPr>
                <w:bCs/>
              </w:rPr>
              <w:t>•</w:t>
            </w:r>
            <w:r>
              <w:rPr>
                <w:bCs/>
              </w:rPr>
              <w:tab/>
            </w:r>
            <w:r w:rsidR="004931C3" w:rsidRPr="00E01DB0">
              <w:rPr>
                <w:bCs/>
              </w:rPr>
              <w:t>L</w:t>
            </w:r>
            <w:r w:rsidR="00AA2481">
              <w:rPr>
                <w:bCs/>
              </w:rPr>
              <w:t>’</w:t>
            </w:r>
            <w:r w:rsidR="004931C3" w:rsidRPr="00E01DB0">
              <w:rPr>
                <w:bCs/>
              </w:rPr>
              <w:t>application de la législation relative aux crimes de haine reste problématique. Il n</w:t>
            </w:r>
            <w:r w:rsidR="00AA2481">
              <w:rPr>
                <w:bCs/>
              </w:rPr>
              <w:t>’</w:t>
            </w:r>
            <w:r w:rsidR="004931C3" w:rsidRPr="00E01DB0">
              <w:rPr>
                <w:bCs/>
              </w:rPr>
              <w:t>y a pas de protocole pour la qualification et l</w:t>
            </w:r>
            <w:r w:rsidR="00AA2481">
              <w:rPr>
                <w:bCs/>
              </w:rPr>
              <w:t>’</w:t>
            </w:r>
            <w:r w:rsidR="004931C3" w:rsidRPr="00E01DB0">
              <w:rPr>
                <w:bCs/>
              </w:rPr>
              <w:t>enquête efficace des crimes de haine et il n</w:t>
            </w:r>
            <w:r w:rsidR="00AA2481">
              <w:rPr>
                <w:bCs/>
              </w:rPr>
              <w:t>’</w:t>
            </w:r>
            <w:r w:rsidR="004931C3" w:rsidRPr="00E01DB0">
              <w:rPr>
                <w:bCs/>
              </w:rPr>
              <w:t xml:space="preserve">y a pas de formation spécifique des acteurs judiciaires en la matière. </w:t>
            </w:r>
          </w:p>
        </w:tc>
      </w:tr>
      <w:tr w:rsidR="00943867" w:rsidRPr="001350B7" w:rsidTr="00AA2481">
        <w:tc>
          <w:tcPr>
            <w:tcW w:w="1985" w:type="dxa"/>
            <w:shd w:val="clear" w:color="auto" w:fill="auto"/>
          </w:tcPr>
          <w:p w:rsidR="00943867" w:rsidRPr="00383988" w:rsidRDefault="00943867" w:rsidP="00EF1051">
            <w:pPr>
              <w:spacing w:before="40" w:after="120"/>
              <w:ind w:right="57"/>
            </w:pPr>
          </w:p>
        </w:tc>
        <w:tc>
          <w:tcPr>
            <w:tcW w:w="6521" w:type="dxa"/>
            <w:shd w:val="clear" w:color="auto" w:fill="auto"/>
          </w:tcPr>
          <w:p w:rsidR="00943867" w:rsidRPr="00E01DB0" w:rsidRDefault="00943867" w:rsidP="00EF1051">
            <w:pPr>
              <w:tabs>
                <w:tab w:val="left" w:pos="284"/>
              </w:tabs>
              <w:spacing w:before="40" w:after="120"/>
              <w:ind w:right="57" w:hanging="284"/>
              <w:rPr>
                <w:bCs/>
              </w:rPr>
            </w:pPr>
            <w:r>
              <w:rPr>
                <w:bCs/>
              </w:rPr>
              <w:t>•</w:t>
            </w:r>
            <w:r>
              <w:rPr>
                <w:bCs/>
              </w:rPr>
              <w:tab/>
            </w:r>
            <w:r w:rsidRPr="00E01DB0">
              <w:rPr>
                <w:bCs/>
              </w:rPr>
              <w:t>Malgré les efforts réalisés, les autorités des groupes d</w:t>
            </w:r>
            <w:r>
              <w:rPr>
                <w:bCs/>
              </w:rPr>
              <w:t>’</w:t>
            </w:r>
            <w:r w:rsidRPr="00E01DB0">
              <w:rPr>
                <w:bCs/>
              </w:rPr>
              <w:t>extrême droite n</w:t>
            </w:r>
            <w:r>
              <w:rPr>
                <w:bCs/>
              </w:rPr>
              <w:t>’</w:t>
            </w:r>
            <w:r w:rsidRPr="00E01DB0">
              <w:rPr>
                <w:bCs/>
              </w:rPr>
              <w:t>ont pas été sanctionnées de façon adéquate. Les chefs d</w:t>
            </w:r>
            <w:r>
              <w:rPr>
                <w:bCs/>
              </w:rPr>
              <w:t>’</w:t>
            </w:r>
            <w:r w:rsidRPr="00E01DB0">
              <w:rPr>
                <w:bCs/>
              </w:rPr>
              <w:t>accusation ne sont jamais adaptés à la gravité des faits.</w:t>
            </w:r>
          </w:p>
        </w:tc>
      </w:tr>
      <w:tr w:rsidR="004931C3" w:rsidRPr="001350B7" w:rsidTr="00AA2481">
        <w:tc>
          <w:tcPr>
            <w:tcW w:w="1985" w:type="dxa"/>
            <w:shd w:val="clear" w:color="auto" w:fill="auto"/>
          </w:tcPr>
          <w:p w:rsidR="004931C3" w:rsidRPr="00C334C6" w:rsidRDefault="004931C3" w:rsidP="00EF1051">
            <w:pPr>
              <w:spacing w:before="40" w:after="120"/>
              <w:ind w:right="57"/>
            </w:pPr>
            <w:r w:rsidRPr="00544FA8">
              <w:t>Évaluation Comité:</w:t>
            </w:r>
            <w:r w:rsidRPr="00E25C8F">
              <w:rPr>
                <w:b/>
                <w:u w:val="single"/>
              </w:rPr>
              <w:t xml:space="preserve"> </w:t>
            </w:r>
          </w:p>
        </w:tc>
        <w:tc>
          <w:tcPr>
            <w:tcW w:w="6521" w:type="dxa"/>
            <w:shd w:val="clear" w:color="auto" w:fill="auto"/>
          </w:tcPr>
          <w:p w:rsidR="004931C3" w:rsidRPr="00E25C8F" w:rsidRDefault="004931C3" w:rsidP="00EF1051">
            <w:pPr>
              <w:spacing w:before="40" w:after="120"/>
              <w:ind w:right="57"/>
            </w:pPr>
            <w:r>
              <w:rPr>
                <w:b/>
              </w:rPr>
              <w:t xml:space="preserve">[B2] </w:t>
            </w:r>
            <w:r w:rsidRPr="00E25C8F">
              <w:t xml:space="preserve">Des </w:t>
            </w:r>
            <w:r w:rsidRPr="00D95CB7">
              <w:t>informations restent nécessaires sur les points suivants</w:t>
            </w:r>
            <w:r>
              <w:t>:</w:t>
            </w:r>
          </w:p>
        </w:tc>
      </w:tr>
      <w:tr w:rsidR="003F162F" w:rsidRPr="001350B7" w:rsidTr="00AA2481">
        <w:tc>
          <w:tcPr>
            <w:tcW w:w="1985" w:type="dxa"/>
            <w:shd w:val="clear" w:color="auto" w:fill="auto"/>
          </w:tcPr>
          <w:p w:rsidR="003F162F" w:rsidRPr="00544FA8" w:rsidRDefault="003F162F" w:rsidP="00EF1051">
            <w:pPr>
              <w:spacing w:before="40" w:after="120"/>
              <w:ind w:right="57"/>
            </w:pPr>
          </w:p>
        </w:tc>
        <w:tc>
          <w:tcPr>
            <w:tcW w:w="6521" w:type="dxa"/>
            <w:shd w:val="clear" w:color="auto" w:fill="auto"/>
          </w:tcPr>
          <w:p w:rsidR="003F162F" w:rsidRDefault="003F162F" w:rsidP="00EF1051">
            <w:pPr>
              <w:spacing w:before="40" w:after="120"/>
              <w:ind w:left="284" w:right="57" w:hanging="284"/>
              <w:rPr>
                <w:b/>
              </w:rPr>
            </w:pPr>
            <w:r>
              <w:t>i)</w:t>
            </w:r>
            <w:r>
              <w:tab/>
              <w:t>L</w:t>
            </w:r>
            <w:r w:rsidRPr="00D95CB7">
              <w:t>es formations organisées pour les juges, magistrats et procureurs;</w:t>
            </w:r>
          </w:p>
        </w:tc>
      </w:tr>
      <w:tr w:rsidR="003F162F" w:rsidRPr="001350B7" w:rsidTr="00AA2481">
        <w:tc>
          <w:tcPr>
            <w:tcW w:w="1985" w:type="dxa"/>
            <w:shd w:val="clear" w:color="auto" w:fill="auto"/>
          </w:tcPr>
          <w:p w:rsidR="003F162F" w:rsidRPr="00544FA8" w:rsidRDefault="003F162F" w:rsidP="00EF1051">
            <w:pPr>
              <w:spacing w:before="40" w:after="120"/>
              <w:ind w:right="57"/>
            </w:pPr>
          </w:p>
        </w:tc>
        <w:tc>
          <w:tcPr>
            <w:tcW w:w="6521" w:type="dxa"/>
            <w:shd w:val="clear" w:color="auto" w:fill="auto"/>
          </w:tcPr>
          <w:p w:rsidR="003F162F" w:rsidRDefault="003F162F" w:rsidP="00EF1051">
            <w:pPr>
              <w:spacing w:before="40" w:after="120"/>
              <w:ind w:left="284" w:right="57" w:hanging="284"/>
              <w:rPr>
                <w:b/>
              </w:rPr>
            </w:pPr>
            <w:r>
              <w:t>ii)</w:t>
            </w:r>
            <w:r>
              <w:tab/>
              <w:t>P</w:t>
            </w:r>
            <w:r w:rsidRPr="00D95CB7">
              <w:t>rincipales conclusions du programme STEPSS sur les modalités et le degré d</w:t>
            </w:r>
            <w:r>
              <w:t>’</w:t>
            </w:r>
            <w:r w:rsidRPr="00D95CB7">
              <w:t>efficacité des contrôles d</w:t>
            </w:r>
            <w:r>
              <w:t>’</w:t>
            </w:r>
            <w:r w:rsidRPr="00D95CB7">
              <w:t>identité et la mesure dans laquelle ils touchent certains groupes sociaux;</w:t>
            </w:r>
            <w:r>
              <w:t xml:space="preserve"> </w:t>
            </w:r>
          </w:p>
        </w:tc>
      </w:tr>
      <w:tr w:rsidR="003F162F" w:rsidRPr="001350B7" w:rsidTr="00AA2481">
        <w:tc>
          <w:tcPr>
            <w:tcW w:w="1985" w:type="dxa"/>
            <w:shd w:val="clear" w:color="auto" w:fill="auto"/>
          </w:tcPr>
          <w:p w:rsidR="003F162F" w:rsidRPr="00544FA8" w:rsidRDefault="003F162F" w:rsidP="00EF1051">
            <w:pPr>
              <w:spacing w:before="40" w:after="120"/>
              <w:ind w:right="57"/>
            </w:pPr>
          </w:p>
        </w:tc>
        <w:tc>
          <w:tcPr>
            <w:tcW w:w="6521" w:type="dxa"/>
            <w:shd w:val="clear" w:color="auto" w:fill="auto"/>
          </w:tcPr>
          <w:p w:rsidR="003F162F" w:rsidRDefault="003F162F" w:rsidP="00EF1051">
            <w:pPr>
              <w:spacing w:before="40" w:after="120"/>
              <w:ind w:left="284" w:right="57" w:hanging="284"/>
              <w:rPr>
                <w:b/>
              </w:rPr>
            </w:pPr>
            <w:r>
              <w:t>iii)</w:t>
            </w:r>
            <w:r>
              <w:tab/>
              <w:t>N</w:t>
            </w:r>
            <w:r w:rsidRPr="00D95CB7">
              <w:t xml:space="preserve">ombre de plaintes déposées et décisions prises dans des cas de </w:t>
            </w:r>
            <w:r>
              <w:t>«</w:t>
            </w:r>
            <w:r w:rsidRPr="00D95CB7">
              <w:t>comportement ouvertement antisocial motivé par l</w:t>
            </w:r>
            <w:r>
              <w:t>’</w:t>
            </w:r>
            <w:r w:rsidRPr="00D95CB7">
              <w:t>appartenance réelle ou supposée d</w:t>
            </w:r>
            <w:r>
              <w:t>’</w:t>
            </w:r>
            <w:r w:rsidRPr="00D95CB7">
              <w:t>une personne à un groupe».</w:t>
            </w:r>
          </w:p>
        </w:tc>
      </w:tr>
      <w:tr w:rsidR="003F162F" w:rsidRPr="001350B7" w:rsidTr="00AA2481">
        <w:tc>
          <w:tcPr>
            <w:tcW w:w="1985" w:type="dxa"/>
            <w:shd w:val="clear" w:color="auto" w:fill="auto"/>
          </w:tcPr>
          <w:p w:rsidR="003F162F" w:rsidRPr="00544FA8" w:rsidRDefault="003F162F" w:rsidP="00EF1051">
            <w:pPr>
              <w:spacing w:before="40" w:after="120"/>
              <w:ind w:right="57"/>
            </w:pPr>
          </w:p>
        </w:tc>
        <w:tc>
          <w:tcPr>
            <w:tcW w:w="6521" w:type="dxa"/>
            <w:shd w:val="clear" w:color="auto" w:fill="auto"/>
          </w:tcPr>
          <w:p w:rsidR="003F162F" w:rsidRDefault="003F162F" w:rsidP="00EF1051">
            <w:pPr>
              <w:spacing w:before="40" w:after="120"/>
              <w:ind w:right="57"/>
              <w:rPr>
                <w:b/>
              </w:rPr>
            </w:pPr>
            <w:r w:rsidRPr="00AA5221">
              <w:rPr>
                <w:b/>
                <w:bCs/>
              </w:rPr>
              <w:t>[D1]</w:t>
            </w:r>
            <w:r w:rsidRPr="00D95CB7">
              <w:t xml:space="preserve"> Aucune information n</w:t>
            </w:r>
            <w:r>
              <w:t>’est fournie sur les enquêtes, les</w:t>
            </w:r>
            <w:r w:rsidRPr="00D95CB7">
              <w:t xml:space="preserve"> poursuite</w:t>
            </w:r>
            <w:r>
              <w:t>s</w:t>
            </w:r>
            <w:r w:rsidRPr="00D95CB7">
              <w:t xml:space="preserve"> et les sanctions </w:t>
            </w:r>
            <w:r>
              <w:t>dont ont fait l’objet les</w:t>
            </w:r>
            <w:r w:rsidRPr="00D95CB7">
              <w:t xml:space="preserve"> membres de la Magyar Gàrda.</w:t>
            </w:r>
          </w:p>
        </w:tc>
      </w:tr>
      <w:tr w:rsidR="004931C3" w:rsidRPr="001350B7" w:rsidTr="00AA2481">
        <w:tc>
          <w:tcPr>
            <w:tcW w:w="1985" w:type="dxa"/>
            <w:shd w:val="clear" w:color="auto" w:fill="auto"/>
          </w:tcPr>
          <w:p w:rsidR="004931C3" w:rsidRPr="00C334C6" w:rsidRDefault="004931C3" w:rsidP="00EF1051">
            <w:pPr>
              <w:spacing w:before="40" w:after="120"/>
              <w:ind w:right="57"/>
            </w:pPr>
            <w:r w:rsidRPr="001C1B9E">
              <w:t>Mesure recommandée:</w:t>
            </w:r>
          </w:p>
        </w:tc>
        <w:tc>
          <w:tcPr>
            <w:tcW w:w="6521" w:type="dxa"/>
            <w:shd w:val="clear" w:color="auto" w:fill="auto"/>
          </w:tcPr>
          <w:p w:rsidR="004931C3" w:rsidRPr="00E25C8F" w:rsidRDefault="004931C3" w:rsidP="00EF1051">
            <w:pPr>
              <w:spacing w:before="40" w:after="120"/>
              <w:ind w:right="57"/>
            </w:pPr>
            <w:r w:rsidRPr="00D95CB7">
              <w:t xml:space="preserve">Lettre </w:t>
            </w:r>
            <w:r>
              <w:t>présentant</w:t>
            </w:r>
            <w:r w:rsidRPr="00D95CB7">
              <w:t xml:space="preserve"> l</w:t>
            </w:r>
            <w:r w:rsidR="00AA2481">
              <w:t>’</w:t>
            </w:r>
            <w:r w:rsidRPr="00D95CB7">
              <w:t>analyse du Comité.</w:t>
            </w:r>
            <w:r>
              <w:t xml:space="preserve"> </w:t>
            </w:r>
          </w:p>
        </w:tc>
      </w:tr>
      <w:tr w:rsidR="004931C3" w:rsidRPr="00FE2D64" w:rsidTr="00AA2481">
        <w:tc>
          <w:tcPr>
            <w:tcW w:w="1985" w:type="dxa"/>
            <w:tcBorders>
              <w:bottom w:val="single" w:sz="12" w:space="0" w:color="auto"/>
            </w:tcBorders>
            <w:shd w:val="clear" w:color="auto" w:fill="auto"/>
          </w:tcPr>
          <w:p w:rsidR="004931C3" w:rsidRDefault="004931C3" w:rsidP="00EF1051">
            <w:pPr>
              <w:spacing w:before="40" w:after="120"/>
              <w:ind w:right="57"/>
            </w:pPr>
            <w:r>
              <w:t>Prochain rapport</w:t>
            </w:r>
            <w:r>
              <w:br/>
              <w:t>périodique:</w:t>
            </w:r>
          </w:p>
        </w:tc>
        <w:tc>
          <w:tcPr>
            <w:tcW w:w="6521" w:type="dxa"/>
            <w:tcBorders>
              <w:bottom w:val="single" w:sz="12" w:space="0" w:color="auto"/>
            </w:tcBorders>
            <w:shd w:val="clear" w:color="auto" w:fill="auto"/>
          </w:tcPr>
          <w:p w:rsidR="004931C3" w:rsidRDefault="004931C3" w:rsidP="00EF1051">
            <w:pPr>
              <w:spacing w:before="40" w:after="120"/>
              <w:ind w:right="57"/>
              <w:rPr>
                <w:bCs/>
              </w:rPr>
            </w:pPr>
            <w:r>
              <w:t>29</w:t>
            </w:r>
            <w:r w:rsidR="0029510F">
              <w:t>/10/</w:t>
            </w:r>
            <w:r w:rsidRPr="00D95CB7">
              <w:t>14</w:t>
            </w:r>
          </w:p>
        </w:tc>
      </w:tr>
    </w:tbl>
    <w:p w:rsidR="00550BCD" w:rsidRPr="008211CA" w:rsidRDefault="00550BCD" w:rsidP="00550BCD">
      <w:pPr>
        <w:pStyle w:val="H1G"/>
      </w:pPr>
      <w:r>
        <w:tab/>
      </w:r>
      <w:r>
        <w:tab/>
      </w:r>
      <w:r w:rsidRPr="00C7498A">
        <w:t>101</w:t>
      </w:r>
      <w:r w:rsidRPr="00C7498A">
        <w:rPr>
          <w:vertAlign w:val="superscript"/>
        </w:rPr>
        <w:t>e</w:t>
      </w:r>
      <w:r w:rsidRPr="00C7498A">
        <w:t xml:space="preserve"> session (mars 2011)</w:t>
      </w:r>
    </w:p>
    <w:tbl>
      <w:tblPr>
        <w:tblW w:w="8506" w:type="dxa"/>
        <w:tblInd w:w="1134" w:type="dxa"/>
        <w:tblLayout w:type="fixed"/>
        <w:tblCellMar>
          <w:left w:w="0" w:type="dxa"/>
          <w:right w:w="0" w:type="dxa"/>
        </w:tblCellMar>
        <w:tblLook w:val="00A0"/>
      </w:tblPr>
      <w:tblGrid>
        <w:gridCol w:w="1985"/>
        <w:gridCol w:w="6521"/>
      </w:tblGrid>
      <w:tr w:rsidR="00550BCD" w:rsidRPr="004431E4" w:rsidTr="00943867">
        <w:trPr>
          <w:cantSplit/>
          <w:tblHeader/>
        </w:trPr>
        <w:tc>
          <w:tcPr>
            <w:tcW w:w="1985" w:type="dxa"/>
            <w:tcBorders>
              <w:top w:val="single" w:sz="4" w:space="0" w:color="auto"/>
              <w:bottom w:val="single" w:sz="12" w:space="0" w:color="auto"/>
            </w:tcBorders>
            <w:shd w:val="clear" w:color="auto" w:fill="auto"/>
          </w:tcPr>
          <w:p w:rsidR="00550BCD" w:rsidRPr="004431E4" w:rsidRDefault="00550BCD" w:rsidP="00EF1051">
            <w:pPr>
              <w:keepNext/>
              <w:spacing w:before="80" w:after="80" w:line="200" w:lineRule="exact"/>
              <w:ind w:right="57"/>
              <w:rPr>
                <w:i/>
                <w:sz w:val="16"/>
                <w:lang w:val="fr-FR"/>
              </w:rPr>
            </w:pPr>
            <w:r w:rsidRPr="00EB5320">
              <w:rPr>
                <w:i/>
                <w:sz w:val="16"/>
              </w:rPr>
              <w:t>Serbie</w:t>
            </w:r>
          </w:p>
        </w:tc>
        <w:tc>
          <w:tcPr>
            <w:tcW w:w="6521" w:type="dxa"/>
            <w:tcBorders>
              <w:top w:val="single" w:sz="4" w:space="0" w:color="auto"/>
              <w:bottom w:val="single" w:sz="12" w:space="0" w:color="auto"/>
            </w:tcBorders>
            <w:shd w:val="clear" w:color="auto" w:fill="auto"/>
          </w:tcPr>
          <w:p w:rsidR="00550BCD" w:rsidRPr="004431E4" w:rsidRDefault="00550BCD" w:rsidP="00EF1051">
            <w:pPr>
              <w:keepNext/>
              <w:spacing w:before="80" w:after="80" w:line="200" w:lineRule="exact"/>
              <w:ind w:right="57"/>
              <w:rPr>
                <w:i/>
                <w:sz w:val="16"/>
                <w:lang w:val="fr-FR"/>
              </w:rPr>
            </w:pPr>
          </w:p>
        </w:tc>
      </w:tr>
      <w:tr w:rsidR="00550BCD" w:rsidRPr="004431E4" w:rsidTr="00943867">
        <w:trPr>
          <w:cantSplit/>
          <w:trHeight w:hRule="exact" w:val="113"/>
          <w:tblHeader/>
        </w:trPr>
        <w:tc>
          <w:tcPr>
            <w:tcW w:w="1985" w:type="dxa"/>
            <w:tcBorders>
              <w:top w:val="single" w:sz="12" w:space="0" w:color="auto"/>
            </w:tcBorders>
            <w:shd w:val="clear" w:color="auto" w:fill="auto"/>
          </w:tcPr>
          <w:p w:rsidR="00550BCD" w:rsidRPr="004431E4" w:rsidRDefault="00550BCD" w:rsidP="00EF1051">
            <w:pPr>
              <w:keepNext/>
              <w:spacing w:before="40" w:after="120"/>
              <w:ind w:right="57"/>
              <w:rPr>
                <w:lang w:val="fr-FR"/>
              </w:rPr>
            </w:pPr>
          </w:p>
        </w:tc>
        <w:tc>
          <w:tcPr>
            <w:tcW w:w="6521" w:type="dxa"/>
            <w:tcBorders>
              <w:top w:val="single" w:sz="12" w:space="0" w:color="auto"/>
            </w:tcBorders>
            <w:shd w:val="clear" w:color="auto" w:fill="auto"/>
          </w:tcPr>
          <w:p w:rsidR="00550BCD" w:rsidRPr="004431E4" w:rsidRDefault="00550BCD" w:rsidP="00EF1051">
            <w:pPr>
              <w:keepNext/>
              <w:spacing w:before="40" w:after="120"/>
              <w:ind w:right="57"/>
              <w:rPr>
                <w:lang w:val="fr-FR"/>
              </w:rPr>
            </w:pPr>
          </w:p>
        </w:tc>
      </w:tr>
      <w:tr w:rsidR="00550BCD" w:rsidRPr="004431E4" w:rsidTr="00943867">
        <w:trPr>
          <w:cantSplit/>
        </w:trPr>
        <w:tc>
          <w:tcPr>
            <w:tcW w:w="1985" w:type="dxa"/>
            <w:shd w:val="clear" w:color="auto" w:fill="auto"/>
          </w:tcPr>
          <w:p w:rsidR="00550BCD" w:rsidRPr="008245D5" w:rsidRDefault="00550BCD" w:rsidP="00EF1051">
            <w:pPr>
              <w:spacing w:before="40" w:after="120"/>
              <w:ind w:right="57"/>
              <w:rPr>
                <w:lang w:val="fr-FR"/>
              </w:rPr>
            </w:pPr>
            <w:r w:rsidRPr="008245D5">
              <w:t>Observations finales</w:t>
            </w:r>
          </w:p>
        </w:tc>
        <w:tc>
          <w:tcPr>
            <w:tcW w:w="6521" w:type="dxa"/>
            <w:shd w:val="clear" w:color="auto" w:fill="auto"/>
          </w:tcPr>
          <w:p w:rsidR="00550BCD" w:rsidRPr="006A3EF4" w:rsidRDefault="00550BCD" w:rsidP="00EF1051">
            <w:pPr>
              <w:spacing w:before="40" w:after="120"/>
              <w:ind w:right="57"/>
            </w:pPr>
            <w:r w:rsidRPr="00EB5320">
              <w:t>CCPR/C/SRB/CO/2, adoptées le 29</w:t>
            </w:r>
            <w:r w:rsidR="0029510F">
              <w:t>/3/</w:t>
            </w:r>
            <w:r w:rsidRPr="00EB5320">
              <w:t>11</w:t>
            </w:r>
          </w:p>
        </w:tc>
      </w:tr>
      <w:tr w:rsidR="00550BCD" w:rsidRPr="004431E4" w:rsidTr="00943867">
        <w:trPr>
          <w:cantSplit/>
        </w:trPr>
        <w:tc>
          <w:tcPr>
            <w:tcW w:w="1985" w:type="dxa"/>
            <w:shd w:val="clear" w:color="auto" w:fill="auto"/>
          </w:tcPr>
          <w:p w:rsidR="00550BCD" w:rsidRPr="008245D5" w:rsidRDefault="00550BCD" w:rsidP="0029510F">
            <w:pPr>
              <w:spacing w:before="40" w:after="120"/>
              <w:ind w:right="57"/>
            </w:pPr>
            <w:r w:rsidRPr="008245D5">
              <w:t>Paragraphes l</w:t>
            </w:r>
            <w:r w:rsidR="00AA2481">
              <w:t>’</w:t>
            </w:r>
            <w:r w:rsidRPr="008245D5">
              <w:t>objet d</w:t>
            </w:r>
            <w:r w:rsidR="00AA2481">
              <w:t>’</w:t>
            </w:r>
            <w:r w:rsidRPr="008245D5">
              <w:t>un suivi:</w:t>
            </w:r>
          </w:p>
        </w:tc>
        <w:tc>
          <w:tcPr>
            <w:tcW w:w="6521" w:type="dxa"/>
            <w:shd w:val="clear" w:color="auto" w:fill="auto"/>
          </w:tcPr>
          <w:p w:rsidR="00550BCD" w:rsidRPr="00C443FD" w:rsidRDefault="00550BCD" w:rsidP="00EF1051">
            <w:pPr>
              <w:spacing w:before="40" w:after="120"/>
              <w:ind w:right="57"/>
            </w:pPr>
            <w:r w:rsidRPr="00EB5320">
              <w:t>12, 17, 22</w:t>
            </w:r>
          </w:p>
        </w:tc>
      </w:tr>
      <w:tr w:rsidR="00550BCD" w:rsidRPr="004431E4" w:rsidTr="00943867">
        <w:trPr>
          <w:cantSplit/>
        </w:trPr>
        <w:tc>
          <w:tcPr>
            <w:tcW w:w="1985" w:type="dxa"/>
            <w:shd w:val="clear" w:color="auto" w:fill="auto"/>
          </w:tcPr>
          <w:p w:rsidR="00550BCD" w:rsidRPr="008245D5" w:rsidRDefault="00DE03D3" w:rsidP="00EF1051">
            <w:pPr>
              <w:spacing w:before="40" w:after="120"/>
              <w:ind w:right="57"/>
            </w:pPr>
            <w:r>
              <w:t>Première réponse</w:t>
            </w:r>
            <w:r>
              <w:br/>
            </w:r>
            <w:r w:rsidR="00550BCD" w:rsidRPr="008245D5">
              <w:t>de l</w:t>
            </w:r>
            <w:r w:rsidR="00AA2481">
              <w:t>’</w:t>
            </w:r>
            <w:r w:rsidR="00550BCD" w:rsidRPr="008245D5">
              <w:t>État partie</w:t>
            </w:r>
          </w:p>
        </w:tc>
        <w:tc>
          <w:tcPr>
            <w:tcW w:w="6521" w:type="dxa"/>
            <w:shd w:val="clear" w:color="auto" w:fill="auto"/>
          </w:tcPr>
          <w:p w:rsidR="00550BCD" w:rsidRPr="00C443FD" w:rsidRDefault="00550BCD" w:rsidP="00EF1051">
            <w:pPr>
              <w:spacing w:before="40" w:after="120"/>
              <w:ind w:right="57"/>
            </w:pPr>
            <w:r w:rsidRPr="00EB5320">
              <w:t>Attendue le 29</w:t>
            </w:r>
            <w:r w:rsidR="0029510F">
              <w:t>/3/</w:t>
            </w:r>
            <w:r w:rsidRPr="00EB5320">
              <w:t xml:space="preserve">12 − </w:t>
            </w:r>
            <w:r w:rsidR="00DB320E">
              <w:t>R</w:t>
            </w:r>
            <w:r w:rsidRPr="00EB5320">
              <w:t>eçue le 25</w:t>
            </w:r>
            <w:r w:rsidR="0029510F">
              <w:t>/7/</w:t>
            </w:r>
            <w:r w:rsidRPr="00EB5320">
              <w:t>12</w:t>
            </w:r>
          </w:p>
        </w:tc>
      </w:tr>
      <w:tr w:rsidR="00550BCD" w:rsidRPr="001C7EC5" w:rsidTr="00943867">
        <w:trPr>
          <w:cantSplit/>
        </w:trPr>
        <w:tc>
          <w:tcPr>
            <w:tcW w:w="1985" w:type="dxa"/>
            <w:shd w:val="clear" w:color="auto" w:fill="auto"/>
          </w:tcPr>
          <w:p w:rsidR="00550BCD" w:rsidRPr="008245D5" w:rsidRDefault="00550BCD" w:rsidP="00EF1051">
            <w:pPr>
              <w:spacing w:before="40" w:after="120"/>
              <w:ind w:right="57"/>
            </w:pPr>
            <w:r w:rsidRPr="008245D5">
              <w:t>Informations d</w:t>
            </w:r>
            <w:r w:rsidR="00AA2481">
              <w:t>’</w:t>
            </w:r>
            <w:r w:rsidRPr="008245D5">
              <w:t>ONG:</w:t>
            </w:r>
          </w:p>
        </w:tc>
        <w:tc>
          <w:tcPr>
            <w:tcW w:w="6521" w:type="dxa"/>
            <w:shd w:val="clear" w:color="auto" w:fill="auto"/>
          </w:tcPr>
          <w:p w:rsidR="00550BCD" w:rsidRPr="001C7EC5" w:rsidRDefault="00550BCD" w:rsidP="00EF1051">
            <w:pPr>
              <w:spacing w:before="40" w:after="120"/>
              <w:ind w:right="57"/>
              <w:rPr>
                <w:lang w:val="en-GB"/>
              </w:rPr>
            </w:pPr>
            <w:r w:rsidRPr="001C7EC5">
              <w:rPr>
                <w:lang w:val="en-GB"/>
              </w:rPr>
              <w:t>Belgrade Center for Human Rights, mai 2012.</w:t>
            </w:r>
          </w:p>
        </w:tc>
      </w:tr>
      <w:tr w:rsidR="00550BCD" w:rsidRPr="004431E4" w:rsidTr="00943867">
        <w:trPr>
          <w:cantSplit/>
        </w:trPr>
        <w:tc>
          <w:tcPr>
            <w:tcW w:w="1985" w:type="dxa"/>
            <w:shd w:val="clear" w:color="auto" w:fill="auto"/>
          </w:tcPr>
          <w:p w:rsidR="00550BCD" w:rsidRPr="00957064" w:rsidRDefault="00550BCD" w:rsidP="00EF1051">
            <w:pPr>
              <w:spacing w:before="40" w:after="120"/>
              <w:ind w:right="57"/>
            </w:pPr>
            <w:r>
              <w:rPr>
                <w:b/>
              </w:rPr>
              <w:t>Paragraphe 12</w:t>
            </w:r>
            <w:r w:rsidRPr="00957064">
              <w:rPr>
                <w:b/>
              </w:rPr>
              <w:t xml:space="preserve">: </w:t>
            </w:r>
          </w:p>
        </w:tc>
        <w:tc>
          <w:tcPr>
            <w:tcW w:w="6521" w:type="dxa"/>
            <w:shd w:val="clear" w:color="auto" w:fill="auto"/>
          </w:tcPr>
          <w:p w:rsidR="00550BCD" w:rsidRPr="00EB5320" w:rsidRDefault="00550BCD" w:rsidP="00EF1051">
            <w:pPr>
              <w:spacing w:before="40" w:after="120"/>
              <w:ind w:right="57"/>
            </w:pPr>
            <w:r w:rsidRPr="00D074E5">
              <w:rPr>
                <w:b/>
                <w:bCs/>
              </w:rPr>
              <w:t>L</w:t>
            </w:r>
            <w:r w:rsidR="00AA2481">
              <w:rPr>
                <w:b/>
                <w:bCs/>
              </w:rPr>
              <w:t>’</w:t>
            </w:r>
            <w:r w:rsidRPr="00D074E5">
              <w:rPr>
                <w:b/>
                <w:bCs/>
              </w:rPr>
              <w:t>État partie devrait prendre des mesures d</w:t>
            </w:r>
            <w:r w:rsidR="00AA2481">
              <w:rPr>
                <w:b/>
                <w:bCs/>
              </w:rPr>
              <w:t>’</w:t>
            </w:r>
            <w:r w:rsidRPr="00D074E5">
              <w:rPr>
                <w:b/>
                <w:bCs/>
              </w:rPr>
              <w:t>urgence pour établir les circonstances qui ont conduit à l</w:t>
            </w:r>
            <w:r w:rsidR="00AA2481">
              <w:rPr>
                <w:b/>
                <w:bCs/>
              </w:rPr>
              <w:t>’</w:t>
            </w:r>
            <w:r w:rsidRPr="00D074E5">
              <w:rPr>
                <w:b/>
                <w:bCs/>
              </w:rPr>
              <w:t>inhumation de centaines de personnes dans la région de Batajnica et s</w:t>
            </w:r>
            <w:r w:rsidR="00AA2481">
              <w:rPr>
                <w:b/>
                <w:bCs/>
              </w:rPr>
              <w:t>’</w:t>
            </w:r>
            <w:r w:rsidRPr="00D074E5">
              <w:rPr>
                <w:b/>
                <w:bCs/>
              </w:rPr>
              <w:t>assurer que tous les responsables sont poursuivis et punis conformément au Code pénal. L</w:t>
            </w:r>
            <w:r w:rsidR="00AA2481">
              <w:rPr>
                <w:b/>
                <w:bCs/>
              </w:rPr>
              <w:t>’</w:t>
            </w:r>
            <w:r w:rsidRPr="00D074E5">
              <w:rPr>
                <w:b/>
                <w:bCs/>
              </w:rPr>
              <w:t>État partie devrait également veiller à ce que les proches des victimes soient dûment indemnisés.</w:t>
            </w:r>
          </w:p>
        </w:tc>
      </w:tr>
      <w:tr w:rsidR="00550BCD" w:rsidRPr="004431E4" w:rsidTr="00943867">
        <w:trPr>
          <w:cantSplit/>
        </w:trPr>
        <w:tc>
          <w:tcPr>
            <w:tcW w:w="1985" w:type="dxa"/>
            <w:shd w:val="clear" w:color="auto" w:fill="auto"/>
          </w:tcPr>
          <w:p w:rsidR="00550BCD" w:rsidRPr="008245D5" w:rsidRDefault="00550BCD" w:rsidP="00EF1051">
            <w:pPr>
              <w:spacing w:before="40" w:after="120"/>
              <w:ind w:right="57"/>
            </w:pPr>
            <w:r w:rsidRPr="00DB4970">
              <w:t>Résumé réponse l</w:t>
            </w:r>
            <w:r w:rsidR="00AA2481">
              <w:t>’</w:t>
            </w:r>
            <w:r w:rsidRPr="00DB4970">
              <w:t>État partie</w:t>
            </w:r>
            <w:r w:rsidRPr="00EB5320">
              <w:t>:</w:t>
            </w:r>
          </w:p>
        </w:tc>
        <w:tc>
          <w:tcPr>
            <w:tcW w:w="6521" w:type="dxa"/>
            <w:shd w:val="clear" w:color="auto" w:fill="auto"/>
          </w:tcPr>
          <w:p w:rsidR="00550BCD" w:rsidRPr="00EB5320" w:rsidRDefault="00AC3B5E" w:rsidP="00EF1051">
            <w:pPr>
              <w:tabs>
                <w:tab w:val="left" w:pos="284"/>
              </w:tabs>
              <w:spacing w:before="40" w:after="120"/>
              <w:ind w:right="57" w:hanging="284"/>
            </w:pPr>
            <w:r>
              <w:t>•</w:t>
            </w:r>
            <w:r>
              <w:tab/>
            </w:r>
            <w:r w:rsidR="00550BCD">
              <w:t>Le bureau du P</w:t>
            </w:r>
            <w:r w:rsidR="00550BCD" w:rsidRPr="00EB5320">
              <w:t>rocureur chargé des crimes de guerre a donné la priorité à l</w:t>
            </w:r>
            <w:r w:rsidR="00AA2481">
              <w:t>’</w:t>
            </w:r>
            <w:r w:rsidR="00550BCD" w:rsidRPr="00EB5320">
              <w:t>enquête sur les événements de Batajnica. Plus de 80 témoins ont été interrogés. Les témoins albanais ont fait des dépositions devant le procureur et le juge chargé de l</w:t>
            </w:r>
            <w:r w:rsidR="00AA2481">
              <w:t>’</w:t>
            </w:r>
            <w:r w:rsidR="00550BCD" w:rsidRPr="00EB5320">
              <w:t>enquête, mais aucun d</w:t>
            </w:r>
            <w:r w:rsidR="00AA2481">
              <w:t>’</w:t>
            </w:r>
            <w:r w:rsidR="00550BCD" w:rsidRPr="00EB5320">
              <w:t>entre eux n</w:t>
            </w:r>
            <w:r w:rsidR="00AA2481">
              <w:t>’</w:t>
            </w:r>
            <w:r w:rsidR="00550BCD" w:rsidRPr="00EB5320">
              <w:t xml:space="preserve">a accepté de </w:t>
            </w:r>
            <w:r w:rsidR="00550BCD">
              <w:t>renouveler</w:t>
            </w:r>
            <w:r w:rsidR="00550BCD" w:rsidRPr="00EB5320">
              <w:t xml:space="preserve"> sa déposition à l</w:t>
            </w:r>
            <w:r w:rsidR="00AA2481">
              <w:t>’</w:t>
            </w:r>
            <w:r w:rsidR="00550BCD" w:rsidRPr="00EB5320">
              <w:t>audience. Les enquêtes sur tous les crimes de guerre commis au Kosovo sont en cours.</w:t>
            </w:r>
          </w:p>
        </w:tc>
      </w:tr>
      <w:tr w:rsidR="00550BCD" w:rsidRPr="004431E4" w:rsidTr="00943867">
        <w:trPr>
          <w:cantSplit/>
        </w:trPr>
        <w:tc>
          <w:tcPr>
            <w:tcW w:w="1985" w:type="dxa"/>
            <w:shd w:val="clear" w:color="auto" w:fill="auto"/>
          </w:tcPr>
          <w:p w:rsidR="00550BCD" w:rsidRPr="008245D5" w:rsidRDefault="00550BCD" w:rsidP="00EF1051">
            <w:pPr>
              <w:spacing w:before="40" w:after="120"/>
              <w:ind w:right="57"/>
            </w:pPr>
            <w:r w:rsidRPr="00FE743A">
              <w:t>Informations d</w:t>
            </w:r>
            <w:r w:rsidR="00AA2481">
              <w:t>’</w:t>
            </w:r>
            <w:r w:rsidRPr="00FE743A">
              <w:t>ONG</w:t>
            </w:r>
            <w:r w:rsidRPr="00EB5320">
              <w:t>:</w:t>
            </w:r>
          </w:p>
        </w:tc>
        <w:tc>
          <w:tcPr>
            <w:tcW w:w="6521" w:type="dxa"/>
            <w:shd w:val="clear" w:color="auto" w:fill="auto"/>
          </w:tcPr>
          <w:p w:rsidR="00550BCD" w:rsidRPr="00EB5320" w:rsidRDefault="00550BCD" w:rsidP="00EF1051">
            <w:pPr>
              <w:spacing w:before="40" w:after="120"/>
              <w:ind w:right="57"/>
            </w:pPr>
            <w:r>
              <w:t>Le bureau du P</w:t>
            </w:r>
            <w:r w:rsidRPr="00EB5320">
              <w:t>rocureur a connu de sérieuses difficultés pendant le procès du fait qu</w:t>
            </w:r>
            <w:r>
              <w:t>e l</w:t>
            </w:r>
            <w:r w:rsidRPr="00EB5320">
              <w:t>e</w:t>
            </w:r>
            <w:r>
              <w:t>s</w:t>
            </w:r>
            <w:r w:rsidRPr="00EB5320">
              <w:t xml:space="preserve"> témoins </w:t>
            </w:r>
            <w:r>
              <w:t xml:space="preserve">qui </w:t>
            </w:r>
            <w:r w:rsidRPr="00EB5320">
              <w:t>ont accepté de témoigner à l</w:t>
            </w:r>
            <w:r w:rsidR="00AA2481">
              <w:t>’</w:t>
            </w:r>
            <w:r w:rsidRPr="00EB5320">
              <w:t>audience</w:t>
            </w:r>
            <w:r>
              <w:t xml:space="preserve"> étaient très peu nombreux</w:t>
            </w:r>
            <w:r w:rsidRPr="00EB5320">
              <w:t>. L</w:t>
            </w:r>
            <w:r w:rsidR="00AA2481">
              <w:t>’</w:t>
            </w:r>
            <w:r w:rsidRPr="00EB5320">
              <w:t xml:space="preserve">enquête est compliquée par le fait que les crimes commis à </w:t>
            </w:r>
            <w:r>
              <w:t>Suva Reka et la fosse commune avec</w:t>
            </w:r>
            <w:r w:rsidRPr="00EB5320">
              <w:t xml:space="preserve"> les cadavres trouvés à Batajnica</w:t>
            </w:r>
            <w:r>
              <w:t xml:space="preserve"> sont liés</w:t>
            </w:r>
            <w:r w:rsidR="00AC3B5E">
              <w:t>. La </w:t>
            </w:r>
            <w:r>
              <w:t>C</w:t>
            </w:r>
            <w:r w:rsidRPr="00EB5320">
              <w:t>hambre des crimes de guerre du Tribunal supérieur de Belgrade a condamné le chef de la police, Radojko Repanovic</w:t>
            </w:r>
            <w:r>
              <w:t>,</w:t>
            </w:r>
            <w:r w:rsidRPr="00EB5320">
              <w:t xml:space="preserve"> à vingt ans de prison, après avoir </w:t>
            </w:r>
            <w:r>
              <w:t>conclu</w:t>
            </w:r>
            <w:r w:rsidRPr="00EB5320">
              <w:t xml:space="preserve"> </w:t>
            </w:r>
            <w:r>
              <w:t>qu</w:t>
            </w:r>
            <w:r w:rsidR="00AA2481">
              <w:t>’</w:t>
            </w:r>
            <w:r>
              <w:t>il avait ordonné le massacre de civils et le chargement des cadavres dans un camion. Le 12 octobre 2010, la Cour d</w:t>
            </w:r>
            <w:r w:rsidR="00AA2481">
              <w:t>’</w:t>
            </w:r>
            <w:r>
              <w:t>appel de Belgrade a statué que les motifs de la condamnation n</w:t>
            </w:r>
            <w:r w:rsidR="00AA2481">
              <w:t>’</w:t>
            </w:r>
            <w:r>
              <w:t>étaient pas clairs et a annulé le jugement.</w:t>
            </w:r>
          </w:p>
        </w:tc>
      </w:tr>
      <w:tr w:rsidR="00550BCD" w:rsidRPr="004431E4" w:rsidTr="00943867">
        <w:trPr>
          <w:cantSplit/>
        </w:trPr>
        <w:tc>
          <w:tcPr>
            <w:tcW w:w="1985" w:type="dxa"/>
            <w:shd w:val="clear" w:color="auto" w:fill="auto"/>
          </w:tcPr>
          <w:p w:rsidR="00550BCD" w:rsidRPr="008245D5" w:rsidRDefault="00550BCD" w:rsidP="00EF1051">
            <w:pPr>
              <w:spacing w:before="40" w:after="120"/>
              <w:ind w:right="57"/>
            </w:pPr>
            <w:r w:rsidRPr="00091F11">
              <w:t>Évaluation Comité:</w:t>
            </w:r>
          </w:p>
        </w:tc>
        <w:tc>
          <w:tcPr>
            <w:tcW w:w="6521" w:type="dxa"/>
            <w:shd w:val="clear" w:color="auto" w:fill="auto"/>
          </w:tcPr>
          <w:p w:rsidR="00550BCD" w:rsidRPr="00EB5320" w:rsidRDefault="00550BCD" w:rsidP="00EF1051">
            <w:pPr>
              <w:spacing w:before="40" w:after="120"/>
              <w:ind w:right="57"/>
            </w:pPr>
            <w:r>
              <w:rPr>
                <w:b/>
              </w:rPr>
              <w:t>[B2</w:t>
            </w:r>
            <w:r w:rsidR="00FC7213">
              <w:rPr>
                <w:b/>
              </w:rPr>
              <w:t xml:space="preserve">] </w:t>
            </w:r>
            <w:r w:rsidRPr="00EB5320">
              <w:t>Des informations complémentaires demeurent néc</w:t>
            </w:r>
            <w:r>
              <w:t>essaires sur les mesures prises: i) </w:t>
            </w:r>
            <w:r w:rsidRPr="00EB5320">
              <w:t>pour</w:t>
            </w:r>
            <w:r>
              <w:t xml:space="preserve"> accélérer les enquêtes; ii) pour encourager les témoins à témoigner à l</w:t>
            </w:r>
            <w:r w:rsidR="00AA2481">
              <w:t>’</w:t>
            </w:r>
            <w:r>
              <w:t>audience; et sur les raisons pour lesquelles la Cour d</w:t>
            </w:r>
            <w:r w:rsidR="00AA2481">
              <w:t>’</w:t>
            </w:r>
            <w:r>
              <w:t xml:space="preserve">appel de Belgrade a annulé la condamnation de </w:t>
            </w:r>
            <w:r w:rsidRPr="00EB5320">
              <w:t>Radojko Repanovic</w:t>
            </w:r>
            <w:r>
              <w:t>.</w:t>
            </w:r>
          </w:p>
        </w:tc>
      </w:tr>
      <w:tr w:rsidR="00550BCD" w:rsidRPr="004431E4" w:rsidTr="00943867">
        <w:trPr>
          <w:cantSplit/>
        </w:trPr>
        <w:tc>
          <w:tcPr>
            <w:tcW w:w="1985" w:type="dxa"/>
            <w:shd w:val="clear" w:color="auto" w:fill="auto"/>
          </w:tcPr>
          <w:p w:rsidR="00550BCD" w:rsidRPr="008245D5" w:rsidRDefault="00550BCD" w:rsidP="00EF1051">
            <w:pPr>
              <w:spacing w:before="40" w:after="120"/>
              <w:ind w:right="57"/>
            </w:pPr>
          </w:p>
        </w:tc>
        <w:tc>
          <w:tcPr>
            <w:tcW w:w="6521" w:type="dxa"/>
            <w:shd w:val="clear" w:color="auto" w:fill="auto"/>
          </w:tcPr>
          <w:p w:rsidR="00550BCD" w:rsidRPr="00EB5320" w:rsidRDefault="00550BCD" w:rsidP="00EF1051">
            <w:pPr>
              <w:spacing w:before="40" w:after="120"/>
              <w:ind w:right="57"/>
            </w:pPr>
            <w:r>
              <w:rPr>
                <w:b/>
              </w:rPr>
              <w:t>[D1</w:t>
            </w:r>
            <w:r w:rsidR="00FC7213">
              <w:rPr>
                <w:b/>
              </w:rPr>
              <w:t xml:space="preserve">] </w:t>
            </w:r>
            <w:r>
              <w:t xml:space="preserve">Aucune </w:t>
            </w:r>
            <w:r w:rsidRPr="00EB5320">
              <w:t xml:space="preserve">information </w:t>
            </w:r>
            <w:r>
              <w:t>n</w:t>
            </w:r>
            <w:r w:rsidR="00AA2481">
              <w:t>’</w:t>
            </w:r>
            <w:r>
              <w:t>est fournie sur les réparations accordées aux proches des victimes.</w:t>
            </w:r>
          </w:p>
        </w:tc>
      </w:tr>
      <w:tr w:rsidR="00550BCD" w:rsidRPr="004431E4" w:rsidTr="00943867">
        <w:trPr>
          <w:cantSplit/>
        </w:trPr>
        <w:tc>
          <w:tcPr>
            <w:tcW w:w="1985" w:type="dxa"/>
            <w:shd w:val="clear" w:color="auto" w:fill="auto"/>
          </w:tcPr>
          <w:p w:rsidR="00550BCD" w:rsidRPr="008245D5" w:rsidRDefault="00550BCD" w:rsidP="00EF1051">
            <w:pPr>
              <w:spacing w:before="40" w:after="120"/>
              <w:ind w:right="57"/>
            </w:pPr>
            <w:r w:rsidRPr="00171D23">
              <w:rPr>
                <w:b/>
              </w:rPr>
              <w:t>Paragraphe 17:</w:t>
            </w:r>
            <w:r w:rsidRPr="00EB5320">
              <w:rPr>
                <w:b/>
                <w:i/>
              </w:rPr>
              <w:t xml:space="preserve"> </w:t>
            </w:r>
          </w:p>
        </w:tc>
        <w:tc>
          <w:tcPr>
            <w:tcW w:w="6521" w:type="dxa"/>
            <w:shd w:val="clear" w:color="auto" w:fill="auto"/>
          </w:tcPr>
          <w:p w:rsidR="00550BCD" w:rsidRDefault="00550BCD" w:rsidP="00EF1051">
            <w:pPr>
              <w:spacing w:before="40" w:after="120"/>
              <w:ind w:right="57"/>
              <w:rPr>
                <w:b/>
              </w:rPr>
            </w:pPr>
            <w:r w:rsidRPr="00036DD2">
              <w:rPr>
                <w:b/>
                <w:bCs/>
              </w:rPr>
              <w:t>L</w:t>
            </w:r>
            <w:r w:rsidR="00AA2481">
              <w:rPr>
                <w:b/>
                <w:bCs/>
              </w:rPr>
              <w:t>’</w:t>
            </w:r>
            <w:r w:rsidRPr="00036DD2">
              <w:rPr>
                <w:b/>
                <w:bCs/>
              </w:rPr>
              <w:t>État partie devrait respecter scrupuleusement l</w:t>
            </w:r>
            <w:r w:rsidR="00AA2481">
              <w:rPr>
                <w:b/>
                <w:bCs/>
              </w:rPr>
              <w:t>’</w:t>
            </w:r>
            <w:r w:rsidRPr="00036DD2">
              <w:rPr>
                <w:b/>
                <w:bCs/>
              </w:rPr>
              <w:t>indépendance de la magistrature. Il devrait également ouvrir des voies de droit aux juges qui n</w:t>
            </w:r>
            <w:r w:rsidR="00AA2481">
              <w:rPr>
                <w:b/>
                <w:bCs/>
              </w:rPr>
              <w:t>’</w:t>
            </w:r>
            <w:r w:rsidRPr="00036DD2">
              <w:rPr>
                <w:b/>
                <w:bCs/>
              </w:rPr>
              <w:t>ont pas été réélus au cours des réélections de 2009. L</w:t>
            </w:r>
            <w:r w:rsidR="00AA2481">
              <w:rPr>
                <w:b/>
                <w:bCs/>
              </w:rPr>
              <w:t>’</w:t>
            </w:r>
            <w:r w:rsidRPr="00036DD2">
              <w:rPr>
                <w:b/>
                <w:bCs/>
              </w:rPr>
              <w:t>État partie devrait aussi envisager d</w:t>
            </w:r>
            <w:r w:rsidR="00AA2481">
              <w:rPr>
                <w:b/>
                <w:bCs/>
              </w:rPr>
              <w:t>’</w:t>
            </w:r>
            <w:r w:rsidRPr="00036DD2">
              <w:rPr>
                <w:b/>
                <w:bCs/>
              </w:rPr>
              <w:t>entreprendre des réformes complètes, juridiques et autres, de façon à améliorer le système judiciaire et l</w:t>
            </w:r>
            <w:r w:rsidR="00AA2481">
              <w:rPr>
                <w:b/>
                <w:bCs/>
              </w:rPr>
              <w:t>’</w:t>
            </w:r>
            <w:r w:rsidRPr="00036DD2">
              <w:rPr>
                <w:b/>
                <w:bCs/>
              </w:rPr>
              <w:t>administration de la justice.</w:t>
            </w:r>
          </w:p>
        </w:tc>
      </w:tr>
      <w:tr w:rsidR="00550BCD" w:rsidRPr="004431E4" w:rsidTr="00943867">
        <w:trPr>
          <w:cantSplit/>
        </w:trPr>
        <w:tc>
          <w:tcPr>
            <w:tcW w:w="1985" w:type="dxa"/>
            <w:shd w:val="clear" w:color="auto" w:fill="auto"/>
          </w:tcPr>
          <w:p w:rsidR="00550BCD" w:rsidRPr="008245D5" w:rsidRDefault="00550BCD" w:rsidP="0029510F">
            <w:pPr>
              <w:keepNext/>
              <w:spacing w:before="40" w:after="120"/>
              <w:ind w:right="57"/>
            </w:pPr>
            <w:r w:rsidRPr="00A87F60">
              <w:t>Résumé réponse l</w:t>
            </w:r>
            <w:r w:rsidR="00AA2481">
              <w:t>’</w:t>
            </w:r>
            <w:r w:rsidRPr="00A87F60">
              <w:t>État partie</w:t>
            </w:r>
            <w:r w:rsidRPr="00EB5320">
              <w:t>:</w:t>
            </w:r>
          </w:p>
        </w:tc>
        <w:tc>
          <w:tcPr>
            <w:tcW w:w="6521" w:type="dxa"/>
            <w:shd w:val="clear" w:color="auto" w:fill="auto"/>
          </w:tcPr>
          <w:p w:rsidR="00550BCD" w:rsidRPr="00943867" w:rsidRDefault="00AC3B5E" w:rsidP="00EF1051">
            <w:pPr>
              <w:keepNext/>
              <w:tabs>
                <w:tab w:val="left" w:pos="284"/>
              </w:tabs>
              <w:spacing w:before="40" w:after="120"/>
              <w:ind w:right="57" w:hanging="284"/>
            </w:pPr>
            <w:r>
              <w:t>•</w:t>
            </w:r>
            <w:r>
              <w:tab/>
            </w:r>
            <w:r w:rsidR="00550BCD" w:rsidRPr="006A1DB5">
              <w:t xml:space="preserve">En </w:t>
            </w:r>
            <w:r w:rsidR="00550BCD">
              <w:t>décembre 2010, de nouvelles modifications ont été apportées à la loi sur la magistrature, prescrivant le réexamen des décisions concernant la nomination des juges non élus par les membres du Haut Conseil judiciaire.</w:t>
            </w:r>
          </w:p>
        </w:tc>
      </w:tr>
      <w:tr w:rsidR="00943867" w:rsidRPr="004431E4" w:rsidTr="00943867">
        <w:trPr>
          <w:cantSplit/>
        </w:trPr>
        <w:tc>
          <w:tcPr>
            <w:tcW w:w="1985" w:type="dxa"/>
            <w:shd w:val="clear" w:color="auto" w:fill="auto"/>
          </w:tcPr>
          <w:p w:rsidR="00943867" w:rsidRPr="00A87F60" w:rsidRDefault="00943867" w:rsidP="00EF1051">
            <w:pPr>
              <w:spacing w:before="40" w:after="120"/>
              <w:ind w:right="57"/>
            </w:pPr>
          </w:p>
        </w:tc>
        <w:tc>
          <w:tcPr>
            <w:tcW w:w="6521" w:type="dxa"/>
            <w:shd w:val="clear" w:color="auto" w:fill="auto"/>
          </w:tcPr>
          <w:p w:rsidR="00943867" w:rsidRDefault="00943867" w:rsidP="00EF1051">
            <w:pPr>
              <w:tabs>
                <w:tab w:val="left" w:pos="284"/>
              </w:tabs>
              <w:spacing w:before="40" w:after="120"/>
              <w:ind w:right="57" w:hanging="284"/>
            </w:pPr>
            <w:r>
              <w:t>•</w:t>
            </w:r>
            <w:r>
              <w:tab/>
              <w:t>En mai 2011, le Haut Conseil judiciaire a établi des critères pour évaluer la compétence et les qualifications des juges. En juin 2011, il a commencé à réexaminer les nominations. Ses décisions sont publiques et les juges non élus ont le droit de faire appel devant la Cour constitutionnelle.</w:t>
            </w:r>
          </w:p>
        </w:tc>
      </w:tr>
      <w:tr w:rsidR="00550BCD" w:rsidRPr="004431E4" w:rsidTr="00943867">
        <w:trPr>
          <w:cantSplit/>
        </w:trPr>
        <w:tc>
          <w:tcPr>
            <w:tcW w:w="1985" w:type="dxa"/>
            <w:shd w:val="clear" w:color="auto" w:fill="auto"/>
          </w:tcPr>
          <w:p w:rsidR="00550BCD" w:rsidRPr="00A87F60" w:rsidRDefault="00550BCD" w:rsidP="00EF1051">
            <w:pPr>
              <w:spacing w:before="40" w:after="120"/>
              <w:ind w:right="57"/>
            </w:pPr>
          </w:p>
        </w:tc>
        <w:tc>
          <w:tcPr>
            <w:tcW w:w="6521" w:type="dxa"/>
            <w:shd w:val="clear" w:color="auto" w:fill="auto"/>
          </w:tcPr>
          <w:p w:rsidR="00550BCD" w:rsidRPr="006A1DB5" w:rsidRDefault="00AC3B5E" w:rsidP="00EF1051">
            <w:pPr>
              <w:tabs>
                <w:tab w:val="left" w:pos="284"/>
              </w:tabs>
              <w:spacing w:before="40" w:after="120"/>
              <w:ind w:right="57" w:hanging="284"/>
            </w:pPr>
            <w:r>
              <w:t>•</w:t>
            </w:r>
            <w:r>
              <w:tab/>
            </w:r>
            <w:r w:rsidR="00550BCD">
              <w:t>Un nouveau réseau de juridictions a été mis en place depuis 2010 afin d</w:t>
            </w:r>
            <w:r w:rsidR="00AA2481">
              <w:t>’</w:t>
            </w:r>
            <w:r w:rsidR="00550BCD">
              <w:t>améliorer l</w:t>
            </w:r>
            <w:r w:rsidR="00AA2481">
              <w:t>’</w:t>
            </w:r>
            <w:r w:rsidR="00550BCD">
              <w:t>accès à la justice. La loi de 2011 sur les notaires publics confère à ces derniers davantage de pouvoirs pour légaliser les documents, réduisant ainsi la charge de travail des tribunaux.</w:t>
            </w:r>
          </w:p>
        </w:tc>
      </w:tr>
      <w:tr w:rsidR="00550BCD" w:rsidRPr="004431E4" w:rsidTr="00943867">
        <w:trPr>
          <w:cantSplit/>
        </w:trPr>
        <w:tc>
          <w:tcPr>
            <w:tcW w:w="1985" w:type="dxa"/>
            <w:shd w:val="clear" w:color="auto" w:fill="auto"/>
          </w:tcPr>
          <w:p w:rsidR="00550BCD" w:rsidRPr="00A87F60" w:rsidRDefault="00550BCD" w:rsidP="00EF1051">
            <w:pPr>
              <w:spacing w:before="40" w:after="120"/>
              <w:ind w:right="57"/>
            </w:pPr>
          </w:p>
        </w:tc>
        <w:tc>
          <w:tcPr>
            <w:tcW w:w="6521" w:type="dxa"/>
            <w:shd w:val="clear" w:color="auto" w:fill="auto"/>
          </w:tcPr>
          <w:p w:rsidR="00550BCD" w:rsidRDefault="00943867" w:rsidP="00EF1051">
            <w:pPr>
              <w:tabs>
                <w:tab w:val="left" w:pos="284"/>
              </w:tabs>
              <w:spacing w:before="40" w:after="120"/>
              <w:ind w:right="57" w:hanging="284"/>
            </w:pPr>
            <w:r>
              <w:t>•</w:t>
            </w:r>
            <w:r>
              <w:tab/>
            </w:r>
            <w:r w:rsidR="00550BCD">
              <w:t>Afin d</w:t>
            </w:r>
            <w:r w:rsidR="00AA2481">
              <w:t>’</w:t>
            </w:r>
            <w:r w:rsidR="00550BCD">
              <w:t>accélérer les procès, les présidents de juridiction sont tenus de veiller à ce que les délais soient respectés. Les particuliers peuvent porter plainte devant le Président de la Cour suprême de cassation et le Haut Conseil judiciaire en cas d</w:t>
            </w:r>
            <w:r w:rsidR="00AA2481">
              <w:t>’</w:t>
            </w:r>
            <w:r w:rsidR="00550BCD">
              <w:t>obstruction à l</w:t>
            </w:r>
            <w:r w:rsidR="00AA2481">
              <w:t>’</w:t>
            </w:r>
            <w:r w:rsidR="00550BCD">
              <w:t>action de la justice.</w:t>
            </w:r>
          </w:p>
        </w:tc>
      </w:tr>
      <w:tr w:rsidR="00550BCD" w:rsidRPr="004431E4" w:rsidTr="00943867">
        <w:trPr>
          <w:cantSplit/>
        </w:trPr>
        <w:tc>
          <w:tcPr>
            <w:tcW w:w="1985" w:type="dxa"/>
            <w:shd w:val="clear" w:color="auto" w:fill="auto"/>
          </w:tcPr>
          <w:p w:rsidR="00550BCD" w:rsidRPr="00A87F60" w:rsidRDefault="00550BCD" w:rsidP="00EF1051">
            <w:pPr>
              <w:spacing w:before="40" w:after="120"/>
              <w:ind w:right="57"/>
            </w:pPr>
          </w:p>
        </w:tc>
        <w:tc>
          <w:tcPr>
            <w:tcW w:w="6521" w:type="dxa"/>
            <w:shd w:val="clear" w:color="auto" w:fill="auto"/>
          </w:tcPr>
          <w:p w:rsidR="00550BCD" w:rsidRDefault="00943867" w:rsidP="00EF1051">
            <w:pPr>
              <w:tabs>
                <w:tab w:val="left" w:pos="284"/>
              </w:tabs>
              <w:spacing w:before="40" w:after="120"/>
              <w:ind w:right="57" w:hanging="284"/>
            </w:pPr>
            <w:r>
              <w:t>•</w:t>
            </w:r>
            <w:r>
              <w:tab/>
            </w:r>
            <w:r w:rsidR="00550BCD">
              <w:t>En vertu de la loi de 2012 sur la procédure civile, les juges doivent fixer un calendrier pour la fin du procès au début de chaque procédure. Les procédures peuvent seulement être prolongées pour recueillir davantage de preuves et en cas d</w:t>
            </w:r>
            <w:r w:rsidR="00AA2481">
              <w:t>’</w:t>
            </w:r>
            <w:r w:rsidR="00550BCD">
              <w:t>empêchement du juge. En janvier 2012, une nouvelle disposition du Code de procédure pénale a été adoptée en vue d</w:t>
            </w:r>
            <w:r w:rsidR="00AA2481">
              <w:t>’</w:t>
            </w:r>
            <w:r w:rsidR="00550BCD">
              <w:t>accélérer les enquêtes dans les cas de poursuites pour crime organisé et crimes de guerre.</w:t>
            </w:r>
          </w:p>
        </w:tc>
      </w:tr>
      <w:tr w:rsidR="00550BCD" w:rsidRPr="004431E4" w:rsidTr="00943867">
        <w:trPr>
          <w:cantSplit/>
        </w:trPr>
        <w:tc>
          <w:tcPr>
            <w:tcW w:w="1985" w:type="dxa"/>
            <w:shd w:val="clear" w:color="auto" w:fill="auto"/>
          </w:tcPr>
          <w:p w:rsidR="00550BCD" w:rsidRPr="00A87F60" w:rsidRDefault="00550BCD" w:rsidP="00EF1051">
            <w:pPr>
              <w:spacing w:before="40" w:after="120"/>
              <w:ind w:right="57"/>
            </w:pPr>
            <w:r w:rsidRPr="006F02D6">
              <w:t>Informations d</w:t>
            </w:r>
            <w:r w:rsidR="00AA2481">
              <w:t>’</w:t>
            </w:r>
            <w:r w:rsidRPr="006F02D6">
              <w:t>ONG</w:t>
            </w:r>
            <w:r>
              <w:t>:</w:t>
            </w:r>
          </w:p>
        </w:tc>
        <w:tc>
          <w:tcPr>
            <w:tcW w:w="6521" w:type="dxa"/>
            <w:shd w:val="clear" w:color="auto" w:fill="auto"/>
          </w:tcPr>
          <w:p w:rsidR="00550BCD" w:rsidRDefault="00550BCD" w:rsidP="00EF1051">
            <w:pPr>
              <w:spacing w:before="40" w:after="120"/>
              <w:ind w:right="57"/>
            </w:pPr>
            <w:r>
              <w:t>Des lois ont été adoptées pour améliorer l</w:t>
            </w:r>
            <w:r w:rsidR="00AA2481">
              <w:t>’</w:t>
            </w:r>
            <w:r>
              <w:t>administration de la justice, par lesquelles le Gouvernement admettait que ses procédures présentaient des lacunes et reconnaissait que chaque nomination individuelle devait être réexaminée. Des mécanismes sont également nécessaires pour veiller à la transparence des décisions des juridictions supérieures et pour instaurer des procédures d</w:t>
            </w:r>
            <w:r w:rsidR="00AA2481">
              <w:t>’</w:t>
            </w:r>
            <w:r>
              <w:t>appel adéquates en vue d</w:t>
            </w:r>
            <w:r w:rsidR="00AA2481">
              <w:t>’</w:t>
            </w:r>
            <w:r>
              <w:t>un réexamen rapide.</w:t>
            </w:r>
          </w:p>
        </w:tc>
      </w:tr>
      <w:tr w:rsidR="00550BCD" w:rsidRPr="004431E4" w:rsidTr="00943867">
        <w:trPr>
          <w:cantSplit/>
        </w:trPr>
        <w:tc>
          <w:tcPr>
            <w:tcW w:w="1985" w:type="dxa"/>
            <w:shd w:val="clear" w:color="auto" w:fill="auto"/>
          </w:tcPr>
          <w:p w:rsidR="00550BCD" w:rsidRPr="006F02D6" w:rsidRDefault="00550BCD" w:rsidP="00EF1051">
            <w:pPr>
              <w:spacing w:before="40" w:after="120"/>
              <w:ind w:right="57"/>
            </w:pPr>
            <w:r w:rsidRPr="004B32C1">
              <w:t>Évaluation Comité</w:t>
            </w:r>
            <w:r>
              <w:t>:</w:t>
            </w:r>
          </w:p>
        </w:tc>
        <w:tc>
          <w:tcPr>
            <w:tcW w:w="6521" w:type="dxa"/>
            <w:shd w:val="clear" w:color="auto" w:fill="auto"/>
          </w:tcPr>
          <w:p w:rsidR="00550BCD" w:rsidRDefault="00550BCD" w:rsidP="00EF1051">
            <w:pPr>
              <w:spacing w:before="40" w:after="120"/>
              <w:ind w:right="57"/>
            </w:pPr>
            <w:r w:rsidRPr="009E5869">
              <w:rPr>
                <w:b/>
              </w:rPr>
              <w:t>[B2</w:t>
            </w:r>
            <w:r w:rsidR="00FC7213">
              <w:rPr>
                <w:b/>
              </w:rPr>
              <w:t xml:space="preserve">] </w:t>
            </w:r>
            <w:r>
              <w:t>Des mesures supplémentaires sont requises pour améliorer l</w:t>
            </w:r>
            <w:r w:rsidR="00AA2481">
              <w:t>’</w:t>
            </w:r>
            <w:r>
              <w:t>indépendance de la magistrature, notamment au regard des importants pouvoirs que détient le Haut Conseil judiciaire concernant la nomination des juges. Pour ce qui est des mesures visant à accélérer les procédures, des informations supplémentaires sont nécessaires au sujet des garanties mises en place pour protéger l</w:t>
            </w:r>
            <w:r w:rsidR="00AA2481">
              <w:t>’</w:t>
            </w:r>
            <w:r>
              <w:t>accès à la justice de toutes les parties au procès.</w:t>
            </w:r>
          </w:p>
        </w:tc>
      </w:tr>
      <w:tr w:rsidR="00550BCD" w:rsidRPr="004431E4" w:rsidTr="00943867">
        <w:trPr>
          <w:cantSplit/>
        </w:trPr>
        <w:tc>
          <w:tcPr>
            <w:tcW w:w="1985" w:type="dxa"/>
            <w:shd w:val="clear" w:color="auto" w:fill="auto"/>
          </w:tcPr>
          <w:p w:rsidR="00550BCD" w:rsidRPr="004B32C1" w:rsidRDefault="00550BCD" w:rsidP="00EF1051">
            <w:pPr>
              <w:spacing w:before="40" w:after="120"/>
              <w:ind w:right="57"/>
            </w:pPr>
            <w:r w:rsidRPr="008B2DA6">
              <w:rPr>
                <w:b/>
              </w:rPr>
              <w:t>Paragraphe 22:</w:t>
            </w:r>
            <w:r>
              <w:rPr>
                <w:b/>
                <w:i/>
              </w:rPr>
              <w:t xml:space="preserve"> </w:t>
            </w:r>
          </w:p>
        </w:tc>
        <w:tc>
          <w:tcPr>
            <w:tcW w:w="6521" w:type="dxa"/>
            <w:shd w:val="clear" w:color="auto" w:fill="auto"/>
          </w:tcPr>
          <w:p w:rsidR="00550BCD" w:rsidRPr="009E5869" w:rsidRDefault="00550BCD" w:rsidP="00EF1051">
            <w:pPr>
              <w:spacing w:before="40" w:after="120"/>
              <w:ind w:right="57"/>
              <w:rPr>
                <w:b/>
              </w:rPr>
            </w:pPr>
            <w:r w:rsidRPr="004618AE">
              <w:rPr>
                <w:b/>
                <w:bCs/>
              </w:rPr>
              <w:t>L</w:t>
            </w:r>
            <w:r w:rsidR="00AA2481">
              <w:rPr>
                <w:b/>
                <w:bCs/>
              </w:rPr>
              <w:t>’</w:t>
            </w:r>
            <w:r w:rsidRPr="004618AE">
              <w:rPr>
                <w:b/>
                <w:bCs/>
              </w:rPr>
              <w:t xml:space="preserve">État partie devrait </w:t>
            </w:r>
            <w:r>
              <w:rPr>
                <w:b/>
                <w:bCs/>
              </w:rPr>
              <w:t>redoubler</w:t>
            </w:r>
            <w:r w:rsidRPr="004618AE">
              <w:rPr>
                <w:b/>
                <w:bCs/>
              </w:rPr>
              <w:t xml:space="preserve"> </w:t>
            </w:r>
            <w:r>
              <w:rPr>
                <w:b/>
                <w:bCs/>
              </w:rPr>
              <w:t>d</w:t>
            </w:r>
            <w:r w:rsidR="00AA2481">
              <w:rPr>
                <w:b/>
                <w:bCs/>
              </w:rPr>
              <w:t>’</w:t>
            </w:r>
            <w:r w:rsidRPr="004618AE">
              <w:rPr>
                <w:b/>
                <w:bCs/>
              </w:rPr>
              <w:t xml:space="preserve">efforts pour </w:t>
            </w:r>
            <w:r>
              <w:rPr>
                <w:b/>
                <w:bCs/>
              </w:rPr>
              <w:t xml:space="preserve">éliminer les </w:t>
            </w:r>
            <w:r w:rsidRPr="004618AE">
              <w:rPr>
                <w:b/>
                <w:bCs/>
              </w:rPr>
              <w:t xml:space="preserve">stéréotypes et </w:t>
            </w:r>
            <w:r>
              <w:rPr>
                <w:b/>
                <w:bCs/>
              </w:rPr>
              <w:t>mettre fin aux</w:t>
            </w:r>
            <w:r w:rsidRPr="004618AE">
              <w:rPr>
                <w:b/>
                <w:bCs/>
              </w:rPr>
              <w:t xml:space="preserve"> </w:t>
            </w:r>
            <w:r>
              <w:rPr>
                <w:b/>
                <w:bCs/>
              </w:rPr>
              <w:t>exactions dont</w:t>
            </w:r>
            <w:r w:rsidRPr="004618AE">
              <w:rPr>
                <w:b/>
                <w:bCs/>
              </w:rPr>
              <w:t xml:space="preserve"> les Roms </w:t>
            </w:r>
            <w:r>
              <w:rPr>
                <w:b/>
                <w:bCs/>
              </w:rPr>
              <w:t>font l</w:t>
            </w:r>
            <w:r w:rsidR="00AA2481">
              <w:rPr>
                <w:b/>
                <w:bCs/>
              </w:rPr>
              <w:t>’</w:t>
            </w:r>
            <w:r>
              <w:rPr>
                <w:b/>
                <w:bCs/>
              </w:rPr>
              <w:t>objet et multiplier</w:t>
            </w:r>
            <w:r w:rsidR="00D45B13">
              <w:rPr>
                <w:b/>
                <w:bCs/>
              </w:rPr>
              <w:t>,</w:t>
            </w:r>
            <w:r>
              <w:rPr>
                <w:b/>
                <w:bCs/>
              </w:rPr>
              <w:t xml:space="preserve"> à cet effet</w:t>
            </w:r>
            <w:r w:rsidR="00D45B13">
              <w:rPr>
                <w:b/>
                <w:bCs/>
              </w:rPr>
              <w:t>,</w:t>
            </w:r>
            <w:r>
              <w:rPr>
                <w:b/>
                <w:bCs/>
              </w:rPr>
              <w:t xml:space="preserve"> les</w:t>
            </w:r>
            <w:r w:rsidRPr="004618AE">
              <w:rPr>
                <w:b/>
                <w:bCs/>
              </w:rPr>
              <w:t xml:space="preserve"> campagnes de sensibilisation visant à promouvoir la </w:t>
            </w:r>
            <w:r>
              <w:rPr>
                <w:b/>
                <w:bCs/>
              </w:rPr>
              <w:t>tolérance</w:t>
            </w:r>
            <w:r w:rsidRPr="004618AE">
              <w:rPr>
                <w:b/>
                <w:bCs/>
              </w:rPr>
              <w:t xml:space="preserve"> et le respect de la diversité. L</w:t>
            </w:r>
            <w:r w:rsidR="00AA2481">
              <w:rPr>
                <w:b/>
                <w:bCs/>
              </w:rPr>
              <w:t>’</w:t>
            </w:r>
            <w:r w:rsidRPr="004618AE">
              <w:rPr>
                <w:b/>
                <w:bCs/>
              </w:rPr>
              <w:t xml:space="preserve">État partie devrait </w:t>
            </w:r>
            <w:r>
              <w:rPr>
                <w:b/>
                <w:bCs/>
              </w:rPr>
              <w:t>aussi</w:t>
            </w:r>
            <w:r w:rsidRPr="004618AE">
              <w:rPr>
                <w:b/>
                <w:bCs/>
              </w:rPr>
              <w:t xml:space="preserve"> </w:t>
            </w:r>
            <w:r>
              <w:rPr>
                <w:b/>
                <w:bCs/>
              </w:rPr>
              <w:t>adopter</w:t>
            </w:r>
            <w:r w:rsidRPr="004618AE">
              <w:rPr>
                <w:b/>
                <w:bCs/>
              </w:rPr>
              <w:t xml:space="preserve"> des mesures </w:t>
            </w:r>
            <w:r>
              <w:rPr>
                <w:b/>
                <w:bCs/>
              </w:rPr>
              <w:t>afin de favoriser</w:t>
            </w:r>
            <w:r w:rsidRPr="004618AE">
              <w:rPr>
                <w:b/>
                <w:bCs/>
              </w:rPr>
              <w:t xml:space="preserve"> l</w:t>
            </w:r>
            <w:r w:rsidR="00AA2481">
              <w:rPr>
                <w:b/>
                <w:bCs/>
              </w:rPr>
              <w:t>’</w:t>
            </w:r>
            <w:r w:rsidRPr="004618AE">
              <w:rPr>
                <w:b/>
                <w:bCs/>
              </w:rPr>
              <w:t xml:space="preserve">accès des Roms à </w:t>
            </w:r>
            <w:r>
              <w:rPr>
                <w:b/>
                <w:bCs/>
              </w:rPr>
              <w:t>différents</w:t>
            </w:r>
            <w:r w:rsidRPr="004618AE">
              <w:rPr>
                <w:b/>
                <w:bCs/>
              </w:rPr>
              <w:t xml:space="preserve"> </w:t>
            </w:r>
            <w:r>
              <w:rPr>
                <w:b/>
                <w:bCs/>
              </w:rPr>
              <w:t>services et possibilités à tous les niveaux</w:t>
            </w:r>
            <w:r w:rsidRPr="004618AE">
              <w:rPr>
                <w:b/>
                <w:bCs/>
              </w:rPr>
              <w:t xml:space="preserve"> y compris, </w:t>
            </w:r>
            <w:r>
              <w:rPr>
                <w:b/>
                <w:bCs/>
              </w:rPr>
              <w:t>si nécessaire</w:t>
            </w:r>
            <w:r w:rsidRPr="004618AE">
              <w:rPr>
                <w:b/>
                <w:bCs/>
              </w:rPr>
              <w:t>, en prenant de</w:t>
            </w:r>
            <w:r>
              <w:rPr>
                <w:b/>
                <w:bCs/>
              </w:rPr>
              <w:t>s mesures temporaires spéciales</w:t>
            </w:r>
            <w:r w:rsidRPr="004618AE">
              <w:rPr>
                <w:b/>
                <w:bCs/>
              </w:rPr>
              <w:t>.</w:t>
            </w:r>
          </w:p>
        </w:tc>
      </w:tr>
      <w:tr w:rsidR="00550BCD" w:rsidRPr="004431E4" w:rsidTr="00943867">
        <w:trPr>
          <w:cantSplit/>
        </w:trPr>
        <w:tc>
          <w:tcPr>
            <w:tcW w:w="1985" w:type="dxa"/>
            <w:shd w:val="clear" w:color="auto" w:fill="auto"/>
          </w:tcPr>
          <w:p w:rsidR="00550BCD" w:rsidRPr="008B2DA6" w:rsidRDefault="00550BCD" w:rsidP="00EF1051">
            <w:pPr>
              <w:keepNext/>
              <w:spacing w:before="40" w:after="120"/>
              <w:ind w:right="57"/>
              <w:rPr>
                <w:b/>
              </w:rPr>
            </w:pPr>
            <w:r w:rsidRPr="00BC5F57">
              <w:t>Résumé réponse l</w:t>
            </w:r>
            <w:r w:rsidR="00AA2481">
              <w:t>’</w:t>
            </w:r>
            <w:r w:rsidRPr="00BC5F57">
              <w:t>État partie</w:t>
            </w:r>
            <w:r>
              <w:t>:</w:t>
            </w:r>
          </w:p>
        </w:tc>
        <w:tc>
          <w:tcPr>
            <w:tcW w:w="6521" w:type="dxa"/>
            <w:shd w:val="clear" w:color="auto" w:fill="auto"/>
          </w:tcPr>
          <w:p w:rsidR="00550BCD" w:rsidRPr="004618AE" w:rsidRDefault="00DB320E" w:rsidP="00EF1051">
            <w:pPr>
              <w:keepNext/>
              <w:tabs>
                <w:tab w:val="left" w:pos="284"/>
              </w:tabs>
              <w:spacing w:before="40" w:after="120"/>
              <w:ind w:right="57" w:hanging="284"/>
              <w:rPr>
                <w:b/>
                <w:bCs/>
              </w:rPr>
            </w:pPr>
            <w:r>
              <w:t>•</w:t>
            </w:r>
            <w:r>
              <w:tab/>
            </w:r>
            <w:r w:rsidR="00550BCD">
              <w:t>Des campagnes de sensibilisation ont été élaborées en vue de promouvoir la tolérance et le respect de la diversité (programmes télévisés; organisation d</w:t>
            </w:r>
            <w:r w:rsidR="00AA2481">
              <w:t>’</w:t>
            </w:r>
            <w:r w:rsidR="00550BCD">
              <w:t>une journée des Roms). Cinq millions de SRD ont été alloués à des projets visant à promouvoir les droits de l</w:t>
            </w:r>
            <w:r w:rsidR="00AA2481">
              <w:t>’</w:t>
            </w:r>
            <w:r w:rsidR="00550BCD">
              <w:t>homme, notamment les droits des Roms.</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p>
        </w:tc>
        <w:tc>
          <w:tcPr>
            <w:tcW w:w="6521" w:type="dxa"/>
            <w:shd w:val="clear" w:color="auto" w:fill="auto"/>
          </w:tcPr>
          <w:p w:rsidR="00550BCD" w:rsidRDefault="00DB320E" w:rsidP="00EF1051">
            <w:pPr>
              <w:tabs>
                <w:tab w:val="left" w:pos="284"/>
              </w:tabs>
              <w:spacing w:before="40" w:after="120"/>
              <w:ind w:right="57" w:hanging="284"/>
            </w:pPr>
            <w:r>
              <w:t>•</w:t>
            </w:r>
            <w:r>
              <w:tab/>
            </w:r>
            <w:r w:rsidR="00550BCD">
              <w:t>Six des 87 partis politiques existants défendent les intérêts de la minorité nationale rom, favorisant ainsi leur accès à la vie politique.</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p>
        </w:tc>
        <w:tc>
          <w:tcPr>
            <w:tcW w:w="6521" w:type="dxa"/>
            <w:shd w:val="clear" w:color="auto" w:fill="auto"/>
          </w:tcPr>
          <w:p w:rsidR="00550BCD" w:rsidRDefault="00DB320E" w:rsidP="00EF1051">
            <w:pPr>
              <w:tabs>
                <w:tab w:val="left" w:pos="284"/>
              </w:tabs>
              <w:spacing w:before="40" w:after="120"/>
              <w:ind w:right="57" w:hanging="284"/>
            </w:pPr>
            <w:r>
              <w:t>•</w:t>
            </w:r>
            <w:r>
              <w:tab/>
            </w:r>
            <w:r w:rsidR="00550BCD">
              <w:t>Pour améliorer l</w:t>
            </w:r>
            <w:r w:rsidR="00AA2481">
              <w:t>’</w:t>
            </w:r>
            <w:r w:rsidR="00550BCD">
              <w:t>accès des Roms au logement, le Ministère de l</w:t>
            </w:r>
            <w:r w:rsidR="00AA2481">
              <w:t>’</w:t>
            </w:r>
            <w:r w:rsidR="00550BCD">
              <w:t>environnement envisage de financer 10 établissements informels dans huit municipalités. Les travaux de construction n</w:t>
            </w:r>
            <w:r w:rsidR="00AA2481">
              <w:t>’</w:t>
            </w:r>
            <w:r w:rsidR="00550BCD">
              <w:t>ont pas encore commencé. En 2012, le Gouvernement a adopté la stratégie nationale du logement social et le plan d</w:t>
            </w:r>
            <w:r w:rsidR="00AA2481">
              <w:t>’</w:t>
            </w:r>
            <w:r w:rsidR="00550BCD">
              <w:t>action pour sa mise en œuvre.</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p>
        </w:tc>
        <w:tc>
          <w:tcPr>
            <w:tcW w:w="6521" w:type="dxa"/>
            <w:shd w:val="clear" w:color="auto" w:fill="auto"/>
          </w:tcPr>
          <w:p w:rsidR="00550BCD" w:rsidRDefault="00DB320E" w:rsidP="00EF1051">
            <w:pPr>
              <w:tabs>
                <w:tab w:val="left" w:pos="284"/>
              </w:tabs>
              <w:spacing w:before="40" w:after="120"/>
              <w:ind w:right="57" w:hanging="284"/>
            </w:pPr>
            <w:r>
              <w:t>•</w:t>
            </w:r>
            <w:r>
              <w:tab/>
            </w:r>
            <w:r w:rsidR="00550BCD">
              <w:t>Une nouvelle loi sur la résidence permanente et temporaire a été adoptée et garantit à tous les citoyens l</w:t>
            </w:r>
            <w:r w:rsidR="00AA2481">
              <w:t>’</w:t>
            </w:r>
            <w:r w:rsidR="00550BCD">
              <w:t xml:space="preserve">accès à une résidence enregistrée. Les personnes qui vivent dans des établissements informels peuvent enregistrer leur adresse auprès du Centre de protection sociale pour avoir droit aux prestations sociales. </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p>
        </w:tc>
        <w:tc>
          <w:tcPr>
            <w:tcW w:w="6521" w:type="dxa"/>
            <w:shd w:val="clear" w:color="auto" w:fill="auto"/>
          </w:tcPr>
          <w:p w:rsidR="00550BCD" w:rsidRDefault="00DB320E" w:rsidP="00EF1051">
            <w:pPr>
              <w:tabs>
                <w:tab w:val="left" w:pos="284"/>
              </w:tabs>
              <w:spacing w:before="40" w:after="120"/>
              <w:ind w:right="57" w:hanging="284"/>
            </w:pPr>
            <w:r>
              <w:t>•</w:t>
            </w:r>
            <w:r>
              <w:tab/>
            </w:r>
            <w:r w:rsidR="00550BCD">
              <w:t>Les frais administratifs pour l</w:t>
            </w:r>
            <w:r w:rsidR="00AA2481">
              <w:t>’</w:t>
            </w:r>
            <w:r w:rsidR="00550BCD">
              <w:t>enregistrement des naissances ont été supprimés en juillet 2010.</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p>
        </w:tc>
        <w:tc>
          <w:tcPr>
            <w:tcW w:w="6521" w:type="dxa"/>
            <w:shd w:val="clear" w:color="auto" w:fill="auto"/>
          </w:tcPr>
          <w:p w:rsidR="00550BCD" w:rsidRDefault="00DB320E" w:rsidP="00EF1051">
            <w:pPr>
              <w:tabs>
                <w:tab w:val="left" w:pos="284"/>
              </w:tabs>
              <w:spacing w:before="40" w:after="120"/>
              <w:ind w:right="57" w:hanging="284"/>
            </w:pPr>
            <w:r>
              <w:t>•</w:t>
            </w:r>
            <w:r>
              <w:tab/>
            </w:r>
            <w:r w:rsidR="00550BCD">
              <w:t>Un enseignement et des formations professionnels ont été mis en place pour améliorer l</w:t>
            </w:r>
            <w:r w:rsidR="00AA2481">
              <w:t>’</w:t>
            </w:r>
            <w:r w:rsidR="00550BCD">
              <w:t>accès à l</w:t>
            </w:r>
            <w:r w:rsidR="00AA2481">
              <w:t>’</w:t>
            </w:r>
            <w:r w:rsidR="00550BCD">
              <w:t>éducation des me</w:t>
            </w:r>
            <w:r w:rsidR="00D45B13">
              <w:t>mbres de la communauté rom. Des </w:t>
            </w:r>
            <w:r w:rsidR="00550BCD">
              <w:t>mesures temporaires spéciales sont appliquées depuis 2003 pour améliorer l</w:t>
            </w:r>
            <w:r w:rsidR="00AA2481">
              <w:t>’</w:t>
            </w:r>
            <w:r w:rsidR="00550BCD">
              <w:t>accès de la communauté rom à l</w:t>
            </w:r>
            <w:r w:rsidR="00AA2481">
              <w:t>’</w:t>
            </w:r>
            <w:r w:rsidR="00550BCD">
              <w:t>éducation (aucune information n</w:t>
            </w:r>
            <w:r w:rsidR="00AA2481">
              <w:t>’</w:t>
            </w:r>
            <w:r w:rsidR="00550BCD">
              <w:t>est fournie sur ces mesures).</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r w:rsidRPr="00216A23">
              <w:t>Informations d</w:t>
            </w:r>
            <w:r w:rsidR="00AA2481">
              <w:t>’</w:t>
            </w:r>
            <w:r w:rsidRPr="00216A23">
              <w:t>ONG:</w:t>
            </w:r>
          </w:p>
        </w:tc>
        <w:tc>
          <w:tcPr>
            <w:tcW w:w="6521" w:type="dxa"/>
            <w:shd w:val="clear" w:color="auto" w:fill="auto"/>
          </w:tcPr>
          <w:p w:rsidR="00550BCD" w:rsidRDefault="00DB320E" w:rsidP="00EF1051">
            <w:pPr>
              <w:tabs>
                <w:tab w:val="left" w:pos="284"/>
              </w:tabs>
              <w:spacing w:before="40" w:after="120"/>
              <w:ind w:right="57" w:hanging="284"/>
            </w:pPr>
            <w:r>
              <w:t>•</w:t>
            </w:r>
            <w:r>
              <w:tab/>
            </w:r>
            <w:r w:rsidR="00550BCD">
              <w:t>L</w:t>
            </w:r>
            <w:r w:rsidR="00AA2481">
              <w:t>’</w:t>
            </w:r>
            <w:r w:rsidR="00550BCD">
              <w:t>accès des Roms à l</w:t>
            </w:r>
            <w:r w:rsidR="00AA2481">
              <w:t>’</w:t>
            </w:r>
            <w:r w:rsidR="00550BCD">
              <w:t>éducation et aux services de santé s</w:t>
            </w:r>
            <w:r w:rsidR="00AA2481">
              <w:t>’</w:t>
            </w:r>
            <w:r w:rsidR="00550BCD">
              <w:t>est amélioré. Toutefois, on n</w:t>
            </w:r>
            <w:r w:rsidR="00AA2481">
              <w:t>’</w:t>
            </w:r>
            <w:r w:rsidR="00550BCD">
              <w:t>observe quasiment aucun progrès tangible dans les domaines de l</w:t>
            </w:r>
            <w:r w:rsidR="00AA2481">
              <w:t>’</w:t>
            </w:r>
            <w:r w:rsidR="00550BCD">
              <w:t>emploi et du logement.</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p>
        </w:tc>
        <w:tc>
          <w:tcPr>
            <w:tcW w:w="6521" w:type="dxa"/>
            <w:shd w:val="clear" w:color="auto" w:fill="auto"/>
          </w:tcPr>
          <w:p w:rsidR="00550BCD" w:rsidRDefault="00DB320E" w:rsidP="00274457">
            <w:pPr>
              <w:tabs>
                <w:tab w:val="left" w:pos="284"/>
              </w:tabs>
              <w:spacing w:before="40" w:after="120"/>
              <w:ind w:right="57" w:hanging="284"/>
            </w:pPr>
            <w:r>
              <w:t>•</w:t>
            </w:r>
            <w:r>
              <w:tab/>
            </w:r>
            <w:r w:rsidR="00550BCD">
              <w:t>Les procédures concernant l</w:t>
            </w:r>
            <w:r w:rsidR="00AA2481">
              <w:t>’</w:t>
            </w:r>
            <w:r w:rsidR="00550BCD">
              <w:t xml:space="preserve">orientation des enfants roms vers des écoles pour enfants présentant des troubles du développement ont été revues afin de promouvoir une éducation </w:t>
            </w:r>
            <w:r w:rsidR="00274457">
              <w:t>égale pour tous</w:t>
            </w:r>
            <w:r w:rsidR="00550BCD">
              <w:t>. Les effets de cette révision ne sont pas encore connus.</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r w:rsidRPr="00933F49">
              <w:t>Évaluation Comité:</w:t>
            </w:r>
          </w:p>
        </w:tc>
        <w:tc>
          <w:tcPr>
            <w:tcW w:w="6521" w:type="dxa"/>
            <w:shd w:val="clear" w:color="auto" w:fill="auto"/>
          </w:tcPr>
          <w:p w:rsidR="00550BCD" w:rsidRDefault="00550BCD" w:rsidP="009F2AEA">
            <w:pPr>
              <w:spacing w:before="40" w:after="120"/>
              <w:ind w:right="57"/>
            </w:pPr>
            <w:r>
              <w:rPr>
                <w:b/>
              </w:rPr>
              <w:t>[B2]</w:t>
            </w:r>
            <w:r>
              <w:t xml:space="preserve"> Des mesures supplémentaires demeurent nécessaires: i) pour améliorer l</w:t>
            </w:r>
            <w:r w:rsidR="00AA2481">
              <w:t>’</w:t>
            </w:r>
            <w:r>
              <w:t>accès des Roms à l</w:t>
            </w:r>
            <w:r w:rsidR="00AA2481">
              <w:t>’</w:t>
            </w:r>
            <w:r>
              <w:t>emploi et au logement; ii) pour faire disparaître les stéréotypes négatifs concernant la population rom</w:t>
            </w:r>
            <w:r w:rsidR="00274457">
              <w:t xml:space="preserve"> et iii) pour assurer </w:t>
            </w:r>
            <w:r w:rsidR="009F2AEA">
              <w:t>l’intégration</w:t>
            </w:r>
            <w:r w:rsidR="00840371">
              <w:t xml:space="preserve"> des enfants </w:t>
            </w:r>
            <w:r w:rsidR="00110EE7">
              <w:t>r</w:t>
            </w:r>
            <w:r w:rsidR="009F2AEA">
              <w:t>oms au système éducatif normal.</w:t>
            </w:r>
          </w:p>
        </w:tc>
      </w:tr>
      <w:tr w:rsidR="00550BCD" w:rsidRPr="004431E4" w:rsidTr="00943867">
        <w:trPr>
          <w:cantSplit/>
        </w:trPr>
        <w:tc>
          <w:tcPr>
            <w:tcW w:w="1985" w:type="dxa"/>
            <w:shd w:val="clear" w:color="auto" w:fill="auto"/>
          </w:tcPr>
          <w:p w:rsidR="00550BCD" w:rsidRPr="00BC5F57" w:rsidRDefault="00550BCD" w:rsidP="00EF1051">
            <w:pPr>
              <w:spacing w:before="40" w:after="120"/>
              <w:ind w:right="57"/>
            </w:pPr>
            <w:r w:rsidRPr="004B6B4B">
              <w:t>Mesure recommandée:</w:t>
            </w:r>
            <w:r>
              <w:rPr>
                <w:b/>
              </w:rPr>
              <w:t xml:space="preserve"> </w:t>
            </w:r>
          </w:p>
        </w:tc>
        <w:tc>
          <w:tcPr>
            <w:tcW w:w="6521" w:type="dxa"/>
            <w:shd w:val="clear" w:color="auto" w:fill="auto"/>
          </w:tcPr>
          <w:p w:rsidR="00550BCD" w:rsidRDefault="00550BCD" w:rsidP="00EF1051">
            <w:pPr>
              <w:spacing w:before="40" w:after="120"/>
              <w:ind w:right="57"/>
            </w:pPr>
            <w:r>
              <w:t>Une lettre présentant l</w:t>
            </w:r>
            <w:r w:rsidR="00AA2481">
              <w:t>’</w:t>
            </w:r>
            <w:r>
              <w:t>analyse du Comité.</w:t>
            </w:r>
          </w:p>
        </w:tc>
      </w:tr>
      <w:tr w:rsidR="00550BCD" w:rsidRPr="00FE2D64" w:rsidTr="00943867">
        <w:trPr>
          <w:cantSplit/>
        </w:trPr>
        <w:tc>
          <w:tcPr>
            <w:tcW w:w="1985" w:type="dxa"/>
            <w:tcBorders>
              <w:bottom w:val="single" w:sz="12" w:space="0" w:color="auto"/>
            </w:tcBorders>
            <w:shd w:val="clear" w:color="auto" w:fill="auto"/>
          </w:tcPr>
          <w:p w:rsidR="00550BCD" w:rsidRDefault="00550BCD" w:rsidP="00EF1051">
            <w:pPr>
              <w:spacing w:before="40" w:after="120"/>
              <w:ind w:right="57"/>
              <w:rPr>
                <w:lang w:val="fr-FR"/>
              </w:rPr>
            </w:pPr>
            <w:r>
              <w:rPr>
                <w:lang w:val="fr-FR"/>
              </w:rPr>
              <w:t>Prochain rapport</w:t>
            </w:r>
            <w:r>
              <w:rPr>
                <w:lang w:val="fr-FR"/>
              </w:rPr>
              <w:br/>
              <w:t>périodique:</w:t>
            </w:r>
          </w:p>
        </w:tc>
        <w:tc>
          <w:tcPr>
            <w:tcW w:w="6521" w:type="dxa"/>
            <w:tcBorders>
              <w:bottom w:val="single" w:sz="12" w:space="0" w:color="auto"/>
            </w:tcBorders>
            <w:shd w:val="clear" w:color="auto" w:fill="auto"/>
          </w:tcPr>
          <w:p w:rsidR="00550BCD" w:rsidRDefault="00550BCD" w:rsidP="00EF1051">
            <w:pPr>
              <w:spacing w:before="40" w:after="120"/>
              <w:ind w:right="57"/>
              <w:rPr>
                <w:bCs/>
              </w:rPr>
            </w:pPr>
            <w:r>
              <w:t>1</w:t>
            </w:r>
            <w:r w:rsidR="0029510F">
              <w:t>/4/</w:t>
            </w:r>
            <w:r>
              <w:t>15.</w:t>
            </w:r>
          </w:p>
        </w:tc>
      </w:tr>
    </w:tbl>
    <w:p w:rsidR="00550BCD" w:rsidRDefault="00550BCD" w:rsidP="00550BCD"/>
    <w:tbl>
      <w:tblPr>
        <w:tblW w:w="8506" w:type="dxa"/>
        <w:tblInd w:w="1134" w:type="dxa"/>
        <w:tblLayout w:type="fixed"/>
        <w:tblCellMar>
          <w:left w:w="0" w:type="dxa"/>
          <w:right w:w="0" w:type="dxa"/>
        </w:tblCellMar>
        <w:tblLook w:val="00A0"/>
      </w:tblPr>
      <w:tblGrid>
        <w:gridCol w:w="1985"/>
        <w:gridCol w:w="6521"/>
      </w:tblGrid>
      <w:tr w:rsidR="00550BCD" w:rsidRPr="00FE2D64" w:rsidTr="00AA2481">
        <w:trPr>
          <w:tblHeader/>
        </w:trPr>
        <w:tc>
          <w:tcPr>
            <w:tcW w:w="1985" w:type="dxa"/>
            <w:tcBorders>
              <w:top w:val="single" w:sz="4" w:space="0" w:color="auto"/>
              <w:bottom w:val="single" w:sz="12" w:space="0" w:color="auto"/>
            </w:tcBorders>
            <w:shd w:val="clear" w:color="auto" w:fill="auto"/>
            <w:vAlign w:val="bottom"/>
          </w:tcPr>
          <w:p w:rsidR="00550BCD" w:rsidRPr="00DE03D3" w:rsidRDefault="00550BCD" w:rsidP="00EF1051">
            <w:pPr>
              <w:keepNext/>
              <w:spacing w:before="80" w:after="80" w:line="200" w:lineRule="exact"/>
              <w:ind w:right="57"/>
              <w:rPr>
                <w:i/>
                <w:sz w:val="16"/>
                <w:szCs w:val="16"/>
              </w:rPr>
            </w:pPr>
            <w:r w:rsidRPr="00DE03D3">
              <w:rPr>
                <w:i/>
                <w:sz w:val="16"/>
                <w:szCs w:val="16"/>
              </w:rPr>
              <w:t>Togo</w:t>
            </w:r>
          </w:p>
        </w:tc>
        <w:tc>
          <w:tcPr>
            <w:tcW w:w="6521" w:type="dxa"/>
            <w:tcBorders>
              <w:top w:val="single" w:sz="4" w:space="0" w:color="auto"/>
              <w:bottom w:val="single" w:sz="12" w:space="0" w:color="auto"/>
            </w:tcBorders>
            <w:shd w:val="clear" w:color="auto" w:fill="auto"/>
            <w:vAlign w:val="bottom"/>
          </w:tcPr>
          <w:p w:rsidR="00550BCD" w:rsidRPr="00FE2D64" w:rsidRDefault="00550BCD" w:rsidP="00EF1051">
            <w:pPr>
              <w:keepNext/>
              <w:spacing w:before="80" w:after="80" w:line="200" w:lineRule="exact"/>
              <w:ind w:right="57"/>
              <w:rPr>
                <w:i/>
                <w:sz w:val="16"/>
              </w:rPr>
            </w:pPr>
          </w:p>
        </w:tc>
      </w:tr>
      <w:tr w:rsidR="00550BCD" w:rsidRPr="00FE2D64" w:rsidTr="00AA2481">
        <w:trPr>
          <w:trHeight w:hRule="exact" w:val="113"/>
          <w:tblHeader/>
        </w:trPr>
        <w:tc>
          <w:tcPr>
            <w:tcW w:w="1985" w:type="dxa"/>
            <w:tcBorders>
              <w:top w:val="single" w:sz="12" w:space="0" w:color="auto"/>
            </w:tcBorders>
            <w:shd w:val="clear" w:color="auto" w:fill="auto"/>
          </w:tcPr>
          <w:p w:rsidR="00550BCD" w:rsidRPr="00FE2D64" w:rsidRDefault="00550BCD" w:rsidP="00EF1051">
            <w:pPr>
              <w:keepNext/>
              <w:spacing w:before="40" w:after="120"/>
              <w:ind w:right="57"/>
            </w:pPr>
          </w:p>
        </w:tc>
        <w:tc>
          <w:tcPr>
            <w:tcW w:w="6521" w:type="dxa"/>
            <w:tcBorders>
              <w:top w:val="single" w:sz="12" w:space="0" w:color="auto"/>
            </w:tcBorders>
            <w:shd w:val="clear" w:color="auto" w:fill="auto"/>
          </w:tcPr>
          <w:p w:rsidR="00550BCD" w:rsidRPr="00FE2D64" w:rsidRDefault="00550BCD" w:rsidP="00EF1051">
            <w:pPr>
              <w:keepNext/>
              <w:spacing w:before="40" w:after="120"/>
              <w:ind w:right="57"/>
            </w:pPr>
          </w:p>
        </w:tc>
      </w:tr>
      <w:tr w:rsidR="00550BCD" w:rsidRPr="004431E4" w:rsidTr="00AA2481">
        <w:tc>
          <w:tcPr>
            <w:tcW w:w="1985" w:type="dxa"/>
            <w:shd w:val="clear" w:color="auto" w:fill="auto"/>
          </w:tcPr>
          <w:p w:rsidR="00550BCD" w:rsidRPr="004B6B4B" w:rsidRDefault="00550BCD" w:rsidP="00EF1051">
            <w:pPr>
              <w:keepNext/>
              <w:spacing w:before="40" w:after="120"/>
              <w:ind w:right="57"/>
            </w:pPr>
            <w:r>
              <w:t>Observations finales</w:t>
            </w:r>
          </w:p>
        </w:tc>
        <w:tc>
          <w:tcPr>
            <w:tcW w:w="6521" w:type="dxa"/>
            <w:shd w:val="clear" w:color="auto" w:fill="auto"/>
          </w:tcPr>
          <w:p w:rsidR="00550BCD" w:rsidRDefault="00550BCD" w:rsidP="00EF1051">
            <w:pPr>
              <w:keepNext/>
              <w:spacing w:before="40" w:after="120"/>
              <w:ind w:right="57"/>
            </w:pPr>
            <w:r w:rsidRPr="00C7498A">
              <w:t>CCPR/C/TGO/CO/4</w:t>
            </w:r>
            <w:r>
              <w:t>, adoptées le 28</w:t>
            </w:r>
            <w:r w:rsidR="0029510F">
              <w:t>/3/</w:t>
            </w:r>
            <w:r>
              <w:t>11</w:t>
            </w:r>
          </w:p>
        </w:tc>
      </w:tr>
      <w:tr w:rsidR="00550BCD" w:rsidRPr="004431E4" w:rsidTr="00AA2481">
        <w:tc>
          <w:tcPr>
            <w:tcW w:w="1985" w:type="dxa"/>
            <w:shd w:val="clear" w:color="auto" w:fill="auto"/>
          </w:tcPr>
          <w:p w:rsidR="00550BCD" w:rsidRPr="005C7222" w:rsidRDefault="00550BCD" w:rsidP="00EF1051">
            <w:pPr>
              <w:keepNext/>
              <w:spacing w:before="40" w:after="120"/>
              <w:ind w:right="57"/>
              <w:rPr>
                <w:b/>
              </w:rPr>
            </w:pPr>
            <w:r w:rsidRPr="00CE6A63">
              <w:t xml:space="preserve">Paragraphes </w:t>
            </w:r>
            <w:r>
              <w:t>faisant l</w:t>
            </w:r>
            <w:r w:rsidR="00AA2481">
              <w:t>’</w:t>
            </w:r>
            <w:r>
              <w:t>objet d</w:t>
            </w:r>
            <w:r w:rsidR="00AA2481">
              <w:t>’</w:t>
            </w:r>
            <w:r>
              <w:t>un</w:t>
            </w:r>
            <w:r w:rsidRPr="00CE6A63">
              <w:t xml:space="preserve"> suivi:</w:t>
            </w:r>
            <w:r w:rsidRPr="005C7222">
              <w:rPr>
                <w:b/>
              </w:rPr>
              <w:t xml:space="preserve"> </w:t>
            </w:r>
          </w:p>
        </w:tc>
        <w:tc>
          <w:tcPr>
            <w:tcW w:w="6521" w:type="dxa"/>
            <w:shd w:val="clear" w:color="auto" w:fill="auto"/>
          </w:tcPr>
          <w:p w:rsidR="00550BCD" w:rsidRDefault="00550BCD" w:rsidP="00EF1051">
            <w:pPr>
              <w:keepNext/>
              <w:spacing w:before="40" w:after="120"/>
              <w:ind w:right="57"/>
            </w:pPr>
            <w:r w:rsidRPr="00C707E6">
              <w:t>10, 15, 16</w:t>
            </w:r>
          </w:p>
        </w:tc>
      </w:tr>
      <w:tr w:rsidR="00550BCD" w:rsidRPr="004431E4" w:rsidTr="00AA2481">
        <w:tc>
          <w:tcPr>
            <w:tcW w:w="1985" w:type="dxa"/>
            <w:shd w:val="clear" w:color="auto" w:fill="auto"/>
          </w:tcPr>
          <w:p w:rsidR="00550BCD" w:rsidRPr="005C7222" w:rsidRDefault="00550BCD" w:rsidP="00EF1051">
            <w:pPr>
              <w:keepNext/>
              <w:spacing w:before="40" w:after="120"/>
              <w:ind w:right="57"/>
              <w:rPr>
                <w:b/>
              </w:rPr>
            </w:pPr>
            <w:r>
              <w:t>Première r</w:t>
            </w:r>
            <w:r w:rsidR="00DE03D3">
              <w:t>éponse</w:t>
            </w:r>
            <w:r w:rsidR="00DE03D3">
              <w:br/>
            </w:r>
            <w:r>
              <w:t>de l</w:t>
            </w:r>
            <w:r w:rsidR="00AA2481">
              <w:t>’</w:t>
            </w:r>
            <w:r>
              <w:t>État partie:</w:t>
            </w:r>
          </w:p>
        </w:tc>
        <w:tc>
          <w:tcPr>
            <w:tcW w:w="6521" w:type="dxa"/>
            <w:shd w:val="clear" w:color="auto" w:fill="auto"/>
          </w:tcPr>
          <w:p w:rsidR="00550BCD" w:rsidRDefault="00550BCD" w:rsidP="00EF1051">
            <w:pPr>
              <w:keepNext/>
              <w:spacing w:before="40" w:after="120"/>
              <w:ind w:right="57"/>
            </w:pPr>
            <w:r w:rsidRPr="00C707E6">
              <w:t>Attendue le 28</w:t>
            </w:r>
            <w:r w:rsidR="0029510F">
              <w:t>/3/</w:t>
            </w:r>
            <w:r w:rsidRPr="00C707E6">
              <w:t xml:space="preserve">12 </w:t>
            </w:r>
            <w:r>
              <w:t>−</w:t>
            </w:r>
            <w:r w:rsidRPr="00C707E6">
              <w:t xml:space="preserve"> Reçue le 17</w:t>
            </w:r>
            <w:r w:rsidR="0029510F">
              <w:t>/4/</w:t>
            </w:r>
            <w:r>
              <w:t xml:space="preserve">12. </w:t>
            </w:r>
          </w:p>
        </w:tc>
      </w:tr>
      <w:tr w:rsidR="00550BCD" w:rsidRPr="004431E4" w:rsidTr="00AA2481">
        <w:tc>
          <w:tcPr>
            <w:tcW w:w="1985" w:type="dxa"/>
            <w:shd w:val="clear" w:color="auto" w:fill="auto"/>
          </w:tcPr>
          <w:p w:rsidR="00550BCD" w:rsidRPr="005C7222" w:rsidRDefault="00DE03D3" w:rsidP="00CD4B7D">
            <w:pPr>
              <w:spacing w:before="40" w:after="120"/>
              <w:ind w:right="57"/>
              <w:rPr>
                <w:b/>
              </w:rPr>
            </w:pPr>
            <w:r>
              <w:t>Mesures prises par</w:t>
            </w:r>
            <w:r>
              <w:br/>
            </w:r>
            <w:r w:rsidR="00550BCD" w:rsidRPr="00930399">
              <w:t>le Comité:</w:t>
            </w:r>
            <w:r w:rsidR="00550BCD" w:rsidRPr="005C7222">
              <w:rPr>
                <w:b/>
              </w:rPr>
              <w:t xml:space="preserve"> </w:t>
            </w:r>
          </w:p>
        </w:tc>
        <w:tc>
          <w:tcPr>
            <w:tcW w:w="6521" w:type="dxa"/>
            <w:shd w:val="clear" w:color="auto" w:fill="auto"/>
          </w:tcPr>
          <w:p w:rsidR="00550BCD" w:rsidRDefault="00550BCD" w:rsidP="00CD4B7D">
            <w:pPr>
              <w:spacing w:before="40" w:after="120"/>
              <w:ind w:right="57"/>
            </w:pPr>
            <w:r w:rsidRPr="00C707E6">
              <w:t>Lettre de suivi envoyée le 31</w:t>
            </w:r>
            <w:r w:rsidR="0029510F">
              <w:t>/7/</w:t>
            </w:r>
            <w:r w:rsidRPr="00C707E6">
              <w:t>12.</w:t>
            </w:r>
          </w:p>
        </w:tc>
      </w:tr>
      <w:tr w:rsidR="00550BCD" w:rsidRPr="004431E4" w:rsidTr="00AA2481">
        <w:tc>
          <w:tcPr>
            <w:tcW w:w="1985" w:type="dxa"/>
            <w:shd w:val="clear" w:color="auto" w:fill="auto"/>
          </w:tcPr>
          <w:p w:rsidR="00550BCD" w:rsidRPr="00930399" w:rsidRDefault="00550BCD" w:rsidP="00CD4B7D">
            <w:pPr>
              <w:spacing w:before="40" w:after="120"/>
              <w:ind w:right="57"/>
            </w:pPr>
          </w:p>
        </w:tc>
        <w:tc>
          <w:tcPr>
            <w:tcW w:w="6521" w:type="dxa"/>
            <w:shd w:val="clear" w:color="auto" w:fill="auto"/>
          </w:tcPr>
          <w:p w:rsidR="00550BCD" w:rsidRPr="00C707E6" w:rsidRDefault="00550BCD" w:rsidP="00CD4B7D">
            <w:pPr>
              <w:spacing w:before="40" w:after="120"/>
              <w:ind w:right="57"/>
            </w:pPr>
            <w:r w:rsidRPr="00C707E6">
              <w:t>Réunion de la Rapporteuse spéciale avec l</w:t>
            </w:r>
            <w:r w:rsidR="00AA2481">
              <w:t>’</w:t>
            </w:r>
            <w:r w:rsidRPr="00C707E6">
              <w:t>Ambassadrice de la Mission</w:t>
            </w:r>
            <w:r>
              <w:t xml:space="preserve"> Permanente le 18</w:t>
            </w:r>
            <w:r w:rsidR="0029510F">
              <w:t>/10/</w:t>
            </w:r>
            <w:r>
              <w:t>12.</w:t>
            </w:r>
          </w:p>
        </w:tc>
      </w:tr>
      <w:tr w:rsidR="00550BCD" w:rsidRPr="004431E4" w:rsidTr="00AA2481">
        <w:tc>
          <w:tcPr>
            <w:tcW w:w="1985" w:type="dxa"/>
            <w:shd w:val="clear" w:color="auto" w:fill="auto"/>
          </w:tcPr>
          <w:p w:rsidR="00550BCD" w:rsidRPr="00930399" w:rsidRDefault="00DE03D3" w:rsidP="00CD4B7D">
            <w:pPr>
              <w:spacing w:before="40" w:after="120"/>
              <w:ind w:right="57"/>
            </w:pPr>
            <w:r>
              <w:t>Deuxième réponse</w:t>
            </w:r>
            <w:r>
              <w:br/>
            </w:r>
            <w:r w:rsidR="00550BCD">
              <w:t>de l</w:t>
            </w:r>
            <w:r w:rsidR="00AA2481">
              <w:t>’</w:t>
            </w:r>
            <w:r w:rsidR="00550BCD">
              <w:t>État partie</w:t>
            </w:r>
            <w:r w:rsidR="00550BCD" w:rsidRPr="00953CD8">
              <w:t>:</w:t>
            </w:r>
          </w:p>
        </w:tc>
        <w:tc>
          <w:tcPr>
            <w:tcW w:w="6521" w:type="dxa"/>
            <w:shd w:val="clear" w:color="auto" w:fill="auto"/>
          </w:tcPr>
          <w:p w:rsidR="00550BCD" w:rsidRPr="00C707E6" w:rsidRDefault="00550BCD" w:rsidP="00CD4B7D">
            <w:pPr>
              <w:spacing w:before="40" w:after="120"/>
              <w:ind w:right="57"/>
            </w:pPr>
            <w:r w:rsidRPr="00C707E6">
              <w:t>Octobre 2012.</w:t>
            </w:r>
          </w:p>
        </w:tc>
      </w:tr>
      <w:tr w:rsidR="00550BCD" w:rsidRPr="004431E4" w:rsidTr="00AA2481">
        <w:tc>
          <w:tcPr>
            <w:tcW w:w="1985" w:type="dxa"/>
            <w:shd w:val="clear" w:color="auto" w:fill="auto"/>
          </w:tcPr>
          <w:p w:rsidR="00550BCD" w:rsidRDefault="00550BCD" w:rsidP="00CD4B7D">
            <w:pPr>
              <w:spacing w:before="40" w:after="120"/>
              <w:ind w:right="57"/>
            </w:pPr>
            <w:r w:rsidRPr="00DF7D24">
              <w:rPr>
                <w:b/>
              </w:rPr>
              <w:t>Paragraphe 10:</w:t>
            </w:r>
            <w:r w:rsidRPr="005C7222">
              <w:rPr>
                <w:b/>
                <w:i/>
              </w:rPr>
              <w:t xml:space="preserve"> </w:t>
            </w:r>
          </w:p>
        </w:tc>
        <w:tc>
          <w:tcPr>
            <w:tcW w:w="6521" w:type="dxa"/>
            <w:shd w:val="clear" w:color="auto" w:fill="auto"/>
          </w:tcPr>
          <w:p w:rsidR="00550BCD" w:rsidRPr="00DE03D3" w:rsidRDefault="00550BCD" w:rsidP="00CD4B7D">
            <w:pPr>
              <w:spacing w:before="40" w:after="120"/>
              <w:ind w:right="57"/>
              <w:rPr>
                <w:b/>
                <w:bCs/>
              </w:rPr>
            </w:pPr>
            <w:r w:rsidRPr="00DF7D24">
              <w:rPr>
                <w:b/>
                <w:bCs/>
              </w:rPr>
              <w:t>Dans l</w:t>
            </w:r>
            <w:r w:rsidR="00AA2481">
              <w:rPr>
                <w:b/>
                <w:bCs/>
              </w:rPr>
              <w:t>’</w:t>
            </w:r>
            <w:r w:rsidRPr="00DF7D24">
              <w:rPr>
                <w:b/>
                <w:bCs/>
              </w:rPr>
              <w:t>objectif de lutter contre l</w:t>
            </w:r>
            <w:r w:rsidR="00AA2481">
              <w:rPr>
                <w:b/>
                <w:bCs/>
              </w:rPr>
              <w:t>’</w:t>
            </w:r>
            <w:r w:rsidRPr="00DF7D24">
              <w:rPr>
                <w:b/>
                <w:bCs/>
              </w:rPr>
              <w:t>impunité qui persiste au Togo, l</w:t>
            </w:r>
            <w:r w:rsidR="00AA2481">
              <w:rPr>
                <w:b/>
                <w:bCs/>
              </w:rPr>
              <w:t>’</w:t>
            </w:r>
            <w:r w:rsidRPr="00DF7D24">
              <w:rPr>
                <w:b/>
                <w:bCs/>
              </w:rPr>
              <w:t>État partie devrait poursuivre ses efforts pour aboutir à la conclusion prochaine des travaux de la Commission Vérité, Justice et Réconciliation (C</w:t>
            </w:r>
            <w:r w:rsidR="00AA2481">
              <w:rPr>
                <w:b/>
                <w:bCs/>
              </w:rPr>
              <w:t>V</w:t>
            </w:r>
            <w:r w:rsidRPr="00DF7D24">
              <w:rPr>
                <w:b/>
                <w:bCs/>
              </w:rPr>
              <w:t>JR). Des enquêtes indépendantes et impartiales doivent par ailleurs être diligentées pour faire la lumière sur les violations des droits de l</w:t>
            </w:r>
            <w:r w:rsidR="00AA2481">
              <w:rPr>
                <w:b/>
                <w:bCs/>
              </w:rPr>
              <w:t>’</w:t>
            </w:r>
            <w:r w:rsidR="00EF1051">
              <w:rPr>
                <w:b/>
                <w:bCs/>
              </w:rPr>
              <w:t>homme commises en </w:t>
            </w:r>
            <w:r w:rsidRPr="00DF7D24">
              <w:rPr>
                <w:b/>
                <w:bCs/>
              </w:rPr>
              <w:t>2005 et poursuivre les responsables. Le Comité souligne, à ce titre, que la mise en place d</w:t>
            </w:r>
            <w:r w:rsidR="00AA2481">
              <w:rPr>
                <w:b/>
                <w:bCs/>
              </w:rPr>
              <w:t>’</w:t>
            </w:r>
            <w:r w:rsidRPr="00DF7D24">
              <w:rPr>
                <w:b/>
                <w:bCs/>
              </w:rPr>
              <w:t>un système de justice transitionnelle ne saurait dispenser de poursuivre pénalement les violations graves des droits de l</w:t>
            </w:r>
            <w:r w:rsidR="00AA2481">
              <w:rPr>
                <w:b/>
                <w:bCs/>
              </w:rPr>
              <w:t>’</w:t>
            </w:r>
            <w:r w:rsidRPr="00DF7D24">
              <w:rPr>
                <w:b/>
                <w:bCs/>
              </w:rPr>
              <w:t>homme.</w:t>
            </w:r>
          </w:p>
        </w:tc>
      </w:tr>
      <w:tr w:rsidR="002A082F" w:rsidRPr="004431E4" w:rsidTr="00AA2481">
        <w:tc>
          <w:tcPr>
            <w:tcW w:w="1985" w:type="dxa"/>
            <w:shd w:val="clear" w:color="auto" w:fill="auto"/>
          </w:tcPr>
          <w:p w:rsidR="002A082F" w:rsidRPr="00DF7D24" w:rsidRDefault="002A082F" w:rsidP="00EF1051">
            <w:pPr>
              <w:spacing w:before="40" w:after="120"/>
              <w:ind w:right="57"/>
              <w:rPr>
                <w:b/>
              </w:rPr>
            </w:pPr>
          </w:p>
        </w:tc>
        <w:tc>
          <w:tcPr>
            <w:tcW w:w="6521" w:type="dxa"/>
            <w:shd w:val="clear" w:color="auto" w:fill="auto"/>
          </w:tcPr>
          <w:p w:rsidR="002A082F" w:rsidRPr="002A082F" w:rsidRDefault="002A082F" w:rsidP="00EF1051">
            <w:pPr>
              <w:spacing w:before="40" w:after="120"/>
              <w:ind w:right="57"/>
              <w:rPr>
                <w:b/>
                <w:bCs/>
              </w:rPr>
            </w:pPr>
            <w:r w:rsidRPr="002A082F">
              <w:rPr>
                <w:b/>
              </w:rPr>
              <w:t>Objet du suivi:</w:t>
            </w:r>
          </w:p>
        </w:tc>
      </w:tr>
      <w:tr w:rsidR="00550BCD" w:rsidRPr="004431E4" w:rsidTr="00AA2481">
        <w:tc>
          <w:tcPr>
            <w:tcW w:w="1985" w:type="dxa"/>
            <w:shd w:val="clear" w:color="auto" w:fill="auto"/>
          </w:tcPr>
          <w:p w:rsidR="00550BCD" w:rsidRDefault="00550BCD" w:rsidP="00CD4B7D">
            <w:pPr>
              <w:spacing w:before="40" w:after="120"/>
              <w:ind w:right="57"/>
            </w:pPr>
          </w:p>
        </w:tc>
        <w:tc>
          <w:tcPr>
            <w:tcW w:w="6521" w:type="dxa"/>
            <w:shd w:val="clear" w:color="auto" w:fill="auto"/>
          </w:tcPr>
          <w:p w:rsidR="00550BCD" w:rsidRPr="00C707E6" w:rsidRDefault="006E1E09" w:rsidP="00CD4B7D">
            <w:pPr>
              <w:tabs>
                <w:tab w:val="left" w:pos="284"/>
              </w:tabs>
              <w:spacing w:before="40" w:after="120"/>
              <w:ind w:right="57" w:hanging="284"/>
            </w:pPr>
            <w:r>
              <w:t>•</w:t>
            </w:r>
            <w:r>
              <w:tab/>
            </w:r>
            <w:r w:rsidR="00550BCD" w:rsidRPr="00C707E6">
              <w:t>Informations requises sur les mesures prises pour assurer la mise en œuvre des recommandations de la C</w:t>
            </w:r>
            <w:r w:rsidR="00AA2481">
              <w:t>V</w:t>
            </w:r>
            <w:r w:rsidR="00550BCD" w:rsidRPr="00C707E6">
              <w:t>JR.</w:t>
            </w:r>
            <w:r w:rsidR="00550BCD">
              <w:t xml:space="preserve"> </w:t>
            </w:r>
          </w:p>
        </w:tc>
      </w:tr>
      <w:tr w:rsidR="00550BCD" w:rsidRPr="004431E4" w:rsidTr="00AA2481">
        <w:tc>
          <w:tcPr>
            <w:tcW w:w="1985" w:type="dxa"/>
            <w:shd w:val="clear" w:color="auto" w:fill="auto"/>
          </w:tcPr>
          <w:p w:rsidR="00550BCD" w:rsidRPr="00930399" w:rsidRDefault="00550BCD" w:rsidP="00CD4B7D">
            <w:pPr>
              <w:spacing w:before="40" w:after="120"/>
              <w:ind w:right="57"/>
            </w:pPr>
          </w:p>
        </w:tc>
        <w:tc>
          <w:tcPr>
            <w:tcW w:w="6521" w:type="dxa"/>
            <w:shd w:val="clear" w:color="auto" w:fill="auto"/>
          </w:tcPr>
          <w:p w:rsidR="00550BCD" w:rsidRPr="00C707E6" w:rsidRDefault="006E1E09" w:rsidP="00CD4B7D">
            <w:pPr>
              <w:tabs>
                <w:tab w:val="left" w:pos="284"/>
              </w:tabs>
              <w:spacing w:before="40" w:after="120"/>
              <w:ind w:right="57" w:hanging="284"/>
            </w:pPr>
            <w:r>
              <w:t>•</w:t>
            </w:r>
            <w:r>
              <w:tab/>
            </w:r>
            <w:r w:rsidR="00550BCD" w:rsidRPr="00C707E6">
              <w:t>Aucune information n</w:t>
            </w:r>
            <w:r w:rsidR="00AA2481">
              <w:t>’</w:t>
            </w:r>
            <w:r w:rsidR="00550BCD" w:rsidRPr="00C707E6">
              <w:t>est fournie sur les enquêtes diligentées dans les cas de violations des droits de l</w:t>
            </w:r>
            <w:r w:rsidR="00AA2481">
              <w:t>’</w:t>
            </w:r>
            <w:r w:rsidR="00550BCD" w:rsidRPr="00C707E6">
              <w:t>homme commises en 2005. Le Comité réitère donc sa recommandation.</w:t>
            </w:r>
          </w:p>
        </w:tc>
      </w:tr>
      <w:tr w:rsidR="00550BCD" w:rsidRPr="004431E4" w:rsidTr="00AA2481">
        <w:tc>
          <w:tcPr>
            <w:tcW w:w="1985" w:type="dxa"/>
            <w:shd w:val="clear" w:color="auto" w:fill="auto"/>
          </w:tcPr>
          <w:p w:rsidR="00550BCD" w:rsidRPr="00930399" w:rsidRDefault="00550BCD" w:rsidP="00CD4B7D">
            <w:pPr>
              <w:spacing w:before="40" w:after="120"/>
              <w:ind w:right="57"/>
            </w:pPr>
            <w:r w:rsidRPr="003F587A">
              <w:t>Résumé réponse l</w:t>
            </w:r>
            <w:r w:rsidR="00AA2481">
              <w:t>’</w:t>
            </w:r>
            <w:r w:rsidRPr="003F587A">
              <w:t>État partie:</w:t>
            </w:r>
          </w:p>
        </w:tc>
        <w:tc>
          <w:tcPr>
            <w:tcW w:w="6521" w:type="dxa"/>
            <w:shd w:val="clear" w:color="auto" w:fill="auto"/>
          </w:tcPr>
          <w:p w:rsidR="00550BCD" w:rsidRPr="00C707E6" w:rsidRDefault="00DE03D3" w:rsidP="00CD4B7D">
            <w:pPr>
              <w:tabs>
                <w:tab w:val="left" w:pos="284"/>
              </w:tabs>
              <w:spacing w:before="40" w:after="120"/>
              <w:ind w:right="57" w:hanging="284"/>
            </w:pPr>
            <w:r>
              <w:t>•</w:t>
            </w:r>
            <w:r>
              <w:tab/>
            </w:r>
            <w:r w:rsidR="00550BCD" w:rsidRPr="00C707E6">
              <w:t>La mise en œuvre des recommandations de la C</w:t>
            </w:r>
            <w:r w:rsidR="00AA2481">
              <w:t>V</w:t>
            </w:r>
            <w:r w:rsidR="00550BCD" w:rsidRPr="00C707E6">
              <w:t xml:space="preserve">JR est en cours: des informations sont fournies sur les activités </w:t>
            </w:r>
            <w:r w:rsidR="00550BCD">
              <w:t>mises en place</w:t>
            </w:r>
            <w:r w:rsidR="00550BCD" w:rsidRPr="00C707E6">
              <w:t xml:space="preserve"> en ce sens.</w:t>
            </w:r>
          </w:p>
        </w:tc>
      </w:tr>
      <w:tr w:rsidR="00550BCD" w:rsidRPr="004431E4" w:rsidTr="00AA2481">
        <w:tc>
          <w:tcPr>
            <w:tcW w:w="1985" w:type="dxa"/>
            <w:shd w:val="clear" w:color="auto" w:fill="auto"/>
          </w:tcPr>
          <w:p w:rsidR="00550BCD" w:rsidRPr="00930399" w:rsidRDefault="00550BCD" w:rsidP="00CD4B7D">
            <w:pPr>
              <w:spacing w:before="40" w:after="120"/>
              <w:ind w:right="57"/>
            </w:pPr>
          </w:p>
        </w:tc>
        <w:tc>
          <w:tcPr>
            <w:tcW w:w="6521" w:type="dxa"/>
            <w:shd w:val="clear" w:color="auto" w:fill="auto"/>
          </w:tcPr>
          <w:p w:rsidR="00550BCD" w:rsidRPr="00C707E6" w:rsidRDefault="00DE03D3" w:rsidP="00CD4B7D">
            <w:pPr>
              <w:tabs>
                <w:tab w:val="left" w:pos="284"/>
              </w:tabs>
              <w:spacing w:before="40" w:after="120"/>
              <w:ind w:right="57" w:hanging="284"/>
            </w:pPr>
            <w:r>
              <w:t>•</w:t>
            </w:r>
            <w:r>
              <w:tab/>
            </w:r>
            <w:r w:rsidR="00550BCD" w:rsidRPr="00C707E6">
              <w:t>Suite aux enquêtes menées par la mission d</w:t>
            </w:r>
            <w:r w:rsidR="00AA2481">
              <w:t>’</w:t>
            </w:r>
            <w:r w:rsidR="00550BCD" w:rsidRPr="00C707E6">
              <w:t>établissement des faits des Nati</w:t>
            </w:r>
            <w:r w:rsidR="00550BCD">
              <w:t>ons Unies et par la Commission nationale s</w:t>
            </w:r>
            <w:r w:rsidR="00550BCD" w:rsidRPr="00C707E6">
              <w:t>péciale d</w:t>
            </w:r>
            <w:r w:rsidR="00AA2481">
              <w:t>’</w:t>
            </w:r>
            <w:r w:rsidR="00550BCD">
              <w:t>enquête i</w:t>
            </w:r>
            <w:r w:rsidR="00550BCD" w:rsidRPr="00C707E6">
              <w:t>ndépendante sur les actes de violence et de vandalisme survenus en avril 2005, les autorités togolaises ont mis en place la C</w:t>
            </w:r>
            <w:r w:rsidR="00AA2481">
              <w:t>V</w:t>
            </w:r>
            <w:r w:rsidR="00550BCD" w:rsidRPr="00C707E6">
              <w:t>JR pour faire la lumière sur ces actes, mais aussi sur ceux commis de 1958 à 2005.</w:t>
            </w:r>
          </w:p>
        </w:tc>
      </w:tr>
      <w:tr w:rsidR="00550BCD" w:rsidRPr="004431E4" w:rsidTr="00AA2481">
        <w:tc>
          <w:tcPr>
            <w:tcW w:w="1985" w:type="dxa"/>
            <w:shd w:val="clear" w:color="auto" w:fill="auto"/>
          </w:tcPr>
          <w:p w:rsidR="00550BCD" w:rsidRPr="00930399" w:rsidRDefault="00550BCD" w:rsidP="00CD4B7D">
            <w:pPr>
              <w:keepNext/>
              <w:spacing w:before="40" w:after="120"/>
              <w:ind w:right="57"/>
            </w:pPr>
            <w:r w:rsidRPr="002D6BA9">
              <w:t>Évaluation Comité:</w:t>
            </w:r>
            <w:r w:rsidRPr="005E51CF">
              <w:rPr>
                <w:b/>
                <w:u w:val="single"/>
              </w:rPr>
              <w:t xml:space="preserve"> </w:t>
            </w:r>
          </w:p>
        </w:tc>
        <w:tc>
          <w:tcPr>
            <w:tcW w:w="6521" w:type="dxa"/>
            <w:shd w:val="clear" w:color="auto" w:fill="auto"/>
          </w:tcPr>
          <w:p w:rsidR="00550BCD" w:rsidRPr="00C707E6" w:rsidRDefault="00550BCD" w:rsidP="00CD4B7D">
            <w:pPr>
              <w:keepNext/>
              <w:spacing w:before="40" w:after="120"/>
              <w:ind w:right="57"/>
            </w:pPr>
            <w:r w:rsidRPr="00AA5221">
              <w:rPr>
                <w:b/>
                <w:bCs/>
              </w:rPr>
              <w:t>[B2</w:t>
            </w:r>
            <w:r w:rsidR="00FC7213">
              <w:rPr>
                <w:b/>
                <w:bCs/>
              </w:rPr>
              <w:t xml:space="preserve">] </w:t>
            </w:r>
            <w:r w:rsidRPr="00C707E6">
              <w:t>Des informations restent nécessaires sur les décisions adoptées dans les cas de violations des droits de l</w:t>
            </w:r>
            <w:r w:rsidR="00AA2481">
              <w:t>’</w:t>
            </w:r>
            <w:r w:rsidRPr="00C707E6">
              <w:t>homme commises en 2005 et sur leur mise en œuvre.</w:t>
            </w:r>
          </w:p>
        </w:tc>
      </w:tr>
      <w:tr w:rsidR="00550BCD" w:rsidRPr="004431E4" w:rsidTr="00AA2481">
        <w:tc>
          <w:tcPr>
            <w:tcW w:w="1985" w:type="dxa"/>
            <w:shd w:val="clear" w:color="auto" w:fill="auto"/>
          </w:tcPr>
          <w:p w:rsidR="00550BCD" w:rsidRPr="00930399" w:rsidRDefault="00550BCD" w:rsidP="00CD4B7D">
            <w:pPr>
              <w:spacing w:before="40" w:after="120"/>
              <w:ind w:right="57"/>
            </w:pPr>
            <w:r w:rsidRPr="00B062D1">
              <w:rPr>
                <w:b/>
              </w:rPr>
              <w:t>Paragraphe 15:</w:t>
            </w:r>
            <w:r>
              <w:rPr>
                <w:b/>
                <w:i/>
              </w:rPr>
              <w:t xml:space="preserve"> </w:t>
            </w:r>
          </w:p>
        </w:tc>
        <w:tc>
          <w:tcPr>
            <w:tcW w:w="6521" w:type="dxa"/>
            <w:shd w:val="clear" w:color="auto" w:fill="auto"/>
          </w:tcPr>
          <w:p w:rsidR="00550BCD" w:rsidRPr="00C707E6" w:rsidRDefault="00550BCD" w:rsidP="00CD4B7D">
            <w:pPr>
              <w:spacing w:before="40" w:after="120"/>
              <w:ind w:right="57"/>
            </w:pPr>
            <w:r w:rsidRPr="00B062D1">
              <w:rPr>
                <w:b/>
                <w:bCs/>
              </w:rPr>
              <w:t>L</w:t>
            </w:r>
            <w:r w:rsidR="00AA2481">
              <w:rPr>
                <w:b/>
                <w:bCs/>
              </w:rPr>
              <w:t>’</w:t>
            </w:r>
            <w:r w:rsidRPr="00B062D1">
              <w:rPr>
                <w:b/>
                <w:bCs/>
              </w:rPr>
              <w:t>État partie devrait adopter une disposition pénale définissant la torture conformément aux standards internationaux, ainsi que des dispositions incriminant et sanctionnant les actes de torture par des peines proportionnées à leur gravité. L</w:t>
            </w:r>
            <w:r w:rsidR="00AA2481">
              <w:rPr>
                <w:b/>
                <w:bCs/>
              </w:rPr>
              <w:t>’</w:t>
            </w:r>
            <w:r w:rsidRPr="00B062D1">
              <w:rPr>
                <w:b/>
                <w:bCs/>
              </w:rPr>
              <w:t>État partie devrait s</w:t>
            </w:r>
            <w:r w:rsidR="00AA2481">
              <w:rPr>
                <w:b/>
                <w:bCs/>
              </w:rPr>
              <w:t>’</w:t>
            </w:r>
            <w:r w:rsidRPr="00B062D1">
              <w:rPr>
                <w:b/>
                <w:bCs/>
              </w:rPr>
              <w:t>assurer que tout acte de torture ou traitement cruel, inhumain ou dégradant soit poursuivi et sanc</w:t>
            </w:r>
            <w:r>
              <w:rPr>
                <w:b/>
                <w:bCs/>
              </w:rPr>
              <w:t>tionné proportionnellement à sa</w:t>
            </w:r>
            <w:r w:rsidRPr="00B062D1">
              <w:rPr>
                <w:b/>
                <w:bCs/>
              </w:rPr>
              <w:t xml:space="preserve"> gravité.</w:t>
            </w:r>
          </w:p>
        </w:tc>
      </w:tr>
      <w:tr w:rsidR="002A082F" w:rsidRPr="004431E4" w:rsidTr="00AA2481">
        <w:tc>
          <w:tcPr>
            <w:tcW w:w="1985" w:type="dxa"/>
            <w:shd w:val="clear" w:color="auto" w:fill="auto"/>
          </w:tcPr>
          <w:p w:rsidR="002A082F" w:rsidRPr="00B062D1" w:rsidRDefault="002A082F" w:rsidP="00EF1051">
            <w:pPr>
              <w:keepNext/>
              <w:spacing w:before="40" w:after="120"/>
              <w:ind w:right="57"/>
              <w:rPr>
                <w:b/>
              </w:rPr>
            </w:pPr>
          </w:p>
        </w:tc>
        <w:tc>
          <w:tcPr>
            <w:tcW w:w="6521" w:type="dxa"/>
            <w:shd w:val="clear" w:color="auto" w:fill="auto"/>
          </w:tcPr>
          <w:p w:rsidR="002A082F" w:rsidRPr="002A082F" w:rsidRDefault="002A082F" w:rsidP="00EF1051">
            <w:pPr>
              <w:keepNext/>
              <w:spacing w:before="40" w:after="120"/>
              <w:ind w:right="57"/>
              <w:rPr>
                <w:b/>
                <w:bCs/>
              </w:rPr>
            </w:pPr>
            <w:r w:rsidRPr="002A082F">
              <w:rPr>
                <w:b/>
              </w:rPr>
              <w:t>Objet du suivi:</w:t>
            </w:r>
          </w:p>
        </w:tc>
      </w:tr>
      <w:tr w:rsidR="00550BCD" w:rsidRPr="004431E4" w:rsidTr="00AA2481">
        <w:tc>
          <w:tcPr>
            <w:tcW w:w="1985" w:type="dxa"/>
            <w:shd w:val="clear" w:color="auto" w:fill="auto"/>
          </w:tcPr>
          <w:p w:rsidR="00550BCD" w:rsidRPr="00486A13" w:rsidRDefault="00550BCD" w:rsidP="00CD4B7D">
            <w:pPr>
              <w:spacing w:before="40" w:after="120"/>
              <w:ind w:right="57"/>
            </w:pPr>
          </w:p>
        </w:tc>
        <w:tc>
          <w:tcPr>
            <w:tcW w:w="6521" w:type="dxa"/>
            <w:shd w:val="clear" w:color="auto" w:fill="auto"/>
          </w:tcPr>
          <w:p w:rsidR="00550BCD" w:rsidRPr="00486A13" w:rsidRDefault="00550BCD" w:rsidP="00CD4B7D">
            <w:pPr>
              <w:spacing w:before="40" w:after="120"/>
              <w:ind w:right="57"/>
            </w:pPr>
            <w:r w:rsidRPr="00C707E6">
              <w:t>Inform</w:t>
            </w:r>
            <w:r>
              <w:t xml:space="preserve">ations actualisées requises sur: </w:t>
            </w:r>
            <w:r w:rsidR="007E7BFD">
              <w:t>i) </w:t>
            </w:r>
            <w:r w:rsidRPr="00C707E6">
              <w:t xml:space="preserve">les progrès réalisés </w:t>
            </w:r>
            <w:r>
              <w:t>en vue de</w:t>
            </w:r>
            <w:r w:rsidRPr="00C707E6">
              <w:t xml:space="preserve"> l</w:t>
            </w:r>
            <w:r w:rsidR="00AA2481">
              <w:t>’</w:t>
            </w:r>
            <w:r w:rsidRPr="00C707E6">
              <w:t>adoption des projets de révision du Code pénal e</w:t>
            </w:r>
            <w:r>
              <w:t xml:space="preserve">t du Code de procédure pénale; </w:t>
            </w:r>
            <w:r w:rsidR="007E7BFD">
              <w:t>ii) </w:t>
            </w:r>
            <w:r w:rsidR="00EF1051">
              <w:t>le </w:t>
            </w:r>
            <w:r w:rsidRPr="00C707E6">
              <w:t>contenu des dispos</w:t>
            </w:r>
            <w:r>
              <w:t xml:space="preserve">itions relatives à la torture; </w:t>
            </w:r>
            <w:r w:rsidR="007E7BFD">
              <w:t>iii) </w:t>
            </w:r>
            <w:r w:rsidRPr="00C707E6">
              <w:t>les mesures adoptées pour garantir la poursuite et la sanction adéquate des cas de torture ou de trait</w:t>
            </w:r>
            <w:r>
              <w:t>ements inhumains ou dégradants.</w:t>
            </w:r>
          </w:p>
        </w:tc>
      </w:tr>
      <w:tr w:rsidR="00550BCD" w:rsidRPr="004431E4" w:rsidTr="00AA2481">
        <w:tc>
          <w:tcPr>
            <w:tcW w:w="1985" w:type="dxa"/>
            <w:shd w:val="clear" w:color="auto" w:fill="auto"/>
          </w:tcPr>
          <w:p w:rsidR="00550BCD" w:rsidRPr="00B062D1" w:rsidRDefault="00550BCD" w:rsidP="0029510F">
            <w:pPr>
              <w:spacing w:before="40" w:after="120"/>
              <w:ind w:right="57"/>
              <w:rPr>
                <w:b/>
              </w:rPr>
            </w:pPr>
            <w:r w:rsidRPr="00486A13">
              <w:t>Résumé réponse l</w:t>
            </w:r>
            <w:r w:rsidR="00AA2481">
              <w:t>’</w:t>
            </w:r>
            <w:r w:rsidRPr="00486A13">
              <w:t>État parti</w:t>
            </w:r>
            <w:r>
              <w:t>e</w:t>
            </w:r>
            <w:r w:rsidRPr="00486A13">
              <w:t>:</w:t>
            </w:r>
          </w:p>
        </w:tc>
        <w:tc>
          <w:tcPr>
            <w:tcW w:w="6521" w:type="dxa"/>
            <w:shd w:val="clear" w:color="auto" w:fill="auto"/>
          </w:tcPr>
          <w:p w:rsidR="00550BCD" w:rsidRPr="00B062D1" w:rsidRDefault="00550BCD" w:rsidP="00CD4B7D">
            <w:pPr>
              <w:spacing w:before="40" w:after="120"/>
              <w:ind w:right="57"/>
              <w:rPr>
                <w:b/>
                <w:bCs/>
              </w:rPr>
            </w:pPr>
            <w:r w:rsidRPr="00C707E6">
              <w:t>En avril 2012, les avant-projets de Code pénal et de Code de procédure pénale ont été transmis au secrétaria</w:t>
            </w:r>
            <w:r>
              <w:t>t général du G</w:t>
            </w:r>
            <w:r w:rsidRPr="00C707E6">
              <w:t>ouverne</w:t>
            </w:r>
            <w:r>
              <w:t>ment pour étude et adoption en C</w:t>
            </w:r>
            <w:r w:rsidRPr="00C707E6">
              <w:t>onseil des ministres. La définition et la répression de la torture proposée</w:t>
            </w:r>
            <w:r>
              <w:t>s sont</w:t>
            </w:r>
            <w:r w:rsidRPr="00C707E6">
              <w:t xml:space="preserve"> conforme</w:t>
            </w:r>
            <w:r>
              <w:t>s</w:t>
            </w:r>
            <w:r w:rsidRPr="00C707E6">
              <w:t xml:space="preserve"> aux dispositi</w:t>
            </w:r>
            <w:r>
              <w:t>ons de la Convention contre la t</w:t>
            </w:r>
            <w:r w:rsidRPr="00C707E6">
              <w:t>orture.</w:t>
            </w:r>
          </w:p>
        </w:tc>
      </w:tr>
      <w:tr w:rsidR="00550BCD" w:rsidRPr="004431E4" w:rsidTr="00AA2481">
        <w:tc>
          <w:tcPr>
            <w:tcW w:w="1985" w:type="dxa"/>
            <w:shd w:val="clear" w:color="auto" w:fill="auto"/>
          </w:tcPr>
          <w:p w:rsidR="00550BCD" w:rsidRPr="00486A13" w:rsidRDefault="00550BCD" w:rsidP="00CD4B7D">
            <w:pPr>
              <w:spacing w:before="40" w:after="120"/>
              <w:ind w:right="57"/>
            </w:pPr>
            <w:r w:rsidRPr="003B421A">
              <w:t>Évaluation du Comité:</w:t>
            </w:r>
          </w:p>
        </w:tc>
        <w:tc>
          <w:tcPr>
            <w:tcW w:w="6521" w:type="dxa"/>
            <w:shd w:val="clear" w:color="auto" w:fill="auto"/>
          </w:tcPr>
          <w:p w:rsidR="00550BCD" w:rsidRPr="00C707E6" w:rsidRDefault="00550BCD" w:rsidP="00CD4B7D">
            <w:pPr>
              <w:spacing w:before="40" w:after="120"/>
              <w:ind w:right="57"/>
            </w:pPr>
            <w:r w:rsidRPr="005E51CF">
              <w:rPr>
                <w:b/>
              </w:rPr>
              <w:t xml:space="preserve">[B2] </w:t>
            </w:r>
            <w:r w:rsidRPr="005E51CF">
              <w:t>Des</w:t>
            </w:r>
            <w:r w:rsidRPr="00C707E6">
              <w:t xml:space="preserve"> informations supplémentaires restent nécessaires sur</w:t>
            </w:r>
            <w:r>
              <w:t xml:space="preserve">: </w:t>
            </w:r>
            <w:r w:rsidR="007E7BFD">
              <w:t>i) </w:t>
            </w:r>
            <w:r w:rsidRPr="00C707E6">
              <w:t>le contenu des dispositions du projet de Code</w:t>
            </w:r>
            <w:r>
              <w:t xml:space="preserve"> pénal relatives à la torture; </w:t>
            </w:r>
            <w:r w:rsidR="007E7BFD">
              <w:t>ii) </w:t>
            </w:r>
            <w:r w:rsidRPr="00C707E6">
              <w:t xml:space="preserve">les progrès réalisés </w:t>
            </w:r>
            <w:r>
              <w:t>en vue de</w:t>
            </w:r>
            <w:r w:rsidRPr="00C707E6">
              <w:t xml:space="preserve"> l</w:t>
            </w:r>
            <w:r w:rsidR="00AA2481">
              <w:t>’</w:t>
            </w:r>
            <w:r w:rsidRPr="00C707E6">
              <w:t>ado</w:t>
            </w:r>
            <w:r>
              <w:t>ption des avant-projets par le G</w:t>
            </w:r>
            <w:r w:rsidRPr="00C707E6">
              <w:t>ouvernement.</w:t>
            </w:r>
          </w:p>
        </w:tc>
      </w:tr>
      <w:tr w:rsidR="00550BCD" w:rsidRPr="004431E4" w:rsidTr="00AA2481">
        <w:tc>
          <w:tcPr>
            <w:tcW w:w="1985" w:type="dxa"/>
            <w:shd w:val="clear" w:color="auto" w:fill="auto"/>
          </w:tcPr>
          <w:p w:rsidR="00550BCD" w:rsidRPr="00486A13" w:rsidRDefault="00550BCD" w:rsidP="00CD4B7D">
            <w:pPr>
              <w:spacing w:before="40" w:after="120"/>
              <w:ind w:right="57"/>
            </w:pPr>
            <w:r w:rsidRPr="005242DA">
              <w:rPr>
                <w:b/>
              </w:rPr>
              <w:t>Paragraphe 16:</w:t>
            </w:r>
            <w:r w:rsidRPr="005C7222">
              <w:rPr>
                <w:b/>
                <w:i/>
              </w:rPr>
              <w:t xml:space="preserve"> </w:t>
            </w:r>
          </w:p>
        </w:tc>
        <w:tc>
          <w:tcPr>
            <w:tcW w:w="6521" w:type="dxa"/>
            <w:shd w:val="clear" w:color="auto" w:fill="auto"/>
          </w:tcPr>
          <w:p w:rsidR="00550BCD" w:rsidRPr="00C707E6" w:rsidRDefault="00550BCD" w:rsidP="00CD4B7D">
            <w:pPr>
              <w:spacing w:before="40" w:after="120"/>
              <w:ind w:right="57"/>
            </w:pPr>
            <w:r w:rsidRPr="005242DA">
              <w:rPr>
                <w:b/>
                <w:bCs/>
              </w:rPr>
              <w:t>L</w:t>
            </w:r>
            <w:r w:rsidR="00AA2481">
              <w:rPr>
                <w:b/>
                <w:bCs/>
              </w:rPr>
              <w:t>’</w:t>
            </w:r>
            <w:r w:rsidRPr="005242DA">
              <w:rPr>
                <w:b/>
                <w:bCs/>
              </w:rPr>
              <w:t>État partie devrait prendre des mesures afin d</w:t>
            </w:r>
            <w:r w:rsidR="00AA2481">
              <w:rPr>
                <w:b/>
                <w:bCs/>
              </w:rPr>
              <w:t>’</w:t>
            </w:r>
            <w:r w:rsidRPr="005242DA">
              <w:rPr>
                <w:b/>
                <w:bCs/>
              </w:rPr>
              <w:t>enquêter sur toutes les allégations de torture et de mauvais traitements, ainsi que sur tout décès survenu en détention. De telles enquêtes doivent être diligemment menées</w:t>
            </w:r>
            <w:r w:rsidRPr="005C7222">
              <w:rPr>
                <w:b/>
                <w:i/>
              </w:rPr>
              <w:t xml:space="preserve"> </w:t>
            </w:r>
            <w:r w:rsidRPr="005242DA">
              <w:rPr>
                <w:b/>
                <w:bCs/>
              </w:rPr>
              <w:t>de manière à traduire les auteurs en justice et offrir des réparations utiles aux victimes.</w:t>
            </w:r>
          </w:p>
        </w:tc>
      </w:tr>
      <w:tr w:rsidR="002A082F" w:rsidRPr="004431E4" w:rsidTr="00AA2481">
        <w:tc>
          <w:tcPr>
            <w:tcW w:w="1985" w:type="dxa"/>
            <w:shd w:val="clear" w:color="auto" w:fill="auto"/>
          </w:tcPr>
          <w:p w:rsidR="002A082F" w:rsidRPr="005242DA" w:rsidRDefault="002A082F" w:rsidP="00EF1051">
            <w:pPr>
              <w:keepNext/>
              <w:spacing w:before="40" w:after="120"/>
              <w:ind w:right="57"/>
              <w:rPr>
                <w:b/>
              </w:rPr>
            </w:pPr>
          </w:p>
        </w:tc>
        <w:tc>
          <w:tcPr>
            <w:tcW w:w="6521" w:type="dxa"/>
            <w:shd w:val="clear" w:color="auto" w:fill="auto"/>
          </w:tcPr>
          <w:p w:rsidR="002A082F" w:rsidRPr="002A082F" w:rsidRDefault="002A082F" w:rsidP="00EF1051">
            <w:pPr>
              <w:keepNext/>
              <w:spacing w:before="40" w:after="120"/>
              <w:ind w:right="57"/>
              <w:rPr>
                <w:b/>
                <w:bCs/>
              </w:rPr>
            </w:pPr>
            <w:r w:rsidRPr="002A082F">
              <w:rPr>
                <w:b/>
              </w:rPr>
              <w:t>Objet du suivi:</w:t>
            </w:r>
          </w:p>
        </w:tc>
      </w:tr>
      <w:tr w:rsidR="00550BCD" w:rsidRPr="004431E4" w:rsidTr="00AA2481">
        <w:tc>
          <w:tcPr>
            <w:tcW w:w="1985" w:type="dxa"/>
            <w:shd w:val="clear" w:color="auto" w:fill="auto"/>
          </w:tcPr>
          <w:p w:rsidR="00550BCD" w:rsidRPr="00486A13" w:rsidRDefault="00550BCD" w:rsidP="00CD4B7D">
            <w:pPr>
              <w:spacing w:before="40" w:after="120"/>
              <w:ind w:right="57"/>
            </w:pPr>
          </w:p>
        </w:tc>
        <w:tc>
          <w:tcPr>
            <w:tcW w:w="6521" w:type="dxa"/>
            <w:shd w:val="clear" w:color="auto" w:fill="auto"/>
          </w:tcPr>
          <w:p w:rsidR="00550BCD" w:rsidRPr="00C707E6" w:rsidRDefault="00550BCD" w:rsidP="00CD4B7D">
            <w:pPr>
              <w:spacing w:before="40" w:after="120"/>
              <w:ind w:right="57"/>
            </w:pPr>
            <w:r w:rsidRPr="00C707E6">
              <w:t xml:space="preserve">Des actions supplémentaires restent nécessaires pour mettre en œuvre les recommandations de la </w:t>
            </w:r>
            <w:r w:rsidR="007472F6">
              <w:t>Commission Nationale des Droits de l’Homme (</w:t>
            </w:r>
            <w:r w:rsidRPr="00C707E6">
              <w:t>CNDH</w:t>
            </w:r>
            <w:r w:rsidR="007472F6">
              <w:t>)</w:t>
            </w:r>
            <w:r w:rsidRPr="00C707E6">
              <w:t xml:space="preserve"> sur la torture, ain</w:t>
            </w:r>
            <w:r w:rsidR="00EF1051">
              <w:t>si que des informations sur les </w:t>
            </w:r>
            <w:r w:rsidRPr="00C707E6">
              <w:t>allégations de tentative de falsification dudit rapport.</w:t>
            </w:r>
          </w:p>
        </w:tc>
      </w:tr>
      <w:tr w:rsidR="00550BCD" w:rsidRPr="004431E4" w:rsidTr="00AA2481">
        <w:tc>
          <w:tcPr>
            <w:tcW w:w="1985" w:type="dxa"/>
            <w:shd w:val="clear" w:color="auto" w:fill="auto"/>
          </w:tcPr>
          <w:p w:rsidR="00550BCD" w:rsidRPr="00427268" w:rsidRDefault="00550BCD" w:rsidP="0029510F">
            <w:pPr>
              <w:spacing w:before="40" w:after="120"/>
              <w:ind w:right="57"/>
              <w:rPr>
                <w:b/>
                <w:u w:val="single"/>
              </w:rPr>
            </w:pPr>
            <w:r w:rsidRPr="00A40138">
              <w:t>Résumé réponse l</w:t>
            </w:r>
            <w:r w:rsidR="00AA2481">
              <w:t>’</w:t>
            </w:r>
            <w:r w:rsidRPr="00A40138">
              <w:t>État partie:</w:t>
            </w:r>
          </w:p>
        </w:tc>
        <w:tc>
          <w:tcPr>
            <w:tcW w:w="6521" w:type="dxa"/>
            <w:shd w:val="clear" w:color="auto" w:fill="auto"/>
          </w:tcPr>
          <w:p w:rsidR="00550BCD" w:rsidRPr="00C707E6" w:rsidRDefault="00550BCD" w:rsidP="00CD4B7D">
            <w:pPr>
              <w:spacing w:before="40" w:after="120"/>
              <w:ind w:right="57"/>
            </w:pPr>
            <w:r>
              <w:t>Le G</w:t>
            </w:r>
            <w:r w:rsidRPr="00C707E6">
              <w:t>ouvernement a mis en œuvre la plupart des recommandations formulées par la CNDH (des exemples sont fournis).</w:t>
            </w:r>
          </w:p>
        </w:tc>
      </w:tr>
      <w:tr w:rsidR="00550BCD" w:rsidRPr="004431E4" w:rsidTr="00AA2481">
        <w:tc>
          <w:tcPr>
            <w:tcW w:w="1985" w:type="dxa"/>
            <w:shd w:val="clear" w:color="auto" w:fill="auto"/>
          </w:tcPr>
          <w:p w:rsidR="00550BCD" w:rsidRPr="00427268" w:rsidRDefault="00550BCD" w:rsidP="00CD4B7D">
            <w:pPr>
              <w:spacing w:before="40" w:after="120"/>
              <w:ind w:right="57"/>
              <w:rPr>
                <w:b/>
                <w:u w:val="single"/>
              </w:rPr>
            </w:pPr>
            <w:r w:rsidRPr="00A40138">
              <w:t>Évaluation Comité:</w:t>
            </w:r>
          </w:p>
        </w:tc>
        <w:tc>
          <w:tcPr>
            <w:tcW w:w="6521" w:type="dxa"/>
            <w:shd w:val="clear" w:color="auto" w:fill="auto"/>
          </w:tcPr>
          <w:p w:rsidR="00550BCD" w:rsidRPr="00C707E6" w:rsidRDefault="00550BCD" w:rsidP="00CD4B7D">
            <w:pPr>
              <w:spacing w:before="40" w:after="120"/>
              <w:ind w:right="57"/>
            </w:pPr>
            <w:r w:rsidRPr="005E51CF">
              <w:rPr>
                <w:b/>
              </w:rPr>
              <w:t xml:space="preserve">[B1] </w:t>
            </w:r>
            <w:r w:rsidRPr="005E51CF">
              <w:t>Des</w:t>
            </w:r>
            <w:r w:rsidRPr="00C707E6">
              <w:t xml:space="preserve"> informations complémentaires seront nécessaires lorsque des mesures seront adoptées pour poursuivre la mise en </w:t>
            </w:r>
            <w:r w:rsidR="00EF1051">
              <w:t>œuvre des recommandations de la </w:t>
            </w:r>
            <w:r w:rsidRPr="00C707E6">
              <w:t>CNDH.</w:t>
            </w:r>
          </w:p>
        </w:tc>
      </w:tr>
      <w:tr w:rsidR="00550BCD" w:rsidRPr="004431E4" w:rsidTr="00AA2481">
        <w:tc>
          <w:tcPr>
            <w:tcW w:w="1985" w:type="dxa"/>
            <w:shd w:val="clear" w:color="auto" w:fill="auto"/>
          </w:tcPr>
          <w:p w:rsidR="00550BCD" w:rsidRPr="00427268" w:rsidRDefault="00550BCD" w:rsidP="00CD4B7D">
            <w:pPr>
              <w:spacing w:before="40" w:after="120"/>
              <w:ind w:right="57"/>
              <w:rPr>
                <w:b/>
                <w:u w:val="single"/>
              </w:rPr>
            </w:pPr>
            <w:r w:rsidRPr="00A40138">
              <w:t>Mesure recommandée:</w:t>
            </w:r>
            <w:r w:rsidRPr="005C7222">
              <w:rPr>
                <w:b/>
              </w:rPr>
              <w:t xml:space="preserve"> </w:t>
            </w:r>
          </w:p>
        </w:tc>
        <w:tc>
          <w:tcPr>
            <w:tcW w:w="6521" w:type="dxa"/>
            <w:shd w:val="clear" w:color="auto" w:fill="auto"/>
          </w:tcPr>
          <w:p w:rsidR="00550BCD" w:rsidRPr="00C707E6" w:rsidRDefault="00550BCD" w:rsidP="00CD4B7D">
            <w:pPr>
              <w:spacing w:before="40" w:after="120"/>
              <w:ind w:right="57"/>
            </w:pPr>
            <w:r w:rsidRPr="00C707E6">
              <w:t xml:space="preserve">Lettre </w:t>
            </w:r>
            <w:r>
              <w:t>présentant l</w:t>
            </w:r>
            <w:r w:rsidR="00AA2481">
              <w:t>’</w:t>
            </w:r>
            <w:r>
              <w:t xml:space="preserve">analyse du Comité. </w:t>
            </w:r>
          </w:p>
        </w:tc>
      </w:tr>
      <w:tr w:rsidR="00550BCD" w:rsidRPr="00FE2D64" w:rsidTr="00AA2481">
        <w:tc>
          <w:tcPr>
            <w:tcW w:w="1985" w:type="dxa"/>
            <w:tcBorders>
              <w:bottom w:val="single" w:sz="12" w:space="0" w:color="auto"/>
            </w:tcBorders>
            <w:shd w:val="clear" w:color="auto" w:fill="auto"/>
          </w:tcPr>
          <w:p w:rsidR="00550BCD" w:rsidRPr="00A37327" w:rsidRDefault="00550BCD" w:rsidP="00CD4B7D">
            <w:pPr>
              <w:spacing w:before="40" w:after="120"/>
              <w:ind w:right="57"/>
              <w:rPr>
                <w:lang w:val="fr-FR"/>
              </w:rPr>
            </w:pPr>
            <w:r w:rsidRPr="00A40138">
              <w:t>Prochain rapport périodique:</w:t>
            </w:r>
            <w:r w:rsidRPr="00C707E6">
              <w:t xml:space="preserve"> </w:t>
            </w:r>
          </w:p>
        </w:tc>
        <w:tc>
          <w:tcPr>
            <w:tcW w:w="6521" w:type="dxa"/>
            <w:tcBorders>
              <w:bottom w:val="single" w:sz="12" w:space="0" w:color="auto"/>
            </w:tcBorders>
            <w:shd w:val="clear" w:color="auto" w:fill="auto"/>
          </w:tcPr>
          <w:p w:rsidR="00550BCD" w:rsidRPr="00A37327" w:rsidRDefault="00550BCD" w:rsidP="00CD4B7D">
            <w:pPr>
              <w:spacing w:before="40" w:after="120"/>
              <w:ind w:right="57"/>
              <w:rPr>
                <w:bCs/>
              </w:rPr>
            </w:pPr>
            <w:r w:rsidRPr="00C707E6">
              <w:t>1</w:t>
            </w:r>
            <w:r w:rsidR="00703D6D">
              <w:t>/4/</w:t>
            </w:r>
            <w:r w:rsidRPr="00C707E6">
              <w:t>15.</w:t>
            </w:r>
          </w:p>
        </w:tc>
      </w:tr>
    </w:tbl>
    <w:p w:rsidR="00FC7213" w:rsidRDefault="00FC7213" w:rsidP="00550BCD">
      <w:pPr>
        <w:pStyle w:val="H1G"/>
      </w:pPr>
    </w:p>
    <w:p w:rsidR="00550BCD" w:rsidRDefault="00FC7213" w:rsidP="00550BCD">
      <w:pPr>
        <w:pStyle w:val="H1G"/>
      </w:pPr>
      <w:r>
        <w:br w:type="page"/>
      </w:r>
      <w:r w:rsidR="00550BCD" w:rsidRPr="002E2E5F">
        <w:tab/>
      </w:r>
      <w:r w:rsidR="00550BCD" w:rsidRPr="002E2E5F">
        <w:tab/>
      </w:r>
      <w:r w:rsidR="00550BCD">
        <w:t>102</w:t>
      </w:r>
      <w:r w:rsidR="00550BCD" w:rsidRPr="002D505A">
        <w:rPr>
          <w:vertAlign w:val="superscript"/>
        </w:rPr>
        <w:t>e</w:t>
      </w:r>
      <w:r w:rsidR="00550BCD">
        <w:t> </w:t>
      </w:r>
      <w:r w:rsidR="00550BCD" w:rsidRPr="002E2E5F">
        <w:t>session (juillet 2011)</w:t>
      </w:r>
    </w:p>
    <w:tbl>
      <w:tblPr>
        <w:tblW w:w="8506" w:type="dxa"/>
        <w:tblInd w:w="1134" w:type="dxa"/>
        <w:tblLayout w:type="fixed"/>
        <w:tblCellMar>
          <w:left w:w="0" w:type="dxa"/>
          <w:right w:w="0" w:type="dxa"/>
        </w:tblCellMar>
        <w:tblLook w:val="00A0"/>
      </w:tblPr>
      <w:tblGrid>
        <w:gridCol w:w="1985"/>
        <w:gridCol w:w="6521"/>
      </w:tblGrid>
      <w:tr w:rsidR="00550BCD" w:rsidRPr="00FE2D64" w:rsidTr="00AA2481">
        <w:trPr>
          <w:tblHeader/>
        </w:trPr>
        <w:tc>
          <w:tcPr>
            <w:tcW w:w="1985" w:type="dxa"/>
            <w:tcBorders>
              <w:top w:val="single" w:sz="4" w:space="0" w:color="auto"/>
              <w:bottom w:val="single" w:sz="12" w:space="0" w:color="auto"/>
            </w:tcBorders>
            <w:shd w:val="clear" w:color="auto" w:fill="auto"/>
            <w:vAlign w:val="bottom"/>
          </w:tcPr>
          <w:p w:rsidR="00550BCD" w:rsidRPr="006E1E09" w:rsidRDefault="00550BCD" w:rsidP="00FC7213">
            <w:pPr>
              <w:spacing w:before="80" w:after="80" w:line="200" w:lineRule="exact"/>
              <w:ind w:right="57"/>
              <w:rPr>
                <w:i/>
                <w:sz w:val="16"/>
                <w:szCs w:val="16"/>
              </w:rPr>
            </w:pPr>
            <w:r w:rsidRPr="006E1E09">
              <w:rPr>
                <w:i/>
                <w:sz w:val="16"/>
                <w:szCs w:val="16"/>
              </w:rPr>
              <w:t>Kazakhstan</w:t>
            </w:r>
          </w:p>
        </w:tc>
        <w:tc>
          <w:tcPr>
            <w:tcW w:w="6521" w:type="dxa"/>
            <w:tcBorders>
              <w:top w:val="single" w:sz="4" w:space="0" w:color="auto"/>
              <w:bottom w:val="single" w:sz="12" w:space="0" w:color="auto"/>
            </w:tcBorders>
            <w:shd w:val="clear" w:color="auto" w:fill="auto"/>
            <w:vAlign w:val="bottom"/>
          </w:tcPr>
          <w:p w:rsidR="00550BCD" w:rsidRPr="00FE2D64" w:rsidRDefault="00550BCD" w:rsidP="00FC7213">
            <w:pPr>
              <w:spacing w:before="80" w:after="80" w:line="200" w:lineRule="exact"/>
              <w:ind w:right="57"/>
              <w:rPr>
                <w:i/>
                <w:sz w:val="16"/>
              </w:rPr>
            </w:pPr>
          </w:p>
        </w:tc>
      </w:tr>
      <w:tr w:rsidR="00550BCD" w:rsidRPr="00FE2D64" w:rsidTr="00AA2481">
        <w:trPr>
          <w:trHeight w:hRule="exact" w:val="113"/>
          <w:tblHeader/>
        </w:trPr>
        <w:tc>
          <w:tcPr>
            <w:tcW w:w="1985" w:type="dxa"/>
            <w:tcBorders>
              <w:top w:val="single" w:sz="12" w:space="0" w:color="auto"/>
            </w:tcBorders>
            <w:shd w:val="clear" w:color="auto" w:fill="auto"/>
          </w:tcPr>
          <w:p w:rsidR="00550BCD" w:rsidRPr="00FE2D64" w:rsidRDefault="00550BCD" w:rsidP="00FC7213">
            <w:pPr>
              <w:spacing w:before="40" w:after="120"/>
              <w:ind w:right="57"/>
            </w:pPr>
          </w:p>
        </w:tc>
        <w:tc>
          <w:tcPr>
            <w:tcW w:w="6521" w:type="dxa"/>
            <w:tcBorders>
              <w:top w:val="single" w:sz="12" w:space="0" w:color="auto"/>
            </w:tcBorders>
            <w:shd w:val="clear" w:color="auto" w:fill="auto"/>
          </w:tcPr>
          <w:p w:rsidR="00550BCD" w:rsidRPr="00FE2D64" w:rsidRDefault="00550BCD" w:rsidP="00FC7213">
            <w:pPr>
              <w:spacing w:before="40" w:after="120"/>
              <w:ind w:right="57"/>
            </w:pPr>
          </w:p>
        </w:tc>
      </w:tr>
      <w:tr w:rsidR="00550BCD" w:rsidRPr="004431E4" w:rsidTr="00AA2481">
        <w:tc>
          <w:tcPr>
            <w:tcW w:w="1985" w:type="dxa"/>
            <w:shd w:val="clear" w:color="auto" w:fill="auto"/>
          </w:tcPr>
          <w:p w:rsidR="00550BCD" w:rsidRPr="004B6B4B" w:rsidRDefault="00550BCD" w:rsidP="00FC7213">
            <w:pPr>
              <w:spacing w:before="40" w:after="120"/>
              <w:ind w:right="57"/>
            </w:pPr>
            <w:r>
              <w:t>Observations finales</w:t>
            </w:r>
          </w:p>
        </w:tc>
        <w:tc>
          <w:tcPr>
            <w:tcW w:w="6521" w:type="dxa"/>
            <w:shd w:val="clear" w:color="auto" w:fill="auto"/>
          </w:tcPr>
          <w:p w:rsidR="00550BCD" w:rsidRDefault="00550BCD" w:rsidP="00FC7213">
            <w:pPr>
              <w:spacing w:before="40" w:after="120"/>
              <w:ind w:right="57"/>
            </w:pPr>
            <w:r w:rsidRPr="00C7498A">
              <w:t>CCPR/C/KAZ/CO/1</w:t>
            </w:r>
            <w:r w:rsidRPr="0052123C">
              <w:t>, adoptées le 26</w:t>
            </w:r>
            <w:r w:rsidR="00703D6D">
              <w:t>/7/</w:t>
            </w:r>
            <w:r w:rsidRPr="0052123C">
              <w:t xml:space="preserve">11. </w:t>
            </w:r>
          </w:p>
        </w:tc>
      </w:tr>
      <w:tr w:rsidR="00550BCD" w:rsidRPr="004431E4" w:rsidTr="00AA2481">
        <w:tc>
          <w:tcPr>
            <w:tcW w:w="1985" w:type="dxa"/>
            <w:shd w:val="clear" w:color="auto" w:fill="auto"/>
          </w:tcPr>
          <w:p w:rsidR="00550BCD" w:rsidRDefault="00550BCD" w:rsidP="00FC7213">
            <w:pPr>
              <w:spacing w:before="40" w:after="120"/>
              <w:ind w:right="57"/>
            </w:pPr>
            <w:r w:rsidRPr="003804C0">
              <w:t xml:space="preserve">Paragraphes </w:t>
            </w:r>
            <w:r>
              <w:t>faisant l</w:t>
            </w:r>
            <w:r w:rsidR="00AA2481">
              <w:t>’</w:t>
            </w:r>
            <w:r>
              <w:t>objet d</w:t>
            </w:r>
            <w:r w:rsidR="00AA2481">
              <w:t>’</w:t>
            </w:r>
            <w:r>
              <w:t>un</w:t>
            </w:r>
            <w:r w:rsidRPr="003804C0">
              <w:t xml:space="preserve"> suivi:</w:t>
            </w:r>
          </w:p>
        </w:tc>
        <w:tc>
          <w:tcPr>
            <w:tcW w:w="6521" w:type="dxa"/>
            <w:shd w:val="clear" w:color="auto" w:fill="auto"/>
          </w:tcPr>
          <w:p w:rsidR="00550BCD" w:rsidRDefault="00550BCD" w:rsidP="00FC7213">
            <w:pPr>
              <w:spacing w:before="40" w:after="120"/>
              <w:ind w:right="57"/>
            </w:pPr>
            <w:r w:rsidRPr="0052123C">
              <w:t>7, 21, 25, 26</w:t>
            </w:r>
          </w:p>
        </w:tc>
      </w:tr>
      <w:tr w:rsidR="00550BCD" w:rsidRPr="004431E4" w:rsidTr="00AA2481">
        <w:tc>
          <w:tcPr>
            <w:tcW w:w="1985" w:type="dxa"/>
            <w:shd w:val="clear" w:color="auto" w:fill="auto"/>
          </w:tcPr>
          <w:p w:rsidR="00550BCD" w:rsidRPr="003804C0" w:rsidRDefault="00550BCD" w:rsidP="00FC7213">
            <w:pPr>
              <w:spacing w:before="40" w:after="120"/>
              <w:ind w:right="57"/>
            </w:pPr>
            <w:r>
              <w:t>Première réponse de l</w:t>
            </w:r>
            <w:r w:rsidR="00AA2481">
              <w:t>’</w:t>
            </w:r>
            <w:r>
              <w:t>État partie</w:t>
            </w:r>
            <w:r w:rsidRPr="003804C0">
              <w:t>:</w:t>
            </w:r>
          </w:p>
        </w:tc>
        <w:tc>
          <w:tcPr>
            <w:tcW w:w="6521" w:type="dxa"/>
            <w:shd w:val="clear" w:color="auto" w:fill="auto"/>
          </w:tcPr>
          <w:p w:rsidR="00550BCD" w:rsidRDefault="00550BCD" w:rsidP="00FC7213">
            <w:pPr>
              <w:spacing w:before="40" w:after="120"/>
              <w:ind w:right="57"/>
            </w:pPr>
            <w:r w:rsidRPr="0052123C">
              <w:t>Attendue le 26</w:t>
            </w:r>
            <w:r w:rsidR="00703D6D">
              <w:t>/7/</w:t>
            </w:r>
            <w:r w:rsidRPr="0052123C">
              <w:t xml:space="preserve">12 </w:t>
            </w:r>
            <w:r w:rsidR="00AA2481">
              <w:t>−</w:t>
            </w:r>
            <w:r w:rsidRPr="0052123C">
              <w:t xml:space="preserve"> Reçue le 27</w:t>
            </w:r>
            <w:r w:rsidR="00703D6D">
              <w:t>/7/</w:t>
            </w:r>
            <w:r w:rsidRPr="0052123C">
              <w:t xml:space="preserve">12. </w:t>
            </w:r>
          </w:p>
        </w:tc>
      </w:tr>
      <w:tr w:rsidR="00521595" w:rsidRPr="004431E4" w:rsidTr="00AA2481">
        <w:tc>
          <w:tcPr>
            <w:tcW w:w="1985" w:type="dxa"/>
            <w:shd w:val="clear" w:color="auto" w:fill="auto"/>
          </w:tcPr>
          <w:p w:rsidR="00521595" w:rsidRDefault="002A73FF" w:rsidP="00FC7213">
            <w:pPr>
              <w:spacing w:before="40" w:after="120"/>
              <w:ind w:right="57"/>
            </w:pPr>
            <w:r>
              <w:t>Mesures prises par le Comité :</w:t>
            </w:r>
          </w:p>
        </w:tc>
        <w:tc>
          <w:tcPr>
            <w:tcW w:w="6521" w:type="dxa"/>
            <w:shd w:val="clear" w:color="auto" w:fill="auto"/>
          </w:tcPr>
          <w:p w:rsidR="00521595" w:rsidRPr="0052123C" w:rsidRDefault="002A73FF" w:rsidP="00703D6D">
            <w:pPr>
              <w:spacing w:before="40" w:after="120"/>
              <w:ind w:right="57"/>
            </w:pPr>
            <w:r>
              <w:t>25 mars 2013 : réunion de la Rapporteuse Spéciale avec la Mission Permanente.</w:t>
            </w:r>
            <w:r w:rsidR="003822EB">
              <w:t xml:space="preserve"> </w:t>
            </w:r>
          </w:p>
        </w:tc>
      </w:tr>
      <w:tr w:rsidR="00550BCD" w:rsidRPr="001C7EC5" w:rsidTr="00AA2481">
        <w:tc>
          <w:tcPr>
            <w:tcW w:w="1985" w:type="dxa"/>
            <w:shd w:val="clear" w:color="auto" w:fill="auto"/>
          </w:tcPr>
          <w:p w:rsidR="00550BCD" w:rsidRPr="003804C0" w:rsidRDefault="00550BCD" w:rsidP="00FC7213">
            <w:pPr>
              <w:spacing w:before="40" w:after="120"/>
              <w:ind w:right="57"/>
            </w:pPr>
            <w:r>
              <w:t>Informations</w:t>
            </w:r>
            <w:r w:rsidRPr="003804C0">
              <w:t xml:space="preserve"> d</w:t>
            </w:r>
            <w:r w:rsidR="00AA2481">
              <w:t>’</w:t>
            </w:r>
            <w:r w:rsidRPr="003804C0">
              <w:t>ONG:</w:t>
            </w:r>
          </w:p>
        </w:tc>
        <w:tc>
          <w:tcPr>
            <w:tcW w:w="6521" w:type="dxa"/>
            <w:shd w:val="clear" w:color="auto" w:fill="auto"/>
          </w:tcPr>
          <w:p w:rsidR="00550BCD" w:rsidRPr="001C7EC5" w:rsidRDefault="00550BCD" w:rsidP="00FC7213">
            <w:pPr>
              <w:spacing w:before="40" w:after="120"/>
              <w:ind w:right="57"/>
              <w:rPr>
                <w:lang w:val="en-GB"/>
              </w:rPr>
            </w:pPr>
            <w:r>
              <w:rPr>
                <w:lang w:val="en-GB"/>
              </w:rPr>
              <w:t xml:space="preserve">20/11/2012: </w:t>
            </w:r>
            <w:r w:rsidRPr="00AA5221">
              <w:rPr>
                <w:lang w:val="en-GB"/>
              </w:rPr>
              <w:t xml:space="preserve">Kazakhstan International Bureau for Human Rights and Rule of Law; International Foundation for Protection of Freedom of Speech </w:t>
            </w:r>
            <w:r>
              <w:rPr>
                <w:lang w:val="en-GB"/>
              </w:rPr>
              <w:t>«Adil Soz»</w:t>
            </w:r>
            <w:r w:rsidRPr="00AA5221">
              <w:rPr>
                <w:lang w:val="en-GB"/>
              </w:rPr>
              <w:t xml:space="preserve">; Almaty Helsinki Committee; Children Foundation of Kazakhstan; Committee of Public Defense; Public Association Feminist League; CCPR </w:t>
            </w:r>
            <w:r w:rsidR="00521595" w:rsidRPr="00AA5221">
              <w:rPr>
                <w:lang w:val="en-GB"/>
              </w:rPr>
              <w:t>Centre</w:t>
            </w:r>
            <w:r w:rsidRPr="00AA5221">
              <w:rPr>
                <w:lang w:val="en-GB"/>
              </w:rPr>
              <w:t>.</w:t>
            </w:r>
          </w:p>
        </w:tc>
      </w:tr>
      <w:tr w:rsidR="00550BCD" w:rsidRPr="004431E4" w:rsidTr="00AA2481">
        <w:tc>
          <w:tcPr>
            <w:tcW w:w="1985" w:type="dxa"/>
            <w:shd w:val="clear" w:color="auto" w:fill="auto"/>
          </w:tcPr>
          <w:p w:rsidR="00550BCD" w:rsidRPr="000F142A" w:rsidRDefault="00550BCD" w:rsidP="00FC7213">
            <w:pPr>
              <w:spacing w:before="40" w:after="120"/>
              <w:ind w:right="57"/>
              <w:rPr>
                <w:b/>
              </w:rPr>
            </w:pPr>
            <w:r w:rsidRPr="000F142A">
              <w:rPr>
                <w:b/>
              </w:rPr>
              <w:t xml:space="preserve">Paragraphe 7: </w:t>
            </w:r>
          </w:p>
        </w:tc>
        <w:tc>
          <w:tcPr>
            <w:tcW w:w="6521" w:type="dxa"/>
            <w:shd w:val="clear" w:color="auto" w:fill="auto"/>
          </w:tcPr>
          <w:p w:rsidR="00550BCD" w:rsidRPr="000F142A" w:rsidRDefault="00550BCD" w:rsidP="00FC7213">
            <w:pPr>
              <w:spacing w:before="40" w:after="120"/>
              <w:ind w:right="57"/>
              <w:rPr>
                <w:b/>
              </w:rPr>
            </w:pPr>
            <w:r w:rsidRPr="000F142A">
              <w:rPr>
                <w:b/>
              </w:rPr>
              <w:t>L</w:t>
            </w:r>
            <w:r w:rsidR="00AA2481">
              <w:rPr>
                <w:b/>
              </w:rPr>
              <w:t>’</w:t>
            </w:r>
            <w:r w:rsidRPr="000F142A">
              <w:rPr>
                <w:b/>
              </w:rPr>
              <w:t>État partie devrait intensifier ses efforts pour garantir la totale indépendance de l</w:t>
            </w:r>
            <w:r w:rsidR="00AA2481">
              <w:rPr>
                <w:b/>
              </w:rPr>
              <w:t>’</w:t>
            </w:r>
            <w:r>
              <w:rPr>
                <w:b/>
              </w:rPr>
              <w:t>institution du D</w:t>
            </w:r>
            <w:r w:rsidRPr="000F142A">
              <w:rPr>
                <w:b/>
              </w:rPr>
              <w:t>éfe</w:t>
            </w:r>
            <w:r w:rsidR="007E7BFD">
              <w:rPr>
                <w:b/>
              </w:rPr>
              <w:t>nseur des droits de l</w:t>
            </w:r>
            <w:r w:rsidR="00AA2481">
              <w:rPr>
                <w:b/>
              </w:rPr>
              <w:t>’</w:t>
            </w:r>
            <w:r w:rsidR="007E7BFD">
              <w:rPr>
                <w:b/>
              </w:rPr>
              <w:t>homme. Il </w:t>
            </w:r>
            <w:r w:rsidRPr="000F142A">
              <w:rPr>
                <w:b/>
              </w:rPr>
              <w:t>devrait également doter celle-ci de ressources financières et humaines suffisantes, conformément aux Principes de Paris (résolution 48/134 de l</w:t>
            </w:r>
            <w:r w:rsidR="00AA2481">
              <w:rPr>
                <w:b/>
              </w:rPr>
              <w:t>’</w:t>
            </w:r>
            <w:r w:rsidRPr="000F142A">
              <w:rPr>
                <w:b/>
              </w:rPr>
              <w:t>Assemblée générale, annexe). Le Comité recommande en outre que l</w:t>
            </w:r>
            <w:r w:rsidR="00AA2481">
              <w:rPr>
                <w:b/>
              </w:rPr>
              <w:t>’</w:t>
            </w:r>
            <w:r w:rsidRPr="000F142A">
              <w:rPr>
                <w:b/>
              </w:rPr>
              <w:t>institution du Défenseur des droits de l</w:t>
            </w:r>
            <w:r w:rsidR="00AA2481">
              <w:rPr>
                <w:b/>
              </w:rPr>
              <w:t>’</w:t>
            </w:r>
            <w:r w:rsidRPr="000F142A">
              <w:rPr>
                <w:b/>
              </w:rPr>
              <w:t>homme demande son accréditation auprès du Sous-Comité d</w:t>
            </w:r>
            <w:r w:rsidR="00AA2481">
              <w:rPr>
                <w:b/>
              </w:rPr>
              <w:t>’</w:t>
            </w:r>
            <w:r w:rsidRPr="000F142A">
              <w:rPr>
                <w:b/>
              </w:rPr>
              <w:t>accréditation du Comité international de coordination des institutions nationales pour la promotion et la protection des droits de l</w:t>
            </w:r>
            <w:r w:rsidR="00AA2481">
              <w:rPr>
                <w:b/>
              </w:rPr>
              <w:t>’</w:t>
            </w:r>
            <w:r w:rsidRPr="000F142A">
              <w:rPr>
                <w:b/>
              </w:rPr>
              <w:t>homme. Enfin, quand il établira le mécanisme national de prévention selon les dispositions du Protocole facultatif se rapportant à la Convention contre la torture, l</w:t>
            </w:r>
            <w:r w:rsidR="00AA2481">
              <w:rPr>
                <w:b/>
              </w:rPr>
              <w:t>’</w:t>
            </w:r>
            <w:r w:rsidRPr="000F142A">
              <w:rPr>
                <w:b/>
              </w:rPr>
              <w:t>État partie devrait veiller à ce qu</w:t>
            </w:r>
            <w:r w:rsidR="00AA2481">
              <w:rPr>
                <w:b/>
              </w:rPr>
              <w:t>’</w:t>
            </w:r>
            <w:r w:rsidRPr="000F142A">
              <w:rPr>
                <w:b/>
              </w:rPr>
              <w:t>il en résulte non pas un amoindrissement mais au contraire une amélioration de l</w:t>
            </w:r>
            <w:r w:rsidR="00AA2481">
              <w:rPr>
                <w:b/>
              </w:rPr>
              <w:t>’</w:t>
            </w:r>
            <w:r w:rsidRPr="000F142A">
              <w:rPr>
                <w:b/>
              </w:rPr>
              <w:t>exécution de ses fonctions essentielles d</w:t>
            </w:r>
            <w:r w:rsidR="00AA2481">
              <w:rPr>
                <w:b/>
              </w:rPr>
              <w:t>’</w:t>
            </w:r>
            <w:r w:rsidRPr="000F142A">
              <w:rPr>
                <w:b/>
              </w:rPr>
              <w:t>institution nationale des droits de l</w:t>
            </w:r>
            <w:r w:rsidR="00AA2481">
              <w:rPr>
                <w:b/>
              </w:rPr>
              <w:t>’</w:t>
            </w:r>
            <w:r w:rsidRPr="000F142A">
              <w:rPr>
                <w:b/>
              </w:rPr>
              <w:t>homme, conformément aux Principes de Paris.</w:t>
            </w:r>
          </w:p>
        </w:tc>
      </w:tr>
      <w:tr w:rsidR="00550BCD" w:rsidRPr="004431E4" w:rsidTr="00AA2481">
        <w:tc>
          <w:tcPr>
            <w:tcW w:w="1985" w:type="dxa"/>
            <w:shd w:val="clear" w:color="auto" w:fill="auto"/>
          </w:tcPr>
          <w:p w:rsidR="00550BCD" w:rsidRPr="003804C0" w:rsidRDefault="00550BCD" w:rsidP="00703D6D">
            <w:pPr>
              <w:spacing w:before="40" w:after="120"/>
              <w:ind w:right="57"/>
            </w:pPr>
            <w:r w:rsidRPr="0016515C">
              <w:t>Résumé réponse l</w:t>
            </w:r>
            <w:r w:rsidR="00AA2481">
              <w:t>’</w:t>
            </w:r>
            <w:r w:rsidRPr="0016515C">
              <w:t>État partie:</w:t>
            </w:r>
          </w:p>
        </w:tc>
        <w:tc>
          <w:tcPr>
            <w:tcW w:w="6521" w:type="dxa"/>
            <w:shd w:val="clear" w:color="auto" w:fill="auto"/>
          </w:tcPr>
          <w:p w:rsidR="00550BCD" w:rsidRDefault="00550BCD" w:rsidP="00FC7213">
            <w:pPr>
              <w:spacing w:before="40" w:after="120"/>
              <w:ind w:right="57"/>
            </w:pPr>
            <w:r w:rsidRPr="00332301">
              <w:t>Le projet de loi présenté au Parlement en mars 2012 prévoit le renforcement des pouvoirs du Défenseur des droits de l</w:t>
            </w:r>
            <w:r w:rsidR="00AA2481">
              <w:t>’</w:t>
            </w:r>
            <w:r w:rsidRPr="00332301">
              <w:t>homme et son rôle comme mécanisme national de prévention de la torture. L</w:t>
            </w:r>
            <w:r w:rsidR="00AA2481">
              <w:t>’</w:t>
            </w:r>
            <w:r w:rsidRPr="00332301">
              <w:t>accréditation de l</w:t>
            </w:r>
            <w:r w:rsidR="00AA2481">
              <w:t>’</w:t>
            </w:r>
            <w:r>
              <w:t>i</w:t>
            </w:r>
            <w:r w:rsidRPr="00332301">
              <w:t>nstitution fait partie des mesures prévues en 2013.</w:t>
            </w:r>
          </w:p>
          <w:p w:rsidR="00BF250C" w:rsidRPr="001C7EC5" w:rsidRDefault="00BF250C" w:rsidP="0081025D">
            <w:pPr>
              <w:spacing w:before="40" w:after="120"/>
              <w:ind w:right="57"/>
            </w:pPr>
            <w:r>
              <w:t>Informations supplémentaires fourni</w:t>
            </w:r>
            <w:r w:rsidR="0087784B">
              <w:t>es au cours de la réunion du 25/3/</w:t>
            </w:r>
            <w:r>
              <w:t>2013 :</w:t>
            </w:r>
            <w:r w:rsidR="00900C94">
              <w:t xml:space="preserve"> l’institution </w:t>
            </w:r>
            <w:r>
              <w:t xml:space="preserve">du Défenseur a été accrédité avec le statut B. L’acquisition du statut A pourrait être facilitée par la participation </w:t>
            </w:r>
            <w:r w:rsidR="00900C94">
              <w:t xml:space="preserve">de l’institution </w:t>
            </w:r>
            <w:r>
              <w:t xml:space="preserve">aux mécanismes du Conseil des droits de l’homme mais </w:t>
            </w:r>
            <w:r w:rsidR="005E258B">
              <w:t xml:space="preserve">ne </w:t>
            </w:r>
            <w:r>
              <w:t>dép</w:t>
            </w:r>
            <w:r w:rsidR="005E258B">
              <w:t xml:space="preserve">end pas uniquement de la volonté du </w:t>
            </w:r>
            <w:r w:rsidR="00816DC4">
              <w:t>Défenseur. Le renforcement de ses pouvoirs comme mécanisme national de prévention doit être accompagné du renforcement institutionnel nécessaire.</w:t>
            </w:r>
            <w:r w:rsidR="0081025D">
              <w:t xml:space="preserve"> </w:t>
            </w:r>
          </w:p>
        </w:tc>
      </w:tr>
      <w:tr w:rsidR="00550BCD" w:rsidRPr="004431E4" w:rsidTr="00AA2481">
        <w:tc>
          <w:tcPr>
            <w:tcW w:w="1985" w:type="dxa"/>
            <w:shd w:val="clear" w:color="auto" w:fill="auto"/>
          </w:tcPr>
          <w:p w:rsidR="00550BCD" w:rsidRPr="003804C0" w:rsidRDefault="00550BCD" w:rsidP="00FC7213">
            <w:pPr>
              <w:spacing w:before="40" w:after="120"/>
              <w:ind w:right="57"/>
            </w:pPr>
            <w:r w:rsidRPr="0016515C">
              <w:t xml:space="preserve">Informations </w:t>
            </w:r>
            <w:r>
              <w:t>d</w:t>
            </w:r>
            <w:r w:rsidR="00AA2481">
              <w:t>’</w:t>
            </w:r>
            <w:r w:rsidRPr="0016515C">
              <w:t>ONG:</w:t>
            </w:r>
          </w:p>
        </w:tc>
        <w:tc>
          <w:tcPr>
            <w:tcW w:w="6521" w:type="dxa"/>
            <w:shd w:val="clear" w:color="auto" w:fill="auto"/>
          </w:tcPr>
          <w:p w:rsidR="00550BCD" w:rsidRPr="001C7EC5" w:rsidRDefault="00550BCD" w:rsidP="00FC7213">
            <w:pPr>
              <w:spacing w:before="40" w:after="120"/>
              <w:ind w:right="57"/>
            </w:pPr>
            <w:r w:rsidRPr="00332301">
              <w:t>La dernière ve</w:t>
            </w:r>
            <w:r>
              <w:t>rsion du projet de loi pour le mécanisme national de p</w:t>
            </w:r>
            <w:r w:rsidRPr="00332301">
              <w:t>révention prévoit le renforcement du Défenseur des droits de l</w:t>
            </w:r>
            <w:r w:rsidR="00AA2481">
              <w:t>’</w:t>
            </w:r>
            <w:r w:rsidRPr="00332301">
              <w:t>homme, notamment en termes de ressources humaines et financièr</w:t>
            </w:r>
            <w:r>
              <w:t>es. Contrairement au Protocole f</w:t>
            </w:r>
            <w:r w:rsidRPr="00332301">
              <w:t>acul</w:t>
            </w:r>
            <w:r>
              <w:t>tatif se rapportant à la Convention contre la t</w:t>
            </w:r>
            <w:r w:rsidRPr="00332301">
              <w:t>orture, aucun mécanisme d</w:t>
            </w:r>
            <w:r w:rsidR="00AA2481">
              <w:t>’</w:t>
            </w:r>
            <w:r>
              <w:t>i</w:t>
            </w:r>
            <w:r w:rsidRPr="00332301">
              <w:t>nspection n</w:t>
            </w:r>
            <w:r w:rsidR="00AA2481">
              <w:t>’</w:t>
            </w:r>
            <w:r w:rsidRPr="00332301">
              <w:t>est prévu. Aucune information n</w:t>
            </w:r>
            <w:r w:rsidR="00AA2481">
              <w:t>’</w:t>
            </w:r>
            <w:r w:rsidRPr="00332301">
              <w:t>est disponible sur la demande d</w:t>
            </w:r>
            <w:r w:rsidR="00AA2481">
              <w:t>’</w:t>
            </w:r>
            <w:r w:rsidRPr="00332301">
              <w:t>accréditation du bureau du Défenseur.</w:t>
            </w:r>
          </w:p>
        </w:tc>
      </w:tr>
      <w:tr w:rsidR="00550BCD" w:rsidRPr="004431E4" w:rsidTr="00AA2481">
        <w:tc>
          <w:tcPr>
            <w:tcW w:w="1985" w:type="dxa"/>
            <w:shd w:val="clear" w:color="auto" w:fill="auto"/>
          </w:tcPr>
          <w:p w:rsidR="00550BCD" w:rsidRPr="003804C0" w:rsidRDefault="00550BCD" w:rsidP="00FC7213">
            <w:pPr>
              <w:spacing w:before="40" w:after="120"/>
              <w:ind w:right="57"/>
            </w:pPr>
            <w:r w:rsidRPr="0016515C">
              <w:t>Évaluation Comité:</w:t>
            </w:r>
            <w:r w:rsidRPr="00427268">
              <w:rPr>
                <w:b/>
                <w:u w:val="single"/>
              </w:rPr>
              <w:t xml:space="preserve"> </w:t>
            </w:r>
          </w:p>
        </w:tc>
        <w:tc>
          <w:tcPr>
            <w:tcW w:w="6521" w:type="dxa"/>
            <w:shd w:val="clear" w:color="auto" w:fill="auto"/>
          </w:tcPr>
          <w:p w:rsidR="00550BCD" w:rsidRPr="001C7EC5" w:rsidRDefault="00550BCD" w:rsidP="00641C6B">
            <w:pPr>
              <w:spacing w:before="40" w:after="120"/>
              <w:ind w:right="57"/>
            </w:pPr>
            <w:r w:rsidRPr="00637F35">
              <w:rPr>
                <w:b/>
              </w:rPr>
              <w:t xml:space="preserve">[B2] </w:t>
            </w:r>
            <w:r w:rsidRPr="00637F35">
              <w:t>Des mesures restent nécessaires pour l</w:t>
            </w:r>
            <w:r w:rsidR="00AA2481">
              <w:t>’</w:t>
            </w:r>
            <w:r w:rsidRPr="00637F35">
              <w:t>adoption du projet de loi relatif à l</w:t>
            </w:r>
            <w:r w:rsidR="00AA2481">
              <w:t>’</w:t>
            </w:r>
            <w:r>
              <w:t>instauration du m</w:t>
            </w:r>
            <w:r w:rsidRPr="00637F35">
              <w:t>écanisme</w:t>
            </w:r>
            <w:r w:rsidRPr="00332301">
              <w:t xml:space="preserve"> </w:t>
            </w:r>
            <w:r>
              <w:t>national de p</w:t>
            </w:r>
            <w:r w:rsidRPr="00637F35">
              <w:t>révention</w:t>
            </w:r>
            <w:r w:rsidRPr="00332301">
              <w:t xml:space="preserve"> et </w:t>
            </w:r>
            <w:r w:rsidR="00641C6B">
              <w:t xml:space="preserve">pour </w:t>
            </w:r>
            <w:r w:rsidR="00D929EE">
              <w:t>doter</w:t>
            </w:r>
            <w:r w:rsidR="00641C6B">
              <w:t xml:space="preserve"> l’institution du Défenseur des droits de l’homme </w:t>
            </w:r>
            <w:r w:rsidR="00D929EE">
              <w:t>des</w:t>
            </w:r>
            <w:r w:rsidR="00641C6B">
              <w:t xml:space="preserve"> ressources matérielles et humaines nécessaires à l’exercice des fonctions afférentes</w:t>
            </w:r>
            <w:r w:rsidRPr="00332301">
              <w:t>.</w:t>
            </w:r>
          </w:p>
        </w:tc>
      </w:tr>
      <w:tr w:rsidR="00550BCD" w:rsidRPr="004431E4" w:rsidTr="00AA2481">
        <w:tc>
          <w:tcPr>
            <w:tcW w:w="1985" w:type="dxa"/>
            <w:shd w:val="clear" w:color="auto" w:fill="auto"/>
          </w:tcPr>
          <w:p w:rsidR="00550BCD" w:rsidRPr="003804C0" w:rsidRDefault="00550BCD" w:rsidP="00FC7213">
            <w:pPr>
              <w:keepNext/>
              <w:spacing w:before="40" w:after="120"/>
              <w:ind w:right="57"/>
            </w:pPr>
            <w:r w:rsidRPr="0016515C">
              <w:rPr>
                <w:b/>
              </w:rPr>
              <w:t>Paragraphe 21:</w:t>
            </w:r>
            <w:r w:rsidRPr="00332301">
              <w:rPr>
                <w:b/>
                <w:i/>
              </w:rPr>
              <w:t xml:space="preserve"> </w:t>
            </w:r>
          </w:p>
        </w:tc>
        <w:tc>
          <w:tcPr>
            <w:tcW w:w="6521" w:type="dxa"/>
            <w:shd w:val="clear" w:color="auto" w:fill="auto"/>
          </w:tcPr>
          <w:p w:rsidR="00550BCD" w:rsidRPr="001C7EC5" w:rsidRDefault="00550BCD" w:rsidP="00FC7213">
            <w:pPr>
              <w:keepNext/>
              <w:spacing w:before="40" w:after="120"/>
              <w:ind w:right="57"/>
            </w:pPr>
            <w:r w:rsidRPr="0016515C">
              <w:rPr>
                <w:b/>
              </w:rPr>
              <w:t>L</w:t>
            </w:r>
            <w:r w:rsidR="00AA2481">
              <w:rPr>
                <w:b/>
              </w:rPr>
              <w:t>’</w:t>
            </w:r>
            <w:r w:rsidRPr="0016515C">
              <w:rPr>
                <w:b/>
              </w:rPr>
              <w:t>État partie devrait prendre des mesures pour préserver, dans la loi et dans la pratique, l</w:t>
            </w:r>
            <w:r w:rsidR="00AA2481">
              <w:rPr>
                <w:b/>
              </w:rPr>
              <w:t>’</w:t>
            </w:r>
            <w:r w:rsidRPr="0016515C">
              <w:rPr>
                <w:b/>
              </w:rPr>
              <w:t>indépendance de l</w:t>
            </w:r>
            <w:r w:rsidR="00AA2481">
              <w:rPr>
                <w:b/>
              </w:rPr>
              <w:t>’</w:t>
            </w:r>
            <w:r w:rsidRPr="0016515C">
              <w:rPr>
                <w:b/>
              </w:rPr>
              <w:t>appareil judiciaire et de son rôle en tant qu</w:t>
            </w:r>
            <w:r w:rsidR="00AA2481">
              <w:rPr>
                <w:b/>
              </w:rPr>
              <w:t>’</w:t>
            </w:r>
            <w:r w:rsidRPr="0016515C">
              <w:rPr>
                <w:b/>
              </w:rPr>
              <w:t>unique administrateur de la justice et pour assurer la compétence, l</w:t>
            </w:r>
            <w:r w:rsidR="00AA2481">
              <w:rPr>
                <w:b/>
              </w:rPr>
              <w:t>’</w:t>
            </w:r>
            <w:r w:rsidRPr="0016515C">
              <w:rPr>
                <w:b/>
              </w:rPr>
              <w:t>indépendance et l</w:t>
            </w:r>
            <w:r w:rsidR="00AA2481">
              <w:rPr>
                <w:b/>
              </w:rPr>
              <w:t>’</w:t>
            </w:r>
            <w:r w:rsidRPr="0016515C">
              <w:rPr>
                <w:b/>
              </w:rPr>
              <w:t>inamovibilité des juges. Il devrait en particulier agir pour faire disparaître toutes les formes d</w:t>
            </w:r>
            <w:r w:rsidR="00AA2481">
              <w:rPr>
                <w:b/>
              </w:rPr>
              <w:t>’</w:t>
            </w:r>
            <w:r w:rsidRPr="0016515C">
              <w:rPr>
                <w:b/>
              </w:rPr>
              <w:t>interférence avec le pouvoir judiciaire et veiller à ce que des enquêtes approfondies, indépendantes et impartiales soient rapidement menées sur toutes les allégations d</w:t>
            </w:r>
            <w:r w:rsidR="00AA2481">
              <w:rPr>
                <w:b/>
              </w:rPr>
              <w:t>’</w:t>
            </w:r>
            <w:r w:rsidRPr="0016515C">
              <w:rPr>
                <w:b/>
              </w:rPr>
              <w:t>ingérence, notamment par la corruption; il devrait faire en sorte que les responsables soient poursuivis et punis, y compris les juges qui peuvent être complices. L</w:t>
            </w:r>
            <w:r w:rsidR="00AA2481">
              <w:rPr>
                <w:b/>
              </w:rPr>
              <w:t>’</w:t>
            </w:r>
            <w:r w:rsidRPr="0016515C">
              <w:rPr>
                <w:b/>
              </w:rPr>
              <w:t>État partie devrait réexa</w:t>
            </w:r>
            <w:r>
              <w:rPr>
                <w:b/>
              </w:rPr>
              <w:t>miner les pouvoirs conférés au b</w:t>
            </w:r>
            <w:r w:rsidRPr="0016515C">
              <w:rPr>
                <w:b/>
              </w:rPr>
              <w:t>ureau du Procureur général de façon à garantir que ses services n</w:t>
            </w:r>
            <w:r w:rsidR="00AA2481">
              <w:rPr>
                <w:b/>
              </w:rPr>
              <w:t>’</w:t>
            </w:r>
            <w:r w:rsidRPr="0016515C">
              <w:rPr>
                <w:b/>
              </w:rPr>
              <w:t>interfèrent pas avec l</w:t>
            </w:r>
            <w:r w:rsidR="00AA2481">
              <w:rPr>
                <w:b/>
              </w:rPr>
              <w:t>’</w:t>
            </w:r>
            <w:r w:rsidRPr="0016515C">
              <w:rPr>
                <w:b/>
              </w:rPr>
              <w:t>indépendance du pouvoir judiciaire.</w:t>
            </w:r>
          </w:p>
        </w:tc>
      </w:tr>
      <w:tr w:rsidR="00550BCD" w:rsidRPr="004431E4" w:rsidTr="00AA2481">
        <w:tc>
          <w:tcPr>
            <w:tcW w:w="1985" w:type="dxa"/>
            <w:shd w:val="clear" w:color="auto" w:fill="auto"/>
          </w:tcPr>
          <w:p w:rsidR="00550BCD" w:rsidRPr="003804C0" w:rsidRDefault="00550BCD" w:rsidP="00FC7213">
            <w:pPr>
              <w:keepNext/>
              <w:spacing w:before="40" w:after="120"/>
              <w:ind w:right="57"/>
            </w:pPr>
            <w:r w:rsidRPr="0016515C">
              <w:t>Résumé</w:t>
            </w:r>
            <w:r>
              <w:t xml:space="preserve"> </w:t>
            </w:r>
            <w:r w:rsidRPr="0016515C">
              <w:t>réponse l</w:t>
            </w:r>
            <w:r w:rsidR="00AA2481">
              <w:t>’</w:t>
            </w:r>
            <w:r w:rsidRPr="0016515C">
              <w:t>État parti</w:t>
            </w:r>
            <w:r>
              <w:t>e</w:t>
            </w:r>
            <w:r w:rsidRPr="0016515C">
              <w:t>:</w:t>
            </w:r>
          </w:p>
        </w:tc>
        <w:tc>
          <w:tcPr>
            <w:tcW w:w="6521" w:type="dxa"/>
            <w:shd w:val="clear" w:color="auto" w:fill="auto"/>
          </w:tcPr>
          <w:p w:rsidR="00550BCD" w:rsidRPr="00AF3F04" w:rsidRDefault="00550BCD" w:rsidP="00FC7213">
            <w:pPr>
              <w:keepNext/>
              <w:spacing w:before="40" w:after="120"/>
              <w:ind w:right="57"/>
            </w:pPr>
            <w:r w:rsidRPr="005C7222">
              <w:rPr>
                <w:lang w:val="fr-FR"/>
              </w:rPr>
              <w:t>Les observations du Comité sur ce point sont incorrectes. Des mesures sont constamment mises en œuvre pour garantir l</w:t>
            </w:r>
            <w:r w:rsidR="00AA2481">
              <w:rPr>
                <w:lang w:val="fr-FR"/>
              </w:rPr>
              <w:t>’</w:t>
            </w:r>
            <w:r w:rsidRPr="005C7222">
              <w:rPr>
                <w:lang w:val="fr-FR"/>
              </w:rPr>
              <w:t>indépendance du système judiciaire:</w:t>
            </w:r>
            <w:r>
              <w:rPr>
                <w:lang w:val="fr-FR"/>
              </w:rPr>
              <w:t xml:space="preserve"> </w:t>
            </w:r>
          </w:p>
        </w:tc>
      </w:tr>
      <w:tr w:rsidR="00FC7213" w:rsidRPr="004431E4" w:rsidTr="00AA2481">
        <w:tc>
          <w:tcPr>
            <w:tcW w:w="1985" w:type="dxa"/>
            <w:shd w:val="clear" w:color="auto" w:fill="auto"/>
          </w:tcPr>
          <w:p w:rsidR="00FC7213" w:rsidRPr="0016515C" w:rsidRDefault="00FC7213" w:rsidP="00FC7213">
            <w:pPr>
              <w:spacing w:before="40" w:after="120"/>
              <w:ind w:right="57"/>
            </w:pPr>
          </w:p>
        </w:tc>
        <w:tc>
          <w:tcPr>
            <w:tcW w:w="6521" w:type="dxa"/>
            <w:shd w:val="clear" w:color="auto" w:fill="auto"/>
          </w:tcPr>
          <w:p w:rsidR="00FC7213" w:rsidRPr="005C7222" w:rsidRDefault="00FC7213" w:rsidP="00FC7213">
            <w:pPr>
              <w:spacing w:before="40" w:after="120"/>
              <w:ind w:left="284" w:right="57" w:hanging="284"/>
              <w:rPr>
                <w:lang w:val="fr-FR"/>
              </w:rPr>
            </w:pPr>
            <w:r>
              <w:rPr>
                <w:lang w:val="fr-FR"/>
              </w:rPr>
              <w:t>i)</w:t>
            </w:r>
            <w:r>
              <w:rPr>
                <w:lang w:val="fr-FR"/>
              </w:rPr>
              <w:tab/>
            </w:r>
            <w:r w:rsidRPr="005C7222">
              <w:rPr>
                <w:lang w:val="fr-FR"/>
              </w:rPr>
              <w:t xml:space="preserve">Transfert des fonctions relatives aux activités du système judiciaire à </w:t>
            </w:r>
            <w:r>
              <w:rPr>
                <w:lang w:val="fr-FR"/>
              </w:rPr>
              <w:t>«</w:t>
            </w:r>
            <w:r w:rsidRPr="005C7222">
              <w:rPr>
                <w:lang w:val="fr-FR"/>
              </w:rPr>
              <w:t>une institution</w:t>
            </w:r>
            <w:r>
              <w:rPr>
                <w:lang w:val="fr-FR"/>
              </w:rPr>
              <w:t>» dépendant de la Cour s</w:t>
            </w:r>
            <w:r w:rsidRPr="005C7222">
              <w:rPr>
                <w:lang w:val="fr-FR"/>
              </w:rPr>
              <w:t>uprême. Le Haut Conseil judiciaire est responsable des questions de personnel et garantit l</w:t>
            </w:r>
            <w:r>
              <w:rPr>
                <w:lang w:val="fr-FR"/>
              </w:rPr>
              <w:t>’indépendance des juges;</w:t>
            </w:r>
          </w:p>
        </w:tc>
      </w:tr>
      <w:tr w:rsidR="00AF3F04" w:rsidRPr="004431E4" w:rsidTr="00AA2481">
        <w:tc>
          <w:tcPr>
            <w:tcW w:w="1985" w:type="dxa"/>
            <w:shd w:val="clear" w:color="auto" w:fill="auto"/>
          </w:tcPr>
          <w:p w:rsidR="00AF3F04" w:rsidRPr="0016515C" w:rsidRDefault="00AF3F04" w:rsidP="00FC7213">
            <w:pPr>
              <w:spacing w:before="40" w:after="120"/>
              <w:ind w:right="57"/>
            </w:pPr>
          </w:p>
        </w:tc>
        <w:tc>
          <w:tcPr>
            <w:tcW w:w="6521" w:type="dxa"/>
            <w:shd w:val="clear" w:color="auto" w:fill="auto"/>
          </w:tcPr>
          <w:p w:rsidR="00AF3F04" w:rsidRPr="005C7222" w:rsidRDefault="00AF3F04" w:rsidP="001C7EC5">
            <w:pPr>
              <w:spacing w:before="40" w:after="120"/>
              <w:ind w:left="284" w:right="57" w:hanging="284"/>
              <w:rPr>
                <w:lang w:val="fr-FR"/>
              </w:rPr>
            </w:pPr>
            <w:r>
              <w:rPr>
                <w:lang w:val="fr-FR"/>
              </w:rPr>
              <w:t>ii)</w:t>
            </w:r>
            <w:r>
              <w:rPr>
                <w:lang w:val="fr-FR"/>
              </w:rPr>
              <w:tab/>
            </w:r>
            <w:r w:rsidRPr="005C7222">
              <w:rPr>
                <w:lang w:val="fr-FR"/>
              </w:rPr>
              <w:t>La sélection des juges est fondée sur un examen des compétences et sur le principe de non-discrimination. Le Sénat prend la décision finale pour la n</w:t>
            </w:r>
            <w:r>
              <w:rPr>
                <w:lang w:val="fr-FR"/>
              </w:rPr>
              <w:t>omination des juges de la Cour s</w:t>
            </w:r>
            <w:r w:rsidRPr="005C7222">
              <w:rPr>
                <w:lang w:val="fr-FR"/>
              </w:rPr>
              <w:t>uprême</w:t>
            </w:r>
            <w:r>
              <w:rPr>
                <w:lang w:val="fr-FR"/>
              </w:rPr>
              <w:t>;</w:t>
            </w:r>
          </w:p>
        </w:tc>
      </w:tr>
      <w:tr w:rsidR="00AF3F04" w:rsidRPr="004431E4" w:rsidTr="00AA2481">
        <w:tc>
          <w:tcPr>
            <w:tcW w:w="1985" w:type="dxa"/>
            <w:shd w:val="clear" w:color="auto" w:fill="auto"/>
          </w:tcPr>
          <w:p w:rsidR="00AF3F04" w:rsidRPr="0016515C" w:rsidRDefault="00AF3F04" w:rsidP="00FC7213">
            <w:pPr>
              <w:spacing w:before="40" w:after="120"/>
              <w:ind w:right="57"/>
            </w:pPr>
          </w:p>
        </w:tc>
        <w:tc>
          <w:tcPr>
            <w:tcW w:w="6521" w:type="dxa"/>
            <w:shd w:val="clear" w:color="auto" w:fill="auto"/>
          </w:tcPr>
          <w:p w:rsidR="00AF3F04" w:rsidRPr="005C7222" w:rsidRDefault="00AF3F04" w:rsidP="001C7EC5">
            <w:pPr>
              <w:spacing w:before="40" w:after="120"/>
              <w:ind w:left="284" w:right="57" w:hanging="284"/>
              <w:rPr>
                <w:lang w:val="fr-FR"/>
              </w:rPr>
            </w:pPr>
            <w:r w:rsidRPr="005C7222">
              <w:rPr>
                <w:lang w:val="fr-FR"/>
              </w:rPr>
              <w:t>i</w:t>
            </w:r>
            <w:r w:rsidR="0065588E">
              <w:rPr>
                <w:lang w:val="fr-FR"/>
              </w:rPr>
              <w:t xml:space="preserve">ii) </w:t>
            </w:r>
            <w:r w:rsidRPr="005C7222">
              <w:rPr>
                <w:lang w:val="fr-FR"/>
              </w:rPr>
              <w:t>Le rapport décrit les activités de la Cour suprême pour l</w:t>
            </w:r>
            <w:r>
              <w:rPr>
                <w:lang w:val="fr-FR"/>
              </w:rPr>
              <w:t>’</w:t>
            </w:r>
            <w:r w:rsidRPr="005C7222">
              <w:rPr>
                <w:lang w:val="fr-FR"/>
              </w:rPr>
              <w:t>enquête et la prévention des cas de corruption au sein du système judiciaire</w:t>
            </w:r>
            <w:r>
              <w:rPr>
                <w:lang w:val="fr-FR"/>
              </w:rPr>
              <w:t>;</w:t>
            </w:r>
          </w:p>
        </w:tc>
      </w:tr>
      <w:tr w:rsidR="00AF3F04" w:rsidRPr="004431E4" w:rsidTr="00AA2481">
        <w:tc>
          <w:tcPr>
            <w:tcW w:w="1985" w:type="dxa"/>
            <w:shd w:val="clear" w:color="auto" w:fill="auto"/>
          </w:tcPr>
          <w:p w:rsidR="00AF3F04" w:rsidRPr="0016515C" w:rsidRDefault="00AF3F04" w:rsidP="00FC7213">
            <w:pPr>
              <w:spacing w:before="40" w:after="120"/>
              <w:ind w:right="57"/>
            </w:pPr>
          </w:p>
        </w:tc>
        <w:tc>
          <w:tcPr>
            <w:tcW w:w="6521" w:type="dxa"/>
            <w:shd w:val="clear" w:color="auto" w:fill="auto"/>
          </w:tcPr>
          <w:p w:rsidR="001D6D1E" w:rsidRDefault="00AF3F04" w:rsidP="001C7EC5">
            <w:pPr>
              <w:spacing w:before="40" w:after="120"/>
              <w:ind w:left="284" w:right="57" w:hanging="284"/>
              <w:rPr>
                <w:lang w:val="fr-FR"/>
              </w:rPr>
            </w:pPr>
            <w:r>
              <w:rPr>
                <w:lang w:val="fr-FR"/>
              </w:rPr>
              <w:t>iv)</w:t>
            </w:r>
            <w:r>
              <w:rPr>
                <w:lang w:val="fr-FR"/>
              </w:rPr>
              <w:tab/>
              <w:t>Le Procureur g</w:t>
            </w:r>
            <w:r w:rsidRPr="005C7222">
              <w:rPr>
                <w:lang w:val="fr-FR"/>
              </w:rPr>
              <w:t>énéral applique son pouvoir de suspension de la décision d</w:t>
            </w:r>
            <w:r>
              <w:rPr>
                <w:lang w:val="fr-FR"/>
              </w:rPr>
              <w:t>’un tribunal uniquement dans 0,</w:t>
            </w:r>
            <w:r w:rsidRPr="005C7222">
              <w:rPr>
                <w:lang w:val="fr-FR"/>
              </w:rPr>
              <w:t>005</w:t>
            </w:r>
            <w:r>
              <w:rPr>
                <w:lang w:val="fr-FR"/>
              </w:rPr>
              <w:t> </w:t>
            </w:r>
            <w:r w:rsidRPr="005C7222">
              <w:rPr>
                <w:lang w:val="fr-FR"/>
              </w:rPr>
              <w:t xml:space="preserve">% des cas concernant des questions comme les évictions illégales, ou les demandes injustifiées de paiement. </w:t>
            </w:r>
          </w:p>
          <w:p w:rsidR="00AD06EE" w:rsidRPr="005C7222" w:rsidRDefault="00F76EAA" w:rsidP="001C7EC5">
            <w:pPr>
              <w:keepNext/>
              <w:spacing w:before="40" w:after="120"/>
              <w:ind w:right="57"/>
              <w:rPr>
                <w:lang w:val="fr-FR"/>
              </w:rPr>
            </w:pPr>
            <w:r>
              <w:rPr>
                <w:lang w:val="fr-FR"/>
              </w:rPr>
              <w:t>Informations supplémentaires fourni</w:t>
            </w:r>
            <w:r w:rsidR="0087784B">
              <w:rPr>
                <w:lang w:val="fr-FR"/>
              </w:rPr>
              <w:t xml:space="preserve">es </w:t>
            </w:r>
            <w:r w:rsidR="00703D6D">
              <w:rPr>
                <w:lang w:val="fr-FR"/>
              </w:rPr>
              <w:t xml:space="preserve">le </w:t>
            </w:r>
            <w:r w:rsidR="0087784B">
              <w:rPr>
                <w:lang w:val="fr-FR"/>
              </w:rPr>
              <w:t>25/3/</w:t>
            </w:r>
            <w:r>
              <w:rPr>
                <w:lang w:val="fr-FR"/>
              </w:rPr>
              <w:t>2013: la loi sur le Conseil Judiciaire Supr</w:t>
            </w:r>
            <w:r w:rsidR="00C541E7">
              <w:rPr>
                <w:lang w:val="fr-FR"/>
              </w:rPr>
              <w:t>ê</w:t>
            </w:r>
            <w:r>
              <w:rPr>
                <w:lang w:val="fr-FR"/>
              </w:rPr>
              <w:t>me et la loi constitutionnelle ont été adoptées en février 2012. Elles renforcent les pouvoirs du Conseil, les activités de formation pour les juges, les pouvoirs de cours locales et renforcent l’indépendance et l’immunité des juges.</w:t>
            </w:r>
            <w:r w:rsidR="00C541E7">
              <w:rPr>
                <w:lang w:val="fr-FR"/>
              </w:rPr>
              <w:t xml:space="preserve"> </w:t>
            </w:r>
          </w:p>
        </w:tc>
      </w:tr>
      <w:tr w:rsidR="00550BCD" w:rsidRPr="004431E4" w:rsidTr="00AA2481">
        <w:tc>
          <w:tcPr>
            <w:tcW w:w="1985" w:type="dxa"/>
            <w:shd w:val="clear" w:color="auto" w:fill="auto"/>
          </w:tcPr>
          <w:p w:rsidR="00550BCD" w:rsidRPr="00427268" w:rsidRDefault="00550BCD" w:rsidP="00FC7213">
            <w:pPr>
              <w:spacing w:before="40" w:after="120"/>
              <w:ind w:right="57"/>
              <w:rPr>
                <w:b/>
                <w:u w:val="single"/>
              </w:rPr>
            </w:pPr>
            <w:r w:rsidRPr="0016515C">
              <w:t xml:space="preserve">Informations </w:t>
            </w:r>
            <w:r w:rsidR="00AA2481">
              <w:t>d’</w:t>
            </w:r>
            <w:r w:rsidRPr="0016515C">
              <w:t>ONG:</w:t>
            </w:r>
            <w:r w:rsidRPr="00427268">
              <w:rPr>
                <w:b/>
                <w:u w:val="single"/>
              </w:rPr>
              <w:t xml:space="preserve"> </w:t>
            </w:r>
          </w:p>
        </w:tc>
        <w:tc>
          <w:tcPr>
            <w:tcW w:w="6521" w:type="dxa"/>
            <w:shd w:val="clear" w:color="auto" w:fill="auto"/>
          </w:tcPr>
          <w:p w:rsidR="00550BCD" w:rsidRPr="005C7222" w:rsidRDefault="00550BCD" w:rsidP="00FC7213">
            <w:pPr>
              <w:spacing w:before="40" w:after="120"/>
              <w:ind w:right="57"/>
              <w:rPr>
                <w:lang w:val="fr-FR"/>
              </w:rPr>
            </w:pPr>
            <w:r w:rsidRPr="005C7222">
              <w:rPr>
                <w:lang w:val="fr-FR"/>
              </w:rPr>
              <w:t>Aucun progrès n</w:t>
            </w:r>
            <w:r w:rsidR="00AA2481">
              <w:rPr>
                <w:lang w:val="fr-FR"/>
              </w:rPr>
              <w:t>’</w:t>
            </w:r>
            <w:r w:rsidRPr="005C7222">
              <w:rPr>
                <w:lang w:val="fr-FR"/>
              </w:rPr>
              <w:t xml:space="preserve">a suivi la loi de 2011 </w:t>
            </w:r>
            <w:r>
              <w:rPr>
                <w:lang w:val="fr-FR"/>
              </w:rPr>
              <w:t>«</w:t>
            </w:r>
            <w:r w:rsidRPr="005C7222">
              <w:rPr>
                <w:lang w:val="fr-FR"/>
              </w:rPr>
              <w:t>sur le pouvoir ju</w:t>
            </w:r>
            <w:r>
              <w:rPr>
                <w:lang w:val="fr-FR"/>
              </w:rPr>
              <w:t>diciaire et le statut des juges»</w:t>
            </w:r>
            <w:r w:rsidRPr="005C7222">
              <w:rPr>
                <w:lang w:val="fr-FR"/>
              </w:rPr>
              <w:t xml:space="preserve">. </w:t>
            </w:r>
          </w:p>
        </w:tc>
      </w:tr>
      <w:tr w:rsidR="00550BCD" w:rsidRPr="004431E4" w:rsidTr="00FC7213">
        <w:tc>
          <w:tcPr>
            <w:tcW w:w="1985" w:type="dxa"/>
            <w:shd w:val="clear" w:color="auto" w:fill="auto"/>
          </w:tcPr>
          <w:p w:rsidR="00550BCD" w:rsidRPr="00427268" w:rsidRDefault="00550BCD" w:rsidP="00FC7213">
            <w:pPr>
              <w:spacing w:before="40" w:after="120"/>
              <w:ind w:right="57"/>
              <w:rPr>
                <w:b/>
                <w:u w:val="single"/>
              </w:rPr>
            </w:pPr>
            <w:r w:rsidRPr="0016515C">
              <w:t>Évaluation Comité:</w:t>
            </w:r>
            <w:r w:rsidRPr="00427268">
              <w:rPr>
                <w:b/>
                <w:u w:val="single"/>
              </w:rPr>
              <w:t xml:space="preserve"> </w:t>
            </w:r>
          </w:p>
        </w:tc>
        <w:tc>
          <w:tcPr>
            <w:tcW w:w="6521" w:type="dxa"/>
            <w:shd w:val="clear" w:color="auto" w:fill="auto"/>
          </w:tcPr>
          <w:p w:rsidR="00550BCD" w:rsidRPr="005C7222" w:rsidRDefault="00550BCD" w:rsidP="007F62B8">
            <w:pPr>
              <w:spacing w:before="40" w:after="120"/>
              <w:ind w:right="57"/>
              <w:rPr>
                <w:lang w:val="fr-FR"/>
              </w:rPr>
            </w:pPr>
            <w:r w:rsidRPr="00637F35">
              <w:rPr>
                <w:b/>
              </w:rPr>
              <w:t>[</w:t>
            </w:r>
            <w:r w:rsidR="007F62B8">
              <w:rPr>
                <w:b/>
              </w:rPr>
              <w:t>B2</w:t>
            </w:r>
            <w:r w:rsidRPr="00637F35">
              <w:rPr>
                <w:b/>
              </w:rPr>
              <w:t xml:space="preserve">] </w:t>
            </w:r>
            <w:r w:rsidR="007F62B8" w:rsidRPr="007F62B8">
              <w:t>Des mesures supplémentaires restent nécessaires pour renforcer l’indépendance de l’appareil judiciaire et de son rôle en tant qu’unique administrateur de la justice et pour assurer la compétence, l’indépendance et l’inamovibilité des juges</w:t>
            </w:r>
            <w:r w:rsidR="007F62B8">
              <w:t>.</w:t>
            </w:r>
            <w:r w:rsidR="007F62B8">
              <w:rPr>
                <w:b/>
              </w:rPr>
              <w:t xml:space="preserve"> </w:t>
            </w:r>
            <w:r w:rsidRPr="005C7222">
              <w:rPr>
                <w:lang w:val="fr-FR"/>
              </w:rPr>
              <w:t>Le Comité réitère sa recommandation et reste préoccupé par l</w:t>
            </w:r>
            <w:r w:rsidR="00AA2481">
              <w:rPr>
                <w:lang w:val="fr-FR"/>
              </w:rPr>
              <w:t>’</w:t>
            </w:r>
            <w:r w:rsidRPr="005C7222">
              <w:rPr>
                <w:lang w:val="fr-FR"/>
              </w:rPr>
              <w:t>info</w:t>
            </w:r>
            <w:r>
              <w:rPr>
                <w:lang w:val="fr-FR"/>
              </w:rPr>
              <w:t>rmation reçue indiquant que 400 </w:t>
            </w:r>
            <w:r w:rsidRPr="005C7222">
              <w:rPr>
                <w:lang w:val="fr-FR"/>
              </w:rPr>
              <w:t xml:space="preserve">juges ont été démis de leurs fonctions au cours des deux dernières années. </w:t>
            </w:r>
          </w:p>
        </w:tc>
      </w:tr>
      <w:tr w:rsidR="00550BCD" w:rsidRPr="00A61432" w:rsidTr="00FC7213">
        <w:tc>
          <w:tcPr>
            <w:tcW w:w="1985" w:type="dxa"/>
            <w:shd w:val="clear" w:color="auto" w:fill="auto"/>
          </w:tcPr>
          <w:p w:rsidR="00550BCD" w:rsidRPr="00A61432" w:rsidRDefault="00550BCD" w:rsidP="00FC7213">
            <w:pPr>
              <w:spacing w:before="40" w:after="120" w:line="200" w:lineRule="atLeast"/>
              <w:ind w:right="57"/>
              <w:rPr>
                <w:b/>
              </w:rPr>
            </w:pPr>
            <w:r w:rsidRPr="00A61432">
              <w:rPr>
                <w:b/>
              </w:rPr>
              <w:t xml:space="preserve">Paragraphe 25: </w:t>
            </w:r>
          </w:p>
        </w:tc>
        <w:tc>
          <w:tcPr>
            <w:tcW w:w="6521" w:type="dxa"/>
            <w:shd w:val="clear" w:color="auto" w:fill="auto"/>
          </w:tcPr>
          <w:p w:rsidR="00550BCD" w:rsidRPr="00A61432" w:rsidRDefault="00550BCD" w:rsidP="00FC7213">
            <w:pPr>
              <w:spacing w:before="40" w:after="120" w:line="200" w:lineRule="atLeast"/>
              <w:ind w:right="57"/>
              <w:rPr>
                <w:b/>
              </w:rPr>
            </w:pPr>
            <w:r w:rsidRPr="00A61432">
              <w:rPr>
                <w:b/>
              </w:rPr>
              <w:t>L</w:t>
            </w:r>
            <w:r w:rsidR="00AA2481">
              <w:rPr>
                <w:b/>
              </w:rPr>
              <w:t>’</w:t>
            </w:r>
            <w:r w:rsidRPr="00A61432">
              <w:rPr>
                <w:b/>
              </w:rPr>
              <w:t>État partie devrait veiller à ce que les journalistes, les défenseurs des droits de l</w:t>
            </w:r>
            <w:r w:rsidR="00AA2481">
              <w:rPr>
                <w:b/>
              </w:rPr>
              <w:t>’</w:t>
            </w:r>
            <w:r w:rsidRPr="00A61432">
              <w:rPr>
                <w:b/>
              </w:rPr>
              <w:t>homme et les particuliers soient en mesure d</w:t>
            </w:r>
            <w:r w:rsidR="00AA2481">
              <w:rPr>
                <w:b/>
              </w:rPr>
              <w:t>’</w:t>
            </w:r>
            <w:r w:rsidRPr="00A61432">
              <w:rPr>
                <w:b/>
              </w:rPr>
              <w:t>exercer sans entrave le droit à la liberté d</w:t>
            </w:r>
            <w:r w:rsidR="00AA2481">
              <w:rPr>
                <w:b/>
              </w:rPr>
              <w:t>’</w:t>
            </w:r>
            <w:r w:rsidRPr="00A61432">
              <w:rPr>
                <w:b/>
              </w:rPr>
              <w:t xml:space="preserve">expression, dans le </w:t>
            </w:r>
            <w:r w:rsidR="00AF3F04">
              <w:rPr>
                <w:b/>
              </w:rPr>
              <w:t>respect du Pacte. À cette </w:t>
            </w:r>
            <w:r>
              <w:rPr>
                <w:b/>
              </w:rPr>
              <w:t>fin, l</w:t>
            </w:r>
            <w:r w:rsidR="00AA2481">
              <w:rPr>
                <w:b/>
              </w:rPr>
              <w:t>’</w:t>
            </w:r>
            <w:r w:rsidRPr="00A61432">
              <w:rPr>
                <w:b/>
              </w:rPr>
              <w:t>État partie devrait réviser sa législation relative à la diffamation et aux propos insultants de façon à la rendre entièrement conforme aux dispositions du Pacte. De plus, il devrait renoncer à u</w:t>
            </w:r>
            <w:r w:rsidR="00FC7213">
              <w:rPr>
                <w:b/>
              </w:rPr>
              <w:t>tiliser la </w:t>
            </w:r>
            <w:r w:rsidRPr="00A61432">
              <w:rPr>
                <w:b/>
              </w:rPr>
              <w:t>loi relative à la diffamation à seule fin de harceler ou d</w:t>
            </w:r>
            <w:r w:rsidR="00AA2481">
              <w:rPr>
                <w:b/>
              </w:rPr>
              <w:t>’</w:t>
            </w:r>
            <w:r w:rsidRPr="00A61432">
              <w:rPr>
                <w:b/>
              </w:rPr>
              <w:t>intimider des particuliers, des journalistes et des défenseurs des droits de l</w:t>
            </w:r>
            <w:r w:rsidR="00AA2481">
              <w:rPr>
                <w:b/>
              </w:rPr>
              <w:t>’</w:t>
            </w:r>
            <w:r w:rsidR="00AF3F04">
              <w:rPr>
                <w:b/>
              </w:rPr>
              <w:t>homme. Ainsi </w:t>
            </w:r>
            <w:r w:rsidRPr="00A61432">
              <w:rPr>
                <w:b/>
              </w:rPr>
              <w:t>toute restriction à l</w:t>
            </w:r>
            <w:r w:rsidR="00AA2481">
              <w:rPr>
                <w:b/>
              </w:rPr>
              <w:t>’</w:t>
            </w:r>
            <w:r w:rsidRPr="00A61432">
              <w:rPr>
                <w:b/>
              </w:rPr>
              <w:t>exercice de la liberté d</w:t>
            </w:r>
            <w:r w:rsidR="00AA2481">
              <w:rPr>
                <w:b/>
              </w:rPr>
              <w:t>’</w:t>
            </w:r>
            <w:r w:rsidRPr="00A61432">
              <w:rPr>
                <w:b/>
              </w:rPr>
              <w:t xml:space="preserve">expression devrait satisfaire aux conditions strictes énoncées au paragraphe </w:t>
            </w:r>
            <w:r w:rsidR="00AF3F04">
              <w:rPr>
                <w:b/>
              </w:rPr>
              <w:t> </w:t>
            </w:r>
            <w:r w:rsidRPr="00A61432">
              <w:rPr>
                <w:b/>
              </w:rPr>
              <w:t>3 de l</w:t>
            </w:r>
            <w:r w:rsidR="00AA2481">
              <w:rPr>
                <w:b/>
              </w:rPr>
              <w:t>’</w:t>
            </w:r>
            <w:r w:rsidR="00AF3F04">
              <w:rPr>
                <w:b/>
              </w:rPr>
              <w:t>article </w:t>
            </w:r>
            <w:r w:rsidRPr="00A61432">
              <w:rPr>
                <w:b/>
              </w:rPr>
              <w:t>19 du Pacte.</w:t>
            </w:r>
          </w:p>
        </w:tc>
      </w:tr>
      <w:tr w:rsidR="00BC5967" w:rsidRPr="004431E4" w:rsidTr="00FC7213">
        <w:tc>
          <w:tcPr>
            <w:tcW w:w="1985" w:type="dxa"/>
            <w:shd w:val="clear" w:color="auto" w:fill="auto"/>
          </w:tcPr>
          <w:p w:rsidR="00BC5967" w:rsidRPr="00B45418" w:rsidRDefault="00BC5967" w:rsidP="00703D6D">
            <w:pPr>
              <w:spacing w:before="40" w:after="120"/>
              <w:ind w:right="57"/>
            </w:pPr>
            <w:r w:rsidRPr="009E7352">
              <w:t>Résumé réponse l’État partie:</w:t>
            </w:r>
          </w:p>
        </w:tc>
        <w:tc>
          <w:tcPr>
            <w:tcW w:w="6521" w:type="dxa"/>
            <w:shd w:val="clear" w:color="auto" w:fill="auto"/>
          </w:tcPr>
          <w:p w:rsidR="00BC5967" w:rsidRPr="00B45418" w:rsidRDefault="00BC5967" w:rsidP="00FC7213">
            <w:pPr>
              <w:spacing w:before="40" w:after="120"/>
              <w:ind w:right="57"/>
            </w:pPr>
            <w:r>
              <w:rPr>
                <w:lang w:val="fr-FR"/>
              </w:rPr>
              <w:t>La loi du 21</w:t>
            </w:r>
            <w:r w:rsidR="00703D6D">
              <w:rPr>
                <w:lang w:val="fr-FR"/>
              </w:rPr>
              <w:t>/1/</w:t>
            </w:r>
            <w:r w:rsidRPr="005C7222">
              <w:rPr>
                <w:lang w:val="fr-FR"/>
              </w:rPr>
              <w:t>11 place la diffamation et l</w:t>
            </w:r>
            <w:r>
              <w:rPr>
                <w:lang w:val="fr-FR"/>
              </w:rPr>
              <w:t>’</w:t>
            </w:r>
            <w:r w:rsidRPr="005C7222">
              <w:rPr>
                <w:lang w:val="fr-FR"/>
              </w:rPr>
              <w:t xml:space="preserve">insulte dans la section relative aux </w:t>
            </w:r>
            <w:r>
              <w:rPr>
                <w:lang w:val="fr-FR"/>
              </w:rPr>
              <w:t xml:space="preserve">atteintes aux </w:t>
            </w:r>
            <w:r w:rsidRPr="005C7222">
              <w:rPr>
                <w:lang w:val="fr-FR"/>
              </w:rPr>
              <w:t>personnes pour protéger l</w:t>
            </w:r>
            <w:r>
              <w:rPr>
                <w:lang w:val="fr-FR"/>
              </w:rPr>
              <w:t>’</w:t>
            </w:r>
            <w:r w:rsidRPr="005C7222">
              <w:rPr>
                <w:lang w:val="fr-FR"/>
              </w:rPr>
              <w:t>honneur et la dignité de tous contre les activités illégale</w:t>
            </w:r>
            <w:r>
              <w:rPr>
                <w:lang w:val="fr-FR"/>
              </w:rPr>
              <w:t>s. La sanction de six</w:t>
            </w:r>
            <w:r w:rsidRPr="005C7222">
              <w:rPr>
                <w:lang w:val="fr-FR"/>
              </w:rPr>
              <w:t xml:space="preserve"> mois d</w:t>
            </w:r>
            <w:r>
              <w:rPr>
                <w:lang w:val="fr-FR"/>
              </w:rPr>
              <w:t>’</w:t>
            </w:r>
            <w:r w:rsidRPr="005C7222">
              <w:rPr>
                <w:lang w:val="fr-FR"/>
              </w:rPr>
              <w:t>emprisonnement pour diffamation publique a été supprimée. D</w:t>
            </w:r>
            <w:r>
              <w:rPr>
                <w:lang w:val="fr-FR"/>
              </w:rPr>
              <w:t>’</w:t>
            </w:r>
            <w:r w:rsidRPr="005C7222">
              <w:rPr>
                <w:lang w:val="fr-FR"/>
              </w:rPr>
              <w:t>autres réformes adoptées pour renforcer la liberté d</w:t>
            </w:r>
            <w:r>
              <w:rPr>
                <w:lang w:val="fr-FR"/>
              </w:rPr>
              <w:t>’</w:t>
            </w:r>
            <w:r w:rsidRPr="005C7222">
              <w:rPr>
                <w:lang w:val="fr-FR"/>
              </w:rPr>
              <w:t>expression sont mentionnées.</w:t>
            </w:r>
          </w:p>
        </w:tc>
      </w:tr>
      <w:tr w:rsidR="00BC5967" w:rsidRPr="004431E4" w:rsidTr="00A23D20">
        <w:tc>
          <w:tcPr>
            <w:tcW w:w="1985" w:type="dxa"/>
            <w:shd w:val="clear" w:color="auto" w:fill="auto"/>
          </w:tcPr>
          <w:p w:rsidR="00BC5967" w:rsidRDefault="00BC5967" w:rsidP="00FC7213">
            <w:pPr>
              <w:spacing w:before="40" w:after="120"/>
              <w:ind w:right="57"/>
            </w:pPr>
            <w:r>
              <w:t>Informations d’ONG:</w:t>
            </w:r>
          </w:p>
        </w:tc>
        <w:tc>
          <w:tcPr>
            <w:tcW w:w="6521" w:type="dxa"/>
            <w:shd w:val="clear" w:color="auto" w:fill="auto"/>
          </w:tcPr>
          <w:p w:rsidR="00BC5967" w:rsidRPr="001036B5" w:rsidRDefault="00BC5967" w:rsidP="00FC7213">
            <w:pPr>
              <w:spacing w:before="40" w:after="120"/>
              <w:ind w:right="57"/>
            </w:pPr>
            <w:r w:rsidRPr="005C7222">
              <w:rPr>
                <w:lang w:val="fr-FR"/>
              </w:rPr>
              <w:t>La tendance actuelle consiste à poursuivre les journalistes, défenseurs des droits de l</w:t>
            </w:r>
            <w:r>
              <w:rPr>
                <w:lang w:val="fr-FR"/>
              </w:rPr>
              <w:t>’</w:t>
            </w:r>
            <w:r w:rsidRPr="005C7222">
              <w:rPr>
                <w:lang w:val="fr-FR"/>
              </w:rPr>
              <w:t>homme ou activistes politiques pour incitation à la haine sociale lors d</w:t>
            </w:r>
            <w:r>
              <w:rPr>
                <w:lang w:val="fr-FR"/>
              </w:rPr>
              <w:t>’</w:t>
            </w:r>
            <w:r w:rsidRPr="005C7222">
              <w:rPr>
                <w:lang w:val="fr-FR"/>
              </w:rPr>
              <w:t>interventions publique</w:t>
            </w:r>
            <w:r>
              <w:rPr>
                <w:lang w:val="fr-FR"/>
              </w:rPr>
              <w:t>s</w:t>
            </w:r>
            <w:r w:rsidRPr="005C7222">
              <w:rPr>
                <w:lang w:val="fr-FR"/>
              </w:rPr>
              <w:t>. Des exemples sont donnés.</w:t>
            </w:r>
          </w:p>
        </w:tc>
      </w:tr>
      <w:tr w:rsidR="00BC5967" w:rsidRPr="004431E4" w:rsidTr="00A23D20">
        <w:tc>
          <w:tcPr>
            <w:tcW w:w="1985" w:type="dxa"/>
            <w:shd w:val="clear" w:color="auto" w:fill="auto"/>
          </w:tcPr>
          <w:p w:rsidR="00BC5967" w:rsidRDefault="00BC5967" w:rsidP="00FC7213">
            <w:pPr>
              <w:spacing w:before="40" w:after="120"/>
              <w:ind w:right="57"/>
            </w:pPr>
            <w:r w:rsidRPr="00D818DD">
              <w:t>Évaluation Comité:</w:t>
            </w:r>
          </w:p>
        </w:tc>
        <w:tc>
          <w:tcPr>
            <w:tcW w:w="6521" w:type="dxa"/>
            <w:shd w:val="clear" w:color="auto" w:fill="auto"/>
          </w:tcPr>
          <w:p w:rsidR="00BC5967" w:rsidRPr="001D5B38" w:rsidRDefault="00BC5967" w:rsidP="00FC7213">
            <w:pPr>
              <w:spacing w:before="40" w:after="120"/>
              <w:ind w:right="57"/>
            </w:pPr>
            <w:r>
              <w:rPr>
                <w:b/>
              </w:rPr>
              <w:t>[C1</w:t>
            </w:r>
            <w:r w:rsidR="00FC7213">
              <w:rPr>
                <w:b/>
              </w:rPr>
              <w:t xml:space="preserve">] </w:t>
            </w:r>
            <w:r w:rsidRPr="007B5C30">
              <w:rPr>
                <w:bCs/>
                <w:lang w:val="fr-FR" w:eastAsia="es-ES"/>
              </w:rPr>
              <w:t>Aucun</w:t>
            </w:r>
            <w:r>
              <w:rPr>
                <w:bCs/>
                <w:lang w:val="fr-FR" w:eastAsia="es-ES"/>
              </w:rPr>
              <w:t>e modification n’a été adoptée</w:t>
            </w:r>
            <w:r w:rsidRPr="007B5C30">
              <w:rPr>
                <w:bCs/>
                <w:lang w:val="fr-FR" w:eastAsia="es-ES"/>
              </w:rPr>
              <w:t>. Le Comité réitère sa recommandation</w:t>
            </w:r>
            <w:r>
              <w:rPr>
                <w:bCs/>
                <w:lang w:val="fr-FR" w:eastAsia="es-ES"/>
              </w:rPr>
              <w:t>.</w:t>
            </w:r>
          </w:p>
        </w:tc>
      </w:tr>
      <w:tr w:rsidR="00BC5967" w:rsidRPr="004431E4" w:rsidTr="00A23D20">
        <w:tc>
          <w:tcPr>
            <w:tcW w:w="1985" w:type="dxa"/>
            <w:shd w:val="clear" w:color="auto" w:fill="auto"/>
          </w:tcPr>
          <w:p w:rsidR="00BC5967" w:rsidRDefault="00BC5967" w:rsidP="00FC7213">
            <w:pPr>
              <w:spacing w:before="40" w:after="120"/>
              <w:ind w:right="57"/>
            </w:pPr>
            <w:r>
              <w:rPr>
                <w:b/>
              </w:rPr>
              <w:t>Paragraphe 26</w:t>
            </w:r>
            <w:r w:rsidRPr="00D96C77">
              <w:rPr>
                <w:b/>
              </w:rPr>
              <w:t>:</w:t>
            </w:r>
          </w:p>
        </w:tc>
        <w:tc>
          <w:tcPr>
            <w:tcW w:w="6521" w:type="dxa"/>
            <w:shd w:val="clear" w:color="auto" w:fill="auto"/>
          </w:tcPr>
          <w:p w:rsidR="00BC5967" w:rsidRPr="00207349" w:rsidRDefault="00BC5967" w:rsidP="00FC7213">
            <w:pPr>
              <w:spacing w:before="40" w:after="120"/>
              <w:ind w:right="57"/>
            </w:pPr>
            <w:r w:rsidRPr="00207349">
              <w:rPr>
                <w:b/>
                <w:lang w:val="fr-FR"/>
              </w:rPr>
              <w:t>L’État partie devrait revoir sa réglementation, sa politique et sa pratique et veiller à ce que tous les individus relevant de sa juridiction puissent exercer sans réserve les droits garantis à l’article 21 du Pacte. Il devrait faire en sorte que les restrictions à l’exercice de ce droit respectent les prescriptions strictes de l’article 21 du Pacte.</w:t>
            </w:r>
          </w:p>
        </w:tc>
      </w:tr>
      <w:tr w:rsidR="00BC5967" w:rsidRPr="004431E4" w:rsidTr="00A23D20">
        <w:tc>
          <w:tcPr>
            <w:tcW w:w="1985" w:type="dxa"/>
            <w:shd w:val="clear" w:color="auto" w:fill="auto"/>
          </w:tcPr>
          <w:p w:rsidR="00BC5967" w:rsidRPr="00B45418" w:rsidRDefault="00BC5967" w:rsidP="00703D6D">
            <w:pPr>
              <w:spacing w:before="40" w:after="120"/>
              <w:ind w:right="57"/>
            </w:pPr>
            <w:r w:rsidRPr="009E7352">
              <w:t>Résumé réponse l’État partie:</w:t>
            </w:r>
          </w:p>
        </w:tc>
        <w:tc>
          <w:tcPr>
            <w:tcW w:w="6521" w:type="dxa"/>
            <w:shd w:val="clear" w:color="auto" w:fill="auto"/>
          </w:tcPr>
          <w:p w:rsidR="00BC5967" w:rsidRDefault="00BC5967" w:rsidP="00FC7213">
            <w:pPr>
              <w:spacing w:before="40" w:after="120"/>
              <w:ind w:right="57"/>
              <w:rPr>
                <w:lang w:val="fr-FR"/>
              </w:rPr>
            </w:pPr>
            <w:r w:rsidRPr="005C7222">
              <w:rPr>
                <w:lang w:val="fr-FR"/>
              </w:rPr>
              <w:t>La responsabilité administrative pour l</w:t>
            </w:r>
            <w:r>
              <w:rPr>
                <w:lang w:val="fr-FR"/>
              </w:rPr>
              <w:t>’</w:t>
            </w:r>
            <w:r w:rsidRPr="005C7222">
              <w:rPr>
                <w:lang w:val="fr-FR"/>
              </w:rPr>
              <w:t>organisation d</w:t>
            </w:r>
            <w:r>
              <w:rPr>
                <w:lang w:val="fr-FR"/>
              </w:rPr>
              <w:t>’évé</w:t>
            </w:r>
            <w:r w:rsidRPr="005C7222">
              <w:rPr>
                <w:lang w:val="fr-FR"/>
              </w:rPr>
              <w:t>nements publics est régie par l</w:t>
            </w:r>
            <w:r>
              <w:rPr>
                <w:lang w:val="fr-FR"/>
              </w:rPr>
              <w:t>’article </w:t>
            </w:r>
            <w:r w:rsidRPr="005C7222">
              <w:rPr>
                <w:lang w:val="fr-FR"/>
              </w:rPr>
              <w:t>373 du Code des infractions administratives. De tels actes ne représentaient que 0,1</w:t>
            </w:r>
            <w:r>
              <w:rPr>
                <w:lang w:val="fr-FR"/>
              </w:rPr>
              <w:t> </w:t>
            </w:r>
            <w:r w:rsidRPr="005C7222">
              <w:rPr>
                <w:lang w:val="fr-FR"/>
              </w:rPr>
              <w:t>% des cas d</w:t>
            </w:r>
            <w:r>
              <w:rPr>
                <w:lang w:val="fr-FR"/>
              </w:rPr>
              <w:t>’</w:t>
            </w:r>
            <w:r w:rsidRPr="005C7222">
              <w:rPr>
                <w:lang w:val="fr-FR"/>
              </w:rPr>
              <w:t>infractions administratives pour</w:t>
            </w:r>
            <w:r>
              <w:rPr>
                <w:lang w:val="fr-FR"/>
              </w:rPr>
              <w:t xml:space="preserve">suivies de janvier à juin 2011. </w:t>
            </w:r>
            <w:r w:rsidRPr="005C7222">
              <w:rPr>
                <w:lang w:val="fr-FR"/>
              </w:rPr>
              <w:t>Les restrictions au droit d</w:t>
            </w:r>
            <w:r>
              <w:rPr>
                <w:lang w:val="fr-FR"/>
              </w:rPr>
              <w:t>’</w:t>
            </w:r>
            <w:r w:rsidRPr="005C7222">
              <w:rPr>
                <w:lang w:val="fr-FR"/>
              </w:rPr>
              <w:t>organiser des réunions, manifestations, grèves ou autre</w:t>
            </w:r>
            <w:r>
              <w:rPr>
                <w:lang w:val="fr-FR"/>
              </w:rPr>
              <w:t>s évé</w:t>
            </w:r>
            <w:r w:rsidRPr="005C7222">
              <w:rPr>
                <w:lang w:val="fr-FR"/>
              </w:rPr>
              <w:t>nements publics ont été introduites pour protéger la sécurité nationale, l</w:t>
            </w:r>
            <w:r>
              <w:rPr>
                <w:lang w:val="fr-FR"/>
              </w:rPr>
              <w:t>’</w:t>
            </w:r>
            <w:r w:rsidRPr="005C7222">
              <w:rPr>
                <w:lang w:val="fr-FR"/>
              </w:rPr>
              <w:t xml:space="preserve">ordre public, la santé et les droits et liberté </w:t>
            </w:r>
            <w:r>
              <w:rPr>
                <w:lang w:val="fr-FR"/>
              </w:rPr>
              <w:t>d’autrui. En 2011, plus de 232 </w:t>
            </w:r>
            <w:r w:rsidRPr="005C7222">
              <w:rPr>
                <w:lang w:val="fr-FR"/>
              </w:rPr>
              <w:t>manif</w:t>
            </w:r>
            <w:r>
              <w:rPr>
                <w:lang w:val="fr-FR"/>
              </w:rPr>
              <w:t xml:space="preserve">estations ont été organisées. Cinquante pour cent </w:t>
            </w:r>
            <w:r w:rsidRPr="005C7222">
              <w:rPr>
                <w:lang w:val="fr-FR"/>
              </w:rPr>
              <w:t>n</w:t>
            </w:r>
            <w:r>
              <w:rPr>
                <w:lang w:val="fr-FR"/>
              </w:rPr>
              <w:t>’</w:t>
            </w:r>
            <w:r w:rsidRPr="005C7222">
              <w:rPr>
                <w:lang w:val="fr-FR"/>
              </w:rPr>
              <w:t>ont pas été autorisées. Des actions administrati</w:t>
            </w:r>
            <w:r>
              <w:rPr>
                <w:lang w:val="fr-FR"/>
              </w:rPr>
              <w:t>ves ont été engagées contre 227 </w:t>
            </w:r>
            <w:r w:rsidRPr="005C7222">
              <w:rPr>
                <w:lang w:val="fr-FR"/>
              </w:rPr>
              <w:t>personnes y ayant participé activement.</w:t>
            </w:r>
          </w:p>
          <w:p w:rsidR="007F62B8" w:rsidRPr="00B45418" w:rsidRDefault="007F62B8" w:rsidP="00703D6D">
            <w:pPr>
              <w:spacing w:before="40" w:after="120"/>
              <w:ind w:right="57"/>
            </w:pPr>
            <w:r>
              <w:rPr>
                <w:lang w:val="fr-FR"/>
              </w:rPr>
              <w:t xml:space="preserve">Aucune information supplémentaire n’a été fournie </w:t>
            </w:r>
            <w:r w:rsidR="00703D6D">
              <w:rPr>
                <w:lang w:val="fr-FR"/>
              </w:rPr>
              <w:t xml:space="preserve">le </w:t>
            </w:r>
            <w:r>
              <w:rPr>
                <w:lang w:val="fr-FR"/>
              </w:rPr>
              <w:t>25/3/2013.</w:t>
            </w:r>
          </w:p>
        </w:tc>
      </w:tr>
      <w:tr w:rsidR="00BC5967" w:rsidRPr="004431E4" w:rsidTr="00A23D20">
        <w:tc>
          <w:tcPr>
            <w:tcW w:w="1985" w:type="dxa"/>
            <w:shd w:val="clear" w:color="auto" w:fill="auto"/>
          </w:tcPr>
          <w:p w:rsidR="00BC5967" w:rsidRPr="00B45418" w:rsidRDefault="00BC5967" w:rsidP="00FC7213">
            <w:pPr>
              <w:spacing w:before="40" w:after="120"/>
              <w:ind w:right="57"/>
            </w:pPr>
            <w:r w:rsidRPr="009179D1">
              <w:t>Informations d’ONG:</w:t>
            </w:r>
            <w:r w:rsidRPr="009179D1">
              <w:rPr>
                <w:b/>
              </w:rPr>
              <w:t xml:space="preserve"> </w:t>
            </w:r>
          </w:p>
        </w:tc>
        <w:tc>
          <w:tcPr>
            <w:tcW w:w="6521" w:type="dxa"/>
            <w:shd w:val="clear" w:color="auto" w:fill="auto"/>
          </w:tcPr>
          <w:p w:rsidR="00BC5967" w:rsidRDefault="00BC5967" w:rsidP="00FC7213">
            <w:pPr>
              <w:spacing w:before="40" w:after="120"/>
              <w:ind w:right="57"/>
              <w:rPr>
                <w:lang w:val="fr-FR"/>
              </w:rPr>
            </w:pPr>
            <w:r w:rsidRPr="005C7222">
              <w:rPr>
                <w:lang w:val="fr-FR"/>
              </w:rPr>
              <w:t>La réforme de la loi de 1995 sur la liberté de réunion n</w:t>
            </w:r>
            <w:r>
              <w:rPr>
                <w:lang w:val="fr-FR"/>
              </w:rPr>
              <w:t>’</w:t>
            </w:r>
            <w:r w:rsidRPr="005C7222">
              <w:rPr>
                <w:lang w:val="fr-FR"/>
              </w:rPr>
              <w:t>a toujours pas été adoptée. Les autorisations sont souvent refusées. Les personnes qui participent aux réunions ou manifestations non autorisées sont arrêtées par la police. Elles doivent payer une amende</w:t>
            </w:r>
            <w:r>
              <w:rPr>
                <w:lang w:val="fr-FR"/>
              </w:rPr>
              <w:t xml:space="preserve"> ou être emprisonnées pendant quinze</w:t>
            </w:r>
            <w:r w:rsidRPr="005C7222">
              <w:rPr>
                <w:lang w:val="fr-FR"/>
              </w:rPr>
              <w:t xml:space="preserve"> jours. La police pratique également des arrestations </w:t>
            </w:r>
            <w:r>
              <w:rPr>
                <w:lang w:val="fr-FR"/>
              </w:rPr>
              <w:t>«</w:t>
            </w:r>
            <w:r w:rsidRPr="005C7222">
              <w:rPr>
                <w:lang w:val="fr-FR"/>
              </w:rPr>
              <w:t>préventives</w:t>
            </w:r>
            <w:r>
              <w:rPr>
                <w:lang w:val="fr-FR"/>
              </w:rPr>
              <w:t>»</w:t>
            </w:r>
            <w:r w:rsidRPr="005C7222">
              <w:rPr>
                <w:lang w:val="fr-FR"/>
              </w:rPr>
              <w:t xml:space="preserve"> de personnes qui ont l</w:t>
            </w:r>
            <w:r>
              <w:rPr>
                <w:lang w:val="fr-FR"/>
              </w:rPr>
              <w:t>’</w:t>
            </w:r>
            <w:r w:rsidRPr="005C7222">
              <w:rPr>
                <w:lang w:val="fr-FR"/>
              </w:rPr>
              <w:t>intention de participer à une manifestation. Seules les associations publiques peuvent solliciter une autorisation pour organiser une réunion publique. La recommandation des autorités locales d</w:t>
            </w:r>
            <w:r>
              <w:rPr>
                <w:lang w:val="fr-FR"/>
              </w:rPr>
              <w:t>’</w:t>
            </w:r>
            <w:r w:rsidRPr="005C7222">
              <w:rPr>
                <w:lang w:val="fr-FR"/>
              </w:rPr>
              <w:t>ident</w:t>
            </w:r>
            <w:r>
              <w:rPr>
                <w:lang w:val="fr-FR"/>
              </w:rPr>
              <w:t xml:space="preserve">ifier un lieu éloigné du centre </w:t>
            </w:r>
            <w:r w:rsidRPr="005C7222">
              <w:rPr>
                <w:lang w:val="fr-FR"/>
              </w:rPr>
              <w:t xml:space="preserve">ville pour autoriser les rassemblements pacifiques est toujours considérée comme ayant force de loi. </w:t>
            </w:r>
          </w:p>
          <w:p w:rsidR="00560268" w:rsidRPr="00B45418" w:rsidRDefault="00560268" w:rsidP="00FC7213">
            <w:pPr>
              <w:spacing w:before="40" w:after="120"/>
              <w:ind w:right="57"/>
            </w:pPr>
          </w:p>
        </w:tc>
      </w:tr>
      <w:tr w:rsidR="00BC5967" w:rsidRPr="004431E4" w:rsidTr="00A23D20">
        <w:tc>
          <w:tcPr>
            <w:tcW w:w="1985" w:type="dxa"/>
            <w:shd w:val="clear" w:color="auto" w:fill="auto"/>
          </w:tcPr>
          <w:p w:rsidR="00BC5967" w:rsidRPr="00B45418" w:rsidRDefault="00BC5967" w:rsidP="00FC7213">
            <w:pPr>
              <w:spacing w:before="40" w:after="120"/>
              <w:ind w:right="57"/>
            </w:pPr>
            <w:r w:rsidRPr="00F71353">
              <w:t>Évaluation Comité:</w:t>
            </w:r>
          </w:p>
        </w:tc>
        <w:tc>
          <w:tcPr>
            <w:tcW w:w="6521" w:type="dxa"/>
            <w:shd w:val="clear" w:color="auto" w:fill="auto"/>
          </w:tcPr>
          <w:p w:rsidR="00BC5967" w:rsidRPr="00B45418" w:rsidRDefault="00BC5967" w:rsidP="00FC7213">
            <w:pPr>
              <w:spacing w:before="40" w:after="120"/>
              <w:ind w:right="57"/>
            </w:pPr>
            <w:r>
              <w:rPr>
                <w:b/>
              </w:rPr>
              <w:t>[C1</w:t>
            </w:r>
            <w:r w:rsidR="00FC7213">
              <w:rPr>
                <w:b/>
              </w:rPr>
              <w:t xml:space="preserve">] </w:t>
            </w:r>
            <w:r w:rsidRPr="005C7222">
              <w:rPr>
                <w:lang w:val="fr-FR"/>
              </w:rPr>
              <w:t>Aucune mesure n</w:t>
            </w:r>
            <w:r>
              <w:rPr>
                <w:lang w:val="fr-FR"/>
              </w:rPr>
              <w:t>’</w:t>
            </w:r>
            <w:r w:rsidRPr="005C7222">
              <w:rPr>
                <w:lang w:val="fr-FR"/>
              </w:rPr>
              <w:t>a été adoptée. Le Comité réitère sa recommandation.</w:t>
            </w:r>
          </w:p>
        </w:tc>
      </w:tr>
      <w:tr w:rsidR="00BC5967" w:rsidRPr="004431E4" w:rsidTr="00A23D20">
        <w:tc>
          <w:tcPr>
            <w:tcW w:w="1985" w:type="dxa"/>
            <w:shd w:val="clear" w:color="auto" w:fill="auto"/>
          </w:tcPr>
          <w:p w:rsidR="00BC5967" w:rsidRPr="00B45418" w:rsidRDefault="00BC5967" w:rsidP="00FC7213">
            <w:pPr>
              <w:spacing w:before="40" w:after="120"/>
              <w:ind w:right="57"/>
            </w:pPr>
            <w:r>
              <w:t>Mesure</w:t>
            </w:r>
            <w:r w:rsidR="000D7B3A">
              <w:t>s</w:t>
            </w:r>
            <w:r>
              <w:t xml:space="preserve"> recommandée</w:t>
            </w:r>
            <w:r w:rsidR="000D7B3A">
              <w:t>s</w:t>
            </w:r>
            <w:r w:rsidRPr="0077644B">
              <w:t>:</w:t>
            </w:r>
          </w:p>
        </w:tc>
        <w:tc>
          <w:tcPr>
            <w:tcW w:w="6521" w:type="dxa"/>
            <w:shd w:val="clear" w:color="auto" w:fill="auto"/>
          </w:tcPr>
          <w:p w:rsidR="00BC5967" w:rsidRPr="00BA482E" w:rsidRDefault="00972074" w:rsidP="00FC7213">
            <w:pPr>
              <w:spacing w:before="40" w:after="120"/>
              <w:ind w:right="57"/>
              <w:rPr>
                <w:spacing w:val="-2"/>
              </w:rPr>
            </w:pPr>
            <w:r>
              <w:rPr>
                <w:lang w:val="fr-FR"/>
              </w:rPr>
              <w:t>L</w:t>
            </w:r>
            <w:r w:rsidR="00BC5967" w:rsidRPr="005C7222">
              <w:rPr>
                <w:lang w:val="fr-FR"/>
              </w:rPr>
              <w:t xml:space="preserve">ettre </w:t>
            </w:r>
            <w:r w:rsidR="00BC5967">
              <w:rPr>
                <w:lang w:val="fr-FR"/>
              </w:rPr>
              <w:t>présentant</w:t>
            </w:r>
            <w:r w:rsidR="00BC5967" w:rsidRPr="005C7222">
              <w:rPr>
                <w:lang w:val="fr-FR"/>
              </w:rPr>
              <w:t xml:space="preserve"> l</w:t>
            </w:r>
            <w:r w:rsidR="00BC5967">
              <w:rPr>
                <w:lang w:val="fr-FR"/>
              </w:rPr>
              <w:t>’</w:t>
            </w:r>
            <w:r w:rsidR="00BC5967" w:rsidRPr="005C7222">
              <w:rPr>
                <w:lang w:val="fr-FR"/>
              </w:rPr>
              <w:t>analyse du Comité</w:t>
            </w:r>
            <w:r>
              <w:rPr>
                <w:lang w:val="fr-FR"/>
              </w:rPr>
              <w:t xml:space="preserve">. </w:t>
            </w:r>
            <w:r>
              <w:t>Les informations demandées devraient figurer dans le prochain rapport périodique</w:t>
            </w:r>
            <w:r w:rsidR="00BC5967" w:rsidRPr="005C7222">
              <w:rPr>
                <w:lang w:val="fr-FR"/>
              </w:rPr>
              <w:t>.</w:t>
            </w:r>
          </w:p>
        </w:tc>
      </w:tr>
      <w:tr w:rsidR="00BC5967" w:rsidRPr="004431E4" w:rsidTr="00A23D20">
        <w:tc>
          <w:tcPr>
            <w:tcW w:w="1985" w:type="dxa"/>
            <w:tcBorders>
              <w:bottom w:val="single" w:sz="12" w:space="0" w:color="auto"/>
            </w:tcBorders>
            <w:shd w:val="clear" w:color="auto" w:fill="auto"/>
          </w:tcPr>
          <w:p w:rsidR="00BC5967" w:rsidRPr="00B45418" w:rsidRDefault="00BC5967" w:rsidP="00FC7213">
            <w:pPr>
              <w:spacing w:before="40" w:after="120"/>
              <w:ind w:right="57"/>
            </w:pPr>
            <w:r w:rsidRPr="001F387E">
              <w:t>Prochain rapport périodique:</w:t>
            </w:r>
            <w:r>
              <w:t xml:space="preserve"> </w:t>
            </w:r>
          </w:p>
        </w:tc>
        <w:tc>
          <w:tcPr>
            <w:tcW w:w="6521" w:type="dxa"/>
            <w:tcBorders>
              <w:bottom w:val="single" w:sz="12" w:space="0" w:color="auto"/>
            </w:tcBorders>
            <w:shd w:val="clear" w:color="auto" w:fill="auto"/>
          </w:tcPr>
          <w:p w:rsidR="00BC5967" w:rsidRPr="00B45418" w:rsidRDefault="00BC5967" w:rsidP="00FC7213">
            <w:pPr>
              <w:spacing w:before="40" w:after="120"/>
              <w:ind w:right="57"/>
            </w:pPr>
            <w:r>
              <w:t>29</w:t>
            </w:r>
            <w:r w:rsidR="00703D6D">
              <w:t>/7/</w:t>
            </w:r>
            <w:r w:rsidRPr="00E73EB5">
              <w:t>14</w:t>
            </w:r>
          </w:p>
        </w:tc>
      </w:tr>
    </w:tbl>
    <w:p w:rsidR="00703D6D" w:rsidRPr="00703D6D" w:rsidRDefault="00703D6D" w:rsidP="001C7EC5"/>
    <w:p w:rsidR="00BC5967" w:rsidRDefault="00BC5967" w:rsidP="00BC5967">
      <w:pPr>
        <w:pStyle w:val="H1G"/>
        <w:keepLines w:val="0"/>
        <w:tabs>
          <w:tab w:val="clear" w:pos="851"/>
        </w:tabs>
      </w:pPr>
      <w:r>
        <w:tab/>
        <w:t>103</w:t>
      </w:r>
      <w:r w:rsidRPr="00C961C4">
        <w:rPr>
          <w:vertAlign w:val="superscript"/>
        </w:rPr>
        <w:t>e</w:t>
      </w:r>
      <w:r>
        <w:t> session (octobre-novembre 2011)</w:t>
      </w:r>
    </w:p>
    <w:tbl>
      <w:tblPr>
        <w:tblW w:w="8506" w:type="dxa"/>
        <w:tblInd w:w="1134" w:type="dxa"/>
        <w:tblLayout w:type="fixed"/>
        <w:tblCellMar>
          <w:left w:w="0" w:type="dxa"/>
          <w:right w:w="0" w:type="dxa"/>
        </w:tblCellMar>
        <w:tblLook w:val="00A0"/>
      </w:tblPr>
      <w:tblGrid>
        <w:gridCol w:w="1985"/>
        <w:gridCol w:w="6521"/>
      </w:tblGrid>
      <w:tr w:rsidR="00BC5967" w:rsidRPr="004431E4" w:rsidTr="00A23D20">
        <w:trPr>
          <w:tblHeader/>
        </w:trPr>
        <w:tc>
          <w:tcPr>
            <w:tcW w:w="1985" w:type="dxa"/>
            <w:tcBorders>
              <w:top w:val="single" w:sz="4" w:space="0" w:color="auto"/>
              <w:bottom w:val="single" w:sz="12" w:space="0" w:color="auto"/>
            </w:tcBorders>
            <w:shd w:val="clear" w:color="auto" w:fill="auto"/>
          </w:tcPr>
          <w:p w:rsidR="00BC5967" w:rsidRPr="004431E4" w:rsidRDefault="00BC5967" w:rsidP="00FC7213">
            <w:pPr>
              <w:spacing w:before="80" w:after="80" w:line="200" w:lineRule="exact"/>
              <w:ind w:right="57"/>
              <w:rPr>
                <w:i/>
                <w:sz w:val="16"/>
                <w:lang w:val="fr-FR"/>
              </w:rPr>
            </w:pPr>
            <w:r>
              <w:rPr>
                <w:i/>
                <w:sz w:val="16"/>
              </w:rPr>
              <w:t>Norvège</w:t>
            </w:r>
          </w:p>
        </w:tc>
        <w:tc>
          <w:tcPr>
            <w:tcW w:w="6521" w:type="dxa"/>
            <w:tcBorders>
              <w:top w:val="single" w:sz="4" w:space="0" w:color="auto"/>
              <w:bottom w:val="single" w:sz="12" w:space="0" w:color="auto"/>
            </w:tcBorders>
            <w:shd w:val="clear" w:color="auto" w:fill="auto"/>
          </w:tcPr>
          <w:p w:rsidR="00BC5967" w:rsidRPr="004431E4" w:rsidRDefault="00BC5967" w:rsidP="00FC7213">
            <w:pPr>
              <w:spacing w:before="80" w:after="80" w:line="200" w:lineRule="exact"/>
              <w:ind w:right="57"/>
              <w:rPr>
                <w:i/>
                <w:sz w:val="16"/>
                <w:lang w:val="fr-FR"/>
              </w:rPr>
            </w:pPr>
          </w:p>
        </w:tc>
      </w:tr>
      <w:tr w:rsidR="00BC5967" w:rsidRPr="004431E4" w:rsidTr="00A23D20">
        <w:trPr>
          <w:trHeight w:hRule="exact" w:val="113"/>
          <w:tblHeader/>
        </w:trPr>
        <w:tc>
          <w:tcPr>
            <w:tcW w:w="1985" w:type="dxa"/>
            <w:tcBorders>
              <w:top w:val="single" w:sz="12" w:space="0" w:color="auto"/>
            </w:tcBorders>
            <w:shd w:val="clear" w:color="auto" w:fill="auto"/>
          </w:tcPr>
          <w:p w:rsidR="00BC5967" w:rsidRPr="004431E4" w:rsidRDefault="00BC5967" w:rsidP="00FC7213">
            <w:pPr>
              <w:spacing w:before="40" w:after="120"/>
              <w:ind w:right="57"/>
              <w:rPr>
                <w:lang w:val="fr-FR"/>
              </w:rPr>
            </w:pPr>
          </w:p>
        </w:tc>
        <w:tc>
          <w:tcPr>
            <w:tcW w:w="6521" w:type="dxa"/>
            <w:tcBorders>
              <w:top w:val="single" w:sz="12" w:space="0" w:color="auto"/>
            </w:tcBorders>
            <w:shd w:val="clear" w:color="auto" w:fill="auto"/>
          </w:tcPr>
          <w:p w:rsidR="00BC5967" w:rsidRPr="004431E4" w:rsidRDefault="00BC5967" w:rsidP="00FC7213">
            <w:pPr>
              <w:spacing w:before="40" w:after="120"/>
              <w:ind w:right="57"/>
              <w:rPr>
                <w:lang w:val="fr-FR"/>
              </w:rPr>
            </w:pPr>
          </w:p>
        </w:tc>
      </w:tr>
      <w:tr w:rsidR="00BC5967" w:rsidRPr="004431E4" w:rsidTr="00A23D20">
        <w:tc>
          <w:tcPr>
            <w:tcW w:w="1985" w:type="dxa"/>
            <w:shd w:val="clear" w:color="auto" w:fill="auto"/>
          </w:tcPr>
          <w:p w:rsidR="00BC5967" w:rsidRPr="004431E4" w:rsidRDefault="00BC5967" w:rsidP="00FC7213">
            <w:pPr>
              <w:spacing w:before="40" w:after="120"/>
              <w:ind w:right="57"/>
              <w:rPr>
                <w:lang w:val="fr-FR"/>
              </w:rPr>
            </w:pPr>
            <w:r w:rsidRPr="004431E4">
              <w:rPr>
                <w:lang w:val="fr-FR"/>
              </w:rPr>
              <w:t>Observations finales</w:t>
            </w:r>
          </w:p>
        </w:tc>
        <w:tc>
          <w:tcPr>
            <w:tcW w:w="6521" w:type="dxa"/>
            <w:shd w:val="clear" w:color="auto" w:fill="auto"/>
          </w:tcPr>
          <w:p w:rsidR="00BC5967" w:rsidRPr="006A3EF4" w:rsidRDefault="00BC5967" w:rsidP="00FC7213">
            <w:pPr>
              <w:spacing w:before="40" w:after="120"/>
              <w:ind w:right="57"/>
            </w:pPr>
            <w:r w:rsidRPr="00C7498A">
              <w:t>CCPR/C/NOR/CO/6</w:t>
            </w:r>
            <w:r>
              <w:t xml:space="preserve">, adoptées le </w:t>
            </w:r>
            <w:r w:rsidRPr="00D34B3F">
              <w:t>18</w:t>
            </w:r>
            <w:r w:rsidR="00703D6D">
              <w:t>/11/</w:t>
            </w:r>
            <w:r w:rsidRPr="00D34B3F">
              <w:t>11</w:t>
            </w:r>
          </w:p>
        </w:tc>
      </w:tr>
      <w:tr w:rsidR="00BC5967" w:rsidRPr="004431E4" w:rsidTr="00A23D20">
        <w:tc>
          <w:tcPr>
            <w:tcW w:w="1985" w:type="dxa"/>
            <w:shd w:val="clear" w:color="auto" w:fill="auto"/>
          </w:tcPr>
          <w:p w:rsidR="00BC5967" w:rsidRPr="004431E4" w:rsidRDefault="00BC5967" w:rsidP="00FC7213">
            <w:pPr>
              <w:spacing w:before="40" w:after="120"/>
              <w:ind w:right="57"/>
            </w:pPr>
            <w:r w:rsidRPr="004431E4">
              <w:t>Paragraphes faisant l</w:t>
            </w:r>
            <w:r>
              <w:t>’</w:t>
            </w:r>
            <w:r w:rsidRPr="004431E4">
              <w:t>objet d</w:t>
            </w:r>
            <w:r>
              <w:t>’</w:t>
            </w:r>
            <w:r w:rsidRPr="004431E4">
              <w:t>un suivi:</w:t>
            </w:r>
          </w:p>
        </w:tc>
        <w:tc>
          <w:tcPr>
            <w:tcW w:w="6521" w:type="dxa"/>
            <w:shd w:val="clear" w:color="auto" w:fill="auto"/>
          </w:tcPr>
          <w:p w:rsidR="00BC5967" w:rsidRPr="00AF28A6" w:rsidRDefault="00BC5967" w:rsidP="00FC7213">
            <w:pPr>
              <w:spacing w:before="40" w:after="120"/>
              <w:ind w:right="57"/>
            </w:pPr>
            <w:r w:rsidRPr="005D174B">
              <w:t>5, 10, 12</w:t>
            </w:r>
          </w:p>
        </w:tc>
      </w:tr>
      <w:tr w:rsidR="00BC5967" w:rsidRPr="004431E4" w:rsidTr="00A23D20">
        <w:tc>
          <w:tcPr>
            <w:tcW w:w="1985" w:type="dxa"/>
            <w:shd w:val="clear" w:color="auto" w:fill="auto"/>
          </w:tcPr>
          <w:p w:rsidR="00BC5967" w:rsidRPr="004431E4" w:rsidRDefault="00BC5967" w:rsidP="00FC7213">
            <w:pPr>
              <w:spacing w:before="40" w:after="120"/>
              <w:ind w:right="57"/>
            </w:pPr>
            <w:r>
              <w:t>Première réponse</w:t>
            </w:r>
            <w:r>
              <w:br/>
              <w:t>de l’État partie:</w:t>
            </w:r>
          </w:p>
        </w:tc>
        <w:tc>
          <w:tcPr>
            <w:tcW w:w="6521" w:type="dxa"/>
            <w:shd w:val="clear" w:color="auto" w:fill="auto"/>
          </w:tcPr>
          <w:p w:rsidR="00BC5967" w:rsidRPr="00C443FD" w:rsidRDefault="00BC5967" w:rsidP="00FC7213">
            <w:pPr>
              <w:spacing w:before="40" w:after="120"/>
              <w:ind w:right="57"/>
            </w:pPr>
            <w:r>
              <w:t>Attendue le 18</w:t>
            </w:r>
            <w:r w:rsidR="00703D6D">
              <w:t>/11/</w:t>
            </w:r>
            <w:r w:rsidRPr="005D174B">
              <w:t>12 − Reçue le 3</w:t>
            </w:r>
            <w:r w:rsidR="00703D6D">
              <w:t>/12/</w:t>
            </w:r>
            <w:r w:rsidRPr="005D174B">
              <w:t>12</w:t>
            </w:r>
          </w:p>
        </w:tc>
      </w:tr>
      <w:tr w:rsidR="00BC5967" w:rsidRPr="001C7EC5" w:rsidTr="00A23D20">
        <w:tc>
          <w:tcPr>
            <w:tcW w:w="1985" w:type="dxa"/>
            <w:shd w:val="clear" w:color="auto" w:fill="auto"/>
          </w:tcPr>
          <w:p w:rsidR="00BC5967" w:rsidRDefault="00BC5967" w:rsidP="00FC7213">
            <w:pPr>
              <w:spacing w:before="40" w:after="120"/>
              <w:ind w:right="57"/>
            </w:pPr>
            <w:r w:rsidRPr="00B66730">
              <w:t>Informations d’ONG:</w:t>
            </w:r>
          </w:p>
        </w:tc>
        <w:tc>
          <w:tcPr>
            <w:tcW w:w="6521" w:type="dxa"/>
            <w:shd w:val="clear" w:color="auto" w:fill="auto"/>
          </w:tcPr>
          <w:p w:rsidR="00BC5967" w:rsidRPr="001C7EC5" w:rsidRDefault="00BC5967" w:rsidP="00FC7213">
            <w:pPr>
              <w:spacing w:before="40" w:after="120"/>
              <w:ind w:right="57"/>
              <w:rPr>
                <w:lang w:val="en-GB"/>
              </w:rPr>
            </w:pPr>
            <w:r w:rsidRPr="001C7EC5">
              <w:rPr>
                <w:lang w:val="en-GB"/>
              </w:rPr>
              <w:t>Norwegian NGO-forum for Human Rights, 20</w:t>
            </w:r>
            <w:r w:rsidR="00703D6D">
              <w:rPr>
                <w:lang w:val="en-GB"/>
              </w:rPr>
              <w:t>/12/</w:t>
            </w:r>
            <w:r w:rsidRPr="001C7EC5">
              <w:rPr>
                <w:lang w:val="en-GB"/>
              </w:rPr>
              <w:t>12</w:t>
            </w:r>
          </w:p>
        </w:tc>
      </w:tr>
      <w:tr w:rsidR="00BC5967" w:rsidRPr="004431E4" w:rsidTr="00A23D20">
        <w:tc>
          <w:tcPr>
            <w:tcW w:w="1985" w:type="dxa"/>
            <w:shd w:val="clear" w:color="auto" w:fill="auto"/>
          </w:tcPr>
          <w:p w:rsidR="00BC5967" w:rsidRPr="00D818DD" w:rsidRDefault="00BC5967" w:rsidP="00FC7213">
            <w:pPr>
              <w:keepNext/>
              <w:spacing w:before="40" w:after="120"/>
              <w:ind w:right="57"/>
            </w:pPr>
            <w:r>
              <w:rPr>
                <w:b/>
              </w:rPr>
              <w:t>Paragraphe 5</w:t>
            </w:r>
            <w:r w:rsidRPr="00D818DD">
              <w:rPr>
                <w:b/>
              </w:rPr>
              <w:t xml:space="preserve">: </w:t>
            </w:r>
          </w:p>
        </w:tc>
        <w:tc>
          <w:tcPr>
            <w:tcW w:w="6521" w:type="dxa"/>
            <w:shd w:val="clear" w:color="auto" w:fill="auto"/>
          </w:tcPr>
          <w:p w:rsidR="00BC5967" w:rsidRPr="00C961C4" w:rsidRDefault="00BC5967" w:rsidP="00FC7213">
            <w:pPr>
              <w:keepNext/>
              <w:spacing w:before="40" w:after="120"/>
              <w:ind w:right="57"/>
            </w:pPr>
            <w:r w:rsidRPr="00C961C4">
              <w:rPr>
                <w:b/>
              </w:rPr>
              <w:t>L’État partie devrait veiller à ce que la restructuration en cours de l’Institution nationale des droits de l’homme aboutisse à la transformer effectivement de façon à lui conférer un mandat étendu dans le domaine des droits de l’homme. À cette fin, l’État partie devrait s’assurer que la nouvelle institution sera parfaitement compatible avec les Principes de Paris.</w:t>
            </w:r>
          </w:p>
        </w:tc>
      </w:tr>
      <w:tr w:rsidR="00BC5967" w:rsidRPr="004431E4" w:rsidTr="00A23D20">
        <w:tc>
          <w:tcPr>
            <w:tcW w:w="1985" w:type="dxa"/>
            <w:shd w:val="clear" w:color="auto" w:fill="auto"/>
          </w:tcPr>
          <w:p w:rsidR="00BC5967" w:rsidRPr="00B45418" w:rsidRDefault="00BC5967" w:rsidP="00FC7213">
            <w:pPr>
              <w:spacing w:before="40" w:after="120"/>
              <w:ind w:right="57"/>
            </w:pPr>
            <w:r w:rsidRPr="009E7352">
              <w:t>Résumé réponse l’État partie:</w:t>
            </w:r>
          </w:p>
        </w:tc>
        <w:tc>
          <w:tcPr>
            <w:tcW w:w="6521" w:type="dxa"/>
            <w:shd w:val="clear" w:color="auto" w:fill="auto"/>
          </w:tcPr>
          <w:p w:rsidR="00BC5967" w:rsidRPr="00B45418" w:rsidRDefault="00BC5967" w:rsidP="00FC7213">
            <w:pPr>
              <w:spacing w:before="40" w:after="120"/>
              <w:ind w:right="57"/>
            </w:pPr>
            <w:r w:rsidRPr="005D174B">
              <w:t>En 2011, le Sous-Comité d’accréditation du Comité international de coordination a rétrogradé le Centre</w:t>
            </w:r>
            <w:r>
              <w:t xml:space="preserve"> norvégien des droits de l’homme</w:t>
            </w:r>
            <w:r w:rsidRPr="005D174B">
              <w:t xml:space="preserve"> en le dotant du statut B et a donné à l’</w:t>
            </w:r>
            <w:r>
              <w:t>État partie un an pour fournir d</w:t>
            </w:r>
            <w:r w:rsidRPr="005D174B">
              <w:t xml:space="preserve">es éléments de preuve attestant </w:t>
            </w:r>
            <w:r>
              <w:t>des</w:t>
            </w:r>
            <w:r w:rsidRPr="005D174B">
              <w:t xml:space="preserve"> réformes </w:t>
            </w:r>
            <w:r>
              <w:t xml:space="preserve">menées pour le mettre en </w:t>
            </w:r>
            <w:r w:rsidRPr="005D174B">
              <w:t>conformité avec les</w:t>
            </w:r>
            <w:r>
              <w:t xml:space="preserve"> Principes de Paris</w:t>
            </w:r>
            <w:r w:rsidRPr="005D174B">
              <w:t>. L’Université d’Oslo a mis un terme à sa relation avec le Centre. Le Ministère des affaires étrangères fournit actuellement un soutien au Centre pour qu’il s’acquitte pleinement de ses fonctions. Un groupe de travail interministériel a été mis en place pour évalue</w:t>
            </w:r>
            <w:r>
              <w:t>r les réformes nécessaires. Une </w:t>
            </w:r>
            <w:r w:rsidRPr="005D174B">
              <w:t>possibilité consiste à créer une nouvelle</w:t>
            </w:r>
            <w:r>
              <w:t xml:space="preserve"> institution nationale. En mars </w:t>
            </w:r>
            <w:r w:rsidRPr="005D174B">
              <w:t>2011, le Ministère des affaires étrangères a procédé à un examen externe du Centr</w:t>
            </w:r>
            <w:r>
              <w:t xml:space="preserve">e. La conclusion était </w:t>
            </w:r>
            <w:r w:rsidRPr="005D174B">
              <w:t>que plusieurs réformes clefs s’imposaient.</w:t>
            </w:r>
          </w:p>
        </w:tc>
      </w:tr>
      <w:tr w:rsidR="00BC5967" w:rsidRPr="004431E4" w:rsidTr="00A23D20">
        <w:tc>
          <w:tcPr>
            <w:tcW w:w="1985" w:type="dxa"/>
            <w:shd w:val="clear" w:color="auto" w:fill="auto"/>
          </w:tcPr>
          <w:p w:rsidR="00BC5967" w:rsidRPr="00B45418" w:rsidRDefault="00BC5967" w:rsidP="00FC7213">
            <w:pPr>
              <w:spacing w:before="40" w:after="120"/>
              <w:ind w:right="57"/>
            </w:pPr>
            <w:r w:rsidRPr="009179D1">
              <w:t>Informations d’ONG:</w:t>
            </w:r>
            <w:r w:rsidRPr="009179D1">
              <w:rPr>
                <w:b/>
              </w:rPr>
              <w:t xml:space="preserve"> </w:t>
            </w:r>
          </w:p>
        </w:tc>
        <w:tc>
          <w:tcPr>
            <w:tcW w:w="6521" w:type="dxa"/>
            <w:shd w:val="clear" w:color="auto" w:fill="auto"/>
          </w:tcPr>
          <w:p w:rsidR="00BC5967" w:rsidRPr="00B45418" w:rsidRDefault="00BC5967" w:rsidP="00FC7213">
            <w:pPr>
              <w:spacing w:before="40" w:after="120"/>
              <w:ind w:right="57"/>
            </w:pPr>
            <w:r w:rsidRPr="005D174B">
              <w:t>Le Groupe de travail interministériel a recommandé que le médiateur parlementaire soit désigné comme institution nationale des droits de l’homme. Les ONG ont fait objection à cette proposition. Le médiateur parlementaire et le Conseil de surveillance des prisons ne sont pas des organes appropriés pour garantir une surveillance neutre et efficace</w:t>
            </w:r>
            <w:r>
              <w:t xml:space="preserve"> des prisons et des détenus. Un </w:t>
            </w:r>
            <w:r w:rsidRPr="005D174B">
              <w:t>nouvel organe autonome et indépendant devrait être établi au moyen d’une procédure garantissant la participation des ONG.</w:t>
            </w:r>
          </w:p>
        </w:tc>
      </w:tr>
      <w:tr w:rsidR="00BC5967" w:rsidRPr="004431E4" w:rsidTr="00A23D20">
        <w:tc>
          <w:tcPr>
            <w:tcW w:w="1985" w:type="dxa"/>
            <w:shd w:val="clear" w:color="auto" w:fill="auto"/>
          </w:tcPr>
          <w:p w:rsidR="00BC5967" w:rsidRPr="00B45418" w:rsidRDefault="00BC5967" w:rsidP="00FC7213">
            <w:pPr>
              <w:spacing w:before="40" w:after="120"/>
              <w:ind w:right="57"/>
            </w:pPr>
            <w:r w:rsidRPr="00F71353">
              <w:t>Évaluation Comité:</w:t>
            </w:r>
          </w:p>
        </w:tc>
        <w:tc>
          <w:tcPr>
            <w:tcW w:w="6521" w:type="dxa"/>
            <w:shd w:val="clear" w:color="auto" w:fill="auto"/>
          </w:tcPr>
          <w:p w:rsidR="00BC5967" w:rsidRPr="00B45418" w:rsidRDefault="00BC5967" w:rsidP="00FC7213">
            <w:pPr>
              <w:spacing w:before="40" w:after="120"/>
              <w:ind w:right="57"/>
            </w:pPr>
            <w:r w:rsidRPr="00344DA4">
              <w:rPr>
                <w:b/>
              </w:rPr>
              <w:t>[B2</w:t>
            </w:r>
            <w:r w:rsidR="00FC7213">
              <w:rPr>
                <w:b/>
              </w:rPr>
              <w:t xml:space="preserve">] </w:t>
            </w:r>
            <w:r w:rsidRPr="005D174B">
              <w:t>Des informations supplémentaires demeurent nécessaires sur: i) la décision prise par le groupe interministériel concernant la forme qu’aura la nouvelle institution nationale des droits de l’homme; ii) le mandat précis, les objectifs, les activités et les mécanismes de surveillance de la nouvelle institution.</w:t>
            </w:r>
          </w:p>
        </w:tc>
      </w:tr>
      <w:tr w:rsidR="00BC5967" w:rsidRPr="004431E4" w:rsidTr="00A23D20">
        <w:tc>
          <w:tcPr>
            <w:tcW w:w="1985" w:type="dxa"/>
            <w:shd w:val="clear" w:color="auto" w:fill="auto"/>
          </w:tcPr>
          <w:p w:rsidR="00BC5967" w:rsidRPr="00F71353" w:rsidRDefault="00BC5967" w:rsidP="00FC7213">
            <w:pPr>
              <w:spacing w:before="40" w:after="120"/>
              <w:ind w:right="57"/>
            </w:pPr>
            <w:r>
              <w:rPr>
                <w:b/>
              </w:rPr>
              <w:t>Paragraphe 10</w:t>
            </w:r>
            <w:r w:rsidRPr="00D818DD">
              <w:rPr>
                <w:b/>
              </w:rPr>
              <w:t xml:space="preserve">: </w:t>
            </w:r>
          </w:p>
        </w:tc>
        <w:tc>
          <w:tcPr>
            <w:tcW w:w="6521" w:type="dxa"/>
            <w:shd w:val="clear" w:color="auto" w:fill="auto"/>
          </w:tcPr>
          <w:p w:rsidR="00BC5967" w:rsidRPr="00C961C4" w:rsidRDefault="00BC5967" w:rsidP="00FC7213">
            <w:pPr>
              <w:spacing w:before="40" w:after="120"/>
              <w:ind w:right="57"/>
              <w:rPr>
                <w:b/>
              </w:rPr>
            </w:pPr>
            <w:r w:rsidRPr="00C961C4">
              <w:rPr>
                <w:b/>
              </w:rPr>
              <w:t>L’État partie devrait prendre des mesures concrètes pour mettre fin à l’emploi injustifié de la force coercitive et de la contention des patients psychiatriques. À ce sujet, il devrait veiller à ce que toute décision d’utiliser la force coercitive et un moyen de contention soit prise après une évaluation médicale complète et professionnelle qui détermine le degré de force ou de contention à appliquer au patient. De plus, l’État partie devrait renforcer son système de surveillance des établissements de soins de santé mentale et de signalement, afin de prévenir les abus.</w:t>
            </w:r>
          </w:p>
        </w:tc>
      </w:tr>
      <w:tr w:rsidR="00BC5967" w:rsidRPr="004431E4" w:rsidTr="00A23D20">
        <w:tc>
          <w:tcPr>
            <w:tcW w:w="1985" w:type="dxa"/>
            <w:shd w:val="clear" w:color="auto" w:fill="auto"/>
          </w:tcPr>
          <w:p w:rsidR="00BC5967" w:rsidRPr="00F71353" w:rsidRDefault="00BC5967" w:rsidP="00FC7213">
            <w:pPr>
              <w:spacing w:before="40" w:after="120"/>
              <w:ind w:right="57"/>
            </w:pPr>
            <w:r w:rsidRPr="009E7352">
              <w:t>Résumé réponse l’État partie:</w:t>
            </w:r>
          </w:p>
        </w:tc>
        <w:tc>
          <w:tcPr>
            <w:tcW w:w="6521" w:type="dxa"/>
            <w:shd w:val="clear" w:color="auto" w:fill="auto"/>
          </w:tcPr>
          <w:p w:rsidR="00BC5967" w:rsidRPr="00344DA4" w:rsidRDefault="00BC5967" w:rsidP="00FC7213">
            <w:pPr>
              <w:spacing w:before="40" w:after="120"/>
              <w:ind w:right="57"/>
              <w:rPr>
                <w:b/>
              </w:rPr>
            </w:pPr>
            <w:r w:rsidRPr="005D174B">
              <w:t xml:space="preserve">Des mesures ont été prises pour promouvoir les traitements volontaires dans les services de santé mentale dans le cadre du Plan de renforcement du secteur de la santé mentale (1999-2008). Ces mesures n’ont pas entraîné de baisse notable du recours à </w:t>
            </w:r>
            <w:r>
              <w:t>la contrainte. Un rapport sera</w:t>
            </w:r>
            <w:r w:rsidRPr="005D174B">
              <w:t xml:space="preserve"> soumis au Parlement à la fin de l’année 2012 sur les moyens de réduire les mesures coercitives dans les soins de santé mentale. Davantage d’hôpitaux introduisent des programmes d’hospitalisation géré</w:t>
            </w:r>
            <w:r>
              <w:t>e</w:t>
            </w:r>
            <w:r w:rsidRPr="005D174B">
              <w:t xml:space="preserve"> par le patient qui ont réduit de plus de 50 % les cas d’hospitalisation coercitive. De nouvelles stratégies ont été adoptées au niveau national et au niveau régional (voir informations dans le rapport).</w:t>
            </w:r>
          </w:p>
        </w:tc>
      </w:tr>
      <w:tr w:rsidR="00BC5967" w:rsidRPr="004431E4" w:rsidTr="00A23D20">
        <w:tc>
          <w:tcPr>
            <w:tcW w:w="1985" w:type="dxa"/>
            <w:shd w:val="clear" w:color="auto" w:fill="auto"/>
          </w:tcPr>
          <w:p w:rsidR="00BC5967" w:rsidRPr="009E7352" w:rsidRDefault="00BC5967" w:rsidP="00FC7213">
            <w:pPr>
              <w:spacing w:before="40" w:after="120"/>
              <w:ind w:right="57"/>
            </w:pPr>
            <w:r w:rsidRPr="009179D1">
              <w:t>Informations d’ONG:</w:t>
            </w:r>
            <w:r w:rsidRPr="009179D1">
              <w:rPr>
                <w:b/>
              </w:rPr>
              <w:t xml:space="preserve"> </w:t>
            </w:r>
          </w:p>
        </w:tc>
        <w:tc>
          <w:tcPr>
            <w:tcW w:w="6521" w:type="dxa"/>
            <w:shd w:val="clear" w:color="auto" w:fill="auto"/>
          </w:tcPr>
          <w:p w:rsidR="00BC5967" w:rsidRPr="005D174B" w:rsidRDefault="00BC5967" w:rsidP="00904F90">
            <w:pPr>
              <w:spacing w:before="40" w:after="120"/>
              <w:ind w:right="57"/>
            </w:pPr>
            <w:r w:rsidRPr="005D174B">
              <w:t xml:space="preserve">En 2012, la Direction de la santé a </w:t>
            </w:r>
            <w:r>
              <w:t>attribué 7 </w:t>
            </w:r>
            <w:r w:rsidRPr="005D174B">
              <w:t xml:space="preserve">millions </w:t>
            </w:r>
            <w:r>
              <w:t>de</w:t>
            </w:r>
            <w:r w:rsidRPr="005D174B">
              <w:t xml:space="preserve"> NOK (1 255 000 </w:t>
            </w:r>
            <w:r w:rsidR="00904F90">
              <w:t>$</w:t>
            </w:r>
            <w:r w:rsidRPr="005D174B">
              <w:t>É</w:t>
            </w:r>
            <w:r w:rsidR="00904F90">
              <w:noBreakHyphen/>
            </w:r>
            <w:r w:rsidRPr="005D174B">
              <w:t>U) aux ONG et aux services de santé mentale afin qu’ils mettent en œuvre des projets visant à réduire le recours aux mesures coercitives. On</w:t>
            </w:r>
            <w:r>
              <w:t> </w:t>
            </w:r>
            <w:r w:rsidRPr="005D174B">
              <w:t xml:space="preserve">manque de données sur l’utilisation de la contrainte, </w:t>
            </w:r>
            <w:r>
              <w:t>de l’isolement et d</w:t>
            </w:r>
            <w:r w:rsidRPr="005D174B">
              <w:t xml:space="preserve">es </w:t>
            </w:r>
            <w:r>
              <w:t>thérapies électroconvulsives</w:t>
            </w:r>
            <w:r w:rsidRPr="005D174B">
              <w:t xml:space="preserve"> dans les établissements psychiatriques. </w:t>
            </w:r>
          </w:p>
        </w:tc>
      </w:tr>
      <w:tr w:rsidR="00BC5967" w:rsidRPr="004431E4" w:rsidTr="00A23D20">
        <w:tc>
          <w:tcPr>
            <w:tcW w:w="1985" w:type="dxa"/>
            <w:shd w:val="clear" w:color="auto" w:fill="auto"/>
          </w:tcPr>
          <w:p w:rsidR="00BC5967" w:rsidRPr="009179D1" w:rsidRDefault="00BC5967" w:rsidP="00FC7213">
            <w:pPr>
              <w:spacing w:before="40" w:after="120"/>
              <w:ind w:right="57"/>
            </w:pPr>
            <w:r w:rsidRPr="00F71353">
              <w:t>Évaluation Comité:</w:t>
            </w:r>
          </w:p>
        </w:tc>
        <w:tc>
          <w:tcPr>
            <w:tcW w:w="6521" w:type="dxa"/>
            <w:shd w:val="clear" w:color="auto" w:fill="auto"/>
          </w:tcPr>
          <w:p w:rsidR="00BC5967" w:rsidRPr="005D174B" w:rsidRDefault="00BC5967" w:rsidP="00FC7213">
            <w:pPr>
              <w:spacing w:before="40" w:after="120"/>
              <w:ind w:right="57"/>
            </w:pPr>
            <w:r w:rsidRPr="00456D5E">
              <w:rPr>
                <w:b/>
              </w:rPr>
              <w:t>[B2</w:t>
            </w:r>
            <w:r w:rsidR="00FC7213">
              <w:rPr>
                <w:b/>
              </w:rPr>
              <w:t xml:space="preserve">] </w:t>
            </w:r>
            <w:r>
              <w:rPr>
                <w:bCs/>
              </w:rPr>
              <w:t>Des mesures supplémentaires sont requises afin: i) de réduire le recours à la force contre les malades mentaux; et ii) de renforcer le système de surveillance et d’information dans les établissements de soins de santé mentale. Des données sont requises sur l’usage de la coercition, notamment de thérapies électroconvulsives dans le système de soins de santé mentale.</w:t>
            </w:r>
          </w:p>
        </w:tc>
      </w:tr>
      <w:tr w:rsidR="00BC5967" w:rsidRPr="004431E4" w:rsidTr="00A23D20">
        <w:tc>
          <w:tcPr>
            <w:tcW w:w="1985" w:type="dxa"/>
            <w:shd w:val="clear" w:color="auto" w:fill="auto"/>
          </w:tcPr>
          <w:p w:rsidR="00BC5967" w:rsidRPr="009E7352" w:rsidRDefault="00BC5967" w:rsidP="00FC7213">
            <w:pPr>
              <w:spacing w:before="40" w:after="120"/>
              <w:ind w:right="57"/>
            </w:pPr>
            <w:r>
              <w:rPr>
                <w:b/>
              </w:rPr>
              <w:t>Paragraphe 12</w:t>
            </w:r>
            <w:r w:rsidRPr="00D818DD">
              <w:rPr>
                <w:b/>
              </w:rPr>
              <w:t xml:space="preserve">: </w:t>
            </w:r>
          </w:p>
        </w:tc>
        <w:tc>
          <w:tcPr>
            <w:tcW w:w="6521" w:type="dxa"/>
            <w:shd w:val="clear" w:color="auto" w:fill="auto"/>
          </w:tcPr>
          <w:p w:rsidR="00BC5967" w:rsidRPr="00207349" w:rsidRDefault="00BC5967" w:rsidP="00FC7213">
            <w:pPr>
              <w:spacing w:before="40" w:after="120"/>
              <w:ind w:right="57"/>
            </w:pPr>
            <w:r w:rsidRPr="00207349">
              <w:rPr>
                <w:b/>
              </w:rPr>
              <w:t>L’État partie devrait limiter strictement la détention avant jugement des mineurs et, dans la mesure du possible, appliquer des mesures de substitution à la détention avant jugement.</w:t>
            </w:r>
          </w:p>
        </w:tc>
      </w:tr>
      <w:tr w:rsidR="00BC5967" w:rsidRPr="004431E4" w:rsidTr="00A23D20">
        <w:tc>
          <w:tcPr>
            <w:tcW w:w="1985" w:type="dxa"/>
            <w:shd w:val="clear" w:color="auto" w:fill="auto"/>
          </w:tcPr>
          <w:p w:rsidR="00BC5967" w:rsidRPr="009E7352" w:rsidRDefault="00BC5967" w:rsidP="00FC7213">
            <w:pPr>
              <w:spacing w:before="40" w:after="120"/>
              <w:ind w:right="57"/>
            </w:pPr>
            <w:r w:rsidRPr="009E7352">
              <w:t>Résumé réponse l’État partie:</w:t>
            </w:r>
          </w:p>
        </w:tc>
        <w:tc>
          <w:tcPr>
            <w:tcW w:w="6521" w:type="dxa"/>
            <w:shd w:val="clear" w:color="auto" w:fill="auto"/>
          </w:tcPr>
          <w:p w:rsidR="00BC5967" w:rsidRPr="005D174B" w:rsidRDefault="00BC5967" w:rsidP="00FC7213">
            <w:pPr>
              <w:spacing w:before="40" w:after="120"/>
              <w:ind w:right="57"/>
            </w:pPr>
            <w:r w:rsidRPr="005D174B">
              <w:t xml:space="preserve">En vertu de la loi de janvier 2012, la détention avant jugement des enfants est autorisée seulement dans des cas de «nécessité impérieuse». Les enfants doivent être présentés à un juge au plus tard le lendemain de l’arrestation. </w:t>
            </w:r>
          </w:p>
        </w:tc>
      </w:tr>
      <w:tr w:rsidR="00BC5967" w:rsidRPr="004431E4" w:rsidTr="00A23D20">
        <w:tc>
          <w:tcPr>
            <w:tcW w:w="1985" w:type="dxa"/>
            <w:shd w:val="clear" w:color="auto" w:fill="auto"/>
          </w:tcPr>
          <w:p w:rsidR="00BC5967" w:rsidRPr="009E7352" w:rsidRDefault="00BC5967" w:rsidP="00FC7213">
            <w:pPr>
              <w:spacing w:before="40" w:after="120"/>
              <w:ind w:right="57"/>
            </w:pPr>
            <w:r w:rsidRPr="009179D1">
              <w:t>Informations d’ONG:</w:t>
            </w:r>
            <w:r w:rsidRPr="009179D1">
              <w:rPr>
                <w:b/>
              </w:rPr>
              <w:t xml:space="preserve"> </w:t>
            </w:r>
          </w:p>
        </w:tc>
        <w:tc>
          <w:tcPr>
            <w:tcW w:w="6521" w:type="dxa"/>
            <w:shd w:val="clear" w:color="auto" w:fill="auto"/>
          </w:tcPr>
          <w:p w:rsidR="00BC5967" w:rsidRPr="005D174B" w:rsidRDefault="00BC5967" w:rsidP="00FC7213">
            <w:pPr>
              <w:spacing w:before="40" w:after="120"/>
              <w:ind w:right="57"/>
            </w:pPr>
            <w:r w:rsidRPr="005D174B">
              <w:t>Le Ministère de la justice n’était pas favorable à la proposition d’interdiction totale du recours à la détention provisoire des mineurs. Une nouvelle législation devrait être appliquée, comportant une définition précis</w:t>
            </w:r>
            <w:r>
              <w:t>e et rigoureuse des critères d’</w:t>
            </w:r>
            <w:r w:rsidRPr="005D174B">
              <w:t>application. Des préoccupations persistent du fait que les enfants purgent presque toujours leur peine avec des adultes. Il existe seulement un centre de détention pour mineurs comportant quatre cellules.</w:t>
            </w:r>
          </w:p>
        </w:tc>
      </w:tr>
      <w:tr w:rsidR="00BC5967" w:rsidRPr="004431E4" w:rsidTr="00A23D20">
        <w:tc>
          <w:tcPr>
            <w:tcW w:w="1985" w:type="dxa"/>
            <w:shd w:val="clear" w:color="auto" w:fill="auto"/>
          </w:tcPr>
          <w:p w:rsidR="00BC5967" w:rsidRPr="009E7352" w:rsidRDefault="00BC5967" w:rsidP="00FC7213">
            <w:pPr>
              <w:spacing w:before="40" w:after="120"/>
              <w:ind w:right="57"/>
            </w:pPr>
            <w:r w:rsidRPr="00F71353">
              <w:t>Évaluation Comité:</w:t>
            </w:r>
          </w:p>
        </w:tc>
        <w:tc>
          <w:tcPr>
            <w:tcW w:w="6521" w:type="dxa"/>
            <w:shd w:val="clear" w:color="auto" w:fill="auto"/>
          </w:tcPr>
          <w:p w:rsidR="00BC5967" w:rsidRPr="005D174B" w:rsidRDefault="00BC5967" w:rsidP="00FC7213">
            <w:pPr>
              <w:spacing w:before="40" w:after="120"/>
              <w:ind w:right="57"/>
            </w:pPr>
            <w:r w:rsidRPr="00456D5E">
              <w:rPr>
                <w:b/>
              </w:rPr>
              <w:t>[B2</w:t>
            </w:r>
            <w:r w:rsidR="00FC7213">
              <w:rPr>
                <w:b/>
              </w:rPr>
              <w:t xml:space="preserve">] </w:t>
            </w:r>
            <w:r w:rsidRPr="005D174B">
              <w:t>Des informations supplémentaires sont requises sur: i) les critères précis définissant la «nécessité impérieuse» pour la détention avant jugement des mineurs</w:t>
            </w:r>
            <w:r>
              <w:t>;</w:t>
            </w:r>
            <w:r w:rsidRPr="005D174B">
              <w:t xml:space="preserve"> et ii) les mesures prises pour veiller à ce que les mineurs détenus soient systématiquement séparés des adultes.</w:t>
            </w:r>
          </w:p>
        </w:tc>
      </w:tr>
      <w:tr w:rsidR="00BC5967" w:rsidRPr="004431E4" w:rsidTr="00A23D20">
        <w:tc>
          <w:tcPr>
            <w:tcW w:w="1985" w:type="dxa"/>
            <w:shd w:val="clear" w:color="auto" w:fill="auto"/>
          </w:tcPr>
          <w:p w:rsidR="00BC5967" w:rsidRPr="00B45418" w:rsidRDefault="00BC5967" w:rsidP="00FC7213">
            <w:pPr>
              <w:spacing w:before="40" w:after="120"/>
              <w:ind w:right="57"/>
            </w:pPr>
            <w:r>
              <w:t>Mesure recommandée</w:t>
            </w:r>
            <w:r w:rsidRPr="0077644B">
              <w:t>:</w:t>
            </w:r>
          </w:p>
        </w:tc>
        <w:tc>
          <w:tcPr>
            <w:tcW w:w="6521" w:type="dxa"/>
            <w:shd w:val="clear" w:color="auto" w:fill="auto"/>
          </w:tcPr>
          <w:p w:rsidR="00BC5967" w:rsidRPr="00BA482E" w:rsidRDefault="00BC5967" w:rsidP="00FC7213">
            <w:pPr>
              <w:spacing w:before="40" w:after="120"/>
              <w:ind w:right="57"/>
              <w:rPr>
                <w:spacing w:val="-2"/>
              </w:rPr>
            </w:pPr>
            <w:r w:rsidRPr="005D174B">
              <w:t xml:space="preserve">Une lettre </w:t>
            </w:r>
            <w:r>
              <w:t>présentant</w:t>
            </w:r>
            <w:r w:rsidRPr="005D174B">
              <w:t xml:space="preserve"> l’analyse du Comité</w:t>
            </w:r>
            <w:r w:rsidRPr="00BA482E">
              <w:rPr>
                <w:spacing w:val="-2"/>
              </w:rPr>
              <w:t>.</w:t>
            </w:r>
          </w:p>
        </w:tc>
      </w:tr>
      <w:tr w:rsidR="00BC5967" w:rsidRPr="004431E4" w:rsidTr="00A23D20">
        <w:tc>
          <w:tcPr>
            <w:tcW w:w="1985" w:type="dxa"/>
            <w:tcBorders>
              <w:bottom w:val="single" w:sz="12" w:space="0" w:color="auto"/>
            </w:tcBorders>
            <w:shd w:val="clear" w:color="auto" w:fill="auto"/>
          </w:tcPr>
          <w:p w:rsidR="00BC5967" w:rsidRPr="00B45418" w:rsidRDefault="00BC5967" w:rsidP="00FC7213">
            <w:pPr>
              <w:spacing w:before="40" w:after="120"/>
              <w:ind w:right="57"/>
            </w:pPr>
            <w:r w:rsidRPr="001F387E">
              <w:t>Prochain rapport périodique:</w:t>
            </w:r>
            <w:r>
              <w:t xml:space="preserve"> </w:t>
            </w:r>
          </w:p>
        </w:tc>
        <w:tc>
          <w:tcPr>
            <w:tcW w:w="6521" w:type="dxa"/>
            <w:tcBorders>
              <w:bottom w:val="single" w:sz="12" w:space="0" w:color="auto"/>
            </w:tcBorders>
            <w:shd w:val="clear" w:color="auto" w:fill="auto"/>
          </w:tcPr>
          <w:p w:rsidR="00BC5967" w:rsidRPr="00B45418" w:rsidRDefault="00BC5967" w:rsidP="00FC7213">
            <w:pPr>
              <w:spacing w:before="40" w:after="120"/>
              <w:ind w:right="57"/>
            </w:pPr>
            <w:r w:rsidRPr="005D174B">
              <w:t>2</w:t>
            </w:r>
            <w:r w:rsidR="00703D6D">
              <w:t>/11/</w:t>
            </w:r>
            <w:r w:rsidRPr="005D174B">
              <w:t>16</w:t>
            </w:r>
          </w:p>
        </w:tc>
      </w:tr>
    </w:tbl>
    <w:p w:rsidR="00BC5967" w:rsidRDefault="00BC5967" w:rsidP="00BC5967">
      <w:pPr>
        <w:pStyle w:val="SingleTxtG"/>
      </w:pPr>
    </w:p>
    <w:tbl>
      <w:tblPr>
        <w:tblW w:w="8506" w:type="dxa"/>
        <w:tblInd w:w="1134" w:type="dxa"/>
        <w:tblLayout w:type="fixed"/>
        <w:tblCellMar>
          <w:left w:w="0" w:type="dxa"/>
          <w:right w:w="0" w:type="dxa"/>
        </w:tblCellMar>
        <w:tblLook w:val="00A0"/>
      </w:tblPr>
      <w:tblGrid>
        <w:gridCol w:w="1985"/>
        <w:gridCol w:w="6521"/>
      </w:tblGrid>
      <w:tr w:rsidR="00BC5967" w:rsidRPr="004431E4" w:rsidTr="00A23D20">
        <w:trPr>
          <w:tblHeader/>
        </w:trPr>
        <w:tc>
          <w:tcPr>
            <w:tcW w:w="1985" w:type="dxa"/>
            <w:tcBorders>
              <w:top w:val="single" w:sz="4" w:space="0" w:color="auto"/>
              <w:bottom w:val="single" w:sz="12" w:space="0" w:color="auto"/>
            </w:tcBorders>
            <w:shd w:val="clear" w:color="auto" w:fill="auto"/>
          </w:tcPr>
          <w:p w:rsidR="00BC5967" w:rsidRPr="004431E4" w:rsidRDefault="00BC5967" w:rsidP="00FC7213">
            <w:pPr>
              <w:keepNext/>
              <w:spacing w:before="80" w:after="80" w:line="200" w:lineRule="exact"/>
              <w:ind w:right="57"/>
              <w:rPr>
                <w:i/>
                <w:sz w:val="16"/>
                <w:lang w:val="fr-FR"/>
              </w:rPr>
            </w:pPr>
            <w:r>
              <w:rPr>
                <w:i/>
                <w:sz w:val="16"/>
              </w:rPr>
              <w:t>Jamaïque</w:t>
            </w:r>
          </w:p>
        </w:tc>
        <w:tc>
          <w:tcPr>
            <w:tcW w:w="6521" w:type="dxa"/>
            <w:tcBorders>
              <w:top w:val="single" w:sz="4" w:space="0" w:color="auto"/>
              <w:bottom w:val="single" w:sz="12" w:space="0" w:color="auto"/>
            </w:tcBorders>
            <w:shd w:val="clear" w:color="auto" w:fill="auto"/>
          </w:tcPr>
          <w:p w:rsidR="00BC5967" w:rsidRPr="004431E4" w:rsidRDefault="00BC5967" w:rsidP="00FC7213">
            <w:pPr>
              <w:keepNext/>
              <w:spacing w:before="80" w:after="80" w:line="200" w:lineRule="exact"/>
              <w:ind w:right="57"/>
              <w:rPr>
                <w:i/>
                <w:sz w:val="16"/>
                <w:lang w:val="fr-FR"/>
              </w:rPr>
            </w:pPr>
          </w:p>
        </w:tc>
      </w:tr>
      <w:tr w:rsidR="00BC5967" w:rsidRPr="004431E4" w:rsidTr="00A23D20">
        <w:trPr>
          <w:trHeight w:hRule="exact" w:val="113"/>
          <w:tblHeader/>
        </w:trPr>
        <w:tc>
          <w:tcPr>
            <w:tcW w:w="1985" w:type="dxa"/>
            <w:tcBorders>
              <w:top w:val="single" w:sz="12" w:space="0" w:color="auto"/>
            </w:tcBorders>
            <w:shd w:val="clear" w:color="auto" w:fill="auto"/>
          </w:tcPr>
          <w:p w:rsidR="00BC5967" w:rsidRPr="004431E4" w:rsidRDefault="00BC5967" w:rsidP="00FC7213">
            <w:pPr>
              <w:keepNext/>
              <w:spacing w:before="40" w:after="120"/>
              <w:ind w:right="57"/>
              <w:rPr>
                <w:lang w:val="fr-FR"/>
              </w:rPr>
            </w:pPr>
          </w:p>
        </w:tc>
        <w:tc>
          <w:tcPr>
            <w:tcW w:w="6521" w:type="dxa"/>
            <w:tcBorders>
              <w:top w:val="single" w:sz="12" w:space="0" w:color="auto"/>
            </w:tcBorders>
            <w:shd w:val="clear" w:color="auto" w:fill="auto"/>
          </w:tcPr>
          <w:p w:rsidR="00BC5967" w:rsidRPr="004431E4" w:rsidRDefault="00BC5967" w:rsidP="00FC7213">
            <w:pPr>
              <w:keepNext/>
              <w:spacing w:before="40" w:after="120"/>
              <w:ind w:right="57"/>
              <w:rPr>
                <w:lang w:val="fr-FR"/>
              </w:rPr>
            </w:pPr>
          </w:p>
        </w:tc>
      </w:tr>
      <w:tr w:rsidR="00BC5967" w:rsidRPr="004431E4" w:rsidTr="00A23D20">
        <w:tc>
          <w:tcPr>
            <w:tcW w:w="1985" w:type="dxa"/>
            <w:shd w:val="clear" w:color="auto" w:fill="auto"/>
          </w:tcPr>
          <w:p w:rsidR="00BC5967" w:rsidRPr="004431E4" w:rsidRDefault="00BC5967" w:rsidP="00D8116B">
            <w:pPr>
              <w:keepNext/>
              <w:spacing w:before="40" w:after="100"/>
              <w:ind w:right="57"/>
              <w:rPr>
                <w:lang w:val="fr-FR"/>
              </w:rPr>
            </w:pPr>
            <w:r w:rsidRPr="004431E4">
              <w:rPr>
                <w:lang w:val="fr-FR"/>
              </w:rPr>
              <w:t>Observations finales</w:t>
            </w:r>
          </w:p>
        </w:tc>
        <w:tc>
          <w:tcPr>
            <w:tcW w:w="6521" w:type="dxa"/>
            <w:shd w:val="clear" w:color="auto" w:fill="auto"/>
          </w:tcPr>
          <w:p w:rsidR="00BC5967" w:rsidRPr="006A3EF4" w:rsidRDefault="00BC5967" w:rsidP="00D8116B">
            <w:pPr>
              <w:keepNext/>
              <w:spacing w:before="40" w:after="100"/>
              <w:ind w:right="57"/>
            </w:pPr>
            <w:r w:rsidRPr="00C7498A">
              <w:t>CCPR/C/JAM/CO/3</w:t>
            </w:r>
            <w:r w:rsidRPr="00EB5320">
              <w:t xml:space="preserve">, adoptées le </w:t>
            </w:r>
            <w:r>
              <w:t>17</w:t>
            </w:r>
            <w:r w:rsidR="00703D6D">
              <w:t>/11/</w:t>
            </w:r>
            <w:r w:rsidRPr="00EB5320">
              <w:t>11</w:t>
            </w:r>
          </w:p>
        </w:tc>
      </w:tr>
      <w:tr w:rsidR="00BC5967" w:rsidRPr="004431E4" w:rsidTr="00A23D20">
        <w:tc>
          <w:tcPr>
            <w:tcW w:w="1985" w:type="dxa"/>
            <w:shd w:val="clear" w:color="auto" w:fill="auto"/>
          </w:tcPr>
          <w:p w:rsidR="00BC5967" w:rsidRPr="004431E4" w:rsidRDefault="00BC5967" w:rsidP="00D8116B">
            <w:pPr>
              <w:spacing w:before="40" w:after="100"/>
              <w:ind w:right="57"/>
            </w:pPr>
            <w:r w:rsidRPr="004431E4">
              <w:t>Paragraphes faisant l</w:t>
            </w:r>
            <w:r>
              <w:t>’</w:t>
            </w:r>
            <w:r w:rsidRPr="004431E4">
              <w:t>objet d</w:t>
            </w:r>
            <w:r>
              <w:t>’</w:t>
            </w:r>
            <w:r w:rsidRPr="004431E4">
              <w:t>un suivi:</w:t>
            </w:r>
          </w:p>
        </w:tc>
        <w:tc>
          <w:tcPr>
            <w:tcW w:w="6521" w:type="dxa"/>
            <w:shd w:val="clear" w:color="auto" w:fill="auto"/>
          </w:tcPr>
          <w:p w:rsidR="00BC5967" w:rsidRPr="00AF28A6" w:rsidRDefault="00BC5967" w:rsidP="00D8116B">
            <w:pPr>
              <w:spacing w:before="40" w:after="100"/>
              <w:ind w:right="57"/>
            </w:pPr>
            <w:r>
              <w:t>8, 16, 23</w:t>
            </w:r>
          </w:p>
        </w:tc>
      </w:tr>
      <w:tr w:rsidR="00BC5967" w:rsidRPr="004431E4" w:rsidTr="00A23D20">
        <w:tc>
          <w:tcPr>
            <w:tcW w:w="1985" w:type="dxa"/>
            <w:shd w:val="clear" w:color="auto" w:fill="auto"/>
          </w:tcPr>
          <w:p w:rsidR="00BC5967" w:rsidRPr="004431E4" w:rsidRDefault="00BC5967" w:rsidP="00D8116B">
            <w:pPr>
              <w:spacing w:before="40" w:after="100"/>
              <w:ind w:right="57"/>
            </w:pPr>
            <w:r>
              <w:t>Première réponse</w:t>
            </w:r>
            <w:r>
              <w:br/>
              <w:t>de l’État partie:</w:t>
            </w:r>
          </w:p>
        </w:tc>
        <w:tc>
          <w:tcPr>
            <w:tcW w:w="6521" w:type="dxa"/>
            <w:shd w:val="clear" w:color="auto" w:fill="auto"/>
          </w:tcPr>
          <w:p w:rsidR="00BC5967" w:rsidRPr="00C443FD" w:rsidRDefault="00BC5967" w:rsidP="00D8116B">
            <w:pPr>
              <w:spacing w:before="40" w:after="100"/>
              <w:ind w:right="57"/>
            </w:pPr>
            <w:r w:rsidRPr="00EB5320">
              <w:t xml:space="preserve">Attendue le </w:t>
            </w:r>
            <w:r>
              <w:t>17</w:t>
            </w:r>
            <w:r w:rsidR="00703D6D">
              <w:t>/11/</w:t>
            </w:r>
            <w:r>
              <w:t>11</w:t>
            </w:r>
            <w:r w:rsidRPr="00EB5320">
              <w:t xml:space="preserve"> − Reçue le </w:t>
            </w:r>
            <w:r>
              <w:t>19</w:t>
            </w:r>
            <w:r w:rsidR="00703D6D">
              <w:t>/11/</w:t>
            </w:r>
            <w:r w:rsidRPr="00EB5320">
              <w:t>12</w:t>
            </w:r>
          </w:p>
        </w:tc>
      </w:tr>
      <w:tr w:rsidR="00BC5967" w:rsidRPr="004431E4" w:rsidTr="00A23D20">
        <w:tc>
          <w:tcPr>
            <w:tcW w:w="1985" w:type="dxa"/>
            <w:shd w:val="clear" w:color="auto" w:fill="auto"/>
          </w:tcPr>
          <w:p w:rsidR="00BC5967" w:rsidRDefault="00BC5967" w:rsidP="00D8116B">
            <w:pPr>
              <w:spacing w:before="40" w:after="100"/>
              <w:ind w:right="57"/>
            </w:pPr>
            <w:r w:rsidRPr="00B66730">
              <w:t>Informations d’ONG:</w:t>
            </w:r>
          </w:p>
        </w:tc>
        <w:tc>
          <w:tcPr>
            <w:tcW w:w="6521" w:type="dxa"/>
            <w:shd w:val="clear" w:color="auto" w:fill="auto"/>
          </w:tcPr>
          <w:p w:rsidR="00BC5967" w:rsidRPr="001036B5" w:rsidRDefault="00BC5967" w:rsidP="00D8116B">
            <w:pPr>
              <w:spacing w:before="40" w:after="100"/>
              <w:ind w:right="57"/>
            </w:pPr>
            <w:r>
              <w:t>7/12/2012: Jamaica Forum for Lesbians, All-sexuals and Gays (sur le paragraphe 8); 4/2/2013: Jamaicans for Justice and Jamaica FLAG.</w:t>
            </w:r>
          </w:p>
        </w:tc>
      </w:tr>
      <w:tr w:rsidR="00BC5967" w:rsidRPr="004431E4" w:rsidTr="00A23D20">
        <w:tc>
          <w:tcPr>
            <w:tcW w:w="1985" w:type="dxa"/>
            <w:shd w:val="clear" w:color="auto" w:fill="auto"/>
          </w:tcPr>
          <w:p w:rsidR="00BC5967" w:rsidRPr="00D818DD" w:rsidRDefault="00BC5967" w:rsidP="00D8116B">
            <w:pPr>
              <w:keepNext/>
              <w:spacing w:before="40" w:after="100"/>
              <w:ind w:right="57"/>
            </w:pPr>
            <w:r>
              <w:rPr>
                <w:b/>
              </w:rPr>
              <w:t>Paragraphe 8</w:t>
            </w:r>
            <w:r w:rsidRPr="00D818DD">
              <w:rPr>
                <w:b/>
              </w:rPr>
              <w:t xml:space="preserve">: </w:t>
            </w:r>
          </w:p>
        </w:tc>
        <w:tc>
          <w:tcPr>
            <w:tcW w:w="6521" w:type="dxa"/>
            <w:shd w:val="clear" w:color="auto" w:fill="auto"/>
          </w:tcPr>
          <w:p w:rsidR="00BC5967" w:rsidRPr="003D3B8A" w:rsidRDefault="00BC5967" w:rsidP="00D8116B">
            <w:pPr>
              <w:keepNext/>
              <w:spacing w:before="40" w:after="100"/>
              <w:ind w:right="57"/>
            </w:pPr>
            <w:r w:rsidRPr="003D3B8A">
              <w:rPr>
                <w:b/>
              </w:rPr>
              <w:t>L’État partie devrait modifier sa législation afin d’interdire la discrimination fondée sur le sexe, l’orientation sexuelle et l’identité de genre. Il devrait également dépénaliser les relations sexuelles entre adultes du même sexe consentant de façon à rendre sa législation conforme au Pacte et faire disparaître les préjugés et la stigmatisation sociale visant l’homosexualité. À cette fin, l’État partie devrait adresser un message clair indiquant qu’il ne tolérera aucune forme de harcèlement, de discrimination ou de violence à l’égard de personnes au motif de leur orientation sexuelle, et devrait faire en sorte que les individus qui incitent à la violence contre les homosexuels fassent l’objet d’enquête et soient poursuivis et dûment punis.</w:t>
            </w:r>
          </w:p>
        </w:tc>
      </w:tr>
      <w:tr w:rsidR="00BC5967" w:rsidRPr="004431E4" w:rsidTr="00A23D20">
        <w:tc>
          <w:tcPr>
            <w:tcW w:w="1985" w:type="dxa"/>
            <w:shd w:val="clear" w:color="auto" w:fill="auto"/>
          </w:tcPr>
          <w:p w:rsidR="00BC5967" w:rsidRPr="00B45418" w:rsidRDefault="00BC5967" w:rsidP="00703D6D">
            <w:pPr>
              <w:spacing w:before="40" w:after="100"/>
              <w:ind w:right="57"/>
            </w:pPr>
            <w:r w:rsidRPr="009E7352">
              <w:t>Résumé réponse l’État partie:</w:t>
            </w:r>
          </w:p>
        </w:tc>
        <w:tc>
          <w:tcPr>
            <w:tcW w:w="6521" w:type="dxa"/>
            <w:shd w:val="clear" w:color="auto" w:fill="auto"/>
          </w:tcPr>
          <w:p w:rsidR="00BC5967" w:rsidRPr="00B45418" w:rsidRDefault="00BC5967" w:rsidP="00D8116B">
            <w:pPr>
              <w:spacing w:before="40" w:after="100"/>
              <w:ind w:right="57"/>
            </w:pPr>
            <w:r>
              <w:t>Tous les citoyens ont le droit à l’égalité devant la loi et le droit de ne pas être l’objet de discrimination. La police jamaïcaine a adopté une politique de la diversité en août 2011, sur laquelle se fondent les comportements professionnels des policiers avec des membres de groupes minoritaires, y compris les membres de la communauté LGBT. Une culture de la non</w:t>
            </w:r>
            <w:r w:rsidR="00AD6492">
              <w:noBreakHyphen/>
            </w:r>
            <w:r>
              <w:t>violence est également promue par le biais de l’initiative contre les brimades lancée dans les écoles et dans les communautés.</w:t>
            </w:r>
          </w:p>
        </w:tc>
      </w:tr>
      <w:tr w:rsidR="00BC5967" w:rsidRPr="004431E4" w:rsidTr="00A23D20">
        <w:tc>
          <w:tcPr>
            <w:tcW w:w="1985" w:type="dxa"/>
            <w:shd w:val="clear" w:color="auto" w:fill="auto"/>
          </w:tcPr>
          <w:p w:rsidR="00BC5967" w:rsidRPr="00B45418" w:rsidRDefault="00BC5967" w:rsidP="00D8116B">
            <w:pPr>
              <w:spacing w:before="40" w:after="100"/>
              <w:ind w:right="57"/>
            </w:pPr>
            <w:r w:rsidRPr="009179D1">
              <w:t>Informations d’ONG:</w:t>
            </w:r>
            <w:r w:rsidRPr="009179D1">
              <w:rPr>
                <w:b/>
              </w:rPr>
              <w:t xml:space="preserve"> </w:t>
            </w:r>
          </w:p>
        </w:tc>
        <w:tc>
          <w:tcPr>
            <w:tcW w:w="6521" w:type="dxa"/>
            <w:shd w:val="clear" w:color="auto" w:fill="auto"/>
          </w:tcPr>
          <w:p w:rsidR="00BC5967" w:rsidRPr="00B45418" w:rsidRDefault="00DB320E" w:rsidP="00D8116B">
            <w:pPr>
              <w:tabs>
                <w:tab w:val="left" w:pos="284"/>
              </w:tabs>
              <w:spacing w:before="40" w:after="100"/>
              <w:ind w:right="57" w:hanging="284"/>
            </w:pPr>
            <w:r>
              <w:t>•</w:t>
            </w:r>
            <w:r>
              <w:tab/>
            </w:r>
            <w:r w:rsidR="00BC5967">
              <w:t>Les attitudes fortement négatives à l’égard de l’homosexualité sont toujours prédominantes. Le Gouvernement a annoncé récemment que le réexamen de la loi sur la sodomie n’était pas une priorité, et rares sont les mesures prises pour favoriser la tolérance et la non-violence.</w:t>
            </w:r>
          </w:p>
        </w:tc>
      </w:tr>
      <w:tr w:rsidR="00BC5967" w:rsidRPr="004431E4" w:rsidTr="00A23D20">
        <w:tc>
          <w:tcPr>
            <w:tcW w:w="1985" w:type="dxa"/>
            <w:shd w:val="clear" w:color="auto" w:fill="auto"/>
          </w:tcPr>
          <w:p w:rsidR="00BC5967" w:rsidRPr="009179D1" w:rsidRDefault="00BC5967" w:rsidP="00D8116B">
            <w:pPr>
              <w:spacing w:before="40" w:after="100"/>
              <w:ind w:right="57"/>
            </w:pPr>
          </w:p>
        </w:tc>
        <w:tc>
          <w:tcPr>
            <w:tcW w:w="6521" w:type="dxa"/>
            <w:shd w:val="clear" w:color="auto" w:fill="auto"/>
          </w:tcPr>
          <w:p w:rsidR="00BC5967" w:rsidRDefault="00DB320E" w:rsidP="00D8116B">
            <w:pPr>
              <w:tabs>
                <w:tab w:val="left" w:pos="284"/>
              </w:tabs>
              <w:spacing w:before="40" w:after="100"/>
              <w:ind w:right="57" w:hanging="284"/>
            </w:pPr>
            <w:r>
              <w:t>•</w:t>
            </w:r>
            <w:r>
              <w:tab/>
            </w:r>
            <w:r w:rsidR="00BC5967">
              <w:t>Entre janvier et novembre 2012, l’organisation Jamaica FLAG a reçu 39 signalements de cas de discrimination, de harcèlement et de violence liés à l’orientation sexuelle ou à l’identité de genre des victimes. Des obstacles importants empêchent les personnes appartenant à la communauté LGBT de demander une réparation.</w:t>
            </w:r>
          </w:p>
        </w:tc>
      </w:tr>
      <w:tr w:rsidR="00BC5967" w:rsidRPr="004431E4" w:rsidTr="00A23D20">
        <w:tc>
          <w:tcPr>
            <w:tcW w:w="1985" w:type="dxa"/>
            <w:shd w:val="clear" w:color="auto" w:fill="auto"/>
          </w:tcPr>
          <w:p w:rsidR="00BC5967" w:rsidRPr="009179D1" w:rsidRDefault="00BC5967" w:rsidP="00D8116B">
            <w:pPr>
              <w:spacing w:before="40" w:after="100"/>
              <w:ind w:right="57"/>
            </w:pPr>
          </w:p>
        </w:tc>
        <w:tc>
          <w:tcPr>
            <w:tcW w:w="6521" w:type="dxa"/>
            <w:shd w:val="clear" w:color="auto" w:fill="auto"/>
          </w:tcPr>
          <w:p w:rsidR="00BC5967" w:rsidRDefault="00DB320E" w:rsidP="00D8116B">
            <w:pPr>
              <w:tabs>
                <w:tab w:val="left" w:pos="284"/>
              </w:tabs>
              <w:spacing w:before="40" w:after="100"/>
              <w:ind w:right="57" w:hanging="284"/>
            </w:pPr>
            <w:r>
              <w:t>•</w:t>
            </w:r>
            <w:r>
              <w:tab/>
            </w:r>
            <w:r w:rsidR="00BC5967">
              <w:t>Des formations ont été organisées et les crimes homophobes peuvent être signalés à un réseau de policiers spécialement formés. La police a assuré la sécurité lors de toutes les manifestations publiques contre l’homophobie et la discrimination. Il y a encore des difficultés avec certains membres de la police.</w:t>
            </w:r>
          </w:p>
        </w:tc>
      </w:tr>
      <w:tr w:rsidR="00BC5967" w:rsidRPr="004431E4" w:rsidTr="000D7B3A">
        <w:tc>
          <w:tcPr>
            <w:tcW w:w="1985" w:type="dxa"/>
            <w:shd w:val="clear" w:color="auto" w:fill="auto"/>
          </w:tcPr>
          <w:p w:rsidR="00BC5967" w:rsidRPr="00B45418" w:rsidRDefault="00BC5967" w:rsidP="00D8116B">
            <w:pPr>
              <w:spacing w:before="40" w:after="100"/>
              <w:ind w:right="57"/>
            </w:pPr>
            <w:r w:rsidRPr="00F71353">
              <w:t>Évaluation Comité:</w:t>
            </w:r>
          </w:p>
        </w:tc>
        <w:tc>
          <w:tcPr>
            <w:tcW w:w="6521" w:type="dxa"/>
            <w:shd w:val="clear" w:color="auto" w:fill="auto"/>
          </w:tcPr>
          <w:p w:rsidR="00BC5967" w:rsidRPr="00B45418" w:rsidRDefault="00BC5967" w:rsidP="00D8116B">
            <w:pPr>
              <w:spacing w:before="40" w:after="100"/>
              <w:ind w:right="57"/>
            </w:pPr>
            <w:r>
              <w:rPr>
                <w:b/>
              </w:rPr>
              <w:t>[C1</w:t>
            </w:r>
            <w:r w:rsidR="00FC7213">
              <w:rPr>
                <w:b/>
              </w:rPr>
              <w:t xml:space="preserve">] </w:t>
            </w:r>
            <w:r>
              <w:t>La recommandation n’a pas été mise en œuvre: la législation de l’État partie n’a pas été modifiée pour interdire la discrimination fondée sur le sexe, l’orientation sexuelle et l’identité de genre; les relations sexuelles entre adultes consentants du même sexe n’ont pas été dépénalisées; aucune information n’est fournie sur la manière dont l’initiative contre les brimades est soutenue par l’État partie ni sur les mesures prises pour que les personnes incitant à la violence contre les homosexuels fassent l’objet d’enquête, de poursuites et de sanction appropriées.</w:t>
            </w:r>
          </w:p>
        </w:tc>
      </w:tr>
      <w:tr w:rsidR="00BC5967" w:rsidRPr="004431E4" w:rsidTr="00A23D20">
        <w:tc>
          <w:tcPr>
            <w:tcW w:w="1985" w:type="dxa"/>
            <w:shd w:val="clear" w:color="auto" w:fill="auto"/>
          </w:tcPr>
          <w:p w:rsidR="00BC5967" w:rsidRPr="00F71353" w:rsidRDefault="00BC5967" w:rsidP="00FC7213">
            <w:pPr>
              <w:keepNext/>
              <w:spacing w:before="40" w:after="120"/>
              <w:ind w:right="57"/>
            </w:pPr>
            <w:r>
              <w:rPr>
                <w:b/>
              </w:rPr>
              <w:t>Paragraphe 16</w:t>
            </w:r>
            <w:r w:rsidRPr="00D818DD">
              <w:rPr>
                <w:b/>
              </w:rPr>
              <w:t xml:space="preserve">: </w:t>
            </w:r>
          </w:p>
        </w:tc>
        <w:tc>
          <w:tcPr>
            <w:tcW w:w="6521" w:type="dxa"/>
            <w:shd w:val="clear" w:color="auto" w:fill="auto"/>
          </w:tcPr>
          <w:p w:rsidR="00BC5967" w:rsidRPr="00DE2F92" w:rsidRDefault="00BC5967" w:rsidP="00FC7213">
            <w:pPr>
              <w:keepNext/>
              <w:spacing w:before="40" w:after="120"/>
              <w:ind w:right="57"/>
              <w:rPr>
                <w:b/>
              </w:rPr>
            </w:pPr>
            <w:r w:rsidRPr="00DE2F92">
              <w:rPr>
                <w:b/>
              </w:rPr>
              <w:t>L’État partie devrait suivre de près les allégations faisant état d’exécutions extrajudiciaires et garantir que dans tous les cas des enquêtes effectives soient menées sans délai en vue de faire cesser de telles pratiques, de traduire les responsables de ces crimes en justice et par conséquent de lutter contre l’impunité, ainsi que d’assurer des recours utiles aux victimes. À ce sujet, l’État partie devrait faire en sorte que la Commission indépendante d’enquête (INDECOM) soit dotée de ressources suffisantes pour lui permettre de mener à bonne fin, en toute indépendance, des enquêtes efficaces sur toutes les plaintes pour exécutions extrajudiciaires et agressions imputées aux membres des forces de l’ordre.</w:t>
            </w:r>
          </w:p>
        </w:tc>
      </w:tr>
      <w:tr w:rsidR="00BC5967" w:rsidRPr="004431E4" w:rsidTr="00A23D20">
        <w:tc>
          <w:tcPr>
            <w:tcW w:w="1985" w:type="dxa"/>
            <w:shd w:val="clear" w:color="auto" w:fill="auto"/>
          </w:tcPr>
          <w:p w:rsidR="00BC5967" w:rsidRDefault="00BC5967" w:rsidP="00FC7213">
            <w:pPr>
              <w:spacing w:before="40" w:after="120"/>
              <w:ind w:right="57"/>
              <w:rPr>
                <w:b/>
              </w:rPr>
            </w:pPr>
            <w:r w:rsidRPr="009E7352">
              <w:t>Résumé réponse l’État partie:</w:t>
            </w:r>
          </w:p>
        </w:tc>
        <w:tc>
          <w:tcPr>
            <w:tcW w:w="6521" w:type="dxa"/>
            <w:shd w:val="clear" w:color="auto" w:fill="auto"/>
          </w:tcPr>
          <w:p w:rsidR="00BC5967" w:rsidRPr="00DE2F92" w:rsidRDefault="00085FF7" w:rsidP="00FC7213">
            <w:pPr>
              <w:tabs>
                <w:tab w:val="left" w:pos="284"/>
              </w:tabs>
              <w:spacing w:before="40" w:after="120"/>
              <w:ind w:right="57" w:hanging="284"/>
              <w:rPr>
                <w:b/>
              </w:rPr>
            </w:pPr>
            <w:r>
              <w:t>•</w:t>
            </w:r>
            <w:r>
              <w:tab/>
            </w:r>
            <w:r w:rsidR="00BC5967">
              <w:t>La Commission indépendante d’enquête (INDECOM) a été créée en 2010 pour garantir que les exécutions extrajudiciaires fassent l’objet d’enquêtes rapides et effectives. Son budget et ses effectifs ont sensiblement augmenté (des données sont fournies). Les contraintes budgétaires demeurent un obstacle majeur. Le Ministère britannique du développement international (Department for International Development) fournira des fonds pour la formation et du matériel technique pendant une période de trois ans à compter de juin 2012.</w:t>
            </w:r>
          </w:p>
        </w:tc>
      </w:tr>
      <w:tr w:rsidR="00BC5967" w:rsidRPr="004431E4" w:rsidTr="00A23D20">
        <w:tc>
          <w:tcPr>
            <w:tcW w:w="1985" w:type="dxa"/>
            <w:shd w:val="clear" w:color="auto" w:fill="auto"/>
          </w:tcPr>
          <w:p w:rsidR="00BC5967" w:rsidRDefault="00BC5967" w:rsidP="00FC7213">
            <w:pPr>
              <w:spacing w:before="40" w:after="120"/>
              <w:ind w:right="57"/>
              <w:rPr>
                <w:b/>
              </w:rPr>
            </w:pPr>
          </w:p>
        </w:tc>
        <w:tc>
          <w:tcPr>
            <w:tcW w:w="6521" w:type="dxa"/>
            <w:shd w:val="clear" w:color="auto" w:fill="auto"/>
          </w:tcPr>
          <w:p w:rsidR="00BC5967" w:rsidRPr="00DE2F92" w:rsidRDefault="00085FF7" w:rsidP="00FC7213">
            <w:pPr>
              <w:tabs>
                <w:tab w:val="left" w:pos="284"/>
              </w:tabs>
              <w:spacing w:before="40" w:after="120"/>
              <w:ind w:right="57" w:hanging="284"/>
              <w:rPr>
                <w:b/>
              </w:rPr>
            </w:pPr>
            <w:r>
              <w:t>•</w:t>
            </w:r>
            <w:r>
              <w:tab/>
            </w:r>
            <w:r w:rsidR="00BC5967">
              <w:t>Le Gouvernement continue de prendre des mesures pour que les policiers impliqués dans des exécutions extrajudiciaires et qui ont fui le pays soient extradés afin d’être poursuivis. Un ancien policier a été reconnu coupable du meurtre d’une jeune fille de 14 ans en octobre 2008. Dans leurs contacts avec le public, les Forces de police jamaïcaines continuent d’appliquer la politique relative à l’usage de la force.</w:t>
            </w:r>
          </w:p>
        </w:tc>
      </w:tr>
      <w:tr w:rsidR="00BC5967" w:rsidRPr="004431E4" w:rsidTr="00A23D20">
        <w:tc>
          <w:tcPr>
            <w:tcW w:w="1985" w:type="dxa"/>
            <w:shd w:val="clear" w:color="auto" w:fill="auto"/>
          </w:tcPr>
          <w:p w:rsidR="00BC5967" w:rsidRDefault="00BC5967" w:rsidP="00FC7213">
            <w:pPr>
              <w:spacing w:before="40" w:after="120"/>
              <w:ind w:right="57"/>
              <w:rPr>
                <w:b/>
              </w:rPr>
            </w:pPr>
            <w:r w:rsidRPr="009179D1">
              <w:t>Informations d’ONG:</w:t>
            </w:r>
            <w:r w:rsidRPr="009179D1">
              <w:rPr>
                <w:b/>
              </w:rPr>
              <w:t xml:space="preserve"> </w:t>
            </w:r>
          </w:p>
        </w:tc>
        <w:tc>
          <w:tcPr>
            <w:tcW w:w="6521" w:type="dxa"/>
            <w:shd w:val="clear" w:color="auto" w:fill="auto"/>
          </w:tcPr>
          <w:p w:rsidR="00BC5967" w:rsidRPr="00DE2F92" w:rsidRDefault="00BC5967" w:rsidP="00FC7213">
            <w:pPr>
              <w:spacing w:before="40" w:after="120"/>
              <w:ind w:right="57"/>
              <w:rPr>
                <w:b/>
              </w:rPr>
            </w:pPr>
            <w:r>
              <w:t xml:space="preserve">Il y a encore des cas de civils tués par des agents de la force publique, et l’impunité règne. Il y a eu environ 199 cas d’exécutions extrajudiciaires en 2012. </w:t>
            </w:r>
          </w:p>
        </w:tc>
      </w:tr>
      <w:tr w:rsidR="00BC5967" w:rsidRPr="004431E4" w:rsidTr="00A23D20">
        <w:tc>
          <w:tcPr>
            <w:tcW w:w="1985" w:type="dxa"/>
            <w:shd w:val="clear" w:color="auto" w:fill="auto"/>
          </w:tcPr>
          <w:p w:rsidR="00BC5967" w:rsidRPr="009179D1" w:rsidRDefault="00BC5967" w:rsidP="00FC7213">
            <w:pPr>
              <w:spacing w:before="40" w:after="120"/>
              <w:ind w:right="57"/>
            </w:pPr>
            <w:r w:rsidRPr="00F71353">
              <w:t>Évaluation Comité:</w:t>
            </w:r>
          </w:p>
        </w:tc>
        <w:tc>
          <w:tcPr>
            <w:tcW w:w="6521" w:type="dxa"/>
            <w:shd w:val="clear" w:color="auto" w:fill="auto"/>
          </w:tcPr>
          <w:p w:rsidR="00BC5967" w:rsidRDefault="00BC5967" w:rsidP="00FC7213">
            <w:pPr>
              <w:spacing w:before="40" w:after="120"/>
              <w:ind w:right="57"/>
            </w:pPr>
            <w:r>
              <w:rPr>
                <w:b/>
              </w:rPr>
              <w:t>[B2</w:t>
            </w:r>
            <w:r w:rsidR="00FC7213">
              <w:rPr>
                <w:b/>
              </w:rPr>
              <w:t xml:space="preserve">] </w:t>
            </w:r>
            <w:r>
              <w:t>Des mesures supplémentaires demeurent nécessaires pour encourager les victimes d’exécutions extrajudiciaires à porter plainte et pour favoriser les enquêtes sur ces cas et les sanctions.</w:t>
            </w:r>
          </w:p>
        </w:tc>
      </w:tr>
      <w:tr w:rsidR="00BC5967" w:rsidRPr="004431E4" w:rsidTr="00A23D20">
        <w:tc>
          <w:tcPr>
            <w:tcW w:w="1985" w:type="dxa"/>
            <w:shd w:val="clear" w:color="auto" w:fill="auto"/>
          </w:tcPr>
          <w:p w:rsidR="00BC5967" w:rsidRPr="009179D1" w:rsidRDefault="00BC5967" w:rsidP="00FC7213">
            <w:pPr>
              <w:spacing w:before="40" w:after="120"/>
              <w:ind w:right="57"/>
            </w:pPr>
          </w:p>
        </w:tc>
        <w:tc>
          <w:tcPr>
            <w:tcW w:w="6521" w:type="dxa"/>
            <w:shd w:val="clear" w:color="auto" w:fill="auto"/>
          </w:tcPr>
          <w:p w:rsidR="00BC5967" w:rsidRDefault="00BC5967" w:rsidP="00FC7213">
            <w:pPr>
              <w:spacing w:before="40" w:after="120"/>
              <w:ind w:right="57"/>
            </w:pPr>
            <w:r w:rsidRPr="00AA5221">
              <w:rPr>
                <w:b/>
                <w:bCs/>
              </w:rPr>
              <w:t>[D1</w:t>
            </w:r>
            <w:r w:rsidR="00FC7213">
              <w:rPr>
                <w:b/>
                <w:bCs/>
              </w:rPr>
              <w:t xml:space="preserve">] </w:t>
            </w:r>
            <w:r w:rsidRPr="00F52952">
              <w:t>L’État partie ne fournit pas</w:t>
            </w:r>
            <w:r>
              <w:t xml:space="preserve"> d’information sur les recours ouverts aux victimes d’exécutions extrajudiciaires.</w:t>
            </w:r>
          </w:p>
        </w:tc>
      </w:tr>
      <w:tr w:rsidR="00BC5967" w:rsidRPr="004431E4" w:rsidTr="00A23D20">
        <w:tc>
          <w:tcPr>
            <w:tcW w:w="1985" w:type="dxa"/>
            <w:shd w:val="clear" w:color="auto" w:fill="auto"/>
          </w:tcPr>
          <w:p w:rsidR="00BC5967" w:rsidRPr="009179D1" w:rsidRDefault="00BC5967" w:rsidP="00FC7213">
            <w:pPr>
              <w:spacing w:before="40" w:after="120"/>
              <w:ind w:right="57"/>
            </w:pPr>
            <w:r>
              <w:rPr>
                <w:b/>
              </w:rPr>
              <w:t>Paragraphe 23</w:t>
            </w:r>
            <w:r w:rsidRPr="00D818DD">
              <w:rPr>
                <w:b/>
              </w:rPr>
              <w:t xml:space="preserve">: </w:t>
            </w:r>
          </w:p>
        </w:tc>
        <w:tc>
          <w:tcPr>
            <w:tcW w:w="6521" w:type="dxa"/>
            <w:shd w:val="clear" w:color="auto" w:fill="auto"/>
          </w:tcPr>
          <w:p w:rsidR="00BC5967" w:rsidRPr="00DE2F92" w:rsidRDefault="00BC5967" w:rsidP="00FC7213">
            <w:pPr>
              <w:spacing w:before="40" w:after="120"/>
              <w:ind w:right="57"/>
            </w:pPr>
            <w:r w:rsidRPr="00DE2F92">
              <w:rPr>
                <w:b/>
              </w:rPr>
              <w:t>L’État partie devrait d’urgence prendre des mesures efficaces pour atténuer la surpopulation dans les lieux de détention et garantir des conditions carcérales qui respectent la dignité des prisonniers, conformément à l’article 10 du Pacte. Il devrait mettre en place un système permettant de séparer les prévenus des condamnés et les mineurs des autres prisonniers. L’État partie devrait en particulier prendre des mesures pour que les dispositions de l’Ensemble de règles minima pour le traitement des détenus soient respectées. En outre, il devrait envisager de faire davantage usage des peines de substitution non privatives de liberté afin d’atténuer le problème de la surpopulation carcérale.</w:t>
            </w:r>
          </w:p>
        </w:tc>
      </w:tr>
      <w:tr w:rsidR="00BC5967" w:rsidRPr="004431E4" w:rsidTr="00DB320E">
        <w:trPr>
          <w:cantSplit/>
        </w:trPr>
        <w:tc>
          <w:tcPr>
            <w:tcW w:w="1985" w:type="dxa"/>
            <w:shd w:val="clear" w:color="auto" w:fill="auto"/>
          </w:tcPr>
          <w:p w:rsidR="00BC5967" w:rsidRDefault="00BC5967" w:rsidP="00D8116B">
            <w:pPr>
              <w:keepNext/>
              <w:spacing w:before="40" w:after="120"/>
              <w:ind w:right="57"/>
              <w:rPr>
                <w:b/>
              </w:rPr>
            </w:pPr>
            <w:r w:rsidRPr="009E7352">
              <w:t>Résumé de la réponse de l’État partie:</w:t>
            </w:r>
          </w:p>
        </w:tc>
        <w:tc>
          <w:tcPr>
            <w:tcW w:w="6521" w:type="dxa"/>
            <w:shd w:val="clear" w:color="auto" w:fill="auto"/>
          </w:tcPr>
          <w:p w:rsidR="00BC5967" w:rsidRPr="00DE2F92" w:rsidRDefault="00085FF7" w:rsidP="00D8116B">
            <w:pPr>
              <w:keepNext/>
              <w:tabs>
                <w:tab w:val="left" w:pos="284"/>
              </w:tabs>
              <w:spacing w:before="40" w:after="120"/>
              <w:ind w:right="57" w:hanging="284"/>
              <w:rPr>
                <w:b/>
              </w:rPr>
            </w:pPr>
            <w:r>
              <w:t>•</w:t>
            </w:r>
            <w:r>
              <w:tab/>
            </w:r>
            <w:r w:rsidR="00BC5967">
              <w:t>Tout est mis en œuvre pour lutter contre la surpopulation: transfèrements de prisonniers et ouverture d’un centre d’hébergement pour hommes à faible risque. Une réflexion est menée sur la possibilité de construire de nouvelles prisons, mais cette possibilité est limitée par la gravité de la situation économique et financière.</w:t>
            </w:r>
          </w:p>
        </w:tc>
      </w:tr>
      <w:tr w:rsidR="00BC5967" w:rsidRPr="004431E4" w:rsidTr="00A23D20">
        <w:tc>
          <w:tcPr>
            <w:tcW w:w="1985" w:type="dxa"/>
            <w:shd w:val="clear" w:color="auto" w:fill="auto"/>
          </w:tcPr>
          <w:p w:rsidR="00BC5967" w:rsidRDefault="00BC5967" w:rsidP="00FC7213">
            <w:pPr>
              <w:spacing w:before="40" w:after="120"/>
              <w:ind w:right="57"/>
              <w:rPr>
                <w:b/>
              </w:rPr>
            </w:pPr>
          </w:p>
        </w:tc>
        <w:tc>
          <w:tcPr>
            <w:tcW w:w="6521" w:type="dxa"/>
            <w:shd w:val="clear" w:color="auto" w:fill="auto"/>
          </w:tcPr>
          <w:p w:rsidR="00BC5967" w:rsidRPr="00DE2F92" w:rsidRDefault="00085FF7" w:rsidP="00FC7213">
            <w:pPr>
              <w:tabs>
                <w:tab w:val="left" w:pos="284"/>
              </w:tabs>
              <w:spacing w:before="40" w:after="120"/>
              <w:ind w:right="57" w:hanging="284"/>
              <w:rPr>
                <w:b/>
              </w:rPr>
            </w:pPr>
            <w:r>
              <w:t>•</w:t>
            </w:r>
            <w:r>
              <w:tab/>
            </w:r>
            <w:r w:rsidR="00BC5967">
              <w:t xml:space="preserve">Il existe déjà un système permettant de séparer les prévenus des condamnés. Certains établissements sont rénovés afin que les filles et les femmes ne partagent pas les mêmes locaux. Les garçons sont détenus au centre de détention provisoire de Metcalf Street. </w:t>
            </w:r>
          </w:p>
        </w:tc>
      </w:tr>
      <w:tr w:rsidR="006E1E09" w:rsidRPr="004431E4" w:rsidTr="00A23D20">
        <w:tc>
          <w:tcPr>
            <w:tcW w:w="1985" w:type="dxa"/>
            <w:shd w:val="clear" w:color="auto" w:fill="auto"/>
          </w:tcPr>
          <w:p w:rsidR="006E1E09" w:rsidRDefault="006E1E09" w:rsidP="00FC7213">
            <w:pPr>
              <w:spacing w:before="40" w:after="120"/>
              <w:ind w:right="57"/>
              <w:rPr>
                <w:b/>
              </w:rPr>
            </w:pPr>
          </w:p>
        </w:tc>
        <w:tc>
          <w:tcPr>
            <w:tcW w:w="6521" w:type="dxa"/>
            <w:shd w:val="clear" w:color="auto" w:fill="auto"/>
          </w:tcPr>
          <w:p w:rsidR="006E1E09" w:rsidRDefault="006E1E09" w:rsidP="00FC7213">
            <w:pPr>
              <w:tabs>
                <w:tab w:val="left" w:pos="284"/>
              </w:tabs>
              <w:spacing w:before="40" w:after="120"/>
              <w:ind w:right="57" w:hanging="284"/>
            </w:pPr>
            <w:r>
              <w:t>•</w:t>
            </w:r>
            <w:r>
              <w:tab/>
              <w:t>On s’efforce de faire examiner les affaires concernant des enfants par le Tribunal d’instance (</w:t>
            </w:r>
            <w:r>
              <w:rPr>
                <w:i/>
              </w:rPr>
              <w:t>Resident Magistrate Court</w:t>
            </w:r>
            <w:r>
              <w:t>) à huis clos lorsque le tribunal pour enfants ne siège pas. Les autorités s’efforcent de mettre en œuvre le Plan national d’action en faveur de la justice pour mineurs (2010-2014), malgré le manque de ressources.</w:t>
            </w:r>
          </w:p>
        </w:tc>
      </w:tr>
      <w:tr w:rsidR="00BC5967" w:rsidRPr="004431E4" w:rsidTr="00A23D20">
        <w:tc>
          <w:tcPr>
            <w:tcW w:w="1985" w:type="dxa"/>
            <w:shd w:val="clear" w:color="auto" w:fill="auto"/>
          </w:tcPr>
          <w:p w:rsidR="00BC5967" w:rsidRDefault="00BC5967" w:rsidP="00FC7213">
            <w:pPr>
              <w:spacing w:before="40" w:after="120"/>
              <w:ind w:right="57"/>
              <w:rPr>
                <w:b/>
              </w:rPr>
            </w:pPr>
          </w:p>
        </w:tc>
        <w:tc>
          <w:tcPr>
            <w:tcW w:w="6521" w:type="dxa"/>
            <w:shd w:val="clear" w:color="auto" w:fill="auto"/>
          </w:tcPr>
          <w:p w:rsidR="00BC5967" w:rsidRDefault="00085FF7" w:rsidP="00FC7213">
            <w:pPr>
              <w:tabs>
                <w:tab w:val="left" w:pos="284"/>
              </w:tabs>
              <w:spacing w:before="40" w:after="120"/>
              <w:ind w:right="57" w:hanging="284"/>
            </w:pPr>
            <w:r>
              <w:t>•</w:t>
            </w:r>
            <w:r>
              <w:tab/>
            </w:r>
            <w:r w:rsidR="00BC5967">
              <w:t>Le Gouvernement poursuit ses actions de sensibilisation des magistrats aux peines de substitution et aux peines non privatives de liberté. Le système de libération conditionnelle a fait l’objet d’un examen en 2011.</w:t>
            </w:r>
          </w:p>
        </w:tc>
      </w:tr>
      <w:tr w:rsidR="00BC5967" w:rsidRPr="004431E4" w:rsidTr="00A23D20">
        <w:tc>
          <w:tcPr>
            <w:tcW w:w="1985" w:type="dxa"/>
            <w:shd w:val="clear" w:color="auto" w:fill="auto"/>
          </w:tcPr>
          <w:p w:rsidR="00BC5967" w:rsidRDefault="00BC5967" w:rsidP="00FC7213">
            <w:pPr>
              <w:spacing w:before="40" w:after="120"/>
              <w:ind w:right="57"/>
              <w:rPr>
                <w:b/>
              </w:rPr>
            </w:pPr>
            <w:r w:rsidRPr="009179D1">
              <w:t>Informations d’ONG:</w:t>
            </w:r>
            <w:r w:rsidRPr="009179D1">
              <w:rPr>
                <w:b/>
              </w:rPr>
              <w:t xml:space="preserve"> </w:t>
            </w:r>
          </w:p>
        </w:tc>
        <w:tc>
          <w:tcPr>
            <w:tcW w:w="6521" w:type="dxa"/>
            <w:shd w:val="clear" w:color="auto" w:fill="auto"/>
          </w:tcPr>
          <w:p w:rsidR="00BC5967" w:rsidRDefault="00BC5967" w:rsidP="00FC7213">
            <w:pPr>
              <w:spacing w:before="40" w:after="120"/>
              <w:ind w:right="57"/>
            </w:pPr>
            <w:r w:rsidRPr="00485D77">
              <w:t>La situation est déplorable dans les établissements pénitentiaires. Il y a peu de tentatives pour trouver des formules de substitution à l’emprisonnement, spécialement pour les enfants. Des mineurs sont détenus dans des cellules de garde à vue et dans des prisons pour adultes.</w:t>
            </w:r>
          </w:p>
        </w:tc>
      </w:tr>
      <w:tr w:rsidR="00BC5967" w:rsidRPr="004431E4" w:rsidTr="00A23D20">
        <w:tc>
          <w:tcPr>
            <w:tcW w:w="1985" w:type="dxa"/>
            <w:shd w:val="clear" w:color="auto" w:fill="auto"/>
          </w:tcPr>
          <w:p w:rsidR="00BC5967" w:rsidRDefault="00BC5967" w:rsidP="00FC7213">
            <w:pPr>
              <w:spacing w:before="40" w:after="120"/>
              <w:ind w:right="57"/>
              <w:rPr>
                <w:b/>
              </w:rPr>
            </w:pPr>
            <w:r w:rsidRPr="00F71353">
              <w:t>Évaluation du Comité:</w:t>
            </w:r>
          </w:p>
        </w:tc>
        <w:tc>
          <w:tcPr>
            <w:tcW w:w="6521" w:type="dxa"/>
            <w:shd w:val="clear" w:color="auto" w:fill="auto"/>
          </w:tcPr>
          <w:p w:rsidR="00BC5967" w:rsidRDefault="00BC5967" w:rsidP="00FC7213">
            <w:pPr>
              <w:spacing w:before="40" w:after="120"/>
              <w:ind w:right="57"/>
            </w:pPr>
            <w:r w:rsidRPr="00485D77">
              <w:rPr>
                <w:b/>
              </w:rPr>
              <w:t>[B2</w:t>
            </w:r>
            <w:r w:rsidR="00FC7213">
              <w:rPr>
                <w:b/>
              </w:rPr>
              <w:t xml:space="preserve">] </w:t>
            </w:r>
            <w:r>
              <w:t>Des informations additionnelles d</w:t>
            </w:r>
            <w:r w:rsidR="000D7B3A">
              <w:t>emeurent nécessaires sur: i) la </w:t>
            </w:r>
            <w:r>
              <w:t>proportion de filles détenues qui doivent partager des locaux communs avec les femmes; ii) les mesures prises pour mettre en œuvre le Plan national d’action en faveur de la justice pour mineurs (2010-2014); iii) la proportion de cas dans lesquels des peines non privatives de libe</w:t>
            </w:r>
            <w:r w:rsidR="000D7B3A">
              <w:t>rté ont été prononcées; et </w:t>
            </w:r>
            <w:r>
              <w:t>iv) les résultats de l’examen du système de li</w:t>
            </w:r>
            <w:r w:rsidR="000D7B3A">
              <w:t>bération conditionnelle mené en </w:t>
            </w:r>
            <w:r>
              <w:t>2011.</w:t>
            </w:r>
          </w:p>
        </w:tc>
      </w:tr>
      <w:tr w:rsidR="00BC5967" w:rsidRPr="004431E4" w:rsidTr="00A23D20">
        <w:tc>
          <w:tcPr>
            <w:tcW w:w="1985" w:type="dxa"/>
            <w:shd w:val="clear" w:color="auto" w:fill="auto"/>
          </w:tcPr>
          <w:p w:rsidR="00BC5967" w:rsidRPr="00B45418" w:rsidRDefault="00BC5967" w:rsidP="00FC7213">
            <w:pPr>
              <w:spacing w:before="40" w:after="120"/>
              <w:ind w:right="57"/>
            </w:pPr>
            <w:r>
              <w:t>Mesure</w:t>
            </w:r>
            <w:r w:rsidR="000D7B3A">
              <w:t>s</w:t>
            </w:r>
            <w:r>
              <w:t xml:space="preserve"> recommandée</w:t>
            </w:r>
            <w:r w:rsidR="000D7B3A">
              <w:t>s</w:t>
            </w:r>
            <w:r w:rsidRPr="0077644B">
              <w:t>:</w:t>
            </w:r>
          </w:p>
        </w:tc>
        <w:tc>
          <w:tcPr>
            <w:tcW w:w="6521" w:type="dxa"/>
            <w:shd w:val="clear" w:color="auto" w:fill="auto"/>
          </w:tcPr>
          <w:p w:rsidR="00BC5967" w:rsidRPr="00BA482E" w:rsidRDefault="00BC5967" w:rsidP="00972074">
            <w:pPr>
              <w:spacing w:before="40" w:after="120"/>
              <w:ind w:right="57"/>
              <w:rPr>
                <w:spacing w:val="-2"/>
              </w:rPr>
            </w:pPr>
            <w:r>
              <w:t xml:space="preserve">Une lettre présentant l’analyse du Comité. </w:t>
            </w:r>
          </w:p>
        </w:tc>
      </w:tr>
      <w:tr w:rsidR="00BC5967" w:rsidRPr="004431E4" w:rsidTr="00A23D20">
        <w:tc>
          <w:tcPr>
            <w:tcW w:w="1985" w:type="dxa"/>
            <w:tcBorders>
              <w:bottom w:val="single" w:sz="12" w:space="0" w:color="auto"/>
            </w:tcBorders>
            <w:shd w:val="clear" w:color="auto" w:fill="auto"/>
          </w:tcPr>
          <w:p w:rsidR="00BC5967" w:rsidRPr="00B45418" w:rsidRDefault="00BC5967" w:rsidP="00FC7213">
            <w:pPr>
              <w:spacing w:before="40" w:after="120"/>
              <w:ind w:right="57"/>
            </w:pPr>
            <w:r w:rsidRPr="001F387E">
              <w:t>Prochain rapport périodique:</w:t>
            </w:r>
            <w:r>
              <w:t xml:space="preserve"> </w:t>
            </w:r>
          </w:p>
        </w:tc>
        <w:tc>
          <w:tcPr>
            <w:tcW w:w="6521" w:type="dxa"/>
            <w:tcBorders>
              <w:bottom w:val="single" w:sz="12" w:space="0" w:color="auto"/>
            </w:tcBorders>
            <w:shd w:val="clear" w:color="auto" w:fill="auto"/>
          </w:tcPr>
          <w:p w:rsidR="00BC5967" w:rsidRPr="00B45418" w:rsidRDefault="00BC5967" w:rsidP="00FC7213">
            <w:pPr>
              <w:spacing w:before="40" w:after="120"/>
              <w:ind w:right="57"/>
            </w:pPr>
            <w:r>
              <w:t>2</w:t>
            </w:r>
            <w:r w:rsidR="00703D6D">
              <w:t>/11/</w:t>
            </w:r>
            <w:r>
              <w:t>14</w:t>
            </w:r>
          </w:p>
        </w:tc>
      </w:tr>
    </w:tbl>
    <w:p w:rsidR="00BC5967" w:rsidRPr="00485D77" w:rsidRDefault="00BC5967" w:rsidP="00BC5967">
      <w:pPr>
        <w:pStyle w:val="SingleTxtG"/>
        <w:spacing w:before="240" w:after="0"/>
        <w:jc w:val="center"/>
        <w:rPr>
          <w:u w:val="single"/>
        </w:rPr>
      </w:pPr>
      <w:r>
        <w:rPr>
          <w:u w:val="single"/>
        </w:rPr>
        <w:tab/>
      </w:r>
      <w:r>
        <w:rPr>
          <w:u w:val="single"/>
        </w:rPr>
        <w:tab/>
      </w:r>
      <w:r>
        <w:rPr>
          <w:u w:val="single"/>
        </w:rPr>
        <w:tab/>
      </w:r>
    </w:p>
    <w:sectPr w:rsidR="00BC5967" w:rsidRPr="00485D77" w:rsidSect="00C443F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BC" w:rsidRDefault="00CE48BC"/>
  </w:endnote>
  <w:endnote w:type="continuationSeparator" w:id="0">
    <w:p w:rsidR="00CE48BC" w:rsidRDefault="00CE48BC"/>
  </w:endnote>
  <w:endnote w:type="continuationNotice" w:id="1">
    <w:p w:rsidR="00CE48BC" w:rsidRPr="00903B66" w:rsidRDefault="00CE48BC"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EB" w:rsidRPr="00C443FD" w:rsidRDefault="002E77EB" w:rsidP="00C443FD">
    <w:pPr>
      <w:pStyle w:val="Footer"/>
      <w:tabs>
        <w:tab w:val="right" w:pos="9638"/>
      </w:tabs>
    </w:pPr>
    <w:r w:rsidRPr="00C443FD">
      <w:rPr>
        <w:b/>
        <w:sz w:val="18"/>
      </w:rPr>
      <w:fldChar w:fldCharType="begin"/>
    </w:r>
    <w:r w:rsidRPr="00C443FD">
      <w:rPr>
        <w:b/>
        <w:sz w:val="18"/>
      </w:rPr>
      <w:instrText xml:space="preserve"> PAGE  \* MERGEFORMAT </w:instrText>
    </w:r>
    <w:r w:rsidRPr="00C443FD">
      <w:rPr>
        <w:b/>
        <w:sz w:val="18"/>
      </w:rPr>
      <w:fldChar w:fldCharType="separate"/>
    </w:r>
    <w:r w:rsidR="00993A40">
      <w:rPr>
        <w:b/>
        <w:noProof/>
        <w:sz w:val="18"/>
      </w:rPr>
      <w:t>28</w:t>
    </w:r>
    <w:r w:rsidRPr="00C443FD">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EB" w:rsidRPr="00C443FD" w:rsidRDefault="002E77EB" w:rsidP="00C443FD">
    <w:pPr>
      <w:pStyle w:val="Footer"/>
      <w:tabs>
        <w:tab w:val="right" w:pos="9638"/>
      </w:tabs>
      <w:rPr>
        <w:b/>
        <w:sz w:val="18"/>
      </w:rPr>
    </w:pPr>
    <w:r>
      <w:tab/>
    </w:r>
    <w:r w:rsidRPr="00C443FD">
      <w:rPr>
        <w:b/>
        <w:sz w:val="18"/>
      </w:rPr>
      <w:fldChar w:fldCharType="begin"/>
    </w:r>
    <w:r w:rsidRPr="00C443FD">
      <w:rPr>
        <w:b/>
        <w:sz w:val="18"/>
      </w:rPr>
      <w:instrText xml:space="preserve"> PAGE  \* MERGEFORMAT </w:instrText>
    </w:r>
    <w:r w:rsidRPr="00C443FD">
      <w:rPr>
        <w:b/>
        <w:sz w:val="18"/>
      </w:rPr>
      <w:fldChar w:fldCharType="separate"/>
    </w:r>
    <w:r w:rsidR="00993A40">
      <w:rPr>
        <w:b/>
        <w:noProof/>
        <w:sz w:val="18"/>
      </w:rPr>
      <w:t>29</w:t>
    </w:r>
    <w:r w:rsidRPr="00C443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EB" w:rsidRDefault="002E77EB">
    <w:pPr>
      <w:pStyle w:val="Footer"/>
    </w:pPr>
    <w:r>
      <w:rPr>
        <w:sz w:val="20"/>
      </w:rPr>
      <w:t>GE.13-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113E69">
      <w:rPr>
        <w:sz w:val="20"/>
      </w:rPr>
      <w:t>43145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BC" w:rsidRPr="00D27D5E" w:rsidRDefault="00CE48BC" w:rsidP="00D27D5E">
      <w:pPr>
        <w:tabs>
          <w:tab w:val="right" w:pos="2155"/>
        </w:tabs>
        <w:spacing w:after="80"/>
        <w:ind w:left="680"/>
        <w:rPr>
          <w:u w:val="single"/>
        </w:rPr>
      </w:pPr>
      <w:r>
        <w:rPr>
          <w:u w:val="single"/>
        </w:rPr>
        <w:tab/>
      </w:r>
    </w:p>
  </w:footnote>
  <w:footnote w:type="continuationSeparator" w:id="0">
    <w:p w:rsidR="00CE48BC" w:rsidRPr="00091505" w:rsidRDefault="00CE48BC" w:rsidP="00091505">
      <w:pPr>
        <w:tabs>
          <w:tab w:val="right" w:pos="2155"/>
        </w:tabs>
        <w:spacing w:after="80"/>
        <w:ind w:left="680"/>
        <w:rPr>
          <w:u w:val="single"/>
        </w:rPr>
      </w:pPr>
      <w:r w:rsidRPr="00091505">
        <w:rPr>
          <w:u w:val="single"/>
        </w:rPr>
        <w:tab/>
      </w:r>
    </w:p>
  </w:footnote>
  <w:footnote w:type="continuationNotice" w:id="1">
    <w:p w:rsidR="00CE48BC" w:rsidRPr="00903B66" w:rsidRDefault="00CE48BC" w:rsidP="00903B66">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EB" w:rsidRPr="00C443FD" w:rsidRDefault="002E77EB">
    <w:pPr>
      <w:pStyle w:val="Header"/>
    </w:pPr>
    <w:r>
      <w:t>CCPR/C/107/2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EB" w:rsidRPr="00C443FD" w:rsidRDefault="002E77EB" w:rsidP="00C443FD">
    <w:pPr>
      <w:pStyle w:val="Header"/>
      <w:jc w:val="right"/>
    </w:pPr>
    <w:r>
      <w:t>CCPR/C/107/2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54B4610"/>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3924"/>
    <w:rsid w:val="00014E9B"/>
    <w:rsid w:val="00016AC5"/>
    <w:rsid w:val="00026939"/>
    <w:rsid w:val="0003600F"/>
    <w:rsid w:val="000467AA"/>
    <w:rsid w:val="00085FF7"/>
    <w:rsid w:val="00090F2E"/>
    <w:rsid w:val="00091505"/>
    <w:rsid w:val="000A147A"/>
    <w:rsid w:val="000A5E75"/>
    <w:rsid w:val="000B1907"/>
    <w:rsid w:val="000B634B"/>
    <w:rsid w:val="000B6D27"/>
    <w:rsid w:val="000C0439"/>
    <w:rsid w:val="000C4FDA"/>
    <w:rsid w:val="000D61E3"/>
    <w:rsid w:val="000D7B3A"/>
    <w:rsid w:val="000E246E"/>
    <w:rsid w:val="000E4A94"/>
    <w:rsid w:val="000E61F8"/>
    <w:rsid w:val="000F3130"/>
    <w:rsid w:val="000F34D6"/>
    <w:rsid w:val="000F3740"/>
    <w:rsid w:val="000F41F2"/>
    <w:rsid w:val="000F7CF5"/>
    <w:rsid w:val="000F7FAE"/>
    <w:rsid w:val="001036B5"/>
    <w:rsid w:val="00103E43"/>
    <w:rsid w:val="00110EE7"/>
    <w:rsid w:val="00113E69"/>
    <w:rsid w:val="00121225"/>
    <w:rsid w:val="00152D3E"/>
    <w:rsid w:val="00160540"/>
    <w:rsid w:val="001616E0"/>
    <w:rsid w:val="001731C3"/>
    <w:rsid w:val="00180092"/>
    <w:rsid w:val="00192EEB"/>
    <w:rsid w:val="00194166"/>
    <w:rsid w:val="00194AEB"/>
    <w:rsid w:val="001A20FB"/>
    <w:rsid w:val="001B0721"/>
    <w:rsid w:val="001B102E"/>
    <w:rsid w:val="001B16C5"/>
    <w:rsid w:val="001C2409"/>
    <w:rsid w:val="001C28EE"/>
    <w:rsid w:val="001C3080"/>
    <w:rsid w:val="001C703C"/>
    <w:rsid w:val="001C7EC5"/>
    <w:rsid w:val="001D5B38"/>
    <w:rsid w:val="001D6D1E"/>
    <w:rsid w:val="001D7F8A"/>
    <w:rsid w:val="001E3FEB"/>
    <w:rsid w:val="001E4A02"/>
    <w:rsid w:val="001F25C4"/>
    <w:rsid w:val="001F387E"/>
    <w:rsid w:val="00211BC2"/>
    <w:rsid w:val="00225A8C"/>
    <w:rsid w:val="00233182"/>
    <w:rsid w:val="00241C1A"/>
    <w:rsid w:val="00242E17"/>
    <w:rsid w:val="00245FB5"/>
    <w:rsid w:val="00255BCB"/>
    <w:rsid w:val="0025699B"/>
    <w:rsid w:val="002659F1"/>
    <w:rsid w:val="00273CA1"/>
    <w:rsid w:val="00274457"/>
    <w:rsid w:val="00274F05"/>
    <w:rsid w:val="0027751F"/>
    <w:rsid w:val="00284019"/>
    <w:rsid w:val="00287E79"/>
    <w:rsid w:val="002928F9"/>
    <w:rsid w:val="0029510F"/>
    <w:rsid w:val="002A082F"/>
    <w:rsid w:val="002A5D07"/>
    <w:rsid w:val="002A73FF"/>
    <w:rsid w:val="002B60B8"/>
    <w:rsid w:val="002C6E8B"/>
    <w:rsid w:val="002D257D"/>
    <w:rsid w:val="002E0222"/>
    <w:rsid w:val="002E1A7F"/>
    <w:rsid w:val="002E77EB"/>
    <w:rsid w:val="003016B7"/>
    <w:rsid w:val="00302BEC"/>
    <w:rsid w:val="003253EC"/>
    <w:rsid w:val="0033168E"/>
    <w:rsid w:val="00347E80"/>
    <w:rsid w:val="003515AA"/>
    <w:rsid w:val="00366F47"/>
    <w:rsid w:val="00366F5B"/>
    <w:rsid w:val="00371841"/>
    <w:rsid w:val="00373921"/>
    <w:rsid w:val="00374106"/>
    <w:rsid w:val="003822EB"/>
    <w:rsid w:val="00390477"/>
    <w:rsid w:val="003976D5"/>
    <w:rsid w:val="003C0207"/>
    <w:rsid w:val="003D2B3E"/>
    <w:rsid w:val="003D6C68"/>
    <w:rsid w:val="003E0253"/>
    <w:rsid w:val="003F162F"/>
    <w:rsid w:val="00413931"/>
    <w:rsid w:val="004159D0"/>
    <w:rsid w:val="00442780"/>
    <w:rsid w:val="00443399"/>
    <w:rsid w:val="0044701A"/>
    <w:rsid w:val="00452655"/>
    <w:rsid w:val="00461BEA"/>
    <w:rsid w:val="00462E6F"/>
    <w:rsid w:val="00464EEE"/>
    <w:rsid w:val="00473F2C"/>
    <w:rsid w:val="00491433"/>
    <w:rsid w:val="004931C3"/>
    <w:rsid w:val="00495868"/>
    <w:rsid w:val="004B64FF"/>
    <w:rsid w:val="004B6CB1"/>
    <w:rsid w:val="004C7A33"/>
    <w:rsid w:val="004E034F"/>
    <w:rsid w:val="004F4EF0"/>
    <w:rsid w:val="005024A8"/>
    <w:rsid w:val="00503101"/>
    <w:rsid w:val="00503CA3"/>
    <w:rsid w:val="00511D59"/>
    <w:rsid w:val="0051623F"/>
    <w:rsid w:val="00521595"/>
    <w:rsid w:val="00534B13"/>
    <w:rsid w:val="00536409"/>
    <w:rsid w:val="00543D5E"/>
    <w:rsid w:val="00550BCD"/>
    <w:rsid w:val="00560268"/>
    <w:rsid w:val="00565D0E"/>
    <w:rsid w:val="00565E82"/>
    <w:rsid w:val="00566B66"/>
    <w:rsid w:val="00571F41"/>
    <w:rsid w:val="00596E47"/>
    <w:rsid w:val="005C1846"/>
    <w:rsid w:val="005D0DF1"/>
    <w:rsid w:val="005D52CD"/>
    <w:rsid w:val="005E258B"/>
    <w:rsid w:val="005E5D1F"/>
    <w:rsid w:val="005E63DE"/>
    <w:rsid w:val="005F1A74"/>
    <w:rsid w:val="005F41DF"/>
    <w:rsid w:val="005F5558"/>
    <w:rsid w:val="005F74B3"/>
    <w:rsid w:val="00607AD9"/>
    <w:rsid w:val="00611D43"/>
    <w:rsid w:val="00612D48"/>
    <w:rsid w:val="00616B45"/>
    <w:rsid w:val="00630D9B"/>
    <w:rsid w:val="006314B9"/>
    <w:rsid w:val="00631953"/>
    <w:rsid w:val="00636279"/>
    <w:rsid w:val="006369A8"/>
    <w:rsid w:val="00641440"/>
    <w:rsid w:val="00641506"/>
    <w:rsid w:val="00641C6B"/>
    <w:rsid w:val="006439EC"/>
    <w:rsid w:val="00645823"/>
    <w:rsid w:val="0065588E"/>
    <w:rsid w:val="006630FF"/>
    <w:rsid w:val="00663DE6"/>
    <w:rsid w:val="006813AB"/>
    <w:rsid w:val="00682A5C"/>
    <w:rsid w:val="006911E0"/>
    <w:rsid w:val="006A4545"/>
    <w:rsid w:val="006B1739"/>
    <w:rsid w:val="006B4590"/>
    <w:rsid w:val="006C04FE"/>
    <w:rsid w:val="006C26DF"/>
    <w:rsid w:val="006C340C"/>
    <w:rsid w:val="006D1672"/>
    <w:rsid w:val="006D1D77"/>
    <w:rsid w:val="006E1E09"/>
    <w:rsid w:val="006E36F9"/>
    <w:rsid w:val="006E582F"/>
    <w:rsid w:val="006E6C83"/>
    <w:rsid w:val="006F1FF6"/>
    <w:rsid w:val="0070347C"/>
    <w:rsid w:val="00703D6D"/>
    <w:rsid w:val="00704EB1"/>
    <w:rsid w:val="00705EC5"/>
    <w:rsid w:val="0071451B"/>
    <w:rsid w:val="007176C1"/>
    <w:rsid w:val="007224E7"/>
    <w:rsid w:val="00725DC9"/>
    <w:rsid w:val="007276BD"/>
    <w:rsid w:val="007338E2"/>
    <w:rsid w:val="00737DEE"/>
    <w:rsid w:val="007472F6"/>
    <w:rsid w:val="007619DB"/>
    <w:rsid w:val="00772101"/>
    <w:rsid w:val="00775D99"/>
    <w:rsid w:val="0077644B"/>
    <w:rsid w:val="00796940"/>
    <w:rsid w:val="007A3E0F"/>
    <w:rsid w:val="007B63C7"/>
    <w:rsid w:val="007C5E39"/>
    <w:rsid w:val="007C7846"/>
    <w:rsid w:val="007E634F"/>
    <w:rsid w:val="007E7BFD"/>
    <w:rsid w:val="007F3256"/>
    <w:rsid w:val="007F42FD"/>
    <w:rsid w:val="007F55CB"/>
    <w:rsid w:val="007F62B8"/>
    <w:rsid w:val="00805C6F"/>
    <w:rsid w:val="008071FE"/>
    <w:rsid w:val="0081025D"/>
    <w:rsid w:val="00816DC4"/>
    <w:rsid w:val="00821625"/>
    <w:rsid w:val="00823911"/>
    <w:rsid w:val="00825CE1"/>
    <w:rsid w:val="00831295"/>
    <w:rsid w:val="00832575"/>
    <w:rsid w:val="00834D53"/>
    <w:rsid w:val="00840371"/>
    <w:rsid w:val="00844750"/>
    <w:rsid w:val="00844A54"/>
    <w:rsid w:val="00847636"/>
    <w:rsid w:val="008726B9"/>
    <w:rsid w:val="00873B3C"/>
    <w:rsid w:val="008763DF"/>
    <w:rsid w:val="0087784B"/>
    <w:rsid w:val="008800EC"/>
    <w:rsid w:val="00892241"/>
    <w:rsid w:val="008940E0"/>
    <w:rsid w:val="008963F5"/>
    <w:rsid w:val="00896468"/>
    <w:rsid w:val="008A39ED"/>
    <w:rsid w:val="008B44C4"/>
    <w:rsid w:val="008D0DF1"/>
    <w:rsid w:val="008D6E3C"/>
    <w:rsid w:val="008E7FAE"/>
    <w:rsid w:val="008F2C4A"/>
    <w:rsid w:val="008F53ED"/>
    <w:rsid w:val="008F59C9"/>
    <w:rsid w:val="00900C94"/>
    <w:rsid w:val="00903B66"/>
    <w:rsid w:val="00904F90"/>
    <w:rsid w:val="00911BF7"/>
    <w:rsid w:val="009179D1"/>
    <w:rsid w:val="0092510D"/>
    <w:rsid w:val="00935501"/>
    <w:rsid w:val="00937540"/>
    <w:rsid w:val="00943867"/>
    <w:rsid w:val="00943C85"/>
    <w:rsid w:val="00943FFD"/>
    <w:rsid w:val="00944744"/>
    <w:rsid w:val="00953D60"/>
    <w:rsid w:val="00972074"/>
    <w:rsid w:val="00977EC8"/>
    <w:rsid w:val="00992CDF"/>
    <w:rsid w:val="00993A40"/>
    <w:rsid w:val="00993DE6"/>
    <w:rsid w:val="009A6FCF"/>
    <w:rsid w:val="009B4887"/>
    <w:rsid w:val="009B7DD1"/>
    <w:rsid w:val="009C14D8"/>
    <w:rsid w:val="009D1477"/>
    <w:rsid w:val="009D3A8C"/>
    <w:rsid w:val="009E0EEC"/>
    <w:rsid w:val="009E1EB6"/>
    <w:rsid w:val="009E7352"/>
    <w:rsid w:val="009E7956"/>
    <w:rsid w:val="009F2AEA"/>
    <w:rsid w:val="009F454F"/>
    <w:rsid w:val="009F6ADC"/>
    <w:rsid w:val="009F754F"/>
    <w:rsid w:val="00A0475A"/>
    <w:rsid w:val="00A05035"/>
    <w:rsid w:val="00A127A0"/>
    <w:rsid w:val="00A17DBE"/>
    <w:rsid w:val="00A2004A"/>
    <w:rsid w:val="00A228B4"/>
    <w:rsid w:val="00A23AD6"/>
    <w:rsid w:val="00A23D20"/>
    <w:rsid w:val="00A2492E"/>
    <w:rsid w:val="00A2714E"/>
    <w:rsid w:val="00A27B66"/>
    <w:rsid w:val="00A31B8B"/>
    <w:rsid w:val="00A338AB"/>
    <w:rsid w:val="00A37327"/>
    <w:rsid w:val="00A42374"/>
    <w:rsid w:val="00A42FAF"/>
    <w:rsid w:val="00A50C89"/>
    <w:rsid w:val="00A54367"/>
    <w:rsid w:val="00A720C2"/>
    <w:rsid w:val="00A748AC"/>
    <w:rsid w:val="00A833DD"/>
    <w:rsid w:val="00A83D19"/>
    <w:rsid w:val="00A93AE5"/>
    <w:rsid w:val="00A9469F"/>
    <w:rsid w:val="00AA08A8"/>
    <w:rsid w:val="00AA2481"/>
    <w:rsid w:val="00AA3390"/>
    <w:rsid w:val="00AA5DA8"/>
    <w:rsid w:val="00AA75E5"/>
    <w:rsid w:val="00AB51C8"/>
    <w:rsid w:val="00AC3B5E"/>
    <w:rsid w:val="00AC67A1"/>
    <w:rsid w:val="00AC7977"/>
    <w:rsid w:val="00AD06EE"/>
    <w:rsid w:val="00AD6492"/>
    <w:rsid w:val="00AE352C"/>
    <w:rsid w:val="00AF1CE8"/>
    <w:rsid w:val="00AF3F04"/>
    <w:rsid w:val="00B0219E"/>
    <w:rsid w:val="00B2599B"/>
    <w:rsid w:val="00B32E2D"/>
    <w:rsid w:val="00B405FD"/>
    <w:rsid w:val="00B45418"/>
    <w:rsid w:val="00B45D09"/>
    <w:rsid w:val="00B5158E"/>
    <w:rsid w:val="00B518A8"/>
    <w:rsid w:val="00B56A51"/>
    <w:rsid w:val="00B61990"/>
    <w:rsid w:val="00B66730"/>
    <w:rsid w:val="00B8306F"/>
    <w:rsid w:val="00B85816"/>
    <w:rsid w:val="00B928DF"/>
    <w:rsid w:val="00B93051"/>
    <w:rsid w:val="00B94830"/>
    <w:rsid w:val="00BA482E"/>
    <w:rsid w:val="00BB0BF9"/>
    <w:rsid w:val="00BB6586"/>
    <w:rsid w:val="00BC4162"/>
    <w:rsid w:val="00BC5967"/>
    <w:rsid w:val="00BE2D15"/>
    <w:rsid w:val="00BE75A7"/>
    <w:rsid w:val="00BF0556"/>
    <w:rsid w:val="00BF250C"/>
    <w:rsid w:val="00C1256B"/>
    <w:rsid w:val="00C15CA6"/>
    <w:rsid w:val="00C261F8"/>
    <w:rsid w:val="00C33100"/>
    <w:rsid w:val="00C4083C"/>
    <w:rsid w:val="00C443FD"/>
    <w:rsid w:val="00C541E7"/>
    <w:rsid w:val="00C619F0"/>
    <w:rsid w:val="00C730A9"/>
    <w:rsid w:val="00C735A6"/>
    <w:rsid w:val="00C73773"/>
    <w:rsid w:val="00C739EF"/>
    <w:rsid w:val="00C7498A"/>
    <w:rsid w:val="00C91D71"/>
    <w:rsid w:val="00CA6A02"/>
    <w:rsid w:val="00CB045E"/>
    <w:rsid w:val="00CB5A09"/>
    <w:rsid w:val="00CB7051"/>
    <w:rsid w:val="00CD1A71"/>
    <w:rsid w:val="00CD1FBB"/>
    <w:rsid w:val="00CD4B7D"/>
    <w:rsid w:val="00CD56CF"/>
    <w:rsid w:val="00CE48BC"/>
    <w:rsid w:val="00CF5128"/>
    <w:rsid w:val="00D00700"/>
    <w:rsid w:val="00D016B5"/>
    <w:rsid w:val="00D034F1"/>
    <w:rsid w:val="00D04A68"/>
    <w:rsid w:val="00D27D5E"/>
    <w:rsid w:val="00D3505F"/>
    <w:rsid w:val="00D35B2D"/>
    <w:rsid w:val="00D378BC"/>
    <w:rsid w:val="00D423A6"/>
    <w:rsid w:val="00D45B13"/>
    <w:rsid w:val="00D73ECA"/>
    <w:rsid w:val="00D747E1"/>
    <w:rsid w:val="00D80726"/>
    <w:rsid w:val="00D8116B"/>
    <w:rsid w:val="00D818DD"/>
    <w:rsid w:val="00D929EE"/>
    <w:rsid w:val="00D96C77"/>
    <w:rsid w:val="00DB1F6F"/>
    <w:rsid w:val="00DB320E"/>
    <w:rsid w:val="00DC44C2"/>
    <w:rsid w:val="00DD0678"/>
    <w:rsid w:val="00DE03D3"/>
    <w:rsid w:val="00DE6D90"/>
    <w:rsid w:val="00DF002F"/>
    <w:rsid w:val="00DF3BF1"/>
    <w:rsid w:val="00DF6670"/>
    <w:rsid w:val="00E0244D"/>
    <w:rsid w:val="00E144C5"/>
    <w:rsid w:val="00E20050"/>
    <w:rsid w:val="00E2735F"/>
    <w:rsid w:val="00E33924"/>
    <w:rsid w:val="00E368FF"/>
    <w:rsid w:val="00E4052A"/>
    <w:rsid w:val="00E64E27"/>
    <w:rsid w:val="00E81E94"/>
    <w:rsid w:val="00E82607"/>
    <w:rsid w:val="00EC29B6"/>
    <w:rsid w:val="00EC7DFC"/>
    <w:rsid w:val="00ED03AD"/>
    <w:rsid w:val="00ED05CD"/>
    <w:rsid w:val="00ED6E82"/>
    <w:rsid w:val="00EE4280"/>
    <w:rsid w:val="00EF1051"/>
    <w:rsid w:val="00EF318A"/>
    <w:rsid w:val="00F31E4B"/>
    <w:rsid w:val="00F33865"/>
    <w:rsid w:val="00F37EF3"/>
    <w:rsid w:val="00F71353"/>
    <w:rsid w:val="00F7437C"/>
    <w:rsid w:val="00F76EAA"/>
    <w:rsid w:val="00F7702B"/>
    <w:rsid w:val="00F85B7A"/>
    <w:rsid w:val="00F90F40"/>
    <w:rsid w:val="00F93259"/>
    <w:rsid w:val="00FA06F4"/>
    <w:rsid w:val="00FA2352"/>
    <w:rsid w:val="00FA48D3"/>
    <w:rsid w:val="00FA5A79"/>
    <w:rsid w:val="00FB0BFE"/>
    <w:rsid w:val="00FB4C51"/>
    <w:rsid w:val="00FC609B"/>
    <w:rsid w:val="00FC7213"/>
    <w:rsid w:val="00FD423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SingleTxtGChar">
    <w:name w:val="_ Single Txt_G Char"/>
    <w:link w:val="SingleTxtG"/>
    <w:locked/>
    <w:rsid w:val="00C443FD"/>
    <w:rPr>
      <w:lang w:val="fr-CH" w:eastAsia="en-US" w:bidi="ar-SA"/>
    </w:rPr>
  </w:style>
  <w:style w:type="table" w:styleId="TableGrid">
    <w:name w:val="Table Grid"/>
    <w:basedOn w:val="TableNormal"/>
    <w:semiHidden/>
    <w:rsid w:val="00C443F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1GChar">
    <w:name w:val="_ H_1_G Char"/>
    <w:link w:val="H1G"/>
    <w:locked/>
    <w:rsid w:val="008763DF"/>
    <w:rPr>
      <w:b/>
      <w:sz w:val="24"/>
      <w:lang w:val="fr-CH" w:eastAsia="en-US" w:bidi="ar-SA"/>
    </w:rPr>
  </w:style>
  <w:style w:type="paragraph" w:styleId="BalloonText">
    <w:name w:val="Balloon Text"/>
    <w:basedOn w:val="Normal"/>
    <w:link w:val="BalloonTextChar"/>
    <w:rsid w:val="008071FE"/>
    <w:pPr>
      <w:spacing w:line="240" w:lineRule="auto"/>
    </w:pPr>
    <w:rPr>
      <w:rFonts w:ascii="Tahoma" w:hAnsi="Tahoma"/>
      <w:sz w:val="16"/>
      <w:szCs w:val="16"/>
    </w:rPr>
  </w:style>
  <w:style w:type="character" w:customStyle="1" w:styleId="BalloonTextChar">
    <w:name w:val="Balloon Text Char"/>
    <w:link w:val="BalloonText"/>
    <w:rsid w:val="008071FE"/>
    <w:rPr>
      <w:rFonts w:ascii="Tahoma" w:hAnsi="Tahoma" w:cs="Tahoma"/>
      <w:sz w:val="16"/>
      <w:szCs w:val="16"/>
      <w:lang w:val="fr-CH" w:eastAsia="en-US"/>
    </w:rPr>
  </w:style>
  <w:style w:type="character" w:styleId="CommentReference">
    <w:name w:val="annotation reference"/>
    <w:semiHidden/>
    <w:rsid w:val="00F37EF3"/>
    <w:rPr>
      <w:sz w:val="16"/>
      <w:szCs w:val="16"/>
    </w:rPr>
  </w:style>
  <w:style w:type="paragraph" w:styleId="CommentText">
    <w:name w:val="annotation text"/>
    <w:basedOn w:val="Normal"/>
    <w:semiHidden/>
    <w:rsid w:val="00F37EF3"/>
  </w:style>
  <w:style w:type="paragraph" w:styleId="CommentSubject">
    <w:name w:val="annotation subject"/>
    <w:basedOn w:val="CommentText"/>
    <w:next w:val="CommentText"/>
    <w:semiHidden/>
    <w:rsid w:val="00F37E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b-spc.be/we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5</TotalTime>
  <Pages>1</Pages>
  <Words>11518</Words>
  <Characters>65658</Characters>
  <Application>Microsoft Office Outlook</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CCPR/C/107/R.2</vt:lpstr>
    </vt:vector>
  </TitlesOfParts>
  <Company>CSD</Company>
  <LinksUpToDate>false</LinksUpToDate>
  <CharactersWithSpaces>77022</CharactersWithSpaces>
  <SharedDoc>false</SharedDoc>
  <HLinks>
    <vt:vector size="6" baseType="variant">
      <vt:variant>
        <vt:i4>3801120</vt:i4>
      </vt:variant>
      <vt:variant>
        <vt:i4>0</vt:i4>
      </vt:variant>
      <vt:variant>
        <vt:i4>0</vt:i4>
      </vt:variant>
      <vt:variant>
        <vt:i4>5</vt:i4>
      </vt:variant>
      <vt:variant>
        <vt:lpwstr>http://www.dsb-spc.be/web/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CCPR/C/107/R.2</dc:title>
  <dc:subject>FINAL CCPR</dc:subject>
  <dc:creator>N-Rossi</dc:creator>
  <cp:keywords/>
  <cp:lastModifiedBy>DCM</cp:lastModifiedBy>
  <cp:revision>3</cp:revision>
  <cp:lastPrinted>2013-03-15T15:53:00Z</cp:lastPrinted>
  <dcterms:created xsi:type="dcterms:W3CDTF">2013-05-01T14:39:00Z</dcterms:created>
  <dcterms:modified xsi:type="dcterms:W3CDTF">2013-05-01T14:42:00Z</dcterms:modified>
</cp:coreProperties>
</file>