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4F0431">
                <w:t>C/108/D/2094/2011</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Default="0084613B" w:rsidP="00D76358">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fldChar w:fldCharType="end"/>
            </w:r>
            <w:bookmarkEnd w:id="0"/>
          </w:p>
          <w:p w:rsidR="0084613B" w:rsidRDefault="0084613B" w:rsidP="00D76358">
            <w:pPr>
              <w:rPr>
                <w:lang w:val="en-US"/>
              </w:rPr>
            </w:pPr>
            <w:fldSimple w:instr=" FILLIN  &quot;Введите дату документа&quot; \* MERGEFORMAT ">
              <w:r w:rsidR="004F0431">
                <w:rPr>
                  <w:lang w:val="en-US"/>
                </w:rPr>
                <w:t>28 October 2013</w:t>
              </w:r>
            </w:fldSimple>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fldChar w:fldCharType="end"/>
            </w:r>
            <w:bookmarkEnd w:id="1"/>
          </w:p>
          <w:p w:rsidR="0084613B" w:rsidRPr="002C048B" w:rsidRDefault="0084613B" w:rsidP="00D76358"/>
        </w:tc>
      </w:tr>
    </w:tbl>
    <w:p w:rsidR="0014670C" w:rsidRPr="008E5162" w:rsidRDefault="0014670C" w:rsidP="0014670C">
      <w:pPr>
        <w:spacing w:before="120"/>
        <w:rPr>
          <w:b/>
          <w:sz w:val="24"/>
          <w:szCs w:val="24"/>
        </w:rPr>
      </w:pPr>
      <w:r>
        <w:rPr>
          <w:b/>
          <w:sz w:val="24"/>
          <w:szCs w:val="24"/>
        </w:rPr>
        <w:t>Комитет по правам человека</w:t>
      </w:r>
    </w:p>
    <w:p w:rsidR="0014670C" w:rsidRPr="00250D05" w:rsidRDefault="0014670C" w:rsidP="0014670C">
      <w:pPr>
        <w:pStyle w:val="HChGR"/>
      </w:pPr>
      <w:r>
        <w:tab/>
      </w:r>
      <w:r>
        <w:tab/>
      </w:r>
      <w:r w:rsidRPr="00250D05">
        <w:t xml:space="preserve">Сообщение № </w:t>
      </w:r>
      <w:r w:rsidRPr="0036403F">
        <w:t>2094/2011</w:t>
      </w:r>
    </w:p>
    <w:p w:rsidR="0014670C" w:rsidRPr="008E5162" w:rsidRDefault="0014670C" w:rsidP="0014670C">
      <w:pPr>
        <w:pStyle w:val="H1GR"/>
      </w:pPr>
      <w:r w:rsidRPr="00A77040">
        <w:tab/>
      </w:r>
      <w:r w:rsidRPr="00A77040">
        <w:tab/>
      </w:r>
      <w:r>
        <w:t xml:space="preserve">Соображения, принятые Комитетом на его </w:t>
      </w:r>
      <w:r>
        <w:br/>
        <w:t>108-й сессии (8–26 июля 2013 года)</w:t>
      </w:r>
    </w:p>
    <w:tbl>
      <w:tblPr>
        <w:tblW w:w="6804" w:type="dxa"/>
        <w:tblInd w:w="1701" w:type="dxa"/>
        <w:tblLayout w:type="fixed"/>
        <w:tblCellMar>
          <w:left w:w="0" w:type="dxa"/>
          <w:right w:w="0" w:type="dxa"/>
        </w:tblCellMar>
        <w:tblLook w:val="01E0"/>
      </w:tblPr>
      <w:tblGrid>
        <w:gridCol w:w="2933"/>
        <w:gridCol w:w="3871"/>
      </w:tblGrid>
      <w:tr w:rsidR="0014670C" w:rsidRPr="008E5162" w:rsidTr="0014670C">
        <w:tc>
          <w:tcPr>
            <w:tcW w:w="2933" w:type="dxa"/>
          </w:tcPr>
          <w:p w:rsidR="0014670C" w:rsidRPr="000F22A5" w:rsidRDefault="0014670C" w:rsidP="0014670C">
            <w:pPr>
              <w:spacing w:after="120"/>
              <w:rPr>
                <w:i/>
              </w:rPr>
            </w:pPr>
            <w:r w:rsidRPr="000F22A5">
              <w:rPr>
                <w:i/>
              </w:rPr>
              <w:t>Представлено:</w:t>
            </w:r>
          </w:p>
        </w:tc>
        <w:tc>
          <w:tcPr>
            <w:tcW w:w="3871" w:type="dxa"/>
          </w:tcPr>
          <w:p w:rsidR="0014670C" w:rsidRPr="00585BA6" w:rsidRDefault="0014670C" w:rsidP="0014670C">
            <w:pPr>
              <w:spacing w:after="120"/>
            </w:pPr>
            <w:r w:rsidRPr="00585BA6">
              <w:t>Ф.К.А.Г. и др</w:t>
            </w:r>
            <w:r>
              <w:t>.</w:t>
            </w:r>
            <w:r w:rsidRPr="00585BA6">
              <w:t xml:space="preserve"> (представлены адвокатом Беном Саулом)</w:t>
            </w:r>
          </w:p>
        </w:tc>
      </w:tr>
      <w:tr w:rsidR="0014670C" w:rsidRPr="000F22A5" w:rsidTr="0014670C">
        <w:tc>
          <w:tcPr>
            <w:tcW w:w="2933" w:type="dxa"/>
          </w:tcPr>
          <w:p w:rsidR="0014670C" w:rsidRPr="000F22A5" w:rsidRDefault="0014670C" w:rsidP="0014670C">
            <w:pPr>
              <w:spacing w:after="120"/>
              <w:rPr>
                <w:i/>
              </w:rPr>
            </w:pPr>
            <w:r w:rsidRPr="000F22A5">
              <w:rPr>
                <w:i/>
              </w:rPr>
              <w:t>Предполагаемые жертвы:</w:t>
            </w:r>
          </w:p>
        </w:tc>
        <w:tc>
          <w:tcPr>
            <w:tcW w:w="3871" w:type="dxa"/>
          </w:tcPr>
          <w:p w:rsidR="0014670C" w:rsidRPr="00585BA6" w:rsidRDefault="0014670C" w:rsidP="0014670C">
            <w:pPr>
              <w:spacing w:after="120"/>
            </w:pPr>
            <w:r w:rsidRPr="00585BA6">
              <w:t>авторы</w:t>
            </w:r>
          </w:p>
        </w:tc>
      </w:tr>
      <w:tr w:rsidR="0014670C" w:rsidRPr="000F22A5" w:rsidTr="0014670C">
        <w:tc>
          <w:tcPr>
            <w:tcW w:w="2933" w:type="dxa"/>
          </w:tcPr>
          <w:p w:rsidR="0014670C" w:rsidRPr="000F22A5" w:rsidRDefault="0014670C" w:rsidP="0014670C">
            <w:pPr>
              <w:spacing w:after="120"/>
              <w:rPr>
                <w:i/>
              </w:rPr>
            </w:pPr>
            <w:r w:rsidRPr="000F22A5">
              <w:rPr>
                <w:i/>
              </w:rPr>
              <w:t>Государство-участник:</w:t>
            </w:r>
          </w:p>
        </w:tc>
        <w:tc>
          <w:tcPr>
            <w:tcW w:w="3871" w:type="dxa"/>
          </w:tcPr>
          <w:p w:rsidR="0014670C" w:rsidRPr="00585BA6" w:rsidRDefault="0014670C" w:rsidP="0014670C">
            <w:pPr>
              <w:spacing w:after="120"/>
            </w:pPr>
            <w:r w:rsidRPr="00585BA6">
              <w:t>Австралия</w:t>
            </w:r>
          </w:p>
        </w:tc>
      </w:tr>
      <w:tr w:rsidR="0014670C" w:rsidRPr="000F22A5" w:rsidTr="0014670C">
        <w:tc>
          <w:tcPr>
            <w:tcW w:w="2933" w:type="dxa"/>
          </w:tcPr>
          <w:p w:rsidR="0014670C" w:rsidRPr="000F22A5" w:rsidRDefault="0014670C" w:rsidP="0014670C">
            <w:pPr>
              <w:spacing w:after="120"/>
              <w:rPr>
                <w:i/>
              </w:rPr>
            </w:pPr>
            <w:r w:rsidRPr="000F22A5">
              <w:rPr>
                <w:i/>
              </w:rPr>
              <w:t>Дата сообщения:</w:t>
            </w:r>
          </w:p>
        </w:tc>
        <w:tc>
          <w:tcPr>
            <w:tcW w:w="3871" w:type="dxa"/>
          </w:tcPr>
          <w:p w:rsidR="0014670C" w:rsidRPr="00585BA6" w:rsidRDefault="0014670C" w:rsidP="0014670C">
            <w:pPr>
              <w:spacing w:after="120"/>
            </w:pPr>
            <w:r w:rsidRPr="00585BA6">
              <w:t>28 августа 2011 года (первоначальное представление)</w:t>
            </w:r>
          </w:p>
        </w:tc>
      </w:tr>
      <w:tr w:rsidR="0014670C" w:rsidRPr="008E5162" w:rsidTr="0014670C">
        <w:tc>
          <w:tcPr>
            <w:tcW w:w="2933" w:type="dxa"/>
          </w:tcPr>
          <w:p w:rsidR="0014670C" w:rsidRPr="000F22A5" w:rsidRDefault="0014670C" w:rsidP="0014670C">
            <w:pPr>
              <w:spacing w:after="120"/>
              <w:rPr>
                <w:i/>
              </w:rPr>
            </w:pPr>
            <w:r w:rsidRPr="000F22A5">
              <w:rPr>
                <w:i/>
              </w:rPr>
              <w:t>Справочная документация:</w:t>
            </w:r>
          </w:p>
        </w:tc>
        <w:tc>
          <w:tcPr>
            <w:tcW w:w="3871" w:type="dxa"/>
          </w:tcPr>
          <w:p w:rsidR="0014670C" w:rsidRPr="00585BA6" w:rsidRDefault="0014670C" w:rsidP="0014670C">
            <w:pPr>
              <w:spacing w:after="120"/>
            </w:pPr>
            <w:r w:rsidRPr="00585BA6">
              <w:t>решение Специального докладчика в с</w:t>
            </w:r>
            <w:r w:rsidRPr="00585BA6">
              <w:t>о</w:t>
            </w:r>
            <w:r w:rsidRPr="00585BA6">
              <w:t>ответствии с правилом 97, препрово</w:t>
            </w:r>
            <w:r w:rsidRPr="00585BA6">
              <w:t>ж</w:t>
            </w:r>
            <w:r w:rsidRPr="00585BA6">
              <w:t>денное государству-участнику 6 сентября 2011 года (в виде документа не издав</w:t>
            </w:r>
            <w:r w:rsidRPr="00585BA6">
              <w:t>а</w:t>
            </w:r>
            <w:r w:rsidRPr="00585BA6">
              <w:t>лось)</w:t>
            </w:r>
          </w:p>
        </w:tc>
      </w:tr>
      <w:tr w:rsidR="0014670C" w:rsidRPr="000F22A5" w:rsidTr="0014670C">
        <w:tc>
          <w:tcPr>
            <w:tcW w:w="2933" w:type="dxa"/>
          </w:tcPr>
          <w:p w:rsidR="0014670C" w:rsidRPr="000F22A5" w:rsidRDefault="0014670C" w:rsidP="0014670C">
            <w:pPr>
              <w:spacing w:after="120"/>
              <w:rPr>
                <w:i/>
              </w:rPr>
            </w:pPr>
            <w:r>
              <w:rPr>
                <w:i/>
              </w:rPr>
              <w:t>Дата принятия С</w:t>
            </w:r>
            <w:r w:rsidRPr="000F22A5">
              <w:rPr>
                <w:i/>
              </w:rPr>
              <w:t>оображений:</w:t>
            </w:r>
          </w:p>
        </w:tc>
        <w:tc>
          <w:tcPr>
            <w:tcW w:w="3871" w:type="dxa"/>
            <w:vAlign w:val="bottom"/>
          </w:tcPr>
          <w:p w:rsidR="0014670C" w:rsidRPr="00585BA6" w:rsidRDefault="0014670C" w:rsidP="0014670C">
            <w:pPr>
              <w:spacing w:after="120"/>
            </w:pPr>
            <w:r w:rsidRPr="00585BA6">
              <w:t>26 июля 2013 года</w:t>
            </w:r>
          </w:p>
        </w:tc>
      </w:tr>
      <w:tr w:rsidR="0014670C" w:rsidRPr="008E5162" w:rsidTr="0014670C">
        <w:tc>
          <w:tcPr>
            <w:tcW w:w="2933" w:type="dxa"/>
          </w:tcPr>
          <w:p w:rsidR="0014670C" w:rsidRPr="000F22A5" w:rsidRDefault="0014670C" w:rsidP="0014670C">
            <w:pPr>
              <w:spacing w:after="120"/>
              <w:rPr>
                <w:i/>
              </w:rPr>
            </w:pPr>
            <w:r w:rsidRPr="000F22A5">
              <w:rPr>
                <w:i/>
                <w:iCs/>
              </w:rPr>
              <w:t>Тема сообщения:</w:t>
            </w:r>
          </w:p>
        </w:tc>
        <w:tc>
          <w:tcPr>
            <w:tcW w:w="3871" w:type="dxa"/>
          </w:tcPr>
          <w:p w:rsidR="0014670C" w:rsidRPr="00585BA6" w:rsidRDefault="0014670C" w:rsidP="0014670C">
            <w:pPr>
              <w:spacing w:after="120"/>
            </w:pPr>
            <w:r>
              <w:t xml:space="preserve">бессрочное </w:t>
            </w:r>
            <w:r w:rsidRPr="00585BA6">
              <w:t>задержание в иммиграцио</w:t>
            </w:r>
            <w:r w:rsidRPr="00585BA6">
              <w:t>н</w:t>
            </w:r>
            <w:r w:rsidRPr="00585BA6">
              <w:t xml:space="preserve">ных </w:t>
            </w:r>
            <w:r>
              <w:t>приемниках</w:t>
            </w:r>
          </w:p>
        </w:tc>
      </w:tr>
      <w:tr w:rsidR="0014670C" w:rsidRPr="008E5162" w:rsidTr="0014670C">
        <w:tc>
          <w:tcPr>
            <w:tcW w:w="2933" w:type="dxa"/>
          </w:tcPr>
          <w:p w:rsidR="0014670C" w:rsidRPr="00585BA6" w:rsidRDefault="0014670C" w:rsidP="0014670C">
            <w:pPr>
              <w:spacing w:after="120"/>
              <w:rPr>
                <w:i/>
                <w:iCs/>
              </w:rPr>
            </w:pPr>
            <w:r w:rsidRPr="000F22A5">
              <w:rPr>
                <w:i/>
                <w:iCs/>
              </w:rPr>
              <w:t>Процедурные вопросы</w:t>
            </w:r>
            <w:r w:rsidRPr="000F22A5">
              <w:rPr>
                <w:i/>
              </w:rPr>
              <w:t>:</w:t>
            </w:r>
          </w:p>
        </w:tc>
        <w:tc>
          <w:tcPr>
            <w:tcW w:w="3871" w:type="dxa"/>
          </w:tcPr>
          <w:p w:rsidR="0014670C" w:rsidRPr="00585BA6" w:rsidRDefault="0014670C" w:rsidP="0014670C">
            <w:pPr>
              <w:spacing w:after="120"/>
            </w:pPr>
            <w:r>
              <w:t>и</w:t>
            </w:r>
            <w:r w:rsidRPr="00585BA6">
              <w:t xml:space="preserve">счерпание внутренних средств правовой защиты; неприемлемость ratione materiae; </w:t>
            </w:r>
            <w:r>
              <w:t>не</w:t>
            </w:r>
            <w:r w:rsidRPr="00585BA6">
              <w:t>обоснованност</w:t>
            </w:r>
            <w:r>
              <w:t>ь</w:t>
            </w:r>
          </w:p>
        </w:tc>
      </w:tr>
      <w:tr w:rsidR="0014670C" w:rsidRPr="008E5162" w:rsidTr="0014670C">
        <w:tc>
          <w:tcPr>
            <w:tcW w:w="2933" w:type="dxa"/>
          </w:tcPr>
          <w:p w:rsidR="0014670C" w:rsidRPr="00416536" w:rsidRDefault="0014670C" w:rsidP="0014670C">
            <w:pPr>
              <w:spacing w:after="120"/>
              <w:rPr>
                <w:i/>
                <w:iCs/>
              </w:rPr>
            </w:pPr>
            <w:r w:rsidRPr="000F22A5">
              <w:rPr>
                <w:i/>
                <w:iCs/>
              </w:rPr>
              <w:t>Вопросы существа:</w:t>
            </w:r>
            <w:r>
              <w:rPr>
                <w:i/>
                <w:iCs/>
              </w:rPr>
              <w:t xml:space="preserve"> </w:t>
            </w:r>
          </w:p>
        </w:tc>
        <w:tc>
          <w:tcPr>
            <w:tcW w:w="3871" w:type="dxa"/>
          </w:tcPr>
          <w:p w:rsidR="0014670C" w:rsidRPr="00585BA6" w:rsidRDefault="0014670C" w:rsidP="0014670C">
            <w:pPr>
              <w:spacing w:after="120"/>
            </w:pPr>
            <w:r>
              <w:t>п</w:t>
            </w:r>
            <w:r w:rsidRPr="00585BA6">
              <w:t>раво на свободу; право на защиту от бесчеловечного обращения; право на с</w:t>
            </w:r>
            <w:r w:rsidRPr="00585BA6">
              <w:t>е</w:t>
            </w:r>
            <w:r w:rsidRPr="00585BA6">
              <w:t>мейную жизнь; право детей на защиту</w:t>
            </w:r>
          </w:p>
        </w:tc>
      </w:tr>
      <w:tr w:rsidR="0014670C" w:rsidRPr="008E5162" w:rsidTr="0014670C">
        <w:tc>
          <w:tcPr>
            <w:tcW w:w="2933" w:type="dxa"/>
          </w:tcPr>
          <w:p w:rsidR="0014670C" w:rsidRPr="00585BA6" w:rsidRDefault="0014670C" w:rsidP="0014670C">
            <w:pPr>
              <w:spacing w:after="120"/>
              <w:rPr>
                <w:i/>
                <w:iCs/>
              </w:rPr>
            </w:pPr>
            <w:r>
              <w:rPr>
                <w:i/>
                <w:iCs/>
              </w:rPr>
              <w:t>Статьи Пакта:</w:t>
            </w:r>
          </w:p>
        </w:tc>
        <w:tc>
          <w:tcPr>
            <w:tcW w:w="3871" w:type="dxa"/>
          </w:tcPr>
          <w:p w:rsidR="0014670C" w:rsidRPr="00585BA6" w:rsidRDefault="0014670C" w:rsidP="0014670C">
            <w:pPr>
              <w:spacing w:after="120"/>
            </w:pPr>
            <w:r>
              <w:t>с</w:t>
            </w:r>
            <w:r w:rsidRPr="00585BA6">
              <w:t>татьи 7, 9 (пункты 1, 2 и 4), 10 (пункт 1), 17 (пункт 1), 23 (пункт 1) и 24 (пункт 1)</w:t>
            </w:r>
          </w:p>
        </w:tc>
      </w:tr>
      <w:tr w:rsidR="0014670C" w:rsidRPr="008E5162" w:rsidTr="0014670C">
        <w:tc>
          <w:tcPr>
            <w:tcW w:w="2933" w:type="dxa"/>
          </w:tcPr>
          <w:p w:rsidR="0014670C" w:rsidRPr="00585BA6" w:rsidRDefault="0014670C" w:rsidP="0014670C">
            <w:pPr>
              <w:spacing w:after="120"/>
              <w:rPr>
                <w:i/>
                <w:iCs/>
              </w:rPr>
            </w:pPr>
            <w:r w:rsidRPr="000F22A5">
              <w:rPr>
                <w:i/>
                <w:iCs/>
              </w:rPr>
              <w:t>Статьи Факультативного протокола:</w:t>
            </w:r>
          </w:p>
        </w:tc>
        <w:tc>
          <w:tcPr>
            <w:tcW w:w="3871" w:type="dxa"/>
          </w:tcPr>
          <w:p w:rsidR="0014670C" w:rsidRPr="00585BA6" w:rsidRDefault="0014670C" w:rsidP="0014670C">
            <w:pPr>
              <w:spacing w:after="120"/>
            </w:pPr>
            <w:r>
              <w:t>с</w:t>
            </w:r>
            <w:r w:rsidRPr="00585BA6">
              <w:t>татьи 2, 3 и 5 (пункт 2 b))</w:t>
            </w:r>
          </w:p>
        </w:tc>
      </w:tr>
    </w:tbl>
    <w:p w:rsidR="0014670C" w:rsidRPr="004C67CF" w:rsidRDefault="0014670C" w:rsidP="0014670C">
      <w:pPr>
        <w:pStyle w:val="HChGR"/>
        <w:rPr>
          <w:lang w:val="en-US"/>
        </w:rPr>
      </w:pPr>
      <w:r w:rsidRPr="0036403F">
        <w:br w:type="page"/>
      </w:r>
      <w:r w:rsidR="004C67CF">
        <w:t>Приложение</w:t>
      </w:r>
    </w:p>
    <w:p w:rsidR="0014670C" w:rsidRPr="00585BA6" w:rsidRDefault="0014670C" w:rsidP="0014670C">
      <w:pPr>
        <w:pStyle w:val="HChGR"/>
      </w:pPr>
      <w:r w:rsidRPr="00A77040">
        <w:tab/>
      </w:r>
      <w:r w:rsidRPr="00A77040">
        <w:tab/>
      </w:r>
      <w:r w:rsidRPr="00585BA6">
        <w:t>Соображени</w:t>
      </w:r>
      <w:r>
        <w:t>я Комитета по правам человека в </w:t>
      </w:r>
      <w:r w:rsidRPr="00585BA6">
        <w:t>соответствии с пунктом 4 стат</w:t>
      </w:r>
      <w:r>
        <w:t>ь</w:t>
      </w:r>
      <w:r w:rsidRPr="00585BA6">
        <w:t>и 5 Факультативного протокола к Международному пакту о гражданских и</w:t>
      </w:r>
      <w:r>
        <w:t> </w:t>
      </w:r>
      <w:r w:rsidRPr="00585BA6">
        <w:t>политических правах (108-я сессия)</w:t>
      </w:r>
    </w:p>
    <w:p w:rsidR="0014670C" w:rsidRPr="00160468" w:rsidRDefault="0014670C" w:rsidP="0014670C">
      <w:pPr>
        <w:pStyle w:val="SingleTxtGR"/>
        <w:rPr>
          <w:lang w:val="en-US"/>
        </w:rPr>
      </w:pPr>
      <w:r>
        <w:t>относительно</w:t>
      </w:r>
      <w:r w:rsidRPr="00160468">
        <w:rPr>
          <w:lang w:val="en-US"/>
        </w:rPr>
        <w:t xml:space="preserve"> </w:t>
      </w:r>
    </w:p>
    <w:p w:rsidR="0014670C" w:rsidRPr="0014670C" w:rsidRDefault="0014670C" w:rsidP="0014670C">
      <w:pPr>
        <w:pStyle w:val="H1GR"/>
        <w:rPr>
          <w:sz w:val="20"/>
          <w:lang w:val="en-US"/>
        </w:rPr>
      </w:pPr>
      <w:r w:rsidRPr="00997D87">
        <w:rPr>
          <w:lang w:val="en-US"/>
        </w:rPr>
        <w:tab/>
      </w:r>
      <w:r w:rsidRPr="00997D87">
        <w:rPr>
          <w:lang w:val="en-US"/>
        </w:rPr>
        <w:tab/>
        <w:t xml:space="preserve">Сообщения № </w:t>
      </w:r>
      <w:r w:rsidRPr="00160468">
        <w:rPr>
          <w:lang w:val="en-US"/>
        </w:rPr>
        <w:t>2094/2011</w:t>
      </w:r>
      <w:r w:rsidRPr="0014670C">
        <w:rPr>
          <w:b w:val="0"/>
          <w:sz w:val="20"/>
          <w:lang w:val="en-US"/>
        </w:rPr>
        <w:footnoteReference w:customMarkFollows="1" w:id="1"/>
        <w:t xml:space="preserve">* </w:t>
      </w:r>
      <w:r w:rsidRPr="0014670C">
        <w:rPr>
          <w:b w:val="0"/>
          <w:sz w:val="20"/>
          <w:lang w:val="en-US"/>
        </w:rPr>
        <w:footnoteReference w:customMarkFollows="1" w:id="2"/>
        <w:t>**</w:t>
      </w:r>
    </w:p>
    <w:tbl>
      <w:tblPr>
        <w:tblW w:w="0" w:type="auto"/>
        <w:tblInd w:w="1701" w:type="dxa"/>
        <w:tblLayout w:type="fixed"/>
        <w:tblCellMar>
          <w:left w:w="0" w:type="dxa"/>
          <w:right w:w="0" w:type="dxa"/>
        </w:tblCellMar>
        <w:tblLook w:val="01E0"/>
      </w:tblPr>
      <w:tblGrid>
        <w:gridCol w:w="3119"/>
        <w:gridCol w:w="3685"/>
      </w:tblGrid>
      <w:tr w:rsidR="0014670C" w:rsidRPr="00585BA6" w:rsidTr="0014670C">
        <w:tc>
          <w:tcPr>
            <w:tcW w:w="3119" w:type="dxa"/>
          </w:tcPr>
          <w:p w:rsidR="0014670C" w:rsidRPr="00C35503" w:rsidRDefault="0014670C" w:rsidP="0014670C">
            <w:pPr>
              <w:spacing w:after="120"/>
              <w:rPr>
                <w:i/>
              </w:rPr>
            </w:pPr>
            <w:r w:rsidRPr="00C35503">
              <w:rPr>
                <w:i/>
              </w:rPr>
              <w:t>Представлено:</w:t>
            </w:r>
          </w:p>
        </w:tc>
        <w:tc>
          <w:tcPr>
            <w:tcW w:w="3685" w:type="dxa"/>
          </w:tcPr>
          <w:p w:rsidR="0014670C" w:rsidRPr="00585BA6" w:rsidRDefault="0014670C" w:rsidP="0014670C">
            <w:pPr>
              <w:spacing w:after="120"/>
            </w:pPr>
            <w:r w:rsidRPr="00585BA6">
              <w:t>Ф.К.А.Г. и др</w:t>
            </w:r>
            <w:r>
              <w:t>.</w:t>
            </w:r>
            <w:r w:rsidRPr="00585BA6">
              <w:t xml:space="preserve"> (представлены адвокатом Беном Саулом)</w:t>
            </w:r>
          </w:p>
        </w:tc>
      </w:tr>
      <w:tr w:rsidR="0014670C" w:rsidRPr="00C35503" w:rsidTr="0014670C">
        <w:tc>
          <w:tcPr>
            <w:tcW w:w="3119" w:type="dxa"/>
          </w:tcPr>
          <w:p w:rsidR="0014670C" w:rsidRPr="00C35503" w:rsidRDefault="0014670C" w:rsidP="0014670C">
            <w:pPr>
              <w:spacing w:after="120"/>
              <w:rPr>
                <w:i/>
              </w:rPr>
            </w:pPr>
            <w:r w:rsidRPr="00C35503">
              <w:rPr>
                <w:i/>
              </w:rPr>
              <w:t>Предполагаемая жертва:</w:t>
            </w:r>
          </w:p>
        </w:tc>
        <w:tc>
          <w:tcPr>
            <w:tcW w:w="3685" w:type="dxa"/>
          </w:tcPr>
          <w:p w:rsidR="0014670C" w:rsidRPr="00585BA6" w:rsidRDefault="0014670C" w:rsidP="0014670C">
            <w:pPr>
              <w:spacing w:after="120"/>
            </w:pPr>
            <w:r w:rsidRPr="00585BA6">
              <w:t>авторы</w:t>
            </w:r>
          </w:p>
        </w:tc>
      </w:tr>
      <w:tr w:rsidR="0014670C" w:rsidRPr="00C35503" w:rsidTr="0014670C">
        <w:tc>
          <w:tcPr>
            <w:tcW w:w="3119" w:type="dxa"/>
          </w:tcPr>
          <w:p w:rsidR="0014670C" w:rsidRPr="00C35503" w:rsidRDefault="0014670C" w:rsidP="0014670C">
            <w:pPr>
              <w:spacing w:after="120"/>
            </w:pPr>
            <w:r w:rsidRPr="00C35503">
              <w:rPr>
                <w:i/>
              </w:rPr>
              <w:t>Государство-участник:</w:t>
            </w:r>
          </w:p>
        </w:tc>
        <w:tc>
          <w:tcPr>
            <w:tcW w:w="3685" w:type="dxa"/>
          </w:tcPr>
          <w:p w:rsidR="0014670C" w:rsidRPr="00585BA6" w:rsidRDefault="0014670C" w:rsidP="0014670C">
            <w:pPr>
              <w:spacing w:after="120"/>
            </w:pPr>
            <w:r w:rsidRPr="00585BA6">
              <w:t>Австралия</w:t>
            </w:r>
          </w:p>
        </w:tc>
      </w:tr>
      <w:tr w:rsidR="0014670C" w:rsidRPr="00C35503" w:rsidTr="0014670C">
        <w:tc>
          <w:tcPr>
            <w:tcW w:w="3119" w:type="dxa"/>
          </w:tcPr>
          <w:p w:rsidR="0014670C" w:rsidRPr="00C35503" w:rsidRDefault="0014670C" w:rsidP="0014670C">
            <w:pPr>
              <w:spacing w:after="120"/>
            </w:pPr>
            <w:r w:rsidRPr="00C35503">
              <w:rPr>
                <w:i/>
              </w:rPr>
              <w:t>Дата сообщения:</w:t>
            </w:r>
          </w:p>
        </w:tc>
        <w:tc>
          <w:tcPr>
            <w:tcW w:w="3685" w:type="dxa"/>
          </w:tcPr>
          <w:p w:rsidR="0014670C" w:rsidRPr="00585BA6" w:rsidRDefault="0014670C" w:rsidP="0014670C">
            <w:pPr>
              <w:spacing w:after="120"/>
            </w:pPr>
            <w:r w:rsidRPr="00585BA6">
              <w:t>28 августа 2011 года (первоначальное представление)</w:t>
            </w:r>
          </w:p>
        </w:tc>
      </w:tr>
    </w:tbl>
    <w:p w:rsidR="0014670C" w:rsidRPr="00C35503" w:rsidRDefault="0014670C" w:rsidP="0014670C">
      <w:pPr>
        <w:pStyle w:val="SingleTxtGR"/>
        <w:spacing w:before="120"/>
      </w:pPr>
      <w:r w:rsidRPr="00C35503">
        <w:rPr>
          <w:i/>
        </w:rPr>
        <w:tab/>
        <w:t xml:space="preserve">Комитет по правам </w:t>
      </w:r>
      <w:r>
        <w:rPr>
          <w:i/>
        </w:rPr>
        <w:t>человека</w:t>
      </w:r>
      <w:r w:rsidRPr="00C35503">
        <w:t xml:space="preserve">, учрежденный в соответствии со статьей </w:t>
      </w:r>
      <w:r>
        <w:t>28</w:t>
      </w:r>
      <w:r w:rsidRPr="00C35503">
        <w:t xml:space="preserve"> </w:t>
      </w:r>
      <w:r>
        <w:t>Международного пакта о гражданских и политических правах</w:t>
      </w:r>
      <w:r w:rsidRPr="00C35503">
        <w:t xml:space="preserve">, </w:t>
      </w:r>
    </w:p>
    <w:p w:rsidR="0014670C" w:rsidRPr="00C35503" w:rsidRDefault="0014670C" w:rsidP="0014670C">
      <w:pPr>
        <w:pStyle w:val="SingleTxtGR"/>
      </w:pPr>
      <w:r w:rsidRPr="00C35503">
        <w:rPr>
          <w:i/>
        </w:rPr>
        <w:tab/>
        <w:t>на своем заседании</w:t>
      </w:r>
      <w:r w:rsidRPr="00C35503">
        <w:t xml:space="preserve"> </w:t>
      </w:r>
      <w:r>
        <w:t>26 июля</w:t>
      </w:r>
      <w:r w:rsidRPr="00C35503">
        <w:t xml:space="preserve"> 2013 года,</w:t>
      </w:r>
    </w:p>
    <w:p w:rsidR="0014670C" w:rsidRPr="00C35503" w:rsidRDefault="0014670C" w:rsidP="0014670C">
      <w:pPr>
        <w:pStyle w:val="SingleTxtGR"/>
      </w:pPr>
      <w:r w:rsidRPr="00C35503">
        <w:rPr>
          <w:i/>
        </w:rPr>
        <w:tab/>
        <w:t xml:space="preserve">завершив </w:t>
      </w:r>
      <w:r w:rsidRPr="00C35503">
        <w:t>рассмотрение сообщения № </w:t>
      </w:r>
      <w:r>
        <w:t>2094</w:t>
      </w:r>
      <w:r w:rsidRPr="0065240E">
        <w:t>/</w:t>
      </w:r>
      <w:r>
        <w:t>2011</w:t>
      </w:r>
      <w:r w:rsidRPr="00C35503">
        <w:t>, представленного Ком</w:t>
      </w:r>
      <w:r w:rsidRPr="00C35503">
        <w:t>и</w:t>
      </w:r>
      <w:r w:rsidRPr="00C35503">
        <w:t xml:space="preserve">тету по правам </w:t>
      </w:r>
      <w:r>
        <w:t>человека от имени Ф.К.А.Г. и др.</w:t>
      </w:r>
      <w:r w:rsidRPr="00C35503">
        <w:t xml:space="preserve"> в соответствии с Факультати</w:t>
      </w:r>
      <w:r w:rsidRPr="00C35503">
        <w:t>в</w:t>
      </w:r>
      <w:r w:rsidRPr="00C35503">
        <w:t xml:space="preserve">ным протоколом к </w:t>
      </w:r>
      <w:r>
        <w:t>Международному пакту о гражданских и политических пр</w:t>
      </w:r>
      <w:r>
        <w:t>а</w:t>
      </w:r>
      <w:r>
        <w:t>вах</w:t>
      </w:r>
      <w:r w:rsidRPr="00C35503">
        <w:t xml:space="preserve">, </w:t>
      </w:r>
    </w:p>
    <w:p w:rsidR="0014670C" w:rsidRPr="00C35503" w:rsidRDefault="0014670C" w:rsidP="0014670C">
      <w:pPr>
        <w:pStyle w:val="SingleTxtGR"/>
      </w:pPr>
      <w:r>
        <w:rPr>
          <w:i/>
        </w:rPr>
        <w:tab/>
        <w:t>приняв к сведению</w:t>
      </w:r>
      <w:r w:rsidRPr="00C35503">
        <w:t xml:space="preserve"> всю письменную информацию, представленную ему авторами сообщения и государством-участником</w:t>
      </w:r>
      <w:r>
        <w:t>,</w:t>
      </w:r>
    </w:p>
    <w:p w:rsidR="0014670C" w:rsidRPr="00A77040" w:rsidRDefault="0014670C" w:rsidP="0014670C">
      <w:pPr>
        <w:pStyle w:val="SingleTxtGR"/>
        <w:rPr>
          <w:i/>
        </w:rPr>
      </w:pPr>
      <w:r w:rsidRPr="00C35503">
        <w:rPr>
          <w:i/>
        </w:rPr>
        <w:tab/>
        <w:t>принимает</w:t>
      </w:r>
      <w:r w:rsidRPr="00A77040">
        <w:rPr>
          <w:i/>
        </w:rPr>
        <w:t xml:space="preserve"> </w:t>
      </w:r>
      <w:r w:rsidRPr="007A3A42">
        <w:t>следующее</w:t>
      </w:r>
      <w:r w:rsidRPr="0014670C">
        <w:t>:</w:t>
      </w:r>
    </w:p>
    <w:p w:rsidR="0014670C" w:rsidRPr="007A3A42" w:rsidRDefault="0014670C" w:rsidP="0014670C">
      <w:pPr>
        <w:pStyle w:val="H1GR"/>
      </w:pPr>
      <w:r w:rsidRPr="00A77040">
        <w:tab/>
      </w:r>
      <w:r w:rsidRPr="00A77040">
        <w:tab/>
      </w:r>
      <w:r w:rsidRPr="007A3A42">
        <w:t>Соображения в соответствии с пунктом 4 статьи 5 Факультативного протокола</w:t>
      </w:r>
    </w:p>
    <w:p w:rsidR="0014670C" w:rsidRPr="00DC2309" w:rsidRDefault="0014670C" w:rsidP="0014670C">
      <w:pPr>
        <w:pStyle w:val="SingleTxtGR"/>
      </w:pPr>
      <w:r>
        <w:t>1.1</w:t>
      </w:r>
      <w:r>
        <w:tab/>
        <w:t xml:space="preserve">Авторами сообщения являются </w:t>
      </w:r>
      <w:r w:rsidR="004C67CF" w:rsidRPr="004C67CF">
        <w:t>37</w:t>
      </w:r>
      <w:r>
        <w:t xml:space="preserve"> лиц, задерживаемых в австралийских иммиграционных </w:t>
      </w:r>
      <w:r w:rsidRPr="009E3D3A">
        <w:t>приемниках</w:t>
      </w:r>
      <w:r>
        <w:rPr>
          <w:rStyle w:val="FootnoteReference"/>
        </w:rPr>
        <w:footnoteReference w:id="3"/>
      </w:r>
      <w:r>
        <w:t>. Все они являются гражданами Шри-Ланки и тамилами по происхождению</w:t>
      </w:r>
      <w:r w:rsidR="004C67CF">
        <w:t>,</w:t>
      </w:r>
      <w:r>
        <w:t xml:space="preserve"> за исключением одного автора, являющегося гр</w:t>
      </w:r>
      <w:r>
        <w:t>а</w:t>
      </w:r>
      <w:r>
        <w:t>жданином Мьянмы и рохинджей по происхождению. Они жалуются на наруш</w:t>
      </w:r>
      <w:r>
        <w:t>е</w:t>
      </w:r>
      <w:r>
        <w:t>ния их прав по статьям 7, 9 (пункты 1, 2 и 4), 10 (пункт 1), 17 (пункт 1), 23 (пункт 1) и 24 (пункт 1). Авторы</w:t>
      </w:r>
      <w:r w:rsidRPr="00DC2309">
        <w:t xml:space="preserve"> </w:t>
      </w:r>
      <w:r>
        <w:t>представлены</w:t>
      </w:r>
      <w:r w:rsidRPr="00DC2309">
        <w:t xml:space="preserve"> </w:t>
      </w:r>
      <w:r>
        <w:t>адвокатом</w:t>
      </w:r>
      <w:r w:rsidRPr="00DC2309">
        <w:t xml:space="preserve">. </w:t>
      </w:r>
    </w:p>
    <w:p w:rsidR="0014670C" w:rsidRPr="00FF28C4" w:rsidRDefault="0014670C" w:rsidP="0014670C">
      <w:pPr>
        <w:pStyle w:val="SingleTxtGR"/>
      </w:pPr>
      <w:r>
        <w:t>1.2</w:t>
      </w:r>
      <w:r>
        <w:tab/>
        <w:t>4 июля, 16 ноября и 29 ноября 2012 года по получени</w:t>
      </w:r>
      <w:r w:rsidR="004C67CF">
        <w:t>и</w:t>
      </w:r>
      <w:r>
        <w:t xml:space="preserve"> информации от </w:t>
      </w:r>
      <w:r w:rsidRPr="009E3D3A">
        <w:t>адвоката</w:t>
      </w:r>
      <w:r>
        <w:rPr>
          <w:rStyle w:val="FootnoteReference"/>
        </w:rPr>
        <w:footnoteReference w:id="4"/>
      </w:r>
      <w:r>
        <w:t xml:space="preserve"> Специальный докладчик по новым сообщениям и временным мерам, действуя от имени Комитета, просил государство-участник принять все необх</w:t>
      </w:r>
      <w:r>
        <w:t>о</w:t>
      </w:r>
      <w:r>
        <w:t>димые меры для обеспечения физического и психического благополучия авт</w:t>
      </w:r>
      <w:r>
        <w:t>о</w:t>
      </w:r>
      <w:r>
        <w:t>ров, защитить их от опасности причинения себе вреда и оказать им поддержку с целью купирования чувства острой тревоги, которое они испытывают под влиянием продолжительного содержания под стражей, и недопущения прич</w:t>
      </w:r>
      <w:r>
        <w:t>и</w:t>
      </w:r>
      <w:r>
        <w:t>нения им невозместимого вреда. Специальный докладчик также просил гос</w:t>
      </w:r>
      <w:r>
        <w:t>у</w:t>
      </w:r>
      <w:r>
        <w:t xml:space="preserve">дарство-участник провести независимое психиатрическое обследование двух человек из числа </w:t>
      </w:r>
      <w:r w:rsidRPr="009E3D3A">
        <w:t>авторов</w:t>
      </w:r>
      <w:r>
        <w:rPr>
          <w:rStyle w:val="FootnoteReference"/>
        </w:rPr>
        <w:footnoteReference w:id="5"/>
      </w:r>
      <w:r>
        <w:t>.</w:t>
      </w:r>
    </w:p>
    <w:p w:rsidR="0014670C" w:rsidRPr="00A77040" w:rsidRDefault="0014670C" w:rsidP="0014670C">
      <w:pPr>
        <w:pStyle w:val="H23GR"/>
      </w:pPr>
      <w:r w:rsidRPr="009E3D3A">
        <w:tab/>
      </w:r>
      <w:r w:rsidRPr="009E3D3A">
        <w:tab/>
      </w:r>
      <w:r>
        <w:t>Факты</w:t>
      </w:r>
      <w:r w:rsidRPr="00A77040">
        <w:t xml:space="preserve"> </w:t>
      </w:r>
      <w:r>
        <w:t>в</w:t>
      </w:r>
      <w:r w:rsidRPr="00A77040">
        <w:t xml:space="preserve"> </w:t>
      </w:r>
      <w:r>
        <w:t>изложении</w:t>
      </w:r>
      <w:r w:rsidRPr="00A77040">
        <w:t xml:space="preserve"> </w:t>
      </w:r>
      <w:r>
        <w:t>авторов</w:t>
      </w:r>
    </w:p>
    <w:p w:rsidR="0014670C" w:rsidRPr="002A2A8C" w:rsidRDefault="0014670C" w:rsidP="0014670C">
      <w:pPr>
        <w:pStyle w:val="SingleTxtGR"/>
      </w:pPr>
      <w:r>
        <w:t>2.1</w:t>
      </w:r>
      <w:r>
        <w:tab/>
        <w:t>Тридцать один автор, включая двух детей, прибыли в австралийские те</w:t>
      </w:r>
      <w:r>
        <w:t>р</w:t>
      </w:r>
      <w:r>
        <w:t>риториальные воды на разных судах в период с марта 2009 по март 2010 года. Они были задержаны в море и сначала высажены на берег на острове Рождес</w:t>
      </w:r>
      <w:r>
        <w:t>т</w:t>
      </w:r>
      <w:r>
        <w:t>ва</w:t>
      </w:r>
      <w:r w:rsidRPr="00A63BEF">
        <w:t xml:space="preserve"> </w:t>
      </w:r>
      <w:r>
        <w:t>в Австралии. Их поместили в иммиграционные приемники в соответствии с разделом 189 (3) Закона о миграции 1958 года, согласно которому австрали</w:t>
      </w:r>
      <w:r>
        <w:t>й</w:t>
      </w:r>
      <w:r>
        <w:t>ские власти обязаны задерживать любое лицо, которое "незаконно въехало в страну, не имея ее гражданства" в "закрытой офшорной зоне". У авторов не б</w:t>
      </w:r>
      <w:r>
        <w:t>ы</w:t>
      </w:r>
      <w:r>
        <w:t>ло действующих виз на въезд в Австралию. Один из авторов является малоле</w:t>
      </w:r>
      <w:r>
        <w:t>т</w:t>
      </w:r>
      <w:r>
        <w:t xml:space="preserve">ним ребенком, родившимся в Австралии во время содержания под </w:t>
      </w:r>
      <w:r w:rsidRPr="009E3D3A">
        <w:t>стражей</w:t>
      </w:r>
      <w:r>
        <w:rPr>
          <w:rStyle w:val="FootnoteReference"/>
        </w:rPr>
        <w:footnoteReference w:id="6"/>
      </w:r>
      <w:r>
        <w:t xml:space="preserve">. </w:t>
      </w:r>
    </w:p>
    <w:p w:rsidR="0014670C" w:rsidRPr="003F5614" w:rsidRDefault="0014670C" w:rsidP="0014670C">
      <w:pPr>
        <w:pStyle w:val="SingleTxtGR"/>
      </w:pPr>
      <w:r>
        <w:t>2.2</w:t>
      </w:r>
      <w:r>
        <w:tab/>
        <w:t>Пять авторов (С.Р. (автор 13), А.Р. (автор 14), А.Р. (автор 15), С.С. (а</w:t>
      </w:r>
      <w:r>
        <w:t>в</w:t>
      </w:r>
      <w:r>
        <w:t>тор</w:t>
      </w:r>
      <w:r>
        <w:rPr>
          <w:lang w:val="en-US"/>
        </w:rPr>
        <w:t> </w:t>
      </w:r>
      <w:r>
        <w:t>22), С.И. (автор 34)) были высажены на берег в Индонезии после их спас</w:t>
      </w:r>
      <w:r>
        <w:t>е</w:t>
      </w:r>
      <w:r w:rsidRPr="0014670C">
        <w:t>ния на море австралийским таможенным судном "Oceanic Viking". Австралия</w:t>
      </w:r>
      <w:r>
        <w:t xml:space="preserve"> затем достигла договоренности с Индонезией о том, что примет их на своей территории 29 декабря 2009 года по "специальным целевым визам". После пр</w:t>
      </w:r>
      <w:r>
        <w:t>и</w:t>
      </w:r>
      <w:r>
        <w:t>бытия авторов на самолете на остров Рождества срок действия их виз истек, и они стали "незаконно прибывшими в страну лицами, не имеющими ее гражда</w:t>
      </w:r>
      <w:r>
        <w:t>н</w:t>
      </w:r>
      <w:r>
        <w:t>ства", в "миграционной зоне", которые не прибыли через "закрытую офшорную зону". Они имели право ходатайствовать о выдаче им виз с целью защиты и б</w:t>
      </w:r>
      <w:r>
        <w:t>ы</w:t>
      </w:r>
      <w:r>
        <w:t>ли помещены в иммиграционный приемник-изолятор до принятия окончател</w:t>
      </w:r>
      <w:r>
        <w:t>ь</w:t>
      </w:r>
      <w:r>
        <w:t>ного решения об их статусе.</w:t>
      </w:r>
    </w:p>
    <w:p w:rsidR="0014670C" w:rsidRPr="00BA2D50" w:rsidRDefault="0014670C" w:rsidP="0014670C">
      <w:pPr>
        <w:pStyle w:val="SingleTxtGR"/>
      </w:pPr>
      <w:r>
        <w:t>2.3</w:t>
      </w:r>
      <w:r>
        <w:tab/>
        <w:t>Впоследствии авторы были переведены в несколько иммиграционных приемников. Управление по вопросам иммиграции и гражданства (УИГ) поз</w:t>
      </w:r>
      <w:r>
        <w:t>д</w:t>
      </w:r>
      <w:r>
        <w:t>нее признало авторов, входивших в группу из 31 человека, беженцами, возвр</w:t>
      </w:r>
      <w:r>
        <w:t>а</w:t>
      </w:r>
      <w:r>
        <w:t xml:space="preserve">щение которых в их страны происхождения было небезопасным. Пять человек с </w:t>
      </w:r>
      <w:r w:rsidRPr="0014670C">
        <w:t>судна "Oceanic Viking" были признаны беженцами Управлением Верховного ко</w:t>
      </w:r>
      <w:r>
        <w:t>миссара Организации Объединенных Наций по делам беженцев (УВКБ), о</w:t>
      </w:r>
      <w:r>
        <w:t>д</w:t>
      </w:r>
      <w:r>
        <w:t>нако они подали ходатайства о предоставлении им вида на постоянное жител</w:t>
      </w:r>
      <w:r>
        <w:t>ь</w:t>
      </w:r>
      <w:r>
        <w:t>ство в Австралии в качестве меры защиты.</w:t>
      </w:r>
    </w:p>
    <w:p w:rsidR="0014670C" w:rsidRPr="00A77040" w:rsidRDefault="0014670C" w:rsidP="0014670C">
      <w:pPr>
        <w:pStyle w:val="SingleTxtGR"/>
      </w:pPr>
      <w:r>
        <w:t>2.4</w:t>
      </w:r>
      <w:r>
        <w:tab/>
        <w:t>Всем совершеннолетним авторам впоследствии было отказано в визах на проживание в Австралии по результатам негативных оценок угрозы безопасн</w:t>
      </w:r>
      <w:r>
        <w:t>о</w:t>
      </w:r>
      <w:r>
        <w:t>сти, которые были произведены Австралийской организацией по вопросам безопасности и разведки (АОБР). Ни одному из авторов не было вручено ув</w:t>
      </w:r>
      <w:r>
        <w:t>е</w:t>
      </w:r>
      <w:r>
        <w:t>домление с изложением причин упомянутых негативных оценок их личностей с точки зрения угрозы безопасности. Трем</w:t>
      </w:r>
      <w:r w:rsidRPr="00A77040">
        <w:t xml:space="preserve"> </w:t>
      </w:r>
      <w:r>
        <w:t>детям</w:t>
      </w:r>
      <w:r w:rsidRPr="00A77040">
        <w:t xml:space="preserve"> </w:t>
      </w:r>
      <w:r>
        <w:t>визы</w:t>
      </w:r>
      <w:r w:rsidRPr="00A77040">
        <w:t xml:space="preserve"> </w:t>
      </w:r>
      <w:r>
        <w:t>были</w:t>
      </w:r>
      <w:r w:rsidRPr="00A77040">
        <w:t xml:space="preserve"> </w:t>
      </w:r>
      <w:r>
        <w:t>выданы</w:t>
      </w:r>
      <w:r w:rsidRPr="00A77040">
        <w:t xml:space="preserve"> </w:t>
      </w:r>
      <w:r>
        <w:t>в</w:t>
      </w:r>
      <w:r w:rsidRPr="00A77040">
        <w:t xml:space="preserve"> </w:t>
      </w:r>
      <w:r>
        <w:t>порядке их защиты</w:t>
      </w:r>
      <w:r w:rsidRPr="00A77040">
        <w:t>.</w:t>
      </w:r>
    </w:p>
    <w:p w:rsidR="0014670C" w:rsidRPr="008368A8" w:rsidRDefault="0014670C" w:rsidP="0014670C">
      <w:pPr>
        <w:pStyle w:val="SingleTxtGR"/>
      </w:pPr>
      <w:r>
        <w:t>2.5</w:t>
      </w:r>
      <w:r>
        <w:tab/>
        <w:t xml:space="preserve">Авторы не имеют возможности оспорить существо их оценки с точки зрения угрозы </w:t>
      </w:r>
      <w:r w:rsidRPr="009E3D3A">
        <w:t>безопасности</w:t>
      </w:r>
      <w:r>
        <w:rPr>
          <w:rStyle w:val="FootnoteReference"/>
        </w:rPr>
        <w:footnoteReference w:id="7"/>
      </w:r>
      <w:r>
        <w:t>. Единственная имевшаяся у них возможность с</w:t>
      </w:r>
      <w:r>
        <w:t>о</w:t>
      </w:r>
      <w:r>
        <w:t>стояла в пересмотре решения федеральными судами на основании "судебной ошибки" (правовой ошибки), который может включать отказ в справедливости судопроизводства. Однако в ходе такого пересмотра не подлежат рассмотрению существо фактов и доказательств, послуживших основанием для решений АОБР. Поскольку причины оценок АОБР не были оглашены, авторы не имеют возможности определить, имели ли место какие-либо судебные ошибки.</w:t>
      </w:r>
    </w:p>
    <w:p w:rsidR="0014670C" w:rsidRPr="00E50395" w:rsidRDefault="0014670C" w:rsidP="0014670C">
      <w:pPr>
        <w:pStyle w:val="SingleTxtGR"/>
      </w:pPr>
      <w:r>
        <w:t>2.6</w:t>
      </w:r>
      <w:r>
        <w:tab/>
        <w:t>В силу того, что авторам было отказано в визах, их содержали под стр</w:t>
      </w:r>
      <w:r>
        <w:t>а</w:t>
      </w:r>
      <w:r>
        <w:t>жей в целях дальнейшей высылки во исполнение раздела 198 Закона о мигр</w:t>
      </w:r>
      <w:r>
        <w:t>а</w:t>
      </w:r>
      <w:r>
        <w:t>ции. Однако они не хотят добровольно возвращаться в страны своего гражда</w:t>
      </w:r>
      <w:r>
        <w:t>н</w:t>
      </w:r>
      <w:r>
        <w:t>ства, и государство-участник не проинформировало их о намерении выслать их в эти страны. Государство-участник также не сообщило им и о том, что какая-либо третья страна согласилась их принять или что по этому вопросу ведутся активные переговоры. Ни одна третья страна не обязана их принимать. К тому же крайне маловероятно, что какая-либо третья страна примет их после того, как по итогам оценки Австралия признала, что они представляют угрозу без</w:t>
      </w:r>
      <w:r>
        <w:t>о</w:t>
      </w:r>
      <w:r>
        <w:t xml:space="preserve">пасности. </w:t>
      </w:r>
    </w:p>
    <w:p w:rsidR="0014670C" w:rsidRPr="00B753AB" w:rsidRDefault="0014670C" w:rsidP="0014670C">
      <w:pPr>
        <w:pStyle w:val="SingleTxtGR"/>
      </w:pPr>
      <w:r>
        <w:t>2.7</w:t>
      </w:r>
      <w:r>
        <w:tab/>
        <w:t>В последующих письмах адвокат сообщил Комитету об усугублении у</w:t>
      </w:r>
      <w:r>
        <w:t>г</w:t>
      </w:r>
      <w:r>
        <w:t>розы для психического и физического здоровья содержащихся под стражей а</w:t>
      </w:r>
      <w:r>
        <w:t>в</w:t>
      </w:r>
      <w:r>
        <w:t>торов. В мае 2012 года К.Н. (автор 11) в результате передозировки антидепре</w:t>
      </w:r>
      <w:r>
        <w:t>с</w:t>
      </w:r>
      <w:r>
        <w:t>сантов был госпитализирован. 6 мая 2012 года была пресечена попытка С.И. (автор 34) причинить себе вред с помощью электрического провода. 8 ноября 2012 года попытку самоубийства совершил К.С. (автор 27). Причиной этого ш</w:t>
      </w:r>
      <w:r>
        <w:t>а</w:t>
      </w:r>
      <w:r>
        <w:t>га послужила тревога, вызванная обращением с его братом П.С. (автор 29), к</w:t>
      </w:r>
      <w:r>
        <w:t>о</w:t>
      </w:r>
      <w:r>
        <w:t>торый был психически больным и не получал надлежащей медицинской пом</w:t>
      </w:r>
      <w:r>
        <w:t>о</w:t>
      </w:r>
      <w:r>
        <w:t>щи. К.Т. (автор 30) предпринимал попытки самоубийства 15 и 24 ноября 2012</w:t>
      </w:r>
      <w:r>
        <w:rPr>
          <w:lang w:val="en-US"/>
        </w:rPr>
        <w:t> </w:t>
      </w:r>
      <w:r w:rsidRPr="009E3D3A">
        <w:t>года</w:t>
      </w:r>
      <w:r>
        <w:rPr>
          <w:rStyle w:val="FootnoteReference"/>
        </w:rPr>
        <w:footnoteReference w:id="8"/>
      </w:r>
      <w:r>
        <w:t xml:space="preserve">. </w:t>
      </w:r>
    </w:p>
    <w:p w:rsidR="0014670C" w:rsidRPr="00A77040" w:rsidRDefault="0014670C" w:rsidP="0014670C">
      <w:pPr>
        <w:pStyle w:val="H23GR"/>
      </w:pPr>
      <w:r>
        <w:tab/>
      </w:r>
      <w:r>
        <w:tab/>
        <w:t>Жалоба</w:t>
      </w:r>
    </w:p>
    <w:p w:rsidR="0014670C" w:rsidRPr="0013732F" w:rsidRDefault="0014670C" w:rsidP="0014670C">
      <w:pPr>
        <w:pStyle w:val="SingleTxtGR"/>
      </w:pPr>
      <w:r>
        <w:t>3.1</w:t>
      </w:r>
      <w:r>
        <w:tab/>
        <w:t>Авторы утверждают, что содержание</w:t>
      </w:r>
      <w:r w:rsidR="001476AD">
        <w:t xml:space="preserve"> их под стражей нарушает ст</w:t>
      </w:r>
      <w:r w:rsidR="001476AD">
        <w:t>а</w:t>
      </w:r>
      <w:r w:rsidR="001476AD">
        <w:t>тьи </w:t>
      </w:r>
      <w:r>
        <w:t>9 (пункты 1, 2 и 4), 7, 10 (пункт 1), 17 (пункт 1), 23 (пункт 1) и 24 (пункт 1) Пакта.</w:t>
      </w:r>
    </w:p>
    <w:p w:rsidR="0014670C" w:rsidRPr="00A77040" w:rsidRDefault="0014670C" w:rsidP="0014670C">
      <w:pPr>
        <w:pStyle w:val="H4GR"/>
      </w:pPr>
      <w:r w:rsidRPr="006B4E4B">
        <w:tab/>
      </w:r>
      <w:r w:rsidRPr="006B4E4B">
        <w:tab/>
      </w:r>
      <w:r>
        <w:t>Статья</w:t>
      </w:r>
      <w:r w:rsidRPr="00A77040">
        <w:t xml:space="preserve"> 9, </w:t>
      </w:r>
      <w:r>
        <w:t>пункт</w:t>
      </w:r>
      <w:r w:rsidRPr="00A77040">
        <w:t xml:space="preserve"> 1</w:t>
      </w:r>
    </w:p>
    <w:p w:rsidR="0014670C" w:rsidRPr="0013732F" w:rsidRDefault="0014670C" w:rsidP="0014670C">
      <w:pPr>
        <w:pStyle w:val="SingleTxtGR"/>
      </w:pPr>
      <w:r>
        <w:t>3.2</w:t>
      </w:r>
      <w:r>
        <w:tab/>
        <w:t xml:space="preserve">Согласно пункту 1 статьи 9 задержание авторов носит произвольный и незаконный характер и включает два отдельных этапа: первый этап </w:t>
      </w:r>
      <w:r w:rsidRPr="00250D05">
        <w:t xml:space="preserve">– </w:t>
      </w:r>
      <w:r>
        <w:t>до прин</w:t>
      </w:r>
      <w:r>
        <w:t>я</w:t>
      </w:r>
      <w:r>
        <w:t>тия Австралией решения об отказе им в защите в качестве бежен</w:t>
      </w:r>
      <w:r w:rsidR="001476AD">
        <w:t>цев</w:t>
      </w:r>
      <w:r>
        <w:t xml:space="preserve"> и второй </w:t>
      </w:r>
      <w:r w:rsidRPr="00250D05">
        <w:t xml:space="preserve">– </w:t>
      </w:r>
      <w:r>
        <w:t xml:space="preserve">после решения Австралии об отказе и до высылки из Австралии. </w:t>
      </w:r>
    </w:p>
    <w:p w:rsidR="0014670C" w:rsidRDefault="0014670C" w:rsidP="0014670C">
      <w:pPr>
        <w:pStyle w:val="SingleTxtGR"/>
      </w:pPr>
      <w:r>
        <w:t>3.3</w:t>
      </w:r>
      <w:r>
        <w:tab/>
        <w:t>Государство-участник не представило никакого законного индивидуал</w:t>
      </w:r>
      <w:r>
        <w:t>ь</w:t>
      </w:r>
      <w:r>
        <w:t>ного обоснования в оправдание задержания авторов по их прибыти</w:t>
      </w:r>
      <w:r w:rsidR="001476AD">
        <w:t>и</w:t>
      </w:r>
      <w:r>
        <w:t xml:space="preserve"> с целью определения возможности того, не может ли каждый из них скрыться или отк</w:t>
      </w:r>
      <w:r>
        <w:t>а</w:t>
      </w:r>
      <w:r>
        <w:t xml:space="preserve">заться от сотрудничества или представляет </w:t>
      </w:r>
      <w:r w:rsidRPr="0036403F">
        <w:t xml:space="preserve">prima facie </w:t>
      </w:r>
      <w:r>
        <w:t>угрозу безопасности. Все они были автоматически задержаны по той простой причине, что являлись н</w:t>
      </w:r>
      <w:r>
        <w:t>е</w:t>
      </w:r>
      <w:r>
        <w:t>законно прибывшими в страну лицами, не имевшими ее гражданства, и наход</w:t>
      </w:r>
      <w:r>
        <w:t>и</w:t>
      </w:r>
      <w:r>
        <w:t xml:space="preserve">лись в закрытой офшорной зоне. Существующая правовая база не допускает индивидуальной оценки материальной потребности в задержании. </w:t>
      </w:r>
    </w:p>
    <w:p w:rsidR="0014670C" w:rsidRPr="001476AD" w:rsidRDefault="0014670C" w:rsidP="001476AD">
      <w:pPr>
        <w:pStyle w:val="SingleTxtGR"/>
      </w:pPr>
      <w:r w:rsidRPr="001476AD">
        <w:t>3.4</w:t>
      </w:r>
      <w:r w:rsidRPr="001476AD">
        <w:tab/>
        <w:t>При отсутствии обоснования необходимости в задержании в индивид</w:t>
      </w:r>
      <w:r w:rsidRPr="001476AD">
        <w:t>у</w:t>
      </w:r>
      <w:r w:rsidRPr="001476AD">
        <w:t>альном задержании каждого автора можно предположить, что такое задержание преследовало иные цели: обобщенная опасность побега, не соотносимая с ли</w:t>
      </w:r>
      <w:r w:rsidRPr="001476AD">
        <w:t>ч</w:t>
      </w:r>
      <w:r w:rsidRPr="001476AD">
        <w:t>ностью каждого автора; более широкая цель наказания за незаконный въезд или предотвращения случаев незаконного въезда либо простое бюрократическое удобство постоянной доступности таких лиц. Ни одна из этих целей не может служить законным основанием для задержания.</w:t>
      </w:r>
    </w:p>
    <w:p w:rsidR="0014670C" w:rsidRPr="00686852" w:rsidRDefault="0014670C" w:rsidP="0014670C">
      <w:pPr>
        <w:pStyle w:val="SingleTxtGR"/>
      </w:pPr>
      <w:r>
        <w:t>3.5</w:t>
      </w:r>
      <w:r>
        <w:tab/>
        <w:t>На этапе после принятия решения об отказе в удовлетворении ходатайс</w:t>
      </w:r>
      <w:r>
        <w:t>т</w:t>
      </w:r>
      <w:r>
        <w:t>ва простое утверждение о том, что то или иное лицо представляет угрозу без</w:t>
      </w:r>
      <w:r>
        <w:t>о</w:t>
      </w:r>
      <w:r>
        <w:t xml:space="preserve">пасности, не может соответствовать требованиям </w:t>
      </w:r>
      <w:r w:rsidRPr="003233FC">
        <w:t>статьи 9</w:t>
      </w:r>
      <w:r>
        <w:rPr>
          <w:rStyle w:val="FootnoteReference"/>
        </w:rPr>
        <w:footnoteReference w:id="9"/>
      </w:r>
      <w:r>
        <w:t>.</w:t>
      </w:r>
      <w:r w:rsidRPr="00686852">
        <w:t xml:space="preserve"> </w:t>
      </w:r>
      <w:r>
        <w:t>Секретная основа оценки угрозы безопасности делает невозможным анализ основания для вр</w:t>
      </w:r>
      <w:r>
        <w:t>е</w:t>
      </w:r>
      <w:r>
        <w:t>менного задержания и представляет собой отказ в надлежащем судебном разб</w:t>
      </w:r>
      <w:r>
        <w:t>и</w:t>
      </w:r>
      <w:r>
        <w:t>рательстве. Можно лишь предположить, что такие оценки связаны с предпол</w:t>
      </w:r>
      <w:r>
        <w:t>а</w:t>
      </w:r>
      <w:r>
        <w:t>гаемым поведением авторов до въезда в Австралию. Однако если государство-участник располагает доказательствами, позволяющими подозревать, что кто-то из авторов совершил преступление в ходе вооруженного конфликта в Шри-Ланке или имеет какое-либо отношение к такой организации, как Тигры осв</w:t>
      </w:r>
      <w:r>
        <w:t>о</w:t>
      </w:r>
      <w:r>
        <w:t>бождения Тамил-Илама, подобные преступления могут преследоваться по авс</w:t>
      </w:r>
      <w:r>
        <w:t>т</w:t>
      </w:r>
      <w:r>
        <w:t>ралийскому законодательству. Кроме того, любые ранее совершенные авторами действия в Шри-Ланке не могут автоматически означать, что авторы предста</w:t>
      </w:r>
      <w:r>
        <w:t>в</w:t>
      </w:r>
      <w:r>
        <w:t>ляют соответствующую опасность и</w:t>
      </w:r>
      <w:r w:rsidRPr="00B87A12">
        <w:t xml:space="preserve"> </w:t>
      </w:r>
      <w:r>
        <w:t>для населения Австралии. Источник п</w:t>
      </w:r>
      <w:r>
        <w:t>о</w:t>
      </w:r>
      <w:r>
        <w:t>ступившей о них информации может оказаться ненадежным, особенно если а</w:t>
      </w:r>
      <w:r>
        <w:t>в</w:t>
      </w:r>
      <w:r>
        <w:t xml:space="preserve">стралийские власти полагались на разведданные правительства Шри-Ланки. </w:t>
      </w:r>
    </w:p>
    <w:p w:rsidR="0014670C" w:rsidRPr="00E9528F" w:rsidRDefault="0014670C" w:rsidP="0014670C">
      <w:pPr>
        <w:pStyle w:val="SingleTxtGR"/>
      </w:pPr>
      <w:r>
        <w:t>3.6</w:t>
      </w:r>
      <w:r>
        <w:tab/>
        <w:t>Государство-участник не использовало никаких альтернатив временному задержанию и не доказало, что такие альтернативные меры были бы недост</w:t>
      </w:r>
      <w:r>
        <w:t>а</w:t>
      </w:r>
      <w:r>
        <w:t>точны или неуместны с точки зрения критериев обеспечения безопасности. Кроме того, австралийское законодательство не предусматривает существов</w:t>
      </w:r>
      <w:r>
        <w:t>а</w:t>
      </w:r>
      <w:r>
        <w:t>ние какого-либо обязующего законного механизма по проведению периодич</w:t>
      </w:r>
      <w:r>
        <w:t>е</w:t>
      </w:r>
      <w:r>
        <w:t>ского пересмотра оснований для решений о временном задержании или о ма</w:t>
      </w:r>
      <w:r>
        <w:t>к</w:t>
      </w:r>
      <w:r>
        <w:t>симальном периоде такого задержания. Задержание попросту продолжается до тех пор, пока то или иное лицо не получит визу или не будет выслано из Авс</w:t>
      </w:r>
      <w:r>
        <w:t>т</w:t>
      </w:r>
      <w:r>
        <w:t>ралии. Высокий суд Австралии в аналогичных случаях подтверждал законность бессрочного задержания иммигрантов.</w:t>
      </w:r>
    </w:p>
    <w:p w:rsidR="0014670C" w:rsidRPr="006A4AA7" w:rsidRDefault="0014670C" w:rsidP="0014670C">
      <w:pPr>
        <w:pStyle w:val="SingleTxtGR"/>
      </w:pPr>
      <w:r>
        <w:t>3.7</w:t>
      </w:r>
      <w:r>
        <w:tab/>
        <w:t>Оценка австралийскими властями угрозы безопасности применяется в качестве дополнительного одностороннего обоснования для отказа в приеме беженцев, которое не прописано в Конвенции о статусе беженцев (Конвенция о беженцах). Беженцы могут быть исключены из сферы применения защитных мер лишь в том случае, если их подозревают в совершении серьезных правон</w:t>
      </w:r>
      <w:r>
        <w:t>а</w:t>
      </w:r>
      <w:r>
        <w:t xml:space="preserve">рушений, предусмотренных статьей </w:t>
      </w:r>
      <w:r w:rsidRPr="006A4AA7">
        <w:t>1</w:t>
      </w:r>
      <w:r>
        <w:rPr>
          <w:lang w:val="en-US"/>
        </w:rPr>
        <w:t>F</w:t>
      </w:r>
      <w:r>
        <w:t>, либо если они представляют угрозу с точки зрения пункта 2 статьи 33 Конвенции, а не в тех случаях, когда они по</w:t>
      </w:r>
      <w:r>
        <w:t>д</w:t>
      </w:r>
      <w:r>
        <w:t>падают под широкое значение термина "безопасность" по австралийскому зак</w:t>
      </w:r>
      <w:r>
        <w:t>о</w:t>
      </w:r>
      <w:r>
        <w:t>нодательству. Их задержание не может быть обоснованно международными д</w:t>
      </w:r>
      <w:r>
        <w:t>о</w:t>
      </w:r>
      <w:r>
        <w:t>говорами о беженцах, если не применяются ни статья 1</w:t>
      </w:r>
      <w:r>
        <w:rPr>
          <w:lang w:val="en-US"/>
        </w:rPr>
        <w:t>F</w:t>
      </w:r>
      <w:r>
        <w:t>, ни пункт 2 статьи 33.</w:t>
      </w:r>
    </w:p>
    <w:p w:rsidR="0014670C" w:rsidRPr="00A77040" w:rsidRDefault="0014670C" w:rsidP="002627DE">
      <w:pPr>
        <w:pStyle w:val="H4GR"/>
        <w:spacing w:before="240"/>
      </w:pPr>
      <w:r w:rsidRPr="00A77040">
        <w:tab/>
      </w:r>
      <w:r w:rsidRPr="00A77040">
        <w:tab/>
      </w:r>
      <w:r>
        <w:t>Статья</w:t>
      </w:r>
      <w:r w:rsidRPr="00A77040">
        <w:t xml:space="preserve"> 9, </w:t>
      </w:r>
      <w:r>
        <w:t>пункт</w:t>
      </w:r>
      <w:r w:rsidRPr="00A77040">
        <w:t xml:space="preserve"> 2</w:t>
      </w:r>
    </w:p>
    <w:p w:rsidR="0014670C" w:rsidRPr="008D1447" w:rsidRDefault="0014670C" w:rsidP="0014670C">
      <w:pPr>
        <w:pStyle w:val="SingleTxtGR"/>
      </w:pPr>
      <w:r>
        <w:t>3.8</w:t>
      </w:r>
      <w:r>
        <w:tab/>
        <w:t>Власти не проинформировали ни одного из авторов о существенных пр</w:t>
      </w:r>
      <w:r>
        <w:t>и</w:t>
      </w:r>
      <w:r>
        <w:t>чинах их задержания. В большинстве случаев им дали понять, что их задерж</w:t>
      </w:r>
      <w:r>
        <w:t>а</w:t>
      </w:r>
      <w:r>
        <w:t>ли, потому что они являлись офшорно въехавшими в страну и не имеющими ее гражданства лицами, которые подлежат задержанию в соответствии с Законом о миграции.</w:t>
      </w:r>
    </w:p>
    <w:p w:rsidR="0014670C" w:rsidRPr="00A77040" w:rsidRDefault="0014670C" w:rsidP="002627DE">
      <w:pPr>
        <w:pStyle w:val="H4GR"/>
        <w:spacing w:before="240"/>
      </w:pPr>
      <w:r w:rsidRPr="00A77040">
        <w:tab/>
      </w:r>
      <w:r w:rsidRPr="00A77040">
        <w:tab/>
      </w:r>
      <w:r>
        <w:t>Статья</w:t>
      </w:r>
      <w:r w:rsidRPr="00A77040">
        <w:t xml:space="preserve"> 9, </w:t>
      </w:r>
      <w:r>
        <w:t>пункт</w:t>
      </w:r>
      <w:r w:rsidRPr="00A77040">
        <w:t xml:space="preserve"> 4</w:t>
      </w:r>
    </w:p>
    <w:p w:rsidR="0014670C" w:rsidRPr="008D1447" w:rsidRDefault="0014670C" w:rsidP="0014670C">
      <w:pPr>
        <w:pStyle w:val="SingleTxtGR"/>
      </w:pPr>
      <w:r>
        <w:t>3.9</w:t>
      </w:r>
      <w:r>
        <w:tab/>
        <w:t>По австралийскому законодательству решение о задерж</w:t>
      </w:r>
      <w:r w:rsidR="002627DE">
        <w:t>ании не может быть оспорено</w:t>
      </w:r>
      <w:r>
        <w:t xml:space="preserve"> и ни один суд не обладает полномочиями по оценке необход</w:t>
      </w:r>
      <w:r>
        <w:t>и</w:t>
      </w:r>
      <w:r>
        <w:t>мости в таком задержании, в том числе и со ссылкой на факторы риска, связа</w:t>
      </w:r>
      <w:r>
        <w:t>н</w:t>
      </w:r>
      <w:r>
        <w:t>ные с отдельными авторами. Закон о миграции требует обязательного задерж</w:t>
      </w:r>
      <w:r>
        <w:t>а</w:t>
      </w:r>
      <w:r>
        <w:t>ния офшорно прибывших лиц и не предусматривает их индивидуальной оце</w:t>
      </w:r>
      <w:r>
        <w:t>н</w:t>
      </w:r>
      <w:r>
        <w:t xml:space="preserve">ки. </w:t>
      </w:r>
    </w:p>
    <w:p w:rsidR="0014670C" w:rsidRPr="00686852" w:rsidRDefault="0014670C" w:rsidP="0014670C">
      <w:pPr>
        <w:pStyle w:val="SingleTxtGR"/>
      </w:pPr>
      <w:r w:rsidRPr="00686852">
        <w:t>3</w:t>
      </w:r>
      <w:r>
        <w:t>.10</w:t>
      </w:r>
      <w:r>
        <w:tab/>
        <w:t>Австралийские суды могут проводить лишь строго формальный пер</w:t>
      </w:r>
      <w:r>
        <w:t>е</w:t>
      </w:r>
      <w:r>
        <w:t>смотр с целью установления того, являются ли авторы офшорно прибывшими лицами, были ли им выданы визы и содержат ли их под стражей до выдворения в другую страну. Суды могут пересматривать решения административных орг</w:t>
      </w:r>
      <w:r>
        <w:t>а</w:t>
      </w:r>
      <w:r>
        <w:t>нов по ограниченным юридическим мотивам юрисдикционной ошибки, вкл</w:t>
      </w:r>
      <w:r>
        <w:t>ю</w:t>
      </w:r>
      <w:r>
        <w:t>чая отказ в процессуальной справедливости, но не имеют права пересматривать по существу вопрос о необходимости задержания.</w:t>
      </w:r>
    </w:p>
    <w:p w:rsidR="0014670C" w:rsidRPr="004E1358" w:rsidRDefault="0014670C" w:rsidP="0014670C">
      <w:pPr>
        <w:pStyle w:val="SingleTxtGR"/>
      </w:pPr>
      <w:r>
        <w:t>3.11</w:t>
      </w:r>
      <w:r>
        <w:tab/>
        <w:t>Поскольку причины негативной оценки авторов с точки зрения угрозы безопасности не были раскрыты, авторы не могут установить, допустила ли АОБР юридические ошибки. К тому же суды согласились с тем, что не облад</w:t>
      </w:r>
      <w:r>
        <w:t>а</w:t>
      </w:r>
      <w:r>
        <w:t>ют компетенцией для оценки информации по вопросам безопасности, и ра</w:t>
      </w:r>
      <w:r>
        <w:t>с</w:t>
      </w:r>
      <w:r>
        <w:t>смотрение ими доказательств по таким делам по-прежнему носит в основном формальный и малоэффективный характер. Даже если авторам удастся добит</w:t>
      </w:r>
      <w:r>
        <w:t>ь</w:t>
      </w:r>
      <w:r>
        <w:t>ся пересмотра решения в судебном порядке, АОБР может сослаться на "осв</w:t>
      </w:r>
      <w:r>
        <w:t>о</w:t>
      </w:r>
      <w:r>
        <w:t>бождение от ответственности в связи с защитой общественных интер</w:t>
      </w:r>
      <w:r>
        <w:t>е</w:t>
      </w:r>
      <w:r>
        <w:t>сов</w:t>
      </w:r>
      <w:r w:rsidR="00877224">
        <w:t>,"</w:t>
      </w:r>
      <w:r>
        <w:t>чтобы помешать оспариванию авторами в судах любых негативных доказ</w:t>
      </w:r>
      <w:r>
        <w:t>а</w:t>
      </w:r>
      <w:r>
        <w:t>тельств угрозы безопасности, как АОБР и поступала при разбирательстве в ф</w:t>
      </w:r>
      <w:r>
        <w:t>е</w:t>
      </w:r>
      <w:r>
        <w:t>деральном суде дел, связанных с негативной оценкой не имеющих австрали</w:t>
      </w:r>
      <w:r>
        <w:t>й</w:t>
      </w:r>
      <w:r>
        <w:t>ского гражданства лиц с точки зрения угрозы безопасности.</w:t>
      </w:r>
    </w:p>
    <w:p w:rsidR="0014670C" w:rsidRPr="00A77040" w:rsidRDefault="0014670C" w:rsidP="00877224">
      <w:pPr>
        <w:pStyle w:val="H4GR"/>
        <w:spacing w:before="240"/>
      </w:pPr>
      <w:r w:rsidRPr="00A77040">
        <w:tab/>
      </w:r>
      <w:r w:rsidRPr="00A77040">
        <w:tab/>
      </w:r>
      <w:r>
        <w:t>Статьи</w:t>
      </w:r>
      <w:r w:rsidRPr="00A77040">
        <w:t xml:space="preserve"> 7 </w:t>
      </w:r>
      <w:r>
        <w:t>и</w:t>
      </w:r>
      <w:r w:rsidRPr="00A77040">
        <w:t xml:space="preserve"> 10 (</w:t>
      </w:r>
      <w:r>
        <w:t>пункт</w:t>
      </w:r>
      <w:r w:rsidRPr="00A77040">
        <w:t xml:space="preserve"> 1)</w:t>
      </w:r>
    </w:p>
    <w:p w:rsidR="0014670C" w:rsidRPr="00B15326" w:rsidRDefault="0014670C" w:rsidP="0014670C">
      <w:pPr>
        <w:pStyle w:val="SingleTxtGR"/>
      </w:pPr>
      <w:r>
        <w:t>3.12</w:t>
      </w:r>
      <w:r>
        <w:tab/>
        <w:t>Произвольный характер их задержания, продолжительное и</w:t>
      </w:r>
      <w:r w:rsidRPr="00B15326">
        <w:t>/</w:t>
      </w:r>
      <w:r>
        <w:t>или бессро</w:t>
      </w:r>
      <w:r>
        <w:t>ч</w:t>
      </w:r>
      <w:r>
        <w:t>ное задержание, а также тяжелые условия нахождения в иммиграционных пр</w:t>
      </w:r>
      <w:r>
        <w:t>и</w:t>
      </w:r>
      <w:r>
        <w:t>емниках в совокупности причиняют серьезный невозместимый психологич</w:t>
      </w:r>
      <w:r>
        <w:t>е</w:t>
      </w:r>
      <w:r>
        <w:t>ский вред авторам вопреки статьям 7 и 10 (пункт 1) Пакта. Тяжелые условия содержания под стражей включают в себя оказание неудовлетворительных у</w:t>
      </w:r>
      <w:r>
        <w:t>с</w:t>
      </w:r>
      <w:r>
        <w:t>луг по охране физического и психического здоровья; отсутствие отдыха, нас</w:t>
      </w:r>
      <w:r>
        <w:t>и</w:t>
      </w:r>
      <w:r>
        <w:t>лие и карательное обращение; опасность несоразмерного применения силы о</w:t>
      </w:r>
      <w:r>
        <w:t>р</w:t>
      </w:r>
      <w:r>
        <w:t>ганами власти; и присутствие при попытках самоубийства или причинения себе вреда другими заключенными, а также боязнь таких действий. В этой связи о</w:t>
      </w:r>
      <w:r>
        <w:t>т</w:t>
      </w:r>
      <w:r>
        <w:t>сутствуют внутренние средства правовой защиты, включая средства констит</w:t>
      </w:r>
      <w:r>
        <w:t>у</w:t>
      </w:r>
      <w:r>
        <w:t xml:space="preserve">ционной защиты. </w:t>
      </w:r>
    </w:p>
    <w:p w:rsidR="0014670C" w:rsidRPr="00A306EE" w:rsidRDefault="0014670C" w:rsidP="0014670C">
      <w:pPr>
        <w:pStyle w:val="SingleTxtGR"/>
      </w:pPr>
      <w:r>
        <w:t>3.13</w:t>
      </w:r>
      <w:r>
        <w:tab/>
        <w:t>Различные учреждения, включая Австралийскую комиссию по правам человека и медицинские органы, выражали озабоченность по поводу психич</w:t>
      </w:r>
      <w:r>
        <w:t>е</w:t>
      </w:r>
      <w:r>
        <w:t>ского здоровья лиц, задерживаемых в иммиграционных приемниках. Воздейс</w:t>
      </w:r>
      <w:r>
        <w:t>т</w:t>
      </w:r>
      <w:r>
        <w:t>вие содержания под стражей на психическое здоровье авторов усугубляется ф</w:t>
      </w:r>
      <w:r>
        <w:t>и</w:t>
      </w:r>
      <w:r>
        <w:t>зическими условиями нахождения в приемниках. Австралийская комиссия по правам человека выражала, в частности, обеспокоенность в связи с исключ</w:t>
      </w:r>
      <w:r>
        <w:t>и</w:t>
      </w:r>
      <w:r>
        <w:t>тельно строгим режимом в Виллавудском иммиграционном приемнике и в С</w:t>
      </w:r>
      <w:r>
        <w:t>е</w:t>
      </w:r>
      <w:r>
        <w:t>верном иммиграционном приемнике в Дарвине, которые обнесены высокими заборами из проволочных сетей и оснащены средствами наблюдения. Имм</w:t>
      </w:r>
      <w:r>
        <w:t>и</w:t>
      </w:r>
      <w:r>
        <w:t>грационный приемник на острове Рождества также похож на тюрьму. Комиссия также заявляла о своей обеспокоенности возможностью применения в имм</w:t>
      </w:r>
      <w:r>
        <w:t>и</w:t>
      </w:r>
      <w:r>
        <w:t>грационных приемниках чрезмерной силы, а также неудовлетворительным к</w:t>
      </w:r>
      <w:r>
        <w:t>а</w:t>
      </w:r>
      <w:r>
        <w:t>чеством услуг по охране психического и физического здоровья.</w:t>
      </w:r>
    </w:p>
    <w:p w:rsidR="0014670C" w:rsidRPr="00E42006" w:rsidRDefault="0014670C" w:rsidP="00877224">
      <w:pPr>
        <w:pStyle w:val="H4GR"/>
        <w:spacing w:before="240"/>
      </w:pPr>
      <w:r>
        <w:tab/>
      </w:r>
      <w:r>
        <w:tab/>
        <w:t>Статьи 17 (пункт 1), 23 (пункт 1) и 24 (пункт 1)</w:t>
      </w:r>
    </w:p>
    <w:p w:rsidR="0014670C" w:rsidRPr="00831182" w:rsidRDefault="0014670C" w:rsidP="0014670C">
      <w:pPr>
        <w:pStyle w:val="SingleTxtGR"/>
      </w:pPr>
      <w:r>
        <w:t>3.14</w:t>
      </w:r>
      <w:r>
        <w:tab/>
        <w:t>Пять членов семьи Р. (авторы 13–17) утверждают, что их продолжител</w:t>
      </w:r>
      <w:r>
        <w:t>ь</w:t>
      </w:r>
      <w:r>
        <w:t>ное содержание под стражей также является нарушением статей 17 (пункт 1), 23 (пункт 1) и 24 (пункт 1), поскольку представляет собой вмешательство в их семейную жизнь и не совместимо с обязательством государства-участника по защите семьи и детей. Семья размещена в отдельном помещении в жилом ко</w:t>
      </w:r>
      <w:r>
        <w:t>м</w:t>
      </w:r>
      <w:r>
        <w:t>плексе для компактного проживания иммигрантов в Виллавуде – Сиднее. З</w:t>
      </w:r>
      <w:r>
        <w:t>а</w:t>
      </w:r>
      <w:r>
        <w:t>держание детей не является оправданным. С учетом их возраста (один год, ч</w:t>
      </w:r>
      <w:r>
        <w:t>е</w:t>
      </w:r>
      <w:r>
        <w:t>тыре и семь лет на момент представления) они не представляют никакой угрозы с точки зрения безопасности, здравоохранения или возможности побега. И хотя комплекс для иммигрантов в Виллавуде предпочтительнее основного приемн</w:t>
      </w:r>
      <w:r>
        <w:t>и</w:t>
      </w:r>
      <w:r>
        <w:t>ка-изолятора, он, тем не менее, является закрытым объектом, который дети и их семьи не могут свободно покидать или возвращаться в него. По мнению сп</w:t>
      </w:r>
      <w:r>
        <w:t>е</w:t>
      </w:r>
      <w:r>
        <w:t>циалистов-психиатров, содержание под стражей оказывает на младенцев и д</w:t>
      </w:r>
      <w:r>
        <w:t>е</w:t>
      </w:r>
      <w:r>
        <w:t>тей прямое, а возможно и долгосрочное, воздействие, затрудняет их развитие, а также влияет на их психическое и эмоциональное здоровье.</w:t>
      </w:r>
    </w:p>
    <w:p w:rsidR="0014670C" w:rsidRDefault="0014670C" w:rsidP="0014670C">
      <w:pPr>
        <w:pStyle w:val="SingleTxtGR"/>
      </w:pPr>
      <w:r>
        <w:t>3.15</w:t>
      </w:r>
      <w:r>
        <w:tab/>
        <w:t>В докладе от 1 ноября 2010 года, представленном министру по делам и</w:t>
      </w:r>
      <w:r>
        <w:t>м</w:t>
      </w:r>
      <w:r>
        <w:t>миграции и гражданства, психиатр подробно описал состояние всех пяти авт</w:t>
      </w:r>
      <w:r>
        <w:t>о</w:t>
      </w:r>
      <w:r>
        <w:t>ров. В докладе указывается, что С.Р. (автор 13) страдает от тяжелой депрессии и отвечает стандартным критериям диагностики тяжелого депрессивного ра</w:t>
      </w:r>
      <w:r>
        <w:t>с</w:t>
      </w:r>
      <w:r>
        <w:t>стройства. У нее также наблюдаются определенные признаки посттравматич</w:t>
      </w:r>
      <w:r>
        <w:t>е</w:t>
      </w:r>
      <w:r>
        <w:t>ского стрессового расстройства. Ее депрессивное состояние нетрудно понять, если учитывать сильнодействующие стрессовые факторы, которым были по</w:t>
      </w:r>
      <w:r>
        <w:t>д</w:t>
      </w:r>
      <w:r>
        <w:t>вержены члены семьи после их задержания, а также неопределенность их б</w:t>
      </w:r>
      <w:r>
        <w:t>у</w:t>
      </w:r>
      <w:r>
        <w:t>дущего. Трехлетний сын выглядит чрезмерно опечаленным и встревоженным и может испытывать недостаток питания. Серьезно нарушено</w:t>
      </w:r>
      <w:r w:rsidRPr="003E2B5D">
        <w:t xml:space="preserve"> </w:t>
      </w:r>
      <w:r>
        <w:t>его нормальное развитие. У всех трех детей в будущем могут возникнуть трудности, если они будут и впредь проживать в условиях содержания под стражей, ограничения возможностей для общения с другими детьми вне школы, контактов с членами расширенной семьи и участия в факультативных школьных мероприятиях.</w:t>
      </w:r>
    </w:p>
    <w:p w:rsidR="0014670C" w:rsidRPr="00225C84" w:rsidRDefault="0014670C" w:rsidP="0014670C">
      <w:pPr>
        <w:pStyle w:val="SingleTxtGR"/>
      </w:pPr>
      <w:r w:rsidRPr="00827FDD">
        <w:t>3</w:t>
      </w:r>
      <w:r>
        <w:t>.16</w:t>
      </w:r>
      <w:r>
        <w:tab/>
        <w:t>Задержание семьи Р. представляет собой вмешательство в семейную жизнь, поскольку нарушает обычные взаимодействия, свободы и взаимоотн</w:t>
      </w:r>
      <w:r>
        <w:t>о</w:t>
      </w:r>
      <w:r>
        <w:t>шения в семье, в том числе возможность выбирать собственное место прожив</w:t>
      </w:r>
      <w:r>
        <w:t>а</w:t>
      </w:r>
      <w:r>
        <w:t>ния, условия жизни, с кем проживать, определять деятельность семьи вне дома, а также взаимоотношения с общиной. Такое вмешательство не может быть о</w:t>
      </w:r>
      <w:r>
        <w:t>п</w:t>
      </w:r>
      <w:r>
        <w:t>равдано какими-либо законными целями, поскольку продолжительное задерж</w:t>
      </w:r>
      <w:r>
        <w:t>а</w:t>
      </w:r>
      <w:r>
        <w:t xml:space="preserve">ние этой семьи нарушает статьи 9, 7 и 10 Пакта. </w:t>
      </w:r>
    </w:p>
    <w:p w:rsidR="0014670C" w:rsidRPr="00225C84" w:rsidRDefault="0014670C" w:rsidP="0014670C">
      <w:pPr>
        <w:pStyle w:val="SingleTxtGR"/>
      </w:pPr>
      <w:r>
        <w:t>3.17</w:t>
      </w:r>
      <w:r>
        <w:tab/>
        <w:t>С августа 2011 года С.С. (автор 20) в силу его задержания в Виллавуде был разлучен со своей женой и малолетним ребенком, которые проживают в общине в Сиднее. Эта разлука обернулась для семьи тяжелым стрессом и встревожила ее, поскольку срок задержания не определен и решение по нему не подлежит пересмотру, а подобный стресс не может быть снят периодическим посещением автора его семьей. Его жена испытывает исключительно большие трудности в связи с интеграцией в общину без мужа, и под воздействием стре</w:t>
      </w:r>
      <w:r>
        <w:t>с</w:t>
      </w:r>
      <w:r>
        <w:t>са у нее возникли проблемы со здоровьем. Жена и ребенок проживают на зн</w:t>
      </w:r>
      <w:r>
        <w:t>а</w:t>
      </w:r>
      <w:r>
        <w:t>чительном расстоянии от иммиграционного приемника, и поэтому их ежедне</w:t>
      </w:r>
      <w:r>
        <w:t>в</w:t>
      </w:r>
      <w:r>
        <w:t xml:space="preserve">ные посещения являются изнурительными, отнимают много времени и денег. Если задержание автора носит незаконный характер, то нет никаких законных оснований для вмешательства в жизнь семьи вследствие такого задержания, и государство-участник несет ответственность за нарушение статей 17, 23 (пункт 1) и 24 (пункт 1) </w:t>
      </w:r>
      <w:r w:rsidRPr="00B62DA7">
        <w:t>Пакта</w:t>
      </w:r>
      <w:r>
        <w:rPr>
          <w:rStyle w:val="FootnoteReference"/>
        </w:rPr>
        <w:footnoteReference w:id="10"/>
      </w:r>
      <w:r>
        <w:t xml:space="preserve">. </w:t>
      </w:r>
    </w:p>
    <w:p w:rsidR="0014670C" w:rsidRPr="0020285E" w:rsidRDefault="0014670C" w:rsidP="0014670C">
      <w:pPr>
        <w:pStyle w:val="SingleTxtGR"/>
      </w:pPr>
      <w:r>
        <w:t>3.18</w:t>
      </w:r>
      <w:r>
        <w:tab/>
        <w:t>По вышеуказанным причинам авторы не располагают никаким обяз</w:t>
      </w:r>
      <w:r>
        <w:t>ы</w:t>
      </w:r>
      <w:r>
        <w:t>вающим внутренним средством правовой защиты для предотвращения прои</w:t>
      </w:r>
      <w:r>
        <w:t>з</w:t>
      </w:r>
      <w:r>
        <w:t>вольного вмешательства в их семейную жизнь или для обеспечения защиты своих семей или детей в соответствии со статьями 23 (пункт 1) и 24 (пункт 1).</w:t>
      </w:r>
    </w:p>
    <w:p w:rsidR="0014670C" w:rsidRPr="001E69A4" w:rsidRDefault="0014670C" w:rsidP="00877224">
      <w:pPr>
        <w:pStyle w:val="H4GR"/>
        <w:spacing w:before="240"/>
      </w:pPr>
      <w:r>
        <w:tab/>
      </w:r>
      <w:r>
        <w:tab/>
        <w:t>Искомые средства правовой защиты</w:t>
      </w:r>
    </w:p>
    <w:p w:rsidR="0014670C" w:rsidRPr="001E69A4" w:rsidRDefault="0014670C" w:rsidP="0014670C">
      <w:pPr>
        <w:pStyle w:val="SingleTxtGR"/>
      </w:pPr>
      <w:r>
        <w:t>3.19</w:t>
      </w:r>
      <w:r>
        <w:tab/>
        <w:t>Государство-участник должно, в частности, признать нарушения Пакта, незамедлительно освободить авторов, принести им извинения и выплатить им надлежащую компенсацию, в том числе за моральные страдания и психолог</w:t>
      </w:r>
      <w:r>
        <w:t>и</w:t>
      </w:r>
      <w:r>
        <w:t>ческий стресс. Если государство-участник считает необходимым задержать а</w:t>
      </w:r>
      <w:r>
        <w:t>в</w:t>
      </w:r>
      <w:r>
        <w:t>торов, то оно должно производить индивидуальную оценку такой необходим</w:t>
      </w:r>
      <w:r>
        <w:t>о</w:t>
      </w:r>
      <w:r>
        <w:t>сти; рассматривать возможность применения альтернатив содержанию под стражей, не носящих характер прямого вмешательства; предусмотреть проц</w:t>
      </w:r>
      <w:r>
        <w:t>е</w:t>
      </w:r>
      <w:r>
        <w:t>дуру периодического независимого пересмотра потребности в дальнейшем с</w:t>
      </w:r>
      <w:r>
        <w:t>о</w:t>
      </w:r>
      <w:r>
        <w:t>держании под стражей; и обеспечивать эффективный пересмотр такой необх</w:t>
      </w:r>
      <w:r>
        <w:t>о</w:t>
      </w:r>
      <w:r>
        <w:t xml:space="preserve">димости в судебном порядке. </w:t>
      </w:r>
    </w:p>
    <w:p w:rsidR="0014670C" w:rsidRPr="009C62C5" w:rsidRDefault="0014670C" w:rsidP="0014670C">
      <w:pPr>
        <w:pStyle w:val="SingleTxtGR"/>
      </w:pPr>
      <w:r>
        <w:t>3.20</w:t>
      </w:r>
      <w:r>
        <w:tab/>
        <w:t>Для обеспечения гарантий от неповторения случившегося в австрали</w:t>
      </w:r>
      <w:r>
        <w:t>й</w:t>
      </w:r>
      <w:r>
        <w:t xml:space="preserve">ское законодательство должны быть </w:t>
      </w:r>
      <w:r w:rsidR="00980C6B">
        <w:t xml:space="preserve">внесены поправки, с тем, чтобы </w:t>
      </w:r>
      <w:r>
        <w:t>искл</w:t>
      </w:r>
      <w:r>
        <w:t>ю</w:t>
      </w:r>
      <w:r>
        <w:t>чить обязательное взятие под стражу; ввести требование индивидуальной оценки необходимости задержания; информировать задержанных о значимых пр</w:t>
      </w:r>
      <w:r>
        <w:t>и</w:t>
      </w:r>
      <w:r>
        <w:t>чинах их задержания; требовать проведения периодического независимого п</w:t>
      </w:r>
      <w:r>
        <w:t>е</w:t>
      </w:r>
      <w:r>
        <w:t>ресмотра необходимости такого задержания; требовать рассмотрения возможности пр</w:t>
      </w:r>
      <w:r>
        <w:t>и</w:t>
      </w:r>
      <w:r>
        <w:t>менения альтернативных мер по отношению к задержанию, которые не носят характер прямого вмешательства; предусматривать эффективный пересмотр в судебном порядке решения о задержании по его существу, а также негативных оценок с точки зрения угрозы безопасности; и обеспечивать меры по более э</w:t>
      </w:r>
      <w:r>
        <w:t>ф</w:t>
      </w:r>
      <w:r>
        <w:t>фективной защите прав семьи и детей.</w:t>
      </w:r>
    </w:p>
    <w:p w:rsidR="0014670C" w:rsidRPr="000B1131" w:rsidRDefault="0014670C" w:rsidP="0014670C">
      <w:pPr>
        <w:pStyle w:val="H23GR"/>
      </w:pPr>
      <w:r>
        <w:tab/>
      </w:r>
      <w:r>
        <w:tab/>
        <w:t>Замечания государства-участника по вопросу о приемлемости</w:t>
      </w:r>
    </w:p>
    <w:p w:rsidR="0014670C" w:rsidRDefault="0014670C" w:rsidP="0014670C">
      <w:pPr>
        <w:pStyle w:val="SingleTxtGR"/>
      </w:pPr>
      <w:r>
        <w:t>4.1</w:t>
      </w:r>
      <w:r>
        <w:tab/>
        <w:t>5 декабря 2012 года государство-участник заявило, что все жалобы явл</w:t>
      </w:r>
      <w:r>
        <w:t>я</w:t>
      </w:r>
      <w:r>
        <w:t>ются неприемлемыми. Оно утверждало, что 15 октября 2012 года правительство заявило о намерении назначить независимого эксперта для пересмотра негати</w:t>
      </w:r>
      <w:r>
        <w:t>в</w:t>
      </w:r>
      <w:r>
        <w:t>ных оценок с точки зрения угрозы безопасности, которые были приняты в связи с обязательствами по защите просителей убежища, содержащихся в иммигр</w:t>
      </w:r>
      <w:r>
        <w:t>а</w:t>
      </w:r>
      <w:r>
        <w:t>ционных изоляторах. Такой эксперт изучит все материалы, которые использов</w:t>
      </w:r>
      <w:r>
        <w:t>а</w:t>
      </w:r>
      <w:r>
        <w:t>ла АОБР (включая любые новые материалы, переданные АОБР затронутым л</w:t>
      </w:r>
      <w:r>
        <w:t>и</w:t>
      </w:r>
      <w:r>
        <w:t>цом), и представит доклад о своих выводах Генеральному прокурору, Министру по вопросам иммиграции и гражданства и Генеральному инспектору по делам разведки и безопасности. Этот эксперт каждые двенадцать месяцев будет также проводить периодический пересмотр негативных оценок безопасности. Авторы сообщения смогут воспользоваться механизмами первоначального и период</w:t>
      </w:r>
      <w:r>
        <w:t>и</w:t>
      </w:r>
      <w:r>
        <w:t xml:space="preserve">ческого обзоров, в результате чего получат доступ к открытому и подотчетному процессу принятия решений по итогам оценки угрозы безопасности. </w:t>
      </w:r>
    </w:p>
    <w:p w:rsidR="0014670C" w:rsidRPr="00426AA9" w:rsidRDefault="0014670C" w:rsidP="0014670C">
      <w:pPr>
        <w:pStyle w:val="SingleTxtGR"/>
      </w:pPr>
      <w:r>
        <w:t>4.2</w:t>
      </w:r>
      <w:r>
        <w:tab/>
        <w:t>Принимая во внимание, что авторы были признаны беженцами, в соо</w:t>
      </w:r>
      <w:r>
        <w:t>т</w:t>
      </w:r>
      <w:r>
        <w:t>ветствии с обязательствами по международному праву должна обеспечиваться их защита и их нельзя вернуть в страны происхождения. Правительство изучает возможные решения, включая переселение в третью страну или безопасное возвращение в страну их происхождения после исчезновения угрозы причин</w:t>
      </w:r>
      <w:r>
        <w:t>е</w:t>
      </w:r>
      <w:r>
        <w:t>ния им вреда или тогда, когда могут быть получены достоверные и эффекти</w:t>
      </w:r>
      <w:r>
        <w:t>в</w:t>
      </w:r>
      <w:r>
        <w:t>ные гарантии от страны их происхождения. Однако проживание в общине лиц, получивших негативную оценку с точки зрения угрозы безопасности, в ожид</w:t>
      </w:r>
      <w:r>
        <w:t>а</w:t>
      </w:r>
      <w:r>
        <w:t>нии принятия решения по их делам</w:t>
      </w:r>
      <w:r w:rsidRPr="00993C0B">
        <w:t xml:space="preserve"> </w:t>
      </w:r>
      <w:r>
        <w:t xml:space="preserve">не допускается. </w:t>
      </w:r>
    </w:p>
    <w:p w:rsidR="0014670C" w:rsidRPr="009E59A5" w:rsidRDefault="0014670C" w:rsidP="00980C6B">
      <w:pPr>
        <w:pStyle w:val="H4GR"/>
        <w:spacing w:before="240"/>
      </w:pPr>
      <w:r w:rsidRPr="009E59A5">
        <w:tab/>
      </w:r>
      <w:r w:rsidRPr="009E59A5">
        <w:tab/>
        <w:t>Неисчерпание внутренних средств правовой защиты</w:t>
      </w:r>
    </w:p>
    <w:p w:rsidR="0014670C" w:rsidRPr="009E59A5" w:rsidRDefault="0014670C" w:rsidP="0014670C">
      <w:pPr>
        <w:pStyle w:val="SingleTxtGR"/>
      </w:pPr>
      <w:r w:rsidRPr="009E59A5">
        <w:t>4.3</w:t>
      </w:r>
      <w:r w:rsidRPr="009E59A5">
        <w:tab/>
        <w:t>С точки зрения статей 7, 9 (пункты 1 и 4),</w:t>
      </w:r>
      <w:r>
        <w:t xml:space="preserve"> 10 (пункт 1), 17 (пункт 1), 23 </w:t>
      </w:r>
      <w:r w:rsidRPr="009E59A5">
        <w:t>(пункт 1) и 24 (пункт 1) авторы не исчерпали внутренние средства правовой защиты. Каждый из авторов имеет возможность требовать пересмотра в суде</w:t>
      </w:r>
      <w:r w:rsidRPr="009E59A5">
        <w:t>б</w:t>
      </w:r>
      <w:r w:rsidRPr="009E59A5">
        <w:t xml:space="preserve">ном порядке решения об их задержании в Федеральном суде и в Высоком суде Австралии и в рамках процедуры судебного пересмотра получить информацию об основаниях оценки угрозы безопасности. Авторы не </w:t>
      </w:r>
      <w:r>
        <w:t xml:space="preserve">требовали </w:t>
      </w:r>
      <w:r w:rsidRPr="009E59A5">
        <w:t>такого пер</w:t>
      </w:r>
      <w:r w:rsidRPr="009E59A5">
        <w:t>е</w:t>
      </w:r>
      <w:r w:rsidRPr="009E59A5">
        <w:t>смотра за исключением П.С. (автор 29), который подал заявление в Высокий суд, но впоследствии достиг урегулирования с правительством Австралии и отозвал свое ходатайство, а также И.Р. (автор 17), который возбудил иск в В</w:t>
      </w:r>
      <w:r w:rsidRPr="009E59A5">
        <w:t>ы</w:t>
      </w:r>
      <w:r w:rsidRPr="009E59A5">
        <w:t>соком суде в мае 2012 года и оспаривал негативную оценку угрозы безопасн</w:t>
      </w:r>
      <w:r w:rsidRPr="009E59A5">
        <w:t>о</w:t>
      </w:r>
      <w:r w:rsidRPr="009E59A5">
        <w:t xml:space="preserve">сти и законность его </w:t>
      </w:r>
      <w:r w:rsidRPr="007A33DA">
        <w:t>задержания</w:t>
      </w:r>
      <w:r>
        <w:rPr>
          <w:rStyle w:val="FootnoteReference"/>
        </w:rPr>
        <w:footnoteReference w:id="11"/>
      </w:r>
      <w:r w:rsidRPr="009E59A5">
        <w:t>. Высокий суд рассмотрит вопрос о том, была ли проявлена процессуальная справедливость по отношению к И.Р. при прин</w:t>
      </w:r>
      <w:r w:rsidRPr="009E59A5">
        <w:t>я</w:t>
      </w:r>
      <w:r w:rsidRPr="009E59A5">
        <w:t>тии негативного решения</w:t>
      </w:r>
      <w:r>
        <w:t xml:space="preserve"> об </w:t>
      </w:r>
      <w:r w:rsidRPr="009E59A5">
        <w:t>угроз</w:t>
      </w:r>
      <w:r>
        <w:t>е</w:t>
      </w:r>
      <w:r w:rsidRPr="009E59A5">
        <w:t xml:space="preserve"> безопасности; </w:t>
      </w:r>
      <w:r>
        <w:t xml:space="preserve">требует </w:t>
      </w:r>
      <w:r w:rsidRPr="009E59A5">
        <w:t>ли раздел 189 Закона о миграции его задержани</w:t>
      </w:r>
      <w:r>
        <w:t>я</w:t>
      </w:r>
      <w:r w:rsidRPr="009E59A5">
        <w:t xml:space="preserve">, и </w:t>
      </w:r>
      <w:r>
        <w:t xml:space="preserve">следует ли из </w:t>
      </w:r>
      <w:r w:rsidRPr="009E59A5">
        <w:t>порядк</w:t>
      </w:r>
      <w:r>
        <w:t>а</w:t>
      </w:r>
      <w:r w:rsidRPr="009E59A5">
        <w:t xml:space="preserve"> разделения полномочий </w:t>
      </w:r>
      <w:r>
        <w:t>по</w:t>
      </w:r>
      <w:r w:rsidRPr="009E59A5">
        <w:t xml:space="preserve"> Конституции, что </w:t>
      </w:r>
      <w:r>
        <w:t xml:space="preserve">долговременное задержание </w:t>
      </w:r>
      <w:r w:rsidRPr="009E59A5">
        <w:t xml:space="preserve">лица </w:t>
      </w:r>
      <w:r>
        <w:t xml:space="preserve">может быть </w:t>
      </w:r>
      <w:r w:rsidRPr="009E59A5">
        <w:t>законны</w:t>
      </w:r>
      <w:r>
        <w:t>м</w:t>
      </w:r>
      <w:r w:rsidRPr="009E59A5">
        <w:t xml:space="preserve"> тол</w:t>
      </w:r>
      <w:r w:rsidRPr="009E59A5">
        <w:t>ь</w:t>
      </w:r>
      <w:r w:rsidRPr="009E59A5">
        <w:t>ко по постановлению суда. На данный момент не установлена дата принятия решения по его делу. В случае удовлетворения ходатайства о судебном пер</w:t>
      </w:r>
      <w:r w:rsidRPr="009E59A5">
        <w:t>е</w:t>
      </w:r>
      <w:r w:rsidRPr="009E59A5">
        <w:t>смотре негативной оценки угрозы безопасности АО</w:t>
      </w:r>
      <w:r>
        <w:t>БР</w:t>
      </w:r>
      <w:r w:rsidRPr="009E59A5">
        <w:t xml:space="preserve"> может </w:t>
      </w:r>
      <w:r>
        <w:t>изменить</w:t>
      </w:r>
      <w:r w:rsidRPr="009E59A5">
        <w:t xml:space="preserve"> свое решение. </w:t>
      </w:r>
    </w:p>
    <w:p w:rsidR="0014670C" w:rsidRPr="009E59A5" w:rsidRDefault="0014670C" w:rsidP="0014670C">
      <w:pPr>
        <w:pStyle w:val="SingleTxtGR"/>
      </w:pPr>
      <w:r w:rsidRPr="009E59A5">
        <w:t>4.4</w:t>
      </w:r>
      <w:r w:rsidRPr="009E59A5">
        <w:tab/>
        <w:t>Недавно разбиравшееся дело (</w:t>
      </w:r>
      <w:r w:rsidRPr="009E59A5">
        <w:rPr>
          <w:i/>
        </w:rPr>
        <w:t xml:space="preserve">истец М47/2012 против </w:t>
      </w:r>
      <w:r>
        <w:rPr>
          <w:i/>
        </w:rPr>
        <w:t>Г</w:t>
      </w:r>
      <w:r w:rsidRPr="009E59A5">
        <w:rPr>
          <w:i/>
        </w:rPr>
        <w:t>енерального д</w:t>
      </w:r>
      <w:r w:rsidRPr="009E59A5">
        <w:rPr>
          <w:i/>
        </w:rPr>
        <w:t>и</w:t>
      </w:r>
      <w:r w:rsidRPr="009E59A5">
        <w:rPr>
          <w:i/>
        </w:rPr>
        <w:t xml:space="preserve">ректора Службы безопасности и </w:t>
      </w:r>
      <w:r>
        <w:rPr>
          <w:i/>
        </w:rPr>
        <w:t>др.</w:t>
      </w:r>
      <w:r w:rsidRPr="00980C6B">
        <w:t>)</w:t>
      </w:r>
      <w:r w:rsidRPr="009E59A5">
        <w:t xml:space="preserve"> также продемонстрировало наличие у а</w:t>
      </w:r>
      <w:r w:rsidRPr="009E59A5">
        <w:t>в</w:t>
      </w:r>
      <w:r w:rsidRPr="009E59A5">
        <w:t>торов</w:t>
      </w:r>
      <w:r w:rsidRPr="006136DC">
        <w:t xml:space="preserve"> </w:t>
      </w:r>
      <w:r w:rsidRPr="009E59A5">
        <w:t xml:space="preserve">внутренних средств правовой защиты. Это дело было возбуждено лицом, </w:t>
      </w:r>
      <w:r w:rsidRPr="00C108FD">
        <w:t>прибывшим в Австралию в составе группы на судне "Ocean</w:t>
      </w:r>
      <w:r w:rsidRPr="00C108FD">
        <w:rPr>
          <w:lang w:val="en-US"/>
        </w:rPr>
        <w:t>ic</w:t>
      </w:r>
      <w:r w:rsidRPr="00C108FD">
        <w:t xml:space="preserve"> Viking". Высокий</w:t>
      </w:r>
      <w:r w:rsidRPr="009E59A5">
        <w:t xml:space="preserve"> суд рассмотрел причины, по которым АО</w:t>
      </w:r>
      <w:r>
        <w:t>БР</w:t>
      </w:r>
      <w:r w:rsidRPr="009E59A5">
        <w:t xml:space="preserve"> принял</w:t>
      </w:r>
      <w:r>
        <w:t>а</w:t>
      </w:r>
      <w:r w:rsidRPr="009E59A5">
        <w:t xml:space="preserve"> в отношении истца </w:t>
      </w:r>
      <w:r w:rsidRPr="0019756E">
        <w:rPr>
          <w:i/>
        </w:rPr>
        <w:t>М47</w:t>
      </w:r>
      <w:r w:rsidRPr="009E59A5">
        <w:t xml:space="preserve"> негативную оценку угрозы безопасности, а также предостав</w:t>
      </w:r>
      <w:r>
        <w:t>ленную</w:t>
      </w:r>
      <w:r w:rsidRPr="009E59A5">
        <w:t xml:space="preserve"> ему во</w:t>
      </w:r>
      <w:r w:rsidRPr="009E59A5">
        <w:t>з</w:t>
      </w:r>
      <w:r w:rsidRPr="009E59A5">
        <w:t xml:space="preserve">можность оспорить ключевые моменты, на </w:t>
      </w:r>
      <w:r>
        <w:t xml:space="preserve">основании </w:t>
      </w:r>
      <w:r w:rsidRPr="009E59A5">
        <w:t>которых было принято решение по результатам оценки угрозы безопасности. Высокий суд признал, что АО</w:t>
      </w:r>
      <w:r>
        <w:t>БР</w:t>
      </w:r>
      <w:r w:rsidRPr="009E59A5">
        <w:t xml:space="preserve"> проявил</w:t>
      </w:r>
      <w:r>
        <w:t>а</w:t>
      </w:r>
      <w:r w:rsidRPr="009E59A5">
        <w:t xml:space="preserve"> процессуальную спра</w:t>
      </w:r>
      <w:r w:rsidR="00980C6B">
        <w:t>ведливость по отношению к ис</w:t>
      </w:r>
      <w:r w:rsidR="00980C6B">
        <w:t>т</w:t>
      </w:r>
      <w:r w:rsidR="00980C6B">
        <w:t>цу </w:t>
      </w:r>
      <w:r w:rsidRPr="0019756E">
        <w:rPr>
          <w:i/>
        </w:rPr>
        <w:t>М47</w:t>
      </w:r>
      <w:r w:rsidRPr="009E59A5">
        <w:t xml:space="preserve"> с учетом обстоятельств его дел</w:t>
      </w:r>
      <w:r>
        <w:t>а</w:t>
      </w:r>
      <w:r w:rsidRPr="009E59A5">
        <w:t>. Однако он признал, что принятое в с</w:t>
      </w:r>
      <w:r w:rsidRPr="009E59A5">
        <w:t>о</w:t>
      </w:r>
      <w:r w:rsidRPr="009E59A5">
        <w:t xml:space="preserve">ответствии с Законом о миграции постановление является незаконным в </w:t>
      </w:r>
      <w:r>
        <w:t xml:space="preserve">силу </w:t>
      </w:r>
      <w:r w:rsidRPr="009E59A5">
        <w:t xml:space="preserve">применения критерия, который не допускал </w:t>
      </w:r>
      <w:r>
        <w:t>выдачи</w:t>
      </w:r>
      <w:r w:rsidRPr="009E59A5">
        <w:t xml:space="preserve"> беженц</w:t>
      </w:r>
      <w:r>
        <w:t>у</w:t>
      </w:r>
      <w:r w:rsidRPr="009E59A5">
        <w:t xml:space="preserve"> визы</w:t>
      </w:r>
      <w:r>
        <w:t xml:space="preserve"> с целью обеспечения его защиты</w:t>
      </w:r>
      <w:r w:rsidRPr="009E59A5">
        <w:t xml:space="preserve">, если </w:t>
      </w:r>
      <w:r>
        <w:t>по</w:t>
      </w:r>
      <w:r w:rsidRPr="009E59A5">
        <w:t xml:space="preserve"> тако</w:t>
      </w:r>
      <w:r>
        <w:t>му</w:t>
      </w:r>
      <w:r w:rsidRPr="009E59A5">
        <w:t xml:space="preserve"> беженц</w:t>
      </w:r>
      <w:r>
        <w:t>у</w:t>
      </w:r>
      <w:r w:rsidRPr="009E59A5">
        <w:t xml:space="preserve"> была </w:t>
      </w:r>
      <w:r>
        <w:t>вынесена</w:t>
      </w:r>
      <w:r w:rsidRPr="009E59A5">
        <w:t xml:space="preserve"> негативная оценка угрозы безопасности. В результате этого </w:t>
      </w:r>
      <w:r>
        <w:t xml:space="preserve">решение об </w:t>
      </w:r>
      <w:r w:rsidRPr="009E59A5">
        <w:t>отказ</w:t>
      </w:r>
      <w:r>
        <w:t>е</w:t>
      </w:r>
      <w:r w:rsidRPr="009E59A5">
        <w:t xml:space="preserve"> в </w:t>
      </w:r>
      <w:r>
        <w:t>выдаче</w:t>
      </w:r>
      <w:r w:rsidRPr="009E59A5">
        <w:t xml:space="preserve"> истцу </w:t>
      </w:r>
      <w:r w:rsidRPr="0019756E">
        <w:rPr>
          <w:i/>
        </w:rPr>
        <w:t>М47</w:t>
      </w:r>
      <w:r w:rsidRPr="009E59A5">
        <w:t xml:space="preserve"> визы </w:t>
      </w:r>
      <w:r>
        <w:t xml:space="preserve">в порядке его защиты </w:t>
      </w:r>
      <w:r w:rsidRPr="009E59A5">
        <w:t>был</w:t>
      </w:r>
      <w:r>
        <w:t>о принято не по закону,</w:t>
      </w:r>
      <w:r w:rsidRPr="009E59A5">
        <w:t xml:space="preserve"> и УИГ пр</w:t>
      </w:r>
      <w:r w:rsidRPr="009E59A5">
        <w:t>и</w:t>
      </w:r>
      <w:r w:rsidRPr="009E59A5">
        <w:t xml:space="preserve">дется пересмотреть его ходатайство о </w:t>
      </w:r>
      <w:r>
        <w:t>выдаче</w:t>
      </w:r>
      <w:r w:rsidRPr="009E59A5">
        <w:t xml:space="preserve"> </w:t>
      </w:r>
      <w:r>
        <w:t xml:space="preserve">такой </w:t>
      </w:r>
      <w:r w:rsidRPr="009E59A5">
        <w:t>визы. Суд постанов</w:t>
      </w:r>
      <w:r>
        <w:t>и</w:t>
      </w:r>
      <w:r w:rsidRPr="009E59A5">
        <w:t xml:space="preserve">л, что </w:t>
      </w:r>
      <w:r>
        <w:t xml:space="preserve">дальнейшее </w:t>
      </w:r>
      <w:r w:rsidRPr="009E59A5">
        <w:t xml:space="preserve">содержание истца </w:t>
      </w:r>
      <w:r w:rsidRPr="0019756E">
        <w:rPr>
          <w:i/>
        </w:rPr>
        <w:t>М47</w:t>
      </w:r>
      <w:r w:rsidRPr="009E59A5">
        <w:t xml:space="preserve"> под стражей является законным для целей рассмотрения его ходатайства о </w:t>
      </w:r>
      <w:r w:rsidR="00980C6B">
        <w:t>выдаче</w:t>
      </w:r>
      <w:r w:rsidRPr="009E59A5">
        <w:t xml:space="preserve"> визы</w:t>
      </w:r>
      <w:r>
        <w:t xml:space="preserve"> в порядке защиты</w:t>
      </w:r>
      <w:r w:rsidRPr="009E59A5">
        <w:t>. Решение по д</w:t>
      </w:r>
      <w:r w:rsidRPr="009E59A5">
        <w:t>е</w:t>
      </w:r>
      <w:r w:rsidRPr="009E59A5">
        <w:t xml:space="preserve">лу </w:t>
      </w:r>
      <w:r w:rsidRPr="0019756E">
        <w:rPr>
          <w:i/>
        </w:rPr>
        <w:t>М47</w:t>
      </w:r>
      <w:r w:rsidRPr="009E59A5">
        <w:t xml:space="preserve"> могло бы применяться и к тем авторам, которые прибыли на</w:t>
      </w:r>
      <w:r>
        <w:t xml:space="preserve"> судне</w:t>
      </w:r>
      <w:r w:rsidRPr="009E59A5">
        <w:t xml:space="preserve"> "</w:t>
      </w:r>
      <w:r w:rsidRPr="00980C6B">
        <w:t>Ocean Viking</w:t>
      </w:r>
      <w:r w:rsidRPr="009E59A5">
        <w:t>" (если бы они подали ходатайств</w:t>
      </w:r>
      <w:r>
        <w:t>а</w:t>
      </w:r>
      <w:r w:rsidRPr="009E59A5">
        <w:t xml:space="preserve"> о </w:t>
      </w:r>
      <w:r>
        <w:t xml:space="preserve">выдаче </w:t>
      </w:r>
      <w:r w:rsidRPr="009E59A5">
        <w:t>виз</w:t>
      </w:r>
      <w:r>
        <w:t xml:space="preserve"> в порядке защ</w:t>
      </w:r>
      <w:r>
        <w:t>и</w:t>
      </w:r>
      <w:r>
        <w:t>ты</w:t>
      </w:r>
      <w:r w:rsidRPr="009E59A5">
        <w:t>, чего до настоящего времени они не сделали). Однако оно не касается тех авторов, которые являются офшорно въехавшими в страну лицами по смыслу Закона о миграции, поскольку в соответствии с разделом 46А Закона о мигр</w:t>
      </w:r>
      <w:r w:rsidRPr="009E59A5">
        <w:t>а</w:t>
      </w:r>
      <w:r w:rsidRPr="009E59A5">
        <w:t xml:space="preserve">ции им </w:t>
      </w:r>
      <w:r>
        <w:t xml:space="preserve">не разрешается </w:t>
      </w:r>
      <w:r w:rsidRPr="009E59A5">
        <w:t>подавать заявлени</w:t>
      </w:r>
      <w:r>
        <w:t>я</w:t>
      </w:r>
      <w:r w:rsidRPr="009E59A5">
        <w:t xml:space="preserve"> </w:t>
      </w:r>
      <w:r>
        <w:t xml:space="preserve">на </w:t>
      </w:r>
      <w:r w:rsidRPr="009E59A5">
        <w:t>визы.</w:t>
      </w:r>
    </w:p>
    <w:p w:rsidR="0014670C" w:rsidRPr="009E59A5" w:rsidRDefault="0014670C" w:rsidP="0014670C">
      <w:pPr>
        <w:pStyle w:val="SingleTxtGR"/>
      </w:pPr>
      <w:r w:rsidRPr="009E59A5">
        <w:t>4.5</w:t>
      </w:r>
      <w:r w:rsidRPr="009E59A5">
        <w:tab/>
        <w:t>Государство-участник не согласно с утверждением авторов о бессмы</w:t>
      </w:r>
      <w:r w:rsidRPr="009E59A5">
        <w:t>с</w:t>
      </w:r>
      <w:r w:rsidRPr="009E59A5">
        <w:t>ленности обращения к процедурам пересмотра в судебном порядке, поскольку австралийские суды вынуждены ограничиваться пересмотром на основании всего лишь юрисдикционной ошибки и не могут пересматривать вопрос о нео</w:t>
      </w:r>
      <w:r w:rsidRPr="009E59A5">
        <w:t>б</w:t>
      </w:r>
      <w:r w:rsidRPr="009E59A5">
        <w:t xml:space="preserve">ходимости задержания по его существу. Тот факт, что </w:t>
      </w:r>
      <w:r w:rsidRPr="0019756E">
        <w:rPr>
          <w:i/>
        </w:rPr>
        <w:t>М47</w:t>
      </w:r>
      <w:r w:rsidRPr="009E59A5">
        <w:t xml:space="preserve"> возбуд</w:t>
      </w:r>
      <w:r>
        <w:t>ил иск</w:t>
      </w:r>
      <w:r w:rsidRPr="009E59A5">
        <w:t xml:space="preserve"> в В</w:t>
      </w:r>
      <w:r w:rsidRPr="009E59A5">
        <w:t>ы</w:t>
      </w:r>
      <w:r w:rsidRPr="009E59A5">
        <w:t>соком суде и прямо оспарива</w:t>
      </w:r>
      <w:r>
        <w:t>л</w:t>
      </w:r>
      <w:r w:rsidRPr="009E59A5">
        <w:t xml:space="preserve"> законност</w:t>
      </w:r>
      <w:r>
        <w:t>ь</w:t>
      </w:r>
      <w:r w:rsidRPr="009E59A5">
        <w:t xml:space="preserve"> задержания лиц, находящихся в </w:t>
      </w:r>
      <w:r>
        <w:t>схо</w:t>
      </w:r>
      <w:r>
        <w:t>д</w:t>
      </w:r>
      <w:r>
        <w:t xml:space="preserve">ных с </w:t>
      </w:r>
      <w:r w:rsidRPr="009E59A5">
        <w:t>автора</w:t>
      </w:r>
      <w:r>
        <w:t>ми</w:t>
      </w:r>
      <w:r w:rsidRPr="005017E4">
        <w:t xml:space="preserve"> </w:t>
      </w:r>
      <w:r w:rsidRPr="009E59A5">
        <w:t>обстоятельствах, показывает, что</w:t>
      </w:r>
      <w:r>
        <w:t xml:space="preserve"> </w:t>
      </w:r>
      <w:r w:rsidRPr="009E59A5">
        <w:t>в аналогичн</w:t>
      </w:r>
      <w:r>
        <w:t>ой ситуации</w:t>
      </w:r>
      <w:r w:rsidRPr="009E59A5">
        <w:t xml:space="preserve"> авт</w:t>
      </w:r>
      <w:r w:rsidRPr="009E59A5">
        <w:t>о</w:t>
      </w:r>
      <w:r w:rsidRPr="009E59A5">
        <w:t>ры по-прежнему располагают эффективным сред</w:t>
      </w:r>
      <w:r>
        <w:t>ств</w:t>
      </w:r>
      <w:r w:rsidRPr="009E59A5">
        <w:t xml:space="preserve">ом правовой защиты. </w:t>
      </w:r>
    </w:p>
    <w:p w:rsidR="0014670C" w:rsidRPr="009E59A5" w:rsidRDefault="0014670C" w:rsidP="0014670C">
      <w:pPr>
        <w:pStyle w:val="SingleTxtGR"/>
      </w:pPr>
      <w:bookmarkStart w:id="2" w:name="_Toc340737543"/>
      <w:r w:rsidRPr="009E59A5">
        <w:t>4.6</w:t>
      </w:r>
      <w:r w:rsidRPr="009E59A5">
        <w:tab/>
        <w:t>Авторы из числа детей (авторы 14, 15 и 16) через посредство своих род</w:t>
      </w:r>
      <w:r w:rsidRPr="009E59A5">
        <w:t>и</w:t>
      </w:r>
      <w:r w:rsidRPr="009E59A5">
        <w:t>телей не использовали все административные возможности, которые пред</w:t>
      </w:r>
      <w:r w:rsidRPr="009E59A5">
        <w:t>у</w:t>
      </w:r>
      <w:r w:rsidRPr="009E59A5">
        <w:t>сматривали разумную перспективу пересмотра решения.</w:t>
      </w:r>
    </w:p>
    <w:bookmarkEnd w:id="2"/>
    <w:p w:rsidR="0014670C" w:rsidRPr="00A77040" w:rsidRDefault="0014670C" w:rsidP="00980C6B">
      <w:pPr>
        <w:pStyle w:val="H4GR"/>
        <w:spacing w:before="240"/>
      </w:pPr>
      <w:r w:rsidRPr="00A77040">
        <w:tab/>
      </w:r>
      <w:r w:rsidRPr="00A77040">
        <w:tab/>
      </w:r>
      <w:r w:rsidRPr="009E59A5">
        <w:t>Неприемлемость</w:t>
      </w:r>
      <w:r w:rsidRPr="00A77040">
        <w:t xml:space="preserve"> </w:t>
      </w:r>
      <w:r w:rsidRPr="009E59A5">
        <w:t>ratione materiae</w:t>
      </w:r>
    </w:p>
    <w:p w:rsidR="0014670C" w:rsidRPr="009E59A5" w:rsidRDefault="0014670C" w:rsidP="0014670C">
      <w:pPr>
        <w:pStyle w:val="SingleTxtGR"/>
      </w:pPr>
      <w:bookmarkStart w:id="3" w:name="_Ref338147043"/>
      <w:r w:rsidRPr="009E59A5">
        <w:t>4.7</w:t>
      </w:r>
      <w:r w:rsidRPr="009E59A5">
        <w:tab/>
        <w:t>Любые содержащиеся в сообщении жалобы</w:t>
      </w:r>
      <w:r>
        <w:t>,</w:t>
      </w:r>
      <w:r w:rsidRPr="009E59A5">
        <w:t xml:space="preserve"> основанные на Конвенции о беженцах</w:t>
      </w:r>
      <w:r>
        <w:t>,</w:t>
      </w:r>
      <w:r w:rsidRPr="009E59A5">
        <w:t xml:space="preserve"> являются неприемлемыми </w:t>
      </w:r>
      <w:r w:rsidRPr="00546704">
        <w:t>ratione materia</w:t>
      </w:r>
      <w:r w:rsidR="00C108FD">
        <w:t>е</w:t>
      </w:r>
      <w:r w:rsidRPr="00546704">
        <w:t xml:space="preserve"> ка</w:t>
      </w:r>
      <w:r w:rsidRPr="006C0BB7">
        <w:t>к</w:t>
      </w:r>
      <w:r>
        <w:t xml:space="preserve"> не</w:t>
      </w:r>
      <w:r w:rsidRPr="009E59A5">
        <w:t>совместимы</w:t>
      </w:r>
      <w:r>
        <w:t>е</w:t>
      </w:r>
      <w:r w:rsidRPr="009E59A5">
        <w:t xml:space="preserve"> с п</w:t>
      </w:r>
      <w:r w:rsidRPr="009E59A5">
        <w:t>о</w:t>
      </w:r>
      <w:r w:rsidRPr="009E59A5">
        <w:t>ложениями Пакта.</w:t>
      </w:r>
    </w:p>
    <w:p w:rsidR="0014670C" w:rsidRPr="009E59A5" w:rsidRDefault="0014670C" w:rsidP="0014670C">
      <w:pPr>
        <w:pStyle w:val="SingleTxtGR"/>
      </w:pPr>
      <w:bookmarkStart w:id="4" w:name="_Toc340737544"/>
      <w:bookmarkEnd w:id="3"/>
      <w:r w:rsidRPr="009E59A5">
        <w:t>4.8</w:t>
      </w:r>
      <w:r w:rsidRPr="009E59A5">
        <w:tab/>
        <w:t xml:space="preserve">Жалобы по пункту 2 статьи 9 также являются неприемлемыми </w:t>
      </w:r>
      <w:r w:rsidRPr="00546704">
        <w:t>ratione materiae, так как авторы не были "арестованы". Термин "арест" след</w:t>
      </w:r>
      <w:r w:rsidRPr="009E59A5">
        <w:t>ует пон</w:t>
      </w:r>
      <w:r w:rsidRPr="009E59A5">
        <w:t>и</w:t>
      </w:r>
      <w:r w:rsidR="000F1643">
        <w:t>мать</w:t>
      </w:r>
      <w:r w:rsidRPr="009E59A5">
        <w:t xml:space="preserve"> как означающий акт за</w:t>
      </w:r>
      <w:r>
        <w:t>держания</w:t>
      </w:r>
      <w:r w:rsidRPr="009E59A5">
        <w:t xml:space="preserve"> лица в связи с совершением или предп</w:t>
      </w:r>
      <w:r w:rsidRPr="009E59A5">
        <w:t>о</w:t>
      </w:r>
      <w:r w:rsidRPr="009E59A5">
        <w:t>лагаемым совершением уголовного пр</w:t>
      </w:r>
      <w:r>
        <w:t>еступления</w:t>
      </w:r>
      <w:r w:rsidRPr="009E59A5">
        <w:t xml:space="preserve"> и взяти</w:t>
      </w:r>
      <w:r>
        <w:t>я</w:t>
      </w:r>
      <w:r w:rsidRPr="009E59A5">
        <w:t xml:space="preserve"> </w:t>
      </w:r>
      <w:r>
        <w:t>его</w:t>
      </w:r>
      <w:r w:rsidRPr="009E59A5">
        <w:t xml:space="preserve"> под стражу. </w:t>
      </w:r>
      <w:r>
        <w:t>Б</w:t>
      </w:r>
      <w:r>
        <w:t>ы</w:t>
      </w:r>
      <w:r>
        <w:t>товое</w:t>
      </w:r>
      <w:r w:rsidRPr="009E59A5">
        <w:t xml:space="preserve"> значение выражения "арест" не распространяется на административное задержание просителя убежища для целей проверки его здоровья, личности и угрозы безопасности, которую это лицо может представлять. </w:t>
      </w:r>
    </w:p>
    <w:p w:rsidR="0014670C" w:rsidRPr="00A77040" w:rsidRDefault="0014670C" w:rsidP="00980C6B">
      <w:pPr>
        <w:pStyle w:val="H4GR"/>
        <w:spacing w:before="240"/>
      </w:pPr>
      <w:bookmarkStart w:id="5" w:name="_Ref323303503"/>
      <w:bookmarkEnd w:id="4"/>
      <w:r w:rsidRPr="00A77040">
        <w:tab/>
      </w:r>
      <w:r w:rsidRPr="00A77040">
        <w:tab/>
      </w:r>
      <w:r w:rsidRPr="009E59A5">
        <w:t>Необоснованность</w:t>
      </w:r>
    </w:p>
    <w:bookmarkEnd w:id="5"/>
    <w:p w:rsidR="0014670C" w:rsidRPr="009E59A5" w:rsidRDefault="0014670C" w:rsidP="0014670C">
      <w:pPr>
        <w:pStyle w:val="SingleTxtGR"/>
      </w:pPr>
      <w:r w:rsidRPr="009E59A5">
        <w:t>4.9</w:t>
      </w:r>
      <w:r w:rsidRPr="009E59A5">
        <w:tab/>
        <w:t>Жалобы по статьям 7 и 10 (пункт 1) должны быть объявлены неприемл</w:t>
      </w:r>
      <w:r w:rsidRPr="009E59A5">
        <w:t>е</w:t>
      </w:r>
      <w:r w:rsidRPr="009E59A5">
        <w:t>мыми из-за своей необоснованности. Авторы сделали общ</w:t>
      </w:r>
      <w:r>
        <w:t>и</w:t>
      </w:r>
      <w:r w:rsidRPr="009E59A5">
        <w:t xml:space="preserve">е </w:t>
      </w:r>
      <w:r>
        <w:t>представления</w:t>
      </w:r>
      <w:r w:rsidRPr="009E59A5">
        <w:t xml:space="preserve"> об условиях </w:t>
      </w:r>
      <w:r>
        <w:t>содержания под стражей</w:t>
      </w:r>
      <w:r w:rsidRPr="009E59A5">
        <w:t>. Однако</w:t>
      </w:r>
      <w:r w:rsidR="000F1643">
        <w:t>,</w:t>
      </w:r>
      <w:r w:rsidRPr="009E59A5">
        <w:t xml:space="preserve"> </w:t>
      </w:r>
      <w:r>
        <w:t>помимо</w:t>
      </w:r>
      <w:r w:rsidRPr="009E59A5">
        <w:t xml:space="preserve"> самого факта задержания</w:t>
      </w:r>
      <w:r w:rsidR="000F1643">
        <w:t>,</w:t>
      </w:r>
      <w:r w:rsidRPr="009E59A5">
        <w:t xml:space="preserve"> они не доказа</w:t>
      </w:r>
      <w:r>
        <w:t>ли того</w:t>
      </w:r>
      <w:r w:rsidRPr="009E59A5">
        <w:t>, что</w:t>
      </w:r>
      <w:r>
        <w:t xml:space="preserve"> </w:t>
      </w:r>
      <w:r w:rsidRPr="009E59A5">
        <w:t xml:space="preserve">в их конкретных обстоятельствах обращение с любым и каждым автором в период временного задержания </w:t>
      </w:r>
      <w:r>
        <w:t>было</w:t>
      </w:r>
      <w:r w:rsidRPr="009E59A5">
        <w:t xml:space="preserve"> равнозначно униж</w:t>
      </w:r>
      <w:r w:rsidRPr="009E59A5">
        <w:t>е</w:t>
      </w:r>
      <w:r w:rsidRPr="009E59A5">
        <w:t xml:space="preserve">нию или оскорблению. </w:t>
      </w:r>
    </w:p>
    <w:p w:rsidR="0014670C" w:rsidRPr="009E59A5" w:rsidRDefault="0014670C" w:rsidP="0014670C">
      <w:pPr>
        <w:pStyle w:val="H23GR"/>
      </w:pPr>
      <w:r w:rsidRPr="00A77040">
        <w:tab/>
      </w:r>
      <w:r w:rsidRPr="00A77040">
        <w:tab/>
      </w:r>
      <w:r w:rsidRPr="009E59A5">
        <w:t>Комментарии авторов к замечаниям государства-участника</w:t>
      </w:r>
      <w:r>
        <w:t xml:space="preserve"> по вопросу о </w:t>
      </w:r>
      <w:r w:rsidRPr="009E59A5">
        <w:t>приемлемости</w:t>
      </w:r>
    </w:p>
    <w:p w:rsidR="0014670C" w:rsidRPr="009E59A5" w:rsidRDefault="0014670C" w:rsidP="0014670C">
      <w:pPr>
        <w:pStyle w:val="SingleTxtGR"/>
      </w:pPr>
      <w:r w:rsidRPr="009E59A5">
        <w:t>5.1</w:t>
      </w:r>
      <w:r w:rsidRPr="009E59A5">
        <w:tab/>
        <w:t>21 февраля 2013 года авторы представили комментарии к замечаниям г</w:t>
      </w:r>
      <w:r w:rsidRPr="009E59A5">
        <w:t>о</w:t>
      </w:r>
      <w:r w:rsidRPr="009E59A5">
        <w:t xml:space="preserve">сударства-участника по вопросу о приемлемости. </w:t>
      </w:r>
    </w:p>
    <w:p w:rsidR="0014670C" w:rsidRPr="00A77040" w:rsidRDefault="0014670C" w:rsidP="0014670C">
      <w:pPr>
        <w:pStyle w:val="SingleTxtGR"/>
      </w:pPr>
      <w:r w:rsidRPr="009E59A5">
        <w:t>5.2</w:t>
      </w:r>
      <w:r w:rsidRPr="009E59A5">
        <w:tab/>
        <w:t>Авторы отвергают утверждение об исчерпании внутренних средств пр</w:t>
      </w:r>
      <w:r w:rsidRPr="009E59A5">
        <w:t>а</w:t>
      </w:r>
      <w:r w:rsidRPr="009E59A5">
        <w:t xml:space="preserve">вовой защиты. </w:t>
      </w:r>
      <w:r>
        <w:t>Хотя ф</w:t>
      </w:r>
      <w:r w:rsidRPr="009E59A5">
        <w:t>ормальные юридические права на пересмотр решений об их задержании и негативных оценок угрозы безопасности существуют, сам процесс пересмотра по существу</w:t>
      </w:r>
      <w:r>
        <w:t xml:space="preserve"> дела</w:t>
      </w:r>
      <w:r w:rsidRPr="009E59A5">
        <w:t xml:space="preserve"> является неэффективным и/или слишком ограничен по охвату для </w:t>
      </w:r>
      <w:r>
        <w:t xml:space="preserve">обеспечения </w:t>
      </w:r>
      <w:r w:rsidRPr="009E59A5">
        <w:t>защи</w:t>
      </w:r>
      <w:r>
        <w:t>ты</w:t>
      </w:r>
      <w:r w:rsidRPr="009E59A5">
        <w:t xml:space="preserve"> предусмотренны</w:t>
      </w:r>
      <w:r>
        <w:t>х</w:t>
      </w:r>
      <w:r w:rsidRPr="009E59A5">
        <w:t xml:space="preserve"> в Пакте</w:t>
      </w:r>
      <w:r w:rsidRPr="007C7B0F">
        <w:t xml:space="preserve"> </w:t>
      </w:r>
      <w:r w:rsidRPr="009E59A5">
        <w:t>прав. Что касается пересмотра решения о временном задержании, то суды могут ра</w:t>
      </w:r>
      <w:r w:rsidRPr="009E59A5">
        <w:t>с</w:t>
      </w:r>
      <w:r w:rsidRPr="009E59A5">
        <w:t>смотреть вопрос, является ли задержив</w:t>
      </w:r>
      <w:r>
        <w:t>аемый</w:t>
      </w:r>
      <w:r w:rsidRPr="009E59A5">
        <w:t xml:space="preserve"> офшорно въехавшим в страну л</w:t>
      </w:r>
      <w:r w:rsidRPr="009E59A5">
        <w:t>и</w:t>
      </w:r>
      <w:r w:rsidRPr="009E59A5">
        <w:t xml:space="preserve">цом, но не обладают полномочиями </w:t>
      </w:r>
      <w:r>
        <w:t>по</w:t>
      </w:r>
      <w:r w:rsidRPr="009E59A5">
        <w:t xml:space="preserve"> рассмотрени</w:t>
      </w:r>
      <w:r>
        <w:t>ю</w:t>
      </w:r>
      <w:r w:rsidRPr="009E59A5">
        <w:t xml:space="preserve"> необходимости в заде</w:t>
      </w:r>
      <w:r w:rsidRPr="009E59A5">
        <w:t>р</w:t>
      </w:r>
      <w:r w:rsidRPr="009E59A5">
        <w:t xml:space="preserve">жании по существу. Кроме того, </w:t>
      </w:r>
      <w:r>
        <w:t>согласно</w:t>
      </w:r>
      <w:r w:rsidRPr="009E59A5">
        <w:t xml:space="preserve"> практик</w:t>
      </w:r>
      <w:r>
        <w:t>е</w:t>
      </w:r>
      <w:r w:rsidRPr="009E59A5">
        <w:t xml:space="preserve"> Высокого </w:t>
      </w:r>
      <w:r w:rsidRPr="007A33DA">
        <w:t>суда</w:t>
      </w:r>
      <w:r>
        <w:rPr>
          <w:rStyle w:val="FootnoteReference"/>
        </w:rPr>
        <w:footnoteReference w:id="12"/>
      </w:r>
      <w:r w:rsidRPr="009E59A5">
        <w:t xml:space="preserve"> задержание в иммиграционных </w:t>
      </w:r>
      <w:r>
        <w:t>приемниках</w:t>
      </w:r>
      <w:r w:rsidRPr="009E59A5">
        <w:t xml:space="preserve"> на неопределенн</w:t>
      </w:r>
      <w:r>
        <w:t>ое</w:t>
      </w:r>
      <w:r w:rsidRPr="009E59A5">
        <w:t xml:space="preserve"> врем</w:t>
      </w:r>
      <w:r>
        <w:t>я</w:t>
      </w:r>
      <w:r w:rsidRPr="009E59A5">
        <w:t xml:space="preserve"> по внутреннему </w:t>
      </w:r>
      <w:r>
        <w:t>зак</w:t>
      </w:r>
      <w:r>
        <w:t>о</w:t>
      </w:r>
      <w:r>
        <w:t>нодательству</w:t>
      </w:r>
      <w:r w:rsidRPr="009E59A5">
        <w:t xml:space="preserve"> является законным. В </w:t>
      </w:r>
      <w:r>
        <w:t>контексте</w:t>
      </w:r>
      <w:r w:rsidRPr="009E59A5">
        <w:t xml:space="preserve"> требования об исчерпании вну</w:t>
      </w:r>
      <w:r w:rsidRPr="009E59A5">
        <w:t>т</w:t>
      </w:r>
      <w:r w:rsidRPr="009E59A5">
        <w:t xml:space="preserve">ренних средств правовой защиты нельзя ожидать, что авторы </w:t>
      </w:r>
      <w:r>
        <w:t xml:space="preserve">смогут </w:t>
      </w:r>
      <w:r w:rsidRPr="009E59A5">
        <w:t>опрот</w:t>
      </w:r>
      <w:r w:rsidRPr="009E59A5">
        <w:t>е</w:t>
      </w:r>
      <w:r w:rsidRPr="009E59A5">
        <w:t>ст</w:t>
      </w:r>
      <w:r>
        <w:t>овать</w:t>
      </w:r>
      <w:r w:rsidRPr="009E59A5">
        <w:t xml:space="preserve"> недавн</w:t>
      </w:r>
      <w:r>
        <w:t>и</w:t>
      </w:r>
      <w:r w:rsidRPr="009E59A5">
        <w:t>е и окончательн</w:t>
      </w:r>
      <w:r>
        <w:t>ы</w:t>
      </w:r>
      <w:r w:rsidRPr="009E59A5">
        <w:t>е решени</w:t>
      </w:r>
      <w:r>
        <w:t>я</w:t>
      </w:r>
      <w:r w:rsidRPr="009E59A5">
        <w:t xml:space="preserve"> Высокого суда. </w:t>
      </w:r>
      <w:r>
        <w:t>Для целей</w:t>
      </w:r>
      <w:r w:rsidRPr="009E59A5">
        <w:t xml:space="preserve"> пер</w:t>
      </w:r>
      <w:r w:rsidRPr="009E59A5">
        <w:t>е</w:t>
      </w:r>
      <w:r w:rsidRPr="009E59A5">
        <w:t xml:space="preserve">смотра в судебном </w:t>
      </w:r>
      <w:r>
        <w:t>порядке негативных оценок угрозы безопасности авторы не располагают достаточной информацией о причинах и доказательствах, на кот</w:t>
      </w:r>
      <w:r>
        <w:t>о</w:t>
      </w:r>
      <w:r>
        <w:t>рых строилась оценка их личности, и со</w:t>
      </w:r>
      <w:r w:rsidRPr="009E59A5">
        <w:t>ответственно не могут выявить суде</w:t>
      </w:r>
      <w:r w:rsidRPr="009E59A5">
        <w:t>б</w:t>
      </w:r>
      <w:r w:rsidRPr="009E59A5">
        <w:t>ные ошибки, которые могли бы стать основанием для пересмотра решений. Возбуждение</w:t>
      </w:r>
      <w:r w:rsidRPr="00A77040">
        <w:t xml:space="preserve"> </w:t>
      </w:r>
      <w:r>
        <w:t>умозрительных</w:t>
      </w:r>
      <w:r w:rsidRPr="00A77040">
        <w:t xml:space="preserve"> </w:t>
      </w:r>
      <w:r w:rsidRPr="009E59A5">
        <w:t>исков</w:t>
      </w:r>
      <w:r w:rsidRPr="00A77040">
        <w:t xml:space="preserve"> </w:t>
      </w:r>
      <w:r w:rsidRPr="009E59A5">
        <w:t>считается</w:t>
      </w:r>
      <w:r w:rsidRPr="00A77040">
        <w:t xml:space="preserve"> </w:t>
      </w:r>
      <w:r w:rsidRPr="009E59A5">
        <w:t>злоупотреблением</w:t>
      </w:r>
      <w:r w:rsidRPr="00A77040">
        <w:t xml:space="preserve"> </w:t>
      </w:r>
      <w:r w:rsidRPr="009E59A5">
        <w:t>суд</w:t>
      </w:r>
      <w:r>
        <w:t>опроизво</w:t>
      </w:r>
      <w:r>
        <w:t>д</w:t>
      </w:r>
      <w:r>
        <w:t>ством</w:t>
      </w:r>
      <w:r w:rsidRPr="00A77040">
        <w:t>.</w:t>
      </w:r>
    </w:p>
    <w:p w:rsidR="0014670C" w:rsidRPr="009E59A5" w:rsidRDefault="0014670C" w:rsidP="0014670C">
      <w:pPr>
        <w:pStyle w:val="SingleTxtGR"/>
      </w:pPr>
      <w:r w:rsidRPr="009E59A5">
        <w:t>5.3</w:t>
      </w:r>
      <w:r w:rsidRPr="009E59A5">
        <w:tab/>
        <w:t>Пересмотру решения в судебном порядке препятствуют также и сообр</w:t>
      </w:r>
      <w:r w:rsidRPr="009E59A5">
        <w:t>а</w:t>
      </w:r>
      <w:r w:rsidRPr="009E59A5">
        <w:t xml:space="preserve">жения практического характера, </w:t>
      </w:r>
      <w:r>
        <w:t>т.е.</w:t>
      </w:r>
      <w:r w:rsidRPr="009E59A5">
        <w:t xml:space="preserve"> </w:t>
      </w:r>
      <w:r>
        <w:t xml:space="preserve">он слишком затратен для </w:t>
      </w:r>
      <w:r w:rsidRPr="009E59A5">
        <w:t xml:space="preserve">беженцев, </w:t>
      </w:r>
      <w:r>
        <w:t>кот</w:t>
      </w:r>
      <w:r>
        <w:t>о</w:t>
      </w:r>
      <w:r>
        <w:t xml:space="preserve">рые содержатся под стражей, не имеют дохода </w:t>
      </w:r>
      <w:r w:rsidRPr="009E59A5">
        <w:t>и права на юридическую п</w:t>
      </w:r>
      <w:r w:rsidRPr="009E59A5">
        <w:t>о</w:t>
      </w:r>
      <w:r w:rsidRPr="009E59A5">
        <w:t xml:space="preserve">мощь. В деле </w:t>
      </w:r>
      <w:r w:rsidRPr="009E59A5">
        <w:rPr>
          <w:i/>
        </w:rPr>
        <w:t>М47</w:t>
      </w:r>
      <w:r w:rsidRPr="009E59A5">
        <w:t xml:space="preserve"> способность этого беженца начать процессуальные действия свидетельствует только о том, что это конкретное лицо смогло выявить юрид</w:t>
      </w:r>
      <w:r w:rsidRPr="009E59A5">
        <w:t>и</w:t>
      </w:r>
      <w:r w:rsidRPr="009E59A5">
        <w:t>ческие ошибки, поскольку ему было предоставлено больше информации, неж</w:t>
      </w:r>
      <w:r w:rsidRPr="009E59A5">
        <w:t>е</w:t>
      </w:r>
      <w:r w:rsidRPr="009E59A5">
        <w:t xml:space="preserve">ли авторам настоящего сообщения. </w:t>
      </w:r>
    </w:p>
    <w:p w:rsidR="0014670C" w:rsidRPr="009E59A5" w:rsidRDefault="0014670C" w:rsidP="0014670C">
      <w:pPr>
        <w:pStyle w:val="SingleTxtGR"/>
      </w:pPr>
      <w:r w:rsidRPr="009E59A5">
        <w:t>5.4</w:t>
      </w:r>
      <w:r w:rsidRPr="009E59A5">
        <w:tab/>
        <w:t xml:space="preserve">Кроме того, в деле </w:t>
      </w:r>
      <w:r w:rsidRPr="009E59A5">
        <w:rPr>
          <w:i/>
        </w:rPr>
        <w:t>М47</w:t>
      </w:r>
      <w:r w:rsidRPr="009E59A5">
        <w:t xml:space="preserve"> речь шла о беженце из числа законно въехавших в </w:t>
      </w:r>
      <w:r w:rsidRPr="00546704">
        <w:t>Австралию лиц на судне "Oceanic Viking" по специальной визе. Поэтому его по</w:t>
      </w:r>
      <w:r w:rsidRPr="009E59A5">
        <w:t>ложение отличалось от положения большинства авторов настоящего сообщ</w:t>
      </w:r>
      <w:r w:rsidRPr="009E59A5">
        <w:t>е</w:t>
      </w:r>
      <w:r w:rsidRPr="009E59A5">
        <w:t xml:space="preserve">ния, незаконно въехавших в Австралию на </w:t>
      </w:r>
      <w:r>
        <w:t>небольших судах</w:t>
      </w:r>
      <w:r w:rsidRPr="009E59A5">
        <w:t xml:space="preserve"> и лишенных по з</w:t>
      </w:r>
      <w:r w:rsidRPr="009E59A5">
        <w:t>а</w:t>
      </w:r>
      <w:r w:rsidRPr="009E59A5">
        <w:t xml:space="preserve">кону права ходатайствовать о </w:t>
      </w:r>
      <w:r>
        <w:t>выдаче</w:t>
      </w:r>
      <w:r w:rsidRPr="009E59A5">
        <w:t xml:space="preserve"> визы</w:t>
      </w:r>
      <w:r>
        <w:t xml:space="preserve"> в порядке защиты</w:t>
      </w:r>
      <w:r w:rsidRPr="009E59A5">
        <w:t xml:space="preserve">. </w:t>
      </w:r>
      <w:r w:rsidR="000F1643">
        <w:t>В наилучшем случае</w:t>
      </w:r>
      <w:r>
        <w:t xml:space="preserve"> </w:t>
      </w:r>
      <w:r w:rsidRPr="009E59A5">
        <w:t>постановление В</w:t>
      </w:r>
      <w:r>
        <w:t>ысокого</w:t>
      </w:r>
      <w:r w:rsidRPr="009E59A5">
        <w:t xml:space="preserve"> суда может быть применено к пяти авторам из </w:t>
      </w:r>
      <w:r w:rsidRPr="00546704">
        <w:t xml:space="preserve">числа прибывших на судне "Oceanic Viking". </w:t>
      </w:r>
      <w:r w:rsidR="00C108FD" w:rsidRPr="00546704">
        <w:t>И тем не менее Высокий суд по</w:t>
      </w:r>
      <w:r w:rsidR="00C108FD" w:rsidRPr="00546704">
        <w:t>д</w:t>
      </w:r>
      <w:r w:rsidR="00C108FD" w:rsidRPr="009E59A5">
        <w:t xml:space="preserve">твердил законность дальнейшего задержания истца </w:t>
      </w:r>
      <w:r w:rsidR="00C108FD" w:rsidRPr="009E59A5">
        <w:rPr>
          <w:i/>
        </w:rPr>
        <w:t xml:space="preserve">М47. </w:t>
      </w:r>
      <w:r w:rsidRPr="009E59A5">
        <w:t>При этом законод</w:t>
      </w:r>
      <w:r w:rsidRPr="009E59A5">
        <w:t>а</w:t>
      </w:r>
      <w:r w:rsidRPr="009E59A5">
        <w:t>тельное обоснование было попросту изменено с временного задержания до в</w:t>
      </w:r>
      <w:r w:rsidRPr="009E59A5">
        <w:t>ы</w:t>
      </w:r>
      <w:r w:rsidRPr="009E59A5">
        <w:t>сылки на временное задержание до новой (законной) оценки угрозы безопасн</w:t>
      </w:r>
      <w:r w:rsidRPr="009E59A5">
        <w:t>о</w:t>
      </w:r>
      <w:r w:rsidRPr="009E59A5">
        <w:t xml:space="preserve">сти и пересмотра его </w:t>
      </w:r>
      <w:r>
        <w:t>прошения</w:t>
      </w:r>
      <w:r w:rsidRPr="009E59A5">
        <w:t xml:space="preserve"> о </w:t>
      </w:r>
      <w:r>
        <w:t xml:space="preserve">выдаче ему </w:t>
      </w:r>
      <w:r w:rsidRPr="009E59A5">
        <w:t>визы</w:t>
      </w:r>
      <w:r>
        <w:t xml:space="preserve"> в порядке защиты</w:t>
      </w:r>
      <w:r w:rsidRPr="009E59A5">
        <w:t>. Из ск</w:t>
      </w:r>
      <w:r w:rsidRPr="009E59A5">
        <w:t>а</w:t>
      </w:r>
      <w:r w:rsidRPr="009E59A5">
        <w:t xml:space="preserve">занного следует, что суды не обладают полномочиями освобождать авторов </w:t>
      </w:r>
      <w:r>
        <w:t>из-под стражи</w:t>
      </w:r>
      <w:r w:rsidRPr="009E59A5">
        <w:t xml:space="preserve">, </w:t>
      </w:r>
      <w:r>
        <w:t>кроме</w:t>
      </w:r>
      <w:r w:rsidRPr="009E59A5">
        <w:t xml:space="preserve"> как по узкотехническим основаниям.</w:t>
      </w:r>
    </w:p>
    <w:p w:rsidR="0014670C" w:rsidRPr="009E59A5" w:rsidRDefault="0014670C" w:rsidP="0014670C">
      <w:pPr>
        <w:pStyle w:val="SingleTxtGR"/>
      </w:pPr>
      <w:r w:rsidRPr="009E59A5">
        <w:t>5.5</w:t>
      </w:r>
      <w:r w:rsidRPr="009E59A5">
        <w:tab/>
        <w:t>Авторы из числа детей имеют право проживать в общине. Однако это не делает их жалобы неприемлемыми. В наилучших интересах этих детей не ра</w:t>
      </w:r>
      <w:r w:rsidRPr="009E59A5">
        <w:t>з</w:t>
      </w:r>
      <w:r w:rsidRPr="009E59A5">
        <w:t xml:space="preserve">лучаться со своими родителями и не проживать в </w:t>
      </w:r>
      <w:r>
        <w:t>приемниках</w:t>
      </w:r>
      <w:r w:rsidRPr="009E59A5">
        <w:t>. Любая угроза национальной безопасности со стороны родителей (которую они отвергают) могла бы быть купирована путем применения мер обеспечения безопасности по отношению к родителям в общине, будь то наблюдение, по</w:t>
      </w:r>
      <w:r>
        <w:t>становка на учет</w:t>
      </w:r>
      <w:r w:rsidRPr="009E59A5">
        <w:t xml:space="preserve">, </w:t>
      </w:r>
      <w:r>
        <w:t>п</w:t>
      </w:r>
      <w:r>
        <w:t>о</w:t>
      </w:r>
      <w:r>
        <w:t>ручительство</w:t>
      </w:r>
      <w:r w:rsidRPr="009E59A5">
        <w:t xml:space="preserve">, применение браслетов, отслеживаемых с помощью </w:t>
      </w:r>
      <w:r>
        <w:t>г</w:t>
      </w:r>
      <w:r w:rsidRPr="009E59A5">
        <w:t>лобальной системы определения координат (</w:t>
      </w:r>
      <w:r w:rsidRPr="009E59A5">
        <w:rPr>
          <w:lang w:val="en-US"/>
        </w:rPr>
        <w:t>GPS</w:t>
      </w:r>
      <w:r w:rsidRPr="009E59A5">
        <w:t>), или введение ограничений на подде</w:t>
      </w:r>
      <w:r w:rsidRPr="009E59A5">
        <w:t>р</w:t>
      </w:r>
      <w:r w:rsidRPr="009E59A5">
        <w:t>жание связей и места проживания.</w:t>
      </w:r>
    </w:p>
    <w:p w:rsidR="0014670C" w:rsidRPr="00546704" w:rsidRDefault="0014670C" w:rsidP="0014670C">
      <w:pPr>
        <w:pStyle w:val="SingleTxtGR"/>
      </w:pPr>
      <w:r w:rsidRPr="009E59A5">
        <w:t>5.6</w:t>
      </w:r>
      <w:r w:rsidRPr="009E59A5">
        <w:tab/>
        <w:t>Что касается вопроса о приемлемости утверждени</w:t>
      </w:r>
      <w:r>
        <w:t>й</w:t>
      </w:r>
      <w:r w:rsidRPr="009E59A5">
        <w:t xml:space="preserve"> о</w:t>
      </w:r>
      <w:r>
        <w:t xml:space="preserve"> </w:t>
      </w:r>
      <w:r w:rsidRPr="009E59A5">
        <w:t>нарушени</w:t>
      </w:r>
      <w:r>
        <w:t>ях</w:t>
      </w:r>
      <w:r w:rsidRPr="009E59A5">
        <w:t xml:space="preserve"> Ко</w:t>
      </w:r>
      <w:r w:rsidRPr="009E59A5">
        <w:t>н</w:t>
      </w:r>
      <w:r w:rsidRPr="009E59A5">
        <w:t xml:space="preserve">венции о беженцах, то авторы не просят Комитет признать прямые или </w:t>
      </w:r>
      <w:r>
        <w:t>не св</w:t>
      </w:r>
      <w:r>
        <w:t>я</w:t>
      </w:r>
      <w:r>
        <w:t xml:space="preserve">занные между собой </w:t>
      </w:r>
      <w:r w:rsidRPr="009E59A5">
        <w:t>нарушения настоящей Конвенции. Вместо этого они пр</w:t>
      </w:r>
      <w:r w:rsidRPr="009E59A5">
        <w:t>о</w:t>
      </w:r>
      <w:r w:rsidRPr="009E59A5">
        <w:t>сят Комитет истолковывать пункт 1 статьи 9 в соответствии с законо</w:t>
      </w:r>
      <w:r>
        <w:t>дательс</w:t>
      </w:r>
      <w:r>
        <w:t>т</w:t>
      </w:r>
      <w:r w:rsidRPr="00546704">
        <w:t>вом о беженцах, которое в данном случае следует рассматривать как lex specialis.</w:t>
      </w:r>
    </w:p>
    <w:p w:rsidR="0014670C" w:rsidRPr="009E59A5" w:rsidRDefault="0014670C" w:rsidP="0014670C">
      <w:pPr>
        <w:pStyle w:val="SingleTxtGR"/>
      </w:pPr>
      <w:r w:rsidRPr="009E59A5">
        <w:t>5.7</w:t>
      </w:r>
      <w:r w:rsidRPr="009E59A5">
        <w:tab/>
        <w:t>Что касается возражения, согласно которому пункт 2 статьи 9 огранич</w:t>
      </w:r>
      <w:r w:rsidRPr="009E59A5">
        <w:t>и</w:t>
      </w:r>
      <w:r w:rsidRPr="009E59A5">
        <w:t>вается случаями ареста за совершение уголовн</w:t>
      </w:r>
      <w:r>
        <w:t>ых преступлений</w:t>
      </w:r>
      <w:r w:rsidRPr="009E59A5">
        <w:t>,</w:t>
      </w:r>
      <w:r>
        <w:t xml:space="preserve"> то </w:t>
      </w:r>
      <w:r w:rsidRPr="009E59A5">
        <w:t>авторы сч</w:t>
      </w:r>
      <w:r w:rsidRPr="009E59A5">
        <w:t>и</w:t>
      </w:r>
      <w:r w:rsidRPr="009E59A5">
        <w:t>тают, что это положение соответствует цели статьи 9</w:t>
      </w:r>
      <w:r>
        <w:t xml:space="preserve">, состоящей в </w:t>
      </w:r>
      <w:r w:rsidRPr="009E59A5">
        <w:t>обеспечени</w:t>
      </w:r>
      <w:r>
        <w:t>и</w:t>
      </w:r>
      <w:r w:rsidRPr="009E59A5">
        <w:t xml:space="preserve"> защиты</w:t>
      </w:r>
      <w:r>
        <w:t xml:space="preserve"> от </w:t>
      </w:r>
      <w:r w:rsidRPr="009E59A5">
        <w:t>произвольного ареста или задержания, а не просто ареста или з</w:t>
      </w:r>
      <w:r w:rsidRPr="009E59A5">
        <w:t>а</w:t>
      </w:r>
      <w:r w:rsidRPr="009E59A5">
        <w:t>держания за уголовные преступления.</w:t>
      </w:r>
    </w:p>
    <w:p w:rsidR="0014670C" w:rsidRPr="009E59A5" w:rsidRDefault="0014670C" w:rsidP="0014670C">
      <w:pPr>
        <w:pStyle w:val="SingleTxtGR"/>
      </w:pPr>
      <w:r w:rsidRPr="009E59A5">
        <w:t>5.8</w:t>
      </w:r>
      <w:r w:rsidRPr="009E59A5">
        <w:tab/>
        <w:t>Авторы представили достаточно информации для целей признания пр</w:t>
      </w:r>
      <w:r w:rsidRPr="009E59A5">
        <w:t>и</w:t>
      </w:r>
      <w:r w:rsidRPr="009E59A5">
        <w:t>емлемости жалоб по статьям 7 и</w:t>
      </w:r>
      <w:r w:rsidR="00066066">
        <w:t xml:space="preserve"> </w:t>
      </w:r>
      <w:r w:rsidRPr="009E59A5">
        <w:t>10 и могут представить дополнительные св</w:t>
      </w:r>
      <w:r w:rsidRPr="009E59A5">
        <w:t>е</w:t>
      </w:r>
      <w:r w:rsidRPr="009E59A5">
        <w:t>дения. Каждый автор готов сделать персональное заявление и подробно расск</w:t>
      </w:r>
      <w:r w:rsidRPr="009E59A5">
        <w:t>а</w:t>
      </w:r>
      <w:r w:rsidRPr="009E59A5">
        <w:t xml:space="preserve">зать о своем опыте нахождения в условиях </w:t>
      </w:r>
      <w:r>
        <w:t xml:space="preserve">содержания под стражей </w:t>
      </w:r>
      <w:r w:rsidRPr="009E59A5">
        <w:t>и о его во</w:t>
      </w:r>
      <w:r w:rsidRPr="009E59A5">
        <w:t>з</w:t>
      </w:r>
      <w:r w:rsidRPr="009E59A5">
        <w:t>действии. По запросу могут также быть предоставлены дополнительные мат</w:t>
      </w:r>
      <w:r w:rsidRPr="009E59A5">
        <w:t>е</w:t>
      </w:r>
      <w:r w:rsidRPr="009E59A5">
        <w:t xml:space="preserve">риалы о психиатрическом освидетельствовании различных авторов. </w:t>
      </w:r>
    </w:p>
    <w:p w:rsidR="0014670C" w:rsidRPr="009E59A5" w:rsidRDefault="0014670C" w:rsidP="0014670C">
      <w:pPr>
        <w:pStyle w:val="SingleTxtGR"/>
      </w:pPr>
      <w:r w:rsidRPr="009E59A5">
        <w:t>5.9</w:t>
      </w:r>
      <w:r w:rsidRPr="009E59A5">
        <w:tab/>
      </w:r>
      <w:r>
        <w:t>По поводу</w:t>
      </w:r>
      <w:r w:rsidRPr="009E59A5">
        <w:t xml:space="preserve"> назначения независимого эксперта для пересмотра негативных оценок угрозы безопасности авторы считают, что это шаг в правильном напра</w:t>
      </w:r>
      <w:r w:rsidRPr="009E59A5">
        <w:t>в</w:t>
      </w:r>
      <w:r w:rsidRPr="009E59A5">
        <w:t xml:space="preserve">лении. Однако с процессуальной точки зрения, он является недостаточным. Во-первых, выводы этого эксперта не имеют обязывающей силы, а </w:t>
      </w:r>
      <w:r>
        <w:t>служат</w:t>
      </w:r>
      <w:r w:rsidRPr="009E59A5">
        <w:t xml:space="preserve"> всего лишь рекомендациями для АО</w:t>
      </w:r>
      <w:r>
        <w:t>БР</w:t>
      </w:r>
      <w:r w:rsidRPr="009E59A5">
        <w:t>. Во-вторых, во всех делах до сих пор не уст</w:t>
      </w:r>
      <w:r w:rsidRPr="009E59A5">
        <w:t>а</w:t>
      </w:r>
      <w:r w:rsidRPr="009E59A5">
        <w:t>новлен минимальный объем подлежащей раскрытию информации, что огран</w:t>
      </w:r>
      <w:r w:rsidRPr="009E59A5">
        <w:t>и</w:t>
      </w:r>
      <w:r w:rsidRPr="009E59A5">
        <w:t>чивает способность беженц</w:t>
      </w:r>
      <w:r>
        <w:t>ев</w:t>
      </w:r>
      <w:r w:rsidRPr="009E59A5">
        <w:t xml:space="preserve"> к принятию эффективных ответных мер. В да</w:t>
      </w:r>
      <w:r w:rsidRPr="009E59A5">
        <w:t>н</w:t>
      </w:r>
      <w:r w:rsidRPr="009E59A5">
        <w:t>ном случае АО</w:t>
      </w:r>
      <w:r>
        <w:t>БР</w:t>
      </w:r>
      <w:r w:rsidRPr="009E59A5">
        <w:t xml:space="preserve"> может по-прежнему </w:t>
      </w:r>
      <w:r>
        <w:t xml:space="preserve">заявлять о </w:t>
      </w:r>
      <w:r w:rsidRPr="009E59A5">
        <w:t>невозможн</w:t>
      </w:r>
      <w:r>
        <w:t>ости</w:t>
      </w:r>
      <w:r w:rsidRPr="009E59A5">
        <w:t xml:space="preserve"> раскрыть л</w:t>
      </w:r>
      <w:r w:rsidRPr="009E59A5">
        <w:t>ю</w:t>
      </w:r>
      <w:r w:rsidRPr="009E59A5">
        <w:t xml:space="preserve">бые </w:t>
      </w:r>
      <w:r>
        <w:t>веские</w:t>
      </w:r>
      <w:r w:rsidRPr="009E59A5">
        <w:t xml:space="preserve"> причины тому или иному лицу, что в свою очередь также не позв</w:t>
      </w:r>
      <w:r w:rsidRPr="009E59A5">
        <w:t>о</w:t>
      </w:r>
      <w:r w:rsidRPr="009E59A5">
        <w:t>лит эксперту обнародовать такую информацию. Соответственно, беженц</w:t>
      </w:r>
      <w:r>
        <w:t>ам</w:t>
      </w:r>
      <w:r w:rsidRPr="009E59A5">
        <w:t xml:space="preserve"> по-прежнему </w:t>
      </w:r>
      <w:r>
        <w:t xml:space="preserve">можно на </w:t>
      </w:r>
      <w:r w:rsidRPr="009E59A5">
        <w:t xml:space="preserve">законных основаниях не </w:t>
      </w:r>
      <w:r>
        <w:t>направлять</w:t>
      </w:r>
      <w:r w:rsidRPr="009E59A5">
        <w:t xml:space="preserve"> уведомлени</w:t>
      </w:r>
      <w:r>
        <w:t>я</w:t>
      </w:r>
      <w:r w:rsidRPr="009E59A5">
        <w:t xml:space="preserve"> с изл</w:t>
      </w:r>
      <w:r w:rsidRPr="009E59A5">
        <w:t>о</w:t>
      </w:r>
      <w:r w:rsidRPr="009E59A5">
        <w:t xml:space="preserve">жением предполагаемых мотивов решения до его принятия. </w:t>
      </w:r>
    </w:p>
    <w:p w:rsidR="0014670C" w:rsidRPr="009E59A5" w:rsidRDefault="0014670C" w:rsidP="0014670C">
      <w:pPr>
        <w:pStyle w:val="H23GR"/>
      </w:pPr>
      <w:r w:rsidRPr="00A77040">
        <w:tab/>
      </w:r>
      <w:r w:rsidRPr="00A77040">
        <w:tab/>
      </w:r>
      <w:r w:rsidRPr="00BD7864">
        <w:t>Замечания государства-участника по существу дела</w:t>
      </w:r>
    </w:p>
    <w:p w:rsidR="0014670C" w:rsidRPr="009E59A5" w:rsidRDefault="0014670C" w:rsidP="0014670C">
      <w:pPr>
        <w:pStyle w:val="SingleTxtGR"/>
      </w:pPr>
      <w:r w:rsidRPr="009E59A5">
        <w:t>6.1</w:t>
      </w:r>
      <w:r w:rsidRPr="009E59A5">
        <w:tab/>
        <w:t xml:space="preserve">5 декабря 2012 года государство-участник заявило, что жалобы являются </w:t>
      </w:r>
      <w:r>
        <w:t>безосновательными</w:t>
      </w:r>
      <w:r w:rsidRPr="009E59A5">
        <w:t xml:space="preserve"> по следующим причинам.</w:t>
      </w:r>
    </w:p>
    <w:p w:rsidR="0014670C" w:rsidRPr="00A77040" w:rsidRDefault="0014670C" w:rsidP="0014670C">
      <w:pPr>
        <w:pStyle w:val="H4GR"/>
      </w:pPr>
      <w:r w:rsidRPr="00A77040">
        <w:tab/>
      </w:r>
      <w:r w:rsidRPr="00A77040">
        <w:tab/>
      </w:r>
      <w:r w:rsidRPr="000D42B8">
        <w:t>Статья</w:t>
      </w:r>
      <w:r w:rsidRPr="00A77040">
        <w:t xml:space="preserve"> 9, </w:t>
      </w:r>
      <w:r w:rsidRPr="000D42B8">
        <w:t>пункт</w:t>
      </w:r>
      <w:r w:rsidRPr="00A77040">
        <w:t xml:space="preserve"> 1</w:t>
      </w:r>
    </w:p>
    <w:p w:rsidR="0014670C" w:rsidRPr="000D42B8" w:rsidRDefault="0014670C" w:rsidP="0014670C">
      <w:pPr>
        <w:pStyle w:val="SingleTxtGR"/>
      </w:pPr>
      <w:r w:rsidRPr="000D42B8">
        <w:t>6.2</w:t>
      </w:r>
      <w:r w:rsidRPr="000D42B8">
        <w:tab/>
        <w:t>Авторы незаконно прибыли на территорию Австралии</w:t>
      </w:r>
      <w:r>
        <w:t>,</w:t>
      </w:r>
      <w:r w:rsidRPr="000D42B8">
        <w:t xml:space="preserve"> не являются ее гражданами и были задержаны во исполнение Закона о миграции. По эт</w:t>
      </w:r>
      <w:r>
        <w:t>им</w:t>
      </w:r>
      <w:r w:rsidRPr="000D42B8">
        <w:t xml:space="preserve"> пр</w:t>
      </w:r>
      <w:r w:rsidRPr="000D42B8">
        <w:t>и</w:t>
      </w:r>
      <w:r w:rsidRPr="000D42B8">
        <w:t>чи</w:t>
      </w:r>
      <w:r>
        <w:t>нам</w:t>
      </w:r>
      <w:r w:rsidRPr="000D42B8">
        <w:t xml:space="preserve"> их временное задержание законн</w:t>
      </w:r>
      <w:r>
        <w:t>о</w:t>
      </w:r>
      <w:r w:rsidRPr="000D42B8">
        <w:t>. Высокий суд Австралии признал ко</w:t>
      </w:r>
      <w:r w:rsidRPr="000D42B8">
        <w:t>н</w:t>
      </w:r>
      <w:r w:rsidRPr="000D42B8">
        <w:t xml:space="preserve">ституционную </w:t>
      </w:r>
      <w:r>
        <w:t>правомерность</w:t>
      </w:r>
      <w:r w:rsidRPr="000D42B8">
        <w:t xml:space="preserve"> соответствующих положений Закона о миграции. Просители убежища помещаются в иммиграционный изолятор, если они явл</w:t>
      </w:r>
      <w:r w:rsidRPr="000D42B8">
        <w:t>я</w:t>
      </w:r>
      <w:r w:rsidRPr="000D42B8">
        <w:t xml:space="preserve">ются: </w:t>
      </w:r>
      <w:r w:rsidRPr="000D42B8">
        <w:rPr>
          <w:lang w:val="en-US"/>
        </w:rPr>
        <w:t>a</w:t>
      </w:r>
      <w:r w:rsidRPr="000D42B8">
        <w:t>) незаконно прибывшими лицами и представляют опасность для насел</w:t>
      </w:r>
      <w:r w:rsidRPr="000D42B8">
        <w:t>е</w:t>
      </w:r>
      <w:r w:rsidRPr="000D42B8">
        <w:t xml:space="preserve">ния с точки зрения здравоохранения, своей личности и безопасности; </w:t>
      </w:r>
      <w:r w:rsidRPr="000D42B8">
        <w:rPr>
          <w:lang w:val="en-US"/>
        </w:rPr>
        <w:t>b</w:t>
      </w:r>
      <w:r w:rsidRPr="000D42B8">
        <w:t>) нез</w:t>
      </w:r>
      <w:r w:rsidRPr="000D42B8">
        <w:t>а</w:t>
      </w:r>
      <w:r w:rsidRPr="000D42B8">
        <w:t>конно прибы</w:t>
      </w:r>
      <w:r>
        <w:t>вшими</w:t>
      </w:r>
      <w:r w:rsidRPr="000D42B8">
        <w:t xml:space="preserve"> на территорию страны, не </w:t>
      </w:r>
      <w:r>
        <w:t>имеющими ее гражданства л</w:t>
      </w:r>
      <w:r>
        <w:t>и</w:t>
      </w:r>
      <w:r>
        <w:t>цами,</w:t>
      </w:r>
      <w:r w:rsidRPr="000D42B8">
        <w:t xml:space="preserve"> созда</w:t>
      </w:r>
      <w:r>
        <w:t>ющими</w:t>
      </w:r>
      <w:r w:rsidRPr="000D42B8">
        <w:t xml:space="preserve"> не</w:t>
      </w:r>
      <w:r>
        <w:t>допустимую</w:t>
      </w:r>
      <w:r w:rsidRPr="000D42B8">
        <w:t xml:space="preserve"> опасность для населения; и 3) незаконно прибывшими на территорию страны лицами, которые не являются ее гражд</w:t>
      </w:r>
      <w:r w:rsidRPr="000D42B8">
        <w:t>а</w:t>
      </w:r>
      <w:r w:rsidRPr="000D42B8">
        <w:t>нами и которые неоднократно отказывались выполнять предъявляемые им тр</w:t>
      </w:r>
      <w:r w:rsidRPr="000D42B8">
        <w:t>е</w:t>
      </w:r>
      <w:r w:rsidRPr="000D42B8">
        <w:t xml:space="preserve">бования в отношении получения визы. </w:t>
      </w:r>
    </w:p>
    <w:p w:rsidR="0014670C" w:rsidRPr="000D42B8" w:rsidRDefault="0014670C" w:rsidP="0014670C">
      <w:pPr>
        <w:pStyle w:val="SingleTxtGR"/>
      </w:pPr>
      <w:r w:rsidRPr="000D42B8">
        <w:t>6.3</w:t>
      </w:r>
      <w:r w:rsidRPr="000D42B8">
        <w:tab/>
        <w:t>Продолжительность и условия временного задержания, включая надл</w:t>
      </w:r>
      <w:r w:rsidRPr="000D42B8">
        <w:t>е</w:t>
      </w:r>
      <w:r w:rsidRPr="000D42B8">
        <w:t>жащий характер помещений и оказываемых услуг, подлежат регулярному ра</w:t>
      </w:r>
      <w:r w:rsidRPr="000D42B8">
        <w:t>с</w:t>
      </w:r>
      <w:r w:rsidRPr="000D42B8">
        <w:t xml:space="preserve">смотрению. Временное задержание не ограничивается четкими временными рамками, а зависит от индивидуальной оценки опасности </w:t>
      </w:r>
      <w:r>
        <w:t xml:space="preserve">данного лица </w:t>
      </w:r>
      <w:r w:rsidRPr="000D42B8">
        <w:t>для н</w:t>
      </w:r>
      <w:r w:rsidRPr="000D42B8">
        <w:t>а</w:t>
      </w:r>
      <w:r w:rsidRPr="000D42B8">
        <w:t xml:space="preserve">селения. Такие оценки производятся </w:t>
      </w:r>
      <w:r>
        <w:t xml:space="preserve">как можно более </w:t>
      </w:r>
      <w:r w:rsidRPr="000D42B8">
        <w:t>оперативн</w:t>
      </w:r>
      <w:r>
        <w:t>о</w:t>
      </w:r>
      <w:r w:rsidRPr="000D42B8">
        <w:t>. И опред</w:t>
      </w:r>
      <w:r w:rsidRPr="000D42B8">
        <w:t>е</w:t>
      </w:r>
      <w:r w:rsidRPr="000D42B8">
        <w:t>ляющим фактором здесь выступает не продолжительность задержания, а зако</w:t>
      </w:r>
      <w:r w:rsidRPr="000D42B8">
        <w:t>н</w:t>
      </w:r>
      <w:r w:rsidRPr="000D42B8">
        <w:t>ность его оснований.</w:t>
      </w:r>
    </w:p>
    <w:p w:rsidR="0014670C" w:rsidRPr="000D42B8" w:rsidRDefault="0014670C" w:rsidP="0014670C">
      <w:pPr>
        <w:pStyle w:val="SingleTxtGR"/>
      </w:pPr>
      <w:r w:rsidRPr="000D42B8">
        <w:t>6.4</w:t>
      </w:r>
      <w:r w:rsidRPr="000D42B8">
        <w:tab/>
      </w:r>
      <w:r>
        <w:t>АОБР</w:t>
      </w:r>
      <w:r w:rsidRPr="000D42B8">
        <w:t xml:space="preserve"> произвел индивидуальную оценку каждого совершеннолетнего а</w:t>
      </w:r>
      <w:r w:rsidRPr="000D42B8">
        <w:t>в</w:t>
      </w:r>
      <w:r w:rsidRPr="000D42B8">
        <w:t xml:space="preserve">тора и в порядке применения раздела 4 австралийского Закона об Организации по вопросам безопасности и разведки пришел к выводу о том, что </w:t>
      </w:r>
      <w:r>
        <w:t>выдача</w:t>
      </w:r>
      <w:r w:rsidRPr="000D42B8">
        <w:t xml:space="preserve"> им визы для постоянного жительства </w:t>
      </w:r>
      <w:r>
        <w:t>будет</w:t>
      </w:r>
      <w:r w:rsidRPr="000D42B8">
        <w:t xml:space="preserve"> представлять опасность по одной или нескольким следующим причинам:</w:t>
      </w:r>
    </w:p>
    <w:p w:rsidR="0014670C" w:rsidRPr="000D42B8" w:rsidRDefault="0014670C" w:rsidP="0014670C">
      <w:pPr>
        <w:pStyle w:val="Bullet1GR"/>
        <w:numPr>
          <w:ilvl w:val="0"/>
          <w:numId w:val="1"/>
        </w:numPr>
      </w:pPr>
      <w:r w:rsidRPr="000D42B8">
        <w:t>создание угроз безопасности Австралии и австралийцам, включая нас</w:t>
      </w:r>
      <w:r w:rsidRPr="000D42B8">
        <w:t>и</w:t>
      </w:r>
      <w:r w:rsidRPr="000D42B8">
        <w:t>лие</w:t>
      </w:r>
      <w:r>
        <w:t xml:space="preserve"> по политическим мотивам и</w:t>
      </w:r>
      <w:r w:rsidRPr="000D42B8">
        <w:t xml:space="preserve"> разжигание </w:t>
      </w:r>
      <w:r>
        <w:t xml:space="preserve">межобщинного </w:t>
      </w:r>
      <w:r w:rsidRPr="000D42B8">
        <w:t>нас</w:t>
      </w:r>
      <w:r>
        <w:t>илия,</w:t>
      </w:r>
      <w:r w:rsidRPr="000D42B8">
        <w:t xml:space="preserve"> или угроз территориальной целостности и неприкосновенности границ Авс</w:t>
      </w:r>
      <w:r w:rsidRPr="000D42B8">
        <w:t>т</w:t>
      </w:r>
      <w:r w:rsidRPr="000D42B8">
        <w:t>ралии;</w:t>
      </w:r>
    </w:p>
    <w:p w:rsidR="0014670C" w:rsidRPr="000D42B8" w:rsidRDefault="0014670C" w:rsidP="0014670C">
      <w:pPr>
        <w:pStyle w:val="Bullet1GR"/>
        <w:numPr>
          <w:ilvl w:val="0"/>
          <w:numId w:val="1"/>
        </w:numPr>
      </w:pPr>
      <w:r>
        <w:t>организация</w:t>
      </w:r>
      <w:r w:rsidRPr="000D42B8">
        <w:t xml:space="preserve"> </w:t>
      </w:r>
      <w:r w:rsidR="00546704">
        <w:t>"</w:t>
      </w:r>
      <w:r w:rsidRPr="000D42B8">
        <w:t>безопасно</w:t>
      </w:r>
      <w:r>
        <w:t>й гавани</w:t>
      </w:r>
      <w:r w:rsidR="00546704">
        <w:t>"</w:t>
      </w:r>
      <w:r w:rsidRPr="000D42B8">
        <w:t xml:space="preserve"> для организации (организаци</w:t>
      </w:r>
      <w:r>
        <w:t>й)</w:t>
      </w:r>
      <w:r w:rsidRPr="000D42B8">
        <w:t>, в кот</w:t>
      </w:r>
      <w:r w:rsidRPr="000D42B8">
        <w:t>о</w:t>
      </w:r>
      <w:r w:rsidRPr="000D42B8">
        <w:t>р</w:t>
      </w:r>
      <w:r>
        <w:t>ую</w:t>
      </w:r>
      <w:r w:rsidRPr="000D42B8">
        <w:t xml:space="preserve"> они входят</w:t>
      </w:r>
      <w:r>
        <w:t>,</w:t>
      </w:r>
      <w:r w:rsidRPr="000D42B8">
        <w:t xml:space="preserve"> в целях совершения в Австралии и</w:t>
      </w:r>
      <w:r>
        <w:t>ли</w:t>
      </w:r>
      <w:r w:rsidRPr="000D42B8">
        <w:t xml:space="preserve"> в других странах нападений на свое правительство; и/или</w:t>
      </w:r>
    </w:p>
    <w:p w:rsidR="0014670C" w:rsidRPr="000D42B8" w:rsidRDefault="0014670C" w:rsidP="0014670C">
      <w:pPr>
        <w:pStyle w:val="Bullet1GR"/>
        <w:numPr>
          <w:ilvl w:val="0"/>
          <w:numId w:val="1"/>
        </w:numPr>
      </w:pPr>
      <w:r w:rsidRPr="000D42B8">
        <w:t>создани</w:t>
      </w:r>
      <w:r>
        <w:t>е</w:t>
      </w:r>
      <w:r w:rsidRPr="000D42B8">
        <w:t xml:space="preserve"> </w:t>
      </w:r>
      <w:r>
        <w:t>возможных "</w:t>
      </w:r>
      <w:r w:rsidRPr="000D42B8">
        <w:t>безопасных гаваней" для отдельных лиц или терр</w:t>
      </w:r>
      <w:r w:rsidRPr="000D42B8">
        <w:t>о</w:t>
      </w:r>
      <w:r w:rsidRPr="000D42B8">
        <w:t xml:space="preserve">ристических организаций </w:t>
      </w:r>
      <w:r>
        <w:t>в интересах</w:t>
      </w:r>
      <w:r w:rsidRPr="000D42B8">
        <w:t xml:space="preserve"> </w:t>
      </w:r>
      <w:r>
        <w:t>совершения</w:t>
      </w:r>
      <w:r w:rsidRPr="000D42B8">
        <w:t xml:space="preserve"> террористическ</w:t>
      </w:r>
      <w:r>
        <w:t>их а</w:t>
      </w:r>
      <w:r>
        <w:t>к</w:t>
      </w:r>
      <w:r>
        <w:t>тов</w:t>
      </w:r>
      <w:r w:rsidRPr="000D42B8">
        <w:t xml:space="preserve"> и финансирования терроризма в Австралии.</w:t>
      </w:r>
    </w:p>
    <w:p w:rsidR="0014670C" w:rsidRPr="000D42B8" w:rsidRDefault="0014670C" w:rsidP="0014670C">
      <w:pPr>
        <w:pStyle w:val="SingleTxtGR"/>
      </w:pPr>
      <w:r w:rsidRPr="000D42B8">
        <w:t>6.5</w:t>
      </w:r>
      <w:r w:rsidRPr="000D42B8">
        <w:tab/>
      </w:r>
      <w:r>
        <w:t>Обнародование</w:t>
      </w:r>
      <w:r w:rsidRPr="000D42B8">
        <w:t xml:space="preserve"> подробных секретных сведений, </w:t>
      </w:r>
      <w:r>
        <w:t>ставших основой</w:t>
      </w:r>
      <w:r w:rsidRPr="000D42B8">
        <w:t xml:space="preserve"> нег</w:t>
      </w:r>
      <w:r w:rsidRPr="000D42B8">
        <w:t>а</w:t>
      </w:r>
      <w:r w:rsidRPr="000D42B8">
        <w:t xml:space="preserve">тивных оценок, способно подорвать процесс оценки угрозы безопасности </w:t>
      </w:r>
      <w:r>
        <w:t>и п</w:t>
      </w:r>
      <w:r>
        <w:t>о</w:t>
      </w:r>
      <w:r>
        <w:t xml:space="preserve">дорвать </w:t>
      </w:r>
      <w:r w:rsidRPr="000D42B8">
        <w:t>безопасност</w:t>
      </w:r>
      <w:r>
        <w:t>ь</w:t>
      </w:r>
      <w:r w:rsidRPr="000D42B8">
        <w:t xml:space="preserve"> Австралии. Такие действия могут также </w:t>
      </w:r>
      <w:r>
        <w:t>поставить под угрозу</w:t>
      </w:r>
      <w:r w:rsidRPr="000D42B8">
        <w:t xml:space="preserve"> источник</w:t>
      </w:r>
      <w:r>
        <w:t>и</w:t>
      </w:r>
      <w:r w:rsidRPr="000D42B8">
        <w:t xml:space="preserve"> АО</w:t>
      </w:r>
      <w:r>
        <w:t>БР</w:t>
      </w:r>
      <w:r w:rsidRPr="000D42B8">
        <w:t xml:space="preserve"> и разрушить потенциал, на который опирается АО</w:t>
      </w:r>
      <w:r>
        <w:t>БР при</w:t>
      </w:r>
      <w:r w:rsidRPr="000D42B8">
        <w:t xml:space="preserve"> выполнении своих обязанностей. </w:t>
      </w:r>
    </w:p>
    <w:p w:rsidR="0014670C" w:rsidRPr="000D42B8" w:rsidRDefault="0014670C" w:rsidP="0014670C">
      <w:pPr>
        <w:pStyle w:val="SingleTxtGR"/>
      </w:pPr>
      <w:r w:rsidRPr="000D42B8">
        <w:t>6.6</w:t>
      </w:r>
      <w:r w:rsidRPr="000D42B8">
        <w:tab/>
      </w:r>
      <w:r>
        <w:t>З</w:t>
      </w:r>
      <w:r w:rsidRPr="000D42B8">
        <w:t xml:space="preserve">адержание совершеннолетних авторов является соразмерным ответом на угрозу безопасности, которую, как </w:t>
      </w:r>
      <w:r>
        <w:t>было установлено</w:t>
      </w:r>
      <w:r w:rsidRPr="000D42B8">
        <w:t xml:space="preserve">, </w:t>
      </w:r>
      <w:r>
        <w:t xml:space="preserve">каждый из них </w:t>
      </w:r>
      <w:r w:rsidRPr="000D42B8">
        <w:t>предста</w:t>
      </w:r>
      <w:r w:rsidRPr="000D42B8">
        <w:t>в</w:t>
      </w:r>
      <w:r w:rsidRPr="000D42B8">
        <w:t>ля</w:t>
      </w:r>
      <w:r>
        <w:t>е</w:t>
      </w:r>
      <w:r w:rsidRPr="000D42B8">
        <w:t>т. Что касается трех авторов из числа детей, то их наилучшие интересы б</w:t>
      </w:r>
      <w:r w:rsidRPr="000D42B8">
        <w:t>ы</w:t>
      </w:r>
      <w:r w:rsidRPr="000D42B8">
        <w:t xml:space="preserve">ли учтены, включая </w:t>
      </w:r>
      <w:r>
        <w:t xml:space="preserve">предоставление им возможности для </w:t>
      </w:r>
      <w:r w:rsidRPr="000D42B8">
        <w:t>проживани</w:t>
      </w:r>
      <w:r>
        <w:t>я</w:t>
      </w:r>
      <w:r w:rsidRPr="000D42B8">
        <w:t xml:space="preserve"> в общ</w:t>
      </w:r>
      <w:r w:rsidRPr="000D42B8">
        <w:t>и</w:t>
      </w:r>
      <w:r w:rsidRPr="000D42B8">
        <w:t xml:space="preserve">не. В случаях, когда семья решала </w:t>
      </w:r>
      <w:r>
        <w:t xml:space="preserve">не разлучаться и </w:t>
      </w:r>
      <w:r w:rsidRPr="000D42B8">
        <w:t xml:space="preserve">оставаться в </w:t>
      </w:r>
      <w:r>
        <w:t>приемнике</w:t>
      </w:r>
      <w:r w:rsidRPr="000D42B8">
        <w:t>, д</w:t>
      </w:r>
      <w:r w:rsidRPr="000D42B8">
        <w:t>е</w:t>
      </w:r>
      <w:r w:rsidRPr="000D42B8">
        <w:t xml:space="preserve">тям в установленном порядке </w:t>
      </w:r>
      <w:r>
        <w:t>предоставлялись</w:t>
      </w:r>
      <w:r w:rsidRPr="000D42B8">
        <w:t xml:space="preserve"> услуги по их поддержке и на</w:t>
      </w:r>
      <w:r w:rsidRPr="000D42B8">
        <w:t>д</w:t>
      </w:r>
      <w:r w:rsidRPr="000D42B8">
        <w:t xml:space="preserve">лежащие возможности. Они </w:t>
      </w:r>
      <w:r>
        <w:t>размещаются</w:t>
      </w:r>
      <w:r w:rsidRPr="000D42B8">
        <w:t xml:space="preserve"> в </w:t>
      </w:r>
      <w:r>
        <w:t xml:space="preserve">жилом комплексе для компактного проживания </w:t>
      </w:r>
      <w:r w:rsidRPr="000D42B8">
        <w:t xml:space="preserve">иммигрантов и могут посещать школу, </w:t>
      </w:r>
      <w:r>
        <w:t>совершать прогулки</w:t>
      </w:r>
      <w:r w:rsidRPr="000D42B8">
        <w:t xml:space="preserve"> и </w:t>
      </w:r>
      <w:r>
        <w:t>уч</w:t>
      </w:r>
      <w:r>
        <w:t>а</w:t>
      </w:r>
      <w:r>
        <w:t xml:space="preserve">ствовать в </w:t>
      </w:r>
      <w:r w:rsidRPr="000D42B8">
        <w:t>други</w:t>
      </w:r>
      <w:r>
        <w:t xml:space="preserve">х организованных мероприятиях, что позволяет им </w:t>
      </w:r>
      <w:r w:rsidRPr="000D42B8">
        <w:t>жить в у</w:t>
      </w:r>
      <w:r w:rsidRPr="000D42B8">
        <w:t>с</w:t>
      </w:r>
      <w:r w:rsidRPr="000D42B8">
        <w:t>ловиях минимальных ограничений и</w:t>
      </w:r>
      <w:r>
        <w:t>, насколько это возможно,</w:t>
      </w:r>
      <w:r w:rsidRPr="000D42B8">
        <w:t xml:space="preserve"> в соответствии с их статусом законно въехавших неграждан в то время, пока изучаются возмо</w:t>
      </w:r>
      <w:r w:rsidRPr="000D42B8">
        <w:t>ж</w:t>
      </w:r>
      <w:r w:rsidRPr="000D42B8">
        <w:t>ные решения по всей семье.</w:t>
      </w:r>
    </w:p>
    <w:p w:rsidR="0014670C" w:rsidRPr="000D42B8" w:rsidRDefault="0014670C" w:rsidP="0014670C">
      <w:pPr>
        <w:pStyle w:val="SingleTxtGR"/>
      </w:pPr>
      <w:bookmarkStart w:id="6" w:name="_Toc340737551"/>
      <w:r w:rsidRPr="000D42B8">
        <w:t>6.7</w:t>
      </w:r>
      <w:r w:rsidRPr="000D42B8">
        <w:tab/>
        <w:t>Законность решений, принимаемых в соответствии с Законом об АО</w:t>
      </w:r>
      <w:r>
        <w:t>БР</w:t>
      </w:r>
      <w:r w:rsidRPr="000D42B8">
        <w:t xml:space="preserve">, подлежит пересмотру в судебном порядке. Кроме того, </w:t>
      </w:r>
      <w:r w:rsidRPr="0019756E">
        <w:t>Генеральный инспектор по делам разведки и безопасности может рассматривать</w:t>
      </w:r>
      <w:r w:rsidRPr="000D42B8">
        <w:t xml:space="preserve"> вопросы законности, </w:t>
      </w:r>
      <w:r>
        <w:t>обоснованности</w:t>
      </w:r>
      <w:r w:rsidRPr="000D42B8">
        <w:t>, эффективности и уместности действий АО</w:t>
      </w:r>
      <w:r>
        <w:t>БР</w:t>
      </w:r>
      <w:r w:rsidRPr="000D42B8">
        <w:t xml:space="preserve"> в отношении оценки угрозы безопасности со стороны неграждан.</w:t>
      </w:r>
    </w:p>
    <w:bookmarkEnd w:id="6"/>
    <w:p w:rsidR="0014670C" w:rsidRPr="00A77040" w:rsidRDefault="0014670C" w:rsidP="005F4DFD">
      <w:pPr>
        <w:pStyle w:val="H4GR"/>
        <w:spacing w:before="240"/>
      </w:pPr>
      <w:r w:rsidRPr="0019756E">
        <w:tab/>
      </w:r>
      <w:r w:rsidRPr="0019756E">
        <w:tab/>
      </w:r>
      <w:r w:rsidRPr="000D42B8">
        <w:t>Статья</w:t>
      </w:r>
      <w:r w:rsidRPr="00A77040">
        <w:t xml:space="preserve"> 9, </w:t>
      </w:r>
      <w:r w:rsidRPr="000D42B8">
        <w:t>пункт</w:t>
      </w:r>
      <w:r w:rsidRPr="00A77040">
        <w:t xml:space="preserve"> 2</w:t>
      </w:r>
    </w:p>
    <w:p w:rsidR="0014670C" w:rsidRPr="000D42B8" w:rsidRDefault="0014670C" w:rsidP="0014670C">
      <w:pPr>
        <w:pStyle w:val="SingleTxtGR"/>
      </w:pPr>
      <w:r w:rsidRPr="000D42B8">
        <w:t>6.8</w:t>
      </w:r>
      <w:r w:rsidRPr="000D42B8">
        <w:tab/>
        <w:t xml:space="preserve">Если Комитет </w:t>
      </w:r>
      <w:r>
        <w:t>придет к выводу о том</w:t>
      </w:r>
      <w:r w:rsidRPr="000D42B8">
        <w:t xml:space="preserve">, что </w:t>
      </w:r>
      <w:r>
        <w:t>с точки зрения пункта 2 ст</w:t>
      </w:r>
      <w:r>
        <w:t>а</w:t>
      </w:r>
      <w:r>
        <w:t>тьи </w:t>
      </w:r>
      <w:r w:rsidRPr="000D42B8">
        <w:t>9</w:t>
      </w:r>
      <w:r w:rsidRPr="001018D3">
        <w:t xml:space="preserve"> </w:t>
      </w:r>
      <w:r w:rsidRPr="000D42B8">
        <w:t xml:space="preserve">авторы были "арестованы", </w:t>
      </w:r>
      <w:r>
        <w:t xml:space="preserve">то </w:t>
      </w:r>
      <w:r w:rsidRPr="000D42B8">
        <w:t>государство-участник считает, что это п</w:t>
      </w:r>
      <w:r w:rsidRPr="000D42B8">
        <w:t>о</w:t>
      </w:r>
      <w:r w:rsidRPr="000D42B8">
        <w:t xml:space="preserve">ложение не </w:t>
      </w:r>
      <w:r>
        <w:t xml:space="preserve">было </w:t>
      </w:r>
      <w:r w:rsidRPr="000D42B8">
        <w:t xml:space="preserve">нарушено. Согласно </w:t>
      </w:r>
      <w:r>
        <w:t>обычной</w:t>
      </w:r>
      <w:r w:rsidRPr="000D42B8">
        <w:t xml:space="preserve"> практике, все</w:t>
      </w:r>
      <w:r>
        <w:t>х</w:t>
      </w:r>
      <w:r w:rsidRPr="000D42B8">
        <w:t xml:space="preserve"> прибыв</w:t>
      </w:r>
      <w:r>
        <w:t>ш</w:t>
      </w:r>
      <w:r w:rsidRPr="000D42B8">
        <w:t>и</w:t>
      </w:r>
      <w:r>
        <w:t>х</w:t>
      </w:r>
      <w:r w:rsidRPr="000D42B8">
        <w:t xml:space="preserve"> на остров Рождества автор</w:t>
      </w:r>
      <w:r>
        <w:t>ов проинформировали</w:t>
      </w:r>
      <w:r w:rsidRPr="000D42B8">
        <w:t xml:space="preserve"> о причинах их временного з</w:t>
      </w:r>
      <w:r w:rsidRPr="000D42B8">
        <w:t>а</w:t>
      </w:r>
      <w:r w:rsidRPr="000D42B8">
        <w:t xml:space="preserve">держания, которые </w:t>
      </w:r>
      <w:r>
        <w:t xml:space="preserve">были </w:t>
      </w:r>
      <w:r w:rsidRPr="000D42B8">
        <w:t>изл</w:t>
      </w:r>
      <w:r>
        <w:t>ожены</w:t>
      </w:r>
      <w:r w:rsidRPr="000D42B8">
        <w:t xml:space="preserve"> в уведомлени</w:t>
      </w:r>
      <w:r>
        <w:t>ях</w:t>
      </w:r>
      <w:r w:rsidRPr="000D42B8">
        <w:t xml:space="preserve"> об их временном задерж</w:t>
      </w:r>
      <w:r w:rsidRPr="000D42B8">
        <w:t>а</w:t>
      </w:r>
      <w:r w:rsidRPr="000D42B8">
        <w:t xml:space="preserve">нии на английском языке. Текст этого уведомления зачитывается </w:t>
      </w:r>
      <w:r>
        <w:t>государстве</w:t>
      </w:r>
      <w:r>
        <w:t>н</w:t>
      </w:r>
      <w:r>
        <w:t>ным чиновником</w:t>
      </w:r>
      <w:r w:rsidRPr="000D42B8">
        <w:t xml:space="preserve"> при содействии устных переводчиков с соответствующих яз</w:t>
      </w:r>
      <w:r w:rsidRPr="000D42B8">
        <w:t>ы</w:t>
      </w:r>
      <w:r w:rsidRPr="000D42B8">
        <w:t>ков.</w:t>
      </w:r>
    </w:p>
    <w:p w:rsidR="0014670C" w:rsidRPr="000D42B8" w:rsidRDefault="0014670C" w:rsidP="0014670C">
      <w:pPr>
        <w:pStyle w:val="SingleTxtGR"/>
      </w:pPr>
      <w:bookmarkStart w:id="7" w:name="_Toc340737555"/>
      <w:bookmarkStart w:id="8" w:name="OLE_LINK22"/>
      <w:bookmarkStart w:id="9" w:name="OLE_LINK23"/>
      <w:r w:rsidRPr="00546704">
        <w:t>6.9</w:t>
      </w:r>
      <w:r w:rsidRPr="00546704">
        <w:tab/>
        <w:t>Авторы, прибывшие на судне "Ocean Viking", были поставлены в извес</w:t>
      </w:r>
      <w:r w:rsidRPr="00546704">
        <w:t>т</w:t>
      </w:r>
      <w:r>
        <w:t xml:space="preserve">ность о том, </w:t>
      </w:r>
      <w:r w:rsidRPr="000D42B8">
        <w:t>что они не удовлетворяют требованиям безопасности, предъявля</w:t>
      </w:r>
      <w:r w:rsidRPr="000D42B8">
        <w:t>е</w:t>
      </w:r>
      <w:r w:rsidRPr="000D42B8">
        <w:t xml:space="preserve">мым при </w:t>
      </w:r>
      <w:r>
        <w:t>оформлении</w:t>
      </w:r>
      <w:r w:rsidRPr="000D42B8">
        <w:t xml:space="preserve"> визы на постоянное </w:t>
      </w:r>
      <w:r>
        <w:t>жительство</w:t>
      </w:r>
      <w:r w:rsidRPr="000D42B8">
        <w:t xml:space="preserve"> в Австралии, и поэтому должны быть временно задержаны на период рассмотрения </w:t>
      </w:r>
      <w:r>
        <w:t xml:space="preserve">возможных </w:t>
      </w:r>
      <w:r w:rsidRPr="000D42B8">
        <w:t>реш</w:t>
      </w:r>
      <w:r w:rsidRPr="000D42B8">
        <w:t>е</w:t>
      </w:r>
      <w:r w:rsidRPr="000D42B8">
        <w:t xml:space="preserve">ний об их расселении. Другим авторам сообщили, что их задержали, поскольку </w:t>
      </w:r>
      <w:r>
        <w:t xml:space="preserve">их </w:t>
      </w:r>
      <w:r w:rsidRPr="000D42B8">
        <w:t xml:space="preserve">подозревали в </w:t>
      </w:r>
      <w:r>
        <w:t xml:space="preserve">том, что они </w:t>
      </w:r>
      <w:r w:rsidRPr="000D42B8">
        <w:t>незаконно</w:t>
      </w:r>
      <w:r>
        <w:t xml:space="preserve"> въехали </w:t>
      </w:r>
      <w:r w:rsidRPr="000D42B8">
        <w:t>в страну</w:t>
      </w:r>
      <w:r>
        <w:t xml:space="preserve">, </w:t>
      </w:r>
      <w:r w:rsidRPr="000D42B8">
        <w:t>не будучи ее гра</w:t>
      </w:r>
      <w:r w:rsidRPr="000D42B8">
        <w:t>ж</w:t>
      </w:r>
      <w:r w:rsidRPr="000D42B8">
        <w:t>данами. Когда информаци</w:t>
      </w:r>
      <w:r>
        <w:t>я</w:t>
      </w:r>
      <w:r w:rsidRPr="000D42B8">
        <w:t xml:space="preserve"> АОБР о негативной оценке угрозы безопасности</w:t>
      </w:r>
      <w:r w:rsidRPr="007C4996">
        <w:t xml:space="preserve"> </w:t>
      </w:r>
      <w:r>
        <w:t>п</w:t>
      </w:r>
      <w:r>
        <w:t>о</w:t>
      </w:r>
      <w:r>
        <w:t>ступила в УИГ</w:t>
      </w:r>
      <w:r w:rsidRPr="000D42B8">
        <w:t xml:space="preserve">, </w:t>
      </w:r>
      <w:r>
        <w:t>она</w:t>
      </w:r>
      <w:r w:rsidRPr="000D42B8">
        <w:t xml:space="preserve"> был</w:t>
      </w:r>
      <w:r>
        <w:t>а</w:t>
      </w:r>
      <w:r w:rsidRPr="000D42B8">
        <w:t xml:space="preserve"> доведен</w:t>
      </w:r>
      <w:r>
        <w:t>а</w:t>
      </w:r>
      <w:r w:rsidRPr="000D42B8">
        <w:t xml:space="preserve"> до сведения авторов с пояснениями, что в</w:t>
      </w:r>
      <w:r>
        <w:t>следствие этого</w:t>
      </w:r>
      <w:r w:rsidRPr="000D42B8">
        <w:t xml:space="preserve"> они не имеют права на получение визы</w:t>
      </w:r>
      <w:r w:rsidRPr="007C4996">
        <w:t xml:space="preserve"> </w:t>
      </w:r>
      <w:r>
        <w:t xml:space="preserve">на </w:t>
      </w:r>
      <w:r w:rsidRPr="000D42B8">
        <w:t>постоянно</w:t>
      </w:r>
      <w:r>
        <w:t>е жител</w:t>
      </w:r>
      <w:r>
        <w:t>ь</w:t>
      </w:r>
      <w:r>
        <w:t>ство</w:t>
      </w:r>
      <w:r w:rsidRPr="000D42B8">
        <w:t xml:space="preserve">. </w:t>
      </w:r>
    </w:p>
    <w:bookmarkEnd w:id="7"/>
    <w:bookmarkEnd w:id="8"/>
    <w:bookmarkEnd w:id="9"/>
    <w:p w:rsidR="0014670C" w:rsidRPr="00A77040" w:rsidRDefault="0014670C" w:rsidP="005F4DFD">
      <w:pPr>
        <w:pStyle w:val="H4GR"/>
        <w:spacing w:before="240"/>
      </w:pPr>
      <w:r w:rsidRPr="00A77040">
        <w:tab/>
      </w:r>
      <w:r w:rsidRPr="00A77040">
        <w:tab/>
      </w:r>
      <w:r w:rsidRPr="000D42B8">
        <w:t>Статья</w:t>
      </w:r>
      <w:r w:rsidRPr="00A77040">
        <w:t xml:space="preserve"> 9, </w:t>
      </w:r>
      <w:r w:rsidRPr="000D42B8">
        <w:t>пункт</w:t>
      </w:r>
      <w:r w:rsidRPr="00A77040">
        <w:t xml:space="preserve"> 4</w:t>
      </w:r>
    </w:p>
    <w:p w:rsidR="0014670C" w:rsidRPr="00A77040" w:rsidRDefault="0014670C" w:rsidP="0014670C">
      <w:pPr>
        <w:pStyle w:val="SingleTxtGR"/>
      </w:pPr>
      <w:r w:rsidRPr="000D42B8">
        <w:t>6.10</w:t>
      </w:r>
      <w:r w:rsidRPr="000D42B8">
        <w:tab/>
        <w:t xml:space="preserve">Авторы имеют доступ к </w:t>
      </w:r>
      <w:r>
        <w:t>судебному пересмотру</w:t>
      </w:r>
      <w:r w:rsidRPr="000D42B8">
        <w:t xml:space="preserve"> вопроса о законности их задержания, и суд может принять решение об их освобождении, если их заде</w:t>
      </w:r>
      <w:r w:rsidRPr="000D42B8">
        <w:t>р</w:t>
      </w:r>
      <w:r w:rsidRPr="000D42B8">
        <w:t xml:space="preserve">жание противоречит закону. Хотя раздел 494АА Закона о миграции запрещает определенные судебные разбирательства по делам об офшорно въехавших в страну лицах, в </w:t>
      </w:r>
      <w:r>
        <w:t>нем прямо</w:t>
      </w:r>
      <w:r w:rsidRPr="000D42B8">
        <w:t xml:space="preserve"> указывается, что данное положение не затрагивает конституционную юрисдикцию Высокого</w:t>
      </w:r>
      <w:r w:rsidRPr="00A77040">
        <w:t xml:space="preserve"> </w:t>
      </w:r>
      <w:r w:rsidRPr="000D42B8">
        <w:t>суда</w:t>
      </w:r>
      <w:r w:rsidRPr="00A77040">
        <w:t xml:space="preserve">. </w:t>
      </w:r>
    </w:p>
    <w:p w:rsidR="0014670C" w:rsidRPr="000D42B8" w:rsidRDefault="0014670C" w:rsidP="0014670C">
      <w:pPr>
        <w:pStyle w:val="SingleTxtGR"/>
      </w:pPr>
      <w:bookmarkStart w:id="10" w:name="_Toc340737560"/>
      <w:bookmarkStart w:id="11" w:name="_Toc308528429"/>
      <w:r w:rsidRPr="000D42B8">
        <w:t>6.11</w:t>
      </w:r>
      <w:r w:rsidRPr="000D42B8">
        <w:tab/>
        <w:t>Пересмотр в судебном порядке негативных оценок безопасности предо</w:t>
      </w:r>
      <w:r w:rsidRPr="000D42B8">
        <w:t>с</w:t>
      </w:r>
      <w:r w:rsidRPr="000D42B8">
        <w:t xml:space="preserve">тавляет судам </w:t>
      </w:r>
      <w:r>
        <w:t>значимую</w:t>
      </w:r>
      <w:r w:rsidRPr="000D42B8">
        <w:t xml:space="preserve"> возможность для рассмотрения вопроса о </w:t>
      </w:r>
      <w:r>
        <w:t>целесоо</w:t>
      </w:r>
      <w:r>
        <w:t>б</w:t>
      </w:r>
      <w:r>
        <w:t xml:space="preserve">разности </w:t>
      </w:r>
      <w:r w:rsidRPr="000D42B8">
        <w:t>предоставлении информации АОБР затр</w:t>
      </w:r>
      <w:r>
        <w:t>агиваемым</w:t>
      </w:r>
      <w:r w:rsidRPr="000D42B8">
        <w:t xml:space="preserve"> лицам. </w:t>
      </w:r>
      <w:r>
        <w:t>Любая ст</w:t>
      </w:r>
      <w:r>
        <w:t>о</w:t>
      </w:r>
      <w:r>
        <w:t xml:space="preserve">рона в </w:t>
      </w:r>
      <w:r w:rsidRPr="000D42B8">
        <w:t>судебн</w:t>
      </w:r>
      <w:r>
        <w:t>ом</w:t>
      </w:r>
      <w:r w:rsidRPr="000D42B8">
        <w:t xml:space="preserve"> разбирательств</w:t>
      </w:r>
      <w:r>
        <w:t>е</w:t>
      </w:r>
      <w:r w:rsidRPr="000D42B8">
        <w:t xml:space="preserve"> о пересмотре решения может требовать до</w:t>
      </w:r>
      <w:r w:rsidRPr="000D42B8">
        <w:t>с</w:t>
      </w:r>
      <w:r w:rsidRPr="000D42B8">
        <w:t xml:space="preserve">тупа к любой информации при условии ее уместности и </w:t>
      </w:r>
      <w:r>
        <w:t>удовлетворения треб</w:t>
      </w:r>
      <w:r>
        <w:t>о</w:t>
      </w:r>
      <w:r>
        <w:t>вания об освобождении от ответственности в связи с охраной общественных интересов</w:t>
      </w:r>
      <w:r w:rsidRPr="000D42B8">
        <w:t>.</w:t>
      </w:r>
    </w:p>
    <w:bookmarkEnd w:id="10"/>
    <w:p w:rsidR="0014670C" w:rsidRPr="00A77040" w:rsidRDefault="0014670C" w:rsidP="005C59FF">
      <w:pPr>
        <w:pStyle w:val="H4GR"/>
        <w:spacing w:before="240"/>
      </w:pPr>
      <w:r w:rsidRPr="00A77040">
        <w:tab/>
      </w:r>
      <w:r w:rsidRPr="00A77040">
        <w:tab/>
      </w:r>
      <w:r w:rsidRPr="000D42B8">
        <w:t>Статьи</w:t>
      </w:r>
      <w:r w:rsidRPr="00A77040">
        <w:t xml:space="preserve"> 7 </w:t>
      </w:r>
      <w:r w:rsidRPr="000D42B8">
        <w:t>и</w:t>
      </w:r>
      <w:r w:rsidRPr="00A77040">
        <w:t xml:space="preserve"> 10 (</w:t>
      </w:r>
      <w:r w:rsidRPr="000D42B8">
        <w:t>пункт</w:t>
      </w:r>
      <w:r w:rsidRPr="00A77040">
        <w:t xml:space="preserve"> 1)</w:t>
      </w:r>
    </w:p>
    <w:p w:rsidR="0014670C" w:rsidRPr="000D42B8" w:rsidRDefault="0014670C" w:rsidP="0014670C">
      <w:pPr>
        <w:pStyle w:val="SingleTxtGR"/>
      </w:pPr>
      <w:r w:rsidRPr="000D42B8">
        <w:t>6.12</w:t>
      </w:r>
      <w:r w:rsidRPr="000D42B8">
        <w:tab/>
        <w:t>Система задержания иммигрантов и обращени</w:t>
      </w:r>
      <w:r>
        <w:t>е</w:t>
      </w:r>
      <w:r w:rsidRPr="000D42B8">
        <w:t xml:space="preserve"> с авторами </w:t>
      </w:r>
      <w:r>
        <w:t>при нахожд</w:t>
      </w:r>
      <w:r>
        <w:t>е</w:t>
      </w:r>
      <w:r>
        <w:t>нии под стражей</w:t>
      </w:r>
      <w:r w:rsidRPr="000D42B8">
        <w:t xml:space="preserve"> не предполага</w:t>
      </w:r>
      <w:r>
        <w:t>ю</w:t>
      </w:r>
      <w:r w:rsidRPr="000D42B8">
        <w:t>т причинения серьезных физических или пс</w:t>
      </w:r>
      <w:r w:rsidRPr="000D42B8">
        <w:t>и</w:t>
      </w:r>
      <w:r w:rsidRPr="000D42B8">
        <w:t>хических страданий в той мере, которая представляет собой обращение</w:t>
      </w:r>
      <w:r>
        <w:t>, прот</w:t>
      </w:r>
      <w:r>
        <w:t>и</w:t>
      </w:r>
      <w:r>
        <w:t xml:space="preserve">воречащее </w:t>
      </w:r>
      <w:r w:rsidRPr="000D42B8">
        <w:t>эти</w:t>
      </w:r>
      <w:r>
        <w:t>м</w:t>
      </w:r>
      <w:r w:rsidRPr="000D42B8">
        <w:t xml:space="preserve"> положени</w:t>
      </w:r>
      <w:r>
        <w:t>ям</w:t>
      </w:r>
      <w:r w:rsidRPr="000D42B8">
        <w:t xml:space="preserve">. Кроме того, сама по себе система обязательного задержания в иммиграционных </w:t>
      </w:r>
      <w:r>
        <w:t>приемниках</w:t>
      </w:r>
      <w:r w:rsidRPr="000D42B8">
        <w:t xml:space="preserve"> незаконно въехавших лиц не явл</w:t>
      </w:r>
      <w:r w:rsidRPr="000D42B8">
        <w:t>я</w:t>
      </w:r>
      <w:r w:rsidRPr="000D42B8">
        <w:t xml:space="preserve">ется произвольной, а задержание в индивидуальном качестве каждого автора не считается произвольным, поскольку оно разумно, необходимо, соразмерно, уместно и обосновано во всех обстоятельствах. </w:t>
      </w:r>
      <w:r>
        <w:t>По своему существу</w:t>
      </w:r>
      <w:r w:rsidRPr="000D42B8">
        <w:t xml:space="preserve"> продолж</w:t>
      </w:r>
      <w:r w:rsidRPr="000D42B8">
        <w:t>и</w:t>
      </w:r>
      <w:r w:rsidRPr="000D42B8">
        <w:t xml:space="preserve">тельное задержание не </w:t>
      </w:r>
      <w:r>
        <w:t xml:space="preserve">дает достаточных оснований считать его </w:t>
      </w:r>
      <w:r w:rsidRPr="000D42B8">
        <w:t>нарушени</w:t>
      </w:r>
      <w:r>
        <w:t>ем упомянутых</w:t>
      </w:r>
      <w:r w:rsidRPr="000D42B8">
        <w:t xml:space="preserve"> статей.</w:t>
      </w:r>
    </w:p>
    <w:p w:rsidR="0014670C" w:rsidRPr="000D42B8" w:rsidRDefault="0014670C" w:rsidP="0014670C">
      <w:pPr>
        <w:pStyle w:val="SingleTxtGR"/>
      </w:pPr>
      <w:r w:rsidRPr="000D42B8">
        <w:t>6.13</w:t>
      </w:r>
      <w:r w:rsidRPr="000D42B8">
        <w:tab/>
        <w:t>Государство-участник отвергает утверждени</w:t>
      </w:r>
      <w:r>
        <w:t>я</w:t>
      </w:r>
      <w:r w:rsidRPr="000D42B8">
        <w:t xml:space="preserve"> о том, что условия </w:t>
      </w:r>
      <w:r>
        <w:t>со</w:t>
      </w:r>
      <w:r w:rsidRPr="000D42B8">
        <w:t>де</w:t>
      </w:r>
      <w:r w:rsidRPr="000D42B8">
        <w:t>р</w:t>
      </w:r>
      <w:r w:rsidRPr="000D42B8">
        <w:t>жания</w:t>
      </w:r>
      <w:r>
        <w:t xml:space="preserve"> под стражей</w:t>
      </w:r>
      <w:r w:rsidRPr="000D42B8">
        <w:t xml:space="preserve"> равно</w:t>
      </w:r>
      <w:r>
        <w:t>значны</w:t>
      </w:r>
      <w:r w:rsidRPr="000D42B8">
        <w:t xml:space="preserve"> бесчеловечному или унижающему достоинс</w:t>
      </w:r>
      <w:r w:rsidRPr="000D42B8">
        <w:t>т</w:t>
      </w:r>
      <w:r w:rsidRPr="000D42B8">
        <w:t xml:space="preserve">во обращению. Авторов поместили в жилые комплексы, которые, по оценкам, наиболее отвечают их обстоятельствам. В иммиграционных </w:t>
      </w:r>
      <w:r>
        <w:t>приемниках</w:t>
      </w:r>
      <w:r w:rsidRPr="000D42B8">
        <w:t xml:space="preserve"> соде</w:t>
      </w:r>
      <w:r w:rsidRPr="000D42B8">
        <w:t>р</w:t>
      </w:r>
      <w:r w:rsidRPr="000D42B8">
        <w:t xml:space="preserve">жатся в общей сложности </w:t>
      </w:r>
      <w:r w:rsidR="00793A75">
        <w:t>11</w:t>
      </w:r>
      <w:r w:rsidRPr="000D42B8">
        <w:t xml:space="preserve"> авторов, </w:t>
      </w:r>
      <w:r w:rsidR="00793A75">
        <w:t>20</w:t>
      </w:r>
      <w:r w:rsidRPr="000D42B8">
        <w:t xml:space="preserve"> находятся в </w:t>
      </w:r>
      <w:r>
        <w:t xml:space="preserve">жилых </w:t>
      </w:r>
      <w:r w:rsidRPr="000D42B8">
        <w:t xml:space="preserve">комплексах для </w:t>
      </w:r>
      <w:r>
        <w:t xml:space="preserve">компактного проживания </w:t>
      </w:r>
      <w:r w:rsidRPr="000D42B8">
        <w:t xml:space="preserve">иммигрантов, и </w:t>
      </w:r>
      <w:r>
        <w:t xml:space="preserve">еще </w:t>
      </w:r>
      <w:r w:rsidR="00793A75">
        <w:t>6</w:t>
      </w:r>
      <w:r w:rsidRPr="000D42B8">
        <w:t xml:space="preserve"> – в транзитных иммиграцио</w:t>
      </w:r>
      <w:r w:rsidRPr="000D42B8">
        <w:t>н</w:t>
      </w:r>
      <w:r w:rsidRPr="000D42B8">
        <w:t xml:space="preserve">ных пунктах. Всеми этими объектами управляет </w:t>
      </w:r>
      <w:r>
        <w:t xml:space="preserve">компания </w:t>
      </w:r>
      <w:r w:rsidRPr="000D42B8">
        <w:t>"Серко"</w:t>
      </w:r>
      <w:r>
        <w:t>, т.е.</w:t>
      </w:r>
      <w:r w:rsidRPr="000D42B8">
        <w:t xml:space="preserve"> час</w:t>
      </w:r>
      <w:r w:rsidRPr="000D42B8">
        <w:t>т</w:t>
      </w:r>
      <w:r w:rsidRPr="000D42B8">
        <w:t>ный подрядчик, обязанный обеспечивать справедливое и равное обращение со вс</w:t>
      </w:r>
      <w:r w:rsidRPr="000D42B8">
        <w:t>е</w:t>
      </w:r>
      <w:r w:rsidRPr="000D42B8">
        <w:t>ми задержанными при соблюдени</w:t>
      </w:r>
      <w:r>
        <w:t>и</w:t>
      </w:r>
      <w:r w:rsidRPr="000D42B8">
        <w:t xml:space="preserve"> их достоинства и уважени</w:t>
      </w:r>
      <w:r>
        <w:t>и</w:t>
      </w:r>
      <w:r w:rsidRPr="000D42B8">
        <w:t xml:space="preserve"> к ним. </w:t>
      </w:r>
      <w:r>
        <w:t>Пор</w:t>
      </w:r>
      <w:r>
        <w:t>я</w:t>
      </w:r>
      <w:r>
        <w:t>док д</w:t>
      </w:r>
      <w:r w:rsidRPr="000D42B8">
        <w:t>ействи</w:t>
      </w:r>
      <w:r>
        <w:t>й</w:t>
      </w:r>
      <w:r w:rsidRPr="000D42B8">
        <w:t xml:space="preserve"> и по</w:t>
      </w:r>
      <w:r>
        <w:t>ступки</w:t>
      </w:r>
      <w:r w:rsidRPr="000D42B8">
        <w:t xml:space="preserve"> сотрудников "Серко" определяются кодексом повед</w:t>
      </w:r>
      <w:r w:rsidRPr="000D42B8">
        <w:t>е</w:t>
      </w:r>
      <w:r w:rsidRPr="000D42B8">
        <w:t xml:space="preserve">ния. В своей </w:t>
      </w:r>
      <w:r>
        <w:t>работе</w:t>
      </w:r>
      <w:r w:rsidRPr="000D42B8">
        <w:t xml:space="preserve"> "Серко" руководствуется политикой и процедурами, обеспеч</w:t>
      </w:r>
      <w:r w:rsidRPr="000D42B8">
        <w:t>и</w:t>
      </w:r>
      <w:r w:rsidRPr="000D42B8">
        <w:t>вающими благополучие задержанных.</w:t>
      </w:r>
    </w:p>
    <w:p w:rsidR="0014670C" w:rsidRPr="000D42B8" w:rsidRDefault="0014670C" w:rsidP="0014670C">
      <w:pPr>
        <w:pStyle w:val="SingleTxtGR"/>
      </w:pPr>
      <w:r w:rsidRPr="000D42B8">
        <w:t>6.14</w:t>
      </w:r>
      <w:r w:rsidRPr="000D42B8">
        <w:tab/>
        <w:t xml:space="preserve">Пересмотр решений о задержании </w:t>
      </w:r>
      <w:r>
        <w:t>осуществляется на</w:t>
      </w:r>
      <w:r w:rsidRPr="000D42B8">
        <w:t xml:space="preserve"> регулярно</w:t>
      </w:r>
      <w:r>
        <w:t>й основе</w:t>
      </w:r>
      <w:r w:rsidRPr="000D42B8">
        <w:t xml:space="preserve"> и проводился по делу каждо</w:t>
      </w:r>
      <w:r>
        <w:t xml:space="preserve">го из </w:t>
      </w:r>
      <w:r w:rsidRPr="000D42B8">
        <w:t xml:space="preserve">авторов. </w:t>
      </w:r>
      <w:r>
        <w:t xml:space="preserve">Порядок содержания под стражей </w:t>
      </w:r>
      <w:r w:rsidRPr="000D42B8">
        <w:t xml:space="preserve">иммигрантов регулярно </w:t>
      </w:r>
      <w:r>
        <w:t>проверяют</w:t>
      </w:r>
      <w:r w:rsidRPr="000D42B8">
        <w:t xml:space="preserve"> также внешни</w:t>
      </w:r>
      <w:r>
        <w:t>е</w:t>
      </w:r>
      <w:r w:rsidRPr="000D42B8">
        <w:t xml:space="preserve"> и независимы</w:t>
      </w:r>
      <w:r>
        <w:t>е</w:t>
      </w:r>
      <w:r w:rsidRPr="000D42B8">
        <w:t xml:space="preserve"> учреждени</w:t>
      </w:r>
      <w:r>
        <w:t>я</w:t>
      </w:r>
      <w:r w:rsidRPr="000D42B8">
        <w:t>, в частности австралийск</w:t>
      </w:r>
      <w:r>
        <w:t>ая</w:t>
      </w:r>
      <w:r w:rsidRPr="000D42B8">
        <w:t xml:space="preserve"> Комисси</w:t>
      </w:r>
      <w:r>
        <w:t>я</w:t>
      </w:r>
      <w:r w:rsidRPr="000D42B8">
        <w:t xml:space="preserve"> по правам человека, УВКПБ и </w:t>
      </w:r>
      <w:r>
        <w:t xml:space="preserve">созданный </w:t>
      </w:r>
      <w:r w:rsidRPr="000D42B8">
        <w:t xml:space="preserve">при </w:t>
      </w:r>
      <w:r>
        <w:t>М</w:t>
      </w:r>
      <w:r w:rsidRPr="000D42B8">
        <w:t>инистре</w:t>
      </w:r>
      <w:r>
        <w:t xml:space="preserve"> С</w:t>
      </w:r>
      <w:r w:rsidRPr="000D42B8">
        <w:t xml:space="preserve">овет по делам просителей убежища и временному задержанию. </w:t>
      </w:r>
    </w:p>
    <w:p w:rsidR="0014670C" w:rsidRPr="000D42B8" w:rsidRDefault="0014670C" w:rsidP="0014670C">
      <w:pPr>
        <w:pStyle w:val="SingleTxtGR"/>
      </w:pPr>
      <w:r w:rsidRPr="000D42B8">
        <w:t>6.15</w:t>
      </w:r>
      <w:r w:rsidRPr="000D42B8">
        <w:tab/>
        <w:t xml:space="preserve">Находящиеся в иммиграционных </w:t>
      </w:r>
      <w:r>
        <w:t>приемниках</w:t>
      </w:r>
      <w:r w:rsidRPr="000D42B8">
        <w:t xml:space="preserve"> лица, в частности незако</w:t>
      </w:r>
      <w:r w:rsidRPr="000D42B8">
        <w:t>н</w:t>
      </w:r>
      <w:r w:rsidRPr="000D42B8">
        <w:t xml:space="preserve">но прибывшие по морю, которые </w:t>
      </w:r>
      <w:r>
        <w:t xml:space="preserve">пострадали от </w:t>
      </w:r>
      <w:r w:rsidRPr="000D42B8">
        <w:t>пыт</w:t>
      </w:r>
      <w:r>
        <w:t>о</w:t>
      </w:r>
      <w:r w:rsidRPr="000D42B8">
        <w:t>к или увеч</w:t>
      </w:r>
      <w:r>
        <w:t>ий</w:t>
      </w:r>
      <w:r w:rsidRPr="000D42B8">
        <w:t xml:space="preserve"> либо </w:t>
      </w:r>
      <w:r>
        <w:t>у кот</w:t>
      </w:r>
      <w:r>
        <w:t>о</w:t>
      </w:r>
      <w:r>
        <w:t xml:space="preserve">рых </w:t>
      </w:r>
      <w:r w:rsidRPr="000D42B8">
        <w:t xml:space="preserve">до прибытия </w:t>
      </w:r>
      <w:r>
        <w:t>наблюдались</w:t>
      </w:r>
      <w:r w:rsidRPr="000D42B8">
        <w:t xml:space="preserve"> психически</w:t>
      </w:r>
      <w:r>
        <w:t>е</w:t>
      </w:r>
      <w:r w:rsidRPr="000D42B8">
        <w:t xml:space="preserve"> расстройства, могут </w:t>
      </w:r>
      <w:r>
        <w:t xml:space="preserve">испытывать </w:t>
      </w:r>
      <w:r w:rsidRPr="000D42B8">
        <w:t>обострени</w:t>
      </w:r>
      <w:r>
        <w:t>я</w:t>
      </w:r>
      <w:r w:rsidRPr="000D42B8">
        <w:t xml:space="preserve"> психических заболеваний, склонност</w:t>
      </w:r>
      <w:r>
        <w:t>ь</w:t>
      </w:r>
      <w:r w:rsidRPr="000D42B8">
        <w:t xml:space="preserve"> к причинению себе вреда и </w:t>
      </w:r>
      <w:r>
        <w:t xml:space="preserve">к </w:t>
      </w:r>
      <w:r w:rsidRPr="000D42B8">
        <w:t>самоубийствам. Дополнительным стрессом для этих лиц становятся такие с</w:t>
      </w:r>
      <w:r w:rsidRPr="000D42B8">
        <w:t>о</w:t>
      </w:r>
      <w:r w:rsidRPr="000D42B8">
        <w:t xml:space="preserve">бытия, как отказ в удовлетворении </w:t>
      </w:r>
      <w:r>
        <w:t>прошения</w:t>
      </w:r>
      <w:r w:rsidRPr="000D42B8">
        <w:t xml:space="preserve"> о визе, неопределенность имм</w:t>
      </w:r>
      <w:r w:rsidRPr="000D42B8">
        <w:t>и</w:t>
      </w:r>
      <w:r w:rsidRPr="000D42B8">
        <w:t>грационного статуса и продолжительность нахождения под стражей. По этой причине им оказываются услуги по охране здоровья и психологической по</w:t>
      </w:r>
      <w:r w:rsidRPr="000D42B8">
        <w:t>д</w:t>
      </w:r>
      <w:r w:rsidRPr="000D42B8">
        <w:t>держк</w:t>
      </w:r>
      <w:r>
        <w:t>е</w:t>
      </w:r>
      <w:r w:rsidRPr="000D42B8">
        <w:t xml:space="preserve"> </w:t>
      </w:r>
      <w:r>
        <w:t>с учетом их</w:t>
      </w:r>
      <w:r w:rsidRPr="000D42B8">
        <w:t xml:space="preserve"> индивидуальны</w:t>
      </w:r>
      <w:r>
        <w:t>х особенностей</w:t>
      </w:r>
      <w:r w:rsidRPr="000D42B8">
        <w:t>, и квалифицированный ме</w:t>
      </w:r>
      <w:r w:rsidRPr="000D42B8">
        <w:t>д</w:t>
      </w:r>
      <w:r w:rsidRPr="000D42B8">
        <w:t xml:space="preserve">персонал регулярно проводит </w:t>
      </w:r>
      <w:r>
        <w:t xml:space="preserve">их </w:t>
      </w:r>
      <w:r w:rsidRPr="000D42B8">
        <w:t>медицинск</w:t>
      </w:r>
      <w:r>
        <w:t>ое освидетельствование</w:t>
      </w:r>
      <w:r w:rsidRPr="000D42B8">
        <w:t xml:space="preserve">. </w:t>
      </w:r>
    </w:p>
    <w:p w:rsidR="0014670C" w:rsidRPr="000D42B8" w:rsidRDefault="0014670C" w:rsidP="0014670C">
      <w:pPr>
        <w:pStyle w:val="SingleTxtGR"/>
      </w:pPr>
      <w:r w:rsidRPr="000D42B8">
        <w:t>6.16</w:t>
      </w:r>
      <w:r w:rsidRPr="000D42B8">
        <w:tab/>
        <w:t xml:space="preserve">Во всех иммиграционных </w:t>
      </w:r>
      <w:r>
        <w:t>приемниках</w:t>
      </w:r>
      <w:r w:rsidRPr="000D42B8">
        <w:t xml:space="preserve">, в том числе в </w:t>
      </w:r>
      <w:r>
        <w:t>том, где</w:t>
      </w:r>
      <w:r w:rsidRPr="000D42B8">
        <w:t xml:space="preserve"> проживают авторы, имеются пункты первичного медицинского обслуживания, которые по своему уровню в целом сопоставимы </w:t>
      </w:r>
      <w:r>
        <w:t xml:space="preserve">с </w:t>
      </w:r>
      <w:r w:rsidRPr="000D42B8">
        <w:t>услугам</w:t>
      </w:r>
      <w:r>
        <w:t>и</w:t>
      </w:r>
      <w:r w:rsidRPr="000D42B8">
        <w:t xml:space="preserve"> по охране здоровья, которые оказываются австралийцам и которые предоставляются с учетом разнообразных и потенциально комплексных потребностей </w:t>
      </w:r>
      <w:r>
        <w:t>по</w:t>
      </w:r>
      <w:r w:rsidRPr="000D42B8">
        <w:t xml:space="preserve"> охране </w:t>
      </w:r>
      <w:r>
        <w:t xml:space="preserve">здоровья </w:t>
      </w:r>
      <w:r w:rsidRPr="000D42B8">
        <w:t>лиц, содерж</w:t>
      </w:r>
      <w:r w:rsidRPr="000D42B8">
        <w:t>а</w:t>
      </w:r>
      <w:r w:rsidRPr="000D42B8">
        <w:t xml:space="preserve">щихся </w:t>
      </w:r>
      <w:r>
        <w:t>в подобных учреждениях</w:t>
      </w:r>
      <w:r w:rsidRPr="000D42B8">
        <w:t>. Если</w:t>
      </w:r>
      <w:r>
        <w:t>,</w:t>
      </w:r>
      <w:r w:rsidRPr="000D42B8">
        <w:t xml:space="preserve"> при </w:t>
      </w:r>
      <w:r>
        <w:t xml:space="preserve">возникновении </w:t>
      </w:r>
      <w:r w:rsidRPr="000D42B8">
        <w:t>необходимости</w:t>
      </w:r>
      <w:r>
        <w:t>,</w:t>
      </w:r>
      <w:r w:rsidRPr="000D42B8">
        <w:t xml:space="preserve"> сп</w:t>
      </w:r>
      <w:r w:rsidRPr="000D42B8">
        <w:t>е</w:t>
      </w:r>
      <w:r w:rsidRPr="000D42B8">
        <w:t>циализированн</w:t>
      </w:r>
      <w:r>
        <w:t>ая</w:t>
      </w:r>
      <w:r w:rsidRPr="000D42B8">
        <w:t xml:space="preserve"> медицинск</w:t>
      </w:r>
      <w:r>
        <w:t xml:space="preserve">ая помощь </w:t>
      </w:r>
      <w:r w:rsidRPr="000D42B8">
        <w:t xml:space="preserve">не может быть </w:t>
      </w:r>
      <w:r>
        <w:t>оказана</w:t>
      </w:r>
      <w:r w:rsidRPr="000D42B8">
        <w:t xml:space="preserve"> на месте,</w:t>
      </w:r>
      <w:r>
        <w:t xml:space="preserve"> то</w:t>
      </w:r>
      <w:r w:rsidRPr="000D42B8">
        <w:t xml:space="preserve"> з</w:t>
      </w:r>
      <w:r w:rsidRPr="000D42B8">
        <w:t>а</w:t>
      </w:r>
      <w:r w:rsidRPr="000D42B8">
        <w:t>держанных направляют к внешним специалистам.</w:t>
      </w:r>
    </w:p>
    <w:p w:rsidR="0014670C" w:rsidRPr="000D42B8" w:rsidRDefault="0014670C" w:rsidP="0014670C">
      <w:pPr>
        <w:pStyle w:val="SingleTxtGR"/>
      </w:pPr>
      <w:r w:rsidRPr="000D42B8">
        <w:t>6.17</w:t>
      </w:r>
      <w:r w:rsidRPr="000D42B8">
        <w:tab/>
        <w:t>В отличие от утвержд</w:t>
      </w:r>
      <w:r>
        <w:t>ений</w:t>
      </w:r>
      <w:r w:rsidRPr="000D42B8">
        <w:t xml:space="preserve"> автор</w:t>
      </w:r>
      <w:r>
        <w:t>ов</w:t>
      </w:r>
      <w:r w:rsidRPr="000D42B8">
        <w:t xml:space="preserve"> физические условия содержания я</w:t>
      </w:r>
      <w:r w:rsidRPr="000D42B8">
        <w:t>в</w:t>
      </w:r>
      <w:r w:rsidRPr="000D42B8">
        <w:t xml:space="preserve">ляются </w:t>
      </w:r>
      <w:r>
        <w:t xml:space="preserve">удовлетворительными </w:t>
      </w:r>
      <w:r w:rsidRPr="000D42B8">
        <w:t>и постоянно улучшаются, и задержанным пр</w:t>
      </w:r>
      <w:r w:rsidRPr="000D42B8">
        <w:t>е</w:t>
      </w:r>
      <w:r w:rsidRPr="000D42B8">
        <w:t>доставляются достаточные возможности для участия в рекреационной деятел</w:t>
      </w:r>
      <w:r w:rsidRPr="000D42B8">
        <w:t>ь</w:t>
      </w:r>
      <w:r w:rsidRPr="000D42B8">
        <w:t xml:space="preserve">ности. </w:t>
      </w:r>
      <w:r>
        <w:t>Не исключено</w:t>
      </w:r>
      <w:r w:rsidRPr="000D42B8">
        <w:t xml:space="preserve"> возникновение проявлений недовольства или насилия, и </w:t>
      </w:r>
      <w:r>
        <w:t xml:space="preserve">действия персонала </w:t>
      </w:r>
      <w:r w:rsidRPr="000D42B8">
        <w:t xml:space="preserve">"Серко" </w:t>
      </w:r>
      <w:r>
        <w:t>в таких обстоятельствах регламентируются по</w:t>
      </w:r>
      <w:r>
        <w:t>д</w:t>
      </w:r>
      <w:r>
        <w:t>робно</w:t>
      </w:r>
      <w:r w:rsidRPr="000D42B8">
        <w:t xml:space="preserve"> </w:t>
      </w:r>
      <w:r>
        <w:t xml:space="preserve">разработанными </w:t>
      </w:r>
      <w:r w:rsidRPr="000D42B8">
        <w:t>инструкци</w:t>
      </w:r>
      <w:r>
        <w:t>ями</w:t>
      </w:r>
      <w:r w:rsidRPr="000D42B8">
        <w:t>. Авторы не указали на какие-либо проя</w:t>
      </w:r>
      <w:r w:rsidRPr="000D42B8">
        <w:t>в</w:t>
      </w:r>
      <w:r w:rsidRPr="000D42B8">
        <w:t>ления недовольства или насилия, свидетелями которых они лично стали. "Се</w:t>
      </w:r>
      <w:r w:rsidRPr="000D42B8">
        <w:t>р</w:t>
      </w:r>
      <w:r w:rsidRPr="000D42B8">
        <w:t xml:space="preserve">ко" </w:t>
      </w:r>
      <w:r>
        <w:t>использует</w:t>
      </w:r>
      <w:r w:rsidRPr="000D42B8">
        <w:t xml:space="preserve"> смирительные средства только в качестве крайней меры</w:t>
      </w:r>
      <w:r>
        <w:t xml:space="preserve"> и</w:t>
      </w:r>
      <w:r w:rsidRPr="000D42B8">
        <w:t xml:space="preserve"> при условии строго</w:t>
      </w:r>
      <w:r>
        <w:t>го</w:t>
      </w:r>
      <w:r w:rsidRPr="000D42B8">
        <w:t xml:space="preserve"> ограничения допустимого уровня применения силы.</w:t>
      </w:r>
    </w:p>
    <w:p w:rsidR="0014670C" w:rsidRPr="000D42B8" w:rsidRDefault="0014670C" w:rsidP="0014670C">
      <w:pPr>
        <w:pStyle w:val="SingleTxtGR"/>
      </w:pPr>
      <w:bookmarkStart w:id="12" w:name="_Toc340737566"/>
      <w:bookmarkEnd w:id="11"/>
      <w:r w:rsidRPr="000D42B8">
        <w:t>6.18</w:t>
      </w:r>
      <w:r w:rsidRPr="000D42B8">
        <w:tab/>
      </w:r>
      <w:r>
        <w:t>П</w:t>
      </w:r>
      <w:r w:rsidRPr="000D42B8">
        <w:t xml:space="preserve">ри отсутствии конкретных </w:t>
      </w:r>
      <w:r>
        <w:t xml:space="preserve">заявлений со стороны каждого автора </w:t>
      </w:r>
      <w:r w:rsidRPr="000D42B8">
        <w:t>Ком</w:t>
      </w:r>
      <w:r w:rsidRPr="000D42B8">
        <w:t>и</w:t>
      </w:r>
      <w:r w:rsidRPr="000D42B8">
        <w:t xml:space="preserve">тет не может считать, что авторы лично подвергались какому-либо обращению, </w:t>
      </w:r>
      <w:r>
        <w:t xml:space="preserve">которое бы </w:t>
      </w:r>
      <w:r w:rsidRPr="000D42B8">
        <w:t>наруша</w:t>
      </w:r>
      <w:r>
        <w:t>ло</w:t>
      </w:r>
      <w:r w:rsidRPr="000D42B8">
        <w:t xml:space="preserve"> статьи 7 и 10 (пункт 1)</w:t>
      </w:r>
      <w:r>
        <w:t>.</w:t>
      </w:r>
      <w:r w:rsidRPr="000D42B8">
        <w:t xml:space="preserve"> </w:t>
      </w:r>
    </w:p>
    <w:bookmarkEnd w:id="12"/>
    <w:p w:rsidR="0014670C" w:rsidRDefault="0014670C" w:rsidP="00793A75">
      <w:pPr>
        <w:pStyle w:val="H4GR"/>
        <w:spacing w:before="240"/>
      </w:pPr>
      <w:r w:rsidRPr="000D42B8">
        <w:tab/>
      </w:r>
      <w:r w:rsidRPr="000D42B8">
        <w:tab/>
        <w:t xml:space="preserve">Статьи 17 (пункт 1), 23 (пункт 1) и 24 (пункт 1) </w:t>
      </w:r>
    </w:p>
    <w:p w:rsidR="0014670C" w:rsidRPr="000D42B8" w:rsidRDefault="0014670C" w:rsidP="0014670C">
      <w:pPr>
        <w:pStyle w:val="SingleTxtGR"/>
      </w:pPr>
      <w:r w:rsidRPr="000D42B8">
        <w:t>6.19</w:t>
      </w:r>
      <w:r w:rsidRPr="000D42B8">
        <w:tab/>
        <w:t xml:space="preserve">В жизнь семьи Р. не было </w:t>
      </w:r>
      <w:r>
        <w:t xml:space="preserve">допущено </w:t>
      </w:r>
      <w:r w:rsidRPr="000D42B8">
        <w:t>вмешательств</w:t>
      </w:r>
      <w:r>
        <w:t>о</w:t>
      </w:r>
      <w:r w:rsidRPr="000D42B8">
        <w:t>, поскольку эта семья не разлуч</w:t>
      </w:r>
      <w:r>
        <w:t>алась</w:t>
      </w:r>
      <w:r w:rsidRPr="000D42B8">
        <w:t xml:space="preserve">, а статья 17 не распространяется на вмешательство в "семейную жизнь". </w:t>
      </w:r>
      <w:r>
        <w:t>На случай</w:t>
      </w:r>
      <w:r w:rsidRPr="000D42B8">
        <w:t xml:space="preserve"> несогласи</w:t>
      </w:r>
      <w:r>
        <w:t>я</w:t>
      </w:r>
      <w:r w:rsidRPr="000D42B8">
        <w:t xml:space="preserve"> Комитета</w:t>
      </w:r>
      <w:r>
        <w:t xml:space="preserve"> с этим мнением</w:t>
      </w:r>
      <w:r w:rsidRPr="000D42B8">
        <w:t xml:space="preserve"> государство-участник заявляет, что вмешательство</w:t>
      </w:r>
      <w:r w:rsidRPr="00596CFE">
        <w:t xml:space="preserve"> </w:t>
      </w:r>
      <w:r w:rsidRPr="000D42B8">
        <w:t>не имело мест</w:t>
      </w:r>
      <w:r>
        <w:t>о</w:t>
      </w:r>
      <w:r w:rsidRPr="000D42B8">
        <w:t>, поскольку семье был предоста</w:t>
      </w:r>
      <w:r w:rsidRPr="000D42B8">
        <w:t>в</w:t>
      </w:r>
      <w:r w:rsidRPr="000D42B8">
        <w:t xml:space="preserve">лен доступ к помощи, </w:t>
      </w:r>
      <w:r>
        <w:t xml:space="preserve">возможностям </w:t>
      </w:r>
      <w:r w:rsidRPr="000D42B8">
        <w:t>и мероприятиям, которые были достато</w:t>
      </w:r>
      <w:r w:rsidRPr="000D42B8">
        <w:t>ч</w:t>
      </w:r>
      <w:r w:rsidRPr="000D42B8">
        <w:t>ны для обеспечения предельно минимальн</w:t>
      </w:r>
      <w:r>
        <w:t>ого нарушения семейной жизни. С </w:t>
      </w:r>
      <w:r w:rsidRPr="000D42B8">
        <w:t xml:space="preserve">10 августа 2010 года семья проживает в жилом комплексе для иммигрантов в Виллавуде, </w:t>
      </w:r>
      <w:r>
        <w:t xml:space="preserve">в котором предоставляется индивидуальное жилье </w:t>
      </w:r>
      <w:r w:rsidRPr="000D42B8">
        <w:t>семейного</w:t>
      </w:r>
      <w:r>
        <w:t xml:space="preserve"> типа</w:t>
      </w:r>
      <w:r w:rsidRPr="000D42B8">
        <w:t xml:space="preserve"> в условиях общины. Этот комплекс состоит из четырех дуплексных жилых зд</w:t>
      </w:r>
      <w:r w:rsidRPr="000D42B8">
        <w:t>а</w:t>
      </w:r>
      <w:r w:rsidRPr="000D42B8">
        <w:t>ний, в каждом из которых име</w:t>
      </w:r>
      <w:r>
        <w:t>ю</w:t>
      </w:r>
      <w:r w:rsidRPr="000D42B8">
        <w:t>тся три спальни, две ванные</w:t>
      </w:r>
      <w:r>
        <w:t xml:space="preserve"> комнаты</w:t>
      </w:r>
      <w:r w:rsidRPr="000D42B8">
        <w:t>, кухня, жилая комната и столовая, а также место для гаража. Территория общего пол</w:t>
      </w:r>
      <w:r w:rsidRPr="000D42B8">
        <w:t>ь</w:t>
      </w:r>
      <w:r w:rsidRPr="000D42B8">
        <w:t xml:space="preserve">зования включает газон, небольшой сад, детскую площадку, половину </w:t>
      </w:r>
      <w:r>
        <w:t xml:space="preserve">игровой </w:t>
      </w:r>
      <w:r w:rsidRPr="000D42B8">
        <w:t>баскетбольно</w:t>
      </w:r>
      <w:r>
        <w:t>й</w:t>
      </w:r>
      <w:r w:rsidRPr="000D42B8">
        <w:t xml:space="preserve"> площадки и укрытую навесом </w:t>
      </w:r>
      <w:r>
        <w:t xml:space="preserve">территорию </w:t>
      </w:r>
      <w:r w:rsidRPr="000D42B8">
        <w:t>для отдыха. Когда семья прибыла в этот комплекс, в отношении нее были введены определенные ограничения из-за угрозы безопасности, которую, по оценке, представляли И.Р</w:t>
      </w:r>
      <w:r>
        <w:t>.</w:t>
      </w:r>
      <w:r w:rsidRPr="000D42B8">
        <w:t xml:space="preserve"> и С.Р. Впоследствии эти ограничения были сняты, и семья имеет возможность свободно общаться с другими жителями комплекса, принимать </w:t>
      </w:r>
      <w:r>
        <w:t>гостей</w:t>
      </w:r>
      <w:r w:rsidRPr="000D42B8">
        <w:t xml:space="preserve"> и учас</w:t>
      </w:r>
      <w:r w:rsidRPr="000D42B8">
        <w:t>т</w:t>
      </w:r>
      <w:r w:rsidRPr="000D42B8">
        <w:t xml:space="preserve">вовать в мероприятиях за его пределами. </w:t>
      </w:r>
    </w:p>
    <w:p w:rsidR="0014670C" w:rsidRPr="000D42B8" w:rsidRDefault="0014670C" w:rsidP="0014670C">
      <w:pPr>
        <w:pStyle w:val="SingleTxtGR"/>
      </w:pPr>
      <w:r w:rsidRPr="000D42B8">
        <w:t>6.20</w:t>
      </w:r>
      <w:r w:rsidRPr="000D42B8">
        <w:tab/>
        <w:t xml:space="preserve">Если же Комитет </w:t>
      </w:r>
      <w:r>
        <w:t>решит</w:t>
      </w:r>
      <w:r w:rsidRPr="000D42B8">
        <w:t>, что временное задержание равнозначно вмеш</w:t>
      </w:r>
      <w:r w:rsidRPr="000D42B8">
        <w:t>а</w:t>
      </w:r>
      <w:r w:rsidRPr="000D42B8">
        <w:t>тельству в семейную жизнь,</w:t>
      </w:r>
      <w:r>
        <w:t xml:space="preserve"> то </w:t>
      </w:r>
      <w:r w:rsidRPr="000D42B8">
        <w:t>государство-участник заявляет, что такое вм</w:t>
      </w:r>
      <w:r w:rsidRPr="000D42B8">
        <w:t>е</w:t>
      </w:r>
      <w:r w:rsidRPr="000D42B8">
        <w:t>шательство не являет</w:t>
      </w:r>
      <w:r>
        <w:t>ся незаконным или произвольным.</w:t>
      </w:r>
      <w:r w:rsidRPr="000D42B8">
        <w:t xml:space="preserve"> </w:t>
      </w:r>
      <w:r>
        <w:t>П</w:t>
      </w:r>
      <w:r w:rsidRPr="000D42B8">
        <w:t>отребность в охране интересов национальной безопасности</w:t>
      </w:r>
      <w:r w:rsidRPr="0067100B">
        <w:t xml:space="preserve"> </w:t>
      </w:r>
      <w:r w:rsidRPr="000D42B8">
        <w:t>перевешивает</w:t>
      </w:r>
      <w:r>
        <w:t xml:space="preserve"> те</w:t>
      </w:r>
      <w:r w:rsidRPr="000D42B8">
        <w:t xml:space="preserve"> трудност</w:t>
      </w:r>
      <w:r>
        <w:t>и</w:t>
      </w:r>
      <w:r w:rsidRPr="000D42B8">
        <w:t>, которые и</w:t>
      </w:r>
      <w:r w:rsidRPr="000D42B8">
        <w:t>с</w:t>
      </w:r>
      <w:r w:rsidRPr="000D42B8">
        <w:t>пытывает семья</w:t>
      </w:r>
      <w:r>
        <w:t>.</w:t>
      </w:r>
    </w:p>
    <w:p w:rsidR="0014670C" w:rsidRPr="000D42B8" w:rsidRDefault="0014670C" w:rsidP="0014670C">
      <w:pPr>
        <w:pStyle w:val="SingleTxtGR"/>
      </w:pPr>
      <w:r w:rsidRPr="000D42B8">
        <w:t>6.21</w:t>
      </w:r>
      <w:r w:rsidRPr="000D42B8">
        <w:tab/>
        <w:t>Государство-участник не вмешивается и в жизнь семьи С.С. Его жена и ребенок проживают довольно близко и могут ежедневно его посещать, а он м</w:t>
      </w:r>
      <w:r w:rsidRPr="000D42B8">
        <w:t>о</w:t>
      </w:r>
      <w:r w:rsidRPr="000D42B8">
        <w:t xml:space="preserve">жет </w:t>
      </w:r>
      <w:r>
        <w:t>находиться</w:t>
      </w:r>
      <w:r w:rsidRPr="000D42B8">
        <w:t xml:space="preserve"> в их доме в течение четырех часов каждую субботу. Кроме того, именно сама семья приняла решение жить раздельно. Если Комитет сочтет, что разлучение автора с</w:t>
      </w:r>
      <w:r>
        <w:t xml:space="preserve"> </w:t>
      </w:r>
      <w:r w:rsidRPr="000D42B8">
        <w:t>семьей равнозначно вмешательству в жизнь семьи, то такое вмешательство не является незаконным или произвольным, поскольку оно с</w:t>
      </w:r>
      <w:r w:rsidRPr="000D42B8">
        <w:t>о</w:t>
      </w:r>
      <w:r w:rsidRPr="000D42B8">
        <w:t xml:space="preserve">размерно законной цели Австралии по охране интересов своей национальной безопасности. </w:t>
      </w:r>
    </w:p>
    <w:p w:rsidR="0014670C" w:rsidRPr="000D42B8" w:rsidRDefault="0014670C" w:rsidP="0014670C">
      <w:pPr>
        <w:pStyle w:val="SingleTxtGR"/>
      </w:pPr>
      <w:bookmarkStart w:id="13" w:name="_Ref324161615"/>
      <w:r w:rsidRPr="000D42B8">
        <w:t>6.22</w:t>
      </w:r>
      <w:r w:rsidRPr="000D42B8">
        <w:tab/>
        <w:t xml:space="preserve">По этим же причинам </w:t>
      </w:r>
      <w:r>
        <w:t xml:space="preserve">безосновательными являются </w:t>
      </w:r>
      <w:r w:rsidR="000D2B40">
        <w:t>и жалобы по пун</w:t>
      </w:r>
      <w:r w:rsidR="000D2B40">
        <w:t>к</w:t>
      </w:r>
      <w:r w:rsidR="000D2B40">
        <w:t>ту </w:t>
      </w:r>
      <w:r w:rsidRPr="000D42B8">
        <w:t xml:space="preserve">1 статьи 23. </w:t>
      </w:r>
      <w:r>
        <w:t>Выполнение т</w:t>
      </w:r>
      <w:r w:rsidRPr="000D42B8">
        <w:t>ребовани</w:t>
      </w:r>
      <w:r>
        <w:t>я о</w:t>
      </w:r>
      <w:r w:rsidRPr="000D42B8">
        <w:t xml:space="preserve"> защит</w:t>
      </w:r>
      <w:r>
        <w:t>е</w:t>
      </w:r>
      <w:r w:rsidRPr="000D42B8">
        <w:t xml:space="preserve"> обусловлено разумными м</w:t>
      </w:r>
      <w:r w:rsidRPr="000D42B8">
        <w:t>е</w:t>
      </w:r>
      <w:r w:rsidRPr="000D42B8">
        <w:t xml:space="preserve">рами по контролю </w:t>
      </w:r>
      <w:r>
        <w:t xml:space="preserve">за </w:t>
      </w:r>
      <w:r w:rsidRPr="000D42B8">
        <w:t>иммиграци</w:t>
      </w:r>
      <w:r>
        <w:t>ей</w:t>
      </w:r>
      <w:r w:rsidRPr="000D42B8">
        <w:t xml:space="preserve"> в соответствии с </w:t>
      </w:r>
      <w:r>
        <w:t>правом</w:t>
      </w:r>
      <w:r w:rsidRPr="000D42B8">
        <w:t xml:space="preserve"> государства-участника контролировать въезд, проживание и выдворение иностранцев и з</w:t>
      </w:r>
      <w:r w:rsidRPr="000D42B8">
        <w:t>а</w:t>
      </w:r>
      <w:r w:rsidRPr="000D42B8">
        <w:t xml:space="preserve">щищать свою национальную безопасность. Действуют программы и политика в области поддержки семей, помещенных в иммиграционные </w:t>
      </w:r>
      <w:r>
        <w:t>приемники</w:t>
      </w:r>
      <w:r w:rsidRPr="000D42B8">
        <w:t xml:space="preserve">, в том числе с </w:t>
      </w:r>
      <w:r>
        <w:t>привлечением</w:t>
      </w:r>
      <w:r w:rsidRPr="000D42B8">
        <w:t xml:space="preserve"> квалифицированн</w:t>
      </w:r>
      <w:r>
        <w:t>ого персонала</w:t>
      </w:r>
      <w:r w:rsidRPr="000D42B8">
        <w:t xml:space="preserve"> по поддержке семей, м</w:t>
      </w:r>
      <w:r w:rsidRPr="000D42B8">
        <w:t>е</w:t>
      </w:r>
      <w:r w:rsidRPr="000D42B8">
        <w:t>дицинских специалистов, советников и сотрудников служб социального обесп</w:t>
      </w:r>
      <w:r w:rsidRPr="000D42B8">
        <w:t>е</w:t>
      </w:r>
      <w:r w:rsidRPr="000D42B8">
        <w:t xml:space="preserve">чения. </w:t>
      </w:r>
    </w:p>
    <w:bookmarkEnd w:id="13"/>
    <w:p w:rsidR="0014670C" w:rsidRPr="000D42B8" w:rsidRDefault="0014670C" w:rsidP="0014670C">
      <w:pPr>
        <w:pStyle w:val="SingleTxtGR"/>
      </w:pPr>
      <w:r w:rsidRPr="000D42B8">
        <w:t>6.23</w:t>
      </w:r>
      <w:r w:rsidRPr="000D42B8">
        <w:tab/>
        <w:t>Жалобы по пункту 1 статьи 24 также являются безосновательными. С</w:t>
      </w:r>
      <w:r w:rsidRPr="000D42B8">
        <w:t>е</w:t>
      </w:r>
      <w:r w:rsidRPr="000D42B8">
        <w:t>мья Р. имеет родственников в Сиднее, то есть в городе, в котором расположен Виллавуд. В силу сказанного дети могут проживать у родственников</w:t>
      </w:r>
      <w:r>
        <w:t xml:space="preserve"> поблиз</w:t>
      </w:r>
      <w:r>
        <w:t>о</w:t>
      </w:r>
      <w:r>
        <w:t>сти от</w:t>
      </w:r>
      <w:r w:rsidRPr="000D42B8">
        <w:t xml:space="preserve"> родителей. Они остаются в иммиграционных </w:t>
      </w:r>
      <w:r>
        <w:t>приемниках</w:t>
      </w:r>
      <w:r w:rsidRPr="000D42B8">
        <w:t xml:space="preserve"> по решению своих родителей. Предоставив детям возможность проживания в общине, гос</w:t>
      </w:r>
      <w:r w:rsidRPr="000D42B8">
        <w:t>у</w:t>
      </w:r>
      <w:r w:rsidRPr="000D42B8">
        <w:t xml:space="preserve">дарство-участник выполнило свои обязательства по пункту 1 статьи 24. </w:t>
      </w:r>
    </w:p>
    <w:p w:rsidR="0014670C" w:rsidRPr="000D42B8" w:rsidRDefault="0014670C" w:rsidP="0014670C">
      <w:pPr>
        <w:pStyle w:val="SingleTxtGR"/>
      </w:pPr>
      <w:r w:rsidRPr="000D42B8">
        <w:t>6.24</w:t>
      </w:r>
      <w:r w:rsidRPr="000D42B8">
        <w:tab/>
        <w:t>Если Комитет не согласен с вышеприведенным доводом, то государство-участник заявляет, что обстоятельства временного задержания детей Р. не экв</w:t>
      </w:r>
      <w:r w:rsidRPr="000D42B8">
        <w:t>и</w:t>
      </w:r>
      <w:r w:rsidRPr="000D42B8">
        <w:t>валентны нарушению пункта 1 статьи 24. Их наилучшие интересы были прин</w:t>
      </w:r>
      <w:r w:rsidRPr="000D42B8">
        <w:t>я</w:t>
      </w:r>
      <w:r w:rsidRPr="000D42B8">
        <w:t xml:space="preserve">ты во внимание на основе предоставления им адекватных мер защиты. </w:t>
      </w:r>
      <w:r>
        <w:t xml:space="preserve">С целью их защиты им были выданы визы, они </w:t>
      </w:r>
      <w:r w:rsidRPr="000D42B8">
        <w:t>имеют право на доступ к тем же мед</w:t>
      </w:r>
      <w:r w:rsidRPr="000D42B8">
        <w:t>и</w:t>
      </w:r>
      <w:r w:rsidRPr="000D42B8">
        <w:t xml:space="preserve">цинским услугам, что и граждане Австралии, посещают школу и </w:t>
      </w:r>
      <w:r>
        <w:t>могут</w:t>
      </w:r>
      <w:r w:rsidRPr="000D42B8">
        <w:t xml:space="preserve"> учас</w:t>
      </w:r>
      <w:r w:rsidRPr="000D42B8">
        <w:t>т</w:t>
      </w:r>
      <w:r w:rsidRPr="000D42B8">
        <w:t xml:space="preserve">вовать во всех школьных мероприятиях. </w:t>
      </w:r>
    </w:p>
    <w:p w:rsidR="0014670C" w:rsidRPr="000D42B8" w:rsidRDefault="0014670C" w:rsidP="0014670C">
      <w:pPr>
        <w:pStyle w:val="SingleTxtGR"/>
      </w:pPr>
      <w:bookmarkStart w:id="14" w:name="_Toc340737571"/>
      <w:r w:rsidRPr="000D42B8">
        <w:t>6.25</w:t>
      </w:r>
      <w:r w:rsidRPr="000D42B8">
        <w:tab/>
        <w:t>Что касается семьи С., то предоставление этой семье целого ряда вариа</w:t>
      </w:r>
      <w:r w:rsidRPr="000D42B8">
        <w:t>н</w:t>
      </w:r>
      <w:r w:rsidRPr="000D42B8">
        <w:t>тов расселения, в</w:t>
      </w:r>
      <w:r>
        <w:t xml:space="preserve"> том числе позволяющих </w:t>
      </w:r>
      <w:r w:rsidRPr="000D42B8">
        <w:t>ребенку поддерживать тесные родс</w:t>
      </w:r>
      <w:r w:rsidRPr="000D42B8">
        <w:t>т</w:t>
      </w:r>
      <w:r w:rsidRPr="000D42B8">
        <w:t>венные отношения с</w:t>
      </w:r>
      <w:r>
        <w:t xml:space="preserve"> </w:t>
      </w:r>
      <w:r w:rsidRPr="000D42B8">
        <w:t>отцом, проживать в общине</w:t>
      </w:r>
      <w:r>
        <w:t>, а также</w:t>
      </w:r>
      <w:r w:rsidRPr="000D42B8">
        <w:t xml:space="preserve"> посещать школу и участвовать в других мероприятиях, свидетельствует о том, что государство-участник принимало во внимание наилучшие интересы этого ребенка. </w:t>
      </w:r>
    </w:p>
    <w:bookmarkEnd w:id="14"/>
    <w:p w:rsidR="0014670C" w:rsidRPr="00A77040" w:rsidRDefault="0014670C" w:rsidP="00793A75">
      <w:pPr>
        <w:pStyle w:val="H4GR"/>
        <w:spacing w:before="240"/>
      </w:pPr>
      <w:r w:rsidRPr="00A77040">
        <w:tab/>
      </w:r>
      <w:r w:rsidRPr="00A77040">
        <w:tab/>
      </w:r>
      <w:r w:rsidRPr="000D42B8">
        <w:t>Средства</w:t>
      </w:r>
      <w:r w:rsidRPr="00A77040">
        <w:t xml:space="preserve"> </w:t>
      </w:r>
      <w:r w:rsidRPr="000D42B8">
        <w:t>правовой</w:t>
      </w:r>
      <w:r w:rsidRPr="00A77040">
        <w:t xml:space="preserve"> </w:t>
      </w:r>
      <w:r w:rsidRPr="000D42B8">
        <w:t>защиты</w:t>
      </w:r>
    </w:p>
    <w:p w:rsidR="0014670C" w:rsidRPr="000D42B8" w:rsidRDefault="0014670C" w:rsidP="0014670C">
      <w:pPr>
        <w:pStyle w:val="SingleTxtGR"/>
      </w:pPr>
      <w:r w:rsidRPr="000D42B8">
        <w:t>6.26</w:t>
      </w:r>
      <w:r w:rsidRPr="000D42B8">
        <w:tab/>
        <w:t xml:space="preserve">С учетом того, что права авторов по Пакту не были нарушены, Комитет не </w:t>
      </w:r>
      <w:r>
        <w:t>должен</w:t>
      </w:r>
      <w:r w:rsidRPr="000D42B8">
        <w:t xml:space="preserve"> рекомендовать ни одно из средств правовой защиты, на которые они претендуют. Для Комитета было бы нецелесообразно рекомендовать освоб</w:t>
      </w:r>
      <w:r w:rsidRPr="000D42B8">
        <w:t>о</w:t>
      </w:r>
      <w:r w:rsidRPr="000D42B8">
        <w:t>дить совершеннолетних авторов с учетом угрозы, которую, по оценкам, они представляют для национальной безопасности, и в свете недавнего назначения независимого эксперта по пересмотру решени</w:t>
      </w:r>
      <w:r>
        <w:t>й</w:t>
      </w:r>
      <w:r w:rsidRPr="000D42B8">
        <w:t>. Если Комитет сочтет, что А</w:t>
      </w:r>
      <w:r w:rsidRPr="000D42B8">
        <w:t>в</w:t>
      </w:r>
      <w:r w:rsidRPr="000D42B8">
        <w:t>стралия нарушила какие-либо конкретные права, то следует рекомендовать иные средства правовой защиты</w:t>
      </w:r>
      <w:r>
        <w:t xml:space="preserve"> помимо</w:t>
      </w:r>
      <w:r w:rsidRPr="000D42B8">
        <w:t xml:space="preserve"> освобождения. </w:t>
      </w:r>
    </w:p>
    <w:p w:rsidR="0014670C" w:rsidRPr="000D42B8" w:rsidRDefault="0014670C" w:rsidP="00793A75">
      <w:pPr>
        <w:pStyle w:val="H4GR"/>
        <w:spacing w:before="240"/>
      </w:pPr>
      <w:r w:rsidRPr="000D42B8">
        <w:tab/>
      </w:r>
      <w:r w:rsidRPr="000D42B8">
        <w:tab/>
        <w:t>Утверждения о причинении себе вреда</w:t>
      </w:r>
    </w:p>
    <w:p w:rsidR="0014670C" w:rsidRPr="000D42B8" w:rsidRDefault="0014670C" w:rsidP="0014670C">
      <w:pPr>
        <w:pStyle w:val="SingleTxtGR"/>
      </w:pPr>
      <w:r w:rsidRPr="000D42B8">
        <w:t>6.27</w:t>
      </w:r>
      <w:r w:rsidRPr="000D42B8">
        <w:tab/>
        <w:t xml:space="preserve">Что касается утверждений о причинении себе вреда, о которых идет речь в пункте 2.7, то 6 августа 2012 года государство-участник </w:t>
      </w:r>
      <w:r>
        <w:t>сообщило</w:t>
      </w:r>
      <w:r w:rsidRPr="000D42B8">
        <w:t xml:space="preserve"> Комитет</w:t>
      </w:r>
      <w:r>
        <w:t>у об оказании</w:t>
      </w:r>
      <w:r w:rsidRPr="000D42B8">
        <w:t xml:space="preserve"> К.Н. и С.И. (авторы 11 и 34) медицинск</w:t>
      </w:r>
      <w:r>
        <w:t>ой</w:t>
      </w:r>
      <w:r w:rsidRPr="000D42B8">
        <w:t xml:space="preserve"> помощ</w:t>
      </w:r>
      <w:r>
        <w:t>и</w:t>
      </w:r>
      <w:r w:rsidRPr="000D42B8">
        <w:t xml:space="preserve"> и поддержк</w:t>
      </w:r>
      <w:r>
        <w:t>и</w:t>
      </w:r>
      <w:r w:rsidRPr="000D42B8">
        <w:t xml:space="preserve"> в связи с проблемами их физического и психического здоровья. Правительство Австралии недавно </w:t>
      </w:r>
      <w:r>
        <w:t>представило ответ</w:t>
      </w:r>
      <w:r w:rsidRPr="000D42B8">
        <w:t xml:space="preserve"> на проводимое Комиссией расследование фактов по делу авторов. Все авторы также соблюдали обязательную процедуру регулярно</w:t>
      </w:r>
      <w:r>
        <w:t>го информирования</w:t>
      </w:r>
      <w:r w:rsidRPr="000D42B8">
        <w:t xml:space="preserve"> </w:t>
      </w:r>
      <w:r>
        <w:t>О</w:t>
      </w:r>
      <w:r w:rsidRPr="000D42B8">
        <w:t xml:space="preserve">мбудсмена </w:t>
      </w:r>
      <w:r>
        <w:t>относительно</w:t>
      </w:r>
      <w:r w:rsidRPr="000D42B8">
        <w:t xml:space="preserve"> их </w:t>
      </w:r>
      <w:r>
        <w:t>дальнейшего з</w:t>
      </w:r>
      <w:r>
        <w:t>а</w:t>
      </w:r>
      <w:r>
        <w:t xml:space="preserve">держания </w:t>
      </w:r>
      <w:r w:rsidRPr="000D42B8">
        <w:t xml:space="preserve">в иммиграционных </w:t>
      </w:r>
      <w:r>
        <w:t>приемниках</w:t>
      </w:r>
      <w:r w:rsidRPr="000D42B8">
        <w:t xml:space="preserve">. Государство-участник стремится обеспечивать всем находящимся в иммиграционных </w:t>
      </w:r>
      <w:r>
        <w:t>приемниках-</w:t>
      </w:r>
      <w:r w:rsidRPr="000D42B8">
        <w:t>изоляторах лицам надлежащий уровень поддержки в плане удовлетворения потребност</w:t>
      </w:r>
      <w:r>
        <w:t>ей</w:t>
      </w:r>
      <w:r w:rsidRPr="000D42B8">
        <w:t xml:space="preserve"> в охране их психического и физического здоровья, размещ</w:t>
      </w:r>
      <w:r>
        <w:t>ения</w:t>
      </w:r>
      <w:r w:rsidRPr="000D42B8">
        <w:t xml:space="preserve"> в </w:t>
      </w:r>
      <w:r>
        <w:t>условиях</w:t>
      </w:r>
      <w:r w:rsidRPr="000D42B8">
        <w:t>, сп</w:t>
      </w:r>
      <w:r w:rsidRPr="000D42B8">
        <w:t>о</w:t>
      </w:r>
      <w:r w:rsidRPr="000D42B8">
        <w:t>собствующ</w:t>
      </w:r>
      <w:r>
        <w:t>их</w:t>
      </w:r>
      <w:r w:rsidRPr="000D42B8">
        <w:t xml:space="preserve"> уменьшению риска причинения себе вреда, и оказ</w:t>
      </w:r>
      <w:r>
        <w:t xml:space="preserve">ания </w:t>
      </w:r>
      <w:r w:rsidRPr="000D42B8">
        <w:t>необход</w:t>
      </w:r>
      <w:r w:rsidRPr="000D42B8">
        <w:t>и</w:t>
      </w:r>
      <w:r w:rsidRPr="000D42B8">
        <w:t>м</w:t>
      </w:r>
      <w:r>
        <w:t>ой помощи</w:t>
      </w:r>
      <w:r w:rsidRPr="000D42B8">
        <w:t xml:space="preserve"> в интересах ослабления и </w:t>
      </w:r>
      <w:r>
        <w:t>подавления чувства тревоги</w:t>
      </w:r>
      <w:r w:rsidRPr="000D42B8">
        <w:t>, возника</w:t>
      </w:r>
      <w:r w:rsidRPr="000D42B8">
        <w:t>ю</w:t>
      </w:r>
      <w:r w:rsidRPr="000D42B8">
        <w:t>щ</w:t>
      </w:r>
      <w:r>
        <w:t>его из-за длительного</w:t>
      </w:r>
      <w:r w:rsidRPr="000D42B8">
        <w:t xml:space="preserve"> нахождения в иммиграционных </w:t>
      </w:r>
      <w:r>
        <w:t>приемниках</w:t>
      </w:r>
      <w:r w:rsidRPr="000D42B8">
        <w:t xml:space="preserve">. </w:t>
      </w:r>
    </w:p>
    <w:p w:rsidR="0014670C" w:rsidRPr="000357A8" w:rsidRDefault="0014670C" w:rsidP="0014670C">
      <w:pPr>
        <w:pStyle w:val="H23GR"/>
      </w:pPr>
      <w:r w:rsidRPr="00A77040">
        <w:tab/>
      </w:r>
      <w:r w:rsidRPr="00A77040">
        <w:tab/>
      </w:r>
      <w:r w:rsidRPr="000357A8">
        <w:t xml:space="preserve">Комментарии авторов </w:t>
      </w:r>
      <w:r>
        <w:t>относительно</w:t>
      </w:r>
      <w:r w:rsidRPr="000357A8">
        <w:t xml:space="preserve"> замечани</w:t>
      </w:r>
      <w:r>
        <w:t>й государства-участника по </w:t>
      </w:r>
      <w:r w:rsidRPr="000357A8">
        <w:t xml:space="preserve">существу </w:t>
      </w:r>
      <w:r>
        <w:t>сообщения</w:t>
      </w:r>
    </w:p>
    <w:p w:rsidR="0014670C" w:rsidRPr="000357A8" w:rsidRDefault="0014670C" w:rsidP="0014670C">
      <w:pPr>
        <w:pStyle w:val="SingleTxtGR"/>
      </w:pPr>
      <w:r w:rsidRPr="000357A8">
        <w:t>7.1</w:t>
      </w:r>
      <w:r w:rsidRPr="000357A8">
        <w:tab/>
        <w:t>23 февраля 2013 года авторы представили комментарии к замечаниям г</w:t>
      </w:r>
      <w:r w:rsidRPr="000357A8">
        <w:t>о</w:t>
      </w:r>
      <w:r w:rsidRPr="000357A8">
        <w:t>сударства-участник</w:t>
      </w:r>
      <w:r>
        <w:t>а</w:t>
      </w:r>
      <w:r w:rsidRPr="000357A8">
        <w:t xml:space="preserve"> по существу </w:t>
      </w:r>
      <w:r>
        <w:t>сообщения</w:t>
      </w:r>
      <w:r w:rsidRPr="000357A8">
        <w:t>, вновь подчеркнув свои ранее в</w:t>
      </w:r>
      <w:r w:rsidRPr="000357A8">
        <w:t>ы</w:t>
      </w:r>
      <w:r w:rsidRPr="000357A8">
        <w:t>двинутые аргументы и добавив следующие доводы.</w:t>
      </w:r>
    </w:p>
    <w:p w:rsidR="0014670C" w:rsidRPr="00A77040" w:rsidRDefault="0014670C" w:rsidP="00793A75">
      <w:pPr>
        <w:pStyle w:val="H4GR"/>
        <w:spacing w:before="240"/>
      </w:pPr>
      <w:r w:rsidRPr="00A77040">
        <w:tab/>
      </w:r>
      <w:r w:rsidRPr="00A77040">
        <w:tab/>
      </w:r>
      <w:r w:rsidRPr="000357A8">
        <w:t>Статья</w:t>
      </w:r>
      <w:r w:rsidRPr="00A77040">
        <w:t xml:space="preserve"> 9, </w:t>
      </w:r>
      <w:r w:rsidRPr="000357A8">
        <w:t>пункт</w:t>
      </w:r>
      <w:r w:rsidRPr="00A77040">
        <w:t xml:space="preserve"> 1</w:t>
      </w:r>
    </w:p>
    <w:p w:rsidR="0014670C" w:rsidRPr="000357A8" w:rsidRDefault="0014670C" w:rsidP="0014670C">
      <w:pPr>
        <w:pStyle w:val="SingleTxtGR"/>
      </w:pPr>
      <w:r w:rsidRPr="000357A8">
        <w:t>7.2</w:t>
      </w:r>
      <w:r w:rsidRPr="000357A8">
        <w:tab/>
        <w:t>Задержание авторов является незаконным. По смыслу пункта 1 статьи 9 законность должна истолковываться не только в контексте внутреннего закон</w:t>
      </w:r>
      <w:r w:rsidRPr="000357A8">
        <w:t>о</w:t>
      </w:r>
      <w:r w:rsidRPr="000357A8">
        <w:t>дательства, но и с учетом международного права, в</w:t>
      </w:r>
      <w:r>
        <w:t xml:space="preserve"> том числе</w:t>
      </w:r>
      <w:r w:rsidRPr="000357A8">
        <w:t xml:space="preserve"> Пакт</w:t>
      </w:r>
      <w:r>
        <w:t>а</w:t>
      </w:r>
      <w:r w:rsidRPr="000357A8">
        <w:t xml:space="preserve">. </w:t>
      </w:r>
      <w:r>
        <w:t>С</w:t>
      </w:r>
      <w:r w:rsidRPr="000357A8">
        <w:t>огласно пункту 1 статьи 9</w:t>
      </w:r>
      <w:r>
        <w:t xml:space="preserve"> з</w:t>
      </w:r>
      <w:r w:rsidRPr="000357A8">
        <w:t xml:space="preserve">адержание по </w:t>
      </w:r>
      <w:r>
        <w:t xml:space="preserve">мотивам защиты </w:t>
      </w:r>
      <w:r w:rsidRPr="000357A8">
        <w:t>безопасности носит незако</w:t>
      </w:r>
      <w:r w:rsidRPr="000357A8">
        <w:t>н</w:t>
      </w:r>
      <w:r w:rsidRPr="000357A8">
        <w:t>ный характер,</w:t>
      </w:r>
      <w:r>
        <w:t xml:space="preserve"> поскольку</w:t>
      </w:r>
      <w:r w:rsidRPr="000357A8">
        <w:t xml:space="preserve"> внутренние процедуры пересмотра решений являются явно не</w:t>
      </w:r>
      <w:r>
        <w:t>достаточными</w:t>
      </w:r>
      <w:r w:rsidRPr="000357A8">
        <w:t xml:space="preserve">. </w:t>
      </w:r>
    </w:p>
    <w:p w:rsidR="0014670C" w:rsidRPr="00A77040" w:rsidRDefault="0014670C" w:rsidP="0014670C">
      <w:pPr>
        <w:pStyle w:val="SingleTxtGR"/>
      </w:pPr>
      <w:r w:rsidRPr="000357A8">
        <w:t>7.3</w:t>
      </w:r>
      <w:r w:rsidRPr="000357A8">
        <w:tab/>
        <w:t xml:space="preserve">Обязательное задержание по прибытию в страну </w:t>
      </w:r>
      <w:r>
        <w:t>является</w:t>
      </w:r>
      <w:r w:rsidRPr="000357A8">
        <w:t xml:space="preserve"> произвольны</w:t>
      </w:r>
      <w:r>
        <w:t>м</w:t>
      </w:r>
      <w:r w:rsidRPr="000357A8">
        <w:t xml:space="preserve">. Это особо верно в случаях, когда </w:t>
      </w:r>
      <w:r>
        <w:t xml:space="preserve">период </w:t>
      </w:r>
      <w:r w:rsidRPr="000357A8">
        <w:t>задержания, начиная с прибытия и до получения негативной оценки угрозы безопасности, носит слишком продолж</w:t>
      </w:r>
      <w:r w:rsidRPr="000357A8">
        <w:t>и</w:t>
      </w:r>
      <w:r w:rsidRPr="000357A8">
        <w:t>тельный характер (от четырнадцати месяцев до двух лет). Государство</w:t>
      </w:r>
      <w:r w:rsidRPr="00A77040">
        <w:t>-</w:t>
      </w:r>
      <w:r w:rsidRPr="000357A8">
        <w:t>участник</w:t>
      </w:r>
      <w:r w:rsidRPr="00A77040">
        <w:t xml:space="preserve"> </w:t>
      </w:r>
      <w:r w:rsidRPr="000357A8">
        <w:t>не</w:t>
      </w:r>
      <w:r w:rsidRPr="00A77040">
        <w:t xml:space="preserve"> </w:t>
      </w:r>
      <w:r w:rsidRPr="000357A8">
        <w:t>разъяснило</w:t>
      </w:r>
      <w:r w:rsidRPr="00A77040">
        <w:t xml:space="preserve"> </w:t>
      </w:r>
      <w:r w:rsidRPr="000357A8">
        <w:t>потребность</w:t>
      </w:r>
      <w:r w:rsidRPr="00A77040">
        <w:t xml:space="preserve"> </w:t>
      </w:r>
      <w:r w:rsidRPr="000357A8">
        <w:t>в</w:t>
      </w:r>
      <w:r w:rsidRPr="00A77040">
        <w:t xml:space="preserve"> </w:t>
      </w:r>
      <w:r w:rsidRPr="000357A8">
        <w:t>таком</w:t>
      </w:r>
      <w:r w:rsidRPr="00A77040">
        <w:t xml:space="preserve"> </w:t>
      </w:r>
      <w:r w:rsidRPr="000357A8">
        <w:t>длительном</w:t>
      </w:r>
      <w:r w:rsidRPr="00A77040">
        <w:t xml:space="preserve"> </w:t>
      </w:r>
      <w:r w:rsidRPr="000357A8">
        <w:t>задержании</w:t>
      </w:r>
      <w:r w:rsidRPr="00A77040">
        <w:t>.</w:t>
      </w:r>
    </w:p>
    <w:p w:rsidR="0014670C" w:rsidRPr="000357A8" w:rsidRDefault="0014670C" w:rsidP="0014670C">
      <w:pPr>
        <w:pStyle w:val="SingleTxtGR"/>
      </w:pPr>
      <w:r w:rsidRPr="000357A8">
        <w:t>7.4</w:t>
      </w:r>
      <w:r w:rsidRPr="000357A8">
        <w:tab/>
        <w:t>Государство-участник не предприн</w:t>
      </w:r>
      <w:r>
        <w:t>яло</w:t>
      </w:r>
      <w:r w:rsidRPr="000357A8">
        <w:t xml:space="preserve"> попыток </w:t>
      </w:r>
      <w:r>
        <w:t>доказать</w:t>
      </w:r>
      <w:r w:rsidRPr="000357A8">
        <w:t>, что в каждом индивидуальном случае оно рассматривало альтернативные варианты по отн</w:t>
      </w:r>
      <w:r w:rsidRPr="000357A8">
        <w:t>о</w:t>
      </w:r>
      <w:r w:rsidRPr="000357A8">
        <w:t>шению к временному задержанию, или же поясни</w:t>
      </w:r>
      <w:r>
        <w:t>ть</w:t>
      </w:r>
      <w:r w:rsidRPr="000357A8">
        <w:t xml:space="preserve">, по каким причинам те или иные конкретные альтернативы не подходят в данном </w:t>
      </w:r>
      <w:r>
        <w:t>случае</w:t>
      </w:r>
      <w:r w:rsidRPr="000357A8">
        <w:t>. Оно не предст</w:t>
      </w:r>
      <w:r w:rsidRPr="000357A8">
        <w:t>а</w:t>
      </w:r>
      <w:r w:rsidRPr="000357A8">
        <w:t>вило никаких</w:t>
      </w:r>
      <w:r>
        <w:t xml:space="preserve"> материалов в подтверждение </w:t>
      </w:r>
      <w:r w:rsidRPr="000357A8">
        <w:t>своих усилий по расселению авт</w:t>
      </w:r>
      <w:r w:rsidRPr="000357A8">
        <w:t>о</w:t>
      </w:r>
      <w:r w:rsidRPr="000357A8">
        <w:t xml:space="preserve">ров в третьей стране. </w:t>
      </w:r>
    </w:p>
    <w:p w:rsidR="0014670C" w:rsidRPr="000357A8" w:rsidRDefault="0014670C" w:rsidP="0014670C">
      <w:pPr>
        <w:pStyle w:val="SingleTxtGR"/>
      </w:pPr>
      <w:r w:rsidRPr="000357A8">
        <w:t>7.5</w:t>
      </w:r>
      <w:r w:rsidRPr="000357A8">
        <w:tab/>
        <w:t>Относительно недоступности или неэффективности процесс</w:t>
      </w:r>
      <w:r>
        <w:t>а</w:t>
      </w:r>
      <w:r w:rsidRPr="000357A8">
        <w:t xml:space="preserve"> пересмотра решени</w:t>
      </w:r>
      <w:r>
        <w:t>й</w:t>
      </w:r>
      <w:r w:rsidRPr="000357A8">
        <w:t xml:space="preserve"> о задержании авторы заявляют, что </w:t>
      </w:r>
      <w:r>
        <w:t>Г</w:t>
      </w:r>
      <w:r w:rsidRPr="000357A8">
        <w:t xml:space="preserve">енеральный инспектор по </w:t>
      </w:r>
      <w:r>
        <w:t>делам</w:t>
      </w:r>
      <w:r w:rsidRPr="000357A8">
        <w:t xml:space="preserve"> разведки и безопасности </w:t>
      </w:r>
      <w:r>
        <w:t>обладает</w:t>
      </w:r>
      <w:r w:rsidRPr="000357A8">
        <w:t xml:space="preserve"> </w:t>
      </w:r>
      <w:r>
        <w:t>только</w:t>
      </w:r>
      <w:r w:rsidRPr="000357A8">
        <w:t xml:space="preserve"> рекомендательными полномочиями и не может предоставить какое-либо эффективное средство правовой защиты </w:t>
      </w:r>
      <w:r>
        <w:t>в</w:t>
      </w:r>
      <w:r w:rsidRPr="000357A8">
        <w:t xml:space="preserve"> форме законного права на отмену негативного решения по </w:t>
      </w:r>
      <w:r>
        <w:t xml:space="preserve">итогам </w:t>
      </w:r>
      <w:r w:rsidRPr="000357A8">
        <w:t>оценк</w:t>
      </w:r>
      <w:r>
        <w:t>и угр</w:t>
      </w:r>
      <w:r>
        <w:t>о</w:t>
      </w:r>
      <w:r>
        <w:t>зы</w:t>
      </w:r>
      <w:r w:rsidRPr="000357A8">
        <w:t xml:space="preserve"> безопасности. </w:t>
      </w:r>
    </w:p>
    <w:p w:rsidR="0014670C" w:rsidRPr="00A77040" w:rsidRDefault="0014670C" w:rsidP="00793A75">
      <w:pPr>
        <w:pStyle w:val="H4GR"/>
        <w:spacing w:before="240"/>
      </w:pPr>
      <w:r w:rsidRPr="0019756E">
        <w:tab/>
      </w:r>
      <w:r w:rsidRPr="0019756E">
        <w:tab/>
      </w:r>
      <w:r w:rsidRPr="000357A8">
        <w:t>Статья</w:t>
      </w:r>
      <w:r w:rsidRPr="00A77040">
        <w:t xml:space="preserve"> 9, </w:t>
      </w:r>
      <w:r w:rsidRPr="000357A8">
        <w:t>пункт</w:t>
      </w:r>
      <w:r w:rsidRPr="00A77040">
        <w:t xml:space="preserve"> 2</w:t>
      </w:r>
    </w:p>
    <w:p w:rsidR="0014670C" w:rsidRPr="000357A8" w:rsidRDefault="0014670C" w:rsidP="0014670C">
      <w:pPr>
        <w:pStyle w:val="SingleTxtGR"/>
      </w:pPr>
      <w:r w:rsidRPr="000357A8">
        <w:t>7.6</w:t>
      </w:r>
      <w:r w:rsidRPr="000357A8">
        <w:tab/>
        <w:t>В уведомлении о временном задержании, полученном авторами по пр</w:t>
      </w:r>
      <w:r w:rsidRPr="000357A8">
        <w:t>и</w:t>
      </w:r>
      <w:r w:rsidRPr="000357A8">
        <w:t>бытию в страну, не указывается, по какой причине было признано, что каждый автор в личном качестве признается как представляющий угрозу и, как таковой, должен быть временно задержан по причинам его личности, безопасности, здравоохранения или возможности побега. Аналогичным образом в письмах, которые УИГ направило авторам по поводу оценки АОБР, не указывается пр</w:t>
      </w:r>
      <w:r w:rsidRPr="000357A8">
        <w:t>и</w:t>
      </w:r>
      <w:r w:rsidRPr="000357A8">
        <w:t xml:space="preserve">чина их задержания с точки зрения обеспечения безопасности. Государство-участник не представило никаких доказательств того, что каждый автор </w:t>
      </w:r>
      <w:r>
        <w:t>дейс</w:t>
      </w:r>
      <w:r>
        <w:t>т</w:t>
      </w:r>
      <w:r>
        <w:t>вительно</w:t>
      </w:r>
      <w:r w:rsidRPr="000357A8">
        <w:t xml:space="preserve"> получил письменное уведомление о его задержании по прибытии в Австралию или что каждый автор был проинформирован на том языке, который он или она понимают. </w:t>
      </w:r>
    </w:p>
    <w:p w:rsidR="0014670C" w:rsidRPr="00A77040" w:rsidRDefault="0014670C" w:rsidP="00793A75">
      <w:pPr>
        <w:pStyle w:val="H4GR"/>
        <w:spacing w:before="240"/>
      </w:pPr>
      <w:r w:rsidRPr="00A77040">
        <w:tab/>
      </w:r>
      <w:r w:rsidRPr="00A77040">
        <w:tab/>
      </w:r>
      <w:r w:rsidRPr="000357A8">
        <w:t>Статья</w:t>
      </w:r>
      <w:r w:rsidRPr="00A77040">
        <w:t xml:space="preserve"> 9, </w:t>
      </w:r>
      <w:r w:rsidRPr="000357A8">
        <w:t>пункт</w:t>
      </w:r>
      <w:r w:rsidRPr="00A77040">
        <w:t xml:space="preserve"> 4</w:t>
      </w:r>
    </w:p>
    <w:p w:rsidR="0014670C" w:rsidRPr="000357A8" w:rsidRDefault="0014670C" w:rsidP="0014670C">
      <w:pPr>
        <w:pStyle w:val="SingleTxtGR"/>
      </w:pPr>
      <w:r w:rsidRPr="000357A8">
        <w:t>7.7</w:t>
      </w:r>
      <w:r w:rsidRPr="000357A8">
        <w:tab/>
        <w:t>Если Комитет сочтет задержание авторов незаконным согласно пункту 1 статьи 9</w:t>
      </w:r>
      <w:r>
        <w:t xml:space="preserve"> в силу того, что оно не было </w:t>
      </w:r>
      <w:r w:rsidRPr="000357A8">
        <w:t>необходимым или соразмерным, то будет нарушен и пункт 4 статьи 9, поскольку австралийские суды не полномочны п</w:t>
      </w:r>
      <w:r w:rsidRPr="000357A8">
        <w:t>е</w:t>
      </w:r>
      <w:r w:rsidRPr="000357A8">
        <w:t xml:space="preserve">ресматривать вопрос о необходимости временного задержания. Что касается пересмотра в Высоком суде, то </w:t>
      </w:r>
      <w:r>
        <w:t>этот С</w:t>
      </w:r>
      <w:r w:rsidRPr="000357A8">
        <w:t xml:space="preserve">уд </w:t>
      </w:r>
      <w:r>
        <w:t xml:space="preserve">ежегодно </w:t>
      </w:r>
      <w:r w:rsidRPr="000357A8">
        <w:t>принимает решения приме</w:t>
      </w:r>
      <w:r w:rsidRPr="000357A8">
        <w:t>р</w:t>
      </w:r>
      <w:r w:rsidRPr="000357A8">
        <w:t>но по ста случаям</w:t>
      </w:r>
      <w:r>
        <w:t>,</w:t>
      </w:r>
      <w:r w:rsidRPr="000357A8">
        <w:t xml:space="preserve"> поскольку </w:t>
      </w:r>
      <w:r>
        <w:t>я</w:t>
      </w:r>
      <w:r w:rsidRPr="000357A8">
        <w:t>вляется высшей судебной инстанцией Австралии</w:t>
      </w:r>
      <w:r>
        <w:t xml:space="preserve"> по</w:t>
      </w:r>
      <w:r w:rsidRPr="000357A8">
        <w:t xml:space="preserve"> рассмотрени</w:t>
      </w:r>
      <w:r>
        <w:t>ю</w:t>
      </w:r>
      <w:r w:rsidRPr="000357A8">
        <w:t xml:space="preserve"> апелляций и </w:t>
      </w:r>
      <w:r>
        <w:t xml:space="preserve">осуществлению </w:t>
      </w:r>
      <w:r w:rsidRPr="000357A8">
        <w:t>конституционн</w:t>
      </w:r>
      <w:r>
        <w:t>ого</w:t>
      </w:r>
      <w:r w:rsidRPr="000357A8">
        <w:t xml:space="preserve"> пересмотр</w:t>
      </w:r>
      <w:r>
        <w:t>а принятых ранее</w:t>
      </w:r>
      <w:r w:rsidRPr="000357A8">
        <w:t xml:space="preserve"> решений. Было бы нереалистичным предполагать, что </w:t>
      </w:r>
      <w:r>
        <w:t>возмо</w:t>
      </w:r>
      <w:r>
        <w:t>ж</w:t>
      </w:r>
      <w:r>
        <w:t xml:space="preserve">ность </w:t>
      </w:r>
      <w:r w:rsidRPr="000357A8">
        <w:t>пересмотр</w:t>
      </w:r>
      <w:r>
        <w:t>а</w:t>
      </w:r>
      <w:r w:rsidRPr="000357A8">
        <w:t xml:space="preserve"> решения в судебном порядке реально доступн</w:t>
      </w:r>
      <w:r>
        <w:t>а для</w:t>
      </w:r>
      <w:r w:rsidRPr="000357A8">
        <w:t xml:space="preserve"> автор</w:t>
      </w:r>
      <w:r>
        <w:t>ов</w:t>
      </w:r>
      <w:r w:rsidRPr="000357A8">
        <w:t xml:space="preserve"> в условиях тако</w:t>
      </w:r>
      <w:r>
        <w:t>го</w:t>
      </w:r>
      <w:r w:rsidRPr="000357A8">
        <w:t xml:space="preserve"> незначительно</w:t>
      </w:r>
      <w:r>
        <w:t>го количества дел, разбираемых</w:t>
      </w:r>
      <w:r w:rsidRPr="000357A8">
        <w:t xml:space="preserve"> Высок</w:t>
      </w:r>
      <w:r>
        <w:t>им</w:t>
      </w:r>
      <w:r w:rsidRPr="000357A8">
        <w:t xml:space="preserve"> суд</w:t>
      </w:r>
      <w:r>
        <w:t xml:space="preserve">ом, ведь </w:t>
      </w:r>
      <w:r w:rsidRPr="000357A8">
        <w:t>многие тысячи офшорно прибывающих лиц ежегодно задерживаются в изоляторах, а другие федеральные суды не имеют соответствующей юрисди</w:t>
      </w:r>
      <w:r w:rsidRPr="000357A8">
        <w:t>к</w:t>
      </w:r>
      <w:r w:rsidRPr="000357A8">
        <w:t>ции. Кроме того, подготовка апелляции в Высокий суд требует значительных ресурсов и юридического представительства, доступа к которым они не имеют.</w:t>
      </w:r>
    </w:p>
    <w:p w:rsidR="0014670C" w:rsidRPr="00A77040" w:rsidRDefault="0014670C" w:rsidP="00793A75">
      <w:pPr>
        <w:pStyle w:val="H4GR"/>
        <w:spacing w:before="240"/>
      </w:pPr>
      <w:r w:rsidRPr="00A77040">
        <w:tab/>
      </w:r>
      <w:r w:rsidRPr="00A77040">
        <w:tab/>
      </w:r>
      <w:r w:rsidRPr="000357A8">
        <w:t>Статьи</w:t>
      </w:r>
      <w:r w:rsidRPr="00A77040">
        <w:t xml:space="preserve"> 7 </w:t>
      </w:r>
      <w:r w:rsidRPr="000357A8">
        <w:t>и</w:t>
      </w:r>
      <w:r w:rsidRPr="00A77040">
        <w:t xml:space="preserve"> 10 (</w:t>
      </w:r>
      <w:r w:rsidRPr="000357A8">
        <w:t>пункт</w:t>
      </w:r>
      <w:r w:rsidRPr="00A77040">
        <w:t xml:space="preserve"> 1)</w:t>
      </w:r>
    </w:p>
    <w:p w:rsidR="0014670C" w:rsidRPr="000357A8" w:rsidRDefault="0014670C" w:rsidP="0014670C">
      <w:pPr>
        <w:pStyle w:val="SingleTxtGR"/>
      </w:pPr>
      <w:r w:rsidRPr="000357A8">
        <w:t>7.8</w:t>
      </w:r>
      <w:r w:rsidRPr="000357A8">
        <w:tab/>
      </w:r>
      <w:r>
        <w:t>Ряд</w:t>
      </w:r>
      <w:r w:rsidRPr="000357A8">
        <w:t xml:space="preserve"> австралийских независимых учреждений подвергали критике не</w:t>
      </w:r>
      <w:r>
        <w:t>удо</w:t>
      </w:r>
      <w:r>
        <w:t>в</w:t>
      </w:r>
      <w:r>
        <w:t>летворительный</w:t>
      </w:r>
      <w:r w:rsidRPr="000357A8">
        <w:t xml:space="preserve"> уровень условий содержания во всех иммигра</w:t>
      </w:r>
      <w:r>
        <w:t>ционных изол</w:t>
      </w:r>
      <w:r>
        <w:t>я</w:t>
      </w:r>
      <w:r>
        <w:t>торах</w:t>
      </w:r>
      <w:r w:rsidRPr="000357A8">
        <w:t xml:space="preserve">, а также то влияние, которое они оказывают на психическое здоровье. </w:t>
      </w:r>
      <w:r>
        <w:t>Дальнейшее</w:t>
      </w:r>
      <w:r w:rsidRPr="000357A8">
        <w:t xml:space="preserve"> ухудшение психического здоровья задержанных</w:t>
      </w:r>
      <w:r>
        <w:t xml:space="preserve"> </w:t>
      </w:r>
      <w:r w:rsidRPr="000357A8">
        <w:t>доказ</w:t>
      </w:r>
      <w:r>
        <w:t>ывает</w:t>
      </w:r>
      <w:r w:rsidRPr="000357A8">
        <w:t xml:space="preserve">, что принимаемые Австралией меры по охране здоровья недостаточны для того, чтобы обеспечить безопасность задержанных, </w:t>
      </w:r>
      <w:r>
        <w:t>т</w:t>
      </w:r>
      <w:r w:rsidR="00793A75">
        <w:t>ак как</w:t>
      </w:r>
      <w:r w:rsidRPr="000357A8">
        <w:t xml:space="preserve"> само </w:t>
      </w:r>
      <w:r>
        <w:t>уже</w:t>
      </w:r>
      <w:r w:rsidRPr="000357A8">
        <w:t xml:space="preserve"> длительное з</w:t>
      </w:r>
      <w:r w:rsidRPr="000357A8">
        <w:t>а</w:t>
      </w:r>
      <w:r w:rsidRPr="000357A8">
        <w:t xml:space="preserve">держание является причиной </w:t>
      </w:r>
      <w:r>
        <w:t>вреда здоровью</w:t>
      </w:r>
      <w:r w:rsidRPr="000357A8">
        <w:t>, котор</w:t>
      </w:r>
      <w:r>
        <w:t>ый</w:t>
      </w:r>
      <w:r w:rsidRPr="000357A8">
        <w:t xml:space="preserve"> не поддается лечению </w:t>
      </w:r>
      <w:r>
        <w:t>медицинскими методами</w:t>
      </w:r>
      <w:r w:rsidRPr="000357A8">
        <w:t xml:space="preserve">. </w:t>
      </w:r>
      <w:r>
        <w:t>И</w:t>
      </w:r>
      <w:r w:rsidRPr="000357A8">
        <w:t>зложенные</w:t>
      </w:r>
      <w:r>
        <w:t xml:space="preserve"> н</w:t>
      </w:r>
      <w:r w:rsidRPr="000357A8">
        <w:t>иже факты влияют на решени</w:t>
      </w:r>
      <w:r>
        <w:t>е</w:t>
      </w:r>
      <w:r w:rsidRPr="000357A8">
        <w:t xml:space="preserve"> о том, является ли задержание авторов бесчеловечным или унижающим их достоинс</w:t>
      </w:r>
      <w:r w:rsidRPr="000357A8">
        <w:t>т</w:t>
      </w:r>
      <w:r w:rsidRPr="000357A8">
        <w:t xml:space="preserve">во: </w:t>
      </w:r>
      <w:r w:rsidRPr="000357A8">
        <w:rPr>
          <w:lang w:val="en-US"/>
        </w:rPr>
        <w:t>a</w:t>
      </w:r>
      <w:r w:rsidRPr="000357A8">
        <w:t xml:space="preserve">) авторы являются беженцами, которые имеют право на особую защиту, и их временное задержание должно применяться только в качестве крайней меры и на как можно более короткий период времени; </w:t>
      </w:r>
      <w:r w:rsidRPr="000357A8">
        <w:rPr>
          <w:lang w:val="en-US"/>
        </w:rPr>
        <w:t>b</w:t>
      </w:r>
      <w:r w:rsidRPr="000357A8">
        <w:t xml:space="preserve">) большинство авторов были травмированы опытом побега из Шри-Ланки; </w:t>
      </w:r>
      <w:r w:rsidRPr="000357A8">
        <w:rPr>
          <w:lang w:val="en-US"/>
        </w:rPr>
        <w:t>c</w:t>
      </w:r>
      <w:r w:rsidRPr="000357A8">
        <w:t>) у некоторых авторов были д</w:t>
      </w:r>
      <w:r w:rsidRPr="000357A8">
        <w:t>и</w:t>
      </w:r>
      <w:r w:rsidRPr="000357A8">
        <w:t xml:space="preserve">агностированы психические заболевания, и они не поддаются эффективному лечению, пока остаются в изоляторах; </w:t>
      </w:r>
      <w:r w:rsidRPr="000357A8">
        <w:rPr>
          <w:lang w:val="en-US"/>
        </w:rPr>
        <w:t>d</w:t>
      </w:r>
      <w:r w:rsidRPr="000357A8">
        <w:t>) некоторые авторы являются детьми и</w:t>
      </w:r>
      <w:r w:rsidR="001F5365">
        <w:t xml:space="preserve"> как таковые</w:t>
      </w:r>
      <w:r w:rsidRPr="000357A8">
        <w:t xml:space="preserve"> особо уязвимы.</w:t>
      </w:r>
    </w:p>
    <w:p w:rsidR="0014670C" w:rsidRPr="000357A8" w:rsidRDefault="0014670C" w:rsidP="0014670C">
      <w:pPr>
        <w:pStyle w:val="SingleTxtGR"/>
      </w:pPr>
      <w:r w:rsidRPr="000357A8">
        <w:t>7.9</w:t>
      </w:r>
      <w:r w:rsidRPr="000357A8">
        <w:tab/>
        <w:t xml:space="preserve">Если Комитет не </w:t>
      </w:r>
      <w:r>
        <w:t>усмотрит</w:t>
      </w:r>
      <w:r w:rsidRPr="000357A8">
        <w:t xml:space="preserve"> нарушени</w:t>
      </w:r>
      <w:r>
        <w:t>й</w:t>
      </w:r>
      <w:r w:rsidRPr="000357A8">
        <w:t xml:space="preserve"> статьи 7 из-за недостаточности д</w:t>
      </w:r>
      <w:r w:rsidRPr="000357A8">
        <w:t>о</w:t>
      </w:r>
      <w:r w:rsidRPr="000357A8">
        <w:t xml:space="preserve">казательств, </w:t>
      </w:r>
      <w:r>
        <w:t>то он</w:t>
      </w:r>
      <w:r w:rsidRPr="000357A8">
        <w:t xml:space="preserve"> все </w:t>
      </w:r>
      <w:r>
        <w:t>же</w:t>
      </w:r>
      <w:r w:rsidRPr="000357A8">
        <w:t xml:space="preserve"> может признать нарушение пункта 1 статьи 10, п</w:t>
      </w:r>
      <w:r w:rsidRPr="000357A8">
        <w:t>о</w:t>
      </w:r>
      <w:r w:rsidRPr="000357A8">
        <w:t>скольку авторы, в качестве группы, столкнулись с жестоким обращением в у</w:t>
      </w:r>
      <w:r w:rsidRPr="000357A8">
        <w:t>с</w:t>
      </w:r>
      <w:r w:rsidRPr="000357A8">
        <w:t>ловиях бе</w:t>
      </w:r>
      <w:r>
        <w:t>ссрочного содержания под стражей, будучи в неудовлетворительном</w:t>
      </w:r>
      <w:r w:rsidRPr="000357A8">
        <w:t xml:space="preserve"> физическом и психологическом состоянии. </w:t>
      </w:r>
    </w:p>
    <w:p w:rsidR="0014670C" w:rsidRPr="000357A8" w:rsidRDefault="0014670C" w:rsidP="00793A75">
      <w:pPr>
        <w:pStyle w:val="H4GR"/>
        <w:spacing w:before="240"/>
      </w:pPr>
      <w:r w:rsidRPr="000357A8">
        <w:tab/>
      </w:r>
      <w:r w:rsidRPr="000357A8">
        <w:tab/>
        <w:t>Статьи 17 (пункт 1), 23 (пункт 1) и 24 (пункт 1)</w:t>
      </w:r>
    </w:p>
    <w:p w:rsidR="0014670C" w:rsidRPr="000357A8" w:rsidRDefault="0014670C" w:rsidP="0014670C">
      <w:pPr>
        <w:pStyle w:val="SingleTxtGR"/>
      </w:pPr>
      <w:r w:rsidRPr="000357A8">
        <w:t>7.10</w:t>
      </w:r>
      <w:r w:rsidRPr="000357A8">
        <w:tab/>
        <w:t xml:space="preserve">Незаконное и/или произвольное задержание </w:t>
      </w:r>
      <w:r>
        <w:t xml:space="preserve">родителей свидетельствует о </w:t>
      </w:r>
      <w:r w:rsidRPr="000357A8">
        <w:t>неуделени</w:t>
      </w:r>
      <w:r>
        <w:t>и</w:t>
      </w:r>
      <w:r w:rsidRPr="000357A8">
        <w:t xml:space="preserve"> должного внимания </w:t>
      </w:r>
      <w:r>
        <w:t xml:space="preserve">обеспечению </w:t>
      </w:r>
      <w:r w:rsidRPr="000357A8">
        <w:t>наилучши</w:t>
      </w:r>
      <w:r>
        <w:t>х</w:t>
      </w:r>
      <w:r w:rsidRPr="000357A8">
        <w:t xml:space="preserve"> интерес</w:t>
      </w:r>
      <w:r>
        <w:t>ов</w:t>
      </w:r>
      <w:r w:rsidRPr="000357A8">
        <w:t xml:space="preserve"> детей, к</w:t>
      </w:r>
      <w:r w:rsidRPr="000357A8">
        <w:t>о</w:t>
      </w:r>
      <w:r w:rsidRPr="000357A8">
        <w:t>торы</w:t>
      </w:r>
      <w:r>
        <w:t>е</w:t>
      </w:r>
      <w:r w:rsidRPr="000357A8">
        <w:t xml:space="preserve"> </w:t>
      </w:r>
      <w:r>
        <w:t>вследствие этого вынуждены</w:t>
      </w:r>
      <w:r w:rsidRPr="000357A8">
        <w:t xml:space="preserve"> выбирать </w:t>
      </w:r>
      <w:r>
        <w:t xml:space="preserve">одну из </w:t>
      </w:r>
      <w:r w:rsidRPr="000357A8">
        <w:t>двух альтернатив, ни одна из которых не отвечает их наилучшим интересам: разлучение с</w:t>
      </w:r>
      <w:r>
        <w:t xml:space="preserve"> </w:t>
      </w:r>
      <w:r w:rsidRPr="000357A8">
        <w:t xml:space="preserve">родителями или проживание </w:t>
      </w:r>
      <w:r>
        <w:t xml:space="preserve">вместе с </w:t>
      </w:r>
      <w:r w:rsidRPr="000357A8">
        <w:t xml:space="preserve">ними в </w:t>
      </w:r>
      <w:r>
        <w:t>иммиграционном приемнике.</w:t>
      </w:r>
      <w:r w:rsidRPr="000357A8">
        <w:t xml:space="preserve"> </w:t>
      </w:r>
    </w:p>
    <w:p w:rsidR="0014670C" w:rsidRPr="000357A8" w:rsidRDefault="0014670C" w:rsidP="0014670C">
      <w:pPr>
        <w:pStyle w:val="H23GR"/>
      </w:pPr>
      <w:r w:rsidRPr="00A77040">
        <w:tab/>
      </w:r>
      <w:r w:rsidRPr="00A77040">
        <w:tab/>
      </w:r>
      <w:r w:rsidRPr="000357A8">
        <w:t>Вопросы и процедура их рассмотрения в Комитете</w:t>
      </w:r>
    </w:p>
    <w:p w:rsidR="0014670C" w:rsidRPr="00A77040" w:rsidRDefault="0014670C" w:rsidP="0014670C">
      <w:pPr>
        <w:pStyle w:val="H4GR"/>
      </w:pPr>
      <w:r w:rsidRPr="00A77040">
        <w:tab/>
      </w:r>
      <w:r w:rsidRPr="00A77040">
        <w:tab/>
      </w:r>
      <w:r w:rsidRPr="000357A8">
        <w:t>Рассмотрение</w:t>
      </w:r>
      <w:r w:rsidRPr="00A77040">
        <w:t xml:space="preserve"> </w:t>
      </w:r>
      <w:r w:rsidRPr="000357A8">
        <w:t>вопроса</w:t>
      </w:r>
      <w:r w:rsidRPr="00A77040">
        <w:t xml:space="preserve"> </w:t>
      </w:r>
      <w:r w:rsidRPr="000357A8">
        <w:t>о</w:t>
      </w:r>
      <w:r w:rsidRPr="00A77040">
        <w:t xml:space="preserve"> </w:t>
      </w:r>
      <w:r w:rsidRPr="000357A8">
        <w:t>приемлемости</w:t>
      </w:r>
    </w:p>
    <w:p w:rsidR="0014670C" w:rsidRPr="000357A8" w:rsidRDefault="001F5365" w:rsidP="0014670C">
      <w:pPr>
        <w:pStyle w:val="SingleTxtGR"/>
      </w:pPr>
      <w:r>
        <w:t>8.1</w:t>
      </w:r>
      <w:r>
        <w:tab/>
        <w:t>Прежде</w:t>
      </w:r>
      <w:r w:rsidR="0014670C" w:rsidRPr="000357A8">
        <w:t xml:space="preserve"> чем рассматривать какое-либо содержащееся в сообщении у</w:t>
      </w:r>
      <w:r w:rsidR="0014670C" w:rsidRPr="000357A8">
        <w:t>т</w:t>
      </w:r>
      <w:r w:rsidR="0014670C" w:rsidRPr="000357A8">
        <w:t>верждение, Комитет по правам человека должен в соответствии с правилом 93 своих правил процедуры принять решение о том, является ли это сообщение приемлемым согласно Факультативному протоколу к Пакту.</w:t>
      </w:r>
    </w:p>
    <w:p w:rsidR="0014670C" w:rsidRPr="000357A8" w:rsidRDefault="0014670C" w:rsidP="0014670C">
      <w:pPr>
        <w:pStyle w:val="SingleTxtGR"/>
      </w:pPr>
      <w:r w:rsidRPr="000357A8">
        <w:t>8.2</w:t>
      </w:r>
      <w:r w:rsidRPr="000357A8">
        <w:tab/>
        <w:t>Как это требуется пунктом 2 </w:t>
      </w:r>
      <w:r w:rsidRPr="000357A8">
        <w:rPr>
          <w:lang w:val="en-US"/>
        </w:rPr>
        <w:t>a</w:t>
      </w:r>
      <w:r w:rsidRPr="000357A8">
        <w:t>) статьи 5 Факультативного протокола, К</w:t>
      </w:r>
      <w:r w:rsidRPr="000357A8">
        <w:t>о</w:t>
      </w:r>
      <w:r w:rsidRPr="000357A8">
        <w:t>митет удостоверился в том, что этот же вопрос не рассматривается в соответс</w:t>
      </w:r>
      <w:r w:rsidRPr="000357A8">
        <w:t>т</w:t>
      </w:r>
      <w:r w:rsidRPr="000357A8">
        <w:t>вии с другой процедурой международного разбирательства или урегулиров</w:t>
      </w:r>
      <w:r w:rsidRPr="000357A8">
        <w:t>а</w:t>
      </w:r>
      <w:r w:rsidRPr="000357A8">
        <w:t>ния.</w:t>
      </w:r>
    </w:p>
    <w:p w:rsidR="0014670C" w:rsidRPr="00BD7864" w:rsidRDefault="0014670C" w:rsidP="0014670C">
      <w:pPr>
        <w:pStyle w:val="SingleTxtGR"/>
      </w:pPr>
      <w:r w:rsidRPr="000357A8">
        <w:t>8.3</w:t>
      </w:r>
      <w:r w:rsidRPr="000357A8">
        <w:tab/>
        <w:t>Комитет отмечает, что государство-участник оспаривает приемлемость сообщения на том основании, что не были исчерпаны внутренние средства пр</w:t>
      </w:r>
      <w:r w:rsidRPr="000357A8">
        <w:t>а</w:t>
      </w:r>
      <w:r w:rsidRPr="000357A8">
        <w:t xml:space="preserve">вовой защиты. Государство-участник утверждает, что пять авторов из состава группы, </w:t>
      </w:r>
      <w:r>
        <w:t xml:space="preserve">которая </w:t>
      </w:r>
      <w:r w:rsidRPr="000357A8">
        <w:t>прибы</w:t>
      </w:r>
      <w:r>
        <w:t>ла</w:t>
      </w:r>
      <w:r w:rsidRPr="000357A8">
        <w:t xml:space="preserve"> на судне "</w:t>
      </w:r>
      <w:r w:rsidRPr="001F5365">
        <w:rPr>
          <w:lang w:val="en-US"/>
        </w:rPr>
        <w:t>Ocean</w:t>
      </w:r>
      <w:r w:rsidRPr="001F5365">
        <w:t xml:space="preserve"> </w:t>
      </w:r>
      <w:r w:rsidRPr="001F5365">
        <w:rPr>
          <w:lang w:val="en-US"/>
        </w:rPr>
        <w:t>Viking</w:t>
      </w:r>
      <w:r w:rsidRPr="000357A8">
        <w:t xml:space="preserve">", имеющие право на подачу </w:t>
      </w:r>
      <w:r>
        <w:t>прошения о выдаче</w:t>
      </w:r>
      <w:r w:rsidRPr="000357A8">
        <w:t xml:space="preserve"> виз</w:t>
      </w:r>
      <w:r>
        <w:t xml:space="preserve"> с целью их защиты</w:t>
      </w:r>
      <w:r w:rsidRPr="000357A8">
        <w:t xml:space="preserve">, могли бы обратиться в Высокий суд с </w:t>
      </w:r>
      <w:r>
        <w:t>ходатайством</w:t>
      </w:r>
      <w:r w:rsidRPr="000357A8">
        <w:t xml:space="preserve"> о пересмотре решения в судебном порядке. Однако Комитет считает, что государство-участник не продемонстрировало наличие какого-либо эффективного средства правовой защиты в связи с жалобами авторов на их з</w:t>
      </w:r>
      <w:r w:rsidRPr="000357A8">
        <w:t>а</w:t>
      </w:r>
      <w:r w:rsidRPr="000357A8">
        <w:t>держание в течение продолжительного и</w:t>
      </w:r>
      <w:r>
        <w:t>,</w:t>
      </w:r>
      <w:r w:rsidRPr="000357A8">
        <w:t xml:space="preserve"> возможно</w:t>
      </w:r>
      <w:r>
        <w:t>,</w:t>
      </w:r>
      <w:r w:rsidRPr="000357A8">
        <w:t xml:space="preserve"> неопределенного времени, даже</w:t>
      </w:r>
      <w:r>
        <w:t xml:space="preserve"> при том понимании, что в отличие от других авторов на них не распр</w:t>
      </w:r>
      <w:r>
        <w:t>о</w:t>
      </w:r>
      <w:r>
        <w:t>странялся режим бессрочного содержания под стражей</w:t>
      </w:r>
      <w:r w:rsidRPr="000357A8">
        <w:t>.</w:t>
      </w:r>
      <w:r>
        <w:t xml:space="preserve"> </w:t>
      </w:r>
      <w:r w:rsidRPr="000357A8">
        <w:t>Государство-участник не доказало, что его суды обладают полномочиями для вынесения индивид</w:t>
      </w:r>
      <w:r w:rsidRPr="000357A8">
        <w:t>у</w:t>
      </w:r>
      <w:r w:rsidRPr="000357A8">
        <w:t>альных решений о</w:t>
      </w:r>
      <w:r>
        <w:t xml:space="preserve">б </w:t>
      </w:r>
      <w:r w:rsidRPr="000357A8">
        <w:t>обоснованности задержания каждого автора в течение пр</w:t>
      </w:r>
      <w:r w:rsidRPr="000357A8">
        <w:t>о</w:t>
      </w:r>
      <w:r w:rsidRPr="000357A8">
        <w:t xml:space="preserve">должительных процессуальных действий. Кроме того, Комитет отмечает, что в </w:t>
      </w:r>
      <w:r>
        <w:t>постановлении</w:t>
      </w:r>
      <w:r w:rsidRPr="000357A8">
        <w:t xml:space="preserve"> Высокого суда от 5 октября 2012 года по делу </w:t>
      </w:r>
      <w:r w:rsidRPr="000357A8">
        <w:rPr>
          <w:i/>
        </w:rPr>
        <w:t>М47</w:t>
      </w:r>
      <w:r w:rsidRPr="000357A8">
        <w:t xml:space="preserve"> Высокий суд </w:t>
      </w:r>
      <w:r>
        <w:t>подт</w:t>
      </w:r>
      <w:r w:rsidRPr="000357A8">
        <w:t xml:space="preserve">вердил </w:t>
      </w:r>
      <w:r>
        <w:t>решение о продолжении</w:t>
      </w:r>
      <w:r w:rsidRPr="000357A8">
        <w:t xml:space="preserve"> обязательно</w:t>
      </w:r>
      <w:r>
        <w:t>го</w:t>
      </w:r>
      <w:r w:rsidRPr="000357A8">
        <w:t xml:space="preserve"> </w:t>
      </w:r>
      <w:r>
        <w:t>содержания под стражей</w:t>
      </w:r>
      <w:r w:rsidRPr="000357A8">
        <w:t xml:space="preserve"> </w:t>
      </w:r>
      <w:r w:rsidRPr="000D2B40">
        <w:t>беженца с судна "</w:t>
      </w:r>
      <w:r w:rsidRPr="000D2B40">
        <w:rPr>
          <w:lang w:val="en-US"/>
        </w:rPr>
        <w:t>Ocean</w:t>
      </w:r>
      <w:r w:rsidRPr="000D2B40">
        <w:t xml:space="preserve"> </w:t>
      </w:r>
      <w:r w:rsidRPr="000D2B40">
        <w:rPr>
          <w:lang w:val="en-US"/>
        </w:rPr>
        <w:t>Viking</w:t>
      </w:r>
      <w:r w:rsidRPr="000D2B40">
        <w:t>". Соответственно, Комитет считает, что госуда</w:t>
      </w:r>
      <w:r w:rsidRPr="000D2B40">
        <w:t>р</w:t>
      </w:r>
      <w:r w:rsidRPr="000357A8">
        <w:t xml:space="preserve">ство-участник не продемонстрировало наличие </w:t>
      </w:r>
      <w:r>
        <w:t xml:space="preserve">подлежащих исчерпанию </w:t>
      </w:r>
      <w:r w:rsidRPr="000357A8">
        <w:t>э</w:t>
      </w:r>
      <w:r w:rsidRPr="000357A8">
        <w:t>ф</w:t>
      </w:r>
      <w:r w:rsidRPr="000357A8">
        <w:t>фективных средств</w:t>
      </w:r>
      <w:r>
        <w:t xml:space="preserve"> правовой защиты</w:t>
      </w:r>
      <w:r w:rsidRPr="000357A8">
        <w:t xml:space="preserve"> и что </w:t>
      </w:r>
      <w:r>
        <w:t xml:space="preserve">применительно к этим авторам </w:t>
      </w:r>
      <w:r w:rsidRPr="000357A8">
        <w:t>с</w:t>
      </w:r>
      <w:r w:rsidRPr="000357A8">
        <w:t>о</w:t>
      </w:r>
      <w:r w:rsidRPr="000357A8">
        <w:t xml:space="preserve">общение является приемлемым </w:t>
      </w:r>
      <w:r>
        <w:t xml:space="preserve">согласно </w:t>
      </w:r>
      <w:r w:rsidRPr="000357A8">
        <w:t>пункт</w:t>
      </w:r>
      <w:r>
        <w:t>у</w:t>
      </w:r>
      <w:r w:rsidRPr="000357A8">
        <w:t xml:space="preserve"> 2 </w:t>
      </w:r>
      <w:r w:rsidRPr="000357A8">
        <w:rPr>
          <w:lang w:val="en-US"/>
        </w:rPr>
        <w:t>b</w:t>
      </w:r>
      <w:r w:rsidRPr="000357A8">
        <w:t xml:space="preserve">) статьи 5 Факультативного протокола. </w:t>
      </w:r>
    </w:p>
    <w:p w:rsidR="0014670C" w:rsidRPr="000357A8" w:rsidRDefault="0014670C" w:rsidP="0014670C">
      <w:pPr>
        <w:pStyle w:val="SingleTxtGR"/>
      </w:pPr>
      <w:r w:rsidRPr="000357A8">
        <w:t>8.4</w:t>
      </w:r>
      <w:r w:rsidRPr="000357A8">
        <w:tab/>
        <w:t>Все остальные авторы, являющиеся офшорно въехавшими в страну л</w:t>
      </w:r>
      <w:r w:rsidRPr="000357A8">
        <w:t>и</w:t>
      </w:r>
      <w:r w:rsidRPr="000357A8">
        <w:t>цами и не имеющи</w:t>
      </w:r>
      <w:r>
        <w:t>ми</w:t>
      </w:r>
      <w:r w:rsidRPr="000357A8">
        <w:t xml:space="preserve"> права подавать прошение о предоставлении визы, за и</w:t>
      </w:r>
      <w:r w:rsidRPr="000357A8">
        <w:t>с</w:t>
      </w:r>
      <w:r w:rsidRPr="000357A8">
        <w:t xml:space="preserve">ключением двух человек, не </w:t>
      </w:r>
      <w:r>
        <w:t xml:space="preserve">ходатайствовали о </w:t>
      </w:r>
      <w:r w:rsidRPr="000357A8">
        <w:t>пересмотр</w:t>
      </w:r>
      <w:r>
        <w:t>е</w:t>
      </w:r>
      <w:r w:rsidRPr="000357A8">
        <w:t xml:space="preserve"> в судебном порядке решени</w:t>
      </w:r>
      <w:r>
        <w:t>й</w:t>
      </w:r>
      <w:r w:rsidRPr="000357A8">
        <w:t xml:space="preserve"> об их задержании и основани</w:t>
      </w:r>
      <w:r>
        <w:t>й</w:t>
      </w:r>
      <w:r w:rsidRPr="000357A8">
        <w:t xml:space="preserve"> их оценки</w:t>
      </w:r>
      <w:r>
        <w:t xml:space="preserve"> с точки зрения угрозы</w:t>
      </w:r>
      <w:r w:rsidRPr="000357A8">
        <w:t xml:space="preserve"> без</w:t>
      </w:r>
      <w:r w:rsidRPr="000357A8">
        <w:t>о</w:t>
      </w:r>
      <w:r w:rsidRPr="000357A8">
        <w:t xml:space="preserve">пасности. </w:t>
      </w:r>
      <w:r>
        <w:t>Один и</w:t>
      </w:r>
      <w:r w:rsidRPr="000357A8">
        <w:t>з этих двух автор</w:t>
      </w:r>
      <w:r>
        <w:t>ов</w:t>
      </w:r>
      <w:r w:rsidRPr="000357A8">
        <w:t xml:space="preserve"> </w:t>
      </w:r>
      <w:r>
        <w:t>обратился с ходатайством</w:t>
      </w:r>
      <w:r w:rsidRPr="000357A8">
        <w:t xml:space="preserve"> в Высокий суд, однако позднее отозвал его, а </w:t>
      </w:r>
      <w:r>
        <w:t>ходатайство</w:t>
      </w:r>
      <w:r w:rsidRPr="000357A8">
        <w:t xml:space="preserve"> второго автора все еще рассматрив</w:t>
      </w:r>
      <w:r w:rsidRPr="000357A8">
        <w:t>а</w:t>
      </w:r>
      <w:r w:rsidRPr="000357A8">
        <w:t>ется. Однако Комитет считает, что государство-участник не продемонстриров</w:t>
      </w:r>
      <w:r w:rsidRPr="000357A8">
        <w:t>а</w:t>
      </w:r>
      <w:r w:rsidRPr="000357A8">
        <w:t>ло наличия какого-либо эффективного средства правовой защиты применител</w:t>
      </w:r>
      <w:r w:rsidRPr="000357A8">
        <w:t>ь</w:t>
      </w:r>
      <w:r w:rsidRPr="000357A8">
        <w:t>но к жалобам авторов на их задержание.</w:t>
      </w:r>
      <w:r>
        <w:t xml:space="preserve"> </w:t>
      </w:r>
      <w:r w:rsidRPr="000357A8">
        <w:t>Возможность того, что высшая суде</w:t>
      </w:r>
      <w:r w:rsidRPr="000357A8">
        <w:t>б</w:t>
      </w:r>
      <w:r w:rsidRPr="000357A8">
        <w:t xml:space="preserve">ная инстанция государства-участника может когда-либо отменить свое </w:t>
      </w:r>
      <w:r>
        <w:t>ранее принятое</w:t>
      </w:r>
      <w:r w:rsidRPr="000357A8">
        <w:t xml:space="preserve"> решение </w:t>
      </w:r>
      <w:r>
        <w:t>о законности</w:t>
      </w:r>
      <w:r w:rsidRPr="000357A8">
        <w:t xml:space="preserve"> </w:t>
      </w:r>
      <w:r>
        <w:t xml:space="preserve">бессрочного </w:t>
      </w:r>
      <w:r w:rsidRPr="000357A8">
        <w:t>задержания не</w:t>
      </w:r>
      <w:r>
        <w:t xml:space="preserve"> дает достаточных оснований говорить о наличии</w:t>
      </w:r>
      <w:r w:rsidRPr="000357A8">
        <w:t xml:space="preserve"> в </w:t>
      </w:r>
      <w:r>
        <w:t>данный момент</w:t>
      </w:r>
      <w:r w:rsidRPr="000357A8">
        <w:t xml:space="preserve"> какого-либо эффективного средства правовой защиты. Государство-участник не доказало, что его суды о</w:t>
      </w:r>
      <w:r w:rsidRPr="000357A8">
        <w:t>б</w:t>
      </w:r>
      <w:r w:rsidRPr="000357A8">
        <w:t>ладают полномочиями на вынесение индивидуальных постановлений относ</w:t>
      </w:r>
      <w:r w:rsidRPr="000357A8">
        <w:t>и</w:t>
      </w:r>
      <w:r w:rsidRPr="000357A8">
        <w:t>тельно обоснованности задержания каждого автора. Кроме того</w:t>
      </w:r>
      <w:r w:rsidR="001F5365">
        <w:t>,</w:t>
      </w:r>
      <w:r w:rsidRPr="000357A8">
        <w:t xml:space="preserve"> с точки зрения этих авторов</w:t>
      </w:r>
      <w:r>
        <w:t xml:space="preserve"> </w:t>
      </w:r>
      <w:r w:rsidRPr="000357A8">
        <w:t xml:space="preserve">существенно, что решение Высокого суда по делу </w:t>
      </w:r>
      <w:r w:rsidRPr="000357A8">
        <w:rPr>
          <w:i/>
        </w:rPr>
        <w:t>М47</w:t>
      </w:r>
      <w:r w:rsidRPr="000357A8">
        <w:t xml:space="preserve"> было пр</w:t>
      </w:r>
      <w:r w:rsidRPr="000357A8">
        <w:t>и</w:t>
      </w:r>
      <w:r w:rsidRPr="000357A8">
        <w:t xml:space="preserve">нято в пользу продолжения обязательного задержания беженца, </w:t>
      </w:r>
      <w:r>
        <w:t>свидетельствуя о том</w:t>
      </w:r>
      <w:r w:rsidRPr="000357A8">
        <w:t xml:space="preserve">, что успешный судебный иск не обязательно приводит к освобождению </w:t>
      </w:r>
      <w:r>
        <w:t xml:space="preserve">из-под </w:t>
      </w:r>
      <w:r w:rsidRPr="000357A8">
        <w:t xml:space="preserve">произвольного </w:t>
      </w:r>
      <w:r>
        <w:t>содержания под стражей</w:t>
      </w:r>
      <w:r w:rsidRPr="000357A8">
        <w:t xml:space="preserve">. В этой связи Комитет считает, что государство-участник не доказало существование </w:t>
      </w:r>
      <w:r>
        <w:t xml:space="preserve">подлежащих исчерпанию </w:t>
      </w:r>
      <w:r w:rsidRPr="000357A8">
        <w:t>эффективных средств</w:t>
      </w:r>
      <w:r>
        <w:t xml:space="preserve"> правовой защиты</w:t>
      </w:r>
      <w:r w:rsidRPr="000357A8">
        <w:t xml:space="preserve"> и что </w:t>
      </w:r>
      <w:r>
        <w:t xml:space="preserve">применительно к </w:t>
      </w:r>
      <w:r w:rsidRPr="000357A8">
        <w:t>остальны</w:t>
      </w:r>
      <w:r>
        <w:t>м уп</w:t>
      </w:r>
      <w:r>
        <w:t>о</w:t>
      </w:r>
      <w:r>
        <w:t>мянутым</w:t>
      </w:r>
      <w:r w:rsidRPr="000357A8">
        <w:t xml:space="preserve"> автор</w:t>
      </w:r>
      <w:r>
        <w:t>ам</w:t>
      </w:r>
      <w:r w:rsidRPr="000357A8">
        <w:t xml:space="preserve"> сообщение является приемлемым </w:t>
      </w:r>
      <w:r>
        <w:t>согласно</w:t>
      </w:r>
      <w:r w:rsidRPr="000357A8">
        <w:t xml:space="preserve"> пункт</w:t>
      </w:r>
      <w:r>
        <w:t>у</w:t>
      </w:r>
      <w:r w:rsidRPr="000357A8">
        <w:t xml:space="preserve"> 2</w:t>
      </w:r>
      <w:r w:rsidRPr="000357A8">
        <w:rPr>
          <w:lang w:val="en-US"/>
        </w:rPr>
        <w:t> b</w:t>
      </w:r>
      <w:r w:rsidRPr="000357A8">
        <w:t xml:space="preserve">) статьи 5 Факультативного протокола. </w:t>
      </w:r>
    </w:p>
    <w:p w:rsidR="0014670C" w:rsidRPr="000D2B40" w:rsidRDefault="0014670C" w:rsidP="0014670C">
      <w:pPr>
        <w:pStyle w:val="SingleTxtGR"/>
      </w:pPr>
      <w:r w:rsidRPr="00782181">
        <w:t>8.5</w:t>
      </w:r>
      <w:r w:rsidRPr="00782181">
        <w:tab/>
        <w:t xml:space="preserve">Комитет также принимает к сведению довод государства-участника о том, что жалоба авторов по пункту 2 статьи 9 должна быть признана неприемлемой </w:t>
      </w:r>
      <w:r w:rsidRPr="000D2B40">
        <w:t>ratione materiae, поскольку это положение ограничивается арестом лиц за с</w:t>
      </w:r>
      <w:r w:rsidRPr="000D2B40">
        <w:t>о</w:t>
      </w:r>
      <w:r w:rsidRPr="000D2B40">
        <w:t>вершение уголовных преступлений. Однако Комитет полагает, что в контексте настоящего положения термин "арест" означает принятие мер по лишению св</w:t>
      </w:r>
      <w:r w:rsidRPr="000D2B40">
        <w:t>о</w:t>
      </w:r>
      <w:r w:rsidRPr="000D2B40">
        <w:t>боды, будь то в рамках уголовного или административного разбирательства, и что данные лица имеют право быть проинформированы о причинах такого ар</w:t>
      </w:r>
      <w:r w:rsidRPr="000D2B40">
        <w:t>е</w:t>
      </w:r>
      <w:r w:rsidRPr="000D2B40">
        <w:t>ста</w:t>
      </w:r>
      <w:r w:rsidRPr="000D2B40">
        <w:rPr>
          <w:rStyle w:val="FootnoteReference"/>
        </w:rPr>
        <w:footnoteReference w:id="13"/>
      </w:r>
      <w:r w:rsidRPr="000D2B40">
        <w:t xml:space="preserve">. Соответственно, Комитет считает, что эта жалоба является неприемлемой </w:t>
      </w:r>
      <w:r w:rsidRPr="000D2B40">
        <w:rPr>
          <w:lang w:val="en-US"/>
        </w:rPr>
        <w:t>ratione</w:t>
      </w:r>
      <w:r w:rsidRPr="000D2B40">
        <w:t xml:space="preserve"> </w:t>
      </w:r>
      <w:r w:rsidRPr="000D2B40">
        <w:rPr>
          <w:lang w:val="en-US"/>
        </w:rPr>
        <w:t>materiae</w:t>
      </w:r>
      <w:r w:rsidRPr="000D2B40">
        <w:t>, равно как и по другим основаниям и подлежит рассмотрению по существу.</w:t>
      </w:r>
    </w:p>
    <w:p w:rsidR="0014670C" w:rsidRPr="00DF502A" w:rsidRDefault="0014670C" w:rsidP="0014670C">
      <w:pPr>
        <w:pStyle w:val="SingleTxtGR"/>
      </w:pPr>
      <w:r w:rsidRPr="00DF502A">
        <w:t>8.6</w:t>
      </w:r>
      <w:r w:rsidRPr="00DF502A">
        <w:tab/>
        <w:t>По поводу жалоб в соответствии со статьями 7 и/или 10 (пункт 1) Пакта Комитет считает, что для целей приемлемости они были достаточно обоснов</w:t>
      </w:r>
      <w:r w:rsidRPr="00DF502A">
        <w:t>а</w:t>
      </w:r>
      <w:r w:rsidRPr="00DF502A">
        <w:t>ны, и объявляет их приемлемыми.</w:t>
      </w:r>
    </w:p>
    <w:p w:rsidR="0014670C" w:rsidRPr="00DF502A" w:rsidRDefault="0014670C" w:rsidP="0014670C">
      <w:pPr>
        <w:pStyle w:val="SingleTxtGR"/>
      </w:pPr>
      <w:r w:rsidRPr="00DF502A">
        <w:t>8.7</w:t>
      </w:r>
      <w:r w:rsidRPr="00DF502A">
        <w:tab/>
        <w:t xml:space="preserve">В </w:t>
      </w:r>
      <w:r>
        <w:t>отношении</w:t>
      </w:r>
      <w:r w:rsidRPr="00DF502A">
        <w:t xml:space="preserve"> жалоб</w:t>
      </w:r>
      <w:r>
        <w:t xml:space="preserve"> </w:t>
      </w:r>
      <w:r w:rsidRPr="00DF502A">
        <w:t xml:space="preserve">авторов из семьи Р. на то, что их задержание </w:t>
      </w:r>
      <w:r>
        <w:t>являе</w:t>
      </w:r>
      <w:r>
        <w:t>т</w:t>
      </w:r>
      <w:r>
        <w:t>ся</w:t>
      </w:r>
      <w:r w:rsidRPr="00DF502A">
        <w:t xml:space="preserve"> нарушение</w:t>
      </w:r>
      <w:r>
        <w:t>м</w:t>
      </w:r>
      <w:r w:rsidRPr="00DF502A">
        <w:t xml:space="preserve"> статей 17 (пункт 1) и 23 (пункт 1), а также статьи 24 (пункт 1) </w:t>
      </w:r>
      <w:r>
        <w:t>в части, касающейся их</w:t>
      </w:r>
      <w:r w:rsidRPr="00DF502A">
        <w:t xml:space="preserve"> троих детей, Комитет указывает, что этой семье</w:t>
      </w:r>
      <w:r>
        <w:t xml:space="preserve">, </w:t>
      </w:r>
      <w:r w:rsidRPr="00DB2ED7">
        <w:t>включая детей</w:t>
      </w:r>
      <w:r>
        <w:t>,</w:t>
      </w:r>
      <w:r w:rsidRPr="00DF502A">
        <w:t xml:space="preserve"> была предоставлена возможность </w:t>
      </w:r>
      <w:r>
        <w:t>проживать</w:t>
      </w:r>
      <w:r w:rsidRPr="00DF502A">
        <w:t xml:space="preserve"> вместе, ей было предлож</w:t>
      </w:r>
      <w:r w:rsidRPr="00DF502A">
        <w:t>е</w:t>
      </w:r>
      <w:r w:rsidRPr="00DF502A">
        <w:t xml:space="preserve">но специальное жилье городского типа, а также </w:t>
      </w:r>
      <w:r>
        <w:t>созданы условия</w:t>
      </w:r>
      <w:r w:rsidRPr="00DF502A">
        <w:t xml:space="preserve"> для получения образования, досуга и </w:t>
      </w:r>
      <w:r>
        <w:t xml:space="preserve">участия в </w:t>
      </w:r>
      <w:r w:rsidRPr="00DF502A">
        <w:t>други</w:t>
      </w:r>
      <w:r>
        <w:t>х</w:t>
      </w:r>
      <w:r w:rsidRPr="00DF502A">
        <w:t xml:space="preserve"> программ</w:t>
      </w:r>
      <w:r>
        <w:t>а</w:t>
      </w:r>
      <w:r w:rsidR="000A3CDB">
        <w:t>х</w:t>
      </w:r>
      <w:r w:rsidRPr="00DF502A">
        <w:t xml:space="preserve">, в том числе за пределами </w:t>
      </w:r>
      <w:r>
        <w:t>жилого</w:t>
      </w:r>
      <w:r w:rsidRPr="00DF502A">
        <w:t xml:space="preserve"> комплекса. </w:t>
      </w:r>
      <w:r>
        <w:t xml:space="preserve">Независимо от </w:t>
      </w:r>
      <w:r w:rsidRPr="00DF502A">
        <w:t>трудност</w:t>
      </w:r>
      <w:r>
        <w:t>ей</w:t>
      </w:r>
      <w:r w:rsidRPr="00DF502A">
        <w:t xml:space="preserve"> проживания в условиях време</w:t>
      </w:r>
      <w:r w:rsidRPr="00DF502A">
        <w:t>н</w:t>
      </w:r>
      <w:r w:rsidRPr="00DF502A">
        <w:t>ного задержания, Комитет считает, что в данных обстоятельствах жалобы авт</w:t>
      </w:r>
      <w:r w:rsidRPr="00DF502A">
        <w:t>о</w:t>
      </w:r>
      <w:r w:rsidRPr="00DF502A">
        <w:t>ров не были достаточно обоснованы, и объявляет их неприемлемыми в соотве</w:t>
      </w:r>
      <w:r w:rsidRPr="00DF502A">
        <w:t>т</w:t>
      </w:r>
      <w:r w:rsidRPr="00DF502A">
        <w:t xml:space="preserve">ствии со статьей 2 Факультативного </w:t>
      </w:r>
      <w:r w:rsidRPr="00E7528B">
        <w:t>протокола</w:t>
      </w:r>
      <w:r>
        <w:rPr>
          <w:rStyle w:val="FootnoteReference"/>
        </w:rPr>
        <w:footnoteReference w:id="14"/>
      </w:r>
      <w:r w:rsidR="000D2B40">
        <w:t>. По поводу жалоб С.С. (а</w:t>
      </w:r>
      <w:r w:rsidR="000D2B40">
        <w:t>в</w:t>
      </w:r>
      <w:r w:rsidR="000D2B40">
        <w:t>тор </w:t>
      </w:r>
      <w:r w:rsidRPr="00DF502A">
        <w:t>20) по тем же самым статьям, то с учетом мер государства-участника по с</w:t>
      </w:r>
      <w:r w:rsidRPr="00DF502A">
        <w:t>о</w:t>
      </w:r>
      <w:r w:rsidRPr="00DF502A">
        <w:t>действ</w:t>
      </w:r>
      <w:r>
        <w:t>и</w:t>
      </w:r>
      <w:r w:rsidRPr="00DF502A">
        <w:t xml:space="preserve">ю </w:t>
      </w:r>
      <w:r>
        <w:t xml:space="preserve">поддержанию </w:t>
      </w:r>
      <w:r w:rsidRPr="00DF502A">
        <w:t>контак</w:t>
      </w:r>
      <w:r>
        <w:t>тов</w:t>
      </w:r>
      <w:r w:rsidRPr="00DF502A">
        <w:t xml:space="preserve"> между С.С. и проживающими в общине его женой и ребенком,</w:t>
      </w:r>
      <w:r>
        <w:t xml:space="preserve"> </w:t>
      </w:r>
      <w:r w:rsidRPr="00DF502A">
        <w:t>Комитет также считает, что в данных обстоятельствах жал</w:t>
      </w:r>
      <w:r w:rsidRPr="00DF502A">
        <w:t>о</w:t>
      </w:r>
      <w:r w:rsidRPr="00DF502A">
        <w:t xml:space="preserve">бы автора не были достаточным образом обоснованы для целей приемлемости. </w:t>
      </w:r>
    </w:p>
    <w:p w:rsidR="0014670C" w:rsidRPr="00DF502A" w:rsidRDefault="00BD2C81" w:rsidP="0014670C">
      <w:pPr>
        <w:pStyle w:val="SingleTxtGR"/>
      </w:pPr>
      <w:r>
        <w:t>8.8</w:t>
      </w:r>
      <w:r>
        <w:tab/>
        <w:t>Соответственно</w:t>
      </w:r>
      <w:r w:rsidR="0014670C" w:rsidRPr="00DF502A">
        <w:t xml:space="preserve"> Комитет принимает решение о неприемлемости этого с</w:t>
      </w:r>
      <w:r w:rsidR="0014670C" w:rsidRPr="00DF502A">
        <w:t>о</w:t>
      </w:r>
      <w:r w:rsidR="0014670C" w:rsidRPr="00DF502A">
        <w:t xml:space="preserve">общения в части, касающейся поднятых вопросов по статьям 7, 9 (пункты 1, 2 и 4) и 10 (пункт 1). </w:t>
      </w:r>
    </w:p>
    <w:p w:rsidR="0014670C" w:rsidRPr="00A77040" w:rsidRDefault="0014670C" w:rsidP="000A3CDB">
      <w:pPr>
        <w:pStyle w:val="H4GR"/>
        <w:spacing w:before="240"/>
      </w:pPr>
      <w:r w:rsidRPr="00A77040">
        <w:tab/>
      </w:r>
      <w:r w:rsidRPr="00A77040">
        <w:tab/>
      </w:r>
      <w:r w:rsidRPr="00DF502A">
        <w:t>Рассмотрение</w:t>
      </w:r>
      <w:r w:rsidRPr="00A77040">
        <w:t xml:space="preserve"> </w:t>
      </w:r>
      <w:r w:rsidRPr="00DF502A">
        <w:t>дела</w:t>
      </w:r>
      <w:r w:rsidRPr="00A77040">
        <w:t xml:space="preserve"> </w:t>
      </w:r>
      <w:r w:rsidRPr="00DF502A">
        <w:t>по</w:t>
      </w:r>
      <w:r w:rsidRPr="00A77040">
        <w:t xml:space="preserve"> </w:t>
      </w:r>
      <w:r w:rsidRPr="00DF502A">
        <w:t>существу</w:t>
      </w:r>
    </w:p>
    <w:p w:rsidR="0014670C" w:rsidRPr="00DF502A" w:rsidRDefault="0014670C" w:rsidP="0014670C">
      <w:pPr>
        <w:pStyle w:val="SingleTxtGR"/>
      </w:pPr>
      <w:r w:rsidRPr="00DF502A">
        <w:t>9.1</w:t>
      </w:r>
      <w:r w:rsidRPr="00DF502A">
        <w:tab/>
        <w:t>Комитет по правам человека рассмотрел сообщение в свете всей инфо</w:t>
      </w:r>
      <w:r w:rsidRPr="00DF502A">
        <w:t>р</w:t>
      </w:r>
      <w:r w:rsidRPr="00DF502A">
        <w:t>мации, представленной ему сторонами, как это предусмотрено пунктом 1 ст</w:t>
      </w:r>
      <w:r w:rsidRPr="00DF502A">
        <w:t>а</w:t>
      </w:r>
      <w:r w:rsidRPr="00DF502A">
        <w:t xml:space="preserve">тьи 5 Факультативного протокола. </w:t>
      </w:r>
    </w:p>
    <w:p w:rsidR="0014670C" w:rsidRPr="00DF502A" w:rsidRDefault="0014670C" w:rsidP="0014670C">
      <w:pPr>
        <w:pStyle w:val="H56GR"/>
      </w:pPr>
      <w:r w:rsidRPr="00DF502A">
        <w:tab/>
      </w:r>
      <w:r w:rsidRPr="00DF502A">
        <w:tab/>
        <w:t>Жалобы в соответствии с пунктом 1 статьи 9</w:t>
      </w:r>
    </w:p>
    <w:p w:rsidR="0014670C" w:rsidRPr="00DF502A" w:rsidRDefault="0014670C" w:rsidP="0014670C">
      <w:pPr>
        <w:pStyle w:val="SingleTxtGR"/>
      </w:pPr>
      <w:r w:rsidRPr="00DF502A">
        <w:t>9.2</w:t>
      </w:r>
      <w:r w:rsidRPr="00DF502A">
        <w:tab/>
        <w:t>Авторы утверждают, что их обязательное задержание</w:t>
      </w:r>
      <w:r>
        <w:t xml:space="preserve"> по </w:t>
      </w:r>
      <w:r w:rsidRPr="00DF502A">
        <w:t>прибытию в страну</w:t>
      </w:r>
      <w:r>
        <w:t>, а также</w:t>
      </w:r>
      <w:r w:rsidRPr="00DF502A">
        <w:t xml:space="preserve"> его продолжительн</w:t>
      </w:r>
      <w:r>
        <w:t>ый и бессрочный</w:t>
      </w:r>
      <w:r w:rsidRPr="00DF502A">
        <w:t xml:space="preserve"> характер, обусловленный соображениями безопасности, является незаконным и произвольным и, след</w:t>
      </w:r>
      <w:r w:rsidRPr="00DF502A">
        <w:t>о</w:t>
      </w:r>
      <w:r w:rsidRPr="00DF502A">
        <w:t>вательно, представляет собой нарушение пункта 1 статьи 9 Пакта. Они утве</w:t>
      </w:r>
      <w:r w:rsidRPr="00DF502A">
        <w:t>р</w:t>
      </w:r>
      <w:r w:rsidRPr="00DF502A">
        <w:t>ждают, что их задержание несоразмерн</w:t>
      </w:r>
      <w:r>
        <w:t>о</w:t>
      </w:r>
      <w:r w:rsidRPr="00DF502A">
        <w:t xml:space="preserve"> то</w:t>
      </w:r>
      <w:r>
        <w:t>й угрозе</w:t>
      </w:r>
      <w:r w:rsidRPr="00DF502A">
        <w:t xml:space="preserve"> безопасности, котор</w:t>
      </w:r>
      <w:r>
        <w:t>ую</w:t>
      </w:r>
      <w:r w:rsidRPr="00DF502A">
        <w:t xml:space="preserve"> они, как утверждается, представляют и что внутренние процедуры пересмотра такой оценки являются явно неудовлетворительными. Государство-участник </w:t>
      </w:r>
      <w:r>
        <w:t>заявляет</w:t>
      </w:r>
      <w:r w:rsidRPr="00DF502A">
        <w:t>, что совершеннолетние авторы – это незаконно прибывшие в страну лица, не я</w:t>
      </w:r>
      <w:r w:rsidRPr="00DF502A">
        <w:t>в</w:t>
      </w:r>
      <w:r w:rsidRPr="00DF502A">
        <w:t>ляющиеся ее гражданами, которые задерживаются в порядке применения Зак</w:t>
      </w:r>
      <w:r w:rsidRPr="00DF502A">
        <w:t>о</w:t>
      </w:r>
      <w:r w:rsidRPr="00DF502A">
        <w:t>на о миграции и Закона об Австралийской организации по вопросам безопасн</w:t>
      </w:r>
      <w:r w:rsidRPr="00DF502A">
        <w:t>о</w:t>
      </w:r>
      <w:r w:rsidRPr="00DF502A">
        <w:t xml:space="preserve">сти и разведки; что </w:t>
      </w:r>
      <w:r>
        <w:t xml:space="preserve">по этой причине </w:t>
      </w:r>
      <w:r w:rsidRPr="00DF502A">
        <w:t>их задержание</w:t>
      </w:r>
      <w:r>
        <w:t xml:space="preserve"> </w:t>
      </w:r>
      <w:r w:rsidRPr="00DF502A">
        <w:t>носит законный характер и конституционно о</w:t>
      </w:r>
      <w:r>
        <w:t>боснованно</w:t>
      </w:r>
      <w:r w:rsidRPr="00DF502A">
        <w:t>, как это ранее было заявлено Высоким судом, а также является соразмерн</w:t>
      </w:r>
      <w:r>
        <w:t>ой ответной реакцией</w:t>
      </w:r>
      <w:r w:rsidRPr="00DF502A">
        <w:t xml:space="preserve"> на угрозу безопасности, кот</w:t>
      </w:r>
      <w:r w:rsidRPr="00DF502A">
        <w:t>о</w:t>
      </w:r>
      <w:r w:rsidRPr="00DF502A">
        <w:t xml:space="preserve">рую они, как было признано, представляют. </w:t>
      </w:r>
    </w:p>
    <w:p w:rsidR="0014670C" w:rsidRPr="00DF502A" w:rsidRDefault="0014670C" w:rsidP="0014670C">
      <w:pPr>
        <w:pStyle w:val="SingleTxtGR"/>
      </w:pPr>
      <w:r w:rsidRPr="00DF502A">
        <w:t>9.3</w:t>
      </w:r>
      <w:r w:rsidRPr="00DF502A">
        <w:tab/>
        <w:t>Комитет напоминает, что понятие "произвольности" не равнозначно п</w:t>
      </w:r>
      <w:r w:rsidRPr="00DF502A">
        <w:t>о</w:t>
      </w:r>
      <w:r w:rsidRPr="00DF502A">
        <w:t>нятию "противозаконности", но должно истолковываться более широко и вкл</w:t>
      </w:r>
      <w:r w:rsidRPr="00DF502A">
        <w:t>ю</w:t>
      </w:r>
      <w:r w:rsidRPr="00DF502A">
        <w:t>чать элементы неуместности, несправедливости, непредсказуемости и надл</w:t>
      </w:r>
      <w:r w:rsidRPr="00DF502A">
        <w:t>е</w:t>
      </w:r>
      <w:r w:rsidRPr="00DF502A">
        <w:t xml:space="preserve">жащего судебного </w:t>
      </w:r>
      <w:r w:rsidRPr="00E7528B">
        <w:t>разбирательства</w:t>
      </w:r>
      <w:r>
        <w:rPr>
          <w:rStyle w:val="FootnoteReference"/>
        </w:rPr>
        <w:footnoteReference w:id="15"/>
      </w:r>
      <w:r w:rsidRPr="00DF502A">
        <w:t>. Временное задержание в процессе разб</w:t>
      </w:r>
      <w:r w:rsidRPr="00DF502A">
        <w:t>и</w:t>
      </w:r>
      <w:r w:rsidRPr="00DF502A">
        <w:t>рательства по делу о контроле за иммиграцией само по себе не является прои</w:t>
      </w:r>
      <w:r w:rsidRPr="00DF502A">
        <w:t>з</w:t>
      </w:r>
      <w:r w:rsidRPr="00DF502A">
        <w:t>вольным, однако такое задержание должно быть обосновано, как разумное, н</w:t>
      </w:r>
      <w:r w:rsidRPr="00DF502A">
        <w:t>е</w:t>
      </w:r>
      <w:r w:rsidRPr="00DF502A">
        <w:t>обходимое и соразмерное в свете имеющихся обстоятельств и с течением вр</w:t>
      </w:r>
      <w:r w:rsidRPr="00DF502A">
        <w:t>е</w:t>
      </w:r>
      <w:r w:rsidRPr="00DF502A">
        <w:t>мени должно пересматриваться. Просители убежища, незаконно прибывающие на территорию государства-участника, могут подвергаться задержанию на к</w:t>
      </w:r>
      <w:r w:rsidRPr="00DF502A">
        <w:t>о</w:t>
      </w:r>
      <w:r w:rsidRPr="00DF502A">
        <w:t>роткий период времени для документирования их въезда, регистрации их жалоб и, при наличии сомнений, для установления их личност</w:t>
      </w:r>
      <w:r>
        <w:t>и</w:t>
      </w:r>
      <w:r w:rsidRPr="00DF502A">
        <w:t>. Их дальнейшее з</w:t>
      </w:r>
      <w:r w:rsidRPr="00DF502A">
        <w:t>а</w:t>
      </w:r>
      <w:r w:rsidRPr="00DF502A">
        <w:t>держание на период рассмотрения их жалоб было бы произвольным при отсу</w:t>
      </w:r>
      <w:r w:rsidRPr="00DF502A">
        <w:t>т</w:t>
      </w:r>
      <w:r w:rsidRPr="00DF502A">
        <w:t>ствии конкретных особых причин по каждому отдельному лицу, таких, как в</w:t>
      </w:r>
      <w:r w:rsidRPr="00DF502A">
        <w:t>е</w:t>
      </w:r>
      <w:r w:rsidRPr="00DF502A">
        <w:t xml:space="preserve">роятность </w:t>
      </w:r>
      <w:r>
        <w:t>их побега</w:t>
      </w:r>
      <w:r w:rsidRPr="00DF502A">
        <w:t xml:space="preserve">, опасность совершения ими преступлений в отношении других лиц либо угроза </w:t>
      </w:r>
      <w:r>
        <w:t>осуществления</w:t>
      </w:r>
      <w:r w:rsidRPr="00DF502A">
        <w:t xml:space="preserve"> ими каких-либо </w:t>
      </w:r>
      <w:r>
        <w:t>акций</w:t>
      </w:r>
      <w:r w:rsidRPr="00DF502A">
        <w:t xml:space="preserve"> в ущерб наци</w:t>
      </w:r>
      <w:r w:rsidRPr="00DF502A">
        <w:t>о</w:t>
      </w:r>
      <w:r w:rsidRPr="00DF502A">
        <w:t>нальной безопасности. Принимаемое решение должно учитывать соответс</w:t>
      </w:r>
      <w:r w:rsidRPr="00DF502A">
        <w:t>т</w:t>
      </w:r>
      <w:r w:rsidRPr="00DF502A">
        <w:t>вующие факт</w:t>
      </w:r>
      <w:r>
        <w:t>оры</w:t>
      </w:r>
      <w:r w:rsidRPr="00DF502A">
        <w:t xml:space="preserve"> по каждому конкретному </w:t>
      </w:r>
      <w:r>
        <w:t>делу</w:t>
      </w:r>
      <w:r w:rsidRPr="00DF502A">
        <w:t xml:space="preserve"> и не должно базироваться на какой-либо </w:t>
      </w:r>
      <w:r>
        <w:t xml:space="preserve">одной </w:t>
      </w:r>
      <w:r w:rsidRPr="00DF502A">
        <w:t>норме</w:t>
      </w:r>
      <w:r>
        <w:t>, имеющей обязывающий характер</w:t>
      </w:r>
      <w:r w:rsidRPr="00DF502A">
        <w:t xml:space="preserve"> для той или иной широкой категории</w:t>
      </w:r>
      <w:r>
        <w:t xml:space="preserve"> лиц</w:t>
      </w:r>
      <w:r w:rsidRPr="00DF502A">
        <w:t xml:space="preserve">; должно принимать во внимание </w:t>
      </w:r>
      <w:r>
        <w:t xml:space="preserve">такие </w:t>
      </w:r>
      <w:r w:rsidRPr="00DF502A">
        <w:t>средства дост</w:t>
      </w:r>
      <w:r w:rsidRPr="00DF502A">
        <w:t>и</w:t>
      </w:r>
      <w:r w:rsidRPr="00DF502A">
        <w:t xml:space="preserve">жения этих же целей, которые не </w:t>
      </w:r>
      <w:r>
        <w:t xml:space="preserve">являются </w:t>
      </w:r>
      <w:r w:rsidRPr="00DF502A">
        <w:t>прям</w:t>
      </w:r>
      <w:r>
        <w:t>ым</w:t>
      </w:r>
      <w:r w:rsidRPr="00DF502A">
        <w:t xml:space="preserve"> вмешательств</w:t>
      </w:r>
      <w:r>
        <w:t>ом</w:t>
      </w:r>
      <w:r w:rsidRPr="00DF502A">
        <w:t xml:space="preserve">, например введение обязательства </w:t>
      </w:r>
      <w:r>
        <w:t xml:space="preserve">о постановке на учет </w:t>
      </w:r>
      <w:r w:rsidRPr="00DF502A">
        <w:t xml:space="preserve">в полиции, </w:t>
      </w:r>
      <w:r>
        <w:t>поручительство</w:t>
      </w:r>
      <w:r w:rsidRPr="00DF502A">
        <w:t xml:space="preserve"> или другие </w:t>
      </w:r>
      <w:r>
        <w:t>меры</w:t>
      </w:r>
      <w:r w:rsidRPr="00DF502A">
        <w:t>, препятствующие побегу; а также должн</w:t>
      </w:r>
      <w:r>
        <w:t>о</w:t>
      </w:r>
      <w:r w:rsidRPr="00DF502A">
        <w:t xml:space="preserve"> подлежать периодич</w:t>
      </w:r>
      <w:r w:rsidRPr="00DF502A">
        <w:t>е</w:t>
      </w:r>
      <w:r w:rsidRPr="00DF502A">
        <w:t xml:space="preserve">ской переоценке и пересмотру в судебном порядке. Решение также должно принимать во внимание потребности детей и состояние психического здоровья задержанных. Нельзя задерживать людей на неопределенный срок </w:t>
      </w:r>
      <w:r>
        <w:t>в интересах</w:t>
      </w:r>
      <w:r w:rsidRPr="00DF502A">
        <w:t xml:space="preserve"> контроля </w:t>
      </w:r>
      <w:r>
        <w:t>над</w:t>
      </w:r>
      <w:r w:rsidRPr="00DF502A">
        <w:t xml:space="preserve"> иммиграцией, если государство-участник не способно осущес</w:t>
      </w:r>
      <w:r w:rsidRPr="00DF502A">
        <w:t>т</w:t>
      </w:r>
      <w:r w:rsidRPr="00DF502A">
        <w:t>вить их высылку.</w:t>
      </w:r>
    </w:p>
    <w:p w:rsidR="0014670C" w:rsidRPr="00DF502A" w:rsidRDefault="0014670C" w:rsidP="0014670C">
      <w:pPr>
        <w:pStyle w:val="SingleTxtGR"/>
      </w:pPr>
      <w:r w:rsidRPr="00DF502A">
        <w:t>9.4</w:t>
      </w:r>
      <w:r w:rsidRPr="00DF502A">
        <w:tab/>
        <w:t xml:space="preserve">Комитет отмечает, что авторы содержатся в иммиграционных </w:t>
      </w:r>
      <w:r>
        <w:t>приемниках</w:t>
      </w:r>
      <w:r w:rsidRPr="00DF502A">
        <w:t xml:space="preserve"> с 2009 или с 2010 года, сначала в порядке обязательного задержания по приб</w:t>
      </w:r>
      <w:r w:rsidRPr="00DF502A">
        <w:t>ы</w:t>
      </w:r>
      <w:r w:rsidRPr="00DF502A">
        <w:t>тии в страну, а затем в результате негативных оценок</w:t>
      </w:r>
      <w:r>
        <w:t xml:space="preserve"> угрозы </w:t>
      </w:r>
      <w:r w:rsidRPr="00DF502A">
        <w:t>безопасности. О</w:t>
      </w:r>
      <w:r w:rsidRPr="00DF502A">
        <w:t>с</w:t>
      </w:r>
      <w:r w:rsidRPr="000D2B40">
        <w:t>нования для задержания прибывших на судне "Ocean Viking" авторов могли и</w:t>
      </w:r>
      <w:r w:rsidRPr="000D2B40">
        <w:t>з</w:t>
      </w:r>
      <w:r w:rsidRPr="00DF502A">
        <w:t>мениться после принятия В</w:t>
      </w:r>
      <w:r>
        <w:t xml:space="preserve">ысоким судом </w:t>
      </w:r>
      <w:r w:rsidRPr="00DF502A">
        <w:t xml:space="preserve">в октябре 2012 года решения о том, что введенный АОБР режим не подлежит применению, однако другие авторы все еще задерживаются на неопределенное время по </w:t>
      </w:r>
      <w:r>
        <w:t>мотивам обеспечения</w:t>
      </w:r>
      <w:r w:rsidRPr="00DF502A">
        <w:t xml:space="preserve"> безопасности. Какие бы причины ни приводились в обоснование их первон</w:t>
      </w:r>
      <w:r w:rsidRPr="00DF502A">
        <w:t>а</w:t>
      </w:r>
      <w:r w:rsidRPr="00DF502A">
        <w:t>чального задержания, например для целей установления их личност</w:t>
      </w:r>
      <w:r>
        <w:t>и</w:t>
      </w:r>
      <w:r w:rsidRPr="00DF502A">
        <w:t xml:space="preserve"> или </w:t>
      </w:r>
      <w:r>
        <w:t>выя</w:t>
      </w:r>
      <w:r>
        <w:t>с</w:t>
      </w:r>
      <w:r>
        <w:t xml:space="preserve">нения </w:t>
      </w:r>
      <w:r w:rsidRPr="00DF502A">
        <w:t xml:space="preserve">других </w:t>
      </w:r>
      <w:r>
        <w:t>вопросов</w:t>
      </w:r>
      <w:r w:rsidRPr="00DF502A">
        <w:t>, государство-участник, по мнению Комитета, не прод</w:t>
      </w:r>
      <w:r w:rsidRPr="00DF502A">
        <w:t>е</w:t>
      </w:r>
      <w:r w:rsidRPr="00DF502A">
        <w:t xml:space="preserve">монстрировало на индивидуальной основе, что их </w:t>
      </w:r>
      <w:r>
        <w:t>дальнейшее</w:t>
      </w:r>
      <w:r w:rsidRPr="00DF502A">
        <w:t xml:space="preserve"> </w:t>
      </w:r>
      <w:r>
        <w:t xml:space="preserve">бессрочное </w:t>
      </w:r>
      <w:r w:rsidRPr="00DF502A">
        <w:t>з</w:t>
      </w:r>
      <w:r w:rsidRPr="00DF502A">
        <w:t>а</w:t>
      </w:r>
      <w:r w:rsidRPr="00DF502A">
        <w:t xml:space="preserve">держание является оправданным. Государство-участник не </w:t>
      </w:r>
      <w:r>
        <w:t>доказало</w:t>
      </w:r>
      <w:r w:rsidRPr="00DF502A">
        <w:t>, что др</w:t>
      </w:r>
      <w:r w:rsidRPr="00DF502A">
        <w:t>у</w:t>
      </w:r>
      <w:r w:rsidRPr="00DF502A">
        <w:t xml:space="preserve">гие, не носящие характер прямого вмешательства меры </w:t>
      </w:r>
      <w:r>
        <w:t>не с</w:t>
      </w:r>
      <w:r w:rsidRPr="00DF502A">
        <w:t>могли бы достичь той же самой цели, то есть удовлетворения потребности государства-участника в принятии ответных мер на угрозу безопасности, которую, как ут</w:t>
      </w:r>
      <w:r>
        <w:t>вер</w:t>
      </w:r>
      <w:r w:rsidRPr="00DF502A">
        <w:t xml:space="preserve">ждается, представляли совершеннолетние авторы. Кроме того, авторы </w:t>
      </w:r>
      <w:r>
        <w:t>содержались под стражей</w:t>
      </w:r>
      <w:r w:rsidRPr="00DF502A">
        <w:t xml:space="preserve"> в условиях, когда их не информировали о конкретной опасности, кот</w:t>
      </w:r>
      <w:r w:rsidRPr="00DF502A">
        <w:t>о</w:t>
      </w:r>
      <w:r w:rsidRPr="00DF502A">
        <w:t>рая приписывалась каждому из них, а также о предпринимаемых австрали</w:t>
      </w:r>
      <w:r w:rsidRPr="00DF502A">
        <w:t>й</w:t>
      </w:r>
      <w:r w:rsidRPr="00DF502A">
        <w:t>скими властями усилиях по изысканию решений, которые позволили бы им п</w:t>
      </w:r>
      <w:r w:rsidRPr="00DF502A">
        <w:t>о</w:t>
      </w:r>
      <w:r w:rsidRPr="00DF502A">
        <w:t xml:space="preserve">лучить свободу. Они также лишены юридических гарантий, </w:t>
      </w:r>
      <w:r>
        <w:t>открывающих для них возможность</w:t>
      </w:r>
      <w:r w:rsidRPr="00DF502A">
        <w:t xml:space="preserve"> оспаривать свое </w:t>
      </w:r>
      <w:r>
        <w:t xml:space="preserve">бессрочное </w:t>
      </w:r>
      <w:r w:rsidRPr="00DF502A">
        <w:t>задержание. По всем этим пр</w:t>
      </w:r>
      <w:r w:rsidRPr="00DF502A">
        <w:t>и</w:t>
      </w:r>
      <w:r w:rsidRPr="00DF502A">
        <w:t>чинам Комитет считает, что задержание обеих групп авторов носит произвол</w:t>
      </w:r>
      <w:r w:rsidRPr="00DF502A">
        <w:t>ь</w:t>
      </w:r>
      <w:r w:rsidRPr="00DF502A">
        <w:t>ных характер и противоречит пункту 1 статьи 9 Пакта. Этот вывод распростр</w:t>
      </w:r>
      <w:r w:rsidRPr="00DF502A">
        <w:t>а</w:t>
      </w:r>
      <w:r w:rsidRPr="00DF502A">
        <w:t>няется на трех малолетних детей, поскольку их положение, независимо от их правового статуса законн</w:t>
      </w:r>
      <w:r>
        <w:t>о прибывших</w:t>
      </w:r>
      <w:r w:rsidRPr="00DF502A">
        <w:t xml:space="preserve"> неграждан, нельзя рассматривать о</w:t>
      </w:r>
      <w:r w:rsidRPr="00DF502A">
        <w:t>т</w:t>
      </w:r>
      <w:r w:rsidRPr="00DF502A">
        <w:t xml:space="preserve">дельно от положения их родителей. </w:t>
      </w:r>
    </w:p>
    <w:p w:rsidR="0014670C" w:rsidRPr="00A77040" w:rsidRDefault="0014670C" w:rsidP="0014670C">
      <w:pPr>
        <w:pStyle w:val="H56GR"/>
      </w:pPr>
      <w:r w:rsidRPr="00A77040">
        <w:tab/>
      </w:r>
      <w:r w:rsidRPr="00A77040">
        <w:tab/>
      </w:r>
      <w:r w:rsidRPr="00DF502A">
        <w:t>Жалобы</w:t>
      </w:r>
      <w:r w:rsidRPr="00A77040">
        <w:t xml:space="preserve"> </w:t>
      </w:r>
      <w:r w:rsidRPr="00DF502A">
        <w:t>по</w:t>
      </w:r>
      <w:r w:rsidRPr="00A77040">
        <w:t xml:space="preserve"> </w:t>
      </w:r>
      <w:r w:rsidRPr="00DF502A">
        <w:t>пункту</w:t>
      </w:r>
      <w:r w:rsidRPr="00A77040">
        <w:t xml:space="preserve"> 2 </w:t>
      </w:r>
      <w:r w:rsidRPr="00DF502A">
        <w:t>статьи</w:t>
      </w:r>
      <w:r w:rsidRPr="00A77040">
        <w:t xml:space="preserve"> 9</w:t>
      </w:r>
    </w:p>
    <w:p w:rsidR="0014670C" w:rsidRPr="00DF502A" w:rsidRDefault="0014670C" w:rsidP="0014670C">
      <w:pPr>
        <w:pStyle w:val="SingleTxtGR"/>
      </w:pPr>
      <w:r w:rsidRPr="00DF502A">
        <w:t>9.5</w:t>
      </w:r>
      <w:r w:rsidRPr="00DF502A">
        <w:tab/>
        <w:t xml:space="preserve">Авторы утверждают, </w:t>
      </w:r>
      <w:r>
        <w:t>власти не проинформировали их лично</w:t>
      </w:r>
      <w:r w:rsidRPr="00DF502A">
        <w:t xml:space="preserve"> о</w:t>
      </w:r>
      <w:r>
        <w:t xml:space="preserve"> принцип</w:t>
      </w:r>
      <w:r>
        <w:t>и</w:t>
      </w:r>
      <w:r>
        <w:t>альных</w:t>
      </w:r>
      <w:r w:rsidRPr="00DF502A">
        <w:t xml:space="preserve"> причинах их задержания ни по прибытию в страну, ни после оценки, которая была произведена АОБР. Государство-участник утверждает, что по пр</w:t>
      </w:r>
      <w:r w:rsidRPr="00DF502A">
        <w:t>и</w:t>
      </w:r>
      <w:r w:rsidRPr="00DF502A">
        <w:t>бытии большинству авторов был</w:t>
      </w:r>
      <w:r>
        <w:t>и</w:t>
      </w:r>
      <w:r w:rsidRPr="00DF502A">
        <w:t xml:space="preserve"> </w:t>
      </w:r>
      <w:r>
        <w:t>вручены</w:t>
      </w:r>
      <w:r w:rsidRPr="00DF502A">
        <w:t xml:space="preserve"> уведомлени</w:t>
      </w:r>
      <w:r>
        <w:t>я</w:t>
      </w:r>
      <w:r w:rsidRPr="00DF502A">
        <w:t xml:space="preserve"> о</w:t>
      </w:r>
      <w:r>
        <w:t xml:space="preserve"> </w:t>
      </w:r>
      <w:r w:rsidRPr="00DF502A">
        <w:t>задержании, в кот</w:t>
      </w:r>
      <w:r w:rsidRPr="00DF502A">
        <w:t>о</w:t>
      </w:r>
      <w:r w:rsidRPr="00DF502A">
        <w:t>р</w:t>
      </w:r>
      <w:r>
        <w:t>ых</w:t>
      </w:r>
      <w:r w:rsidRPr="00DF502A">
        <w:t xml:space="preserve"> разъяснялось, что их подозревали в незаконном въезде в страну в качестве неграждан, и что позднее каждому из них было сообщено письмом об оценке </w:t>
      </w:r>
      <w:r>
        <w:t xml:space="preserve">угрозы </w:t>
      </w:r>
      <w:r w:rsidRPr="00DF502A">
        <w:t>безопасности, произведенной АОБР. Комитет отмечает, что пункт 2 ст</w:t>
      </w:r>
      <w:r w:rsidRPr="00DF502A">
        <w:t>а</w:t>
      </w:r>
      <w:r w:rsidRPr="00DF502A">
        <w:t xml:space="preserve">тьи 9 требует, чтобы любое арестованное лицо было проинформировано во время ареста о причинах такого ареста и что это требование </w:t>
      </w:r>
      <w:r>
        <w:t xml:space="preserve">применимо не только к </w:t>
      </w:r>
      <w:r w:rsidRPr="00DF502A">
        <w:t>арест</w:t>
      </w:r>
      <w:r>
        <w:t>у</w:t>
      </w:r>
      <w:r w:rsidRPr="00DF502A">
        <w:t xml:space="preserve"> в связи с предъявлением уголовных </w:t>
      </w:r>
      <w:r w:rsidRPr="00351CD2">
        <w:t>обвинений</w:t>
      </w:r>
      <w:r>
        <w:rPr>
          <w:rStyle w:val="FootnoteReference"/>
        </w:rPr>
        <w:footnoteReference w:id="16"/>
      </w:r>
      <w:r w:rsidRPr="00DF502A">
        <w:t>. Комитет сч</w:t>
      </w:r>
      <w:r w:rsidRPr="00DF502A">
        <w:t>и</w:t>
      </w:r>
      <w:r w:rsidRPr="00DF502A">
        <w:t xml:space="preserve">тает, что в части, касающейся их первоначального задержания, представленная авторам информация является достаточной для удовлетворения требований пункта 2 статьи 9. Что касается </w:t>
      </w:r>
      <w:r>
        <w:t xml:space="preserve">тех </w:t>
      </w:r>
      <w:r w:rsidRPr="00DF502A">
        <w:t>авторов, которые позднее получили нег</w:t>
      </w:r>
      <w:r w:rsidRPr="00DF502A">
        <w:t>а</w:t>
      </w:r>
      <w:r w:rsidRPr="00DF502A">
        <w:t xml:space="preserve">тивную оценку </w:t>
      </w:r>
      <w:r>
        <w:t xml:space="preserve">с точки зрения угрозы </w:t>
      </w:r>
      <w:r w:rsidRPr="00DF502A">
        <w:t xml:space="preserve">безопасности, </w:t>
      </w:r>
      <w:r>
        <w:t xml:space="preserve">то </w:t>
      </w:r>
      <w:r w:rsidRPr="00DF502A">
        <w:t>такая оценка предста</w:t>
      </w:r>
      <w:r w:rsidRPr="00DF502A">
        <w:t>в</w:t>
      </w:r>
      <w:r w:rsidRPr="00DF502A">
        <w:t>ляет</w:t>
      </w:r>
      <w:r>
        <w:t xml:space="preserve"> собой</w:t>
      </w:r>
      <w:r w:rsidRPr="00DF502A">
        <w:t xml:space="preserve"> последующий этап в рассмотрении их миграционного статуса и не равнозначна новому аресту по смыслу пункта 2 статьи 9 и должна скорее ра</w:t>
      </w:r>
      <w:r w:rsidRPr="00DF502A">
        <w:t>с</w:t>
      </w:r>
      <w:r w:rsidRPr="00DF502A">
        <w:t xml:space="preserve">сматриваться в свете </w:t>
      </w:r>
      <w:r w:rsidR="000A3CDB">
        <w:t>пункта 1 статьи 9. Тем не менее</w:t>
      </w:r>
      <w:r w:rsidRPr="00DF502A">
        <w:t xml:space="preserve"> в отношении пяти авт</w:t>
      </w:r>
      <w:r w:rsidRPr="00DF502A">
        <w:t>о</w:t>
      </w:r>
      <w:r w:rsidRPr="000D2B40">
        <w:t>ров, прибывших в составе группы на судне "Ocean Viking", предварительная</w:t>
      </w:r>
      <w:r w:rsidRPr="00DF502A">
        <w:t xml:space="preserve"> оценка </w:t>
      </w:r>
      <w:r>
        <w:t xml:space="preserve">угрозы </w:t>
      </w:r>
      <w:r w:rsidRPr="00DF502A">
        <w:t xml:space="preserve">безопасности стала </w:t>
      </w:r>
      <w:r>
        <w:t>причиной</w:t>
      </w:r>
      <w:r w:rsidRPr="00DF502A">
        <w:t xml:space="preserve"> и</w:t>
      </w:r>
      <w:r>
        <w:t>х первоначального задержания. В </w:t>
      </w:r>
      <w:r w:rsidRPr="00DF502A">
        <w:t>этой связи Комитет считает, что одна из главных целей требования об ув</w:t>
      </w:r>
      <w:r w:rsidRPr="00DF502A">
        <w:t>е</w:t>
      </w:r>
      <w:r w:rsidRPr="00DF502A">
        <w:t>домлении всех арестованных о причинах их ареста состоит в том, чтобы пр</w:t>
      </w:r>
      <w:r w:rsidRPr="00DF502A">
        <w:t>е</w:t>
      </w:r>
      <w:r w:rsidRPr="00DF502A">
        <w:t xml:space="preserve">доставить им возможность добиваться освобождения, если они считают, что приведенные причины </w:t>
      </w:r>
      <w:r>
        <w:t xml:space="preserve">не соответствуют действительности или </w:t>
      </w:r>
      <w:r w:rsidRPr="00DF502A">
        <w:t>являются н</w:t>
      </w:r>
      <w:r w:rsidRPr="00DF502A">
        <w:t>е</w:t>
      </w:r>
      <w:r w:rsidRPr="00DF502A">
        <w:t xml:space="preserve">обоснованными; и что такие причины должны </w:t>
      </w:r>
      <w:r>
        <w:t>содержать в себе</w:t>
      </w:r>
      <w:r w:rsidRPr="00DF502A">
        <w:t xml:space="preserve"> не только о</w:t>
      </w:r>
      <w:r w:rsidRPr="00DF502A">
        <w:t>б</w:t>
      </w:r>
      <w:r w:rsidRPr="00DF502A">
        <w:t>щую основу ареста, но и достаточно фактических данных для указания сущес</w:t>
      </w:r>
      <w:r w:rsidRPr="00DF502A">
        <w:t>т</w:t>
      </w:r>
      <w:r w:rsidRPr="00DF502A">
        <w:t>ва жалобы. С учетом расплывчатого и слишком общего об</w:t>
      </w:r>
      <w:r>
        <w:t>ъяснения</w:t>
      </w:r>
      <w:r w:rsidRPr="00DF502A">
        <w:t>, которое было пр</w:t>
      </w:r>
      <w:r>
        <w:t>иведено</w:t>
      </w:r>
      <w:r w:rsidRPr="00DF502A">
        <w:t xml:space="preserve"> государством-участником в </w:t>
      </w:r>
      <w:r>
        <w:t xml:space="preserve">порядке подтверждения </w:t>
      </w:r>
      <w:r w:rsidRPr="00DF502A">
        <w:t>причин</w:t>
      </w:r>
      <w:r>
        <w:t>, по которым оно не сообщило авторам</w:t>
      </w:r>
      <w:r w:rsidRPr="00DF502A">
        <w:t xml:space="preserve"> конкретн</w:t>
      </w:r>
      <w:r>
        <w:t>ую</w:t>
      </w:r>
      <w:r w:rsidRPr="00DF502A">
        <w:t xml:space="preserve"> информаци</w:t>
      </w:r>
      <w:r>
        <w:t>ю</w:t>
      </w:r>
      <w:r w:rsidRPr="00DF502A">
        <w:t xml:space="preserve"> об основаниях </w:t>
      </w:r>
      <w:r>
        <w:t xml:space="preserve">для </w:t>
      </w:r>
      <w:r w:rsidRPr="00DF502A">
        <w:t>принятия негативной оценки безопасности, Комитет считает, что применител</w:t>
      </w:r>
      <w:r w:rsidRPr="00DF502A">
        <w:t>ь</w:t>
      </w:r>
      <w:r w:rsidRPr="00DF502A">
        <w:t>но к этим пяти авторам имело место нарушение пункта 2 статьи 9 Пакта.</w:t>
      </w:r>
    </w:p>
    <w:p w:rsidR="0014670C" w:rsidRPr="00A77040" w:rsidRDefault="0014670C" w:rsidP="0014670C">
      <w:pPr>
        <w:pStyle w:val="H56GR"/>
      </w:pPr>
      <w:r w:rsidRPr="006B4E4B">
        <w:tab/>
      </w:r>
      <w:r w:rsidRPr="006B4E4B">
        <w:tab/>
      </w:r>
      <w:r w:rsidRPr="00DF502A">
        <w:t>Жалобы</w:t>
      </w:r>
      <w:r w:rsidRPr="00A77040">
        <w:t xml:space="preserve"> </w:t>
      </w:r>
      <w:r w:rsidRPr="00DF502A">
        <w:t>по</w:t>
      </w:r>
      <w:r w:rsidRPr="00A77040">
        <w:t xml:space="preserve"> </w:t>
      </w:r>
      <w:r w:rsidRPr="00DF502A">
        <w:t>пункту</w:t>
      </w:r>
      <w:r w:rsidRPr="00A77040">
        <w:t xml:space="preserve"> 4 </w:t>
      </w:r>
      <w:r w:rsidRPr="00DF502A">
        <w:t>статьи</w:t>
      </w:r>
      <w:r w:rsidRPr="00A77040">
        <w:t xml:space="preserve"> 9</w:t>
      </w:r>
    </w:p>
    <w:p w:rsidR="0014670C" w:rsidRPr="00DF502A" w:rsidRDefault="0014670C" w:rsidP="0014670C">
      <w:pPr>
        <w:pStyle w:val="SingleTxtGR"/>
      </w:pPr>
      <w:r w:rsidRPr="00DF502A">
        <w:t>9.6</w:t>
      </w:r>
      <w:r w:rsidRPr="00DF502A">
        <w:tab/>
      </w:r>
      <w:r>
        <w:t xml:space="preserve">В связи с жалобой </w:t>
      </w:r>
      <w:r w:rsidRPr="00DF502A">
        <w:t>офшорно</w:t>
      </w:r>
      <w:r>
        <w:t xml:space="preserve"> въехавших в страну авторов на то, чт</w:t>
      </w:r>
      <w:r w:rsidRPr="00DF502A">
        <w:t>о по а</w:t>
      </w:r>
      <w:r w:rsidRPr="00DF502A">
        <w:t>в</w:t>
      </w:r>
      <w:r w:rsidRPr="00DF502A">
        <w:t>стралийскому законодательству их задержание не может быть оспорено и что ни один суд не обладает юрисдикцией для оценки существа вопроса о необх</w:t>
      </w:r>
      <w:r w:rsidRPr="00DF502A">
        <w:t>о</w:t>
      </w:r>
      <w:r w:rsidRPr="00DF502A">
        <w:t>димости их задержания</w:t>
      </w:r>
      <w:r>
        <w:t>,</w:t>
      </w:r>
      <w:r w:rsidRPr="00DF502A">
        <w:t xml:space="preserve"> Комитет принимает к сведению аргументацию гос</w:t>
      </w:r>
      <w:r w:rsidRPr="00DF502A">
        <w:t>у</w:t>
      </w:r>
      <w:r w:rsidRPr="00DF502A">
        <w:t>дарства-участника</w:t>
      </w:r>
      <w:r>
        <w:t>, согласно которой</w:t>
      </w:r>
      <w:r w:rsidRPr="00DF502A">
        <w:t xml:space="preserve"> авторы </w:t>
      </w:r>
      <w:r>
        <w:t>вправе</w:t>
      </w:r>
      <w:r w:rsidRPr="00DF502A">
        <w:t xml:space="preserve"> требовать пересмотра в с</w:t>
      </w:r>
      <w:r w:rsidRPr="00DF502A">
        <w:t>у</w:t>
      </w:r>
      <w:r w:rsidRPr="00DF502A">
        <w:t>дебном порядке в Высоком суде вопроса о законности их задержания и нег</w:t>
      </w:r>
      <w:r w:rsidRPr="00DF502A">
        <w:t>а</w:t>
      </w:r>
      <w:r w:rsidRPr="00DF502A">
        <w:t>тивной оценк</w:t>
      </w:r>
      <w:r>
        <w:t>и</w:t>
      </w:r>
      <w:r w:rsidRPr="00DF502A">
        <w:t xml:space="preserve"> </w:t>
      </w:r>
      <w:r>
        <w:t xml:space="preserve">угрозы </w:t>
      </w:r>
      <w:r w:rsidRPr="00DF502A">
        <w:t xml:space="preserve">безопасности. С </w:t>
      </w:r>
      <w:r>
        <w:t xml:space="preserve">учетом установленного Высоким судом в 2004 году прецедента </w:t>
      </w:r>
      <w:r w:rsidRPr="00DF502A">
        <w:t xml:space="preserve">по </w:t>
      </w:r>
      <w:r w:rsidRPr="00DF502A">
        <w:rPr>
          <w:i/>
        </w:rPr>
        <w:t>делу Аль-Катеб против Гудвина</w:t>
      </w:r>
      <w:r w:rsidRPr="00DF502A">
        <w:t xml:space="preserve">, </w:t>
      </w:r>
      <w:r>
        <w:t>когда он признал</w:t>
      </w:r>
      <w:r w:rsidRPr="00DF502A">
        <w:t xml:space="preserve"> законност</w:t>
      </w:r>
      <w:r>
        <w:t>ь</w:t>
      </w:r>
      <w:r w:rsidRPr="00DF502A">
        <w:t xml:space="preserve"> </w:t>
      </w:r>
      <w:r>
        <w:t xml:space="preserve">бессрочного </w:t>
      </w:r>
      <w:r w:rsidRPr="00DF502A">
        <w:t xml:space="preserve">задержания по миграционным </w:t>
      </w:r>
      <w:r>
        <w:t>причинам</w:t>
      </w:r>
      <w:r w:rsidRPr="00DF502A">
        <w:t xml:space="preserve">, а также </w:t>
      </w:r>
      <w:r>
        <w:t xml:space="preserve">с учетом </w:t>
      </w:r>
      <w:r w:rsidRPr="00DF502A">
        <w:t>отсутстви</w:t>
      </w:r>
      <w:r>
        <w:t>я</w:t>
      </w:r>
      <w:r w:rsidRPr="00DF502A">
        <w:t xml:space="preserve"> </w:t>
      </w:r>
      <w:r>
        <w:t xml:space="preserve">указаний на </w:t>
      </w:r>
      <w:r w:rsidRPr="00DF502A">
        <w:t>соответствующи</w:t>
      </w:r>
      <w:r>
        <w:t>е</w:t>
      </w:r>
      <w:r w:rsidRPr="00DF502A">
        <w:t xml:space="preserve"> прецедент</w:t>
      </w:r>
      <w:r>
        <w:t>ы</w:t>
      </w:r>
      <w:r w:rsidRPr="00DF502A">
        <w:t xml:space="preserve"> в ответ</w:t>
      </w:r>
      <w:r>
        <w:t>е</w:t>
      </w:r>
      <w:r w:rsidRPr="00DF502A">
        <w:t xml:space="preserve"> госуда</w:t>
      </w:r>
      <w:r w:rsidRPr="00DF502A">
        <w:t>р</w:t>
      </w:r>
      <w:r w:rsidRPr="00DF502A">
        <w:t xml:space="preserve">ства-участника, </w:t>
      </w:r>
      <w:r>
        <w:t xml:space="preserve">которое </w:t>
      </w:r>
      <w:r w:rsidRPr="00DF502A">
        <w:t>свидетельству</w:t>
      </w:r>
      <w:r>
        <w:t xml:space="preserve">ет </w:t>
      </w:r>
      <w:r w:rsidRPr="00DF502A">
        <w:t xml:space="preserve">об эффективности </w:t>
      </w:r>
      <w:r>
        <w:t>обращения с ход</w:t>
      </w:r>
      <w:r>
        <w:t>а</w:t>
      </w:r>
      <w:r>
        <w:t>тайством в</w:t>
      </w:r>
      <w:r w:rsidRPr="00DF502A">
        <w:t xml:space="preserve"> В</w:t>
      </w:r>
      <w:r>
        <w:t>ысокий суд</w:t>
      </w:r>
      <w:r w:rsidRPr="00DF502A">
        <w:t xml:space="preserve"> в аналогичных ситуациях, Комитет не убежден в том, что Высок</w:t>
      </w:r>
      <w:r>
        <w:t>ий</w:t>
      </w:r>
      <w:r w:rsidRPr="00DF502A">
        <w:t xml:space="preserve"> суд</w:t>
      </w:r>
      <w:r>
        <w:t xml:space="preserve"> вправе </w:t>
      </w:r>
      <w:r w:rsidRPr="00DF502A">
        <w:t>пересм</w:t>
      </w:r>
      <w:r>
        <w:t>атривать</w:t>
      </w:r>
      <w:r w:rsidRPr="00DF502A">
        <w:t xml:space="preserve"> основания для задержания авторов </w:t>
      </w:r>
      <w:r>
        <w:t>по их существу</w:t>
      </w:r>
      <w:r w:rsidRPr="00DF502A">
        <w:t xml:space="preserve">. Кроме того, Комитет отмечает, что в своем решении по делу </w:t>
      </w:r>
      <w:r w:rsidRPr="00DF502A">
        <w:rPr>
          <w:i/>
        </w:rPr>
        <w:t>М47</w:t>
      </w:r>
      <w:r w:rsidRPr="00DF502A">
        <w:t xml:space="preserve"> Высокий суд п</w:t>
      </w:r>
      <w:r>
        <w:t>ризнал законность дальнейшего обязательного со</w:t>
      </w:r>
      <w:r w:rsidRPr="00DF502A">
        <w:t>держани</w:t>
      </w:r>
      <w:r>
        <w:t xml:space="preserve">я </w:t>
      </w:r>
      <w:r w:rsidRPr="00DF502A">
        <w:t>б</w:t>
      </w:r>
      <w:r w:rsidRPr="00DF502A">
        <w:t>е</w:t>
      </w:r>
      <w:r w:rsidRPr="00DF502A">
        <w:t>женцев</w:t>
      </w:r>
      <w:r>
        <w:t xml:space="preserve"> под стражей</w:t>
      </w:r>
      <w:r w:rsidRPr="00DF502A">
        <w:t xml:space="preserve">, продемонстрировав тем самым, что успешное </w:t>
      </w:r>
      <w:r>
        <w:t xml:space="preserve">решения в судебном порядке </w:t>
      </w:r>
      <w:r w:rsidRPr="00DF502A">
        <w:t xml:space="preserve">опротестование не обязательно </w:t>
      </w:r>
      <w:r>
        <w:t xml:space="preserve">ведет к </w:t>
      </w:r>
      <w:r w:rsidRPr="00DF502A">
        <w:t>освобождени</w:t>
      </w:r>
      <w:r>
        <w:t>ю</w:t>
      </w:r>
      <w:r w:rsidRPr="00DF502A">
        <w:t xml:space="preserve"> от произвольного задержания. Комитет напоминает свою практику, согласно кот</w:t>
      </w:r>
      <w:r w:rsidRPr="00DF502A">
        <w:t>о</w:t>
      </w:r>
      <w:r w:rsidRPr="00DF502A">
        <w:t>рой пересмотр в судебном порядке вопроса о законности задержания в соотве</w:t>
      </w:r>
      <w:r w:rsidRPr="00DF502A">
        <w:t>т</w:t>
      </w:r>
      <w:r w:rsidRPr="00DF502A">
        <w:t>ствии с пунктом 4 статьи 9 не ограничивается исключительно соответствием такого задержания внутреннему законодательству, а должен включать возмо</w:t>
      </w:r>
      <w:r w:rsidRPr="00DF502A">
        <w:t>ж</w:t>
      </w:r>
      <w:r w:rsidRPr="00DF502A">
        <w:t>ность принятия решений об освобождении в случае, если задержание не с</w:t>
      </w:r>
      <w:r w:rsidRPr="00DF502A">
        <w:t>о</w:t>
      </w:r>
      <w:r w:rsidRPr="00DF502A">
        <w:t xml:space="preserve">вместимо с требованиями Пакта, в частности </w:t>
      </w:r>
      <w:r w:rsidR="000A3CDB">
        <w:t>с требованиями пункта 1 ст</w:t>
      </w:r>
      <w:r w:rsidR="000A3CDB">
        <w:t>а</w:t>
      </w:r>
      <w:r w:rsidR="000A3CDB">
        <w:t>тьи </w:t>
      </w:r>
      <w:r w:rsidRPr="00351CD2">
        <w:t>9</w:t>
      </w:r>
      <w:r>
        <w:rPr>
          <w:rStyle w:val="FootnoteReference"/>
        </w:rPr>
        <w:footnoteReference w:id="17"/>
      </w:r>
      <w:r w:rsidR="000A3CDB">
        <w:t>. Соответственно</w:t>
      </w:r>
      <w:r w:rsidRPr="00DF502A">
        <w:t xml:space="preserve"> Комитет считает, что факты по данному делу свид</w:t>
      </w:r>
      <w:r w:rsidRPr="00DF502A">
        <w:t>е</w:t>
      </w:r>
      <w:r w:rsidRPr="00DF502A">
        <w:t>тельствуют о нарушении пункта 4 статьи 9.</w:t>
      </w:r>
    </w:p>
    <w:p w:rsidR="0014670C" w:rsidRPr="00DF502A" w:rsidRDefault="0014670C" w:rsidP="0014670C">
      <w:pPr>
        <w:pStyle w:val="SingleTxtGR"/>
      </w:pPr>
      <w:r w:rsidRPr="00DF502A">
        <w:t>9.7</w:t>
      </w:r>
      <w:r w:rsidRPr="00DF502A">
        <w:tab/>
        <w:t>Что касается авторов, прибывших на судне "</w:t>
      </w:r>
      <w:r w:rsidRPr="000E44D2">
        <w:t>Ocean Viking</w:t>
      </w:r>
      <w:r w:rsidRPr="00DF502A">
        <w:t xml:space="preserve">", то решение Высокого суда от 5 октября 2012 года по делу </w:t>
      </w:r>
      <w:r w:rsidRPr="00DF502A">
        <w:rPr>
          <w:i/>
        </w:rPr>
        <w:t>М47</w:t>
      </w:r>
      <w:r w:rsidRPr="00DF502A">
        <w:t xml:space="preserve"> четко указывает, что суде</w:t>
      </w:r>
      <w:r w:rsidRPr="00DF502A">
        <w:t>б</w:t>
      </w:r>
      <w:r w:rsidRPr="00DF502A">
        <w:t>ный пересмотр в Высоком суде не обеспечивает какого-либо средства для осп</w:t>
      </w:r>
      <w:r w:rsidRPr="00DF502A">
        <w:t>а</w:t>
      </w:r>
      <w:r w:rsidRPr="00DF502A">
        <w:t xml:space="preserve">ривания законности задержания на основе оценки безопасности, произведенной АОБР, независимо от факторов по делу каждого отдельного лица. Тем не менее решение Высокого суда </w:t>
      </w:r>
      <w:r>
        <w:t>показывает</w:t>
      </w:r>
      <w:r w:rsidRPr="00DF502A">
        <w:t xml:space="preserve">, что </w:t>
      </w:r>
      <w:r>
        <w:t xml:space="preserve">выигравшие дело </w:t>
      </w:r>
      <w:r w:rsidRPr="00DF502A">
        <w:t xml:space="preserve">истцы </w:t>
      </w:r>
      <w:r>
        <w:t xml:space="preserve">могут быть </w:t>
      </w:r>
      <w:r w:rsidRPr="00DF502A">
        <w:t xml:space="preserve">возвращены </w:t>
      </w:r>
      <w:r>
        <w:t>под стражу</w:t>
      </w:r>
      <w:r w:rsidRPr="00DF502A">
        <w:t xml:space="preserve"> до принятия решения по их ходатайствам о предоста</w:t>
      </w:r>
      <w:r w:rsidRPr="00DF502A">
        <w:t>в</w:t>
      </w:r>
      <w:r w:rsidRPr="00DF502A">
        <w:t>лении визы</w:t>
      </w:r>
      <w:r>
        <w:t xml:space="preserve"> с целью их защиты</w:t>
      </w:r>
      <w:r w:rsidRPr="00DF502A">
        <w:t xml:space="preserve">. Поэтому Комитет считает, что </w:t>
      </w:r>
      <w:r>
        <w:t>в течение</w:t>
      </w:r>
      <w:r w:rsidRPr="00DF502A">
        <w:t xml:space="preserve"> соо</w:t>
      </w:r>
      <w:r w:rsidRPr="00DF502A">
        <w:t>т</w:t>
      </w:r>
      <w:r w:rsidRPr="00DF502A">
        <w:t>ветствующего периода авторы, прибывшие на судне "</w:t>
      </w:r>
      <w:r w:rsidRPr="000E44D2">
        <w:t>Ocean Viking</w:t>
      </w:r>
      <w:r w:rsidRPr="00DF502A">
        <w:t xml:space="preserve">", также </w:t>
      </w:r>
      <w:r>
        <w:t>п</w:t>
      </w:r>
      <w:r>
        <w:t>о</w:t>
      </w:r>
      <w:r>
        <w:t xml:space="preserve">страдали от </w:t>
      </w:r>
      <w:r w:rsidRPr="00DF502A">
        <w:t xml:space="preserve">нарушений пункта 4 статьи 9. </w:t>
      </w:r>
    </w:p>
    <w:p w:rsidR="0014670C" w:rsidRPr="00DF502A" w:rsidRDefault="0014670C" w:rsidP="0014670C">
      <w:pPr>
        <w:pStyle w:val="H56GR"/>
      </w:pPr>
      <w:r w:rsidRPr="00DF502A">
        <w:tab/>
      </w:r>
      <w:r w:rsidRPr="00DF502A">
        <w:tab/>
        <w:t xml:space="preserve">Жалобы по статьям 7 и 10 (пункт 1) </w:t>
      </w:r>
    </w:p>
    <w:p w:rsidR="0014670C" w:rsidRPr="00DF502A" w:rsidRDefault="0014670C" w:rsidP="0014670C">
      <w:pPr>
        <w:pStyle w:val="SingleTxtGR"/>
      </w:pPr>
      <w:r w:rsidRPr="00DF502A">
        <w:t>9.8</w:t>
      </w:r>
      <w:r w:rsidRPr="00DF502A">
        <w:tab/>
        <w:t>Комитет принимает к сведению жалобы а</w:t>
      </w:r>
      <w:r w:rsidR="000E44D2">
        <w:t>второв по статьям 7 и 10 (пункт </w:t>
      </w:r>
      <w:r w:rsidRPr="00DF502A">
        <w:t>1), а также представленную в этой связи государством-участником и</w:t>
      </w:r>
      <w:r w:rsidRPr="00DF502A">
        <w:t>н</w:t>
      </w:r>
      <w:r w:rsidRPr="00DF502A">
        <w:t>формацию, в том числе об услугах по охране здоровья и психиатрической по</w:t>
      </w:r>
      <w:r w:rsidRPr="00DF502A">
        <w:t>д</w:t>
      </w:r>
      <w:r w:rsidRPr="00DF502A">
        <w:t xml:space="preserve">держке, которые были оказаны лицам в иммиграционных </w:t>
      </w:r>
      <w:r>
        <w:t>приемниках</w:t>
      </w:r>
      <w:r w:rsidRPr="00DF502A">
        <w:t xml:space="preserve">. Комитет, однако, полагает, что такие услуги не </w:t>
      </w:r>
      <w:r>
        <w:t>умаляют</w:t>
      </w:r>
      <w:r w:rsidRPr="00DF502A">
        <w:t xml:space="preserve"> неопровержимые утверждения относительно негативного в</w:t>
      </w:r>
      <w:r>
        <w:t>оздействия на</w:t>
      </w:r>
      <w:r w:rsidRPr="00DF502A">
        <w:t xml:space="preserve"> психическ</w:t>
      </w:r>
      <w:r>
        <w:t>ое</w:t>
      </w:r>
      <w:r w:rsidRPr="00DF502A">
        <w:t xml:space="preserve"> здоровь</w:t>
      </w:r>
      <w:r>
        <w:t xml:space="preserve">е </w:t>
      </w:r>
      <w:r w:rsidRPr="00DF502A">
        <w:t>задержанных</w:t>
      </w:r>
      <w:r>
        <w:t xml:space="preserve"> длительного содержания под стражей без установления его срока </w:t>
      </w:r>
      <w:r w:rsidRPr="00DF502A">
        <w:t>по причинам</w:t>
      </w:r>
      <w:r>
        <w:t xml:space="preserve"> невозможности оценки того или иного лица.</w:t>
      </w:r>
      <w:r w:rsidRPr="00DF502A">
        <w:t xml:space="preserve"> Такие утверждения подтверждаю</w:t>
      </w:r>
      <w:r w:rsidRPr="00DF502A">
        <w:t>т</w:t>
      </w:r>
      <w:r w:rsidRPr="00DF502A">
        <w:t>ся медицинским освидетельствовани</w:t>
      </w:r>
      <w:r>
        <w:t>ем</w:t>
      </w:r>
      <w:r w:rsidRPr="00DF502A">
        <w:t xml:space="preserve"> некоторых авторов. Комитет считает, что сочетание произвольного характера задержания авторов</w:t>
      </w:r>
      <w:r>
        <w:t xml:space="preserve"> с</w:t>
      </w:r>
      <w:r w:rsidRPr="00DF502A">
        <w:t xml:space="preserve"> его продолж</w:t>
      </w:r>
      <w:r w:rsidRPr="00DF502A">
        <w:t>и</w:t>
      </w:r>
      <w:r w:rsidRPr="00DF502A">
        <w:t>тельность</w:t>
      </w:r>
      <w:r>
        <w:t>ю</w:t>
      </w:r>
      <w:r w:rsidRPr="00DF502A">
        <w:t xml:space="preserve"> и/или неопределенны</w:t>
      </w:r>
      <w:r>
        <w:t>м</w:t>
      </w:r>
      <w:r w:rsidRPr="00DF502A">
        <w:t xml:space="preserve"> во времени характер</w:t>
      </w:r>
      <w:r>
        <w:t>ом</w:t>
      </w:r>
      <w:r w:rsidRPr="00DF502A">
        <w:t>, отказ в предоста</w:t>
      </w:r>
      <w:r w:rsidRPr="00DF502A">
        <w:t>в</w:t>
      </w:r>
      <w:r w:rsidRPr="00DF502A">
        <w:t>лении автор</w:t>
      </w:r>
      <w:r>
        <w:t>а</w:t>
      </w:r>
      <w:r w:rsidRPr="00DF502A">
        <w:t>м информации и проце</w:t>
      </w:r>
      <w:r>
        <w:t>ссуальных</w:t>
      </w:r>
      <w:r w:rsidRPr="00DF502A">
        <w:t xml:space="preserve"> прав, а также тяжелые условия </w:t>
      </w:r>
      <w:r>
        <w:t>со</w:t>
      </w:r>
      <w:r w:rsidRPr="00DF502A">
        <w:t xml:space="preserve">держания в совокупности причиняют им серьезный психологический вред и представляют собой обращение, которое противоречит статье 7 Пакта. В свете этого вывода Комитет </w:t>
      </w:r>
      <w:r>
        <w:t xml:space="preserve">не будет </w:t>
      </w:r>
      <w:r w:rsidRPr="00DF502A">
        <w:t>рассм</w:t>
      </w:r>
      <w:r>
        <w:t xml:space="preserve">атривать </w:t>
      </w:r>
      <w:r w:rsidRPr="00DF502A">
        <w:t>эти же жалобы по пункту 1 ст</w:t>
      </w:r>
      <w:r w:rsidRPr="00DF502A">
        <w:t>а</w:t>
      </w:r>
      <w:r w:rsidRPr="00DF502A">
        <w:t>тьи 10 Пакта.</w:t>
      </w:r>
    </w:p>
    <w:p w:rsidR="0014670C" w:rsidRPr="00DF502A" w:rsidRDefault="0014670C" w:rsidP="0014670C">
      <w:pPr>
        <w:pStyle w:val="SingleTxtGR"/>
      </w:pPr>
      <w:r w:rsidRPr="00DF502A">
        <w:t>10.</w:t>
      </w:r>
      <w:r w:rsidRPr="00DF502A">
        <w:tab/>
        <w:t>Комитет по правам человека, действуя в соответствии с пунктом 4 с</w:t>
      </w:r>
      <w:r w:rsidR="000E44D2">
        <w:t>т</w:t>
      </w:r>
      <w:r w:rsidR="000E44D2">
        <w:t>а</w:t>
      </w:r>
      <w:r w:rsidR="000E44D2">
        <w:t>тьи </w:t>
      </w:r>
      <w:r w:rsidRPr="00DF502A">
        <w:t>5 Факультативного протокола о гражданских и политических правах, счит</w:t>
      </w:r>
      <w:r w:rsidRPr="00DF502A">
        <w:t>а</w:t>
      </w:r>
      <w:r w:rsidRPr="00DF502A">
        <w:t>ет, что государство-участник нарушило права авторов по статьям 7 и 9 (пункты 1 и 4) Пакта. Государство-участник также нарушило пункт 2 статьи 9 в отнош</w:t>
      </w:r>
      <w:r w:rsidRPr="00DF502A">
        <w:t>е</w:t>
      </w:r>
      <w:r w:rsidRPr="00DF502A">
        <w:t>нии авторов.</w:t>
      </w:r>
    </w:p>
    <w:p w:rsidR="0014670C" w:rsidRPr="00DF502A" w:rsidRDefault="0014670C" w:rsidP="0014670C">
      <w:pPr>
        <w:pStyle w:val="SingleTxtGR"/>
      </w:pPr>
      <w:r w:rsidRPr="00DF502A">
        <w:rPr>
          <w:spacing w:val="-2"/>
        </w:rPr>
        <w:t>11.</w:t>
      </w:r>
      <w:r w:rsidRPr="00DF502A">
        <w:rPr>
          <w:spacing w:val="-2"/>
        </w:rPr>
        <w:tab/>
        <w:t>В соответствии с пунктом 3</w:t>
      </w:r>
      <w:r w:rsidRPr="00DF502A">
        <w:rPr>
          <w:spacing w:val="-2"/>
          <w:lang w:val="en-US"/>
        </w:rPr>
        <w:t> a</w:t>
      </w:r>
      <w:r w:rsidRPr="00DF502A">
        <w:rPr>
          <w:spacing w:val="-2"/>
        </w:rPr>
        <w:t>) статьи 2 Пакта государство-участник обязано предоставить авторам эффективные средства правовой защиты, включая освобожд</w:t>
      </w:r>
      <w:r w:rsidRPr="00DF502A">
        <w:rPr>
          <w:spacing w:val="-2"/>
        </w:rPr>
        <w:t>е</w:t>
      </w:r>
      <w:r w:rsidRPr="00DF502A">
        <w:rPr>
          <w:spacing w:val="-2"/>
        </w:rPr>
        <w:t xml:space="preserve">ние их на приемлемых </w:t>
      </w:r>
      <w:r>
        <w:rPr>
          <w:spacing w:val="-2"/>
        </w:rPr>
        <w:t xml:space="preserve">для каждого из них </w:t>
      </w:r>
      <w:r w:rsidRPr="00DF502A">
        <w:rPr>
          <w:spacing w:val="-2"/>
        </w:rPr>
        <w:t>условиях, реабилитацию и соответс</w:t>
      </w:r>
      <w:r w:rsidRPr="00DF502A">
        <w:rPr>
          <w:spacing w:val="-2"/>
        </w:rPr>
        <w:t>т</w:t>
      </w:r>
      <w:r w:rsidRPr="00DF502A">
        <w:rPr>
          <w:spacing w:val="-2"/>
        </w:rPr>
        <w:t>вующую компенсацию. Государство-участник также обязано принять меры для пр</w:t>
      </w:r>
      <w:r w:rsidRPr="00DF502A">
        <w:rPr>
          <w:spacing w:val="-2"/>
        </w:rPr>
        <w:t>е</w:t>
      </w:r>
      <w:r w:rsidRPr="00DF502A">
        <w:rPr>
          <w:spacing w:val="-2"/>
        </w:rPr>
        <w:t>дотвращения таких нарушений в будущем. В этой связи государству-участнику сл</w:t>
      </w:r>
      <w:r w:rsidRPr="00DF502A">
        <w:rPr>
          <w:spacing w:val="-2"/>
        </w:rPr>
        <w:t>е</w:t>
      </w:r>
      <w:r w:rsidRPr="00DF502A">
        <w:rPr>
          <w:spacing w:val="-2"/>
        </w:rPr>
        <w:t>дует пересмотреть свое миграционное законодательство для обеспечения его соо</w:t>
      </w:r>
      <w:r w:rsidRPr="00DF502A">
        <w:rPr>
          <w:spacing w:val="-2"/>
        </w:rPr>
        <w:t>т</w:t>
      </w:r>
      <w:r w:rsidRPr="00DF502A">
        <w:rPr>
          <w:spacing w:val="-2"/>
        </w:rPr>
        <w:t>ветствия требованиям статей 7 и 9 (пункты 1, 2 и 4) Пакта.</w:t>
      </w:r>
    </w:p>
    <w:p w:rsidR="0014670C" w:rsidRPr="00DF502A" w:rsidRDefault="0014670C" w:rsidP="0014670C">
      <w:pPr>
        <w:pStyle w:val="SingleTxtGR"/>
      </w:pPr>
      <w:r w:rsidRPr="00DF502A">
        <w:t>12.</w:t>
      </w:r>
      <w:r w:rsidRPr="00DF502A">
        <w:tab/>
        <w:t>Принимая во внимание то,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w:t>
      </w:r>
      <w:r w:rsidRPr="00DF502A">
        <w:t>у</w:t>
      </w:r>
      <w:r w:rsidRPr="00DF502A">
        <w:t>дарство-участник обязалось обеспечить всем лицам, находящимся в пределах его территории или под его юрисдикцией, права, признаваемые в Пакте, и пр</w:t>
      </w:r>
      <w:r w:rsidRPr="00DF502A">
        <w:t>е</w:t>
      </w:r>
      <w:r w:rsidRPr="00DF502A">
        <w:t>доставлять им эффективные средства правовой защиты в случае установления факта нарушения, Комитет хотел бы получить от государства-участника в теч</w:t>
      </w:r>
      <w:r w:rsidRPr="00DF502A">
        <w:t>е</w:t>
      </w:r>
      <w:r w:rsidRPr="00DF502A">
        <w:t xml:space="preserve">ние </w:t>
      </w:r>
      <w:r>
        <w:t>180</w:t>
      </w:r>
      <w:r w:rsidRPr="00DF502A">
        <w:t xml:space="preserve"> </w:t>
      </w:r>
      <w:r>
        <w:t xml:space="preserve">дней </w:t>
      </w:r>
      <w:r w:rsidRPr="00DF502A">
        <w:t>информацию о мерах, принятых во исполнение настоящих Соо</w:t>
      </w:r>
      <w:r w:rsidRPr="00DF502A">
        <w:t>б</w:t>
      </w:r>
      <w:r w:rsidRPr="00DF502A">
        <w:t>ражений Комитета. Кроме того, он также просит государство-участник опубл</w:t>
      </w:r>
      <w:r w:rsidRPr="00DF502A">
        <w:t>и</w:t>
      </w:r>
      <w:r w:rsidRPr="00DF502A">
        <w:t>ковать настоящие Соображения и обеспечить их широкое распространение в государстве-участнике.</w:t>
      </w:r>
    </w:p>
    <w:p w:rsidR="0014670C" w:rsidRPr="0014670C" w:rsidRDefault="0014670C" w:rsidP="0014670C">
      <w:pPr>
        <w:pStyle w:val="SingleTxtGR"/>
      </w:pPr>
      <w:r w:rsidRPr="00DF502A">
        <w:t>[Принято на английском, испанском и французском языках, причем языком ор</w:t>
      </w:r>
      <w:r w:rsidRPr="00DF502A">
        <w:t>и</w:t>
      </w:r>
      <w:r w:rsidRPr="00DF502A">
        <w:t>гинала является английский. Впоследствии будет также издано на арабском, к</w:t>
      </w:r>
      <w:r w:rsidRPr="00DF502A">
        <w:t>и</w:t>
      </w:r>
      <w:r w:rsidRPr="00DF502A">
        <w:t>тайском и русском языках в качестве части ежегодного доклада Комитета Ген</w:t>
      </w:r>
      <w:r w:rsidRPr="00DF502A">
        <w:t>е</w:t>
      </w:r>
      <w:r w:rsidRPr="00DF502A">
        <w:t>ральной Ассамблее.]</w:t>
      </w:r>
    </w:p>
    <w:p w:rsidR="00DD0C50" w:rsidRDefault="00DD0C50" w:rsidP="0014670C">
      <w:pPr>
        <w:pStyle w:val="SingleTxtGR"/>
        <w:sectPr w:rsidR="00DD0C50" w:rsidSect="0084613B">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2268" w:left="1134" w:header="1134" w:footer="1701" w:gutter="0"/>
          <w:cols w:space="720"/>
          <w:titlePg/>
          <w:docGrid w:linePitch="360"/>
        </w:sectPr>
      </w:pPr>
    </w:p>
    <w:p w:rsidR="0014670C" w:rsidRPr="00A77040" w:rsidRDefault="0014670C" w:rsidP="000D2B40">
      <w:pPr>
        <w:pStyle w:val="HChG"/>
        <w:rPr>
          <w:lang w:val="en-US"/>
        </w:rPr>
      </w:pPr>
      <w:r w:rsidRPr="00EC3461">
        <w:t>Добавления</w:t>
      </w:r>
    </w:p>
    <w:p w:rsidR="0014670C" w:rsidRDefault="0014670C" w:rsidP="0014670C">
      <w:pPr>
        <w:pStyle w:val="HChG"/>
      </w:pPr>
      <w:r w:rsidRPr="0036403F">
        <w:t>A</w:t>
      </w:r>
      <w:r>
        <w:t>ppendix I</w:t>
      </w:r>
    </w:p>
    <w:p w:rsidR="0014670C" w:rsidRPr="007A741B" w:rsidRDefault="0014670C" w:rsidP="0014670C">
      <w:pPr>
        <w:jc w:val="right"/>
        <w:rPr>
          <w:lang w:val="en-US"/>
        </w:rPr>
      </w:pPr>
      <w:r w:rsidRPr="007A741B">
        <w:rPr>
          <w:lang w:val="en-US"/>
        </w:rPr>
        <w:t>[English only]</w:t>
      </w:r>
    </w:p>
    <w:p w:rsidR="0014670C" w:rsidRPr="0036403F" w:rsidRDefault="0014670C" w:rsidP="0014670C">
      <w:pPr>
        <w:pStyle w:val="H1G"/>
      </w:pPr>
      <w:r>
        <w:tab/>
      </w:r>
      <w:r>
        <w:tab/>
      </w:r>
      <w:r w:rsidRPr="0036403F">
        <w:t>Names of authors</w:t>
      </w:r>
      <w:r>
        <w:t xml:space="preserve"> and places of detention</w:t>
      </w:r>
      <w:r>
        <w:rPr>
          <w:rStyle w:val="FootnoteReference"/>
        </w:rPr>
        <w:footnoteReference w:id="18"/>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F</w:t>
      </w:r>
      <w:r w:rsidRPr="00DF3624">
        <w:rPr>
          <w:lang w:val="en-GB"/>
        </w:rPr>
        <w:t>.</w:t>
      </w:r>
      <w:r w:rsidRPr="001C478E">
        <w:rPr>
          <w:lang w:val="en-US"/>
        </w:rPr>
        <w:t>K</w:t>
      </w:r>
      <w:r w:rsidRPr="00DF3624">
        <w:rPr>
          <w:lang w:val="en-GB"/>
        </w:rPr>
        <w:t>.</w:t>
      </w:r>
      <w:r w:rsidRPr="001C478E">
        <w:rPr>
          <w:lang w:val="en-US"/>
        </w:rPr>
        <w:t>A</w:t>
      </w:r>
      <w:r w:rsidRPr="00DF3624">
        <w:rPr>
          <w:lang w:val="en-GB"/>
        </w:rPr>
        <w:t>.</w:t>
      </w:r>
      <w:r w:rsidRPr="001C478E">
        <w:rPr>
          <w:lang w:val="en-US"/>
        </w:rPr>
        <w:t>G</w:t>
      </w:r>
      <w:r w:rsidRPr="00DF3624">
        <w:rPr>
          <w:lang w:val="en-GB"/>
        </w:rPr>
        <w:t>. (</w:t>
      </w:r>
      <w:r w:rsidRPr="001C478E">
        <w:rPr>
          <w:lang w:val="en-US"/>
        </w:rPr>
        <w:t>Scherger IDC</w:t>
      </w:r>
      <w:r w:rsidRPr="00DF3624">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T</w:t>
      </w:r>
      <w:r w:rsidRPr="00DF3624">
        <w:rPr>
          <w:lang w:val="en-GB"/>
        </w:rPr>
        <w:t>.</w:t>
      </w:r>
      <w:r w:rsidRPr="001C478E">
        <w:rPr>
          <w:lang w:val="en-US"/>
        </w:rPr>
        <w:t>A</w:t>
      </w:r>
      <w:r w:rsidRPr="00DF3624">
        <w:rPr>
          <w:lang w:val="en-GB"/>
        </w:rPr>
        <w:t>.</w:t>
      </w:r>
      <w:r w:rsidRPr="001C478E">
        <w:rPr>
          <w:lang w:val="en-US"/>
        </w:rPr>
        <w:t xml:space="preserve"> </w:t>
      </w:r>
      <w:r w:rsidRPr="00DF3624">
        <w:rPr>
          <w:lang w:val="en-GB"/>
        </w:rPr>
        <w:t>(</w:t>
      </w:r>
      <w:r w:rsidRPr="001C478E">
        <w:rPr>
          <w:lang w:val="en-US"/>
        </w:rPr>
        <w:t>Scherger IDC</w:t>
      </w:r>
      <w:r w:rsidRPr="00DF3624">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S</w:t>
      </w:r>
      <w:r w:rsidRPr="00DF3624">
        <w:rPr>
          <w:lang w:val="en-GB"/>
        </w:rPr>
        <w:t>.</w:t>
      </w:r>
      <w:r w:rsidRPr="001C478E">
        <w:rPr>
          <w:lang w:val="en-US"/>
        </w:rPr>
        <w:t>B</w:t>
      </w:r>
      <w:r w:rsidRPr="00DF3624">
        <w:rPr>
          <w:lang w:val="en-GB"/>
        </w:rPr>
        <w:t>.</w:t>
      </w:r>
      <w:r w:rsidRPr="001C478E">
        <w:rPr>
          <w:lang w:val="en-US"/>
        </w:rPr>
        <w:t xml:space="preserve"> </w:t>
      </w:r>
      <w:r w:rsidRPr="00DF3624">
        <w:rPr>
          <w:lang w:val="en-GB"/>
        </w:rPr>
        <w:t>(</w:t>
      </w:r>
      <w:r w:rsidRPr="001C478E">
        <w:rPr>
          <w:lang w:val="en-US"/>
        </w:rPr>
        <w:t>Villawood IDC</w:t>
      </w:r>
      <w:r w:rsidRPr="00DF3624">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V</w:t>
      </w:r>
      <w:r w:rsidRPr="00DF3624">
        <w:rPr>
          <w:lang w:val="en-GB"/>
        </w:rPr>
        <w:t>.</w:t>
      </w:r>
      <w:r w:rsidRPr="001C478E">
        <w:rPr>
          <w:lang w:val="en-US"/>
        </w:rPr>
        <w:t>E</w:t>
      </w:r>
      <w:r w:rsidRPr="00DF3624">
        <w:rPr>
          <w:lang w:val="en-GB"/>
        </w:rPr>
        <w:t>.</w:t>
      </w:r>
      <w:r w:rsidRPr="001C478E">
        <w:rPr>
          <w:lang w:val="en-US"/>
        </w:rPr>
        <w:t xml:space="preserve"> </w:t>
      </w:r>
      <w:r w:rsidRPr="004F1A45">
        <w:rPr>
          <w:lang w:val="en-GB"/>
        </w:rPr>
        <w:t>(</w:t>
      </w:r>
      <w:r w:rsidRPr="001C478E">
        <w:rPr>
          <w:lang w:val="en-US"/>
        </w:rPr>
        <w:t>Christmas Island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S</w:t>
      </w:r>
      <w:r w:rsidRPr="004F1A45">
        <w:rPr>
          <w:lang w:val="en-GB"/>
        </w:rPr>
        <w:t>.</w:t>
      </w:r>
      <w:r w:rsidRPr="001C478E">
        <w:rPr>
          <w:lang w:val="en-US"/>
        </w:rPr>
        <w:t>G</w:t>
      </w:r>
      <w:r w:rsidRPr="004F1A45">
        <w:rPr>
          <w:lang w:val="en-GB"/>
        </w:rPr>
        <w:t>.</w:t>
      </w:r>
      <w:r w:rsidRPr="001C478E">
        <w:rPr>
          <w:lang w:val="en-US"/>
        </w:rPr>
        <w:t xml:space="preserve"> </w:t>
      </w:r>
      <w:r w:rsidRPr="004F1A45">
        <w:rPr>
          <w:lang w:val="en-GB"/>
        </w:rPr>
        <w:t>(</w:t>
      </w:r>
      <w:r w:rsidRPr="001C478E">
        <w:rPr>
          <w:lang w:val="en-US"/>
        </w:rPr>
        <w:t>Scherger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S</w:t>
      </w:r>
      <w:r w:rsidRPr="004F1A45">
        <w:rPr>
          <w:lang w:val="en-GB"/>
        </w:rPr>
        <w:t>.</w:t>
      </w:r>
      <w:r w:rsidRPr="001C478E">
        <w:rPr>
          <w:lang w:val="en-US"/>
        </w:rPr>
        <w:t>G</w:t>
      </w:r>
      <w:r w:rsidRPr="004F1A45">
        <w:rPr>
          <w:lang w:val="en-GB"/>
        </w:rPr>
        <w:t>.</w:t>
      </w:r>
      <w:r w:rsidRPr="001C478E">
        <w:rPr>
          <w:lang w:val="en-US"/>
        </w:rPr>
        <w:t xml:space="preserve"> </w:t>
      </w:r>
      <w:r w:rsidRPr="004F1A45">
        <w:rPr>
          <w:lang w:val="en-GB"/>
        </w:rPr>
        <w:t>(</w:t>
      </w:r>
      <w:r>
        <w:rPr>
          <w:lang w:val="en-GB"/>
        </w:rPr>
        <w:t xml:space="preserve">Northern IDC at </w:t>
      </w:r>
      <w:r w:rsidRPr="001C478E">
        <w:rPr>
          <w:lang w:val="en-US"/>
        </w:rPr>
        <w:t>Darwin</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T</w:t>
      </w:r>
      <w:r w:rsidRPr="004F1A45">
        <w:rPr>
          <w:lang w:val="en-GB"/>
        </w:rPr>
        <w:t>.</w:t>
      </w:r>
      <w:r w:rsidRPr="001C478E">
        <w:rPr>
          <w:lang w:val="en-US"/>
        </w:rPr>
        <w:t>K</w:t>
      </w:r>
      <w:r w:rsidRPr="004F1A45">
        <w:rPr>
          <w:lang w:val="en-GB"/>
        </w:rPr>
        <w:t>.</w:t>
      </w:r>
      <w:r w:rsidRPr="001C478E">
        <w:rPr>
          <w:lang w:val="en-US"/>
        </w:rPr>
        <w:t xml:space="preserve"> </w:t>
      </w:r>
      <w:r w:rsidRPr="004F1A45">
        <w:rPr>
          <w:lang w:val="en-GB"/>
        </w:rPr>
        <w:t>(</w:t>
      </w:r>
      <w:r w:rsidRPr="001C478E">
        <w:rPr>
          <w:lang w:val="en-US"/>
        </w:rPr>
        <w:t>Christmas Island IDC</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S</w:t>
      </w:r>
      <w:r w:rsidRPr="004F1A45">
        <w:rPr>
          <w:lang w:val="en-GB"/>
        </w:rPr>
        <w:t>.</w:t>
      </w:r>
      <w:r w:rsidRPr="001C478E">
        <w:rPr>
          <w:lang w:val="en-US"/>
        </w:rPr>
        <w:t>K</w:t>
      </w:r>
      <w:r w:rsidRPr="004F1A45">
        <w:rPr>
          <w:lang w:val="en-GB"/>
        </w:rPr>
        <w:t>.</w:t>
      </w:r>
      <w:r w:rsidRPr="001C478E">
        <w:rPr>
          <w:lang w:val="en-US"/>
        </w:rPr>
        <w:t xml:space="preserve"> </w:t>
      </w:r>
      <w:r w:rsidRPr="004F1A45">
        <w:rPr>
          <w:lang w:val="en-GB"/>
        </w:rPr>
        <w:t>(</w:t>
      </w:r>
      <w:r w:rsidRPr="001C478E">
        <w:rPr>
          <w:lang w:val="en-US"/>
        </w:rPr>
        <w:t>Villawood IDC, Blaxland</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ab/>
        <w:t>Mr</w:t>
      </w:r>
      <w:r w:rsidRPr="00F63E46">
        <w:rPr>
          <w:lang w:val="en-GB"/>
        </w:rPr>
        <w:t>.</w:t>
      </w:r>
      <w:r w:rsidRPr="001C478E">
        <w:rPr>
          <w:lang w:val="en-US"/>
        </w:rPr>
        <w:t xml:space="preserve"> S</w:t>
      </w:r>
      <w:r w:rsidRPr="004F1A45">
        <w:rPr>
          <w:lang w:val="en-GB"/>
        </w:rPr>
        <w:t>.</w:t>
      </w:r>
      <w:r w:rsidRPr="001C478E">
        <w:rPr>
          <w:lang w:val="en-US"/>
        </w:rPr>
        <w:t>M</w:t>
      </w:r>
      <w:r w:rsidRPr="004F1A45">
        <w:rPr>
          <w:lang w:val="en-GB"/>
        </w:rPr>
        <w:t>.</w:t>
      </w:r>
      <w:r w:rsidRPr="001C478E">
        <w:rPr>
          <w:lang w:val="en-US"/>
        </w:rPr>
        <w:t xml:space="preserve"> </w:t>
      </w:r>
      <w:r w:rsidRPr="004F1A45">
        <w:rPr>
          <w:lang w:val="en-GB"/>
        </w:rPr>
        <w:t>(</w:t>
      </w:r>
      <w:r w:rsidRPr="001C478E">
        <w:rPr>
          <w:lang w:val="en-US"/>
        </w:rPr>
        <w:t>Villawood IDC</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N</w:t>
      </w:r>
      <w:r w:rsidRPr="004F1A45">
        <w:rPr>
          <w:lang w:val="en-GB"/>
        </w:rPr>
        <w:t>.</w:t>
      </w:r>
      <w:r w:rsidRPr="001C478E">
        <w:rPr>
          <w:lang w:val="en-US"/>
        </w:rPr>
        <w:t>M</w:t>
      </w:r>
      <w:r w:rsidRPr="004F1A45">
        <w:rPr>
          <w:lang w:val="en-GB"/>
        </w:rPr>
        <w:t>.</w:t>
      </w:r>
      <w:r w:rsidRPr="001C478E">
        <w:rPr>
          <w:lang w:val="en-US"/>
        </w:rPr>
        <w:t xml:space="preserve"> </w:t>
      </w:r>
      <w:r w:rsidRPr="004F1A45">
        <w:rPr>
          <w:lang w:val="en-GB"/>
        </w:rPr>
        <w:t>(</w:t>
      </w:r>
      <w:r>
        <w:rPr>
          <w:lang w:val="en-GB"/>
        </w:rPr>
        <w:t>Northern IDC at</w:t>
      </w:r>
      <w:r w:rsidRPr="001C478E">
        <w:rPr>
          <w:lang w:val="en-US"/>
        </w:rPr>
        <w:t xml:space="preserve"> Darwin</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K</w:t>
      </w:r>
      <w:r w:rsidRPr="004F1A45">
        <w:rPr>
          <w:lang w:val="en-GB"/>
        </w:rPr>
        <w:t>.</w:t>
      </w:r>
      <w:r w:rsidRPr="001C478E">
        <w:rPr>
          <w:lang w:val="en-US"/>
        </w:rPr>
        <w:t>N</w:t>
      </w:r>
      <w:r w:rsidRPr="004F1A45">
        <w:rPr>
          <w:lang w:val="en-GB"/>
        </w:rPr>
        <w:t>.</w:t>
      </w:r>
      <w:r>
        <w:rPr>
          <w:lang w:val="en-GB"/>
        </w:rPr>
        <w:t xml:space="preserve"> </w:t>
      </w:r>
      <w:r w:rsidRPr="004F1A45">
        <w:rPr>
          <w:lang w:val="en-GB"/>
        </w:rPr>
        <w:t>(</w:t>
      </w:r>
      <w:r w:rsidRPr="001C478E">
        <w:rPr>
          <w:lang w:val="en-US"/>
        </w:rPr>
        <w:t>Maribyrnong IDC</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J</w:t>
      </w:r>
      <w:r w:rsidRPr="004F1A45">
        <w:rPr>
          <w:lang w:val="en-GB"/>
        </w:rPr>
        <w:t>.</w:t>
      </w:r>
      <w:r w:rsidRPr="001C478E">
        <w:rPr>
          <w:lang w:val="en-US"/>
        </w:rPr>
        <w:t>P</w:t>
      </w:r>
      <w:r w:rsidRPr="004F1A45">
        <w:rPr>
          <w:lang w:val="en-GB"/>
        </w:rPr>
        <w:t>.</w:t>
      </w:r>
      <w:r>
        <w:rPr>
          <w:lang w:val="en-GB"/>
        </w:rPr>
        <w:t xml:space="preserve"> </w:t>
      </w:r>
      <w:r w:rsidRPr="004F1A45">
        <w:rPr>
          <w:lang w:val="en-GB"/>
        </w:rPr>
        <w:t>(</w:t>
      </w:r>
      <w:r w:rsidRPr="001C478E">
        <w:rPr>
          <w:lang w:val="en-US"/>
        </w:rPr>
        <w:t>Curtin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Ms</w:t>
      </w:r>
      <w:r w:rsidRPr="00F63E46">
        <w:rPr>
          <w:lang w:val="en-GB"/>
        </w:rPr>
        <w:t>.</w:t>
      </w:r>
      <w:r w:rsidRPr="001C478E">
        <w:rPr>
          <w:lang w:val="en-US"/>
        </w:rPr>
        <w:t xml:space="preserve"> S</w:t>
      </w:r>
      <w:r w:rsidRPr="004F1A45">
        <w:rPr>
          <w:lang w:val="en-GB"/>
        </w:rPr>
        <w:t>.</w:t>
      </w:r>
      <w:bookmarkStart w:id="15" w:name="OLE_LINK3"/>
      <w:bookmarkStart w:id="16" w:name="OLE_LINK4"/>
      <w:r w:rsidRPr="001C478E">
        <w:rPr>
          <w:lang w:val="en-US"/>
        </w:rPr>
        <w:t>R</w:t>
      </w:r>
      <w:r w:rsidRPr="004F1A45">
        <w:rPr>
          <w:lang w:val="en-GB"/>
        </w:rPr>
        <w:t>.</w:t>
      </w:r>
      <w:r>
        <w:rPr>
          <w:lang w:val="en-GB"/>
        </w:rPr>
        <w:t xml:space="preserve"> </w:t>
      </w:r>
      <w:bookmarkEnd w:id="15"/>
      <w:bookmarkEnd w:id="16"/>
      <w:r w:rsidRPr="004F1A45">
        <w:rPr>
          <w:lang w:val="en-GB"/>
        </w:rPr>
        <w:t>(</w:t>
      </w:r>
      <w:r w:rsidRPr="001C478E">
        <w:rPr>
          <w:lang w:val="en-US"/>
        </w:rPr>
        <w:t>Villawood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Master A</w:t>
      </w:r>
      <w:r w:rsidRPr="004F1A45">
        <w:rPr>
          <w:lang w:val="en-GB"/>
        </w:rPr>
        <w:t>.</w:t>
      </w:r>
      <w:r w:rsidRPr="001C478E">
        <w:rPr>
          <w:lang w:val="en-US"/>
        </w:rPr>
        <w:t>R</w:t>
      </w:r>
      <w:r w:rsidRPr="004F1A45">
        <w:rPr>
          <w:lang w:val="en-GB"/>
        </w:rPr>
        <w:t>.</w:t>
      </w:r>
      <w:r>
        <w:rPr>
          <w:lang w:val="en-GB"/>
        </w:rPr>
        <w:t xml:space="preserve"> </w:t>
      </w:r>
      <w:r w:rsidRPr="004F1A45">
        <w:rPr>
          <w:lang w:val="en-GB"/>
        </w:rPr>
        <w:t>(</w:t>
      </w:r>
      <w:r w:rsidRPr="001C478E">
        <w:rPr>
          <w:lang w:val="en-US"/>
        </w:rPr>
        <w:t>Villawood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Miss A</w:t>
      </w:r>
      <w:r w:rsidRPr="004F1A45">
        <w:rPr>
          <w:lang w:val="en-GB"/>
        </w:rPr>
        <w:t>.</w:t>
      </w:r>
      <w:r w:rsidRPr="001C478E">
        <w:rPr>
          <w:lang w:val="en-US"/>
        </w:rPr>
        <w:t>R</w:t>
      </w:r>
      <w:r w:rsidRPr="004F1A45">
        <w:rPr>
          <w:lang w:val="en-GB"/>
        </w:rPr>
        <w:t>.</w:t>
      </w:r>
      <w:r>
        <w:rPr>
          <w:lang w:val="en-GB"/>
        </w:rPr>
        <w:t xml:space="preserve"> </w:t>
      </w:r>
      <w:r w:rsidRPr="004F1A45">
        <w:rPr>
          <w:lang w:val="en-GB"/>
        </w:rPr>
        <w:t>(</w:t>
      </w:r>
      <w:r w:rsidRPr="001C478E">
        <w:rPr>
          <w:lang w:val="en-US"/>
        </w:rPr>
        <w:t>Villawood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Master V</w:t>
      </w:r>
      <w:r w:rsidRPr="004F1A45">
        <w:rPr>
          <w:lang w:val="en-GB"/>
        </w:rPr>
        <w:t>.</w:t>
      </w:r>
      <w:r w:rsidRPr="001C478E">
        <w:rPr>
          <w:lang w:val="en-US"/>
        </w:rPr>
        <w:t>R</w:t>
      </w:r>
      <w:r w:rsidRPr="004F1A45">
        <w:rPr>
          <w:lang w:val="en-GB"/>
        </w:rPr>
        <w:t>.</w:t>
      </w:r>
      <w:r>
        <w:rPr>
          <w:lang w:val="en-GB"/>
        </w:rPr>
        <w:t xml:space="preserve"> </w:t>
      </w:r>
      <w:r w:rsidRPr="004F1A45">
        <w:rPr>
          <w:lang w:val="en-GB"/>
        </w:rPr>
        <w:t>(</w:t>
      </w:r>
      <w:r w:rsidRPr="001C478E">
        <w:rPr>
          <w:lang w:val="en-US"/>
        </w:rPr>
        <w:t>Villawood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Y</w:t>
      </w:r>
      <w:r w:rsidRPr="004F1A45">
        <w:rPr>
          <w:lang w:val="en-GB"/>
        </w:rPr>
        <w:t>.</w:t>
      </w:r>
      <w:r w:rsidRPr="001C478E">
        <w:rPr>
          <w:lang w:val="en-US"/>
        </w:rPr>
        <w:t>R</w:t>
      </w:r>
      <w:r w:rsidRPr="004F1A45">
        <w:rPr>
          <w:lang w:val="en-GB"/>
        </w:rPr>
        <w:t>.</w:t>
      </w:r>
      <w:r w:rsidRPr="001C478E">
        <w:rPr>
          <w:lang w:val="en-US"/>
        </w:rPr>
        <w:t xml:space="preserve"> </w:t>
      </w:r>
      <w:r w:rsidRPr="004F1A45">
        <w:rPr>
          <w:lang w:val="en-GB"/>
        </w:rPr>
        <w:t>(</w:t>
      </w:r>
      <w:r w:rsidRPr="001C478E">
        <w:rPr>
          <w:lang w:val="en-US"/>
        </w:rPr>
        <w:t>Villawood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R</w:t>
      </w:r>
      <w:r w:rsidRPr="004F1A45">
        <w:rPr>
          <w:lang w:val="en-GB"/>
        </w:rPr>
        <w:t>.</w:t>
      </w:r>
      <w:r w:rsidRPr="001C478E">
        <w:rPr>
          <w:lang w:val="en-US"/>
        </w:rPr>
        <w:t>R</w:t>
      </w:r>
      <w:r w:rsidRPr="004F1A45">
        <w:rPr>
          <w:lang w:val="en-GB"/>
        </w:rPr>
        <w:t>.</w:t>
      </w:r>
      <w:r w:rsidRPr="001C478E">
        <w:rPr>
          <w:lang w:val="en-US"/>
        </w:rPr>
        <w:t xml:space="preserve"> </w:t>
      </w:r>
      <w:r w:rsidRPr="004F1A45">
        <w:rPr>
          <w:lang w:val="en-GB"/>
        </w:rPr>
        <w:t>(</w:t>
      </w:r>
      <w:r w:rsidRPr="001C478E">
        <w:rPr>
          <w:lang w:val="en-US"/>
        </w:rPr>
        <w:t>Scherger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K</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Curtin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S</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Villawood IDC, Fowler</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D</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Maribyrnong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S</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Maribyrnong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N</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Villawood IDC, Fowler</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M</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Villawood IDC, Fowler</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N</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Villawood IDC</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N</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Villawood IDC, Fowler</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K</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Villawood IDC, Blaxland</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T</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Villawood IDC, Fowler</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P</w:t>
      </w:r>
      <w:r w:rsidRPr="004F1A45">
        <w:rPr>
          <w:lang w:val="en-GB"/>
        </w:rPr>
        <w:t>.</w:t>
      </w:r>
      <w:r w:rsidRPr="001C478E">
        <w:rPr>
          <w:lang w:val="en-US"/>
        </w:rPr>
        <w:t>S</w:t>
      </w:r>
      <w:r w:rsidRPr="004F1A45">
        <w:rPr>
          <w:lang w:val="en-GB"/>
        </w:rPr>
        <w:t>.</w:t>
      </w:r>
      <w:r w:rsidRPr="001C478E">
        <w:rPr>
          <w:lang w:val="en-US"/>
        </w:rPr>
        <w:t xml:space="preserve"> </w:t>
      </w:r>
      <w:r w:rsidRPr="004F1A45">
        <w:rPr>
          <w:lang w:val="en-GB"/>
        </w:rPr>
        <w:t>(</w:t>
      </w:r>
      <w:r w:rsidRPr="001C478E">
        <w:rPr>
          <w:lang w:val="en-US"/>
        </w:rPr>
        <w:t>Villawood IDC, Fowler</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K</w:t>
      </w:r>
      <w:r w:rsidRPr="004F1A45">
        <w:rPr>
          <w:lang w:val="en-GB"/>
        </w:rPr>
        <w:t>.</w:t>
      </w:r>
      <w:r w:rsidRPr="001C478E">
        <w:rPr>
          <w:lang w:val="en-US"/>
        </w:rPr>
        <w:t>T</w:t>
      </w:r>
      <w:r w:rsidRPr="004F1A45">
        <w:rPr>
          <w:lang w:val="en-GB"/>
        </w:rPr>
        <w:t>.</w:t>
      </w:r>
      <w:r w:rsidRPr="001C478E">
        <w:rPr>
          <w:lang w:val="en-US"/>
        </w:rPr>
        <w:t xml:space="preserve"> </w:t>
      </w:r>
      <w:r w:rsidRPr="004F1A45">
        <w:rPr>
          <w:lang w:val="en-GB"/>
        </w:rPr>
        <w:t>(</w:t>
      </w:r>
      <w:r w:rsidRPr="001C478E">
        <w:rPr>
          <w:lang w:val="en-US"/>
        </w:rPr>
        <w:t>Maribyrnong IDC</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S</w:t>
      </w:r>
      <w:r w:rsidRPr="004F1A45">
        <w:rPr>
          <w:lang w:val="en-GB"/>
        </w:rPr>
        <w:t>.</w:t>
      </w:r>
      <w:r w:rsidRPr="001C478E">
        <w:rPr>
          <w:lang w:val="en-US"/>
        </w:rPr>
        <w:t>T</w:t>
      </w:r>
      <w:r w:rsidRPr="004F1A45">
        <w:rPr>
          <w:lang w:val="en-GB"/>
        </w:rPr>
        <w:t>.</w:t>
      </w:r>
      <w:r>
        <w:rPr>
          <w:lang w:val="en-GB"/>
        </w:rPr>
        <w:t xml:space="preserve"> </w:t>
      </w:r>
      <w:r w:rsidRPr="004F1A45">
        <w:rPr>
          <w:lang w:val="en-GB"/>
        </w:rPr>
        <w:t>(</w:t>
      </w:r>
      <w:r w:rsidRPr="001C478E">
        <w:rPr>
          <w:lang w:val="en-US"/>
        </w:rPr>
        <w:t>Villawood IDC, Blaxland</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M</w:t>
      </w:r>
      <w:r w:rsidRPr="004F1A45">
        <w:rPr>
          <w:lang w:val="en-GB"/>
        </w:rPr>
        <w:t>.</w:t>
      </w:r>
      <w:r w:rsidRPr="001C478E">
        <w:rPr>
          <w:lang w:val="en-US"/>
        </w:rPr>
        <w:t>T</w:t>
      </w:r>
      <w:r w:rsidRPr="004F1A45">
        <w:rPr>
          <w:lang w:val="en-GB"/>
        </w:rPr>
        <w:t>.</w:t>
      </w:r>
      <w:r w:rsidRPr="001C478E">
        <w:rPr>
          <w:lang w:val="en-US"/>
        </w:rPr>
        <w:t xml:space="preserve"> </w:t>
      </w:r>
      <w:r w:rsidRPr="004F1A45">
        <w:rPr>
          <w:lang w:val="en-GB"/>
        </w:rPr>
        <w:t>(</w:t>
      </w:r>
      <w:r w:rsidRPr="001C478E">
        <w:rPr>
          <w:lang w:val="en-US"/>
        </w:rPr>
        <w:t>Scherger IDC</w:t>
      </w:r>
      <w:r w:rsidRPr="004F1A45">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V</w:t>
      </w:r>
      <w:r w:rsidRPr="004F1A45">
        <w:rPr>
          <w:lang w:val="en-GB"/>
        </w:rPr>
        <w:t>.</w:t>
      </w:r>
      <w:r w:rsidRPr="001C478E">
        <w:rPr>
          <w:lang w:val="en-US"/>
        </w:rPr>
        <w:t>V</w:t>
      </w:r>
      <w:r w:rsidRPr="004F1A45">
        <w:rPr>
          <w:lang w:val="en-GB"/>
        </w:rPr>
        <w:t>.</w:t>
      </w:r>
      <w:r w:rsidRPr="001C478E">
        <w:rPr>
          <w:lang w:val="en-US"/>
        </w:rPr>
        <w:t xml:space="preserve"> </w:t>
      </w:r>
      <w:r w:rsidRPr="004F1A45">
        <w:rPr>
          <w:lang w:val="en-GB"/>
        </w:rPr>
        <w:t>(</w:t>
      </w:r>
      <w:r w:rsidRPr="001C478E">
        <w:rPr>
          <w:lang w:val="en-US"/>
        </w:rPr>
        <w:t>Scherger IDC</w:t>
      </w:r>
      <w:r w:rsidRPr="004F1A45">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S</w:t>
      </w:r>
      <w:r w:rsidRPr="004F1A45">
        <w:rPr>
          <w:lang w:val="en-GB"/>
        </w:rPr>
        <w:t>.</w:t>
      </w:r>
      <w:r w:rsidRPr="001C478E">
        <w:rPr>
          <w:lang w:val="en-US"/>
        </w:rPr>
        <w:t>Y</w:t>
      </w:r>
      <w:r w:rsidRPr="004F1A45">
        <w:rPr>
          <w:lang w:val="en-GB"/>
        </w:rPr>
        <w:t>.</w:t>
      </w:r>
      <w:r w:rsidRPr="001C478E">
        <w:rPr>
          <w:lang w:val="en-US"/>
        </w:rPr>
        <w:t xml:space="preserve"> </w:t>
      </w:r>
      <w:r w:rsidRPr="000C4468">
        <w:rPr>
          <w:lang w:val="en-GB"/>
        </w:rPr>
        <w:t>(</w:t>
      </w:r>
      <w:r w:rsidRPr="001C478E">
        <w:rPr>
          <w:lang w:val="en-US"/>
        </w:rPr>
        <w:t>Maribyrnong IDC</w:t>
      </w:r>
      <w:r w:rsidRPr="000C4468">
        <w:rPr>
          <w:lang w:val="en-GB"/>
        </w:rPr>
        <w:t>)</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S</w:t>
      </w:r>
      <w:r w:rsidRPr="000C4468">
        <w:rPr>
          <w:lang w:val="en-GB"/>
        </w:rPr>
        <w:t>.</w:t>
      </w:r>
      <w:r w:rsidRPr="001C478E">
        <w:rPr>
          <w:lang w:val="en-US"/>
        </w:rPr>
        <w:t>S</w:t>
      </w:r>
      <w:r w:rsidRPr="000C4468">
        <w:rPr>
          <w:lang w:val="en-GB"/>
        </w:rPr>
        <w:t>.</w:t>
      </w:r>
      <w:r w:rsidRPr="001C478E">
        <w:rPr>
          <w:lang w:val="en-US"/>
        </w:rPr>
        <w:t xml:space="preserve"> </w:t>
      </w:r>
      <w:r w:rsidRPr="000C4468">
        <w:rPr>
          <w:lang w:val="en-GB"/>
        </w:rPr>
        <w:t>(</w:t>
      </w:r>
      <w:r w:rsidRPr="001C478E">
        <w:rPr>
          <w:lang w:val="en-US"/>
        </w:rPr>
        <w:t>Curtin IDC</w:t>
      </w:r>
      <w:r w:rsidRPr="000C4468">
        <w:rPr>
          <w:lang w:val="en-GB"/>
        </w:rPr>
        <w:t>)</w:t>
      </w:r>
      <w:r w:rsidRPr="001C478E">
        <w:rPr>
          <w:lang w:val="en-US"/>
        </w:rPr>
        <w:t xml:space="preserve"> </w:t>
      </w:r>
    </w:p>
    <w:p w:rsidR="0014670C" w:rsidRPr="001C478E"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S</w:t>
      </w:r>
      <w:r w:rsidRPr="000C4468">
        <w:rPr>
          <w:lang w:val="en-GB"/>
        </w:rPr>
        <w:t>.</w:t>
      </w:r>
      <w:r w:rsidRPr="001C478E">
        <w:rPr>
          <w:lang w:val="en-US"/>
        </w:rPr>
        <w:t>B</w:t>
      </w:r>
      <w:r w:rsidRPr="000C4468">
        <w:rPr>
          <w:lang w:val="en-GB"/>
        </w:rPr>
        <w:t>.</w:t>
      </w:r>
      <w:r w:rsidRPr="001C478E">
        <w:rPr>
          <w:lang w:val="en-US"/>
        </w:rPr>
        <w:t xml:space="preserve"> </w:t>
      </w:r>
      <w:r w:rsidRPr="000C4468">
        <w:rPr>
          <w:lang w:val="en-GB"/>
        </w:rPr>
        <w:t>(</w:t>
      </w:r>
      <w:r w:rsidRPr="001C478E">
        <w:rPr>
          <w:lang w:val="en-US"/>
        </w:rPr>
        <w:t>Scherger IDC</w:t>
      </w:r>
      <w:r w:rsidRPr="000C4468">
        <w:rPr>
          <w:lang w:val="en-GB"/>
        </w:rPr>
        <w:t>)</w:t>
      </w:r>
    </w:p>
    <w:p w:rsidR="0014670C" w:rsidRPr="00DD0C50" w:rsidRDefault="0014670C" w:rsidP="0014670C">
      <w:pPr>
        <w:pStyle w:val="SingleTxtG"/>
        <w:numPr>
          <w:ilvl w:val="0"/>
          <w:numId w:val="29"/>
        </w:numPr>
        <w:ind w:left="2058" w:hanging="567"/>
        <w:rPr>
          <w:lang w:val="en-US"/>
        </w:rPr>
      </w:pPr>
      <w:r w:rsidRPr="001C478E">
        <w:rPr>
          <w:lang w:val="en-US"/>
        </w:rPr>
        <w:t>Mr</w:t>
      </w:r>
      <w:r w:rsidRPr="00F63E46">
        <w:rPr>
          <w:lang w:val="en-GB"/>
        </w:rPr>
        <w:t>.</w:t>
      </w:r>
      <w:r w:rsidRPr="001C478E">
        <w:rPr>
          <w:lang w:val="en-US"/>
        </w:rPr>
        <w:t xml:space="preserve"> S</w:t>
      </w:r>
      <w:r w:rsidRPr="000C4468">
        <w:rPr>
          <w:lang w:val="en-GB"/>
        </w:rPr>
        <w:t>.</w:t>
      </w:r>
      <w:r w:rsidRPr="001C478E">
        <w:rPr>
          <w:lang w:val="en-US"/>
        </w:rPr>
        <w:t>S</w:t>
      </w:r>
      <w:r w:rsidRPr="000C4468">
        <w:rPr>
          <w:lang w:val="en-GB"/>
        </w:rPr>
        <w:t>.</w:t>
      </w:r>
      <w:r w:rsidRPr="001C478E">
        <w:rPr>
          <w:lang w:val="en-US"/>
        </w:rPr>
        <w:t xml:space="preserve"> </w:t>
      </w:r>
      <w:r w:rsidRPr="00A02DDB">
        <w:rPr>
          <w:lang w:val="en-GB"/>
        </w:rPr>
        <w:t>(</w:t>
      </w:r>
      <w:r>
        <w:rPr>
          <w:lang w:val="en-GB"/>
        </w:rPr>
        <w:t>Northern IDC at</w:t>
      </w:r>
      <w:r w:rsidRPr="001C478E">
        <w:rPr>
          <w:lang w:val="en-US"/>
        </w:rPr>
        <w:t xml:space="preserve"> Darwin</w:t>
      </w:r>
      <w:r w:rsidRPr="00A02DDB">
        <w:rPr>
          <w:lang w:val="en-GB"/>
        </w:rPr>
        <w:t>)</w:t>
      </w:r>
    </w:p>
    <w:p w:rsidR="00DD0C50" w:rsidRDefault="00DD0C50" w:rsidP="00DD0C50">
      <w:pPr>
        <w:pStyle w:val="SingleTxtG"/>
      </w:pPr>
    </w:p>
    <w:p w:rsidR="00DD0C50" w:rsidRDefault="00DD0C50" w:rsidP="00DD0C50">
      <w:pPr>
        <w:pStyle w:val="SingleTxtG"/>
        <w:rPr>
          <w:lang w:val="en-US"/>
        </w:rPr>
        <w:sectPr w:rsidR="00DD0C50" w:rsidSect="0084613B">
          <w:headerReference w:type="first" r:id="rId14"/>
          <w:footerReference w:type="first" r:id="rId15"/>
          <w:footnotePr>
            <w:numFmt w:val="lowerLetter"/>
            <w:numRestart w:val="eachSect"/>
          </w:footnotePr>
          <w:pgSz w:w="11907" w:h="16840" w:code="9"/>
          <w:pgMar w:top="1701" w:right="1134" w:bottom="2268" w:left="1134" w:header="1134" w:footer="1701" w:gutter="0"/>
          <w:cols w:space="720"/>
          <w:titlePg/>
          <w:docGrid w:linePitch="360"/>
        </w:sectPr>
      </w:pPr>
    </w:p>
    <w:p w:rsidR="0014670C" w:rsidRPr="007A741B" w:rsidRDefault="0014670C" w:rsidP="0014670C">
      <w:pPr>
        <w:pStyle w:val="HChGR"/>
      </w:pPr>
      <w:r>
        <w:t>Добавление</w:t>
      </w:r>
      <w:r w:rsidRPr="007A741B">
        <w:t xml:space="preserve"> </w:t>
      </w:r>
      <w:r>
        <w:rPr>
          <w:lang w:val="en-US"/>
        </w:rPr>
        <w:t>II</w:t>
      </w:r>
    </w:p>
    <w:p w:rsidR="0014670C" w:rsidRPr="00DF502A" w:rsidRDefault="0014670C" w:rsidP="0014670C">
      <w:pPr>
        <w:pStyle w:val="H1GR"/>
      </w:pPr>
      <w:r>
        <w:tab/>
      </w:r>
      <w:r>
        <w:tab/>
      </w:r>
      <w:r w:rsidRPr="00DF502A">
        <w:t>Особое мнение члена Комитета сэра Найджела Родли</w:t>
      </w:r>
    </w:p>
    <w:p w:rsidR="0014670C" w:rsidRPr="00DF502A" w:rsidRDefault="004F26A5" w:rsidP="0014670C">
      <w:pPr>
        <w:pStyle w:val="SingleTxtGR"/>
      </w:pPr>
      <w:r>
        <w:tab/>
      </w:r>
      <w:r w:rsidR="0014670C" w:rsidRPr="00DF502A">
        <w:t xml:space="preserve">Позвольте мне сослаться на мое особое мнение по делу </w:t>
      </w:r>
      <w:r w:rsidR="0014670C" w:rsidRPr="00DF502A">
        <w:rPr>
          <w:i/>
          <w:lang w:val="en-US"/>
        </w:rPr>
        <w:t>C</w:t>
      </w:r>
      <w:r w:rsidR="0014670C" w:rsidRPr="00DF502A">
        <w:rPr>
          <w:i/>
        </w:rPr>
        <w:t xml:space="preserve">. </w:t>
      </w:r>
      <w:r w:rsidR="0014670C">
        <w:rPr>
          <w:i/>
        </w:rPr>
        <w:t>п</w:t>
      </w:r>
      <w:r w:rsidR="0014670C" w:rsidRPr="00DF502A">
        <w:rPr>
          <w:i/>
        </w:rPr>
        <w:t xml:space="preserve">ротив </w:t>
      </w:r>
      <w:r w:rsidR="0014670C" w:rsidRPr="007A741B">
        <w:rPr>
          <w:i/>
        </w:rPr>
        <w:t>Авс</w:t>
      </w:r>
      <w:r w:rsidR="0014670C" w:rsidRPr="007A741B">
        <w:rPr>
          <w:i/>
        </w:rPr>
        <w:t>т</w:t>
      </w:r>
      <w:r w:rsidR="0014670C" w:rsidRPr="007A741B">
        <w:rPr>
          <w:i/>
        </w:rPr>
        <w:t>ралии</w:t>
      </w:r>
      <w:r w:rsidR="0014670C" w:rsidRPr="00234289">
        <w:rPr>
          <w:rStyle w:val="FootnoteReference"/>
        </w:rPr>
        <w:footnoteReference w:id="19"/>
      </w:r>
      <w:r w:rsidR="0014670C" w:rsidRPr="00DF502A">
        <w:t>. Я считаю признание нарушения пункта 4 статьи 9 округлым и повер</w:t>
      </w:r>
      <w:r w:rsidR="0014670C" w:rsidRPr="00DF502A">
        <w:t>х</w:t>
      </w:r>
      <w:r w:rsidR="0014670C" w:rsidRPr="00DF502A">
        <w:t xml:space="preserve">ностным, поскольку </w:t>
      </w:r>
      <w:r w:rsidR="0014670C">
        <w:t xml:space="preserve">именно </w:t>
      </w:r>
      <w:r w:rsidR="0014670C" w:rsidRPr="00DF502A">
        <w:t xml:space="preserve">отсутствие правовых гарантий </w:t>
      </w:r>
      <w:r w:rsidR="0014670C">
        <w:t xml:space="preserve">возможности </w:t>
      </w:r>
      <w:r w:rsidR="0014670C" w:rsidRPr="00DF502A">
        <w:t xml:space="preserve">для оспаривания задержания является частью и </w:t>
      </w:r>
      <w:r w:rsidR="0014670C">
        <w:t>возможно</w:t>
      </w:r>
      <w:r w:rsidR="0014670C" w:rsidRPr="00DF502A">
        <w:t xml:space="preserve"> главным </w:t>
      </w:r>
      <w:r w:rsidR="0014670C">
        <w:t xml:space="preserve">элементом </w:t>
      </w:r>
      <w:r w:rsidR="0014670C" w:rsidRPr="00DF502A">
        <w:t>в</w:t>
      </w:r>
      <w:r w:rsidR="0014670C" w:rsidRPr="00DF502A">
        <w:t>ы</w:t>
      </w:r>
      <w:r w:rsidR="0014670C" w:rsidRPr="00DF502A">
        <w:t xml:space="preserve">шеупомянутого решения о признании нарушения пункта 1 статьи 9. Я также по-прежнему не убежден в том, что </w:t>
      </w:r>
      <w:r w:rsidR="0014670C">
        <w:t xml:space="preserve">сфера применения обеспечиваемой </w:t>
      </w:r>
      <w:r w:rsidR="0014670C" w:rsidRPr="00DF502A">
        <w:t>пункт</w:t>
      </w:r>
      <w:r w:rsidR="0014670C">
        <w:t>ом</w:t>
      </w:r>
      <w:r w:rsidR="0014670C" w:rsidRPr="00DF502A">
        <w:t xml:space="preserve"> 4 статьи 9</w:t>
      </w:r>
      <w:r w:rsidR="0014670C">
        <w:t xml:space="preserve"> защиты, предполагающей возможность</w:t>
      </w:r>
      <w:r w:rsidR="0014670C" w:rsidRPr="00DF502A">
        <w:t xml:space="preserve"> оспаривания законности з</w:t>
      </w:r>
      <w:r w:rsidR="0014670C" w:rsidRPr="00DF502A">
        <w:t>а</w:t>
      </w:r>
      <w:r w:rsidR="0014670C" w:rsidRPr="00DF502A">
        <w:t xml:space="preserve">держания, </w:t>
      </w:r>
      <w:r w:rsidR="0014670C">
        <w:t xml:space="preserve">не ограничивается </w:t>
      </w:r>
      <w:r w:rsidR="0014670C" w:rsidRPr="00DF502A">
        <w:t>оспаривани</w:t>
      </w:r>
      <w:r w:rsidR="0014670C">
        <w:t>ем</w:t>
      </w:r>
      <w:r w:rsidR="0014670C" w:rsidRPr="00DF502A">
        <w:t xml:space="preserve"> законности по национальному </w:t>
      </w:r>
      <w:r w:rsidR="0014670C">
        <w:t>з</w:t>
      </w:r>
      <w:r w:rsidR="0014670C">
        <w:t>а</w:t>
      </w:r>
      <w:r w:rsidR="0014670C">
        <w:t>конодательству</w:t>
      </w:r>
      <w:r w:rsidR="0014670C" w:rsidRPr="00DF502A">
        <w:t xml:space="preserve">. </w:t>
      </w:r>
      <w:r w:rsidR="0014670C">
        <w:t>П</w:t>
      </w:r>
      <w:r w:rsidR="0014670C" w:rsidRPr="00DF502A">
        <w:t xml:space="preserve">о международному праву </w:t>
      </w:r>
      <w:r w:rsidR="0014670C">
        <w:t>противозаконность</w:t>
      </w:r>
      <w:r w:rsidR="0014670C" w:rsidRPr="00DF502A">
        <w:t xml:space="preserve"> как раз </w:t>
      </w:r>
      <w:r w:rsidR="0014670C">
        <w:t xml:space="preserve">и </w:t>
      </w:r>
      <w:r w:rsidR="0014670C" w:rsidRPr="00DF502A">
        <w:t>отн</w:t>
      </w:r>
      <w:r w:rsidR="0014670C" w:rsidRPr="00DF502A">
        <w:t>о</w:t>
      </w:r>
      <w:r w:rsidR="0014670C" w:rsidRPr="00DF502A">
        <w:t>сится к сфере применения пункта 1 статьи 9.</w:t>
      </w:r>
    </w:p>
    <w:p w:rsidR="0014670C" w:rsidRPr="00DF502A" w:rsidRDefault="0014670C" w:rsidP="0014670C">
      <w:pPr>
        <w:pStyle w:val="SingleTxtGR"/>
      </w:pPr>
      <w:r w:rsidRPr="00DF502A">
        <w:t>[Принято на английском языке. Впоследствии будет также издано на арабском, испанском, китайском, русском и французском языках в качестве части ежего</w:t>
      </w:r>
      <w:r w:rsidRPr="00DF502A">
        <w:t>д</w:t>
      </w:r>
      <w:r w:rsidRPr="00DF502A">
        <w:t>ного доклада Комитета Генеральной Ассамблее.]</w:t>
      </w:r>
    </w:p>
    <w:p w:rsidR="0014670C" w:rsidRPr="00DF502A" w:rsidRDefault="0014670C" w:rsidP="0014670C">
      <w:pPr>
        <w:spacing w:before="240"/>
        <w:ind w:left="1134" w:right="1134"/>
        <w:jc w:val="center"/>
        <w:rPr>
          <w:sz w:val="24"/>
          <w:szCs w:val="24"/>
          <w:u w:val="single"/>
        </w:rPr>
      </w:pPr>
      <w:r w:rsidRPr="00DF502A">
        <w:rPr>
          <w:sz w:val="24"/>
          <w:szCs w:val="24"/>
          <w:u w:val="single"/>
        </w:rPr>
        <w:tab/>
      </w:r>
      <w:r w:rsidRPr="00DF502A">
        <w:rPr>
          <w:sz w:val="24"/>
          <w:szCs w:val="24"/>
          <w:u w:val="single"/>
        </w:rPr>
        <w:tab/>
      </w:r>
      <w:r w:rsidRPr="00DF502A">
        <w:rPr>
          <w:sz w:val="24"/>
          <w:szCs w:val="24"/>
          <w:u w:val="single"/>
        </w:rPr>
        <w:tab/>
      </w:r>
    </w:p>
    <w:p w:rsidR="004F0431" w:rsidRPr="0014670C" w:rsidRDefault="004F0431" w:rsidP="00D76358"/>
    <w:p w:rsidR="006E7AF7" w:rsidRPr="0014670C" w:rsidRDefault="006E7AF7" w:rsidP="00D76358"/>
    <w:sectPr w:rsidR="006E7AF7" w:rsidRPr="0014670C" w:rsidSect="0084613B">
      <w:footnotePr>
        <w:numFmt w:val="lowerLetter"/>
        <w:numRestart w:val="eachSect"/>
      </w:footnotePr>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8E" w:rsidRDefault="00A61E8E">
      <w:r>
        <w:rPr>
          <w:lang w:val="en-US"/>
        </w:rPr>
        <w:tab/>
      </w:r>
      <w:r>
        <w:separator/>
      </w:r>
    </w:p>
  </w:endnote>
  <w:endnote w:type="continuationSeparator" w:id="0">
    <w:p w:rsidR="00A61E8E" w:rsidRDefault="00A61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E2" w:rsidRPr="005F0588" w:rsidRDefault="00DB54E2">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715FC">
      <w:rPr>
        <w:rStyle w:val="PageNumber"/>
        <w:noProof/>
      </w:rPr>
      <w:t>2</w:t>
    </w:r>
    <w:r>
      <w:rPr>
        <w:rStyle w:val="PageNumber"/>
      </w:rPr>
      <w:fldChar w:fldCharType="end"/>
    </w:r>
    <w:r>
      <w:rPr>
        <w:lang w:val="en-US"/>
      </w:rPr>
      <w:tab/>
      <w:t>GE.</w:t>
    </w:r>
    <w:r w:rsidRPr="004F0431">
      <w:rPr>
        <w:lang w:val="en-US"/>
      </w:rPr>
      <w:t>13-47911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E2" w:rsidRPr="005F0588" w:rsidRDefault="00DB54E2">
    <w:pPr>
      <w:pStyle w:val="Footer"/>
      <w:rPr>
        <w:lang w:val="en-US"/>
      </w:rPr>
    </w:pPr>
    <w:r>
      <w:rPr>
        <w:lang w:val="en-US"/>
      </w:rPr>
      <w:t>GE.</w:t>
    </w:r>
    <w:r w:rsidRPr="004F0431">
      <w:rPr>
        <w:lang w:val="en-US"/>
      </w:rPr>
      <w:t>13-47911</w:t>
    </w:r>
    <w:r>
      <w:rPr>
        <w:lang w:val="en-US"/>
      </w:rPr>
      <w:tab/>
    </w:r>
    <w:r>
      <w:rPr>
        <w:rStyle w:val="PageNumber"/>
      </w:rPr>
      <w:fldChar w:fldCharType="begin"/>
    </w:r>
    <w:r>
      <w:rPr>
        <w:rStyle w:val="PageNumber"/>
      </w:rPr>
      <w:instrText xml:space="preserve"> PAGE </w:instrText>
    </w:r>
    <w:r>
      <w:rPr>
        <w:rStyle w:val="PageNumber"/>
      </w:rPr>
      <w:fldChar w:fldCharType="separate"/>
    </w:r>
    <w:r w:rsidR="009715FC">
      <w:rPr>
        <w:rStyle w:val="PageNumber"/>
        <w:noProof/>
      </w:rPr>
      <w:t>27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9"/>
      <w:gridCol w:w="4655"/>
      <w:gridCol w:w="1221"/>
    </w:tblGrid>
    <w:tr w:rsidR="00DB54E2" w:rsidTr="00611264">
      <w:trPr>
        <w:trHeight w:val="438"/>
      </w:trPr>
      <w:tc>
        <w:tcPr>
          <w:tcW w:w="4068" w:type="dxa"/>
          <w:vAlign w:val="bottom"/>
        </w:tcPr>
        <w:p w:rsidR="00DB54E2" w:rsidRDefault="00DB54E2" w:rsidP="00611264">
          <w:r>
            <w:rPr>
              <w:lang w:val="en-US"/>
            </w:rPr>
            <w:t>GE.13-47911   (R)   021213   031213</w:t>
          </w:r>
        </w:p>
      </w:tc>
      <w:tc>
        <w:tcPr>
          <w:tcW w:w="4663" w:type="dxa"/>
          <w:vMerge w:val="restart"/>
          <w:vAlign w:val="bottom"/>
        </w:tcPr>
        <w:p w:rsidR="00DB54E2" w:rsidRDefault="00DB54E2" w:rsidP="00611264">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DB54E2" w:rsidRDefault="00DB54E2" w:rsidP="00611264">
          <w:pPr>
            <w:jc w:val="right"/>
          </w:pPr>
          <w:r>
            <w:pict>
              <v:shape id="_x0000_i1027" type="#_x0000_t75" style="width:50.25pt;height:50.25pt">
                <v:imagedata r:id="rId2" o:title="2011&amp;Size=2&amp;Lang=R"/>
              </v:shape>
            </w:pict>
          </w:r>
        </w:p>
      </w:tc>
    </w:tr>
    <w:tr w:rsidR="00DB54E2" w:rsidRPr="00797A78" w:rsidTr="00611264">
      <w:tc>
        <w:tcPr>
          <w:tcW w:w="4068" w:type="dxa"/>
          <w:vAlign w:val="bottom"/>
        </w:tcPr>
        <w:p w:rsidR="00DB54E2" w:rsidRPr="003F7562" w:rsidRDefault="00DB54E2" w:rsidP="00611264">
          <w:pPr>
            <w:spacing w:after="40"/>
            <w:rPr>
              <w:rFonts w:ascii="C39T30Lfz" w:hAnsi="C39T30Lfz"/>
              <w:spacing w:val="0"/>
              <w:w w:val="100"/>
              <w:kern w:val="0"/>
              <w:sz w:val="56"/>
              <w:szCs w:val="56"/>
              <w:lang w:val="en-US" w:eastAsia="ru-RU"/>
            </w:rPr>
          </w:pPr>
          <w:r w:rsidRPr="003F7562">
            <w:rPr>
              <w:rFonts w:ascii="C39T30Lfz" w:hAnsi="C39T30Lfz"/>
              <w:spacing w:val="0"/>
              <w:w w:val="100"/>
              <w:kern w:val="0"/>
              <w:sz w:val="56"/>
              <w:szCs w:val="56"/>
              <w:lang w:val="en-US" w:eastAsia="ru-RU"/>
            </w:rPr>
            <w:t></w:t>
          </w:r>
          <w:r w:rsidRPr="003F7562">
            <w:rPr>
              <w:rFonts w:ascii="C39T30Lfz" w:hAnsi="C39T30Lfz"/>
              <w:spacing w:val="0"/>
              <w:w w:val="100"/>
              <w:kern w:val="0"/>
              <w:sz w:val="56"/>
              <w:szCs w:val="56"/>
              <w:lang w:val="en-US" w:eastAsia="ru-RU"/>
            </w:rPr>
            <w:t></w:t>
          </w:r>
          <w:r w:rsidRPr="003F7562">
            <w:rPr>
              <w:rFonts w:ascii="C39T30Lfz" w:hAnsi="C39T30Lfz"/>
              <w:spacing w:val="0"/>
              <w:w w:val="100"/>
              <w:kern w:val="0"/>
              <w:sz w:val="56"/>
              <w:szCs w:val="56"/>
              <w:lang w:val="en-US" w:eastAsia="ru-RU"/>
            </w:rPr>
            <w:t></w:t>
          </w:r>
          <w:r w:rsidRPr="003F7562">
            <w:rPr>
              <w:rFonts w:ascii="C39T30Lfz" w:hAnsi="C39T30Lfz"/>
              <w:spacing w:val="0"/>
              <w:w w:val="100"/>
              <w:kern w:val="0"/>
              <w:sz w:val="56"/>
              <w:szCs w:val="56"/>
              <w:lang w:val="en-US" w:eastAsia="ru-RU"/>
            </w:rPr>
            <w:t></w:t>
          </w:r>
          <w:r w:rsidRPr="003F7562">
            <w:rPr>
              <w:rFonts w:ascii="C39T30Lfz" w:hAnsi="C39T30Lfz"/>
              <w:spacing w:val="0"/>
              <w:w w:val="100"/>
              <w:kern w:val="0"/>
              <w:sz w:val="56"/>
              <w:szCs w:val="56"/>
              <w:lang w:val="en-US" w:eastAsia="ru-RU"/>
            </w:rPr>
            <w:t></w:t>
          </w:r>
          <w:r w:rsidRPr="003F7562">
            <w:rPr>
              <w:rFonts w:ascii="C39T30Lfz" w:hAnsi="C39T30Lfz"/>
              <w:spacing w:val="0"/>
              <w:w w:val="100"/>
              <w:kern w:val="0"/>
              <w:sz w:val="56"/>
              <w:szCs w:val="56"/>
              <w:lang w:val="en-US" w:eastAsia="ru-RU"/>
            </w:rPr>
            <w:t></w:t>
          </w:r>
          <w:r w:rsidRPr="003F7562">
            <w:rPr>
              <w:rFonts w:ascii="C39T30Lfz" w:hAnsi="C39T30Lfz"/>
              <w:spacing w:val="0"/>
              <w:w w:val="100"/>
              <w:kern w:val="0"/>
              <w:sz w:val="56"/>
              <w:szCs w:val="56"/>
              <w:lang w:val="en-US" w:eastAsia="ru-RU"/>
            </w:rPr>
            <w:t></w:t>
          </w:r>
          <w:r w:rsidRPr="003F7562">
            <w:rPr>
              <w:rFonts w:ascii="C39T30Lfz" w:hAnsi="C39T30Lfz"/>
              <w:spacing w:val="0"/>
              <w:w w:val="100"/>
              <w:kern w:val="0"/>
              <w:sz w:val="56"/>
              <w:szCs w:val="56"/>
              <w:lang w:val="en-US" w:eastAsia="ru-RU"/>
            </w:rPr>
            <w:t></w:t>
          </w:r>
          <w:r w:rsidRPr="003F7562">
            <w:rPr>
              <w:rFonts w:ascii="C39T30Lfz" w:hAnsi="C39T30Lfz"/>
              <w:spacing w:val="0"/>
              <w:w w:val="100"/>
              <w:kern w:val="0"/>
              <w:sz w:val="56"/>
              <w:szCs w:val="56"/>
              <w:lang w:val="en-US" w:eastAsia="ru-RU"/>
            </w:rPr>
            <w:t></w:t>
          </w:r>
        </w:p>
      </w:tc>
      <w:tc>
        <w:tcPr>
          <w:tcW w:w="4663" w:type="dxa"/>
          <w:vMerge/>
        </w:tcPr>
        <w:p w:rsidR="00DB54E2" w:rsidRDefault="00DB54E2" w:rsidP="00611264"/>
      </w:tc>
      <w:tc>
        <w:tcPr>
          <w:tcW w:w="1124" w:type="dxa"/>
          <w:vMerge/>
        </w:tcPr>
        <w:p w:rsidR="00DB54E2" w:rsidRDefault="00DB54E2" w:rsidP="00611264"/>
      </w:tc>
    </w:tr>
  </w:tbl>
  <w:p w:rsidR="00DB54E2" w:rsidRDefault="00DB54E2" w:rsidP="00381289">
    <w:pPr>
      <w:spacing w:line="240" w:lineRule="auto"/>
      <w:rPr>
        <w:sz w:val="2"/>
        <w:szCs w:val="2"/>
        <w:lang w:val="en-US"/>
      </w:rPr>
    </w:pPr>
  </w:p>
  <w:p w:rsidR="00DB54E2" w:rsidRPr="002D7E3C" w:rsidRDefault="00DB54E2"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49" type="#_x0000_t202" style="position:absolute;margin-left:690pt;margin-top:-193.15pt;width:36pt;height:162.95pt;z-index:1" filled="f" stroked="f">
          <v:textbox style="layout-flow:vertical" inset="0,0,0,0">
            <w:txbxContent>
              <w:p w:rsidR="00DB54E2" w:rsidRDefault="00DB54E2" w:rsidP="006E7AF7">
                <w:pPr>
                  <w:rPr>
                    <w:lang w:val="en-US"/>
                  </w:rPr>
                </w:pPr>
              </w:p>
              <w:p w:rsidR="00DB54E2" w:rsidRDefault="00DB54E2"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715FC">
                  <w:rPr>
                    <w:rStyle w:val="PageNumber"/>
                    <w:noProof/>
                  </w:rPr>
                  <w:t>1</w:t>
                </w:r>
                <w:r>
                  <w:rPr>
                    <w:rStyle w:val="PageNumber"/>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E2" w:rsidRDefault="00DB54E2" w:rsidP="00381289">
    <w:pPr>
      <w:spacing w:line="240" w:lineRule="auto"/>
      <w:rPr>
        <w:sz w:val="2"/>
        <w:szCs w:val="2"/>
        <w:lang w:val="en-US"/>
      </w:rPr>
    </w:pPr>
  </w:p>
  <w:p w:rsidR="00DB54E2" w:rsidRPr="005F0588" w:rsidRDefault="00DB54E2" w:rsidP="00DD0C50">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715FC">
      <w:rPr>
        <w:rStyle w:val="PageNumber"/>
        <w:noProof/>
      </w:rPr>
      <w:t>28</w:t>
    </w:r>
    <w:r>
      <w:rPr>
        <w:rStyle w:val="PageNumber"/>
      </w:rPr>
      <w:fldChar w:fldCharType="end"/>
    </w:r>
    <w:r>
      <w:rPr>
        <w:lang w:val="en-US"/>
      </w:rPr>
      <w:tab/>
      <w:t>GE.</w:t>
    </w:r>
    <w:r w:rsidRPr="004F0431">
      <w:rPr>
        <w:lang w:val="en-US"/>
      </w:rPr>
      <w:t>13-47911</w:t>
    </w:r>
  </w:p>
  <w:p w:rsidR="00DB54E2" w:rsidRPr="002D7E3C" w:rsidRDefault="00DB54E2" w:rsidP="006E7AF7">
    <w:pPr>
      <w:pStyle w:val="Footer"/>
      <w:rPr>
        <w:sz w:val="2"/>
        <w:szCs w:val="2"/>
      </w:rPr>
    </w:pPr>
    <w:r w:rsidRPr="002D7E3C">
      <w:rPr>
        <w:noProof/>
        <w:sz w:val="2"/>
        <w:szCs w:val="2"/>
      </w:rPr>
      <w:pict>
        <v:shapetype id="_x0000_t202" coordsize="21600,21600" o:spt="202" path="m,l,21600r21600,l21600,xe">
          <v:stroke joinstyle="miter"/>
          <v:path gradientshapeok="t" o:connecttype="rect"/>
        </v:shapetype>
        <v:shape id="_x0000_s2050" type="#_x0000_t202" style="position:absolute;margin-left:690pt;margin-top:-193.15pt;width:36pt;height:162.95pt;z-index:2" filled="f" stroked="f">
          <v:textbox style="layout-flow:vertical" inset="0,0,0,0">
            <w:txbxContent>
              <w:p w:rsidR="00DB54E2" w:rsidRDefault="00DB54E2" w:rsidP="006E7AF7">
                <w:pPr>
                  <w:rPr>
                    <w:lang w:val="en-US"/>
                  </w:rPr>
                </w:pPr>
              </w:p>
              <w:p w:rsidR="00DB54E2" w:rsidRDefault="00DB54E2" w:rsidP="006E7AF7">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9715FC">
                  <w:rPr>
                    <w:rStyle w:val="PageNumber"/>
                    <w:noProof/>
                  </w:rPr>
                  <w:t>28</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8E" w:rsidRPr="00F71F63" w:rsidRDefault="00A61E8E"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A61E8E" w:rsidRPr="00F71F63" w:rsidRDefault="00A61E8E" w:rsidP="00635E86">
      <w:pPr>
        <w:tabs>
          <w:tab w:val="right" w:pos="2155"/>
        </w:tabs>
        <w:spacing w:after="80" w:line="240" w:lineRule="auto"/>
        <w:rPr>
          <w:u w:val="single"/>
          <w:lang w:val="en-US"/>
        </w:rPr>
      </w:pPr>
      <w:r w:rsidRPr="00F71F63">
        <w:rPr>
          <w:u w:val="single"/>
          <w:lang w:val="en-US"/>
        </w:rPr>
        <w:tab/>
      </w:r>
    </w:p>
    <w:p w:rsidR="00A61E8E" w:rsidRPr="00635E86" w:rsidRDefault="00A61E8E" w:rsidP="00635E86">
      <w:pPr>
        <w:pStyle w:val="Footer"/>
      </w:pPr>
    </w:p>
  </w:footnote>
  <w:footnote w:id="1">
    <w:p w:rsidR="00DB54E2" w:rsidRPr="00997D87" w:rsidRDefault="00DB54E2" w:rsidP="0014670C">
      <w:pPr>
        <w:pStyle w:val="FootnoteText"/>
        <w:rPr>
          <w:lang w:val="ru-RU"/>
        </w:rPr>
      </w:pPr>
      <w:r w:rsidRPr="00997D87">
        <w:rPr>
          <w:lang w:val="ru-RU"/>
        </w:rPr>
        <w:tab/>
      </w:r>
      <w:r w:rsidRPr="0014670C">
        <w:rPr>
          <w:rStyle w:val="FootnoteReference"/>
          <w:vertAlign w:val="baseline"/>
          <w:lang w:val="ru-RU"/>
        </w:rPr>
        <w:t>*</w:t>
      </w:r>
      <w:r w:rsidRPr="00160468">
        <w:rPr>
          <w:lang w:val="ru-RU"/>
        </w:rPr>
        <w:t xml:space="preserve"> </w:t>
      </w:r>
      <w:r w:rsidRPr="001C129B">
        <w:rPr>
          <w:lang w:val="ru-RU"/>
        </w:rPr>
        <w:tab/>
      </w:r>
      <w:r>
        <w:rPr>
          <w:lang w:val="ru-RU"/>
        </w:rPr>
        <w:t>В рассмотрении настоящего сообщения приняли участие следующие члены Комитета: г-н Ядх Бен Ашур, г-н Лазхари Бузид, г-жа Кристина Шане, г-н Ахмад Амин Фаталла, г-н Корнелис Флинтерман, г-н Юдзи Ивасава, г-н Вальтер Келин, г-жа Зонке Занеле Майодина, г-н Кешоу Парсад Матадин, г-н Джеральд Л. Нойман, сэр Найджел Родли, г-н Виктор Мануэль Родригес-Ресия, г-н Фабиан Омар Сальвиоли, г-жа Аня Зайберт-Фор, г-н Юваль Шани, г-н Константин Вардзелашвили и г-жа Марго Ватервал.</w:t>
      </w:r>
    </w:p>
    <w:p w:rsidR="00DB54E2" w:rsidRPr="001C478E" w:rsidRDefault="00DB54E2" w:rsidP="0014670C">
      <w:pPr>
        <w:pStyle w:val="FootnoteText"/>
        <w:rPr>
          <w:lang w:val="ru-RU"/>
        </w:rPr>
      </w:pPr>
      <w:r w:rsidRPr="00997D87">
        <w:rPr>
          <w:lang w:val="ru-RU"/>
        </w:rPr>
        <w:tab/>
      </w:r>
      <w:r w:rsidRPr="00997D87">
        <w:rPr>
          <w:lang w:val="ru-RU"/>
        </w:rPr>
        <w:tab/>
        <w:t>Текст особого мнения члена Комитета сэра Найджела Родли прилагается к настоящим Соображениям.</w:t>
      </w:r>
    </w:p>
  </w:footnote>
  <w:footnote w:id="2">
    <w:p w:rsidR="00DB54E2" w:rsidRPr="001C478E" w:rsidRDefault="00DB54E2" w:rsidP="0014670C">
      <w:pPr>
        <w:pStyle w:val="FootnoteText"/>
        <w:rPr>
          <w:lang w:val="ru-RU"/>
        </w:rPr>
      </w:pPr>
      <w:r w:rsidRPr="00160468">
        <w:rPr>
          <w:lang w:val="ru-RU"/>
        </w:rPr>
        <w:tab/>
      </w:r>
      <w:r w:rsidRPr="0014670C">
        <w:rPr>
          <w:rStyle w:val="FootnoteReference"/>
          <w:vertAlign w:val="baseline"/>
          <w:lang w:val="ru-RU"/>
        </w:rPr>
        <w:t>**</w:t>
      </w:r>
      <w:r w:rsidRPr="00997D87">
        <w:rPr>
          <w:lang w:val="ru-RU"/>
        </w:rPr>
        <w:tab/>
        <w:t>Добавление I воспроизводится только на языке представления.</w:t>
      </w:r>
    </w:p>
  </w:footnote>
  <w:footnote w:id="3">
    <w:p w:rsidR="00DB54E2" w:rsidRPr="001C478E" w:rsidRDefault="00DB54E2" w:rsidP="0014670C">
      <w:pPr>
        <w:pStyle w:val="FootnoteText"/>
        <w:rPr>
          <w:lang w:val="ru-RU"/>
        </w:rPr>
      </w:pPr>
      <w:r>
        <w:rPr>
          <w:lang w:val="ru-RU"/>
        </w:rPr>
        <w:tab/>
      </w:r>
      <w:r>
        <w:rPr>
          <w:rStyle w:val="FootnoteReference"/>
        </w:rPr>
        <w:footnoteRef/>
      </w:r>
      <w:r>
        <w:rPr>
          <w:lang w:val="ru-RU"/>
        </w:rPr>
        <w:tab/>
        <w:t xml:space="preserve">Список авторов содержится в добавлении </w:t>
      </w:r>
      <w:r>
        <w:rPr>
          <w:lang w:val="en-US"/>
        </w:rPr>
        <w:t>I</w:t>
      </w:r>
      <w:r>
        <w:rPr>
          <w:lang w:val="ru-RU"/>
        </w:rPr>
        <w:t>.</w:t>
      </w:r>
    </w:p>
  </w:footnote>
  <w:footnote w:id="4">
    <w:p w:rsidR="00DB54E2" w:rsidRPr="001C478E" w:rsidRDefault="00DB54E2" w:rsidP="0014670C">
      <w:pPr>
        <w:pStyle w:val="FootnoteText"/>
        <w:rPr>
          <w:lang w:val="ru-RU"/>
        </w:rPr>
      </w:pPr>
      <w:r>
        <w:rPr>
          <w:lang w:val="ru-RU"/>
        </w:rPr>
        <w:tab/>
      </w:r>
      <w:r>
        <w:rPr>
          <w:rStyle w:val="FootnoteReference"/>
        </w:rPr>
        <w:footnoteRef/>
      </w:r>
      <w:r w:rsidRPr="00A77040">
        <w:rPr>
          <w:lang w:val="ru-RU"/>
        </w:rPr>
        <w:t xml:space="preserve"> </w:t>
      </w:r>
      <w:r>
        <w:rPr>
          <w:lang w:val="ru-RU"/>
        </w:rPr>
        <w:tab/>
        <w:t>См. пункт 2.7 ниже.</w:t>
      </w:r>
    </w:p>
  </w:footnote>
  <w:footnote w:id="5">
    <w:p w:rsidR="00DB54E2" w:rsidRPr="001C478E" w:rsidRDefault="00DB54E2" w:rsidP="0014670C">
      <w:pPr>
        <w:pStyle w:val="FootnoteText"/>
        <w:rPr>
          <w:lang w:val="ru-RU"/>
        </w:rPr>
      </w:pPr>
      <w:r>
        <w:rPr>
          <w:lang w:val="ru-RU"/>
        </w:rPr>
        <w:tab/>
      </w:r>
      <w:r>
        <w:rPr>
          <w:rStyle w:val="FootnoteReference"/>
        </w:rPr>
        <w:footnoteRef/>
      </w:r>
      <w:r w:rsidRPr="009E3D3A">
        <w:rPr>
          <w:lang w:val="ru-RU"/>
        </w:rPr>
        <w:t xml:space="preserve"> </w:t>
      </w:r>
      <w:r>
        <w:rPr>
          <w:lang w:val="ru-RU"/>
        </w:rPr>
        <w:tab/>
        <w:t>П.С. и К.Т. (авторы 29 и 30).</w:t>
      </w:r>
    </w:p>
  </w:footnote>
  <w:footnote w:id="6">
    <w:p w:rsidR="00DB54E2" w:rsidRPr="001C478E" w:rsidRDefault="00DB54E2" w:rsidP="0014670C">
      <w:pPr>
        <w:pStyle w:val="FootnoteText"/>
        <w:rPr>
          <w:lang w:val="ru-RU"/>
        </w:rPr>
      </w:pPr>
      <w:r>
        <w:rPr>
          <w:lang w:val="ru-RU"/>
        </w:rPr>
        <w:tab/>
      </w:r>
      <w:r>
        <w:rPr>
          <w:rStyle w:val="FootnoteReference"/>
        </w:rPr>
        <w:footnoteRef/>
      </w:r>
      <w:r w:rsidRPr="00A77040">
        <w:rPr>
          <w:lang w:val="ru-RU"/>
        </w:rPr>
        <w:t xml:space="preserve"> </w:t>
      </w:r>
      <w:r>
        <w:rPr>
          <w:lang w:val="ru-RU"/>
        </w:rPr>
        <w:tab/>
        <w:t>В.Р. (автор 16).</w:t>
      </w:r>
    </w:p>
  </w:footnote>
  <w:footnote w:id="7">
    <w:p w:rsidR="00DB54E2" w:rsidRPr="001C478E" w:rsidRDefault="00DB54E2" w:rsidP="0014670C">
      <w:pPr>
        <w:pStyle w:val="FootnoteText"/>
        <w:ind w:hanging="567"/>
        <w:rPr>
          <w:lang w:val="ru-RU"/>
        </w:rPr>
      </w:pPr>
      <w:r>
        <w:rPr>
          <w:lang w:val="ru-RU"/>
        </w:rPr>
        <w:tab/>
      </w:r>
      <w:r>
        <w:rPr>
          <w:rStyle w:val="FootnoteReference"/>
        </w:rPr>
        <w:footnoteRef/>
      </w:r>
      <w:r>
        <w:rPr>
          <w:lang w:val="ru-RU"/>
        </w:rPr>
        <w:tab/>
        <w:t xml:space="preserve">Из полученных авторами писем об итогах их оценки с точки зрения угрозы безопасности явствует, что они "не имеют права ходатайствовать о пересмотре оценки АОБР по ее существу. Это объясняется тем, что, согласно </w:t>
      </w:r>
      <w:r w:rsidRPr="003B56DC">
        <w:rPr>
          <w:i/>
          <w:lang w:val="ru-RU"/>
        </w:rPr>
        <w:t>Закону об Австралийской организации по вопросам безопасности и разведки 1979 года</w:t>
      </w:r>
      <w:r>
        <w:rPr>
          <w:lang w:val="ru-RU"/>
        </w:rPr>
        <w:t>, ходатайствовать о пересмотре существа оценки угрозы безопасности вправе только определенные категории лиц, а вы не относитесь к этим категориям".</w:t>
      </w:r>
    </w:p>
  </w:footnote>
  <w:footnote w:id="8">
    <w:p w:rsidR="00DB54E2" w:rsidRPr="001C478E" w:rsidRDefault="00DB54E2" w:rsidP="0014670C">
      <w:pPr>
        <w:pStyle w:val="FootnoteText"/>
        <w:rPr>
          <w:lang w:val="ru-RU"/>
        </w:rPr>
      </w:pPr>
      <w:r>
        <w:rPr>
          <w:lang w:val="ru-RU"/>
        </w:rPr>
        <w:tab/>
      </w:r>
      <w:r>
        <w:rPr>
          <w:rStyle w:val="FootnoteReference"/>
        </w:rPr>
        <w:footnoteRef/>
      </w:r>
      <w:r w:rsidRPr="009E3D3A">
        <w:rPr>
          <w:lang w:val="ru-RU"/>
        </w:rPr>
        <w:t xml:space="preserve"> </w:t>
      </w:r>
      <w:r>
        <w:rPr>
          <w:lang w:val="ru-RU"/>
        </w:rPr>
        <w:tab/>
        <w:t>См. пункт 1.2 выше. 26 февраля 2013 года в ответ на выраженную Комитетом озабоченность Австралия представила информацию о применении по отношению к упомянутым авторам различных мер, включая программу психологической помощи, образовательные и досуговые мероприятия, а также назначение сотрудника по оказанию персональной поддержки для регулярных встреч с ними и оказания им помощи в оформлении запросов.</w:t>
      </w:r>
    </w:p>
  </w:footnote>
  <w:footnote w:id="9">
    <w:p w:rsidR="00DB54E2" w:rsidRPr="00C10AF2" w:rsidRDefault="00DB54E2" w:rsidP="0014670C">
      <w:pPr>
        <w:pStyle w:val="FootnoteText"/>
        <w:rPr>
          <w:lang w:val="ru-RU"/>
        </w:rPr>
      </w:pPr>
      <w:r>
        <w:rPr>
          <w:lang w:val="ru-RU"/>
        </w:rPr>
        <w:tab/>
      </w:r>
      <w:r>
        <w:rPr>
          <w:rStyle w:val="FootnoteReference"/>
        </w:rPr>
        <w:footnoteRef/>
      </w:r>
      <w:r w:rsidRPr="003233FC">
        <w:rPr>
          <w:lang w:val="ru-RU"/>
        </w:rPr>
        <w:t xml:space="preserve"> </w:t>
      </w:r>
      <w:r>
        <w:rPr>
          <w:lang w:val="ru-RU"/>
        </w:rPr>
        <w:tab/>
        <w:t>В поступивших от УИГ письмах с уведомлением авторов о результатах их оценки с точки зрения угрозы безопасности, указывалось</w:t>
      </w:r>
      <w:r w:rsidRPr="00C10AF2">
        <w:rPr>
          <w:lang w:val="ru-RU"/>
        </w:rPr>
        <w:t>:</w:t>
      </w:r>
      <w:r>
        <w:rPr>
          <w:lang w:val="ru-RU"/>
        </w:rPr>
        <w:t xml:space="preserve"> "АОБР считает </w:t>
      </w:r>
      <w:r w:rsidRPr="00C10AF2">
        <w:rPr>
          <w:lang w:val="ru-RU"/>
        </w:rPr>
        <w:t>[</w:t>
      </w:r>
      <w:r>
        <w:rPr>
          <w:lang w:val="ru-RU"/>
        </w:rPr>
        <w:t>фамилия автора</w:t>
      </w:r>
      <w:r w:rsidRPr="00C10AF2">
        <w:rPr>
          <w:lang w:val="ru-RU"/>
        </w:rPr>
        <w:t>]</w:t>
      </w:r>
      <w:r>
        <w:rPr>
          <w:lang w:val="ru-RU"/>
        </w:rPr>
        <w:t xml:space="preserve"> прямой (или косвенной) угрозой безопасности по смыслу раздела 4 австралийского Закона об Организации по вопросам безопасности и разведки 1979 года. Соответственно АОБР рекомендует отказать </w:t>
      </w:r>
      <w:r w:rsidRPr="00C10AF2">
        <w:rPr>
          <w:lang w:val="ru-RU"/>
        </w:rPr>
        <w:t>[</w:t>
      </w:r>
      <w:r>
        <w:rPr>
          <w:lang w:val="ru-RU"/>
        </w:rPr>
        <w:t>фамилия автора</w:t>
      </w:r>
      <w:r w:rsidRPr="00C10AF2">
        <w:rPr>
          <w:lang w:val="ru-RU"/>
        </w:rPr>
        <w:t>]</w:t>
      </w:r>
      <w:r w:rsidRPr="00431326">
        <w:rPr>
          <w:lang w:val="ru-RU"/>
        </w:rPr>
        <w:t xml:space="preserve"> </w:t>
      </w:r>
      <w:r>
        <w:rPr>
          <w:lang w:val="ru-RU"/>
        </w:rPr>
        <w:t>в любом прошении о выдаче визы". В разделе 4 Закона "безопасность" определяется как:</w:t>
      </w:r>
    </w:p>
    <w:p w:rsidR="00DB54E2" w:rsidRPr="00C52E7F" w:rsidRDefault="00DB54E2" w:rsidP="001476AD">
      <w:pPr>
        <w:pStyle w:val="FootnoteText"/>
        <w:ind w:hanging="567"/>
        <w:rPr>
          <w:lang w:val="ru-RU"/>
        </w:rPr>
      </w:pPr>
      <w:r w:rsidRPr="00C10AF2">
        <w:rPr>
          <w:lang w:val="ru-RU"/>
        </w:rPr>
        <w:tab/>
      </w:r>
      <w:r w:rsidRPr="00C10AF2">
        <w:rPr>
          <w:lang w:val="ru-RU"/>
        </w:rPr>
        <w:tab/>
      </w:r>
      <w:r>
        <w:rPr>
          <w:lang w:val="ru-RU"/>
        </w:rPr>
        <w:tab/>
      </w:r>
      <w:r>
        <w:rPr>
          <w:lang w:val="en-US"/>
        </w:rPr>
        <w:t>a</w:t>
      </w:r>
      <w:r w:rsidRPr="00C52E7F">
        <w:rPr>
          <w:lang w:val="ru-RU"/>
        </w:rPr>
        <w:t>)</w:t>
      </w:r>
      <w:r w:rsidRPr="00C52E7F">
        <w:rPr>
          <w:lang w:val="ru-RU"/>
        </w:rPr>
        <w:tab/>
      </w:r>
      <w:r>
        <w:rPr>
          <w:lang w:val="ru-RU"/>
        </w:rPr>
        <w:t>защита Содружества, а также нескольких государств и территорий и их народов от</w:t>
      </w:r>
      <w:r w:rsidRPr="00C52E7F">
        <w:rPr>
          <w:lang w:val="ru-RU"/>
        </w:rPr>
        <w:t xml:space="preserve">: </w:t>
      </w:r>
      <w:r w:rsidRPr="00C52E7F">
        <w:rPr>
          <w:lang w:val="ru-RU"/>
        </w:rPr>
        <w:tab/>
      </w:r>
    </w:p>
    <w:p w:rsidR="00DB54E2" w:rsidRPr="003233FC" w:rsidRDefault="00DB54E2" w:rsidP="0014670C">
      <w:pPr>
        <w:pStyle w:val="FootnoteText"/>
        <w:rPr>
          <w:lang w:val="ru-RU"/>
        </w:rPr>
      </w:pPr>
      <w:r w:rsidRPr="00C52E7F">
        <w:rPr>
          <w:lang w:val="ru-RU"/>
        </w:rPr>
        <w:tab/>
      </w:r>
      <w:r w:rsidRPr="00C52E7F">
        <w:rPr>
          <w:lang w:val="ru-RU"/>
        </w:rPr>
        <w:tab/>
      </w:r>
      <w:r w:rsidRPr="00C52E7F">
        <w:rPr>
          <w:lang w:val="ru-RU"/>
        </w:rPr>
        <w:tab/>
      </w:r>
      <w:r>
        <w:rPr>
          <w:lang w:val="en-US"/>
        </w:rPr>
        <w:t>i</w:t>
      </w:r>
      <w:r w:rsidRPr="003233FC">
        <w:rPr>
          <w:lang w:val="ru-RU"/>
        </w:rPr>
        <w:t>)</w:t>
      </w:r>
      <w:r w:rsidRPr="003233FC">
        <w:rPr>
          <w:lang w:val="ru-RU"/>
        </w:rPr>
        <w:tab/>
      </w:r>
      <w:r>
        <w:rPr>
          <w:lang w:val="ru-RU"/>
        </w:rPr>
        <w:t>шпионажа</w:t>
      </w:r>
      <w:r w:rsidRPr="003233FC">
        <w:rPr>
          <w:lang w:val="ru-RU"/>
        </w:rPr>
        <w:t>;</w:t>
      </w:r>
    </w:p>
    <w:p w:rsidR="00DB54E2" w:rsidRPr="00C52E7F" w:rsidRDefault="00DB54E2" w:rsidP="0014670C">
      <w:pPr>
        <w:pStyle w:val="FootnoteText"/>
        <w:rPr>
          <w:lang w:val="ru-RU"/>
        </w:rPr>
      </w:pPr>
      <w:r w:rsidRPr="003233FC">
        <w:rPr>
          <w:lang w:val="ru-RU"/>
        </w:rPr>
        <w:tab/>
      </w:r>
      <w:r w:rsidRPr="003233FC">
        <w:rPr>
          <w:lang w:val="ru-RU"/>
        </w:rPr>
        <w:tab/>
      </w:r>
      <w:r w:rsidRPr="003233FC">
        <w:rPr>
          <w:lang w:val="ru-RU"/>
        </w:rPr>
        <w:tab/>
      </w:r>
      <w:r>
        <w:rPr>
          <w:lang w:val="en-US"/>
        </w:rPr>
        <w:t>ii</w:t>
      </w:r>
      <w:r w:rsidRPr="00C52E7F">
        <w:rPr>
          <w:lang w:val="ru-RU"/>
        </w:rPr>
        <w:t>)</w:t>
      </w:r>
      <w:r w:rsidRPr="00C52E7F">
        <w:rPr>
          <w:lang w:val="ru-RU"/>
        </w:rPr>
        <w:tab/>
      </w:r>
      <w:r>
        <w:rPr>
          <w:lang w:val="ru-RU"/>
        </w:rPr>
        <w:t>саботажа</w:t>
      </w:r>
      <w:r w:rsidRPr="00C52E7F">
        <w:rPr>
          <w:lang w:val="ru-RU"/>
        </w:rPr>
        <w:t>;</w:t>
      </w:r>
    </w:p>
    <w:p w:rsidR="00DB54E2" w:rsidRPr="00C52E7F" w:rsidRDefault="00DB54E2" w:rsidP="0014670C">
      <w:pPr>
        <w:pStyle w:val="FootnoteText"/>
        <w:rPr>
          <w:lang w:val="ru-RU"/>
        </w:rPr>
      </w:pPr>
      <w:r w:rsidRPr="00C52E7F">
        <w:rPr>
          <w:lang w:val="ru-RU"/>
        </w:rPr>
        <w:tab/>
      </w:r>
      <w:r w:rsidRPr="00C52E7F">
        <w:rPr>
          <w:lang w:val="ru-RU"/>
        </w:rPr>
        <w:tab/>
      </w:r>
      <w:r w:rsidRPr="00C52E7F">
        <w:rPr>
          <w:lang w:val="ru-RU"/>
        </w:rPr>
        <w:tab/>
      </w:r>
      <w:r>
        <w:rPr>
          <w:lang w:val="en-US"/>
        </w:rPr>
        <w:t>iii</w:t>
      </w:r>
      <w:r w:rsidRPr="00C52E7F">
        <w:rPr>
          <w:lang w:val="ru-RU"/>
        </w:rPr>
        <w:t>)</w:t>
      </w:r>
      <w:r w:rsidRPr="00C52E7F">
        <w:rPr>
          <w:lang w:val="ru-RU"/>
        </w:rPr>
        <w:tab/>
      </w:r>
      <w:r>
        <w:rPr>
          <w:lang w:val="ru-RU"/>
        </w:rPr>
        <w:t>политически мотивированного насилия</w:t>
      </w:r>
      <w:r w:rsidRPr="00C52E7F">
        <w:rPr>
          <w:lang w:val="ru-RU"/>
        </w:rPr>
        <w:t>;</w:t>
      </w:r>
    </w:p>
    <w:p w:rsidR="00DB54E2" w:rsidRPr="00C52E7F" w:rsidRDefault="00DB54E2" w:rsidP="0014670C">
      <w:pPr>
        <w:pStyle w:val="FootnoteText"/>
        <w:rPr>
          <w:lang w:val="ru-RU"/>
        </w:rPr>
      </w:pPr>
      <w:r w:rsidRPr="00C52E7F">
        <w:rPr>
          <w:lang w:val="ru-RU"/>
        </w:rPr>
        <w:tab/>
      </w:r>
      <w:r w:rsidRPr="00C52E7F">
        <w:rPr>
          <w:lang w:val="ru-RU"/>
        </w:rPr>
        <w:tab/>
      </w:r>
      <w:r w:rsidRPr="00C52E7F">
        <w:rPr>
          <w:lang w:val="ru-RU"/>
        </w:rPr>
        <w:tab/>
      </w:r>
      <w:r>
        <w:rPr>
          <w:lang w:val="en-US"/>
        </w:rPr>
        <w:t>iv</w:t>
      </w:r>
      <w:r w:rsidRPr="00C52E7F">
        <w:rPr>
          <w:lang w:val="ru-RU"/>
        </w:rPr>
        <w:t>)</w:t>
      </w:r>
      <w:r w:rsidRPr="00C52E7F">
        <w:rPr>
          <w:lang w:val="ru-RU"/>
        </w:rPr>
        <w:tab/>
      </w:r>
      <w:r>
        <w:rPr>
          <w:lang w:val="ru-RU"/>
        </w:rPr>
        <w:t>разжигания межобщинных конфликтов</w:t>
      </w:r>
      <w:r w:rsidRPr="00C52E7F">
        <w:rPr>
          <w:lang w:val="ru-RU"/>
        </w:rPr>
        <w:t>;</w:t>
      </w:r>
    </w:p>
    <w:p w:rsidR="00DB54E2" w:rsidRPr="00C52E7F" w:rsidRDefault="00DB54E2" w:rsidP="0014670C">
      <w:pPr>
        <w:pStyle w:val="FootnoteText"/>
        <w:rPr>
          <w:lang w:val="ru-RU"/>
        </w:rPr>
      </w:pPr>
      <w:r w:rsidRPr="00C52E7F">
        <w:rPr>
          <w:lang w:val="ru-RU"/>
        </w:rPr>
        <w:tab/>
      </w:r>
      <w:r w:rsidRPr="00C52E7F">
        <w:rPr>
          <w:lang w:val="ru-RU"/>
        </w:rPr>
        <w:tab/>
      </w:r>
      <w:r w:rsidRPr="00C52E7F">
        <w:rPr>
          <w:lang w:val="ru-RU"/>
        </w:rPr>
        <w:tab/>
      </w:r>
      <w:r>
        <w:rPr>
          <w:lang w:val="en-US"/>
        </w:rPr>
        <w:t>v</w:t>
      </w:r>
      <w:r w:rsidRPr="00C52E7F">
        <w:rPr>
          <w:lang w:val="ru-RU"/>
        </w:rPr>
        <w:t>)</w:t>
      </w:r>
      <w:r w:rsidRPr="00C52E7F">
        <w:rPr>
          <w:lang w:val="ru-RU"/>
        </w:rPr>
        <w:tab/>
      </w:r>
      <w:r>
        <w:rPr>
          <w:lang w:val="ru-RU"/>
        </w:rPr>
        <w:t>посягательств на систему обороны Австралии</w:t>
      </w:r>
      <w:r w:rsidRPr="00C52E7F">
        <w:rPr>
          <w:lang w:val="ru-RU"/>
        </w:rPr>
        <w:t xml:space="preserve">; </w:t>
      </w:r>
      <w:r>
        <w:rPr>
          <w:lang w:val="ru-RU"/>
        </w:rPr>
        <w:t>или</w:t>
      </w:r>
    </w:p>
    <w:p w:rsidR="00DB54E2" w:rsidRPr="00C52E7F" w:rsidRDefault="00DB54E2" w:rsidP="0014670C">
      <w:pPr>
        <w:pStyle w:val="FootnoteText"/>
        <w:rPr>
          <w:lang w:val="ru-RU"/>
        </w:rPr>
      </w:pPr>
      <w:r w:rsidRPr="00C52E7F">
        <w:rPr>
          <w:lang w:val="ru-RU"/>
        </w:rPr>
        <w:tab/>
      </w:r>
      <w:r w:rsidRPr="00C52E7F">
        <w:rPr>
          <w:lang w:val="ru-RU"/>
        </w:rPr>
        <w:tab/>
      </w:r>
      <w:r w:rsidRPr="00C52E7F">
        <w:rPr>
          <w:lang w:val="ru-RU"/>
        </w:rPr>
        <w:tab/>
      </w:r>
      <w:r>
        <w:rPr>
          <w:lang w:val="en-US"/>
        </w:rPr>
        <w:t>vi</w:t>
      </w:r>
      <w:r w:rsidRPr="00C52E7F">
        <w:rPr>
          <w:lang w:val="ru-RU"/>
        </w:rPr>
        <w:t xml:space="preserve">) </w:t>
      </w:r>
      <w:r w:rsidRPr="00C52E7F">
        <w:rPr>
          <w:lang w:val="ru-RU"/>
        </w:rPr>
        <w:tab/>
      </w:r>
      <w:r>
        <w:rPr>
          <w:lang w:val="ru-RU"/>
        </w:rPr>
        <w:t>актов иностранного вмешательства</w:t>
      </w:r>
      <w:r w:rsidRPr="00C52E7F">
        <w:rPr>
          <w:lang w:val="ru-RU"/>
        </w:rPr>
        <w:t>;</w:t>
      </w:r>
    </w:p>
    <w:p w:rsidR="00DB54E2" w:rsidRPr="00C52E7F" w:rsidRDefault="00DB54E2" w:rsidP="002A50E3">
      <w:pPr>
        <w:pStyle w:val="FootnoteText"/>
        <w:ind w:hanging="567"/>
        <w:rPr>
          <w:lang w:val="ru-RU"/>
        </w:rPr>
      </w:pPr>
      <w:r w:rsidRPr="00C52E7F">
        <w:rPr>
          <w:lang w:val="ru-RU"/>
        </w:rPr>
        <w:tab/>
      </w:r>
      <w:r>
        <w:rPr>
          <w:lang w:val="en-US"/>
        </w:rPr>
        <w:tab/>
      </w:r>
      <w:r>
        <w:rPr>
          <w:lang w:val="ru-RU"/>
        </w:rPr>
        <w:t>организуемых из Австралии или совершаемых на ее территории либо иным образом; и</w:t>
      </w:r>
    </w:p>
    <w:p w:rsidR="00DB54E2" w:rsidRPr="00C52E7F" w:rsidRDefault="00DB54E2" w:rsidP="002627DE">
      <w:pPr>
        <w:pStyle w:val="FootnoteText"/>
        <w:ind w:hanging="567"/>
        <w:rPr>
          <w:lang w:val="ru-RU"/>
        </w:rPr>
      </w:pPr>
      <w:r w:rsidRPr="00C52E7F">
        <w:rPr>
          <w:lang w:val="ru-RU"/>
        </w:rPr>
        <w:tab/>
      </w:r>
      <w:r w:rsidRPr="00C52E7F">
        <w:rPr>
          <w:lang w:val="ru-RU"/>
        </w:rPr>
        <w:tab/>
      </w:r>
      <w:r>
        <w:rPr>
          <w:lang w:val="en-US"/>
        </w:rPr>
        <w:tab/>
        <w:t>aa</w:t>
      </w:r>
      <w:r w:rsidRPr="00C52E7F">
        <w:rPr>
          <w:lang w:val="ru-RU"/>
        </w:rPr>
        <w:t>)</w:t>
      </w:r>
      <w:r w:rsidRPr="00C52E7F">
        <w:rPr>
          <w:lang w:val="ru-RU"/>
        </w:rPr>
        <w:tab/>
      </w:r>
      <w:r>
        <w:rPr>
          <w:lang w:val="ru-RU"/>
        </w:rPr>
        <w:t>защита территориальной целостности Австралии и неприкосновенности ее границ от серьезных угроз</w:t>
      </w:r>
      <w:r w:rsidRPr="00C52E7F">
        <w:rPr>
          <w:lang w:val="ru-RU"/>
        </w:rPr>
        <w:t xml:space="preserve">; </w:t>
      </w:r>
      <w:r>
        <w:rPr>
          <w:lang w:val="ru-RU"/>
        </w:rPr>
        <w:t>и</w:t>
      </w:r>
    </w:p>
    <w:p w:rsidR="00DB54E2" w:rsidRPr="00C52E7F" w:rsidRDefault="00DB54E2" w:rsidP="002A50E3">
      <w:pPr>
        <w:pStyle w:val="FootnoteText"/>
        <w:ind w:hanging="567"/>
        <w:rPr>
          <w:lang w:val="ru-RU"/>
        </w:rPr>
      </w:pPr>
      <w:r w:rsidRPr="00C52E7F">
        <w:rPr>
          <w:lang w:val="ru-RU"/>
        </w:rPr>
        <w:tab/>
      </w:r>
      <w:r w:rsidRPr="00C52E7F">
        <w:rPr>
          <w:lang w:val="ru-RU"/>
        </w:rPr>
        <w:tab/>
      </w:r>
      <w:r w:rsidRPr="002627DE">
        <w:rPr>
          <w:lang w:val="ru-RU"/>
        </w:rPr>
        <w:tab/>
      </w:r>
      <w:r>
        <w:rPr>
          <w:lang w:val="en-US"/>
        </w:rPr>
        <w:t>b</w:t>
      </w:r>
      <w:r w:rsidRPr="00C52E7F">
        <w:rPr>
          <w:lang w:val="ru-RU"/>
        </w:rPr>
        <w:t>)</w:t>
      </w:r>
      <w:r w:rsidRPr="00C52E7F">
        <w:rPr>
          <w:lang w:val="ru-RU"/>
        </w:rPr>
        <w:tab/>
      </w:r>
      <w:r>
        <w:rPr>
          <w:lang w:val="ru-RU"/>
        </w:rPr>
        <w:t xml:space="preserve">выполнение Австралией своих обязательств перед иностранным государством в связи с каким-либо вопросом, упомянутым в любом из подпунктов пункта </w:t>
      </w:r>
      <w:r>
        <w:rPr>
          <w:lang w:val="en-US"/>
        </w:rPr>
        <w:t>a</w:t>
      </w:r>
      <w:r>
        <w:rPr>
          <w:lang w:val="ru-RU"/>
        </w:rPr>
        <w:t xml:space="preserve">), или вопросами, упоминаемыми в пункте </w:t>
      </w:r>
      <w:r>
        <w:rPr>
          <w:lang w:val="en-US"/>
        </w:rPr>
        <w:t>aa</w:t>
      </w:r>
      <w:r w:rsidRPr="00C52E7F">
        <w:rPr>
          <w:lang w:val="ru-RU"/>
        </w:rPr>
        <w:t>).</w:t>
      </w:r>
    </w:p>
    <w:p w:rsidR="00DB54E2" w:rsidRPr="001C478E" w:rsidRDefault="00DB54E2" w:rsidP="0014670C">
      <w:pPr>
        <w:pStyle w:val="FootnoteText"/>
        <w:rPr>
          <w:lang w:val="ru-RU"/>
        </w:rPr>
      </w:pPr>
      <w:r w:rsidRPr="00C52E7F">
        <w:rPr>
          <w:lang w:val="ru-RU"/>
        </w:rPr>
        <w:tab/>
      </w:r>
      <w:r w:rsidRPr="00C52E7F">
        <w:rPr>
          <w:lang w:val="ru-RU"/>
        </w:rPr>
        <w:tab/>
      </w:r>
      <w:r>
        <w:rPr>
          <w:lang w:val="ru-RU"/>
        </w:rPr>
        <w:t>См</w:t>
      </w:r>
      <w:r w:rsidRPr="00A77040">
        <w:rPr>
          <w:lang w:val="ru-RU"/>
        </w:rPr>
        <w:t xml:space="preserve">. </w:t>
      </w:r>
      <w:r>
        <w:rPr>
          <w:lang w:val="ru-RU"/>
        </w:rPr>
        <w:t>также пункт 6.4 ниже</w:t>
      </w:r>
      <w:r w:rsidRPr="00A77040">
        <w:rPr>
          <w:lang w:val="ru-RU"/>
        </w:rPr>
        <w:t>.</w:t>
      </w:r>
    </w:p>
  </w:footnote>
  <w:footnote w:id="10">
    <w:p w:rsidR="00DB54E2" w:rsidRPr="001C478E" w:rsidRDefault="00DB54E2" w:rsidP="0014670C">
      <w:pPr>
        <w:pStyle w:val="FootnoteText"/>
        <w:rPr>
          <w:lang w:val="ru-RU"/>
        </w:rPr>
      </w:pPr>
      <w:r>
        <w:rPr>
          <w:lang w:val="ru-RU"/>
        </w:rPr>
        <w:tab/>
      </w:r>
      <w:r>
        <w:rPr>
          <w:rStyle w:val="FootnoteReference"/>
        </w:rPr>
        <w:footnoteRef/>
      </w:r>
      <w:r w:rsidRPr="00B62DA7">
        <w:rPr>
          <w:lang w:val="ru-RU"/>
        </w:rPr>
        <w:t xml:space="preserve"> </w:t>
      </w:r>
      <w:r>
        <w:rPr>
          <w:lang w:val="ru-RU"/>
        </w:rPr>
        <w:tab/>
        <w:t>В одном из представлений Комитету указывается, что эта семья открыто выражала серьезное намерение совершить акт "взаимного самоубийства" под воздействием острого стресса в результате продолжительного задержания г-на С. и его разлуки со своей семьей.</w:t>
      </w:r>
    </w:p>
  </w:footnote>
  <w:footnote w:id="11">
    <w:p w:rsidR="00DB54E2" w:rsidRPr="001C478E" w:rsidRDefault="00DB54E2" w:rsidP="0014670C">
      <w:pPr>
        <w:pStyle w:val="FootnoteText"/>
        <w:rPr>
          <w:lang w:val="ru-RU"/>
        </w:rPr>
      </w:pPr>
      <w:r>
        <w:rPr>
          <w:lang w:val="ru-RU"/>
        </w:rPr>
        <w:tab/>
      </w:r>
      <w:r>
        <w:rPr>
          <w:rStyle w:val="FootnoteReference"/>
        </w:rPr>
        <w:footnoteRef/>
      </w:r>
      <w:r w:rsidRPr="007A33DA">
        <w:rPr>
          <w:lang w:val="ru-RU"/>
        </w:rPr>
        <w:t xml:space="preserve"> </w:t>
      </w:r>
      <w:r>
        <w:rPr>
          <w:lang w:val="ru-RU"/>
        </w:rPr>
        <w:tab/>
      </w:r>
      <w:r w:rsidRPr="007A33DA">
        <w:rPr>
          <w:i/>
          <w:lang w:val="ru-RU"/>
        </w:rPr>
        <w:t xml:space="preserve">Истец </w:t>
      </w:r>
      <w:r w:rsidRPr="007A33DA">
        <w:rPr>
          <w:i/>
          <w:lang w:val="en-US"/>
        </w:rPr>
        <w:t>S</w:t>
      </w:r>
      <w:r w:rsidRPr="007A33DA">
        <w:rPr>
          <w:i/>
          <w:lang w:val="ru-RU"/>
        </w:rPr>
        <w:t>138/2012 против Генерального директора службы безопасности и др.</w:t>
      </w:r>
    </w:p>
  </w:footnote>
  <w:footnote w:id="12">
    <w:p w:rsidR="00DB54E2" w:rsidRPr="001C478E" w:rsidRDefault="00DB54E2" w:rsidP="0014670C">
      <w:pPr>
        <w:pStyle w:val="FootnoteText"/>
        <w:rPr>
          <w:lang w:val="ru-RU"/>
        </w:rPr>
      </w:pPr>
      <w:r>
        <w:rPr>
          <w:lang w:val="ru-RU"/>
        </w:rPr>
        <w:tab/>
      </w:r>
      <w:r>
        <w:rPr>
          <w:rStyle w:val="FootnoteReference"/>
        </w:rPr>
        <w:footnoteRef/>
      </w:r>
      <w:r w:rsidRPr="007A33DA">
        <w:rPr>
          <w:lang w:val="ru-RU"/>
        </w:rPr>
        <w:t xml:space="preserve"> </w:t>
      </w:r>
      <w:r>
        <w:rPr>
          <w:lang w:val="ru-RU"/>
        </w:rPr>
        <w:tab/>
        <w:t xml:space="preserve">См. </w:t>
      </w:r>
      <w:r w:rsidRPr="00987777">
        <w:rPr>
          <w:i/>
          <w:lang w:val="ru-RU"/>
        </w:rPr>
        <w:t>Аль-Катеб против Годвина</w:t>
      </w:r>
      <w:r>
        <w:rPr>
          <w:lang w:val="ru-RU"/>
        </w:rPr>
        <w:t xml:space="preserve"> (2004).</w:t>
      </w:r>
    </w:p>
  </w:footnote>
  <w:footnote w:id="13">
    <w:p w:rsidR="00DB54E2" w:rsidRPr="001C478E" w:rsidRDefault="00DB54E2" w:rsidP="0014670C">
      <w:pPr>
        <w:pStyle w:val="FootnoteText"/>
        <w:rPr>
          <w:lang w:val="ru-RU"/>
        </w:rPr>
      </w:pPr>
      <w:r>
        <w:rPr>
          <w:lang w:val="ru-RU"/>
        </w:rPr>
        <w:tab/>
      </w:r>
      <w:r>
        <w:rPr>
          <w:rStyle w:val="FootnoteReference"/>
        </w:rPr>
        <w:footnoteRef/>
      </w:r>
      <w:r w:rsidRPr="00BD7864">
        <w:rPr>
          <w:lang w:val="ru-RU"/>
        </w:rPr>
        <w:t xml:space="preserve"> </w:t>
      </w:r>
      <w:r>
        <w:rPr>
          <w:lang w:val="ru-RU"/>
        </w:rPr>
        <w:tab/>
      </w:r>
      <w:r>
        <w:rPr>
          <w:spacing w:val="-2"/>
          <w:lang w:val="ru-RU"/>
        </w:rPr>
        <w:t xml:space="preserve">См. замечание общего порядка № 8 (1992) о праве на свободу и безопасность лиц (Официальный отчет Генеральной Ассамблеи, тридцать седьмая сессия, дополнение № </w:t>
      </w:r>
      <w:r w:rsidRPr="00BD7864">
        <w:rPr>
          <w:i/>
          <w:spacing w:val="-2"/>
          <w:lang w:val="ru-RU"/>
        </w:rPr>
        <w:t>40</w:t>
      </w:r>
      <w:r w:rsidRPr="00BD7864">
        <w:rPr>
          <w:spacing w:val="-2"/>
          <w:lang w:val="ru-RU"/>
        </w:rPr>
        <w:t xml:space="preserve"> (</w:t>
      </w:r>
      <w:r w:rsidRPr="001435F5">
        <w:rPr>
          <w:spacing w:val="-2"/>
        </w:rPr>
        <w:t>A</w:t>
      </w:r>
      <w:r w:rsidRPr="00BD7864">
        <w:rPr>
          <w:spacing w:val="-2"/>
          <w:lang w:val="ru-RU"/>
        </w:rPr>
        <w:t xml:space="preserve">/37/40), </w:t>
      </w:r>
      <w:r>
        <w:rPr>
          <w:spacing w:val="-2"/>
          <w:lang w:val="ru-RU"/>
        </w:rPr>
        <w:t>приложение</w:t>
      </w:r>
      <w:r w:rsidRPr="00BD7864">
        <w:rPr>
          <w:spacing w:val="-2"/>
          <w:lang w:val="ru-RU"/>
        </w:rPr>
        <w:t xml:space="preserve"> </w:t>
      </w:r>
      <w:r w:rsidRPr="001435F5">
        <w:rPr>
          <w:spacing w:val="-2"/>
        </w:rPr>
        <w:t>V</w:t>
      </w:r>
      <w:r>
        <w:rPr>
          <w:spacing w:val="-2"/>
          <w:lang w:val="ru-RU"/>
        </w:rPr>
        <w:t>), пункты 1 и 4; сообщения №</w:t>
      </w:r>
      <w:r w:rsidRPr="004D1586">
        <w:rPr>
          <w:spacing w:val="-2"/>
          <w:lang w:val="ru-RU"/>
        </w:rPr>
        <w:t xml:space="preserve"> 1460/2006</w:t>
      </w:r>
      <w:r>
        <w:rPr>
          <w:spacing w:val="-2"/>
          <w:lang w:val="ru-RU"/>
        </w:rPr>
        <w:t xml:space="preserve">, </w:t>
      </w:r>
      <w:r w:rsidRPr="00280E50">
        <w:rPr>
          <w:i/>
          <w:spacing w:val="-2"/>
          <w:lang w:val="ru-RU"/>
        </w:rPr>
        <w:t>Юклимова против Туркменистана</w:t>
      </w:r>
      <w:r>
        <w:rPr>
          <w:spacing w:val="-2"/>
          <w:lang w:val="ru-RU"/>
        </w:rPr>
        <w:t>, Соображения от 20 июля 2009 года, пункт 7.2; и №</w:t>
      </w:r>
      <w:r w:rsidRPr="004D1586">
        <w:rPr>
          <w:spacing w:val="-2"/>
          <w:lang w:val="ru-RU"/>
        </w:rPr>
        <w:t xml:space="preserve"> 414/1990</w:t>
      </w:r>
      <w:r>
        <w:rPr>
          <w:spacing w:val="-2"/>
          <w:lang w:val="ru-RU"/>
        </w:rPr>
        <w:t xml:space="preserve">, </w:t>
      </w:r>
      <w:r w:rsidRPr="00280E50">
        <w:rPr>
          <w:i/>
          <w:spacing w:val="-2"/>
          <w:lang w:val="ru-RU"/>
        </w:rPr>
        <w:t>Мика Миха против Экваториальной Гвинеи</w:t>
      </w:r>
      <w:r>
        <w:rPr>
          <w:spacing w:val="-2"/>
          <w:lang w:val="ru-RU"/>
        </w:rPr>
        <w:t>, Соображения от 8 июля 1994 года, пункт 6.5.</w:t>
      </w:r>
    </w:p>
  </w:footnote>
  <w:footnote w:id="14">
    <w:p w:rsidR="00DB54E2" w:rsidRPr="001C478E" w:rsidRDefault="00DB54E2" w:rsidP="0014670C">
      <w:pPr>
        <w:pStyle w:val="FootnoteText"/>
        <w:rPr>
          <w:lang w:val="ru-RU"/>
        </w:rPr>
      </w:pPr>
      <w:r>
        <w:rPr>
          <w:lang w:val="ru-RU"/>
        </w:rPr>
        <w:tab/>
      </w:r>
      <w:r>
        <w:rPr>
          <w:rStyle w:val="FootnoteReference"/>
        </w:rPr>
        <w:footnoteRef/>
      </w:r>
      <w:r w:rsidRPr="00E7528B">
        <w:rPr>
          <w:lang w:val="ru-RU"/>
        </w:rPr>
        <w:t xml:space="preserve"> </w:t>
      </w:r>
      <w:r>
        <w:rPr>
          <w:lang w:val="ru-RU"/>
        </w:rPr>
        <w:tab/>
        <w:t>Сообщение № 1050</w:t>
      </w:r>
      <w:r w:rsidRPr="00423267">
        <w:rPr>
          <w:lang w:val="ru-RU"/>
        </w:rPr>
        <w:t>/2002</w:t>
      </w:r>
      <w:r>
        <w:rPr>
          <w:lang w:val="ru-RU"/>
        </w:rPr>
        <w:t xml:space="preserve">, </w:t>
      </w:r>
      <w:r w:rsidRPr="00423267">
        <w:rPr>
          <w:i/>
          <w:lang w:val="ru-RU"/>
        </w:rPr>
        <w:t>Д. и Е. против Австралии</w:t>
      </w:r>
      <w:r>
        <w:rPr>
          <w:lang w:val="ru-RU"/>
        </w:rPr>
        <w:t>, Соображения от 11 июля 2006 года, пункт 6.4.</w:t>
      </w:r>
    </w:p>
  </w:footnote>
  <w:footnote w:id="15">
    <w:p w:rsidR="00DB54E2" w:rsidRPr="001C478E" w:rsidRDefault="00DB54E2" w:rsidP="0014670C">
      <w:pPr>
        <w:pStyle w:val="FootnoteText"/>
        <w:rPr>
          <w:lang w:val="ru-RU"/>
        </w:rPr>
      </w:pPr>
      <w:r>
        <w:rPr>
          <w:lang w:val="ru-RU"/>
        </w:rPr>
        <w:tab/>
      </w:r>
      <w:r>
        <w:rPr>
          <w:rStyle w:val="FootnoteReference"/>
        </w:rPr>
        <w:footnoteRef/>
      </w:r>
      <w:r w:rsidRPr="00E7528B">
        <w:rPr>
          <w:lang w:val="ru-RU"/>
        </w:rPr>
        <w:t xml:space="preserve"> </w:t>
      </w:r>
      <w:r>
        <w:rPr>
          <w:lang w:val="ru-RU"/>
        </w:rPr>
        <w:tab/>
        <w:t>См. сообщения № 1134</w:t>
      </w:r>
      <w:r w:rsidRPr="00D93BFC">
        <w:rPr>
          <w:lang w:val="ru-RU"/>
        </w:rPr>
        <w:t>/</w:t>
      </w:r>
      <w:r>
        <w:rPr>
          <w:lang w:val="ru-RU"/>
        </w:rPr>
        <w:t xml:space="preserve">2002, </w:t>
      </w:r>
      <w:r w:rsidRPr="00D93BFC">
        <w:rPr>
          <w:i/>
          <w:lang w:val="ru-RU"/>
        </w:rPr>
        <w:t>Горий-Динка против Камеруна</w:t>
      </w:r>
      <w:r>
        <w:rPr>
          <w:lang w:val="ru-RU"/>
        </w:rPr>
        <w:t>, Соображения от 17 марта 2005 года, пункт 5.1; и №</w:t>
      </w:r>
      <w:r w:rsidRPr="00E7528B">
        <w:rPr>
          <w:lang w:val="ru-RU"/>
        </w:rPr>
        <w:t>305/1988</w:t>
      </w:r>
      <w:r>
        <w:rPr>
          <w:lang w:val="ru-RU"/>
        </w:rPr>
        <w:t xml:space="preserve">, </w:t>
      </w:r>
      <w:r w:rsidRPr="00D93BFC">
        <w:rPr>
          <w:i/>
          <w:lang w:val="ru-RU"/>
        </w:rPr>
        <w:t>ван Альпфен против Нидерландов</w:t>
      </w:r>
      <w:r>
        <w:rPr>
          <w:lang w:val="ru-RU"/>
        </w:rPr>
        <w:t>, Соображения от 23 июля 1990 года, пункт 5.8.</w:t>
      </w:r>
    </w:p>
  </w:footnote>
  <w:footnote w:id="16">
    <w:p w:rsidR="00DB54E2" w:rsidRPr="001C478E" w:rsidRDefault="00DB54E2" w:rsidP="0014670C">
      <w:pPr>
        <w:pStyle w:val="FootnoteText"/>
        <w:rPr>
          <w:lang w:val="ru-RU"/>
        </w:rPr>
      </w:pPr>
      <w:r>
        <w:rPr>
          <w:lang w:val="ru-RU"/>
        </w:rPr>
        <w:tab/>
      </w:r>
      <w:r>
        <w:rPr>
          <w:rStyle w:val="FootnoteReference"/>
        </w:rPr>
        <w:footnoteRef/>
      </w:r>
      <w:r w:rsidRPr="00A77040">
        <w:rPr>
          <w:lang w:val="ru-RU"/>
        </w:rPr>
        <w:t xml:space="preserve"> </w:t>
      </w:r>
      <w:r>
        <w:rPr>
          <w:lang w:val="ru-RU"/>
        </w:rPr>
        <w:tab/>
        <w:t>См</w:t>
      </w:r>
      <w:r w:rsidRPr="00A77040">
        <w:rPr>
          <w:lang w:val="ru-RU"/>
        </w:rPr>
        <w:t xml:space="preserve">. </w:t>
      </w:r>
      <w:r>
        <w:rPr>
          <w:lang w:val="ru-RU"/>
        </w:rPr>
        <w:t>сноску</w:t>
      </w:r>
      <w:r w:rsidRPr="00A77040">
        <w:rPr>
          <w:lang w:val="ru-RU"/>
        </w:rPr>
        <w:t xml:space="preserve"> 11 </w:t>
      </w:r>
      <w:r>
        <w:rPr>
          <w:lang w:val="ru-RU"/>
        </w:rPr>
        <w:t>выше</w:t>
      </w:r>
      <w:r w:rsidRPr="00A77040">
        <w:rPr>
          <w:lang w:val="ru-RU"/>
        </w:rPr>
        <w:t>.</w:t>
      </w:r>
    </w:p>
  </w:footnote>
  <w:footnote w:id="17">
    <w:p w:rsidR="00DB54E2" w:rsidRPr="001C478E" w:rsidRDefault="00DB54E2" w:rsidP="0014670C">
      <w:pPr>
        <w:pStyle w:val="FootnoteText"/>
        <w:rPr>
          <w:lang w:val="ru-RU"/>
        </w:rPr>
      </w:pPr>
      <w:r>
        <w:rPr>
          <w:lang w:val="ru-RU"/>
        </w:rPr>
        <w:tab/>
      </w:r>
      <w:r>
        <w:rPr>
          <w:rStyle w:val="FootnoteReference"/>
        </w:rPr>
        <w:footnoteRef/>
      </w:r>
      <w:r w:rsidRPr="00351CD2">
        <w:rPr>
          <w:lang w:val="ru-RU"/>
        </w:rPr>
        <w:t xml:space="preserve"> </w:t>
      </w:r>
      <w:r>
        <w:rPr>
          <w:lang w:val="ru-RU"/>
        </w:rPr>
        <w:tab/>
        <w:t xml:space="preserve">Сообщения № </w:t>
      </w:r>
      <w:r w:rsidRPr="00351CD2">
        <w:rPr>
          <w:lang w:val="ru-RU"/>
        </w:rPr>
        <w:t>1014/2001</w:t>
      </w:r>
      <w:r>
        <w:rPr>
          <w:lang w:val="ru-RU"/>
        </w:rPr>
        <w:t xml:space="preserve">, </w:t>
      </w:r>
      <w:r w:rsidRPr="007B719E">
        <w:rPr>
          <w:i/>
          <w:lang w:val="ru-RU"/>
        </w:rPr>
        <w:t>Бабан против Австралии</w:t>
      </w:r>
      <w:r>
        <w:rPr>
          <w:lang w:val="ru-RU"/>
        </w:rPr>
        <w:t>, Соображения от 6 августа 2003 года, пункт 7.2; № </w:t>
      </w:r>
      <w:r w:rsidRPr="00351CD2">
        <w:rPr>
          <w:lang w:val="ru-RU"/>
        </w:rPr>
        <w:t>1069/2002</w:t>
      </w:r>
      <w:r>
        <w:rPr>
          <w:lang w:val="ru-RU"/>
        </w:rPr>
        <w:t xml:space="preserve">, </w:t>
      </w:r>
      <w:r w:rsidRPr="00351CD2">
        <w:rPr>
          <w:i/>
          <w:lang w:val="ru-RU"/>
        </w:rPr>
        <w:t>Бахтияр против Австралии</w:t>
      </w:r>
      <w:r>
        <w:rPr>
          <w:lang w:val="ru-RU"/>
        </w:rPr>
        <w:t xml:space="preserve">, Соображения от 29 октября 2003 года, пункт 9.4; №№ </w:t>
      </w:r>
      <w:r w:rsidRPr="00351CD2">
        <w:rPr>
          <w:lang w:val="ru-RU"/>
        </w:rPr>
        <w:t>1255, 1256, 1259, 1260, 1266, 1268, 1270, 1288/</w:t>
      </w:r>
      <w:r w:rsidRPr="007B719E">
        <w:rPr>
          <w:lang w:val="ru-RU"/>
        </w:rPr>
        <w:t>2004</w:t>
      </w:r>
      <w:r>
        <w:rPr>
          <w:lang w:val="ru-RU"/>
        </w:rPr>
        <w:t xml:space="preserve">, </w:t>
      </w:r>
      <w:r w:rsidRPr="00351CD2">
        <w:rPr>
          <w:i/>
          <w:lang w:val="ru-RU"/>
        </w:rPr>
        <w:t>Шамс и другие против Австралии</w:t>
      </w:r>
      <w:r>
        <w:rPr>
          <w:lang w:val="ru-RU"/>
        </w:rPr>
        <w:t>, Соображения от 20 июля 2007 года, пункт 7.3.</w:t>
      </w:r>
    </w:p>
  </w:footnote>
  <w:footnote w:id="18">
    <w:p w:rsidR="00DB54E2" w:rsidRPr="001C478E" w:rsidRDefault="00DB54E2" w:rsidP="0014670C">
      <w:pPr>
        <w:pStyle w:val="FootnoteText"/>
        <w:rPr>
          <w:lang w:val="ru-RU"/>
        </w:rPr>
      </w:pPr>
      <w:r w:rsidRPr="00A77040">
        <w:rPr>
          <w:lang w:val="ru-RU"/>
        </w:rPr>
        <w:tab/>
      </w:r>
      <w:r>
        <w:rPr>
          <w:rStyle w:val="FootnoteReference"/>
        </w:rPr>
        <w:footnoteRef/>
      </w:r>
      <w:r w:rsidRPr="00A77040">
        <w:rPr>
          <w:lang w:val="ru-RU"/>
        </w:rPr>
        <w:tab/>
      </w:r>
      <w:r>
        <w:t>IDC</w:t>
      </w:r>
      <w:r w:rsidRPr="00A77040">
        <w:rPr>
          <w:lang w:val="ru-RU"/>
        </w:rPr>
        <w:t xml:space="preserve">: </w:t>
      </w:r>
      <w:r>
        <w:t>Immigration</w:t>
      </w:r>
      <w:r w:rsidRPr="00A77040">
        <w:rPr>
          <w:lang w:val="ru-RU"/>
        </w:rPr>
        <w:t xml:space="preserve"> </w:t>
      </w:r>
      <w:r>
        <w:t>Detention</w:t>
      </w:r>
      <w:r w:rsidRPr="00A77040">
        <w:rPr>
          <w:lang w:val="ru-RU"/>
        </w:rPr>
        <w:t xml:space="preserve"> </w:t>
      </w:r>
      <w:r>
        <w:t>Centre</w:t>
      </w:r>
      <w:r w:rsidRPr="00A77040">
        <w:rPr>
          <w:lang w:val="ru-RU"/>
        </w:rPr>
        <w:t>.</w:t>
      </w:r>
    </w:p>
  </w:footnote>
  <w:footnote w:id="19">
    <w:p w:rsidR="00DB54E2" w:rsidRPr="001C478E" w:rsidRDefault="00DB54E2" w:rsidP="0014670C">
      <w:pPr>
        <w:pStyle w:val="FootnoteText"/>
        <w:rPr>
          <w:lang w:val="ru-RU"/>
        </w:rPr>
      </w:pPr>
      <w:r>
        <w:rPr>
          <w:lang w:val="ru-RU"/>
        </w:rPr>
        <w:tab/>
      </w:r>
      <w:r>
        <w:rPr>
          <w:rStyle w:val="FootnoteReference"/>
        </w:rPr>
        <w:footnoteRef/>
      </w:r>
      <w:r w:rsidRPr="00EF76B2">
        <w:rPr>
          <w:lang w:val="ru-RU"/>
        </w:rPr>
        <w:t xml:space="preserve"> </w:t>
      </w:r>
      <w:r>
        <w:rPr>
          <w:lang w:val="ru-RU"/>
        </w:rPr>
        <w:tab/>
        <w:t xml:space="preserve">См. Сообщение № 900/1999, </w:t>
      </w:r>
      <w:r w:rsidRPr="00D82FA6">
        <w:rPr>
          <w:i/>
          <w:lang w:val="ru-RU"/>
        </w:rPr>
        <w:t>С</w:t>
      </w:r>
      <w:r>
        <w:rPr>
          <w:i/>
          <w:lang w:val="ru-RU"/>
        </w:rPr>
        <w:t>.</w:t>
      </w:r>
      <w:r w:rsidRPr="00D82FA6">
        <w:rPr>
          <w:i/>
          <w:lang w:val="ru-RU"/>
        </w:rPr>
        <w:t xml:space="preserve"> против Австралии</w:t>
      </w:r>
      <w:r>
        <w:rPr>
          <w:lang w:val="ru-RU"/>
        </w:rPr>
        <w:t>, Соображения от 28 октября 2002 года, особое мнение члена Комитета сэра Найджела Родли.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E2" w:rsidRPr="004F0431" w:rsidRDefault="00DB54E2">
    <w:pPr>
      <w:pStyle w:val="Header"/>
      <w:rPr>
        <w:lang w:val="en-US"/>
      </w:rPr>
    </w:pPr>
    <w:r>
      <w:rPr>
        <w:lang w:val="en-US"/>
      </w:rPr>
      <w:t>CCPR/</w:t>
    </w:r>
    <w:r w:rsidRPr="004F0431">
      <w:rPr>
        <w:lang w:val="en-US"/>
      </w:rPr>
      <w:t>C/108/D/2094/2011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E2" w:rsidRPr="004F0431" w:rsidRDefault="00DB54E2">
    <w:pPr>
      <w:pStyle w:val="Header"/>
      <w:rPr>
        <w:lang w:val="en-US"/>
      </w:rPr>
    </w:pPr>
    <w:r>
      <w:rPr>
        <w:lang w:val="en-US"/>
      </w:rPr>
      <w:tab/>
      <w:t>CCPR/</w:t>
    </w:r>
    <w:r w:rsidRPr="004F0431">
      <w:rPr>
        <w:lang w:val="en-US"/>
      </w:rPr>
      <w:t>C/108/D/2094/2011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E2" w:rsidRDefault="00DB54E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4E2" w:rsidRDefault="00DB54E2">
    <w:pPr>
      <w:pStyle w:val="Header"/>
    </w:pPr>
    <w:r>
      <w:rPr>
        <w:lang w:val="en-US"/>
      </w:rPr>
      <w:t>CCPR/</w:t>
    </w:r>
    <w:r w:rsidRPr="004F0431">
      <w:rPr>
        <w:lang w:val="en-US"/>
      </w:rPr>
      <w:t>C/108/D/2094/2011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FA08C944"/>
    <w:lvl w:ilvl="0" w:tplc="C1046346">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C6E1425"/>
    <w:multiLevelType w:val="hybridMultilevel"/>
    <w:tmpl w:val="0B064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BD1520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C3A2DCB"/>
    <w:multiLevelType w:val="hybridMultilevel"/>
    <w:tmpl w:val="1AD4AF5A"/>
    <w:lvl w:ilvl="0" w:tplc="0809000F">
      <w:start w:val="1"/>
      <w:numFmt w:val="decimal"/>
      <w:lvlText w:val="%1."/>
      <w:lvlJc w:val="left"/>
      <w:pPr>
        <w:ind w:left="2064" w:hanging="360"/>
      </w:pPr>
      <w:rPr>
        <w:rFonts w:cs="Times New Roman"/>
      </w:rPr>
    </w:lvl>
    <w:lvl w:ilvl="1" w:tplc="08090019">
      <w:start w:val="1"/>
      <w:numFmt w:val="lowerLetter"/>
      <w:lvlText w:val="%2."/>
      <w:lvlJc w:val="left"/>
      <w:pPr>
        <w:ind w:left="2784" w:hanging="360"/>
      </w:pPr>
      <w:rPr>
        <w:rFonts w:cs="Times New Roman"/>
      </w:rPr>
    </w:lvl>
    <w:lvl w:ilvl="2" w:tplc="0809001B" w:tentative="1">
      <w:start w:val="1"/>
      <w:numFmt w:val="lowerRoman"/>
      <w:lvlText w:val="%3."/>
      <w:lvlJc w:val="right"/>
      <w:pPr>
        <w:ind w:left="3504" w:hanging="180"/>
      </w:pPr>
      <w:rPr>
        <w:rFonts w:cs="Times New Roman"/>
      </w:rPr>
    </w:lvl>
    <w:lvl w:ilvl="3" w:tplc="0809000F" w:tentative="1">
      <w:start w:val="1"/>
      <w:numFmt w:val="decimal"/>
      <w:lvlText w:val="%4."/>
      <w:lvlJc w:val="left"/>
      <w:pPr>
        <w:ind w:left="4224" w:hanging="360"/>
      </w:pPr>
      <w:rPr>
        <w:rFonts w:cs="Times New Roman"/>
      </w:rPr>
    </w:lvl>
    <w:lvl w:ilvl="4" w:tplc="08090019" w:tentative="1">
      <w:start w:val="1"/>
      <w:numFmt w:val="lowerLetter"/>
      <w:lvlText w:val="%5."/>
      <w:lvlJc w:val="left"/>
      <w:pPr>
        <w:ind w:left="4944" w:hanging="360"/>
      </w:pPr>
      <w:rPr>
        <w:rFonts w:cs="Times New Roman"/>
      </w:rPr>
    </w:lvl>
    <w:lvl w:ilvl="5" w:tplc="0809001B" w:tentative="1">
      <w:start w:val="1"/>
      <w:numFmt w:val="lowerRoman"/>
      <w:lvlText w:val="%6."/>
      <w:lvlJc w:val="right"/>
      <w:pPr>
        <w:ind w:left="5664" w:hanging="180"/>
      </w:pPr>
      <w:rPr>
        <w:rFonts w:cs="Times New Roman"/>
      </w:rPr>
    </w:lvl>
    <w:lvl w:ilvl="6" w:tplc="0809000F" w:tentative="1">
      <w:start w:val="1"/>
      <w:numFmt w:val="decimal"/>
      <w:lvlText w:val="%7."/>
      <w:lvlJc w:val="left"/>
      <w:pPr>
        <w:ind w:left="6384" w:hanging="360"/>
      </w:pPr>
      <w:rPr>
        <w:rFonts w:cs="Times New Roman"/>
      </w:rPr>
    </w:lvl>
    <w:lvl w:ilvl="7" w:tplc="08090019" w:tentative="1">
      <w:start w:val="1"/>
      <w:numFmt w:val="lowerLetter"/>
      <w:lvlText w:val="%8."/>
      <w:lvlJc w:val="left"/>
      <w:pPr>
        <w:ind w:left="7104" w:hanging="360"/>
      </w:pPr>
      <w:rPr>
        <w:rFonts w:cs="Times New Roman"/>
      </w:rPr>
    </w:lvl>
    <w:lvl w:ilvl="8" w:tplc="0809001B" w:tentative="1">
      <w:start w:val="1"/>
      <w:numFmt w:val="lowerRoman"/>
      <w:lvlText w:val="%9."/>
      <w:lvlJc w:val="right"/>
      <w:pPr>
        <w:ind w:left="7824" w:hanging="180"/>
      </w:pPr>
      <w:rPr>
        <w:rFonts w:cs="Times New Roman"/>
      </w:rPr>
    </w:lvl>
  </w:abstractNum>
  <w:abstractNum w:abstractNumId="15">
    <w:nsid w:val="3EB60DCF"/>
    <w:multiLevelType w:val="hybridMultilevel"/>
    <w:tmpl w:val="56ECFA80"/>
    <w:lvl w:ilvl="0" w:tplc="E490ED54">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A421D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DF07C8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F943D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225C81"/>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nsid w:val="75162AD3"/>
    <w:multiLevelType w:val="hybridMultilevel"/>
    <w:tmpl w:val="2B54BD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8CA3A9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C8A0FB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1"/>
  </w:num>
  <w:num w:numId="2">
    <w:abstractNumId w:val="16"/>
  </w:num>
  <w:num w:numId="3">
    <w:abstractNumId w:val="18"/>
  </w:num>
  <w:num w:numId="4">
    <w:abstractNumId w:val="2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16"/>
  </w:num>
  <w:num w:numId="19">
    <w:abstractNumId w:val="16"/>
  </w:num>
  <w:num w:numId="20">
    <w:abstractNumId w:val="21"/>
  </w:num>
  <w:num w:numId="21">
    <w:abstractNumId w:val="16"/>
  </w:num>
  <w:num w:numId="22">
    <w:abstractNumId w:val="18"/>
  </w:num>
  <w:num w:numId="23">
    <w:abstractNumId w:val="18"/>
  </w:num>
  <w:num w:numId="24">
    <w:abstractNumId w:val="10"/>
  </w:num>
  <w:num w:numId="25">
    <w:abstractNumId w:val="24"/>
  </w:num>
  <w:num w:numId="26">
    <w:abstractNumId w:val="15"/>
  </w:num>
  <w:num w:numId="27">
    <w:abstractNumId w:val="26"/>
  </w:num>
  <w:num w:numId="28">
    <w:abstractNumId w:val="12"/>
  </w:num>
  <w:num w:numId="29">
    <w:abstractNumId w:val="14"/>
  </w:num>
  <w:num w:numId="30">
    <w:abstractNumId w:val="20"/>
  </w:num>
  <w:num w:numId="31">
    <w:abstractNumId w:val="13"/>
  </w:num>
  <w:num w:numId="32">
    <w:abstractNumId w:val="28"/>
  </w:num>
  <w:num w:numId="33">
    <w:abstractNumId w:val="25"/>
  </w:num>
  <w:num w:numId="34">
    <w:abstractNumId w:val="27"/>
  </w:num>
  <w:num w:numId="35">
    <w:abstractNumId w:val="19"/>
  </w:num>
  <w:num w:numId="36">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ttachedTemplate r:id="rId1"/>
  <w:stylePaneFormatFilter w:val="1F01"/>
  <w:doNotTrackMoves/>
  <w:documentProtection w:edit="forms" w:enforcement="0"/>
  <w:defaultTabStop w:val="567"/>
  <w:autoHyphenation/>
  <w:hyphenationZone w:val="357"/>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0431"/>
    <w:rsid w:val="000033D8"/>
    <w:rsid w:val="00005C1C"/>
    <w:rsid w:val="00016553"/>
    <w:rsid w:val="000233B3"/>
    <w:rsid w:val="00023E9E"/>
    <w:rsid w:val="00026B0C"/>
    <w:rsid w:val="0003638E"/>
    <w:rsid w:val="00036FF2"/>
    <w:rsid w:val="0004010A"/>
    <w:rsid w:val="00043D88"/>
    <w:rsid w:val="00046E4D"/>
    <w:rsid w:val="0006401A"/>
    <w:rsid w:val="00066066"/>
    <w:rsid w:val="00072C27"/>
    <w:rsid w:val="00086182"/>
    <w:rsid w:val="00090891"/>
    <w:rsid w:val="00092E62"/>
    <w:rsid w:val="00097975"/>
    <w:rsid w:val="000A3CDB"/>
    <w:rsid w:val="000A3DDF"/>
    <w:rsid w:val="000A60A0"/>
    <w:rsid w:val="000C3688"/>
    <w:rsid w:val="000D2B40"/>
    <w:rsid w:val="000D6863"/>
    <w:rsid w:val="000E44D2"/>
    <w:rsid w:val="000F1643"/>
    <w:rsid w:val="000F410F"/>
    <w:rsid w:val="00106663"/>
    <w:rsid w:val="00117AEE"/>
    <w:rsid w:val="001463F7"/>
    <w:rsid w:val="0014670C"/>
    <w:rsid w:val="001476AD"/>
    <w:rsid w:val="0015769C"/>
    <w:rsid w:val="001755A4"/>
    <w:rsid w:val="00180752"/>
    <w:rsid w:val="00185076"/>
    <w:rsid w:val="0018543C"/>
    <w:rsid w:val="00190231"/>
    <w:rsid w:val="00192ABD"/>
    <w:rsid w:val="001A75D5"/>
    <w:rsid w:val="001A7D40"/>
    <w:rsid w:val="001D07F7"/>
    <w:rsid w:val="001D7B8F"/>
    <w:rsid w:val="001E48EE"/>
    <w:rsid w:val="001F2D04"/>
    <w:rsid w:val="001F5365"/>
    <w:rsid w:val="0020059C"/>
    <w:rsid w:val="002019BD"/>
    <w:rsid w:val="00232D42"/>
    <w:rsid w:val="00234289"/>
    <w:rsid w:val="00237334"/>
    <w:rsid w:val="002444F4"/>
    <w:rsid w:val="002627DE"/>
    <w:rsid w:val="002629A0"/>
    <w:rsid w:val="0028085B"/>
    <w:rsid w:val="0028492B"/>
    <w:rsid w:val="00291C8F"/>
    <w:rsid w:val="002A50E3"/>
    <w:rsid w:val="002C5036"/>
    <w:rsid w:val="002C6A71"/>
    <w:rsid w:val="002C6D5F"/>
    <w:rsid w:val="002D15EA"/>
    <w:rsid w:val="002D6C07"/>
    <w:rsid w:val="002E0CE6"/>
    <w:rsid w:val="002E1163"/>
    <w:rsid w:val="002E43F3"/>
    <w:rsid w:val="002F3BBA"/>
    <w:rsid w:val="003215F5"/>
    <w:rsid w:val="00332891"/>
    <w:rsid w:val="00356BB2"/>
    <w:rsid w:val="00360477"/>
    <w:rsid w:val="00367FC9"/>
    <w:rsid w:val="003711A1"/>
    <w:rsid w:val="00372123"/>
    <w:rsid w:val="00381289"/>
    <w:rsid w:val="00386581"/>
    <w:rsid w:val="00387100"/>
    <w:rsid w:val="003951D3"/>
    <w:rsid w:val="003978C6"/>
    <w:rsid w:val="003B40A9"/>
    <w:rsid w:val="003C016E"/>
    <w:rsid w:val="003D5EBD"/>
    <w:rsid w:val="003F7562"/>
    <w:rsid w:val="00401CE0"/>
    <w:rsid w:val="00403234"/>
    <w:rsid w:val="00407AC3"/>
    <w:rsid w:val="00414586"/>
    <w:rsid w:val="00415059"/>
    <w:rsid w:val="00424FDD"/>
    <w:rsid w:val="0043033D"/>
    <w:rsid w:val="00435FE4"/>
    <w:rsid w:val="00457634"/>
    <w:rsid w:val="00474F42"/>
    <w:rsid w:val="0048244D"/>
    <w:rsid w:val="004A0DE8"/>
    <w:rsid w:val="004A4CB7"/>
    <w:rsid w:val="004A57B5"/>
    <w:rsid w:val="004B19DA"/>
    <w:rsid w:val="004C2A53"/>
    <w:rsid w:val="004C3B35"/>
    <w:rsid w:val="004C43EC"/>
    <w:rsid w:val="004C67CF"/>
    <w:rsid w:val="004D4416"/>
    <w:rsid w:val="004E6729"/>
    <w:rsid w:val="004F0431"/>
    <w:rsid w:val="004F0E47"/>
    <w:rsid w:val="004F26A5"/>
    <w:rsid w:val="0051339C"/>
    <w:rsid w:val="0051412F"/>
    <w:rsid w:val="00522B6F"/>
    <w:rsid w:val="0052430E"/>
    <w:rsid w:val="005276AD"/>
    <w:rsid w:val="00534E6D"/>
    <w:rsid w:val="00540A9A"/>
    <w:rsid w:val="00543522"/>
    <w:rsid w:val="00545680"/>
    <w:rsid w:val="00546704"/>
    <w:rsid w:val="0056618E"/>
    <w:rsid w:val="00576F59"/>
    <w:rsid w:val="00577A34"/>
    <w:rsid w:val="00580AAD"/>
    <w:rsid w:val="00593A04"/>
    <w:rsid w:val="005A6D5A"/>
    <w:rsid w:val="005B1B28"/>
    <w:rsid w:val="005B7D51"/>
    <w:rsid w:val="005B7F35"/>
    <w:rsid w:val="005C2081"/>
    <w:rsid w:val="005C59FF"/>
    <w:rsid w:val="005C678A"/>
    <w:rsid w:val="005D346D"/>
    <w:rsid w:val="005E74AB"/>
    <w:rsid w:val="005F4DFD"/>
    <w:rsid w:val="00606A3E"/>
    <w:rsid w:val="00611264"/>
    <w:rsid w:val="006115AA"/>
    <w:rsid w:val="006120AE"/>
    <w:rsid w:val="00633226"/>
    <w:rsid w:val="00635E86"/>
    <w:rsid w:val="00636A37"/>
    <w:rsid w:val="006501A5"/>
    <w:rsid w:val="006567B2"/>
    <w:rsid w:val="00662ADE"/>
    <w:rsid w:val="00664106"/>
    <w:rsid w:val="006678C0"/>
    <w:rsid w:val="006727A5"/>
    <w:rsid w:val="006756F1"/>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E7AF7"/>
    <w:rsid w:val="006F5FBF"/>
    <w:rsid w:val="0070327E"/>
    <w:rsid w:val="00707B5F"/>
    <w:rsid w:val="00735602"/>
    <w:rsid w:val="0075279B"/>
    <w:rsid w:val="00753748"/>
    <w:rsid w:val="00762446"/>
    <w:rsid w:val="00781ACB"/>
    <w:rsid w:val="00793A75"/>
    <w:rsid w:val="007A79EB"/>
    <w:rsid w:val="007D4CA0"/>
    <w:rsid w:val="007D7A23"/>
    <w:rsid w:val="007E38C3"/>
    <w:rsid w:val="007E549E"/>
    <w:rsid w:val="007E71C9"/>
    <w:rsid w:val="007F7553"/>
    <w:rsid w:val="0080755E"/>
    <w:rsid w:val="008120D4"/>
    <w:rsid w:val="0081292C"/>
    <w:rsid w:val="008139A5"/>
    <w:rsid w:val="00817F73"/>
    <w:rsid w:val="0082228E"/>
    <w:rsid w:val="00827B3D"/>
    <w:rsid w:val="00830402"/>
    <w:rsid w:val="008305D7"/>
    <w:rsid w:val="00834887"/>
    <w:rsid w:val="00842FED"/>
    <w:rsid w:val="008455CF"/>
    <w:rsid w:val="0084613B"/>
    <w:rsid w:val="00847689"/>
    <w:rsid w:val="00861C52"/>
    <w:rsid w:val="008727A1"/>
    <w:rsid w:val="00877224"/>
    <w:rsid w:val="00886B0F"/>
    <w:rsid w:val="00887A27"/>
    <w:rsid w:val="00891C08"/>
    <w:rsid w:val="008A3879"/>
    <w:rsid w:val="008A5FA8"/>
    <w:rsid w:val="008A7575"/>
    <w:rsid w:val="008B5F47"/>
    <w:rsid w:val="008C7B87"/>
    <w:rsid w:val="008D6A7A"/>
    <w:rsid w:val="008E3E87"/>
    <w:rsid w:val="008E7F13"/>
    <w:rsid w:val="008F3185"/>
    <w:rsid w:val="00915B0A"/>
    <w:rsid w:val="00926904"/>
    <w:rsid w:val="009372F0"/>
    <w:rsid w:val="00955022"/>
    <w:rsid w:val="00957B4D"/>
    <w:rsid w:val="00964EEA"/>
    <w:rsid w:val="009715FC"/>
    <w:rsid w:val="00980C6B"/>
    <w:rsid w:val="00980C86"/>
    <w:rsid w:val="00983367"/>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51F8C"/>
    <w:rsid w:val="00A61E8E"/>
    <w:rsid w:val="00A800D1"/>
    <w:rsid w:val="00A92699"/>
    <w:rsid w:val="00AB5170"/>
    <w:rsid w:val="00AB5BF0"/>
    <w:rsid w:val="00AC1C95"/>
    <w:rsid w:val="00AC2CCB"/>
    <w:rsid w:val="00AC443A"/>
    <w:rsid w:val="00AE60E2"/>
    <w:rsid w:val="00B0169F"/>
    <w:rsid w:val="00B05F21"/>
    <w:rsid w:val="00B14EA9"/>
    <w:rsid w:val="00B30A3C"/>
    <w:rsid w:val="00B81305"/>
    <w:rsid w:val="00BB17DC"/>
    <w:rsid w:val="00BB1AF9"/>
    <w:rsid w:val="00BB4C4A"/>
    <w:rsid w:val="00BC7F12"/>
    <w:rsid w:val="00BD2C81"/>
    <w:rsid w:val="00BD3CAE"/>
    <w:rsid w:val="00BD5F3C"/>
    <w:rsid w:val="00C07C0F"/>
    <w:rsid w:val="00C108FD"/>
    <w:rsid w:val="00C145C4"/>
    <w:rsid w:val="00C20D2F"/>
    <w:rsid w:val="00C2131B"/>
    <w:rsid w:val="00C37AF8"/>
    <w:rsid w:val="00C37C79"/>
    <w:rsid w:val="00C41BBC"/>
    <w:rsid w:val="00C51419"/>
    <w:rsid w:val="00C54056"/>
    <w:rsid w:val="00C663A3"/>
    <w:rsid w:val="00C75CB2"/>
    <w:rsid w:val="00C90723"/>
    <w:rsid w:val="00C90D5C"/>
    <w:rsid w:val="00CA609E"/>
    <w:rsid w:val="00CA7DA4"/>
    <w:rsid w:val="00CB31FB"/>
    <w:rsid w:val="00CE3D6F"/>
    <w:rsid w:val="00CE79A5"/>
    <w:rsid w:val="00CF0042"/>
    <w:rsid w:val="00CF262F"/>
    <w:rsid w:val="00D025D5"/>
    <w:rsid w:val="00D26B13"/>
    <w:rsid w:val="00D26CC1"/>
    <w:rsid w:val="00D30662"/>
    <w:rsid w:val="00D32A0B"/>
    <w:rsid w:val="00D6236B"/>
    <w:rsid w:val="00D76358"/>
    <w:rsid w:val="00D809D1"/>
    <w:rsid w:val="00D84ECF"/>
    <w:rsid w:val="00DA2851"/>
    <w:rsid w:val="00DA2B7C"/>
    <w:rsid w:val="00DA5686"/>
    <w:rsid w:val="00DB2FC0"/>
    <w:rsid w:val="00DB54E2"/>
    <w:rsid w:val="00DD0C50"/>
    <w:rsid w:val="00DF18FA"/>
    <w:rsid w:val="00DF49CA"/>
    <w:rsid w:val="00DF775B"/>
    <w:rsid w:val="00E007F3"/>
    <w:rsid w:val="00E00DEA"/>
    <w:rsid w:val="00E06EF0"/>
    <w:rsid w:val="00E11679"/>
    <w:rsid w:val="00E307D1"/>
    <w:rsid w:val="00E46A04"/>
    <w:rsid w:val="00E717F3"/>
    <w:rsid w:val="00E72C5E"/>
    <w:rsid w:val="00E73451"/>
    <w:rsid w:val="00E7489F"/>
    <w:rsid w:val="00E75147"/>
    <w:rsid w:val="00E8167D"/>
    <w:rsid w:val="00E907E9"/>
    <w:rsid w:val="00E96BE7"/>
    <w:rsid w:val="00EA2CD0"/>
    <w:rsid w:val="00EA6BEB"/>
    <w:rsid w:val="00EC0044"/>
    <w:rsid w:val="00EC6B9F"/>
    <w:rsid w:val="00EE516D"/>
    <w:rsid w:val="00EF4D1B"/>
    <w:rsid w:val="00EF7295"/>
    <w:rsid w:val="00F069D1"/>
    <w:rsid w:val="00F1503D"/>
    <w:rsid w:val="00F22712"/>
    <w:rsid w:val="00F275F5"/>
    <w:rsid w:val="00F33188"/>
    <w:rsid w:val="00F35BDE"/>
    <w:rsid w:val="00F52A0E"/>
    <w:rsid w:val="00F71F63"/>
    <w:rsid w:val="00F87506"/>
    <w:rsid w:val="00F92C41"/>
    <w:rsid w:val="00FA5522"/>
    <w:rsid w:val="00FA6E4A"/>
    <w:rsid w:val="00FB2B35"/>
    <w:rsid w:val="00FC4AE1"/>
    <w:rsid w:val="00FD78A3"/>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Table_G"/>
    <w:basedOn w:val="Normal"/>
    <w:next w:val="Normal"/>
    <w:link w:val="Heading1Char"/>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71C9"/>
    <w:pPr>
      <w:keepNext/>
      <w:spacing w:before="240" w:after="60"/>
      <w:outlineLvl w:val="3"/>
    </w:pPr>
    <w:rPr>
      <w:b/>
      <w:bCs/>
      <w:sz w:val="28"/>
      <w:szCs w:val="28"/>
    </w:rPr>
  </w:style>
  <w:style w:type="paragraph" w:styleId="Heading5">
    <w:name w:val="heading 5"/>
    <w:basedOn w:val="Normal"/>
    <w:next w:val="Normal"/>
    <w:link w:val="Heading5Char"/>
    <w:qFormat/>
    <w:rsid w:val="007E71C9"/>
    <w:pPr>
      <w:spacing w:before="240" w:after="60"/>
      <w:outlineLvl w:val="4"/>
    </w:pPr>
    <w:rPr>
      <w:b/>
      <w:bCs/>
      <w:i/>
      <w:iCs/>
      <w:sz w:val="26"/>
      <w:szCs w:val="26"/>
    </w:rPr>
  </w:style>
  <w:style w:type="paragraph" w:styleId="Heading6">
    <w:name w:val="heading 6"/>
    <w:basedOn w:val="Normal"/>
    <w:next w:val="Normal"/>
    <w:link w:val="Heading6Char"/>
    <w:qFormat/>
    <w:rsid w:val="007E71C9"/>
    <w:pPr>
      <w:spacing w:before="240" w:after="60"/>
      <w:outlineLvl w:val="5"/>
    </w:pPr>
    <w:rPr>
      <w:b/>
      <w:bCs/>
      <w:sz w:val="22"/>
      <w:szCs w:val="22"/>
    </w:rPr>
  </w:style>
  <w:style w:type="paragraph" w:styleId="Heading7">
    <w:name w:val="heading 7"/>
    <w:basedOn w:val="Normal"/>
    <w:next w:val="Normal"/>
    <w:link w:val="Heading7Char"/>
    <w:qFormat/>
    <w:rsid w:val="007E71C9"/>
    <w:pPr>
      <w:spacing w:before="240" w:after="60"/>
      <w:outlineLvl w:val="6"/>
    </w:pPr>
    <w:rPr>
      <w:sz w:val="24"/>
    </w:rPr>
  </w:style>
  <w:style w:type="paragraph" w:styleId="Heading8">
    <w:name w:val="heading 8"/>
    <w:basedOn w:val="Normal"/>
    <w:next w:val="Normal"/>
    <w:link w:val="Heading8Char"/>
    <w:qFormat/>
    <w:rsid w:val="007E71C9"/>
    <w:pPr>
      <w:spacing w:before="240" w:after="60"/>
      <w:outlineLvl w:val="7"/>
    </w:pPr>
    <w:rPr>
      <w:i/>
      <w:iCs/>
      <w:sz w:val="24"/>
    </w:rPr>
  </w:style>
  <w:style w:type="paragraph" w:styleId="Heading9">
    <w:name w:val="heading 9"/>
    <w:basedOn w:val="Normal"/>
    <w:next w:val="Normal"/>
    <w:link w:val="Heading9Char"/>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link w:val="HTMLAddressChar"/>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link w:val="DateChar"/>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___GR,7_G"/>
    <w:basedOn w:val="DefaultParagraphFont"/>
    <w:rsid w:val="00E72C5E"/>
    <w:rPr>
      <w:rFonts w:ascii="Times New Roman" w:hAnsi="Times New Roman"/>
      <w:b/>
      <w:sz w:val="18"/>
    </w:rPr>
  </w:style>
  <w:style w:type="paragraph" w:styleId="EndnoteText">
    <w:name w:val="endnote text"/>
    <w:aliases w:val="2_GR,2_G"/>
    <w:basedOn w:val="FootnoteText"/>
    <w:link w:val="EndnoteTextChar"/>
    <w:rsid w:val="00D84ECF"/>
  </w:style>
  <w:style w:type="paragraph" w:styleId="FootnoteText">
    <w:name w:val="footnote text"/>
    <w:aliases w:val="5_GR,5_G,Footnote Text Char Char Char Char Char,Footnote Text Char Char Char Char,Footnote reference,FA Fu,Footnote Text Char Char Char,Char,Footnote Reference1"/>
    <w:basedOn w:val="Normal"/>
    <w:link w:val="FootnoteTextChar"/>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number,Footnotes refss,ftref"/>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aliases w:val="Table_GR Char,Table_G Char"/>
    <w:basedOn w:val="DefaultParagraphFont"/>
    <w:link w:val="Heading1"/>
    <w:locked/>
    <w:rsid w:val="0014670C"/>
    <w:rPr>
      <w:rFonts w:cs="Arial"/>
      <w:b/>
      <w:bCs/>
      <w:spacing w:val="4"/>
      <w:w w:val="103"/>
      <w:kern w:val="14"/>
      <w:szCs w:val="32"/>
      <w:lang w:val="ru-RU" w:eastAsia="ru-RU" w:bidi="ar-SA"/>
    </w:rPr>
  </w:style>
  <w:style w:type="character" w:styleId="Emphasis">
    <w:name w:val="Emphasis"/>
    <w:basedOn w:val="DefaultParagraphFont"/>
    <w:qFormat/>
    <w:rsid w:val="007E71C9"/>
    <w:rPr>
      <w:i/>
      <w:iCs/>
    </w:rPr>
  </w:style>
  <w:style w:type="paragraph" w:styleId="NoteHeading">
    <w:name w:val="Note Heading"/>
    <w:basedOn w:val="Normal"/>
    <w:next w:val="Normal"/>
    <w:link w:val="NoteHeadingChar"/>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link w:val="BodyTextChar"/>
    <w:semiHidden/>
    <w:rsid w:val="007E71C9"/>
  </w:style>
  <w:style w:type="paragraph" w:styleId="BodyTextFirstIndent">
    <w:name w:val="Body Text First Indent"/>
    <w:basedOn w:val="BodyText"/>
    <w:link w:val="BodyTextFirstIndentChar"/>
    <w:semiHidden/>
    <w:rsid w:val="007E71C9"/>
    <w:pPr>
      <w:ind w:firstLine="210"/>
    </w:pPr>
  </w:style>
  <w:style w:type="paragraph" w:styleId="BodyTextIndent">
    <w:name w:val="Body Text Indent"/>
    <w:basedOn w:val="Normal"/>
    <w:link w:val="BodyTextIndentChar"/>
    <w:semiHidden/>
    <w:rsid w:val="007E71C9"/>
    <w:pPr>
      <w:ind w:left="283"/>
    </w:pPr>
  </w:style>
  <w:style w:type="paragraph" w:styleId="BodyTextFirstIndent2">
    <w:name w:val="Body Text First Indent 2"/>
    <w:basedOn w:val="BodyTextIndent"/>
    <w:link w:val="BodyTextFirstIndent2Char"/>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link w:val="TitleChar"/>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link w:val="BodyText2Char"/>
    <w:semiHidden/>
    <w:rsid w:val="007E71C9"/>
    <w:pPr>
      <w:spacing w:line="480" w:lineRule="auto"/>
    </w:pPr>
  </w:style>
  <w:style w:type="paragraph" w:styleId="BodyText3">
    <w:name w:val="Body Text 3"/>
    <w:basedOn w:val="Normal"/>
    <w:link w:val="BodyText3Char"/>
    <w:semiHidden/>
    <w:rsid w:val="007E71C9"/>
    <w:rPr>
      <w:sz w:val="16"/>
      <w:szCs w:val="16"/>
    </w:rPr>
  </w:style>
  <w:style w:type="paragraph" w:styleId="BodyTextIndent2">
    <w:name w:val="Body Text Indent 2"/>
    <w:basedOn w:val="Normal"/>
    <w:link w:val="BodyTextIndent2Char"/>
    <w:semiHidden/>
    <w:rsid w:val="007E71C9"/>
    <w:pPr>
      <w:spacing w:line="480" w:lineRule="auto"/>
      <w:ind w:left="283"/>
    </w:pPr>
  </w:style>
  <w:style w:type="paragraph" w:styleId="BodyTextIndent3">
    <w:name w:val="Body Text Indent 3"/>
    <w:basedOn w:val="Normal"/>
    <w:link w:val="BodyTextIndent3Char"/>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link w:val="SubtitleChar"/>
    <w:qFormat/>
    <w:rsid w:val="007E71C9"/>
    <w:pPr>
      <w:spacing w:after="60"/>
      <w:jc w:val="center"/>
      <w:outlineLvl w:val="1"/>
    </w:pPr>
    <w:rPr>
      <w:rFonts w:ascii="Arial" w:hAnsi="Arial" w:cs="Arial"/>
      <w:sz w:val="24"/>
    </w:rPr>
  </w:style>
  <w:style w:type="paragraph" w:styleId="Signature">
    <w:name w:val="Signature"/>
    <w:basedOn w:val="Normal"/>
    <w:link w:val="SignatureChar"/>
    <w:semiHidden/>
    <w:rsid w:val="007E71C9"/>
    <w:pPr>
      <w:ind w:left="4252"/>
    </w:pPr>
  </w:style>
  <w:style w:type="paragraph" w:styleId="Salutation">
    <w:name w:val="Salutation"/>
    <w:basedOn w:val="Normal"/>
    <w:next w:val="Normal"/>
    <w:link w:val="SalutationChar"/>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link w:val="HTMLPreformattedChar"/>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link w:val="E-mailSignatureChar"/>
    <w:semiHidden/>
    <w:rsid w:val="007E71C9"/>
  </w:style>
  <w:style w:type="character" w:styleId="Hyperlink">
    <w:name w:val="Hyperlink"/>
    <w:basedOn w:val="DefaultParagraphFont"/>
    <w:semiHidden/>
    <w:rsid w:val="007E71C9"/>
    <w:rPr>
      <w:color w:val="000000"/>
      <w:u w:val="single"/>
    </w:rPr>
  </w:style>
  <w:style w:type="character" w:customStyle="1" w:styleId="Heading2Char">
    <w:name w:val="Heading 2 Char"/>
    <w:basedOn w:val="DefaultParagraphFont"/>
    <w:link w:val="Heading2"/>
    <w:semiHidden/>
    <w:locked/>
    <w:rsid w:val="0014670C"/>
    <w:rPr>
      <w:rFonts w:ascii="Arial" w:hAnsi="Arial" w:cs="Arial"/>
      <w:b/>
      <w:bCs/>
      <w:i/>
      <w:iCs/>
      <w:spacing w:val="4"/>
      <w:w w:val="103"/>
      <w:kern w:val="14"/>
      <w:sz w:val="28"/>
      <w:szCs w:val="28"/>
      <w:lang w:val="ru-RU" w:eastAsia="en-US" w:bidi="ar-SA"/>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link w:val="PlainTextChar"/>
    <w:semiHidden/>
    <w:rsid w:val="007E71C9"/>
    <w:rPr>
      <w:rFonts w:ascii="Courier New" w:hAnsi="Courier New" w:cs="Courier New"/>
    </w:rPr>
  </w:style>
  <w:style w:type="paragraph" w:styleId="MessageHeader">
    <w:name w:val="Message Header"/>
    <w:basedOn w:val="Normal"/>
    <w:link w:val="MessageHeaderChar"/>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character" w:customStyle="1" w:styleId="Heading3Char">
    <w:name w:val="Heading 3 Char"/>
    <w:basedOn w:val="DefaultParagraphFont"/>
    <w:link w:val="Heading3"/>
    <w:semiHidden/>
    <w:locked/>
    <w:rsid w:val="0014670C"/>
    <w:rPr>
      <w:rFonts w:ascii="Arial" w:hAnsi="Arial" w:cs="Arial"/>
      <w:b/>
      <w:bCs/>
      <w:spacing w:val="4"/>
      <w:w w:val="103"/>
      <w:kern w:val="14"/>
      <w:sz w:val="26"/>
      <w:szCs w:val="26"/>
      <w:lang w:val="ru-RU" w:eastAsia="en-US" w:bidi="ar-SA"/>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eading4Char">
    <w:name w:val="Heading 4 Char"/>
    <w:basedOn w:val="DefaultParagraphFont"/>
    <w:link w:val="Heading4"/>
    <w:semiHidden/>
    <w:locked/>
    <w:rsid w:val="0014670C"/>
    <w:rPr>
      <w:b/>
      <w:bCs/>
      <w:spacing w:val="4"/>
      <w:w w:val="103"/>
      <w:kern w:val="14"/>
      <w:sz w:val="28"/>
      <w:szCs w:val="28"/>
      <w:lang w:val="ru-RU" w:eastAsia="en-US" w:bidi="ar-SA"/>
    </w:rPr>
  </w:style>
  <w:style w:type="character" w:customStyle="1" w:styleId="Heading5Char">
    <w:name w:val="Heading 5 Char"/>
    <w:basedOn w:val="DefaultParagraphFont"/>
    <w:link w:val="Heading5"/>
    <w:semiHidden/>
    <w:locked/>
    <w:rsid w:val="0014670C"/>
    <w:rPr>
      <w:b/>
      <w:bCs/>
      <w:i/>
      <w:iCs/>
      <w:spacing w:val="4"/>
      <w:w w:val="103"/>
      <w:kern w:val="14"/>
      <w:sz w:val="26"/>
      <w:szCs w:val="26"/>
      <w:lang w:val="ru-RU" w:eastAsia="en-US" w:bidi="ar-SA"/>
    </w:rPr>
  </w:style>
  <w:style w:type="character" w:customStyle="1" w:styleId="Heading6Char">
    <w:name w:val="Heading 6 Char"/>
    <w:basedOn w:val="DefaultParagraphFont"/>
    <w:link w:val="Heading6"/>
    <w:semiHidden/>
    <w:locked/>
    <w:rsid w:val="0014670C"/>
    <w:rPr>
      <w:b/>
      <w:bCs/>
      <w:spacing w:val="4"/>
      <w:w w:val="103"/>
      <w:kern w:val="14"/>
      <w:sz w:val="22"/>
      <w:szCs w:val="22"/>
      <w:lang w:val="ru-RU" w:eastAsia="en-US" w:bidi="ar-SA"/>
    </w:rPr>
  </w:style>
  <w:style w:type="character" w:customStyle="1" w:styleId="Heading7Char">
    <w:name w:val="Heading 7 Char"/>
    <w:basedOn w:val="DefaultParagraphFont"/>
    <w:link w:val="Heading7"/>
    <w:semiHidden/>
    <w:locked/>
    <w:rsid w:val="0014670C"/>
    <w:rPr>
      <w:spacing w:val="4"/>
      <w:w w:val="103"/>
      <w:kern w:val="14"/>
      <w:sz w:val="24"/>
      <w:lang w:val="ru-RU" w:eastAsia="en-US" w:bidi="ar-SA"/>
    </w:rPr>
  </w:style>
  <w:style w:type="character" w:customStyle="1" w:styleId="Heading8Char">
    <w:name w:val="Heading 8 Char"/>
    <w:basedOn w:val="DefaultParagraphFont"/>
    <w:link w:val="Heading8"/>
    <w:semiHidden/>
    <w:locked/>
    <w:rsid w:val="0014670C"/>
    <w:rPr>
      <w:i/>
      <w:iCs/>
      <w:spacing w:val="4"/>
      <w:w w:val="103"/>
      <w:kern w:val="14"/>
      <w:sz w:val="24"/>
      <w:lang w:val="ru-RU" w:eastAsia="en-US" w:bidi="ar-SA"/>
    </w:rPr>
  </w:style>
  <w:style w:type="character" w:customStyle="1" w:styleId="Heading9Char">
    <w:name w:val="Heading 9 Char"/>
    <w:basedOn w:val="DefaultParagraphFont"/>
    <w:link w:val="Heading9"/>
    <w:semiHidden/>
    <w:locked/>
    <w:rsid w:val="0014670C"/>
    <w:rPr>
      <w:rFonts w:ascii="Arial" w:hAnsi="Arial" w:cs="Arial"/>
      <w:spacing w:val="4"/>
      <w:w w:val="103"/>
      <w:kern w:val="14"/>
      <w:sz w:val="22"/>
      <w:szCs w:val="22"/>
      <w:lang w:val="ru-RU" w:eastAsia="en-US" w:bidi="ar-SA"/>
    </w:rPr>
  </w:style>
  <w:style w:type="character" w:customStyle="1" w:styleId="HTMLAddressChar">
    <w:name w:val="HTML Address Char"/>
    <w:basedOn w:val="DefaultParagraphFont"/>
    <w:link w:val="HTMLAddress"/>
    <w:semiHidden/>
    <w:locked/>
    <w:rsid w:val="0014670C"/>
    <w:rPr>
      <w:i/>
      <w:iCs/>
      <w:spacing w:val="4"/>
      <w:w w:val="103"/>
      <w:kern w:val="14"/>
      <w:lang w:val="ru-RU" w:eastAsia="en-US" w:bidi="ar-SA"/>
    </w:rPr>
  </w:style>
  <w:style w:type="character" w:customStyle="1" w:styleId="DateChar">
    <w:name w:val="Date Char"/>
    <w:basedOn w:val="DefaultParagraphFont"/>
    <w:link w:val="Date"/>
    <w:semiHidden/>
    <w:locked/>
    <w:rsid w:val="0014670C"/>
    <w:rPr>
      <w:spacing w:val="4"/>
      <w:w w:val="103"/>
      <w:kern w:val="14"/>
      <w:lang w:val="ru-RU" w:eastAsia="en-US" w:bidi="ar-SA"/>
    </w:rPr>
  </w:style>
  <w:style w:type="character" w:customStyle="1" w:styleId="HeaderChar">
    <w:name w:val="Header Char"/>
    <w:aliases w:val="6_GR Char,6_G Char"/>
    <w:basedOn w:val="DefaultParagraphFont"/>
    <w:link w:val="Header"/>
    <w:semiHidden/>
    <w:locked/>
    <w:rsid w:val="0014670C"/>
    <w:rPr>
      <w:b/>
      <w:sz w:val="18"/>
      <w:lang w:val="en-GB" w:eastAsia="ru-RU" w:bidi="ar-SA"/>
    </w:rPr>
  </w:style>
  <w:style w:type="character" w:customStyle="1" w:styleId="FooterChar">
    <w:name w:val="Footer Char"/>
    <w:aliases w:val="3_GR Char,3_G Char"/>
    <w:basedOn w:val="DefaultParagraphFont"/>
    <w:link w:val="Footer"/>
    <w:semiHidden/>
    <w:locked/>
    <w:rsid w:val="0014670C"/>
    <w:rPr>
      <w:sz w:val="16"/>
      <w:lang w:val="en-GB" w:eastAsia="ru-RU" w:bidi="ar-SA"/>
    </w:rPr>
  </w:style>
  <w:style w:type="character" w:customStyle="1" w:styleId="EndnoteTextChar">
    <w:name w:val="Endnote Text Char"/>
    <w:aliases w:val="2_GR Char,2_G Char"/>
    <w:basedOn w:val="DefaultParagraphFont"/>
    <w:link w:val="EndnoteText"/>
    <w:semiHidden/>
    <w:locked/>
    <w:rsid w:val="0014670C"/>
    <w:rPr>
      <w:spacing w:val="5"/>
      <w:w w:val="104"/>
      <w:kern w:val="14"/>
      <w:sz w:val="18"/>
      <w:lang w:val="en-GB" w:eastAsia="ru-RU" w:bidi="ar-SA"/>
    </w:rPr>
  </w:style>
  <w:style w:type="character" w:customStyle="1" w:styleId="FootnoteTextChar">
    <w:name w:val="Footnote Text Char"/>
    <w:aliases w:val="5_GR Char,5_G Char,Footnote Text Char Char Char Char Char Char,Footnote Text Char Char Char Char Char1,Footnote reference Char,FA Fu Char,Footnote Text Char Char Char Char1,Char Char,Footnote Reference1 Char"/>
    <w:basedOn w:val="DefaultParagraphFont"/>
    <w:link w:val="FootnoteText"/>
    <w:locked/>
    <w:rsid w:val="0014670C"/>
    <w:rPr>
      <w:spacing w:val="5"/>
      <w:w w:val="104"/>
      <w:kern w:val="14"/>
      <w:sz w:val="18"/>
      <w:lang w:val="en-GB" w:eastAsia="ru-RU" w:bidi="ar-SA"/>
    </w:rPr>
  </w:style>
  <w:style w:type="paragraph" w:customStyle="1" w:styleId="SingleTxtG">
    <w:name w:val="_ Single Txt_G"/>
    <w:basedOn w:val="Normal"/>
    <w:link w:val="SingleTxtGChar"/>
    <w:rsid w:val="0014670C"/>
    <w:pPr>
      <w:suppressAutoHyphens/>
      <w:spacing w:after="120"/>
      <w:ind w:left="1134" w:right="1134"/>
      <w:jc w:val="both"/>
    </w:pPr>
    <w:rPr>
      <w:spacing w:val="0"/>
      <w:w w:val="100"/>
      <w:kern w:val="0"/>
      <w:lang w:eastAsia="ru-RU"/>
    </w:rPr>
  </w:style>
  <w:style w:type="character" w:customStyle="1" w:styleId="NoteHeadingChar">
    <w:name w:val="Note Heading Char"/>
    <w:basedOn w:val="DefaultParagraphFont"/>
    <w:link w:val="NoteHeading"/>
    <w:semiHidden/>
    <w:locked/>
    <w:rsid w:val="0014670C"/>
    <w:rPr>
      <w:spacing w:val="4"/>
      <w:w w:val="103"/>
      <w:kern w:val="14"/>
      <w:lang w:val="ru-RU" w:eastAsia="en-US" w:bidi="ar-SA"/>
    </w:rPr>
  </w:style>
  <w:style w:type="character" w:customStyle="1" w:styleId="BodyTextChar">
    <w:name w:val="Body Text Char"/>
    <w:basedOn w:val="DefaultParagraphFont"/>
    <w:link w:val="BodyText"/>
    <w:semiHidden/>
    <w:locked/>
    <w:rsid w:val="0014670C"/>
    <w:rPr>
      <w:spacing w:val="4"/>
      <w:w w:val="103"/>
      <w:kern w:val="14"/>
      <w:lang w:val="ru-RU" w:eastAsia="en-US" w:bidi="ar-SA"/>
    </w:rPr>
  </w:style>
  <w:style w:type="character" w:customStyle="1" w:styleId="BodyTextFirstIndentChar">
    <w:name w:val="Body Text First Indent Char"/>
    <w:basedOn w:val="BodyTextChar"/>
    <w:link w:val="BodyTextFirstIndent"/>
    <w:semiHidden/>
    <w:locked/>
    <w:rsid w:val="0014670C"/>
  </w:style>
  <w:style w:type="character" w:customStyle="1" w:styleId="BodyTextIndentChar">
    <w:name w:val="Body Text Indent Char"/>
    <w:basedOn w:val="DefaultParagraphFont"/>
    <w:link w:val="BodyTextIndent"/>
    <w:semiHidden/>
    <w:locked/>
    <w:rsid w:val="0014670C"/>
    <w:rPr>
      <w:spacing w:val="4"/>
      <w:w w:val="103"/>
      <w:kern w:val="14"/>
      <w:lang w:val="ru-RU" w:eastAsia="en-US" w:bidi="ar-SA"/>
    </w:rPr>
  </w:style>
  <w:style w:type="character" w:customStyle="1" w:styleId="BodyTextFirstIndent2Char">
    <w:name w:val="Body Text First Indent 2 Char"/>
    <w:basedOn w:val="BodyTextIndentChar"/>
    <w:link w:val="BodyTextFirstIndent2"/>
    <w:semiHidden/>
    <w:locked/>
    <w:rsid w:val="0014670C"/>
  </w:style>
  <w:style w:type="character" w:customStyle="1" w:styleId="TitleChar">
    <w:name w:val="Title Char"/>
    <w:basedOn w:val="DefaultParagraphFont"/>
    <w:link w:val="Title"/>
    <w:locked/>
    <w:rsid w:val="0014670C"/>
    <w:rPr>
      <w:rFonts w:ascii="Arial" w:hAnsi="Arial" w:cs="Arial"/>
      <w:b/>
      <w:bCs/>
      <w:spacing w:val="4"/>
      <w:w w:val="103"/>
      <w:kern w:val="28"/>
      <w:sz w:val="32"/>
      <w:szCs w:val="32"/>
      <w:lang w:val="ru-RU" w:eastAsia="en-US" w:bidi="ar-SA"/>
    </w:rPr>
  </w:style>
  <w:style w:type="character" w:customStyle="1" w:styleId="BodyText2Char">
    <w:name w:val="Body Text 2 Char"/>
    <w:basedOn w:val="DefaultParagraphFont"/>
    <w:link w:val="BodyText2"/>
    <w:semiHidden/>
    <w:locked/>
    <w:rsid w:val="0014670C"/>
    <w:rPr>
      <w:spacing w:val="4"/>
      <w:w w:val="103"/>
      <w:kern w:val="14"/>
      <w:lang w:val="ru-RU" w:eastAsia="en-US" w:bidi="ar-SA"/>
    </w:rPr>
  </w:style>
  <w:style w:type="character" w:customStyle="1" w:styleId="BodyText3Char">
    <w:name w:val="Body Text 3 Char"/>
    <w:basedOn w:val="DefaultParagraphFont"/>
    <w:link w:val="BodyText3"/>
    <w:semiHidden/>
    <w:locked/>
    <w:rsid w:val="0014670C"/>
    <w:rPr>
      <w:spacing w:val="4"/>
      <w:w w:val="103"/>
      <w:kern w:val="14"/>
      <w:sz w:val="16"/>
      <w:szCs w:val="16"/>
      <w:lang w:val="ru-RU" w:eastAsia="en-US" w:bidi="ar-SA"/>
    </w:rPr>
  </w:style>
  <w:style w:type="character" w:customStyle="1" w:styleId="BodyTextIndent2Char">
    <w:name w:val="Body Text Indent 2 Char"/>
    <w:basedOn w:val="DefaultParagraphFont"/>
    <w:link w:val="BodyTextIndent2"/>
    <w:semiHidden/>
    <w:locked/>
    <w:rsid w:val="0014670C"/>
    <w:rPr>
      <w:spacing w:val="4"/>
      <w:w w:val="103"/>
      <w:kern w:val="14"/>
      <w:lang w:val="ru-RU" w:eastAsia="en-US" w:bidi="ar-SA"/>
    </w:rPr>
  </w:style>
  <w:style w:type="character" w:customStyle="1" w:styleId="BodyTextIndent3Char">
    <w:name w:val="Body Text Indent 3 Char"/>
    <w:basedOn w:val="DefaultParagraphFont"/>
    <w:link w:val="BodyTextIndent3"/>
    <w:semiHidden/>
    <w:locked/>
    <w:rsid w:val="0014670C"/>
    <w:rPr>
      <w:spacing w:val="4"/>
      <w:w w:val="103"/>
      <w:kern w:val="14"/>
      <w:sz w:val="16"/>
      <w:szCs w:val="16"/>
      <w:lang w:val="ru-RU" w:eastAsia="en-US" w:bidi="ar-SA"/>
    </w:rPr>
  </w:style>
  <w:style w:type="character" w:customStyle="1" w:styleId="SubtitleChar">
    <w:name w:val="Subtitle Char"/>
    <w:basedOn w:val="DefaultParagraphFont"/>
    <w:link w:val="Subtitle"/>
    <w:locked/>
    <w:rsid w:val="0014670C"/>
    <w:rPr>
      <w:rFonts w:ascii="Arial" w:hAnsi="Arial" w:cs="Arial"/>
      <w:spacing w:val="4"/>
      <w:w w:val="103"/>
      <w:kern w:val="14"/>
      <w:sz w:val="24"/>
      <w:lang w:val="ru-RU" w:eastAsia="en-US" w:bidi="ar-SA"/>
    </w:rPr>
  </w:style>
  <w:style w:type="character" w:customStyle="1" w:styleId="SignatureChar">
    <w:name w:val="Signature Char"/>
    <w:basedOn w:val="DefaultParagraphFont"/>
    <w:link w:val="Signature"/>
    <w:semiHidden/>
    <w:locked/>
    <w:rsid w:val="0014670C"/>
    <w:rPr>
      <w:spacing w:val="4"/>
      <w:w w:val="103"/>
      <w:kern w:val="14"/>
      <w:lang w:val="ru-RU" w:eastAsia="en-US" w:bidi="ar-SA"/>
    </w:rPr>
  </w:style>
  <w:style w:type="character" w:customStyle="1" w:styleId="SalutationChar">
    <w:name w:val="Salutation Char"/>
    <w:basedOn w:val="DefaultParagraphFont"/>
    <w:link w:val="Salutation"/>
    <w:semiHidden/>
    <w:locked/>
    <w:rsid w:val="0014670C"/>
    <w:rPr>
      <w:spacing w:val="4"/>
      <w:w w:val="103"/>
      <w:kern w:val="14"/>
      <w:lang w:val="ru-RU" w:eastAsia="en-US" w:bidi="ar-SA"/>
    </w:rPr>
  </w:style>
  <w:style w:type="character" w:customStyle="1" w:styleId="ClosingChar">
    <w:name w:val="Closing Char"/>
    <w:basedOn w:val="DefaultParagraphFont"/>
    <w:link w:val="Closing"/>
    <w:semiHidden/>
    <w:locked/>
    <w:rsid w:val="0014670C"/>
    <w:rPr>
      <w:spacing w:val="4"/>
      <w:w w:val="103"/>
      <w:kern w:val="14"/>
      <w:lang w:val="ru-RU" w:eastAsia="en-US" w:bidi="ar-SA"/>
    </w:rPr>
  </w:style>
  <w:style w:type="character" w:customStyle="1" w:styleId="HTMLPreformattedChar">
    <w:name w:val="HTML Preformatted Char"/>
    <w:basedOn w:val="DefaultParagraphFont"/>
    <w:link w:val="HTMLPreformatted"/>
    <w:semiHidden/>
    <w:locked/>
    <w:rsid w:val="0014670C"/>
    <w:rPr>
      <w:rFonts w:ascii="Courier New" w:hAnsi="Courier New" w:cs="Courier New"/>
      <w:spacing w:val="4"/>
      <w:w w:val="103"/>
      <w:kern w:val="14"/>
      <w:lang w:val="ru-RU" w:eastAsia="en-US" w:bidi="ar-SA"/>
    </w:rPr>
  </w:style>
  <w:style w:type="character" w:customStyle="1" w:styleId="E-mailSignatureChar">
    <w:name w:val="E-mail Signature Char"/>
    <w:basedOn w:val="DefaultParagraphFont"/>
    <w:link w:val="E-mailSignature"/>
    <w:semiHidden/>
    <w:locked/>
    <w:rsid w:val="0014670C"/>
    <w:rPr>
      <w:spacing w:val="4"/>
      <w:w w:val="103"/>
      <w:kern w:val="14"/>
      <w:lang w:val="ru-RU" w:eastAsia="en-US" w:bidi="ar-SA"/>
    </w:rPr>
  </w:style>
  <w:style w:type="paragraph" w:customStyle="1" w:styleId="HMG">
    <w:name w:val="_ H __M_G"/>
    <w:basedOn w:val="Normal"/>
    <w:next w:val="Normal"/>
    <w:rsid w:val="0014670C"/>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customStyle="1" w:styleId="PlainTextChar">
    <w:name w:val="Plain Text Char"/>
    <w:basedOn w:val="DefaultParagraphFont"/>
    <w:link w:val="PlainText"/>
    <w:semiHidden/>
    <w:locked/>
    <w:rsid w:val="0014670C"/>
    <w:rPr>
      <w:rFonts w:ascii="Courier New" w:hAnsi="Courier New" w:cs="Courier New"/>
      <w:spacing w:val="4"/>
      <w:w w:val="103"/>
      <w:kern w:val="14"/>
      <w:lang w:val="ru-RU" w:eastAsia="en-US" w:bidi="ar-SA"/>
    </w:rPr>
  </w:style>
  <w:style w:type="character" w:customStyle="1" w:styleId="MessageHeaderChar">
    <w:name w:val="Message Header Char"/>
    <w:basedOn w:val="DefaultParagraphFont"/>
    <w:link w:val="MessageHeader"/>
    <w:semiHidden/>
    <w:locked/>
    <w:rsid w:val="0014670C"/>
    <w:rPr>
      <w:rFonts w:ascii="Arial" w:hAnsi="Arial" w:cs="Arial"/>
      <w:spacing w:val="4"/>
      <w:w w:val="103"/>
      <w:kern w:val="14"/>
      <w:sz w:val="24"/>
      <w:lang w:val="ru-RU" w:eastAsia="en-US" w:bidi="ar-SA"/>
    </w:rPr>
  </w:style>
  <w:style w:type="paragraph" w:customStyle="1" w:styleId="HChG">
    <w:name w:val="_ H _Ch_G"/>
    <w:basedOn w:val="Normal"/>
    <w:next w:val="Normal"/>
    <w:rsid w:val="0014670C"/>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Normal"/>
    <w:next w:val="Normal"/>
    <w:rsid w:val="0014670C"/>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14670C"/>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14670C"/>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14670C"/>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14670C"/>
    <w:pPr>
      <w:numPr>
        <w:numId w:val="24"/>
      </w:numPr>
      <w:suppressAutoHyphens/>
      <w:spacing w:after="120"/>
      <w:ind w:right="1134"/>
      <w:jc w:val="both"/>
    </w:pPr>
    <w:rPr>
      <w:spacing w:val="0"/>
      <w:w w:val="100"/>
      <w:kern w:val="0"/>
      <w:lang w:val="en-GB"/>
    </w:rPr>
  </w:style>
  <w:style w:type="paragraph" w:customStyle="1" w:styleId="Bullet2G">
    <w:name w:val="_Bullet 2_G"/>
    <w:basedOn w:val="Normal"/>
    <w:rsid w:val="0014670C"/>
    <w:pPr>
      <w:numPr>
        <w:numId w:val="25"/>
      </w:numPr>
      <w:suppressAutoHyphens/>
      <w:spacing w:after="120"/>
      <w:ind w:right="1134"/>
      <w:jc w:val="both"/>
    </w:pPr>
    <w:rPr>
      <w:spacing w:val="0"/>
      <w:w w:val="100"/>
      <w:kern w:val="0"/>
      <w:lang w:val="en-GB"/>
    </w:rPr>
  </w:style>
  <w:style w:type="paragraph" w:customStyle="1" w:styleId="H1G">
    <w:name w:val="_ H_1_G"/>
    <w:basedOn w:val="Normal"/>
    <w:next w:val="Normal"/>
    <w:rsid w:val="0014670C"/>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14670C"/>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14670C"/>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14670C"/>
    <w:pPr>
      <w:keepNext/>
      <w:keepLines/>
      <w:tabs>
        <w:tab w:val="right" w:pos="851"/>
      </w:tabs>
      <w:suppressAutoHyphens/>
      <w:spacing w:before="240" w:after="120" w:line="240" w:lineRule="exact"/>
      <w:ind w:left="1134" w:right="1134" w:hanging="1134"/>
    </w:pPr>
    <w:rPr>
      <w:spacing w:val="0"/>
      <w:w w:val="100"/>
      <w:kern w:val="0"/>
      <w:lang w:val="en-GB"/>
    </w:rPr>
  </w:style>
  <w:style w:type="paragraph" w:styleId="BalloonText">
    <w:name w:val="Balloon Text"/>
    <w:basedOn w:val="Normal"/>
    <w:link w:val="BalloonTextChar"/>
    <w:rsid w:val="0014670C"/>
    <w:pPr>
      <w:suppressAutoHyphens/>
      <w:spacing w:line="240" w:lineRule="auto"/>
    </w:pPr>
    <w:rPr>
      <w:rFonts w:ascii="Tahoma" w:hAnsi="Tahoma"/>
      <w:spacing w:val="0"/>
      <w:w w:val="100"/>
      <w:kern w:val="0"/>
      <w:sz w:val="16"/>
      <w:szCs w:val="16"/>
    </w:rPr>
  </w:style>
  <w:style w:type="character" w:customStyle="1" w:styleId="BalloonTextChar">
    <w:name w:val="Balloon Text Char"/>
    <w:basedOn w:val="DefaultParagraphFont"/>
    <w:link w:val="BalloonText"/>
    <w:locked/>
    <w:rsid w:val="0014670C"/>
    <w:rPr>
      <w:rFonts w:ascii="Tahoma" w:hAnsi="Tahoma"/>
      <w:sz w:val="16"/>
      <w:szCs w:val="16"/>
      <w:lang w:val="ru-RU" w:eastAsia="en-US" w:bidi="ar-SA"/>
    </w:rPr>
  </w:style>
  <w:style w:type="character" w:customStyle="1" w:styleId="SingleTxtGChar">
    <w:name w:val="_ Single Txt_G Char"/>
    <w:link w:val="SingleTxtG"/>
    <w:locked/>
    <w:rsid w:val="0014670C"/>
    <w:rPr>
      <w:lang w:val="ru-RU" w:eastAsia="ru-RU" w:bidi="ar-SA"/>
    </w:rPr>
  </w:style>
  <w:style w:type="paragraph" w:styleId="CommentText">
    <w:name w:val="annotation text"/>
    <w:basedOn w:val="Normal"/>
    <w:link w:val="CommentTextChar"/>
    <w:rsid w:val="0014670C"/>
    <w:pPr>
      <w:suppressAutoHyphens/>
    </w:pPr>
    <w:rPr>
      <w:spacing w:val="0"/>
      <w:w w:val="100"/>
      <w:kern w:val="0"/>
      <w:lang w:val="en-GB" w:eastAsia="ru-RU"/>
    </w:rPr>
  </w:style>
  <w:style w:type="character" w:customStyle="1" w:styleId="CommentTextChar">
    <w:name w:val="Comment Text Char"/>
    <w:basedOn w:val="DefaultParagraphFont"/>
    <w:link w:val="CommentText"/>
    <w:locked/>
    <w:rsid w:val="0014670C"/>
    <w:rPr>
      <w:lang w:val="en-GB" w:eastAsia="ru-RU" w:bidi="ar-SA"/>
    </w:rPr>
  </w:style>
  <w:style w:type="paragraph" w:styleId="CommentSubject">
    <w:name w:val="annotation subject"/>
    <w:basedOn w:val="CommentText"/>
    <w:next w:val="CommentText"/>
    <w:link w:val="CommentSubjectChar"/>
    <w:rsid w:val="0014670C"/>
    <w:rPr>
      <w:b/>
      <w:bCs/>
    </w:rPr>
  </w:style>
  <w:style w:type="character" w:customStyle="1" w:styleId="CommentSubjectChar">
    <w:name w:val="Comment Subject Char"/>
    <w:basedOn w:val="CommentTextChar"/>
    <w:link w:val="CommentSubject"/>
    <w:locked/>
    <w:rsid w:val="0014670C"/>
    <w:rPr>
      <w:b/>
      <w:bCs/>
    </w:rPr>
  </w:style>
  <w:style w:type="paragraph" w:styleId="Revision">
    <w:name w:val="Revision"/>
    <w:hidden/>
    <w:semiHidden/>
    <w:rsid w:val="0014670C"/>
    <w:rPr>
      <w:lang w:val="en-GB"/>
    </w:rPr>
  </w:style>
  <w:style w:type="numbering" w:customStyle="1" w:styleId="ArticleSection1">
    <w:name w:val="Article / Section1"/>
    <w:rsid w:val="0014670C"/>
    <w:pPr>
      <w:numPr>
        <w:numId w:val="4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1</TotalTime>
  <Pages>1</Pages>
  <Words>9982</Words>
  <Characters>64491</Characters>
  <Application>Microsoft Office Outlook</Application>
  <DocSecurity>4</DocSecurity>
  <Lines>1194</Lines>
  <Paragraphs>272</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74201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Благодатских Анна</dc:creator>
  <cp:keywords/>
  <dc:description/>
  <cp:lastModifiedBy>Ирина Сафонова</cp:lastModifiedBy>
  <cp:revision>4</cp:revision>
  <cp:lastPrinted>2013-12-03T07:40:00Z</cp:lastPrinted>
  <dcterms:created xsi:type="dcterms:W3CDTF">2013-12-03T07:40:00Z</dcterms:created>
  <dcterms:modified xsi:type="dcterms:W3CDTF">2013-12-03T07:41:00Z</dcterms:modified>
</cp:coreProperties>
</file>