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42728" w:rsidRPr="00DB58B5" w:rsidTr="00CC207F">
        <w:trPr>
          <w:trHeight w:hRule="exact" w:val="851"/>
        </w:trPr>
        <w:tc>
          <w:tcPr>
            <w:tcW w:w="1276" w:type="dxa"/>
            <w:tcBorders>
              <w:bottom w:val="single" w:sz="4" w:space="0" w:color="auto"/>
            </w:tcBorders>
          </w:tcPr>
          <w:p w:rsidR="00642728" w:rsidRPr="00DB58B5" w:rsidRDefault="00642728" w:rsidP="00CC207F"/>
        </w:tc>
        <w:tc>
          <w:tcPr>
            <w:tcW w:w="2268" w:type="dxa"/>
            <w:tcBorders>
              <w:bottom w:val="single" w:sz="4" w:space="0" w:color="auto"/>
            </w:tcBorders>
            <w:vAlign w:val="bottom"/>
          </w:tcPr>
          <w:p w:rsidR="00642728" w:rsidRPr="00DB58B5" w:rsidRDefault="00642728" w:rsidP="00CC207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42728" w:rsidRPr="00DB58B5" w:rsidRDefault="009C265E" w:rsidP="009C265E">
            <w:pPr>
              <w:jc w:val="right"/>
            </w:pPr>
            <w:r w:rsidRPr="009C265E">
              <w:rPr>
                <w:sz w:val="40"/>
              </w:rPr>
              <w:t>CCPR</w:t>
            </w:r>
            <w:r>
              <w:t>/C/102/D/1959/2010</w:t>
            </w:r>
          </w:p>
        </w:tc>
      </w:tr>
      <w:tr w:rsidR="00642728" w:rsidRPr="00DB58B5" w:rsidTr="00CC207F">
        <w:trPr>
          <w:trHeight w:hRule="exact" w:val="2835"/>
        </w:trPr>
        <w:tc>
          <w:tcPr>
            <w:tcW w:w="1276" w:type="dxa"/>
            <w:tcBorders>
              <w:top w:val="single" w:sz="4" w:space="0" w:color="auto"/>
              <w:bottom w:val="single" w:sz="12" w:space="0" w:color="auto"/>
            </w:tcBorders>
          </w:tcPr>
          <w:p w:rsidR="00642728" w:rsidRPr="00DB58B5" w:rsidRDefault="00642728" w:rsidP="00CC207F">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642728" w:rsidRPr="009717AD" w:rsidRDefault="00642728" w:rsidP="00CC207F">
            <w:pPr>
              <w:spacing w:before="120" w:line="380" w:lineRule="exact"/>
              <w:rPr>
                <w:b/>
                <w:sz w:val="34"/>
                <w:szCs w:val="34"/>
              </w:rPr>
            </w:pPr>
            <w:r w:rsidRPr="009717AD">
              <w:rPr>
                <w:b/>
                <w:sz w:val="34"/>
                <w:szCs w:val="34"/>
              </w:rPr>
              <w:t>Pacte international relatif</w:t>
            </w:r>
            <w:r w:rsidRPr="009717AD">
              <w:rPr>
                <w:b/>
                <w:sz w:val="34"/>
                <w:szCs w:val="34"/>
              </w:rPr>
              <w:br/>
              <w:t>aux droits civils et politiques</w:t>
            </w:r>
          </w:p>
        </w:tc>
        <w:tc>
          <w:tcPr>
            <w:tcW w:w="2835" w:type="dxa"/>
            <w:tcBorders>
              <w:top w:val="single" w:sz="4" w:space="0" w:color="auto"/>
              <w:bottom w:val="single" w:sz="12" w:space="0" w:color="auto"/>
            </w:tcBorders>
          </w:tcPr>
          <w:p w:rsidR="009C265E" w:rsidRDefault="00642728" w:rsidP="00CC207F">
            <w:pPr>
              <w:spacing w:before="240"/>
            </w:pPr>
            <w:r w:rsidRPr="00DB58B5">
              <w:t xml:space="preserve">Distr. </w:t>
            </w:r>
            <w:r w:rsidR="009C265E">
              <w:t>générale</w:t>
            </w:r>
            <w:r w:rsidR="00B510C0">
              <w:footnoteReference w:customMarkFollows="1" w:id="2"/>
              <w:t>*</w:t>
            </w:r>
          </w:p>
          <w:p w:rsidR="009C265E" w:rsidRDefault="009C265E" w:rsidP="009C265E">
            <w:pPr>
              <w:spacing w:line="240" w:lineRule="exact"/>
            </w:pPr>
            <w:r>
              <w:t>1</w:t>
            </w:r>
            <w:r w:rsidRPr="009C265E">
              <w:rPr>
                <w:vertAlign w:val="superscript"/>
              </w:rPr>
              <w:t>er</w:t>
            </w:r>
            <w:r>
              <w:t xml:space="preserve"> septembre 2011</w:t>
            </w:r>
          </w:p>
          <w:p w:rsidR="009C265E" w:rsidRDefault="009C265E" w:rsidP="009C265E">
            <w:pPr>
              <w:spacing w:line="240" w:lineRule="exact"/>
            </w:pPr>
            <w:r>
              <w:t>Français</w:t>
            </w:r>
          </w:p>
          <w:p w:rsidR="00642728" w:rsidRPr="00DB58B5" w:rsidRDefault="009C265E" w:rsidP="009C265E">
            <w:pPr>
              <w:spacing w:line="240" w:lineRule="exact"/>
            </w:pPr>
            <w:r>
              <w:t>Original: anglais</w:t>
            </w:r>
          </w:p>
        </w:tc>
      </w:tr>
    </w:tbl>
    <w:p w:rsidR="00642728" w:rsidRPr="00FD511F" w:rsidRDefault="00642728" w:rsidP="00FD511F">
      <w:pPr>
        <w:spacing w:before="120" w:line="240" w:lineRule="exact"/>
        <w:rPr>
          <w:b/>
          <w:sz w:val="24"/>
          <w:szCs w:val="24"/>
        </w:rPr>
      </w:pPr>
      <w:r w:rsidRPr="00FD511F">
        <w:rPr>
          <w:b/>
          <w:sz w:val="24"/>
          <w:szCs w:val="24"/>
        </w:rPr>
        <w:t>C</w:t>
      </w:r>
      <w:r w:rsidR="00FD511F" w:rsidRPr="00FD511F">
        <w:rPr>
          <w:b/>
          <w:sz w:val="24"/>
          <w:szCs w:val="24"/>
        </w:rPr>
        <w:t>omité des droits de l</w:t>
      </w:r>
      <w:r w:rsidR="002E353E">
        <w:rPr>
          <w:b/>
          <w:sz w:val="24"/>
          <w:szCs w:val="24"/>
        </w:rPr>
        <w:t>’</w:t>
      </w:r>
      <w:r w:rsidR="00FD511F" w:rsidRPr="00FD511F">
        <w:rPr>
          <w:b/>
          <w:sz w:val="24"/>
          <w:szCs w:val="24"/>
        </w:rPr>
        <w:t>homme</w:t>
      </w:r>
    </w:p>
    <w:p w:rsidR="009F7F79" w:rsidRDefault="004F3196" w:rsidP="009F7F79">
      <w:pPr>
        <w:spacing w:line="240" w:lineRule="exact"/>
        <w:rPr>
          <w:b/>
        </w:rPr>
      </w:pPr>
      <w:r>
        <w:rPr>
          <w:b/>
        </w:rPr>
        <w:t>102</w:t>
      </w:r>
      <w:r w:rsidRPr="004F3196">
        <w:rPr>
          <w:b/>
          <w:vertAlign w:val="superscript"/>
        </w:rPr>
        <w:t>e</w:t>
      </w:r>
      <w:r w:rsidR="00817A26">
        <w:rPr>
          <w:b/>
        </w:rPr>
        <w:t xml:space="preserve"> </w:t>
      </w:r>
      <w:r w:rsidR="00642728" w:rsidRPr="00FD511F">
        <w:rPr>
          <w:b/>
        </w:rPr>
        <w:t>session</w:t>
      </w:r>
    </w:p>
    <w:p w:rsidR="00642728" w:rsidRDefault="004F3196" w:rsidP="009F7F79">
      <w:pPr>
        <w:spacing w:line="240" w:lineRule="exact"/>
      </w:pPr>
      <w:r>
        <w:t>11-29 juillet</w:t>
      </w:r>
      <w:r w:rsidR="00817A26">
        <w:t xml:space="preserve"> </w:t>
      </w:r>
      <w:r w:rsidR="00065ECB">
        <w:t>20</w:t>
      </w:r>
      <w:r w:rsidR="00225E54">
        <w:t>11</w:t>
      </w:r>
    </w:p>
    <w:p w:rsidR="00642728" w:rsidRPr="009F7F79" w:rsidRDefault="00FD511F" w:rsidP="009F7F79">
      <w:pPr>
        <w:pStyle w:val="HChG"/>
      </w:pPr>
      <w:r>
        <w:tab/>
      </w:r>
      <w:r>
        <w:tab/>
      </w:r>
      <w:r w:rsidR="00642728">
        <w:t>C</w:t>
      </w:r>
      <w:r w:rsidR="00B57784">
        <w:t>onstatations</w:t>
      </w:r>
    </w:p>
    <w:p w:rsidR="00642728" w:rsidRPr="009F7F79" w:rsidRDefault="00FD511F" w:rsidP="009F7F79">
      <w:pPr>
        <w:pStyle w:val="H1G"/>
      </w:pPr>
      <w:r>
        <w:tab/>
      </w:r>
      <w:r>
        <w:tab/>
      </w:r>
      <w:r w:rsidR="00642728">
        <w:t>Communication n</w:t>
      </w:r>
      <w:r w:rsidR="00642728">
        <w:rPr>
          <w:vertAlign w:val="superscript"/>
        </w:rPr>
        <w:t>o</w:t>
      </w:r>
      <w:r w:rsidR="00642728">
        <w:t> </w:t>
      </w:r>
      <w:r w:rsidR="004F3196">
        <w:t>1959/2010</w:t>
      </w:r>
    </w:p>
    <w:tbl>
      <w:tblPr>
        <w:tblStyle w:val="Hyperlink"/>
        <w:tblW w:w="0" w:type="auto"/>
        <w:tblInd w:w="1701" w:type="dxa"/>
        <w:tblLayout w:type="fixed"/>
        <w:tblLook w:val="01E0" w:firstRow="1" w:lastRow="1" w:firstColumn="1" w:lastColumn="1" w:noHBand="0" w:noVBand="0"/>
      </w:tblPr>
      <w:tblGrid>
        <w:gridCol w:w="3119"/>
        <w:gridCol w:w="3686"/>
      </w:tblGrid>
      <w:tr w:rsidR="005D29C8" w:rsidTr="00065ECB">
        <w:tc>
          <w:tcPr>
            <w:tcW w:w="3119" w:type="dxa"/>
          </w:tcPr>
          <w:p w:rsidR="005D29C8" w:rsidRPr="00EC6E49" w:rsidRDefault="005D29C8" w:rsidP="00EC6E49">
            <w:r w:rsidRPr="00EC6E49">
              <w:rPr>
                <w:i/>
              </w:rPr>
              <w:t>Présentée par</w:t>
            </w:r>
            <w:r w:rsidR="00CC25DC" w:rsidRPr="00CC25DC">
              <w:t>:</w:t>
            </w:r>
          </w:p>
        </w:tc>
        <w:tc>
          <w:tcPr>
            <w:tcW w:w="3686" w:type="dxa"/>
          </w:tcPr>
          <w:p w:rsidR="005D29C8" w:rsidRDefault="004F3196" w:rsidP="00EC6E49">
            <w:pPr>
              <w:spacing w:after="120"/>
            </w:pPr>
            <w:r>
              <w:t>Jama Warsame (représenté par un conseil, Carole Simone Dahan)</w:t>
            </w:r>
          </w:p>
        </w:tc>
      </w:tr>
      <w:tr w:rsidR="005D29C8" w:rsidTr="00065ECB">
        <w:tc>
          <w:tcPr>
            <w:tcW w:w="3119" w:type="dxa"/>
          </w:tcPr>
          <w:p w:rsidR="005D29C8" w:rsidRPr="00EC6E49" w:rsidRDefault="005D29C8" w:rsidP="00EC6E49">
            <w:r w:rsidRPr="00EC6E49">
              <w:rPr>
                <w:i/>
              </w:rPr>
              <w:t>Au nom de</w:t>
            </w:r>
            <w:r w:rsidR="00CC25DC" w:rsidRPr="00CC25DC">
              <w:t>:</w:t>
            </w:r>
          </w:p>
        </w:tc>
        <w:tc>
          <w:tcPr>
            <w:tcW w:w="3686" w:type="dxa"/>
          </w:tcPr>
          <w:p w:rsidR="005D29C8" w:rsidRDefault="004F3196" w:rsidP="00EC6E49">
            <w:pPr>
              <w:spacing w:after="120"/>
            </w:pPr>
            <w:r>
              <w:t>L</w:t>
            </w:r>
            <w:r w:rsidR="002E353E">
              <w:t>’</w:t>
            </w:r>
            <w:r>
              <w:t>auteur</w:t>
            </w:r>
          </w:p>
        </w:tc>
      </w:tr>
      <w:tr w:rsidR="005D29C8" w:rsidTr="00065ECB">
        <w:tc>
          <w:tcPr>
            <w:tcW w:w="3119" w:type="dxa"/>
          </w:tcPr>
          <w:p w:rsidR="005D29C8" w:rsidRPr="00EC6E49" w:rsidRDefault="005D29C8" w:rsidP="00EC6E49">
            <w:r w:rsidRPr="00EC6E49">
              <w:rPr>
                <w:i/>
              </w:rPr>
              <w:t>État partie</w:t>
            </w:r>
            <w:r w:rsidR="00CC25DC" w:rsidRPr="00CC25DC">
              <w:t>:</w:t>
            </w:r>
          </w:p>
        </w:tc>
        <w:tc>
          <w:tcPr>
            <w:tcW w:w="3686" w:type="dxa"/>
          </w:tcPr>
          <w:p w:rsidR="005D29C8" w:rsidRDefault="004F3196" w:rsidP="00EC6E49">
            <w:pPr>
              <w:spacing w:after="120"/>
            </w:pPr>
            <w:r>
              <w:t>Canada</w:t>
            </w:r>
          </w:p>
        </w:tc>
      </w:tr>
      <w:tr w:rsidR="005D29C8" w:rsidTr="00065ECB">
        <w:tc>
          <w:tcPr>
            <w:tcW w:w="3119" w:type="dxa"/>
          </w:tcPr>
          <w:p w:rsidR="005D29C8" w:rsidRPr="00EC6E49" w:rsidRDefault="005D29C8" w:rsidP="00EC6E49">
            <w:r w:rsidRPr="00EC6E49">
              <w:rPr>
                <w:i/>
              </w:rPr>
              <w:t>Date de la communication</w:t>
            </w:r>
            <w:r w:rsidR="00CC25DC" w:rsidRPr="00CC25DC">
              <w:t>:</w:t>
            </w:r>
          </w:p>
        </w:tc>
        <w:tc>
          <w:tcPr>
            <w:tcW w:w="3686" w:type="dxa"/>
          </w:tcPr>
          <w:p w:rsidR="005D29C8" w:rsidRDefault="00913DF3" w:rsidP="00EC6E49">
            <w:pPr>
              <w:spacing w:after="120"/>
            </w:pPr>
            <w:r>
              <w:t>26 juil</w:t>
            </w:r>
            <w:r w:rsidR="004F3196">
              <w:t>l</w:t>
            </w:r>
            <w:r>
              <w:t>e</w:t>
            </w:r>
            <w:r w:rsidR="004F3196">
              <w:t>t 2010 (date de la lettre initiale)</w:t>
            </w:r>
          </w:p>
        </w:tc>
      </w:tr>
      <w:tr w:rsidR="005D29C8" w:rsidTr="00065ECB">
        <w:tc>
          <w:tcPr>
            <w:tcW w:w="3119" w:type="dxa"/>
          </w:tcPr>
          <w:p w:rsidR="005D29C8" w:rsidRPr="00EC6E49" w:rsidRDefault="005D29C8" w:rsidP="00EC6E49">
            <w:r w:rsidRPr="00EC6E49">
              <w:rPr>
                <w:i/>
              </w:rPr>
              <w:t>Références</w:t>
            </w:r>
            <w:r w:rsidR="00CC25DC" w:rsidRPr="00CC25DC">
              <w:t>:</w:t>
            </w:r>
          </w:p>
        </w:tc>
        <w:tc>
          <w:tcPr>
            <w:tcW w:w="3686" w:type="dxa"/>
          </w:tcPr>
          <w:p w:rsidR="005D29C8" w:rsidRDefault="004F3196" w:rsidP="00EC6E49">
            <w:pPr>
              <w:spacing w:after="120"/>
            </w:pPr>
            <w:r>
              <w:t xml:space="preserve">Décision prise par le </w:t>
            </w:r>
            <w:r>
              <w:rPr>
                <w:rFonts w:eastAsia="MS Mincho"/>
              </w:rPr>
              <w:t>Rapporteur spécial</w:t>
            </w:r>
            <w:r>
              <w:t xml:space="preserve"> en application de l</w:t>
            </w:r>
            <w:r w:rsidR="002E353E">
              <w:t>’</w:t>
            </w:r>
            <w:r>
              <w:t>article 97 du Règlement intérieur, communiquée à l</w:t>
            </w:r>
            <w:r w:rsidR="002E353E">
              <w:t>’</w:t>
            </w:r>
            <w:r>
              <w:t>État partie le 27 juillet 2010 (non publiée sous forme de document)</w:t>
            </w:r>
          </w:p>
        </w:tc>
      </w:tr>
      <w:tr w:rsidR="005D29C8" w:rsidTr="00065ECB">
        <w:tc>
          <w:tcPr>
            <w:tcW w:w="3119" w:type="dxa"/>
          </w:tcPr>
          <w:p w:rsidR="005D29C8" w:rsidRPr="00EC6E49" w:rsidRDefault="00424FEB" w:rsidP="00EC6E49">
            <w:r>
              <w:rPr>
                <w:i/>
              </w:rPr>
              <w:t>Date de l</w:t>
            </w:r>
            <w:r w:rsidR="002E353E">
              <w:rPr>
                <w:i/>
              </w:rPr>
              <w:t>’</w:t>
            </w:r>
            <w:r>
              <w:rPr>
                <w:i/>
              </w:rPr>
              <w:t>adoption</w:t>
            </w:r>
            <w:r w:rsidR="00065ECB" w:rsidRPr="00EC6E49">
              <w:rPr>
                <w:i/>
              </w:rPr>
              <w:t xml:space="preserve"> </w:t>
            </w:r>
            <w:r w:rsidR="005D29C8" w:rsidRPr="00EC6E49">
              <w:rPr>
                <w:i/>
              </w:rPr>
              <w:t>des constatations</w:t>
            </w:r>
            <w:r w:rsidR="00CC25DC" w:rsidRPr="00CC25DC">
              <w:t>:</w:t>
            </w:r>
          </w:p>
        </w:tc>
        <w:tc>
          <w:tcPr>
            <w:tcW w:w="3686" w:type="dxa"/>
            <w:vAlign w:val="bottom"/>
          </w:tcPr>
          <w:p w:rsidR="005D29C8" w:rsidRDefault="004F3196" w:rsidP="00EC6E49">
            <w:pPr>
              <w:spacing w:after="120"/>
            </w:pPr>
            <w:r>
              <w:t>21 juillet 2011</w:t>
            </w:r>
          </w:p>
        </w:tc>
      </w:tr>
    </w:tbl>
    <w:p w:rsidR="002558D1" w:rsidRPr="002558D1" w:rsidRDefault="007B0586" w:rsidP="002558D1">
      <w:r>
        <w:br w:type="page"/>
      </w:r>
    </w:p>
    <w:tbl>
      <w:tblPr>
        <w:tblStyle w:val="Hyperlink"/>
        <w:tblW w:w="0" w:type="auto"/>
        <w:tblInd w:w="1701" w:type="dxa"/>
        <w:tblLayout w:type="fixed"/>
        <w:tblLook w:val="01E0" w:firstRow="1" w:lastRow="1" w:firstColumn="1" w:lastColumn="1" w:noHBand="0" w:noVBand="0"/>
      </w:tblPr>
      <w:tblGrid>
        <w:gridCol w:w="3119"/>
        <w:gridCol w:w="3686"/>
      </w:tblGrid>
      <w:tr w:rsidR="002558D1" w:rsidTr="002E353E">
        <w:tc>
          <w:tcPr>
            <w:tcW w:w="3119" w:type="dxa"/>
          </w:tcPr>
          <w:p w:rsidR="002558D1" w:rsidRPr="00EC6E49" w:rsidRDefault="002558D1" w:rsidP="002E353E">
            <w:r w:rsidRPr="00EC6E49">
              <w:rPr>
                <w:i/>
                <w:iCs/>
              </w:rPr>
              <w:t>Objet</w:t>
            </w:r>
            <w:r w:rsidRPr="00CC25DC">
              <w:t>:</w:t>
            </w:r>
          </w:p>
        </w:tc>
        <w:tc>
          <w:tcPr>
            <w:tcW w:w="3686" w:type="dxa"/>
          </w:tcPr>
          <w:p w:rsidR="002558D1" w:rsidRDefault="002558D1" w:rsidP="002E353E">
            <w:pPr>
              <w:spacing w:after="120"/>
            </w:pPr>
            <w:r>
              <w:t>Expulsion du Canada vers la Somalie</w:t>
            </w:r>
          </w:p>
        </w:tc>
      </w:tr>
      <w:tr w:rsidR="002558D1" w:rsidTr="002E353E">
        <w:tc>
          <w:tcPr>
            <w:tcW w:w="3119" w:type="dxa"/>
          </w:tcPr>
          <w:p w:rsidR="002558D1" w:rsidRPr="00EC6E49" w:rsidRDefault="002558D1" w:rsidP="002E353E">
            <w:r w:rsidRPr="00EC6E49">
              <w:rPr>
                <w:i/>
                <w:iCs/>
              </w:rPr>
              <w:t>Questions de procédure</w:t>
            </w:r>
            <w:r w:rsidRPr="00CC25DC">
              <w:t>:</w:t>
            </w:r>
          </w:p>
        </w:tc>
        <w:tc>
          <w:tcPr>
            <w:tcW w:w="3686" w:type="dxa"/>
          </w:tcPr>
          <w:p w:rsidR="002558D1" w:rsidRDefault="002558D1" w:rsidP="002E353E">
            <w:pPr>
              <w:spacing w:after="120"/>
            </w:pPr>
            <w:r>
              <w:t>Non-épuisement des recours internes; allégations insuffisamment étayées; incompatibilité avec le Pacte</w:t>
            </w:r>
          </w:p>
        </w:tc>
      </w:tr>
      <w:tr w:rsidR="002558D1" w:rsidTr="002E353E">
        <w:tc>
          <w:tcPr>
            <w:tcW w:w="3119" w:type="dxa"/>
          </w:tcPr>
          <w:p w:rsidR="002558D1" w:rsidRPr="00EC6E49" w:rsidRDefault="002558D1" w:rsidP="002E353E">
            <w:r w:rsidRPr="00EC6E49">
              <w:rPr>
                <w:i/>
                <w:iCs/>
              </w:rPr>
              <w:t>Questions de fond</w:t>
            </w:r>
            <w:r w:rsidRPr="00CC25DC">
              <w:t>:</w:t>
            </w:r>
          </w:p>
        </w:tc>
        <w:tc>
          <w:tcPr>
            <w:tcW w:w="3686" w:type="dxa"/>
          </w:tcPr>
          <w:p w:rsidR="002558D1" w:rsidRDefault="002558D1" w:rsidP="002E353E">
            <w:pPr>
              <w:spacing w:after="120"/>
            </w:pPr>
            <w:r>
              <w:t>Droit à un recours utile; droit à la vie; interdiction de la torture et des peines ou traitements cruels, inhumains ou dégradants; droit à la liberté de circulation; droit à la protection de la vie privée, de la vie familiale et de la réputation; liberté de pensée, de conscience et de religion; protection de la famille</w:t>
            </w:r>
          </w:p>
        </w:tc>
      </w:tr>
      <w:tr w:rsidR="002558D1" w:rsidTr="002E353E">
        <w:tc>
          <w:tcPr>
            <w:tcW w:w="3119" w:type="dxa"/>
          </w:tcPr>
          <w:p w:rsidR="002558D1" w:rsidRPr="00EC6E49" w:rsidRDefault="002558D1" w:rsidP="002E353E">
            <w:r w:rsidRPr="00EC6E49">
              <w:rPr>
                <w:i/>
                <w:iCs/>
              </w:rPr>
              <w:t>Article</w:t>
            </w:r>
            <w:r>
              <w:rPr>
                <w:i/>
                <w:iCs/>
              </w:rPr>
              <w:t xml:space="preserve">s </w:t>
            </w:r>
            <w:r w:rsidRPr="00EC6E49">
              <w:rPr>
                <w:i/>
                <w:iCs/>
              </w:rPr>
              <w:t>du Pacte</w:t>
            </w:r>
            <w:r w:rsidRPr="00CC25DC">
              <w:t>:</w:t>
            </w:r>
          </w:p>
        </w:tc>
        <w:tc>
          <w:tcPr>
            <w:tcW w:w="3686" w:type="dxa"/>
          </w:tcPr>
          <w:p w:rsidR="002558D1" w:rsidRDefault="002558D1" w:rsidP="002E353E">
            <w:pPr>
              <w:spacing w:after="120"/>
            </w:pPr>
            <w:r>
              <w:t>2 (par.3), 6 (par. 1), 7, 12 (par. 4), 17, 18, 23 (par. 1)</w:t>
            </w:r>
          </w:p>
        </w:tc>
      </w:tr>
      <w:tr w:rsidR="002558D1" w:rsidTr="002E353E">
        <w:tc>
          <w:tcPr>
            <w:tcW w:w="3119" w:type="dxa"/>
          </w:tcPr>
          <w:p w:rsidR="002558D1" w:rsidRPr="00EC6E49" w:rsidRDefault="00913DF3" w:rsidP="002E353E">
            <w:r>
              <w:rPr>
                <w:i/>
                <w:iCs/>
              </w:rPr>
              <w:t>Articles</w:t>
            </w:r>
            <w:r w:rsidR="002558D1" w:rsidRPr="00EC6E49">
              <w:rPr>
                <w:i/>
                <w:iCs/>
              </w:rPr>
              <w:t xml:space="preserve"> du Protocole facultatif</w:t>
            </w:r>
            <w:r w:rsidR="002558D1" w:rsidRPr="00CC25DC">
              <w:t>:</w:t>
            </w:r>
          </w:p>
        </w:tc>
        <w:tc>
          <w:tcPr>
            <w:tcW w:w="3686" w:type="dxa"/>
          </w:tcPr>
          <w:p w:rsidR="002558D1" w:rsidRDefault="002558D1" w:rsidP="002E353E">
            <w:pPr>
              <w:spacing w:after="120"/>
            </w:pPr>
            <w:r>
              <w:t>2, 3, 5 (par. 2 b))</w:t>
            </w:r>
          </w:p>
        </w:tc>
      </w:tr>
    </w:tbl>
    <w:p w:rsidR="002558D1" w:rsidRDefault="002558D1" w:rsidP="002558D1">
      <w:pPr>
        <w:pStyle w:val="SingleTxtG"/>
        <w:ind w:firstLine="567"/>
      </w:pPr>
      <w:r>
        <w:t>Le 21 juillet 2011, le Comité des droits de l</w:t>
      </w:r>
      <w:r w:rsidR="002E353E">
        <w:t>’</w:t>
      </w:r>
      <w:r>
        <w:t>homme a adopté le texte ci-après en tant que constatations au titre du paragraphe 4 de l</w:t>
      </w:r>
      <w:r w:rsidR="002E353E">
        <w:t>’</w:t>
      </w:r>
      <w:r>
        <w:t>art</w:t>
      </w:r>
      <w:r w:rsidR="00555B65">
        <w:t xml:space="preserve">icle 5 du Protocole facultatif concernant la communication </w:t>
      </w:r>
      <w:r w:rsidR="00555B65">
        <w:rPr>
          <w:rFonts w:eastAsia="MS Mincho"/>
        </w:rPr>
        <w:t>n</w:t>
      </w:r>
      <w:r w:rsidR="00555B65">
        <w:rPr>
          <w:rFonts w:eastAsia="MS Mincho"/>
          <w:vertAlign w:val="superscript"/>
        </w:rPr>
        <w:t>o</w:t>
      </w:r>
      <w:r w:rsidR="00175F9B">
        <w:t> </w:t>
      </w:r>
      <w:r w:rsidR="00555B65">
        <w:t>1959/2010.</w:t>
      </w:r>
    </w:p>
    <w:p w:rsidR="002558D1" w:rsidRDefault="002558D1" w:rsidP="002558D1">
      <w:pPr>
        <w:pStyle w:val="SingleTxtG"/>
      </w:pPr>
      <w:r>
        <w:t>[Annexe]</w:t>
      </w:r>
    </w:p>
    <w:p w:rsidR="00642728" w:rsidRDefault="002558D1" w:rsidP="007B0586">
      <w:pPr>
        <w:pStyle w:val="HChG"/>
      </w:pPr>
      <w:r>
        <w:br w:type="page"/>
      </w:r>
      <w:r w:rsidR="00642728">
        <w:t>A</w:t>
      </w:r>
      <w:r w:rsidR="00B57784">
        <w:t>nnexe</w:t>
      </w:r>
    </w:p>
    <w:p w:rsidR="00642728" w:rsidRDefault="00B57784" w:rsidP="00757D82">
      <w:pPr>
        <w:pStyle w:val="HChG"/>
      </w:pPr>
      <w:r>
        <w:tab/>
      </w:r>
      <w:r>
        <w:tab/>
        <w:t xml:space="preserve">Constatations du </w:t>
      </w:r>
      <w:r w:rsidR="00572B3F">
        <w:t>C</w:t>
      </w:r>
      <w:r>
        <w:t>omité des droits de l</w:t>
      </w:r>
      <w:r w:rsidR="002E353E">
        <w:t>’</w:t>
      </w:r>
      <w:r>
        <w:t>homme au titre du paragraphe 4 de l</w:t>
      </w:r>
      <w:r w:rsidR="002E353E">
        <w:t>’</w:t>
      </w:r>
      <w:r>
        <w:t xml:space="preserve">article 5 du </w:t>
      </w:r>
      <w:r w:rsidR="00572B3F">
        <w:t>P</w:t>
      </w:r>
      <w:r>
        <w:t xml:space="preserve">rotocole facultatif se rapportant au </w:t>
      </w:r>
      <w:r w:rsidR="00572B3F">
        <w:t>P</w:t>
      </w:r>
      <w:r>
        <w:t>acte international relatif aux droits civils</w:t>
      </w:r>
      <w:r w:rsidR="00175F9B">
        <w:t> </w:t>
      </w:r>
      <w:r>
        <w:t>et politiques (</w:t>
      </w:r>
      <w:r w:rsidR="00175F9B">
        <w:t>102</w:t>
      </w:r>
      <w:r w:rsidR="00175F9B" w:rsidRPr="00175F9B">
        <w:rPr>
          <w:vertAlign w:val="superscript"/>
        </w:rPr>
        <w:t>e</w:t>
      </w:r>
      <w:r w:rsidR="00065ECB">
        <w:t xml:space="preserve"> </w:t>
      </w:r>
      <w:r w:rsidR="00642728">
        <w:t>session</w:t>
      </w:r>
      <w:r>
        <w:t>)</w:t>
      </w:r>
    </w:p>
    <w:p w:rsidR="00642728" w:rsidRDefault="00642728" w:rsidP="00BA405E">
      <w:pPr>
        <w:pStyle w:val="SingleTxtG"/>
      </w:pPr>
      <w:r>
        <w:t>concernant la</w:t>
      </w:r>
    </w:p>
    <w:p w:rsidR="00642728" w:rsidRDefault="00B57784" w:rsidP="00757D82">
      <w:pPr>
        <w:pStyle w:val="H1G"/>
        <w:rPr>
          <w:b w:val="0"/>
          <w:sz w:val="20"/>
        </w:rPr>
      </w:pPr>
      <w:r>
        <w:tab/>
      </w:r>
      <w:r>
        <w:tab/>
      </w:r>
      <w:r w:rsidR="00642728">
        <w:t xml:space="preserve">Communication </w:t>
      </w:r>
      <w:r w:rsidR="00642728">
        <w:rPr>
          <w:rFonts w:eastAsia="MS Mincho"/>
        </w:rPr>
        <w:t>n</w:t>
      </w:r>
      <w:r w:rsidR="00642728">
        <w:rPr>
          <w:rFonts w:eastAsia="MS Mincho"/>
          <w:vertAlign w:val="superscript"/>
        </w:rPr>
        <w:t>o</w:t>
      </w:r>
      <w:r w:rsidR="00642728">
        <w:t xml:space="preserve"> </w:t>
      </w:r>
      <w:r w:rsidR="00C60299">
        <w:t>1959/2010</w:t>
      </w:r>
      <w:r w:rsidR="00732673" w:rsidRPr="00732673">
        <w:rPr>
          <w:rStyle w:val="FootnoteReference"/>
          <w:b w:val="0"/>
          <w:sz w:val="20"/>
          <w:vertAlign w:val="baseline"/>
        </w:rPr>
        <w:footnoteReference w:customMarkFollows="1" w:id="3"/>
        <w:t>**</w:t>
      </w:r>
    </w:p>
    <w:tbl>
      <w:tblPr>
        <w:tblStyle w:val="Hyperlink"/>
        <w:tblW w:w="0" w:type="auto"/>
        <w:tblInd w:w="1701" w:type="dxa"/>
        <w:tblLayout w:type="fixed"/>
        <w:tblLook w:val="01E0" w:firstRow="1" w:lastRow="1" w:firstColumn="1" w:lastColumn="1" w:noHBand="0" w:noVBand="0"/>
      </w:tblPr>
      <w:tblGrid>
        <w:gridCol w:w="3119"/>
        <w:gridCol w:w="3686"/>
      </w:tblGrid>
      <w:tr w:rsidR="00C60299" w:rsidTr="002E353E">
        <w:tc>
          <w:tcPr>
            <w:tcW w:w="3119" w:type="dxa"/>
          </w:tcPr>
          <w:p w:rsidR="00C60299" w:rsidRPr="00EC6E49" w:rsidRDefault="00C60299" w:rsidP="002E353E">
            <w:r w:rsidRPr="00EC6E49">
              <w:rPr>
                <w:i/>
              </w:rPr>
              <w:t>Présentée par</w:t>
            </w:r>
            <w:r w:rsidRPr="00CC25DC">
              <w:t>:</w:t>
            </w:r>
          </w:p>
        </w:tc>
        <w:tc>
          <w:tcPr>
            <w:tcW w:w="3686" w:type="dxa"/>
          </w:tcPr>
          <w:p w:rsidR="00C60299" w:rsidRDefault="00C60299" w:rsidP="002E353E">
            <w:pPr>
              <w:spacing w:after="120"/>
            </w:pPr>
            <w:r>
              <w:t>Jama Warsame (représenté par un conseil, Carole Simone Dahan)</w:t>
            </w:r>
          </w:p>
        </w:tc>
      </w:tr>
      <w:tr w:rsidR="00C60299" w:rsidTr="002E353E">
        <w:tc>
          <w:tcPr>
            <w:tcW w:w="3119" w:type="dxa"/>
          </w:tcPr>
          <w:p w:rsidR="00C60299" w:rsidRPr="00EC6E49" w:rsidRDefault="00C60299" w:rsidP="002E353E">
            <w:r w:rsidRPr="00EC6E49">
              <w:rPr>
                <w:i/>
              </w:rPr>
              <w:t>Au nom de</w:t>
            </w:r>
            <w:r w:rsidRPr="00CC25DC">
              <w:t>:</w:t>
            </w:r>
          </w:p>
        </w:tc>
        <w:tc>
          <w:tcPr>
            <w:tcW w:w="3686" w:type="dxa"/>
          </w:tcPr>
          <w:p w:rsidR="00C60299" w:rsidRDefault="00C60299" w:rsidP="002E353E">
            <w:pPr>
              <w:spacing w:after="120"/>
            </w:pPr>
            <w:r>
              <w:t>L</w:t>
            </w:r>
            <w:r w:rsidR="002E353E">
              <w:t>’</w:t>
            </w:r>
            <w:r>
              <w:t>auteur</w:t>
            </w:r>
          </w:p>
        </w:tc>
      </w:tr>
      <w:tr w:rsidR="00C60299" w:rsidTr="002E353E">
        <w:tc>
          <w:tcPr>
            <w:tcW w:w="3119" w:type="dxa"/>
          </w:tcPr>
          <w:p w:rsidR="00C60299" w:rsidRPr="00EC6E49" w:rsidRDefault="00C60299" w:rsidP="002E353E">
            <w:r w:rsidRPr="00EC6E49">
              <w:rPr>
                <w:i/>
              </w:rPr>
              <w:t>État partie</w:t>
            </w:r>
            <w:r w:rsidRPr="00CC25DC">
              <w:t>:</w:t>
            </w:r>
          </w:p>
        </w:tc>
        <w:tc>
          <w:tcPr>
            <w:tcW w:w="3686" w:type="dxa"/>
          </w:tcPr>
          <w:p w:rsidR="00C60299" w:rsidRDefault="00C60299" w:rsidP="002E353E">
            <w:pPr>
              <w:spacing w:after="120"/>
            </w:pPr>
            <w:r>
              <w:t>Canada</w:t>
            </w:r>
          </w:p>
        </w:tc>
      </w:tr>
      <w:tr w:rsidR="00C60299" w:rsidTr="002E353E">
        <w:tc>
          <w:tcPr>
            <w:tcW w:w="3119" w:type="dxa"/>
          </w:tcPr>
          <w:p w:rsidR="00C60299" w:rsidRPr="00EC6E49" w:rsidRDefault="00C60299" w:rsidP="002E353E">
            <w:r w:rsidRPr="00EC6E49">
              <w:rPr>
                <w:i/>
              </w:rPr>
              <w:t>Date de la communication</w:t>
            </w:r>
            <w:r w:rsidRPr="00CC25DC">
              <w:t>:</w:t>
            </w:r>
          </w:p>
        </w:tc>
        <w:tc>
          <w:tcPr>
            <w:tcW w:w="3686" w:type="dxa"/>
          </w:tcPr>
          <w:p w:rsidR="00C60299" w:rsidRDefault="00913DF3" w:rsidP="002E353E">
            <w:pPr>
              <w:spacing w:after="120"/>
            </w:pPr>
            <w:r>
              <w:t>26 juil</w:t>
            </w:r>
            <w:r w:rsidR="00C60299">
              <w:t>l</w:t>
            </w:r>
            <w:r>
              <w:t>e</w:t>
            </w:r>
            <w:r w:rsidR="00C60299">
              <w:t>t 2010 (date de la lettre initiale)</w:t>
            </w:r>
          </w:p>
        </w:tc>
      </w:tr>
    </w:tbl>
    <w:p w:rsidR="00642728" w:rsidRDefault="00642728" w:rsidP="00C17857">
      <w:pPr>
        <w:pStyle w:val="SingleTxtG"/>
        <w:ind w:firstLine="567"/>
      </w:pPr>
      <w:r w:rsidRPr="00B57784">
        <w:rPr>
          <w:i/>
        </w:rPr>
        <w:t>Le Comité des droits de l</w:t>
      </w:r>
      <w:r w:rsidR="002E353E">
        <w:rPr>
          <w:i/>
        </w:rPr>
        <w:t>’</w:t>
      </w:r>
      <w:r w:rsidRPr="00B57784">
        <w:rPr>
          <w:i/>
        </w:rPr>
        <w:t>homme</w:t>
      </w:r>
      <w:r>
        <w:t>, institué en vertu de l</w:t>
      </w:r>
      <w:r w:rsidR="002E353E">
        <w:t>’</w:t>
      </w:r>
      <w:r>
        <w:t>article 28 du Pacte international relatif aux droits civils et politiques,</w:t>
      </w:r>
    </w:p>
    <w:p w:rsidR="00642728" w:rsidRDefault="00642728" w:rsidP="00BA405E">
      <w:pPr>
        <w:pStyle w:val="SingleTxtG"/>
        <w:ind w:firstLine="567"/>
      </w:pPr>
      <w:r w:rsidRPr="00B57784">
        <w:rPr>
          <w:i/>
        </w:rPr>
        <w:t>Réuni</w:t>
      </w:r>
      <w:r w:rsidRPr="00736E0B">
        <w:rPr>
          <w:i/>
          <w:iCs/>
        </w:rPr>
        <w:t xml:space="preserve"> le</w:t>
      </w:r>
      <w:r w:rsidRPr="00875324">
        <w:t xml:space="preserve"> </w:t>
      </w:r>
      <w:r w:rsidR="001227DD">
        <w:t>21 juillet 2011</w:t>
      </w:r>
      <w:r>
        <w:t>,</w:t>
      </w:r>
    </w:p>
    <w:p w:rsidR="00642728" w:rsidRDefault="00642728" w:rsidP="00BA405E">
      <w:pPr>
        <w:pStyle w:val="SingleTxtG"/>
        <w:ind w:firstLine="567"/>
      </w:pPr>
      <w:r w:rsidRPr="00B57784">
        <w:rPr>
          <w:i/>
        </w:rPr>
        <w:t>Ayant achevé</w:t>
      </w:r>
      <w:r>
        <w:t xml:space="preserve"> l</w:t>
      </w:r>
      <w:r w:rsidR="002E353E">
        <w:t>’</w:t>
      </w:r>
      <w:r>
        <w:t xml:space="preserve">examen de la communication </w:t>
      </w:r>
      <w:r>
        <w:rPr>
          <w:rFonts w:eastAsia="MS Mincho"/>
        </w:rPr>
        <w:t>n</w:t>
      </w:r>
      <w:r>
        <w:rPr>
          <w:rFonts w:eastAsia="MS Mincho"/>
          <w:vertAlign w:val="superscript"/>
        </w:rPr>
        <w:t>o</w:t>
      </w:r>
      <w:r>
        <w:t> </w:t>
      </w:r>
      <w:r w:rsidR="001227DD">
        <w:t>1959/2010</w:t>
      </w:r>
      <w:r w:rsidR="00572B3F">
        <w:t xml:space="preserve"> </w:t>
      </w:r>
      <w:r>
        <w:t xml:space="preserve">présentée au nom de </w:t>
      </w:r>
      <w:r w:rsidR="001227DD">
        <w:t>M. Jama Warsame</w:t>
      </w:r>
      <w:r>
        <w:t xml:space="preserve"> en vertu du Protocole facultatif se rapportant au Pacte international relatif aux droits civils et politiques,</w:t>
      </w:r>
    </w:p>
    <w:p w:rsidR="00642728" w:rsidRDefault="00642728" w:rsidP="00BA405E">
      <w:pPr>
        <w:pStyle w:val="SingleTxtG"/>
        <w:ind w:firstLine="567"/>
      </w:pPr>
      <w:r w:rsidRPr="00B57784">
        <w:rPr>
          <w:i/>
        </w:rPr>
        <w:t>Ayant tenu compte</w:t>
      </w:r>
      <w:r>
        <w:t xml:space="preserve"> de toutes les informations écrites qui lui ont été communiquées par l</w:t>
      </w:r>
      <w:r w:rsidR="002E353E">
        <w:t>’</w:t>
      </w:r>
      <w:r>
        <w:t>auteur de la communication et l</w:t>
      </w:r>
      <w:r w:rsidR="002E353E">
        <w:t>’</w:t>
      </w:r>
      <w:r>
        <w:t>État partie,</w:t>
      </w:r>
    </w:p>
    <w:p w:rsidR="00642728" w:rsidRDefault="00642728" w:rsidP="00BA405E">
      <w:pPr>
        <w:pStyle w:val="SingleTxtG"/>
        <w:ind w:firstLine="567"/>
      </w:pPr>
      <w:r w:rsidRPr="00B57784">
        <w:rPr>
          <w:i/>
        </w:rPr>
        <w:t>Adopte</w:t>
      </w:r>
      <w:r>
        <w:t xml:space="preserve"> ce qui suit:</w:t>
      </w:r>
    </w:p>
    <w:p w:rsidR="00642728" w:rsidRDefault="00B57784" w:rsidP="00757D82">
      <w:pPr>
        <w:pStyle w:val="H1G"/>
      </w:pPr>
      <w:r>
        <w:tab/>
      </w:r>
      <w:r>
        <w:tab/>
      </w:r>
      <w:r w:rsidR="00642728">
        <w:t>Constatations au titre</w:t>
      </w:r>
      <w:r w:rsidR="00F93100">
        <w:t xml:space="preserve"> du paragraphe 4 de l</w:t>
      </w:r>
      <w:r w:rsidR="002E353E">
        <w:t>’</w:t>
      </w:r>
      <w:r w:rsidR="00F93100">
        <w:t>article 5</w:t>
      </w:r>
      <w:r w:rsidR="00F93100">
        <w:br/>
      </w:r>
      <w:r w:rsidR="00642728">
        <w:t>du Protocole facultatif</w:t>
      </w:r>
    </w:p>
    <w:p w:rsidR="002E353E" w:rsidRPr="002A1ECB" w:rsidRDefault="002E353E" w:rsidP="002E353E">
      <w:pPr>
        <w:pStyle w:val="SingleTxtG"/>
        <w:rPr>
          <w:lang w:val="fr-FR"/>
        </w:rPr>
      </w:pPr>
      <w:r w:rsidRPr="002A1ECB">
        <w:rPr>
          <w:lang w:val="fr-FR"/>
        </w:rPr>
        <w:t>1.1</w:t>
      </w:r>
      <w:r w:rsidRPr="002A1ECB">
        <w:rPr>
          <w:lang w:val="fr-FR"/>
        </w:rPr>
        <w:tab/>
        <w:t>L</w:t>
      </w:r>
      <w:r>
        <w:rPr>
          <w:lang w:val="fr-FR"/>
        </w:rPr>
        <w:t>’</w:t>
      </w:r>
      <w:r w:rsidRPr="002A1ECB">
        <w:rPr>
          <w:lang w:val="fr-FR"/>
        </w:rPr>
        <w:t>auteur de la communication, datée du 26 juillet 2010, est Jama Warsame, né le 7</w:t>
      </w:r>
      <w:r>
        <w:rPr>
          <w:lang w:val="fr-FR"/>
        </w:rPr>
        <w:t> </w:t>
      </w:r>
      <w:r w:rsidRPr="002A1ECB">
        <w:rPr>
          <w:lang w:val="fr-FR"/>
        </w:rPr>
        <w:t>février 1984, de nationalité somalienne, en attente d</w:t>
      </w:r>
      <w:r>
        <w:rPr>
          <w:lang w:val="fr-FR"/>
        </w:rPr>
        <w:t>’</w:t>
      </w:r>
      <w:r w:rsidRPr="002A1ECB">
        <w:rPr>
          <w:lang w:val="fr-FR"/>
        </w:rPr>
        <w:t>expulsion du Canada vers la Somalie. Il affirme que l</w:t>
      </w:r>
      <w:r>
        <w:rPr>
          <w:lang w:val="fr-FR"/>
        </w:rPr>
        <w:t>’</w:t>
      </w:r>
      <w:r w:rsidRPr="002A1ECB">
        <w:rPr>
          <w:lang w:val="fr-FR"/>
        </w:rPr>
        <w:t>État partie, s</w:t>
      </w:r>
      <w:r>
        <w:rPr>
          <w:lang w:val="fr-FR"/>
        </w:rPr>
        <w:t>’</w:t>
      </w:r>
      <w:r w:rsidRPr="002A1ECB">
        <w:rPr>
          <w:lang w:val="fr-FR"/>
        </w:rPr>
        <w:t>il l</w:t>
      </w:r>
      <w:r>
        <w:rPr>
          <w:lang w:val="fr-FR"/>
        </w:rPr>
        <w:t>’</w:t>
      </w:r>
      <w:r w:rsidRPr="002A1ECB">
        <w:rPr>
          <w:lang w:val="fr-FR"/>
        </w:rPr>
        <w:t>expulsait, violerait les articles 2 (par</w:t>
      </w:r>
      <w:r>
        <w:rPr>
          <w:lang w:val="fr-FR"/>
        </w:rPr>
        <w:t>.</w:t>
      </w:r>
      <w:r w:rsidRPr="002A1ECB">
        <w:rPr>
          <w:lang w:val="fr-FR"/>
        </w:rPr>
        <w:t xml:space="preserve"> 3), 6</w:t>
      </w:r>
      <w:r>
        <w:rPr>
          <w:lang w:val="fr-FR"/>
        </w:rPr>
        <w:t> </w:t>
      </w:r>
      <w:r w:rsidRPr="002A1ECB">
        <w:rPr>
          <w:lang w:val="fr-FR"/>
        </w:rPr>
        <w:t>(par</w:t>
      </w:r>
      <w:r>
        <w:rPr>
          <w:lang w:val="fr-FR"/>
        </w:rPr>
        <w:t>. </w:t>
      </w:r>
      <w:r w:rsidRPr="002A1ECB">
        <w:rPr>
          <w:lang w:val="fr-FR"/>
        </w:rPr>
        <w:t xml:space="preserve">1), 7, </w:t>
      </w:r>
      <w:r>
        <w:rPr>
          <w:lang w:val="fr-FR"/>
        </w:rPr>
        <w:t xml:space="preserve">12 (par. 4), </w:t>
      </w:r>
      <w:r w:rsidRPr="002A1ECB">
        <w:rPr>
          <w:lang w:val="fr-FR"/>
        </w:rPr>
        <w:t xml:space="preserve">17, 18 et 23 du Pacte international relatif aux droits civils et politiques. Il est représenté par un conseil, </w:t>
      </w:r>
      <w:r w:rsidRPr="009126FD">
        <w:rPr>
          <w:lang w:val="fr-FR"/>
        </w:rPr>
        <w:t>M</w:t>
      </w:r>
      <w:r w:rsidRPr="009126FD">
        <w:rPr>
          <w:vertAlign w:val="superscript"/>
          <w:lang w:val="fr-FR"/>
        </w:rPr>
        <w:t>me</w:t>
      </w:r>
      <w:r w:rsidRPr="009126FD">
        <w:rPr>
          <w:lang w:val="fr-FR"/>
        </w:rPr>
        <w:t> </w:t>
      </w:r>
      <w:r w:rsidRPr="002A1ECB">
        <w:rPr>
          <w:lang w:val="fr-FR"/>
        </w:rPr>
        <w:t>Carole Simone Dahan.</w:t>
      </w:r>
    </w:p>
    <w:p w:rsidR="002E353E" w:rsidRPr="002A1ECB" w:rsidRDefault="002E353E" w:rsidP="002E353E">
      <w:pPr>
        <w:pStyle w:val="SingleTxtG"/>
        <w:rPr>
          <w:lang w:val="fr-FR"/>
        </w:rPr>
      </w:pPr>
      <w:r w:rsidRPr="002A1ECB">
        <w:rPr>
          <w:lang w:val="fr-FR"/>
        </w:rPr>
        <w:t>1.2</w:t>
      </w:r>
      <w:r w:rsidRPr="002A1ECB">
        <w:rPr>
          <w:lang w:val="fr-FR"/>
        </w:rPr>
        <w:tab/>
        <w:t>Le 27 juillet 2010, le Comité, agissant par l</w:t>
      </w:r>
      <w:r>
        <w:rPr>
          <w:lang w:val="fr-FR"/>
        </w:rPr>
        <w:t>’</w:t>
      </w:r>
      <w:r w:rsidRPr="002A1ECB">
        <w:rPr>
          <w:lang w:val="fr-FR"/>
        </w:rPr>
        <w:t>intermédiaire de son Rapporteur spécial pour les nouvelles communications et les mesures provisoires</w:t>
      </w:r>
      <w:r w:rsidR="00EF0EA1">
        <w:rPr>
          <w:lang w:val="fr-FR"/>
        </w:rPr>
        <w:t>,</w:t>
      </w:r>
      <w:r w:rsidRPr="002A1ECB">
        <w:rPr>
          <w:lang w:val="fr-FR"/>
        </w:rPr>
        <w:t xml:space="preserve"> a</w:t>
      </w:r>
      <w:r>
        <w:rPr>
          <w:lang w:val="fr-FR"/>
        </w:rPr>
        <w:t xml:space="preserve"> </w:t>
      </w:r>
      <w:r w:rsidRPr="002A1ECB">
        <w:rPr>
          <w:lang w:val="fr-FR"/>
        </w:rPr>
        <w:t>demandé à l</w:t>
      </w:r>
      <w:r>
        <w:rPr>
          <w:lang w:val="fr-FR"/>
        </w:rPr>
        <w:t>’État partie</w:t>
      </w:r>
      <w:r w:rsidRPr="002A1ECB">
        <w:rPr>
          <w:lang w:val="fr-FR"/>
        </w:rPr>
        <w:t>, en application de l</w:t>
      </w:r>
      <w:r>
        <w:rPr>
          <w:lang w:val="fr-FR"/>
        </w:rPr>
        <w:t>’article 92 de son r</w:t>
      </w:r>
      <w:r w:rsidRPr="002A1ECB">
        <w:rPr>
          <w:lang w:val="fr-FR"/>
        </w:rPr>
        <w:t>èglement intérieur, de ne pas expulser l</w:t>
      </w:r>
      <w:r>
        <w:rPr>
          <w:lang w:val="fr-FR"/>
        </w:rPr>
        <w:t>’</w:t>
      </w:r>
      <w:r w:rsidRPr="002A1ECB">
        <w:rPr>
          <w:lang w:val="fr-FR"/>
        </w:rPr>
        <w:t>auteur tant que la communication serait en cours d</w:t>
      </w:r>
      <w:r>
        <w:rPr>
          <w:lang w:val="fr-FR"/>
        </w:rPr>
        <w:t>’</w:t>
      </w:r>
      <w:r w:rsidRPr="002A1ECB">
        <w:rPr>
          <w:lang w:val="fr-FR"/>
        </w:rPr>
        <w:t>examen devant le Comité. Les 29 décembre 2010 et 21</w:t>
      </w:r>
      <w:r>
        <w:rPr>
          <w:lang w:val="fr-FR"/>
        </w:rPr>
        <w:t> </w:t>
      </w:r>
      <w:r w:rsidRPr="002A1ECB">
        <w:rPr>
          <w:lang w:val="fr-FR"/>
        </w:rPr>
        <w:t>avril 2011, le Comité, agissant par l</w:t>
      </w:r>
      <w:r>
        <w:rPr>
          <w:lang w:val="fr-FR"/>
        </w:rPr>
        <w:t>’</w:t>
      </w:r>
      <w:r w:rsidRPr="002A1ECB">
        <w:rPr>
          <w:lang w:val="fr-FR"/>
        </w:rPr>
        <w:t>intermédiaire de son Rapporteur spécial pour les nouvelles communications et les mesures provisoires, a décidé de rejeter la demande de l</w:t>
      </w:r>
      <w:r>
        <w:rPr>
          <w:lang w:val="fr-FR"/>
        </w:rPr>
        <w:t>’</w:t>
      </w:r>
      <w:r w:rsidRPr="002A1ECB">
        <w:rPr>
          <w:lang w:val="fr-FR"/>
        </w:rPr>
        <w:t>État partie tendant à lever les mesures provisoires.</w:t>
      </w:r>
    </w:p>
    <w:p w:rsidR="002E353E" w:rsidRPr="002A1ECB" w:rsidRDefault="002E353E" w:rsidP="002E353E">
      <w:pPr>
        <w:pStyle w:val="SingleTxtG"/>
        <w:rPr>
          <w:lang w:val="fr-FR"/>
        </w:rPr>
      </w:pPr>
      <w:r w:rsidRPr="002A1ECB">
        <w:rPr>
          <w:lang w:val="fr-FR"/>
        </w:rPr>
        <w:t>1.3</w:t>
      </w:r>
      <w:r w:rsidRPr="002A1ECB">
        <w:rPr>
          <w:lang w:val="fr-FR"/>
        </w:rPr>
        <w:tab/>
        <w:t>Le 29 décembre 2010, conformément au paragraphe 3 de l</w:t>
      </w:r>
      <w:r>
        <w:rPr>
          <w:lang w:val="fr-FR"/>
        </w:rPr>
        <w:t>’</w:t>
      </w:r>
      <w:r w:rsidRPr="002A1ECB">
        <w:rPr>
          <w:lang w:val="fr-FR"/>
        </w:rPr>
        <w:t xml:space="preserve">article 97 de son </w:t>
      </w:r>
      <w:r w:rsidR="001539B5">
        <w:rPr>
          <w:lang w:val="fr-FR"/>
        </w:rPr>
        <w:t>r</w:t>
      </w:r>
      <w:r w:rsidRPr="002A1ECB">
        <w:rPr>
          <w:lang w:val="fr-FR"/>
        </w:rPr>
        <w:t>èglement intérieur, le Comité, agissant par l</w:t>
      </w:r>
      <w:r>
        <w:rPr>
          <w:lang w:val="fr-FR"/>
        </w:rPr>
        <w:t>’</w:t>
      </w:r>
      <w:r w:rsidRPr="002A1ECB">
        <w:rPr>
          <w:lang w:val="fr-FR"/>
        </w:rPr>
        <w:t xml:space="preserve">intermédiaire de son Rapporteur spécial pour les nouvelles communications et les mesures provisoires, a décidé que la question de la recevabilité devait être examinée en même temps que le fond de la communication. </w:t>
      </w:r>
    </w:p>
    <w:p w:rsidR="002E353E" w:rsidRPr="009238E4" w:rsidRDefault="002E353E" w:rsidP="00EF0EA1">
      <w:pPr>
        <w:pStyle w:val="H23G"/>
      </w:pPr>
      <w:r w:rsidRPr="009238E4">
        <w:tab/>
      </w:r>
      <w:r w:rsidRPr="009238E4">
        <w:tab/>
        <w:t>Rappel des faits présentés par l</w:t>
      </w:r>
      <w:r>
        <w:t>’</w:t>
      </w:r>
      <w:r w:rsidRPr="009238E4">
        <w:t>auteur</w:t>
      </w:r>
    </w:p>
    <w:p w:rsidR="002E353E" w:rsidRPr="002A1ECB" w:rsidRDefault="002E353E" w:rsidP="002E353E">
      <w:pPr>
        <w:pStyle w:val="SingleTxtG"/>
        <w:rPr>
          <w:lang w:val="fr-FR"/>
        </w:rPr>
      </w:pPr>
      <w:r w:rsidRPr="002A1ECB">
        <w:rPr>
          <w:lang w:val="fr-FR"/>
        </w:rPr>
        <w:t xml:space="preserve">2.1 </w:t>
      </w:r>
      <w:r w:rsidRPr="002A1ECB">
        <w:rPr>
          <w:lang w:val="fr-FR"/>
        </w:rPr>
        <w:tab/>
        <w:t>L</w:t>
      </w:r>
      <w:r>
        <w:rPr>
          <w:lang w:val="fr-FR"/>
        </w:rPr>
        <w:t>’</w:t>
      </w:r>
      <w:r w:rsidRPr="002A1ECB">
        <w:rPr>
          <w:lang w:val="fr-FR"/>
        </w:rPr>
        <w:t>auteur est né le 7 février 1984 à Riyad (Arabie saoudite), mais n</w:t>
      </w:r>
      <w:r>
        <w:rPr>
          <w:lang w:val="fr-FR"/>
        </w:rPr>
        <w:t>’</w:t>
      </w:r>
      <w:r w:rsidRPr="002A1ECB">
        <w:rPr>
          <w:lang w:val="fr-FR"/>
        </w:rPr>
        <w:t>a jamais obtenu la nationalité saoudienne. D</w:t>
      </w:r>
      <w:r>
        <w:rPr>
          <w:lang w:val="fr-FR"/>
        </w:rPr>
        <w:t>’</w:t>
      </w:r>
      <w:r w:rsidRPr="002A1ECB">
        <w:rPr>
          <w:lang w:val="fr-FR"/>
        </w:rPr>
        <w:t>origine somalienne, il n</w:t>
      </w:r>
      <w:r>
        <w:rPr>
          <w:lang w:val="fr-FR"/>
        </w:rPr>
        <w:t>’</w:t>
      </w:r>
      <w:r w:rsidRPr="002A1ECB">
        <w:rPr>
          <w:lang w:val="fr-FR"/>
        </w:rPr>
        <w:t>a jamais résidé en Somalie et ne s</w:t>
      </w:r>
      <w:r>
        <w:rPr>
          <w:lang w:val="fr-FR"/>
        </w:rPr>
        <w:t>’</w:t>
      </w:r>
      <w:r w:rsidRPr="002A1ECB">
        <w:rPr>
          <w:lang w:val="fr-FR"/>
        </w:rPr>
        <w:t>y est jamais rendu.</w:t>
      </w:r>
    </w:p>
    <w:p w:rsidR="002E353E" w:rsidRPr="002A1ECB" w:rsidRDefault="002E353E" w:rsidP="002E353E">
      <w:pPr>
        <w:pStyle w:val="SingleTxtG"/>
        <w:rPr>
          <w:lang w:val="fr-FR"/>
        </w:rPr>
      </w:pPr>
      <w:r w:rsidRPr="002A1ECB">
        <w:rPr>
          <w:lang w:val="fr-FR"/>
        </w:rPr>
        <w:t>2.2</w:t>
      </w:r>
      <w:r w:rsidRPr="002A1ECB">
        <w:rPr>
          <w:lang w:val="fr-FR"/>
        </w:rPr>
        <w:tab/>
        <w:t>L</w:t>
      </w:r>
      <w:r>
        <w:rPr>
          <w:lang w:val="fr-FR"/>
        </w:rPr>
        <w:t>’</w:t>
      </w:r>
      <w:r w:rsidRPr="002A1ECB">
        <w:rPr>
          <w:lang w:val="fr-FR"/>
        </w:rPr>
        <w:t>auteur est arrivé au Canada le 26 septembre 1988, à l</w:t>
      </w:r>
      <w:r>
        <w:rPr>
          <w:lang w:val="fr-FR"/>
        </w:rPr>
        <w:t>’</w:t>
      </w:r>
      <w:r w:rsidRPr="002A1ECB">
        <w:rPr>
          <w:lang w:val="fr-FR"/>
        </w:rPr>
        <w:t xml:space="preserve">âge de </w:t>
      </w:r>
      <w:r>
        <w:rPr>
          <w:lang w:val="fr-FR"/>
        </w:rPr>
        <w:t>4</w:t>
      </w:r>
      <w:r w:rsidRPr="002A1ECB">
        <w:rPr>
          <w:lang w:val="fr-FR"/>
        </w:rPr>
        <w:t xml:space="preserve"> ans. Le 4 mars 1992, il a obtenu le statut de résident permanent en sa qualité d</w:t>
      </w:r>
      <w:r>
        <w:rPr>
          <w:lang w:val="fr-FR"/>
        </w:rPr>
        <w:t>’</w:t>
      </w:r>
      <w:r w:rsidRPr="002A1ECB">
        <w:rPr>
          <w:lang w:val="fr-FR"/>
        </w:rPr>
        <w:t>enfant à charge de sa mère, conformément au Règlement sur l</w:t>
      </w:r>
      <w:r>
        <w:rPr>
          <w:lang w:val="fr-FR"/>
        </w:rPr>
        <w:t>’</w:t>
      </w:r>
      <w:r w:rsidRPr="002A1ECB">
        <w:rPr>
          <w:lang w:val="fr-FR"/>
        </w:rPr>
        <w:t>arriéré des revendications du statut de réfugié</w:t>
      </w:r>
      <w:r>
        <w:rPr>
          <w:lang w:val="fr-FR"/>
        </w:rPr>
        <w:t>,</w:t>
      </w:r>
      <w:r w:rsidRPr="002A1ECB">
        <w:rPr>
          <w:lang w:val="fr-FR"/>
        </w:rPr>
        <w:t xml:space="preserve"> mais s</w:t>
      </w:r>
      <w:r>
        <w:rPr>
          <w:lang w:val="fr-FR"/>
        </w:rPr>
        <w:t>’</w:t>
      </w:r>
      <w:r w:rsidRPr="002A1ECB">
        <w:rPr>
          <w:lang w:val="fr-FR"/>
        </w:rPr>
        <w:t>est vu refuser le statut de réfugié au sens de la Convention.</w:t>
      </w:r>
    </w:p>
    <w:p w:rsidR="002E353E" w:rsidRPr="002A1ECB" w:rsidRDefault="002E353E" w:rsidP="002E353E">
      <w:pPr>
        <w:pStyle w:val="SingleTxtG"/>
        <w:rPr>
          <w:lang w:val="fr-FR"/>
        </w:rPr>
      </w:pPr>
      <w:r w:rsidRPr="002A1ECB">
        <w:rPr>
          <w:lang w:val="fr-FR"/>
        </w:rPr>
        <w:t>2.3</w:t>
      </w:r>
      <w:r w:rsidRPr="002A1ECB">
        <w:rPr>
          <w:lang w:val="fr-FR"/>
        </w:rPr>
        <w:tab/>
        <w:t>Le 2 novembre 2004, l</w:t>
      </w:r>
      <w:r>
        <w:rPr>
          <w:lang w:val="fr-FR"/>
        </w:rPr>
        <w:t>’</w:t>
      </w:r>
      <w:r w:rsidRPr="002A1ECB">
        <w:rPr>
          <w:lang w:val="fr-FR"/>
        </w:rPr>
        <w:t>auteur a été déclaré coupable de vol et condamné à neuf mois d</w:t>
      </w:r>
      <w:r>
        <w:rPr>
          <w:lang w:val="fr-FR"/>
        </w:rPr>
        <w:t>’</w:t>
      </w:r>
      <w:r w:rsidRPr="002A1ECB">
        <w:rPr>
          <w:lang w:val="fr-FR"/>
        </w:rPr>
        <w:t>emprisonnement. Le 23 janvier 2006, il a été reconnu coupable de possession à des fins de trafic d</w:t>
      </w:r>
      <w:r>
        <w:rPr>
          <w:lang w:val="fr-FR"/>
        </w:rPr>
        <w:t>’</w:t>
      </w:r>
      <w:r w:rsidRPr="002A1ECB">
        <w:rPr>
          <w:lang w:val="fr-FR"/>
        </w:rPr>
        <w:t>une substance inscrite au tableau des conventions et condamné à deux ans d</w:t>
      </w:r>
      <w:r>
        <w:rPr>
          <w:lang w:val="fr-FR"/>
        </w:rPr>
        <w:t>’</w:t>
      </w:r>
      <w:r w:rsidRPr="002A1ECB">
        <w:rPr>
          <w:lang w:val="fr-FR"/>
        </w:rPr>
        <w:t>emprisonnement. Du fait de ces condamnations, le 22 juin 2006, l</w:t>
      </w:r>
      <w:r>
        <w:rPr>
          <w:lang w:val="fr-FR"/>
        </w:rPr>
        <w:t>’</w:t>
      </w:r>
      <w:r w:rsidRPr="002A1ECB">
        <w:rPr>
          <w:lang w:val="fr-FR"/>
        </w:rPr>
        <w:t>auteur a reçu un arrêté d</w:t>
      </w:r>
      <w:r>
        <w:rPr>
          <w:lang w:val="fr-FR"/>
        </w:rPr>
        <w:t>’</w:t>
      </w:r>
      <w:r w:rsidRPr="002A1ECB">
        <w:rPr>
          <w:lang w:val="fr-FR"/>
        </w:rPr>
        <w:t>expulsion du Canada pour «</w:t>
      </w:r>
      <w:r w:rsidRPr="002A1ECB">
        <w:rPr>
          <w:iCs/>
          <w:lang w:val="fr-FR"/>
        </w:rPr>
        <w:t xml:space="preserve">grande criminalité», telle que définie dans la </w:t>
      </w:r>
      <w:r w:rsidRPr="002A1ECB">
        <w:rPr>
          <w:lang w:val="fr-FR"/>
        </w:rPr>
        <w:t>loi sur l</w:t>
      </w:r>
      <w:r>
        <w:rPr>
          <w:lang w:val="fr-FR"/>
        </w:rPr>
        <w:t>’</w:t>
      </w:r>
      <w:r w:rsidRPr="002A1ECB">
        <w:rPr>
          <w:lang w:val="fr-FR"/>
        </w:rPr>
        <w:t xml:space="preserve">immigration et la protection des réfugiés de 2001. </w:t>
      </w:r>
    </w:p>
    <w:p w:rsidR="002E353E" w:rsidRPr="002A1ECB" w:rsidRDefault="002E353E" w:rsidP="002E353E">
      <w:pPr>
        <w:pStyle w:val="SingleTxtG"/>
        <w:rPr>
          <w:lang w:val="fr-FR"/>
        </w:rPr>
      </w:pPr>
      <w:r w:rsidRPr="002A1ECB">
        <w:rPr>
          <w:lang w:val="fr-FR"/>
        </w:rPr>
        <w:t>2.4</w:t>
      </w:r>
      <w:r w:rsidRPr="002A1ECB">
        <w:rPr>
          <w:lang w:val="fr-FR"/>
        </w:rPr>
        <w:tab/>
        <w:t>Le 25 octobre 2006, l</w:t>
      </w:r>
      <w:r>
        <w:rPr>
          <w:lang w:val="fr-FR"/>
        </w:rPr>
        <w:t>’</w:t>
      </w:r>
      <w:r w:rsidRPr="002A1ECB">
        <w:rPr>
          <w:lang w:val="fr-FR"/>
        </w:rPr>
        <w:t>auteur a fait appel de la décision d</w:t>
      </w:r>
      <w:r>
        <w:rPr>
          <w:lang w:val="fr-FR"/>
        </w:rPr>
        <w:t>’</w:t>
      </w:r>
      <w:r w:rsidRPr="002A1ECB">
        <w:rPr>
          <w:lang w:val="fr-FR"/>
        </w:rPr>
        <w:t>expulsion auprès de la Section d</w:t>
      </w:r>
      <w:r>
        <w:rPr>
          <w:lang w:val="fr-FR"/>
        </w:rPr>
        <w:t>’</w:t>
      </w:r>
      <w:r w:rsidRPr="002A1ECB">
        <w:rPr>
          <w:lang w:val="fr-FR"/>
        </w:rPr>
        <w:t>appel de l</w:t>
      </w:r>
      <w:r>
        <w:rPr>
          <w:lang w:val="fr-FR"/>
        </w:rPr>
        <w:t>’</w:t>
      </w:r>
      <w:r w:rsidRPr="002A1ECB">
        <w:rPr>
          <w:lang w:val="fr-FR"/>
        </w:rPr>
        <w:t>immigration, mais son appel a été rejeté pour défaut de compétence conformément à l</w:t>
      </w:r>
      <w:r>
        <w:rPr>
          <w:lang w:val="fr-FR"/>
        </w:rPr>
        <w:t>’</w:t>
      </w:r>
      <w:r w:rsidRPr="002A1ECB">
        <w:rPr>
          <w:lang w:val="fr-FR"/>
        </w:rPr>
        <w:t>article 64 de la loi sur l</w:t>
      </w:r>
      <w:r>
        <w:rPr>
          <w:lang w:val="fr-FR"/>
        </w:rPr>
        <w:t>’</w:t>
      </w:r>
      <w:r w:rsidRPr="002A1ECB">
        <w:rPr>
          <w:lang w:val="fr-FR"/>
        </w:rPr>
        <w:t>immigration et la protection des réfugiés, qui statue qu</w:t>
      </w:r>
      <w:r>
        <w:rPr>
          <w:lang w:val="fr-FR"/>
        </w:rPr>
        <w:t>’</w:t>
      </w:r>
      <w:r w:rsidRPr="002A1ECB">
        <w:rPr>
          <w:lang w:val="fr-FR"/>
        </w:rPr>
        <w:t>une personne condamnée à un emprisonnement d</w:t>
      </w:r>
      <w:r>
        <w:rPr>
          <w:lang w:val="fr-FR"/>
        </w:rPr>
        <w:t>’</w:t>
      </w:r>
      <w:r w:rsidRPr="002A1ECB">
        <w:rPr>
          <w:lang w:val="fr-FR"/>
        </w:rPr>
        <w:t>au moins deux ans ne peut interjeter appel</w:t>
      </w:r>
      <w:r w:rsidRPr="00363258">
        <w:rPr>
          <w:rStyle w:val="FootnoteReference"/>
        </w:rPr>
        <w:footnoteReference w:id="4"/>
      </w:r>
      <w:r w:rsidRPr="002A1ECB">
        <w:rPr>
          <w:lang w:val="fr-FR"/>
        </w:rPr>
        <w:t>.</w:t>
      </w:r>
    </w:p>
    <w:p w:rsidR="002E353E" w:rsidRPr="002A1ECB" w:rsidRDefault="002E353E" w:rsidP="002E353E">
      <w:pPr>
        <w:pStyle w:val="SingleTxtG"/>
        <w:rPr>
          <w:lang w:val="fr-FR"/>
        </w:rPr>
      </w:pPr>
      <w:r w:rsidRPr="002A1ECB">
        <w:rPr>
          <w:lang w:val="fr-FR"/>
        </w:rPr>
        <w:t>2.5</w:t>
      </w:r>
      <w:r w:rsidRPr="002A1ECB">
        <w:rPr>
          <w:lang w:val="fr-FR"/>
        </w:rPr>
        <w:tab/>
        <w:t>Le 19 janvier 2007, l</w:t>
      </w:r>
      <w:r>
        <w:rPr>
          <w:lang w:val="fr-FR"/>
        </w:rPr>
        <w:t>’</w:t>
      </w:r>
      <w:r w:rsidRPr="002A1ECB">
        <w:rPr>
          <w:lang w:val="fr-FR"/>
        </w:rPr>
        <w:t>auteur a présenté une demande d</w:t>
      </w:r>
      <w:r>
        <w:rPr>
          <w:lang w:val="fr-FR"/>
        </w:rPr>
        <w:t>’</w:t>
      </w:r>
      <w:r w:rsidRPr="002A1ECB">
        <w:rPr>
          <w:lang w:val="fr-FR"/>
        </w:rPr>
        <w:t>Examen des risques avant renvoi. Le 9 février 2007, l</w:t>
      </w:r>
      <w:r>
        <w:rPr>
          <w:lang w:val="fr-FR"/>
        </w:rPr>
        <w:t>’</w:t>
      </w:r>
      <w:r w:rsidRPr="002A1ECB">
        <w:rPr>
          <w:lang w:val="fr-FR"/>
        </w:rPr>
        <w:t>agent ayant examiné les risques avant renvoi a considéré que l</w:t>
      </w:r>
      <w:r>
        <w:rPr>
          <w:lang w:val="fr-FR"/>
        </w:rPr>
        <w:t>’</w:t>
      </w:r>
      <w:r w:rsidRPr="002A1ECB">
        <w:rPr>
          <w:lang w:val="fr-FR"/>
        </w:rPr>
        <w:t>auteur serait en danger de mort et exposé à des peines ou traitements cruels et inusités, s</w:t>
      </w:r>
      <w:r>
        <w:rPr>
          <w:lang w:val="fr-FR"/>
        </w:rPr>
        <w:t>’</w:t>
      </w:r>
      <w:r w:rsidRPr="002A1ECB">
        <w:rPr>
          <w:lang w:val="fr-FR"/>
        </w:rPr>
        <w:t>il était expulsé vers la Somalie. Ses conclusions étaient notamment fondée</w:t>
      </w:r>
      <w:r>
        <w:rPr>
          <w:lang w:val="fr-FR"/>
        </w:rPr>
        <w:t>s</w:t>
      </w:r>
      <w:r w:rsidRPr="002A1ECB">
        <w:rPr>
          <w:lang w:val="fr-FR"/>
        </w:rPr>
        <w:t xml:space="preserve"> sur l</w:t>
      </w:r>
      <w:r>
        <w:rPr>
          <w:lang w:val="fr-FR"/>
        </w:rPr>
        <w:t>’</w:t>
      </w:r>
      <w:r w:rsidRPr="002A1ECB">
        <w:rPr>
          <w:lang w:val="fr-FR"/>
        </w:rPr>
        <w:t>âge de l</w:t>
      </w:r>
      <w:r>
        <w:rPr>
          <w:lang w:val="fr-FR"/>
        </w:rPr>
        <w:t>’</w:t>
      </w:r>
      <w:r w:rsidRPr="002A1ECB">
        <w:rPr>
          <w:lang w:val="fr-FR"/>
        </w:rPr>
        <w:t>auteur, son sexe, l</w:t>
      </w:r>
      <w:r>
        <w:rPr>
          <w:lang w:val="fr-FR"/>
        </w:rPr>
        <w:t>’</w:t>
      </w:r>
      <w:r w:rsidRPr="002A1ECB">
        <w:rPr>
          <w:lang w:val="fr-FR"/>
        </w:rPr>
        <w:t>absence de soutien familial ou clanique, le fait que l</w:t>
      </w:r>
      <w:r>
        <w:rPr>
          <w:lang w:val="fr-FR"/>
        </w:rPr>
        <w:t>’</w:t>
      </w:r>
      <w:r w:rsidRPr="002A1ECB">
        <w:rPr>
          <w:lang w:val="fr-FR"/>
        </w:rPr>
        <w:t>auteur n</w:t>
      </w:r>
      <w:r>
        <w:rPr>
          <w:lang w:val="fr-FR"/>
        </w:rPr>
        <w:t>’</w:t>
      </w:r>
      <w:r w:rsidRPr="002A1ECB">
        <w:rPr>
          <w:lang w:val="fr-FR"/>
        </w:rPr>
        <w:t>ait jamais résidé en Somalie et ne parle pas la langue locale, ainsi que sur des éléments de preuve documentaire. Le dossier a ensuite été renvoyé au Représentant du Ministre au Siège national du Ministère de la sécurité publique, qui a établi, le 23 février 2009, que l</w:t>
      </w:r>
      <w:r>
        <w:rPr>
          <w:lang w:val="fr-FR"/>
        </w:rPr>
        <w:t>’</w:t>
      </w:r>
      <w:r w:rsidRPr="002A1ECB">
        <w:rPr>
          <w:lang w:val="fr-FR"/>
        </w:rPr>
        <w:t>auteur n</w:t>
      </w:r>
      <w:r>
        <w:rPr>
          <w:lang w:val="fr-FR"/>
        </w:rPr>
        <w:t>’</w:t>
      </w:r>
      <w:r w:rsidRPr="002A1ECB">
        <w:rPr>
          <w:lang w:val="fr-FR"/>
        </w:rPr>
        <w:t>encourait aucun risque personnel s</w:t>
      </w:r>
      <w:r>
        <w:rPr>
          <w:lang w:val="fr-FR"/>
        </w:rPr>
        <w:t>’</w:t>
      </w:r>
      <w:r w:rsidRPr="002A1ECB">
        <w:rPr>
          <w:lang w:val="fr-FR"/>
        </w:rPr>
        <w:t>il était renvoyé en Somalie, qu</w:t>
      </w:r>
      <w:r>
        <w:rPr>
          <w:lang w:val="fr-FR"/>
        </w:rPr>
        <w:t>’</w:t>
      </w:r>
      <w:r w:rsidRPr="002A1ECB">
        <w:rPr>
          <w:lang w:val="fr-FR"/>
        </w:rPr>
        <w:t>il représentait un danger pour la sécurité publique au Canada et que les considérations humanitaires ne l</w:t>
      </w:r>
      <w:r>
        <w:rPr>
          <w:lang w:val="fr-FR"/>
        </w:rPr>
        <w:t>’</w:t>
      </w:r>
      <w:r w:rsidRPr="002A1ECB">
        <w:rPr>
          <w:lang w:val="fr-FR"/>
        </w:rPr>
        <w:t>emportaient pas sur la nécessité de protéger le public.</w:t>
      </w:r>
    </w:p>
    <w:p w:rsidR="002E353E" w:rsidRPr="002A1ECB" w:rsidRDefault="002E353E" w:rsidP="002E353E">
      <w:pPr>
        <w:pStyle w:val="SingleTxtG"/>
        <w:rPr>
          <w:lang w:val="fr-FR"/>
        </w:rPr>
      </w:pPr>
      <w:r w:rsidRPr="002A1ECB">
        <w:rPr>
          <w:lang w:val="fr-FR"/>
        </w:rPr>
        <w:t>2.6</w:t>
      </w:r>
      <w:r w:rsidRPr="002A1ECB">
        <w:rPr>
          <w:lang w:val="fr-FR"/>
        </w:rPr>
        <w:tab/>
        <w:t>Le 14 juillet 2009, la demande d</w:t>
      </w:r>
      <w:r>
        <w:rPr>
          <w:lang w:val="fr-FR"/>
        </w:rPr>
        <w:t>’</w:t>
      </w:r>
      <w:r w:rsidRPr="002A1ECB">
        <w:rPr>
          <w:lang w:val="fr-FR"/>
        </w:rPr>
        <w:t>autorisation en vue d</w:t>
      </w:r>
      <w:r>
        <w:rPr>
          <w:lang w:val="fr-FR"/>
        </w:rPr>
        <w:t>’</w:t>
      </w:r>
      <w:r w:rsidRPr="002A1ECB">
        <w:rPr>
          <w:lang w:val="fr-FR"/>
        </w:rPr>
        <w:t>un contrôle judiciaire de la décision du Représentant du Ministre présentée par l</w:t>
      </w:r>
      <w:r>
        <w:rPr>
          <w:lang w:val="fr-FR"/>
        </w:rPr>
        <w:t>’</w:t>
      </w:r>
      <w:r w:rsidRPr="002A1ECB">
        <w:rPr>
          <w:lang w:val="fr-FR"/>
        </w:rPr>
        <w:t>auteur a été rejetée parce que celui-ci n</w:t>
      </w:r>
      <w:r>
        <w:rPr>
          <w:lang w:val="fr-FR"/>
        </w:rPr>
        <w:t>’</w:t>
      </w:r>
      <w:r w:rsidRPr="002A1ECB">
        <w:rPr>
          <w:lang w:val="fr-FR"/>
        </w:rPr>
        <w:t>avait pas déposé le dossier nécessaire. L</w:t>
      </w:r>
      <w:r>
        <w:rPr>
          <w:lang w:val="fr-FR"/>
        </w:rPr>
        <w:t>’</w:t>
      </w:r>
      <w:r w:rsidRPr="002A1ECB">
        <w:rPr>
          <w:lang w:val="fr-FR"/>
        </w:rPr>
        <w:t>auteur n</w:t>
      </w:r>
      <w:r>
        <w:rPr>
          <w:lang w:val="fr-FR"/>
        </w:rPr>
        <w:t>’</w:t>
      </w:r>
      <w:r w:rsidRPr="002A1ECB">
        <w:rPr>
          <w:lang w:val="fr-FR"/>
        </w:rPr>
        <w:t>était pas en mesure de déposer le dossier en question parce qu</w:t>
      </w:r>
      <w:r>
        <w:rPr>
          <w:lang w:val="fr-FR"/>
        </w:rPr>
        <w:t>’</w:t>
      </w:r>
      <w:r w:rsidRPr="002A1ECB">
        <w:rPr>
          <w:lang w:val="fr-FR"/>
        </w:rPr>
        <w:t>il n</w:t>
      </w:r>
      <w:r>
        <w:rPr>
          <w:lang w:val="fr-FR"/>
        </w:rPr>
        <w:t>’</w:t>
      </w:r>
      <w:r w:rsidRPr="002A1ECB">
        <w:rPr>
          <w:lang w:val="fr-FR"/>
        </w:rPr>
        <w:t>avait pas les moyens de s</w:t>
      </w:r>
      <w:r>
        <w:rPr>
          <w:lang w:val="fr-FR"/>
        </w:rPr>
        <w:t>’</w:t>
      </w:r>
      <w:r w:rsidRPr="002A1ECB">
        <w:rPr>
          <w:lang w:val="fr-FR"/>
        </w:rPr>
        <w:t>offrir les services d</w:t>
      </w:r>
      <w:r>
        <w:rPr>
          <w:lang w:val="fr-FR"/>
        </w:rPr>
        <w:t>’</w:t>
      </w:r>
      <w:r w:rsidRPr="002A1ECB">
        <w:rPr>
          <w:lang w:val="fr-FR"/>
        </w:rPr>
        <w:t>un avocat et que sa demande d</w:t>
      </w:r>
      <w:r>
        <w:rPr>
          <w:lang w:val="fr-FR"/>
        </w:rPr>
        <w:t>’</w:t>
      </w:r>
      <w:r w:rsidRPr="002A1ECB">
        <w:rPr>
          <w:lang w:val="fr-FR"/>
        </w:rPr>
        <w:t>aide judiciaire avait été rejetée.</w:t>
      </w:r>
    </w:p>
    <w:p w:rsidR="002E353E" w:rsidRPr="002A1ECB" w:rsidRDefault="002E353E" w:rsidP="002E353E">
      <w:pPr>
        <w:pStyle w:val="SingleTxtG"/>
        <w:rPr>
          <w:lang w:val="fr-FR"/>
        </w:rPr>
      </w:pPr>
      <w:r w:rsidRPr="002A1ECB">
        <w:rPr>
          <w:lang w:val="fr-FR"/>
        </w:rPr>
        <w:t>2.7</w:t>
      </w:r>
      <w:r w:rsidRPr="002A1ECB">
        <w:rPr>
          <w:lang w:val="fr-FR"/>
        </w:rPr>
        <w:tab/>
        <w:t>Le 21 juillet 2010, l</w:t>
      </w:r>
      <w:r>
        <w:rPr>
          <w:lang w:val="fr-FR"/>
        </w:rPr>
        <w:t>’</w:t>
      </w:r>
      <w:r w:rsidRPr="002A1ECB">
        <w:rPr>
          <w:lang w:val="fr-FR"/>
        </w:rPr>
        <w:t>auteur a été informé par l</w:t>
      </w:r>
      <w:r>
        <w:rPr>
          <w:lang w:val="fr-FR"/>
        </w:rPr>
        <w:t>’</w:t>
      </w:r>
      <w:r w:rsidRPr="002A1ECB">
        <w:rPr>
          <w:lang w:val="fr-FR"/>
        </w:rPr>
        <w:t>Agence des services frontaliers du Canada que, le 30 juillet 2010, il serait expulsé vers Bossasso (Somalie).</w:t>
      </w:r>
    </w:p>
    <w:p w:rsidR="002E353E" w:rsidRPr="009238E4" w:rsidRDefault="002E353E" w:rsidP="00D837BE">
      <w:pPr>
        <w:pStyle w:val="H23G"/>
      </w:pPr>
      <w:r w:rsidRPr="009238E4">
        <w:tab/>
      </w:r>
      <w:r w:rsidRPr="009238E4">
        <w:tab/>
        <w:t>Teneur de la plainte</w:t>
      </w:r>
    </w:p>
    <w:p w:rsidR="002E353E" w:rsidRPr="002A1ECB" w:rsidRDefault="002E353E" w:rsidP="002E353E">
      <w:pPr>
        <w:pStyle w:val="SingleTxtG"/>
        <w:rPr>
          <w:lang w:val="fr-FR"/>
        </w:rPr>
      </w:pPr>
      <w:r w:rsidRPr="002A1ECB">
        <w:rPr>
          <w:lang w:val="fr-FR"/>
        </w:rPr>
        <w:t>3.1</w:t>
      </w:r>
      <w:r w:rsidRPr="002A1ECB">
        <w:rPr>
          <w:lang w:val="fr-FR"/>
        </w:rPr>
        <w:tab/>
        <w:t>L</w:t>
      </w:r>
      <w:r>
        <w:rPr>
          <w:lang w:val="fr-FR"/>
        </w:rPr>
        <w:t>’</w:t>
      </w:r>
      <w:r w:rsidRPr="002A1ECB">
        <w:rPr>
          <w:lang w:val="fr-FR"/>
        </w:rPr>
        <w:t>auteur affirme que s</w:t>
      </w:r>
      <w:r>
        <w:rPr>
          <w:lang w:val="fr-FR"/>
        </w:rPr>
        <w:t>’</w:t>
      </w:r>
      <w:r w:rsidRPr="002A1ECB">
        <w:rPr>
          <w:lang w:val="fr-FR"/>
        </w:rPr>
        <w:t>il était expulsé vers la Somalie, il encourrait le risque d</w:t>
      </w:r>
      <w:r>
        <w:rPr>
          <w:lang w:val="fr-FR"/>
        </w:rPr>
        <w:t>’</w:t>
      </w:r>
      <w:r w:rsidRPr="002A1ECB">
        <w:rPr>
          <w:lang w:val="fr-FR"/>
        </w:rPr>
        <w:t>être arbitrairement privé de la vie, en violation du paragraphe 1 de l</w:t>
      </w:r>
      <w:r>
        <w:rPr>
          <w:lang w:val="fr-FR"/>
        </w:rPr>
        <w:t>’</w:t>
      </w:r>
      <w:r w:rsidRPr="002A1ECB">
        <w:rPr>
          <w:lang w:val="fr-FR"/>
        </w:rPr>
        <w:t>article 6 du Pacte, et d</w:t>
      </w:r>
      <w:r>
        <w:rPr>
          <w:lang w:val="fr-FR"/>
        </w:rPr>
        <w:t>’</w:t>
      </w:r>
      <w:r w:rsidRPr="002A1ECB">
        <w:rPr>
          <w:lang w:val="fr-FR"/>
        </w:rPr>
        <w:t>être soumis à la torture et d</w:t>
      </w:r>
      <w:r>
        <w:rPr>
          <w:lang w:val="fr-FR"/>
        </w:rPr>
        <w:t>’</w:t>
      </w:r>
      <w:r w:rsidRPr="002A1ECB">
        <w:rPr>
          <w:lang w:val="fr-FR"/>
        </w:rPr>
        <w:t>autres peines ou traitements cruels, inhumains ou dégradants en violation de l</w:t>
      </w:r>
      <w:r>
        <w:rPr>
          <w:lang w:val="fr-FR"/>
        </w:rPr>
        <w:t>’</w:t>
      </w:r>
      <w:r w:rsidRPr="002A1ECB">
        <w:rPr>
          <w:lang w:val="fr-FR"/>
        </w:rPr>
        <w:t>article 7 du Pacte. Il renvoie aux observations finales du Comité contre la torture en date de juillet 2005</w:t>
      </w:r>
      <w:r w:rsidRPr="00363258">
        <w:rPr>
          <w:rStyle w:val="FootnoteReference"/>
        </w:rPr>
        <w:footnoteReference w:id="5"/>
      </w:r>
      <w:r w:rsidRPr="002A1ECB">
        <w:rPr>
          <w:lang w:val="fr-FR"/>
        </w:rPr>
        <w:t xml:space="preserve"> et à celles du Comité des droits de l</w:t>
      </w:r>
      <w:r>
        <w:rPr>
          <w:lang w:val="fr-FR"/>
        </w:rPr>
        <w:t>’</w:t>
      </w:r>
      <w:r w:rsidRPr="002A1ECB">
        <w:rPr>
          <w:lang w:val="fr-FR"/>
        </w:rPr>
        <w:t>homme en date de novembre 2005</w:t>
      </w:r>
      <w:r w:rsidRPr="00363258">
        <w:rPr>
          <w:rStyle w:val="FootnoteReference"/>
        </w:rPr>
        <w:footnoteReference w:id="6"/>
      </w:r>
      <w:r w:rsidRPr="002A1ECB">
        <w:rPr>
          <w:lang w:val="fr-FR"/>
        </w:rPr>
        <w:t>, dans lesquelles il a été reproché à l</w:t>
      </w:r>
      <w:r>
        <w:rPr>
          <w:lang w:val="fr-FR"/>
        </w:rPr>
        <w:t>’</w:t>
      </w:r>
      <w:r w:rsidRPr="002A1ECB">
        <w:rPr>
          <w:lang w:val="fr-FR"/>
        </w:rPr>
        <w:t>État partie de ne pas reconnaître le caractère absolu du principe de non-refoulement.</w:t>
      </w:r>
    </w:p>
    <w:p w:rsidR="002E353E" w:rsidRPr="002A1ECB" w:rsidRDefault="006C6E73" w:rsidP="002E353E">
      <w:pPr>
        <w:pStyle w:val="SingleTxtG"/>
        <w:rPr>
          <w:lang w:val="fr-FR"/>
        </w:rPr>
      </w:pPr>
      <w:r>
        <w:rPr>
          <w:lang w:val="fr-FR"/>
        </w:rPr>
        <w:t>3.2</w:t>
      </w:r>
      <w:r w:rsidR="002E353E" w:rsidRPr="002A1ECB">
        <w:rPr>
          <w:lang w:val="fr-FR"/>
        </w:rPr>
        <w:tab/>
        <w:t>L</w:t>
      </w:r>
      <w:r w:rsidR="002E353E">
        <w:rPr>
          <w:lang w:val="fr-FR"/>
        </w:rPr>
        <w:t>’</w:t>
      </w:r>
      <w:r w:rsidR="002E353E" w:rsidRPr="002A1ECB">
        <w:rPr>
          <w:lang w:val="fr-FR"/>
        </w:rPr>
        <w:t>auteur fait observer qu</w:t>
      </w:r>
      <w:r w:rsidR="002E353E">
        <w:rPr>
          <w:lang w:val="fr-FR"/>
        </w:rPr>
        <w:t>’</w:t>
      </w:r>
      <w:r w:rsidR="002E353E" w:rsidRPr="002A1ECB">
        <w:rPr>
          <w:lang w:val="fr-FR"/>
        </w:rPr>
        <w:t>il n</w:t>
      </w:r>
      <w:r w:rsidR="002E353E">
        <w:rPr>
          <w:lang w:val="fr-FR"/>
        </w:rPr>
        <w:t>’</w:t>
      </w:r>
      <w:r w:rsidR="002E353E" w:rsidRPr="002A1ECB">
        <w:rPr>
          <w:lang w:val="fr-FR"/>
        </w:rPr>
        <w:t>est pas né en Somalie, n</w:t>
      </w:r>
      <w:r w:rsidR="002E353E">
        <w:rPr>
          <w:lang w:val="fr-FR"/>
        </w:rPr>
        <w:t>’</w:t>
      </w:r>
      <w:r w:rsidR="002E353E" w:rsidRPr="002A1ECB">
        <w:rPr>
          <w:lang w:val="fr-FR"/>
        </w:rPr>
        <w:t>y a jamais résidé et ne s</w:t>
      </w:r>
      <w:r w:rsidR="002E353E">
        <w:rPr>
          <w:lang w:val="fr-FR"/>
        </w:rPr>
        <w:t>’</w:t>
      </w:r>
      <w:r w:rsidR="002E353E" w:rsidRPr="002A1ECB">
        <w:rPr>
          <w:lang w:val="fr-FR"/>
        </w:rPr>
        <w:t>y est jamais rendu. Il n</w:t>
      </w:r>
      <w:r w:rsidR="002E353E">
        <w:rPr>
          <w:lang w:val="fr-FR"/>
        </w:rPr>
        <w:t>’</w:t>
      </w:r>
      <w:r w:rsidR="002E353E" w:rsidRPr="002A1ECB">
        <w:rPr>
          <w:lang w:val="fr-FR"/>
        </w:rPr>
        <w:t>a nul moyen d</w:t>
      </w:r>
      <w:r w:rsidR="002E353E">
        <w:rPr>
          <w:lang w:val="fr-FR"/>
        </w:rPr>
        <w:t>’</w:t>
      </w:r>
      <w:r w:rsidR="002E353E" w:rsidRPr="002A1ECB">
        <w:rPr>
          <w:lang w:val="fr-FR"/>
        </w:rPr>
        <w:t>établir son appartenance à un clan originaire du Puntland en raison de ses connaissances linguistiques très limitées et du fait qu</w:t>
      </w:r>
      <w:r w:rsidR="002E353E">
        <w:rPr>
          <w:lang w:val="fr-FR"/>
        </w:rPr>
        <w:t>’</w:t>
      </w:r>
      <w:r w:rsidR="002E353E" w:rsidRPr="002A1ECB">
        <w:rPr>
          <w:lang w:val="fr-FR"/>
        </w:rPr>
        <w:t>il n</w:t>
      </w:r>
      <w:r w:rsidR="002E353E">
        <w:rPr>
          <w:lang w:val="fr-FR"/>
        </w:rPr>
        <w:t>’</w:t>
      </w:r>
      <w:r w:rsidR="002E353E" w:rsidRPr="002A1ECB">
        <w:rPr>
          <w:lang w:val="fr-FR"/>
        </w:rPr>
        <w:t>a aucune famille dans la région et connaît mal les pratiques et la culture clanique</w:t>
      </w:r>
      <w:r w:rsidR="002E353E">
        <w:rPr>
          <w:lang w:val="fr-FR"/>
        </w:rPr>
        <w:t>s</w:t>
      </w:r>
      <w:r w:rsidR="002E353E" w:rsidRPr="002A1ECB">
        <w:rPr>
          <w:lang w:val="fr-FR"/>
        </w:rPr>
        <w:t>. Son père et sa mère sont nés à Mogadiscio et n</w:t>
      </w:r>
      <w:r w:rsidR="002E353E">
        <w:rPr>
          <w:lang w:val="fr-FR"/>
        </w:rPr>
        <w:t>’</w:t>
      </w:r>
      <w:r w:rsidR="002E353E" w:rsidRPr="002A1ECB">
        <w:rPr>
          <w:lang w:val="fr-FR"/>
        </w:rPr>
        <w:t>ont pas de famille élargie à Bossasso, ville vers laquelle il est expulsé.</w:t>
      </w:r>
    </w:p>
    <w:p w:rsidR="002E353E" w:rsidRPr="002A1ECB" w:rsidRDefault="002E353E" w:rsidP="002E353E">
      <w:pPr>
        <w:pStyle w:val="SingleTxtG"/>
        <w:rPr>
          <w:lang w:val="fr-FR"/>
        </w:rPr>
      </w:pPr>
      <w:r w:rsidRPr="002A1ECB">
        <w:rPr>
          <w:lang w:val="fr-FR"/>
        </w:rPr>
        <w:t>3.3</w:t>
      </w:r>
      <w:r w:rsidRPr="002A1ECB">
        <w:rPr>
          <w:lang w:val="fr-FR"/>
        </w:rPr>
        <w:tab/>
        <w:t>L</w:t>
      </w:r>
      <w:r>
        <w:rPr>
          <w:lang w:val="fr-FR"/>
        </w:rPr>
        <w:t>’</w:t>
      </w:r>
      <w:r w:rsidRPr="002A1ECB">
        <w:rPr>
          <w:lang w:val="fr-FR"/>
        </w:rPr>
        <w:t>auteur craint de ne pas pouvoir se protéger et survivre à Bossasso, ou ailleurs en Somalie, sans appui familial ou clanique, de devenir sans-abri et d</w:t>
      </w:r>
      <w:r>
        <w:rPr>
          <w:lang w:val="fr-FR"/>
        </w:rPr>
        <w:t>’</w:t>
      </w:r>
      <w:r w:rsidRPr="002A1ECB">
        <w:rPr>
          <w:lang w:val="fr-FR"/>
        </w:rPr>
        <w:t>être exposé à un large éventail de violations des droits de l</w:t>
      </w:r>
      <w:r>
        <w:rPr>
          <w:lang w:val="fr-FR"/>
        </w:rPr>
        <w:t>’</w:t>
      </w:r>
      <w:r w:rsidRPr="002A1ECB">
        <w:rPr>
          <w:lang w:val="fr-FR"/>
        </w:rPr>
        <w:t>homme</w:t>
      </w:r>
      <w:r w:rsidRPr="00363258">
        <w:rPr>
          <w:rStyle w:val="FootnoteReference"/>
        </w:rPr>
        <w:footnoteReference w:id="7"/>
      </w:r>
      <w:r w:rsidRPr="002A1ECB">
        <w:rPr>
          <w:lang w:val="fr-FR"/>
        </w:rPr>
        <w:t>. De plus, n</w:t>
      </w:r>
      <w:r>
        <w:rPr>
          <w:lang w:val="fr-FR"/>
        </w:rPr>
        <w:t>’</w:t>
      </w:r>
      <w:r w:rsidRPr="002A1ECB">
        <w:rPr>
          <w:lang w:val="fr-FR"/>
        </w:rPr>
        <w:t>ayant aucun moyen d</w:t>
      </w:r>
      <w:r>
        <w:rPr>
          <w:lang w:val="fr-FR"/>
        </w:rPr>
        <w:t>’</w:t>
      </w:r>
      <w:r w:rsidRPr="002A1ECB">
        <w:rPr>
          <w:lang w:val="fr-FR"/>
        </w:rPr>
        <w:t>établir qu</w:t>
      </w:r>
      <w:r>
        <w:rPr>
          <w:lang w:val="fr-FR"/>
        </w:rPr>
        <w:t>’</w:t>
      </w:r>
      <w:r w:rsidRPr="002A1ECB">
        <w:rPr>
          <w:lang w:val="fr-FR"/>
        </w:rPr>
        <w:t>il est originaire du Puntland, il risque d</w:t>
      </w:r>
      <w:r>
        <w:rPr>
          <w:lang w:val="fr-FR"/>
        </w:rPr>
        <w:t>’</w:t>
      </w:r>
      <w:r w:rsidRPr="002A1ECB">
        <w:rPr>
          <w:lang w:val="fr-FR"/>
        </w:rPr>
        <w:t>être détenu ou expulsé vers le sud ou le centre de la Somalie où sa vie serait encore plus en danger. L</w:t>
      </w:r>
      <w:r>
        <w:rPr>
          <w:lang w:val="fr-FR"/>
        </w:rPr>
        <w:t>’</w:t>
      </w:r>
      <w:r w:rsidRPr="002A1ECB">
        <w:rPr>
          <w:lang w:val="fr-FR"/>
        </w:rPr>
        <w:t>auteur renvoie à des preuves documentaires sur la situation en Somalie montrant qu</w:t>
      </w:r>
      <w:r>
        <w:rPr>
          <w:lang w:val="fr-FR"/>
        </w:rPr>
        <w:t>’</w:t>
      </w:r>
      <w:r w:rsidRPr="002A1ECB">
        <w:rPr>
          <w:lang w:val="fr-FR"/>
        </w:rPr>
        <w:t>il s</w:t>
      </w:r>
      <w:r>
        <w:rPr>
          <w:lang w:val="fr-FR"/>
        </w:rPr>
        <w:t>’</w:t>
      </w:r>
      <w:r w:rsidRPr="002A1ECB">
        <w:rPr>
          <w:lang w:val="fr-FR"/>
        </w:rPr>
        <w:t>agit d</w:t>
      </w:r>
      <w:r>
        <w:rPr>
          <w:lang w:val="fr-FR"/>
        </w:rPr>
        <w:t>’</w:t>
      </w:r>
      <w:r w:rsidRPr="002A1ECB">
        <w:rPr>
          <w:lang w:val="fr-FR"/>
        </w:rPr>
        <w:t>un des pays les plus dangereux au monde, où tout résident peut craindre pour sa vie et risque de subir des peines ou traitements cruels et inusités</w:t>
      </w:r>
      <w:r w:rsidRPr="00363258">
        <w:rPr>
          <w:rStyle w:val="FootnoteReference"/>
        </w:rPr>
        <w:footnoteReference w:id="8"/>
      </w:r>
      <w:r w:rsidRPr="002A1ECB">
        <w:rPr>
          <w:lang w:val="fr-FR"/>
        </w:rPr>
        <w:t>.</w:t>
      </w:r>
    </w:p>
    <w:p w:rsidR="002E353E" w:rsidRPr="002A1ECB" w:rsidRDefault="002E353E" w:rsidP="002E353E">
      <w:pPr>
        <w:pStyle w:val="SingleTxtG"/>
        <w:rPr>
          <w:lang w:val="fr-FR"/>
        </w:rPr>
      </w:pPr>
      <w:r w:rsidRPr="002A1ECB">
        <w:rPr>
          <w:lang w:val="fr-FR"/>
        </w:rPr>
        <w:t>3.4</w:t>
      </w:r>
      <w:r w:rsidRPr="002A1ECB">
        <w:rPr>
          <w:lang w:val="fr-FR"/>
        </w:rPr>
        <w:tab/>
        <w:t>L</w:t>
      </w:r>
      <w:r>
        <w:rPr>
          <w:lang w:val="fr-FR"/>
        </w:rPr>
        <w:t>’</w:t>
      </w:r>
      <w:r w:rsidRPr="002A1ECB">
        <w:rPr>
          <w:lang w:val="fr-FR"/>
        </w:rPr>
        <w:t>auteur affirme que ces risques sont accrus pour une personne qui ne connaît pas la Somalie, ne maîtrise pas la langue et ne bénéficie d</w:t>
      </w:r>
      <w:r>
        <w:rPr>
          <w:lang w:val="fr-FR"/>
        </w:rPr>
        <w:t>’</w:t>
      </w:r>
      <w:r w:rsidRPr="002A1ECB">
        <w:rPr>
          <w:lang w:val="fr-FR"/>
        </w:rPr>
        <w:t>aucun soutien familial ou clanique. Il affirme également que, en tant que jeune homme de 26 ans en bonne santé, il risquerait fort d</w:t>
      </w:r>
      <w:r>
        <w:rPr>
          <w:lang w:val="fr-FR"/>
        </w:rPr>
        <w:t>’</w:t>
      </w:r>
      <w:r w:rsidRPr="002A1ECB">
        <w:rPr>
          <w:lang w:val="fr-FR"/>
        </w:rPr>
        <w:t>être enrôlé de force par des groupes tels que Al-Shab</w:t>
      </w:r>
      <w:r>
        <w:rPr>
          <w:lang w:val="fr-FR"/>
        </w:rPr>
        <w:t>a</w:t>
      </w:r>
      <w:r w:rsidRPr="002A1ECB">
        <w:rPr>
          <w:lang w:val="fr-FR"/>
        </w:rPr>
        <w:t>b et Hizbul Islam, ou même par le Gouvernement fédéral de transition et ses forces alliées</w:t>
      </w:r>
      <w:r w:rsidRPr="00363258">
        <w:rPr>
          <w:rStyle w:val="FootnoteReference"/>
        </w:rPr>
        <w:footnoteReference w:id="9"/>
      </w:r>
      <w:r w:rsidRPr="002A1ECB">
        <w:rPr>
          <w:lang w:val="fr-FR"/>
        </w:rPr>
        <w:t>. S</w:t>
      </w:r>
      <w:r>
        <w:rPr>
          <w:lang w:val="fr-FR"/>
        </w:rPr>
        <w:t>’</w:t>
      </w:r>
      <w:r w:rsidRPr="002A1ECB">
        <w:rPr>
          <w:lang w:val="fr-FR"/>
        </w:rPr>
        <w:t>il était expulsé vers la Somalie, il subirait la grave crise humanitaire que traverse le pays</w:t>
      </w:r>
      <w:r w:rsidRPr="00363258">
        <w:rPr>
          <w:rStyle w:val="FootnoteReference"/>
        </w:rPr>
        <w:footnoteReference w:id="10"/>
      </w:r>
      <w:r w:rsidRPr="002A1ECB">
        <w:rPr>
          <w:lang w:val="fr-FR"/>
        </w:rPr>
        <w:t>. En outre, il serait personnellement ciblé dès son arrivée en Somalie en raison de sa conversion au christianisme.</w:t>
      </w:r>
    </w:p>
    <w:p w:rsidR="002E353E" w:rsidRPr="002A1ECB" w:rsidRDefault="002E353E" w:rsidP="002E353E">
      <w:pPr>
        <w:pStyle w:val="SingleTxtG"/>
        <w:rPr>
          <w:lang w:val="fr-FR"/>
        </w:rPr>
      </w:pPr>
      <w:r w:rsidRPr="002A1ECB">
        <w:rPr>
          <w:lang w:val="fr-FR"/>
        </w:rPr>
        <w:t>3.5</w:t>
      </w:r>
      <w:r w:rsidRPr="002A1ECB">
        <w:rPr>
          <w:lang w:val="fr-FR"/>
        </w:rPr>
        <w:tab/>
        <w:t>L</w:t>
      </w:r>
      <w:r>
        <w:rPr>
          <w:lang w:val="fr-FR"/>
        </w:rPr>
        <w:t>’</w:t>
      </w:r>
      <w:r w:rsidRPr="002A1ECB">
        <w:rPr>
          <w:lang w:val="fr-FR"/>
        </w:rPr>
        <w:t>auteur estime que son expulsion vers la Somalie équivaut à une condamnation à mort. Il affirme que l</w:t>
      </w:r>
      <w:r>
        <w:rPr>
          <w:lang w:val="fr-FR"/>
        </w:rPr>
        <w:t>’</w:t>
      </w:r>
      <w:r w:rsidRPr="002A1ECB">
        <w:rPr>
          <w:lang w:val="fr-FR"/>
        </w:rPr>
        <w:t>infraction la plus grave qu</w:t>
      </w:r>
      <w:r>
        <w:rPr>
          <w:lang w:val="fr-FR"/>
        </w:rPr>
        <w:t>’</w:t>
      </w:r>
      <w:r w:rsidRPr="002A1ECB">
        <w:rPr>
          <w:lang w:val="fr-FR"/>
        </w:rPr>
        <w:t>il ait commise est la possession, à des fins de trafic, d</w:t>
      </w:r>
      <w:r>
        <w:rPr>
          <w:lang w:val="fr-FR"/>
        </w:rPr>
        <w:t>’</w:t>
      </w:r>
      <w:r w:rsidRPr="002A1ECB">
        <w:rPr>
          <w:lang w:val="fr-FR"/>
        </w:rPr>
        <w:t>une substance inscrite au tableau et qu</w:t>
      </w:r>
      <w:r>
        <w:rPr>
          <w:lang w:val="fr-FR"/>
        </w:rPr>
        <w:t>’</w:t>
      </w:r>
      <w:r w:rsidRPr="002A1ECB">
        <w:rPr>
          <w:lang w:val="fr-FR"/>
        </w:rPr>
        <w:t>une peine d</w:t>
      </w:r>
      <w:r>
        <w:rPr>
          <w:lang w:val="fr-FR"/>
        </w:rPr>
        <w:t>’</w:t>
      </w:r>
      <w:r w:rsidRPr="002A1ECB">
        <w:rPr>
          <w:lang w:val="fr-FR"/>
        </w:rPr>
        <w:t>expulsion l</w:t>
      </w:r>
      <w:r>
        <w:rPr>
          <w:lang w:val="fr-FR"/>
        </w:rPr>
        <w:t>’</w:t>
      </w:r>
      <w:r w:rsidRPr="002A1ECB">
        <w:rPr>
          <w:lang w:val="fr-FR"/>
        </w:rPr>
        <w:t>exposant à un danger de mort réel et imminent est disproportionnée par rapport à une telle infraction et contraire aux disp</w:t>
      </w:r>
      <w:r>
        <w:rPr>
          <w:lang w:val="fr-FR"/>
        </w:rPr>
        <w:t xml:space="preserve">ositions énoncées au paragraphe 1 </w:t>
      </w:r>
      <w:r w:rsidRPr="002A1ECB">
        <w:rPr>
          <w:lang w:val="fr-FR"/>
        </w:rPr>
        <w:t>de l</w:t>
      </w:r>
      <w:r>
        <w:rPr>
          <w:lang w:val="fr-FR"/>
        </w:rPr>
        <w:t>’</w:t>
      </w:r>
      <w:r w:rsidRPr="002A1ECB">
        <w:rPr>
          <w:lang w:val="fr-FR"/>
        </w:rPr>
        <w:t xml:space="preserve">article 6 du Pacte. </w:t>
      </w:r>
    </w:p>
    <w:p w:rsidR="002E353E" w:rsidRPr="002A1ECB" w:rsidRDefault="002E353E" w:rsidP="002E353E">
      <w:pPr>
        <w:pStyle w:val="SingleTxtG"/>
        <w:rPr>
          <w:lang w:val="fr-FR"/>
        </w:rPr>
      </w:pPr>
      <w:r>
        <w:rPr>
          <w:lang w:val="fr-FR"/>
        </w:rPr>
        <w:t>3.6</w:t>
      </w:r>
      <w:r w:rsidRPr="002A1ECB">
        <w:rPr>
          <w:lang w:val="fr-FR"/>
        </w:rPr>
        <w:tab/>
        <w:t>L</w:t>
      </w:r>
      <w:r>
        <w:rPr>
          <w:lang w:val="fr-FR"/>
        </w:rPr>
        <w:t>’</w:t>
      </w:r>
      <w:r w:rsidRPr="002A1ECB">
        <w:rPr>
          <w:lang w:val="fr-FR"/>
        </w:rPr>
        <w:t>auteur fait valoir que son expulsion constituerait une immixtion arbitraire et illégale dans sa vie privée et une violation de l</w:t>
      </w:r>
      <w:r>
        <w:rPr>
          <w:lang w:val="fr-FR"/>
        </w:rPr>
        <w:t>’</w:t>
      </w:r>
      <w:r w:rsidRPr="002A1ECB">
        <w:rPr>
          <w:lang w:val="fr-FR"/>
        </w:rPr>
        <w:t>article 17 et du paragraphe 1 de l</w:t>
      </w:r>
      <w:r>
        <w:rPr>
          <w:lang w:val="fr-FR"/>
        </w:rPr>
        <w:t>’</w:t>
      </w:r>
      <w:r w:rsidRPr="002A1ECB">
        <w:rPr>
          <w:lang w:val="fr-FR"/>
        </w:rPr>
        <w:t>article 23 du Pacte, étant donné qu</w:t>
      </w:r>
      <w:r>
        <w:rPr>
          <w:lang w:val="fr-FR"/>
        </w:rPr>
        <w:t>’</w:t>
      </w:r>
      <w:r w:rsidRPr="002A1ECB">
        <w:rPr>
          <w:lang w:val="fr-FR"/>
        </w:rPr>
        <w:t>il n</w:t>
      </w:r>
      <w:r>
        <w:rPr>
          <w:lang w:val="fr-FR"/>
        </w:rPr>
        <w:t>’</w:t>
      </w:r>
      <w:r w:rsidRPr="002A1ECB">
        <w:rPr>
          <w:lang w:val="fr-FR"/>
        </w:rPr>
        <w:t>a jamais résidé en Somalie et que toute sa famille vit au Canada. Il est très proche de sa mère et de ses sœurs, qui font régulièrement plusieurs heures de trajet pour lui rendre visite au Centre correctionnel du Centre-Est</w:t>
      </w:r>
      <w:r w:rsidRPr="00363258">
        <w:rPr>
          <w:rStyle w:val="FootnoteReference"/>
        </w:rPr>
        <w:footnoteReference w:id="11"/>
      </w:r>
      <w:r w:rsidRPr="002A1ECB">
        <w:rPr>
          <w:lang w:val="fr-FR"/>
        </w:rPr>
        <w:t>. L</w:t>
      </w:r>
      <w:r>
        <w:rPr>
          <w:lang w:val="fr-FR"/>
        </w:rPr>
        <w:t>’</w:t>
      </w:r>
      <w:r w:rsidRPr="002A1ECB">
        <w:rPr>
          <w:lang w:val="fr-FR"/>
        </w:rPr>
        <w:t>auteur affirme que son expulsion vers la Somalie est excessive par rapport à l</w:t>
      </w:r>
      <w:r>
        <w:rPr>
          <w:lang w:val="fr-FR"/>
        </w:rPr>
        <w:t>’</w:t>
      </w:r>
      <w:r w:rsidRPr="002A1ECB">
        <w:rPr>
          <w:lang w:val="fr-FR"/>
        </w:rPr>
        <w:t>objectif de l</w:t>
      </w:r>
      <w:r>
        <w:rPr>
          <w:lang w:val="fr-FR"/>
        </w:rPr>
        <w:t>’</w:t>
      </w:r>
      <w:r w:rsidRPr="002A1ECB">
        <w:rPr>
          <w:lang w:val="fr-FR"/>
        </w:rPr>
        <w:t>État partie consistant à prévenir la criminalité. Les condamnations dont l</w:t>
      </w:r>
      <w:r>
        <w:rPr>
          <w:lang w:val="fr-FR"/>
        </w:rPr>
        <w:t>’</w:t>
      </w:r>
      <w:r w:rsidRPr="002A1ECB">
        <w:rPr>
          <w:lang w:val="fr-FR"/>
        </w:rPr>
        <w:t>auteur a fait l</w:t>
      </w:r>
      <w:r>
        <w:rPr>
          <w:lang w:val="fr-FR"/>
        </w:rPr>
        <w:t>’</w:t>
      </w:r>
      <w:r w:rsidRPr="002A1ECB">
        <w:rPr>
          <w:lang w:val="fr-FR"/>
        </w:rPr>
        <w:t>objet sont liées à sa dépendance à la drogue.</w:t>
      </w:r>
    </w:p>
    <w:p w:rsidR="002E353E" w:rsidRDefault="002E353E" w:rsidP="002E353E">
      <w:pPr>
        <w:pStyle w:val="SingleTxtG"/>
      </w:pPr>
      <w:r w:rsidRPr="002A1ECB">
        <w:rPr>
          <w:lang w:val="fr-FR"/>
        </w:rPr>
        <w:t>3.7</w:t>
      </w:r>
      <w:r w:rsidRPr="002A1ECB">
        <w:rPr>
          <w:lang w:val="fr-FR"/>
        </w:rPr>
        <w:tab/>
      </w:r>
      <w:r>
        <w:rPr>
          <w:lang w:val="fr-FR"/>
        </w:rPr>
        <w:t>L’</w:t>
      </w:r>
      <w:r w:rsidRPr="002A1ECB">
        <w:rPr>
          <w:lang w:val="fr-FR"/>
        </w:rPr>
        <w:t xml:space="preserve">auteur affirme </w:t>
      </w:r>
      <w:r>
        <w:rPr>
          <w:lang w:val="fr-FR"/>
        </w:rPr>
        <w:t xml:space="preserve">en outre </w:t>
      </w:r>
      <w:r w:rsidRPr="002A1ECB">
        <w:rPr>
          <w:lang w:val="fr-FR"/>
        </w:rPr>
        <w:t>que, s</w:t>
      </w:r>
      <w:r>
        <w:rPr>
          <w:lang w:val="fr-FR"/>
        </w:rPr>
        <w:t>’</w:t>
      </w:r>
      <w:r w:rsidRPr="002A1ECB">
        <w:rPr>
          <w:lang w:val="fr-FR"/>
        </w:rPr>
        <w:t>il était expulsé vers la Somalie, sa liberté de religion, telle que protégée par l</w:t>
      </w:r>
      <w:r>
        <w:rPr>
          <w:lang w:val="fr-FR"/>
        </w:rPr>
        <w:t>’</w:t>
      </w:r>
      <w:r w:rsidRPr="002A1ECB">
        <w:rPr>
          <w:lang w:val="fr-FR"/>
        </w:rPr>
        <w:t>article 18 du Pacte, serait violée sachant que les religions autres que l</w:t>
      </w:r>
      <w:r>
        <w:rPr>
          <w:lang w:val="fr-FR"/>
        </w:rPr>
        <w:t>’</w:t>
      </w:r>
      <w:r w:rsidRPr="002A1ECB">
        <w:rPr>
          <w:lang w:val="fr-FR"/>
        </w:rPr>
        <w:t>islam sont strictement interdites en Somalie. Il risquerait donc de subir des persécutions et des préjudices graves s</w:t>
      </w:r>
      <w:r>
        <w:rPr>
          <w:lang w:val="fr-FR"/>
        </w:rPr>
        <w:t>’</w:t>
      </w:r>
      <w:r w:rsidRPr="002A1ECB">
        <w:rPr>
          <w:lang w:val="fr-FR"/>
        </w:rPr>
        <w:t>il ne changeait pas de religion</w:t>
      </w:r>
      <w:r w:rsidRPr="00363258">
        <w:rPr>
          <w:rStyle w:val="FootnoteReference"/>
        </w:rPr>
        <w:footnoteReference w:id="12"/>
      </w:r>
      <w:r w:rsidRPr="002A1ECB">
        <w:t>.</w:t>
      </w:r>
      <w:r w:rsidR="00833C05">
        <w:t xml:space="preserve"> Cette affirmation a ensuite été retirée (voir par. 5.1).</w:t>
      </w:r>
    </w:p>
    <w:p w:rsidR="002E353E" w:rsidRPr="002A1ECB" w:rsidRDefault="002E353E" w:rsidP="002E353E">
      <w:pPr>
        <w:pStyle w:val="SingleTxtG"/>
        <w:rPr>
          <w:lang w:val="fr-FR"/>
        </w:rPr>
      </w:pPr>
      <w:r>
        <w:t>3.8</w:t>
      </w:r>
      <w:r>
        <w:tab/>
        <w:t>Le 30 novembre 2010, l’auteur a modifié sa plainte et affirmé qu’il y aurait violation des droits protégés par le paragraphe 4 de l’article 12 s’il était expulsé vers la Somalie (voir par.</w:t>
      </w:r>
      <w:r w:rsidR="00833C05">
        <w:t> </w:t>
      </w:r>
      <w:r>
        <w:t>5.11).</w:t>
      </w:r>
    </w:p>
    <w:p w:rsidR="002E353E" w:rsidRPr="009238E4" w:rsidRDefault="002E353E" w:rsidP="00833C05">
      <w:pPr>
        <w:pStyle w:val="H23G"/>
      </w:pPr>
      <w:r w:rsidRPr="009238E4">
        <w:tab/>
      </w:r>
      <w:r w:rsidRPr="009238E4">
        <w:tab/>
        <w:t>Observations de l</w:t>
      </w:r>
      <w:r>
        <w:t>’</w:t>
      </w:r>
      <w:r w:rsidRPr="009238E4">
        <w:t>État partie sur la recevabilité et sur le fond</w:t>
      </w:r>
    </w:p>
    <w:p w:rsidR="002E353E" w:rsidRPr="002A1ECB" w:rsidRDefault="002E353E" w:rsidP="002E353E">
      <w:pPr>
        <w:pStyle w:val="SingleTxtG"/>
        <w:rPr>
          <w:lang w:val="fr-FR"/>
        </w:rPr>
      </w:pPr>
      <w:r w:rsidRPr="002A1ECB">
        <w:rPr>
          <w:lang w:val="fr-FR"/>
        </w:rPr>
        <w:t>4.1</w:t>
      </w:r>
      <w:r w:rsidRPr="002A1ECB">
        <w:rPr>
          <w:lang w:val="fr-FR"/>
        </w:rPr>
        <w:tab/>
        <w:t>Le 24 septembre 2010, l</w:t>
      </w:r>
      <w:r>
        <w:rPr>
          <w:lang w:val="fr-FR"/>
        </w:rPr>
        <w:t>’</w:t>
      </w:r>
      <w:r w:rsidRPr="002A1ECB">
        <w:rPr>
          <w:lang w:val="fr-FR"/>
        </w:rPr>
        <w:t>État partie a fait part de ses observations sur la recevabilité et sur le fond. L</w:t>
      </w:r>
      <w:r>
        <w:rPr>
          <w:lang w:val="fr-FR"/>
        </w:rPr>
        <w:t>’</w:t>
      </w:r>
      <w:r w:rsidRPr="002A1ECB">
        <w:rPr>
          <w:lang w:val="fr-FR"/>
        </w:rPr>
        <w:t>État partie affirme que l</w:t>
      </w:r>
      <w:r>
        <w:rPr>
          <w:lang w:val="fr-FR"/>
        </w:rPr>
        <w:t>’</w:t>
      </w:r>
      <w:r w:rsidRPr="002A1ECB">
        <w:rPr>
          <w:lang w:val="fr-FR"/>
        </w:rPr>
        <w:t>auteur a un long passé de violence et que, s</w:t>
      </w:r>
      <w:r>
        <w:rPr>
          <w:lang w:val="fr-FR"/>
        </w:rPr>
        <w:t>’</w:t>
      </w:r>
      <w:r w:rsidRPr="002A1ECB">
        <w:rPr>
          <w:lang w:val="fr-FR"/>
        </w:rPr>
        <w:t>il était libéré, il représenterait une menace grave pour la sécurité publique au Canada. Il affirme également que l</w:t>
      </w:r>
      <w:r>
        <w:rPr>
          <w:lang w:val="fr-FR"/>
        </w:rPr>
        <w:t>’</w:t>
      </w:r>
      <w:r w:rsidRPr="002A1ECB">
        <w:rPr>
          <w:lang w:val="fr-FR"/>
        </w:rPr>
        <w:t>expulsion de l</w:t>
      </w:r>
      <w:r>
        <w:rPr>
          <w:lang w:val="fr-FR"/>
        </w:rPr>
        <w:t>’</w:t>
      </w:r>
      <w:r w:rsidRPr="002A1ECB">
        <w:rPr>
          <w:lang w:val="fr-FR"/>
        </w:rPr>
        <w:t>auteur vers la Somalie ne causerait pas de préjudice irréparable et que l</w:t>
      </w:r>
      <w:r>
        <w:rPr>
          <w:lang w:val="fr-FR"/>
        </w:rPr>
        <w:t>’</w:t>
      </w:r>
      <w:r w:rsidRPr="002A1ECB">
        <w:rPr>
          <w:lang w:val="fr-FR"/>
        </w:rPr>
        <w:t>auteur n</w:t>
      </w:r>
      <w:r>
        <w:rPr>
          <w:lang w:val="fr-FR"/>
        </w:rPr>
        <w:t>’</w:t>
      </w:r>
      <w:r w:rsidRPr="002A1ECB">
        <w:rPr>
          <w:lang w:val="fr-FR"/>
        </w:rPr>
        <w:t>a pas démontré qu</w:t>
      </w:r>
      <w:r>
        <w:rPr>
          <w:lang w:val="fr-FR"/>
        </w:rPr>
        <w:t>’</w:t>
      </w:r>
      <w:r w:rsidRPr="002A1ECB">
        <w:rPr>
          <w:lang w:val="fr-FR"/>
        </w:rPr>
        <w:t>il y avait matière à plainte. L</w:t>
      </w:r>
      <w:r>
        <w:rPr>
          <w:lang w:val="fr-FR"/>
        </w:rPr>
        <w:t>’</w:t>
      </w:r>
      <w:r w:rsidRPr="002A1ECB">
        <w:rPr>
          <w:lang w:val="fr-FR"/>
        </w:rPr>
        <w:t>État partie fait valoir son droit de contrôler l</w:t>
      </w:r>
      <w:r>
        <w:rPr>
          <w:lang w:val="fr-FR"/>
        </w:rPr>
        <w:t>’</w:t>
      </w:r>
      <w:r w:rsidRPr="002A1ECB">
        <w:rPr>
          <w:lang w:val="fr-FR"/>
        </w:rPr>
        <w:t>entrée, la résidence et l</w:t>
      </w:r>
      <w:r>
        <w:rPr>
          <w:lang w:val="fr-FR"/>
        </w:rPr>
        <w:t>’</w:t>
      </w:r>
      <w:r w:rsidRPr="002A1ECB">
        <w:rPr>
          <w:lang w:val="fr-FR"/>
        </w:rPr>
        <w:t>expulsion des étrangers et de transférer toute personne dont il est établi qu</w:t>
      </w:r>
      <w:r>
        <w:rPr>
          <w:lang w:val="fr-FR"/>
        </w:rPr>
        <w:t>’</w:t>
      </w:r>
      <w:r w:rsidRPr="002A1ECB">
        <w:rPr>
          <w:lang w:val="fr-FR"/>
        </w:rPr>
        <w:t>elle n</w:t>
      </w:r>
      <w:r>
        <w:rPr>
          <w:lang w:val="fr-FR"/>
        </w:rPr>
        <w:t>’</w:t>
      </w:r>
      <w:r w:rsidRPr="002A1ECB">
        <w:rPr>
          <w:lang w:val="fr-FR"/>
        </w:rPr>
        <w:t xml:space="preserve">a pas besoin de protection et qui menace de manière significative la sécurité et la sûreté de ses citoyens. </w:t>
      </w:r>
    </w:p>
    <w:p w:rsidR="002E353E" w:rsidRPr="002A1ECB" w:rsidRDefault="002E353E" w:rsidP="002E353E">
      <w:pPr>
        <w:pStyle w:val="SingleTxtG"/>
        <w:rPr>
          <w:lang w:val="fr-FR"/>
        </w:rPr>
      </w:pPr>
      <w:r w:rsidRPr="002A1ECB">
        <w:rPr>
          <w:lang w:val="fr-FR"/>
        </w:rPr>
        <w:t>4.2</w:t>
      </w:r>
      <w:r w:rsidRPr="002A1ECB">
        <w:rPr>
          <w:lang w:val="fr-FR"/>
        </w:rPr>
        <w:tab/>
        <w:t>L</w:t>
      </w:r>
      <w:r>
        <w:rPr>
          <w:lang w:val="fr-FR"/>
        </w:rPr>
        <w:t>’</w:t>
      </w:r>
      <w:r w:rsidRPr="002A1ECB">
        <w:rPr>
          <w:lang w:val="fr-FR"/>
        </w:rPr>
        <w:t>État partie ajoute des éléments à l</w:t>
      </w:r>
      <w:r>
        <w:rPr>
          <w:lang w:val="fr-FR"/>
        </w:rPr>
        <w:t>’</w:t>
      </w:r>
      <w:r w:rsidRPr="002A1ECB">
        <w:rPr>
          <w:lang w:val="fr-FR"/>
        </w:rPr>
        <w:t>exposé des faits présenté par l</w:t>
      </w:r>
      <w:r>
        <w:rPr>
          <w:lang w:val="fr-FR"/>
        </w:rPr>
        <w:t>’</w:t>
      </w:r>
      <w:r w:rsidRPr="002A1ECB">
        <w:rPr>
          <w:lang w:val="fr-FR"/>
        </w:rPr>
        <w:t>auteur et fait savoir que les parents de l</w:t>
      </w:r>
      <w:r>
        <w:rPr>
          <w:lang w:val="fr-FR"/>
        </w:rPr>
        <w:t>’</w:t>
      </w:r>
      <w:r w:rsidRPr="002A1ECB">
        <w:rPr>
          <w:lang w:val="fr-FR"/>
        </w:rPr>
        <w:t>auteur sont de nationalité somalienne et que l</w:t>
      </w:r>
      <w:r>
        <w:rPr>
          <w:lang w:val="fr-FR"/>
        </w:rPr>
        <w:t>’</w:t>
      </w:r>
      <w:r w:rsidRPr="002A1ECB">
        <w:rPr>
          <w:lang w:val="fr-FR"/>
        </w:rPr>
        <w:t>auteur peut donc prétendre à la qualité de citoyen somalien. L</w:t>
      </w:r>
      <w:r>
        <w:rPr>
          <w:lang w:val="fr-FR"/>
        </w:rPr>
        <w:t>’</w:t>
      </w:r>
      <w:r w:rsidRPr="002A1ECB">
        <w:rPr>
          <w:lang w:val="fr-FR"/>
        </w:rPr>
        <w:t>État partie affirme que les deux condamnations pénales évoquées par l</w:t>
      </w:r>
      <w:r>
        <w:rPr>
          <w:lang w:val="fr-FR"/>
        </w:rPr>
        <w:t>’</w:t>
      </w:r>
      <w:r w:rsidRPr="002A1ECB">
        <w:rPr>
          <w:lang w:val="fr-FR"/>
        </w:rPr>
        <w:t>auteur ne représentent qu</w:t>
      </w:r>
      <w:r>
        <w:rPr>
          <w:lang w:val="fr-FR"/>
        </w:rPr>
        <w:t>’</w:t>
      </w:r>
      <w:r w:rsidRPr="002A1ECB">
        <w:rPr>
          <w:lang w:val="fr-FR"/>
        </w:rPr>
        <w:t>un échantillon de son casier judiciaire, qui comprend notamment l</w:t>
      </w:r>
      <w:r>
        <w:rPr>
          <w:lang w:val="fr-FR"/>
        </w:rPr>
        <w:t>’</w:t>
      </w:r>
      <w:r w:rsidRPr="002A1ECB">
        <w:rPr>
          <w:lang w:val="fr-FR"/>
        </w:rPr>
        <w:t>agression spontanée d</w:t>
      </w:r>
      <w:r>
        <w:rPr>
          <w:lang w:val="fr-FR"/>
        </w:rPr>
        <w:t>’une femme âgée de</w:t>
      </w:r>
      <w:r>
        <w:rPr>
          <w:lang w:val="fr-FR"/>
        </w:rPr>
        <w:br/>
      </w:r>
      <w:r w:rsidRPr="002A1ECB">
        <w:rPr>
          <w:lang w:val="fr-FR"/>
        </w:rPr>
        <w:t>60</w:t>
      </w:r>
      <w:r>
        <w:rPr>
          <w:lang w:val="fr-FR"/>
        </w:rPr>
        <w:t xml:space="preserve"> </w:t>
      </w:r>
      <w:r w:rsidRPr="002A1ECB">
        <w:rPr>
          <w:lang w:val="fr-FR"/>
        </w:rPr>
        <w:t>ans et un vol avec violence au cours duquel, armé d</w:t>
      </w:r>
      <w:r>
        <w:rPr>
          <w:lang w:val="fr-FR"/>
        </w:rPr>
        <w:t>’</w:t>
      </w:r>
      <w:r w:rsidRPr="002A1ECB">
        <w:rPr>
          <w:lang w:val="fr-FR"/>
        </w:rPr>
        <w:t xml:space="preserve">un épais tournevis, il a porté une série de coups à un employé. </w:t>
      </w:r>
    </w:p>
    <w:p w:rsidR="002E353E" w:rsidRPr="002A1ECB" w:rsidRDefault="002E353E" w:rsidP="002E353E">
      <w:pPr>
        <w:pStyle w:val="SingleTxtG"/>
        <w:rPr>
          <w:lang w:val="fr-FR"/>
        </w:rPr>
      </w:pPr>
      <w:r w:rsidRPr="002A1ECB">
        <w:rPr>
          <w:lang w:val="fr-FR"/>
        </w:rPr>
        <w:t>4.3</w:t>
      </w:r>
      <w:r w:rsidRPr="002A1ECB">
        <w:rPr>
          <w:lang w:val="fr-FR"/>
        </w:rPr>
        <w:tab/>
        <w:t>Le 1</w:t>
      </w:r>
      <w:r w:rsidRPr="009126FD">
        <w:rPr>
          <w:vertAlign w:val="superscript"/>
          <w:lang w:val="fr-FR"/>
        </w:rPr>
        <w:t>er</w:t>
      </w:r>
      <w:r w:rsidRPr="002A1ECB">
        <w:rPr>
          <w:lang w:val="fr-FR"/>
        </w:rPr>
        <w:t xml:space="preserve"> octobre 1999, l</w:t>
      </w:r>
      <w:r>
        <w:rPr>
          <w:lang w:val="fr-FR"/>
        </w:rPr>
        <w:t>’</w:t>
      </w:r>
      <w:r w:rsidRPr="002A1ECB">
        <w:rPr>
          <w:lang w:val="fr-FR"/>
        </w:rPr>
        <w:t>auteur a été reconnu coupable de l</w:t>
      </w:r>
      <w:r>
        <w:rPr>
          <w:lang w:val="fr-FR"/>
        </w:rPr>
        <w:t>’</w:t>
      </w:r>
      <w:r w:rsidRPr="002A1ECB">
        <w:rPr>
          <w:lang w:val="fr-FR"/>
        </w:rPr>
        <w:t>agression d</w:t>
      </w:r>
      <w:r>
        <w:rPr>
          <w:lang w:val="fr-FR"/>
        </w:rPr>
        <w:t>’</w:t>
      </w:r>
      <w:r w:rsidRPr="002A1ECB">
        <w:rPr>
          <w:lang w:val="fr-FR"/>
        </w:rPr>
        <w:t>une femme âgée de 60 a</w:t>
      </w:r>
      <w:r>
        <w:rPr>
          <w:lang w:val="fr-FR"/>
        </w:rPr>
        <w:t>ns et condamné à une peine de dix-huit</w:t>
      </w:r>
      <w:r w:rsidRPr="002A1ECB">
        <w:rPr>
          <w:lang w:val="fr-FR"/>
        </w:rPr>
        <w:t xml:space="preserve"> mois de mise à l</w:t>
      </w:r>
      <w:r>
        <w:rPr>
          <w:lang w:val="fr-FR"/>
        </w:rPr>
        <w:t>’</w:t>
      </w:r>
      <w:r w:rsidRPr="002A1ECB">
        <w:rPr>
          <w:lang w:val="fr-FR"/>
        </w:rPr>
        <w:t>épreuve. Le 27 mars 2002, l</w:t>
      </w:r>
      <w:r>
        <w:rPr>
          <w:lang w:val="fr-FR"/>
        </w:rPr>
        <w:t>’</w:t>
      </w:r>
      <w:r w:rsidRPr="002A1ECB">
        <w:rPr>
          <w:lang w:val="fr-FR"/>
        </w:rPr>
        <w:t>auteur a été inculpé pour non-présentation à une audience du tribuna</w:t>
      </w:r>
      <w:r>
        <w:rPr>
          <w:lang w:val="fr-FR"/>
        </w:rPr>
        <w:t xml:space="preserve">l et condamné à une peine de douze </w:t>
      </w:r>
      <w:r w:rsidRPr="002A1ECB">
        <w:rPr>
          <w:lang w:val="fr-FR"/>
        </w:rPr>
        <w:t>jours</w:t>
      </w:r>
      <w:r>
        <w:rPr>
          <w:lang w:val="fr-FR"/>
        </w:rPr>
        <w:t xml:space="preserve">. Le 13 </w:t>
      </w:r>
      <w:r w:rsidRPr="002A1ECB">
        <w:rPr>
          <w:lang w:val="fr-FR"/>
        </w:rPr>
        <w:t>septembre 2002, l</w:t>
      </w:r>
      <w:r>
        <w:rPr>
          <w:lang w:val="fr-FR"/>
        </w:rPr>
        <w:t>’</w:t>
      </w:r>
      <w:r w:rsidRPr="002A1ECB">
        <w:rPr>
          <w:lang w:val="fr-FR"/>
        </w:rPr>
        <w:t xml:space="preserve">auteur a </w:t>
      </w:r>
      <w:r w:rsidRPr="002A1ECB">
        <w:t>été</w:t>
      </w:r>
      <w:r w:rsidRPr="002A1ECB">
        <w:rPr>
          <w:lang w:val="fr-FR"/>
        </w:rPr>
        <w:t xml:space="preserve"> déclaré coupable de vo</w:t>
      </w:r>
      <w:r>
        <w:rPr>
          <w:lang w:val="fr-FR"/>
        </w:rPr>
        <w:t>l avec violence et condamné à cinquante et un</w:t>
      </w:r>
      <w:r w:rsidRPr="002A1ECB">
        <w:rPr>
          <w:lang w:val="fr-FR"/>
        </w:rPr>
        <w:t xml:space="preserve"> jours d</w:t>
      </w:r>
      <w:r>
        <w:rPr>
          <w:lang w:val="fr-FR"/>
        </w:rPr>
        <w:t>’emprisonnement et dix-huit</w:t>
      </w:r>
      <w:r w:rsidRPr="002A1ECB">
        <w:rPr>
          <w:lang w:val="fr-FR"/>
        </w:rPr>
        <w:t xml:space="preserve"> mois de mise à l</w:t>
      </w:r>
      <w:r>
        <w:rPr>
          <w:lang w:val="fr-FR"/>
        </w:rPr>
        <w:t>’</w:t>
      </w:r>
      <w:r w:rsidRPr="002A1ECB">
        <w:rPr>
          <w:lang w:val="fr-FR"/>
        </w:rPr>
        <w:t>épreuve. Le 16</w:t>
      </w:r>
      <w:r>
        <w:rPr>
          <w:lang w:val="fr-FR"/>
        </w:rPr>
        <w:t xml:space="preserve"> </w:t>
      </w:r>
      <w:r w:rsidRPr="002A1ECB">
        <w:rPr>
          <w:lang w:val="fr-FR"/>
        </w:rPr>
        <w:t>septembre 2003, l</w:t>
      </w:r>
      <w:r>
        <w:rPr>
          <w:lang w:val="fr-FR"/>
        </w:rPr>
        <w:t>’</w:t>
      </w:r>
      <w:r w:rsidRPr="002A1ECB">
        <w:rPr>
          <w:lang w:val="fr-FR"/>
        </w:rPr>
        <w:t>auteur a été inculpé pour port d</w:t>
      </w:r>
      <w:r>
        <w:rPr>
          <w:lang w:val="fr-FR"/>
        </w:rPr>
        <w:t>’arme dissimulée et condamné à un</w:t>
      </w:r>
      <w:r w:rsidRPr="002A1ECB">
        <w:rPr>
          <w:lang w:val="fr-FR"/>
        </w:rPr>
        <w:t xml:space="preserve"> jour d</w:t>
      </w:r>
      <w:r>
        <w:rPr>
          <w:lang w:val="fr-FR"/>
        </w:rPr>
        <w:t>’</w:t>
      </w:r>
      <w:r w:rsidRPr="002A1ECB">
        <w:rPr>
          <w:lang w:val="fr-FR"/>
        </w:rPr>
        <w:t xml:space="preserve">emprisonnement, </w:t>
      </w:r>
      <w:r>
        <w:rPr>
          <w:lang w:val="fr-FR"/>
        </w:rPr>
        <w:t>vingt-huit</w:t>
      </w:r>
      <w:r w:rsidRPr="002A1ECB">
        <w:rPr>
          <w:lang w:val="fr-FR"/>
        </w:rPr>
        <w:t xml:space="preserve"> j</w:t>
      </w:r>
      <w:r>
        <w:rPr>
          <w:lang w:val="fr-FR"/>
        </w:rPr>
        <w:t>ours</w:t>
      </w:r>
      <w:r w:rsidR="00BA6836">
        <w:rPr>
          <w:lang w:val="fr-FR"/>
        </w:rPr>
        <w:t xml:space="preserve"> de détention provisoire et dix</w:t>
      </w:r>
      <w:r w:rsidR="00BA6836">
        <w:rPr>
          <w:lang w:val="fr-FR"/>
        </w:rPr>
        <w:noBreakHyphen/>
      </w:r>
      <w:r>
        <w:rPr>
          <w:lang w:val="fr-FR"/>
        </w:rPr>
        <w:t>huit</w:t>
      </w:r>
      <w:r w:rsidRPr="002A1ECB">
        <w:rPr>
          <w:lang w:val="fr-FR"/>
        </w:rPr>
        <w:t xml:space="preserve"> mois de mise à l</w:t>
      </w:r>
      <w:r>
        <w:rPr>
          <w:lang w:val="fr-FR"/>
        </w:rPr>
        <w:t>’</w:t>
      </w:r>
      <w:r w:rsidRPr="002A1ECB">
        <w:rPr>
          <w:lang w:val="fr-FR"/>
        </w:rPr>
        <w:t>épreuve; il a également été inculpé pour refus d</w:t>
      </w:r>
      <w:r>
        <w:rPr>
          <w:lang w:val="fr-FR"/>
        </w:rPr>
        <w:t>’</w:t>
      </w:r>
      <w:r w:rsidRPr="002A1ECB">
        <w:rPr>
          <w:lang w:val="fr-FR"/>
        </w:rPr>
        <w:t>obtempérer à un</w:t>
      </w:r>
      <w:r>
        <w:rPr>
          <w:lang w:val="fr-FR"/>
        </w:rPr>
        <w:t xml:space="preserve"> agent de police et condamné à un</w:t>
      </w:r>
      <w:r w:rsidRPr="002A1ECB">
        <w:rPr>
          <w:lang w:val="fr-FR"/>
        </w:rPr>
        <w:t xml:space="preserve"> jour d</w:t>
      </w:r>
      <w:r>
        <w:rPr>
          <w:lang w:val="fr-FR"/>
        </w:rPr>
        <w:t>’</w:t>
      </w:r>
      <w:r w:rsidRPr="002A1ECB">
        <w:rPr>
          <w:lang w:val="fr-FR"/>
        </w:rPr>
        <w:t xml:space="preserve">emprisonnement et </w:t>
      </w:r>
      <w:r>
        <w:rPr>
          <w:lang w:val="fr-FR"/>
        </w:rPr>
        <w:t>dix-huit</w:t>
      </w:r>
      <w:r w:rsidRPr="002A1ECB">
        <w:rPr>
          <w:lang w:val="fr-FR"/>
        </w:rPr>
        <w:t xml:space="preserve"> mois de mise à l</w:t>
      </w:r>
      <w:r>
        <w:rPr>
          <w:lang w:val="fr-FR"/>
        </w:rPr>
        <w:t>’</w:t>
      </w:r>
      <w:r w:rsidRPr="002A1ECB">
        <w:rPr>
          <w:lang w:val="fr-FR"/>
        </w:rPr>
        <w:t>épreuve. Le 26 septembre 2003, l</w:t>
      </w:r>
      <w:r>
        <w:rPr>
          <w:lang w:val="fr-FR"/>
        </w:rPr>
        <w:t>’</w:t>
      </w:r>
      <w:r w:rsidRPr="002A1ECB">
        <w:rPr>
          <w:lang w:val="fr-FR"/>
        </w:rPr>
        <w:t>auteur a été reconn</w:t>
      </w:r>
      <w:r>
        <w:rPr>
          <w:lang w:val="fr-FR"/>
        </w:rPr>
        <w:t>u coupable de vol et condamné à quatre</w:t>
      </w:r>
      <w:r w:rsidRPr="002A1ECB">
        <w:rPr>
          <w:lang w:val="fr-FR"/>
        </w:rPr>
        <w:t xml:space="preserve"> jours d</w:t>
      </w:r>
      <w:r>
        <w:rPr>
          <w:lang w:val="fr-FR"/>
        </w:rPr>
        <w:t>’</w:t>
      </w:r>
      <w:r w:rsidRPr="002A1ECB">
        <w:rPr>
          <w:lang w:val="fr-FR"/>
        </w:rPr>
        <w:t>emprisonnement. Le 5 novembre 2003, i</w:t>
      </w:r>
      <w:r>
        <w:rPr>
          <w:lang w:val="fr-FR"/>
        </w:rPr>
        <w:t>l a été déclaré coupable de non</w:t>
      </w:r>
      <w:r>
        <w:rPr>
          <w:lang w:val="fr-FR"/>
        </w:rPr>
        <w:noBreakHyphen/>
      </w:r>
      <w:r w:rsidRPr="002A1ECB">
        <w:rPr>
          <w:lang w:val="fr-FR"/>
        </w:rPr>
        <w:t>respect des conditions d</w:t>
      </w:r>
      <w:r>
        <w:rPr>
          <w:lang w:val="fr-FR"/>
        </w:rPr>
        <w:t xml:space="preserve">’un arrangement et condamné à trente </w:t>
      </w:r>
      <w:r w:rsidRPr="002A1ECB">
        <w:rPr>
          <w:lang w:val="fr-FR"/>
        </w:rPr>
        <w:t>jours d</w:t>
      </w:r>
      <w:r>
        <w:rPr>
          <w:lang w:val="fr-FR"/>
        </w:rPr>
        <w:t xml:space="preserve">’emprisonnement. </w:t>
      </w:r>
      <w:r w:rsidRPr="002A1ECB">
        <w:rPr>
          <w:lang w:val="fr-FR"/>
        </w:rPr>
        <w:t>Le 2 novembre 2004, l</w:t>
      </w:r>
      <w:r>
        <w:rPr>
          <w:lang w:val="fr-FR"/>
        </w:rPr>
        <w:t>’</w:t>
      </w:r>
      <w:r w:rsidRPr="002A1ECB">
        <w:rPr>
          <w:lang w:val="fr-FR"/>
        </w:rPr>
        <w:t xml:space="preserve">auteur a été inculpé pour vol et condamné à </w:t>
      </w:r>
      <w:r>
        <w:rPr>
          <w:lang w:val="fr-FR"/>
        </w:rPr>
        <w:t xml:space="preserve">neuf </w:t>
      </w:r>
      <w:r w:rsidRPr="002A1ECB">
        <w:rPr>
          <w:lang w:val="fr-FR"/>
        </w:rPr>
        <w:t>mois d</w:t>
      </w:r>
      <w:r>
        <w:rPr>
          <w:lang w:val="fr-FR"/>
        </w:rPr>
        <w:t>’emprisonnement et deux</w:t>
      </w:r>
      <w:r w:rsidRPr="002A1ECB">
        <w:rPr>
          <w:lang w:val="fr-FR"/>
        </w:rPr>
        <w:t xml:space="preserve"> ans de mise à l</w:t>
      </w:r>
      <w:r>
        <w:rPr>
          <w:lang w:val="fr-FR"/>
        </w:rPr>
        <w:t>’</w:t>
      </w:r>
      <w:r w:rsidRPr="002A1ECB">
        <w:rPr>
          <w:lang w:val="fr-FR"/>
        </w:rPr>
        <w:t>épreuve; il a également été inculpé pour non-respect des conditions d</w:t>
      </w:r>
      <w:r>
        <w:rPr>
          <w:lang w:val="fr-FR"/>
        </w:rPr>
        <w:t>’</w:t>
      </w:r>
      <w:r w:rsidRPr="002A1ECB">
        <w:rPr>
          <w:lang w:val="fr-FR"/>
        </w:rPr>
        <w:t>un arrangement ou d</w:t>
      </w:r>
      <w:r>
        <w:rPr>
          <w:lang w:val="fr-FR"/>
        </w:rPr>
        <w:t>’</w:t>
      </w:r>
      <w:r w:rsidRPr="002A1ECB">
        <w:rPr>
          <w:lang w:val="fr-FR"/>
        </w:rPr>
        <w:t>un engagement et d</w:t>
      </w:r>
      <w:r>
        <w:rPr>
          <w:lang w:val="fr-FR"/>
        </w:rPr>
        <w:t>’</w:t>
      </w:r>
      <w:r w:rsidRPr="002A1ECB">
        <w:rPr>
          <w:lang w:val="fr-FR"/>
        </w:rPr>
        <w:t>un sursis probatoire et condamné à deux mois d</w:t>
      </w:r>
      <w:r>
        <w:rPr>
          <w:lang w:val="fr-FR"/>
        </w:rPr>
        <w:t>’</w:t>
      </w:r>
      <w:r w:rsidRPr="002A1ECB">
        <w:rPr>
          <w:lang w:val="fr-FR"/>
        </w:rPr>
        <w:t>emprisonnement pour chaque chef d</w:t>
      </w:r>
      <w:r>
        <w:rPr>
          <w:lang w:val="fr-FR"/>
        </w:rPr>
        <w:t>’</w:t>
      </w:r>
      <w:r w:rsidRPr="002A1ECB">
        <w:rPr>
          <w:lang w:val="fr-FR"/>
        </w:rPr>
        <w:t>inculpation. Le 25 janvier 2005, l</w:t>
      </w:r>
      <w:r>
        <w:rPr>
          <w:lang w:val="fr-FR"/>
        </w:rPr>
        <w:t>’</w:t>
      </w:r>
      <w:r w:rsidRPr="002A1ECB">
        <w:rPr>
          <w:lang w:val="fr-FR"/>
        </w:rPr>
        <w:t>auteur a été reconnu coupable d</w:t>
      </w:r>
      <w:r>
        <w:rPr>
          <w:lang w:val="fr-FR"/>
        </w:rPr>
        <w:t>’</w:t>
      </w:r>
      <w:r w:rsidRPr="002A1ECB">
        <w:rPr>
          <w:lang w:val="fr-FR"/>
        </w:rPr>
        <w:t>agression</w:t>
      </w:r>
      <w:r>
        <w:rPr>
          <w:lang w:val="fr-FR"/>
        </w:rPr>
        <w:t xml:space="preserve"> et condamné à deux ans de mise </w:t>
      </w:r>
      <w:r w:rsidRPr="002A1ECB">
        <w:rPr>
          <w:lang w:val="fr-FR"/>
        </w:rPr>
        <w:t>à l</w:t>
      </w:r>
      <w:r>
        <w:rPr>
          <w:lang w:val="fr-FR"/>
        </w:rPr>
        <w:t>’</w:t>
      </w:r>
      <w:r w:rsidRPr="002A1ECB">
        <w:rPr>
          <w:lang w:val="fr-FR"/>
        </w:rPr>
        <w:t>épreuve. Le 12 août 2005, il a été déclaré coupable de possession d</w:t>
      </w:r>
      <w:r>
        <w:rPr>
          <w:lang w:val="fr-FR"/>
        </w:rPr>
        <w:t>’</w:t>
      </w:r>
      <w:r w:rsidRPr="002A1ECB">
        <w:rPr>
          <w:lang w:val="fr-FR"/>
        </w:rPr>
        <w:t>une substance inscrite au tableau 1 et non-respect d</w:t>
      </w:r>
      <w:r>
        <w:rPr>
          <w:lang w:val="fr-FR"/>
        </w:rPr>
        <w:t>’</w:t>
      </w:r>
      <w:r w:rsidRPr="002A1ECB">
        <w:rPr>
          <w:lang w:val="fr-FR"/>
        </w:rPr>
        <w:t>un s</w:t>
      </w:r>
      <w:r>
        <w:rPr>
          <w:lang w:val="fr-FR"/>
        </w:rPr>
        <w:t>ursis probatoire et condamné à un</w:t>
      </w:r>
      <w:r w:rsidRPr="002A1ECB">
        <w:rPr>
          <w:lang w:val="fr-FR"/>
        </w:rPr>
        <w:t xml:space="preserve"> jour de prison, </w:t>
      </w:r>
      <w:r>
        <w:rPr>
          <w:lang w:val="fr-FR"/>
        </w:rPr>
        <w:t>vingt</w:t>
      </w:r>
      <w:r>
        <w:rPr>
          <w:lang w:val="fr-FR"/>
        </w:rPr>
        <w:noBreakHyphen/>
        <w:t>deux</w:t>
      </w:r>
      <w:r w:rsidRPr="002A1ECB">
        <w:rPr>
          <w:lang w:val="fr-FR"/>
        </w:rPr>
        <w:t xml:space="preserve"> jo</w:t>
      </w:r>
      <w:r>
        <w:rPr>
          <w:lang w:val="fr-FR"/>
        </w:rPr>
        <w:t>urs de détention provisoire et douze</w:t>
      </w:r>
      <w:r w:rsidRPr="002A1ECB">
        <w:rPr>
          <w:lang w:val="fr-FR"/>
        </w:rPr>
        <w:t xml:space="preserve"> mois de mise à l</w:t>
      </w:r>
      <w:r>
        <w:rPr>
          <w:lang w:val="fr-FR"/>
        </w:rPr>
        <w:t>’</w:t>
      </w:r>
      <w:r w:rsidRPr="002A1ECB">
        <w:rPr>
          <w:lang w:val="fr-FR"/>
        </w:rPr>
        <w:t>épreuve pour chaque chef d</w:t>
      </w:r>
      <w:r>
        <w:rPr>
          <w:lang w:val="fr-FR"/>
        </w:rPr>
        <w:t>’</w:t>
      </w:r>
      <w:r w:rsidRPr="002A1ECB">
        <w:rPr>
          <w:lang w:val="fr-FR"/>
        </w:rPr>
        <w:t>inculpation. Le 23 janvier 2006, l</w:t>
      </w:r>
      <w:r>
        <w:rPr>
          <w:lang w:val="fr-FR"/>
        </w:rPr>
        <w:t>’</w:t>
      </w:r>
      <w:r w:rsidRPr="002A1ECB">
        <w:rPr>
          <w:lang w:val="fr-FR"/>
        </w:rPr>
        <w:t>auteur a été inculpé pour possession d</w:t>
      </w:r>
      <w:r>
        <w:rPr>
          <w:lang w:val="fr-FR"/>
        </w:rPr>
        <w:t>’</w:t>
      </w:r>
      <w:r w:rsidRPr="002A1ECB">
        <w:rPr>
          <w:lang w:val="fr-FR"/>
        </w:rPr>
        <w:t>une substance inscrite au tableau (crack) à de</w:t>
      </w:r>
      <w:r>
        <w:rPr>
          <w:lang w:val="fr-FR"/>
        </w:rPr>
        <w:t>s fins de trafic et condamné à deux</w:t>
      </w:r>
      <w:r w:rsidRPr="002A1ECB">
        <w:rPr>
          <w:lang w:val="fr-FR"/>
        </w:rPr>
        <w:t xml:space="preserve"> ans d</w:t>
      </w:r>
      <w:r>
        <w:rPr>
          <w:lang w:val="fr-FR"/>
        </w:rPr>
        <w:t>’</w:t>
      </w:r>
      <w:r w:rsidRPr="002A1ECB">
        <w:rPr>
          <w:lang w:val="fr-FR"/>
        </w:rPr>
        <w:t>emprisonnement. Le 23</w:t>
      </w:r>
      <w:r>
        <w:rPr>
          <w:lang w:val="fr-FR"/>
        </w:rPr>
        <w:t xml:space="preserve"> </w:t>
      </w:r>
      <w:r w:rsidRPr="002A1ECB">
        <w:rPr>
          <w:lang w:val="fr-FR"/>
        </w:rPr>
        <w:t>janvier 2006, l</w:t>
      </w:r>
      <w:r>
        <w:rPr>
          <w:lang w:val="fr-FR"/>
        </w:rPr>
        <w:t>’</w:t>
      </w:r>
      <w:r w:rsidRPr="002A1ECB">
        <w:rPr>
          <w:lang w:val="fr-FR"/>
        </w:rPr>
        <w:t>auteur a été inculpé pour non-respect d</w:t>
      </w:r>
      <w:r>
        <w:rPr>
          <w:lang w:val="fr-FR"/>
        </w:rPr>
        <w:t>’</w:t>
      </w:r>
      <w:r w:rsidRPr="002A1ECB">
        <w:rPr>
          <w:lang w:val="fr-FR"/>
        </w:rPr>
        <w:t>un s</w:t>
      </w:r>
      <w:r>
        <w:rPr>
          <w:lang w:val="fr-FR"/>
        </w:rPr>
        <w:t>ursis probatoire et condamné à quatre</w:t>
      </w:r>
      <w:r w:rsidRPr="002A1ECB">
        <w:rPr>
          <w:lang w:val="fr-FR"/>
        </w:rPr>
        <w:t xml:space="preserve"> mois d</w:t>
      </w:r>
      <w:r>
        <w:rPr>
          <w:lang w:val="fr-FR"/>
        </w:rPr>
        <w:t>’</w:t>
      </w:r>
      <w:r w:rsidRPr="002A1ECB">
        <w:rPr>
          <w:lang w:val="fr-FR"/>
        </w:rPr>
        <w:t>emprisonnement. Le 17 août 2006, il a été déclaré coupable de non-respect d</w:t>
      </w:r>
      <w:r>
        <w:rPr>
          <w:lang w:val="fr-FR"/>
        </w:rPr>
        <w:t>’</w:t>
      </w:r>
      <w:r w:rsidRPr="002A1ECB">
        <w:rPr>
          <w:lang w:val="fr-FR"/>
        </w:rPr>
        <w:t xml:space="preserve">un sursis probatoire et condamné à </w:t>
      </w:r>
      <w:r>
        <w:rPr>
          <w:lang w:val="fr-FR"/>
        </w:rPr>
        <w:t>trente</w:t>
      </w:r>
      <w:r w:rsidRPr="002A1ECB">
        <w:rPr>
          <w:lang w:val="fr-FR"/>
        </w:rPr>
        <w:t xml:space="preserve"> jours d</w:t>
      </w:r>
      <w:r>
        <w:rPr>
          <w:lang w:val="fr-FR"/>
        </w:rPr>
        <w:t>’</w:t>
      </w:r>
      <w:r w:rsidRPr="002A1ECB">
        <w:rPr>
          <w:lang w:val="fr-FR"/>
        </w:rPr>
        <w:t>emprisonnement pour chaque chef d</w:t>
      </w:r>
      <w:r>
        <w:rPr>
          <w:lang w:val="fr-FR"/>
        </w:rPr>
        <w:t>’</w:t>
      </w:r>
      <w:r w:rsidRPr="002A1ECB">
        <w:rPr>
          <w:lang w:val="fr-FR"/>
        </w:rPr>
        <w:t>inculpation. Le 23 avril 2010, l</w:t>
      </w:r>
      <w:r>
        <w:rPr>
          <w:lang w:val="fr-FR"/>
        </w:rPr>
        <w:t>’</w:t>
      </w:r>
      <w:r w:rsidRPr="002A1ECB">
        <w:rPr>
          <w:lang w:val="fr-FR"/>
        </w:rPr>
        <w:t>auteur a été jugé coupable d</w:t>
      </w:r>
      <w:r>
        <w:rPr>
          <w:lang w:val="fr-FR"/>
        </w:rPr>
        <w:t>’</w:t>
      </w:r>
      <w:r w:rsidRPr="002A1ECB">
        <w:rPr>
          <w:lang w:val="fr-FR"/>
        </w:rPr>
        <w:t xml:space="preserve">agression en période de détention et condamné à </w:t>
      </w:r>
      <w:r>
        <w:rPr>
          <w:lang w:val="fr-FR"/>
        </w:rPr>
        <w:t>soixante</w:t>
      </w:r>
      <w:r w:rsidRPr="002A1ECB">
        <w:rPr>
          <w:lang w:val="fr-FR"/>
        </w:rPr>
        <w:t xml:space="preserve"> jours. </w:t>
      </w:r>
    </w:p>
    <w:p w:rsidR="002E353E" w:rsidRPr="002A1ECB" w:rsidRDefault="002E353E" w:rsidP="002E353E">
      <w:pPr>
        <w:pStyle w:val="SingleTxtG"/>
        <w:rPr>
          <w:lang w:val="fr-FR"/>
        </w:rPr>
      </w:pPr>
      <w:r w:rsidRPr="002A1ECB">
        <w:rPr>
          <w:lang w:val="fr-FR"/>
        </w:rPr>
        <w:t>4.4</w:t>
      </w:r>
      <w:r w:rsidRPr="002A1ECB">
        <w:rPr>
          <w:lang w:val="fr-FR"/>
        </w:rPr>
        <w:tab/>
        <w:t>L</w:t>
      </w:r>
      <w:r>
        <w:rPr>
          <w:lang w:val="fr-FR"/>
        </w:rPr>
        <w:t>’</w:t>
      </w:r>
      <w:r w:rsidRPr="002A1ECB">
        <w:rPr>
          <w:lang w:val="fr-FR"/>
        </w:rPr>
        <w:t>État partie précise les raisons pour lesquelles, le 23 février 2009, le Représentant du Ministre a conclu que l</w:t>
      </w:r>
      <w:r>
        <w:rPr>
          <w:lang w:val="fr-FR"/>
        </w:rPr>
        <w:t>’</w:t>
      </w:r>
      <w:r w:rsidRPr="002A1ECB">
        <w:rPr>
          <w:lang w:val="fr-FR"/>
        </w:rPr>
        <w:t>auteur ne risquait pas, s</w:t>
      </w:r>
      <w:r>
        <w:rPr>
          <w:lang w:val="fr-FR"/>
        </w:rPr>
        <w:t>’</w:t>
      </w:r>
      <w:r w:rsidRPr="002A1ECB">
        <w:rPr>
          <w:lang w:val="fr-FR"/>
        </w:rPr>
        <w:t>il était expulsé vers la Somalie, de subir un préjudice grave particulier du fait de sa situation personnelle et individuelle, et qu</w:t>
      </w:r>
      <w:r>
        <w:rPr>
          <w:lang w:val="fr-FR"/>
        </w:rPr>
        <w:t>’</w:t>
      </w:r>
      <w:r w:rsidRPr="002A1ECB">
        <w:rPr>
          <w:lang w:val="fr-FR"/>
        </w:rPr>
        <w:t>il représentait un danger pour la sécurité publique au Canada. En ce qui concerne l</w:t>
      </w:r>
      <w:r>
        <w:rPr>
          <w:lang w:val="fr-FR"/>
        </w:rPr>
        <w:t>’</w:t>
      </w:r>
      <w:r w:rsidRPr="002A1ECB">
        <w:rPr>
          <w:lang w:val="fr-FR"/>
        </w:rPr>
        <w:t>appartenance clanique, le Représentant du Ministre a fait observer que la société somalienne est caractérisée par l</w:t>
      </w:r>
      <w:r>
        <w:rPr>
          <w:lang w:val="fr-FR"/>
        </w:rPr>
        <w:t>’</w:t>
      </w:r>
      <w:r w:rsidRPr="002A1ECB">
        <w:rPr>
          <w:lang w:val="fr-FR"/>
        </w:rPr>
        <w:t>appartenance à des familles-clans et que l</w:t>
      </w:r>
      <w:r>
        <w:rPr>
          <w:lang w:val="fr-FR"/>
        </w:rPr>
        <w:t>’</w:t>
      </w:r>
      <w:r w:rsidRPr="002A1ECB">
        <w:rPr>
          <w:lang w:val="fr-FR"/>
        </w:rPr>
        <w:t>affirmation de l</w:t>
      </w:r>
      <w:r>
        <w:rPr>
          <w:lang w:val="fr-FR"/>
        </w:rPr>
        <w:t>’</w:t>
      </w:r>
      <w:r w:rsidRPr="002A1ECB">
        <w:rPr>
          <w:lang w:val="fr-FR"/>
        </w:rPr>
        <w:t>auteur selon laquelle ses parents n</w:t>
      </w:r>
      <w:r>
        <w:rPr>
          <w:lang w:val="fr-FR"/>
        </w:rPr>
        <w:t>’</w:t>
      </w:r>
      <w:r w:rsidRPr="002A1ECB">
        <w:rPr>
          <w:lang w:val="fr-FR"/>
        </w:rPr>
        <w:t>appartenaient à aucun clan n</w:t>
      </w:r>
      <w:r>
        <w:rPr>
          <w:lang w:val="fr-FR"/>
        </w:rPr>
        <w:t>’</w:t>
      </w:r>
      <w:r w:rsidRPr="002A1ECB">
        <w:rPr>
          <w:lang w:val="fr-FR"/>
        </w:rPr>
        <w:t>était pas étayée. De plus, les critères requis n</w:t>
      </w:r>
      <w:r>
        <w:rPr>
          <w:lang w:val="fr-FR"/>
        </w:rPr>
        <w:t>’</w:t>
      </w:r>
      <w:r w:rsidRPr="002A1ECB">
        <w:rPr>
          <w:lang w:val="fr-FR"/>
        </w:rPr>
        <w:t>indiquaient en rien que l</w:t>
      </w:r>
      <w:r>
        <w:rPr>
          <w:lang w:val="fr-FR"/>
        </w:rPr>
        <w:t>’</w:t>
      </w:r>
      <w:r w:rsidRPr="002A1ECB">
        <w:rPr>
          <w:lang w:val="fr-FR"/>
        </w:rPr>
        <w:t>auteur ne pourrait acquérir la nationalité somalienne par ses parents. Les affirmations de l</w:t>
      </w:r>
      <w:r>
        <w:rPr>
          <w:lang w:val="fr-FR"/>
        </w:rPr>
        <w:t>’</w:t>
      </w:r>
      <w:r w:rsidRPr="002A1ECB">
        <w:rPr>
          <w:lang w:val="fr-FR"/>
        </w:rPr>
        <w:t>auteur selon lesquelles il ne parlait pas la langue locale et n</w:t>
      </w:r>
      <w:r>
        <w:rPr>
          <w:lang w:val="fr-FR"/>
        </w:rPr>
        <w:t>’</w:t>
      </w:r>
      <w:r w:rsidRPr="002A1ECB">
        <w:rPr>
          <w:lang w:val="fr-FR"/>
        </w:rPr>
        <w:t>avait jamais vécu en Somalie étaient peu pertinentes, étant donné que l</w:t>
      </w:r>
      <w:r>
        <w:rPr>
          <w:lang w:val="fr-FR"/>
        </w:rPr>
        <w:t>’</w:t>
      </w:r>
      <w:r w:rsidRPr="002A1ECB">
        <w:rPr>
          <w:lang w:val="fr-FR"/>
        </w:rPr>
        <w:t>auteur n</w:t>
      </w:r>
      <w:r>
        <w:rPr>
          <w:lang w:val="fr-FR"/>
        </w:rPr>
        <w:t>’</w:t>
      </w:r>
      <w:r w:rsidRPr="002A1ECB">
        <w:rPr>
          <w:lang w:val="fr-FR"/>
        </w:rPr>
        <w:t>appartenait à auc</w:t>
      </w:r>
      <w:r>
        <w:rPr>
          <w:lang w:val="fr-FR"/>
        </w:rPr>
        <w:t>une catégorie vulnérable, telle</w:t>
      </w:r>
      <w:r w:rsidRPr="002A1ECB">
        <w:rPr>
          <w:lang w:val="fr-FR"/>
        </w:rPr>
        <w:t xml:space="preserve"> que celle des femmes et des enfants. S</w:t>
      </w:r>
      <w:r>
        <w:rPr>
          <w:lang w:val="fr-FR"/>
        </w:rPr>
        <w:t>’</w:t>
      </w:r>
      <w:r w:rsidRPr="002A1ECB">
        <w:rPr>
          <w:lang w:val="fr-FR"/>
        </w:rPr>
        <w:t>agissant de la violence et des préoccupations d</w:t>
      </w:r>
      <w:r>
        <w:rPr>
          <w:lang w:val="fr-FR"/>
        </w:rPr>
        <w:t>’</w:t>
      </w:r>
      <w:r w:rsidRPr="002A1ECB">
        <w:rPr>
          <w:lang w:val="fr-FR"/>
        </w:rPr>
        <w:t>ordre humanitaire, le Représentant du Ministre a fait observer que ces conditions s</w:t>
      </w:r>
      <w:r>
        <w:rPr>
          <w:lang w:val="fr-FR"/>
        </w:rPr>
        <w:t>’</w:t>
      </w:r>
      <w:r w:rsidRPr="002A1ECB">
        <w:rPr>
          <w:lang w:val="fr-FR"/>
        </w:rPr>
        <w:t>appliquaient sans discrimination à tous les citoyens somaliens. En ce qui concerne le danger que l</w:t>
      </w:r>
      <w:r>
        <w:rPr>
          <w:lang w:val="fr-FR"/>
        </w:rPr>
        <w:t>’</w:t>
      </w:r>
      <w:r w:rsidRPr="002A1ECB">
        <w:rPr>
          <w:lang w:val="fr-FR"/>
        </w:rPr>
        <w:t>auteur représente pour la sécurité publique au Canada, le Représentant du Ministre a noté le nombre important de condamnations prononcées contre l</w:t>
      </w:r>
      <w:r>
        <w:rPr>
          <w:lang w:val="fr-FR"/>
        </w:rPr>
        <w:t>’</w:t>
      </w:r>
      <w:r w:rsidRPr="002A1ECB">
        <w:rPr>
          <w:lang w:val="fr-FR"/>
        </w:rPr>
        <w:t>auteur, ainsi que la nature et la gravité des infractions commises et l</w:t>
      </w:r>
      <w:r>
        <w:rPr>
          <w:lang w:val="fr-FR"/>
        </w:rPr>
        <w:t>’</w:t>
      </w:r>
      <w:r w:rsidRPr="002A1ECB">
        <w:rPr>
          <w:lang w:val="fr-FR"/>
        </w:rPr>
        <w:t xml:space="preserve">absence de perspective de réhabilitation. </w:t>
      </w:r>
    </w:p>
    <w:p w:rsidR="002E353E" w:rsidRPr="002A1ECB" w:rsidRDefault="002E353E" w:rsidP="002E353E">
      <w:pPr>
        <w:pStyle w:val="SingleTxtG"/>
        <w:rPr>
          <w:lang w:val="fr-FR"/>
        </w:rPr>
      </w:pPr>
      <w:r w:rsidRPr="002A1ECB">
        <w:rPr>
          <w:lang w:val="fr-FR"/>
        </w:rPr>
        <w:t>4.5</w:t>
      </w:r>
      <w:r w:rsidRPr="002A1ECB">
        <w:rPr>
          <w:lang w:val="fr-FR"/>
        </w:rPr>
        <w:tab/>
        <w:t>S</w:t>
      </w:r>
      <w:r>
        <w:rPr>
          <w:lang w:val="fr-FR"/>
        </w:rPr>
        <w:t>’</w:t>
      </w:r>
      <w:r w:rsidRPr="002A1ECB">
        <w:rPr>
          <w:lang w:val="fr-FR"/>
        </w:rPr>
        <w:t>agissant de la recevabilité, l</w:t>
      </w:r>
      <w:r>
        <w:rPr>
          <w:lang w:val="fr-FR"/>
        </w:rPr>
        <w:t>’</w:t>
      </w:r>
      <w:r w:rsidRPr="002A1ECB">
        <w:rPr>
          <w:lang w:val="fr-FR"/>
        </w:rPr>
        <w:t>État partie affirme que la communication devrait être déclarée irrecevable faute pour l</w:t>
      </w:r>
      <w:r>
        <w:rPr>
          <w:lang w:val="fr-FR"/>
        </w:rPr>
        <w:t>’</w:t>
      </w:r>
      <w:r w:rsidRPr="002A1ECB">
        <w:rPr>
          <w:lang w:val="fr-FR"/>
        </w:rPr>
        <w:t>auteur d</w:t>
      </w:r>
      <w:r>
        <w:rPr>
          <w:lang w:val="fr-FR"/>
        </w:rPr>
        <w:t>’</w:t>
      </w:r>
      <w:r w:rsidRPr="002A1ECB">
        <w:rPr>
          <w:lang w:val="fr-FR"/>
        </w:rPr>
        <w:t>avoir épuisé tous les recours internes disponibles. Rappelant la jurisprudence du Comité</w:t>
      </w:r>
      <w:r w:rsidRPr="00363258">
        <w:rPr>
          <w:rStyle w:val="FootnoteReference"/>
        </w:rPr>
        <w:footnoteReference w:id="13"/>
      </w:r>
      <w:r w:rsidRPr="002A1ECB">
        <w:rPr>
          <w:lang w:val="fr-FR"/>
        </w:rPr>
        <w:t>, l</w:t>
      </w:r>
      <w:r>
        <w:rPr>
          <w:lang w:val="fr-FR"/>
        </w:rPr>
        <w:t>’</w:t>
      </w:r>
      <w:r w:rsidRPr="002A1ECB">
        <w:rPr>
          <w:lang w:val="fr-FR"/>
        </w:rPr>
        <w:t>État partie affirme que le Comité et le Comité contre la torture ont estimé que la présentation d</w:t>
      </w:r>
      <w:r>
        <w:rPr>
          <w:lang w:val="fr-FR"/>
        </w:rPr>
        <w:t>’</w:t>
      </w:r>
      <w:r w:rsidRPr="002A1ECB">
        <w:rPr>
          <w:lang w:val="fr-FR"/>
        </w:rPr>
        <w:t>une demande pour motifs d</w:t>
      </w:r>
      <w:r>
        <w:rPr>
          <w:lang w:val="fr-FR"/>
        </w:rPr>
        <w:t>’</w:t>
      </w:r>
      <w:r w:rsidRPr="002A1ECB">
        <w:rPr>
          <w:lang w:val="fr-FR"/>
        </w:rPr>
        <w:t>ordre humanitaire est une voie de recours disponible et utile, et que l</w:t>
      </w:r>
      <w:r>
        <w:rPr>
          <w:lang w:val="fr-FR"/>
        </w:rPr>
        <w:t>’</w:t>
      </w:r>
      <w:r w:rsidRPr="002A1ECB">
        <w:rPr>
          <w:lang w:val="fr-FR"/>
        </w:rPr>
        <w:t>auteur ne l</w:t>
      </w:r>
      <w:r>
        <w:rPr>
          <w:lang w:val="fr-FR"/>
        </w:rPr>
        <w:t>’</w:t>
      </w:r>
      <w:r w:rsidRPr="002A1ECB">
        <w:rPr>
          <w:lang w:val="fr-FR"/>
        </w:rPr>
        <w:t>a pas épuisée. L</w:t>
      </w:r>
      <w:r>
        <w:rPr>
          <w:lang w:val="fr-FR"/>
        </w:rPr>
        <w:t>’</w:t>
      </w:r>
      <w:r w:rsidRPr="002A1ECB">
        <w:rPr>
          <w:lang w:val="fr-FR"/>
        </w:rPr>
        <w:t>État partie affirme en outre que l</w:t>
      </w:r>
      <w:r>
        <w:rPr>
          <w:lang w:val="fr-FR"/>
        </w:rPr>
        <w:t>’</w:t>
      </w:r>
      <w:r w:rsidRPr="002A1ECB">
        <w:rPr>
          <w:lang w:val="fr-FR"/>
        </w:rPr>
        <w:t>auteur n</w:t>
      </w:r>
      <w:r>
        <w:rPr>
          <w:lang w:val="fr-FR"/>
        </w:rPr>
        <w:t>’</w:t>
      </w:r>
      <w:r w:rsidRPr="002A1ECB">
        <w:rPr>
          <w:lang w:val="fr-FR"/>
        </w:rPr>
        <w:t>a pas fait appel devant la Cour fédérale de l</w:t>
      </w:r>
      <w:r>
        <w:rPr>
          <w:lang w:val="fr-FR"/>
        </w:rPr>
        <w:t>’</w:t>
      </w:r>
      <w:r w:rsidRPr="002A1ECB">
        <w:rPr>
          <w:lang w:val="fr-FR"/>
        </w:rPr>
        <w:t>avis négatif rendu par la Section d</w:t>
      </w:r>
      <w:r>
        <w:rPr>
          <w:lang w:val="fr-FR"/>
        </w:rPr>
        <w:t>’</w:t>
      </w:r>
      <w:r w:rsidRPr="002A1ECB">
        <w:rPr>
          <w:lang w:val="fr-FR"/>
        </w:rPr>
        <w:t>appel de l</w:t>
      </w:r>
      <w:r>
        <w:rPr>
          <w:lang w:val="fr-FR"/>
        </w:rPr>
        <w:t>’</w:t>
      </w:r>
      <w:r w:rsidRPr="002A1ECB">
        <w:rPr>
          <w:lang w:val="fr-FR"/>
        </w:rPr>
        <w:t>immigration en date du 25 octobre 2006, et n</w:t>
      </w:r>
      <w:r>
        <w:rPr>
          <w:lang w:val="fr-FR"/>
        </w:rPr>
        <w:t>’</w:t>
      </w:r>
      <w:r w:rsidRPr="002A1ECB">
        <w:rPr>
          <w:lang w:val="fr-FR"/>
        </w:rPr>
        <w:t>a donc pas épuisé une voie de recours utile</w:t>
      </w:r>
      <w:r w:rsidRPr="00363258">
        <w:rPr>
          <w:rStyle w:val="FootnoteReference"/>
        </w:rPr>
        <w:footnoteReference w:id="14"/>
      </w:r>
      <w:r w:rsidRPr="002A1ECB">
        <w:rPr>
          <w:lang w:val="fr-FR"/>
        </w:rPr>
        <w:t xml:space="preserve">. </w:t>
      </w:r>
      <w:r w:rsidR="00BB4097">
        <w:rPr>
          <w:lang w:val="fr-FR"/>
        </w:rPr>
        <w:t xml:space="preserve">Pour ce qui est </w:t>
      </w:r>
      <w:r w:rsidRPr="002A1ECB">
        <w:rPr>
          <w:lang w:val="fr-FR"/>
        </w:rPr>
        <w:t>du rejet par la Cour fédérale, le 15</w:t>
      </w:r>
      <w:r w:rsidR="00BB4097">
        <w:rPr>
          <w:lang w:val="fr-FR"/>
        </w:rPr>
        <w:t> </w:t>
      </w:r>
      <w:r w:rsidRPr="002A1ECB">
        <w:rPr>
          <w:lang w:val="fr-FR"/>
        </w:rPr>
        <w:t>juillet 2009, du recours formé par l</w:t>
      </w:r>
      <w:r>
        <w:rPr>
          <w:lang w:val="fr-FR"/>
        </w:rPr>
        <w:t>’</w:t>
      </w:r>
      <w:r w:rsidRPr="002A1ECB">
        <w:rPr>
          <w:lang w:val="fr-FR"/>
        </w:rPr>
        <w:t>auteur contre la décision du Représentant du Ministre, fondé sur le fait que l</w:t>
      </w:r>
      <w:r>
        <w:rPr>
          <w:lang w:val="fr-FR"/>
        </w:rPr>
        <w:t>’</w:t>
      </w:r>
      <w:r w:rsidRPr="002A1ECB">
        <w:rPr>
          <w:lang w:val="fr-FR"/>
        </w:rPr>
        <w:t>auteur n</w:t>
      </w:r>
      <w:r>
        <w:rPr>
          <w:lang w:val="fr-FR"/>
        </w:rPr>
        <w:t>’</w:t>
      </w:r>
      <w:r w:rsidRPr="002A1ECB">
        <w:rPr>
          <w:lang w:val="fr-FR"/>
        </w:rPr>
        <w:t>avait pas déposé le dossier nécessaire parce que, selon lui, sa demande d</w:t>
      </w:r>
      <w:r>
        <w:rPr>
          <w:lang w:val="fr-FR"/>
        </w:rPr>
        <w:t>’</w:t>
      </w:r>
      <w:r w:rsidRPr="002A1ECB">
        <w:rPr>
          <w:lang w:val="fr-FR"/>
        </w:rPr>
        <w:t>aide judiciaire avait été rejetée, l</w:t>
      </w:r>
      <w:r>
        <w:rPr>
          <w:lang w:val="fr-FR"/>
        </w:rPr>
        <w:t>’</w:t>
      </w:r>
      <w:r w:rsidRPr="002A1ECB">
        <w:rPr>
          <w:lang w:val="fr-FR"/>
        </w:rPr>
        <w:t>État partie constate que l</w:t>
      </w:r>
      <w:r>
        <w:rPr>
          <w:lang w:val="fr-FR"/>
        </w:rPr>
        <w:t>’</w:t>
      </w:r>
      <w:r w:rsidRPr="002A1ECB">
        <w:rPr>
          <w:lang w:val="fr-FR"/>
        </w:rPr>
        <w:t>auteur était représenté par un conseil dans le cadre de procédures antérieures et ultérieures et qu</w:t>
      </w:r>
      <w:r>
        <w:rPr>
          <w:lang w:val="fr-FR"/>
        </w:rPr>
        <w:t>’</w:t>
      </w:r>
      <w:r w:rsidRPr="002A1ECB">
        <w:rPr>
          <w:lang w:val="fr-FR"/>
        </w:rPr>
        <w:t>il n</w:t>
      </w:r>
      <w:r>
        <w:rPr>
          <w:lang w:val="fr-FR"/>
        </w:rPr>
        <w:t>’</w:t>
      </w:r>
      <w:r w:rsidRPr="002A1ECB">
        <w:rPr>
          <w:lang w:val="fr-FR"/>
        </w:rPr>
        <w:t>avait donc pas exercé les recours internes disponibles avec la diligence nécessaire.</w:t>
      </w:r>
    </w:p>
    <w:p w:rsidR="002E353E" w:rsidRPr="002A1ECB" w:rsidRDefault="002E353E" w:rsidP="002E353E">
      <w:pPr>
        <w:pStyle w:val="SingleTxtG"/>
        <w:rPr>
          <w:lang w:val="fr-FR"/>
        </w:rPr>
      </w:pPr>
      <w:r w:rsidRPr="002A1ECB">
        <w:rPr>
          <w:lang w:val="fr-FR"/>
        </w:rPr>
        <w:t>4.6</w:t>
      </w:r>
      <w:r w:rsidRPr="002A1ECB">
        <w:rPr>
          <w:lang w:val="fr-FR"/>
        </w:rPr>
        <w:tab/>
        <w:t>Pour ce qui est des allégations de l</w:t>
      </w:r>
      <w:r>
        <w:rPr>
          <w:lang w:val="fr-FR"/>
        </w:rPr>
        <w:t>’</w:t>
      </w:r>
      <w:r w:rsidRPr="002A1ECB">
        <w:rPr>
          <w:lang w:val="fr-FR"/>
        </w:rPr>
        <w:t>auteur faisant état d</w:t>
      </w:r>
      <w:r>
        <w:rPr>
          <w:lang w:val="fr-FR"/>
        </w:rPr>
        <w:t>’</w:t>
      </w:r>
      <w:r w:rsidRPr="002A1ECB">
        <w:rPr>
          <w:lang w:val="fr-FR"/>
        </w:rPr>
        <w:t>une violation distincte du paragraphe 3 de l</w:t>
      </w:r>
      <w:r>
        <w:rPr>
          <w:lang w:val="fr-FR"/>
        </w:rPr>
        <w:t>’</w:t>
      </w:r>
      <w:r w:rsidRPr="002A1ECB">
        <w:rPr>
          <w:lang w:val="fr-FR"/>
        </w:rPr>
        <w:t>article 2</w:t>
      </w:r>
      <w:r w:rsidRPr="00363258">
        <w:rPr>
          <w:rStyle w:val="FootnoteReference"/>
        </w:rPr>
        <w:footnoteReference w:id="15"/>
      </w:r>
      <w:r w:rsidRPr="002A1ECB">
        <w:rPr>
          <w:lang w:val="fr-FR"/>
        </w:rPr>
        <w:t xml:space="preserve"> et des dispositions de la Convention de 1951 relative au statut des réfugiés, l</w:t>
      </w:r>
      <w:r>
        <w:rPr>
          <w:lang w:val="fr-FR"/>
        </w:rPr>
        <w:t>’</w:t>
      </w:r>
      <w:r w:rsidRPr="002A1ECB">
        <w:rPr>
          <w:lang w:val="fr-FR"/>
        </w:rPr>
        <w:t>État partie affirme qu</w:t>
      </w:r>
      <w:r>
        <w:rPr>
          <w:lang w:val="fr-FR"/>
        </w:rPr>
        <w:t>’</w:t>
      </w:r>
      <w:r w:rsidRPr="002A1ECB">
        <w:rPr>
          <w:lang w:val="fr-FR"/>
        </w:rPr>
        <w:t>elles devraient être déclarées incompatibles avec les dispositions du Pacte en application de l</w:t>
      </w:r>
      <w:r>
        <w:rPr>
          <w:lang w:val="fr-FR"/>
        </w:rPr>
        <w:t>’</w:t>
      </w:r>
      <w:r w:rsidRPr="002A1ECB">
        <w:rPr>
          <w:lang w:val="fr-FR"/>
        </w:rPr>
        <w:t>article 3 du Protocole facultatif. En outre, il estime que l</w:t>
      </w:r>
      <w:r>
        <w:rPr>
          <w:lang w:val="fr-FR"/>
        </w:rPr>
        <w:t>’</w:t>
      </w:r>
      <w:r w:rsidRPr="002A1ECB">
        <w:rPr>
          <w:lang w:val="fr-FR"/>
        </w:rPr>
        <w:t>auteur n</w:t>
      </w:r>
      <w:r>
        <w:rPr>
          <w:lang w:val="fr-FR"/>
        </w:rPr>
        <w:t>’</w:t>
      </w:r>
      <w:r w:rsidRPr="002A1ECB">
        <w:rPr>
          <w:lang w:val="fr-FR"/>
        </w:rPr>
        <w:t xml:space="preserve">a pas étayé </w:t>
      </w:r>
      <w:r w:rsidRPr="002A1ECB">
        <w:rPr>
          <w:i/>
          <w:lang w:val="fr-FR"/>
        </w:rPr>
        <w:t>prima facie</w:t>
      </w:r>
      <w:r w:rsidRPr="002A1ECB">
        <w:rPr>
          <w:lang w:val="fr-FR"/>
        </w:rPr>
        <w:t xml:space="preserve"> ses allégations selon lesquelles il y aurait eu violation du paragraphe 3 de l</w:t>
      </w:r>
      <w:r>
        <w:rPr>
          <w:lang w:val="fr-FR"/>
        </w:rPr>
        <w:t>’</w:t>
      </w:r>
      <w:r w:rsidRPr="002A1ECB">
        <w:rPr>
          <w:lang w:val="fr-FR"/>
        </w:rPr>
        <w:t>article 2, étant donné que l</w:t>
      </w:r>
      <w:r>
        <w:rPr>
          <w:lang w:val="fr-FR"/>
        </w:rPr>
        <w:t>’</w:t>
      </w:r>
      <w:r w:rsidRPr="002A1ECB">
        <w:rPr>
          <w:lang w:val="fr-FR"/>
        </w:rPr>
        <w:t xml:space="preserve">État partie offre de nombreux recours pour éviter le renvoi dans un pays où il pourrait y avoir un risque de torture ou de peines ou traitements cruels, inhumains </w:t>
      </w:r>
      <w:r>
        <w:rPr>
          <w:lang w:val="fr-FR"/>
        </w:rPr>
        <w:t>ou</w:t>
      </w:r>
      <w:r w:rsidRPr="002A1ECB">
        <w:rPr>
          <w:lang w:val="fr-FR"/>
        </w:rPr>
        <w:t xml:space="preserve"> dégradants.</w:t>
      </w:r>
    </w:p>
    <w:p w:rsidR="002E353E" w:rsidRPr="002A1ECB" w:rsidRDefault="002E353E" w:rsidP="002E353E">
      <w:pPr>
        <w:pStyle w:val="SingleTxtG"/>
        <w:rPr>
          <w:lang w:val="fr-FR"/>
        </w:rPr>
      </w:pPr>
      <w:r w:rsidRPr="002A1ECB">
        <w:rPr>
          <w:lang w:val="fr-FR"/>
        </w:rPr>
        <w:t>4.7</w:t>
      </w:r>
      <w:r w:rsidRPr="002A1ECB">
        <w:rPr>
          <w:lang w:val="fr-FR"/>
        </w:rPr>
        <w:tab/>
        <w:t>Pour ce qui est des griefs que l</w:t>
      </w:r>
      <w:r>
        <w:rPr>
          <w:lang w:val="fr-FR"/>
        </w:rPr>
        <w:t>’</w:t>
      </w:r>
      <w:r w:rsidRPr="002A1ECB">
        <w:rPr>
          <w:lang w:val="fr-FR"/>
        </w:rPr>
        <w:t>auteur tire de l</w:t>
      </w:r>
      <w:r>
        <w:rPr>
          <w:lang w:val="fr-FR"/>
        </w:rPr>
        <w:t>’</w:t>
      </w:r>
      <w:r w:rsidRPr="002A1ECB">
        <w:rPr>
          <w:lang w:val="fr-FR"/>
        </w:rPr>
        <w:t>article 18, l</w:t>
      </w:r>
      <w:r>
        <w:rPr>
          <w:lang w:val="fr-FR"/>
        </w:rPr>
        <w:t>’</w:t>
      </w:r>
      <w:r w:rsidRPr="002A1ECB">
        <w:rPr>
          <w:lang w:val="fr-FR"/>
        </w:rPr>
        <w:t>État partie observe que l</w:t>
      </w:r>
      <w:r>
        <w:rPr>
          <w:lang w:val="fr-FR"/>
        </w:rPr>
        <w:t>’</w:t>
      </w:r>
      <w:r w:rsidRPr="002A1ECB">
        <w:rPr>
          <w:lang w:val="fr-FR"/>
        </w:rPr>
        <w:t>auteur ne l</w:t>
      </w:r>
      <w:r>
        <w:rPr>
          <w:lang w:val="fr-FR"/>
        </w:rPr>
        <w:t>’</w:t>
      </w:r>
      <w:r w:rsidRPr="002A1ECB">
        <w:rPr>
          <w:lang w:val="fr-FR"/>
        </w:rPr>
        <w:t>accuse pas de violer les dispositions en question, mais fait valoir que, une fois en Somalie, il n</w:t>
      </w:r>
      <w:r>
        <w:rPr>
          <w:lang w:val="fr-FR"/>
        </w:rPr>
        <w:t>’</w:t>
      </w:r>
      <w:r w:rsidRPr="002A1ECB">
        <w:rPr>
          <w:lang w:val="fr-FR"/>
        </w:rPr>
        <w:t>aurait pas la possibilité de pratiquer sa religion et/ou subirait des mauvais traitements du fait de ses croyances. L</w:t>
      </w:r>
      <w:r>
        <w:rPr>
          <w:lang w:val="fr-FR"/>
        </w:rPr>
        <w:t>’</w:t>
      </w:r>
      <w:r w:rsidRPr="002A1ECB">
        <w:rPr>
          <w:lang w:val="fr-FR"/>
        </w:rPr>
        <w:t>État partie indique que, contrairement aux articles 6 (par</w:t>
      </w:r>
      <w:r>
        <w:rPr>
          <w:lang w:val="fr-FR"/>
        </w:rPr>
        <w:t xml:space="preserve">. </w:t>
      </w:r>
      <w:r w:rsidRPr="002A1ECB">
        <w:rPr>
          <w:lang w:val="fr-FR"/>
        </w:rPr>
        <w:t>1) et 7, l</w:t>
      </w:r>
      <w:r>
        <w:rPr>
          <w:lang w:val="fr-FR"/>
        </w:rPr>
        <w:t>’</w:t>
      </w:r>
      <w:r w:rsidRPr="002A1ECB">
        <w:rPr>
          <w:lang w:val="fr-FR"/>
        </w:rPr>
        <w:t>article 18 n</w:t>
      </w:r>
      <w:r>
        <w:rPr>
          <w:lang w:val="fr-FR"/>
        </w:rPr>
        <w:t>’</w:t>
      </w:r>
      <w:r w:rsidRPr="002A1ECB">
        <w:rPr>
          <w:lang w:val="fr-FR"/>
        </w:rPr>
        <w:t>est pas d</w:t>
      </w:r>
      <w:r>
        <w:rPr>
          <w:lang w:val="fr-FR"/>
        </w:rPr>
        <w:t>’</w:t>
      </w:r>
      <w:r w:rsidRPr="002A1ECB">
        <w:rPr>
          <w:lang w:val="fr-FR"/>
        </w:rPr>
        <w:t>application extraterritoriale</w:t>
      </w:r>
      <w:r w:rsidRPr="00363258">
        <w:rPr>
          <w:rStyle w:val="FootnoteReference"/>
        </w:rPr>
        <w:footnoteReference w:id="16"/>
      </w:r>
      <w:r w:rsidRPr="002A1ECB">
        <w:rPr>
          <w:lang w:val="fr-FR"/>
        </w:rPr>
        <w:t>. L</w:t>
      </w:r>
      <w:r>
        <w:rPr>
          <w:lang w:val="fr-FR"/>
        </w:rPr>
        <w:t>’</w:t>
      </w:r>
      <w:r w:rsidRPr="002A1ECB">
        <w:rPr>
          <w:lang w:val="fr-FR"/>
        </w:rPr>
        <w:t xml:space="preserve">État partie affirme donc que cet élément de la communication devrait être déclaré irrecevable </w:t>
      </w:r>
      <w:r w:rsidRPr="002A1ECB">
        <w:rPr>
          <w:i/>
          <w:iCs/>
          <w:lang w:val="fr-FR"/>
        </w:rPr>
        <w:t>ratione materiae</w:t>
      </w:r>
      <w:r w:rsidRPr="002A1ECB">
        <w:rPr>
          <w:lang w:val="fr-FR"/>
        </w:rPr>
        <w:t xml:space="preserve"> en vertu de l</w:t>
      </w:r>
      <w:r>
        <w:rPr>
          <w:lang w:val="fr-FR"/>
        </w:rPr>
        <w:t>’</w:t>
      </w:r>
      <w:r w:rsidRPr="002A1ECB">
        <w:rPr>
          <w:lang w:val="fr-FR"/>
        </w:rPr>
        <w:t>article 3 du Protocole facultatif. Il affirme également que les allégations de l</w:t>
      </w:r>
      <w:r>
        <w:rPr>
          <w:lang w:val="fr-FR"/>
        </w:rPr>
        <w:t>’</w:t>
      </w:r>
      <w:r w:rsidRPr="002A1ECB">
        <w:rPr>
          <w:lang w:val="fr-FR"/>
        </w:rPr>
        <w:t>auteur invoquant une violation de l</w:t>
      </w:r>
      <w:r>
        <w:rPr>
          <w:lang w:val="fr-FR"/>
        </w:rPr>
        <w:t xml:space="preserve">’article </w:t>
      </w:r>
      <w:r w:rsidRPr="002A1ECB">
        <w:rPr>
          <w:lang w:val="fr-FR"/>
        </w:rPr>
        <w:t>18 devraient être déclarées irrecevables, dans la mesure où elles sont fondées sur exactement les mêmes faits que ceux présentées au Représentant du Ministre, et qu</w:t>
      </w:r>
      <w:r>
        <w:rPr>
          <w:lang w:val="fr-FR"/>
        </w:rPr>
        <w:t>’</w:t>
      </w:r>
      <w:r w:rsidRPr="002A1ECB">
        <w:rPr>
          <w:lang w:val="fr-FR"/>
        </w:rPr>
        <w:t>aucune erreur manifeste ni aucun abus n</w:t>
      </w:r>
      <w:r>
        <w:rPr>
          <w:lang w:val="fr-FR"/>
        </w:rPr>
        <w:t>’</w:t>
      </w:r>
      <w:r w:rsidRPr="002A1ECB">
        <w:rPr>
          <w:lang w:val="fr-FR"/>
        </w:rPr>
        <w:t>a été relevé dans les procédures nationales, celles-ci n</w:t>
      </w:r>
      <w:r>
        <w:rPr>
          <w:lang w:val="fr-FR"/>
        </w:rPr>
        <w:t>’</w:t>
      </w:r>
      <w:r w:rsidRPr="002A1ECB">
        <w:rPr>
          <w:lang w:val="fr-FR"/>
        </w:rPr>
        <w:t>ayant été entachées ni d</w:t>
      </w:r>
      <w:r>
        <w:rPr>
          <w:lang w:val="fr-FR"/>
        </w:rPr>
        <w:t>’</w:t>
      </w:r>
      <w:r w:rsidRPr="002A1ECB">
        <w:rPr>
          <w:lang w:val="fr-FR"/>
        </w:rPr>
        <w:t>abus de procédure</w:t>
      </w:r>
      <w:r>
        <w:rPr>
          <w:lang w:val="fr-FR"/>
        </w:rPr>
        <w:t>,</w:t>
      </w:r>
      <w:r w:rsidRPr="002A1ECB">
        <w:rPr>
          <w:lang w:val="fr-FR"/>
        </w:rPr>
        <w:t xml:space="preserve"> ni de partialité, ni d</w:t>
      </w:r>
      <w:r>
        <w:rPr>
          <w:lang w:val="fr-FR"/>
        </w:rPr>
        <w:t>’</w:t>
      </w:r>
      <w:r w:rsidRPr="002A1ECB">
        <w:rPr>
          <w:lang w:val="fr-FR"/>
        </w:rPr>
        <w:t>irrégularités graves.</w:t>
      </w:r>
    </w:p>
    <w:p w:rsidR="002E353E" w:rsidRPr="002A1ECB" w:rsidRDefault="002E353E" w:rsidP="002E353E">
      <w:pPr>
        <w:pStyle w:val="SingleTxtG"/>
        <w:rPr>
          <w:lang w:val="fr-FR"/>
        </w:rPr>
      </w:pPr>
      <w:r w:rsidRPr="002A1ECB">
        <w:rPr>
          <w:lang w:val="fr-FR"/>
        </w:rPr>
        <w:t>4.8</w:t>
      </w:r>
      <w:r w:rsidRPr="002A1ECB">
        <w:rPr>
          <w:lang w:val="fr-FR"/>
        </w:rPr>
        <w:tab/>
        <w:t>S</w:t>
      </w:r>
      <w:r>
        <w:rPr>
          <w:lang w:val="fr-FR"/>
        </w:rPr>
        <w:t>’</w:t>
      </w:r>
      <w:r w:rsidRPr="002A1ECB">
        <w:rPr>
          <w:lang w:val="fr-FR"/>
        </w:rPr>
        <w:t>agissant des griefs que l</w:t>
      </w:r>
      <w:r>
        <w:rPr>
          <w:lang w:val="fr-FR"/>
        </w:rPr>
        <w:t>’</w:t>
      </w:r>
      <w:r w:rsidRPr="002A1ECB">
        <w:rPr>
          <w:lang w:val="fr-FR"/>
        </w:rPr>
        <w:t>auteur tire des articles 6 (par</w:t>
      </w:r>
      <w:r>
        <w:rPr>
          <w:lang w:val="fr-FR"/>
        </w:rPr>
        <w:t>.</w:t>
      </w:r>
      <w:r w:rsidRPr="002A1ECB">
        <w:rPr>
          <w:lang w:val="fr-FR"/>
        </w:rPr>
        <w:t xml:space="preserve"> 1</w:t>
      </w:r>
      <w:r>
        <w:rPr>
          <w:lang w:val="fr-FR"/>
        </w:rPr>
        <w:t xml:space="preserve">) et </w:t>
      </w:r>
      <w:r w:rsidRPr="002A1ECB">
        <w:rPr>
          <w:lang w:val="fr-FR"/>
        </w:rPr>
        <w:t>7, l</w:t>
      </w:r>
      <w:r>
        <w:rPr>
          <w:lang w:val="fr-FR"/>
        </w:rPr>
        <w:t>’</w:t>
      </w:r>
      <w:r w:rsidRPr="002A1ECB">
        <w:rPr>
          <w:lang w:val="fr-FR"/>
        </w:rPr>
        <w:t>État partie fait valoir que l</w:t>
      </w:r>
      <w:r>
        <w:rPr>
          <w:lang w:val="fr-FR"/>
        </w:rPr>
        <w:t>’</w:t>
      </w:r>
      <w:r w:rsidRPr="002A1ECB">
        <w:rPr>
          <w:lang w:val="fr-FR"/>
        </w:rPr>
        <w:t>auteur ne les a pas suffisamment étayés, aux fins de la recevabilité, et qu</w:t>
      </w:r>
      <w:r>
        <w:rPr>
          <w:lang w:val="fr-FR"/>
        </w:rPr>
        <w:t>’</w:t>
      </w:r>
      <w:r w:rsidRPr="002A1ECB">
        <w:rPr>
          <w:lang w:val="fr-FR"/>
        </w:rPr>
        <w:t>il ne suffit pas de montrer que les violations des droits de l</w:t>
      </w:r>
      <w:r>
        <w:rPr>
          <w:lang w:val="fr-FR"/>
        </w:rPr>
        <w:t>’</w:t>
      </w:r>
      <w:r w:rsidRPr="002A1ECB">
        <w:rPr>
          <w:lang w:val="fr-FR"/>
        </w:rPr>
        <w:t xml:space="preserve">homme perdurent en Somalie pour établir </w:t>
      </w:r>
      <w:r w:rsidRPr="002A1ECB">
        <w:rPr>
          <w:i/>
          <w:lang w:val="fr-FR"/>
        </w:rPr>
        <w:t>prima facie</w:t>
      </w:r>
      <w:r w:rsidRPr="002A1ECB">
        <w:rPr>
          <w:lang w:val="fr-FR"/>
        </w:rPr>
        <w:t xml:space="preserve"> le bien-fondé de la thèse selon laquelle l</w:t>
      </w:r>
      <w:r>
        <w:rPr>
          <w:lang w:val="fr-FR"/>
        </w:rPr>
        <w:t>’</w:t>
      </w:r>
      <w:r w:rsidRPr="002A1ECB">
        <w:rPr>
          <w:lang w:val="fr-FR"/>
        </w:rPr>
        <w:t>auteur lui-même risque de subir des actes de torture ou des peines ou traitements cruels, inhumains ou dégradant</w:t>
      </w:r>
      <w:r>
        <w:rPr>
          <w:lang w:val="fr-FR"/>
        </w:rPr>
        <w:t>s</w:t>
      </w:r>
      <w:r w:rsidRPr="002A1ECB">
        <w:rPr>
          <w:lang w:val="fr-FR"/>
        </w:rPr>
        <w:t>. Il estime que les allégations de l</w:t>
      </w:r>
      <w:r>
        <w:rPr>
          <w:lang w:val="fr-FR"/>
        </w:rPr>
        <w:t>’</w:t>
      </w:r>
      <w:r w:rsidRPr="002A1ECB">
        <w:rPr>
          <w:lang w:val="fr-FR"/>
        </w:rPr>
        <w:t>auteur faisant état de l</w:t>
      </w:r>
      <w:r>
        <w:rPr>
          <w:lang w:val="fr-FR"/>
        </w:rPr>
        <w:t>’</w:t>
      </w:r>
      <w:r w:rsidRPr="002A1ECB">
        <w:rPr>
          <w:lang w:val="fr-FR"/>
        </w:rPr>
        <w:t>absence de toute appartenance ou affiliation à un clan sont dénuées de fondement et peu convaincantes. Le 9 avril 2010, l</w:t>
      </w:r>
      <w:r>
        <w:rPr>
          <w:lang w:val="fr-FR"/>
        </w:rPr>
        <w:t>’</w:t>
      </w:r>
      <w:r w:rsidRPr="002A1ECB">
        <w:rPr>
          <w:lang w:val="fr-FR"/>
        </w:rPr>
        <w:t>auteur a déclaré que sa mère appartenait à la tribu Darod et au clan Marjertain. En outre, le 9 juin 2010, l</w:t>
      </w:r>
      <w:r>
        <w:rPr>
          <w:lang w:val="fr-FR"/>
        </w:rPr>
        <w:t>’</w:t>
      </w:r>
      <w:r w:rsidRPr="002A1ECB">
        <w:rPr>
          <w:lang w:val="fr-FR"/>
        </w:rPr>
        <w:t>auteur a indiqué qu</w:t>
      </w:r>
      <w:r>
        <w:rPr>
          <w:lang w:val="fr-FR"/>
        </w:rPr>
        <w:t>’</w:t>
      </w:r>
      <w:r w:rsidRPr="002A1ECB">
        <w:rPr>
          <w:lang w:val="fr-FR"/>
        </w:rPr>
        <w:t>il souhaitait être renvoyé à Bossasso ou Galkayo dans le nord de la Somalie. L</w:t>
      </w:r>
      <w:r>
        <w:rPr>
          <w:lang w:val="fr-FR"/>
        </w:rPr>
        <w:t>’</w:t>
      </w:r>
      <w:r w:rsidRPr="002A1ECB">
        <w:rPr>
          <w:lang w:val="fr-FR"/>
        </w:rPr>
        <w:t>État partie affirme que la supposée conversion de l</w:t>
      </w:r>
      <w:r>
        <w:rPr>
          <w:lang w:val="fr-FR"/>
        </w:rPr>
        <w:t>’</w:t>
      </w:r>
      <w:r w:rsidRPr="002A1ECB">
        <w:rPr>
          <w:lang w:val="fr-FR"/>
        </w:rPr>
        <w:t>auteur au christianisme n</w:t>
      </w:r>
      <w:r>
        <w:rPr>
          <w:lang w:val="fr-FR"/>
        </w:rPr>
        <w:t>’</w:t>
      </w:r>
      <w:r w:rsidRPr="002A1ECB">
        <w:rPr>
          <w:lang w:val="fr-FR"/>
        </w:rPr>
        <w:t>est pas étayée, aucune preuve n</w:t>
      </w:r>
      <w:r>
        <w:rPr>
          <w:lang w:val="fr-FR"/>
        </w:rPr>
        <w:t>’</w:t>
      </w:r>
      <w:r w:rsidRPr="002A1ECB">
        <w:rPr>
          <w:lang w:val="fr-FR"/>
        </w:rPr>
        <w:t>ayant été présentée à cet égard. Lors de son arrivée dans différents établissements pénitentiaires, l</w:t>
      </w:r>
      <w:r>
        <w:rPr>
          <w:lang w:val="fr-FR"/>
        </w:rPr>
        <w:t>’</w:t>
      </w:r>
      <w:r w:rsidRPr="002A1ECB">
        <w:rPr>
          <w:lang w:val="fr-FR"/>
        </w:rPr>
        <w:t>auteur a déclaré qu</w:t>
      </w:r>
      <w:r>
        <w:rPr>
          <w:lang w:val="fr-FR"/>
        </w:rPr>
        <w:t>’</w:t>
      </w:r>
      <w:r w:rsidRPr="002A1ECB">
        <w:rPr>
          <w:lang w:val="fr-FR"/>
        </w:rPr>
        <w:t xml:space="preserve">il était musulman pratiquant et observait le </w:t>
      </w:r>
      <w:r>
        <w:rPr>
          <w:lang w:val="fr-FR"/>
        </w:rPr>
        <w:t>r</w:t>
      </w:r>
      <w:r w:rsidRPr="002A1ECB">
        <w:rPr>
          <w:lang w:val="fr-FR"/>
        </w:rPr>
        <w:t>amadan. Pour ce qui est de la situation humanitaire en Somalie, l</w:t>
      </w:r>
      <w:r>
        <w:rPr>
          <w:lang w:val="fr-FR"/>
        </w:rPr>
        <w:t>’</w:t>
      </w:r>
      <w:r w:rsidRPr="002A1ECB">
        <w:rPr>
          <w:lang w:val="fr-FR"/>
        </w:rPr>
        <w:t>État partie soutient qu</w:t>
      </w:r>
      <w:r>
        <w:rPr>
          <w:lang w:val="fr-FR"/>
        </w:rPr>
        <w:t>’</w:t>
      </w:r>
      <w:r w:rsidRPr="002A1ECB">
        <w:rPr>
          <w:lang w:val="fr-FR"/>
        </w:rPr>
        <w:t>elle constitue un risque généralisé auquel sont confrontés tous les citoyens somaliens. De plus, l</w:t>
      </w:r>
      <w:r>
        <w:rPr>
          <w:lang w:val="fr-FR"/>
        </w:rPr>
        <w:t>’</w:t>
      </w:r>
      <w:r w:rsidRPr="002A1ECB">
        <w:rPr>
          <w:lang w:val="fr-FR"/>
        </w:rPr>
        <w:t>élément de preuve documentaire fourni par l</w:t>
      </w:r>
      <w:r>
        <w:rPr>
          <w:lang w:val="fr-FR"/>
        </w:rPr>
        <w:t>’</w:t>
      </w:r>
      <w:r w:rsidRPr="002A1ECB">
        <w:rPr>
          <w:lang w:val="fr-FR"/>
        </w:rPr>
        <w:t>auteur indique que la situation s</w:t>
      </w:r>
      <w:r>
        <w:rPr>
          <w:lang w:val="fr-FR"/>
        </w:rPr>
        <w:t>’</w:t>
      </w:r>
      <w:r w:rsidRPr="002A1ECB">
        <w:rPr>
          <w:lang w:val="fr-FR"/>
        </w:rPr>
        <w:t>est améliorée dans le Puntland</w:t>
      </w:r>
      <w:r w:rsidRPr="00363258">
        <w:rPr>
          <w:rStyle w:val="FootnoteReference"/>
        </w:rPr>
        <w:footnoteReference w:id="17"/>
      </w:r>
      <w:r w:rsidRPr="002A1ECB">
        <w:rPr>
          <w:lang w:val="fr-FR"/>
        </w:rPr>
        <w:t xml:space="preserve"> et, selon le Haut-Commissariat des Nations Unies pour les réfugiés, une personne se trouvant dans le Puntland ou le Somaliland n</w:t>
      </w:r>
      <w:r>
        <w:rPr>
          <w:lang w:val="fr-FR"/>
        </w:rPr>
        <w:t>’</w:t>
      </w:r>
      <w:r w:rsidRPr="002A1ECB">
        <w:rPr>
          <w:lang w:val="fr-FR"/>
        </w:rPr>
        <w:t>est pas exposée à un grave danger</w:t>
      </w:r>
      <w:r w:rsidRPr="00363258">
        <w:rPr>
          <w:rStyle w:val="FootnoteReference"/>
        </w:rPr>
        <w:footnoteReference w:id="18"/>
      </w:r>
      <w:r w:rsidRPr="002A1ECB">
        <w:rPr>
          <w:lang w:val="fr-FR"/>
        </w:rPr>
        <w:t>.</w:t>
      </w:r>
    </w:p>
    <w:p w:rsidR="002E353E" w:rsidRPr="002A1ECB" w:rsidRDefault="002E353E" w:rsidP="002E353E">
      <w:pPr>
        <w:pStyle w:val="SingleTxtG"/>
        <w:rPr>
          <w:lang w:val="fr-FR"/>
        </w:rPr>
      </w:pPr>
      <w:r>
        <w:rPr>
          <w:lang w:val="fr-FR"/>
        </w:rPr>
        <w:t>4.9</w:t>
      </w:r>
      <w:r>
        <w:rPr>
          <w:lang w:val="fr-FR"/>
        </w:rPr>
        <w:tab/>
        <w:t xml:space="preserve">Renvoyant aux Observations générales </w:t>
      </w:r>
      <w:r w:rsidRPr="00AA2BCB">
        <w:rPr>
          <w:lang w:val="fr-FR"/>
        </w:rPr>
        <w:t>n</w:t>
      </w:r>
      <w:r w:rsidRPr="00AA2BCB">
        <w:rPr>
          <w:vertAlign w:val="superscript"/>
          <w:lang w:val="fr-FR"/>
        </w:rPr>
        <w:t>os</w:t>
      </w:r>
      <w:r>
        <w:rPr>
          <w:lang w:val="fr-FR"/>
        </w:rPr>
        <w:t> </w:t>
      </w:r>
      <w:r w:rsidRPr="002A1ECB">
        <w:rPr>
          <w:lang w:val="fr-FR"/>
        </w:rPr>
        <w:t>16 et 19 du Comité et à sa jurisprudence</w:t>
      </w:r>
      <w:r w:rsidRPr="00363258">
        <w:rPr>
          <w:rStyle w:val="FootnoteReference"/>
        </w:rPr>
        <w:footnoteReference w:id="19"/>
      </w:r>
      <w:r w:rsidRPr="002A1ECB">
        <w:rPr>
          <w:lang w:val="fr-FR"/>
        </w:rPr>
        <w:t>, l</w:t>
      </w:r>
      <w:r>
        <w:rPr>
          <w:lang w:val="fr-FR"/>
        </w:rPr>
        <w:t>’</w:t>
      </w:r>
      <w:r w:rsidRPr="002A1ECB">
        <w:rPr>
          <w:lang w:val="fr-FR"/>
        </w:rPr>
        <w:t>État partie déclare qu</w:t>
      </w:r>
      <w:r>
        <w:rPr>
          <w:lang w:val="fr-FR"/>
        </w:rPr>
        <w:t>’</w:t>
      </w:r>
      <w:r w:rsidRPr="002A1ECB">
        <w:rPr>
          <w:lang w:val="fr-FR"/>
        </w:rPr>
        <w:t>il jouit d</w:t>
      </w:r>
      <w:r>
        <w:rPr>
          <w:lang w:val="fr-FR"/>
        </w:rPr>
        <w:t>’</w:t>
      </w:r>
      <w:r w:rsidRPr="002A1ECB">
        <w:rPr>
          <w:lang w:val="fr-FR"/>
        </w:rPr>
        <w:t>un pouvoir discrétionnaire étendu en ce qui concerne l</w:t>
      </w:r>
      <w:r>
        <w:rPr>
          <w:lang w:val="fr-FR"/>
        </w:rPr>
        <w:t>’</w:t>
      </w:r>
      <w:r w:rsidRPr="002A1ECB">
        <w:rPr>
          <w:lang w:val="fr-FR"/>
        </w:rPr>
        <w:t>expulsion d</w:t>
      </w:r>
      <w:r>
        <w:rPr>
          <w:lang w:val="fr-FR"/>
        </w:rPr>
        <w:t>’</w:t>
      </w:r>
      <w:r w:rsidRPr="002A1ECB">
        <w:rPr>
          <w:lang w:val="fr-FR"/>
        </w:rPr>
        <w:t>étrangers de son territoire et que les articles 17 et 23 ne garantissent pas qu</w:t>
      </w:r>
      <w:r>
        <w:rPr>
          <w:lang w:val="fr-FR"/>
        </w:rPr>
        <w:t>’</w:t>
      </w:r>
      <w:r w:rsidRPr="002A1ECB">
        <w:rPr>
          <w:lang w:val="fr-FR"/>
        </w:rPr>
        <w:t>un individu ne puisse jamais être éloigné du territoire d</w:t>
      </w:r>
      <w:r>
        <w:rPr>
          <w:lang w:val="fr-FR"/>
        </w:rPr>
        <w:t>’</w:t>
      </w:r>
      <w:r w:rsidRPr="002A1ECB">
        <w:rPr>
          <w:lang w:val="fr-FR"/>
        </w:rPr>
        <w:t>un État partie si la mesure devait avoir des conséquences pour sa vie de famille. L</w:t>
      </w:r>
      <w:r>
        <w:rPr>
          <w:lang w:val="fr-FR"/>
        </w:rPr>
        <w:t>’</w:t>
      </w:r>
      <w:r w:rsidRPr="002A1ECB">
        <w:rPr>
          <w:lang w:val="fr-FR"/>
        </w:rPr>
        <w:t>État partie affirme que, dans le cas présent, ses autorités n</w:t>
      </w:r>
      <w:r>
        <w:rPr>
          <w:lang w:val="fr-FR"/>
        </w:rPr>
        <w:t>’</w:t>
      </w:r>
      <w:r w:rsidRPr="002A1ECB">
        <w:rPr>
          <w:lang w:val="fr-FR"/>
        </w:rPr>
        <w:t>ont pas agi illégalement ou arbitrairement. De plus, l</w:t>
      </w:r>
      <w:r>
        <w:rPr>
          <w:lang w:val="fr-FR"/>
        </w:rPr>
        <w:t>’</w:t>
      </w:r>
      <w:r w:rsidRPr="002A1ECB">
        <w:rPr>
          <w:lang w:val="fr-FR"/>
        </w:rPr>
        <w:t>auteur n</w:t>
      </w:r>
      <w:r>
        <w:rPr>
          <w:lang w:val="fr-FR"/>
        </w:rPr>
        <w:t>’</w:t>
      </w:r>
      <w:r w:rsidRPr="002A1ECB">
        <w:rPr>
          <w:lang w:val="fr-FR"/>
        </w:rPr>
        <w:t>a pas d</w:t>
      </w:r>
      <w:r>
        <w:rPr>
          <w:lang w:val="fr-FR"/>
        </w:rPr>
        <w:t>’</w:t>
      </w:r>
      <w:r w:rsidRPr="002A1ECB">
        <w:rPr>
          <w:lang w:val="fr-FR"/>
        </w:rPr>
        <w:t>enfant, de personne à charge, d</w:t>
      </w:r>
      <w:r>
        <w:rPr>
          <w:lang w:val="fr-FR"/>
        </w:rPr>
        <w:t>’</w:t>
      </w:r>
      <w:r w:rsidRPr="002A1ECB">
        <w:rPr>
          <w:lang w:val="fr-FR"/>
        </w:rPr>
        <w:t>épouse ou de conjoint(e) de fait au Canada. L</w:t>
      </w:r>
      <w:r>
        <w:rPr>
          <w:lang w:val="fr-FR"/>
        </w:rPr>
        <w:t>’</w:t>
      </w:r>
      <w:r w:rsidRPr="002A1ECB">
        <w:rPr>
          <w:lang w:val="fr-FR"/>
        </w:rPr>
        <w:t>expulsion de l</w:t>
      </w:r>
      <w:r>
        <w:rPr>
          <w:lang w:val="fr-FR"/>
        </w:rPr>
        <w:t>’</w:t>
      </w:r>
      <w:r w:rsidRPr="002A1ECB">
        <w:rPr>
          <w:lang w:val="fr-FR"/>
        </w:rPr>
        <w:t>auteur aurait sur sa vie familiale une incidence minime et sans commune mesure avec la gravité des infractions qu</w:t>
      </w:r>
      <w:r>
        <w:rPr>
          <w:lang w:val="fr-FR"/>
        </w:rPr>
        <w:t>’</w:t>
      </w:r>
      <w:r w:rsidRPr="002A1ECB">
        <w:rPr>
          <w:lang w:val="fr-FR"/>
        </w:rPr>
        <w:t>il a commises et du danger qu</w:t>
      </w:r>
      <w:r>
        <w:rPr>
          <w:lang w:val="fr-FR"/>
        </w:rPr>
        <w:t>’</w:t>
      </w:r>
      <w:r w:rsidRPr="002A1ECB">
        <w:rPr>
          <w:lang w:val="fr-FR"/>
        </w:rPr>
        <w:t xml:space="preserve">il représente pour la sécurité publique au Canada. Pour ce qui est des constatations du Comité au sujet de la communication </w:t>
      </w:r>
      <w:r w:rsidRPr="00AA2BCB">
        <w:rPr>
          <w:lang w:val="fr-FR"/>
        </w:rPr>
        <w:t>n</w:t>
      </w:r>
      <w:r w:rsidRPr="00AA2BCB">
        <w:rPr>
          <w:vertAlign w:val="superscript"/>
          <w:lang w:val="fr-FR"/>
        </w:rPr>
        <w:t>o</w:t>
      </w:r>
      <w:r>
        <w:rPr>
          <w:lang w:val="fr-FR"/>
        </w:rPr>
        <w:t> </w:t>
      </w:r>
      <w:r w:rsidRPr="002A1ECB">
        <w:rPr>
          <w:lang w:val="fr-FR"/>
        </w:rPr>
        <w:t>1792/2008,</w:t>
      </w:r>
      <w:r w:rsidRPr="002A1ECB">
        <w:rPr>
          <w:i/>
          <w:iCs/>
          <w:lang w:val="fr-FR"/>
        </w:rPr>
        <w:t xml:space="preserve"> Dauphin </w:t>
      </w:r>
      <w:r w:rsidRPr="00AA2BCB">
        <w:rPr>
          <w:iCs/>
          <w:lang w:val="fr-FR"/>
        </w:rPr>
        <w:t>c.</w:t>
      </w:r>
      <w:r w:rsidRPr="002A1ECB">
        <w:rPr>
          <w:i/>
          <w:iCs/>
          <w:lang w:val="fr-FR"/>
        </w:rPr>
        <w:t xml:space="preserve"> Canada</w:t>
      </w:r>
      <w:r w:rsidRPr="002A1ECB">
        <w:rPr>
          <w:lang w:val="fr-FR"/>
        </w:rPr>
        <w:t>, l</w:t>
      </w:r>
      <w:r>
        <w:rPr>
          <w:lang w:val="fr-FR"/>
        </w:rPr>
        <w:t>’</w:t>
      </w:r>
      <w:r w:rsidRPr="002A1ECB">
        <w:rPr>
          <w:lang w:val="fr-FR"/>
        </w:rPr>
        <w:t>État partie affirme qu</w:t>
      </w:r>
      <w:r>
        <w:rPr>
          <w:lang w:val="fr-FR"/>
        </w:rPr>
        <w:t>’</w:t>
      </w:r>
      <w:r w:rsidRPr="002A1ECB">
        <w:rPr>
          <w:lang w:val="fr-FR"/>
        </w:rPr>
        <w:t>elles s</w:t>
      </w:r>
      <w:r>
        <w:rPr>
          <w:lang w:val="fr-FR"/>
        </w:rPr>
        <w:t>’</w:t>
      </w:r>
      <w:r w:rsidRPr="002A1ECB">
        <w:rPr>
          <w:lang w:val="fr-FR"/>
        </w:rPr>
        <w:t>écartent de la jurisprudence, établie de longue date, du Comité</w:t>
      </w:r>
      <w:r w:rsidRPr="00363258">
        <w:rPr>
          <w:rStyle w:val="FootnoteReference"/>
        </w:rPr>
        <w:footnoteReference w:id="20"/>
      </w:r>
      <w:r w:rsidRPr="002A1ECB">
        <w:rPr>
          <w:lang w:val="fr-FR"/>
        </w:rPr>
        <w:t xml:space="preserve"> et que dans la présente affaire, les intérêts de l</w:t>
      </w:r>
      <w:r>
        <w:rPr>
          <w:lang w:val="fr-FR"/>
        </w:rPr>
        <w:t>’</w:t>
      </w:r>
      <w:r w:rsidRPr="002A1ECB">
        <w:rPr>
          <w:lang w:val="fr-FR"/>
        </w:rPr>
        <w:t>État sont plus impératifs, étant donné que l</w:t>
      </w:r>
      <w:r>
        <w:rPr>
          <w:lang w:val="fr-FR"/>
        </w:rPr>
        <w:t>’</w:t>
      </w:r>
      <w:r w:rsidRPr="002A1ECB">
        <w:rPr>
          <w:lang w:val="fr-FR"/>
        </w:rPr>
        <w:t>auteur a été condamné maintes fois et n</w:t>
      </w:r>
      <w:r>
        <w:rPr>
          <w:lang w:val="fr-FR"/>
        </w:rPr>
        <w:t>’</w:t>
      </w:r>
      <w:r w:rsidRPr="002A1ECB">
        <w:rPr>
          <w:lang w:val="fr-FR"/>
        </w:rPr>
        <w:t>a pas respecté, à de nombreuses reprises, les conditions d</w:t>
      </w:r>
      <w:r>
        <w:rPr>
          <w:lang w:val="fr-FR"/>
        </w:rPr>
        <w:t>’</w:t>
      </w:r>
      <w:r w:rsidRPr="002A1ECB">
        <w:rPr>
          <w:lang w:val="fr-FR"/>
        </w:rPr>
        <w:t>un arrangement ou un sursis probatoire. L</w:t>
      </w:r>
      <w:r>
        <w:rPr>
          <w:lang w:val="fr-FR"/>
        </w:rPr>
        <w:t>’</w:t>
      </w:r>
      <w:r w:rsidRPr="002A1ECB">
        <w:rPr>
          <w:lang w:val="fr-FR"/>
        </w:rPr>
        <w:t>État partie déclare que l</w:t>
      </w:r>
      <w:r>
        <w:rPr>
          <w:lang w:val="fr-FR"/>
        </w:rPr>
        <w:t>’</w:t>
      </w:r>
      <w:r w:rsidRPr="002A1ECB">
        <w:rPr>
          <w:lang w:val="fr-FR"/>
        </w:rPr>
        <w:t>auteur n</w:t>
      </w:r>
      <w:r>
        <w:rPr>
          <w:lang w:val="fr-FR"/>
        </w:rPr>
        <w:t>’</w:t>
      </w:r>
      <w:r w:rsidRPr="002A1ECB">
        <w:rPr>
          <w:lang w:val="fr-FR"/>
        </w:rPr>
        <w:t xml:space="preserve">a pas étayé, aux fins de la recevabilité, ses griefs de violation des articles 17 et 23. </w:t>
      </w:r>
    </w:p>
    <w:p w:rsidR="002E353E" w:rsidRPr="009238E4" w:rsidRDefault="002E353E" w:rsidP="00024F2E">
      <w:pPr>
        <w:pStyle w:val="H23G"/>
      </w:pPr>
      <w:r w:rsidRPr="009238E4">
        <w:tab/>
      </w:r>
      <w:r w:rsidRPr="009238E4">
        <w:tab/>
        <w:t>Commentaires de l</w:t>
      </w:r>
      <w:r>
        <w:t>’</w:t>
      </w:r>
      <w:r w:rsidRPr="009238E4">
        <w:t>auteur sur les observations de l</w:t>
      </w:r>
      <w:r>
        <w:t>’</w:t>
      </w:r>
      <w:r w:rsidRPr="009238E4">
        <w:t>État partie</w:t>
      </w:r>
    </w:p>
    <w:p w:rsidR="002E353E" w:rsidRPr="002A1ECB" w:rsidRDefault="002E353E" w:rsidP="002E353E">
      <w:pPr>
        <w:pStyle w:val="SingleTxtG"/>
        <w:rPr>
          <w:lang w:val="fr-FR"/>
        </w:rPr>
      </w:pPr>
      <w:r w:rsidRPr="002A1ECB">
        <w:rPr>
          <w:lang w:val="fr-FR"/>
        </w:rPr>
        <w:t>5.1</w:t>
      </w:r>
      <w:r w:rsidRPr="002A1ECB">
        <w:rPr>
          <w:lang w:val="fr-FR"/>
        </w:rPr>
        <w:tab/>
        <w:t>Le 30 novembre 2010, l</w:t>
      </w:r>
      <w:r>
        <w:rPr>
          <w:lang w:val="fr-FR"/>
        </w:rPr>
        <w:t>’</w:t>
      </w:r>
      <w:r w:rsidRPr="002A1ECB">
        <w:rPr>
          <w:lang w:val="fr-FR"/>
        </w:rPr>
        <w:t>auteur présente ses commentaires sur les observations de l</w:t>
      </w:r>
      <w:r>
        <w:rPr>
          <w:lang w:val="fr-FR"/>
        </w:rPr>
        <w:t>’</w:t>
      </w:r>
      <w:r w:rsidRPr="002A1ECB">
        <w:rPr>
          <w:lang w:val="fr-FR"/>
        </w:rPr>
        <w:t>État partie et ajoute aux griefs initiaux un grief au titre du paragraphe 4 de l</w:t>
      </w:r>
      <w:r>
        <w:rPr>
          <w:lang w:val="fr-FR"/>
        </w:rPr>
        <w:t>’</w:t>
      </w:r>
      <w:r w:rsidRPr="002A1ECB">
        <w:rPr>
          <w:lang w:val="fr-FR"/>
        </w:rPr>
        <w:t>article 12 du Pacte. Il indique qu</w:t>
      </w:r>
      <w:r>
        <w:rPr>
          <w:lang w:val="fr-FR"/>
        </w:rPr>
        <w:t>’</w:t>
      </w:r>
      <w:r w:rsidRPr="002A1ECB">
        <w:rPr>
          <w:lang w:val="fr-FR"/>
        </w:rPr>
        <w:t>il retire son grief au titre de l</w:t>
      </w:r>
      <w:r>
        <w:rPr>
          <w:lang w:val="fr-FR"/>
        </w:rPr>
        <w:t>’</w:t>
      </w:r>
      <w:r w:rsidRPr="002A1ECB">
        <w:rPr>
          <w:lang w:val="fr-FR"/>
        </w:rPr>
        <w:t>article 18 du Pacte.</w:t>
      </w:r>
    </w:p>
    <w:p w:rsidR="002E353E" w:rsidRPr="002A1ECB" w:rsidRDefault="002E353E" w:rsidP="002E353E">
      <w:pPr>
        <w:pStyle w:val="SingleTxtG"/>
        <w:rPr>
          <w:lang w:val="fr-FR"/>
        </w:rPr>
      </w:pPr>
      <w:r w:rsidRPr="002A1ECB">
        <w:rPr>
          <w:lang w:val="fr-FR"/>
        </w:rPr>
        <w:t>5.2</w:t>
      </w:r>
      <w:r w:rsidRPr="002A1ECB">
        <w:rPr>
          <w:lang w:val="fr-FR"/>
        </w:rPr>
        <w:tab/>
        <w:t>L</w:t>
      </w:r>
      <w:r>
        <w:rPr>
          <w:lang w:val="fr-FR"/>
        </w:rPr>
        <w:t>’</w:t>
      </w:r>
      <w:r w:rsidRPr="002A1ECB">
        <w:rPr>
          <w:lang w:val="fr-FR"/>
        </w:rPr>
        <w:t>auteur réaffirme que, d</w:t>
      </w:r>
      <w:r>
        <w:rPr>
          <w:lang w:val="fr-FR"/>
        </w:rPr>
        <w:t>’</w:t>
      </w:r>
      <w:r w:rsidRPr="002A1ECB">
        <w:rPr>
          <w:lang w:val="fr-FR"/>
        </w:rPr>
        <w:t>une manière générale, la communauté internationale s</w:t>
      </w:r>
      <w:r>
        <w:rPr>
          <w:lang w:val="fr-FR"/>
        </w:rPr>
        <w:t>’</w:t>
      </w:r>
      <w:r w:rsidRPr="002A1ECB">
        <w:rPr>
          <w:lang w:val="fr-FR"/>
        </w:rPr>
        <w:t>accorde à reconnaître que la situation des droits de l</w:t>
      </w:r>
      <w:r>
        <w:rPr>
          <w:lang w:val="fr-FR"/>
        </w:rPr>
        <w:t>’</w:t>
      </w:r>
      <w:r w:rsidRPr="002A1ECB">
        <w:rPr>
          <w:lang w:val="fr-FR"/>
        </w:rPr>
        <w:t>homme et la situation humanitaire dans l</w:t>
      </w:r>
      <w:r>
        <w:rPr>
          <w:lang w:val="fr-FR"/>
        </w:rPr>
        <w:t>’</w:t>
      </w:r>
      <w:r w:rsidRPr="002A1ECB">
        <w:rPr>
          <w:lang w:val="fr-FR"/>
        </w:rPr>
        <w:t>ensemble de la Somalie sont extrêmement graves. Il maintient que, dans l</w:t>
      </w:r>
      <w:r w:rsidR="00024F2E">
        <w:rPr>
          <w:lang w:val="fr-FR"/>
        </w:rPr>
        <w:t>e Puntland, la situation sur le plan</w:t>
      </w:r>
      <w:r w:rsidRPr="002A1ECB">
        <w:rPr>
          <w:lang w:val="fr-FR"/>
        </w:rPr>
        <w:t xml:space="preserve"> de la sécurité et des droits de l</w:t>
      </w:r>
      <w:r>
        <w:rPr>
          <w:lang w:val="fr-FR"/>
        </w:rPr>
        <w:t>’</w:t>
      </w:r>
      <w:r w:rsidRPr="002A1ECB">
        <w:rPr>
          <w:lang w:val="fr-FR"/>
        </w:rPr>
        <w:t>homme est extrêmement préoccupante et s</w:t>
      </w:r>
      <w:r>
        <w:rPr>
          <w:lang w:val="fr-FR"/>
        </w:rPr>
        <w:t>’</w:t>
      </w:r>
      <w:r w:rsidRPr="002A1ECB">
        <w:rPr>
          <w:lang w:val="fr-FR"/>
        </w:rPr>
        <w:t>est nettement détériorée au cours des derniers mois</w:t>
      </w:r>
      <w:r w:rsidRPr="00363258">
        <w:rPr>
          <w:rStyle w:val="FootnoteReference"/>
        </w:rPr>
        <w:footnoteReference w:id="21"/>
      </w:r>
      <w:r w:rsidRPr="002A1ECB">
        <w:rPr>
          <w:lang w:val="fr-FR"/>
        </w:rPr>
        <w:t>. En septembre 2010, le Secrétaire général de l</w:t>
      </w:r>
      <w:r>
        <w:rPr>
          <w:lang w:val="fr-FR"/>
        </w:rPr>
        <w:t>’</w:t>
      </w:r>
      <w:r w:rsidRPr="002A1ECB">
        <w:rPr>
          <w:lang w:val="fr-FR"/>
        </w:rPr>
        <w:t>ONU a estimé que la situation dans le Puntland était devenue plus précaire notamment en raison d</w:t>
      </w:r>
      <w:r>
        <w:rPr>
          <w:lang w:val="fr-FR"/>
        </w:rPr>
        <w:t>’</w:t>
      </w:r>
      <w:r w:rsidRPr="002A1ECB">
        <w:rPr>
          <w:lang w:val="fr-FR"/>
        </w:rPr>
        <w:t>affrontements violents entre les forces gouvernementales et les milices liées aux insurgés islamistes</w:t>
      </w:r>
      <w:r w:rsidRPr="00363258">
        <w:rPr>
          <w:rStyle w:val="FootnoteReference"/>
        </w:rPr>
        <w:footnoteReference w:id="22"/>
      </w:r>
      <w:r w:rsidRPr="002A1ECB">
        <w:rPr>
          <w:lang w:val="fr-FR"/>
        </w:rPr>
        <w:t>.</w:t>
      </w:r>
    </w:p>
    <w:p w:rsidR="002E353E" w:rsidRPr="002A1ECB" w:rsidRDefault="002E353E" w:rsidP="002E353E">
      <w:pPr>
        <w:pStyle w:val="SingleTxtG"/>
        <w:rPr>
          <w:lang w:val="fr-FR"/>
        </w:rPr>
      </w:pPr>
      <w:r w:rsidRPr="002A1ECB">
        <w:rPr>
          <w:lang w:val="fr-FR"/>
        </w:rPr>
        <w:t>5.3</w:t>
      </w:r>
      <w:r w:rsidRPr="002A1ECB">
        <w:rPr>
          <w:lang w:val="fr-FR"/>
        </w:rPr>
        <w:tab/>
        <w:t>En ce qui concerne l</w:t>
      </w:r>
      <w:r>
        <w:rPr>
          <w:lang w:val="fr-FR"/>
        </w:rPr>
        <w:t>’</w:t>
      </w:r>
      <w:r w:rsidRPr="002A1ECB">
        <w:rPr>
          <w:lang w:val="fr-FR"/>
        </w:rPr>
        <w:t>épuisement des recours internes, l</w:t>
      </w:r>
      <w:r>
        <w:rPr>
          <w:lang w:val="fr-FR"/>
        </w:rPr>
        <w:t>’</w:t>
      </w:r>
      <w:r w:rsidRPr="002A1ECB">
        <w:rPr>
          <w:lang w:val="fr-FR"/>
        </w:rPr>
        <w:t>auteur rappelle qu</w:t>
      </w:r>
      <w:r>
        <w:rPr>
          <w:lang w:val="fr-FR"/>
        </w:rPr>
        <w:t>’</w:t>
      </w:r>
      <w:r w:rsidRPr="002A1ECB">
        <w:rPr>
          <w:lang w:val="fr-FR"/>
        </w:rPr>
        <w:t>il a fait appel de la décision d</w:t>
      </w:r>
      <w:r>
        <w:rPr>
          <w:lang w:val="fr-FR"/>
        </w:rPr>
        <w:t>’</w:t>
      </w:r>
      <w:r w:rsidRPr="002A1ECB">
        <w:rPr>
          <w:lang w:val="fr-FR"/>
        </w:rPr>
        <w:t>expulsion prise à son encontre auprès de la</w:t>
      </w:r>
      <w:r>
        <w:rPr>
          <w:lang w:val="fr-FR"/>
        </w:rPr>
        <w:t xml:space="preserve"> </w:t>
      </w:r>
      <w:r w:rsidRPr="002A1ECB">
        <w:rPr>
          <w:lang w:val="fr-FR"/>
        </w:rPr>
        <w:t>Section d</w:t>
      </w:r>
      <w:r>
        <w:rPr>
          <w:lang w:val="fr-FR"/>
        </w:rPr>
        <w:t>’</w:t>
      </w:r>
      <w:r w:rsidRPr="002A1ECB">
        <w:rPr>
          <w:lang w:val="fr-FR"/>
        </w:rPr>
        <w:t>appel de l</w:t>
      </w:r>
      <w:r>
        <w:rPr>
          <w:lang w:val="fr-FR"/>
        </w:rPr>
        <w:t>’</w:t>
      </w:r>
      <w:r w:rsidRPr="002A1ECB">
        <w:rPr>
          <w:lang w:val="fr-FR"/>
        </w:rPr>
        <w:t>immigration, mais que son appel a été débouté pour défaut de compétence le 25 octobre 2006, et qu</w:t>
      </w:r>
      <w:r>
        <w:rPr>
          <w:lang w:val="fr-FR"/>
        </w:rPr>
        <w:t>’</w:t>
      </w:r>
      <w:r w:rsidRPr="002A1ECB">
        <w:rPr>
          <w:lang w:val="fr-FR"/>
        </w:rPr>
        <w:t>il a présenté une demande d</w:t>
      </w:r>
      <w:r>
        <w:rPr>
          <w:lang w:val="fr-FR"/>
        </w:rPr>
        <w:t>’</w:t>
      </w:r>
      <w:r w:rsidRPr="002A1ECB">
        <w:rPr>
          <w:lang w:val="fr-FR"/>
        </w:rPr>
        <w:t>évaluation des r</w:t>
      </w:r>
      <w:r w:rsidR="00F7357A">
        <w:rPr>
          <w:lang w:val="fr-FR"/>
        </w:rPr>
        <w:t xml:space="preserve">isques avant renvoi, rejetée le </w:t>
      </w:r>
      <w:r w:rsidRPr="002A1ECB">
        <w:rPr>
          <w:lang w:val="fr-FR"/>
        </w:rPr>
        <w:t>23</w:t>
      </w:r>
      <w:r w:rsidR="00F7357A">
        <w:rPr>
          <w:lang w:val="fr-FR"/>
        </w:rPr>
        <w:t> </w:t>
      </w:r>
      <w:r w:rsidRPr="002A1ECB">
        <w:rPr>
          <w:lang w:val="fr-FR"/>
        </w:rPr>
        <w:t>février 2009, et une demande d</w:t>
      </w:r>
      <w:r>
        <w:rPr>
          <w:lang w:val="fr-FR"/>
        </w:rPr>
        <w:t>’</w:t>
      </w:r>
      <w:r w:rsidRPr="002A1ECB">
        <w:rPr>
          <w:lang w:val="fr-FR"/>
        </w:rPr>
        <w:t>autorisation en vue d</w:t>
      </w:r>
      <w:r>
        <w:rPr>
          <w:lang w:val="fr-FR"/>
        </w:rPr>
        <w:t>’</w:t>
      </w:r>
      <w:r w:rsidRPr="002A1ECB">
        <w:rPr>
          <w:lang w:val="fr-FR"/>
        </w:rPr>
        <w:t>un contrôle judiciaire de l</w:t>
      </w:r>
      <w:r>
        <w:rPr>
          <w:lang w:val="fr-FR"/>
        </w:rPr>
        <w:t>’</w:t>
      </w:r>
      <w:r w:rsidRPr="002A1ECB">
        <w:rPr>
          <w:lang w:val="fr-FR"/>
        </w:rPr>
        <w:t>avis négatif rendu au sujet de l</w:t>
      </w:r>
      <w:r>
        <w:rPr>
          <w:lang w:val="fr-FR"/>
        </w:rPr>
        <w:t>’</w:t>
      </w:r>
      <w:r w:rsidRPr="002A1ECB">
        <w:rPr>
          <w:lang w:val="fr-FR"/>
        </w:rPr>
        <w:t>examen des risques avant renvoi, rejetée le 14 juillet 2009. L</w:t>
      </w:r>
      <w:r>
        <w:rPr>
          <w:lang w:val="fr-FR"/>
        </w:rPr>
        <w:t>’</w:t>
      </w:r>
      <w:r w:rsidRPr="002A1ECB">
        <w:rPr>
          <w:lang w:val="fr-FR"/>
        </w:rPr>
        <w:t xml:space="preserve">auteur affirme avoir ainsi épuisé tous les recours internes utiles et disponibles. </w:t>
      </w:r>
    </w:p>
    <w:p w:rsidR="002E353E" w:rsidRPr="002A1ECB" w:rsidRDefault="002E353E" w:rsidP="002E353E">
      <w:pPr>
        <w:pStyle w:val="SingleTxtG"/>
        <w:rPr>
          <w:lang w:val="fr-FR"/>
        </w:rPr>
      </w:pPr>
      <w:r w:rsidRPr="002A1ECB">
        <w:rPr>
          <w:lang w:val="fr-FR"/>
        </w:rPr>
        <w:t>5.4</w:t>
      </w:r>
      <w:r w:rsidRPr="002A1ECB">
        <w:rPr>
          <w:lang w:val="fr-FR"/>
        </w:rPr>
        <w:tab/>
        <w:t>L</w:t>
      </w:r>
      <w:r>
        <w:rPr>
          <w:lang w:val="fr-FR"/>
        </w:rPr>
        <w:t>’</w:t>
      </w:r>
      <w:r w:rsidRPr="002A1ECB">
        <w:rPr>
          <w:lang w:val="fr-FR"/>
        </w:rPr>
        <w:t>auteur rappelle la jurisprudence du Comité, qui veut que le paragraphe 2 b) de l</w:t>
      </w:r>
      <w:r>
        <w:rPr>
          <w:lang w:val="fr-FR"/>
        </w:rPr>
        <w:t>’</w:t>
      </w:r>
      <w:r w:rsidRPr="002A1ECB">
        <w:rPr>
          <w:lang w:val="fr-FR"/>
        </w:rPr>
        <w:t>article 5 du Protocole facultatif n</w:t>
      </w:r>
      <w:r>
        <w:rPr>
          <w:lang w:val="fr-FR"/>
        </w:rPr>
        <w:t>’</w:t>
      </w:r>
      <w:r w:rsidRPr="002A1ECB">
        <w:rPr>
          <w:lang w:val="fr-FR"/>
        </w:rPr>
        <w:t>exige pas d</w:t>
      </w:r>
      <w:r>
        <w:rPr>
          <w:lang w:val="fr-FR"/>
        </w:rPr>
        <w:t>’</w:t>
      </w:r>
      <w:r w:rsidRPr="002A1ECB">
        <w:rPr>
          <w:lang w:val="fr-FR"/>
        </w:rPr>
        <w:t>avoir épuisé des recours qui n</w:t>
      </w:r>
      <w:r>
        <w:rPr>
          <w:lang w:val="fr-FR"/>
        </w:rPr>
        <w:t>’</w:t>
      </w:r>
      <w:r w:rsidRPr="002A1ECB">
        <w:rPr>
          <w:lang w:val="fr-FR"/>
        </w:rPr>
        <w:t>ont objectivement aucune chance d</w:t>
      </w:r>
      <w:r>
        <w:rPr>
          <w:lang w:val="fr-FR"/>
        </w:rPr>
        <w:t>’</w:t>
      </w:r>
      <w:r w:rsidRPr="002A1ECB">
        <w:rPr>
          <w:lang w:val="fr-FR"/>
        </w:rPr>
        <w:t>aboutir</w:t>
      </w:r>
      <w:r w:rsidRPr="00363258">
        <w:rPr>
          <w:rStyle w:val="FootnoteReference"/>
        </w:rPr>
        <w:footnoteReference w:id="23"/>
      </w:r>
      <w:r w:rsidRPr="002A1ECB">
        <w:rPr>
          <w:lang w:val="fr-FR"/>
        </w:rPr>
        <w:t>. Il affirme que la demande d</w:t>
      </w:r>
      <w:r>
        <w:rPr>
          <w:lang w:val="fr-FR"/>
        </w:rPr>
        <w:t>’</w:t>
      </w:r>
      <w:r w:rsidRPr="002A1ECB">
        <w:rPr>
          <w:lang w:val="fr-FR"/>
        </w:rPr>
        <w:t>autorisation en vue d</w:t>
      </w:r>
      <w:r>
        <w:rPr>
          <w:lang w:val="fr-FR"/>
        </w:rPr>
        <w:t>’</w:t>
      </w:r>
      <w:r w:rsidRPr="002A1ECB">
        <w:rPr>
          <w:lang w:val="fr-FR"/>
        </w:rPr>
        <w:t>un contrôle judiciaire de la décision de la Section d</w:t>
      </w:r>
      <w:r>
        <w:rPr>
          <w:lang w:val="fr-FR"/>
        </w:rPr>
        <w:t>’</w:t>
      </w:r>
      <w:r w:rsidRPr="002A1ECB">
        <w:rPr>
          <w:lang w:val="fr-FR"/>
        </w:rPr>
        <w:t>appel de l</w:t>
      </w:r>
      <w:r>
        <w:rPr>
          <w:lang w:val="fr-FR"/>
        </w:rPr>
        <w:t>’</w:t>
      </w:r>
      <w:r w:rsidRPr="002A1ECB">
        <w:rPr>
          <w:lang w:val="fr-FR"/>
        </w:rPr>
        <w:t>immigration du 25 octobre 2006 n</w:t>
      </w:r>
      <w:r>
        <w:rPr>
          <w:lang w:val="fr-FR"/>
        </w:rPr>
        <w:t>’</w:t>
      </w:r>
      <w:r w:rsidRPr="002A1ECB">
        <w:rPr>
          <w:lang w:val="fr-FR"/>
        </w:rPr>
        <w:t>avait objectivement aucune chance d</w:t>
      </w:r>
      <w:r>
        <w:rPr>
          <w:lang w:val="fr-FR"/>
        </w:rPr>
        <w:t>’</w:t>
      </w:r>
      <w:r w:rsidRPr="002A1ECB">
        <w:rPr>
          <w:lang w:val="fr-FR"/>
        </w:rPr>
        <w:t>aboutir, en raison d</w:t>
      </w:r>
      <w:r>
        <w:rPr>
          <w:lang w:val="fr-FR"/>
        </w:rPr>
        <w:t>’</w:t>
      </w:r>
      <w:r w:rsidRPr="002A1ECB">
        <w:rPr>
          <w:lang w:val="fr-FR"/>
        </w:rPr>
        <w:t>un défaut de compétence, et qu</w:t>
      </w:r>
      <w:r>
        <w:rPr>
          <w:lang w:val="fr-FR"/>
        </w:rPr>
        <w:t>’</w:t>
      </w:r>
      <w:r w:rsidRPr="002A1ECB">
        <w:rPr>
          <w:lang w:val="fr-FR"/>
        </w:rPr>
        <w:t>il ne s</w:t>
      </w:r>
      <w:r>
        <w:rPr>
          <w:lang w:val="fr-FR"/>
        </w:rPr>
        <w:t>’</w:t>
      </w:r>
      <w:r w:rsidRPr="002A1ECB">
        <w:rPr>
          <w:lang w:val="fr-FR"/>
        </w:rPr>
        <w:t>agissait donc pas d</w:t>
      </w:r>
      <w:r>
        <w:rPr>
          <w:lang w:val="fr-FR"/>
        </w:rPr>
        <w:t>’</w:t>
      </w:r>
      <w:r w:rsidRPr="002A1ECB">
        <w:rPr>
          <w:lang w:val="fr-FR"/>
        </w:rPr>
        <w:t>un recours utile. L</w:t>
      </w:r>
      <w:r>
        <w:rPr>
          <w:lang w:val="fr-FR"/>
        </w:rPr>
        <w:t>’</w:t>
      </w:r>
      <w:r w:rsidRPr="002A1ECB">
        <w:rPr>
          <w:lang w:val="fr-FR"/>
        </w:rPr>
        <w:t>auteur explique que la Section n</w:t>
      </w:r>
      <w:r>
        <w:rPr>
          <w:lang w:val="fr-FR"/>
        </w:rPr>
        <w:t>’</w:t>
      </w:r>
      <w:r w:rsidRPr="002A1ECB">
        <w:rPr>
          <w:lang w:val="fr-FR"/>
        </w:rPr>
        <w:t>avait pas compétence pour examiner son recours, l</w:t>
      </w:r>
      <w:r>
        <w:rPr>
          <w:lang w:val="fr-FR"/>
        </w:rPr>
        <w:t>’</w:t>
      </w:r>
      <w:r w:rsidRPr="002A1ECB">
        <w:rPr>
          <w:lang w:val="fr-FR"/>
        </w:rPr>
        <w:t>article 64 de la loi sur l</w:t>
      </w:r>
      <w:r>
        <w:rPr>
          <w:lang w:val="fr-FR"/>
        </w:rPr>
        <w:t>’</w:t>
      </w:r>
      <w:r w:rsidRPr="002A1ECB">
        <w:rPr>
          <w:lang w:val="fr-FR"/>
        </w:rPr>
        <w:t>immigration et la protection des réfugiés</w:t>
      </w:r>
      <w:r w:rsidRPr="00363258">
        <w:rPr>
          <w:rStyle w:val="FootnoteReference"/>
        </w:rPr>
        <w:footnoteReference w:id="24"/>
      </w:r>
      <w:r w:rsidRPr="002A1ECB">
        <w:rPr>
          <w:lang w:val="fr-FR"/>
        </w:rPr>
        <w:t xml:space="preserve"> prévoyant qu</w:t>
      </w:r>
      <w:r>
        <w:rPr>
          <w:lang w:val="fr-FR"/>
        </w:rPr>
        <w:t>’</w:t>
      </w:r>
      <w:r w:rsidRPr="002A1ECB">
        <w:rPr>
          <w:lang w:val="fr-FR"/>
        </w:rPr>
        <w:t>un résident permanent condamné pour grande criminalité ne peut interjeter appel. Le contrôle judiciaire n</w:t>
      </w:r>
      <w:r>
        <w:rPr>
          <w:lang w:val="fr-FR"/>
        </w:rPr>
        <w:t>’</w:t>
      </w:r>
      <w:r w:rsidRPr="002A1ECB">
        <w:rPr>
          <w:lang w:val="fr-FR"/>
        </w:rPr>
        <w:t>avait objectivement aucune chance d</w:t>
      </w:r>
      <w:r>
        <w:rPr>
          <w:lang w:val="fr-FR"/>
        </w:rPr>
        <w:t>’</w:t>
      </w:r>
      <w:r w:rsidRPr="002A1ECB">
        <w:rPr>
          <w:lang w:val="fr-FR"/>
        </w:rPr>
        <w:t>aboutir et ne constituait donc pas un recours utile dont l</w:t>
      </w:r>
      <w:r>
        <w:rPr>
          <w:lang w:val="fr-FR"/>
        </w:rPr>
        <w:t>’</w:t>
      </w:r>
      <w:r w:rsidRPr="002A1ECB">
        <w:rPr>
          <w:lang w:val="fr-FR"/>
        </w:rPr>
        <w:t>auteur devrait être tenu de se prévaloir. La jurisprudence interne relative à l</w:t>
      </w:r>
      <w:r>
        <w:rPr>
          <w:lang w:val="fr-FR"/>
        </w:rPr>
        <w:t>’</w:t>
      </w:r>
      <w:r w:rsidRPr="002A1ECB">
        <w:rPr>
          <w:lang w:val="fr-FR"/>
        </w:rPr>
        <w:t>interprétation de l</w:t>
      </w:r>
      <w:r>
        <w:rPr>
          <w:lang w:val="fr-FR"/>
        </w:rPr>
        <w:t>’</w:t>
      </w:r>
      <w:r w:rsidRPr="002A1ECB">
        <w:rPr>
          <w:lang w:val="fr-FR"/>
        </w:rPr>
        <w:t>article 64 de la loi sur l</w:t>
      </w:r>
      <w:r>
        <w:rPr>
          <w:lang w:val="fr-FR"/>
        </w:rPr>
        <w:t>’</w:t>
      </w:r>
      <w:r w:rsidRPr="002A1ECB">
        <w:rPr>
          <w:lang w:val="fr-FR"/>
        </w:rPr>
        <w:t>immigration et la protection des réfugiés confirme que la demande d</w:t>
      </w:r>
      <w:r>
        <w:rPr>
          <w:lang w:val="fr-FR"/>
        </w:rPr>
        <w:t>’</w:t>
      </w:r>
      <w:r w:rsidRPr="002A1ECB">
        <w:rPr>
          <w:lang w:val="fr-FR"/>
        </w:rPr>
        <w:t>autorisation déposée par l</w:t>
      </w:r>
      <w:r>
        <w:rPr>
          <w:lang w:val="fr-FR"/>
        </w:rPr>
        <w:t>’</w:t>
      </w:r>
      <w:r w:rsidRPr="002A1ECB">
        <w:rPr>
          <w:lang w:val="fr-FR"/>
        </w:rPr>
        <w:t>auteur n</w:t>
      </w:r>
      <w:r>
        <w:rPr>
          <w:lang w:val="fr-FR"/>
        </w:rPr>
        <w:t>’</w:t>
      </w:r>
      <w:r w:rsidRPr="002A1ECB">
        <w:rPr>
          <w:lang w:val="fr-FR"/>
        </w:rPr>
        <w:t>avait objectivement aucune chance d</w:t>
      </w:r>
      <w:r>
        <w:rPr>
          <w:lang w:val="fr-FR"/>
        </w:rPr>
        <w:t>’</w:t>
      </w:r>
      <w:r w:rsidRPr="002A1ECB">
        <w:rPr>
          <w:lang w:val="fr-FR"/>
        </w:rPr>
        <w:t>aboutir, étant donné que l</w:t>
      </w:r>
      <w:r>
        <w:rPr>
          <w:lang w:val="fr-FR"/>
        </w:rPr>
        <w:t>’</w:t>
      </w:r>
      <w:r w:rsidRPr="002A1ECB">
        <w:rPr>
          <w:lang w:val="fr-FR"/>
        </w:rPr>
        <w:t>auteur ne pouvait pas présenter d</w:t>
      </w:r>
      <w:r>
        <w:rPr>
          <w:lang w:val="fr-FR"/>
        </w:rPr>
        <w:t>’</w:t>
      </w:r>
      <w:r w:rsidRPr="002A1ECB">
        <w:rPr>
          <w:lang w:val="fr-FR"/>
        </w:rPr>
        <w:t>arguments «un tant soit peu défendables» ou «soulever une question grave devant être jugée» et qu</w:t>
      </w:r>
      <w:r>
        <w:rPr>
          <w:lang w:val="fr-FR"/>
        </w:rPr>
        <w:t>’</w:t>
      </w:r>
      <w:r w:rsidRPr="002A1ECB">
        <w:rPr>
          <w:lang w:val="fr-FR"/>
        </w:rPr>
        <w:t>il n</w:t>
      </w:r>
      <w:r>
        <w:rPr>
          <w:lang w:val="fr-FR"/>
        </w:rPr>
        <w:t>’</w:t>
      </w:r>
      <w:r w:rsidRPr="002A1ECB">
        <w:rPr>
          <w:lang w:val="fr-FR"/>
        </w:rPr>
        <w:t>avait pas pu établir que la Section d</w:t>
      </w:r>
      <w:r>
        <w:rPr>
          <w:lang w:val="fr-FR"/>
        </w:rPr>
        <w:t>’</w:t>
      </w:r>
      <w:r w:rsidRPr="002A1ECB">
        <w:rPr>
          <w:lang w:val="fr-FR"/>
        </w:rPr>
        <w:t>appel de l</w:t>
      </w:r>
      <w:r>
        <w:rPr>
          <w:lang w:val="fr-FR"/>
        </w:rPr>
        <w:t>’</w:t>
      </w:r>
      <w:r w:rsidRPr="002A1ECB">
        <w:rPr>
          <w:lang w:val="fr-FR"/>
        </w:rPr>
        <w:t>immigration avait commis une erreur de droit ou de compétence en appliquant l</w:t>
      </w:r>
      <w:r>
        <w:rPr>
          <w:lang w:val="fr-FR"/>
        </w:rPr>
        <w:t>’</w:t>
      </w:r>
      <w:r w:rsidRPr="002A1ECB">
        <w:rPr>
          <w:lang w:val="fr-FR"/>
        </w:rPr>
        <w:t>article</w:t>
      </w:r>
      <w:r>
        <w:rPr>
          <w:lang w:val="fr-FR"/>
        </w:rPr>
        <w:t> </w:t>
      </w:r>
      <w:r w:rsidRPr="002A1ECB">
        <w:rPr>
          <w:lang w:val="fr-FR"/>
        </w:rPr>
        <w:t>64 de la loi sur l</w:t>
      </w:r>
      <w:r>
        <w:rPr>
          <w:lang w:val="fr-FR"/>
        </w:rPr>
        <w:t>’</w:t>
      </w:r>
      <w:r w:rsidRPr="002A1ECB">
        <w:rPr>
          <w:lang w:val="fr-FR"/>
        </w:rPr>
        <w:t>immigration et la protection des réfugiés. De plus, même si un contrôle judiciaire de la décision de la Section d</w:t>
      </w:r>
      <w:r>
        <w:rPr>
          <w:lang w:val="fr-FR"/>
        </w:rPr>
        <w:t>’</w:t>
      </w:r>
      <w:r w:rsidRPr="002A1ECB">
        <w:rPr>
          <w:lang w:val="fr-FR"/>
        </w:rPr>
        <w:t>appel de l</w:t>
      </w:r>
      <w:r>
        <w:rPr>
          <w:lang w:val="fr-FR"/>
        </w:rPr>
        <w:t>’</w:t>
      </w:r>
      <w:r w:rsidRPr="002A1ECB">
        <w:rPr>
          <w:lang w:val="fr-FR"/>
        </w:rPr>
        <w:t>immigration avait abouti, cela n</w:t>
      </w:r>
      <w:r>
        <w:rPr>
          <w:lang w:val="fr-FR"/>
        </w:rPr>
        <w:t>’</w:t>
      </w:r>
      <w:r w:rsidRPr="002A1ECB">
        <w:rPr>
          <w:lang w:val="fr-FR"/>
        </w:rPr>
        <w:t>aurait pas pour autant fourni un recours utile à l</w:t>
      </w:r>
      <w:r>
        <w:rPr>
          <w:lang w:val="fr-FR"/>
        </w:rPr>
        <w:t>’</w:t>
      </w:r>
      <w:r w:rsidRPr="002A1ECB">
        <w:rPr>
          <w:lang w:val="fr-FR"/>
        </w:rPr>
        <w:t>auteur qui était frappé d</w:t>
      </w:r>
      <w:r>
        <w:rPr>
          <w:lang w:val="fr-FR"/>
        </w:rPr>
        <w:t>’</w:t>
      </w:r>
      <w:r w:rsidRPr="002A1ECB">
        <w:rPr>
          <w:lang w:val="fr-FR"/>
        </w:rPr>
        <w:t>une seconde décision d</w:t>
      </w:r>
      <w:r>
        <w:rPr>
          <w:lang w:val="fr-FR"/>
        </w:rPr>
        <w:t>’</w:t>
      </w:r>
      <w:r w:rsidRPr="002A1ECB">
        <w:rPr>
          <w:lang w:val="fr-FR"/>
        </w:rPr>
        <w:t>irrecevabilité liée à sa condamnation, en janvier 2006, à deux années d</w:t>
      </w:r>
      <w:r>
        <w:rPr>
          <w:lang w:val="fr-FR"/>
        </w:rPr>
        <w:t>’</w:t>
      </w:r>
      <w:r w:rsidRPr="002A1ECB">
        <w:rPr>
          <w:lang w:val="fr-FR"/>
        </w:rPr>
        <w:t>emprisonnement pour possession, à des fins de trafic, d</w:t>
      </w:r>
      <w:r>
        <w:rPr>
          <w:lang w:val="fr-FR"/>
        </w:rPr>
        <w:t>’</w:t>
      </w:r>
      <w:r w:rsidRPr="002A1ECB">
        <w:rPr>
          <w:lang w:val="fr-FR"/>
        </w:rPr>
        <w:t>une substance inscrite au tableau</w:t>
      </w:r>
      <w:r w:rsidRPr="00363258">
        <w:rPr>
          <w:rStyle w:val="FootnoteReference"/>
        </w:rPr>
        <w:footnoteReference w:id="25"/>
      </w:r>
      <w:r w:rsidRPr="002A1ECB">
        <w:rPr>
          <w:lang w:val="fr-FR"/>
        </w:rPr>
        <w:t>.</w:t>
      </w:r>
    </w:p>
    <w:p w:rsidR="002E353E" w:rsidRPr="002A1ECB" w:rsidRDefault="002E353E" w:rsidP="002E353E">
      <w:pPr>
        <w:pStyle w:val="SingleTxtG"/>
        <w:rPr>
          <w:lang w:val="fr-FR"/>
        </w:rPr>
      </w:pPr>
      <w:r w:rsidRPr="002A1ECB">
        <w:rPr>
          <w:lang w:val="fr-FR"/>
        </w:rPr>
        <w:t>5.5</w:t>
      </w:r>
      <w:r w:rsidRPr="002A1ECB">
        <w:rPr>
          <w:lang w:val="fr-FR"/>
        </w:rPr>
        <w:tab/>
        <w:t>L</w:t>
      </w:r>
      <w:r>
        <w:rPr>
          <w:lang w:val="fr-FR"/>
        </w:rPr>
        <w:t>’</w:t>
      </w:r>
      <w:r w:rsidRPr="002A1ECB">
        <w:rPr>
          <w:lang w:val="fr-FR"/>
        </w:rPr>
        <w:t>auteur rappelle la jurisprudence du Comité, qui veut qu</w:t>
      </w:r>
      <w:r>
        <w:rPr>
          <w:lang w:val="fr-FR"/>
        </w:rPr>
        <w:t>’</w:t>
      </w:r>
      <w:r w:rsidRPr="002A1ECB">
        <w:rPr>
          <w:lang w:val="fr-FR"/>
        </w:rPr>
        <w:t xml:space="preserve">un recours ne peut être considéré </w:t>
      </w:r>
      <w:r w:rsidRPr="00770261">
        <w:rPr>
          <w:lang w:val="fr-FR"/>
        </w:rPr>
        <w:t>de facto</w:t>
      </w:r>
      <w:r w:rsidRPr="002A1ECB">
        <w:rPr>
          <w:i/>
          <w:lang w:val="fr-FR"/>
        </w:rPr>
        <w:t xml:space="preserve"> </w:t>
      </w:r>
      <w:r w:rsidRPr="002A1ECB">
        <w:rPr>
          <w:lang w:val="fr-FR"/>
        </w:rPr>
        <w:t>disponible si l</w:t>
      </w:r>
      <w:r>
        <w:rPr>
          <w:lang w:val="fr-FR"/>
        </w:rPr>
        <w:t>’</w:t>
      </w:r>
      <w:r w:rsidRPr="002A1ECB">
        <w:rPr>
          <w:lang w:val="fr-FR"/>
        </w:rPr>
        <w:t>auteur en difficulté financière tente de s</w:t>
      </w:r>
      <w:r>
        <w:rPr>
          <w:lang w:val="fr-FR"/>
        </w:rPr>
        <w:t>’</w:t>
      </w:r>
      <w:r w:rsidRPr="002A1ECB">
        <w:rPr>
          <w:lang w:val="fr-FR"/>
        </w:rPr>
        <w:t>en prévaloir mais ne peut obtenir une aide judiciaire</w:t>
      </w:r>
      <w:r w:rsidRPr="00363258">
        <w:rPr>
          <w:rStyle w:val="FootnoteReference"/>
        </w:rPr>
        <w:footnoteReference w:id="26"/>
      </w:r>
      <w:r w:rsidRPr="002A1ECB">
        <w:rPr>
          <w:lang w:val="fr-FR"/>
        </w:rPr>
        <w:t>. L</w:t>
      </w:r>
      <w:r>
        <w:rPr>
          <w:lang w:val="fr-FR"/>
        </w:rPr>
        <w:t>’</w:t>
      </w:r>
      <w:r w:rsidRPr="002A1ECB">
        <w:rPr>
          <w:lang w:val="fr-FR"/>
        </w:rPr>
        <w:t>auteur avait demandé une aide judiciaire pour contester l</w:t>
      </w:r>
      <w:r>
        <w:rPr>
          <w:lang w:val="fr-FR"/>
        </w:rPr>
        <w:t>’</w:t>
      </w:r>
      <w:r w:rsidRPr="002A1ECB">
        <w:rPr>
          <w:lang w:val="fr-FR"/>
        </w:rPr>
        <w:t>avis négatif rendu au sujet de l</w:t>
      </w:r>
      <w:r>
        <w:rPr>
          <w:lang w:val="fr-FR"/>
        </w:rPr>
        <w:t>’</w:t>
      </w:r>
      <w:r w:rsidRPr="002A1ECB">
        <w:rPr>
          <w:lang w:val="fr-FR"/>
        </w:rPr>
        <w:t>examen des risques avant renvoi le 23 février 2009, mais sa demande a été rejetée. Il a fait appel de l</w:t>
      </w:r>
      <w:r>
        <w:rPr>
          <w:lang w:val="fr-FR"/>
        </w:rPr>
        <w:t>’</w:t>
      </w:r>
      <w:r w:rsidRPr="002A1ECB">
        <w:rPr>
          <w:lang w:val="fr-FR"/>
        </w:rPr>
        <w:t>avis négatif relatif à sa demande d</w:t>
      </w:r>
      <w:r>
        <w:rPr>
          <w:lang w:val="fr-FR"/>
        </w:rPr>
        <w:t>’</w:t>
      </w:r>
      <w:r w:rsidRPr="002A1ECB">
        <w:rPr>
          <w:lang w:val="fr-FR"/>
        </w:rPr>
        <w:t>aide judiciaire, mais a été débouté par la Directrice des appels d</w:t>
      </w:r>
      <w:r>
        <w:rPr>
          <w:lang w:val="fr-FR"/>
        </w:rPr>
        <w:t>’</w:t>
      </w:r>
      <w:r w:rsidRPr="002A1ECB">
        <w:rPr>
          <w:lang w:val="fr-FR"/>
        </w:rPr>
        <w:t>Aide juridique Ontario. L</w:t>
      </w:r>
      <w:r>
        <w:rPr>
          <w:lang w:val="fr-FR"/>
        </w:rPr>
        <w:t>’</w:t>
      </w:r>
      <w:r w:rsidRPr="002A1ECB">
        <w:rPr>
          <w:lang w:val="fr-FR"/>
        </w:rPr>
        <w:t>auteur rejette l</w:t>
      </w:r>
      <w:r>
        <w:rPr>
          <w:lang w:val="fr-FR"/>
        </w:rPr>
        <w:t>’</w:t>
      </w:r>
      <w:r w:rsidRPr="002A1ECB">
        <w:rPr>
          <w:lang w:val="fr-FR"/>
        </w:rPr>
        <w:t>affirmation de l</w:t>
      </w:r>
      <w:r>
        <w:rPr>
          <w:lang w:val="fr-FR"/>
        </w:rPr>
        <w:t>’</w:t>
      </w:r>
      <w:r w:rsidRPr="002A1ECB">
        <w:rPr>
          <w:lang w:val="fr-FR"/>
        </w:rPr>
        <w:t>État partie selon laquelle, par le passé, il aurait trouvé les moyens de s</w:t>
      </w:r>
      <w:r>
        <w:rPr>
          <w:lang w:val="fr-FR"/>
        </w:rPr>
        <w:t>’</w:t>
      </w:r>
      <w:r w:rsidRPr="002A1ECB">
        <w:rPr>
          <w:lang w:val="fr-FR"/>
        </w:rPr>
        <w:t>offrir les services d</w:t>
      </w:r>
      <w:r>
        <w:rPr>
          <w:lang w:val="fr-FR"/>
        </w:rPr>
        <w:t>’</w:t>
      </w:r>
      <w:r w:rsidRPr="002A1ECB">
        <w:rPr>
          <w:lang w:val="fr-FR"/>
        </w:rPr>
        <w:t>un conseil ou aurait fait appel à un conseil intervenant à titre gratuit (</w:t>
      </w:r>
      <w:r w:rsidRPr="002A1ECB">
        <w:rPr>
          <w:i/>
          <w:lang w:val="fr-FR"/>
        </w:rPr>
        <w:t>pro bono</w:t>
      </w:r>
      <w:r w:rsidRPr="002A1ECB">
        <w:rPr>
          <w:lang w:val="fr-FR"/>
        </w:rPr>
        <w:t>) et fait savoir qu</w:t>
      </w:r>
      <w:r>
        <w:rPr>
          <w:lang w:val="fr-FR"/>
        </w:rPr>
        <w:t>’</w:t>
      </w:r>
      <w:r w:rsidRPr="002A1ECB">
        <w:rPr>
          <w:lang w:val="fr-FR"/>
        </w:rPr>
        <w:t>il a, au contraire, toujours été représenté par le biais de l</w:t>
      </w:r>
      <w:r>
        <w:rPr>
          <w:lang w:val="fr-FR"/>
        </w:rPr>
        <w:t>’</w:t>
      </w:r>
      <w:r w:rsidRPr="002A1ECB">
        <w:rPr>
          <w:lang w:val="fr-FR"/>
        </w:rPr>
        <w:t>aide judiciaire. Pour la présente communication, l</w:t>
      </w:r>
      <w:r>
        <w:rPr>
          <w:lang w:val="fr-FR"/>
        </w:rPr>
        <w:t>’</w:t>
      </w:r>
      <w:r w:rsidRPr="002A1ECB">
        <w:rPr>
          <w:lang w:val="fr-FR"/>
        </w:rPr>
        <w:t>auteur est représenté par un conseil employé par un cabinet fondé par Aide juridique Ontario qui assure à l</w:t>
      </w:r>
      <w:r>
        <w:rPr>
          <w:lang w:val="fr-FR"/>
        </w:rPr>
        <w:t>’</w:t>
      </w:r>
      <w:r w:rsidRPr="002A1ECB">
        <w:rPr>
          <w:lang w:val="fr-FR"/>
        </w:rPr>
        <w:t>intention des détenus un programme restreint d</w:t>
      </w:r>
      <w:r>
        <w:rPr>
          <w:lang w:val="fr-FR"/>
        </w:rPr>
        <w:t>’</w:t>
      </w:r>
      <w:r w:rsidRPr="002A1ECB">
        <w:rPr>
          <w:lang w:val="fr-FR"/>
        </w:rPr>
        <w:t>avocats de service. L</w:t>
      </w:r>
      <w:r>
        <w:rPr>
          <w:lang w:val="fr-FR"/>
        </w:rPr>
        <w:t>’</w:t>
      </w:r>
      <w:r w:rsidRPr="002A1ECB">
        <w:rPr>
          <w:lang w:val="fr-FR"/>
        </w:rPr>
        <w:t>auteur affirme que les efforts qu</w:t>
      </w:r>
      <w:r>
        <w:rPr>
          <w:lang w:val="fr-FR"/>
        </w:rPr>
        <w:t>’</w:t>
      </w:r>
      <w:r w:rsidRPr="002A1ECB">
        <w:rPr>
          <w:lang w:val="fr-FR"/>
        </w:rPr>
        <w:t>il a déployés pour demander un contrôle judiciaire de la décision du Représentant du Ministre montrent qu</w:t>
      </w:r>
      <w:r>
        <w:rPr>
          <w:lang w:val="fr-FR"/>
        </w:rPr>
        <w:t>’</w:t>
      </w:r>
      <w:r w:rsidRPr="002A1ECB">
        <w:rPr>
          <w:lang w:val="fr-FR"/>
        </w:rPr>
        <w:t>il a fait usage des voies de recours internes avec la «diligence voulue»</w:t>
      </w:r>
      <w:r w:rsidRPr="00363258">
        <w:rPr>
          <w:rStyle w:val="FootnoteReference"/>
        </w:rPr>
        <w:footnoteReference w:id="27"/>
      </w:r>
      <w:r w:rsidRPr="002A1ECB">
        <w:rPr>
          <w:lang w:val="fr-FR"/>
        </w:rPr>
        <w:t>.</w:t>
      </w:r>
    </w:p>
    <w:p w:rsidR="002E353E" w:rsidRPr="002A1ECB" w:rsidRDefault="002E353E" w:rsidP="002E353E">
      <w:pPr>
        <w:pStyle w:val="SingleTxtG"/>
        <w:rPr>
          <w:lang w:val="fr-FR"/>
        </w:rPr>
      </w:pPr>
      <w:r w:rsidRPr="002A1ECB">
        <w:rPr>
          <w:lang w:val="fr-FR"/>
        </w:rPr>
        <w:t>5.6</w:t>
      </w:r>
      <w:r w:rsidRPr="002A1ECB">
        <w:rPr>
          <w:lang w:val="fr-FR"/>
        </w:rPr>
        <w:tab/>
        <w:t>Pour ce qui est de la demande pour motifs d</w:t>
      </w:r>
      <w:r>
        <w:rPr>
          <w:lang w:val="fr-FR"/>
        </w:rPr>
        <w:t>’</w:t>
      </w:r>
      <w:r w:rsidRPr="002A1ECB">
        <w:rPr>
          <w:lang w:val="fr-FR"/>
        </w:rPr>
        <w:t>ordre humanitaire, l</w:t>
      </w:r>
      <w:r>
        <w:rPr>
          <w:lang w:val="fr-FR"/>
        </w:rPr>
        <w:t>’</w:t>
      </w:r>
      <w:r w:rsidRPr="002A1ECB">
        <w:rPr>
          <w:lang w:val="fr-FR"/>
        </w:rPr>
        <w:t>auteur affirme que cette procédure ne constitue pas un recours utile au sens du paragraphe 2 b) de l</w:t>
      </w:r>
      <w:r>
        <w:rPr>
          <w:lang w:val="fr-FR"/>
        </w:rPr>
        <w:t>’</w:t>
      </w:r>
      <w:r w:rsidRPr="002A1ECB">
        <w:rPr>
          <w:lang w:val="fr-FR"/>
        </w:rPr>
        <w:t>article 5 du Protocole facultatif, étant donné qu</w:t>
      </w:r>
      <w:r>
        <w:rPr>
          <w:lang w:val="fr-FR"/>
        </w:rPr>
        <w:t>’</w:t>
      </w:r>
      <w:r w:rsidRPr="002A1ECB">
        <w:rPr>
          <w:lang w:val="fr-FR"/>
        </w:rPr>
        <w:t>elle n</w:t>
      </w:r>
      <w:r>
        <w:rPr>
          <w:lang w:val="fr-FR"/>
        </w:rPr>
        <w:t>’</w:t>
      </w:r>
      <w:r w:rsidRPr="002A1ECB">
        <w:rPr>
          <w:lang w:val="fr-FR"/>
        </w:rPr>
        <w:t>aurait pas suspendu ou évité son expulsion vers la Somalie, qu</w:t>
      </w:r>
      <w:r>
        <w:rPr>
          <w:lang w:val="fr-FR"/>
        </w:rPr>
        <w:t>’</w:t>
      </w:r>
      <w:r w:rsidRPr="002A1ECB">
        <w:rPr>
          <w:lang w:val="fr-FR"/>
        </w:rPr>
        <w:t>elle aurait été examinée par les services qui avaient déjà examiné lesdits motifs dans le cadre de l</w:t>
      </w:r>
      <w:r>
        <w:rPr>
          <w:lang w:val="fr-FR"/>
        </w:rPr>
        <w:t>’</w:t>
      </w:r>
      <w:r w:rsidRPr="002A1ECB">
        <w:rPr>
          <w:lang w:val="fr-FR"/>
        </w:rPr>
        <w:t>examen des risques avant renvoi et les avait jugés insuffisamment impérieux, et qu</w:t>
      </w:r>
      <w:r>
        <w:rPr>
          <w:lang w:val="fr-FR"/>
        </w:rPr>
        <w:t>’</w:t>
      </w:r>
      <w:r w:rsidRPr="002A1ECB">
        <w:rPr>
          <w:lang w:val="fr-FR"/>
        </w:rPr>
        <w:t>elle aurait constitué un recours pleinement gracieux visant à obtenir le privilège d</w:t>
      </w:r>
      <w:r>
        <w:rPr>
          <w:lang w:val="fr-FR"/>
        </w:rPr>
        <w:t>’</w:t>
      </w:r>
      <w:r w:rsidRPr="002A1ECB">
        <w:rPr>
          <w:lang w:val="fr-FR"/>
        </w:rPr>
        <w:t>accélérer une demande de statut de résident permanent et non à revendiquer un droit</w:t>
      </w:r>
      <w:r w:rsidRPr="00363258">
        <w:rPr>
          <w:rStyle w:val="FootnoteReference"/>
        </w:rPr>
        <w:footnoteReference w:id="28"/>
      </w:r>
      <w:r w:rsidRPr="002A1ECB">
        <w:rPr>
          <w:lang w:val="fr-FR"/>
        </w:rPr>
        <w:t xml:space="preserve">. </w:t>
      </w:r>
    </w:p>
    <w:p w:rsidR="002E353E" w:rsidRPr="002A1ECB" w:rsidRDefault="002E353E" w:rsidP="002E353E">
      <w:pPr>
        <w:pStyle w:val="SingleTxtG"/>
        <w:rPr>
          <w:lang w:val="fr-FR"/>
        </w:rPr>
      </w:pPr>
      <w:r w:rsidRPr="002A1ECB">
        <w:rPr>
          <w:lang w:val="fr-FR"/>
        </w:rPr>
        <w:t>5.7</w:t>
      </w:r>
      <w:r w:rsidRPr="002A1ECB">
        <w:rPr>
          <w:lang w:val="fr-FR"/>
        </w:rPr>
        <w:tab/>
        <w:t>En ce qui concerne le fond, l</w:t>
      </w:r>
      <w:r>
        <w:rPr>
          <w:lang w:val="fr-FR"/>
        </w:rPr>
        <w:t>’</w:t>
      </w:r>
      <w:r w:rsidRPr="002A1ECB">
        <w:rPr>
          <w:lang w:val="fr-FR"/>
        </w:rPr>
        <w:t>auteur réaffirme qu</w:t>
      </w:r>
      <w:r>
        <w:rPr>
          <w:lang w:val="fr-FR"/>
        </w:rPr>
        <w:t>’</w:t>
      </w:r>
      <w:r w:rsidRPr="002A1ECB">
        <w:rPr>
          <w:lang w:val="fr-FR"/>
        </w:rPr>
        <w:t xml:space="preserve">il a </w:t>
      </w:r>
      <w:r w:rsidRPr="002A1ECB">
        <w:rPr>
          <w:iCs/>
          <w:lang w:val="fr-FR"/>
        </w:rPr>
        <w:t>établi</w:t>
      </w:r>
      <w:r w:rsidRPr="002A1ECB">
        <w:rPr>
          <w:i/>
          <w:iCs/>
          <w:lang w:val="fr-FR"/>
        </w:rPr>
        <w:t xml:space="preserve"> prima facie </w:t>
      </w:r>
      <w:r>
        <w:rPr>
          <w:iCs/>
          <w:lang w:val="fr-FR"/>
        </w:rPr>
        <w:t>le bien-</w:t>
      </w:r>
      <w:r w:rsidRPr="002A1ECB">
        <w:rPr>
          <w:iCs/>
          <w:lang w:val="fr-FR"/>
        </w:rPr>
        <w:t>fondé de sa communication</w:t>
      </w:r>
      <w:r w:rsidRPr="002A1ECB">
        <w:rPr>
          <w:lang w:val="fr-FR"/>
        </w:rPr>
        <w:t>. Il maintient que le risque de pré</w:t>
      </w:r>
      <w:r>
        <w:rPr>
          <w:lang w:val="fr-FR"/>
        </w:rPr>
        <w:t>judice irréparable au titre d</w:t>
      </w:r>
      <w:r w:rsidR="002C0F63">
        <w:rPr>
          <w:lang w:val="fr-FR"/>
        </w:rPr>
        <w:t xml:space="preserve">es </w:t>
      </w:r>
      <w:r w:rsidRPr="002A1ECB">
        <w:rPr>
          <w:lang w:val="fr-FR"/>
        </w:rPr>
        <w:t>articles</w:t>
      </w:r>
      <w:r w:rsidR="002C0F63">
        <w:rPr>
          <w:lang w:val="fr-FR"/>
        </w:rPr>
        <w:t> </w:t>
      </w:r>
      <w:r w:rsidRPr="002A1ECB">
        <w:rPr>
          <w:lang w:val="fr-FR"/>
        </w:rPr>
        <w:t>6 (par</w:t>
      </w:r>
      <w:r>
        <w:rPr>
          <w:lang w:val="fr-FR"/>
        </w:rPr>
        <w:t>.</w:t>
      </w:r>
      <w:r w:rsidRPr="002A1ECB">
        <w:rPr>
          <w:lang w:val="fr-FR"/>
        </w:rPr>
        <w:t xml:space="preserve"> 1) et 7 auquel il est exposé est personnel et distinct des risques encourus par la population générale somalienne, en particulier du fait de l</w:t>
      </w:r>
      <w:r>
        <w:rPr>
          <w:lang w:val="fr-FR"/>
        </w:rPr>
        <w:t>’</w:t>
      </w:r>
      <w:r w:rsidRPr="002A1ECB">
        <w:rPr>
          <w:lang w:val="fr-FR"/>
        </w:rPr>
        <w:t>absence de protection clanique, de son identité et de son apparence occidentales, de sa méconnaissance du pays, de son manque d</w:t>
      </w:r>
      <w:r>
        <w:rPr>
          <w:lang w:val="fr-FR"/>
        </w:rPr>
        <w:t>’</w:t>
      </w:r>
      <w:r w:rsidRPr="002A1ECB">
        <w:rPr>
          <w:lang w:val="fr-FR"/>
        </w:rPr>
        <w:t>expérience et de relations, et parce que, en sa qualité de jeune homme d</w:t>
      </w:r>
      <w:r>
        <w:rPr>
          <w:lang w:val="fr-FR"/>
        </w:rPr>
        <w:t>’</w:t>
      </w:r>
      <w:r w:rsidRPr="002A1ECB">
        <w:rPr>
          <w:lang w:val="fr-FR"/>
        </w:rPr>
        <w:t>apparence occidentale, il risquerait d</w:t>
      </w:r>
      <w:r>
        <w:rPr>
          <w:lang w:val="fr-FR"/>
        </w:rPr>
        <w:t>’</w:t>
      </w:r>
      <w:r w:rsidRPr="002A1ECB">
        <w:rPr>
          <w:lang w:val="fr-FR"/>
        </w:rPr>
        <w:t>être recruté de force par des pirates ou des milices. De plus, chacune de ces caractéristiques personnelles fait que, s</w:t>
      </w:r>
      <w:r>
        <w:rPr>
          <w:lang w:val="fr-FR"/>
        </w:rPr>
        <w:t>’</w:t>
      </w:r>
      <w:r w:rsidRPr="002A1ECB">
        <w:rPr>
          <w:lang w:val="fr-FR"/>
        </w:rPr>
        <w:t>il était expulsé vers le Puntland, il serait fort probablement déplacé ultérieurement vers le centre ou le sud de la Somalie, sachant que les autorités du Puntland ont expulsé de nombreuses personnes considérées comme non originaires du Puntland</w:t>
      </w:r>
      <w:r w:rsidRPr="00363258">
        <w:rPr>
          <w:rStyle w:val="FootnoteReference"/>
        </w:rPr>
        <w:footnoteReference w:id="29"/>
      </w:r>
      <w:r w:rsidRPr="002A1ECB">
        <w:rPr>
          <w:lang w:val="fr-FR"/>
        </w:rPr>
        <w:t>. L</w:t>
      </w:r>
      <w:r>
        <w:rPr>
          <w:lang w:val="fr-FR"/>
        </w:rPr>
        <w:t>’</w:t>
      </w:r>
      <w:r w:rsidRPr="002A1ECB">
        <w:rPr>
          <w:lang w:val="fr-FR"/>
        </w:rPr>
        <w:t>auteur fait donc observer que l</w:t>
      </w:r>
      <w:r>
        <w:rPr>
          <w:lang w:val="fr-FR"/>
        </w:rPr>
        <w:t>’</w:t>
      </w:r>
      <w:r w:rsidRPr="002A1ECB">
        <w:rPr>
          <w:lang w:val="fr-FR"/>
        </w:rPr>
        <w:t xml:space="preserve">évaluation des risques ne devrait pas se limiter aux risques encourus dans le Puntland, mais tenir également compte des risques encourus dans le centre et le sud de la Somalie. </w:t>
      </w:r>
    </w:p>
    <w:p w:rsidR="002E353E" w:rsidRPr="002A1ECB" w:rsidRDefault="002E353E" w:rsidP="002E353E">
      <w:pPr>
        <w:pStyle w:val="SingleTxtG"/>
        <w:rPr>
          <w:lang w:val="fr-FR"/>
        </w:rPr>
      </w:pPr>
      <w:r w:rsidRPr="002A1ECB">
        <w:rPr>
          <w:lang w:val="fr-FR"/>
        </w:rPr>
        <w:t>5.8</w:t>
      </w:r>
      <w:r w:rsidRPr="002A1ECB">
        <w:rPr>
          <w:lang w:val="fr-FR"/>
        </w:rPr>
        <w:tab/>
        <w:t>En ce qui concerne l</w:t>
      </w:r>
      <w:r>
        <w:rPr>
          <w:lang w:val="fr-FR"/>
        </w:rPr>
        <w:t>’</w:t>
      </w:r>
      <w:r w:rsidRPr="002A1ECB">
        <w:rPr>
          <w:lang w:val="fr-FR"/>
        </w:rPr>
        <w:t>absence de protection clanique, l</w:t>
      </w:r>
      <w:r>
        <w:rPr>
          <w:lang w:val="fr-FR"/>
        </w:rPr>
        <w:t>’</w:t>
      </w:r>
      <w:r w:rsidRPr="002A1ECB">
        <w:rPr>
          <w:lang w:val="fr-FR"/>
        </w:rPr>
        <w:t>auteur fait valoir que l</w:t>
      </w:r>
      <w:r>
        <w:rPr>
          <w:lang w:val="fr-FR"/>
        </w:rPr>
        <w:t>’</w:t>
      </w:r>
      <w:r w:rsidRPr="002A1ECB">
        <w:rPr>
          <w:lang w:val="fr-FR"/>
        </w:rPr>
        <w:t>État partie a ignoré le fait qu</w:t>
      </w:r>
      <w:r>
        <w:rPr>
          <w:lang w:val="fr-FR"/>
        </w:rPr>
        <w:t>’</w:t>
      </w:r>
      <w:r w:rsidRPr="002A1ECB">
        <w:rPr>
          <w:lang w:val="fr-FR"/>
        </w:rPr>
        <w:t>il est indispensable de connaître la filiation patrilinéaire pour établir l</w:t>
      </w:r>
      <w:r>
        <w:rPr>
          <w:lang w:val="fr-FR"/>
        </w:rPr>
        <w:t>’</w:t>
      </w:r>
      <w:r w:rsidRPr="002A1ECB">
        <w:rPr>
          <w:lang w:val="fr-FR"/>
        </w:rPr>
        <w:t>appartenance à un clan et en obtenir la protection et que l</w:t>
      </w:r>
      <w:r>
        <w:rPr>
          <w:lang w:val="fr-FR"/>
        </w:rPr>
        <w:t>’</w:t>
      </w:r>
      <w:r w:rsidRPr="002A1ECB">
        <w:rPr>
          <w:lang w:val="fr-FR"/>
        </w:rPr>
        <w:t>auteur n</w:t>
      </w:r>
      <w:r>
        <w:rPr>
          <w:lang w:val="fr-FR"/>
        </w:rPr>
        <w:t>’</w:t>
      </w:r>
      <w:r w:rsidRPr="002A1ECB">
        <w:rPr>
          <w:lang w:val="fr-FR"/>
        </w:rPr>
        <w:t>est pas né en Somalie et n</w:t>
      </w:r>
      <w:r>
        <w:rPr>
          <w:lang w:val="fr-FR"/>
        </w:rPr>
        <w:t>’</w:t>
      </w:r>
      <w:r w:rsidRPr="002A1ECB">
        <w:rPr>
          <w:lang w:val="fr-FR"/>
        </w:rPr>
        <w:t>y a jamais vécu. Ses parents ne lui ont jamais transmis d</w:t>
      </w:r>
      <w:r>
        <w:rPr>
          <w:lang w:val="fr-FR"/>
        </w:rPr>
        <w:t>’</w:t>
      </w:r>
      <w:r w:rsidRPr="002A1ECB">
        <w:rPr>
          <w:lang w:val="fr-FR"/>
        </w:rPr>
        <w:t>information sur son ascendance et se sont séparés lorsqu</w:t>
      </w:r>
      <w:r>
        <w:rPr>
          <w:lang w:val="fr-FR"/>
        </w:rPr>
        <w:t>’</w:t>
      </w:r>
      <w:r w:rsidRPr="002A1ECB">
        <w:rPr>
          <w:lang w:val="fr-FR"/>
        </w:rPr>
        <w:t>il était adolescent. L</w:t>
      </w:r>
      <w:r>
        <w:rPr>
          <w:lang w:val="fr-FR"/>
        </w:rPr>
        <w:t>’</w:t>
      </w:r>
      <w:r w:rsidRPr="002A1ECB">
        <w:rPr>
          <w:lang w:val="fr-FR"/>
        </w:rPr>
        <w:t>auteur entretient une relation tumultueuse avec son père qui a fini par le renier. L</w:t>
      </w:r>
      <w:r>
        <w:rPr>
          <w:lang w:val="fr-FR"/>
        </w:rPr>
        <w:t>’</w:t>
      </w:r>
      <w:r w:rsidRPr="002A1ECB">
        <w:rPr>
          <w:lang w:val="fr-FR"/>
        </w:rPr>
        <w:t>absence de tout contact avec son père mettrait donc l</w:t>
      </w:r>
      <w:r>
        <w:rPr>
          <w:lang w:val="fr-FR"/>
        </w:rPr>
        <w:t>’</w:t>
      </w:r>
      <w:r w:rsidRPr="002A1ECB">
        <w:rPr>
          <w:lang w:val="fr-FR"/>
        </w:rPr>
        <w:t>auteur dans l</w:t>
      </w:r>
      <w:r>
        <w:rPr>
          <w:lang w:val="fr-FR"/>
        </w:rPr>
        <w:t>’</w:t>
      </w:r>
      <w:r w:rsidRPr="002A1ECB">
        <w:rPr>
          <w:lang w:val="fr-FR"/>
        </w:rPr>
        <w:t>impossibilité de prouver sa filiation patrilinéaire et de faire valoir son appartenance à un clan et d</w:t>
      </w:r>
      <w:r>
        <w:rPr>
          <w:lang w:val="fr-FR"/>
        </w:rPr>
        <w:t>’</w:t>
      </w:r>
      <w:r w:rsidRPr="002A1ECB">
        <w:rPr>
          <w:lang w:val="fr-FR"/>
        </w:rPr>
        <w:t>en réclamer la protection, s</w:t>
      </w:r>
      <w:r>
        <w:rPr>
          <w:lang w:val="fr-FR"/>
        </w:rPr>
        <w:t>’</w:t>
      </w:r>
      <w:r w:rsidRPr="002A1ECB">
        <w:rPr>
          <w:lang w:val="fr-FR"/>
        </w:rPr>
        <w:t>il était expulsé vers la Somalie. L</w:t>
      </w:r>
      <w:r>
        <w:rPr>
          <w:lang w:val="fr-FR"/>
        </w:rPr>
        <w:t>’</w:t>
      </w:r>
      <w:r w:rsidRPr="002A1ECB">
        <w:rPr>
          <w:lang w:val="fr-FR"/>
        </w:rPr>
        <w:t>auteur renvoie aux principes directeurs en matière d</w:t>
      </w:r>
      <w:r>
        <w:rPr>
          <w:lang w:val="fr-FR"/>
        </w:rPr>
        <w:t>’</w:t>
      </w:r>
      <w:r w:rsidRPr="002A1ECB">
        <w:rPr>
          <w:lang w:val="fr-FR"/>
        </w:rPr>
        <w:t>éligibilité que le HCR a établis pour la Somalie (Eligibility Guidelines for Somalia) et dans lesquels il est dit que, dans le Puntland, il est difficile d</w:t>
      </w:r>
      <w:r>
        <w:rPr>
          <w:lang w:val="fr-FR"/>
        </w:rPr>
        <w:t>’</w:t>
      </w:r>
      <w:r w:rsidRPr="002A1ECB">
        <w:rPr>
          <w:lang w:val="fr-FR"/>
        </w:rPr>
        <w:t>accéder aux services de base et à une protection physique et juridique sans la protection d</w:t>
      </w:r>
      <w:r>
        <w:rPr>
          <w:lang w:val="fr-FR"/>
        </w:rPr>
        <w:t>’</w:t>
      </w:r>
      <w:r w:rsidRPr="002A1ECB">
        <w:rPr>
          <w:lang w:val="fr-FR"/>
        </w:rPr>
        <w:t>un clan</w:t>
      </w:r>
      <w:r w:rsidRPr="00363258">
        <w:rPr>
          <w:rStyle w:val="FootnoteReference"/>
        </w:rPr>
        <w:footnoteReference w:id="30"/>
      </w:r>
      <w:r w:rsidRPr="002A1ECB">
        <w:rPr>
          <w:lang w:val="fr-FR"/>
        </w:rPr>
        <w:t>. En tant qu</w:t>
      </w:r>
      <w:r>
        <w:rPr>
          <w:lang w:val="fr-FR"/>
        </w:rPr>
        <w:t>’</w:t>
      </w:r>
      <w:r w:rsidRPr="002A1ECB">
        <w:rPr>
          <w:lang w:val="fr-FR"/>
        </w:rPr>
        <w:t>enfant de la diaspora somalienne élevé au Canada, il serait immanquablement reconnu comme étant un occidental, du fait de son apparence, de son éducation et de ses manières. L</w:t>
      </w:r>
      <w:r>
        <w:rPr>
          <w:lang w:val="fr-FR"/>
        </w:rPr>
        <w:t>’</w:t>
      </w:r>
      <w:r w:rsidRPr="002A1ECB">
        <w:rPr>
          <w:lang w:val="fr-FR"/>
        </w:rPr>
        <w:t>auteur est anglophone et a une connaissance limitée du somali, qu</w:t>
      </w:r>
      <w:r>
        <w:rPr>
          <w:lang w:val="fr-FR"/>
        </w:rPr>
        <w:t>’</w:t>
      </w:r>
      <w:r w:rsidRPr="002A1ECB">
        <w:rPr>
          <w:lang w:val="fr-FR"/>
        </w:rPr>
        <w:t xml:space="preserve">il parle avec un accent anglais. </w:t>
      </w:r>
    </w:p>
    <w:p w:rsidR="002E353E" w:rsidRPr="002A1ECB" w:rsidRDefault="002E353E" w:rsidP="002E353E">
      <w:pPr>
        <w:pStyle w:val="SingleTxtG"/>
        <w:rPr>
          <w:lang w:val="fr-FR"/>
        </w:rPr>
      </w:pPr>
      <w:r w:rsidRPr="002A1ECB">
        <w:rPr>
          <w:lang w:val="fr-FR"/>
        </w:rPr>
        <w:t>5.9</w:t>
      </w:r>
      <w:r w:rsidRPr="002A1ECB">
        <w:rPr>
          <w:lang w:val="fr-FR"/>
        </w:rPr>
        <w:tab/>
        <w:t>L</w:t>
      </w:r>
      <w:r>
        <w:rPr>
          <w:lang w:val="fr-FR"/>
        </w:rPr>
        <w:t>’</w:t>
      </w:r>
      <w:r w:rsidRPr="002A1ECB">
        <w:rPr>
          <w:lang w:val="fr-FR"/>
        </w:rPr>
        <w:t>auteur fait en outre observer que les menaces que font peser Al-Shab</w:t>
      </w:r>
      <w:r>
        <w:rPr>
          <w:lang w:val="fr-FR"/>
        </w:rPr>
        <w:t>a</w:t>
      </w:r>
      <w:r w:rsidRPr="002A1ECB">
        <w:rPr>
          <w:lang w:val="fr-FR"/>
        </w:rPr>
        <w:t>b et d</w:t>
      </w:r>
      <w:r>
        <w:rPr>
          <w:lang w:val="fr-FR"/>
        </w:rPr>
        <w:t>’</w:t>
      </w:r>
      <w:r w:rsidRPr="002A1ECB">
        <w:rPr>
          <w:lang w:val="fr-FR"/>
        </w:rPr>
        <w:t>autres groupes d</w:t>
      </w:r>
      <w:r>
        <w:rPr>
          <w:lang w:val="fr-FR"/>
        </w:rPr>
        <w:t>’</w:t>
      </w:r>
      <w:r w:rsidRPr="002A1ECB">
        <w:rPr>
          <w:lang w:val="fr-FR"/>
        </w:rPr>
        <w:t>insurgés islamistes opérant à partir du Puntland se sont considérablement intensifiées en 2010</w:t>
      </w:r>
      <w:r w:rsidRPr="00363258">
        <w:rPr>
          <w:rStyle w:val="FootnoteReference"/>
        </w:rPr>
        <w:footnoteReference w:id="31"/>
      </w:r>
      <w:r w:rsidRPr="002A1ECB">
        <w:rPr>
          <w:lang w:val="fr-FR"/>
        </w:rPr>
        <w:t>. Faute d</w:t>
      </w:r>
      <w:r>
        <w:rPr>
          <w:lang w:val="fr-FR"/>
        </w:rPr>
        <w:t>’</w:t>
      </w:r>
      <w:r w:rsidRPr="002A1ECB">
        <w:rPr>
          <w:lang w:val="fr-FR"/>
        </w:rPr>
        <w:t>avoir les connaissances et l</w:t>
      </w:r>
      <w:r>
        <w:rPr>
          <w:lang w:val="fr-FR"/>
        </w:rPr>
        <w:t>’</w:t>
      </w:r>
      <w:r w:rsidRPr="002A1ECB">
        <w:rPr>
          <w:lang w:val="fr-FR"/>
        </w:rPr>
        <w:t>expérience nécessaires pour reconnaître les situations périlleuses l</w:t>
      </w:r>
      <w:r>
        <w:rPr>
          <w:lang w:val="fr-FR"/>
        </w:rPr>
        <w:t>’</w:t>
      </w:r>
      <w:r w:rsidRPr="002A1ECB">
        <w:rPr>
          <w:lang w:val="fr-FR"/>
        </w:rPr>
        <w:t>auteur serait en danger. En outre, les pirates et les groupes insurgés ciblent systématiquement les jeunes hommes sans attaches familiales et n</w:t>
      </w:r>
      <w:r>
        <w:rPr>
          <w:lang w:val="fr-FR"/>
        </w:rPr>
        <w:t>’</w:t>
      </w:r>
      <w:r w:rsidRPr="002A1ECB">
        <w:rPr>
          <w:lang w:val="fr-FR"/>
        </w:rPr>
        <w:t>appartenant à aucun réseau social</w:t>
      </w:r>
      <w:r w:rsidRPr="00363258">
        <w:rPr>
          <w:rStyle w:val="FootnoteReference"/>
        </w:rPr>
        <w:footnoteReference w:id="32"/>
      </w:r>
      <w:r w:rsidRPr="002A1ECB">
        <w:rPr>
          <w:lang w:val="fr-FR"/>
        </w:rPr>
        <w:t>.</w:t>
      </w:r>
    </w:p>
    <w:p w:rsidR="002E353E" w:rsidRPr="002A1ECB" w:rsidRDefault="002E353E" w:rsidP="002E353E">
      <w:pPr>
        <w:pStyle w:val="SingleTxtG"/>
        <w:rPr>
          <w:lang w:val="fr-FR"/>
        </w:rPr>
      </w:pPr>
      <w:r w:rsidRPr="002A1ECB">
        <w:rPr>
          <w:lang w:val="fr-FR"/>
        </w:rPr>
        <w:t>5.10</w:t>
      </w:r>
      <w:r w:rsidRPr="002A1ECB">
        <w:rPr>
          <w:lang w:val="fr-FR"/>
        </w:rPr>
        <w:tab/>
        <w:t>S</w:t>
      </w:r>
      <w:r>
        <w:rPr>
          <w:lang w:val="fr-FR"/>
        </w:rPr>
        <w:t>’</w:t>
      </w:r>
      <w:r w:rsidRPr="002A1ECB">
        <w:rPr>
          <w:lang w:val="fr-FR"/>
        </w:rPr>
        <w:t>agissant des violations d</w:t>
      </w:r>
      <w:r>
        <w:rPr>
          <w:lang w:val="fr-FR"/>
        </w:rPr>
        <w:t>es articles 17 et 23 (par.</w:t>
      </w:r>
      <w:r w:rsidRPr="002A1ECB">
        <w:rPr>
          <w:lang w:val="fr-FR"/>
        </w:rPr>
        <w:t xml:space="preserve"> 1), l</w:t>
      </w:r>
      <w:r>
        <w:rPr>
          <w:lang w:val="fr-FR"/>
        </w:rPr>
        <w:t>’</w:t>
      </w:r>
      <w:r w:rsidRPr="002A1ECB">
        <w:rPr>
          <w:lang w:val="fr-FR"/>
        </w:rPr>
        <w:t>auteur affirme que son expulsion perturberait gravement sa vie de famille, compte tenu des liens étroits qu</w:t>
      </w:r>
      <w:r>
        <w:rPr>
          <w:lang w:val="fr-FR"/>
        </w:rPr>
        <w:t>’</w:t>
      </w:r>
      <w:r w:rsidRPr="002A1ECB">
        <w:rPr>
          <w:lang w:val="fr-FR"/>
        </w:rPr>
        <w:t>il entretient avec le Canada, du fait qu</w:t>
      </w:r>
      <w:r>
        <w:rPr>
          <w:lang w:val="fr-FR"/>
        </w:rPr>
        <w:t>’</w:t>
      </w:r>
      <w:r w:rsidRPr="002A1ECB">
        <w:rPr>
          <w:lang w:val="fr-FR"/>
        </w:rPr>
        <w:t>il n</w:t>
      </w:r>
      <w:r>
        <w:rPr>
          <w:lang w:val="fr-FR"/>
        </w:rPr>
        <w:t>’</w:t>
      </w:r>
      <w:r w:rsidRPr="002A1ECB">
        <w:rPr>
          <w:lang w:val="fr-FR"/>
        </w:rPr>
        <w:t>a jamais vécu en Somalie ni eu d</w:t>
      </w:r>
      <w:r>
        <w:rPr>
          <w:lang w:val="fr-FR"/>
        </w:rPr>
        <w:t>’</w:t>
      </w:r>
      <w:r w:rsidRPr="002A1ECB">
        <w:rPr>
          <w:lang w:val="fr-FR"/>
        </w:rPr>
        <w:t>autre lien avec ce pays que sa nationalité. Il réaffirme qu</w:t>
      </w:r>
      <w:r>
        <w:rPr>
          <w:lang w:val="fr-FR"/>
        </w:rPr>
        <w:t>’</w:t>
      </w:r>
      <w:r w:rsidRPr="002A1ECB">
        <w:rPr>
          <w:lang w:val="fr-FR"/>
        </w:rPr>
        <w:t>il est très proche de sa mère et de ses sœurs qui lui rendent visite une fois par mois en prison. Elles lui ont accordé un soutien sans faille tout au long de sa détention. La mère étant atteinte d</w:t>
      </w:r>
      <w:r>
        <w:rPr>
          <w:lang w:val="fr-FR"/>
        </w:rPr>
        <w:t>’</w:t>
      </w:r>
      <w:r w:rsidRPr="002A1ECB">
        <w:rPr>
          <w:lang w:val="fr-FR"/>
        </w:rPr>
        <w:t>une grave maladie mentale et le père ayant abandonné la famille, la fratrie a dû prendre soin d</w:t>
      </w:r>
      <w:r>
        <w:rPr>
          <w:lang w:val="fr-FR"/>
        </w:rPr>
        <w:t>’</w:t>
      </w:r>
      <w:r w:rsidRPr="002A1ECB">
        <w:rPr>
          <w:lang w:val="fr-FR"/>
        </w:rPr>
        <w:t>elle-même. L</w:t>
      </w:r>
      <w:r>
        <w:rPr>
          <w:lang w:val="fr-FR"/>
        </w:rPr>
        <w:t>’</w:t>
      </w:r>
      <w:r w:rsidRPr="002A1ECB">
        <w:rPr>
          <w:lang w:val="fr-FR"/>
        </w:rPr>
        <w:t>auteur déclare être sobre depuis trois ans et poursuivre ses efforts de réadaptation. Il s</w:t>
      </w:r>
      <w:r>
        <w:rPr>
          <w:lang w:val="fr-FR"/>
        </w:rPr>
        <w:t>’</w:t>
      </w:r>
      <w:r w:rsidRPr="002A1ECB">
        <w:rPr>
          <w:lang w:val="fr-FR"/>
        </w:rPr>
        <w:t>efforce de soutenir sa famille, en particulier sa mère qui souffre d</w:t>
      </w:r>
      <w:r>
        <w:rPr>
          <w:lang w:val="fr-FR"/>
        </w:rPr>
        <w:t>’</w:t>
      </w:r>
      <w:r w:rsidRPr="002A1ECB">
        <w:rPr>
          <w:lang w:val="fr-FR"/>
        </w:rPr>
        <w:t>une maladie mentale. Son expulsion vers la Somalie serait disproportionnée par rapport à l</w:t>
      </w:r>
      <w:r>
        <w:rPr>
          <w:lang w:val="fr-FR"/>
        </w:rPr>
        <w:t>’</w:t>
      </w:r>
      <w:r w:rsidRPr="002A1ECB">
        <w:rPr>
          <w:lang w:val="fr-FR"/>
        </w:rPr>
        <w:t>objectif de l</w:t>
      </w:r>
      <w:r>
        <w:rPr>
          <w:lang w:val="fr-FR"/>
        </w:rPr>
        <w:t>’</w:t>
      </w:r>
      <w:r w:rsidRPr="002A1ECB">
        <w:rPr>
          <w:lang w:val="fr-FR"/>
        </w:rPr>
        <w:t>État partie qui consiste à prévenir la commission d</w:t>
      </w:r>
      <w:r>
        <w:rPr>
          <w:lang w:val="fr-FR"/>
        </w:rPr>
        <w:t>’</w:t>
      </w:r>
      <w:r w:rsidRPr="002A1ECB">
        <w:rPr>
          <w:lang w:val="fr-FR"/>
        </w:rPr>
        <w:t>infractions pénales. Les infractions que l</w:t>
      </w:r>
      <w:r>
        <w:rPr>
          <w:lang w:val="fr-FR"/>
        </w:rPr>
        <w:t>’</w:t>
      </w:r>
      <w:r w:rsidRPr="002A1ECB">
        <w:rPr>
          <w:lang w:val="fr-FR"/>
        </w:rPr>
        <w:t>auteur a commises étaient dues à sa toxicomanie, qu</w:t>
      </w:r>
      <w:r>
        <w:rPr>
          <w:lang w:val="fr-FR"/>
        </w:rPr>
        <w:t>’</w:t>
      </w:r>
      <w:r w:rsidRPr="002A1ECB">
        <w:rPr>
          <w:lang w:val="fr-FR"/>
        </w:rPr>
        <w:t>il a depuis surmontée. Il fait valoir que, hormis ses condamnations à deux ans d</w:t>
      </w:r>
      <w:r>
        <w:rPr>
          <w:lang w:val="fr-FR"/>
        </w:rPr>
        <w:t>’</w:t>
      </w:r>
      <w:r w:rsidRPr="002A1ECB">
        <w:rPr>
          <w:lang w:val="fr-FR"/>
        </w:rPr>
        <w:t>emprisonnement pour possession d</w:t>
      </w:r>
      <w:r>
        <w:rPr>
          <w:lang w:val="fr-FR"/>
        </w:rPr>
        <w:t>’</w:t>
      </w:r>
      <w:r w:rsidRPr="002A1ECB">
        <w:rPr>
          <w:lang w:val="fr-FR"/>
        </w:rPr>
        <w:t>une substance à des fins de trafic, et à neuf mois de prison pour agression, il n</w:t>
      </w:r>
      <w:r>
        <w:rPr>
          <w:lang w:val="fr-FR"/>
        </w:rPr>
        <w:t>’</w:t>
      </w:r>
      <w:r w:rsidRPr="002A1ECB">
        <w:rPr>
          <w:lang w:val="fr-FR"/>
        </w:rPr>
        <w:t>a purgé que des peines mineures. En ce qui concerne les agressions pour lesquelles il a été condamné pendant sa détention en 2009, il explique qu</w:t>
      </w:r>
      <w:r>
        <w:rPr>
          <w:lang w:val="fr-FR"/>
        </w:rPr>
        <w:t>’</w:t>
      </w:r>
      <w:r w:rsidRPr="002A1ECB">
        <w:rPr>
          <w:lang w:val="fr-FR"/>
        </w:rPr>
        <w:t>il a été impliqué dans un affrontement verbal entre détenus qui s</w:t>
      </w:r>
      <w:r>
        <w:rPr>
          <w:lang w:val="fr-FR"/>
        </w:rPr>
        <w:t>’</w:t>
      </w:r>
      <w:r w:rsidRPr="002A1ECB">
        <w:rPr>
          <w:lang w:val="fr-FR"/>
        </w:rPr>
        <w:t>est terminé par une agression entre deux d</w:t>
      </w:r>
      <w:r>
        <w:rPr>
          <w:lang w:val="fr-FR"/>
        </w:rPr>
        <w:t>’</w:t>
      </w:r>
      <w:r w:rsidRPr="002A1ECB">
        <w:rPr>
          <w:lang w:val="fr-FR"/>
        </w:rPr>
        <w:t>entre eux. L</w:t>
      </w:r>
      <w:r>
        <w:rPr>
          <w:lang w:val="fr-FR"/>
        </w:rPr>
        <w:t>’</w:t>
      </w:r>
      <w:r w:rsidRPr="002A1ECB">
        <w:rPr>
          <w:lang w:val="fr-FR"/>
        </w:rPr>
        <w:t>auteur a plaidé coupable mais le tribunal a jugé qu</w:t>
      </w:r>
      <w:r>
        <w:rPr>
          <w:lang w:val="fr-FR"/>
        </w:rPr>
        <w:t>’</w:t>
      </w:r>
      <w:r w:rsidRPr="002A1ECB">
        <w:rPr>
          <w:lang w:val="fr-FR"/>
        </w:rPr>
        <w:t>il n</w:t>
      </w:r>
      <w:r>
        <w:rPr>
          <w:lang w:val="fr-FR"/>
        </w:rPr>
        <w:t>’</w:t>
      </w:r>
      <w:r w:rsidRPr="002A1ECB">
        <w:rPr>
          <w:lang w:val="fr-FR"/>
        </w:rPr>
        <w:t>avait porté de coups et blessures à personne. L</w:t>
      </w:r>
      <w:r>
        <w:rPr>
          <w:lang w:val="fr-FR"/>
        </w:rPr>
        <w:t>’</w:t>
      </w:r>
      <w:r w:rsidRPr="002A1ECB">
        <w:rPr>
          <w:lang w:val="fr-FR"/>
        </w:rPr>
        <w:t>auteur soutient que, hormis ces infractions mineures commises en 2009, sa dernière infraction remonte à ses 21 ans. De plus, il fait observer que son expulsion vers la Somalie le priverait de tous liens familiaux étant donné que sa famille ne pourrait lui rendre visite en Somalie du fait des mises en garde à l</w:t>
      </w:r>
      <w:r>
        <w:rPr>
          <w:lang w:val="fr-FR"/>
        </w:rPr>
        <w:t>’</w:t>
      </w:r>
      <w:r w:rsidRPr="002A1ECB">
        <w:rPr>
          <w:lang w:val="fr-FR"/>
        </w:rPr>
        <w:t>intention des voyageurs</w:t>
      </w:r>
      <w:r w:rsidRPr="002A1ECB">
        <w:t xml:space="preserve"> </w:t>
      </w:r>
      <w:r w:rsidRPr="002A1ECB">
        <w:rPr>
          <w:lang w:val="fr-FR"/>
        </w:rPr>
        <w:t>publiées par le Canada</w:t>
      </w:r>
      <w:r w:rsidRPr="00363258">
        <w:rPr>
          <w:rStyle w:val="FootnoteReference"/>
        </w:rPr>
        <w:footnoteReference w:id="33"/>
      </w:r>
      <w:r w:rsidRPr="002A1ECB">
        <w:rPr>
          <w:lang w:val="fr-FR"/>
        </w:rPr>
        <w:t>.</w:t>
      </w:r>
    </w:p>
    <w:p w:rsidR="002E353E" w:rsidRPr="002A1ECB" w:rsidRDefault="002E353E" w:rsidP="002E353E">
      <w:pPr>
        <w:pStyle w:val="SingleTxtG"/>
        <w:rPr>
          <w:lang w:val="fr-FR"/>
        </w:rPr>
      </w:pPr>
      <w:r w:rsidRPr="002A1ECB">
        <w:rPr>
          <w:lang w:val="fr-FR"/>
        </w:rPr>
        <w:t>5.11</w:t>
      </w:r>
      <w:r w:rsidRPr="002A1ECB">
        <w:rPr>
          <w:lang w:val="fr-FR"/>
        </w:rPr>
        <w:tab/>
        <w:t>Enfin, l</w:t>
      </w:r>
      <w:r>
        <w:rPr>
          <w:lang w:val="fr-FR"/>
        </w:rPr>
        <w:t>’</w:t>
      </w:r>
      <w:r w:rsidRPr="002A1ECB">
        <w:rPr>
          <w:lang w:val="fr-FR"/>
        </w:rPr>
        <w:t>auteur affirme que, aux fins de l</w:t>
      </w:r>
      <w:r>
        <w:rPr>
          <w:lang w:val="fr-FR"/>
        </w:rPr>
        <w:t>’</w:t>
      </w:r>
      <w:r w:rsidRPr="002A1ECB">
        <w:rPr>
          <w:lang w:val="fr-FR"/>
        </w:rPr>
        <w:t>article 12, le Canada est «son propre pays»</w:t>
      </w:r>
      <w:r w:rsidRPr="00363258">
        <w:rPr>
          <w:rStyle w:val="FootnoteReference"/>
        </w:rPr>
        <w:footnoteReference w:id="34"/>
      </w:r>
      <w:r w:rsidRPr="002A1ECB">
        <w:rPr>
          <w:lang w:val="fr-FR"/>
        </w:rPr>
        <w:t>, étant donné qu</w:t>
      </w:r>
      <w:r>
        <w:rPr>
          <w:lang w:val="fr-FR"/>
        </w:rPr>
        <w:t>’</w:t>
      </w:r>
      <w:r w:rsidRPr="002A1ECB">
        <w:rPr>
          <w:lang w:val="fr-FR"/>
        </w:rPr>
        <w:t>il séjourne au Canada depuis l</w:t>
      </w:r>
      <w:r>
        <w:rPr>
          <w:lang w:val="fr-FR"/>
        </w:rPr>
        <w:t>’</w:t>
      </w:r>
      <w:r w:rsidRPr="002A1ECB">
        <w:rPr>
          <w:lang w:val="fr-FR"/>
        </w:rPr>
        <w:t>âge de 4 ans et a effectué toute sa scolarité au Canada. Il affirme en particulier que son cas doit être distingué des autres communications examinées par le Comité, puisqu</w:t>
      </w:r>
      <w:r>
        <w:rPr>
          <w:lang w:val="fr-FR"/>
        </w:rPr>
        <w:t>’</w:t>
      </w:r>
      <w:r w:rsidRPr="002A1ECB">
        <w:rPr>
          <w:lang w:val="fr-FR"/>
        </w:rPr>
        <w:t>il n</w:t>
      </w:r>
      <w:r>
        <w:rPr>
          <w:lang w:val="fr-FR"/>
        </w:rPr>
        <w:t>’</w:t>
      </w:r>
      <w:r w:rsidRPr="002A1ECB">
        <w:rPr>
          <w:lang w:val="fr-FR"/>
        </w:rPr>
        <w:t>est pas né en Somalie et n</w:t>
      </w:r>
      <w:r>
        <w:rPr>
          <w:lang w:val="fr-FR"/>
        </w:rPr>
        <w:t>’</w:t>
      </w:r>
      <w:r w:rsidRPr="002A1ECB">
        <w:rPr>
          <w:lang w:val="fr-FR"/>
        </w:rPr>
        <w:t>y a jamais vécu. Il affirme en outre que, en Somalie, son statut de citoyen est précaire étant donné qu</w:t>
      </w:r>
      <w:r>
        <w:rPr>
          <w:lang w:val="fr-FR"/>
        </w:rPr>
        <w:t>’</w:t>
      </w:r>
      <w:r w:rsidRPr="002A1ECB">
        <w:rPr>
          <w:lang w:val="fr-FR"/>
        </w:rPr>
        <w:t>il ne détient aucune preuve de sa citoyenneté somalienne et qu</w:t>
      </w:r>
      <w:r>
        <w:rPr>
          <w:lang w:val="fr-FR"/>
        </w:rPr>
        <w:t>’</w:t>
      </w:r>
      <w:r w:rsidRPr="002A1ECB">
        <w:rPr>
          <w:lang w:val="fr-FR"/>
        </w:rPr>
        <w:t>il serait expulsé vers la Somalie avec un document de voyage canadien temporaire sans garantie d</w:t>
      </w:r>
      <w:r>
        <w:rPr>
          <w:lang w:val="fr-FR"/>
        </w:rPr>
        <w:t>’</w:t>
      </w:r>
      <w:r w:rsidRPr="002A1ECB">
        <w:rPr>
          <w:lang w:val="fr-FR"/>
        </w:rPr>
        <w:t xml:space="preserve">obtenir la citoyenneté à son arrivée. </w:t>
      </w:r>
    </w:p>
    <w:p w:rsidR="002E353E" w:rsidRPr="009238E4" w:rsidRDefault="002E353E" w:rsidP="00677635">
      <w:pPr>
        <w:pStyle w:val="H23G"/>
      </w:pPr>
      <w:r w:rsidRPr="009238E4">
        <w:tab/>
      </w:r>
      <w:r w:rsidRPr="009238E4">
        <w:tab/>
        <w:t>Nouvelles observations de l</w:t>
      </w:r>
      <w:r>
        <w:t>’</w:t>
      </w:r>
      <w:r w:rsidRPr="009238E4">
        <w:t>État partie sur la recevabilité et sur le fond</w:t>
      </w:r>
    </w:p>
    <w:p w:rsidR="002E353E" w:rsidRPr="002A1ECB" w:rsidRDefault="002E353E" w:rsidP="002E353E">
      <w:pPr>
        <w:pStyle w:val="SingleTxtG"/>
        <w:rPr>
          <w:lang w:val="fr-FR"/>
        </w:rPr>
      </w:pPr>
      <w:r w:rsidRPr="002A1ECB">
        <w:rPr>
          <w:lang w:val="fr-FR"/>
        </w:rPr>
        <w:t>6.1</w:t>
      </w:r>
      <w:r w:rsidRPr="002A1ECB">
        <w:rPr>
          <w:lang w:val="fr-FR"/>
        </w:rPr>
        <w:tab/>
        <w:t>Le 4 février 2011, l</w:t>
      </w:r>
      <w:r>
        <w:rPr>
          <w:lang w:val="fr-FR"/>
        </w:rPr>
        <w:t>’</w:t>
      </w:r>
      <w:r w:rsidRPr="002A1ECB">
        <w:rPr>
          <w:lang w:val="fr-FR"/>
        </w:rPr>
        <w:t>État partie présente des observations supplémentaires sur la recevabilité et sur le fond, ainsi qu</w:t>
      </w:r>
      <w:r>
        <w:rPr>
          <w:lang w:val="fr-FR"/>
        </w:rPr>
        <w:t>’</w:t>
      </w:r>
      <w:r w:rsidRPr="002A1ECB">
        <w:rPr>
          <w:lang w:val="fr-FR"/>
        </w:rPr>
        <w:t>une deuxième demande visant à lever les mesures provisoires</w:t>
      </w:r>
      <w:r w:rsidR="0043344E">
        <w:rPr>
          <w:lang w:val="fr-FR"/>
        </w:rPr>
        <w:t xml:space="preserve"> (voir par. 1.2)</w:t>
      </w:r>
      <w:r w:rsidRPr="002A1ECB">
        <w:rPr>
          <w:lang w:val="fr-FR"/>
        </w:rPr>
        <w:t>. Il déclare que l</w:t>
      </w:r>
      <w:r>
        <w:rPr>
          <w:lang w:val="fr-FR"/>
        </w:rPr>
        <w:t>’</w:t>
      </w:r>
      <w:r w:rsidRPr="002A1ECB">
        <w:rPr>
          <w:lang w:val="fr-FR"/>
        </w:rPr>
        <w:t>auteur est toujours détenu au Canada en vertu de la loi sur l</w:t>
      </w:r>
      <w:r>
        <w:rPr>
          <w:lang w:val="fr-FR"/>
        </w:rPr>
        <w:t>’</w:t>
      </w:r>
      <w:r w:rsidRPr="002A1ECB">
        <w:rPr>
          <w:lang w:val="fr-FR"/>
        </w:rPr>
        <w:t>immigration en attente de son renvoi. Il rappelle le passé violent de l</w:t>
      </w:r>
      <w:r>
        <w:rPr>
          <w:lang w:val="fr-FR"/>
        </w:rPr>
        <w:t>’</w:t>
      </w:r>
      <w:r w:rsidRPr="002A1ECB">
        <w:rPr>
          <w:lang w:val="fr-FR"/>
        </w:rPr>
        <w:t>auteur et la gravité du danger qu</w:t>
      </w:r>
      <w:r>
        <w:rPr>
          <w:lang w:val="fr-FR"/>
        </w:rPr>
        <w:t>’</w:t>
      </w:r>
      <w:r w:rsidRPr="002A1ECB">
        <w:rPr>
          <w:lang w:val="fr-FR"/>
        </w:rPr>
        <w:t>il représenterait pour la sécurité publique s</w:t>
      </w:r>
      <w:r>
        <w:rPr>
          <w:lang w:val="fr-FR"/>
        </w:rPr>
        <w:t>’</w:t>
      </w:r>
      <w:r w:rsidRPr="002A1ECB">
        <w:rPr>
          <w:lang w:val="fr-FR"/>
        </w:rPr>
        <w:t>il était libéré. Il rappelle également que l</w:t>
      </w:r>
      <w:r>
        <w:rPr>
          <w:lang w:val="fr-FR"/>
        </w:rPr>
        <w:t>’</w:t>
      </w:r>
      <w:r w:rsidRPr="002A1ECB">
        <w:rPr>
          <w:lang w:val="fr-FR"/>
        </w:rPr>
        <w:t>expulsion de l</w:t>
      </w:r>
      <w:r>
        <w:rPr>
          <w:lang w:val="fr-FR"/>
        </w:rPr>
        <w:t>’</w:t>
      </w:r>
      <w:r w:rsidRPr="002A1ECB">
        <w:rPr>
          <w:lang w:val="fr-FR"/>
        </w:rPr>
        <w:t>auteur ne causerait pas de préjudice irréparable, l</w:t>
      </w:r>
      <w:r>
        <w:rPr>
          <w:lang w:val="fr-FR"/>
        </w:rPr>
        <w:t>’</w:t>
      </w:r>
      <w:r w:rsidRPr="002A1ECB">
        <w:rPr>
          <w:lang w:val="fr-FR"/>
        </w:rPr>
        <w:t>auteur n</w:t>
      </w:r>
      <w:r>
        <w:rPr>
          <w:lang w:val="fr-FR"/>
        </w:rPr>
        <w:t>’</w:t>
      </w:r>
      <w:r w:rsidRPr="002A1ECB">
        <w:rPr>
          <w:lang w:val="fr-FR"/>
        </w:rPr>
        <w:t xml:space="preserve">ayant pas établi </w:t>
      </w:r>
      <w:r w:rsidRPr="002A1ECB">
        <w:rPr>
          <w:i/>
          <w:lang w:val="fr-FR"/>
        </w:rPr>
        <w:t xml:space="preserve">prima facie </w:t>
      </w:r>
      <w:r w:rsidRPr="002A1ECB">
        <w:rPr>
          <w:lang w:val="fr-FR"/>
        </w:rPr>
        <w:t xml:space="preserve">le bien-fondé de sa thèse. </w:t>
      </w:r>
    </w:p>
    <w:p w:rsidR="002E353E" w:rsidRPr="002A1ECB" w:rsidRDefault="002E353E" w:rsidP="002E353E">
      <w:pPr>
        <w:pStyle w:val="SingleTxtG"/>
        <w:rPr>
          <w:lang w:val="fr-FR"/>
        </w:rPr>
      </w:pPr>
      <w:r w:rsidRPr="002A1ECB">
        <w:rPr>
          <w:lang w:val="fr-FR"/>
        </w:rPr>
        <w:t>6.2</w:t>
      </w:r>
      <w:r w:rsidRPr="002A1ECB">
        <w:rPr>
          <w:lang w:val="fr-FR"/>
        </w:rPr>
        <w:tab/>
        <w:t>L</w:t>
      </w:r>
      <w:r>
        <w:rPr>
          <w:lang w:val="fr-FR"/>
        </w:rPr>
        <w:t>’</w:t>
      </w:r>
      <w:r w:rsidRPr="002A1ECB">
        <w:rPr>
          <w:lang w:val="fr-FR"/>
        </w:rPr>
        <w:t>État partie maintient que le contrôle judiciaire de l</w:t>
      </w:r>
      <w:r>
        <w:rPr>
          <w:lang w:val="fr-FR"/>
        </w:rPr>
        <w:t>’</w:t>
      </w:r>
      <w:r w:rsidRPr="002A1ECB">
        <w:rPr>
          <w:lang w:val="fr-FR"/>
        </w:rPr>
        <w:t>avis négatif rendu par la Section d</w:t>
      </w:r>
      <w:r>
        <w:rPr>
          <w:lang w:val="fr-FR"/>
        </w:rPr>
        <w:t>’</w:t>
      </w:r>
      <w:r w:rsidRPr="002A1ECB">
        <w:rPr>
          <w:lang w:val="fr-FR"/>
        </w:rPr>
        <w:t>appel de l</w:t>
      </w:r>
      <w:r>
        <w:rPr>
          <w:lang w:val="fr-FR"/>
        </w:rPr>
        <w:t>’</w:t>
      </w:r>
      <w:r w:rsidRPr="002A1ECB">
        <w:rPr>
          <w:lang w:val="fr-FR"/>
        </w:rPr>
        <w:t>immigration est un recours utile. Il juge préoccupant de constater que la famille de l</w:t>
      </w:r>
      <w:r>
        <w:rPr>
          <w:lang w:val="fr-FR"/>
        </w:rPr>
        <w:t>’</w:t>
      </w:r>
      <w:r w:rsidRPr="002A1ECB">
        <w:rPr>
          <w:lang w:val="fr-FR"/>
        </w:rPr>
        <w:t>auteur n</w:t>
      </w:r>
      <w:r>
        <w:rPr>
          <w:lang w:val="fr-FR"/>
        </w:rPr>
        <w:t>’</w:t>
      </w:r>
      <w:r w:rsidRPr="002A1ECB">
        <w:rPr>
          <w:lang w:val="fr-FR"/>
        </w:rPr>
        <w:t>a pas manifesté son soutien lorsqu</w:t>
      </w:r>
      <w:r>
        <w:rPr>
          <w:lang w:val="fr-FR"/>
        </w:rPr>
        <w:t>’</w:t>
      </w:r>
      <w:r w:rsidRPr="002A1ECB">
        <w:rPr>
          <w:lang w:val="fr-FR"/>
        </w:rPr>
        <w:t>il avait besoin d</w:t>
      </w:r>
      <w:r>
        <w:rPr>
          <w:lang w:val="fr-FR"/>
        </w:rPr>
        <w:t>’</w:t>
      </w:r>
      <w:r w:rsidRPr="002A1ECB">
        <w:rPr>
          <w:lang w:val="fr-FR"/>
        </w:rPr>
        <w:t>aide pour bénéficier des services d</w:t>
      </w:r>
      <w:r>
        <w:rPr>
          <w:lang w:val="fr-FR"/>
        </w:rPr>
        <w:t>’</w:t>
      </w:r>
      <w:r w:rsidRPr="002A1ECB">
        <w:rPr>
          <w:lang w:val="fr-FR"/>
        </w:rPr>
        <w:t>un conseil pour utiliser les recours internes. Il estime qu</w:t>
      </w:r>
      <w:r>
        <w:rPr>
          <w:lang w:val="fr-FR"/>
        </w:rPr>
        <w:t>’</w:t>
      </w:r>
      <w:r w:rsidRPr="002A1ECB">
        <w:rPr>
          <w:lang w:val="fr-FR"/>
        </w:rPr>
        <w:t>il est incongru que l</w:t>
      </w:r>
      <w:r>
        <w:rPr>
          <w:lang w:val="fr-FR"/>
        </w:rPr>
        <w:t>’</w:t>
      </w:r>
      <w:r w:rsidRPr="002A1ECB">
        <w:rPr>
          <w:lang w:val="fr-FR"/>
        </w:rPr>
        <w:t>auteur ait pu s</w:t>
      </w:r>
      <w:r>
        <w:rPr>
          <w:lang w:val="fr-FR"/>
        </w:rPr>
        <w:t>’</w:t>
      </w:r>
      <w:r w:rsidRPr="002A1ECB">
        <w:rPr>
          <w:lang w:val="fr-FR"/>
        </w:rPr>
        <w:t>offrir les services d</w:t>
      </w:r>
      <w:r>
        <w:rPr>
          <w:lang w:val="fr-FR"/>
        </w:rPr>
        <w:t>’</w:t>
      </w:r>
      <w:r w:rsidRPr="002A1ECB">
        <w:rPr>
          <w:lang w:val="fr-FR"/>
        </w:rPr>
        <w:t xml:space="preserve">un conseil pour les procédures devant le Comité mais pas pour épuiser les recours internes disponibles et utiles. </w:t>
      </w:r>
    </w:p>
    <w:p w:rsidR="002E353E" w:rsidRPr="002A1ECB" w:rsidRDefault="002E353E" w:rsidP="002E353E">
      <w:pPr>
        <w:pStyle w:val="SingleTxtG"/>
        <w:rPr>
          <w:lang w:val="fr-FR"/>
        </w:rPr>
      </w:pPr>
      <w:r w:rsidRPr="002A1ECB">
        <w:rPr>
          <w:lang w:val="fr-FR"/>
        </w:rPr>
        <w:t>6.3</w:t>
      </w:r>
      <w:r w:rsidRPr="002A1ECB">
        <w:rPr>
          <w:lang w:val="fr-FR"/>
        </w:rPr>
        <w:tab/>
        <w:t>En ce qui concerne le fait que l</w:t>
      </w:r>
      <w:r>
        <w:rPr>
          <w:lang w:val="fr-FR"/>
        </w:rPr>
        <w:t>’</w:t>
      </w:r>
      <w:r w:rsidRPr="002A1ECB">
        <w:rPr>
          <w:lang w:val="fr-FR"/>
        </w:rPr>
        <w:t>auteur n</w:t>
      </w:r>
      <w:r>
        <w:rPr>
          <w:lang w:val="fr-FR"/>
        </w:rPr>
        <w:t>’</w:t>
      </w:r>
      <w:r w:rsidRPr="002A1ECB">
        <w:rPr>
          <w:lang w:val="fr-FR"/>
        </w:rPr>
        <w:t>a pas déposé de demande pour motifs d</w:t>
      </w:r>
      <w:r>
        <w:rPr>
          <w:lang w:val="fr-FR"/>
        </w:rPr>
        <w:t>’</w:t>
      </w:r>
      <w:r w:rsidRPr="002A1ECB">
        <w:rPr>
          <w:lang w:val="fr-FR"/>
        </w:rPr>
        <w:t>ordre humanitaire, l</w:t>
      </w:r>
      <w:r>
        <w:rPr>
          <w:lang w:val="fr-FR"/>
        </w:rPr>
        <w:t>’</w:t>
      </w:r>
      <w:r w:rsidRPr="002A1ECB">
        <w:rPr>
          <w:lang w:val="fr-FR"/>
        </w:rPr>
        <w:t>État partie précise que, s</w:t>
      </w:r>
      <w:r>
        <w:rPr>
          <w:lang w:val="fr-FR"/>
        </w:rPr>
        <w:t>’</w:t>
      </w:r>
      <w:r w:rsidRPr="002A1ECB">
        <w:rPr>
          <w:lang w:val="fr-FR"/>
        </w:rPr>
        <w:t>il est vrai qu</w:t>
      </w:r>
      <w:r>
        <w:rPr>
          <w:lang w:val="fr-FR"/>
        </w:rPr>
        <w:t>’</w:t>
      </w:r>
      <w:r w:rsidRPr="002A1ECB">
        <w:rPr>
          <w:lang w:val="fr-FR"/>
        </w:rPr>
        <w:t>une telle demande ne sursoit pas au renvoi, en cas de décision négative, l</w:t>
      </w:r>
      <w:r>
        <w:rPr>
          <w:lang w:val="fr-FR"/>
        </w:rPr>
        <w:t>’</w:t>
      </w:r>
      <w:r w:rsidRPr="002A1ECB">
        <w:rPr>
          <w:lang w:val="fr-FR"/>
        </w:rPr>
        <w:t>auteur aurait pu présenter une demande de contrôle judiciaire et requérir la suspension du renvoi. L</w:t>
      </w:r>
      <w:r>
        <w:rPr>
          <w:lang w:val="fr-FR"/>
        </w:rPr>
        <w:t>’</w:t>
      </w:r>
      <w:r w:rsidRPr="002A1ECB">
        <w:rPr>
          <w:lang w:val="fr-FR"/>
        </w:rPr>
        <w:t>État partie fait observer que toute décision relative à une demande pour motifs d</w:t>
      </w:r>
      <w:r>
        <w:rPr>
          <w:lang w:val="fr-FR"/>
        </w:rPr>
        <w:t>’</w:t>
      </w:r>
      <w:r w:rsidRPr="002A1ECB">
        <w:rPr>
          <w:lang w:val="fr-FR"/>
        </w:rPr>
        <w:t>ordre humanitaire est fondée sur des critères et des procédures établis et n</w:t>
      </w:r>
      <w:r>
        <w:rPr>
          <w:lang w:val="fr-FR"/>
        </w:rPr>
        <w:t>’</w:t>
      </w:r>
      <w:r w:rsidRPr="002A1ECB">
        <w:rPr>
          <w:lang w:val="fr-FR"/>
        </w:rPr>
        <w:t>est arbitraire que d</w:t>
      </w:r>
      <w:r>
        <w:rPr>
          <w:lang w:val="fr-FR"/>
        </w:rPr>
        <w:t>’</w:t>
      </w:r>
      <w:r w:rsidRPr="002A1ECB">
        <w:rPr>
          <w:lang w:val="fr-FR"/>
        </w:rPr>
        <w:t>un point de vue technique. Il fait en outre observer qu</w:t>
      </w:r>
      <w:r>
        <w:rPr>
          <w:lang w:val="fr-FR"/>
        </w:rPr>
        <w:t>’</w:t>
      </w:r>
      <w:r w:rsidRPr="002A1ECB">
        <w:rPr>
          <w:lang w:val="fr-FR"/>
        </w:rPr>
        <w:t>une telle demande constitue un recours utile</w:t>
      </w:r>
      <w:r w:rsidRPr="00363258">
        <w:rPr>
          <w:rStyle w:val="FootnoteReference"/>
        </w:rPr>
        <w:footnoteReference w:id="35"/>
      </w:r>
      <w:r w:rsidRPr="002A1ECB">
        <w:rPr>
          <w:lang w:val="fr-FR"/>
        </w:rPr>
        <w:t>. Il note que les changements de situation familiale auraient pu être signalés dans la demande en question, mais que l</w:t>
      </w:r>
      <w:r>
        <w:rPr>
          <w:lang w:val="fr-FR"/>
        </w:rPr>
        <w:t>’</w:t>
      </w:r>
      <w:r w:rsidRPr="002A1ECB">
        <w:rPr>
          <w:lang w:val="fr-FR"/>
        </w:rPr>
        <w:t>auteur n</w:t>
      </w:r>
      <w:r>
        <w:rPr>
          <w:lang w:val="fr-FR"/>
        </w:rPr>
        <w:t>’</w:t>
      </w:r>
      <w:r w:rsidRPr="002A1ECB">
        <w:rPr>
          <w:lang w:val="fr-FR"/>
        </w:rPr>
        <w:t xml:space="preserve">en a rien fait. </w:t>
      </w:r>
    </w:p>
    <w:p w:rsidR="002E353E" w:rsidRPr="002A1ECB" w:rsidRDefault="002E353E" w:rsidP="002E353E">
      <w:pPr>
        <w:pStyle w:val="SingleTxtG"/>
        <w:rPr>
          <w:lang w:val="fr-FR"/>
        </w:rPr>
      </w:pPr>
      <w:r w:rsidRPr="002A1ECB">
        <w:rPr>
          <w:lang w:val="fr-FR"/>
        </w:rPr>
        <w:t>6.</w:t>
      </w:r>
      <w:r>
        <w:rPr>
          <w:lang w:val="fr-FR"/>
        </w:rPr>
        <w:t>4</w:t>
      </w:r>
      <w:r w:rsidRPr="002A1ECB">
        <w:rPr>
          <w:lang w:val="fr-FR"/>
        </w:rPr>
        <w:tab/>
        <w:t>L</w:t>
      </w:r>
      <w:r>
        <w:rPr>
          <w:lang w:val="fr-FR"/>
        </w:rPr>
        <w:t>’</w:t>
      </w:r>
      <w:r w:rsidRPr="002A1ECB">
        <w:rPr>
          <w:lang w:val="fr-FR"/>
        </w:rPr>
        <w:t xml:space="preserve">État partie réaffirme que la communication est </w:t>
      </w:r>
      <w:r>
        <w:rPr>
          <w:lang w:val="fr-FR"/>
        </w:rPr>
        <w:t>incompatible avec les dispositions du Pacte, au sens de</w:t>
      </w:r>
      <w:r w:rsidRPr="002A1ECB">
        <w:rPr>
          <w:lang w:val="fr-FR"/>
        </w:rPr>
        <w:t xml:space="preserve"> l</w:t>
      </w:r>
      <w:r>
        <w:rPr>
          <w:lang w:val="fr-FR"/>
        </w:rPr>
        <w:t>’</w:t>
      </w:r>
      <w:r w:rsidRPr="002A1ECB">
        <w:rPr>
          <w:lang w:val="fr-FR"/>
        </w:rPr>
        <w:t>article 3 du Protocole facultatif, en particulier pour ce qui est des griefs que l</w:t>
      </w:r>
      <w:r>
        <w:rPr>
          <w:lang w:val="fr-FR"/>
        </w:rPr>
        <w:t>’</w:t>
      </w:r>
      <w:r w:rsidRPr="002A1ECB">
        <w:rPr>
          <w:lang w:val="fr-FR"/>
        </w:rPr>
        <w:t>auteur tire du paragraphe 3 de l</w:t>
      </w:r>
      <w:r>
        <w:rPr>
          <w:lang w:val="fr-FR"/>
        </w:rPr>
        <w:t>’</w:t>
      </w:r>
      <w:r w:rsidRPr="002A1ECB">
        <w:rPr>
          <w:lang w:val="fr-FR"/>
        </w:rPr>
        <w:t>article 2 et de la Convention de 1951 relative au statut des réfugiés. Il affirme que l</w:t>
      </w:r>
      <w:r>
        <w:rPr>
          <w:lang w:val="fr-FR"/>
        </w:rPr>
        <w:t>’</w:t>
      </w:r>
      <w:r w:rsidRPr="002A1ECB">
        <w:rPr>
          <w:lang w:val="fr-FR"/>
        </w:rPr>
        <w:t>auteur n</w:t>
      </w:r>
      <w:r>
        <w:rPr>
          <w:lang w:val="fr-FR"/>
        </w:rPr>
        <w:t>’</w:t>
      </w:r>
      <w:r w:rsidRPr="002A1ECB">
        <w:rPr>
          <w:lang w:val="fr-FR"/>
        </w:rPr>
        <w:t xml:space="preserve">a pas suffisamment établi </w:t>
      </w:r>
      <w:r w:rsidRPr="002A1ECB">
        <w:rPr>
          <w:i/>
          <w:lang w:val="fr-FR"/>
        </w:rPr>
        <w:t>prima facie</w:t>
      </w:r>
      <w:r w:rsidRPr="002A1ECB">
        <w:rPr>
          <w:lang w:val="fr-FR"/>
        </w:rPr>
        <w:t xml:space="preserve"> le bien-fondé de ses griefs au titre du paragraphe 3 de l</w:t>
      </w:r>
      <w:r>
        <w:rPr>
          <w:lang w:val="fr-FR"/>
        </w:rPr>
        <w:t>’</w:t>
      </w:r>
      <w:r w:rsidRPr="002A1ECB">
        <w:rPr>
          <w:lang w:val="fr-FR"/>
        </w:rPr>
        <w:t>article 2, compte tenu de l</w:t>
      </w:r>
      <w:r>
        <w:rPr>
          <w:lang w:val="fr-FR"/>
        </w:rPr>
        <w:t>’</w:t>
      </w:r>
      <w:r w:rsidRPr="002A1ECB">
        <w:rPr>
          <w:lang w:val="fr-FR"/>
        </w:rPr>
        <w:t>existence de nombreux recours offrant une protection contre le renvoi vers un pays où il pourrait être en danger.</w:t>
      </w:r>
    </w:p>
    <w:p w:rsidR="002E353E" w:rsidRPr="002A1ECB" w:rsidRDefault="002E353E" w:rsidP="002E353E">
      <w:pPr>
        <w:pStyle w:val="SingleTxtG"/>
        <w:rPr>
          <w:lang w:val="fr-FR"/>
        </w:rPr>
      </w:pPr>
      <w:r>
        <w:rPr>
          <w:lang w:val="fr-FR"/>
        </w:rPr>
        <w:t>6.5</w:t>
      </w:r>
      <w:r w:rsidRPr="002A1ECB">
        <w:rPr>
          <w:lang w:val="fr-FR"/>
        </w:rPr>
        <w:tab/>
        <w:t>En ce qui concerne les articles 6 (</w:t>
      </w:r>
      <w:r>
        <w:rPr>
          <w:lang w:val="fr-FR"/>
        </w:rPr>
        <w:t>par.</w:t>
      </w:r>
      <w:r w:rsidRPr="002A1ECB">
        <w:rPr>
          <w:lang w:val="fr-FR"/>
        </w:rPr>
        <w:t xml:space="preserve"> 1) et 7, l</w:t>
      </w:r>
      <w:r>
        <w:rPr>
          <w:lang w:val="fr-FR"/>
        </w:rPr>
        <w:t>’</w:t>
      </w:r>
      <w:r w:rsidRPr="002A1ECB">
        <w:rPr>
          <w:lang w:val="fr-FR"/>
        </w:rPr>
        <w:t>État partie réaffirme que l</w:t>
      </w:r>
      <w:r>
        <w:rPr>
          <w:lang w:val="fr-FR"/>
        </w:rPr>
        <w:t>’</w:t>
      </w:r>
      <w:r w:rsidRPr="002A1ECB">
        <w:rPr>
          <w:lang w:val="fr-FR"/>
        </w:rPr>
        <w:t>auteur n</w:t>
      </w:r>
      <w:r>
        <w:rPr>
          <w:lang w:val="fr-FR"/>
        </w:rPr>
        <w:t>’</w:t>
      </w:r>
      <w:r w:rsidRPr="002A1ECB">
        <w:rPr>
          <w:lang w:val="fr-FR"/>
        </w:rPr>
        <w:t>a pas établi qu</w:t>
      </w:r>
      <w:r>
        <w:rPr>
          <w:lang w:val="fr-FR"/>
        </w:rPr>
        <w:t>’</w:t>
      </w:r>
      <w:r w:rsidRPr="002A1ECB">
        <w:rPr>
          <w:lang w:val="fr-FR"/>
        </w:rPr>
        <w:t>il existait un risque individuel et personnel en cas d</w:t>
      </w:r>
      <w:r>
        <w:rPr>
          <w:lang w:val="fr-FR"/>
        </w:rPr>
        <w:t>’</w:t>
      </w:r>
      <w:r w:rsidRPr="002A1ECB">
        <w:rPr>
          <w:lang w:val="fr-FR"/>
        </w:rPr>
        <w:t>expulsion vers la Somalie, étant entendu qu</w:t>
      </w:r>
      <w:r>
        <w:rPr>
          <w:lang w:val="fr-FR"/>
        </w:rPr>
        <w:t>’</w:t>
      </w:r>
      <w:r w:rsidRPr="002A1ECB">
        <w:rPr>
          <w:lang w:val="fr-FR"/>
        </w:rPr>
        <w:t>il serait renvoyé vers une région sous contrôle du clan Majertain auquel il appartient. Il constate que l</w:t>
      </w:r>
      <w:r>
        <w:rPr>
          <w:lang w:val="fr-FR"/>
        </w:rPr>
        <w:t>’</w:t>
      </w:r>
      <w:r w:rsidRPr="002A1ECB">
        <w:rPr>
          <w:lang w:val="fr-FR"/>
        </w:rPr>
        <w:t>étendue des connaissances de l</w:t>
      </w:r>
      <w:r>
        <w:rPr>
          <w:lang w:val="fr-FR"/>
        </w:rPr>
        <w:t>’</w:t>
      </w:r>
      <w:r w:rsidRPr="002A1ECB">
        <w:rPr>
          <w:lang w:val="fr-FR"/>
        </w:rPr>
        <w:t>auteur concernant son affiliation clanique n</w:t>
      </w:r>
      <w:r>
        <w:rPr>
          <w:lang w:val="fr-FR"/>
        </w:rPr>
        <w:t>’</w:t>
      </w:r>
      <w:r w:rsidRPr="002A1ECB">
        <w:rPr>
          <w:lang w:val="fr-FR"/>
        </w:rPr>
        <w:t>est pas claire. Jusqu</w:t>
      </w:r>
      <w:r>
        <w:rPr>
          <w:lang w:val="fr-FR"/>
        </w:rPr>
        <w:t>’</w:t>
      </w:r>
      <w:r w:rsidRPr="002A1ECB">
        <w:rPr>
          <w:lang w:val="fr-FR"/>
        </w:rPr>
        <w:t>à avril 2010, l</w:t>
      </w:r>
      <w:r>
        <w:rPr>
          <w:lang w:val="fr-FR"/>
        </w:rPr>
        <w:t>’</w:t>
      </w:r>
      <w:r w:rsidRPr="002A1ECB">
        <w:rPr>
          <w:lang w:val="fr-FR"/>
        </w:rPr>
        <w:t>auteur a nié avoir une connaissance quelconque du clan auquel il appartenait, mais a depuis indiqué que sa mère descendait du clan Darod ou du sous-clan Majertain. L</w:t>
      </w:r>
      <w:r>
        <w:rPr>
          <w:lang w:val="fr-FR"/>
        </w:rPr>
        <w:t>’</w:t>
      </w:r>
      <w:r w:rsidRPr="002A1ECB">
        <w:rPr>
          <w:lang w:val="fr-FR"/>
        </w:rPr>
        <w:t>auteur a également indiqué qu</w:t>
      </w:r>
      <w:r>
        <w:rPr>
          <w:lang w:val="fr-FR"/>
        </w:rPr>
        <w:t>’</w:t>
      </w:r>
      <w:r w:rsidRPr="002A1ECB">
        <w:rPr>
          <w:lang w:val="fr-FR"/>
        </w:rPr>
        <w:t>il souhaitait être renvoyé vers le nord de la Somalie, à Bossasso ou Galkayo, zones contrôlées par le sous-clan Majertain. L</w:t>
      </w:r>
      <w:r>
        <w:rPr>
          <w:lang w:val="fr-FR"/>
        </w:rPr>
        <w:t>’</w:t>
      </w:r>
      <w:r w:rsidRPr="002A1ECB">
        <w:rPr>
          <w:lang w:val="fr-FR"/>
        </w:rPr>
        <w:t>État partie en conclut que l</w:t>
      </w:r>
      <w:r>
        <w:rPr>
          <w:lang w:val="fr-FR"/>
        </w:rPr>
        <w:t>’</w:t>
      </w:r>
      <w:r w:rsidRPr="002A1ECB">
        <w:rPr>
          <w:lang w:val="fr-FR"/>
        </w:rPr>
        <w:t>auteur pourrait bénéficier d</w:t>
      </w:r>
      <w:r>
        <w:rPr>
          <w:lang w:val="fr-FR"/>
        </w:rPr>
        <w:t>’</w:t>
      </w:r>
      <w:r w:rsidRPr="002A1ECB">
        <w:rPr>
          <w:lang w:val="fr-FR"/>
        </w:rPr>
        <w:t>une protection clanique. Il constate également qu</w:t>
      </w:r>
      <w:r>
        <w:rPr>
          <w:lang w:val="fr-FR"/>
        </w:rPr>
        <w:t>’</w:t>
      </w:r>
      <w:r w:rsidRPr="002A1ECB">
        <w:rPr>
          <w:lang w:val="fr-FR"/>
        </w:rPr>
        <w:t>étant d</w:t>
      </w:r>
      <w:r>
        <w:rPr>
          <w:lang w:val="fr-FR"/>
        </w:rPr>
        <w:t>’</w:t>
      </w:r>
      <w:r w:rsidRPr="002A1ECB">
        <w:rPr>
          <w:lang w:val="fr-FR"/>
        </w:rPr>
        <w:t>ethnie et de nationalité somaliennes et n</w:t>
      </w:r>
      <w:r>
        <w:rPr>
          <w:lang w:val="fr-FR"/>
        </w:rPr>
        <w:t>’</w:t>
      </w:r>
      <w:r w:rsidRPr="002A1ECB">
        <w:rPr>
          <w:lang w:val="fr-FR"/>
        </w:rPr>
        <w:t>exerçant pas d</w:t>
      </w:r>
      <w:r>
        <w:rPr>
          <w:lang w:val="fr-FR"/>
        </w:rPr>
        <w:t>’</w:t>
      </w:r>
      <w:r w:rsidRPr="002A1ECB">
        <w:rPr>
          <w:lang w:val="fr-FR"/>
        </w:rPr>
        <w:t>activités liées à l</w:t>
      </w:r>
      <w:r>
        <w:rPr>
          <w:lang w:val="fr-FR"/>
        </w:rPr>
        <w:t>’</w:t>
      </w:r>
      <w:r w:rsidRPr="002A1ECB">
        <w:rPr>
          <w:lang w:val="fr-FR"/>
        </w:rPr>
        <w:t>aide humanitaire, au journalisme ou à la religion, l</w:t>
      </w:r>
      <w:r>
        <w:rPr>
          <w:lang w:val="fr-FR"/>
        </w:rPr>
        <w:t>’</w:t>
      </w:r>
      <w:r w:rsidRPr="002A1ECB">
        <w:rPr>
          <w:lang w:val="fr-FR"/>
        </w:rPr>
        <w:t>auteur ne correspond pas au profil de l</w:t>
      </w:r>
      <w:r>
        <w:rPr>
          <w:lang w:val="fr-FR"/>
        </w:rPr>
        <w:t>’</w:t>
      </w:r>
      <w:r w:rsidRPr="002A1ECB">
        <w:rPr>
          <w:lang w:val="fr-FR"/>
        </w:rPr>
        <w:t>«occidental» en danger. En ce qui concerne l</w:t>
      </w:r>
      <w:r>
        <w:rPr>
          <w:lang w:val="fr-FR"/>
        </w:rPr>
        <w:t>’</w:t>
      </w:r>
      <w:r w:rsidRPr="002A1ECB">
        <w:rPr>
          <w:lang w:val="fr-FR"/>
        </w:rPr>
        <w:t>affirmation de l</w:t>
      </w:r>
      <w:r>
        <w:rPr>
          <w:lang w:val="fr-FR"/>
        </w:rPr>
        <w:t>’</w:t>
      </w:r>
      <w:r w:rsidRPr="002A1ECB">
        <w:rPr>
          <w:lang w:val="fr-FR"/>
        </w:rPr>
        <w:t>auteur selon laquelle il pourrait être expulsé du Puntland vers le centre ou le sud de la Somalie, l</w:t>
      </w:r>
      <w:r>
        <w:rPr>
          <w:lang w:val="fr-FR"/>
        </w:rPr>
        <w:t>’</w:t>
      </w:r>
      <w:r w:rsidRPr="002A1ECB">
        <w:rPr>
          <w:lang w:val="fr-FR"/>
        </w:rPr>
        <w:t>État partie maintient que de telles expulsions étaient dictées par les imp</w:t>
      </w:r>
      <w:r>
        <w:rPr>
          <w:lang w:val="fr-FR"/>
        </w:rPr>
        <w:t xml:space="preserve">ératifs de sécurité, notamment </w:t>
      </w:r>
      <w:r w:rsidRPr="002A1ECB">
        <w:rPr>
          <w:lang w:val="fr-FR"/>
        </w:rPr>
        <w:t>en cas d</w:t>
      </w:r>
      <w:r>
        <w:rPr>
          <w:lang w:val="fr-FR"/>
        </w:rPr>
        <w:t>’</w:t>
      </w:r>
      <w:r w:rsidRPr="002A1ECB">
        <w:rPr>
          <w:lang w:val="fr-FR"/>
        </w:rPr>
        <w:t>appartenance à des groupes islamiques extrémistes ou d</w:t>
      </w:r>
      <w:r>
        <w:rPr>
          <w:lang w:val="fr-FR"/>
        </w:rPr>
        <w:t>’</w:t>
      </w:r>
      <w:r w:rsidRPr="002A1ECB">
        <w:rPr>
          <w:lang w:val="fr-FR"/>
        </w:rPr>
        <w:t>absence d</w:t>
      </w:r>
      <w:r>
        <w:rPr>
          <w:lang w:val="fr-FR"/>
        </w:rPr>
        <w:t>’</w:t>
      </w:r>
      <w:r w:rsidRPr="002A1ECB">
        <w:rPr>
          <w:lang w:val="fr-FR"/>
        </w:rPr>
        <w:t>affiliation tribale dans le Puntland</w:t>
      </w:r>
      <w:r w:rsidRPr="00363258">
        <w:rPr>
          <w:rStyle w:val="FootnoteReference"/>
        </w:rPr>
        <w:footnoteReference w:id="36"/>
      </w:r>
      <w:r w:rsidRPr="002A1ECB">
        <w:rPr>
          <w:lang w:val="fr-FR"/>
        </w:rPr>
        <w:t>. L</w:t>
      </w:r>
      <w:r>
        <w:rPr>
          <w:lang w:val="fr-FR"/>
        </w:rPr>
        <w:t>’</w:t>
      </w:r>
      <w:r w:rsidRPr="002A1ECB">
        <w:rPr>
          <w:lang w:val="fr-FR"/>
        </w:rPr>
        <w:t>État partie réaffirme que les difficultés liées à la crise humanitaire somalienne ne représentent pas un risque personnel pour l</w:t>
      </w:r>
      <w:r>
        <w:rPr>
          <w:lang w:val="fr-FR"/>
        </w:rPr>
        <w:t>’</w:t>
      </w:r>
      <w:r w:rsidRPr="002A1ECB">
        <w:rPr>
          <w:lang w:val="fr-FR"/>
        </w:rPr>
        <w:t>auteur et que la situation générale dans le Puntland ne risque pas de lui porter gravement préjudice</w:t>
      </w:r>
      <w:r w:rsidRPr="00363258">
        <w:rPr>
          <w:rStyle w:val="FootnoteReference"/>
        </w:rPr>
        <w:footnoteReference w:id="37"/>
      </w:r>
      <w:r w:rsidRPr="002A1ECB">
        <w:rPr>
          <w:lang w:val="fr-FR"/>
        </w:rPr>
        <w:t xml:space="preserve">. </w:t>
      </w:r>
    </w:p>
    <w:p w:rsidR="002E353E" w:rsidRPr="002A1ECB" w:rsidRDefault="002E353E" w:rsidP="002E353E">
      <w:pPr>
        <w:pStyle w:val="SingleTxtG"/>
        <w:rPr>
          <w:lang w:val="fr-FR"/>
        </w:rPr>
      </w:pPr>
      <w:r w:rsidRPr="002A1ECB">
        <w:rPr>
          <w:lang w:val="fr-FR"/>
        </w:rPr>
        <w:t>6.</w:t>
      </w:r>
      <w:r>
        <w:rPr>
          <w:lang w:val="fr-FR"/>
        </w:rPr>
        <w:t>6</w:t>
      </w:r>
      <w:r w:rsidRPr="002A1ECB">
        <w:rPr>
          <w:lang w:val="fr-FR"/>
        </w:rPr>
        <w:tab/>
        <w:t>Pour ce qui est du grief de violation du paragraphe 4 de l</w:t>
      </w:r>
      <w:r>
        <w:rPr>
          <w:lang w:val="fr-FR"/>
        </w:rPr>
        <w:t>’</w:t>
      </w:r>
      <w:r w:rsidRPr="002A1ECB">
        <w:rPr>
          <w:lang w:val="fr-FR"/>
        </w:rPr>
        <w:t>article 12, l</w:t>
      </w:r>
      <w:r>
        <w:rPr>
          <w:lang w:val="fr-FR"/>
        </w:rPr>
        <w:t>’</w:t>
      </w:r>
      <w:r w:rsidRPr="002A1ECB">
        <w:rPr>
          <w:lang w:val="fr-FR"/>
        </w:rPr>
        <w:t>État partie affirme que les dispositions en question ne s</w:t>
      </w:r>
      <w:r>
        <w:rPr>
          <w:lang w:val="fr-FR"/>
        </w:rPr>
        <w:t>’</w:t>
      </w:r>
      <w:r w:rsidRPr="002A1ECB">
        <w:rPr>
          <w:lang w:val="fr-FR"/>
        </w:rPr>
        <w:t>appliquent pas dans le cas de l</w:t>
      </w:r>
      <w:r>
        <w:rPr>
          <w:lang w:val="fr-FR"/>
        </w:rPr>
        <w:t>’</w:t>
      </w:r>
      <w:r w:rsidRPr="002A1ECB">
        <w:rPr>
          <w:lang w:val="fr-FR"/>
        </w:rPr>
        <w:t>auteur, le Canada n</w:t>
      </w:r>
      <w:r>
        <w:rPr>
          <w:lang w:val="fr-FR"/>
        </w:rPr>
        <w:t>’</w:t>
      </w:r>
      <w:r w:rsidRPr="002A1ECB">
        <w:rPr>
          <w:lang w:val="fr-FR"/>
        </w:rPr>
        <w:t>étant pas son propre pays, étant donné qu</w:t>
      </w:r>
      <w:r>
        <w:rPr>
          <w:lang w:val="fr-FR"/>
        </w:rPr>
        <w:t>’</w:t>
      </w:r>
      <w:r w:rsidRPr="002A1ECB">
        <w:rPr>
          <w:lang w:val="fr-FR"/>
        </w:rPr>
        <w:t>il n</w:t>
      </w:r>
      <w:r>
        <w:rPr>
          <w:lang w:val="fr-FR"/>
        </w:rPr>
        <w:t>’</w:t>
      </w:r>
      <w:r w:rsidRPr="002A1ECB">
        <w:rPr>
          <w:lang w:val="fr-FR"/>
        </w:rPr>
        <w:t>y a pas suffisamment de liens. Il affirme également qu</w:t>
      </w:r>
      <w:r>
        <w:rPr>
          <w:lang w:val="fr-FR"/>
        </w:rPr>
        <w:t>’</w:t>
      </w:r>
      <w:r w:rsidRPr="002A1ECB">
        <w:rPr>
          <w:lang w:val="fr-FR"/>
        </w:rPr>
        <w:t>il n</w:t>
      </w:r>
      <w:r>
        <w:rPr>
          <w:lang w:val="fr-FR"/>
        </w:rPr>
        <w:t>’</w:t>
      </w:r>
      <w:r w:rsidRPr="002A1ECB">
        <w:rPr>
          <w:lang w:val="fr-FR"/>
        </w:rPr>
        <w:t>existe aucune circonstance exceptionnelle permettant d</w:t>
      </w:r>
      <w:r>
        <w:rPr>
          <w:lang w:val="fr-FR"/>
        </w:rPr>
        <w:t>’</w:t>
      </w:r>
      <w:r w:rsidRPr="002A1ECB">
        <w:rPr>
          <w:lang w:val="fr-FR"/>
        </w:rPr>
        <w:t>établir un lien entre l</w:t>
      </w:r>
      <w:r>
        <w:rPr>
          <w:lang w:val="fr-FR"/>
        </w:rPr>
        <w:t>’</w:t>
      </w:r>
      <w:r w:rsidRPr="002A1ECB">
        <w:rPr>
          <w:lang w:val="fr-FR"/>
        </w:rPr>
        <w:t>auteur et le Canada et qu</w:t>
      </w:r>
      <w:r>
        <w:rPr>
          <w:lang w:val="fr-FR"/>
        </w:rPr>
        <w:t>’</w:t>
      </w:r>
      <w:r w:rsidRPr="002A1ECB">
        <w:rPr>
          <w:lang w:val="fr-FR"/>
        </w:rPr>
        <w:t>aucun obstacle déraisonnable n</w:t>
      </w:r>
      <w:r>
        <w:rPr>
          <w:lang w:val="fr-FR"/>
        </w:rPr>
        <w:t>’</w:t>
      </w:r>
      <w:r w:rsidRPr="002A1ECB">
        <w:rPr>
          <w:lang w:val="fr-FR"/>
        </w:rPr>
        <w:t>a été placé pour l</w:t>
      </w:r>
      <w:r>
        <w:rPr>
          <w:lang w:val="fr-FR"/>
        </w:rPr>
        <w:t>’</w:t>
      </w:r>
      <w:r w:rsidRPr="002A1ECB">
        <w:rPr>
          <w:lang w:val="fr-FR"/>
        </w:rPr>
        <w:t>empêcher d</w:t>
      </w:r>
      <w:r>
        <w:rPr>
          <w:lang w:val="fr-FR"/>
        </w:rPr>
        <w:t>’</w:t>
      </w:r>
      <w:r w:rsidRPr="002A1ECB">
        <w:rPr>
          <w:lang w:val="fr-FR"/>
        </w:rPr>
        <w:t>acquérir la citoyenneté canadienne</w:t>
      </w:r>
      <w:r w:rsidRPr="00363258">
        <w:rPr>
          <w:rStyle w:val="FootnoteReference"/>
        </w:rPr>
        <w:footnoteReference w:id="38"/>
      </w:r>
      <w:r w:rsidRPr="002A1ECB">
        <w:rPr>
          <w:lang w:val="fr-FR"/>
        </w:rPr>
        <w:t>. En outre, même si le Canada pouvait être considéré comme son propre pays, l</w:t>
      </w:r>
      <w:r>
        <w:rPr>
          <w:lang w:val="fr-FR"/>
        </w:rPr>
        <w:t>’</w:t>
      </w:r>
      <w:r w:rsidRPr="002A1ECB">
        <w:rPr>
          <w:lang w:val="fr-FR"/>
        </w:rPr>
        <w:t>expulsion de l</w:t>
      </w:r>
      <w:r>
        <w:rPr>
          <w:lang w:val="fr-FR"/>
        </w:rPr>
        <w:t>’</w:t>
      </w:r>
      <w:r w:rsidRPr="002A1ECB">
        <w:rPr>
          <w:lang w:val="fr-FR"/>
        </w:rPr>
        <w:t>auteur ne pourrait être qualifiée d</w:t>
      </w:r>
      <w:r>
        <w:rPr>
          <w:lang w:val="fr-FR"/>
        </w:rPr>
        <w:t>’</w:t>
      </w:r>
      <w:r w:rsidRPr="002A1ECB">
        <w:rPr>
          <w:lang w:val="fr-FR"/>
        </w:rPr>
        <w:t>arbitraire, étant donné que la décision a été prise en application de la loi, que l</w:t>
      </w:r>
      <w:r>
        <w:rPr>
          <w:lang w:val="fr-FR"/>
        </w:rPr>
        <w:t>’</w:t>
      </w:r>
      <w:r w:rsidRPr="002A1ECB">
        <w:rPr>
          <w:lang w:val="fr-FR"/>
        </w:rPr>
        <w:t>auteur a bénéficié des garanties d</w:t>
      </w:r>
      <w:r>
        <w:rPr>
          <w:lang w:val="fr-FR"/>
        </w:rPr>
        <w:t>’</w:t>
      </w:r>
      <w:r w:rsidRPr="002A1ECB">
        <w:rPr>
          <w:lang w:val="fr-FR"/>
        </w:rPr>
        <w:t>une procédure régulière et que la gravité des infractions commises par l</w:t>
      </w:r>
      <w:r>
        <w:rPr>
          <w:lang w:val="fr-FR"/>
        </w:rPr>
        <w:t>’</w:t>
      </w:r>
      <w:r w:rsidRPr="002A1ECB">
        <w:rPr>
          <w:lang w:val="fr-FR"/>
        </w:rPr>
        <w:t>auteur constitue un danger manifeste et immédiat pour la sécurité publique. L</w:t>
      </w:r>
      <w:r>
        <w:rPr>
          <w:lang w:val="fr-FR"/>
        </w:rPr>
        <w:t>’</w:t>
      </w:r>
      <w:r w:rsidRPr="002A1ECB">
        <w:rPr>
          <w:lang w:val="fr-FR"/>
        </w:rPr>
        <w:t>État partie affirme que l</w:t>
      </w:r>
      <w:r>
        <w:rPr>
          <w:lang w:val="fr-FR"/>
        </w:rPr>
        <w:t>’</w:t>
      </w:r>
      <w:r w:rsidRPr="002A1ECB">
        <w:rPr>
          <w:lang w:val="fr-FR"/>
        </w:rPr>
        <w:t>auteur n</w:t>
      </w:r>
      <w:r>
        <w:rPr>
          <w:lang w:val="fr-FR"/>
        </w:rPr>
        <w:t>’</w:t>
      </w:r>
      <w:r w:rsidRPr="002A1ECB">
        <w:rPr>
          <w:lang w:val="fr-FR"/>
        </w:rPr>
        <w:t xml:space="preserve">a pas établi une violation </w:t>
      </w:r>
      <w:r w:rsidRPr="002A1ECB">
        <w:rPr>
          <w:i/>
          <w:lang w:val="fr-FR"/>
        </w:rPr>
        <w:t>prima facie</w:t>
      </w:r>
      <w:r w:rsidRPr="002A1ECB">
        <w:rPr>
          <w:lang w:val="fr-FR"/>
        </w:rPr>
        <w:t xml:space="preserve"> des dispositions du paragraphe 4 de l</w:t>
      </w:r>
      <w:r>
        <w:rPr>
          <w:lang w:val="fr-FR"/>
        </w:rPr>
        <w:t>’</w:t>
      </w:r>
      <w:r w:rsidRPr="002A1ECB">
        <w:rPr>
          <w:lang w:val="fr-FR"/>
        </w:rPr>
        <w:t>article 12.</w:t>
      </w:r>
    </w:p>
    <w:p w:rsidR="002E353E" w:rsidRPr="002A1ECB" w:rsidRDefault="002E353E" w:rsidP="002E353E">
      <w:pPr>
        <w:pStyle w:val="SingleTxtG"/>
        <w:rPr>
          <w:lang w:val="fr-FR"/>
        </w:rPr>
      </w:pPr>
      <w:r w:rsidRPr="002A1ECB">
        <w:rPr>
          <w:lang w:val="fr-FR"/>
        </w:rPr>
        <w:t>6.</w:t>
      </w:r>
      <w:r>
        <w:rPr>
          <w:lang w:val="fr-FR"/>
        </w:rPr>
        <w:t>7</w:t>
      </w:r>
      <w:r w:rsidRPr="002A1ECB">
        <w:rPr>
          <w:lang w:val="fr-FR"/>
        </w:rPr>
        <w:tab/>
        <w:t>En ce qui concerne le grief de violation des articles 17 et 23 (</w:t>
      </w:r>
      <w:r>
        <w:rPr>
          <w:lang w:val="fr-FR"/>
        </w:rPr>
        <w:t>par. 1) l’É</w:t>
      </w:r>
      <w:r w:rsidRPr="002A1ECB">
        <w:rPr>
          <w:lang w:val="fr-FR"/>
        </w:rPr>
        <w:t>tat partie affirme que le renvoi de l</w:t>
      </w:r>
      <w:r>
        <w:rPr>
          <w:lang w:val="fr-FR"/>
        </w:rPr>
        <w:t>’</w:t>
      </w:r>
      <w:r w:rsidRPr="002A1ECB">
        <w:rPr>
          <w:lang w:val="fr-FR"/>
        </w:rPr>
        <w:t>auteur n</w:t>
      </w:r>
      <w:r>
        <w:rPr>
          <w:lang w:val="fr-FR"/>
        </w:rPr>
        <w:t>’</w:t>
      </w:r>
      <w:r w:rsidRPr="002A1ECB">
        <w:rPr>
          <w:lang w:val="fr-FR"/>
        </w:rPr>
        <w:t>est ni illégal ni arbitraire. S</w:t>
      </w:r>
      <w:r>
        <w:rPr>
          <w:lang w:val="fr-FR"/>
        </w:rPr>
        <w:t>’</w:t>
      </w:r>
      <w:r w:rsidRPr="002A1ECB">
        <w:rPr>
          <w:lang w:val="fr-FR"/>
        </w:rPr>
        <w:t>agissant de la situation familiale de l</w:t>
      </w:r>
      <w:r>
        <w:rPr>
          <w:lang w:val="fr-FR"/>
        </w:rPr>
        <w:t>’</w:t>
      </w:r>
      <w:r w:rsidRPr="002A1ECB">
        <w:rPr>
          <w:lang w:val="fr-FR"/>
        </w:rPr>
        <w:t>auteur, l</w:t>
      </w:r>
      <w:r>
        <w:rPr>
          <w:lang w:val="fr-FR"/>
        </w:rPr>
        <w:t>’</w:t>
      </w:r>
      <w:r w:rsidRPr="002A1ECB">
        <w:rPr>
          <w:lang w:val="fr-FR"/>
        </w:rPr>
        <w:t>État partie déclare que, avant sa détention, l</w:t>
      </w:r>
      <w:r>
        <w:rPr>
          <w:lang w:val="fr-FR"/>
        </w:rPr>
        <w:t>’</w:t>
      </w:r>
      <w:r w:rsidRPr="002A1ECB">
        <w:rPr>
          <w:lang w:val="fr-FR"/>
        </w:rPr>
        <w:t>auteur ne semblait pas entretenir de liens solides avec sa famille. Il s</w:t>
      </w:r>
      <w:r>
        <w:rPr>
          <w:lang w:val="fr-FR"/>
        </w:rPr>
        <w:t>’</w:t>
      </w:r>
      <w:r w:rsidRPr="002A1ECB">
        <w:rPr>
          <w:lang w:val="fr-FR"/>
        </w:rPr>
        <w:t>est à maintes reprises rendu coupable de criminalité grave et ses actes ont choqué par leur violence et leur brutalité. L</w:t>
      </w:r>
      <w:r>
        <w:rPr>
          <w:lang w:val="fr-FR"/>
        </w:rPr>
        <w:t>’</w:t>
      </w:r>
      <w:r w:rsidRPr="002A1ECB">
        <w:rPr>
          <w:lang w:val="fr-FR"/>
        </w:rPr>
        <w:t>État pa</w:t>
      </w:r>
      <w:r>
        <w:rPr>
          <w:lang w:val="fr-FR"/>
        </w:rPr>
        <w:t>rtie constate que bien que, mis</w:t>
      </w:r>
      <w:r w:rsidRPr="002A1ECB">
        <w:rPr>
          <w:lang w:val="fr-FR"/>
        </w:rPr>
        <w:t xml:space="preserve"> à part sa récente condamnation pour agression en 2010, sa dernière condamnation en date ait été prononcée il y a plus de quatre ans, l</w:t>
      </w:r>
      <w:r>
        <w:rPr>
          <w:lang w:val="fr-FR"/>
        </w:rPr>
        <w:t>’</w:t>
      </w:r>
      <w:r w:rsidRPr="002A1ECB">
        <w:rPr>
          <w:lang w:val="fr-FR"/>
        </w:rPr>
        <w:t>auteur a été incarcéré sans interruption au cours de ces cinq dernières années, ce qui explique raisonnablement la pause constatée dans ses activités criminelles et sa sobriété. L</w:t>
      </w:r>
      <w:r>
        <w:rPr>
          <w:lang w:val="fr-FR"/>
        </w:rPr>
        <w:t>’</w:t>
      </w:r>
      <w:r w:rsidRPr="002A1ECB">
        <w:rPr>
          <w:lang w:val="fr-FR"/>
        </w:rPr>
        <w:t>État partie affirme que l</w:t>
      </w:r>
      <w:r>
        <w:rPr>
          <w:lang w:val="fr-FR"/>
        </w:rPr>
        <w:t>’</w:t>
      </w:r>
      <w:r w:rsidRPr="002A1ECB">
        <w:rPr>
          <w:lang w:val="fr-FR"/>
        </w:rPr>
        <w:t>auteur n</w:t>
      </w:r>
      <w:r>
        <w:rPr>
          <w:lang w:val="fr-FR"/>
        </w:rPr>
        <w:t>’</w:t>
      </w:r>
      <w:r w:rsidRPr="002A1ECB">
        <w:rPr>
          <w:lang w:val="fr-FR"/>
        </w:rPr>
        <w:t xml:space="preserve">a pas établi une violation </w:t>
      </w:r>
      <w:r w:rsidRPr="002A1ECB">
        <w:rPr>
          <w:i/>
          <w:lang w:val="fr-FR"/>
        </w:rPr>
        <w:t>prima facie</w:t>
      </w:r>
      <w:r w:rsidRPr="002A1ECB">
        <w:rPr>
          <w:lang w:val="fr-FR"/>
        </w:rPr>
        <w:t xml:space="preserve"> des dispositions des articles 17 et 23 (</w:t>
      </w:r>
      <w:r>
        <w:rPr>
          <w:lang w:val="fr-FR"/>
        </w:rPr>
        <w:t>par.</w:t>
      </w:r>
      <w:r w:rsidRPr="002A1ECB">
        <w:rPr>
          <w:lang w:val="fr-FR"/>
        </w:rPr>
        <w:t xml:space="preserve"> 1). </w:t>
      </w:r>
    </w:p>
    <w:p w:rsidR="002E353E" w:rsidRPr="002A1ECB" w:rsidRDefault="002E353E" w:rsidP="002E353E">
      <w:pPr>
        <w:pStyle w:val="SingleTxtG"/>
        <w:rPr>
          <w:lang w:val="fr-FR"/>
        </w:rPr>
      </w:pPr>
      <w:r w:rsidRPr="002A1ECB">
        <w:rPr>
          <w:lang w:val="fr-FR"/>
        </w:rPr>
        <w:t>6.</w:t>
      </w:r>
      <w:r>
        <w:rPr>
          <w:lang w:val="fr-FR"/>
        </w:rPr>
        <w:t>8</w:t>
      </w:r>
      <w:r w:rsidRPr="002A1ECB">
        <w:rPr>
          <w:lang w:val="fr-FR"/>
        </w:rPr>
        <w:tab/>
        <w:t>Enfin, l</w:t>
      </w:r>
      <w:r>
        <w:rPr>
          <w:lang w:val="fr-FR"/>
        </w:rPr>
        <w:t>’</w:t>
      </w:r>
      <w:r w:rsidRPr="002A1ECB">
        <w:rPr>
          <w:lang w:val="fr-FR"/>
        </w:rPr>
        <w:t>État partie affirme que la communication est dénuée de fondement.</w:t>
      </w:r>
    </w:p>
    <w:p w:rsidR="002E353E" w:rsidRPr="009238E4" w:rsidRDefault="002E353E" w:rsidP="00A070EB">
      <w:pPr>
        <w:pStyle w:val="H23G"/>
      </w:pPr>
      <w:r w:rsidRPr="009238E4">
        <w:tab/>
      </w:r>
      <w:r w:rsidRPr="009238E4">
        <w:tab/>
        <w:t>Délibérations du Comité</w:t>
      </w:r>
    </w:p>
    <w:p w:rsidR="002E353E" w:rsidRPr="009238E4" w:rsidRDefault="002E353E" w:rsidP="00A070EB">
      <w:pPr>
        <w:pStyle w:val="H4G"/>
      </w:pPr>
      <w:r w:rsidRPr="009238E4">
        <w:tab/>
      </w:r>
      <w:r w:rsidRPr="009238E4">
        <w:tab/>
        <w:t xml:space="preserve">Examen de la recevabilité </w:t>
      </w:r>
    </w:p>
    <w:p w:rsidR="002E353E" w:rsidRPr="002A1ECB" w:rsidRDefault="002E353E" w:rsidP="002E353E">
      <w:pPr>
        <w:pStyle w:val="SingleTxtG"/>
        <w:rPr>
          <w:lang w:val="fr-FR"/>
        </w:rPr>
      </w:pPr>
      <w:r w:rsidRPr="002A1ECB">
        <w:rPr>
          <w:lang w:val="fr-FR"/>
        </w:rPr>
        <w:t>7.1</w:t>
      </w:r>
      <w:r w:rsidRPr="002A1ECB">
        <w:rPr>
          <w:lang w:val="fr-FR"/>
        </w:rPr>
        <w:tab/>
        <w:t>Avant d</w:t>
      </w:r>
      <w:r>
        <w:rPr>
          <w:lang w:val="fr-FR"/>
        </w:rPr>
        <w:t>’</w:t>
      </w:r>
      <w:r w:rsidRPr="002A1ECB">
        <w:rPr>
          <w:lang w:val="fr-FR"/>
        </w:rPr>
        <w:t>examiner toute plainte soumise dans une communi</w:t>
      </w:r>
      <w:r>
        <w:rPr>
          <w:lang w:val="fr-FR"/>
        </w:rPr>
        <w:t xml:space="preserve">cation, le Comité des droits de </w:t>
      </w:r>
      <w:r w:rsidRPr="002A1ECB">
        <w:rPr>
          <w:lang w:val="fr-FR"/>
        </w:rPr>
        <w:t>l</w:t>
      </w:r>
      <w:r>
        <w:rPr>
          <w:lang w:val="fr-FR"/>
        </w:rPr>
        <w:t>’</w:t>
      </w:r>
      <w:r w:rsidRPr="002A1ECB">
        <w:rPr>
          <w:lang w:val="fr-FR"/>
        </w:rPr>
        <w:t>homme doit, conformément à l</w:t>
      </w:r>
      <w:r>
        <w:rPr>
          <w:lang w:val="fr-FR"/>
        </w:rPr>
        <w:t>’</w:t>
      </w:r>
      <w:r w:rsidRPr="002A1ECB">
        <w:rPr>
          <w:lang w:val="fr-FR"/>
        </w:rPr>
        <w:t>arti</w:t>
      </w:r>
      <w:r>
        <w:rPr>
          <w:lang w:val="fr-FR"/>
        </w:rPr>
        <w:t xml:space="preserve">cle 93 de son </w:t>
      </w:r>
      <w:r w:rsidR="004027B1">
        <w:rPr>
          <w:lang w:val="fr-FR"/>
        </w:rPr>
        <w:t>r</w:t>
      </w:r>
      <w:r w:rsidRPr="002A1ECB">
        <w:rPr>
          <w:lang w:val="fr-FR"/>
        </w:rPr>
        <w:t>èglement intérieur, déterminer si la communication est recevable en vertu du Protocole facultatif se rapportant au Pacte.</w:t>
      </w:r>
    </w:p>
    <w:p w:rsidR="002E353E" w:rsidRPr="002A1ECB" w:rsidRDefault="002E353E" w:rsidP="002E353E">
      <w:pPr>
        <w:pStyle w:val="SingleTxtG"/>
        <w:rPr>
          <w:lang w:val="fr-FR"/>
        </w:rPr>
      </w:pPr>
      <w:r>
        <w:rPr>
          <w:lang w:val="fr-FR"/>
        </w:rPr>
        <w:t>7.2</w:t>
      </w:r>
      <w:r>
        <w:rPr>
          <w:lang w:val="fr-FR"/>
        </w:rPr>
        <w:tab/>
      </w:r>
      <w:r w:rsidRPr="002A1ECB">
        <w:rPr>
          <w:lang w:val="fr-FR"/>
        </w:rPr>
        <w:t>Le Comité s</w:t>
      </w:r>
      <w:r>
        <w:rPr>
          <w:lang w:val="fr-FR"/>
        </w:rPr>
        <w:t>’</w:t>
      </w:r>
      <w:r w:rsidRPr="002A1ECB">
        <w:rPr>
          <w:lang w:val="fr-FR"/>
        </w:rPr>
        <w:t>est assuré, comme il est tenu de la faire conformément aux dispositions du paragraphe 2 a) de l</w:t>
      </w:r>
      <w:r>
        <w:rPr>
          <w:lang w:val="fr-FR"/>
        </w:rPr>
        <w:t>’</w:t>
      </w:r>
      <w:r w:rsidRPr="002A1ECB">
        <w:rPr>
          <w:lang w:val="fr-FR"/>
        </w:rPr>
        <w:t>article 5 du Protocole facultatif, que la même affaire n</w:t>
      </w:r>
      <w:r>
        <w:rPr>
          <w:lang w:val="fr-FR"/>
        </w:rPr>
        <w:t>’</w:t>
      </w:r>
      <w:r w:rsidRPr="002A1ECB">
        <w:rPr>
          <w:lang w:val="fr-FR"/>
        </w:rPr>
        <w:t>était pas en cours d</w:t>
      </w:r>
      <w:r>
        <w:rPr>
          <w:lang w:val="fr-FR"/>
        </w:rPr>
        <w:t>’</w:t>
      </w:r>
      <w:r w:rsidRPr="002A1ECB">
        <w:rPr>
          <w:lang w:val="fr-FR"/>
        </w:rPr>
        <w:t>examen devant une autre instance internationale d</w:t>
      </w:r>
      <w:r>
        <w:rPr>
          <w:lang w:val="fr-FR"/>
        </w:rPr>
        <w:t>’</w:t>
      </w:r>
      <w:r w:rsidRPr="002A1ECB">
        <w:rPr>
          <w:lang w:val="fr-FR"/>
        </w:rPr>
        <w:t>enquête ou de règlement.</w:t>
      </w:r>
    </w:p>
    <w:p w:rsidR="002E353E" w:rsidRDefault="002E353E" w:rsidP="002E353E">
      <w:pPr>
        <w:pStyle w:val="SingleTxtG"/>
        <w:rPr>
          <w:lang w:val="fr-FR"/>
        </w:rPr>
      </w:pPr>
      <w:r w:rsidRPr="002A1ECB">
        <w:rPr>
          <w:lang w:val="fr-FR"/>
        </w:rPr>
        <w:t>7.3</w:t>
      </w:r>
      <w:r w:rsidRPr="002A1ECB">
        <w:rPr>
          <w:lang w:val="fr-FR"/>
        </w:rPr>
        <w:tab/>
        <w:t>Pour ce qui est de l</w:t>
      </w:r>
      <w:r>
        <w:rPr>
          <w:lang w:val="fr-FR"/>
        </w:rPr>
        <w:t>’</w:t>
      </w:r>
      <w:r w:rsidRPr="002A1ECB">
        <w:rPr>
          <w:lang w:val="fr-FR"/>
        </w:rPr>
        <w:t>épuisement des recours internes, prévu au paragraphe 2 b) de l</w:t>
      </w:r>
      <w:r>
        <w:rPr>
          <w:lang w:val="fr-FR"/>
        </w:rPr>
        <w:t>’</w:t>
      </w:r>
      <w:r w:rsidRPr="002A1ECB">
        <w:rPr>
          <w:lang w:val="fr-FR"/>
        </w:rPr>
        <w:t>article 5 du Protocole facultatif, le Comité prend note des arguments présentés par l</w:t>
      </w:r>
      <w:r>
        <w:rPr>
          <w:lang w:val="fr-FR"/>
        </w:rPr>
        <w:t>’</w:t>
      </w:r>
      <w:r w:rsidRPr="002A1ECB">
        <w:rPr>
          <w:lang w:val="fr-FR"/>
        </w:rPr>
        <w:t>État partie selon lesquels l</w:t>
      </w:r>
      <w:r>
        <w:rPr>
          <w:lang w:val="fr-FR"/>
        </w:rPr>
        <w:t>’</w:t>
      </w:r>
      <w:r w:rsidRPr="002A1ECB">
        <w:rPr>
          <w:lang w:val="fr-FR"/>
        </w:rPr>
        <w:t>auteur n</w:t>
      </w:r>
      <w:r>
        <w:rPr>
          <w:lang w:val="fr-FR"/>
        </w:rPr>
        <w:t>’</w:t>
      </w:r>
      <w:r w:rsidRPr="002A1ECB">
        <w:rPr>
          <w:lang w:val="fr-FR"/>
        </w:rPr>
        <w:t>a pas déposé de demande pour motifs d</w:t>
      </w:r>
      <w:r>
        <w:rPr>
          <w:lang w:val="fr-FR"/>
        </w:rPr>
        <w:t>’</w:t>
      </w:r>
      <w:r w:rsidRPr="002A1ECB">
        <w:rPr>
          <w:lang w:val="fr-FR"/>
        </w:rPr>
        <w:t>ordre humanitaire et n</w:t>
      </w:r>
      <w:r>
        <w:rPr>
          <w:lang w:val="fr-FR"/>
        </w:rPr>
        <w:t>’</w:t>
      </w:r>
      <w:r w:rsidRPr="002A1ECB">
        <w:rPr>
          <w:lang w:val="fr-FR"/>
        </w:rPr>
        <w:t>a pas fait appel auprès de la Cour fédérale de l</w:t>
      </w:r>
      <w:r>
        <w:rPr>
          <w:lang w:val="fr-FR"/>
        </w:rPr>
        <w:t>’</w:t>
      </w:r>
      <w:r w:rsidRPr="002A1ECB">
        <w:rPr>
          <w:lang w:val="fr-FR"/>
        </w:rPr>
        <w:t>avis négatif rendu par la Section d</w:t>
      </w:r>
      <w:r>
        <w:rPr>
          <w:lang w:val="fr-FR"/>
        </w:rPr>
        <w:t>’</w:t>
      </w:r>
      <w:r w:rsidRPr="002A1ECB">
        <w:rPr>
          <w:lang w:val="fr-FR"/>
        </w:rPr>
        <w:t>appel de l</w:t>
      </w:r>
      <w:r>
        <w:rPr>
          <w:lang w:val="fr-FR"/>
        </w:rPr>
        <w:t>’</w:t>
      </w:r>
      <w:r w:rsidRPr="002A1ECB">
        <w:rPr>
          <w:lang w:val="fr-FR"/>
        </w:rPr>
        <w:t>immigration le 25 octobre 2006, ni de l</w:t>
      </w:r>
      <w:r>
        <w:rPr>
          <w:lang w:val="fr-FR"/>
        </w:rPr>
        <w:t>’</w:t>
      </w:r>
      <w:r w:rsidRPr="002A1ECB">
        <w:rPr>
          <w:lang w:val="fr-FR"/>
        </w:rPr>
        <w:t>avis négatif rendu par le Représentant du Ministre au sujet de l</w:t>
      </w:r>
      <w:r>
        <w:rPr>
          <w:lang w:val="fr-FR"/>
        </w:rPr>
        <w:t>’</w:t>
      </w:r>
      <w:r w:rsidRPr="002A1ECB">
        <w:rPr>
          <w:lang w:val="fr-FR"/>
        </w:rPr>
        <w:t>examen des risques avant renvoi, le 23 février 2009. Il prend également note de l</w:t>
      </w:r>
      <w:r>
        <w:rPr>
          <w:lang w:val="fr-FR"/>
        </w:rPr>
        <w:t>’</w:t>
      </w:r>
      <w:r w:rsidRPr="002A1ECB">
        <w:rPr>
          <w:lang w:val="fr-FR"/>
        </w:rPr>
        <w:t>allégation de l</w:t>
      </w:r>
      <w:r>
        <w:rPr>
          <w:lang w:val="fr-FR"/>
        </w:rPr>
        <w:t>’</w:t>
      </w:r>
      <w:r w:rsidRPr="002A1ECB">
        <w:rPr>
          <w:lang w:val="fr-FR"/>
        </w:rPr>
        <w:t>auteur qui affirme que le contrôle judiciaire de la décision rendue par la Section d</w:t>
      </w:r>
      <w:r>
        <w:rPr>
          <w:lang w:val="fr-FR"/>
        </w:rPr>
        <w:t>’</w:t>
      </w:r>
      <w:r w:rsidRPr="002A1ECB">
        <w:rPr>
          <w:lang w:val="fr-FR"/>
        </w:rPr>
        <w:t>appel de l</w:t>
      </w:r>
      <w:r>
        <w:rPr>
          <w:lang w:val="fr-FR"/>
        </w:rPr>
        <w:t xml:space="preserve">’immigration le 25 </w:t>
      </w:r>
      <w:r w:rsidRPr="002A1ECB">
        <w:rPr>
          <w:lang w:val="fr-FR"/>
        </w:rPr>
        <w:t>octobre 2006 n</w:t>
      </w:r>
      <w:r>
        <w:rPr>
          <w:lang w:val="fr-FR"/>
        </w:rPr>
        <w:t>’</w:t>
      </w:r>
      <w:r w:rsidRPr="002A1ECB">
        <w:rPr>
          <w:lang w:val="fr-FR"/>
        </w:rPr>
        <w:t>avait objectivement aucune chance d</w:t>
      </w:r>
      <w:r>
        <w:rPr>
          <w:lang w:val="fr-FR"/>
        </w:rPr>
        <w:t>’</w:t>
      </w:r>
      <w:r w:rsidRPr="002A1ECB">
        <w:rPr>
          <w:lang w:val="fr-FR"/>
        </w:rPr>
        <w:t>aboutir et que, compte tenu du caractère arbitraire de l</w:t>
      </w:r>
      <w:r>
        <w:rPr>
          <w:lang w:val="fr-FR"/>
        </w:rPr>
        <w:t>’</w:t>
      </w:r>
      <w:r w:rsidRPr="002A1ECB">
        <w:rPr>
          <w:lang w:val="fr-FR"/>
        </w:rPr>
        <w:t>examen des motifs d</w:t>
      </w:r>
      <w:r>
        <w:rPr>
          <w:lang w:val="fr-FR"/>
        </w:rPr>
        <w:t>’</w:t>
      </w:r>
      <w:r w:rsidRPr="002A1ECB">
        <w:rPr>
          <w:lang w:val="fr-FR"/>
        </w:rPr>
        <w:t>ordre humanitaire, ces recours ne sont pas utiles et qu</w:t>
      </w:r>
      <w:r>
        <w:rPr>
          <w:lang w:val="fr-FR"/>
        </w:rPr>
        <w:t>’</w:t>
      </w:r>
      <w:r w:rsidRPr="002A1ECB">
        <w:rPr>
          <w:lang w:val="fr-FR"/>
        </w:rPr>
        <w:t>il n</w:t>
      </w:r>
      <w:r>
        <w:rPr>
          <w:lang w:val="fr-FR"/>
        </w:rPr>
        <w:t>’</w:t>
      </w:r>
      <w:r w:rsidRPr="002A1ECB">
        <w:rPr>
          <w:lang w:val="fr-FR"/>
        </w:rPr>
        <w:t>était donc pas tenu de s</w:t>
      </w:r>
      <w:r>
        <w:rPr>
          <w:lang w:val="fr-FR"/>
        </w:rPr>
        <w:t>’</w:t>
      </w:r>
      <w:r w:rsidRPr="002A1ECB">
        <w:rPr>
          <w:lang w:val="fr-FR"/>
        </w:rPr>
        <w:t>en prévaloir. Il prend en outre note de l</w:t>
      </w:r>
      <w:r>
        <w:rPr>
          <w:lang w:val="fr-FR"/>
        </w:rPr>
        <w:t>’</w:t>
      </w:r>
      <w:r w:rsidRPr="002A1ECB">
        <w:rPr>
          <w:lang w:val="fr-FR"/>
        </w:rPr>
        <w:t>argument présenté par l</w:t>
      </w:r>
      <w:r>
        <w:rPr>
          <w:lang w:val="fr-FR"/>
        </w:rPr>
        <w:t>’</w:t>
      </w:r>
      <w:r w:rsidRPr="002A1ECB">
        <w:rPr>
          <w:lang w:val="fr-FR"/>
        </w:rPr>
        <w:t>auteur selon lequel le contrôle judiciaire de l</w:t>
      </w:r>
      <w:r>
        <w:rPr>
          <w:lang w:val="fr-FR"/>
        </w:rPr>
        <w:t>’</w:t>
      </w:r>
      <w:r w:rsidRPr="002A1ECB">
        <w:rPr>
          <w:lang w:val="fr-FR"/>
        </w:rPr>
        <w:t>avis négatif rendu au sujet de l</w:t>
      </w:r>
      <w:r>
        <w:rPr>
          <w:lang w:val="fr-FR"/>
        </w:rPr>
        <w:t>’</w:t>
      </w:r>
      <w:r w:rsidRPr="002A1ECB">
        <w:rPr>
          <w:lang w:val="fr-FR"/>
        </w:rPr>
        <w:t>examen des risques avant renvoi n</w:t>
      </w:r>
      <w:r>
        <w:rPr>
          <w:lang w:val="fr-FR"/>
        </w:rPr>
        <w:t>’</w:t>
      </w:r>
      <w:r w:rsidRPr="002A1ECB">
        <w:rPr>
          <w:lang w:val="fr-FR"/>
        </w:rPr>
        <w:t xml:space="preserve">était pas </w:t>
      </w:r>
      <w:r w:rsidRPr="00830798">
        <w:rPr>
          <w:iCs/>
          <w:lang w:val="fr-FR"/>
        </w:rPr>
        <w:t>de facto</w:t>
      </w:r>
      <w:r w:rsidRPr="002A1ECB">
        <w:rPr>
          <w:lang w:val="fr-FR"/>
        </w:rPr>
        <w:t xml:space="preserve"> disponible, étant donné que sa demande d</w:t>
      </w:r>
      <w:r>
        <w:rPr>
          <w:lang w:val="fr-FR"/>
        </w:rPr>
        <w:t>’</w:t>
      </w:r>
      <w:r w:rsidRPr="002A1ECB">
        <w:rPr>
          <w:lang w:val="fr-FR"/>
        </w:rPr>
        <w:t xml:space="preserve">aide judiciaire avait été rejetée. </w:t>
      </w:r>
    </w:p>
    <w:p w:rsidR="002E353E" w:rsidRDefault="002E353E" w:rsidP="002E353E">
      <w:pPr>
        <w:pStyle w:val="SingleTxtG"/>
      </w:pPr>
      <w:r w:rsidRPr="002A1ECB">
        <w:rPr>
          <w:lang w:val="fr-FR"/>
        </w:rPr>
        <w:t>7.4</w:t>
      </w:r>
      <w:r w:rsidRPr="002A1ECB">
        <w:rPr>
          <w:lang w:val="fr-FR"/>
        </w:rPr>
        <w:tab/>
        <w:t>Le Comité rappelle sa jurisprudence selon laquelle l</w:t>
      </w:r>
      <w:r>
        <w:rPr>
          <w:lang w:val="fr-FR"/>
        </w:rPr>
        <w:t>’</w:t>
      </w:r>
      <w:r w:rsidRPr="002A1ECB">
        <w:rPr>
          <w:lang w:val="fr-FR"/>
        </w:rPr>
        <w:t>auteur doit faire usage de tous les recours judiciaires pour satisfaire à la prescription énoncée au paragraphe 2 b) de l</w:t>
      </w:r>
      <w:r>
        <w:rPr>
          <w:lang w:val="fr-FR"/>
        </w:rPr>
        <w:t>’</w:t>
      </w:r>
      <w:r w:rsidRPr="002A1ECB">
        <w:rPr>
          <w:lang w:val="fr-FR"/>
        </w:rPr>
        <w:t>article 5 du Protocole facultatif, dans la mesure où de tels recours semblent être utiles en l</w:t>
      </w:r>
      <w:r>
        <w:rPr>
          <w:lang w:val="fr-FR"/>
        </w:rPr>
        <w:t>’</w:t>
      </w:r>
      <w:r w:rsidRPr="002A1ECB">
        <w:rPr>
          <w:lang w:val="fr-FR"/>
        </w:rPr>
        <w:t xml:space="preserve">espèce et sont </w:t>
      </w:r>
      <w:r w:rsidRPr="00381D4B">
        <w:rPr>
          <w:lang w:val="fr-FR"/>
        </w:rPr>
        <w:t>de facto</w:t>
      </w:r>
      <w:r w:rsidRPr="002A1ECB">
        <w:rPr>
          <w:lang w:val="fr-FR"/>
        </w:rPr>
        <w:t xml:space="preserve"> ouverts à l</w:t>
      </w:r>
      <w:r>
        <w:rPr>
          <w:lang w:val="fr-FR"/>
        </w:rPr>
        <w:t>’</w:t>
      </w:r>
      <w:r w:rsidRPr="002A1ECB">
        <w:rPr>
          <w:lang w:val="fr-FR"/>
        </w:rPr>
        <w:t>auteur</w:t>
      </w:r>
      <w:r w:rsidRPr="00363258">
        <w:rPr>
          <w:rStyle w:val="FootnoteReference"/>
        </w:rPr>
        <w:footnoteReference w:id="39"/>
      </w:r>
      <w:r>
        <w:rPr>
          <w:lang w:val="fr-FR"/>
        </w:rPr>
        <w:t>. Pour ce qui est de la non-</w:t>
      </w:r>
      <w:r w:rsidRPr="002A1ECB">
        <w:rPr>
          <w:lang w:val="fr-FR"/>
        </w:rPr>
        <w:t>présentation par l</w:t>
      </w:r>
      <w:r>
        <w:rPr>
          <w:lang w:val="fr-FR"/>
        </w:rPr>
        <w:t>’</w:t>
      </w:r>
      <w:r w:rsidRPr="002A1ECB">
        <w:rPr>
          <w:lang w:val="fr-FR"/>
        </w:rPr>
        <w:t>auteur d</w:t>
      </w:r>
      <w:r>
        <w:rPr>
          <w:lang w:val="fr-FR"/>
        </w:rPr>
        <w:t>’</w:t>
      </w:r>
      <w:r w:rsidRPr="002A1ECB">
        <w:rPr>
          <w:lang w:val="fr-FR"/>
        </w:rPr>
        <w:t>une demande pour motifs d</w:t>
      </w:r>
      <w:r>
        <w:rPr>
          <w:lang w:val="fr-FR"/>
        </w:rPr>
        <w:t>’</w:t>
      </w:r>
      <w:r w:rsidRPr="002A1ECB">
        <w:rPr>
          <w:lang w:val="fr-FR"/>
        </w:rPr>
        <w:t>ordre humanitaire, le Comité prend note de l</w:t>
      </w:r>
      <w:r>
        <w:rPr>
          <w:lang w:val="fr-FR"/>
        </w:rPr>
        <w:t>’</w:t>
      </w:r>
      <w:r w:rsidRPr="002A1ECB">
        <w:rPr>
          <w:lang w:val="fr-FR"/>
        </w:rPr>
        <w:t>argument de l</w:t>
      </w:r>
      <w:r>
        <w:rPr>
          <w:lang w:val="fr-FR"/>
        </w:rPr>
        <w:t>’</w:t>
      </w:r>
      <w:r w:rsidRPr="002A1ECB">
        <w:rPr>
          <w:lang w:val="fr-FR"/>
        </w:rPr>
        <w:t>État partie selon lequel le recours en question n</w:t>
      </w:r>
      <w:r>
        <w:rPr>
          <w:lang w:val="fr-FR"/>
        </w:rPr>
        <w:t>’</w:t>
      </w:r>
      <w:r w:rsidRPr="002A1ECB">
        <w:rPr>
          <w:lang w:val="fr-FR"/>
        </w:rPr>
        <w:t>est que «techniquement»</w:t>
      </w:r>
      <w:r>
        <w:rPr>
          <w:lang w:val="fr-FR"/>
        </w:rPr>
        <w:t xml:space="preserve"> discrétionnaire, la décision du Ministre étant fondée sur des normes et procédures établies. </w:t>
      </w:r>
      <w:r w:rsidRPr="00AA28C9">
        <w:t>Il note également l</w:t>
      </w:r>
      <w:r>
        <w:t>’</w:t>
      </w:r>
      <w:r w:rsidRPr="00AA28C9">
        <w:t>argument de l</w:t>
      </w:r>
      <w:r>
        <w:t>’</w:t>
      </w:r>
      <w:r w:rsidRPr="00AA28C9">
        <w:t>auteur qui affirme qu</w:t>
      </w:r>
      <w:r>
        <w:t>’</w:t>
      </w:r>
      <w:r w:rsidRPr="00AA28C9">
        <w:t>une demande pour motifs d</w:t>
      </w:r>
      <w:r>
        <w:t>’</w:t>
      </w:r>
      <w:r w:rsidRPr="00AA28C9">
        <w:t>ordre humanitaire n</w:t>
      </w:r>
      <w:r>
        <w:t>’</w:t>
      </w:r>
      <w:r w:rsidRPr="00AA28C9">
        <w:t xml:space="preserve">aurait pas </w:t>
      </w:r>
      <w:r>
        <w:t xml:space="preserve">suspendu ou évité </w:t>
      </w:r>
      <w:r w:rsidRPr="00AA28C9">
        <w:t>son expulsion vers la Somalie et qu</w:t>
      </w:r>
      <w:r>
        <w:t xml:space="preserve">’elle </w:t>
      </w:r>
      <w:r w:rsidRPr="00AA28C9">
        <w:t xml:space="preserve">aurait été </w:t>
      </w:r>
      <w:r>
        <w:t xml:space="preserve">examinée par le </w:t>
      </w:r>
      <w:r w:rsidRPr="00AA28C9">
        <w:t xml:space="preserve">service qui avait </w:t>
      </w:r>
      <w:r>
        <w:t xml:space="preserve">déjà </w:t>
      </w:r>
      <w:r w:rsidRPr="00AA28C9">
        <w:t>évalué les</w:t>
      </w:r>
      <w:r>
        <w:t>dits</w:t>
      </w:r>
      <w:r w:rsidRPr="00AA28C9">
        <w:t xml:space="preserve"> motifs dans le cadre de l</w:t>
      </w:r>
      <w:r>
        <w:t>’</w:t>
      </w:r>
      <w:r w:rsidRPr="00AA28C9">
        <w:t>évaluation des risques avant renvoi. Il note aussi que, selon l</w:t>
      </w:r>
      <w:r>
        <w:t>’</w:t>
      </w:r>
      <w:r w:rsidRPr="00AA28C9">
        <w:t xml:space="preserve">auteur, </w:t>
      </w:r>
      <w:r>
        <w:t xml:space="preserve">il s’agit d’un </w:t>
      </w:r>
      <w:r w:rsidRPr="00AA28C9">
        <w:t xml:space="preserve">recours </w:t>
      </w:r>
      <w:r>
        <w:t>au</w:t>
      </w:r>
      <w:r w:rsidRPr="00AA28C9">
        <w:t xml:space="preserve"> caractère discrétionnaire </w:t>
      </w:r>
      <w:r>
        <w:t xml:space="preserve">visant à </w:t>
      </w:r>
      <w:r w:rsidRPr="00AA28C9">
        <w:t xml:space="preserve">obtenir le privilège </w:t>
      </w:r>
      <w:r>
        <w:t xml:space="preserve">d’accélérer </w:t>
      </w:r>
      <w:r w:rsidRPr="00AA28C9">
        <w:t xml:space="preserve">une demande de </w:t>
      </w:r>
      <w:r>
        <w:t xml:space="preserve">statut de </w:t>
      </w:r>
      <w:r w:rsidRPr="00AA28C9">
        <w:t>résiden</w:t>
      </w:r>
      <w:r>
        <w:t>t</w:t>
      </w:r>
      <w:r w:rsidRPr="00AA28C9">
        <w:t xml:space="preserve"> permanent et non </w:t>
      </w:r>
      <w:r>
        <w:t xml:space="preserve">à </w:t>
      </w:r>
      <w:r w:rsidRPr="00AA28C9">
        <w:t>revendiquer un droit. Le Comité observe que, comme le reconna</w:t>
      </w:r>
      <w:r>
        <w:t>î</w:t>
      </w:r>
      <w:r w:rsidRPr="00AA28C9">
        <w:t>t l</w:t>
      </w:r>
      <w:r>
        <w:t>’</w:t>
      </w:r>
      <w:r w:rsidRPr="00AA28C9">
        <w:t>État partie, une demande pour motifs d</w:t>
      </w:r>
      <w:r>
        <w:t>’</w:t>
      </w:r>
      <w:r w:rsidRPr="00AA28C9">
        <w:t>ordre humanitaire ne sursoit pas au renvoi. Le Comité considère que l</w:t>
      </w:r>
      <w:r>
        <w:t>’</w:t>
      </w:r>
      <w:r w:rsidRPr="00AA28C9">
        <w:t>éventualité du renvoi de l</w:t>
      </w:r>
      <w:r>
        <w:t>’</w:t>
      </w:r>
      <w:r w:rsidRPr="00AA28C9">
        <w:t>auteur vers la Somalie, pays dans lequel la situation des droits de l</w:t>
      </w:r>
      <w:r>
        <w:t>’</w:t>
      </w:r>
      <w:r w:rsidRPr="00AA28C9">
        <w:t xml:space="preserve">homme et la situation humanitaire </w:t>
      </w:r>
      <w:r>
        <w:t>sont</w:t>
      </w:r>
      <w:r w:rsidRPr="00AA28C9">
        <w:t xml:space="preserve"> particulièrement précaire</w:t>
      </w:r>
      <w:r>
        <w:t>s</w:t>
      </w:r>
      <w:r w:rsidRPr="00AA28C9">
        <w:t>, alors que sa demande pour motifs d</w:t>
      </w:r>
      <w:r>
        <w:t>’</w:t>
      </w:r>
      <w:r w:rsidRPr="00AA28C9">
        <w:t>ordre humanitaire est à l</w:t>
      </w:r>
      <w:r>
        <w:t>’</w:t>
      </w:r>
      <w:r w:rsidRPr="00AA28C9">
        <w:t>examen</w:t>
      </w:r>
      <w:r>
        <w:t>,</w:t>
      </w:r>
      <w:r w:rsidRPr="00AA28C9">
        <w:t xml:space="preserve"> rendrait le recours inutile et ne lève pas la menace réelle pour la vie ou le risque manifeste de torture qui intéressent le Comité. Il conclut donc que, aux fins de la recevabilité, l</w:t>
      </w:r>
      <w:r>
        <w:t>’</w:t>
      </w:r>
      <w:r w:rsidRPr="00AA28C9">
        <w:t>auteur n</w:t>
      </w:r>
      <w:r>
        <w:t>’</w:t>
      </w:r>
      <w:r w:rsidRPr="00AA28C9">
        <w:t>était pas tenu de déposer une demande pour motifs d</w:t>
      </w:r>
      <w:r>
        <w:t>’</w:t>
      </w:r>
      <w:r w:rsidRPr="00AA28C9">
        <w:t>ordre humanitaire.</w:t>
      </w:r>
    </w:p>
    <w:p w:rsidR="002E353E" w:rsidRPr="00AA28C9" w:rsidRDefault="002E353E" w:rsidP="002E353E">
      <w:pPr>
        <w:pStyle w:val="SingleTxtG"/>
        <w:rPr>
          <w:lang w:val="fr-FR"/>
        </w:rPr>
      </w:pPr>
      <w:r w:rsidRPr="00AA28C9">
        <w:rPr>
          <w:lang w:val="fr-FR"/>
        </w:rPr>
        <w:t>7.5</w:t>
      </w:r>
      <w:r w:rsidRPr="00AA28C9">
        <w:rPr>
          <w:lang w:val="fr-FR"/>
        </w:rPr>
        <w:tab/>
        <w:t>Pour ce qui est du fait que l</w:t>
      </w:r>
      <w:r>
        <w:rPr>
          <w:lang w:val="fr-FR"/>
        </w:rPr>
        <w:t>’</w:t>
      </w:r>
      <w:r w:rsidRPr="00AA28C9">
        <w:rPr>
          <w:lang w:val="fr-FR"/>
        </w:rPr>
        <w:t>auteur n</w:t>
      </w:r>
      <w:r>
        <w:rPr>
          <w:lang w:val="fr-FR"/>
        </w:rPr>
        <w:t>’</w:t>
      </w:r>
      <w:r w:rsidRPr="00AA28C9">
        <w:rPr>
          <w:lang w:val="fr-FR"/>
        </w:rPr>
        <w:t>a pas fait appel de l</w:t>
      </w:r>
      <w:r>
        <w:rPr>
          <w:lang w:val="fr-FR"/>
        </w:rPr>
        <w:t>’</w:t>
      </w:r>
      <w:r w:rsidRPr="00AA28C9">
        <w:rPr>
          <w:lang w:val="fr-FR"/>
        </w:rPr>
        <w:t>avis négatif rendu par la Section d</w:t>
      </w:r>
      <w:r>
        <w:rPr>
          <w:lang w:val="fr-FR"/>
        </w:rPr>
        <w:t>’</w:t>
      </w:r>
      <w:r w:rsidRPr="00AA28C9">
        <w:rPr>
          <w:lang w:val="fr-FR"/>
        </w:rPr>
        <w:t>appel de l</w:t>
      </w:r>
      <w:r>
        <w:rPr>
          <w:lang w:val="fr-FR"/>
        </w:rPr>
        <w:t>’</w:t>
      </w:r>
      <w:r w:rsidRPr="00AA28C9">
        <w:rPr>
          <w:lang w:val="fr-FR"/>
        </w:rPr>
        <w:t>immigration, le Comité constate que la décision était fondée sur l</w:t>
      </w:r>
      <w:r>
        <w:rPr>
          <w:lang w:val="fr-FR"/>
        </w:rPr>
        <w:t>’</w:t>
      </w:r>
      <w:r w:rsidRPr="00AA28C9">
        <w:rPr>
          <w:lang w:val="fr-FR"/>
        </w:rPr>
        <w:t>article 64 de la loi sur l</w:t>
      </w:r>
      <w:r>
        <w:rPr>
          <w:lang w:val="fr-FR"/>
        </w:rPr>
        <w:t>’</w:t>
      </w:r>
      <w:r w:rsidRPr="00AA28C9">
        <w:rPr>
          <w:lang w:val="fr-FR"/>
        </w:rPr>
        <w:t>immigration et la protection des réfugiés, qui prévoit qu</w:t>
      </w:r>
      <w:r>
        <w:rPr>
          <w:lang w:val="fr-FR"/>
        </w:rPr>
        <w:t>’</w:t>
      </w:r>
      <w:r w:rsidRPr="00AA28C9">
        <w:rPr>
          <w:lang w:val="fr-FR"/>
        </w:rPr>
        <w:t>un résident permanent condamné pour grande criminalité ne peut interjeter appel. En février 2005 et en juin 2006, l</w:t>
      </w:r>
      <w:r>
        <w:rPr>
          <w:lang w:val="fr-FR"/>
        </w:rPr>
        <w:t>’</w:t>
      </w:r>
      <w:r w:rsidRPr="00AA28C9">
        <w:rPr>
          <w:lang w:val="fr-FR"/>
        </w:rPr>
        <w:t>auteur a été interdit de territoire et, sur la base de cette décision, un arrêté d</w:t>
      </w:r>
      <w:r>
        <w:rPr>
          <w:lang w:val="fr-FR"/>
        </w:rPr>
        <w:t>’</w:t>
      </w:r>
      <w:r w:rsidRPr="00AA28C9">
        <w:rPr>
          <w:lang w:val="fr-FR"/>
        </w:rPr>
        <w:t>expulsion a été pris à son encontre le 22 juin 2006. Le Comité constate qu</w:t>
      </w:r>
      <w:r>
        <w:rPr>
          <w:lang w:val="fr-FR"/>
        </w:rPr>
        <w:t>’</w:t>
      </w:r>
      <w:r w:rsidRPr="00AA28C9">
        <w:rPr>
          <w:lang w:val="fr-FR"/>
        </w:rPr>
        <w:t>un appel n</w:t>
      </w:r>
      <w:r>
        <w:rPr>
          <w:lang w:val="fr-FR"/>
        </w:rPr>
        <w:t>’</w:t>
      </w:r>
      <w:r w:rsidRPr="00AA28C9">
        <w:rPr>
          <w:lang w:val="fr-FR"/>
        </w:rPr>
        <w:t>aurait abouti que si l</w:t>
      </w:r>
      <w:r>
        <w:rPr>
          <w:lang w:val="fr-FR"/>
        </w:rPr>
        <w:t>’</w:t>
      </w:r>
      <w:r w:rsidRPr="00AA28C9">
        <w:rPr>
          <w:lang w:val="fr-FR"/>
        </w:rPr>
        <w:t>auteur avait pu présenter une thèse «un tant soit peu défendable», une «question grave sur laquelle il restait à statuer» ou une erreur de droit ou de compétence. Il note que l</w:t>
      </w:r>
      <w:r>
        <w:rPr>
          <w:lang w:val="fr-FR"/>
        </w:rPr>
        <w:t>’</w:t>
      </w:r>
      <w:r w:rsidRPr="00AA28C9">
        <w:rPr>
          <w:lang w:val="fr-FR"/>
        </w:rPr>
        <w:t>État partie n</w:t>
      </w:r>
      <w:r>
        <w:rPr>
          <w:lang w:val="fr-FR"/>
        </w:rPr>
        <w:t>’</w:t>
      </w:r>
      <w:r w:rsidRPr="00AA28C9">
        <w:rPr>
          <w:lang w:val="fr-FR"/>
        </w:rPr>
        <w:t>a pas expliqué comment l</w:t>
      </w:r>
      <w:r>
        <w:rPr>
          <w:lang w:val="fr-FR"/>
        </w:rPr>
        <w:t>’</w:t>
      </w:r>
      <w:r w:rsidRPr="00AA28C9">
        <w:rPr>
          <w:lang w:val="fr-FR"/>
        </w:rPr>
        <w:t>auteur aurait pu satisfaire à ces critères compte tenu de la clarté de la législation nationale et de la jurisprudence interne. Dans les circonstances particulières de l</w:t>
      </w:r>
      <w:r>
        <w:rPr>
          <w:lang w:val="fr-FR"/>
        </w:rPr>
        <w:t>’</w:t>
      </w:r>
      <w:r w:rsidRPr="00AA28C9">
        <w:rPr>
          <w:lang w:val="fr-FR"/>
        </w:rPr>
        <w:t>affaire, le Comité estime donc qu</w:t>
      </w:r>
      <w:r>
        <w:rPr>
          <w:lang w:val="fr-FR"/>
        </w:rPr>
        <w:t>’</w:t>
      </w:r>
      <w:r w:rsidRPr="00AA28C9">
        <w:rPr>
          <w:lang w:val="fr-FR"/>
        </w:rPr>
        <w:t>une demande d</w:t>
      </w:r>
      <w:r>
        <w:rPr>
          <w:lang w:val="fr-FR"/>
        </w:rPr>
        <w:t>’</w:t>
      </w:r>
      <w:r w:rsidRPr="00AA28C9">
        <w:rPr>
          <w:lang w:val="fr-FR"/>
        </w:rPr>
        <w:t>autorisation en vue d</w:t>
      </w:r>
      <w:r>
        <w:rPr>
          <w:lang w:val="fr-FR"/>
        </w:rPr>
        <w:t>’</w:t>
      </w:r>
      <w:r w:rsidRPr="00AA28C9">
        <w:rPr>
          <w:lang w:val="fr-FR"/>
        </w:rPr>
        <w:t>interjeter appel devant la Cour fédérale ne constituait pas un recours utile.</w:t>
      </w:r>
    </w:p>
    <w:p w:rsidR="002E353E" w:rsidRPr="00AA28C9" w:rsidRDefault="002E353E" w:rsidP="002E353E">
      <w:pPr>
        <w:pStyle w:val="SingleTxtG"/>
        <w:rPr>
          <w:lang w:val="fr-FR"/>
        </w:rPr>
      </w:pPr>
      <w:r w:rsidRPr="00AA28C9">
        <w:rPr>
          <w:lang w:val="fr-FR"/>
        </w:rPr>
        <w:t>7.6</w:t>
      </w:r>
      <w:r w:rsidRPr="00AA28C9">
        <w:rPr>
          <w:lang w:val="fr-FR"/>
        </w:rPr>
        <w:tab/>
        <w:t>Le Comité constate que l</w:t>
      </w:r>
      <w:r>
        <w:rPr>
          <w:lang w:val="fr-FR"/>
        </w:rPr>
        <w:t>’</w:t>
      </w:r>
      <w:r w:rsidRPr="00AA28C9">
        <w:rPr>
          <w:lang w:val="fr-FR"/>
        </w:rPr>
        <w:t>auteur n</w:t>
      </w:r>
      <w:r>
        <w:rPr>
          <w:lang w:val="fr-FR"/>
        </w:rPr>
        <w:t>’</w:t>
      </w:r>
      <w:r w:rsidRPr="00AA28C9">
        <w:rPr>
          <w:lang w:val="fr-FR"/>
        </w:rPr>
        <w:t>a pas tenté d</w:t>
      </w:r>
      <w:r>
        <w:rPr>
          <w:lang w:val="fr-FR"/>
        </w:rPr>
        <w:t>’</w:t>
      </w:r>
      <w:r w:rsidRPr="00AA28C9">
        <w:rPr>
          <w:lang w:val="fr-FR"/>
        </w:rPr>
        <w:t>obtenir la révision de l</w:t>
      </w:r>
      <w:r>
        <w:rPr>
          <w:lang w:val="fr-FR"/>
        </w:rPr>
        <w:t>’</w:t>
      </w:r>
      <w:r w:rsidRPr="00AA28C9">
        <w:rPr>
          <w:lang w:val="fr-FR"/>
        </w:rPr>
        <w:t>avis négatif rendu par le Représentant du Ministre le 23 février 2009 au sujet de l</w:t>
      </w:r>
      <w:r>
        <w:rPr>
          <w:lang w:val="fr-FR"/>
        </w:rPr>
        <w:t>’</w:t>
      </w:r>
      <w:r w:rsidRPr="00AA28C9">
        <w:rPr>
          <w:lang w:val="fr-FR"/>
        </w:rPr>
        <w:t>examen des risques avant renvoi et que, le 9 avril 2009, le refus d</w:t>
      </w:r>
      <w:r>
        <w:rPr>
          <w:lang w:val="fr-FR"/>
        </w:rPr>
        <w:t>’</w:t>
      </w:r>
      <w:r w:rsidRPr="00AA28C9">
        <w:rPr>
          <w:lang w:val="fr-FR"/>
        </w:rPr>
        <w:t>accorder une aide judiciaire aux fins du dépôt d</w:t>
      </w:r>
      <w:r>
        <w:rPr>
          <w:lang w:val="fr-FR"/>
        </w:rPr>
        <w:t>’</w:t>
      </w:r>
      <w:r w:rsidRPr="00AA28C9">
        <w:rPr>
          <w:lang w:val="fr-FR"/>
        </w:rPr>
        <w:t>une demande de contrôle judiciaire par la Cour fédérale a été confirmé par la Directrice des appels d</w:t>
      </w:r>
      <w:r>
        <w:rPr>
          <w:lang w:val="fr-FR"/>
        </w:rPr>
        <w:t>’</w:t>
      </w:r>
      <w:r w:rsidRPr="00AA28C9">
        <w:rPr>
          <w:lang w:val="fr-FR"/>
        </w:rPr>
        <w:t>Aide juridique Ontario. Il prend note de l</w:t>
      </w:r>
      <w:r>
        <w:rPr>
          <w:lang w:val="fr-FR"/>
        </w:rPr>
        <w:t>’</w:t>
      </w:r>
      <w:r w:rsidRPr="00AA28C9">
        <w:rPr>
          <w:lang w:val="fr-FR"/>
        </w:rPr>
        <w:t>argument présenté par l</w:t>
      </w:r>
      <w:r>
        <w:rPr>
          <w:lang w:val="fr-FR"/>
        </w:rPr>
        <w:t>’</w:t>
      </w:r>
      <w:r w:rsidRPr="00AA28C9">
        <w:rPr>
          <w:lang w:val="fr-FR"/>
        </w:rPr>
        <w:t>auteur selon lequel, lors des procédures judiciaires, il avait toujours bénéficié d</w:t>
      </w:r>
      <w:r>
        <w:rPr>
          <w:lang w:val="fr-FR"/>
        </w:rPr>
        <w:t>’</w:t>
      </w:r>
      <w:r w:rsidRPr="00AA28C9">
        <w:rPr>
          <w:lang w:val="fr-FR"/>
        </w:rPr>
        <w:t>une aide judiciaire, argument que l</w:t>
      </w:r>
      <w:r>
        <w:rPr>
          <w:lang w:val="fr-FR"/>
        </w:rPr>
        <w:t>’</w:t>
      </w:r>
      <w:r w:rsidRPr="00AA28C9">
        <w:rPr>
          <w:lang w:val="fr-FR"/>
        </w:rPr>
        <w:t>État partie a réfuté sans pour autant fournir la moindre preuve à cet effet. Bien que le Comité ait régulièrement affirmé que des considérations d</w:t>
      </w:r>
      <w:r>
        <w:rPr>
          <w:lang w:val="fr-FR"/>
        </w:rPr>
        <w:t>’</w:t>
      </w:r>
      <w:r w:rsidRPr="00AA28C9">
        <w:rPr>
          <w:lang w:val="fr-FR"/>
        </w:rPr>
        <w:t>ordre financier et des doutes quant à l</w:t>
      </w:r>
      <w:r>
        <w:rPr>
          <w:lang w:val="fr-FR"/>
        </w:rPr>
        <w:t>’</w:t>
      </w:r>
      <w:r w:rsidRPr="00AA28C9">
        <w:rPr>
          <w:lang w:val="fr-FR"/>
        </w:rPr>
        <w:t>efficacité de recours internes ne sauraient dispenser l</w:t>
      </w:r>
      <w:r>
        <w:rPr>
          <w:lang w:val="fr-FR"/>
        </w:rPr>
        <w:t>’</w:t>
      </w:r>
      <w:r w:rsidRPr="00AA28C9">
        <w:rPr>
          <w:lang w:val="fr-FR"/>
        </w:rPr>
        <w:t>auteur d</w:t>
      </w:r>
      <w:r>
        <w:rPr>
          <w:lang w:val="fr-FR"/>
        </w:rPr>
        <w:t>’</w:t>
      </w:r>
      <w:r w:rsidRPr="00AA28C9">
        <w:rPr>
          <w:lang w:val="fr-FR"/>
        </w:rPr>
        <w:t>épuiser les recours</w:t>
      </w:r>
      <w:r w:rsidRPr="00AA28C9">
        <w:rPr>
          <w:vertAlign w:val="superscript"/>
        </w:rPr>
        <w:footnoteReference w:id="40"/>
      </w:r>
      <w:r w:rsidRPr="00AA28C9">
        <w:rPr>
          <w:lang w:val="fr-FR"/>
        </w:rPr>
        <w:t>, il constate que l</w:t>
      </w:r>
      <w:r>
        <w:rPr>
          <w:lang w:val="fr-FR"/>
        </w:rPr>
        <w:t>’</w:t>
      </w:r>
      <w:r w:rsidRPr="00AA28C9">
        <w:rPr>
          <w:lang w:val="fr-FR"/>
        </w:rPr>
        <w:t>auteur semble avoir bénéficié d</w:t>
      </w:r>
      <w:r>
        <w:rPr>
          <w:lang w:val="fr-FR"/>
        </w:rPr>
        <w:t>’</w:t>
      </w:r>
      <w:r w:rsidRPr="00AA28C9">
        <w:rPr>
          <w:lang w:val="fr-FR"/>
        </w:rPr>
        <w:t>une aide judiciaire lors des procédures nationales et internationales le concernant et qu</w:t>
      </w:r>
      <w:r>
        <w:rPr>
          <w:lang w:val="fr-FR"/>
        </w:rPr>
        <w:t>’</w:t>
      </w:r>
      <w:r w:rsidRPr="00AA28C9">
        <w:rPr>
          <w:lang w:val="fr-FR"/>
        </w:rPr>
        <w:t>il a tenté, en vain, d</w:t>
      </w:r>
      <w:r>
        <w:rPr>
          <w:lang w:val="fr-FR"/>
        </w:rPr>
        <w:t>’</w:t>
      </w:r>
      <w:r w:rsidRPr="00AA28C9">
        <w:rPr>
          <w:lang w:val="fr-FR"/>
        </w:rPr>
        <w:t>obtenir une aide judiciaire pour demander le contrôle judiciaire de l</w:t>
      </w:r>
      <w:r>
        <w:rPr>
          <w:lang w:val="fr-FR"/>
        </w:rPr>
        <w:t>’</w:t>
      </w:r>
      <w:r w:rsidRPr="00AA28C9">
        <w:rPr>
          <w:lang w:val="fr-FR"/>
        </w:rPr>
        <w:t>avis négatif relatif à l</w:t>
      </w:r>
      <w:r>
        <w:rPr>
          <w:lang w:val="fr-FR"/>
        </w:rPr>
        <w:t>’</w:t>
      </w:r>
      <w:r w:rsidRPr="00AA28C9">
        <w:rPr>
          <w:lang w:val="fr-FR"/>
        </w:rPr>
        <w:t>examen des risques avant renvoi. Il conclut donc que l</w:t>
      </w:r>
      <w:r>
        <w:rPr>
          <w:lang w:val="fr-FR"/>
        </w:rPr>
        <w:t>’</w:t>
      </w:r>
      <w:r w:rsidRPr="00AA28C9">
        <w:rPr>
          <w:lang w:val="fr-FR"/>
        </w:rPr>
        <w:t>auteur a épuisé les recours internes avec la diligence nécessaire et que les dispositions du paragraphe 2 b) de l</w:t>
      </w:r>
      <w:r>
        <w:rPr>
          <w:lang w:val="fr-FR"/>
        </w:rPr>
        <w:t>’</w:t>
      </w:r>
      <w:r w:rsidRPr="00AA28C9">
        <w:rPr>
          <w:lang w:val="fr-FR"/>
        </w:rPr>
        <w:t>article 5 du Protocole facultatif n</w:t>
      </w:r>
      <w:r>
        <w:rPr>
          <w:lang w:val="fr-FR"/>
        </w:rPr>
        <w:t>’</w:t>
      </w:r>
      <w:r w:rsidRPr="00AA28C9">
        <w:rPr>
          <w:lang w:val="fr-FR"/>
        </w:rPr>
        <w:t>empêchent pas d</w:t>
      </w:r>
      <w:r>
        <w:rPr>
          <w:lang w:val="fr-FR"/>
        </w:rPr>
        <w:t>’</w:t>
      </w:r>
      <w:r w:rsidRPr="00AA28C9">
        <w:rPr>
          <w:lang w:val="fr-FR"/>
        </w:rPr>
        <w:t>examiner la présente communication.</w:t>
      </w:r>
    </w:p>
    <w:p w:rsidR="002E353E" w:rsidRPr="00AA28C9" w:rsidRDefault="002E353E" w:rsidP="002E353E">
      <w:pPr>
        <w:pStyle w:val="SingleTxtG"/>
      </w:pPr>
      <w:r w:rsidRPr="00AA28C9">
        <w:rPr>
          <w:lang w:val="fr-FR"/>
        </w:rPr>
        <w:t>7</w:t>
      </w:r>
      <w:r w:rsidR="002E6788">
        <w:rPr>
          <w:lang w:val="fr-FR"/>
        </w:rPr>
        <w:t>.7</w:t>
      </w:r>
      <w:r w:rsidRPr="00AA28C9">
        <w:rPr>
          <w:lang w:val="fr-FR"/>
        </w:rPr>
        <w:tab/>
        <w:t>Le Comité prend note du fait que l</w:t>
      </w:r>
      <w:r>
        <w:rPr>
          <w:lang w:val="fr-FR"/>
        </w:rPr>
        <w:t>’</w:t>
      </w:r>
      <w:r w:rsidRPr="00AA28C9">
        <w:rPr>
          <w:lang w:val="fr-FR"/>
        </w:rPr>
        <w:t>État partie conteste la recevabilité de la communication au motif que l</w:t>
      </w:r>
      <w:r>
        <w:rPr>
          <w:lang w:val="fr-FR"/>
        </w:rPr>
        <w:t>’</w:t>
      </w:r>
      <w:r w:rsidRPr="00AA28C9">
        <w:rPr>
          <w:lang w:val="fr-FR"/>
        </w:rPr>
        <w:t>auteur n</w:t>
      </w:r>
      <w:r>
        <w:rPr>
          <w:lang w:val="fr-FR"/>
        </w:rPr>
        <w:t>’</w:t>
      </w:r>
      <w:r w:rsidRPr="00AA28C9">
        <w:rPr>
          <w:lang w:val="fr-FR"/>
        </w:rPr>
        <w:t>a pas suffisamment étayé ses allégations de violation du paragraphe 3 de l</w:t>
      </w:r>
      <w:r>
        <w:rPr>
          <w:lang w:val="fr-FR"/>
        </w:rPr>
        <w:t>’</w:t>
      </w:r>
      <w:r w:rsidRPr="00AA28C9">
        <w:rPr>
          <w:lang w:val="fr-FR"/>
        </w:rPr>
        <w:t xml:space="preserve">article 2 lu conjointement avec les articles 6 (par. 1), 7, 12 (par. 4), 17 et 23 (par. 1) du Pacte. </w:t>
      </w:r>
    </w:p>
    <w:p w:rsidR="002E353E" w:rsidRPr="00AA28C9" w:rsidRDefault="002E353E" w:rsidP="002E353E">
      <w:pPr>
        <w:pStyle w:val="SingleTxtG"/>
      </w:pPr>
      <w:r w:rsidRPr="00AA28C9">
        <w:t>7.</w:t>
      </w:r>
      <w:r w:rsidR="002E6788">
        <w:t>8</w:t>
      </w:r>
      <w:r w:rsidRPr="00AA28C9">
        <w:tab/>
        <w:t xml:space="preserve">En ce qui concerne les </w:t>
      </w:r>
      <w:r>
        <w:t>allégations de violation</w:t>
      </w:r>
      <w:r w:rsidRPr="00AA28C9">
        <w:t xml:space="preserve"> du paragraphe 1 de l</w:t>
      </w:r>
      <w:r>
        <w:t>’</w:t>
      </w:r>
      <w:r w:rsidRPr="00AA28C9">
        <w:t>article 6 et de l</w:t>
      </w:r>
      <w:r>
        <w:t>’</w:t>
      </w:r>
      <w:r w:rsidRPr="00AA28C9">
        <w:t>article 7 du Pacte</w:t>
      </w:r>
      <w:r>
        <w:t xml:space="preserve"> présentées par l’auteur</w:t>
      </w:r>
      <w:r w:rsidRPr="00AA28C9">
        <w:t>, le Comité note</w:t>
      </w:r>
      <w:r>
        <w:t xml:space="preserve"> que</w:t>
      </w:r>
      <w:r w:rsidRPr="00AA28C9">
        <w:t>, le 9 février 2007, l</w:t>
      </w:r>
      <w:r>
        <w:t>’</w:t>
      </w:r>
      <w:r w:rsidRPr="00AA28C9">
        <w:t>agent chargé de l</w:t>
      </w:r>
      <w:r>
        <w:t>’</w:t>
      </w:r>
      <w:r w:rsidRPr="00AA28C9">
        <w:t>évaluation des risques avant renvoi a considéré que l</w:t>
      </w:r>
      <w:r>
        <w:t>’</w:t>
      </w:r>
      <w:r w:rsidRPr="00AA28C9">
        <w:t>auteur serait en danger de mort et exposé à des peines ou traitements cruels et inusités s</w:t>
      </w:r>
      <w:r>
        <w:t>’</w:t>
      </w:r>
      <w:r w:rsidRPr="00AA28C9">
        <w:t xml:space="preserve">il était renvoyé en Somalie. Le Comité note aussi que, le 23 février 2009, cette décision a été révisée par le Représentant du </w:t>
      </w:r>
      <w:r>
        <w:t>M</w:t>
      </w:r>
      <w:r w:rsidRPr="00AA28C9">
        <w:t>inistre, qui a établi que l</w:t>
      </w:r>
      <w:r>
        <w:t>’</w:t>
      </w:r>
      <w:r w:rsidRPr="00AA28C9">
        <w:t>auteur n</w:t>
      </w:r>
      <w:r>
        <w:t>’</w:t>
      </w:r>
      <w:r w:rsidRPr="00AA28C9">
        <w:t xml:space="preserve">encourait aucun risque personnel </w:t>
      </w:r>
      <w:r>
        <w:t xml:space="preserve">de préjudice </w:t>
      </w:r>
      <w:r w:rsidRPr="00AA28C9">
        <w:t>grave et qu</w:t>
      </w:r>
      <w:r>
        <w:t>’</w:t>
      </w:r>
      <w:r w:rsidRPr="00AA28C9">
        <w:t>il représentait un danger pour la sécurité publique au Canada. Il note également que l</w:t>
      </w:r>
      <w:r>
        <w:t>’</w:t>
      </w:r>
      <w:r w:rsidRPr="00AA28C9">
        <w:t xml:space="preserve">auteur a expliqué les raisons pour lesquelles il </w:t>
      </w:r>
      <w:r>
        <w:t xml:space="preserve">craint d’être renvoyé </w:t>
      </w:r>
      <w:r w:rsidRPr="00AA28C9">
        <w:t>en Somalie, en donnant des détails sur l</w:t>
      </w:r>
      <w:r>
        <w:t>’</w:t>
      </w:r>
      <w:r w:rsidRPr="00AA28C9">
        <w:t>absence de protection clanique, sur son identité et son apparence occidentales, sur le fait qu</w:t>
      </w:r>
      <w:r>
        <w:t>’</w:t>
      </w:r>
      <w:r w:rsidRPr="00AA28C9">
        <w:t>il</w:t>
      </w:r>
      <w:r>
        <w:t xml:space="preserve"> ne connaît pas les habitudes et pratiques locales</w:t>
      </w:r>
      <w:r w:rsidRPr="00AA28C9">
        <w:t>, ne dispose pas de réseaux sociaux et pourrait devenir la cible de groupes de pirates et de milices islamistes cherchant à l</w:t>
      </w:r>
      <w:r>
        <w:t>’</w:t>
      </w:r>
      <w:r w:rsidRPr="00AA28C9">
        <w:t>enrôler. Le Comité considère que ces griefs sont suffisamment étayés aux fins de la recevabilité et qu</w:t>
      </w:r>
      <w:r>
        <w:t>’</w:t>
      </w:r>
      <w:r w:rsidRPr="00AA28C9">
        <w:t xml:space="preserve">ils devraient être examinés au </w:t>
      </w:r>
      <w:r>
        <w:t>fond.</w:t>
      </w:r>
    </w:p>
    <w:p w:rsidR="002E353E" w:rsidRPr="002A1ECB" w:rsidRDefault="002E353E" w:rsidP="002E353E">
      <w:pPr>
        <w:pStyle w:val="SingleTxtG"/>
        <w:rPr>
          <w:lang w:val="fr-FR"/>
        </w:rPr>
      </w:pPr>
      <w:r w:rsidRPr="002A1ECB">
        <w:rPr>
          <w:lang w:val="fr-FR"/>
        </w:rPr>
        <w:t>7.</w:t>
      </w:r>
      <w:r w:rsidR="002E6788">
        <w:rPr>
          <w:lang w:val="fr-FR"/>
        </w:rPr>
        <w:t>9</w:t>
      </w:r>
      <w:r w:rsidRPr="002A1ECB">
        <w:rPr>
          <w:lang w:val="fr-FR"/>
        </w:rPr>
        <w:tab/>
        <w:t>Pour ce qui est du grief tiré du paragraphe 4 de l</w:t>
      </w:r>
      <w:r>
        <w:rPr>
          <w:lang w:val="fr-FR"/>
        </w:rPr>
        <w:t>’</w:t>
      </w:r>
      <w:r w:rsidRPr="002A1ECB">
        <w:rPr>
          <w:lang w:val="fr-FR"/>
        </w:rPr>
        <w:t>article 12, le Comité considère que rien n</w:t>
      </w:r>
      <w:r>
        <w:rPr>
          <w:lang w:val="fr-FR"/>
        </w:rPr>
        <w:t>’</w:t>
      </w:r>
      <w:r w:rsidRPr="002A1ECB">
        <w:rPr>
          <w:lang w:val="fr-FR"/>
        </w:rPr>
        <w:t xml:space="preserve">indique </w:t>
      </w:r>
      <w:r w:rsidRPr="00D15963">
        <w:rPr>
          <w:iCs/>
          <w:lang w:val="fr-FR"/>
        </w:rPr>
        <w:t>a priori</w:t>
      </w:r>
      <w:r w:rsidRPr="00D15963">
        <w:rPr>
          <w:lang w:val="fr-FR"/>
        </w:rPr>
        <w:t xml:space="preserve"> que la</w:t>
      </w:r>
      <w:r w:rsidRPr="002A1ECB">
        <w:rPr>
          <w:lang w:val="fr-FR"/>
        </w:rPr>
        <w:t xml:space="preserve"> situation de l</w:t>
      </w:r>
      <w:r>
        <w:rPr>
          <w:lang w:val="fr-FR"/>
        </w:rPr>
        <w:t>’</w:t>
      </w:r>
      <w:r w:rsidRPr="002A1ECB">
        <w:rPr>
          <w:lang w:val="fr-FR"/>
        </w:rPr>
        <w:t>auteur ne relève pas des dispositions du paragraphe 4 de l</w:t>
      </w:r>
      <w:r>
        <w:rPr>
          <w:lang w:val="fr-FR"/>
        </w:rPr>
        <w:t>’</w:t>
      </w:r>
      <w:r w:rsidRPr="002A1ECB">
        <w:rPr>
          <w:lang w:val="fr-FR"/>
        </w:rPr>
        <w:t>article 12 du Pacte et conclut donc que la question devait faire l</w:t>
      </w:r>
      <w:r>
        <w:rPr>
          <w:lang w:val="fr-FR"/>
        </w:rPr>
        <w:t>’</w:t>
      </w:r>
      <w:r w:rsidRPr="002A1ECB">
        <w:rPr>
          <w:lang w:val="fr-FR"/>
        </w:rPr>
        <w:t>objet d</w:t>
      </w:r>
      <w:r>
        <w:rPr>
          <w:lang w:val="fr-FR"/>
        </w:rPr>
        <w:t>’</w:t>
      </w:r>
      <w:r w:rsidRPr="002A1ECB">
        <w:rPr>
          <w:lang w:val="fr-FR"/>
        </w:rPr>
        <w:t>un examen au fond.</w:t>
      </w:r>
    </w:p>
    <w:p w:rsidR="002E353E" w:rsidRPr="002A1ECB" w:rsidRDefault="002E6788" w:rsidP="002E353E">
      <w:pPr>
        <w:pStyle w:val="SingleTxtG"/>
        <w:rPr>
          <w:lang w:val="fr-FR"/>
        </w:rPr>
      </w:pPr>
      <w:r>
        <w:rPr>
          <w:lang w:val="fr-FR"/>
        </w:rPr>
        <w:t>7.10</w:t>
      </w:r>
      <w:r w:rsidR="002E353E" w:rsidRPr="002A1ECB">
        <w:rPr>
          <w:lang w:val="fr-FR"/>
        </w:rPr>
        <w:tab/>
        <w:t>En ce qui concerne les violations supposées des articles 17 et 23 (</w:t>
      </w:r>
      <w:r w:rsidR="002E353E">
        <w:rPr>
          <w:lang w:val="fr-FR"/>
        </w:rPr>
        <w:t>par.</w:t>
      </w:r>
      <w:r w:rsidR="002E353E" w:rsidRPr="002A1ECB">
        <w:rPr>
          <w:lang w:val="fr-FR"/>
        </w:rPr>
        <w:t xml:space="preserve"> 1), le Comité considère que rien n</w:t>
      </w:r>
      <w:r w:rsidR="002E353E">
        <w:rPr>
          <w:lang w:val="fr-FR"/>
        </w:rPr>
        <w:t>’</w:t>
      </w:r>
      <w:r w:rsidR="002E353E" w:rsidRPr="002A1ECB">
        <w:rPr>
          <w:lang w:val="fr-FR"/>
        </w:rPr>
        <w:t xml:space="preserve">indique </w:t>
      </w:r>
      <w:r w:rsidR="002E353E" w:rsidRPr="00D15963">
        <w:rPr>
          <w:iCs/>
          <w:lang w:val="fr-FR"/>
        </w:rPr>
        <w:t>a</w:t>
      </w:r>
      <w:r w:rsidR="002E353E" w:rsidRPr="002A1ECB">
        <w:rPr>
          <w:i/>
          <w:iCs/>
          <w:lang w:val="fr-FR"/>
        </w:rPr>
        <w:t xml:space="preserve"> </w:t>
      </w:r>
      <w:r w:rsidR="002E353E" w:rsidRPr="00D15963">
        <w:rPr>
          <w:iCs/>
          <w:lang w:val="fr-FR"/>
        </w:rPr>
        <w:t>priori</w:t>
      </w:r>
      <w:r w:rsidR="002E353E" w:rsidRPr="002A1ECB">
        <w:rPr>
          <w:lang w:val="fr-FR"/>
        </w:rPr>
        <w:t xml:space="preserve"> que la situation de l</w:t>
      </w:r>
      <w:r w:rsidR="002E353E">
        <w:rPr>
          <w:lang w:val="fr-FR"/>
        </w:rPr>
        <w:t>’</w:t>
      </w:r>
      <w:r w:rsidR="002E353E" w:rsidRPr="002A1ECB">
        <w:rPr>
          <w:lang w:val="fr-FR"/>
        </w:rPr>
        <w:t>auteur ne relève pas des dispositions des articles 17 et 23 (</w:t>
      </w:r>
      <w:r w:rsidR="002E353E">
        <w:rPr>
          <w:lang w:val="fr-FR"/>
        </w:rPr>
        <w:t>par.</w:t>
      </w:r>
      <w:r w:rsidR="002E353E" w:rsidRPr="002A1ECB">
        <w:rPr>
          <w:lang w:val="fr-FR"/>
        </w:rPr>
        <w:t xml:space="preserve"> 1) du Pacte et conclut donc que la question devait faire l</w:t>
      </w:r>
      <w:r w:rsidR="002E353E">
        <w:rPr>
          <w:lang w:val="fr-FR"/>
        </w:rPr>
        <w:t>’</w:t>
      </w:r>
      <w:r w:rsidR="002E353E" w:rsidRPr="002A1ECB">
        <w:rPr>
          <w:lang w:val="fr-FR"/>
        </w:rPr>
        <w:t>objet d</w:t>
      </w:r>
      <w:r w:rsidR="002E353E">
        <w:rPr>
          <w:lang w:val="fr-FR"/>
        </w:rPr>
        <w:t>’</w:t>
      </w:r>
      <w:r w:rsidR="002E353E" w:rsidRPr="002A1ECB">
        <w:rPr>
          <w:lang w:val="fr-FR"/>
        </w:rPr>
        <w:t>un examen au fond.</w:t>
      </w:r>
    </w:p>
    <w:p w:rsidR="002E353E" w:rsidRPr="002A1ECB" w:rsidRDefault="002E6788" w:rsidP="002E353E">
      <w:pPr>
        <w:pStyle w:val="SingleTxtG"/>
        <w:rPr>
          <w:lang w:val="fr-FR"/>
        </w:rPr>
      </w:pPr>
      <w:r>
        <w:rPr>
          <w:lang w:val="fr-FR"/>
        </w:rPr>
        <w:t>7.11</w:t>
      </w:r>
      <w:r w:rsidR="002E353E" w:rsidRPr="002A1ECB">
        <w:rPr>
          <w:lang w:val="fr-FR"/>
        </w:rPr>
        <w:tab/>
        <w:t>Le Comité déclare que la communication est recevable en ce qu</w:t>
      </w:r>
      <w:r w:rsidR="002E353E">
        <w:rPr>
          <w:lang w:val="fr-FR"/>
        </w:rPr>
        <w:t>’</w:t>
      </w:r>
      <w:r w:rsidR="002E353E" w:rsidRPr="002A1ECB">
        <w:rPr>
          <w:lang w:val="fr-FR"/>
        </w:rPr>
        <w:t xml:space="preserve">elle semble soulever des questions au regard des articles </w:t>
      </w:r>
      <w:r w:rsidR="002E353E">
        <w:rPr>
          <w:lang w:val="fr-FR"/>
        </w:rPr>
        <w:t xml:space="preserve">6 (par. 1), 7, </w:t>
      </w:r>
      <w:r w:rsidR="002E353E" w:rsidRPr="002A1ECB">
        <w:rPr>
          <w:lang w:val="fr-FR"/>
        </w:rPr>
        <w:t>12 (</w:t>
      </w:r>
      <w:r w:rsidR="002E353E">
        <w:rPr>
          <w:lang w:val="fr-FR"/>
        </w:rPr>
        <w:t>par.</w:t>
      </w:r>
      <w:r w:rsidR="002E353E" w:rsidRPr="002A1ECB">
        <w:rPr>
          <w:lang w:val="fr-FR"/>
        </w:rPr>
        <w:t xml:space="preserve"> 4), 17 et 23 (par</w:t>
      </w:r>
      <w:r w:rsidR="002E353E">
        <w:rPr>
          <w:lang w:val="fr-FR"/>
        </w:rPr>
        <w:t xml:space="preserve">. </w:t>
      </w:r>
      <w:r w:rsidR="002E353E" w:rsidRPr="002A1ECB">
        <w:rPr>
          <w:lang w:val="fr-FR"/>
        </w:rPr>
        <w:t>1) lus conjointement avec le paragraphe 3 de l</w:t>
      </w:r>
      <w:r w:rsidR="002E353E">
        <w:rPr>
          <w:lang w:val="fr-FR"/>
        </w:rPr>
        <w:t>’</w:t>
      </w:r>
      <w:r w:rsidR="002E353E" w:rsidRPr="002A1ECB">
        <w:rPr>
          <w:lang w:val="fr-FR"/>
        </w:rPr>
        <w:t>article 2 du Pacte, et passe à l</w:t>
      </w:r>
      <w:r w:rsidR="002E353E">
        <w:rPr>
          <w:lang w:val="fr-FR"/>
        </w:rPr>
        <w:t>’</w:t>
      </w:r>
      <w:r w:rsidR="002E353E" w:rsidRPr="002A1ECB">
        <w:rPr>
          <w:lang w:val="fr-FR"/>
        </w:rPr>
        <w:t>examen au fond.</w:t>
      </w:r>
    </w:p>
    <w:p w:rsidR="002E353E" w:rsidRPr="009238E4" w:rsidRDefault="002E353E" w:rsidP="002E6788">
      <w:pPr>
        <w:pStyle w:val="H4G"/>
      </w:pPr>
      <w:r w:rsidRPr="009238E4">
        <w:tab/>
      </w:r>
      <w:r w:rsidRPr="009238E4">
        <w:tab/>
        <w:t>Examen au fond</w:t>
      </w:r>
    </w:p>
    <w:p w:rsidR="002E353E" w:rsidRPr="002A1ECB" w:rsidRDefault="002E353E" w:rsidP="002E353E">
      <w:pPr>
        <w:pStyle w:val="SingleTxtG"/>
        <w:rPr>
          <w:lang w:val="fr-FR"/>
        </w:rPr>
      </w:pPr>
      <w:r w:rsidRPr="002A1ECB">
        <w:rPr>
          <w:lang w:val="fr-FR"/>
        </w:rPr>
        <w:t>8.1</w:t>
      </w:r>
      <w:r w:rsidRPr="002A1ECB">
        <w:rPr>
          <w:lang w:val="fr-FR"/>
        </w:rPr>
        <w:tab/>
        <w:t>Conformément au paragraphe 1 de l</w:t>
      </w:r>
      <w:r>
        <w:rPr>
          <w:lang w:val="fr-FR"/>
        </w:rPr>
        <w:t>’</w:t>
      </w:r>
      <w:r w:rsidRPr="002A1ECB">
        <w:rPr>
          <w:lang w:val="fr-FR"/>
        </w:rPr>
        <w:t>article 5 du Protocole facultatif, le Comité des droits de l</w:t>
      </w:r>
      <w:r>
        <w:rPr>
          <w:lang w:val="fr-FR"/>
        </w:rPr>
        <w:t>’</w:t>
      </w:r>
      <w:r w:rsidRPr="002A1ECB">
        <w:rPr>
          <w:lang w:val="fr-FR"/>
        </w:rPr>
        <w:t xml:space="preserve">homme a examiné la présente communication en tenant compte de toutes les informations qui lui ont été communiquées. </w:t>
      </w:r>
    </w:p>
    <w:p w:rsidR="002E353E" w:rsidRDefault="00D00B9E" w:rsidP="00D00B9E">
      <w:pPr>
        <w:pStyle w:val="H56G"/>
      </w:pPr>
      <w:r>
        <w:tab/>
      </w:r>
      <w:r>
        <w:tab/>
      </w:r>
      <w:r w:rsidR="002E353E">
        <w:t xml:space="preserve">Paragraphe 1 de l’article 6 et article 7 </w:t>
      </w:r>
    </w:p>
    <w:p w:rsidR="002E353E" w:rsidRPr="009019D4" w:rsidRDefault="002E353E" w:rsidP="002E353E">
      <w:pPr>
        <w:pStyle w:val="SingleTxtG"/>
      </w:pPr>
      <w:r>
        <w:t>8.</w:t>
      </w:r>
      <w:r w:rsidR="00986809">
        <w:t>2</w:t>
      </w:r>
      <w:r>
        <w:tab/>
        <w:t xml:space="preserve">Le Comité note le grief </w:t>
      </w:r>
      <w:r w:rsidR="00986809">
        <w:t>de</w:t>
      </w:r>
      <w:r>
        <w:t xml:space="preserve"> l’auteur </w:t>
      </w:r>
      <w:r w:rsidR="00986809">
        <w:t>qui affirme que</w:t>
      </w:r>
      <w:r>
        <w:t xml:space="preserve"> son expulsion du Canada vers la Somalie l’exposerait à un risque de préjudice irréparable, en violation du paragraphe 1 de l’article 6 et de l’article 7 du Pacte. Il note également les arguments avancés par l’auteur qui fait valoir qu’il encourt un risque personnel et distinct de celui de la population en général, compte tenu du fait qu’il n’est pas né en Somalie et n’y a jamais résidé, qu’il a des connaissances linguistiques limitées, qu’il n’a aucune famille dans la région du Puntland, qu’il ne bénéficie d’aucun appui clanique, qu’il risque d’être enrôlé de force par des pirates ou des milices islamistes et qu’il serait exposé à la violence généralisée. Le Comité note également les observations de l’État partie, selon lesquelles l’auteur n’a pas établi </w:t>
      </w:r>
      <w:r>
        <w:rPr>
          <w:i/>
        </w:rPr>
        <w:t>prima facie</w:t>
      </w:r>
      <w:r>
        <w:t xml:space="preserve"> le bien-fondé de la thèse selon laquelle il risque personnellement la mort, de subir des actes de torture ou des peines ou traitements cruels, inhumains ou dégradants et que ses allégations faisant état de l’absence de toute affiliation à un clan sont dénuées de fondement, étant donné que l’auteur avait indiqué que sa mère appartenait à la tribu Darod et lui-même au clan Majertain et qu’il souhaitait être renvoyé à Bossasso ou à Galkayo, dans le Puntland. Le Comité note aussi que, le 9 février 2007, l’agent ayant examiné les risques avant renvoi a considéré que l’auteur serait en danger de mort et exposé à des peines ou traitements cruels et inhumains s’il était expulsé vers la Somalie et que, le 23 février 2009, le Représentant du Ministre a établi que l’auteur n’encourait aucun risque personnel ou individuel de préjudice grave en Somalie et qu’il représentait un danger pour la sécurité publique au Canada.</w:t>
      </w:r>
    </w:p>
    <w:p w:rsidR="002E353E" w:rsidRPr="000A703F" w:rsidRDefault="002E353E" w:rsidP="002E353E">
      <w:pPr>
        <w:pStyle w:val="SingleTxtG"/>
      </w:pPr>
      <w:r w:rsidRPr="000A703F">
        <w:t>8.</w:t>
      </w:r>
      <w:r w:rsidR="00EA604E">
        <w:t>3</w:t>
      </w:r>
      <w:r w:rsidRPr="000A703F">
        <w:tab/>
        <w:t>Le Comité rappelle son Observation générale n</w:t>
      </w:r>
      <w:r w:rsidRPr="000A703F">
        <w:rPr>
          <w:vertAlign w:val="superscript"/>
        </w:rPr>
        <w:t>o</w:t>
      </w:r>
      <w:r w:rsidRPr="000A703F">
        <w:t> 31, dans laquelle il renvoie à l</w:t>
      </w:r>
      <w:r>
        <w:t>’</w:t>
      </w:r>
      <w:r w:rsidRPr="000A703F">
        <w:t>obligation faite aux États parties de ne pas extrader, déplacer, expulser quelqu</w:t>
      </w:r>
      <w:r>
        <w:t>’</w:t>
      </w:r>
      <w:r w:rsidRPr="000A703F">
        <w:t>un ou le transférer par d</w:t>
      </w:r>
      <w:r>
        <w:t>’</w:t>
      </w:r>
      <w:r w:rsidRPr="000A703F">
        <w:t>autres moyens de leur territoire s</w:t>
      </w:r>
      <w:r>
        <w:t>’</w:t>
      </w:r>
      <w:r w:rsidRPr="000A703F">
        <w:t>il existe des motifs sérieux de croire qu</w:t>
      </w:r>
      <w:r>
        <w:t>’</w:t>
      </w:r>
      <w:r w:rsidRPr="000A703F">
        <w:t>il y a un risque réel de préjudice irréparable</w:t>
      </w:r>
      <w:r w:rsidRPr="000A703F">
        <w:rPr>
          <w:vertAlign w:val="superscript"/>
        </w:rPr>
        <w:footnoteReference w:id="41"/>
      </w:r>
      <w:r w:rsidRPr="000A703F">
        <w:t>. Le Comité doit par conséquent déterminer si l</w:t>
      </w:r>
      <w:r>
        <w:t>’</w:t>
      </w:r>
      <w:r w:rsidRPr="000A703F">
        <w:t>expulsion de l</w:t>
      </w:r>
      <w:r>
        <w:t>’</w:t>
      </w:r>
      <w:r w:rsidRPr="000A703F">
        <w:t>auteur vers la Somalie l</w:t>
      </w:r>
      <w:r>
        <w:t>’</w:t>
      </w:r>
      <w:r w:rsidRPr="000A703F">
        <w:t>exposerait à un risque réel de préjudice irréparable. Le Comité observe que l</w:t>
      </w:r>
      <w:r>
        <w:t>’</w:t>
      </w:r>
      <w:r w:rsidRPr="000A703F">
        <w:t>auteur, qui n</w:t>
      </w:r>
      <w:r>
        <w:t>’</w:t>
      </w:r>
      <w:r w:rsidRPr="000A703F">
        <w:t>a jamais vécu en Somalie, ne parle pas la langue, n</w:t>
      </w:r>
      <w:r>
        <w:t>’</w:t>
      </w:r>
      <w:r w:rsidRPr="000A703F">
        <w:t>a que peu voire pas de soutien clanique, n</w:t>
      </w:r>
      <w:r>
        <w:t>’</w:t>
      </w:r>
      <w:r w:rsidRPr="000A703F">
        <w:t xml:space="preserve">a aucune famille dans le Puntland, serait exposé à un risque réel de préjudice </w:t>
      </w:r>
      <w:r>
        <w:t xml:space="preserve">tombant sous le coup du </w:t>
      </w:r>
      <w:r w:rsidRPr="000A703F">
        <w:t>paragraphe 1 de l</w:t>
      </w:r>
      <w:r>
        <w:t>’</w:t>
      </w:r>
      <w:r w:rsidRPr="000A703F">
        <w:t>article 6 et</w:t>
      </w:r>
      <w:r>
        <w:t xml:space="preserve"> de l’article </w:t>
      </w:r>
      <w:r w:rsidRPr="000A703F">
        <w:t>7 du Pacte. Le Comité conclut par conséquent que l</w:t>
      </w:r>
      <w:r>
        <w:t>’</w:t>
      </w:r>
      <w:r w:rsidRPr="000A703F">
        <w:t>expulsion de l</w:t>
      </w:r>
      <w:r>
        <w:t>’</w:t>
      </w:r>
      <w:r w:rsidRPr="000A703F">
        <w:t xml:space="preserve">auteur vers la Somalie, si elle </w:t>
      </w:r>
      <w:r>
        <w:t xml:space="preserve">était </w:t>
      </w:r>
      <w:r w:rsidRPr="000A703F">
        <w:t>exécut</w:t>
      </w:r>
      <w:r>
        <w:t>ée</w:t>
      </w:r>
      <w:r w:rsidRPr="000A703F">
        <w:t>, constituerait une violation du paragraphe 1 de l</w:t>
      </w:r>
      <w:r>
        <w:t>’</w:t>
      </w:r>
      <w:r w:rsidRPr="000A703F">
        <w:t>article 6 et de l</w:t>
      </w:r>
      <w:r>
        <w:t>’</w:t>
      </w:r>
      <w:r w:rsidR="00EA604E">
        <w:t>article 7 du Pacte.</w:t>
      </w:r>
    </w:p>
    <w:p w:rsidR="002E353E" w:rsidRPr="000A703F" w:rsidRDefault="00EA604E" w:rsidP="00EA604E">
      <w:pPr>
        <w:pStyle w:val="H56G"/>
      </w:pPr>
      <w:r>
        <w:tab/>
      </w:r>
      <w:r>
        <w:tab/>
      </w:r>
      <w:r w:rsidR="002E353E" w:rsidRPr="000A703F">
        <w:t>Paragraphe 4 de l</w:t>
      </w:r>
      <w:r w:rsidR="002E353E">
        <w:t>’</w:t>
      </w:r>
      <w:r w:rsidR="00CD04C3">
        <w:t>article 12</w:t>
      </w:r>
    </w:p>
    <w:p w:rsidR="002E353E" w:rsidRPr="000A703F" w:rsidRDefault="003C01DB" w:rsidP="002E353E">
      <w:pPr>
        <w:pStyle w:val="SingleTxtG"/>
      </w:pPr>
      <w:r>
        <w:t>8.4</w:t>
      </w:r>
      <w:r w:rsidR="002E353E" w:rsidRPr="000A703F">
        <w:tab/>
        <w:t>Pour ce qui est du grief d</w:t>
      </w:r>
      <w:r w:rsidR="002E353E">
        <w:t>e</w:t>
      </w:r>
      <w:r w:rsidR="002E353E" w:rsidRPr="000A703F">
        <w:t xml:space="preserve"> violation du paragraphe 4 de l</w:t>
      </w:r>
      <w:r w:rsidR="002E353E">
        <w:t>’</w:t>
      </w:r>
      <w:r w:rsidR="002E353E" w:rsidRPr="000A703F">
        <w:t>article 12 du</w:t>
      </w:r>
      <w:r w:rsidR="002E353E">
        <w:t xml:space="preserve"> Pacte, le Comité doit tout d’ab</w:t>
      </w:r>
      <w:r w:rsidR="002E353E" w:rsidRPr="000A703F">
        <w:t>ord examiner si le Canada est bien le «propre pays» de l</w:t>
      </w:r>
      <w:r w:rsidR="002E353E">
        <w:t>’</w:t>
      </w:r>
      <w:r w:rsidR="002E353E" w:rsidRPr="000A703F">
        <w:t>auteur aux fins de la disposition en question</w:t>
      </w:r>
      <w:r w:rsidR="002E353E">
        <w:t>,</w:t>
      </w:r>
      <w:r w:rsidR="002E353E" w:rsidRPr="000A703F">
        <w:t xml:space="preserve"> puis déterminer si le fait de priver l</w:t>
      </w:r>
      <w:r w:rsidR="002E353E">
        <w:t>’</w:t>
      </w:r>
      <w:r w:rsidR="002E353E" w:rsidRPr="000A703F">
        <w:t>auteur du droit d</w:t>
      </w:r>
      <w:r w:rsidR="002E353E">
        <w:t>’</w:t>
      </w:r>
      <w:r w:rsidR="002E353E" w:rsidRPr="000A703F">
        <w:t>entrée dans ce pays serait arbitraire. Sur le premier point, le Comité rappelle son Observation générale n</w:t>
      </w:r>
      <w:r w:rsidR="002E353E" w:rsidRPr="000A703F">
        <w:rPr>
          <w:vertAlign w:val="superscript"/>
        </w:rPr>
        <w:t>o</w:t>
      </w:r>
      <w:r w:rsidR="002E353E" w:rsidRPr="000A703F">
        <w:t xml:space="preserve"> 27 sur la liberté de circulation dans laquelle il a considéré </w:t>
      </w:r>
      <w:r w:rsidR="002E353E">
        <w:t xml:space="preserve">que </w:t>
      </w:r>
      <w:r w:rsidR="002E353E" w:rsidRPr="000A703F">
        <w:t xml:space="preserve">la signification des termes «son propre pays» est plus vaste que celle du «pays de </w:t>
      </w:r>
      <w:r w:rsidR="002E353E">
        <w:t>l</w:t>
      </w:r>
      <w:r w:rsidR="002E353E" w:rsidRPr="000A703F">
        <w:t>a nationalité». Elle n</w:t>
      </w:r>
      <w:r w:rsidR="002E353E">
        <w:t>’</w:t>
      </w:r>
      <w:r w:rsidR="002E353E" w:rsidRPr="000A703F">
        <w:t xml:space="preserve">est pas limitée à </w:t>
      </w:r>
      <w:r w:rsidR="002E353E">
        <w:t>l</w:t>
      </w:r>
      <w:r w:rsidR="002E353E" w:rsidRPr="000A703F">
        <w:t xml:space="preserve">a nationalité au sens </w:t>
      </w:r>
      <w:r w:rsidR="002E353E">
        <w:t xml:space="preserve">strict </w:t>
      </w:r>
      <w:r w:rsidR="002E353E" w:rsidRPr="000A703F">
        <w:t xml:space="preserve">du terme, à savoir la nationalité conférée à </w:t>
      </w:r>
      <w:r w:rsidR="002E353E">
        <w:t>l</w:t>
      </w:r>
      <w:r w:rsidR="002E353E" w:rsidRPr="000A703F">
        <w:t>a naissance ou acquise par la suite; l</w:t>
      </w:r>
      <w:r w:rsidR="002E353E">
        <w:t>’</w:t>
      </w:r>
      <w:r w:rsidR="002E353E" w:rsidRPr="000A703F">
        <w:t>expression s</w:t>
      </w:r>
      <w:r w:rsidR="002E353E">
        <w:t>’</w:t>
      </w:r>
      <w:r w:rsidR="002E353E" w:rsidRPr="000A703F">
        <w:t>applique pour le moins à toute personne</w:t>
      </w:r>
      <w:r w:rsidR="002E353E">
        <w:t xml:space="preserve"> qui</w:t>
      </w:r>
      <w:r w:rsidR="002E353E" w:rsidRPr="000A703F">
        <w:t>, en raison de ses liens particuliers avec un pays ou de ses prétentions à l</w:t>
      </w:r>
      <w:r w:rsidR="002E353E">
        <w:t>’</w:t>
      </w:r>
      <w:r w:rsidR="002E353E" w:rsidRPr="000A703F">
        <w:t>égard d</w:t>
      </w:r>
      <w:r w:rsidR="002E353E">
        <w:t>’</w:t>
      </w:r>
      <w:r w:rsidR="002E353E" w:rsidRPr="000A703F">
        <w:t>un pays, peut être considérée dans ce même pays comme un simple étranger</w:t>
      </w:r>
      <w:r w:rsidR="002E353E" w:rsidRPr="000A703F">
        <w:rPr>
          <w:vertAlign w:val="superscript"/>
        </w:rPr>
        <w:footnoteReference w:id="42"/>
      </w:r>
      <w:r w:rsidR="002E353E" w:rsidRPr="000A703F">
        <w:t>. À ce sujet, il constate qu</w:t>
      </w:r>
      <w:r w:rsidR="002E353E">
        <w:t>’</w:t>
      </w:r>
      <w:r w:rsidR="002E353E" w:rsidRPr="000A703F">
        <w:t>il existe des facteurs autres que la nationalité susceptibles de créer des liens étroits et durables entre une personne et un pays, liens qui peuvent être plus forts que ceux de la nationalité</w:t>
      </w:r>
      <w:r w:rsidR="002E353E" w:rsidRPr="000A703F">
        <w:rPr>
          <w:vertAlign w:val="superscript"/>
        </w:rPr>
        <w:footnoteReference w:id="43"/>
      </w:r>
      <w:r w:rsidR="002E353E" w:rsidRPr="000A703F">
        <w:t>. L</w:t>
      </w:r>
      <w:r w:rsidR="002E353E">
        <w:t>’</w:t>
      </w:r>
      <w:r w:rsidR="002E353E" w:rsidRPr="000A703F">
        <w:t xml:space="preserve">expression «son propre pays» </w:t>
      </w:r>
      <w:r w:rsidR="002E353E">
        <w:t xml:space="preserve">amène </w:t>
      </w:r>
      <w:r w:rsidR="002E353E" w:rsidRPr="000A703F">
        <w:t>à prendre en considération des éléments comme une résidence de longue durée, des liens personnels et familiaux étroits et l</w:t>
      </w:r>
      <w:r w:rsidR="002E353E">
        <w:t>’</w:t>
      </w:r>
      <w:r w:rsidR="002E353E" w:rsidRPr="000A703F">
        <w:t>intention de demeurer dans le pays, ainsi que l</w:t>
      </w:r>
      <w:r w:rsidR="002E353E">
        <w:t>’</w:t>
      </w:r>
      <w:r w:rsidR="002E353E" w:rsidRPr="000A703F">
        <w:t>absence d</w:t>
      </w:r>
      <w:r w:rsidR="002E353E">
        <w:t>’</w:t>
      </w:r>
      <w:r w:rsidR="002E353E" w:rsidRPr="000A703F">
        <w:t>autres liens du même type ailleurs.</w:t>
      </w:r>
    </w:p>
    <w:p w:rsidR="002E353E" w:rsidRPr="000A703F" w:rsidRDefault="0010083F" w:rsidP="002E353E">
      <w:pPr>
        <w:pStyle w:val="SingleTxtG"/>
      </w:pPr>
      <w:r>
        <w:t>8.5</w:t>
      </w:r>
      <w:r w:rsidR="002E353E" w:rsidRPr="000A703F">
        <w:tab/>
        <w:t>En l</w:t>
      </w:r>
      <w:r w:rsidR="002E353E">
        <w:t>’</w:t>
      </w:r>
      <w:r w:rsidR="002E353E" w:rsidRPr="000A703F">
        <w:t>espèce, l</w:t>
      </w:r>
      <w:r w:rsidR="002E353E">
        <w:t>’</w:t>
      </w:r>
      <w:r w:rsidR="002E353E" w:rsidRPr="000A703F">
        <w:t>auteur est arrivé au Canada quand il avait 4 ans, sa famille</w:t>
      </w:r>
      <w:r w:rsidR="002E353E">
        <w:t xml:space="preserve"> nucléaire </w:t>
      </w:r>
      <w:r w:rsidR="002E353E" w:rsidRPr="000A703F">
        <w:t>vit au Canada, il n</w:t>
      </w:r>
      <w:r w:rsidR="002E353E">
        <w:t>’</w:t>
      </w:r>
      <w:r w:rsidR="002E353E" w:rsidRPr="000A703F">
        <w:t>a aucun lien avec la Somalie où il n</w:t>
      </w:r>
      <w:r w:rsidR="002E353E">
        <w:t>’</w:t>
      </w:r>
      <w:r w:rsidR="002E353E" w:rsidRPr="000A703F">
        <w:t>a jamais vécu, et a des difficultés à parler la langue. Le Comité observe qu</w:t>
      </w:r>
      <w:r w:rsidR="002E353E">
        <w:t>’</w:t>
      </w:r>
      <w:r w:rsidR="002E353E" w:rsidRPr="000A703F">
        <w:t>il n</w:t>
      </w:r>
      <w:r w:rsidR="002E353E">
        <w:t>’</w:t>
      </w:r>
      <w:r w:rsidR="002E353E" w:rsidRPr="000A703F">
        <w:t>est pas contesté que l</w:t>
      </w:r>
      <w:r w:rsidR="002E353E">
        <w:t>’</w:t>
      </w:r>
      <w:r w:rsidR="002E353E" w:rsidRPr="000A703F">
        <w:t>auteur a vécu pratiquement toute sa vie consciente au Canada, que toute son éducation s</w:t>
      </w:r>
      <w:r w:rsidR="002E353E">
        <w:t>’</w:t>
      </w:r>
      <w:r w:rsidR="002E353E" w:rsidRPr="000A703F">
        <w:t>est faite au Canada et qu</w:t>
      </w:r>
      <w:r w:rsidR="002E353E">
        <w:t>’</w:t>
      </w:r>
      <w:r w:rsidR="002E353E" w:rsidRPr="000A703F">
        <w:t>avant de venir au Canada il a vécu en Arabie saoudite et non en Somalie. Il note aussi que l</w:t>
      </w:r>
      <w:r w:rsidR="002E353E">
        <w:t>’</w:t>
      </w:r>
      <w:r w:rsidR="002E353E" w:rsidRPr="000A703F">
        <w:t xml:space="preserve">auteur </w:t>
      </w:r>
      <w:r w:rsidR="002E353E">
        <w:t xml:space="preserve">fait valoir </w:t>
      </w:r>
      <w:r w:rsidR="002E353E" w:rsidRPr="000A703F">
        <w:t>qu</w:t>
      </w:r>
      <w:r w:rsidR="002E353E">
        <w:t>’</w:t>
      </w:r>
      <w:r w:rsidR="002E353E" w:rsidRPr="000A703F">
        <w:t>il n</w:t>
      </w:r>
      <w:r w:rsidR="002E353E">
        <w:t>’</w:t>
      </w:r>
      <w:r w:rsidR="002E353E" w:rsidRPr="000A703F">
        <w:t>a aucune preuve de citoyenneté somalienne. Dans les circonstances de l</w:t>
      </w:r>
      <w:r w:rsidR="002E353E">
        <w:t>’</w:t>
      </w:r>
      <w:r w:rsidR="002E353E" w:rsidRPr="000A703F">
        <w:t>espèce, le Comité considère que l</w:t>
      </w:r>
      <w:r w:rsidR="002E353E">
        <w:t>’</w:t>
      </w:r>
      <w:r w:rsidR="002E353E" w:rsidRPr="000A703F">
        <w:t>auteur a établi que le Canada était son propre pays au sens du paragraphe 4 de l</w:t>
      </w:r>
      <w:r w:rsidR="002E353E">
        <w:t>’</w:t>
      </w:r>
      <w:r w:rsidR="002E353E" w:rsidRPr="000A703F">
        <w:t>article 12 du Pacte, compte tenu des liens forts qui le relient au Canada, de la présence de sa famille au Canada, de la langue qu</w:t>
      </w:r>
      <w:r w:rsidR="002E353E">
        <w:t>’</w:t>
      </w:r>
      <w:r w:rsidR="002E353E" w:rsidRPr="000A703F">
        <w:t>il parle, de la durée de son séjour dans le pays et de l</w:t>
      </w:r>
      <w:r w:rsidR="002E353E">
        <w:t>’</w:t>
      </w:r>
      <w:r w:rsidR="002E353E" w:rsidRPr="000A703F">
        <w:t>absence de tout autre lien avec la Somalie, si ce n</w:t>
      </w:r>
      <w:r w:rsidR="002E353E">
        <w:t>’</w:t>
      </w:r>
      <w:r w:rsidR="002E353E" w:rsidRPr="000A703F">
        <w:t>est des liens au mieux formels de nationalité.</w:t>
      </w:r>
    </w:p>
    <w:p w:rsidR="00E849E1" w:rsidRDefault="00494389" w:rsidP="00C03F6A">
      <w:pPr>
        <w:pStyle w:val="SingleTxtG"/>
      </w:pPr>
      <w:r>
        <w:t>8.6</w:t>
      </w:r>
      <w:r w:rsidR="002E353E" w:rsidRPr="000A703F">
        <w:tab/>
        <w:t>Quant à l</w:t>
      </w:r>
      <w:r w:rsidR="002E353E">
        <w:t>’</w:t>
      </w:r>
      <w:r w:rsidR="002E353E" w:rsidRPr="000A703F">
        <w:t xml:space="preserve">allégation </w:t>
      </w:r>
      <w:r w:rsidR="002E353E">
        <w:t>touchant le</w:t>
      </w:r>
      <w:r w:rsidR="002E353E" w:rsidRPr="000A703F">
        <w:t xml:space="preserve"> caractère arbitraire de l</w:t>
      </w:r>
      <w:r w:rsidR="002E353E">
        <w:t>’</w:t>
      </w:r>
      <w:r w:rsidR="002E353E" w:rsidRPr="000A703F">
        <w:t>expulsion de l</w:t>
      </w:r>
      <w:r w:rsidR="002E353E">
        <w:t>’</w:t>
      </w:r>
      <w:r w:rsidR="002E353E" w:rsidRPr="000A703F">
        <w:t>auteur, le Comité rappelle son Observation générale n</w:t>
      </w:r>
      <w:r w:rsidR="002E353E" w:rsidRPr="000A703F">
        <w:rPr>
          <w:vertAlign w:val="superscript"/>
        </w:rPr>
        <w:t>o </w:t>
      </w:r>
      <w:r w:rsidR="002E353E" w:rsidRPr="000A703F">
        <w:t>27 sur l</w:t>
      </w:r>
      <w:r w:rsidR="002E353E">
        <w:t>a</w:t>
      </w:r>
      <w:r w:rsidR="002E353E" w:rsidRPr="000A703F">
        <w:t xml:space="preserve"> liberté de circulation</w:t>
      </w:r>
      <w:r w:rsidR="002E353E">
        <w:t>,</w:t>
      </w:r>
      <w:r w:rsidR="002E353E" w:rsidRPr="000A703F">
        <w:t xml:space="preserve"> dans laquelle il a déclaré que même une immixtion prévue par la loi devait être conforme aux dispositions, aux buts et aux objectifs du Pacte et devait être, dans tous les cas, raisonnable eu égard aux circonstances particulières. Le Comité considère que les cas dans lesquels la privation du droit d</w:t>
      </w:r>
      <w:r w:rsidR="002E353E">
        <w:t>’</w:t>
      </w:r>
      <w:r w:rsidR="002E353E" w:rsidRPr="000A703F">
        <w:t>une personne d</w:t>
      </w:r>
      <w:r w:rsidR="002E353E">
        <w:t>’</w:t>
      </w:r>
      <w:r w:rsidR="002E353E" w:rsidRPr="000A703F">
        <w:t>entrer dans son propre pays pourrait être raisonnable, s</w:t>
      </w:r>
      <w:r w:rsidR="002E353E">
        <w:t>’</w:t>
      </w:r>
      <w:r w:rsidR="002E353E" w:rsidRPr="000A703F">
        <w:t>ils existent, sont rares</w:t>
      </w:r>
      <w:r w:rsidR="002E353E" w:rsidRPr="000A703F">
        <w:rPr>
          <w:vertAlign w:val="superscript"/>
        </w:rPr>
        <w:footnoteReference w:id="44"/>
      </w:r>
      <w:r w:rsidR="002E353E" w:rsidRPr="000A703F">
        <w:t>. Un État partie ne doit pas, en privant une personne de sa nationalité ou en l</w:t>
      </w:r>
      <w:r w:rsidR="002E353E">
        <w:t>’</w:t>
      </w:r>
      <w:r w:rsidR="002E353E" w:rsidRPr="000A703F">
        <w:t xml:space="preserve">expulsant vers un autre pays, empêcher arbitrairement celle-ci de retourner dans son propre pays. </w:t>
      </w:r>
      <w:r w:rsidR="002E353E">
        <w:t xml:space="preserve">En l’espèce, </w:t>
      </w:r>
      <w:r w:rsidR="002E353E" w:rsidRPr="000A703F">
        <w:t>l</w:t>
      </w:r>
      <w:r w:rsidR="002E353E">
        <w:t>’</w:t>
      </w:r>
      <w:r w:rsidR="002E353E" w:rsidRPr="000A703F">
        <w:t>expulsion de l</w:t>
      </w:r>
      <w:r w:rsidR="002E353E">
        <w:t>’</w:t>
      </w:r>
      <w:r w:rsidR="002E353E" w:rsidRPr="000A703F">
        <w:t xml:space="preserve">auteur vers la Somalie rendrait son retour au Canada de facto impossible en raison de la réglementation canadienne </w:t>
      </w:r>
      <w:r w:rsidR="002E353E">
        <w:t>sur l’</w:t>
      </w:r>
      <w:r w:rsidR="002E353E" w:rsidRPr="000A703F">
        <w:t>immigration. Le Comité considère par conséquent que l</w:t>
      </w:r>
      <w:r w:rsidR="002E353E">
        <w:t>’</w:t>
      </w:r>
      <w:r w:rsidR="002E353E" w:rsidRPr="000A703F">
        <w:t>expulsion de l</w:t>
      </w:r>
      <w:r w:rsidR="002E353E">
        <w:t>’</w:t>
      </w:r>
      <w:r w:rsidR="002E353E" w:rsidRPr="000A703F">
        <w:t xml:space="preserve">auteur vers la Somalie, en </w:t>
      </w:r>
      <w:r w:rsidR="002E353E">
        <w:t xml:space="preserve">faisant obstacle à </w:t>
      </w:r>
      <w:r w:rsidR="002E353E" w:rsidRPr="000A703F">
        <w:t xml:space="preserve">son retour dans son propre pays, serait disproportionnée au but légitime recherché, </w:t>
      </w:r>
      <w:r w:rsidR="002E353E">
        <w:t>qui est d’</w:t>
      </w:r>
      <w:r w:rsidR="002E353E" w:rsidRPr="000A703F">
        <w:t>empêcher que d</w:t>
      </w:r>
      <w:r w:rsidR="002E353E">
        <w:t>’</w:t>
      </w:r>
      <w:r w:rsidR="002E353E" w:rsidRPr="000A703F">
        <w:t xml:space="preserve">autres </w:t>
      </w:r>
      <w:r w:rsidR="002E353E">
        <w:t xml:space="preserve">infractions </w:t>
      </w:r>
      <w:r w:rsidR="002E353E" w:rsidRPr="000A703F">
        <w:t>ne soient commis</w:t>
      </w:r>
      <w:r w:rsidR="002E353E">
        <w:t>es</w:t>
      </w:r>
      <w:r w:rsidR="002E353E" w:rsidRPr="000A703F">
        <w:t>,</w:t>
      </w:r>
      <w:r w:rsidR="002E353E">
        <w:t xml:space="preserve"> et</w:t>
      </w:r>
      <w:r w:rsidR="002E353E" w:rsidRPr="000A703F">
        <w:t xml:space="preserve"> serait par conséquent arbitraire. Le Comité conclut que l</w:t>
      </w:r>
      <w:r w:rsidR="002E353E">
        <w:t>’</w:t>
      </w:r>
      <w:r w:rsidR="002E353E" w:rsidRPr="000A703F">
        <w:t>expulsion de l</w:t>
      </w:r>
      <w:r w:rsidR="002E353E">
        <w:t>’</w:t>
      </w:r>
      <w:r w:rsidR="002E353E" w:rsidRPr="000A703F">
        <w:t>auteur, si elle est exécutée</w:t>
      </w:r>
      <w:r w:rsidR="002E353E">
        <w:t>,</w:t>
      </w:r>
      <w:r w:rsidR="002E353E" w:rsidRPr="000A703F">
        <w:t xml:space="preserve"> constituerait une violation du paragraphe 4 de l</w:t>
      </w:r>
      <w:r w:rsidR="002E353E">
        <w:t>’</w:t>
      </w:r>
      <w:r w:rsidR="002E353E" w:rsidRPr="000A703F">
        <w:t>article 12 du Pacte.</w:t>
      </w:r>
    </w:p>
    <w:p w:rsidR="00FE0408" w:rsidRPr="001E637A" w:rsidRDefault="00FE0408" w:rsidP="00FE0408">
      <w:pPr>
        <w:pStyle w:val="H56G"/>
        <w:rPr>
          <w:lang w:val="fr-FR"/>
        </w:rPr>
      </w:pPr>
      <w:r w:rsidRPr="0061628F">
        <w:rPr>
          <w:lang w:val="fr-FR"/>
        </w:rPr>
        <w:tab/>
      </w:r>
      <w:r w:rsidRPr="0061628F">
        <w:rPr>
          <w:lang w:val="fr-FR"/>
        </w:rPr>
        <w:tab/>
      </w:r>
      <w:r w:rsidRPr="001E637A">
        <w:rPr>
          <w:lang w:val="fr-FR"/>
        </w:rPr>
        <w:t>Article 17 et paragraphe 1 de l</w:t>
      </w:r>
      <w:r>
        <w:rPr>
          <w:lang w:val="fr-FR"/>
        </w:rPr>
        <w:t>’article 23</w:t>
      </w:r>
    </w:p>
    <w:p w:rsidR="00FE0408" w:rsidRPr="001E637A" w:rsidRDefault="00FE0408" w:rsidP="00FE0408">
      <w:pPr>
        <w:pStyle w:val="SingleTxtG"/>
        <w:rPr>
          <w:lang w:val="fr-FR"/>
        </w:rPr>
      </w:pPr>
      <w:r>
        <w:rPr>
          <w:lang w:val="fr-FR"/>
        </w:rPr>
        <w:t>8.7</w:t>
      </w:r>
      <w:r w:rsidRPr="001E637A">
        <w:rPr>
          <w:lang w:val="fr-FR"/>
        </w:rPr>
        <w:tab/>
        <w:t xml:space="preserve">Pour ce qui est </w:t>
      </w:r>
      <w:r>
        <w:rPr>
          <w:lang w:val="fr-FR"/>
        </w:rPr>
        <w:t xml:space="preserve">du grief </w:t>
      </w:r>
      <w:r w:rsidRPr="001E637A">
        <w:rPr>
          <w:lang w:val="fr-FR"/>
        </w:rPr>
        <w:t>de violation des articles 17 et 23 (par. 1), lus seuls et conjointement avec le paragraphe 3 de l</w:t>
      </w:r>
      <w:r>
        <w:rPr>
          <w:lang w:val="fr-FR"/>
        </w:rPr>
        <w:t>’</w:t>
      </w:r>
      <w:r w:rsidRPr="001E637A">
        <w:rPr>
          <w:lang w:val="fr-FR"/>
        </w:rPr>
        <w:t>article 2, le Comité rappelle sa jurisprudence selon laquelle il peut se produire des cas où le refus de l</w:t>
      </w:r>
      <w:r>
        <w:rPr>
          <w:lang w:val="fr-FR"/>
        </w:rPr>
        <w:t>’</w:t>
      </w:r>
      <w:r w:rsidRPr="001E637A">
        <w:rPr>
          <w:lang w:val="fr-FR"/>
        </w:rPr>
        <w:t>État partie de laisser un membre d</w:t>
      </w:r>
      <w:r>
        <w:rPr>
          <w:lang w:val="fr-FR"/>
        </w:rPr>
        <w:t>’</w:t>
      </w:r>
      <w:r w:rsidRPr="001E637A">
        <w:rPr>
          <w:lang w:val="fr-FR"/>
        </w:rPr>
        <w:t>une famille rester sur son territoire représente une ingérence dans la vie de la famille de cette personne. Toutefois, le simple fait que certains membres d</w:t>
      </w:r>
      <w:r>
        <w:rPr>
          <w:lang w:val="fr-FR"/>
        </w:rPr>
        <w:t>’</w:t>
      </w:r>
      <w:r w:rsidRPr="001E637A">
        <w:rPr>
          <w:lang w:val="fr-FR"/>
        </w:rPr>
        <w:t>une famille aient le droit de rester sur le territoire d</w:t>
      </w:r>
      <w:r>
        <w:rPr>
          <w:lang w:val="fr-FR"/>
        </w:rPr>
        <w:t>’</w:t>
      </w:r>
      <w:r w:rsidRPr="001E637A">
        <w:rPr>
          <w:lang w:val="fr-FR"/>
        </w:rPr>
        <w:t>un État partie ne fait pas forcément de l</w:t>
      </w:r>
      <w:r>
        <w:rPr>
          <w:lang w:val="fr-FR"/>
        </w:rPr>
        <w:t>’</w:t>
      </w:r>
      <w:r w:rsidRPr="001E637A">
        <w:rPr>
          <w:lang w:val="fr-FR"/>
        </w:rPr>
        <w:t>expulsion d</w:t>
      </w:r>
      <w:r>
        <w:rPr>
          <w:lang w:val="fr-FR"/>
        </w:rPr>
        <w:t>’</w:t>
      </w:r>
      <w:r w:rsidRPr="001E637A">
        <w:rPr>
          <w:lang w:val="fr-FR"/>
        </w:rPr>
        <w:t>un des membres de la même famille une ingérence du même ordre</w:t>
      </w:r>
      <w:r>
        <w:rPr>
          <w:rStyle w:val="FootnoteReference"/>
        </w:rPr>
        <w:footnoteReference w:id="45"/>
      </w:r>
      <w:r w:rsidRPr="001E637A">
        <w:rPr>
          <w:lang w:val="fr-FR"/>
        </w:rPr>
        <w:t>. Le Comité rappelle également ses Observations générales n</w:t>
      </w:r>
      <w:r w:rsidRPr="001E637A">
        <w:rPr>
          <w:vertAlign w:val="superscript"/>
          <w:lang w:val="fr-FR"/>
        </w:rPr>
        <w:t>os</w:t>
      </w:r>
      <w:r w:rsidRPr="001E637A">
        <w:rPr>
          <w:lang w:val="fr-FR"/>
        </w:rPr>
        <w:t xml:space="preserve"> 16 et 19, </w:t>
      </w:r>
      <w:r>
        <w:rPr>
          <w:lang w:val="fr-FR"/>
        </w:rPr>
        <w:t xml:space="preserve">dans </w:t>
      </w:r>
      <w:r w:rsidRPr="001E637A">
        <w:rPr>
          <w:lang w:val="fr-FR"/>
        </w:rPr>
        <w:t xml:space="preserve">lesquelles </w:t>
      </w:r>
      <w:r>
        <w:rPr>
          <w:lang w:val="fr-FR"/>
        </w:rPr>
        <w:t xml:space="preserve">il souligne que la notion </w:t>
      </w:r>
      <w:r w:rsidRPr="001E637A">
        <w:rPr>
          <w:lang w:val="fr-FR"/>
        </w:rPr>
        <w:t>de famille doit être interprété</w:t>
      </w:r>
      <w:r>
        <w:rPr>
          <w:lang w:val="fr-FR"/>
        </w:rPr>
        <w:t>e</w:t>
      </w:r>
      <w:r w:rsidRPr="001E637A">
        <w:rPr>
          <w:lang w:val="fr-FR"/>
        </w:rPr>
        <w:t xml:space="preserve"> au sens large</w:t>
      </w:r>
      <w:r w:rsidRPr="001E637A">
        <w:rPr>
          <w:vertAlign w:val="superscript"/>
        </w:rPr>
        <w:footnoteReference w:id="46"/>
      </w:r>
      <w:r w:rsidRPr="001E637A">
        <w:rPr>
          <w:lang w:val="fr-FR"/>
        </w:rPr>
        <w:t>. Il rappelle en outre que la séparation d</w:t>
      </w:r>
      <w:r>
        <w:rPr>
          <w:lang w:val="fr-FR"/>
        </w:rPr>
        <w:t>’</w:t>
      </w:r>
      <w:r w:rsidRPr="001E637A">
        <w:rPr>
          <w:lang w:val="fr-FR"/>
        </w:rPr>
        <w:t>une personne d</w:t>
      </w:r>
      <w:r>
        <w:rPr>
          <w:lang w:val="fr-FR"/>
        </w:rPr>
        <w:t>’</w:t>
      </w:r>
      <w:r w:rsidRPr="001E637A">
        <w:rPr>
          <w:lang w:val="fr-FR"/>
        </w:rPr>
        <w:t xml:space="preserve">avec sa famille </w:t>
      </w:r>
      <w:r>
        <w:rPr>
          <w:lang w:val="fr-FR"/>
        </w:rPr>
        <w:t xml:space="preserve">résultant </w:t>
      </w:r>
      <w:r w:rsidRPr="001E637A">
        <w:rPr>
          <w:lang w:val="fr-FR"/>
        </w:rPr>
        <w:t>d</w:t>
      </w:r>
      <w:r>
        <w:rPr>
          <w:lang w:val="fr-FR"/>
        </w:rPr>
        <w:t>’</w:t>
      </w:r>
      <w:r w:rsidRPr="001E637A">
        <w:rPr>
          <w:lang w:val="fr-FR"/>
        </w:rPr>
        <w:t>une expulsion pourrait être considérée comme une immixtion arbitraire dans la famille et comme une violation de l</w:t>
      </w:r>
      <w:r>
        <w:rPr>
          <w:lang w:val="fr-FR"/>
        </w:rPr>
        <w:t>’</w:t>
      </w:r>
      <w:r w:rsidRPr="001E637A">
        <w:rPr>
          <w:lang w:val="fr-FR"/>
        </w:rPr>
        <w:t>article 17 si, dans les circonstances de la cause, les effets de la séparation sur l</w:t>
      </w:r>
      <w:r>
        <w:rPr>
          <w:lang w:val="fr-FR"/>
        </w:rPr>
        <w:t>’</w:t>
      </w:r>
      <w:r w:rsidRPr="001E637A">
        <w:rPr>
          <w:lang w:val="fr-FR"/>
        </w:rPr>
        <w:t>auteur étaient disproportionnés par rapport aux objectifs visés</w:t>
      </w:r>
      <w:r w:rsidRPr="001E637A">
        <w:rPr>
          <w:vertAlign w:val="superscript"/>
        </w:rPr>
        <w:footnoteReference w:id="47"/>
      </w:r>
      <w:r w:rsidRPr="001E637A">
        <w:rPr>
          <w:lang w:val="fr-FR"/>
        </w:rPr>
        <w:t>.</w:t>
      </w:r>
    </w:p>
    <w:p w:rsidR="00FE0408" w:rsidRPr="001E637A" w:rsidRDefault="00FE0408" w:rsidP="00FE0408">
      <w:pPr>
        <w:pStyle w:val="SingleTxtG"/>
        <w:rPr>
          <w:lang w:val="fr-FR"/>
        </w:rPr>
      </w:pPr>
      <w:r>
        <w:rPr>
          <w:lang w:val="fr-FR"/>
        </w:rPr>
        <w:t>8.8</w:t>
      </w:r>
      <w:r w:rsidRPr="001E637A">
        <w:rPr>
          <w:lang w:val="fr-FR"/>
        </w:rPr>
        <w:tab/>
        <w:t>Le Comité constate que l</w:t>
      </w:r>
      <w:r>
        <w:rPr>
          <w:lang w:val="fr-FR"/>
        </w:rPr>
        <w:t>’</w:t>
      </w:r>
      <w:r w:rsidRPr="001E637A">
        <w:rPr>
          <w:lang w:val="fr-FR"/>
        </w:rPr>
        <w:t>expulsion de l</w:t>
      </w:r>
      <w:r>
        <w:rPr>
          <w:lang w:val="fr-FR"/>
        </w:rPr>
        <w:t>’</w:t>
      </w:r>
      <w:r w:rsidRPr="001E637A">
        <w:rPr>
          <w:lang w:val="fr-FR"/>
        </w:rPr>
        <w:t xml:space="preserve">auteur vers la Somalie constituerait une immixtion dans ses relations familiales au Canada. Toutefois, </w:t>
      </w:r>
      <w:r>
        <w:rPr>
          <w:lang w:val="fr-FR"/>
        </w:rPr>
        <w:t xml:space="preserve">ce que le Comité doit déterminer est </w:t>
      </w:r>
      <w:r w:rsidRPr="001E637A">
        <w:rPr>
          <w:lang w:val="fr-FR"/>
        </w:rPr>
        <w:t>si cette immixtion pourrait être considérée comme arbitraire ou illégale. La loi sur l</w:t>
      </w:r>
      <w:r>
        <w:rPr>
          <w:lang w:val="fr-FR"/>
        </w:rPr>
        <w:t>’</w:t>
      </w:r>
      <w:r w:rsidRPr="001E637A">
        <w:rPr>
          <w:lang w:val="fr-FR"/>
        </w:rPr>
        <w:t>immigration et la protection des réfugiés de l</w:t>
      </w:r>
      <w:r>
        <w:rPr>
          <w:lang w:val="fr-FR"/>
        </w:rPr>
        <w:t>’</w:t>
      </w:r>
      <w:r w:rsidRPr="001E637A">
        <w:rPr>
          <w:lang w:val="fr-FR"/>
        </w:rPr>
        <w:t>État partie prévoit expressément que le statut de résident permanent d</w:t>
      </w:r>
      <w:r>
        <w:rPr>
          <w:lang w:val="fr-FR"/>
        </w:rPr>
        <w:t>’</w:t>
      </w:r>
      <w:r w:rsidRPr="001E637A">
        <w:rPr>
          <w:lang w:val="fr-FR"/>
        </w:rPr>
        <w:t xml:space="preserve">un étranger peut être révoqué en cas de condamnation pour </w:t>
      </w:r>
      <w:r>
        <w:rPr>
          <w:lang w:val="fr-FR"/>
        </w:rPr>
        <w:t xml:space="preserve">une </w:t>
      </w:r>
      <w:r w:rsidRPr="001E637A">
        <w:rPr>
          <w:lang w:val="fr-FR"/>
        </w:rPr>
        <w:t>infraction grave puni</w:t>
      </w:r>
      <w:r>
        <w:rPr>
          <w:lang w:val="fr-FR"/>
        </w:rPr>
        <w:t>e</w:t>
      </w:r>
      <w:r w:rsidRPr="001E637A">
        <w:rPr>
          <w:lang w:val="fr-FR"/>
        </w:rPr>
        <w:t xml:space="preserve"> d</w:t>
      </w:r>
      <w:r>
        <w:rPr>
          <w:lang w:val="fr-FR"/>
        </w:rPr>
        <w:t>’</w:t>
      </w:r>
      <w:r w:rsidRPr="001E637A">
        <w:rPr>
          <w:lang w:val="fr-FR"/>
        </w:rPr>
        <w:t>une peine d</w:t>
      </w:r>
      <w:r>
        <w:rPr>
          <w:lang w:val="fr-FR"/>
        </w:rPr>
        <w:t>’</w:t>
      </w:r>
      <w:r w:rsidRPr="001E637A">
        <w:rPr>
          <w:lang w:val="fr-FR"/>
        </w:rPr>
        <w:t>au moins deux ans d</w:t>
      </w:r>
      <w:r>
        <w:rPr>
          <w:lang w:val="fr-FR"/>
        </w:rPr>
        <w:t>’</w:t>
      </w:r>
      <w:r w:rsidRPr="001E637A">
        <w:rPr>
          <w:lang w:val="fr-FR"/>
        </w:rPr>
        <w:t>emprisonnement. Le Comité prend note de l</w:t>
      </w:r>
      <w:r>
        <w:rPr>
          <w:lang w:val="fr-FR"/>
        </w:rPr>
        <w:t>’</w:t>
      </w:r>
      <w:r w:rsidRPr="001E637A">
        <w:rPr>
          <w:lang w:val="fr-FR"/>
        </w:rPr>
        <w:t>observation formulée par l</w:t>
      </w:r>
      <w:r>
        <w:rPr>
          <w:lang w:val="fr-FR"/>
        </w:rPr>
        <w:t>’</w:t>
      </w:r>
      <w:r w:rsidRPr="001E637A">
        <w:rPr>
          <w:lang w:val="fr-FR"/>
        </w:rPr>
        <w:t>État partie selon laquelle les autorités n</w:t>
      </w:r>
      <w:r>
        <w:rPr>
          <w:lang w:val="fr-FR"/>
        </w:rPr>
        <w:t>’</w:t>
      </w:r>
      <w:r w:rsidRPr="001E637A">
        <w:rPr>
          <w:lang w:val="fr-FR"/>
        </w:rPr>
        <w:t>ont agi ni illégalement ni arbitrairement et que la perturbation minime infligée à la vie familiale de l</w:t>
      </w:r>
      <w:r>
        <w:rPr>
          <w:lang w:val="fr-FR"/>
        </w:rPr>
        <w:t>’</w:t>
      </w:r>
      <w:r w:rsidRPr="001E637A">
        <w:rPr>
          <w:lang w:val="fr-FR"/>
        </w:rPr>
        <w:t>auteur est sans commune mesure avec la gravité des infractions commises. Le Comité constate que le caractère arbitraire au sens de l</w:t>
      </w:r>
      <w:r>
        <w:rPr>
          <w:lang w:val="fr-FR"/>
        </w:rPr>
        <w:t>’</w:t>
      </w:r>
      <w:r w:rsidRPr="001E637A">
        <w:rPr>
          <w:lang w:val="fr-FR"/>
        </w:rPr>
        <w:t>article 17 ne vise pas seulement le caractère arbitraire de la procédure, mais également le caractère raisonnable de l</w:t>
      </w:r>
      <w:r>
        <w:rPr>
          <w:lang w:val="fr-FR"/>
        </w:rPr>
        <w:t>’</w:t>
      </w:r>
      <w:r w:rsidRPr="001E637A">
        <w:rPr>
          <w:lang w:val="fr-FR"/>
        </w:rPr>
        <w:t>immixtion portant atteinte aux droits consacrés dans l</w:t>
      </w:r>
      <w:r>
        <w:rPr>
          <w:lang w:val="fr-FR"/>
        </w:rPr>
        <w:t>’</w:t>
      </w:r>
      <w:r w:rsidRPr="001E637A">
        <w:rPr>
          <w:lang w:val="fr-FR"/>
        </w:rPr>
        <w:t>article 17, ainsi que sa compatibilité avec les buts, finalités et objectifs du Pacte</w:t>
      </w:r>
      <w:r w:rsidRPr="001E637A">
        <w:rPr>
          <w:vertAlign w:val="superscript"/>
        </w:rPr>
        <w:footnoteReference w:id="48"/>
      </w:r>
      <w:r>
        <w:rPr>
          <w:lang w:val="fr-FR"/>
        </w:rPr>
        <w:t>.</w:t>
      </w:r>
    </w:p>
    <w:p w:rsidR="00FE0408" w:rsidRPr="001E637A" w:rsidRDefault="00FE0408" w:rsidP="00FE0408">
      <w:pPr>
        <w:pStyle w:val="SingleTxtG"/>
        <w:rPr>
          <w:lang w:val="fr-FR"/>
        </w:rPr>
      </w:pPr>
      <w:r w:rsidRPr="001E637A">
        <w:rPr>
          <w:lang w:val="fr-FR"/>
        </w:rPr>
        <w:t>8.</w:t>
      </w:r>
      <w:r>
        <w:rPr>
          <w:lang w:val="fr-FR"/>
        </w:rPr>
        <w:t>9</w:t>
      </w:r>
      <w:r w:rsidRPr="001E637A">
        <w:rPr>
          <w:lang w:val="fr-FR"/>
        </w:rPr>
        <w:tab/>
        <w:t xml:space="preserve">Le Comité </w:t>
      </w:r>
      <w:r>
        <w:rPr>
          <w:lang w:val="fr-FR"/>
        </w:rPr>
        <w:t xml:space="preserve">relève </w:t>
      </w:r>
      <w:r w:rsidRPr="001E637A">
        <w:rPr>
          <w:lang w:val="fr-FR"/>
        </w:rPr>
        <w:t>que le casier judiciaire de l</w:t>
      </w:r>
      <w:r>
        <w:rPr>
          <w:lang w:val="fr-FR"/>
        </w:rPr>
        <w:t>’</w:t>
      </w:r>
      <w:r w:rsidRPr="001E637A">
        <w:rPr>
          <w:lang w:val="fr-FR"/>
        </w:rPr>
        <w:t>auteur, condamné pour la première fois en 1999, à l</w:t>
      </w:r>
      <w:r>
        <w:rPr>
          <w:lang w:val="fr-FR"/>
        </w:rPr>
        <w:t>’âge de 15 </w:t>
      </w:r>
      <w:r w:rsidRPr="001E637A">
        <w:rPr>
          <w:lang w:val="fr-FR"/>
        </w:rPr>
        <w:t>ans, comprend une condamnation pour l</w:t>
      </w:r>
      <w:r>
        <w:rPr>
          <w:lang w:val="fr-FR"/>
        </w:rPr>
        <w:t>’</w:t>
      </w:r>
      <w:r w:rsidRPr="001E637A">
        <w:rPr>
          <w:lang w:val="fr-FR"/>
        </w:rPr>
        <w:t>agression d</w:t>
      </w:r>
      <w:r>
        <w:rPr>
          <w:lang w:val="fr-FR"/>
        </w:rPr>
        <w:t>’une femme âgée de 60 </w:t>
      </w:r>
      <w:r w:rsidRPr="001E637A">
        <w:rPr>
          <w:lang w:val="fr-FR"/>
        </w:rPr>
        <w:t>ans et une autre pour des coups répétés portés contre un employé de magasin à l</w:t>
      </w:r>
      <w:r>
        <w:rPr>
          <w:lang w:val="fr-FR"/>
        </w:rPr>
        <w:t>’</w:t>
      </w:r>
      <w:r w:rsidRPr="001E637A">
        <w:rPr>
          <w:lang w:val="fr-FR"/>
        </w:rPr>
        <w:t>aide d</w:t>
      </w:r>
      <w:r>
        <w:rPr>
          <w:lang w:val="fr-FR"/>
        </w:rPr>
        <w:t>’</w:t>
      </w:r>
      <w:r w:rsidRPr="001E637A">
        <w:rPr>
          <w:lang w:val="fr-FR"/>
        </w:rPr>
        <w:t>un tournevis lors d</w:t>
      </w:r>
      <w:r>
        <w:rPr>
          <w:lang w:val="fr-FR"/>
        </w:rPr>
        <w:t>’</w:t>
      </w:r>
      <w:r w:rsidRPr="001E637A">
        <w:rPr>
          <w:lang w:val="fr-FR"/>
        </w:rPr>
        <w:t xml:space="preserve">un vol. Il </w:t>
      </w:r>
      <w:r>
        <w:rPr>
          <w:lang w:val="fr-FR"/>
        </w:rPr>
        <w:t xml:space="preserve">relève </w:t>
      </w:r>
      <w:r w:rsidRPr="001E637A">
        <w:rPr>
          <w:lang w:val="fr-FR"/>
        </w:rPr>
        <w:t>également que, du fait de ses condamnations, l</w:t>
      </w:r>
      <w:r>
        <w:rPr>
          <w:lang w:val="fr-FR"/>
        </w:rPr>
        <w:t>’</w:t>
      </w:r>
      <w:r w:rsidRPr="001E637A">
        <w:rPr>
          <w:lang w:val="fr-FR"/>
        </w:rPr>
        <w:t>auteur a été à deux reprises interdit de territoire et a fait l</w:t>
      </w:r>
      <w:r>
        <w:rPr>
          <w:lang w:val="fr-FR"/>
        </w:rPr>
        <w:t>’</w:t>
      </w:r>
      <w:r w:rsidRPr="001E637A">
        <w:rPr>
          <w:lang w:val="fr-FR"/>
        </w:rPr>
        <w:t>objet d</w:t>
      </w:r>
      <w:r>
        <w:rPr>
          <w:lang w:val="fr-FR"/>
        </w:rPr>
        <w:t>’</w:t>
      </w:r>
      <w:r w:rsidRPr="001E637A">
        <w:rPr>
          <w:lang w:val="fr-FR"/>
        </w:rPr>
        <w:t>un arrêté d</w:t>
      </w:r>
      <w:r>
        <w:rPr>
          <w:lang w:val="fr-FR"/>
        </w:rPr>
        <w:t>’</w:t>
      </w:r>
      <w:r w:rsidRPr="001E637A">
        <w:rPr>
          <w:lang w:val="fr-FR"/>
        </w:rPr>
        <w:t>expulsion le 22</w:t>
      </w:r>
      <w:r>
        <w:rPr>
          <w:lang w:val="fr-FR"/>
        </w:rPr>
        <w:t> </w:t>
      </w:r>
      <w:r w:rsidRPr="001E637A">
        <w:rPr>
          <w:lang w:val="fr-FR"/>
        </w:rPr>
        <w:t xml:space="preserve">juin 2006. Le Comité </w:t>
      </w:r>
      <w:r>
        <w:rPr>
          <w:lang w:val="fr-FR"/>
        </w:rPr>
        <w:t xml:space="preserve">relève </w:t>
      </w:r>
      <w:r w:rsidRPr="001E637A">
        <w:rPr>
          <w:lang w:val="fr-FR"/>
        </w:rPr>
        <w:t>en outre que l</w:t>
      </w:r>
      <w:r>
        <w:rPr>
          <w:lang w:val="fr-FR"/>
        </w:rPr>
        <w:t>’</w:t>
      </w:r>
      <w:r w:rsidRPr="001E637A">
        <w:rPr>
          <w:lang w:val="fr-FR"/>
        </w:rPr>
        <w:t>auteur affirme qu</w:t>
      </w:r>
      <w:r>
        <w:rPr>
          <w:lang w:val="fr-FR"/>
        </w:rPr>
        <w:t>’</w:t>
      </w:r>
      <w:r w:rsidRPr="001E637A">
        <w:rPr>
          <w:lang w:val="fr-FR"/>
        </w:rPr>
        <w:t>il entretient des liens étroits avec sa mère et ses sœurs</w:t>
      </w:r>
      <w:r>
        <w:rPr>
          <w:lang w:val="fr-FR"/>
        </w:rPr>
        <w:t>,</w:t>
      </w:r>
      <w:r w:rsidRPr="001E637A">
        <w:rPr>
          <w:lang w:val="fr-FR"/>
        </w:rPr>
        <w:t xml:space="preserve"> qu</w:t>
      </w:r>
      <w:r>
        <w:rPr>
          <w:lang w:val="fr-FR"/>
        </w:rPr>
        <w:t>’</w:t>
      </w:r>
      <w:r w:rsidRPr="001E637A">
        <w:rPr>
          <w:lang w:val="fr-FR"/>
        </w:rPr>
        <w:t>il prévoit de soutenir sa mère, atteinte d</w:t>
      </w:r>
      <w:r>
        <w:rPr>
          <w:lang w:val="fr-FR"/>
        </w:rPr>
        <w:t>’</w:t>
      </w:r>
      <w:r w:rsidRPr="001E637A">
        <w:rPr>
          <w:lang w:val="fr-FR"/>
        </w:rPr>
        <w:t>une maladie mentale</w:t>
      </w:r>
      <w:r>
        <w:rPr>
          <w:lang w:val="fr-FR"/>
        </w:rPr>
        <w:t>,</w:t>
      </w:r>
      <w:r w:rsidRPr="001E637A">
        <w:rPr>
          <w:lang w:val="fr-FR"/>
        </w:rPr>
        <w:t xml:space="preserve"> qu</w:t>
      </w:r>
      <w:r>
        <w:rPr>
          <w:lang w:val="fr-FR"/>
        </w:rPr>
        <w:t>’</w:t>
      </w:r>
      <w:r w:rsidRPr="001E637A">
        <w:rPr>
          <w:lang w:val="fr-FR"/>
        </w:rPr>
        <w:t>il n</w:t>
      </w:r>
      <w:r>
        <w:rPr>
          <w:lang w:val="fr-FR"/>
        </w:rPr>
        <w:t>’</w:t>
      </w:r>
      <w:r w:rsidRPr="001E637A">
        <w:rPr>
          <w:lang w:val="fr-FR"/>
        </w:rPr>
        <w:t>a aucune famille en Somalie et que son expulsion entraînerait une rupture de ses liens familiaux étant donné que sa famille ne pourrait pas se rendre en Somalie. Il prend note de l</w:t>
      </w:r>
      <w:r>
        <w:rPr>
          <w:lang w:val="fr-FR"/>
        </w:rPr>
        <w:t>’</w:t>
      </w:r>
      <w:r w:rsidRPr="001E637A">
        <w:rPr>
          <w:lang w:val="fr-FR"/>
        </w:rPr>
        <w:t>argument de l</w:t>
      </w:r>
      <w:r>
        <w:rPr>
          <w:lang w:val="fr-FR"/>
        </w:rPr>
        <w:t>’</w:t>
      </w:r>
      <w:r w:rsidRPr="001E637A">
        <w:rPr>
          <w:lang w:val="fr-FR"/>
        </w:rPr>
        <w:t xml:space="preserve">auteur </w:t>
      </w:r>
      <w:r>
        <w:rPr>
          <w:lang w:val="fr-FR"/>
        </w:rPr>
        <w:t xml:space="preserve">qui fait valoir que </w:t>
      </w:r>
      <w:r w:rsidRPr="001E637A">
        <w:rPr>
          <w:lang w:val="fr-FR"/>
        </w:rPr>
        <w:t>les infractions pénales qu</w:t>
      </w:r>
      <w:r>
        <w:rPr>
          <w:lang w:val="fr-FR"/>
        </w:rPr>
        <w:t>’</w:t>
      </w:r>
      <w:r w:rsidRPr="001E637A">
        <w:rPr>
          <w:lang w:val="fr-FR"/>
        </w:rPr>
        <w:t>il a commises étaient dues à sa toxicomanie, qu</w:t>
      </w:r>
      <w:r>
        <w:rPr>
          <w:lang w:val="fr-FR"/>
        </w:rPr>
        <w:t>’</w:t>
      </w:r>
      <w:r w:rsidRPr="001E637A">
        <w:rPr>
          <w:lang w:val="fr-FR"/>
        </w:rPr>
        <w:t>il a depuis vaincue, et que mises à part ses condamnations pour agression et pour possession de stupéfiants à des fins de trafic, il n</w:t>
      </w:r>
      <w:r>
        <w:rPr>
          <w:lang w:val="fr-FR"/>
        </w:rPr>
        <w:t>’</w:t>
      </w:r>
      <w:r w:rsidRPr="001E637A">
        <w:rPr>
          <w:lang w:val="fr-FR"/>
        </w:rPr>
        <w:t>a fait l</w:t>
      </w:r>
      <w:r>
        <w:rPr>
          <w:lang w:val="fr-FR"/>
        </w:rPr>
        <w:t>’objet que de peines mineures.</w:t>
      </w:r>
    </w:p>
    <w:p w:rsidR="00FE0408" w:rsidRDefault="00FE0408" w:rsidP="00FE0408">
      <w:pPr>
        <w:pStyle w:val="SingleTxtG"/>
        <w:rPr>
          <w:bCs/>
          <w:lang w:val="fr-FR"/>
        </w:rPr>
      </w:pPr>
      <w:r w:rsidRPr="001E637A">
        <w:rPr>
          <w:lang w:val="fr-FR"/>
        </w:rPr>
        <w:t>8.</w:t>
      </w:r>
      <w:r>
        <w:rPr>
          <w:lang w:val="fr-FR"/>
        </w:rPr>
        <w:t>10</w:t>
      </w:r>
      <w:r w:rsidRPr="001E637A">
        <w:rPr>
          <w:lang w:val="fr-FR"/>
        </w:rPr>
        <w:tab/>
        <w:t xml:space="preserve">Le Comité </w:t>
      </w:r>
      <w:r>
        <w:rPr>
          <w:lang w:val="fr-FR"/>
        </w:rPr>
        <w:t xml:space="preserve">note </w:t>
      </w:r>
      <w:r w:rsidRPr="001E637A">
        <w:rPr>
          <w:lang w:val="fr-FR"/>
        </w:rPr>
        <w:t>que l</w:t>
      </w:r>
      <w:r>
        <w:rPr>
          <w:lang w:val="fr-FR"/>
        </w:rPr>
        <w:t>’</w:t>
      </w:r>
      <w:r w:rsidRPr="001E637A">
        <w:rPr>
          <w:lang w:val="fr-FR"/>
        </w:rPr>
        <w:t>auteur n</w:t>
      </w:r>
      <w:r>
        <w:rPr>
          <w:lang w:val="fr-FR"/>
        </w:rPr>
        <w:t>’</w:t>
      </w:r>
      <w:r w:rsidRPr="001E637A">
        <w:rPr>
          <w:lang w:val="fr-FR"/>
        </w:rPr>
        <w:t>est pas né en Somalie et n</w:t>
      </w:r>
      <w:r>
        <w:rPr>
          <w:lang w:val="fr-FR"/>
        </w:rPr>
        <w:t>’</w:t>
      </w:r>
      <w:r w:rsidRPr="001E637A">
        <w:rPr>
          <w:lang w:val="fr-FR"/>
        </w:rPr>
        <w:t>y a jamais résidé, qu</w:t>
      </w:r>
      <w:r>
        <w:rPr>
          <w:lang w:val="fr-FR"/>
        </w:rPr>
        <w:t>’</w:t>
      </w:r>
      <w:r w:rsidRPr="001E637A">
        <w:rPr>
          <w:lang w:val="fr-FR"/>
        </w:rPr>
        <w:t>il vit au Canada depuis l</w:t>
      </w:r>
      <w:r>
        <w:rPr>
          <w:lang w:val="fr-FR"/>
        </w:rPr>
        <w:t>’</w:t>
      </w:r>
      <w:r w:rsidRPr="001E637A">
        <w:rPr>
          <w:lang w:val="fr-FR"/>
        </w:rPr>
        <w:t>âge de 4</w:t>
      </w:r>
      <w:r>
        <w:rPr>
          <w:lang w:val="fr-FR"/>
        </w:rPr>
        <w:t> </w:t>
      </w:r>
      <w:r w:rsidRPr="001E637A">
        <w:rPr>
          <w:lang w:val="fr-FR"/>
        </w:rPr>
        <w:t>ans, que sa mère et ses sœurs vivent au Canada et qu</w:t>
      </w:r>
      <w:r>
        <w:rPr>
          <w:lang w:val="fr-FR"/>
        </w:rPr>
        <w:t>’</w:t>
      </w:r>
      <w:r w:rsidRPr="001E637A">
        <w:rPr>
          <w:lang w:val="fr-FR"/>
        </w:rPr>
        <w:t>il n</w:t>
      </w:r>
      <w:r>
        <w:rPr>
          <w:lang w:val="fr-FR"/>
        </w:rPr>
        <w:t>’</w:t>
      </w:r>
      <w:r w:rsidRPr="001E637A">
        <w:rPr>
          <w:lang w:val="fr-FR"/>
        </w:rPr>
        <w:t xml:space="preserve">a aucune famille en Somalie. Le Comité </w:t>
      </w:r>
      <w:r>
        <w:rPr>
          <w:lang w:val="fr-FR"/>
        </w:rPr>
        <w:t xml:space="preserve">relève </w:t>
      </w:r>
      <w:r w:rsidRPr="001E637A">
        <w:rPr>
          <w:lang w:val="fr-FR"/>
        </w:rPr>
        <w:t>que les parties ont des avis divergents sur l</w:t>
      </w:r>
      <w:r>
        <w:rPr>
          <w:lang w:val="fr-FR"/>
        </w:rPr>
        <w:t>’</w:t>
      </w:r>
      <w:r w:rsidRPr="001E637A">
        <w:rPr>
          <w:lang w:val="fr-FR"/>
        </w:rPr>
        <w:t>intensité des liens familiaux qui unissent l</w:t>
      </w:r>
      <w:r>
        <w:rPr>
          <w:lang w:val="fr-FR"/>
        </w:rPr>
        <w:t>’</w:t>
      </w:r>
      <w:r w:rsidRPr="001E637A">
        <w:rPr>
          <w:lang w:val="fr-FR"/>
        </w:rPr>
        <w:t xml:space="preserve">auteur à sa mère et à ses sœurs. Il </w:t>
      </w:r>
      <w:r>
        <w:rPr>
          <w:lang w:val="fr-FR"/>
        </w:rPr>
        <w:t xml:space="preserve">note </w:t>
      </w:r>
      <w:r w:rsidRPr="001E637A">
        <w:rPr>
          <w:lang w:val="fr-FR"/>
        </w:rPr>
        <w:t>néanmoins que les liens familiaux de l</w:t>
      </w:r>
      <w:r>
        <w:rPr>
          <w:lang w:val="fr-FR"/>
        </w:rPr>
        <w:t>’</w:t>
      </w:r>
      <w:r w:rsidRPr="001E637A">
        <w:rPr>
          <w:lang w:val="fr-FR"/>
        </w:rPr>
        <w:t>auteur seraient détruits de manière irréversible s</w:t>
      </w:r>
      <w:r>
        <w:rPr>
          <w:lang w:val="fr-FR"/>
        </w:rPr>
        <w:t>’</w:t>
      </w:r>
      <w:r w:rsidRPr="001E637A">
        <w:rPr>
          <w:lang w:val="fr-FR"/>
        </w:rPr>
        <w:t>il était expulsé vers la Somalie, étant donné que sa famille ne pourrait pas lui rendre visite et qu</w:t>
      </w:r>
      <w:r>
        <w:rPr>
          <w:lang w:val="fr-FR"/>
        </w:rPr>
        <w:t>’</w:t>
      </w:r>
      <w:r w:rsidRPr="001E637A">
        <w:rPr>
          <w:lang w:val="fr-FR"/>
        </w:rPr>
        <w:t>il n</w:t>
      </w:r>
      <w:r>
        <w:rPr>
          <w:lang w:val="fr-FR"/>
        </w:rPr>
        <w:t>’</w:t>
      </w:r>
      <w:r w:rsidRPr="001E637A">
        <w:rPr>
          <w:lang w:val="fr-FR"/>
        </w:rPr>
        <w:t>aurait guère la possibilité d</w:t>
      </w:r>
      <w:r>
        <w:rPr>
          <w:lang w:val="fr-FR"/>
        </w:rPr>
        <w:t>’</w:t>
      </w:r>
      <w:r w:rsidRPr="001E637A">
        <w:rPr>
          <w:lang w:val="fr-FR"/>
        </w:rPr>
        <w:t>entretenir une correspondance régulière avec sa famille au Canada. De plus, pendant un laps de temps important, l</w:t>
      </w:r>
      <w:r>
        <w:rPr>
          <w:lang w:val="fr-FR"/>
        </w:rPr>
        <w:t>’</w:t>
      </w:r>
      <w:r w:rsidRPr="001E637A">
        <w:rPr>
          <w:lang w:val="fr-FR"/>
        </w:rPr>
        <w:t xml:space="preserve">auteur ne pourrait pas demander un visa de visiteur pour </w:t>
      </w:r>
      <w:r>
        <w:rPr>
          <w:lang w:val="fr-FR"/>
        </w:rPr>
        <w:t xml:space="preserve">aller voir </w:t>
      </w:r>
      <w:r w:rsidRPr="001E637A">
        <w:rPr>
          <w:lang w:val="fr-FR"/>
        </w:rPr>
        <w:t xml:space="preserve">sa famille au Canada. Le Comité note que, </w:t>
      </w:r>
      <w:r>
        <w:rPr>
          <w:lang w:val="fr-FR"/>
        </w:rPr>
        <w:t>aucun recours judiciaire n’étant de facto disponible</w:t>
      </w:r>
      <w:r w:rsidRPr="001E637A">
        <w:rPr>
          <w:lang w:val="fr-FR"/>
        </w:rPr>
        <w:t>, l</w:t>
      </w:r>
      <w:r>
        <w:rPr>
          <w:lang w:val="fr-FR"/>
        </w:rPr>
        <w:t>’</w:t>
      </w:r>
      <w:r w:rsidRPr="001E637A">
        <w:rPr>
          <w:lang w:val="fr-FR"/>
        </w:rPr>
        <w:t>auteur n</w:t>
      </w:r>
      <w:r>
        <w:rPr>
          <w:lang w:val="fr-FR"/>
        </w:rPr>
        <w:t>’</w:t>
      </w:r>
      <w:r w:rsidRPr="001E637A">
        <w:rPr>
          <w:lang w:val="fr-FR"/>
        </w:rPr>
        <w:t>a pas pu saisir les tribunaux nationaux. Le Comité conclut donc que l</w:t>
      </w:r>
      <w:r>
        <w:rPr>
          <w:lang w:val="fr-FR"/>
        </w:rPr>
        <w:t>’</w:t>
      </w:r>
      <w:r w:rsidRPr="001E637A">
        <w:rPr>
          <w:lang w:val="fr-FR"/>
        </w:rPr>
        <w:t>immi</w:t>
      </w:r>
      <w:r>
        <w:rPr>
          <w:lang w:val="fr-FR"/>
        </w:rPr>
        <w:t>xtion dans la vie familiale</w:t>
      </w:r>
      <w:r w:rsidRPr="001E637A">
        <w:rPr>
          <w:lang w:val="fr-FR"/>
        </w:rPr>
        <w:t xml:space="preserve">, qui se traduirait par une rupture irréversible de liens </w:t>
      </w:r>
      <w:r>
        <w:rPr>
          <w:lang w:val="fr-FR"/>
        </w:rPr>
        <w:t xml:space="preserve">de l’auteur </w:t>
      </w:r>
      <w:r w:rsidRPr="001E637A">
        <w:rPr>
          <w:lang w:val="fr-FR"/>
        </w:rPr>
        <w:t>avec sa mère et ses sœurs au Canada, serait disproportionnée par rapport à l</w:t>
      </w:r>
      <w:r>
        <w:rPr>
          <w:lang w:val="fr-FR"/>
        </w:rPr>
        <w:t>’</w:t>
      </w:r>
      <w:r w:rsidRPr="001E637A">
        <w:rPr>
          <w:lang w:val="fr-FR"/>
        </w:rPr>
        <w:t>objectif légitime consistant à prévenir la commission d</w:t>
      </w:r>
      <w:r>
        <w:rPr>
          <w:lang w:val="fr-FR"/>
        </w:rPr>
        <w:t>’</w:t>
      </w:r>
      <w:r w:rsidRPr="001E637A">
        <w:rPr>
          <w:lang w:val="fr-FR"/>
        </w:rPr>
        <w:t>autres infractions. Il conclut donc également que, si elle était exécutée, la décision d</w:t>
      </w:r>
      <w:r>
        <w:rPr>
          <w:lang w:val="fr-FR"/>
        </w:rPr>
        <w:t>’</w:t>
      </w:r>
      <w:r w:rsidRPr="001E637A">
        <w:rPr>
          <w:lang w:val="fr-FR"/>
        </w:rPr>
        <w:t>expulser l</w:t>
      </w:r>
      <w:r>
        <w:rPr>
          <w:lang w:val="fr-FR"/>
        </w:rPr>
        <w:t>’</w:t>
      </w:r>
      <w:r w:rsidRPr="001E637A">
        <w:rPr>
          <w:lang w:val="fr-FR"/>
        </w:rPr>
        <w:t xml:space="preserve">auteur constituerait une violation des articles 17 et 23 (par. 1), seuls </w:t>
      </w:r>
      <w:r>
        <w:rPr>
          <w:lang w:val="fr-FR"/>
        </w:rPr>
        <w:t>et lus</w:t>
      </w:r>
      <w:r w:rsidRPr="001E637A">
        <w:rPr>
          <w:lang w:val="fr-FR"/>
        </w:rPr>
        <w:t xml:space="preserve"> conjointement avec le paragraphe 3 de l</w:t>
      </w:r>
      <w:r>
        <w:rPr>
          <w:lang w:val="fr-FR"/>
        </w:rPr>
        <w:t>’</w:t>
      </w:r>
      <w:r w:rsidRPr="001E637A">
        <w:rPr>
          <w:lang w:val="fr-FR"/>
        </w:rPr>
        <w:t>article 2 du Pacte.</w:t>
      </w:r>
      <w:r w:rsidRPr="0061628F">
        <w:rPr>
          <w:lang w:val="fr-FR"/>
        </w:rPr>
        <w:t xml:space="preserve"> </w:t>
      </w:r>
    </w:p>
    <w:p w:rsidR="00FE0408" w:rsidRPr="000A703F" w:rsidRDefault="00FE0408" w:rsidP="00FE0408">
      <w:pPr>
        <w:pStyle w:val="SingleTxtG"/>
        <w:rPr>
          <w:lang w:val="fr-FR"/>
        </w:rPr>
      </w:pPr>
      <w:r w:rsidRPr="000A703F">
        <w:rPr>
          <w:lang w:val="fr-FR"/>
        </w:rPr>
        <w:t>9.</w:t>
      </w:r>
      <w:r w:rsidRPr="000A703F">
        <w:rPr>
          <w:lang w:val="fr-FR"/>
        </w:rPr>
        <w:tab/>
        <w:t>Le Comité, agissant en vertu du paragraphe 4 de l</w:t>
      </w:r>
      <w:r>
        <w:rPr>
          <w:lang w:val="fr-FR"/>
        </w:rPr>
        <w:t>’</w:t>
      </w:r>
      <w:r w:rsidRPr="000A703F">
        <w:rPr>
          <w:lang w:val="fr-FR"/>
        </w:rPr>
        <w:t>article 5 du Protocole facultatif se rapportant au Pacte, constate que l</w:t>
      </w:r>
      <w:r>
        <w:rPr>
          <w:lang w:val="fr-FR"/>
        </w:rPr>
        <w:t>’</w:t>
      </w:r>
      <w:r w:rsidRPr="000A703F">
        <w:rPr>
          <w:lang w:val="fr-FR"/>
        </w:rPr>
        <w:t>expulsion de l</w:t>
      </w:r>
      <w:r>
        <w:rPr>
          <w:lang w:val="fr-FR"/>
        </w:rPr>
        <w:t>’</w:t>
      </w:r>
      <w:r w:rsidRPr="000A703F">
        <w:rPr>
          <w:lang w:val="fr-FR"/>
        </w:rPr>
        <w:t>auteur vers la Somalie, si elle était exécutée, constituerait une violation des droits de l</w:t>
      </w:r>
      <w:r>
        <w:rPr>
          <w:lang w:val="fr-FR"/>
        </w:rPr>
        <w:t>’</w:t>
      </w:r>
      <w:r w:rsidRPr="000A703F">
        <w:rPr>
          <w:lang w:val="fr-FR"/>
        </w:rPr>
        <w:t xml:space="preserve">auteur en vertu des articles </w:t>
      </w:r>
      <w:r>
        <w:rPr>
          <w:lang w:val="fr-FR"/>
        </w:rPr>
        <w:t>6 (par. 1), 7, 12 (par. 4), 17 et 23 (par. 1) du Pacte.</w:t>
      </w:r>
    </w:p>
    <w:p w:rsidR="00FE0408" w:rsidRPr="000A703F" w:rsidRDefault="00FE0408" w:rsidP="00FE0408">
      <w:pPr>
        <w:pStyle w:val="SingleTxtG"/>
        <w:rPr>
          <w:lang w:val="fr-FR"/>
        </w:rPr>
      </w:pPr>
      <w:r w:rsidRPr="000A703F">
        <w:rPr>
          <w:lang w:val="fr-FR"/>
        </w:rPr>
        <w:t>10.</w:t>
      </w:r>
      <w:r w:rsidRPr="000A703F">
        <w:rPr>
          <w:lang w:val="fr-FR"/>
        </w:rPr>
        <w:tab/>
        <w:t>Conformément au paragraphe 3 a) de l</w:t>
      </w:r>
      <w:r>
        <w:rPr>
          <w:lang w:val="fr-FR"/>
        </w:rPr>
        <w:t>’</w:t>
      </w:r>
      <w:r w:rsidRPr="000A703F">
        <w:rPr>
          <w:lang w:val="fr-FR"/>
        </w:rPr>
        <w:t>article 2 du Pacte, l</w:t>
      </w:r>
      <w:r>
        <w:rPr>
          <w:lang w:val="fr-FR"/>
        </w:rPr>
        <w:t>’</w:t>
      </w:r>
      <w:r w:rsidRPr="000A703F">
        <w:rPr>
          <w:lang w:val="fr-FR"/>
        </w:rPr>
        <w:t>État partie est tenu de fournir à l</w:t>
      </w:r>
      <w:r>
        <w:rPr>
          <w:lang w:val="fr-FR"/>
        </w:rPr>
        <w:t>’</w:t>
      </w:r>
      <w:r w:rsidRPr="000A703F">
        <w:rPr>
          <w:lang w:val="fr-FR"/>
        </w:rPr>
        <w:t xml:space="preserve">auteur un recours utile, consistant notamment </w:t>
      </w:r>
      <w:r>
        <w:rPr>
          <w:lang w:val="fr-FR"/>
        </w:rPr>
        <w:t>à</w:t>
      </w:r>
      <w:r w:rsidRPr="000A703F">
        <w:rPr>
          <w:lang w:val="fr-FR"/>
        </w:rPr>
        <w:t xml:space="preserve"> s</w:t>
      </w:r>
      <w:r>
        <w:rPr>
          <w:lang w:val="fr-FR"/>
        </w:rPr>
        <w:t>’</w:t>
      </w:r>
      <w:r w:rsidRPr="000A703F">
        <w:rPr>
          <w:lang w:val="fr-FR"/>
        </w:rPr>
        <w:t xml:space="preserve">abstenir </w:t>
      </w:r>
      <w:r>
        <w:rPr>
          <w:lang w:val="fr-FR"/>
        </w:rPr>
        <w:t>de</w:t>
      </w:r>
      <w:r w:rsidRPr="000A703F">
        <w:rPr>
          <w:lang w:val="fr-FR"/>
        </w:rPr>
        <w:t xml:space="preserve"> l</w:t>
      </w:r>
      <w:r>
        <w:rPr>
          <w:lang w:val="fr-FR"/>
        </w:rPr>
        <w:t>’</w:t>
      </w:r>
      <w:r w:rsidRPr="000A703F">
        <w:rPr>
          <w:lang w:val="fr-FR"/>
        </w:rPr>
        <w:t xml:space="preserve">expulser vers la Somalie. </w:t>
      </w:r>
    </w:p>
    <w:p w:rsidR="00FE0408" w:rsidRPr="000A703F" w:rsidRDefault="00FE0408" w:rsidP="00FE0408">
      <w:pPr>
        <w:pStyle w:val="SingleTxtG"/>
        <w:rPr>
          <w:lang w:val="fr-FR"/>
        </w:rPr>
      </w:pPr>
      <w:r w:rsidRPr="000A703F">
        <w:rPr>
          <w:lang w:val="fr-FR"/>
        </w:rPr>
        <w:t>11.</w:t>
      </w:r>
      <w:r w:rsidRPr="000A703F">
        <w:rPr>
          <w:lang w:val="fr-FR"/>
        </w:rPr>
        <w:tab/>
        <w:t>Étant donné qu</w:t>
      </w:r>
      <w:r>
        <w:rPr>
          <w:lang w:val="fr-FR"/>
        </w:rPr>
        <w:t>’</w:t>
      </w:r>
      <w:r w:rsidRPr="000A703F">
        <w:rPr>
          <w:lang w:val="fr-FR"/>
        </w:rPr>
        <w:t>en adhérant au Protocole facultatif l</w:t>
      </w:r>
      <w:r>
        <w:rPr>
          <w:lang w:val="fr-FR"/>
        </w:rPr>
        <w:t>’</w:t>
      </w:r>
      <w:r w:rsidRPr="000A703F">
        <w:rPr>
          <w:lang w:val="fr-FR"/>
        </w:rPr>
        <w:t>État partie a reconnu que le Comité avait compétence pour déterminer s</w:t>
      </w:r>
      <w:r>
        <w:rPr>
          <w:lang w:val="fr-FR"/>
        </w:rPr>
        <w:t>’</w:t>
      </w:r>
      <w:r w:rsidRPr="000A703F">
        <w:rPr>
          <w:lang w:val="fr-FR"/>
        </w:rPr>
        <w:t>il y avait eu ou non violation du Pacte et que, conformément à l</w:t>
      </w:r>
      <w:r>
        <w:rPr>
          <w:lang w:val="fr-FR"/>
        </w:rPr>
        <w:t>’</w:t>
      </w:r>
      <w:r w:rsidRPr="000A703F">
        <w:rPr>
          <w:lang w:val="fr-FR"/>
        </w:rPr>
        <w:t>article 2 du Pacte, il s</w:t>
      </w:r>
      <w:r>
        <w:rPr>
          <w:lang w:val="fr-FR"/>
        </w:rPr>
        <w:t>’</w:t>
      </w:r>
      <w:r w:rsidRPr="000A703F">
        <w:rPr>
          <w:lang w:val="fr-FR"/>
        </w:rPr>
        <w:t>est engagé à garantir à tous les individus se trouvant sur son territoire et</w:t>
      </w:r>
      <w:r>
        <w:rPr>
          <w:lang w:val="fr-FR"/>
        </w:rPr>
        <w:t xml:space="preserve"> </w:t>
      </w:r>
      <w:r w:rsidRPr="000A703F">
        <w:rPr>
          <w:lang w:val="fr-FR"/>
        </w:rPr>
        <w:t>relevant de sa juridiction les droits reconnus dans le Pacte et à assurer un recours utile et exécutoire lorsqu</w:t>
      </w:r>
      <w:r>
        <w:rPr>
          <w:lang w:val="fr-FR"/>
        </w:rPr>
        <w:t>’</w:t>
      </w:r>
      <w:r w:rsidRPr="000A703F">
        <w:rPr>
          <w:lang w:val="fr-FR"/>
        </w:rPr>
        <w:t>une violation a été établie, le Comité souhaite recevoir de l</w:t>
      </w:r>
      <w:r>
        <w:rPr>
          <w:lang w:val="fr-FR"/>
        </w:rPr>
        <w:t>’</w:t>
      </w:r>
      <w:r w:rsidRPr="000A703F">
        <w:rPr>
          <w:lang w:val="fr-FR"/>
        </w:rPr>
        <w:t>État partie, dans un</w:t>
      </w:r>
      <w:r>
        <w:rPr>
          <w:lang w:val="fr-FR"/>
        </w:rPr>
        <w:t xml:space="preserve"> </w:t>
      </w:r>
      <w:r w:rsidRPr="000A703F">
        <w:rPr>
          <w:lang w:val="fr-FR"/>
        </w:rPr>
        <w:t>délai de cent quatre-vingts jours, des renseignements sur les mesures prises pour donner effet à ses constatations. L</w:t>
      </w:r>
      <w:r>
        <w:rPr>
          <w:lang w:val="fr-FR"/>
        </w:rPr>
        <w:t>’</w:t>
      </w:r>
      <w:r w:rsidRPr="000A703F">
        <w:rPr>
          <w:lang w:val="fr-FR"/>
        </w:rPr>
        <w:t>État partie est invité en outre à rendre publiques les présentes constatations.</w:t>
      </w:r>
    </w:p>
    <w:p w:rsidR="00FE0408" w:rsidRDefault="00FE0408" w:rsidP="00FE0408">
      <w:pPr>
        <w:pStyle w:val="SingleTxtG"/>
      </w:pPr>
      <w:r w:rsidRPr="000A703F">
        <w:rPr>
          <w:bCs/>
          <w:lang w:val="fr-FR"/>
        </w:rPr>
        <w:t>[</w:t>
      </w:r>
      <w:r w:rsidRPr="000A703F">
        <w:rPr>
          <w:lang w:val="fr-FR"/>
        </w:rPr>
        <w:t>Adopté en anglais (version originale), en espagnol et en franç</w:t>
      </w:r>
      <w:r>
        <w:rPr>
          <w:lang w:val="fr-FR"/>
        </w:rPr>
        <w:t xml:space="preserve">ais. Paraîtra ultérieurement en </w:t>
      </w:r>
      <w:r w:rsidRPr="000A703F">
        <w:rPr>
          <w:lang w:val="fr-FR"/>
        </w:rPr>
        <w:t>arabe, en chinois et en russe dans le rapport annuel du Comité à l</w:t>
      </w:r>
      <w:r>
        <w:rPr>
          <w:lang w:val="fr-FR"/>
        </w:rPr>
        <w:t>’</w:t>
      </w:r>
      <w:r w:rsidRPr="000A703F">
        <w:rPr>
          <w:lang w:val="fr-FR"/>
        </w:rPr>
        <w:t>Assemblée générale.</w:t>
      </w:r>
      <w:r w:rsidRPr="000A703F">
        <w:t>]</w:t>
      </w:r>
    </w:p>
    <w:p w:rsidR="00FE0408" w:rsidRDefault="00FE0408" w:rsidP="00C03F6A">
      <w:pPr>
        <w:pStyle w:val="SingleTxtG"/>
        <w:sectPr w:rsidR="00FE0408" w:rsidSect="009C265E">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pPr>
    </w:p>
    <w:p w:rsidR="00FE0408" w:rsidRDefault="00FE0408" w:rsidP="00FE0408">
      <w:pPr>
        <w:pStyle w:val="HChG"/>
      </w:pPr>
      <w:r>
        <w:t>Appendice</w:t>
      </w:r>
    </w:p>
    <w:p w:rsidR="00FE0408" w:rsidRDefault="00FE0408" w:rsidP="00FE0408">
      <w:pPr>
        <w:pStyle w:val="H1G"/>
      </w:pPr>
      <w:r>
        <w:tab/>
      </w:r>
      <w:r>
        <w:tab/>
        <w:t>Opinion individuelle (dissidente) de M. Krister Thelin</w:t>
      </w:r>
    </w:p>
    <w:p w:rsidR="00FE0408" w:rsidRDefault="00FE0408" w:rsidP="00FE0408">
      <w:pPr>
        <w:pStyle w:val="SingleTxtG"/>
      </w:pPr>
      <w:r>
        <w:tab/>
        <w:t>Le Comité, à la majorité de ses membres, a constaté de multiples violations du Pacte. Je ne suis pas d’accord.</w:t>
      </w:r>
    </w:p>
    <w:p w:rsidR="00FE0408" w:rsidRDefault="00FE0408" w:rsidP="00FE0408">
      <w:pPr>
        <w:pStyle w:val="SingleTxtG"/>
      </w:pPr>
      <w:r>
        <w:tab/>
        <w:t xml:space="preserve">Premièrement, pour ce qui est de la violation de l’article 17 et du paragraphe 1 de l’article 23, l’affaire ressemble beaucoup à l’affaire </w:t>
      </w:r>
      <w:r w:rsidRPr="006A0C96">
        <w:rPr>
          <w:i/>
        </w:rPr>
        <w:t xml:space="preserve">Dauphin </w:t>
      </w:r>
      <w:r>
        <w:t xml:space="preserve">c. </w:t>
      </w:r>
      <w:r w:rsidRPr="006A0C96">
        <w:rPr>
          <w:i/>
        </w:rPr>
        <w:t>Canada</w:t>
      </w:r>
      <w:r w:rsidRPr="00862341">
        <w:rPr>
          <w:rStyle w:val="FootnoteReference"/>
        </w:rPr>
        <w:footnoteReference w:id="49"/>
      </w:r>
      <w:r w:rsidRPr="00862341">
        <w:t>,</w:t>
      </w:r>
      <w:r>
        <w:t xml:space="preserve"> dans laquelle j’ai exprimé une opinion dissidente, considérant qu’il n’y avait pas eu de violation. Ma position demeure inchangée et le Comité aurait dû, de mon point de vue, conclure à une absence de violation dans l’affaire dont il a été saisi. Les liens familiaux de l’auteur au Canada ne sont pas tels que, au vu de son casier judiciaire, la mesure serait disproportionnée s’il était expulsé vers la Somalie.</w:t>
      </w:r>
    </w:p>
    <w:p w:rsidR="00FE0408" w:rsidRDefault="00FE0408" w:rsidP="00FE0408">
      <w:pPr>
        <w:pStyle w:val="SingleTxtG"/>
      </w:pPr>
      <w:r>
        <w:tab/>
        <w:t xml:space="preserve">Deuxièmement, en ce qui concerne une éventuelle violation du paragraphe 1 de l’article 6, de l’article 7 et du paragraphe 4 de l’article 12, je m’associe à l’opinion dissidente de Sir Nigel Rodley et à celle de M. Neuman et je conclus qu’il n’y a pas eu de violation du Pacte. </w:t>
      </w:r>
    </w:p>
    <w:p w:rsidR="00FE0408" w:rsidRDefault="00FE0408" w:rsidP="00FE0408">
      <w:pPr>
        <w:pStyle w:val="SingleTxtG"/>
        <w:jc w:val="right"/>
      </w:pPr>
      <w:r>
        <w:t>(</w:t>
      </w:r>
      <w:r w:rsidRPr="00DD3C0E">
        <w:rPr>
          <w:i/>
        </w:rPr>
        <w:t>Signé</w:t>
      </w:r>
      <w:r>
        <w:t xml:space="preserve">) Krister </w:t>
      </w:r>
      <w:r w:rsidRPr="00DD3C0E">
        <w:rPr>
          <w:b/>
        </w:rPr>
        <w:t>Thelin</w:t>
      </w:r>
    </w:p>
    <w:p w:rsidR="00FE0408" w:rsidRDefault="00FE0408" w:rsidP="00FE0408">
      <w:pPr>
        <w:pStyle w:val="SingleTxtG"/>
      </w:pPr>
      <w:r>
        <w:t>[Fait en anglais (version originale), en espagnol et en français. Paraîtra ultérieurement en arabe, en chinois et en russe dans le rapport annuel du Comité à l’Assemblée générale.]</w:t>
      </w:r>
    </w:p>
    <w:p w:rsidR="00FE0408" w:rsidRDefault="00FE0408" w:rsidP="00FE0408">
      <w:pPr>
        <w:pStyle w:val="SingleTxtG"/>
      </w:pPr>
    </w:p>
    <w:p w:rsidR="00FE0408" w:rsidRDefault="00FE0408" w:rsidP="00FE0408">
      <w:pPr>
        <w:pStyle w:val="SingleTxtG"/>
        <w:sectPr w:rsidR="00FE0408" w:rsidSect="00003421">
          <w:footnotePr>
            <w:numRestart w:val="eachSect"/>
          </w:footnotePr>
          <w:endnotePr>
            <w:numFmt w:val="decimal"/>
          </w:endnotePr>
          <w:pgSz w:w="11907" w:h="16840" w:code="9"/>
          <w:pgMar w:top="1701" w:right="1134" w:bottom="2268" w:left="1134" w:header="1134" w:footer="1701" w:gutter="0"/>
          <w:cols w:space="720"/>
          <w:docGrid w:linePitch="272"/>
        </w:sectPr>
      </w:pPr>
    </w:p>
    <w:p w:rsidR="00FE0408" w:rsidRDefault="00FE0408" w:rsidP="00FE0408">
      <w:pPr>
        <w:pStyle w:val="H1G"/>
      </w:pPr>
      <w:r>
        <w:tab/>
      </w:r>
      <w:r>
        <w:tab/>
        <w:t>Opinion individuelle (partiellement dissidente)</w:t>
      </w:r>
      <w:r>
        <w:br/>
        <w:t>de M. Gerald L. Neuman et de M. Yuji Iwasawa</w:t>
      </w:r>
    </w:p>
    <w:p w:rsidR="00FE0408" w:rsidRDefault="00FE0408" w:rsidP="00FE0408">
      <w:pPr>
        <w:pStyle w:val="SingleTxtG"/>
      </w:pPr>
      <w:r>
        <w:tab/>
        <w:t xml:space="preserve">Nous souscrivons aux constatations du Comité lorsqu’il conclut à des violations potentielles de l’article 17 et du paragraphe 1 de l’article 23, mais nous n’approuvons pas les autres constatations de violations, pour les raisons exposées par Sir Nigel Rodley dans son opinion individuelle. </w:t>
      </w:r>
    </w:p>
    <w:p w:rsidR="00FE0408" w:rsidRDefault="00FE0408" w:rsidP="00FE0408">
      <w:pPr>
        <w:pStyle w:val="SingleTxtG"/>
      </w:pPr>
      <w:r>
        <w:tab/>
        <w:t xml:space="preserve">Notre désaccord avec l’interprétation du paragraphe 4 de l’article 12 faite par la majorité des membres du Comité est expliqué de manière plus complète dans l’opinion dissidente que nous avons formulée concernant la communication </w:t>
      </w:r>
      <w:r w:rsidRPr="00C14D2A">
        <w:t>n</w:t>
      </w:r>
      <w:r w:rsidRPr="00C14D2A">
        <w:rPr>
          <w:vertAlign w:val="superscript"/>
        </w:rPr>
        <w:t>o</w:t>
      </w:r>
      <w:r>
        <w:t xml:space="preserve"> 1557/2007, </w:t>
      </w:r>
      <w:r w:rsidRPr="00D11E5E">
        <w:rPr>
          <w:i/>
        </w:rPr>
        <w:t xml:space="preserve">Nystrom, Nystrom, et Turner </w:t>
      </w:r>
      <w:r>
        <w:t xml:space="preserve">c. </w:t>
      </w:r>
      <w:r w:rsidRPr="00D11E5E">
        <w:rPr>
          <w:i/>
        </w:rPr>
        <w:t>Australie</w:t>
      </w:r>
      <w:r>
        <w:t>, constatations adoptées le 18 juillet 2011, par. 3.1 à 3.6.</w:t>
      </w:r>
    </w:p>
    <w:p w:rsidR="00FE0408" w:rsidRDefault="00FE0408" w:rsidP="00FE0408">
      <w:pPr>
        <w:pStyle w:val="SingleTxtG"/>
        <w:jc w:val="right"/>
      </w:pPr>
      <w:r>
        <w:t>(</w:t>
      </w:r>
      <w:r w:rsidRPr="00862341">
        <w:rPr>
          <w:i/>
        </w:rPr>
        <w:t>Signé</w:t>
      </w:r>
      <w:r>
        <w:t xml:space="preserve">) Gerald L. </w:t>
      </w:r>
      <w:r w:rsidRPr="00862341">
        <w:rPr>
          <w:b/>
        </w:rPr>
        <w:t>Neuman</w:t>
      </w:r>
      <w:r>
        <w:br/>
        <w:t>(</w:t>
      </w:r>
      <w:r w:rsidRPr="00862341">
        <w:rPr>
          <w:i/>
        </w:rPr>
        <w:t>Signé</w:t>
      </w:r>
      <w:r>
        <w:t xml:space="preserve">) Yuji </w:t>
      </w:r>
      <w:r w:rsidRPr="00862341">
        <w:rPr>
          <w:b/>
        </w:rPr>
        <w:t>Iwasawa</w:t>
      </w:r>
    </w:p>
    <w:p w:rsidR="00FE0408" w:rsidRDefault="00FE0408" w:rsidP="00FE0408">
      <w:pPr>
        <w:pStyle w:val="SingleTxtG"/>
      </w:pPr>
      <w:r>
        <w:t>[Fait en anglais (version originale), en espagnol et en français. Paraîtra ultérieurement en arabe, en chinois et en russe dans le rapport annuel du Comité à l’Assemblée générale.]</w:t>
      </w:r>
    </w:p>
    <w:p w:rsidR="00FE0408" w:rsidRPr="00103EC1" w:rsidRDefault="00FE0408" w:rsidP="00FE0408">
      <w:pPr>
        <w:pStyle w:val="H1G"/>
        <w:rPr>
          <w:lang w:val="fr-FR"/>
        </w:rPr>
      </w:pPr>
      <w:r>
        <w:br w:type="page"/>
      </w:r>
      <w:r>
        <w:tab/>
      </w:r>
      <w:r>
        <w:tab/>
      </w:r>
      <w:r>
        <w:rPr>
          <w:lang w:val="fr-FR"/>
        </w:rPr>
        <w:t>Opinion individuelle de Sir Nigel Rodley</w:t>
      </w:r>
    </w:p>
    <w:p w:rsidR="00FE0408" w:rsidRDefault="00FE0408" w:rsidP="00FE0408">
      <w:pPr>
        <w:pStyle w:val="SingleTxtG"/>
        <w:rPr>
          <w:lang w:val="fr-FR"/>
        </w:rPr>
      </w:pPr>
      <w:r>
        <w:rPr>
          <w:lang w:val="fr-FR"/>
        </w:rPr>
        <w:tab/>
        <w:t>J’approuve les constatations du Comité concernant les violations potentielles de l’article 17 et du paragraphe 1 de l’article 23, mais j’ai des doutes au sujet des violations potentielles des autres articles.</w:t>
      </w:r>
    </w:p>
    <w:p w:rsidR="00FE0408" w:rsidRDefault="00FE0408" w:rsidP="00FE0408">
      <w:pPr>
        <w:pStyle w:val="SingleTxtG"/>
        <w:rPr>
          <w:lang w:val="fr-FR"/>
        </w:rPr>
      </w:pPr>
      <w:r>
        <w:rPr>
          <w:lang w:val="fr-FR"/>
        </w:rPr>
        <w:tab/>
        <w:t xml:space="preserve">En ce qui concerne le paragraphe 4 de l’article 12, le Comité donne l’impression qu’il s’appuie sur l’Observation générale </w:t>
      </w:r>
      <w:r w:rsidRPr="00103EC1">
        <w:rPr>
          <w:lang w:val="fr-FR"/>
        </w:rPr>
        <w:t>n</w:t>
      </w:r>
      <w:r w:rsidRPr="00103EC1">
        <w:rPr>
          <w:vertAlign w:val="superscript"/>
          <w:lang w:val="fr-FR"/>
        </w:rPr>
        <w:t>o</w:t>
      </w:r>
      <w:r>
        <w:rPr>
          <w:lang w:val="fr-FR"/>
        </w:rPr>
        <w:t xml:space="preserve"> 27 pour considérer que le Canada est le pays de l’auteur. Assurément, il est dit dans l’Observation générale </w:t>
      </w:r>
      <w:r w:rsidRPr="00103EC1">
        <w:rPr>
          <w:lang w:val="fr-FR"/>
        </w:rPr>
        <w:t>n</w:t>
      </w:r>
      <w:r w:rsidRPr="00103EC1">
        <w:rPr>
          <w:vertAlign w:val="superscript"/>
          <w:lang w:val="fr-FR"/>
        </w:rPr>
        <w:t>o</w:t>
      </w:r>
      <w:r>
        <w:rPr>
          <w:lang w:val="fr-FR"/>
        </w:rPr>
        <w:t> 27 que «la signification des termes “son propre pays” est plus vaste que celle du “pays de sa nationalité”». Ce que le Comité oublie, c’est que tous les exemples donnés dans l’Observation générale concernant l’application de ce concept plus large portent sur des cas où la personne est privée de toute nationalité effective. Les exemples donnés dans l’Observation générale se rapportent à des «nationaux d’un pays auxquels la nationalité aurait été retirée en violation du droit international»; des «personnes dont le pays de nationalité aurait été intégré ou assimilé à une autre entité nationale dont elles se verraient refuser la nationalité», et à des «apatrides privés arbitrairement du droit d’acquérir la nationalité de leur pays de résidence» (Observation générale n</w:t>
      </w:r>
      <w:r>
        <w:rPr>
          <w:vertAlign w:val="superscript"/>
          <w:lang w:val="fr-FR"/>
        </w:rPr>
        <w:t>o</w:t>
      </w:r>
      <w:r>
        <w:rPr>
          <w:lang w:val="fr-FR"/>
        </w:rPr>
        <w:t> 27, par. 20).</w:t>
      </w:r>
    </w:p>
    <w:p w:rsidR="00FE0408" w:rsidRDefault="00FE0408" w:rsidP="00FE0408">
      <w:pPr>
        <w:pStyle w:val="SingleTxtG"/>
        <w:rPr>
          <w:lang w:val="fr-FR"/>
        </w:rPr>
      </w:pPr>
      <w:r>
        <w:rPr>
          <w:lang w:val="fr-FR"/>
        </w:rPr>
        <w:tab/>
        <w:t>Aucun de ces exemples ne s’applique à la présente affaire. L’auteur n’a pas non plus cherché à expliquer pourquoi il n’avait pas demandé la nationalité canadienne, comme l’a implicitement laissé entendre l’État partie (par. 6.6). En conséquence, je ne suis pas convaincu qu’il y aurait violation du paragraphe 4 de l’article 12 si l’auteur était renvoyé en Somalie.</w:t>
      </w:r>
    </w:p>
    <w:p w:rsidR="00FE0408" w:rsidRDefault="00FE0408" w:rsidP="00FE0408">
      <w:pPr>
        <w:pStyle w:val="SingleTxtG"/>
        <w:rPr>
          <w:lang w:val="fr-FR"/>
        </w:rPr>
      </w:pPr>
      <w:r>
        <w:rPr>
          <w:lang w:val="fr-FR"/>
        </w:rPr>
        <w:tab/>
        <w:t>De la même manière, le Comité a peu développé l’argumentation qui le conduit à constater une violation du paragraphe 1 de l’article 6 et de l’article 7. En particulier, il n’explique pas pourquoi il privilégie les affirmations de l’auteur concernant les faits et les risques encourus, plutôt que celles de l’État partie. Certes, la plus grande circonspection est de mise lorsqu’il s’agit de renvoyer une personne vers un pays comme la Somalie où la situation est précaire. C’est d’ailleurs cette considération qui justifie la constatation de violation potentielle de l’article 17 et du paragraphe 1 de l’article 23. Le Comité aurait été avisé de s’en tenir à cette conclusion.</w:t>
      </w:r>
    </w:p>
    <w:p w:rsidR="00FE0408" w:rsidRPr="00194217" w:rsidRDefault="00FE0408" w:rsidP="00FE0408">
      <w:pPr>
        <w:pStyle w:val="SingleTxtG"/>
        <w:jc w:val="right"/>
        <w:rPr>
          <w:lang w:val="fr-FR"/>
        </w:rPr>
      </w:pPr>
      <w:r>
        <w:rPr>
          <w:lang w:val="fr-FR"/>
        </w:rPr>
        <w:t>(</w:t>
      </w:r>
      <w:r w:rsidRPr="00862341">
        <w:rPr>
          <w:i/>
          <w:lang w:val="fr-FR"/>
        </w:rPr>
        <w:t>Signé</w:t>
      </w:r>
      <w:r>
        <w:rPr>
          <w:lang w:val="fr-FR"/>
        </w:rPr>
        <w:t xml:space="preserve">) Sir Nigel </w:t>
      </w:r>
      <w:r w:rsidRPr="00862341">
        <w:rPr>
          <w:b/>
          <w:lang w:val="fr-FR"/>
        </w:rPr>
        <w:t>Rodley</w:t>
      </w:r>
    </w:p>
    <w:p w:rsidR="00FE0408" w:rsidRDefault="00FE0408" w:rsidP="00FE0408">
      <w:pPr>
        <w:pStyle w:val="SingleTxtG"/>
      </w:pPr>
      <w:r>
        <w:t>[</w:t>
      </w:r>
      <w:r>
        <w:rPr>
          <w:lang w:val="fr-FR"/>
        </w:rPr>
        <w:t>Fait</w:t>
      </w:r>
      <w:r>
        <w:t xml:space="preserve"> en anglais (version originale), en espagnol et en français. Paraîtra ultérieurement en arabe, en chinois et en russe dans le rapport annuel du Comité à l’Assemblée générale.]</w:t>
      </w:r>
    </w:p>
    <w:p w:rsidR="00FE0408" w:rsidRPr="00103EC1" w:rsidRDefault="00FE0408" w:rsidP="00FE0408">
      <w:pPr>
        <w:pStyle w:val="H1G"/>
        <w:rPr>
          <w:lang w:val="fr-FR"/>
        </w:rPr>
      </w:pPr>
      <w:r>
        <w:rPr>
          <w:lang w:val="fr-FR"/>
        </w:rPr>
        <w:br w:type="page"/>
      </w:r>
      <w:r>
        <w:rPr>
          <w:lang w:val="fr-FR"/>
        </w:rPr>
        <w:tab/>
      </w:r>
      <w:r>
        <w:rPr>
          <w:lang w:val="fr-FR"/>
        </w:rPr>
        <w:tab/>
        <w:t>Opinion individuelle de M. Michael O’Flaherty</w:t>
      </w:r>
      <w:r>
        <w:rPr>
          <w:lang w:val="fr-FR"/>
        </w:rPr>
        <w:br/>
        <w:t>et de M</w:t>
      </w:r>
      <w:r w:rsidRPr="00572E90">
        <w:rPr>
          <w:vertAlign w:val="superscript"/>
          <w:lang w:val="fr-FR"/>
        </w:rPr>
        <w:t>me</w:t>
      </w:r>
      <w:r>
        <w:rPr>
          <w:lang w:val="fr-FR"/>
        </w:rPr>
        <w:t> Helen Keller</w:t>
      </w:r>
    </w:p>
    <w:p w:rsidR="00FE0408" w:rsidRDefault="00FE0408" w:rsidP="00FE0408">
      <w:pPr>
        <w:pStyle w:val="SingleTxtG"/>
        <w:rPr>
          <w:lang w:val="fr-FR"/>
        </w:rPr>
      </w:pPr>
      <w:r>
        <w:rPr>
          <w:lang w:val="fr-FR"/>
        </w:rPr>
        <w:tab/>
        <w:t>Nous nous associons à l’opinion de Sir Nigel en ce qui concerne la question de l’application du paragraphe 4 de l’article 12 en l’espèce.</w:t>
      </w:r>
    </w:p>
    <w:p w:rsidR="00FE0408" w:rsidRPr="00463B70" w:rsidRDefault="00FE0408" w:rsidP="00FE0408">
      <w:pPr>
        <w:pStyle w:val="SingleTxtG"/>
        <w:jc w:val="right"/>
        <w:rPr>
          <w:lang w:val="fr-FR"/>
        </w:rPr>
      </w:pPr>
      <w:r>
        <w:rPr>
          <w:lang w:val="fr-FR"/>
        </w:rPr>
        <w:t>(</w:t>
      </w:r>
      <w:r w:rsidRPr="00862341">
        <w:rPr>
          <w:i/>
          <w:lang w:val="fr-FR"/>
        </w:rPr>
        <w:t>Signé</w:t>
      </w:r>
      <w:r>
        <w:rPr>
          <w:lang w:val="fr-FR"/>
        </w:rPr>
        <w:t xml:space="preserve">) Michael </w:t>
      </w:r>
      <w:r w:rsidRPr="00862341">
        <w:rPr>
          <w:b/>
          <w:lang w:val="fr-FR"/>
        </w:rPr>
        <w:t>O’Flaherty</w:t>
      </w:r>
      <w:r>
        <w:rPr>
          <w:lang w:val="fr-FR"/>
        </w:rPr>
        <w:br/>
        <w:t>(</w:t>
      </w:r>
      <w:r w:rsidRPr="00862341">
        <w:rPr>
          <w:i/>
          <w:lang w:val="fr-FR"/>
        </w:rPr>
        <w:t>Signé</w:t>
      </w:r>
      <w:r>
        <w:rPr>
          <w:lang w:val="fr-FR"/>
        </w:rPr>
        <w:t xml:space="preserve">) Helen </w:t>
      </w:r>
      <w:r w:rsidRPr="00862341">
        <w:rPr>
          <w:b/>
          <w:lang w:val="fr-FR"/>
        </w:rPr>
        <w:t>Keller</w:t>
      </w:r>
    </w:p>
    <w:p w:rsidR="00FE0408" w:rsidRDefault="00FE0408" w:rsidP="00FE0408">
      <w:pPr>
        <w:pStyle w:val="SingleTxtG"/>
      </w:pPr>
      <w:r>
        <w:t>[Fait en anglais (version originale), en espagnol et en français. Paraîtra ultérieurement en arabe, en chinois et en russe dans le rapport annuel du Comité à l’Assemblée générale.]</w:t>
      </w:r>
    </w:p>
    <w:p w:rsidR="00FE0408" w:rsidRDefault="00FE0408" w:rsidP="00FE0408">
      <w:pPr>
        <w:pStyle w:val="H1G"/>
        <w:rPr>
          <w:lang w:val="fr-FR"/>
        </w:rPr>
      </w:pPr>
      <w:r>
        <w:rPr>
          <w:lang w:val="fr-FR"/>
        </w:rPr>
        <w:br w:type="page"/>
      </w:r>
      <w:r>
        <w:rPr>
          <w:lang w:val="fr-FR"/>
        </w:rPr>
        <w:tab/>
      </w:r>
      <w:r>
        <w:rPr>
          <w:lang w:val="fr-FR"/>
        </w:rPr>
        <w:tab/>
        <w:t>Opinion individuelle de M. Cornelis Flinterman</w:t>
      </w:r>
    </w:p>
    <w:p w:rsidR="00FE0408" w:rsidRDefault="00FE0408" w:rsidP="00FE0408">
      <w:pPr>
        <w:pStyle w:val="SingleTxtG"/>
        <w:rPr>
          <w:lang w:val="fr-FR"/>
        </w:rPr>
      </w:pPr>
      <w:r>
        <w:rPr>
          <w:lang w:val="fr-FR"/>
        </w:rPr>
        <w:tab/>
        <w:t>J’approuve les conclusions du Comité concernant l’article 17 et le paragraphe 1 de l’article 23, mais je partage les doutes de Sir Nigel Rodley et des membres du Comité qui s’associent à son opinion pour ce qui est des autres constatations de violation potentielle.</w:t>
      </w:r>
    </w:p>
    <w:p w:rsidR="00FE0408" w:rsidRDefault="00FE0408" w:rsidP="00FE0408">
      <w:pPr>
        <w:pStyle w:val="SingleTxtG"/>
        <w:rPr>
          <w:lang w:val="fr-FR"/>
        </w:rPr>
      </w:pPr>
      <w:r>
        <w:rPr>
          <w:lang w:val="fr-FR"/>
        </w:rPr>
        <w:tab/>
        <w:t xml:space="preserve">En ce qui concerne le paragraphe 4 de l’article 12, je ne suis pas convaincu que le </w:t>
      </w:r>
      <w:r w:rsidRPr="00E01E5C">
        <w:rPr>
          <w:rFonts w:eastAsia="MS Mincho"/>
          <w:lang w:val="fr-FR"/>
        </w:rPr>
        <w:t>Canada</w:t>
      </w:r>
      <w:r>
        <w:rPr>
          <w:lang w:val="fr-FR"/>
        </w:rPr>
        <w:t xml:space="preserve"> puisse être considéré comme le propre pays de l’auteur, même si je suis enclin à donner au paragraphe 4 de l’article 12 un sens plus large que celui proposé par Sir Nigel Rodley et par les membres du Comité qui partagent son opinion, en tenant compte des liens spéciaux (tels que la résidence permanente, l’intention de demeurer dans le pays, les liens personnels et familiaux étroits et l’absence de tels liens avec un autre pays) que l’auteur d’une communication peut avoir avec un pays donné dans chaque affaire soumise au Comité.</w:t>
      </w:r>
    </w:p>
    <w:p w:rsidR="00FE0408" w:rsidRDefault="00FE0408" w:rsidP="00FE0408">
      <w:pPr>
        <w:pStyle w:val="SingleTxtG"/>
        <w:rPr>
          <w:lang w:val="fr-FR"/>
        </w:rPr>
      </w:pPr>
      <w:r>
        <w:rPr>
          <w:lang w:val="fr-FR"/>
        </w:rPr>
        <w:tab/>
        <w:t>Au sujet du paragraphe 1 de l’article 6 et de l’article 7, je souscris à l’opinion de Sir Nigel Rodley et des membres du Comité qui s’y sont ralliés.</w:t>
      </w:r>
    </w:p>
    <w:p w:rsidR="00FE0408" w:rsidRPr="00E01E5C" w:rsidRDefault="00FE0408" w:rsidP="00FE0408">
      <w:pPr>
        <w:pStyle w:val="SingleTxtG"/>
        <w:jc w:val="right"/>
        <w:rPr>
          <w:lang w:val="fr-FR"/>
        </w:rPr>
      </w:pPr>
      <w:r>
        <w:rPr>
          <w:lang w:val="fr-FR"/>
        </w:rPr>
        <w:t>(</w:t>
      </w:r>
      <w:r w:rsidRPr="00862341">
        <w:rPr>
          <w:i/>
          <w:lang w:val="fr-FR"/>
        </w:rPr>
        <w:t>Signé</w:t>
      </w:r>
      <w:r>
        <w:rPr>
          <w:lang w:val="fr-FR"/>
        </w:rPr>
        <w:t xml:space="preserve">) Cornelis </w:t>
      </w:r>
      <w:r w:rsidRPr="00862341">
        <w:rPr>
          <w:b/>
          <w:lang w:val="fr-FR"/>
        </w:rPr>
        <w:t>Flinterman</w:t>
      </w:r>
    </w:p>
    <w:p w:rsidR="001C109C" w:rsidRDefault="00FE0408" w:rsidP="00FE0408">
      <w:pPr>
        <w:pStyle w:val="SingleTxtG"/>
      </w:pPr>
      <w:r>
        <w:t>[Fait en anglais (version originale), en espagnol et en français. Paraîtra ultérieurement en arabe, en chinois et en russe dans le rapport annuel du Comité à l’Assemblée générale.]</w:t>
      </w:r>
    </w:p>
    <w:p w:rsidR="00FE0408" w:rsidRPr="00FE0408" w:rsidRDefault="00FE0408" w:rsidP="00FE0408">
      <w:pPr>
        <w:pStyle w:val="SingleTxtG"/>
        <w:spacing w:before="240" w:after="0"/>
        <w:jc w:val="center"/>
        <w:rPr>
          <w:u w:val="single"/>
        </w:rPr>
      </w:pPr>
      <w:r>
        <w:rPr>
          <w:u w:val="single"/>
        </w:rPr>
        <w:tab/>
      </w:r>
      <w:r>
        <w:rPr>
          <w:u w:val="single"/>
        </w:rPr>
        <w:tab/>
      </w:r>
      <w:r>
        <w:rPr>
          <w:u w:val="single"/>
        </w:rPr>
        <w:tab/>
      </w:r>
    </w:p>
    <w:sectPr w:rsidR="00FE0408" w:rsidRPr="00FE0408" w:rsidSect="00FE0408">
      <w:headerReference w:type="default" r:id="rId13"/>
      <w:footerReference w:type="default" r:id="rId14"/>
      <w:headerReference w:type="first" r:id="rId15"/>
      <w:footerReference w:type="first" r:id="rId16"/>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75B" w:rsidRDefault="008D775B"/>
  </w:endnote>
  <w:endnote w:type="continuationSeparator" w:id="0">
    <w:p w:rsidR="008D775B" w:rsidRDefault="008D775B"/>
  </w:endnote>
  <w:endnote w:type="continuationNotice" w:id="1">
    <w:p w:rsidR="008D775B" w:rsidRPr="001252D7" w:rsidRDefault="008D775B" w:rsidP="001252D7">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8A4" w:rsidRPr="009C265E" w:rsidRDefault="001E38A4" w:rsidP="009C265E">
    <w:pPr>
      <w:pStyle w:val="Footer"/>
      <w:tabs>
        <w:tab w:val="right" w:pos="9638"/>
      </w:tabs>
    </w:pPr>
    <w:r w:rsidRPr="009C265E">
      <w:rPr>
        <w:b/>
        <w:sz w:val="18"/>
      </w:rPr>
      <w:fldChar w:fldCharType="begin"/>
    </w:r>
    <w:r w:rsidRPr="009C265E">
      <w:rPr>
        <w:b/>
        <w:sz w:val="18"/>
      </w:rPr>
      <w:instrText xml:space="preserve"> PAGE  \* MERGEFORMAT </w:instrText>
    </w:r>
    <w:r w:rsidRPr="009C265E">
      <w:rPr>
        <w:b/>
        <w:sz w:val="18"/>
      </w:rPr>
      <w:fldChar w:fldCharType="separate"/>
    </w:r>
    <w:r w:rsidR="002D06DD">
      <w:rPr>
        <w:b/>
        <w:noProof/>
        <w:sz w:val="18"/>
      </w:rPr>
      <w:t>4</w:t>
    </w:r>
    <w:r w:rsidRPr="009C265E">
      <w:rPr>
        <w:b/>
        <w:sz w:val="18"/>
      </w:rPr>
      <w:fldChar w:fldCharType="end"/>
    </w:r>
    <w:r>
      <w:rPr>
        <w:b/>
        <w:sz w:val="18"/>
      </w:rPr>
      <w:tab/>
    </w:r>
    <w:r>
      <w:t>GE.11-45269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8A4" w:rsidRPr="009C265E" w:rsidRDefault="001E38A4" w:rsidP="009C265E">
    <w:pPr>
      <w:pStyle w:val="Footer"/>
      <w:tabs>
        <w:tab w:val="right" w:pos="9638"/>
      </w:tabs>
      <w:rPr>
        <w:b/>
        <w:sz w:val="18"/>
      </w:rPr>
    </w:pPr>
    <w:r>
      <w:t>GE.11-45269</w:t>
    </w:r>
    <w:r>
      <w:tab/>
    </w:r>
    <w:r w:rsidRPr="009C265E">
      <w:rPr>
        <w:b/>
        <w:sz w:val="18"/>
      </w:rPr>
      <w:fldChar w:fldCharType="begin"/>
    </w:r>
    <w:r w:rsidRPr="009C265E">
      <w:rPr>
        <w:b/>
        <w:sz w:val="18"/>
      </w:rPr>
      <w:instrText xml:space="preserve"> PAGE  \* MERGEFORMAT </w:instrText>
    </w:r>
    <w:r w:rsidRPr="009C265E">
      <w:rPr>
        <w:b/>
        <w:sz w:val="18"/>
      </w:rPr>
      <w:fldChar w:fldCharType="separate"/>
    </w:r>
    <w:r w:rsidR="002D06DD">
      <w:rPr>
        <w:b/>
        <w:noProof/>
        <w:sz w:val="18"/>
      </w:rPr>
      <w:t>3</w:t>
    </w:r>
    <w:r w:rsidRPr="009C265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8A4" w:rsidRDefault="001E38A4">
    <w:pPr>
      <w:pStyle w:val="Footer"/>
    </w:pPr>
    <w:r>
      <w:rPr>
        <w:sz w:val="20"/>
      </w:rPr>
      <w:t>GE.11-45269</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061011    </w:t>
    </w:r>
    <w:r w:rsidR="00FE0408">
      <w:rPr>
        <w:sz w:val="20"/>
      </w:rPr>
      <w:t>071011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408" w:rsidRPr="009C265E" w:rsidRDefault="00FE0408" w:rsidP="009C265E">
    <w:pPr>
      <w:pStyle w:val="Footer"/>
      <w:tabs>
        <w:tab w:val="right" w:pos="9638"/>
      </w:tabs>
      <w:rPr>
        <w:b/>
        <w:sz w:val="18"/>
      </w:rPr>
    </w:pPr>
    <w:r>
      <w:t>GE.11-45269</w:t>
    </w:r>
    <w:r>
      <w:tab/>
    </w:r>
    <w:r w:rsidRPr="009C265E">
      <w:rPr>
        <w:b/>
        <w:sz w:val="18"/>
      </w:rPr>
      <w:fldChar w:fldCharType="begin"/>
    </w:r>
    <w:r w:rsidRPr="009C265E">
      <w:rPr>
        <w:b/>
        <w:sz w:val="18"/>
      </w:rPr>
      <w:instrText xml:space="preserve"> PAGE  \* MERGEFORMAT </w:instrText>
    </w:r>
    <w:r w:rsidRPr="009C265E">
      <w:rPr>
        <w:b/>
        <w:sz w:val="18"/>
      </w:rPr>
      <w:fldChar w:fldCharType="separate"/>
    </w:r>
    <w:r w:rsidR="002D06DD">
      <w:rPr>
        <w:b/>
        <w:noProof/>
        <w:sz w:val="18"/>
      </w:rPr>
      <w:t>25</w:t>
    </w:r>
    <w:r w:rsidRPr="009C265E">
      <w:rPr>
        <w:b/>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408" w:rsidRDefault="00FE0408">
    <w:pPr>
      <w:pStyle w:val="Footer"/>
    </w:pPr>
    <w:r>
      <w:rPr>
        <w:sz w:val="20"/>
      </w:rPr>
      <w:t>GE.11-45269</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2;mso-position-horizontal-relative:text;mso-position-vertical-relative:text">
          <v:imagedata r:id="rId1" o:title="recycle_French"/>
        </v:shape>
      </w:pict>
    </w:r>
    <w:r>
      <w:rPr>
        <w:sz w:val="20"/>
      </w:rPr>
      <w:t xml:space="preserve">  (F)    061011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75B" w:rsidRPr="00D27D5E" w:rsidRDefault="008D775B" w:rsidP="00D27D5E">
      <w:pPr>
        <w:tabs>
          <w:tab w:val="right" w:pos="2155"/>
        </w:tabs>
        <w:spacing w:after="80"/>
        <w:ind w:left="680"/>
        <w:rPr>
          <w:u w:val="single"/>
        </w:rPr>
      </w:pPr>
      <w:r>
        <w:rPr>
          <w:u w:val="single"/>
        </w:rPr>
        <w:tab/>
      </w:r>
    </w:p>
  </w:footnote>
  <w:footnote w:type="continuationSeparator" w:id="0">
    <w:p w:rsidR="008D775B" w:rsidRDefault="008D775B">
      <w:r>
        <w:rPr>
          <w:u w:val="single"/>
        </w:rPr>
        <w:tab/>
      </w:r>
      <w:r>
        <w:rPr>
          <w:u w:val="single"/>
        </w:rPr>
        <w:tab/>
      </w:r>
      <w:r>
        <w:rPr>
          <w:u w:val="single"/>
        </w:rPr>
        <w:tab/>
      </w:r>
      <w:r>
        <w:rPr>
          <w:u w:val="single"/>
        </w:rPr>
        <w:tab/>
      </w:r>
    </w:p>
  </w:footnote>
  <w:footnote w:type="continuationNotice" w:id="1">
    <w:p w:rsidR="008D775B" w:rsidRPr="001252D7" w:rsidRDefault="008D775B" w:rsidP="001252D7">
      <w:pPr>
        <w:spacing w:line="240" w:lineRule="auto"/>
        <w:rPr>
          <w:sz w:val="2"/>
          <w:szCs w:val="2"/>
        </w:rPr>
      </w:pPr>
    </w:p>
  </w:footnote>
  <w:footnote w:id="2">
    <w:p w:rsidR="001E38A4" w:rsidRPr="00757D82" w:rsidRDefault="001E38A4" w:rsidP="00225E54">
      <w:pPr>
        <w:pStyle w:val="FootnoteText"/>
      </w:pPr>
      <w:r>
        <w:rPr>
          <w:sz w:val="20"/>
        </w:rPr>
        <w:tab/>
      </w:r>
      <w:r w:rsidRPr="003C6783">
        <w:rPr>
          <w:sz w:val="20"/>
        </w:rPr>
        <w:t>*</w:t>
      </w:r>
      <w:r>
        <w:tab/>
      </w:r>
      <w:r w:rsidRPr="00757D82">
        <w:t>Constatations rendues publiques sur décision du Comité des droits de l’homme.</w:t>
      </w:r>
    </w:p>
  </w:footnote>
  <w:footnote w:id="3">
    <w:p w:rsidR="00251EDD" w:rsidRDefault="001E38A4">
      <w:pPr>
        <w:pStyle w:val="FootnoteText"/>
      </w:pPr>
      <w:r>
        <w:tab/>
      </w:r>
      <w:r w:rsidRPr="00732673">
        <w:rPr>
          <w:rStyle w:val="FootnoteReference"/>
          <w:sz w:val="20"/>
          <w:vertAlign w:val="baseline"/>
        </w:rPr>
        <w:t>**</w:t>
      </w:r>
      <w:r>
        <w:rPr>
          <w:sz w:val="20"/>
        </w:rPr>
        <w:tab/>
      </w:r>
      <w:r>
        <w:t>Les membres du Comité dont le nom suit ont participé à l’examen de la communication: M.</w:t>
      </w:r>
      <w:r w:rsidR="00FE0408">
        <w:t> </w:t>
      </w:r>
      <w:r>
        <w:t>Lazhari</w:t>
      </w:r>
      <w:r w:rsidR="00FE0408">
        <w:t> </w:t>
      </w:r>
      <w:r>
        <w:t>Bouzid, M</w:t>
      </w:r>
      <w:r w:rsidRPr="00D91DA2">
        <w:rPr>
          <w:vertAlign w:val="superscript"/>
        </w:rPr>
        <w:t>me</w:t>
      </w:r>
      <w:r>
        <w:t> Christine Chanet, M. Ahmad Amin Fathalla, M. Cornelis Flinterman, M.</w:t>
      </w:r>
      <w:r w:rsidR="00FE0408">
        <w:t> </w:t>
      </w:r>
      <w:r>
        <w:t>Yuji Iwasawa, M</w:t>
      </w:r>
      <w:r w:rsidRPr="00D91DA2">
        <w:rPr>
          <w:vertAlign w:val="superscript"/>
        </w:rPr>
        <w:t>me</w:t>
      </w:r>
      <w:r>
        <w:t> Helen Keller, M. Rajsoomer Lallah, M</w:t>
      </w:r>
      <w:r w:rsidRPr="00D91DA2">
        <w:rPr>
          <w:vertAlign w:val="superscript"/>
        </w:rPr>
        <w:t>me</w:t>
      </w:r>
      <w:r>
        <w:t> Zonke Zanele Maiodina, M</w:t>
      </w:r>
      <w:r w:rsidRPr="00D91DA2">
        <w:rPr>
          <w:vertAlign w:val="superscript"/>
        </w:rPr>
        <w:t>me</w:t>
      </w:r>
      <w:r>
        <w:t> Iulia</w:t>
      </w:r>
      <w:r w:rsidR="00FE0408">
        <w:t> </w:t>
      </w:r>
      <w:r>
        <w:t xml:space="preserve">Antoanella Motoc, M. Gerald L. Neuman, M. Michael O’Flaherty, M. Rafael Rivas Posada, </w:t>
      </w:r>
      <w:r w:rsidR="00251EDD">
        <w:t>Sir Nigel Rodley</w:t>
      </w:r>
      <w:r w:rsidR="00A82EED">
        <w:t>, M. </w:t>
      </w:r>
      <w:r>
        <w:t>Fabián Omar Salvioli, M. Krister Thelin et M</w:t>
      </w:r>
      <w:r w:rsidRPr="00D91DA2">
        <w:rPr>
          <w:vertAlign w:val="superscript"/>
        </w:rPr>
        <w:t>me</w:t>
      </w:r>
      <w:r>
        <w:t> Margo Waterval.</w:t>
      </w:r>
    </w:p>
    <w:p w:rsidR="001E38A4" w:rsidRPr="00732673" w:rsidRDefault="001C109C" w:rsidP="001C109C">
      <w:pPr>
        <w:pStyle w:val="FootnoteText"/>
        <w:tabs>
          <w:tab w:val="left" w:pos="1701"/>
        </w:tabs>
      </w:pPr>
      <w:r>
        <w:tab/>
      </w:r>
      <w:r>
        <w:tab/>
      </w:r>
      <w:r>
        <w:tab/>
      </w:r>
      <w:r w:rsidR="00251EDD">
        <w:t>Le texte de cinq opinions individuelles signées de M. Krister Thelin, M. Gerald L. Neuman,</w:t>
      </w:r>
      <w:r w:rsidR="00FE0408">
        <w:t xml:space="preserve"> </w:t>
      </w:r>
      <w:r w:rsidR="00251EDD">
        <w:t>M. Yuji Iwasawa, Sir Nigel Rodley</w:t>
      </w:r>
      <w:r w:rsidR="00A82EED">
        <w:t xml:space="preserve">, M. Michael O’Flaherty, </w:t>
      </w:r>
      <w:r w:rsidR="001569E9">
        <w:t>M</w:t>
      </w:r>
      <w:r w:rsidR="001569E9" w:rsidRPr="00D91DA2">
        <w:rPr>
          <w:vertAlign w:val="superscript"/>
        </w:rPr>
        <w:t>me</w:t>
      </w:r>
      <w:r w:rsidR="00A82EED">
        <w:t> Helen Keller</w:t>
      </w:r>
      <w:r w:rsidR="001569E9">
        <w:t xml:space="preserve"> et </w:t>
      </w:r>
      <w:r w:rsidR="00A82EED">
        <w:t>M.</w:t>
      </w:r>
      <w:r w:rsidR="00FE0408">
        <w:t> </w:t>
      </w:r>
      <w:r w:rsidR="00A82EED">
        <w:t>Cornelis</w:t>
      </w:r>
      <w:r w:rsidR="00FE0408">
        <w:t> </w:t>
      </w:r>
      <w:r w:rsidR="00A82EED">
        <w:t>Flinterman</w:t>
      </w:r>
      <w:r w:rsidR="001569E9">
        <w:t xml:space="preserve"> est joint aux présentes constatations.</w:t>
      </w:r>
    </w:p>
  </w:footnote>
  <w:footnote w:id="4">
    <w:p w:rsidR="001E38A4" w:rsidRPr="00612379" w:rsidRDefault="001E38A4" w:rsidP="00913DF3">
      <w:pPr>
        <w:pStyle w:val="FootnoteText"/>
        <w:rPr>
          <w:lang w:val="fr-FR"/>
        </w:rPr>
      </w:pPr>
      <w:r>
        <w:rPr>
          <w:lang w:val="fr-FR"/>
        </w:rPr>
        <w:tab/>
      </w:r>
      <w:r>
        <w:rPr>
          <w:rStyle w:val="FootnoteReference"/>
        </w:rPr>
        <w:footnoteRef/>
      </w:r>
      <w:r>
        <w:rPr>
          <w:lang w:val="fr-FR"/>
        </w:rPr>
        <w:tab/>
      </w:r>
      <w:r w:rsidRPr="00031D19">
        <w:rPr>
          <w:lang w:val="fr-FR"/>
        </w:rPr>
        <w:t>Voir l</w:t>
      </w:r>
      <w:r>
        <w:rPr>
          <w:lang w:val="fr-FR"/>
        </w:rPr>
        <w:t>’</w:t>
      </w:r>
      <w:r w:rsidRPr="00031D19">
        <w:rPr>
          <w:lang w:val="fr-FR"/>
        </w:rPr>
        <w:t>a</w:t>
      </w:r>
      <w:r>
        <w:rPr>
          <w:lang w:val="fr-FR"/>
        </w:rPr>
        <w:t>rticle</w:t>
      </w:r>
      <w:r w:rsidRPr="00031D19">
        <w:rPr>
          <w:lang w:val="fr-FR"/>
        </w:rPr>
        <w:t xml:space="preserve"> 64 de la loi sur l</w:t>
      </w:r>
      <w:r>
        <w:rPr>
          <w:lang w:val="fr-FR"/>
        </w:rPr>
        <w:t>’</w:t>
      </w:r>
      <w:r w:rsidRPr="00031D19">
        <w:rPr>
          <w:lang w:val="fr-FR"/>
        </w:rPr>
        <w:t>immigration et la protection des réfugiés: 1) L</w:t>
      </w:r>
      <w:r>
        <w:rPr>
          <w:lang w:val="fr-FR"/>
        </w:rPr>
        <w:t>’</w:t>
      </w:r>
      <w:r w:rsidRPr="00031D19">
        <w:rPr>
          <w:lang w:val="fr-FR"/>
        </w:rPr>
        <w:t>appel ne peut être interjeté par le</w:t>
      </w:r>
      <w:r>
        <w:rPr>
          <w:lang w:val="fr-FR"/>
        </w:rPr>
        <w:t xml:space="preserve"> </w:t>
      </w:r>
      <w:r w:rsidRPr="00031D19">
        <w:rPr>
          <w:lang w:val="fr-FR"/>
        </w:rPr>
        <w:t>résident permanent ou l</w:t>
      </w:r>
      <w:r>
        <w:rPr>
          <w:lang w:val="fr-FR"/>
        </w:rPr>
        <w:t>’</w:t>
      </w:r>
      <w:r w:rsidRPr="00031D19">
        <w:rPr>
          <w:lang w:val="fr-FR"/>
        </w:rPr>
        <w:t>étranger qui est interdit</w:t>
      </w:r>
      <w:r>
        <w:rPr>
          <w:lang w:val="fr-FR"/>
        </w:rPr>
        <w:t xml:space="preserve"> </w:t>
      </w:r>
      <w:r w:rsidRPr="00031D19">
        <w:rPr>
          <w:lang w:val="fr-FR"/>
        </w:rPr>
        <w:t>de territoire pour raison de sécurité ou pour atteinte</w:t>
      </w:r>
      <w:r>
        <w:rPr>
          <w:lang w:val="fr-FR"/>
        </w:rPr>
        <w:t xml:space="preserve"> </w:t>
      </w:r>
      <w:r w:rsidRPr="00031D19">
        <w:rPr>
          <w:lang w:val="fr-FR"/>
        </w:rPr>
        <w:t>aux droits humains ou internationaux,</w:t>
      </w:r>
      <w:r>
        <w:rPr>
          <w:lang w:val="fr-FR"/>
        </w:rPr>
        <w:t xml:space="preserve"> </w:t>
      </w:r>
      <w:r w:rsidRPr="00031D19">
        <w:rPr>
          <w:lang w:val="fr-FR"/>
        </w:rPr>
        <w:t>grande criminalité ou criminalité organisée, ni</w:t>
      </w:r>
      <w:r>
        <w:rPr>
          <w:lang w:val="fr-FR"/>
        </w:rPr>
        <w:t xml:space="preserve"> </w:t>
      </w:r>
      <w:r w:rsidRPr="00031D19">
        <w:rPr>
          <w:lang w:val="fr-FR"/>
        </w:rPr>
        <w:t>par</w:t>
      </w:r>
      <w:r>
        <w:rPr>
          <w:lang w:val="fr-FR"/>
        </w:rPr>
        <w:t>,</w:t>
      </w:r>
      <w:r w:rsidRPr="00031D19">
        <w:rPr>
          <w:lang w:val="fr-FR"/>
        </w:rPr>
        <w:t xml:space="preserve"> dans le cas de l</w:t>
      </w:r>
      <w:r>
        <w:rPr>
          <w:lang w:val="fr-FR"/>
        </w:rPr>
        <w:t>’</w:t>
      </w:r>
      <w:r w:rsidRPr="00031D19">
        <w:rPr>
          <w:lang w:val="fr-FR"/>
        </w:rPr>
        <w:t xml:space="preserve">étranger, son répondant. </w:t>
      </w:r>
      <w:r>
        <w:rPr>
          <w:lang w:val="fr-FR"/>
        </w:rPr>
        <w:t xml:space="preserve">2) </w:t>
      </w:r>
      <w:r w:rsidRPr="00612379">
        <w:rPr>
          <w:lang w:val="fr-FR"/>
        </w:rPr>
        <w:t>L</w:t>
      </w:r>
      <w:r>
        <w:rPr>
          <w:lang w:val="fr-FR"/>
        </w:rPr>
        <w:t>’</w:t>
      </w:r>
      <w:r w:rsidRPr="00612379">
        <w:rPr>
          <w:lang w:val="fr-FR"/>
        </w:rPr>
        <w:t>interdiction de territoire pour grande criminalité vise l</w:t>
      </w:r>
      <w:r>
        <w:rPr>
          <w:lang w:val="fr-FR"/>
        </w:rPr>
        <w:t>’</w:t>
      </w:r>
      <w:r w:rsidRPr="00612379">
        <w:rPr>
          <w:lang w:val="fr-FR"/>
        </w:rPr>
        <w:t>infraction punie au Canada par un emprisonnement d</w:t>
      </w:r>
      <w:r>
        <w:rPr>
          <w:lang w:val="fr-FR"/>
        </w:rPr>
        <w:t>’</w:t>
      </w:r>
      <w:r w:rsidRPr="00612379">
        <w:rPr>
          <w:lang w:val="fr-FR"/>
        </w:rPr>
        <w:t>au moins deux ans.</w:t>
      </w:r>
    </w:p>
  </w:footnote>
  <w:footnote w:id="5">
    <w:p w:rsidR="001E38A4" w:rsidRPr="00612379" w:rsidRDefault="001E38A4" w:rsidP="002E353E">
      <w:pPr>
        <w:pStyle w:val="FootnoteText"/>
        <w:rPr>
          <w:lang w:val="fr-FR"/>
        </w:rPr>
      </w:pPr>
      <w:r>
        <w:rPr>
          <w:lang w:val="fr-FR"/>
        </w:rPr>
        <w:tab/>
      </w:r>
      <w:r>
        <w:rPr>
          <w:rStyle w:val="FootnoteReference"/>
        </w:rPr>
        <w:footnoteRef/>
      </w:r>
      <w:r>
        <w:rPr>
          <w:lang w:val="fr-FR"/>
        </w:rPr>
        <w:tab/>
      </w:r>
      <w:r w:rsidRPr="00612379">
        <w:rPr>
          <w:lang w:val="fr-FR"/>
        </w:rPr>
        <w:t>CAT/C/CR/34/CAN, par. 4 et 5.</w:t>
      </w:r>
    </w:p>
  </w:footnote>
  <w:footnote w:id="6">
    <w:p w:rsidR="001E38A4" w:rsidRPr="00741613" w:rsidRDefault="001E38A4" w:rsidP="002E353E">
      <w:pPr>
        <w:pStyle w:val="FootnoteText"/>
        <w:rPr>
          <w:lang w:val="en-GB"/>
        </w:rPr>
      </w:pPr>
      <w:r>
        <w:rPr>
          <w:lang w:val="fr-FR"/>
        </w:rPr>
        <w:tab/>
      </w:r>
      <w:r>
        <w:rPr>
          <w:rStyle w:val="FootnoteReference"/>
        </w:rPr>
        <w:footnoteRef/>
      </w:r>
      <w:r>
        <w:rPr>
          <w:lang w:val="fr-FR"/>
        </w:rPr>
        <w:tab/>
      </w:r>
      <w:r w:rsidRPr="00741613">
        <w:rPr>
          <w:lang w:val="en-GB"/>
        </w:rPr>
        <w:t>CCPR/C/CAN/CO/5, par. 15.</w:t>
      </w:r>
    </w:p>
  </w:footnote>
  <w:footnote w:id="7">
    <w:p w:rsidR="001E38A4" w:rsidRPr="000E5BBE" w:rsidRDefault="001E38A4" w:rsidP="002E353E">
      <w:pPr>
        <w:pStyle w:val="FootnoteText"/>
        <w:rPr>
          <w:lang w:val="fr-FR"/>
        </w:rPr>
      </w:pPr>
      <w:r>
        <w:rPr>
          <w:lang w:val="fr-FR"/>
        </w:rPr>
        <w:tab/>
      </w:r>
      <w:r>
        <w:rPr>
          <w:rStyle w:val="FootnoteReference"/>
        </w:rPr>
        <w:footnoteRef/>
      </w:r>
      <w:r>
        <w:rPr>
          <w:lang w:val="fr-FR"/>
        </w:rPr>
        <w:tab/>
      </w:r>
      <w:r w:rsidRPr="000E5BBE">
        <w:rPr>
          <w:lang w:val="fr-FR"/>
        </w:rPr>
        <w:t xml:space="preserve">Haut-Commissariat des Nations Unies pour les réfugiés (HCR): </w:t>
      </w:r>
      <w:r w:rsidRPr="003773AB">
        <w:rPr>
          <w:lang w:val="fr-FR"/>
        </w:rPr>
        <w:t>Eligibility Guidelines for Assessing the International Protection Needs of Asylum-Seekers from Somalia</w:t>
      </w:r>
      <w:r w:rsidRPr="000E5BBE">
        <w:rPr>
          <w:lang w:val="fr-FR"/>
        </w:rPr>
        <w:t xml:space="preserve">, 5 mai 2010, HCR/EG/SOM/10/1, p. 9, </w:t>
      </w:r>
      <w:r>
        <w:rPr>
          <w:lang w:val="fr-FR"/>
        </w:rPr>
        <w:t xml:space="preserve">directives </w:t>
      </w:r>
      <w:r w:rsidRPr="000E5BBE">
        <w:rPr>
          <w:lang w:val="fr-FR"/>
        </w:rPr>
        <w:t>selon lesquelles sans la protection et le soutien du clan, toute personne se trouvant dans le Puntland conna</w:t>
      </w:r>
      <w:r>
        <w:rPr>
          <w:lang w:val="fr-FR"/>
        </w:rPr>
        <w:t>î</w:t>
      </w:r>
      <w:r w:rsidRPr="000E5BBE">
        <w:rPr>
          <w:lang w:val="fr-FR"/>
        </w:rPr>
        <w:t xml:space="preserve">trait le sort </w:t>
      </w:r>
      <w:r>
        <w:rPr>
          <w:lang w:val="fr-FR"/>
        </w:rPr>
        <w:t>général des personnes déplacées à l’intérieur de leur pays</w:t>
      </w:r>
      <w:r w:rsidRPr="000E5BBE">
        <w:rPr>
          <w:lang w:val="fr-FR"/>
        </w:rPr>
        <w:t xml:space="preserve">, </w:t>
      </w:r>
      <w:r>
        <w:rPr>
          <w:lang w:val="fr-FR"/>
        </w:rPr>
        <w:t xml:space="preserve">notamment le «manque de </w:t>
      </w:r>
      <w:r w:rsidRPr="000E5BBE">
        <w:rPr>
          <w:lang w:val="fr-FR"/>
        </w:rPr>
        <w:t xml:space="preserve">protection, </w:t>
      </w:r>
      <w:r>
        <w:rPr>
          <w:lang w:val="fr-FR"/>
        </w:rPr>
        <w:t>l’accès limité à l’éducation et aux services de santé</w:t>
      </w:r>
      <w:r w:rsidRPr="000E5BBE">
        <w:rPr>
          <w:lang w:val="fr-FR"/>
        </w:rPr>
        <w:t xml:space="preserve">, </w:t>
      </w:r>
      <w:r>
        <w:rPr>
          <w:lang w:val="fr-FR"/>
        </w:rPr>
        <w:t xml:space="preserve">la </w:t>
      </w:r>
      <w:r w:rsidRPr="000E5BBE">
        <w:rPr>
          <w:lang w:val="fr-FR"/>
        </w:rPr>
        <w:t>vuln</w:t>
      </w:r>
      <w:r>
        <w:rPr>
          <w:lang w:val="fr-FR"/>
        </w:rPr>
        <w:t>é</w:t>
      </w:r>
      <w:r w:rsidRPr="000E5BBE">
        <w:rPr>
          <w:lang w:val="fr-FR"/>
        </w:rPr>
        <w:t>rabilit</w:t>
      </w:r>
      <w:r>
        <w:rPr>
          <w:lang w:val="fr-FR"/>
        </w:rPr>
        <w:t>é à l’exploitation sexuelle ou au viol</w:t>
      </w:r>
      <w:r w:rsidRPr="000E5BBE">
        <w:rPr>
          <w:lang w:val="fr-FR"/>
        </w:rPr>
        <w:t xml:space="preserve">, </w:t>
      </w:r>
      <w:r>
        <w:rPr>
          <w:lang w:val="fr-FR"/>
        </w:rPr>
        <w:t>le travail forcé</w:t>
      </w:r>
      <w:r w:rsidRPr="000E5BBE">
        <w:rPr>
          <w:lang w:val="fr-FR"/>
        </w:rPr>
        <w:t xml:space="preserve">, </w:t>
      </w:r>
      <w:r>
        <w:rPr>
          <w:lang w:val="fr-FR"/>
        </w:rPr>
        <w:t>la menace perpétuelle d’éviction et la destruction ou la confiscation des biens».</w:t>
      </w:r>
    </w:p>
  </w:footnote>
  <w:footnote w:id="8">
    <w:p w:rsidR="001E38A4" w:rsidRPr="00215091" w:rsidRDefault="001E38A4" w:rsidP="002E353E">
      <w:pPr>
        <w:pStyle w:val="FootnoteText"/>
        <w:rPr>
          <w:lang w:val="fr-FR"/>
        </w:rPr>
      </w:pPr>
      <w:r>
        <w:rPr>
          <w:lang w:val="fr-FR"/>
        </w:rPr>
        <w:tab/>
      </w:r>
      <w:r>
        <w:rPr>
          <w:rStyle w:val="FootnoteReference"/>
        </w:rPr>
        <w:footnoteRef/>
      </w:r>
      <w:r>
        <w:rPr>
          <w:lang w:val="fr-FR"/>
        </w:rPr>
        <w:tab/>
      </w:r>
      <w:r w:rsidRPr="00215091">
        <w:rPr>
          <w:lang w:val="fr-FR"/>
        </w:rPr>
        <w:t>Voir Conseil canadien pour les réfugiés, Appel pour la suspension des expulsions vers la So</w:t>
      </w:r>
      <w:r>
        <w:rPr>
          <w:lang w:val="fr-FR"/>
        </w:rPr>
        <w:t xml:space="preserve">malie, </w:t>
      </w:r>
      <w:r w:rsidRPr="00215091">
        <w:rPr>
          <w:lang w:val="fr-FR"/>
        </w:rPr>
        <w:t>16</w:t>
      </w:r>
      <w:r>
        <w:rPr>
          <w:lang w:val="fr-FR"/>
        </w:rPr>
        <w:t> juillet 2</w:t>
      </w:r>
      <w:r w:rsidRPr="00215091">
        <w:rPr>
          <w:lang w:val="fr-FR"/>
        </w:rPr>
        <w:t>010, p</w:t>
      </w:r>
      <w:r>
        <w:rPr>
          <w:lang w:val="fr-FR"/>
        </w:rPr>
        <w:t>.</w:t>
      </w:r>
      <w:r w:rsidRPr="00215091">
        <w:rPr>
          <w:lang w:val="fr-FR"/>
        </w:rPr>
        <w:t xml:space="preserve"> 2; </w:t>
      </w:r>
      <w:r w:rsidRPr="002D4886">
        <w:rPr>
          <w:lang w:val="fr-FR"/>
        </w:rPr>
        <w:t>rapport de l</w:t>
      </w:r>
      <w:r>
        <w:rPr>
          <w:lang w:val="fr-FR"/>
        </w:rPr>
        <w:t>’</w:t>
      </w:r>
      <w:r w:rsidRPr="002D4886">
        <w:rPr>
          <w:lang w:val="fr-FR"/>
        </w:rPr>
        <w:t>expert indépendant chargé d</w:t>
      </w:r>
      <w:r>
        <w:rPr>
          <w:lang w:val="fr-FR"/>
        </w:rPr>
        <w:t>’</w:t>
      </w:r>
      <w:r w:rsidRPr="002D4886">
        <w:rPr>
          <w:lang w:val="fr-FR"/>
        </w:rPr>
        <w:t>examiner la situation des droits de l</w:t>
      </w:r>
      <w:r>
        <w:rPr>
          <w:lang w:val="fr-FR"/>
        </w:rPr>
        <w:t>’</w:t>
      </w:r>
      <w:r w:rsidRPr="002D4886">
        <w:rPr>
          <w:lang w:val="fr-FR"/>
        </w:rPr>
        <w:t>homme en Somalie</w:t>
      </w:r>
      <w:r w:rsidRPr="00215091">
        <w:rPr>
          <w:lang w:val="fr-FR"/>
        </w:rPr>
        <w:t xml:space="preserve">, Shamsul Bari, 8 </w:t>
      </w:r>
      <w:r>
        <w:rPr>
          <w:lang w:val="fr-FR"/>
        </w:rPr>
        <w:t>mars</w:t>
      </w:r>
      <w:r w:rsidRPr="00215091">
        <w:rPr>
          <w:lang w:val="fr-FR"/>
        </w:rPr>
        <w:t xml:space="preserve"> 2010, par</w:t>
      </w:r>
      <w:r>
        <w:rPr>
          <w:lang w:val="fr-FR"/>
        </w:rPr>
        <w:t>.</w:t>
      </w:r>
      <w:r w:rsidRPr="00215091">
        <w:rPr>
          <w:lang w:val="fr-FR"/>
        </w:rPr>
        <w:t xml:space="preserve"> 77.</w:t>
      </w:r>
    </w:p>
  </w:footnote>
  <w:footnote w:id="9">
    <w:p w:rsidR="001E38A4" w:rsidRPr="00215091" w:rsidRDefault="001E38A4" w:rsidP="002E353E">
      <w:pPr>
        <w:pStyle w:val="FootnoteText"/>
        <w:rPr>
          <w:lang w:val="fr-FR"/>
        </w:rPr>
      </w:pPr>
      <w:r>
        <w:rPr>
          <w:lang w:val="fr-FR"/>
        </w:rPr>
        <w:tab/>
      </w:r>
      <w:r>
        <w:rPr>
          <w:rStyle w:val="FootnoteReference"/>
        </w:rPr>
        <w:footnoteRef/>
      </w:r>
      <w:r>
        <w:rPr>
          <w:lang w:val="fr-FR"/>
        </w:rPr>
        <w:tab/>
      </w:r>
      <w:r w:rsidRPr="00215091">
        <w:rPr>
          <w:lang w:val="fr-FR"/>
        </w:rPr>
        <w:t>HCR</w:t>
      </w:r>
      <w:r>
        <w:rPr>
          <w:lang w:val="fr-FR"/>
        </w:rPr>
        <w:t>,</w:t>
      </w:r>
      <w:r w:rsidRPr="00215091">
        <w:rPr>
          <w:lang w:val="fr-FR"/>
        </w:rPr>
        <w:t xml:space="preserve"> </w:t>
      </w:r>
      <w:r w:rsidRPr="003773AB">
        <w:rPr>
          <w:lang w:val="fr-FR"/>
        </w:rPr>
        <w:t>Eligibility Guidelines for Assessing the International Protection Needs of Asylum-Seekers from Somalia</w:t>
      </w:r>
      <w:r w:rsidRPr="00215091">
        <w:rPr>
          <w:lang w:val="fr-FR"/>
        </w:rPr>
        <w:t xml:space="preserve">, </w:t>
      </w:r>
      <w:r>
        <w:rPr>
          <w:lang w:val="fr-FR"/>
        </w:rPr>
        <w:t>op. cit., p</w:t>
      </w:r>
      <w:r w:rsidRPr="00215091">
        <w:rPr>
          <w:lang w:val="fr-FR"/>
        </w:rPr>
        <w:t xml:space="preserve">. 9 et 16; Les enfants et les conflits armés, </w:t>
      </w:r>
      <w:r>
        <w:rPr>
          <w:lang w:val="fr-FR"/>
        </w:rPr>
        <w:t>rapport du Secrétaire général</w:t>
      </w:r>
      <w:r w:rsidRPr="00215091">
        <w:rPr>
          <w:lang w:val="fr-FR"/>
        </w:rPr>
        <w:t xml:space="preserve">, A/64/742, 13 </w:t>
      </w:r>
      <w:r>
        <w:rPr>
          <w:lang w:val="fr-FR"/>
        </w:rPr>
        <w:t>avril 2010, p</w:t>
      </w:r>
      <w:r w:rsidRPr="00215091">
        <w:rPr>
          <w:lang w:val="fr-FR"/>
        </w:rPr>
        <w:t>.</w:t>
      </w:r>
      <w:r>
        <w:rPr>
          <w:lang w:val="fr-FR"/>
        </w:rPr>
        <w:t xml:space="preserve"> </w:t>
      </w:r>
      <w:r w:rsidRPr="00215091">
        <w:rPr>
          <w:lang w:val="fr-FR"/>
        </w:rPr>
        <w:t>27</w:t>
      </w:r>
      <w:r>
        <w:rPr>
          <w:lang w:val="fr-FR"/>
        </w:rPr>
        <w:t xml:space="preserve"> et 28</w:t>
      </w:r>
      <w:r w:rsidRPr="00215091">
        <w:rPr>
          <w:lang w:val="fr-FR"/>
        </w:rPr>
        <w:t>.</w:t>
      </w:r>
    </w:p>
  </w:footnote>
  <w:footnote w:id="10">
    <w:p w:rsidR="001E38A4" w:rsidRPr="002D4886" w:rsidRDefault="001E38A4" w:rsidP="002E353E">
      <w:pPr>
        <w:pStyle w:val="FootnoteText"/>
        <w:rPr>
          <w:lang w:val="fr-FR"/>
        </w:rPr>
      </w:pPr>
      <w:r>
        <w:rPr>
          <w:lang w:val="fr-FR"/>
        </w:rPr>
        <w:tab/>
      </w:r>
      <w:r>
        <w:rPr>
          <w:rStyle w:val="FootnoteReference"/>
        </w:rPr>
        <w:footnoteRef/>
      </w:r>
      <w:r>
        <w:rPr>
          <w:lang w:val="fr-FR"/>
        </w:rPr>
        <w:tab/>
      </w:r>
      <w:r w:rsidRPr="002D4886">
        <w:rPr>
          <w:lang w:val="fr-FR"/>
        </w:rPr>
        <w:t>Voir Human</w:t>
      </w:r>
      <w:r>
        <w:rPr>
          <w:lang w:val="fr-FR"/>
        </w:rPr>
        <w:t xml:space="preserve"> Rights Watch World Report 2010 on</w:t>
      </w:r>
      <w:r w:rsidRPr="002D4886">
        <w:rPr>
          <w:lang w:val="fr-FR"/>
        </w:rPr>
        <w:t xml:space="preserve"> Somali</w:t>
      </w:r>
      <w:r>
        <w:rPr>
          <w:lang w:val="fr-FR"/>
        </w:rPr>
        <w:t>a</w:t>
      </w:r>
      <w:r w:rsidRPr="002D4886">
        <w:rPr>
          <w:lang w:val="fr-FR"/>
        </w:rPr>
        <w:t>, par. 3; Bureau de la coordination des affaires humanitaires</w:t>
      </w:r>
      <w:r>
        <w:rPr>
          <w:lang w:val="fr-FR"/>
        </w:rPr>
        <w:t xml:space="preserve">, Appel </w:t>
      </w:r>
      <w:r>
        <w:t>global en faveur de la Somalie (</w:t>
      </w:r>
      <w:r w:rsidRPr="002D4886">
        <w:rPr>
          <w:lang w:val="fr-FR"/>
        </w:rPr>
        <w:t>2010</w:t>
      </w:r>
      <w:r>
        <w:rPr>
          <w:lang w:val="fr-FR"/>
        </w:rPr>
        <w:t>)</w:t>
      </w:r>
      <w:r w:rsidRPr="002D4886">
        <w:rPr>
          <w:lang w:val="fr-FR"/>
        </w:rPr>
        <w:t xml:space="preserve">, </w:t>
      </w:r>
      <w:r>
        <w:rPr>
          <w:lang w:val="fr-FR"/>
        </w:rPr>
        <w:t xml:space="preserve">en date du 30 novembre </w:t>
      </w:r>
      <w:r w:rsidRPr="002D4886">
        <w:rPr>
          <w:lang w:val="fr-FR"/>
        </w:rPr>
        <w:t>2009.</w:t>
      </w:r>
    </w:p>
  </w:footnote>
  <w:footnote w:id="11">
    <w:p w:rsidR="001E38A4" w:rsidRPr="00975234" w:rsidRDefault="001E38A4" w:rsidP="002E353E">
      <w:pPr>
        <w:pStyle w:val="FootnoteText"/>
        <w:rPr>
          <w:lang w:val="fr-FR"/>
        </w:rPr>
      </w:pPr>
      <w:r>
        <w:rPr>
          <w:lang w:val="fr-FR"/>
        </w:rPr>
        <w:tab/>
      </w:r>
      <w:r>
        <w:rPr>
          <w:rStyle w:val="FootnoteReference"/>
        </w:rPr>
        <w:footnoteRef/>
      </w:r>
      <w:r>
        <w:rPr>
          <w:lang w:val="fr-FR"/>
        </w:rPr>
        <w:tab/>
      </w:r>
      <w:r w:rsidRPr="00975234">
        <w:rPr>
          <w:lang w:val="fr-FR"/>
        </w:rPr>
        <w:t>Voir la communication n</w:t>
      </w:r>
      <w:r w:rsidRPr="00F63C48">
        <w:rPr>
          <w:vertAlign w:val="superscript"/>
          <w:lang w:val="fr-FR"/>
        </w:rPr>
        <w:t>o</w:t>
      </w:r>
      <w:r>
        <w:rPr>
          <w:lang w:val="fr-FR"/>
        </w:rPr>
        <w:t> </w:t>
      </w:r>
      <w:r w:rsidRPr="00975234">
        <w:rPr>
          <w:lang w:val="fr-FR"/>
        </w:rPr>
        <w:t xml:space="preserve">1792/2008, </w:t>
      </w:r>
      <w:r w:rsidRPr="00975234">
        <w:rPr>
          <w:i/>
          <w:iCs/>
          <w:lang w:val="fr-FR"/>
        </w:rPr>
        <w:t xml:space="preserve">Dauphin </w:t>
      </w:r>
      <w:r w:rsidRPr="009B491D">
        <w:rPr>
          <w:iCs/>
          <w:lang w:val="fr-FR"/>
        </w:rPr>
        <w:t>c.</w:t>
      </w:r>
      <w:r w:rsidRPr="00975234">
        <w:rPr>
          <w:i/>
          <w:iCs/>
          <w:lang w:val="fr-FR"/>
        </w:rPr>
        <w:t xml:space="preserve"> Canada</w:t>
      </w:r>
      <w:r w:rsidRPr="00975234">
        <w:rPr>
          <w:lang w:val="fr-FR"/>
        </w:rPr>
        <w:t xml:space="preserve">, </w:t>
      </w:r>
      <w:r>
        <w:rPr>
          <w:lang w:val="fr-FR"/>
        </w:rPr>
        <w:t>constatations adoptées le</w:t>
      </w:r>
      <w:r w:rsidRPr="00975234">
        <w:rPr>
          <w:lang w:val="fr-FR"/>
        </w:rPr>
        <w:t xml:space="preserve"> 28 juillet 2009, par. 8.3 et 8.4.</w:t>
      </w:r>
    </w:p>
  </w:footnote>
  <w:footnote w:id="12">
    <w:p w:rsidR="001E38A4" w:rsidRPr="009B491D" w:rsidRDefault="001E38A4" w:rsidP="002E353E">
      <w:pPr>
        <w:pStyle w:val="FootnoteText"/>
      </w:pPr>
      <w:r>
        <w:rPr>
          <w:lang w:val="fr-FR"/>
        </w:rPr>
        <w:tab/>
      </w:r>
      <w:r>
        <w:rPr>
          <w:rStyle w:val="FootnoteReference"/>
        </w:rPr>
        <w:footnoteRef/>
      </w:r>
      <w:r>
        <w:rPr>
          <w:lang w:val="fr-FR"/>
        </w:rPr>
        <w:tab/>
      </w:r>
      <w:r w:rsidRPr="009B491D">
        <w:t xml:space="preserve">HCR, Eligibility Guidelines for Assessing the International Protection Needs of Asylum-Seekers from Somalia, </w:t>
      </w:r>
      <w:r>
        <w:t>op. cit., p</w:t>
      </w:r>
      <w:r w:rsidRPr="009B491D">
        <w:t xml:space="preserve">. 11, 18 et 23. </w:t>
      </w:r>
    </w:p>
  </w:footnote>
  <w:footnote w:id="13">
    <w:p w:rsidR="001E38A4" w:rsidRPr="00CA3770" w:rsidRDefault="001E38A4" w:rsidP="002E353E">
      <w:pPr>
        <w:pStyle w:val="FootnoteText"/>
        <w:rPr>
          <w:lang w:val="fr-FR"/>
        </w:rPr>
      </w:pPr>
      <w:r>
        <w:rPr>
          <w:lang w:val="fr-FR"/>
        </w:rPr>
        <w:tab/>
      </w:r>
      <w:r>
        <w:rPr>
          <w:rStyle w:val="FootnoteReference"/>
        </w:rPr>
        <w:footnoteRef/>
      </w:r>
      <w:r>
        <w:rPr>
          <w:lang w:val="fr-FR"/>
        </w:rPr>
        <w:tab/>
      </w:r>
      <w:r w:rsidRPr="00CA3770">
        <w:rPr>
          <w:lang w:val="fr-FR"/>
        </w:rPr>
        <w:t>Voir la communication n</w:t>
      </w:r>
      <w:r w:rsidRPr="004D189C">
        <w:rPr>
          <w:vertAlign w:val="superscript"/>
          <w:lang w:val="fr-FR"/>
        </w:rPr>
        <w:t>o</w:t>
      </w:r>
      <w:r>
        <w:rPr>
          <w:lang w:val="fr-FR"/>
        </w:rPr>
        <w:t> </w:t>
      </w:r>
      <w:r w:rsidRPr="00CA3770">
        <w:rPr>
          <w:lang w:val="fr-FR"/>
        </w:rPr>
        <w:t xml:space="preserve">1578/2007, </w:t>
      </w:r>
      <w:r w:rsidRPr="00CA3770">
        <w:rPr>
          <w:i/>
          <w:iCs/>
          <w:lang w:val="fr-FR"/>
        </w:rPr>
        <w:t xml:space="preserve">Javed Dastgir </w:t>
      </w:r>
      <w:r w:rsidRPr="00363258">
        <w:rPr>
          <w:iCs/>
          <w:lang w:val="fr-FR"/>
        </w:rPr>
        <w:t>c.</w:t>
      </w:r>
      <w:r>
        <w:rPr>
          <w:iCs/>
          <w:lang w:val="fr-FR"/>
        </w:rPr>
        <w:t xml:space="preserve"> </w:t>
      </w:r>
      <w:r w:rsidRPr="00CA3770">
        <w:rPr>
          <w:i/>
          <w:iCs/>
          <w:lang w:val="fr-FR"/>
        </w:rPr>
        <w:t>Canada</w:t>
      </w:r>
      <w:r w:rsidRPr="00CA3770">
        <w:rPr>
          <w:lang w:val="fr-FR"/>
        </w:rPr>
        <w:t>, décision d</w:t>
      </w:r>
      <w:r>
        <w:rPr>
          <w:lang w:val="fr-FR"/>
        </w:rPr>
        <w:t>’</w:t>
      </w:r>
      <w:r w:rsidRPr="00CA3770">
        <w:rPr>
          <w:lang w:val="fr-FR"/>
        </w:rPr>
        <w:t>irrecevabilité adoptée le 30</w:t>
      </w:r>
      <w:r>
        <w:rPr>
          <w:lang w:val="fr-FR"/>
        </w:rPr>
        <w:t> octobre 2008, par. 4.4</w:t>
      </w:r>
      <w:r w:rsidRPr="00CA3770">
        <w:rPr>
          <w:lang w:val="fr-FR"/>
        </w:rPr>
        <w:t xml:space="preserve">; </w:t>
      </w:r>
      <w:r>
        <w:rPr>
          <w:lang w:val="fr-FR"/>
        </w:rPr>
        <w:t xml:space="preserve">communication </w:t>
      </w:r>
      <w:r w:rsidRPr="00CA3770">
        <w:rPr>
          <w:lang w:val="fr-FR"/>
        </w:rPr>
        <w:t>n</w:t>
      </w:r>
      <w:r w:rsidRPr="004D189C">
        <w:rPr>
          <w:vertAlign w:val="superscript"/>
          <w:lang w:val="fr-FR"/>
        </w:rPr>
        <w:t>o</w:t>
      </w:r>
      <w:r>
        <w:rPr>
          <w:lang w:val="fr-FR"/>
        </w:rPr>
        <w:t> </w:t>
      </w:r>
      <w:r w:rsidRPr="00CA3770">
        <w:rPr>
          <w:lang w:val="fr-FR"/>
        </w:rPr>
        <w:t xml:space="preserve">939/2000, </w:t>
      </w:r>
      <w:r w:rsidRPr="00CA3770">
        <w:rPr>
          <w:i/>
          <w:iCs/>
          <w:lang w:val="fr-FR"/>
        </w:rPr>
        <w:t xml:space="preserve">Dupuy </w:t>
      </w:r>
      <w:r w:rsidRPr="00363258">
        <w:rPr>
          <w:iCs/>
          <w:lang w:val="fr-FR"/>
        </w:rPr>
        <w:t>c.</w:t>
      </w:r>
      <w:r w:rsidRPr="00CA3770">
        <w:rPr>
          <w:i/>
          <w:iCs/>
          <w:lang w:val="fr-FR"/>
        </w:rPr>
        <w:t xml:space="preserve"> Canada</w:t>
      </w:r>
      <w:r w:rsidRPr="00CA3770">
        <w:rPr>
          <w:lang w:val="fr-FR"/>
        </w:rPr>
        <w:t xml:space="preserve">, </w:t>
      </w:r>
      <w:r>
        <w:rPr>
          <w:lang w:val="fr-FR"/>
        </w:rPr>
        <w:t xml:space="preserve">décision d’irrecevabilité adoptée le </w:t>
      </w:r>
      <w:r w:rsidRPr="00CA3770">
        <w:rPr>
          <w:lang w:val="fr-FR"/>
        </w:rPr>
        <w:t xml:space="preserve">18 </w:t>
      </w:r>
      <w:r>
        <w:rPr>
          <w:lang w:val="fr-FR"/>
        </w:rPr>
        <w:t>mars 2003, par. 7.3</w:t>
      </w:r>
      <w:r w:rsidRPr="00CA3770">
        <w:rPr>
          <w:lang w:val="fr-FR"/>
        </w:rPr>
        <w:t>.</w:t>
      </w:r>
    </w:p>
  </w:footnote>
  <w:footnote w:id="14">
    <w:p w:rsidR="001E38A4" w:rsidRPr="006C4825" w:rsidRDefault="001E38A4" w:rsidP="002E353E">
      <w:pPr>
        <w:pStyle w:val="FootnoteText"/>
        <w:rPr>
          <w:lang w:val="fr-FR"/>
        </w:rPr>
      </w:pPr>
      <w:r>
        <w:rPr>
          <w:lang w:val="fr-FR"/>
        </w:rPr>
        <w:tab/>
      </w:r>
      <w:r>
        <w:rPr>
          <w:rStyle w:val="FootnoteReference"/>
        </w:rPr>
        <w:footnoteRef/>
      </w:r>
      <w:r>
        <w:rPr>
          <w:lang w:val="fr-FR"/>
        </w:rPr>
        <w:tab/>
      </w:r>
      <w:r w:rsidRPr="006C4825">
        <w:rPr>
          <w:lang w:val="fr-FR"/>
        </w:rPr>
        <w:t>Voir l</w:t>
      </w:r>
      <w:r>
        <w:rPr>
          <w:lang w:val="fr-FR"/>
        </w:rPr>
        <w:t>es</w:t>
      </w:r>
      <w:r w:rsidRPr="006C4825">
        <w:rPr>
          <w:lang w:val="fr-FR"/>
        </w:rPr>
        <w:t xml:space="preserve"> communication</w:t>
      </w:r>
      <w:r>
        <w:rPr>
          <w:lang w:val="fr-FR"/>
        </w:rPr>
        <w:t>s</w:t>
      </w:r>
      <w:r w:rsidRPr="006C4825">
        <w:rPr>
          <w:lang w:val="fr-FR"/>
        </w:rPr>
        <w:t xml:space="preserve"> </w:t>
      </w:r>
      <w:r w:rsidRPr="00CA3770">
        <w:rPr>
          <w:lang w:val="fr-FR"/>
        </w:rPr>
        <w:t>n</w:t>
      </w:r>
      <w:r w:rsidRPr="004D189C">
        <w:rPr>
          <w:vertAlign w:val="superscript"/>
          <w:lang w:val="fr-FR"/>
        </w:rPr>
        <w:t>o</w:t>
      </w:r>
      <w:r>
        <w:rPr>
          <w:lang w:val="fr-FR"/>
        </w:rPr>
        <w:t> </w:t>
      </w:r>
      <w:r w:rsidRPr="006C4825">
        <w:rPr>
          <w:lang w:val="fr-FR"/>
        </w:rPr>
        <w:t xml:space="preserve">1580/2007, </w:t>
      </w:r>
      <w:r w:rsidRPr="006C4825">
        <w:rPr>
          <w:i/>
          <w:iCs/>
          <w:lang w:val="fr-FR"/>
        </w:rPr>
        <w:t>F.</w:t>
      </w:r>
      <w:r>
        <w:rPr>
          <w:i/>
          <w:iCs/>
          <w:lang w:val="fr-FR"/>
        </w:rPr>
        <w:t xml:space="preserve"> </w:t>
      </w:r>
      <w:r w:rsidRPr="006C4825">
        <w:rPr>
          <w:i/>
          <w:iCs/>
          <w:lang w:val="fr-FR"/>
        </w:rPr>
        <w:t xml:space="preserve">M. </w:t>
      </w:r>
      <w:r w:rsidRPr="00AA2BCB">
        <w:rPr>
          <w:iCs/>
          <w:lang w:val="fr-FR"/>
        </w:rPr>
        <w:t>c.</w:t>
      </w:r>
      <w:r w:rsidRPr="006C4825">
        <w:rPr>
          <w:i/>
          <w:iCs/>
          <w:lang w:val="fr-FR"/>
        </w:rPr>
        <w:t xml:space="preserve"> Canada</w:t>
      </w:r>
      <w:r w:rsidRPr="006C4825">
        <w:rPr>
          <w:lang w:val="fr-FR"/>
        </w:rPr>
        <w:t xml:space="preserve">, </w:t>
      </w:r>
      <w:r>
        <w:rPr>
          <w:lang w:val="fr-FR"/>
        </w:rPr>
        <w:t>décision d’irrecevabilité adoptée le 30 octob</w:t>
      </w:r>
      <w:r w:rsidRPr="006C4825">
        <w:rPr>
          <w:lang w:val="fr-FR"/>
        </w:rPr>
        <w:t>r</w:t>
      </w:r>
      <w:r>
        <w:rPr>
          <w:lang w:val="fr-FR"/>
        </w:rPr>
        <w:t>e</w:t>
      </w:r>
      <w:r w:rsidRPr="006C4825">
        <w:rPr>
          <w:lang w:val="fr-FR"/>
        </w:rPr>
        <w:t xml:space="preserve"> 2008, par. 6.2; </w:t>
      </w:r>
      <w:r w:rsidRPr="00CA3770">
        <w:rPr>
          <w:lang w:val="fr-FR"/>
        </w:rPr>
        <w:t>n</w:t>
      </w:r>
      <w:r w:rsidRPr="004D189C">
        <w:rPr>
          <w:vertAlign w:val="superscript"/>
          <w:lang w:val="fr-FR"/>
        </w:rPr>
        <w:t>o</w:t>
      </w:r>
      <w:r>
        <w:rPr>
          <w:lang w:val="fr-FR"/>
        </w:rPr>
        <w:t> </w:t>
      </w:r>
      <w:r w:rsidRPr="006C4825">
        <w:rPr>
          <w:lang w:val="fr-FR"/>
        </w:rPr>
        <w:t xml:space="preserve">1578/2007, </w:t>
      </w:r>
      <w:r w:rsidRPr="006C4825">
        <w:rPr>
          <w:i/>
          <w:iCs/>
          <w:lang w:val="fr-FR"/>
        </w:rPr>
        <w:t xml:space="preserve">Javed Dastgir </w:t>
      </w:r>
      <w:r w:rsidRPr="00AA2BCB">
        <w:rPr>
          <w:iCs/>
          <w:lang w:val="fr-FR"/>
        </w:rPr>
        <w:t>c.</w:t>
      </w:r>
      <w:r w:rsidRPr="006C4825">
        <w:rPr>
          <w:i/>
          <w:iCs/>
          <w:lang w:val="fr-FR"/>
        </w:rPr>
        <w:t xml:space="preserve"> Canada</w:t>
      </w:r>
      <w:r w:rsidRPr="006C4825">
        <w:rPr>
          <w:lang w:val="fr-FR"/>
        </w:rPr>
        <w:t xml:space="preserve">, </w:t>
      </w:r>
      <w:r>
        <w:rPr>
          <w:lang w:val="fr-FR"/>
        </w:rPr>
        <w:t>décision d’irrecevabilité adoptée le 30 o</w:t>
      </w:r>
      <w:r w:rsidRPr="006C4825">
        <w:rPr>
          <w:lang w:val="fr-FR"/>
        </w:rPr>
        <w:t>ctob</w:t>
      </w:r>
      <w:r>
        <w:rPr>
          <w:lang w:val="fr-FR"/>
        </w:rPr>
        <w:t>re</w:t>
      </w:r>
      <w:r w:rsidRPr="006C4825">
        <w:rPr>
          <w:lang w:val="fr-FR"/>
        </w:rPr>
        <w:t xml:space="preserve"> 2008, par.</w:t>
      </w:r>
      <w:r>
        <w:rPr>
          <w:lang w:val="fr-FR"/>
        </w:rPr>
        <w:t xml:space="preserve"> </w:t>
      </w:r>
      <w:r w:rsidRPr="006C4825">
        <w:rPr>
          <w:lang w:val="fr-FR"/>
        </w:rPr>
        <w:t>6.2</w:t>
      </w:r>
      <w:r>
        <w:rPr>
          <w:lang w:val="fr-FR"/>
        </w:rPr>
        <w:t>;</w:t>
      </w:r>
      <w:r w:rsidRPr="006C4825">
        <w:rPr>
          <w:lang w:val="fr-FR"/>
        </w:rPr>
        <w:t xml:space="preserve"> </w:t>
      </w:r>
      <w:r w:rsidRPr="00CA3770">
        <w:rPr>
          <w:lang w:val="fr-FR"/>
        </w:rPr>
        <w:t>n</w:t>
      </w:r>
      <w:r w:rsidRPr="004D189C">
        <w:rPr>
          <w:vertAlign w:val="superscript"/>
          <w:lang w:val="fr-FR"/>
        </w:rPr>
        <w:t>o</w:t>
      </w:r>
      <w:r>
        <w:rPr>
          <w:lang w:val="fr-FR"/>
        </w:rPr>
        <w:t> </w:t>
      </w:r>
      <w:r w:rsidRPr="006C4825">
        <w:rPr>
          <w:lang w:val="fr-FR"/>
        </w:rPr>
        <w:t xml:space="preserve">939/2000, </w:t>
      </w:r>
      <w:r w:rsidRPr="006C4825">
        <w:rPr>
          <w:i/>
          <w:iCs/>
          <w:lang w:val="fr-FR"/>
        </w:rPr>
        <w:t xml:space="preserve">Dupuy </w:t>
      </w:r>
      <w:r w:rsidRPr="00AA2BCB">
        <w:rPr>
          <w:iCs/>
          <w:lang w:val="fr-FR"/>
        </w:rPr>
        <w:t>c.</w:t>
      </w:r>
      <w:r w:rsidRPr="006C4825">
        <w:rPr>
          <w:i/>
          <w:iCs/>
          <w:lang w:val="fr-FR"/>
        </w:rPr>
        <w:t xml:space="preserve"> Canada</w:t>
      </w:r>
      <w:r w:rsidRPr="006C4825">
        <w:rPr>
          <w:lang w:val="fr-FR"/>
        </w:rPr>
        <w:t xml:space="preserve">, </w:t>
      </w:r>
      <w:r>
        <w:rPr>
          <w:lang w:val="fr-FR"/>
        </w:rPr>
        <w:t xml:space="preserve">décision d’irrecevabilité adoptée le </w:t>
      </w:r>
      <w:r w:rsidRPr="006C4825">
        <w:rPr>
          <w:lang w:val="fr-FR"/>
        </w:rPr>
        <w:t>18</w:t>
      </w:r>
      <w:r>
        <w:rPr>
          <w:lang w:val="fr-FR"/>
        </w:rPr>
        <w:t> mars</w:t>
      </w:r>
      <w:r w:rsidR="00BB4097">
        <w:rPr>
          <w:lang w:val="fr-FR"/>
        </w:rPr>
        <w:t xml:space="preserve"> 2003, par. 7.3.</w:t>
      </w:r>
    </w:p>
  </w:footnote>
  <w:footnote w:id="15">
    <w:p w:rsidR="001E38A4" w:rsidRPr="00C06768" w:rsidRDefault="001E38A4" w:rsidP="002E353E">
      <w:pPr>
        <w:pStyle w:val="FootnoteText"/>
        <w:rPr>
          <w:lang w:val="fr-FR"/>
        </w:rPr>
      </w:pPr>
      <w:r>
        <w:rPr>
          <w:lang w:val="fr-FR"/>
        </w:rPr>
        <w:tab/>
      </w:r>
      <w:r>
        <w:rPr>
          <w:rStyle w:val="FootnoteReference"/>
        </w:rPr>
        <w:footnoteRef/>
      </w:r>
      <w:r>
        <w:rPr>
          <w:lang w:val="fr-FR"/>
        </w:rPr>
        <w:tab/>
      </w:r>
      <w:r w:rsidRPr="006C4825">
        <w:rPr>
          <w:lang w:val="fr-FR"/>
        </w:rPr>
        <w:t>Voir l</w:t>
      </w:r>
      <w:r>
        <w:rPr>
          <w:lang w:val="fr-FR"/>
        </w:rPr>
        <w:t xml:space="preserve">es </w:t>
      </w:r>
      <w:r w:rsidRPr="006C4825">
        <w:rPr>
          <w:lang w:val="fr-FR"/>
        </w:rPr>
        <w:t>communication</w:t>
      </w:r>
      <w:r>
        <w:rPr>
          <w:lang w:val="fr-FR"/>
        </w:rPr>
        <w:t>s</w:t>
      </w:r>
      <w:r w:rsidRPr="006C4825">
        <w:rPr>
          <w:lang w:val="fr-FR"/>
        </w:rPr>
        <w:t xml:space="preserve"> </w:t>
      </w:r>
      <w:r w:rsidRPr="00CA3770">
        <w:rPr>
          <w:lang w:val="fr-FR"/>
        </w:rPr>
        <w:t>n</w:t>
      </w:r>
      <w:r w:rsidRPr="004D189C">
        <w:rPr>
          <w:vertAlign w:val="superscript"/>
          <w:lang w:val="fr-FR"/>
        </w:rPr>
        <w:t>o</w:t>
      </w:r>
      <w:r>
        <w:rPr>
          <w:lang w:val="fr-FR"/>
        </w:rPr>
        <w:t> </w:t>
      </w:r>
      <w:r w:rsidRPr="006C4825">
        <w:rPr>
          <w:lang w:val="fr-FR"/>
        </w:rPr>
        <w:t xml:space="preserve">1341/2005, </w:t>
      </w:r>
      <w:r w:rsidRPr="006C4825">
        <w:rPr>
          <w:i/>
          <w:iCs/>
          <w:lang w:val="fr-FR"/>
        </w:rPr>
        <w:t xml:space="preserve">Zundel </w:t>
      </w:r>
      <w:r w:rsidRPr="00AA2BCB">
        <w:rPr>
          <w:iCs/>
          <w:lang w:val="fr-FR"/>
        </w:rPr>
        <w:t>c.</w:t>
      </w:r>
      <w:r w:rsidRPr="006C4825">
        <w:rPr>
          <w:i/>
          <w:iCs/>
          <w:lang w:val="fr-FR"/>
        </w:rPr>
        <w:t xml:space="preserve"> Canada</w:t>
      </w:r>
      <w:r w:rsidRPr="006C4825">
        <w:rPr>
          <w:lang w:val="fr-FR"/>
        </w:rPr>
        <w:t xml:space="preserve">, </w:t>
      </w:r>
      <w:r>
        <w:rPr>
          <w:lang w:val="fr-FR"/>
        </w:rPr>
        <w:t xml:space="preserve">décision d’irrecevabilité adoptée le 20 mars 2007, par. 7.6; </w:t>
      </w:r>
      <w:r w:rsidRPr="00CA3770">
        <w:rPr>
          <w:lang w:val="fr-FR"/>
        </w:rPr>
        <w:t>n</w:t>
      </w:r>
      <w:r w:rsidRPr="004D189C">
        <w:rPr>
          <w:vertAlign w:val="superscript"/>
          <w:lang w:val="fr-FR"/>
        </w:rPr>
        <w:t>o</w:t>
      </w:r>
      <w:r>
        <w:rPr>
          <w:lang w:val="fr-FR"/>
        </w:rPr>
        <w:t> </w:t>
      </w:r>
      <w:r w:rsidRPr="006C4825">
        <w:rPr>
          <w:lang w:val="fr-FR"/>
        </w:rPr>
        <w:t xml:space="preserve">275/1988, </w:t>
      </w:r>
      <w:r w:rsidRPr="006C4825">
        <w:rPr>
          <w:i/>
          <w:iCs/>
          <w:lang w:val="fr-FR"/>
        </w:rPr>
        <w:t>S.</w:t>
      </w:r>
      <w:r>
        <w:rPr>
          <w:i/>
          <w:iCs/>
          <w:lang w:val="fr-FR"/>
        </w:rPr>
        <w:t xml:space="preserve"> </w:t>
      </w:r>
      <w:r w:rsidRPr="006C4825">
        <w:rPr>
          <w:i/>
          <w:iCs/>
          <w:lang w:val="fr-FR"/>
        </w:rPr>
        <w:t xml:space="preserve">E. </w:t>
      </w:r>
      <w:r w:rsidRPr="00AA2BCB">
        <w:rPr>
          <w:iCs/>
          <w:lang w:val="fr-FR"/>
        </w:rPr>
        <w:t>c</w:t>
      </w:r>
      <w:r w:rsidRPr="006C4825">
        <w:rPr>
          <w:i/>
          <w:iCs/>
          <w:lang w:val="fr-FR"/>
        </w:rPr>
        <w:t>. Argentin</w:t>
      </w:r>
      <w:r>
        <w:rPr>
          <w:i/>
          <w:iCs/>
          <w:lang w:val="fr-FR"/>
        </w:rPr>
        <w:t>e</w:t>
      </w:r>
      <w:r w:rsidRPr="006C4825">
        <w:rPr>
          <w:lang w:val="fr-FR"/>
        </w:rPr>
        <w:t xml:space="preserve">, </w:t>
      </w:r>
      <w:r>
        <w:rPr>
          <w:lang w:val="fr-FR"/>
        </w:rPr>
        <w:t xml:space="preserve">décision d’irrecevabilité adoptée le </w:t>
      </w:r>
      <w:r w:rsidRPr="006C4825">
        <w:rPr>
          <w:lang w:val="fr-FR"/>
        </w:rPr>
        <w:t xml:space="preserve">26 </w:t>
      </w:r>
      <w:r>
        <w:rPr>
          <w:lang w:val="fr-FR"/>
        </w:rPr>
        <w:t>mars</w:t>
      </w:r>
      <w:r w:rsidRPr="006C4825">
        <w:rPr>
          <w:lang w:val="fr-FR"/>
        </w:rPr>
        <w:t xml:space="preserve"> 1990, par. </w:t>
      </w:r>
      <w:r>
        <w:rPr>
          <w:lang w:val="fr-FR"/>
        </w:rPr>
        <w:t xml:space="preserve">5.3; </w:t>
      </w:r>
      <w:r w:rsidRPr="00CA3770">
        <w:rPr>
          <w:lang w:val="fr-FR"/>
        </w:rPr>
        <w:t>n</w:t>
      </w:r>
      <w:r w:rsidRPr="004D189C">
        <w:rPr>
          <w:vertAlign w:val="superscript"/>
          <w:lang w:val="fr-FR"/>
        </w:rPr>
        <w:t>o</w:t>
      </w:r>
      <w:r>
        <w:rPr>
          <w:vertAlign w:val="superscript"/>
          <w:lang w:val="fr-FR"/>
        </w:rPr>
        <w:t>s</w:t>
      </w:r>
      <w:r>
        <w:rPr>
          <w:lang w:val="fr-FR"/>
        </w:rPr>
        <w:t> </w:t>
      </w:r>
      <w:r w:rsidRPr="006C4825">
        <w:rPr>
          <w:lang w:val="fr-FR"/>
        </w:rPr>
        <w:t xml:space="preserve">343, 344, 345/1988, </w:t>
      </w:r>
      <w:r w:rsidRPr="006C4825">
        <w:rPr>
          <w:i/>
          <w:iCs/>
          <w:lang w:val="fr-FR"/>
        </w:rPr>
        <w:t>R.</w:t>
      </w:r>
      <w:r>
        <w:rPr>
          <w:i/>
          <w:iCs/>
          <w:lang w:val="fr-FR"/>
        </w:rPr>
        <w:t xml:space="preserve"> A</w:t>
      </w:r>
      <w:r w:rsidRPr="006C4825">
        <w:rPr>
          <w:i/>
          <w:iCs/>
          <w:lang w:val="fr-FR"/>
        </w:rPr>
        <w:t>.</w:t>
      </w:r>
      <w:r>
        <w:rPr>
          <w:i/>
          <w:iCs/>
          <w:lang w:val="fr-FR"/>
        </w:rPr>
        <w:t xml:space="preserve"> </w:t>
      </w:r>
      <w:r w:rsidRPr="006C4825">
        <w:rPr>
          <w:i/>
          <w:iCs/>
          <w:lang w:val="fr-FR"/>
        </w:rPr>
        <w:t>V.</w:t>
      </w:r>
      <w:r>
        <w:rPr>
          <w:i/>
          <w:iCs/>
          <w:lang w:val="fr-FR"/>
        </w:rPr>
        <w:t xml:space="preserve"> </w:t>
      </w:r>
      <w:r w:rsidRPr="006C4825">
        <w:rPr>
          <w:i/>
          <w:iCs/>
          <w:lang w:val="fr-FR"/>
        </w:rPr>
        <w:t xml:space="preserve">N. </w:t>
      </w:r>
      <w:r w:rsidRPr="00AA2BCB">
        <w:rPr>
          <w:iCs/>
          <w:lang w:val="fr-FR"/>
        </w:rPr>
        <w:t>c.</w:t>
      </w:r>
      <w:r w:rsidRPr="006C4825">
        <w:rPr>
          <w:i/>
          <w:iCs/>
          <w:lang w:val="fr-FR"/>
        </w:rPr>
        <w:t xml:space="preserve"> Argentin</w:t>
      </w:r>
      <w:r>
        <w:rPr>
          <w:i/>
          <w:iCs/>
          <w:lang w:val="fr-FR"/>
        </w:rPr>
        <w:t>e</w:t>
      </w:r>
      <w:r w:rsidRPr="006C4825">
        <w:rPr>
          <w:lang w:val="fr-FR"/>
        </w:rPr>
        <w:t xml:space="preserve">, </w:t>
      </w:r>
      <w:r>
        <w:rPr>
          <w:lang w:val="fr-FR"/>
        </w:rPr>
        <w:t>décision d’irrecevabilité adoptée le 26 mars</w:t>
      </w:r>
      <w:r w:rsidRPr="006C4825">
        <w:rPr>
          <w:lang w:val="fr-FR"/>
        </w:rPr>
        <w:t xml:space="preserve"> 1990, par. </w:t>
      </w:r>
      <w:r w:rsidRPr="00C06768">
        <w:rPr>
          <w:lang w:val="fr-FR"/>
        </w:rPr>
        <w:t xml:space="preserve">5.3. </w:t>
      </w:r>
    </w:p>
  </w:footnote>
  <w:footnote w:id="16">
    <w:p w:rsidR="001E38A4" w:rsidRPr="00745058" w:rsidRDefault="001E38A4" w:rsidP="002E353E">
      <w:pPr>
        <w:pStyle w:val="FootnoteText"/>
        <w:rPr>
          <w:lang w:val="fr-FR"/>
        </w:rPr>
      </w:pPr>
      <w:r>
        <w:rPr>
          <w:lang w:val="fr-FR"/>
        </w:rPr>
        <w:tab/>
      </w:r>
      <w:r>
        <w:rPr>
          <w:rStyle w:val="FootnoteReference"/>
        </w:rPr>
        <w:footnoteRef/>
      </w:r>
      <w:r>
        <w:rPr>
          <w:lang w:val="fr-FR"/>
        </w:rPr>
        <w:tab/>
      </w:r>
      <w:r w:rsidRPr="00213B2E">
        <w:t>Observation générale n</w:t>
      </w:r>
      <w:r w:rsidRPr="00213B2E">
        <w:rPr>
          <w:vertAlign w:val="superscript"/>
        </w:rPr>
        <w:t>o</w:t>
      </w:r>
      <w:r>
        <w:t xml:space="preserve"> 31 (2004) sur l</w:t>
      </w:r>
      <w:r w:rsidRPr="00213B2E">
        <w:t>a nature de l</w:t>
      </w:r>
      <w:r>
        <w:t>’</w:t>
      </w:r>
      <w:r w:rsidRPr="00213B2E">
        <w:t>obligation juridique générale imposée aux États parties au Pact</w:t>
      </w:r>
      <w:r>
        <w:t>e</w:t>
      </w:r>
      <w:r>
        <w:rPr>
          <w:lang w:val="fr-FR"/>
        </w:rPr>
        <w:t>, CCPR/C/74/CRP.4/Rev.</w:t>
      </w:r>
      <w:r w:rsidRPr="00745058">
        <w:rPr>
          <w:lang w:val="fr-FR"/>
        </w:rPr>
        <w:t>6, par. 3</w:t>
      </w:r>
      <w:r>
        <w:rPr>
          <w:lang w:val="fr-FR"/>
        </w:rPr>
        <w:t>.</w:t>
      </w:r>
    </w:p>
  </w:footnote>
  <w:footnote w:id="17">
    <w:p w:rsidR="001E38A4" w:rsidRPr="00741613" w:rsidRDefault="001E38A4" w:rsidP="002E353E">
      <w:pPr>
        <w:pStyle w:val="FootnoteText"/>
        <w:rPr>
          <w:lang w:val="en-GB"/>
        </w:rPr>
      </w:pPr>
      <w:r>
        <w:rPr>
          <w:lang w:val="fr-FR"/>
        </w:rPr>
        <w:tab/>
      </w:r>
      <w:r>
        <w:rPr>
          <w:rStyle w:val="FootnoteReference"/>
        </w:rPr>
        <w:footnoteRef/>
      </w:r>
      <w:r>
        <w:rPr>
          <w:lang w:val="fr-FR"/>
        </w:rPr>
        <w:tab/>
      </w:r>
      <w:r w:rsidRPr="00741613">
        <w:rPr>
          <w:lang w:val="en-GB"/>
        </w:rPr>
        <w:t xml:space="preserve">HCR, Eligibility Guidelines for Assessing the International Protection Needs of Asylum-Seekers from Somalia, </w:t>
      </w:r>
      <w:r w:rsidR="00927969">
        <w:rPr>
          <w:lang w:val="en-GB"/>
        </w:rPr>
        <w:t>op. cit.</w:t>
      </w:r>
      <w:r w:rsidRPr="00741613">
        <w:rPr>
          <w:lang w:val="en-GB"/>
        </w:rPr>
        <w:t>, p. 8.</w:t>
      </w:r>
    </w:p>
  </w:footnote>
  <w:footnote w:id="18">
    <w:p w:rsidR="001E38A4" w:rsidRPr="00741613" w:rsidRDefault="001E38A4" w:rsidP="002E353E">
      <w:pPr>
        <w:pStyle w:val="FootnoteText"/>
        <w:rPr>
          <w:lang w:val="en-GB"/>
        </w:rPr>
      </w:pPr>
      <w:r>
        <w:rPr>
          <w:lang w:val="fr-FR"/>
        </w:rPr>
        <w:tab/>
      </w:r>
      <w:r>
        <w:rPr>
          <w:rStyle w:val="FootnoteReference"/>
        </w:rPr>
        <w:footnoteRef/>
      </w:r>
      <w:r>
        <w:rPr>
          <w:lang w:val="fr-FR"/>
        </w:rPr>
        <w:tab/>
      </w:r>
      <w:r w:rsidRPr="00741613">
        <w:rPr>
          <w:lang w:val="en-GB"/>
        </w:rPr>
        <w:t xml:space="preserve">HCR, Eligibility Guidelines for Assessing the International Protection Needs of Asylum-Seekers from Somalia, </w:t>
      </w:r>
      <w:r w:rsidR="002A7D33">
        <w:rPr>
          <w:lang w:val="en-GB"/>
        </w:rPr>
        <w:t>op. cit.</w:t>
      </w:r>
      <w:r w:rsidRPr="00741613">
        <w:rPr>
          <w:lang w:val="en-GB"/>
        </w:rPr>
        <w:t>, p. 42.</w:t>
      </w:r>
    </w:p>
  </w:footnote>
  <w:footnote w:id="19">
    <w:p w:rsidR="001E38A4" w:rsidRPr="00985EB3" w:rsidRDefault="001E38A4" w:rsidP="002E353E">
      <w:pPr>
        <w:pStyle w:val="FootnoteText"/>
        <w:rPr>
          <w:lang w:val="fr-FR"/>
        </w:rPr>
      </w:pPr>
      <w:r>
        <w:rPr>
          <w:lang w:val="fr-FR"/>
        </w:rPr>
        <w:tab/>
      </w:r>
      <w:r>
        <w:rPr>
          <w:rStyle w:val="FootnoteReference"/>
        </w:rPr>
        <w:footnoteRef/>
      </w:r>
      <w:r>
        <w:rPr>
          <w:lang w:val="fr-FR"/>
        </w:rPr>
        <w:tab/>
        <w:t xml:space="preserve">Observation générale </w:t>
      </w:r>
      <w:r w:rsidRPr="00AA2BCB">
        <w:rPr>
          <w:lang w:val="fr-FR"/>
        </w:rPr>
        <w:t>n</w:t>
      </w:r>
      <w:r w:rsidRPr="00AA2BCB">
        <w:rPr>
          <w:vertAlign w:val="superscript"/>
          <w:lang w:val="fr-FR"/>
        </w:rPr>
        <w:t>o</w:t>
      </w:r>
      <w:r>
        <w:rPr>
          <w:lang w:val="fr-FR"/>
        </w:rPr>
        <w:t> </w:t>
      </w:r>
      <w:r w:rsidRPr="002703E1">
        <w:rPr>
          <w:lang w:val="fr-FR"/>
        </w:rPr>
        <w:t xml:space="preserve">16 (1988) relative </w:t>
      </w:r>
      <w:r w:rsidR="00B22019">
        <w:rPr>
          <w:lang w:val="fr-FR"/>
        </w:rPr>
        <w:t>au droit de toute personne d’</w:t>
      </w:r>
      <w:r w:rsidRPr="00C0363E">
        <w:rPr>
          <w:lang w:val="fr-FR"/>
        </w:rPr>
        <w:t>être protégée contre les immixtions arbitraires ou illégales dans sa vie privée,</w:t>
      </w:r>
      <w:r>
        <w:rPr>
          <w:lang w:val="fr-FR"/>
        </w:rPr>
        <w:t xml:space="preserve"> sa famille, son </w:t>
      </w:r>
      <w:r w:rsidRPr="00C0363E">
        <w:rPr>
          <w:lang w:val="fr-FR"/>
        </w:rPr>
        <w:t>domicile et sa correspondance, ainsi</w:t>
      </w:r>
      <w:r>
        <w:rPr>
          <w:lang w:val="fr-FR"/>
        </w:rPr>
        <w:t xml:space="preserve"> </w:t>
      </w:r>
      <w:r w:rsidRPr="00C0363E">
        <w:rPr>
          <w:lang w:val="fr-FR"/>
        </w:rPr>
        <w:t>que contre les atteintes illégales à son honneur et à sa réputatio</w:t>
      </w:r>
      <w:r>
        <w:rPr>
          <w:lang w:val="fr-FR"/>
        </w:rPr>
        <w:t>n (art.</w:t>
      </w:r>
      <w:r w:rsidRPr="002703E1">
        <w:rPr>
          <w:lang w:val="fr-FR"/>
        </w:rPr>
        <w:t xml:space="preserve"> 17)</w:t>
      </w:r>
      <w:r>
        <w:rPr>
          <w:lang w:val="fr-FR"/>
        </w:rPr>
        <w:t xml:space="preserve">, </w:t>
      </w:r>
      <w:r w:rsidRPr="004E2694">
        <w:rPr>
          <w:lang w:val="fr-FR"/>
        </w:rPr>
        <w:t>adoptée le 8 avril 1988</w:t>
      </w:r>
      <w:r w:rsidRPr="00985EB3">
        <w:rPr>
          <w:lang w:val="fr-FR"/>
        </w:rPr>
        <w:t xml:space="preserve">; </w:t>
      </w:r>
      <w:r>
        <w:rPr>
          <w:lang w:val="fr-FR"/>
        </w:rPr>
        <w:t>O</w:t>
      </w:r>
      <w:r w:rsidRPr="00C0363E">
        <w:rPr>
          <w:lang w:val="fr-FR"/>
        </w:rPr>
        <w:t xml:space="preserve">bservation générale </w:t>
      </w:r>
      <w:r w:rsidRPr="00AA2BCB">
        <w:rPr>
          <w:lang w:val="fr-FR"/>
        </w:rPr>
        <w:t>n</w:t>
      </w:r>
      <w:r w:rsidRPr="00AA2BCB">
        <w:rPr>
          <w:vertAlign w:val="superscript"/>
          <w:lang w:val="fr-FR"/>
        </w:rPr>
        <w:t>o</w:t>
      </w:r>
      <w:r>
        <w:rPr>
          <w:lang w:val="fr-FR"/>
        </w:rPr>
        <w:t> </w:t>
      </w:r>
      <w:r w:rsidRPr="00C0363E">
        <w:rPr>
          <w:lang w:val="fr-FR"/>
        </w:rPr>
        <w:t>19</w:t>
      </w:r>
      <w:r>
        <w:rPr>
          <w:lang w:val="fr-FR"/>
        </w:rPr>
        <w:t xml:space="preserve"> (1990) </w:t>
      </w:r>
      <w:r w:rsidRPr="00C0363E">
        <w:rPr>
          <w:lang w:val="fr-FR"/>
        </w:rPr>
        <w:t>sur la protection de la famille</w:t>
      </w:r>
      <w:r>
        <w:rPr>
          <w:lang w:val="fr-FR"/>
        </w:rPr>
        <w:t>, l</w:t>
      </w:r>
      <w:r w:rsidRPr="00C0363E">
        <w:rPr>
          <w:lang w:val="fr-FR"/>
        </w:rPr>
        <w:t>e droit au mariage et l</w:t>
      </w:r>
      <w:r>
        <w:rPr>
          <w:lang w:val="fr-FR"/>
        </w:rPr>
        <w:t>’</w:t>
      </w:r>
      <w:r w:rsidRPr="00C0363E">
        <w:rPr>
          <w:lang w:val="fr-FR"/>
        </w:rPr>
        <w:t>égalité des époux</w:t>
      </w:r>
      <w:r>
        <w:rPr>
          <w:lang w:val="fr-FR"/>
        </w:rPr>
        <w:t xml:space="preserve"> </w:t>
      </w:r>
      <w:r w:rsidRPr="00985EB3">
        <w:rPr>
          <w:lang w:val="fr-FR"/>
        </w:rPr>
        <w:t>(</w:t>
      </w:r>
      <w:r>
        <w:rPr>
          <w:iCs/>
          <w:lang w:val="fr-FR"/>
        </w:rPr>
        <w:t>art.</w:t>
      </w:r>
      <w:r>
        <w:rPr>
          <w:lang w:val="fr-FR"/>
        </w:rPr>
        <w:t xml:space="preserve"> 23), </w:t>
      </w:r>
      <w:r w:rsidRPr="004E2694">
        <w:rPr>
          <w:lang w:val="fr-FR"/>
        </w:rPr>
        <w:t xml:space="preserve">adoptée le </w:t>
      </w:r>
      <w:r>
        <w:rPr>
          <w:lang w:val="fr-FR"/>
        </w:rPr>
        <w:t>27 juillet 1990</w:t>
      </w:r>
      <w:r w:rsidRPr="00985EB3">
        <w:rPr>
          <w:lang w:val="fr-FR"/>
        </w:rPr>
        <w:t>; communication</w:t>
      </w:r>
      <w:r>
        <w:rPr>
          <w:lang w:val="fr-FR"/>
        </w:rPr>
        <w:t>s</w:t>
      </w:r>
      <w:r w:rsidRPr="00985EB3">
        <w:rPr>
          <w:lang w:val="fr-FR"/>
        </w:rPr>
        <w:t xml:space="preserve"> n</w:t>
      </w:r>
      <w:r w:rsidRPr="00AD3C00">
        <w:rPr>
          <w:vertAlign w:val="superscript"/>
          <w:lang w:val="fr-FR"/>
        </w:rPr>
        <w:t>o</w:t>
      </w:r>
      <w:r w:rsidRPr="00985EB3">
        <w:rPr>
          <w:lang w:val="fr-FR"/>
        </w:rPr>
        <w:t xml:space="preserve"> 583/1993, </w:t>
      </w:r>
      <w:r w:rsidRPr="00985EB3">
        <w:rPr>
          <w:i/>
          <w:iCs/>
          <w:lang w:val="fr-FR"/>
        </w:rPr>
        <w:t>Stewart</w:t>
      </w:r>
      <w:r w:rsidRPr="00AA2BCB">
        <w:rPr>
          <w:iCs/>
          <w:lang w:val="fr-FR"/>
        </w:rPr>
        <w:t xml:space="preserve"> c.</w:t>
      </w:r>
      <w:r w:rsidRPr="00985EB3">
        <w:rPr>
          <w:i/>
          <w:iCs/>
          <w:lang w:val="fr-FR"/>
        </w:rPr>
        <w:t xml:space="preserve"> Canada</w:t>
      </w:r>
      <w:r w:rsidRPr="00985EB3">
        <w:rPr>
          <w:lang w:val="fr-FR"/>
        </w:rPr>
        <w:t>, constatations adoptées le 1</w:t>
      </w:r>
      <w:r w:rsidRPr="00381D4B">
        <w:rPr>
          <w:vertAlign w:val="superscript"/>
          <w:lang w:val="fr-FR"/>
        </w:rPr>
        <w:t>er</w:t>
      </w:r>
      <w:r w:rsidRPr="00985EB3">
        <w:rPr>
          <w:lang w:val="fr-FR"/>
        </w:rPr>
        <w:t xml:space="preserve"> novembre 1996; et n</w:t>
      </w:r>
      <w:r w:rsidRPr="00AD3C00">
        <w:rPr>
          <w:vertAlign w:val="superscript"/>
          <w:lang w:val="fr-FR"/>
        </w:rPr>
        <w:t>o</w:t>
      </w:r>
      <w:r w:rsidRPr="00985EB3">
        <w:rPr>
          <w:lang w:val="fr-FR"/>
        </w:rPr>
        <w:t xml:space="preserve"> 558/1993, </w:t>
      </w:r>
      <w:r w:rsidRPr="00985EB3">
        <w:rPr>
          <w:i/>
          <w:iCs/>
          <w:lang w:val="fr-FR"/>
        </w:rPr>
        <w:t xml:space="preserve">Canepa </w:t>
      </w:r>
      <w:r w:rsidRPr="00AA2BCB">
        <w:rPr>
          <w:iCs/>
          <w:lang w:val="fr-FR"/>
        </w:rPr>
        <w:t>c.</w:t>
      </w:r>
      <w:r w:rsidRPr="00985EB3">
        <w:rPr>
          <w:i/>
          <w:iCs/>
          <w:lang w:val="fr-FR"/>
        </w:rPr>
        <w:t xml:space="preserve"> Canada</w:t>
      </w:r>
      <w:r w:rsidRPr="00985EB3">
        <w:rPr>
          <w:lang w:val="fr-FR"/>
        </w:rPr>
        <w:t>, constatations adoptées le 3 avril 1997.</w:t>
      </w:r>
      <w:r>
        <w:rPr>
          <w:lang w:val="fr-FR"/>
        </w:rPr>
        <w:t xml:space="preserve"> </w:t>
      </w:r>
    </w:p>
  </w:footnote>
  <w:footnote w:id="20">
    <w:p w:rsidR="001E38A4" w:rsidRPr="00985EB3" w:rsidRDefault="001E38A4" w:rsidP="002E353E">
      <w:pPr>
        <w:pStyle w:val="FootnoteText"/>
        <w:rPr>
          <w:lang w:val="fr-FR"/>
        </w:rPr>
      </w:pPr>
      <w:r>
        <w:rPr>
          <w:lang w:val="fr-FR"/>
        </w:rPr>
        <w:tab/>
      </w:r>
      <w:r>
        <w:rPr>
          <w:rStyle w:val="FootnoteReference"/>
        </w:rPr>
        <w:footnoteRef/>
      </w:r>
      <w:r>
        <w:rPr>
          <w:lang w:val="fr-FR"/>
        </w:rPr>
        <w:tab/>
        <w:t xml:space="preserve">Voir la communication </w:t>
      </w:r>
      <w:r w:rsidRPr="00AA2BCB">
        <w:rPr>
          <w:lang w:val="fr-FR"/>
        </w:rPr>
        <w:t>n</w:t>
      </w:r>
      <w:r w:rsidRPr="00AA2BCB">
        <w:rPr>
          <w:vertAlign w:val="superscript"/>
          <w:lang w:val="fr-FR"/>
        </w:rPr>
        <w:t>o</w:t>
      </w:r>
      <w:r>
        <w:rPr>
          <w:lang w:val="fr-FR"/>
        </w:rPr>
        <w:t> </w:t>
      </w:r>
      <w:r w:rsidRPr="00985EB3">
        <w:rPr>
          <w:lang w:val="fr-FR"/>
        </w:rPr>
        <w:t xml:space="preserve">1222/2003, </w:t>
      </w:r>
      <w:r w:rsidRPr="00985EB3">
        <w:rPr>
          <w:i/>
          <w:iCs/>
          <w:lang w:val="fr-FR"/>
        </w:rPr>
        <w:t xml:space="preserve">Byahuranga </w:t>
      </w:r>
      <w:r w:rsidRPr="00AA2BCB">
        <w:rPr>
          <w:iCs/>
          <w:lang w:val="fr-FR"/>
        </w:rPr>
        <w:t>c.</w:t>
      </w:r>
      <w:r w:rsidRPr="00985EB3">
        <w:rPr>
          <w:i/>
          <w:iCs/>
          <w:lang w:val="fr-FR"/>
        </w:rPr>
        <w:t xml:space="preserve"> Danemark</w:t>
      </w:r>
      <w:r w:rsidRPr="00985EB3">
        <w:rPr>
          <w:lang w:val="fr-FR"/>
        </w:rPr>
        <w:t xml:space="preserve">, constatations adoptées le </w:t>
      </w:r>
      <w:r>
        <w:rPr>
          <w:lang w:val="fr-FR"/>
        </w:rPr>
        <w:t>1</w:t>
      </w:r>
      <w:r w:rsidRPr="00AA2BCB">
        <w:rPr>
          <w:vertAlign w:val="superscript"/>
          <w:lang w:val="fr-FR"/>
        </w:rPr>
        <w:t>er</w:t>
      </w:r>
      <w:r>
        <w:rPr>
          <w:lang w:val="fr-FR"/>
        </w:rPr>
        <w:t> </w:t>
      </w:r>
      <w:r w:rsidRPr="00985EB3">
        <w:rPr>
          <w:lang w:val="fr-FR"/>
        </w:rPr>
        <w:t>novembre 2004, par. 11.9.</w:t>
      </w:r>
    </w:p>
  </w:footnote>
  <w:footnote w:id="21">
    <w:p w:rsidR="001E38A4" w:rsidRPr="0023262E" w:rsidRDefault="001E38A4" w:rsidP="002E353E">
      <w:pPr>
        <w:pStyle w:val="FootnoteText"/>
        <w:rPr>
          <w:lang w:val="fr-FR"/>
        </w:rPr>
      </w:pPr>
      <w:r>
        <w:rPr>
          <w:lang w:val="fr-FR"/>
        </w:rPr>
        <w:tab/>
      </w:r>
      <w:r>
        <w:rPr>
          <w:rStyle w:val="FootnoteReference"/>
        </w:rPr>
        <w:footnoteRef/>
      </w:r>
      <w:r>
        <w:rPr>
          <w:lang w:val="fr-FR"/>
        </w:rPr>
        <w:tab/>
      </w:r>
      <w:r w:rsidRPr="0023262E">
        <w:rPr>
          <w:lang w:val="fr-FR"/>
        </w:rPr>
        <w:t xml:space="preserve">Voir HCR, Eligibility Guidelines for Assessing the International Protection Needs of Asylum-Seekers from Somalia, </w:t>
      </w:r>
      <w:r w:rsidR="00024F2E">
        <w:rPr>
          <w:lang w:val="en-GB"/>
        </w:rPr>
        <w:t>op. cit.</w:t>
      </w:r>
      <w:r w:rsidRPr="0023262E">
        <w:rPr>
          <w:lang w:val="fr-FR"/>
        </w:rPr>
        <w:t>, p. 41.</w:t>
      </w:r>
    </w:p>
  </w:footnote>
  <w:footnote w:id="22">
    <w:p w:rsidR="001E38A4" w:rsidRPr="001A255D" w:rsidRDefault="001E38A4" w:rsidP="002E353E">
      <w:pPr>
        <w:pStyle w:val="FootnoteText"/>
        <w:rPr>
          <w:lang w:val="fr-FR"/>
        </w:rPr>
      </w:pPr>
      <w:r>
        <w:rPr>
          <w:lang w:val="fr-FR"/>
        </w:rPr>
        <w:tab/>
      </w:r>
      <w:r>
        <w:rPr>
          <w:rStyle w:val="FootnoteReference"/>
        </w:rPr>
        <w:footnoteRef/>
      </w:r>
      <w:r>
        <w:rPr>
          <w:lang w:val="fr-FR"/>
        </w:rPr>
        <w:tab/>
      </w:r>
      <w:r w:rsidR="00F7357A">
        <w:rPr>
          <w:lang w:val="fr-FR"/>
        </w:rPr>
        <w:t>Voir Conseil de sécurité</w:t>
      </w:r>
      <w:r w:rsidRPr="0023262E">
        <w:rPr>
          <w:lang w:val="fr-FR"/>
        </w:rPr>
        <w:t xml:space="preserve">, </w:t>
      </w:r>
      <w:r w:rsidRPr="002A1ECB">
        <w:rPr>
          <w:lang w:val="fr-FR"/>
        </w:rPr>
        <w:t>Rapport du Secrétaire général sur la Somalie</w:t>
      </w:r>
      <w:r w:rsidRPr="0023262E">
        <w:rPr>
          <w:lang w:val="fr-FR"/>
        </w:rPr>
        <w:t xml:space="preserve">, </w:t>
      </w:r>
      <w:r w:rsidRPr="001A255D">
        <w:rPr>
          <w:lang w:val="fr-FR"/>
        </w:rPr>
        <w:t>9</w:t>
      </w:r>
      <w:r>
        <w:rPr>
          <w:lang w:val="fr-FR"/>
        </w:rPr>
        <w:t xml:space="preserve"> septembre </w:t>
      </w:r>
      <w:r w:rsidRPr="001A255D">
        <w:rPr>
          <w:lang w:val="fr-FR"/>
        </w:rPr>
        <w:t>2010, S/20</w:t>
      </w:r>
      <w:r>
        <w:rPr>
          <w:lang w:val="fr-FR"/>
        </w:rPr>
        <w:t>10/447, par. 15.</w:t>
      </w:r>
    </w:p>
  </w:footnote>
  <w:footnote w:id="23">
    <w:p w:rsidR="001E38A4" w:rsidRPr="000E2D1D" w:rsidRDefault="001E38A4" w:rsidP="002E353E">
      <w:pPr>
        <w:pStyle w:val="FootnoteText"/>
        <w:rPr>
          <w:lang w:val="fr-FR"/>
        </w:rPr>
      </w:pPr>
      <w:r>
        <w:rPr>
          <w:lang w:val="fr-FR"/>
        </w:rPr>
        <w:tab/>
      </w:r>
      <w:r>
        <w:rPr>
          <w:rStyle w:val="FootnoteReference"/>
        </w:rPr>
        <w:footnoteRef/>
      </w:r>
      <w:r>
        <w:rPr>
          <w:lang w:val="fr-FR"/>
        </w:rPr>
        <w:tab/>
      </w:r>
      <w:r w:rsidRPr="000E2D1D">
        <w:rPr>
          <w:lang w:val="fr-FR"/>
        </w:rPr>
        <w:t xml:space="preserve">Voir les communications </w:t>
      </w:r>
      <w:r>
        <w:rPr>
          <w:lang w:val="fr-FR"/>
        </w:rPr>
        <w:t>n</w:t>
      </w:r>
      <w:r>
        <w:rPr>
          <w:rFonts w:eastAsia="MS Mincho"/>
          <w:vertAlign w:val="superscript"/>
        </w:rPr>
        <w:t>os</w:t>
      </w:r>
      <w:r w:rsidRPr="000E2D1D">
        <w:rPr>
          <w:lang w:val="fr-FR"/>
        </w:rPr>
        <w:t xml:space="preserve"> 210/1986 et 225/1987, </w:t>
      </w:r>
      <w:r w:rsidRPr="000E2D1D">
        <w:rPr>
          <w:i/>
          <w:iCs/>
          <w:lang w:val="fr-FR"/>
        </w:rPr>
        <w:t xml:space="preserve">Pratt </w:t>
      </w:r>
      <w:r>
        <w:rPr>
          <w:i/>
          <w:iCs/>
          <w:lang w:val="fr-FR"/>
        </w:rPr>
        <w:t>et</w:t>
      </w:r>
      <w:r w:rsidRPr="000E2D1D">
        <w:rPr>
          <w:i/>
          <w:iCs/>
          <w:lang w:val="fr-FR"/>
        </w:rPr>
        <w:t xml:space="preserve"> Morgan </w:t>
      </w:r>
      <w:r w:rsidRPr="00AA2BCB">
        <w:rPr>
          <w:iCs/>
          <w:lang w:val="fr-FR"/>
        </w:rPr>
        <w:t xml:space="preserve">c. </w:t>
      </w:r>
      <w:r>
        <w:rPr>
          <w:i/>
          <w:iCs/>
          <w:lang w:val="fr-FR"/>
        </w:rPr>
        <w:t>Jamaïque</w:t>
      </w:r>
      <w:r w:rsidRPr="000E2D1D">
        <w:rPr>
          <w:lang w:val="fr-FR"/>
        </w:rPr>
        <w:t xml:space="preserve">, </w:t>
      </w:r>
      <w:r>
        <w:rPr>
          <w:lang w:val="fr-FR"/>
        </w:rPr>
        <w:t xml:space="preserve">constatations adoptées le </w:t>
      </w:r>
      <w:r w:rsidRPr="000E2D1D">
        <w:rPr>
          <w:lang w:val="fr-FR"/>
        </w:rPr>
        <w:t xml:space="preserve">6 </w:t>
      </w:r>
      <w:r>
        <w:rPr>
          <w:lang w:val="fr-FR"/>
        </w:rPr>
        <w:t>av</w:t>
      </w:r>
      <w:r w:rsidRPr="000E2D1D">
        <w:rPr>
          <w:lang w:val="fr-FR"/>
        </w:rPr>
        <w:t xml:space="preserve">ril 1989, par. 12.3, </w:t>
      </w:r>
      <w:r>
        <w:rPr>
          <w:lang w:val="fr-FR"/>
        </w:rPr>
        <w:t>et 11</w:t>
      </w:r>
      <w:r w:rsidRPr="000E2D1D">
        <w:rPr>
          <w:lang w:val="fr-FR"/>
        </w:rPr>
        <w:t xml:space="preserve">34/2002, </w:t>
      </w:r>
      <w:r w:rsidRPr="000E2D1D">
        <w:rPr>
          <w:i/>
          <w:iCs/>
          <w:lang w:val="fr-FR"/>
        </w:rPr>
        <w:t xml:space="preserve">Gorji-Dinka </w:t>
      </w:r>
      <w:r w:rsidRPr="00AA2BCB">
        <w:rPr>
          <w:iCs/>
          <w:lang w:val="fr-FR"/>
        </w:rPr>
        <w:t>c</w:t>
      </w:r>
      <w:r w:rsidRPr="000E2D1D">
        <w:rPr>
          <w:i/>
          <w:iCs/>
          <w:lang w:val="fr-FR"/>
        </w:rPr>
        <w:t>. Camero</w:t>
      </w:r>
      <w:r>
        <w:rPr>
          <w:i/>
          <w:iCs/>
          <w:lang w:val="fr-FR"/>
        </w:rPr>
        <w:t>u</w:t>
      </w:r>
      <w:r w:rsidRPr="000E2D1D">
        <w:rPr>
          <w:i/>
          <w:iCs/>
          <w:lang w:val="fr-FR"/>
        </w:rPr>
        <w:t>n</w:t>
      </w:r>
      <w:r w:rsidRPr="000E2D1D">
        <w:rPr>
          <w:lang w:val="fr-FR"/>
        </w:rPr>
        <w:t xml:space="preserve">, </w:t>
      </w:r>
      <w:r>
        <w:rPr>
          <w:lang w:val="fr-FR"/>
        </w:rPr>
        <w:t xml:space="preserve">constatations adoptées le </w:t>
      </w:r>
      <w:r w:rsidRPr="000E2D1D">
        <w:rPr>
          <w:lang w:val="fr-FR"/>
        </w:rPr>
        <w:t xml:space="preserve">17 </w:t>
      </w:r>
      <w:r>
        <w:rPr>
          <w:lang w:val="fr-FR"/>
        </w:rPr>
        <w:t xml:space="preserve">mars </w:t>
      </w:r>
      <w:r w:rsidRPr="000E2D1D">
        <w:rPr>
          <w:lang w:val="fr-FR"/>
        </w:rPr>
        <w:t xml:space="preserve">2005, </w:t>
      </w:r>
      <w:r w:rsidRPr="002A1ECB">
        <w:rPr>
          <w:lang w:val="fr-FR"/>
        </w:rPr>
        <w:t xml:space="preserve">par. </w:t>
      </w:r>
      <w:r>
        <w:rPr>
          <w:lang w:val="fr-FR"/>
        </w:rPr>
        <w:t>12.3</w:t>
      </w:r>
      <w:r w:rsidRPr="000E2D1D">
        <w:rPr>
          <w:lang w:val="fr-FR"/>
        </w:rPr>
        <w:t>.</w:t>
      </w:r>
    </w:p>
  </w:footnote>
  <w:footnote w:id="24">
    <w:p w:rsidR="001E38A4" w:rsidRPr="00741613" w:rsidRDefault="001E38A4" w:rsidP="002E353E">
      <w:pPr>
        <w:pStyle w:val="FootnoteText"/>
        <w:rPr>
          <w:lang w:val="en-GB"/>
        </w:rPr>
      </w:pPr>
      <w:r>
        <w:rPr>
          <w:lang w:val="fr-FR"/>
        </w:rPr>
        <w:tab/>
      </w:r>
      <w:r>
        <w:rPr>
          <w:rStyle w:val="FootnoteReference"/>
        </w:rPr>
        <w:footnoteRef/>
      </w:r>
      <w:r>
        <w:rPr>
          <w:lang w:val="fr-FR"/>
        </w:rPr>
        <w:tab/>
      </w:r>
      <w:r>
        <w:rPr>
          <w:lang w:val="en-GB"/>
        </w:rPr>
        <w:t xml:space="preserve">Voir la note </w:t>
      </w:r>
      <w:r w:rsidRPr="00741613">
        <w:rPr>
          <w:lang w:val="en-GB"/>
        </w:rPr>
        <w:t>1.</w:t>
      </w:r>
    </w:p>
  </w:footnote>
  <w:footnote w:id="25">
    <w:p w:rsidR="001E38A4" w:rsidRPr="007071A4" w:rsidRDefault="001E38A4" w:rsidP="002E353E">
      <w:pPr>
        <w:pStyle w:val="FootnoteText"/>
        <w:rPr>
          <w:lang w:val="fr-FR"/>
        </w:rPr>
      </w:pPr>
      <w:r>
        <w:rPr>
          <w:lang w:val="fr-FR"/>
        </w:rPr>
        <w:tab/>
      </w:r>
      <w:r>
        <w:rPr>
          <w:rStyle w:val="FootnoteReference"/>
        </w:rPr>
        <w:footnoteRef/>
      </w:r>
      <w:r>
        <w:rPr>
          <w:lang w:val="fr-FR"/>
        </w:rPr>
        <w:tab/>
      </w:r>
      <w:r w:rsidR="008D2F01">
        <w:rPr>
          <w:lang w:val="fr-FR"/>
        </w:rPr>
        <w:t>La question de savoir comment fixer la durée d’une peine</w:t>
      </w:r>
      <w:r w:rsidRPr="007071A4">
        <w:rPr>
          <w:lang w:val="fr-FR"/>
        </w:rPr>
        <w:t xml:space="preserve"> n</w:t>
      </w:r>
      <w:r>
        <w:rPr>
          <w:lang w:val="fr-FR"/>
        </w:rPr>
        <w:t>e serait pas entrée en ligne de compte en ce qui concerne la décision d’irrecevabilité</w:t>
      </w:r>
      <w:r w:rsidRPr="007071A4">
        <w:rPr>
          <w:lang w:val="fr-FR"/>
        </w:rPr>
        <w:t>.</w:t>
      </w:r>
    </w:p>
  </w:footnote>
  <w:footnote w:id="26">
    <w:p w:rsidR="001E38A4" w:rsidRPr="007071A4" w:rsidRDefault="001E38A4" w:rsidP="002E353E">
      <w:pPr>
        <w:pStyle w:val="FootnoteText"/>
        <w:rPr>
          <w:lang w:val="fr-FR"/>
        </w:rPr>
      </w:pPr>
      <w:r>
        <w:rPr>
          <w:lang w:val="fr-FR"/>
        </w:rPr>
        <w:tab/>
      </w:r>
      <w:r>
        <w:rPr>
          <w:rStyle w:val="FootnoteReference"/>
        </w:rPr>
        <w:footnoteRef/>
      </w:r>
      <w:r>
        <w:rPr>
          <w:lang w:val="fr-FR"/>
        </w:rPr>
        <w:tab/>
      </w:r>
      <w:r w:rsidRPr="007071A4">
        <w:rPr>
          <w:lang w:val="fr-FR"/>
        </w:rPr>
        <w:t>Voir l</w:t>
      </w:r>
      <w:r>
        <w:rPr>
          <w:lang w:val="fr-FR"/>
        </w:rPr>
        <w:t>es</w:t>
      </w:r>
      <w:r w:rsidRPr="007071A4">
        <w:rPr>
          <w:lang w:val="fr-FR"/>
        </w:rPr>
        <w:t xml:space="preserve"> communication</w:t>
      </w:r>
      <w:r>
        <w:rPr>
          <w:lang w:val="fr-FR"/>
        </w:rPr>
        <w:t xml:space="preserve">s </w:t>
      </w:r>
      <w:r w:rsidRPr="00AA2BCB">
        <w:rPr>
          <w:lang w:val="fr-FR"/>
        </w:rPr>
        <w:t>n</w:t>
      </w:r>
      <w:r w:rsidRPr="00AA2BCB">
        <w:rPr>
          <w:vertAlign w:val="superscript"/>
          <w:lang w:val="fr-FR"/>
        </w:rPr>
        <w:t>o</w:t>
      </w:r>
      <w:r>
        <w:rPr>
          <w:lang w:val="fr-FR"/>
        </w:rPr>
        <w:t> </w:t>
      </w:r>
      <w:r w:rsidRPr="007071A4">
        <w:rPr>
          <w:lang w:val="fr-FR"/>
        </w:rPr>
        <w:t xml:space="preserve">461/1991, </w:t>
      </w:r>
      <w:r w:rsidRPr="007071A4">
        <w:rPr>
          <w:i/>
          <w:iCs/>
          <w:lang w:val="fr-FR"/>
        </w:rPr>
        <w:t xml:space="preserve">Graham et Morrison </w:t>
      </w:r>
      <w:r w:rsidRPr="00AA2BCB">
        <w:rPr>
          <w:iCs/>
          <w:lang w:val="fr-FR"/>
        </w:rPr>
        <w:t>c</w:t>
      </w:r>
      <w:r w:rsidRPr="007071A4">
        <w:rPr>
          <w:i/>
          <w:iCs/>
          <w:lang w:val="fr-FR"/>
        </w:rPr>
        <w:t>. Jamaïque</w:t>
      </w:r>
      <w:r w:rsidRPr="007071A4">
        <w:rPr>
          <w:lang w:val="fr-FR"/>
        </w:rPr>
        <w:t>, constatations adoptées en 1996; n</w:t>
      </w:r>
      <w:r w:rsidRPr="00942331">
        <w:rPr>
          <w:vertAlign w:val="superscript"/>
          <w:lang w:val="fr-FR"/>
        </w:rPr>
        <w:t>o</w:t>
      </w:r>
      <w:r>
        <w:rPr>
          <w:lang w:val="fr-FR"/>
        </w:rPr>
        <w:t> </w:t>
      </w:r>
      <w:r w:rsidRPr="007071A4">
        <w:rPr>
          <w:lang w:val="fr-FR"/>
        </w:rPr>
        <w:t xml:space="preserve">377/1989, </w:t>
      </w:r>
      <w:r w:rsidRPr="007071A4">
        <w:rPr>
          <w:i/>
          <w:iCs/>
          <w:lang w:val="fr-FR"/>
        </w:rPr>
        <w:t xml:space="preserve">Currie </w:t>
      </w:r>
      <w:r w:rsidRPr="00AA2BCB">
        <w:rPr>
          <w:iCs/>
          <w:lang w:val="fr-FR"/>
        </w:rPr>
        <w:t>c</w:t>
      </w:r>
      <w:r w:rsidRPr="007071A4">
        <w:rPr>
          <w:i/>
          <w:iCs/>
          <w:lang w:val="fr-FR"/>
        </w:rPr>
        <w:t>. Jamaïque</w:t>
      </w:r>
      <w:r w:rsidRPr="007071A4">
        <w:rPr>
          <w:lang w:val="fr-FR"/>
        </w:rPr>
        <w:t>, constatations adoptées en 1994; n</w:t>
      </w:r>
      <w:r w:rsidRPr="00942331">
        <w:rPr>
          <w:vertAlign w:val="superscript"/>
          <w:lang w:val="fr-FR"/>
        </w:rPr>
        <w:t>o</w:t>
      </w:r>
      <w:r>
        <w:rPr>
          <w:lang w:val="fr-FR"/>
        </w:rPr>
        <w:t> </w:t>
      </w:r>
      <w:r w:rsidRPr="007071A4">
        <w:rPr>
          <w:lang w:val="fr-FR"/>
        </w:rPr>
        <w:t xml:space="preserve">321/1988, </w:t>
      </w:r>
      <w:r w:rsidRPr="007071A4">
        <w:rPr>
          <w:i/>
          <w:iCs/>
          <w:lang w:val="fr-FR"/>
        </w:rPr>
        <w:t xml:space="preserve">Thomas </w:t>
      </w:r>
      <w:r>
        <w:rPr>
          <w:iCs/>
          <w:lang w:val="fr-FR"/>
        </w:rPr>
        <w:t>c. </w:t>
      </w:r>
      <w:r w:rsidRPr="007071A4">
        <w:rPr>
          <w:i/>
          <w:iCs/>
          <w:lang w:val="fr-FR"/>
        </w:rPr>
        <w:t>Jamaïque</w:t>
      </w:r>
      <w:r w:rsidRPr="007071A4">
        <w:rPr>
          <w:lang w:val="fr-FR"/>
        </w:rPr>
        <w:t>, constatations adoptées en 1993; n</w:t>
      </w:r>
      <w:r w:rsidRPr="00942331">
        <w:rPr>
          <w:vertAlign w:val="superscript"/>
          <w:lang w:val="fr-FR"/>
        </w:rPr>
        <w:t>o</w:t>
      </w:r>
      <w:r w:rsidRPr="007071A4">
        <w:rPr>
          <w:lang w:val="fr-FR"/>
        </w:rPr>
        <w:t xml:space="preserve"> 1003/2001,</w:t>
      </w:r>
      <w:r w:rsidRPr="007071A4">
        <w:rPr>
          <w:i/>
          <w:iCs/>
          <w:lang w:val="fr-FR"/>
        </w:rPr>
        <w:t xml:space="preserve"> P.</w:t>
      </w:r>
      <w:r>
        <w:rPr>
          <w:i/>
          <w:iCs/>
          <w:lang w:val="fr-FR"/>
        </w:rPr>
        <w:t xml:space="preserve"> </w:t>
      </w:r>
      <w:r w:rsidRPr="007071A4">
        <w:rPr>
          <w:i/>
          <w:iCs/>
          <w:lang w:val="fr-FR"/>
        </w:rPr>
        <w:t xml:space="preserve">L. </w:t>
      </w:r>
      <w:r w:rsidRPr="00AA2BCB">
        <w:rPr>
          <w:iCs/>
          <w:lang w:val="fr-FR"/>
        </w:rPr>
        <w:t>c.</w:t>
      </w:r>
      <w:r w:rsidRPr="007071A4">
        <w:rPr>
          <w:i/>
          <w:iCs/>
          <w:lang w:val="fr-FR"/>
        </w:rPr>
        <w:t xml:space="preserve"> </w:t>
      </w:r>
      <w:r>
        <w:rPr>
          <w:i/>
          <w:iCs/>
          <w:lang w:val="fr-FR"/>
        </w:rPr>
        <w:t>Allemagne</w:t>
      </w:r>
      <w:r w:rsidRPr="007071A4">
        <w:rPr>
          <w:lang w:val="fr-FR"/>
        </w:rPr>
        <w:t xml:space="preserve">, </w:t>
      </w:r>
      <w:r>
        <w:rPr>
          <w:lang w:val="fr-FR"/>
        </w:rPr>
        <w:t>dé</w:t>
      </w:r>
      <w:r w:rsidRPr="007071A4">
        <w:rPr>
          <w:lang w:val="fr-FR"/>
        </w:rPr>
        <w:t xml:space="preserve">cision </w:t>
      </w:r>
      <w:r>
        <w:rPr>
          <w:lang w:val="fr-FR"/>
        </w:rPr>
        <w:t xml:space="preserve">d’irrecevabilité adoptée le </w:t>
      </w:r>
      <w:r w:rsidRPr="007071A4">
        <w:rPr>
          <w:lang w:val="fr-FR"/>
        </w:rPr>
        <w:t xml:space="preserve">22 </w:t>
      </w:r>
      <w:r>
        <w:rPr>
          <w:lang w:val="fr-FR"/>
        </w:rPr>
        <w:t xml:space="preserve">octobre </w:t>
      </w:r>
      <w:r w:rsidRPr="007071A4">
        <w:rPr>
          <w:lang w:val="fr-FR"/>
        </w:rPr>
        <w:t>2003, par. 6.5.</w:t>
      </w:r>
    </w:p>
  </w:footnote>
  <w:footnote w:id="27">
    <w:p w:rsidR="001E38A4" w:rsidRPr="007071A4" w:rsidRDefault="001E38A4" w:rsidP="002E353E">
      <w:pPr>
        <w:pStyle w:val="FootnoteText"/>
        <w:rPr>
          <w:lang w:val="fr-FR"/>
        </w:rPr>
      </w:pPr>
      <w:r>
        <w:rPr>
          <w:lang w:val="fr-FR"/>
        </w:rPr>
        <w:tab/>
      </w:r>
      <w:r>
        <w:rPr>
          <w:rStyle w:val="FootnoteReference"/>
        </w:rPr>
        <w:footnoteRef/>
      </w:r>
      <w:r>
        <w:rPr>
          <w:lang w:val="fr-FR"/>
        </w:rPr>
        <w:tab/>
      </w:r>
      <w:r w:rsidRPr="007071A4">
        <w:rPr>
          <w:lang w:val="fr-FR"/>
        </w:rPr>
        <w:t>Voir l</w:t>
      </w:r>
      <w:r>
        <w:rPr>
          <w:lang w:val="fr-FR"/>
        </w:rPr>
        <w:t>es</w:t>
      </w:r>
      <w:r w:rsidRPr="007071A4">
        <w:rPr>
          <w:lang w:val="fr-FR"/>
        </w:rPr>
        <w:t xml:space="preserve"> communication</w:t>
      </w:r>
      <w:r>
        <w:rPr>
          <w:lang w:val="fr-FR"/>
        </w:rPr>
        <w:t>s</w:t>
      </w:r>
      <w:r w:rsidRPr="007071A4">
        <w:rPr>
          <w:lang w:val="fr-FR"/>
        </w:rPr>
        <w:t xml:space="preserve"> n</w:t>
      </w:r>
      <w:r w:rsidRPr="00942331">
        <w:rPr>
          <w:vertAlign w:val="superscript"/>
          <w:lang w:val="fr-FR"/>
        </w:rPr>
        <w:t>o</w:t>
      </w:r>
      <w:r w:rsidRPr="007071A4">
        <w:rPr>
          <w:lang w:val="fr-FR"/>
        </w:rPr>
        <w:t xml:space="preserve"> 433/1989, </w:t>
      </w:r>
      <w:r w:rsidRPr="007071A4">
        <w:rPr>
          <w:i/>
          <w:iCs/>
          <w:lang w:val="fr-FR"/>
        </w:rPr>
        <w:t>A.</w:t>
      </w:r>
      <w:r>
        <w:rPr>
          <w:i/>
          <w:iCs/>
          <w:lang w:val="fr-FR"/>
        </w:rPr>
        <w:t xml:space="preserve"> </w:t>
      </w:r>
      <w:r w:rsidRPr="007071A4">
        <w:rPr>
          <w:i/>
          <w:iCs/>
          <w:lang w:val="fr-FR"/>
        </w:rPr>
        <w:t>P.</w:t>
      </w:r>
      <w:r>
        <w:rPr>
          <w:i/>
          <w:iCs/>
          <w:lang w:val="fr-FR"/>
        </w:rPr>
        <w:t xml:space="preserve"> </w:t>
      </w:r>
      <w:r w:rsidRPr="007071A4">
        <w:rPr>
          <w:i/>
          <w:iCs/>
          <w:lang w:val="fr-FR"/>
        </w:rPr>
        <w:t>A.</w:t>
      </w:r>
      <w:r w:rsidRPr="00AA2BCB">
        <w:rPr>
          <w:iCs/>
          <w:lang w:val="fr-FR"/>
        </w:rPr>
        <w:t xml:space="preserve"> c</w:t>
      </w:r>
      <w:r w:rsidRPr="007071A4">
        <w:rPr>
          <w:i/>
          <w:iCs/>
          <w:lang w:val="fr-FR"/>
        </w:rPr>
        <w:t>. Espagne</w:t>
      </w:r>
      <w:r w:rsidRPr="007071A4">
        <w:rPr>
          <w:lang w:val="fr-FR"/>
        </w:rPr>
        <w:t xml:space="preserve">, </w:t>
      </w:r>
      <w:r>
        <w:rPr>
          <w:lang w:val="fr-FR"/>
        </w:rPr>
        <w:t>dé</w:t>
      </w:r>
      <w:r w:rsidRPr="007071A4">
        <w:rPr>
          <w:lang w:val="fr-FR"/>
        </w:rPr>
        <w:t xml:space="preserve">cision </w:t>
      </w:r>
      <w:r>
        <w:rPr>
          <w:lang w:val="fr-FR"/>
        </w:rPr>
        <w:t>d’irrecevabilité adoptée le 25 mars</w:t>
      </w:r>
      <w:r w:rsidRPr="007071A4">
        <w:rPr>
          <w:lang w:val="fr-FR"/>
        </w:rPr>
        <w:t xml:space="preserve"> 1994, par. 6.2</w:t>
      </w:r>
      <w:r>
        <w:rPr>
          <w:lang w:val="fr-FR"/>
        </w:rPr>
        <w:t xml:space="preserve"> et</w:t>
      </w:r>
      <w:r w:rsidRPr="007071A4">
        <w:rPr>
          <w:lang w:val="fr-FR"/>
        </w:rPr>
        <w:t xml:space="preserve"> 6.3; </w:t>
      </w:r>
      <w:r>
        <w:rPr>
          <w:lang w:val="fr-FR"/>
        </w:rPr>
        <w:t>n</w:t>
      </w:r>
      <w:r w:rsidRPr="00942331">
        <w:rPr>
          <w:vertAlign w:val="superscript"/>
          <w:lang w:val="fr-FR"/>
        </w:rPr>
        <w:t>o</w:t>
      </w:r>
      <w:r w:rsidRPr="007071A4">
        <w:rPr>
          <w:lang w:val="fr-FR"/>
        </w:rPr>
        <w:t xml:space="preserve"> 420/1990, </w:t>
      </w:r>
      <w:r w:rsidRPr="007071A4">
        <w:rPr>
          <w:i/>
          <w:iCs/>
          <w:lang w:val="fr-FR"/>
        </w:rPr>
        <w:t>G.</w:t>
      </w:r>
      <w:r>
        <w:rPr>
          <w:i/>
          <w:iCs/>
          <w:lang w:val="fr-FR"/>
        </w:rPr>
        <w:t xml:space="preserve"> </w:t>
      </w:r>
      <w:r w:rsidRPr="007071A4">
        <w:rPr>
          <w:i/>
          <w:iCs/>
          <w:lang w:val="fr-FR"/>
        </w:rPr>
        <w:t xml:space="preserve">T. </w:t>
      </w:r>
      <w:r w:rsidRPr="00AA2BCB">
        <w:rPr>
          <w:iCs/>
          <w:lang w:val="fr-FR"/>
        </w:rPr>
        <w:t xml:space="preserve">c. </w:t>
      </w:r>
      <w:r w:rsidRPr="007071A4">
        <w:rPr>
          <w:i/>
          <w:iCs/>
          <w:lang w:val="fr-FR"/>
        </w:rPr>
        <w:t>Canada</w:t>
      </w:r>
      <w:r w:rsidRPr="007071A4">
        <w:rPr>
          <w:lang w:val="fr-FR"/>
        </w:rPr>
        <w:t xml:space="preserve">, </w:t>
      </w:r>
      <w:r>
        <w:rPr>
          <w:lang w:val="fr-FR"/>
        </w:rPr>
        <w:t>dé</w:t>
      </w:r>
      <w:r w:rsidRPr="007071A4">
        <w:rPr>
          <w:lang w:val="fr-FR"/>
        </w:rPr>
        <w:t xml:space="preserve">cision </w:t>
      </w:r>
      <w:r>
        <w:rPr>
          <w:lang w:val="fr-FR"/>
        </w:rPr>
        <w:t>d’irrecevabilité adoptée le 23 octobre</w:t>
      </w:r>
      <w:r w:rsidRPr="007071A4">
        <w:rPr>
          <w:lang w:val="fr-FR"/>
        </w:rPr>
        <w:t xml:space="preserve"> 1992, par. 6.3</w:t>
      </w:r>
      <w:r>
        <w:rPr>
          <w:lang w:val="fr-FR"/>
        </w:rPr>
        <w:t>.</w:t>
      </w:r>
    </w:p>
  </w:footnote>
  <w:footnote w:id="28">
    <w:p w:rsidR="001E38A4" w:rsidRPr="00494E19" w:rsidRDefault="001E38A4" w:rsidP="002E353E">
      <w:pPr>
        <w:pStyle w:val="FootnoteText"/>
        <w:rPr>
          <w:lang w:val="fr-FR"/>
        </w:rPr>
      </w:pPr>
      <w:r>
        <w:rPr>
          <w:lang w:val="fr-FR"/>
        </w:rPr>
        <w:tab/>
      </w:r>
      <w:r>
        <w:rPr>
          <w:rStyle w:val="FootnoteReference"/>
        </w:rPr>
        <w:footnoteRef/>
      </w:r>
      <w:r>
        <w:rPr>
          <w:lang w:val="fr-FR"/>
        </w:rPr>
        <w:tab/>
      </w:r>
      <w:r w:rsidR="002C0F63">
        <w:rPr>
          <w:lang w:val="fr-FR"/>
        </w:rPr>
        <w:t>V</w:t>
      </w:r>
      <w:r>
        <w:rPr>
          <w:lang w:val="fr-FR"/>
        </w:rPr>
        <w:t xml:space="preserve">oir les </w:t>
      </w:r>
      <w:r w:rsidRPr="00D135CA">
        <w:rPr>
          <w:lang w:val="fr-FR"/>
        </w:rPr>
        <w:t>communication</w:t>
      </w:r>
      <w:r>
        <w:rPr>
          <w:lang w:val="fr-FR"/>
        </w:rPr>
        <w:t>s du</w:t>
      </w:r>
      <w:r w:rsidRPr="00D135CA">
        <w:rPr>
          <w:lang w:val="fr-FR"/>
        </w:rPr>
        <w:t xml:space="preserve"> CAT </w:t>
      </w:r>
      <w:r>
        <w:rPr>
          <w:lang w:val="fr-FR"/>
        </w:rPr>
        <w:t>n</w:t>
      </w:r>
      <w:r w:rsidRPr="00C81C89">
        <w:rPr>
          <w:vertAlign w:val="superscript"/>
          <w:lang w:val="fr-FR"/>
        </w:rPr>
        <w:t>o</w:t>
      </w:r>
      <w:r>
        <w:rPr>
          <w:lang w:val="fr-FR"/>
        </w:rPr>
        <w:t> </w:t>
      </w:r>
      <w:r w:rsidRPr="00D135CA">
        <w:rPr>
          <w:lang w:val="fr-FR"/>
        </w:rPr>
        <w:t xml:space="preserve">133/1999, </w:t>
      </w:r>
      <w:r w:rsidRPr="00D135CA">
        <w:rPr>
          <w:i/>
          <w:iCs/>
          <w:lang w:val="fr-FR"/>
        </w:rPr>
        <w:t xml:space="preserve">Falcon Rios </w:t>
      </w:r>
      <w:r w:rsidRPr="00BA09ED">
        <w:rPr>
          <w:iCs/>
          <w:lang w:val="fr-FR"/>
        </w:rPr>
        <w:t>c.</w:t>
      </w:r>
      <w:r w:rsidRPr="00D135CA">
        <w:rPr>
          <w:i/>
          <w:iCs/>
          <w:lang w:val="fr-FR"/>
        </w:rPr>
        <w:t xml:space="preserve"> Canada</w:t>
      </w:r>
      <w:r w:rsidRPr="00D135CA">
        <w:rPr>
          <w:lang w:val="fr-FR"/>
        </w:rPr>
        <w:t xml:space="preserve">, </w:t>
      </w:r>
      <w:r>
        <w:rPr>
          <w:lang w:val="fr-FR"/>
        </w:rPr>
        <w:t xml:space="preserve">constatations adoptées le </w:t>
      </w:r>
      <w:r w:rsidRPr="00D135CA">
        <w:rPr>
          <w:lang w:val="fr-FR"/>
        </w:rPr>
        <w:t xml:space="preserve">23 </w:t>
      </w:r>
      <w:r>
        <w:rPr>
          <w:lang w:val="fr-FR"/>
        </w:rPr>
        <w:t>n</w:t>
      </w:r>
      <w:r w:rsidRPr="00D135CA">
        <w:rPr>
          <w:lang w:val="fr-FR"/>
        </w:rPr>
        <w:t>ovemb</w:t>
      </w:r>
      <w:r>
        <w:rPr>
          <w:lang w:val="fr-FR"/>
        </w:rPr>
        <w:t xml:space="preserve">re </w:t>
      </w:r>
      <w:r w:rsidRPr="00D135CA">
        <w:rPr>
          <w:lang w:val="fr-FR"/>
        </w:rPr>
        <w:t>2004, par. 7.3;</w:t>
      </w:r>
      <w:r>
        <w:rPr>
          <w:lang w:val="fr-FR"/>
        </w:rPr>
        <w:t xml:space="preserve"> n</w:t>
      </w:r>
      <w:r w:rsidRPr="00C81C89">
        <w:rPr>
          <w:vertAlign w:val="superscript"/>
          <w:lang w:val="fr-FR"/>
        </w:rPr>
        <w:t>o</w:t>
      </w:r>
      <w:r>
        <w:rPr>
          <w:lang w:val="fr-FR"/>
        </w:rPr>
        <w:t> </w:t>
      </w:r>
      <w:r w:rsidRPr="00D135CA">
        <w:rPr>
          <w:lang w:val="fr-FR"/>
        </w:rPr>
        <w:t xml:space="preserve">166/2000, </w:t>
      </w:r>
      <w:r w:rsidRPr="00D135CA">
        <w:rPr>
          <w:i/>
          <w:iCs/>
          <w:lang w:val="fr-FR"/>
        </w:rPr>
        <w:t>B.</w:t>
      </w:r>
      <w:r>
        <w:rPr>
          <w:i/>
          <w:iCs/>
          <w:lang w:val="fr-FR"/>
        </w:rPr>
        <w:t xml:space="preserve"> </w:t>
      </w:r>
      <w:r w:rsidRPr="00D135CA">
        <w:rPr>
          <w:i/>
          <w:iCs/>
          <w:lang w:val="fr-FR"/>
        </w:rPr>
        <w:t xml:space="preserve">S. </w:t>
      </w:r>
      <w:r w:rsidRPr="00BA09ED">
        <w:rPr>
          <w:iCs/>
          <w:lang w:val="fr-FR"/>
        </w:rPr>
        <w:t>c</w:t>
      </w:r>
      <w:r>
        <w:rPr>
          <w:i/>
          <w:iCs/>
          <w:lang w:val="fr-FR"/>
        </w:rPr>
        <w:t>. </w:t>
      </w:r>
      <w:r w:rsidRPr="00D135CA">
        <w:rPr>
          <w:i/>
          <w:iCs/>
          <w:lang w:val="fr-FR"/>
        </w:rPr>
        <w:t>Canada</w:t>
      </w:r>
      <w:r w:rsidRPr="00D135CA">
        <w:rPr>
          <w:lang w:val="fr-FR"/>
        </w:rPr>
        <w:t xml:space="preserve">, </w:t>
      </w:r>
      <w:r>
        <w:rPr>
          <w:lang w:val="fr-FR"/>
        </w:rPr>
        <w:t xml:space="preserve">constatations adoptées le </w:t>
      </w:r>
      <w:r w:rsidRPr="00D135CA">
        <w:rPr>
          <w:lang w:val="fr-FR"/>
        </w:rPr>
        <w:t xml:space="preserve">14 </w:t>
      </w:r>
      <w:r>
        <w:rPr>
          <w:lang w:val="fr-FR"/>
        </w:rPr>
        <w:t>novembre</w:t>
      </w:r>
      <w:r w:rsidRPr="00D135CA">
        <w:rPr>
          <w:lang w:val="fr-FR"/>
        </w:rPr>
        <w:t xml:space="preserve"> 2001, par. 6.2 </w:t>
      </w:r>
      <w:r>
        <w:rPr>
          <w:lang w:val="fr-FR"/>
        </w:rPr>
        <w:t xml:space="preserve">et </w:t>
      </w:r>
      <w:r w:rsidRPr="00D135CA">
        <w:rPr>
          <w:lang w:val="fr-FR"/>
        </w:rPr>
        <w:t xml:space="preserve">6.4; </w:t>
      </w:r>
      <w:r>
        <w:rPr>
          <w:lang w:val="fr-FR"/>
        </w:rPr>
        <w:t>n</w:t>
      </w:r>
      <w:r w:rsidRPr="00C81C89">
        <w:rPr>
          <w:vertAlign w:val="superscript"/>
          <w:lang w:val="fr-FR"/>
        </w:rPr>
        <w:t>o</w:t>
      </w:r>
      <w:r>
        <w:rPr>
          <w:lang w:val="fr-FR"/>
        </w:rPr>
        <w:t> </w:t>
      </w:r>
      <w:r w:rsidRPr="00D135CA">
        <w:rPr>
          <w:lang w:val="fr-FR"/>
        </w:rPr>
        <w:t xml:space="preserve">304/2006, </w:t>
      </w:r>
      <w:r w:rsidRPr="00D135CA">
        <w:rPr>
          <w:i/>
          <w:iCs/>
          <w:lang w:val="fr-FR"/>
        </w:rPr>
        <w:t>L.</w:t>
      </w:r>
      <w:r>
        <w:rPr>
          <w:i/>
          <w:iCs/>
          <w:lang w:val="fr-FR"/>
        </w:rPr>
        <w:t xml:space="preserve"> </w:t>
      </w:r>
      <w:r w:rsidRPr="00D135CA">
        <w:rPr>
          <w:i/>
          <w:iCs/>
          <w:lang w:val="fr-FR"/>
        </w:rPr>
        <w:t>Z.</w:t>
      </w:r>
      <w:r>
        <w:rPr>
          <w:i/>
          <w:iCs/>
          <w:lang w:val="fr-FR"/>
        </w:rPr>
        <w:t xml:space="preserve"> </w:t>
      </w:r>
      <w:r w:rsidRPr="00D135CA">
        <w:rPr>
          <w:i/>
          <w:iCs/>
          <w:lang w:val="fr-FR"/>
        </w:rPr>
        <w:t xml:space="preserve">B. et al. </w:t>
      </w:r>
      <w:r w:rsidRPr="00BA09ED">
        <w:rPr>
          <w:iCs/>
          <w:lang w:val="fr-FR"/>
        </w:rPr>
        <w:t>c</w:t>
      </w:r>
      <w:r>
        <w:rPr>
          <w:i/>
          <w:iCs/>
          <w:lang w:val="fr-FR"/>
        </w:rPr>
        <w:t>. </w:t>
      </w:r>
      <w:r w:rsidRPr="00D135CA">
        <w:rPr>
          <w:i/>
          <w:iCs/>
          <w:lang w:val="fr-FR"/>
        </w:rPr>
        <w:t>Canada</w:t>
      </w:r>
      <w:r w:rsidRPr="00D135CA">
        <w:rPr>
          <w:lang w:val="fr-FR"/>
        </w:rPr>
        <w:t xml:space="preserve">, </w:t>
      </w:r>
      <w:r>
        <w:rPr>
          <w:lang w:val="fr-FR"/>
        </w:rPr>
        <w:t>dé</w:t>
      </w:r>
      <w:r w:rsidRPr="007071A4">
        <w:rPr>
          <w:lang w:val="fr-FR"/>
        </w:rPr>
        <w:t xml:space="preserve">cision </w:t>
      </w:r>
      <w:r>
        <w:rPr>
          <w:lang w:val="fr-FR"/>
        </w:rPr>
        <w:t xml:space="preserve">d’irrecevabilité adoptée le </w:t>
      </w:r>
      <w:r w:rsidRPr="00D135CA">
        <w:rPr>
          <w:lang w:val="fr-FR"/>
        </w:rPr>
        <w:t xml:space="preserve">8 </w:t>
      </w:r>
      <w:r>
        <w:rPr>
          <w:lang w:val="fr-FR"/>
        </w:rPr>
        <w:t xml:space="preserve">novembre </w:t>
      </w:r>
      <w:r w:rsidRPr="00D135CA">
        <w:rPr>
          <w:lang w:val="fr-FR"/>
        </w:rPr>
        <w:t xml:space="preserve">2007. </w:t>
      </w:r>
    </w:p>
  </w:footnote>
  <w:footnote w:id="29">
    <w:p w:rsidR="001E38A4" w:rsidRPr="00741613" w:rsidRDefault="001E38A4" w:rsidP="002E353E">
      <w:pPr>
        <w:pStyle w:val="FootnoteText"/>
        <w:rPr>
          <w:lang w:val="en-GB"/>
        </w:rPr>
      </w:pPr>
      <w:r>
        <w:rPr>
          <w:lang w:val="fr-FR"/>
        </w:rPr>
        <w:tab/>
      </w:r>
      <w:r>
        <w:rPr>
          <w:rStyle w:val="FootnoteReference"/>
        </w:rPr>
        <w:footnoteRef/>
      </w:r>
      <w:r>
        <w:rPr>
          <w:lang w:val="fr-FR"/>
        </w:rPr>
        <w:tab/>
      </w:r>
      <w:r>
        <w:rPr>
          <w:lang w:val="en-GB"/>
        </w:rPr>
        <w:t>HCR,</w:t>
      </w:r>
      <w:r w:rsidRPr="00741613">
        <w:rPr>
          <w:lang w:val="en-GB"/>
        </w:rPr>
        <w:t xml:space="preserve"> Eligibility Guidelines for Assessing the International Protection Needs of Asylum-Seekers from Somalia, </w:t>
      </w:r>
      <w:r w:rsidR="00C55CBE">
        <w:rPr>
          <w:lang w:val="en-GB"/>
        </w:rPr>
        <w:t>op. cit.</w:t>
      </w:r>
      <w:r w:rsidRPr="00741613">
        <w:rPr>
          <w:lang w:val="en-GB"/>
        </w:rPr>
        <w:t xml:space="preserve">, p. 35; </w:t>
      </w:r>
      <w:r w:rsidRPr="006F13CD">
        <w:rPr>
          <w:lang w:val="en-GB"/>
        </w:rPr>
        <w:t>Rapport du Secrétaire général sur la Somalie</w:t>
      </w:r>
      <w:r w:rsidRPr="00741613">
        <w:rPr>
          <w:lang w:val="en-GB"/>
        </w:rPr>
        <w:t xml:space="preserve">, </w:t>
      </w:r>
      <w:r>
        <w:rPr>
          <w:lang w:val="en-GB"/>
        </w:rPr>
        <w:t>s</w:t>
      </w:r>
      <w:r w:rsidRPr="00741613">
        <w:rPr>
          <w:lang w:val="en-GB"/>
        </w:rPr>
        <w:t>eptembr</w:t>
      </w:r>
      <w:r>
        <w:rPr>
          <w:lang w:val="en-GB"/>
        </w:rPr>
        <w:t>e 2010, par</w:t>
      </w:r>
      <w:r w:rsidRPr="00741613">
        <w:rPr>
          <w:lang w:val="en-GB"/>
        </w:rPr>
        <w:t>. 24.</w:t>
      </w:r>
    </w:p>
  </w:footnote>
  <w:footnote w:id="30">
    <w:p w:rsidR="001E38A4" w:rsidRPr="00741613" w:rsidRDefault="001E38A4" w:rsidP="002E353E">
      <w:pPr>
        <w:pStyle w:val="FootnoteText"/>
        <w:rPr>
          <w:lang w:val="en-GB"/>
        </w:rPr>
      </w:pPr>
      <w:r>
        <w:rPr>
          <w:lang w:val="fr-FR"/>
        </w:rPr>
        <w:tab/>
      </w:r>
      <w:r>
        <w:rPr>
          <w:rStyle w:val="FootnoteReference"/>
        </w:rPr>
        <w:footnoteRef/>
      </w:r>
      <w:r>
        <w:rPr>
          <w:lang w:val="fr-FR"/>
        </w:rPr>
        <w:tab/>
      </w:r>
      <w:r>
        <w:rPr>
          <w:lang w:val="en-GB"/>
        </w:rPr>
        <w:t>HCR,</w:t>
      </w:r>
      <w:r w:rsidRPr="00741613">
        <w:rPr>
          <w:lang w:val="en-GB"/>
        </w:rPr>
        <w:t xml:space="preserve"> Eligibility Guidelines for Assessing the International Protection Needs of Asylum-Seekers from Somalia, </w:t>
      </w:r>
      <w:r w:rsidR="003A3ACB">
        <w:rPr>
          <w:lang w:val="en-GB"/>
        </w:rPr>
        <w:t>op. cit.</w:t>
      </w:r>
      <w:r w:rsidRPr="00741613">
        <w:rPr>
          <w:lang w:val="en-GB"/>
        </w:rPr>
        <w:t xml:space="preserve">, p. 48, </w:t>
      </w:r>
      <w:r>
        <w:rPr>
          <w:lang w:val="en-GB"/>
        </w:rPr>
        <w:t>et</w:t>
      </w:r>
      <w:r w:rsidRPr="00741613">
        <w:rPr>
          <w:lang w:val="en-GB"/>
        </w:rPr>
        <w:t xml:space="preserve"> UNHCR, </w:t>
      </w:r>
      <w:r>
        <w:rPr>
          <w:lang w:val="en-GB"/>
        </w:rPr>
        <w:t>«</w:t>
      </w:r>
      <w:r w:rsidRPr="00741613">
        <w:rPr>
          <w:lang w:val="en-GB"/>
        </w:rPr>
        <w:t>Position on the Return of Rejected Asylum-Seekers to Somalia</w:t>
      </w:r>
      <w:r>
        <w:rPr>
          <w:lang w:val="en-GB"/>
        </w:rPr>
        <w:t>»</w:t>
      </w:r>
      <w:r w:rsidRPr="00741613">
        <w:rPr>
          <w:lang w:val="en-GB"/>
        </w:rPr>
        <w:t xml:space="preserve">, </w:t>
      </w:r>
      <w:r>
        <w:rPr>
          <w:lang w:val="en-GB"/>
        </w:rPr>
        <w:t xml:space="preserve">janvier </w:t>
      </w:r>
      <w:r w:rsidRPr="00741613">
        <w:rPr>
          <w:lang w:val="en-GB"/>
        </w:rPr>
        <w:t xml:space="preserve">2004, p. 4. </w:t>
      </w:r>
    </w:p>
  </w:footnote>
  <w:footnote w:id="31">
    <w:p w:rsidR="001E38A4" w:rsidRPr="00087F9D" w:rsidRDefault="001E38A4" w:rsidP="002E353E">
      <w:pPr>
        <w:pStyle w:val="FootnoteText"/>
        <w:rPr>
          <w:lang w:val="fr-FR"/>
        </w:rPr>
      </w:pPr>
      <w:r>
        <w:rPr>
          <w:lang w:val="fr-FR"/>
        </w:rPr>
        <w:tab/>
      </w:r>
      <w:r>
        <w:rPr>
          <w:rStyle w:val="FootnoteReference"/>
        </w:rPr>
        <w:footnoteRef/>
      </w:r>
      <w:r>
        <w:rPr>
          <w:lang w:val="fr-FR"/>
        </w:rPr>
        <w:tab/>
      </w:r>
      <w:r w:rsidRPr="006F13CD">
        <w:rPr>
          <w:lang w:val="fr-FR"/>
        </w:rPr>
        <w:t xml:space="preserve">Rapport du Secrétaire général sur la Somalie, septembre 2010, par. </w:t>
      </w:r>
      <w:r w:rsidRPr="00087F9D">
        <w:rPr>
          <w:lang w:val="fr-FR"/>
        </w:rPr>
        <w:t xml:space="preserve">15. </w:t>
      </w:r>
    </w:p>
  </w:footnote>
  <w:footnote w:id="32">
    <w:p w:rsidR="001E38A4" w:rsidRPr="00433125" w:rsidRDefault="001E38A4" w:rsidP="002E353E">
      <w:pPr>
        <w:pStyle w:val="FootnoteText"/>
        <w:rPr>
          <w:lang w:val="fr-FR"/>
        </w:rPr>
      </w:pPr>
      <w:r>
        <w:rPr>
          <w:lang w:val="fr-FR"/>
        </w:rPr>
        <w:tab/>
      </w:r>
      <w:r>
        <w:rPr>
          <w:rStyle w:val="FootnoteReference"/>
        </w:rPr>
        <w:footnoteRef/>
      </w:r>
      <w:r>
        <w:rPr>
          <w:lang w:val="fr-FR"/>
        </w:rPr>
        <w:tab/>
      </w:r>
      <w:r w:rsidRPr="008E762A">
        <w:rPr>
          <w:lang w:val="fr-FR"/>
        </w:rPr>
        <w:t>Conseil de sécurité de</w:t>
      </w:r>
      <w:r>
        <w:rPr>
          <w:lang w:val="fr-FR"/>
        </w:rPr>
        <w:t>s Nations Unies,</w:t>
      </w:r>
      <w:r w:rsidRPr="008E762A">
        <w:rPr>
          <w:lang w:val="fr-FR"/>
        </w:rPr>
        <w:t xml:space="preserve"> Rapport </w:t>
      </w:r>
      <w:r>
        <w:rPr>
          <w:lang w:val="fr-FR"/>
        </w:rPr>
        <w:t>présenté par le</w:t>
      </w:r>
      <w:r w:rsidRPr="008E762A">
        <w:rPr>
          <w:lang w:val="fr-FR"/>
        </w:rPr>
        <w:t xml:space="preserve"> Secrétaire général </w:t>
      </w:r>
      <w:r>
        <w:rPr>
          <w:lang w:val="fr-FR"/>
        </w:rPr>
        <w:t xml:space="preserve">en application de la résolution 1897 (2009), 27 octobre </w:t>
      </w:r>
      <w:r w:rsidRPr="008E762A">
        <w:rPr>
          <w:lang w:val="fr-FR"/>
        </w:rPr>
        <w:t xml:space="preserve">2010, S/2010/556, par. </w:t>
      </w:r>
      <w:r w:rsidRPr="00433125">
        <w:rPr>
          <w:lang w:val="fr-FR"/>
        </w:rPr>
        <w:t xml:space="preserve">4; </w:t>
      </w:r>
      <w:r>
        <w:rPr>
          <w:lang w:val="fr-FR"/>
        </w:rPr>
        <w:t>HCR,</w:t>
      </w:r>
      <w:r w:rsidRPr="00433125">
        <w:rPr>
          <w:lang w:val="fr-FR"/>
        </w:rPr>
        <w:t xml:space="preserve"> Eligibility Guidelines for Assessing the International Protection Needs of Asylum-Seekers from Somalia, </w:t>
      </w:r>
      <w:r w:rsidR="00E7202D">
        <w:rPr>
          <w:lang w:val="fr-FR"/>
        </w:rPr>
        <w:t>op. cit.</w:t>
      </w:r>
      <w:r w:rsidRPr="00433125">
        <w:rPr>
          <w:lang w:val="fr-FR"/>
        </w:rPr>
        <w:t xml:space="preserve">, p. 16; </w:t>
      </w:r>
      <w:r w:rsidRPr="006F13CD">
        <w:rPr>
          <w:lang w:val="fr-FR"/>
        </w:rPr>
        <w:t xml:space="preserve">Rapport du Secrétaire général sur la Somalie, septembre 2010, par. </w:t>
      </w:r>
      <w:r w:rsidRPr="00433125">
        <w:rPr>
          <w:lang w:val="fr-FR"/>
        </w:rPr>
        <w:t xml:space="preserve">24. </w:t>
      </w:r>
    </w:p>
  </w:footnote>
  <w:footnote w:id="33">
    <w:p w:rsidR="001E38A4" w:rsidRPr="00571C9F" w:rsidRDefault="001E38A4" w:rsidP="002E353E">
      <w:pPr>
        <w:pStyle w:val="FootnoteText"/>
        <w:rPr>
          <w:lang w:val="fr-FR"/>
        </w:rPr>
      </w:pPr>
      <w:r>
        <w:rPr>
          <w:lang w:val="fr-FR"/>
        </w:rPr>
        <w:tab/>
      </w:r>
      <w:r>
        <w:rPr>
          <w:rStyle w:val="FootnoteReference"/>
        </w:rPr>
        <w:footnoteRef/>
      </w:r>
      <w:r>
        <w:rPr>
          <w:lang w:val="fr-FR"/>
        </w:rPr>
        <w:tab/>
      </w:r>
      <w:r w:rsidRPr="00571C9F">
        <w:rPr>
          <w:lang w:val="fr-FR"/>
        </w:rPr>
        <w:t xml:space="preserve">Voir </w:t>
      </w:r>
      <w:r w:rsidRPr="00571C9F">
        <w:rPr>
          <w:i/>
          <w:iCs/>
          <w:lang w:val="fr-FR"/>
        </w:rPr>
        <w:t>a contrario</w:t>
      </w:r>
      <w:r w:rsidRPr="00571C9F">
        <w:rPr>
          <w:lang w:val="fr-FR"/>
        </w:rPr>
        <w:t xml:space="preserve"> les communications </w:t>
      </w:r>
      <w:r w:rsidRPr="00830798">
        <w:rPr>
          <w:lang w:val="fr-FR"/>
        </w:rPr>
        <w:t>n</w:t>
      </w:r>
      <w:r w:rsidRPr="00830798">
        <w:rPr>
          <w:vertAlign w:val="superscript"/>
          <w:lang w:val="fr-FR"/>
        </w:rPr>
        <w:t>o</w:t>
      </w:r>
      <w:r>
        <w:rPr>
          <w:lang w:val="fr-FR"/>
        </w:rPr>
        <w:t> </w:t>
      </w:r>
      <w:r w:rsidRPr="00571C9F">
        <w:rPr>
          <w:lang w:val="fr-FR"/>
        </w:rPr>
        <w:t xml:space="preserve">583/1993, </w:t>
      </w:r>
      <w:r w:rsidRPr="00571C9F">
        <w:rPr>
          <w:i/>
          <w:iCs/>
          <w:lang w:val="fr-FR"/>
        </w:rPr>
        <w:t>Stewart</w:t>
      </w:r>
      <w:r w:rsidRPr="00BA09ED">
        <w:rPr>
          <w:iCs/>
          <w:lang w:val="fr-FR"/>
        </w:rPr>
        <w:t xml:space="preserve"> c</w:t>
      </w:r>
      <w:r w:rsidRPr="00571C9F">
        <w:rPr>
          <w:i/>
          <w:iCs/>
          <w:lang w:val="fr-FR"/>
        </w:rPr>
        <w:t>. Canada</w:t>
      </w:r>
      <w:r w:rsidRPr="00571C9F">
        <w:rPr>
          <w:lang w:val="fr-FR"/>
        </w:rPr>
        <w:t xml:space="preserve"> (expulsion vers le Royaume-Uni, pays d</w:t>
      </w:r>
      <w:r>
        <w:rPr>
          <w:lang w:val="fr-FR"/>
        </w:rPr>
        <w:t>’origine, où résidait le frère de l’auteur</w:t>
      </w:r>
      <w:r w:rsidRPr="00571C9F">
        <w:rPr>
          <w:lang w:val="fr-FR"/>
        </w:rPr>
        <w:t xml:space="preserve">), constatations adoptées le </w:t>
      </w:r>
      <w:r>
        <w:rPr>
          <w:lang w:val="fr-FR"/>
        </w:rPr>
        <w:t>1</w:t>
      </w:r>
      <w:r w:rsidRPr="00830798">
        <w:rPr>
          <w:vertAlign w:val="superscript"/>
          <w:lang w:val="fr-FR"/>
        </w:rPr>
        <w:t>er</w:t>
      </w:r>
      <w:r>
        <w:rPr>
          <w:lang w:val="fr-FR"/>
        </w:rPr>
        <w:t> </w:t>
      </w:r>
      <w:r w:rsidRPr="00571C9F">
        <w:rPr>
          <w:lang w:val="fr-FR"/>
        </w:rPr>
        <w:t>novembre 1996</w:t>
      </w:r>
      <w:r>
        <w:rPr>
          <w:lang w:val="fr-FR"/>
        </w:rPr>
        <w:t>, et n</w:t>
      </w:r>
      <w:r w:rsidRPr="007779EF">
        <w:rPr>
          <w:vertAlign w:val="superscript"/>
          <w:lang w:val="fr-FR"/>
        </w:rPr>
        <w:t>o</w:t>
      </w:r>
      <w:r>
        <w:rPr>
          <w:lang w:val="fr-FR"/>
        </w:rPr>
        <w:t> </w:t>
      </w:r>
      <w:r w:rsidRPr="00571C9F">
        <w:rPr>
          <w:lang w:val="fr-FR"/>
        </w:rPr>
        <w:t xml:space="preserve">558/1993, </w:t>
      </w:r>
      <w:r w:rsidRPr="00571C9F">
        <w:rPr>
          <w:i/>
          <w:iCs/>
          <w:lang w:val="fr-FR"/>
        </w:rPr>
        <w:t xml:space="preserve">Canepa </w:t>
      </w:r>
      <w:r w:rsidRPr="00BA09ED">
        <w:rPr>
          <w:iCs/>
          <w:lang w:val="fr-FR"/>
        </w:rPr>
        <w:t>c</w:t>
      </w:r>
      <w:r w:rsidRPr="00571C9F">
        <w:rPr>
          <w:i/>
          <w:iCs/>
          <w:lang w:val="fr-FR"/>
        </w:rPr>
        <w:t>. Canada</w:t>
      </w:r>
      <w:r w:rsidRPr="00571C9F">
        <w:rPr>
          <w:lang w:val="fr-FR"/>
        </w:rPr>
        <w:t xml:space="preserve"> </w:t>
      </w:r>
      <w:r>
        <w:rPr>
          <w:lang w:val="fr-FR"/>
        </w:rPr>
        <w:t>(expulsion vers l’Italie, pays d’origine où résidaient des parents de l’auteur)</w:t>
      </w:r>
      <w:r w:rsidRPr="00571C9F">
        <w:rPr>
          <w:lang w:val="fr-FR"/>
        </w:rPr>
        <w:t xml:space="preserve">, constatations adoptées le </w:t>
      </w:r>
      <w:r>
        <w:rPr>
          <w:lang w:val="fr-FR"/>
        </w:rPr>
        <w:t>3 av</w:t>
      </w:r>
      <w:r w:rsidRPr="00571C9F">
        <w:rPr>
          <w:lang w:val="fr-FR"/>
        </w:rPr>
        <w:t>ril 1997.</w:t>
      </w:r>
    </w:p>
  </w:footnote>
  <w:footnote w:id="34">
    <w:p w:rsidR="001E38A4" w:rsidRPr="00571C9F" w:rsidRDefault="001E38A4" w:rsidP="002E353E">
      <w:pPr>
        <w:pStyle w:val="FootnoteText"/>
        <w:rPr>
          <w:lang w:val="fr-FR"/>
        </w:rPr>
      </w:pPr>
      <w:r>
        <w:rPr>
          <w:lang w:val="fr-FR"/>
        </w:rPr>
        <w:tab/>
      </w:r>
      <w:r>
        <w:rPr>
          <w:rStyle w:val="FootnoteReference"/>
        </w:rPr>
        <w:footnoteRef/>
      </w:r>
      <w:r>
        <w:rPr>
          <w:lang w:val="fr-FR"/>
        </w:rPr>
        <w:tab/>
      </w:r>
      <w:r w:rsidRPr="008774AF">
        <w:rPr>
          <w:lang w:val="fr-FR"/>
        </w:rPr>
        <w:t>Voir l</w:t>
      </w:r>
      <w:r>
        <w:rPr>
          <w:lang w:val="fr-FR"/>
        </w:rPr>
        <w:t>’</w:t>
      </w:r>
      <w:r w:rsidRPr="008774AF">
        <w:rPr>
          <w:lang w:val="fr-FR"/>
        </w:rPr>
        <w:t>Observation générale</w:t>
      </w:r>
      <w:r>
        <w:rPr>
          <w:lang w:val="fr-FR"/>
        </w:rPr>
        <w:t xml:space="preserve"> </w:t>
      </w:r>
      <w:r w:rsidRPr="00830798">
        <w:rPr>
          <w:lang w:val="fr-FR"/>
        </w:rPr>
        <w:t>n</w:t>
      </w:r>
      <w:r w:rsidRPr="00830798">
        <w:rPr>
          <w:vertAlign w:val="superscript"/>
          <w:lang w:val="fr-FR"/>
        </w:rPr>
        <w:t>o</w:t>
      </w:r>
      <w:r>
        <w:rPr>
          <w:lang w:val="fr-FR"/>
        </w:rPr>
        <w:t> </w:t>
      </w:r>
      <w:r w:rsidRPr="008774AF">
        <w:rPr>
          <w:lang w:val="fr-FR"/>
        </w:rPr>
        <w:t>27 (1999), relative à la liberté de circulation (</w:t>
      </w:r>
      <w:r>
        <w:rPr>
          <w:lang w:val="fr-FR"/>
        </w:rPr>
        <w:t>art.</w:t>
      </w:r>
      <w:r w:rsidRPr="008774AF">
        <w:rPr>
          <w:lang w:val="fr-FR"/>
        </w:rPr>
        <w:t xml:space="preserve"> 12), </w:t>
      </w:r>
      <w:r>
        <w:rPr>
          <w:lang w:val="fr-FR"/>
        </w:rPr>
        <w:t xml:space="preserve">adoptée le </w:t>
      </w:r>
      <w:r w:rsidRPr="008774AF">
        <w:rPr>
          <w:lang w:val="fr-FR"/>
        </w:rPr>
        <w:t>2</w:t>
      </w:r>
      <w:r>
        <w:rPr>
          <w:lang w:val="fr-FR"/>
        </w:rPr>
        <w:t> </w:t>
      </w:r>
      <w:r w:rsidRPr="008774AF">
        <w:rPr>
          <w:lang w:val="fr-FR"/>
        </w:rPr>
        <w:t>novembre 1999, CCPR/C/21/Rev.1/Add.9, par. 20</w:t>
      </w:r>
      <w:r w:rsidRPr="00571C9F">
        <w:rPr>
          <w:lang w:val="fr-FR"/>
        </w:rPr>
        <w:t>.</w:t>
      </w:r>
    </w:p>
  </w:footnote>
  <w:footnote w:id="35">
    <w:p w:rsidR="001E38A4" w:rsidRPr="002E07F7" w:rsidRDefault="001E38A4" w:rsidP="002E353E">
      <w:pPr>
        <w:pStyle w:val="FootnoteText"/>
        <w:rPr>
          <w:lang w:val="fr-FR"/>
        </w:rPr>
      </w:pPr>
      <w:r>
        <w:rPr>
          <w:lang w:val="fr-FR"/>
        </w:rPr>
        <w:tab/>
      </w:r>
      <w:r>
        <w:rPr>
          <w:rStyle w:val="FootnoteReference"/>
        </w:rPr>
        <w:footnoteRef/>
      </w:r>
      <w:r>
        <w:rPr>
          <w:lang w:val="fr-FR"/>
        </w:rPr>
        <w:tab/>
      </w:r>
      <w:r w:rsidRPr="002E07F7">
        <w:rPr>
          <w:lang w:val="fr-FR"/>
        </w:rPr>
        <w:t>Voir la communication n</w:t>
      </w:r>
      <w:r w:rsidRPr="00AF7129">
        <w:rPr>
          <w:vertAlign w:val="superscript"/>
          <w:lang w:val="fr-FR"/>
        </w:rPr>
        <w:t>o</w:t>
      </w:r>
      <w:r>
        <w:rPr>
          <w:lang w:val="fr-FR"/>
        </w:rPr>
        <w:t> </w:t>
      </w:r>
      <w:r w:rsidRPr="002E07F7">
        <w:rPr>
          <w:lang w:val="fr-FR"/>
        </w:rPr>
        <w:t xml:space="preserve">169/2000, </w:t>
      </w:r>
      <w:r w:rsidRPr="002E07F7">
        <w:rPr>
          <w:i/>
          <w:iCs/>
          <w:lang w:val="fr-FR"/>
        </w:rPr>
        <w:t>G.</w:t>
      </w:r>
      <w:r>
        <w:rPr>
          <w:i/>
          <w:iCs/>
          <w:lang w:val="fr-FR"/>
        </w:rPr>
        <w:t xml:space="preserve"> </w:t>
      </w:r>
      <w:r w:rsidRPr="002E07F7">
        <w:rPr>
          <w:i/>
          <w:iCs/>
          <w:lang w:val="fr-FR"/>
        </w:rPr>
        <w:t>S.</w:t>
      </w:r>
      <w:r>
        <w:rPr>
          <w:i/>
          <w:iCs/>
          <w:lang w:val="fr-FR"/>
        </w:rPr>
        <w:t xml:space="preserve"> </w:t>
      </w:r>
      <w:r w:rsidRPr="002E07F7">
        <w:rPr>
          <w:i/>
          <w:iCs/>
          <w:lang w:val="fr-FR"/>
        </w:rPr>
        <w:t xml:space="preserve">B. </w:t>
      </w:r>
      <w:r w:rsidRPr="00830798">
        <w:rPr>
          <w:iCs/>
          <w:lang w:val="fr-FR"/>
        </w:rPr>
        <w:t>c.</w:t>
      </w:r>
      <w:r w:rsidRPr="002E07F7">
        <w:rPr>
          <w:i/>
          <w:iCs/>
          <w:lang w:val="fr-FR"/>
        </w:rPr>
        <w:t xml:space="preserve"> Canada</w:t>
      </w:r>
      <w:r w:rsidRPr="002E07F7">
        <w:rPr>
          <w:lang w:val="fr-FR"/>
        </w:rPr>
        <w:t xml:space="preserve">, à laquelle le Comité </w:t>
      </w:r>
      <w:r>
        <w:rPr>
          <w:lang w:val="fr-FR"/>
        </w:rPr>
        <w:t xml:space="preserve">contre la torture </w:t>
      </w:r>
      <w:r w:rsidRPr="002E07F7">
        <w:rPr>
          <w:lang w:val="fr-FR"/>
        </w:rPr>
        <w:t>a mis un terme et dont l</w:t>
      </w:r>
      <w:r>
        <w:rPr>
          <w:lang w:val="fr-FR"/>
        </w:rPr>
        <w:t>’</w:t>
      </w:r>
      <w:r w:rsidRPr="002E07F7">
        <w:rPr>
          <w:lang w:val="fr-FR"/>
        </w:rPr>
        <w:t>auteur</w:t>
      </w:r>
      <w:r>
        <w:rPr>
          <w:lang w:val="fr-FR"/>
        </w:rPr>
        <w:t xml:space="preserve"> </w:t>
      </w:r>
      <w:r w:rsidRPr="002E07F7">
        <w:rPr>
          <w:lang w:val="fr-FR"/>
        </w:rPr>
        <w:t xml:space="preserve">avait présenté une demande pour </w:t>
      </w:r>
      <w:r>
        <w:rPr>
          <w:lang w:val="fr-FR"/>
        </w:rPr>
        <w:t>motifs d’ordre</w:t>
      </w:r>
      <w:r w:rsidRPr="002E07F7">
        <w:rPr>
          <w:lang w:val="fr-FR"/>
        </w:rPr>
        <w:t xml:space="preserve"> humanitaire qui avait été acceptée; Commission </w:t>
      </w:r>
      <w:r>
        <w:rPr>
          <w:lang w:val="fr-FR"/>
        </w:rPr>
        <w:t>interaméricaine des droits de l’homme</w:t>
      </w:r>
      <w:r w:rsidRPr="002E07F7">
        <w:rPr>
          <w:lang w:val="fr-FR"/>
        </w:rPr>
        <w:t xml:space="preserve">, </w:t>
      </w:r>
      <w:r>
        <w:rPr>
          <w:lang w:val="fr-FR"/>
        </w:rPr>
        <w:t xml:space="preserve">rapport </w:t>
      </w:r>
      <w:r w:rsidRPr="002E07F7">
        <w:rPr>
          <w:lang w:val="fr-FR"/>
        </w:rPr>
        <w:t>n</w:t>
      </w:r>
      <w:r w:rsidRPr="00AF7129">
        <w:rPr>
          <w:vertAlign w:val="superscript"/>
          <w:lang w:val="fr-FR"/>
        </w:rPr>
        <w:t>o</w:t>
      </w:r>
      <w:r>
        <w:rPr>
          <w:lang w:val="fr-FR"/>
        </w:rPr>
        <w:t> </w:t>
      </w:r>
      <w:r w:rsidRPr="002E07F7">
        <w:rPr>
          <w:lang w:val="fr-FR"/>
        </w:rPr>
        <w:t xml:space="preserve">81/05, </w:t>
      </w:r>
      <w:r>
        <w:rPr>
          <w:lang w:val="fr-FR"/>
        </w:rPr>
        <w:t>pé</w:t>
      </w:r>
      <w:r w:rsidRPr="002E07F7">
        <w:rPr>
          <w:lang w:val="fr-FR"/>
        </w:rPr>
        <w:t xml:space="preserve">tition 11.862, </w:t>
      </w:r>
      <w:r>
        <w:rPr>
          <w:lang w:val="fr-FR"/>
        </w:rPr>
        <w:t>irrecevabilité</w:t>
      </w:r>
      <w:r w:rsidRPr="002E07F7">
        <w:rPr>
          <w:lang w:val="fr-FR"/>
        </w:rPr>
        <w:t xml:space="preserve">, </w:t>
      </w:r>
      <w:r w:rsidRPr="002E07F7">
        <w:rPr>
          <w:i/>
          <w:lang w:val="fr-FR"/>
        </w:rPr>
        <w:t xml:space="preserve">Andrew Harte </w:t>
      </w:r>
      <w:r>
        <w:rPr>
          <w:i/>
          <w:lang w:val="fr-FR"/>
        </w:rPr>
        <w:t>et famille</w:t>
      </w:r>
      <w:r w:rsidRPr="002E07F7">
        <w:rPr>
          <w:i/>
          <w:lang w:val="fr-FR"/>
        </w:rPr>
        <w:t xml:space="preserve"> </w:t>
      </w:r>
      <w:r w:rsidRPr="00830798">
        <w:rPr>
          <w:lang w:val="fr-FR"/>
        </w:rPr>
        <w:t>c</w:t>
      </w:r>
      <w:r w:rsidRPr="002E07F7">
        <w:rPr>
          <w:i/>
          <w:lang w:val="fr-FR"/>
        </w:rPr>
        <w:t>. Canada</w:t>
      </w:r>
      <w:r w:rsidRPr="002E07F7">
        <w:rPr>
          <w:lang w:val="fr-FR"/>
        </w:rPr>
        <w:t xml:space="preserve"> (24 </w:t>
      </w:r>
      <w:r>
        <w:rPr>
          <w:lang w:val="fr-FR"/>
        </w:rPr>
        <w:t>octob</w:t>
      </w:r>
      <w:r w:rsidRPr="002E07F7">
        <w:rPr>
          <w:lang w:val="fr-FR"/>
        </w:rPr>
        <w:t>r</w:t>
      </w:r>
      <w:r>
        <w:rPr>
          <w:lang w:val="fr-FR"/>
        </w:rPr>
        <w:t>e</w:t>
      </w:r>
      <w:r w:rsidRPr="002E07F7">
        <w:rPr>
          <w:lang w:val="fr-FR"/>
        </w:rPr>
        <w:t xml:space="preserve"> 2005), par. 86</w:t>
      </w:r>
      <w:r>
        <w:rPr>
          <w:lang w:val="fr-FR"/>
        </w:rPr>
        <w:t xml:space="preserve"> et </w:t>
      </w:r>
      <w:r w:rsidRPr="002E07F7">
        <w:rPr>
          <w:lang w:val="fr-FR"/>
        </w:rPr>
        <w:t>87.</w:t>
      </w:r>
    </w:p>
  </w:footnote>
  <w:footnote w:id="36">
    <w:p w:rsidR="001E38A4" w:rsidRPr="00741613" w:rsidRDefault="001E38A4" w:rsidP="002E353E">
      <w:pPr>
        <w:pStyle w:val="FootnoteText"/>
        <w:rPr>
          <w:lang w:val="en-GB"/>
        </w:rPr>
      </w:pPr>
      <w:r>
        <w:rPr>
          <w:lang w:val="fr-FR"/>
        </w:rPr>
        <w:tab/>
      </w:r>
      <w:r>
        <w:rPr>
          <w:rStyle w:val="FootnoteReference"/>
        </w:rPr>
        <w:footnoteRef/>
      </w:r>
      <w:r>
        <w:rPr>
          <w:lang w:val="fr-FR"/>
        </w:rPr>
        <w:tab/>
      </w:r>
      <w:r>
        <w:rPr>
          <w:lang w:val="en-GB"/>
        </w:rPr>
        <w:t>HCR,</w:t>
      </w:r>
      <w:r w:rsidRPr="00741613">
        <w:rPr>
          <w:lang w:val="en-GB"/>
        </w:rPr>
        <w:t xml:space="preserve"> Eligibility Guidelines for Assessing the International Protection Needs of Asylum-Seekers from Somalia, </w:t>
      </w:r>
      <w:r w:rsidR="00E7202D">
        <w:rPr>
          <w:lang w:val="en-GB"/>
        </w:rPr>
        <w:t>op. cit.</w:t>
      </w:r>
      <w:r>
        <w:rPr>
          <w:lang w:val="en-GB"/>
        </w:rPr>
        <w:t>, p</w:t>
      </w:r>
      <w:r w:rsidRPr="00741613">
        <w:rPr>
          <w:lang w:val="en-GB"/>
        </w:rPr>
        <w:t>.</w:t>
      </w:r>
      <w:r>
        <w:rPr>
          <w:lang w:val="en-GB"/>
        </w:rPr>
        <w:t xml:space="preserve"> </w:t>
      </w:r>
      <w:r w:rsidRPr="00741613">
        <w:rPr>
          <w:lang w:val="en-GB"/>
        </w:rPr>
        <w:t>9</w:t>
      </w:r>
      <w:r>
        <w:rPr>
          <w:lang w:val="en-GB"/>
        </w:rPr>
        <w:t xml:space="preserve"> et </w:t>
      </w:r>
      <w:r w:rsidRPr="00741613">
        <w:rPr>
          <w:lang w:val="en-GB"/>
        </w:rPr>
        <w:t>10, 34</w:t>
      </w:r>
      <w:r>
        <w:rPr>
          <w:lang w:val="en-GB"/>
        </w:rPr>
        <w:t xml:space="preserve"> et </w:t>
      </w:r>
      <w:r w:rsidRPr="00741613">
        <w:rPr>
          <w:lang w:val="en-GB"/>
        </w:rPr>
        <w:t>35.</w:t>
      </w:r>
    </w:p>
  </w:footnote>
  <w:footnote w:id="37">
    <w:p w:rsidR="001E38A4" w:rsidRPr="00741613" w:rsidRDefault="001E38A4" w:rsidP="002E353E">
      <w:pPr>
        <w:pStyle w:val="FootnoteText"/>
        <w:rPr>
          <w:lang w:val="en-GB"/>
        </w:rPr>
      </w:pPr>
      <w:r>
        <w:rPr>
          <w:lang w:val="fr-FR"/>
        </w:rPr>
        <w:tab/>
      </w:r>
      <w:r>
        <w:rPr>
          <w:rStyle w:val="FootnoteReference"/>
        </w:rPr>
        <w:footnoteRef/>
      </w:r>
      <w:r>
        <w:rPr>
          <w:lang w:val="fr-FR"/>
        </w:rPr>
        <w:tab/>
      </w:r>
      <w:r>
        <w:rPr>
          <w:lang w:val="en-GB"/>
        </w:rPr>
        <w:t>HCR,</w:t>
      </w:r>
      <w:r w:rsidRPr="00741613">
        <w:rPr>
          <w:lang w:val="en-GB"/>
        </w:rPr>
        <w:t xml:space="preserve"> Eligibility Guidelines for Assessing the International Protection Needs of Asylum-Seekers from Somalia, </w:t>
      </w:r>
      <w:r w:rsidR="00034BFE">
        <w:rPr>
          <w:lang w:val="fr-FR"/>
        </w:rPr>
        <w:t>op. cit.</w:t>
      </w:r>
      <w:r w:rsidRPr="00741613">
        <w:rPr>
          <w:lang w:val="en-GB"/>
        </w:rPr>
        <w:t>, p</w:t>
      </w:r>
      <w:r>
        <w:rPr>
          <w:lang w:val="en-GB"/>
        </w:rPr>
        <w:t>.</w:t>
      </w:r>
      <w:r w:rsidR="00034BFE">
        <w:rPr>
          <w:lang w:val="en-GB"/>
        </w:rPr>
        <w:t xml:space="preserve"> 39</w:t>
      </w:r>
      <w:r w:rsidRPr="00741613">
        <w:rPr>
          <w:lang w:val="en-GB"/>
        </w:rPr>
        <w:t>.</w:t>
      </w:r>
    </w:p>
  </w:footnote>
  <w:footnote w:id="38">
    <w:p w:rsidR="001E38A4" w:rsidRPr="00D759A5" w:rsidRDefault="001E38A4" w:rsidP="002E353E">
      <w:pPr>
        <w:pStyle w:val="FootnoteText"/>
        <w:rPr>
          <w:lang w:val="fr-FR"/>
        </w:rPr>
      </w:pPr>
      <w:r>
        <w:rPr>
          <w:lang w:val="fr-FR"/>
        </w:rPr>
        <w:tab/>
      </w:r>
      <w:r>
        <w:rPr>
          <w:rStyle w:val="FootnoteReference"/>
        </w:rPr>
        <w:footnoteRef/>
      </w:r>
      <w:r>
        <w:rPr>
          <w:lang w:val="fr-FR"/>
        </w:rPr>
        <w:tab/>
        <w:t xml:space="preserve">Voir la communication </w:t>
      </w:r>
      <w:r w:rsidRPr="00830798">
        <w:rPr>
          <w:lang w:val="fr-FR"/>
        </w:rPr>
        <w:t>n</w:t>
      </w:r>
      <w:r w:rsidRPr="00830798">
        <w:rPr>
          <w:vertAlign w:val="superscript"/>
          <w:lang w:val="fr-FR"/>
        </w:rPr>
        <w:t>o</w:t>
      </w:r>
      <w:r>
        <w:rPr>
          <w:lang w:val="fr-FR"/>
        </w:rPr>
        <w:t> </w:t>
      </w:r>
      <w:r w:rsidRPr="00D759A5">
        <w:rPr>
          <w:lang w:val="fr-FR"/>
        </w:rPr>
        <w:t>5</w:t>
      </w:r>
      <w:r>
        <w:rPr>
          <w:lang w:val="fr-FR"/>
        </w:rPr>
        <w:t>83</w:t>
      </w:r>
      <w:r w:rsidRPr="00D759A5">
        <w:rPr>
          <w:lang w:val="fr-FR"/>
        </w:rPr>
        <w:t xml:space="preserve">/1993, </w:t>
      </w:r>
      <w:r w:rsidRPr="00D759A5">
        <w:rPr>
          <w:i/>
          <w:iCs/>
          <w:lang w:val="fr-FR"/>
        </w:rPr>
        <w:t xml:space="preserve">Stewart </w:t>
      </w:r>
      <w:r w:rsidRPr="00381D4B">
        <w:rPr>
          <w:iCs/>
          <w:lang w:val="fr-FR"/>
        </w:rPr>
        <w:t>c.</w:t>
      </w:r>
      <w:r w:rsidRPr="00D759A5">
        <w:rPr>
          <w:i/>
          <w:iCs/>
          <w:lang w:val="fr-FR"/>
        </w:rPr>
        <w:t xml:space="preserve"> Canada</w:t>
      </w:r>
      <w:r w:rsidRPr="00D759A5">
        <w:rPr>
          <w:lang w:val="fr-FR"/>
        </w:rPr>
        <w:t>, constatations adoptées le 1</w:t>
      </w:r>
      <w:r w:rsidRPr="00830798">
        <w:rPr>
          <w:vertAlign w:val="superscript"/>
          <w:lang w:val="fr-FR"/>
        </w:rPr>
        <w:t xml:space="preserve">er </w:t>
      </w:r>
      <w:r>
        <w:rPr>
          <w:vertAlign w:val="superscript"/>
          <w:lang w:val="fr-FR"/>
        </w:rPr>
        <w:t xml:space="preserve"> </w:t>
      </w:r>
      <w:r>
        <w:rPr>
          <w:lang w:val="fr-FR"/>
        </w:rPr>
        <w:t xml:space="preserve">novembre </w:t>
      </w:r>
      <w:r w:rsidRPr="00D759A5">
        <w:rPr>
          <w:lang w:val="fr-FR"/>
        </w:rPr>
        <w:t xml:space="preserve">1996, par. 12.6. </w:t>
      </w:r>
    </w:p>
  </w:footnote>
  <w:footnote w:id="39">
    <w:p w:rsidR="001E38A4" w:rsidRPr="00835530" w:rsidRDefault="001E38A4" w:rsidP="002E353E">
      <w:pPr>
        <w:pStyle w:val="FootnoteText"/>
        <w:rPr>
          <w:szCs w:val="18"/>
          <w:lang w:val="fr-FR"/>
        </w:rPr>
      </w:pPr>
      <w:r>
        <w:rPr>
          <w:lang w:val="fr-FR"/>
        </w:rPr>
        <w:tab/>
      </w:r>
      <w:r>
        <w:rPr>
          <w:rStyle w:val="FootnoteReference"/>
        </w:rPr>
        <w:footnoteRef/>
      </w:r>
      <w:r>
        <w:rPr>
          <w:lang w:val="fr-FR"/>
        </w:rPr>
        <w:tab/>
      </w:r>
      <w:r w:rsidRPr="00835530">
        <w:rPr>
          <w:szCs w:val="18"/>
          <w:lang w:val="fr-FR"/>
        </w:rPr>
        <w:t xml:space="preserve">Voir </w:t>
      </w:r>
      <w:r>
        <w:rPr>
          <w:szCs w:val="18"/>
          <w:lang w:val="fr-FR"/>
        </w:rPr>
        <w:t>les</w:t>
      </w:r>
      <w:r w:rsidRPr="00835530">
        <w:rPr>
          <w:szCs w:val="18"/>
          <w:lang w:val="fr-FR"/>
        </w:rPr>
        <w:t xml:space="preserve"> communication</w:t>
      </w:r>
      <w:r>
        <w:rPr>
          <w:szCs w:val="18"/>
          <w:lang w:val="fr-FR"/>
        </w:rPr>
        <w:t xml:space="preserve">s </w:t>
      </w:r>
      <w:r w:rsidRPr="00830798">
        <w:rPr>
          <w:szCs w:val="18"/>
          <w:lang w:val="fr-FR"/>
        </w:rPr>
        <w:t>n</w:t>
      </w:r>
      <w:r w:rsidRPr="00830798">
        <w:rPr>
          <w:szCs w:val="18"/>
          <w:vertAlign w:val="superscript"/>
          <w:lang w:val="fr-FR"/>
        </w:rPr>
        <w:t>o</w:t>
      </w:r>
      <w:r>
        <w:rPr>
          <w:szCs w:val="18"/>
          <w:lang w:val="fr-FR"/>
        </w:rPr>
        <w:t> </w:t>
      </w:r>
      <w:r w:rsidRPr="00835530">
        <w:rPr>
          <w:szCs w:val="18"/>
          <w:lang w:val="fr-FR"/>
        </w:rPr>
        <w:t>1003/2001,</w:t>
      </w:r>
      <w:r w:rsidRPr="00835530">
        <w:rPr>
          <w:i/>
          <w:iCs/>
          <w:szCs w:val="18"/>
          <w:lang w:val="fr-FR"/>
        </w:rPr>
        <w:t xml:space="preserve"> P.</w:t>
      </w:r>
      <w:r>
        <w:rPr>
          <w:i/>
          <w:iCs/>
          <w:szCs w:val="18"/>
          <w:lang w:val="fr-FR"/>
        </w:rPr>
        <w:t xml:space="preserve"> </w:t>
      </w:r>
      <w:r w:rsidRPr="00835530">
        <w:rPr>
          <w:i/>
          <w:iCs/>
          <w:szCs w:val="18"/>
          <w:lang w:val="fr-FR"/>
        </w:rPr>
        <w:t xml:space="preserve">L. </w:t>
      </w:r>
      <w:r w:rsidRPr="00830798">
        <w:rPr>
          <w:iCs/>
          <w:szCs w:val="18"/>
          <w:lang w:val="fr-FR"/>
        </w:rPr>
        <w:t>c</w:t>
      </w:r>
      <w:r w:rsidRPr="00835530">
        <w:rPr>
          <w:i/>
          <w:iCs/>
          <w:szCs w:val="18"/>
          <w:lang w:val="fr-FR"/>
        </w:rPr>
        <w:t>. Allemagne</w:t>
      </w:r>
      <w:r w:rsidRPr="00835530">
        <w:rPr>
          <w:szCs w:val="18"/>
          <w:lang w:val="fr-FR"/>
        </w:rPr>
        <w:t>, décision d</w:t>
      </w:r>
      <w:r>
        <w:rPr>
          <w:szCs w:val="18"/>
          <w:lang w:val="fr-FR"/>
        </w:rPr>
        <w:t>’</w:t>
      </w:r>
      <w:r w:rsidRPr="00835530">
        <w:rPr>
          <w:szCs w:val="18"/>
          <w:lang w:val="fr-FR"/>
        </w:rPr>
        <w:t xml:space="preserve">irrecevabilité adoptée le </w:t>
      </w:r>
      <w:r>
        <w:rPr>
          <w:szCs w:val="18"/>
          <w:lang w:val="fr-FR"/>
        </w:rPr>
        <w:t xml:space="preserve">22 octobre 2003, par. 6.5; </w:t>
      </w:r>
      <w:r w:rsidRPr="00830798">
        <w:rPr>
          <w:szCs w:val="18"/>
          <w:lang w:val="fr-FR"/>
        </w:rPr>
        <w:t>n</w:t>
      </w:r>
      <w:r w:rsidRPr="00830798">
        <w:rPr>
          <w:szCs w:val="18"/>
          <w:vertAlign w:val="superscript"/>
          <w:lang w:val="fr-FR"/>
        </w:rPr>
        <w:t>o</w:t>
      </w:r>
      <w:r>
        <w:rPr>
          <w:szCs w:val="18"/>
          <w:lang w:val="fr-FR"/>
        </w:rPr>
        <w:t> </w:t>
      </w:r>
      <w:r w:rsidRPr="00835530">
        <w:rPr>
          <w:szCs w:val="18"/>
          <w:lang w:val="fr-FR"/>
        </w:rPr>
        <w:t xml:space="preserve">433/1990, </w:t>
      </w:r>
      <w:r w:rsidRPr="00835530">
        <w:rPr>
          <w:i/>
          <w:iCs/>
          <w:szCs w:val="18"/>
          <w:lang w:val="fr-FR"/>
        </w:rPr>
        <w:t>A.</w:t>
      </w:r>
      <w:r>
        <w:rPr>
          <w:i/>
          <w:iCs/>
          <w:szCs w:val="18"/>
          <w:lang w:val="fr-FR"/>
        </w:rPr>
        <w:t xml:space="preserve"> </w:t>
      </w:r>
      <w:r w:rsidRPr="00835530">
        <w:rPr>
          <w:i/>
          <w:iCs/>
          <w:szCs w:val="18"/>
          <w:lang w:val="fr-FR"/>
        </w:rPr>
        <w:t>P.</w:t>
      </w:r>
      <w:r>
        <w:rPr>
          <w:i/>
          <w:iCs/>
          <w:szCs w:val="18"/>
          <w:lang w:val="fr-FR"/>
        </w:rPr>
        <w:t xml:space="preserve"> </w:t>
      </w:r>
      <w:r w:rsidRPr="00835530">
        <w:rPr>
          <w:i/>
          <w:iCs/>
          <w:szCs w:val="18"/>
          <w:lang w:val="fr-FR"/>
        </w:rPr>
        <w:t xml:space="preserve">A. </w:t>
      </w:r>
      <w:r w:rsidRPr="00830798">
        <w:rPr>
          <w:iCs/>
          <w:szCs w:val="18"/>
          <w:lang w:val="fr-FR"/>
        </w:rPr>
        <w:t>c</w:t>
      </w:r>
      <w:r w:rsidRPr="00835530">
        <w:rPr>
          <w:i/>
          <w:iCs/>
          <w:szCs w:val="18"/>
          <w:lang w:val="fr-FR"/>
        </w:rPr>
        <w:t xml:space="preserve">. </w:t>
      </w:r>
      <w:r>
        <w:rPr>
          <w:i/>
          <w:iCs/>
          <w:szCs w:val="18"/>
          <w:lang w:val="fr-FR"/>
        </w:rPr>
        <w:t>Espagne</w:t>
      </w:r>
      <w:r w:rsidRPr="00835530">
        <w:rPr>
          <w:szCs w:val="18"/>
          <w:lang w:val="fr-FR"/>
        </w:rPr>
        <w:t>, décision d</w:t>
      </w:r>
      <w:r>
        <w:rPr>
          <w:szCs w:val="18"/>
          <w:lang w:val="fr-FR"/>
        </w:rPr>
        <w:t>’</w:t>
      </w:r>
      <w:r w:rsidRPr="00835530">
        <w:rPr>
          <w:szCs w:val="18"/>
          <w:lang w:val="fr-FR"/>
        </w:rPr>
        <w:t>irrecevabilité adoptée le 25</w:t>
      </w:r>
      <w:r>
        <w:rPr>
          <w:szCs w:val="18"/>
          <w:lang w:val="fr-FR"/>
        </w:rPr>
        <w:t xml:space="preserve"> mars </w:t>
      </w:r>
      <w:r w:rsidRPr="00835530">
        <w:rPr>
          <w:szCs w:val="18"/>
          <w:lang w:val="fr-FR"/>
        </w:rPr>
        <w:t>1994, par. 6.2.</w:t>
      </w:r>
    </w:p>
  </w:footnote>
  <w:footnote w:id="40">
    <w:p w:rsidR="001E38A4" w:rsidRPr="00546308" w:rsidRDefault="001E38A4" w:rsidP="002E353E">
      <w:pPr>
        <w:pStyle w:val="FootnoteText"/>
        <w:rPr>
          <w:lang w:val="fr-FR"/>
        </w:rPr>
      </w:pPr>
      <w:r>
        <w:rPr>
          <w:lang w:val="fr-FR"/>
        </w:rPr>
        <w:tab/>
      </w:r>
      <w:r w:rsidRPr="009C2F89">
        <w:rPr>
          <w:rStyle w:val="FootnoteReference"/>
        </w:rPr>
        <w:footnoteRef/>
      </w:r>
      <w:r>
        <w:rPr>
          <w:lang w:val="fr-FR"/>
        </w:rPr>
        <w:tab/>
        <w:t xml:space="preserve">Voir les communications </w:t>
      </w:r>
      <w:r w:rsidRPr="00D15963">
        <w:rPr>
          <w:lang w:val="fr-FR"/>
        </w:rPr>
        <w:t>n</w:t>
      </w:r>
      <w:r w:rsidRPr="00D15963">
        <w:rPr>
          <w:vertAlign w:val="superscript"/>
          <w:lang w:val="fr-FR"/>
        </w:rPr>
        <w:t>o</w:t>
      </w:r>
      <w:r>
        <w:rPr>
          <w:lang w:val="fr-FR"/>
        </w:rPr>
        <w:t> </w:t>
      </w:r>
      <w:r w:rsidRPr="00546308">
        <w:rPr>
          <w:lang w:val="fr-FR"/>
        </w:rPr>
        <w:t xml:space="preserve">397/1990, </w:t>
      </w:r>
      <w:r w:rsidRPr="00546308">
        <w:rPr>
          <w:i/>
          <w:lang w:val="fr-FR"/>
        </w:rPr>
        <w:t>P</w:t>
      </w:r>
      <w:r>
        <w:rPr>
          <w:i/>
          <w:lang w:val="fr-FR"/>
        </w:rPr>
        <w:t xml:space="preserve">. </w:t>
      </w:r>
      <w:r w:rsidRPr="00546308">
        <w:rPr>
          <w:i/>
          <w:lang w:val="fr-FR"/>
        </w:rPr>
        <w:t xml:space="preserve">S. </w:t>
      </w:r>
      <w:r w:rsidRPr="00D15963">
        <w:rPr>
          <w:lang w:val="fr-FR"/>
        </w:rPr>
        <w:t>c</w:t>
      </w:r>
      <w:r w:rsidRPr="00546308">
        <w:rPr>
          <w:i/>
          <w:lang w:val="fr-FR"/>
        </w:rPr>
        <w:t>. D</w:t>
      </w:r>
      <w:r>
        <w:rPr>
          <w:i/>
          <w:lang w:val="fr-FR"/>
        </w:rPr>
        <w:t>a</w:t>
      </w:r>
      <w:r w:rsidRPr="00546308">
        <w:rPr>
          <w:i/>
          <w:lang w:val="fr-FR"/>
        </w:rPr>
        <w:t>n</w:t>
      </w:r>
      <w:r>
        <w:rPr>
          <w:i/>
          <w:lang w:val="fr-FR"/>
        </w:rPr>
        <w:t>e</w:t>
      </w:r>
      <w:r w:rsidRPr="00546308">
        <w:rPr>
          <w:i/>
          <w:lang w:val="fr-FR"/>
        </w:rPr>
        <w:t>mark</w:t>
      </w:r>
      <w:r w:rsidRPr="00546308">
        <w:rPr>
          <w:lang w:val="fr-FR"/>
        </w:rPr>
        <w:t>, décision d</w:t>
      </w:r>
      <w:r>
        <w:rPr>
          <w:lang w:val="fr-FR"/>
        </w:rPr>
        <w:t>’</w:t>
      </w:r>
      <w:r w:rsidRPr="00546308">
        <w:rPr>
          <w:lang w:val="fr-FR"/>
        </w:rPr>
        <w:t xml:space="preserve">irrecevabilité adoptée le 22 juillet 1992, par. 5.4; </w:t>
      </w:r>
      <w:r w:rsidRPr="00D15963">
        <w:rPr>
          <w:lang w:val="fr-FR"/>
        </w:rPr>
        <w:t>n</w:t>
      </w:r>
      <w:r w:rsidRPr="00D15963">
        <w:rPr>
          <w:vertAlign w:val="superscript"/>
          <w:lang w:val="fr-FR"/>
        </w:rPr>
        <w:t>o</w:t>
      </w:r>
      <w:r>
        <w:rPr>
          <w:lang w:val="fr-FR"/>
        </w:rPr>
        <w:t> </w:t>
      </w:r>
      <w:r w:rsidRPr="00546308">
        <w:rPr>
          <w:lang w:val="fr-FR"/>
        </w:rPr>
        <w:t xml:space="preserve">420/1990, </w:t>
      </w:r>
      <w:r w:rsidRPr="00546308">
        <w:rPr>
          <w:i/>
          <w:iCs/>
          <w:lang w:val="fr-FR"/>
        </w:rPr>
        <w:t>G.</w:t>
      </w:r>
      <w:r>
        <w:rPr>
          <w:i/>
          <w:iCs/>
          <w:lang w:val="fr-FR"/>
        </w:rPr>
        <w:t xml:space="preserve"> </w:t>
      </w:r>
      <w:r w:rsidRPr="00546308">
        <w:rPr>
          <w:i/>
          <w:iCs/>
          <w:lang w:val="fr-FR"/>
        </w:rPr>
        <w:t xml:space="preserve">T. </w:t>
      </w:r>
      <w:r w:rsidRPr="00D15963">
        <w:rPr>
          <w:iCs/>
          <w:lang w:val="fr-FR"/>
        </w:rPr>
        <w:t>c</w:t>
      </w:r>
      <w:r w:rsidRPr="00546308">
        <w:rPr>
          <w:i/>
          <w:iCs/>
          <w:lang w:val="fr-FR"/>
        </w:rPr>
        <w:t>. Canada</w:t>
      </w:r>
      <w:r w:rsidRPr="00546308">
        <w:rPr>
          <w:lang w:val="fr-FR"/>
        </w:rPr>
        <w:t>, décision d</w:t>
      </w:r>
      <w:r>
        <w:rPr>
          <w:lang w:val="fr-FR"/>
        </w:rPr>
        <w:t>’</w:t>
      </w:r>
      <w:r w:rsidRPr="00546308">
        <w:rPr>
          <w:lang w:val="fr-FR"/>
        </w:rPr>
        <w:t xml:space="preserve">irrecevabilité adoptée le 23 </w:t>
      </w:r>
      <w:r>
        <w:rPr>
          <w:lang w:val="fr-FR"/>
        </w:rPr>
        <w:t>octobre</w:t>
      </w:r>
      <w:r w:rsidRPr="00546308">
        <w:rPr>
          <w:lang w:val="fr-FR"/>
        </w:rPr>
        <w:t xml:space="preserve"> 1992, par. 6.3; </w:t>
      </w:r>
      <w:r w:rsidRPr="00D15963">
        <w:rPr>
          <w:lang w:val="fr-FR"/>
        </w:rPr>
        <w:t>n</w:t>
      </w:r>
      <w:r w:rsidRPr="00D15963">
        <w:rPr>
          <w:vertAlign w:val="superscript"/>
          <w:lang w:val="fr-FR"/>
        </w:rPr>
        <w:t>o</w:t>
      </w:r>
      <w:r>
        <w:rPr>
          <w:lang w:val="fr-FR"/>
        </w:rPr>
        <w:t> </w:t>
      </w:r>
      <w:r w:rsidRPr="00546308">
        <w:rPr>
          <w:lang w:val="fr-FR"/>
        </w:rPr>
        <w:t xml:space="preserve">550/1993, </w:t>
      </w:r>
      <w:r w:rsidRPr="00546308">
        <w:rPr>
          <w:i/>
          <w:iCs/>
          <w:lang w:val="fr-FR"/>
        </w:rPr>
        <w:t xml:space="preserve">Faurisson </w:t>
      </w:r>
      <w:r w:rsidRPr="00D15963">
        <w:rPr>
          <w:iCs/>
          <w:lang w:val="fr-FR"/>
        </w:rPr>
        <w:t>c</w:t>
      </w:r>
      <w:r w:rsidRPr="00546308">
        <w:rPr>
          <w:i/>
          <w:iCs/>
          <w:lang w:val="fr-FR"/>
        </w:rPr>
        <w:t>. France</w:t>
      </w:r>
      <w:r>
        <w:rPr>
          <w:lang w:val="fr-FR"/>
        </w:rPr>
        <w:t xml:space="preserve">, constatations adoptées le </w:t>
      </w:r>
      <w:r w:rsidRPr="00546308">
        <w:rPr>
          <w:lang w:val="fr-FR"/>
        </w:rPr>
        <w:t xml:space="preserve">8 </w:t>
      </w:r>
      <w:r>
        <w:rPr>
          <w:lang w:val="fr-FR"/>
        </w:rPr>
        <w:t xml:space="preserve">novembre </w:t>
      </w:r>
      <w:r w:rsidRPr="00546308">
        <w:rPr>
          <w:lang w:val="fr-FR"/>
        </w:rPr>
        <w:t>1996, par.</w:t>
      </w:r>
      <w:r>
        <w:rPr>
          <w:lang w:val="fr-FR"/>
        </w:rPr>
        <w:t> </w:t>
      </w:r>
      <w:r w:rsidRPr="00546308">
        <w:rPr>
          <w:lang w:val="fr-FR"/>
        </w:rPr>
        <w:t>6.1</w:t>
      </w:r>
      <w:r>
        <w:rPr>
          <w:lang w:val="fr-FR"/>
        </w:rPr>
        <w:t>.</w:t>
      </w:r>
    </w:p>
  </w:footnote>
  <w:footnote w:id="41">
    <w:p w:rsidR="001E38A4" w:rsidRDefault="001E38A4" w:rsidP="002E353E">
      <w:pPr>
        <w:pStyle w:val="FootnoteText"/>
      </w:pPr>
      <w:r>
        <w:tab/>
      </w:r>
      <w:r w:rsidRPr="009C2F89">
        <w:rPr>
          <w:rStyle w:val="FootnoteReference"/>
        </w:rPr>
        <w:footnoteRef/>
      </w:r>
      <w:r>
        <w:tab/>
        <w:t xml:space="preserve">Voir l’Observation générale </w:t>
      </w:r>
      <w:r>
        <w:rPr>
          <w:rFonts w:eastAsia="MS Mincho"/>
        </w:rPr>
        <w:t>n</w:t>
      </w:r>
      <w:r>
        <w:rPr>
          <w:rFonts w:eastAsia="MS Mincho"/>
          <w:vertAlign w:val="superscript"/>
        </w:rPr>
        <w:t>o</w:t>
      </w:r>
      <w:r>
        <w:t> 31, La nature de l’obligation juridique générale imposée aux États parties au Pacte, CCPR/C/21/Rev.1/Add.13, 29 mars 2004, par. 12.</w:t>
      </w:r>
    </w:p>
  </w:footnote>
  <w:footnote w:id="42">
    <w:p w:rsidR="001E38A4" w:rsidRPr="004D3876" w:rsidRDefault="001E38A4" w:rsidP="002E353E">
      <w:pPr>
        <w:pStyle w:val="FootnoteText"/>
      </w:pPr>
      <w:r>
        <w:tab/>
      </w:r>
      <w:r w:rsidRPr="009C2F89">
        <w:rPr>
          <w:rStyle w:val="FootnoteReference"/>
        </w:rPr>
        <w:footnoteRef/>
      </w:r>
      <w:r>
        <w:tab/>
        <w:t xml:space="preserve">Voir l’Observation générale </w:t>
      </w:r>
      <w:r>
        <w:rPr>
          <w:rFonts w:eastAsia="MS Mincho"/>
        </w:rPr>
        <w:t>n</w:t>
      </w:r>
      <w:r>
        <w:rPr>
          <w:rFonts w:eastAsia="MS Mincho"/>
          <w:vertAlign w:val="superscript"/>
        </w:rPr>
        <w:t>o</w:t>
      </w:r>
      <w:r>
        <w:t> 27 sur la liberté de circulation, 2 novembre 1999, CCPR/C/21/Add.9, par. 20.</w:t>
      </w:r>
    </w:p>
  </w:footnote>
  <w:footnote w:id="43">
    <w:p w:rsidR="001E38A4" w:rsidRDefault="001E38A4" w:rsidP="002E353E">
      <w:pPr>
        <w:pStyle w:val="FootnoteText"/>
      </w:pPr>
      <w:r>
        <w:tab/>
      </w:r>
      <w:r w:rsidRPr="009C2F89">
        <w:rPr>
          <w:rStyle w:val="FootnoteReference"/>
        </w:rPr>
        <w:footnoteRef/>
      </w:r>
      <w:r>
        <w:tab/>
        <w:t xml:space="preserve">Communication </w:t>
      </w:r>
      <w:r>
        <w:rPr>
          <w:rFonts w:eastAsia="MS Mincho"/>
        </w:rPr>
        <w:t>n</w:t>
      </w:r>
      <w:r>
        <w:rPr>
          <w:rFonts w:eastAsia="MS Mincho"/>
          <w:vertAlign w:val="superscript"/>
        </w:rPr>
        <w:t>o</w:t>
      </w:r>
      <w:r>
        <w:t> 538/1993, S</w:t>
      </w:r>
      <w:r>
        <w:rPr>
          <w:i/>
        </w:rPr>
        <w:t xml:space="preserve">tewart </w:t>
      </w:r>
      <w:r>
        <w:t xml:space="preserve">c. </w:t>
      </w:r>
      <w:r w:rsidRPr="004D3876">
        <w:rPr>
          <w:rFonts w:eastAsia="MS Mincho"/>
          <w:i/>
        </w:rPr>
        <w:t>Canada</w:t>
      </w:r>
      <w:r>
        <w:t>, constatations adoptées le 1</w:t>
      </w:r>
      <w:r w:rsidRPr="00B80C64">
        <w:rPr>
          <w:vertAlign w:val="superscript"/>
        </w:rPr>
        <w:t>er</w:t>
      </w:r>
      <w:r>
        <w:t> novembre 1996, par. 6.</w:t>
      </w:r>
    </w:p>
  </w:footnote>
  <w:footnote w:id="44">
    <w:p w:rsidR="001E38A4" w:rsidRDefault="001E38A4" w:rsidP="002E353E">
      <w:pPr>
        <w:pStyle w:val="FootnoteText"/>
      </w:pPr>
      <w:r>
        <w:tab/>
      </w:r>
      <w:r w:rsidRPr="009C2F89">
        <w:rPr>
          <w:rStyle w:val="FootnoteReference"/>
        </w:rPr>
        <w:footnoteRef/>
      </w:r>
      <w:r>
        <w:tab/>
        <w:t xml:space="preserve">Voir l’Observation générale </w:t>
      </w:r>
      <w:r>
        <w:rPr>
          <w:rFonts w:eastAsia="MS Mincho"/>
        </w:rPr>
        <w:t>n</w:t>
      </w:r>
      <w:r>
        <w:rPr>
          <w:rFonts w:eastAsia="MS Mincho"/>
          <w:vertAlign w:val="superscript"/>
        </w:rPr>
        <w:t>o</w:t>
      </w:r>
      <w:r>
        <w:t xml:space="preserve"> 27 sur la liberté de circulation, CCPR/C/21/Rev.1/Add.9, 2 novembre 1999, par. 21.</w:t>
      </w:r>
    </w:p>
  </w:footnote>
  <w:footnote w:id="45">
    <w:p w:rsidR="00FE0408" w:rsidRDefault="00FE0408" w:rsidP="00FE0408">
      <w:pPr>
        <w:pStyle w:val="FootnoteText"/>
      </w:pPr>
      <w:r>
        <w:tab/>
      </w:r>
      <w:r>
        <w:rPr>
          <w:rStyle w:val="FootnoteReference"/>
        </w:rPr>
        <w:footnoteRef/>
      </w:r>
      <w:r>
        <w:tab/>
      </w:r>
      <w:r w:rsidRPr="000F53BB">
        <w:rPr>
          <w:szCs w:val="18"/>
          <w:lang w:val="fr-FR"/>
        </w:rPr>
        <w:t xml:space="preserve">Voir, par exemple, les communications </w:t>
      </w:r>
      <w:r w:rsidRPr="00761C67">
        <w:rPr>
          <w:szCs w:val="18"/>
          <w:lang w:val="fr-FR"/>
        </w:rPr>
        <w:t>n</w:t>
      </w:r>
      <w:r w:rsidRPr="00761C67">
        <w:rPr>
          <w:szCs w:val="18"/>
          <w:vertAlign w:val="superscript"/>
          <w:lang w:val="fr-FR"/>
        </w:rPr>
        <w:t>o</w:t>
      </w:r>
      <w:r>
        <w:rPr>
          <w:szCs w:val="18"/>
          <w:lang w:val="fr-FR"/>
        </w:rPr>
        <w:t> </w:t>
      </w:r>
      <w:r w:rsidRPr="000F53BB">
        <w:rPr>
          <w:szCs w:val="18"/>
          <w:lang w:val="fr-FR"/>
        </w:rPr>
        <w:t xml:space="preserve">930/2000, </w:t>
      </w:r>
      <w:r w:rsidRPr="000F53BB">
        <w:rPr>
          <w:i/>
          <w:iCs/>
          <w:szCs w:val="18"/>
          <w:lang w:val="fr-FR"/>
        </w:rPr>
        <w:t xml:space="preserve">Winata </w:t>
      </w:r>
      <w:r w:rsidRPr="00D15963">
        <w:rPr>
          <w:iCs/>
          <w:szCs w:val="18"/>
          <w:lang w:val="fr-FR"/>
        </w:rPr>
        <w:t>c.</w:t>
      </w:r>
      <w:r w:rsidRPr="000F53BB">
        <w:rPr>
          <w:i/>
          <w:iCs/>
          <w:szCs w:val="18"/>
          <w:lang w:val="fr-FR"/>
        </w:rPr>
        <w:t xml:space="preserve"> Australie</w:t>
      </w:r>
      <w:r w:rsidRPr="000F53BB">
        <w:rPr>
          <w:szCs w:val="18"/>
          <w:lang w:val="fr-FR"/>
        </w:rPr>
        <w:t>, constatations adoptées le 26</w:t>
      </w:r>
      <w:r>
        <w:rPr>
          <w:szCs w:val="18"/>
          <w:lang w:val="fr-FR"/>
        </w:rPr>
        <w:t> </w:t>
      </w:r>
      <w:r w:rsidRPr="000F53BB">
        <w:rPr>
          <w:szCs w:val="18"/>
          <w:lang w:val="fr-FR"/>
        </w:rPr>
        <w:t xml:space="preserve">juillet 2001, </w:t>
      </w:r>
      <w:r>
        <w:rPr>
          <w:szCs w:val="18"/>
          <w:lang w:val="fr-FR"/>
        </w:rPr>
        <w:t>par. </w:t>
      </w:r>
      <w:r w:rsidRPr="000F53BB">
        <w:rPr>
          <w:szCs w:val="18"/>
          <w:lang w:val="fr-FR"/>
        </w:rPr>
        <w:t xml:space="preserve">7.1; </w:t>
      </w:r>
      <w:r w:rsidRPr="00D15963">
        <w:rPr>
          <w:szCs w:val="18"/>
          <w:lang w:val="fr-FR"/>
        </w:rPr>
        <w:t>n</w:t>
      </w:r>
      <w:r w:rsidRPr="00D15963">
        <w:rPr>
          <w:szCs w:val="18"/>
          <w:vertAlign w:val="superscript"/>
          <w:lang w:val="fr-FR"/>
        </w:rPr>
        <w:t>o</w:t>
      </w:r>
      <w:r>
        <w:rPr>
          <w:szCs w:val="18"/>
          <w:lang w:val="fr-FR"/>
        </w:rPr>
        <w:t> </w:t>
      </w:r>
      <w:r w:rsidRPr="000F53BB">
        <w:rPr>
          <w:szCs w:val="18"/>
          <w:lang w:val="fr-FR"/>
        </w:rPr>
        <w:t xml:space="preserve">1011/2001, </w:t>
      </w:r>
      <w:r w:rsidRPr="000F53BB">
        <w:rPr>
          <w:i/>
          <w:iCs/>
          <w:szCs w:val="18"/>
          <w:lang w:val="fr-FR"/>
        </w:rPr>
        <w:t xml:space="preserve">Madafferi </w:t>
      </w:r>
      <w:r w:rsidRPr="00D15963">
        <w:rPr>
          <w:iCs/>
          <w:szCs w:val="18"/>
          <w:lang w:val="fr-FR"/>
        </w:rPr>
        <w:t xml:space="preserve">c. </w:t>
      </w:r>
      <w:r w:rsidRPr="000F53BB">
        <w:rPr>
          <w:i/>
          <w:iCs/>
          <w:szCs w:val="18"/>
          <w:lang w:val="fr-FR"/>
        </w:rPr>
        <w:t>Australie</w:t>
      </w:r>
      <w:r w:rsidRPr="000F53BB">
        <w:rPr>
          <w:szCs w:val="18"/>
          <w:lang w:val="fr-FR"/>
        </w:rPr>
        <w:t xml:space="preserve">, constatations adoptées le </w:t>
      </w:r>
      <w:r>
        <w:rPr>
          <w:szCs w:val="18"/>
          <w:lang w:val="fr-FR"/>
        </w:rPr>
        <w:t>26 juillet</w:t>
      </w:r>
      <w:r w:rsidRPr="000F53BB">
        <w:rPr>
          <w:szCs w:val="18"/>
          <w:lang w:val="fr-FR"/>
        </w:rPr>
        <w:t xml:space="preserve"> 2004, par</w:t>
      </w:r>
      <w:r>
        <w:rPr>
          <w:szCs w:val="18"/>
          <w:lang w:val="fr-FR"/>
        </w:rPr>
        <w:t xml:space="preserve">. </w:t>
      </w:r>
      <w:r w:rsidRPr="000F53BB">
        <w:rPr>
          <w:szCs w:val="18"/>
          <w:lang w:val="fr-FR"/>
        </w:rPr>
        <w:t xml:space="preserve">9.7; </w:t>
      </w:r>
      <w:r w:rsidRPr="00D15963">
        <w:rPr>
          <w:szCs w:val="18"/>
          <w:lang w:val="fr-FR"/>
        </w:rPr>
        <w:t>n</w:t>
      </w:r>
      <w:r w:rsidRPr="00D15963">
        <w:rPr>
          <w:szCs w:val="18"/>
          <w:vertAlign w:val="superscript"/>
          <w:lang w:val="fr-FR"/>
        </w:rPr>
        <w:t>o</w:t>
      </w:r>
      <w:r>
        <w:rPr>
          <w:szCs w:val="18"/>
          <w:lang w:val="fr-FR"/>
        </w:rPr>
        <w:t> </w:t>
      </w:r>
      <w:r w:rsidRPr="000F53BB">
        <w:rPr>
          <w:szCs w:val="18"/>
          <w:lang w:val="fr-FR"/>
        </w:rPr>
        <w:t xml:space="preserve">1222/2003, </w:t>
      </w:r>
      <w:r>
        <w:rPr>
          <w:i/>
          <w:iCs/>
          <w:szCs w:val="18"/>
          <w:lang w:val="fr-FR"/>
        </w:rPr>
        <w:t xml:space="preserve">Byahuranga </w:t>
      </w:r>
      <w:r w:rsidRPr="00D15963">
        <w:rPr>
          <w:iCs/>
          <w:szCs w:val="18"/>
          <w:lang w:val="fr-FR"/>
        </w:rPr>
        <w:t>c.</w:t>
      </w:r>
      <w:r>
        <w:rPr>
          <w:i/>
          <w:iCs/>
          <w:szCs w:val="18"/>
          <w:lang w:val="fr-FR"/>
        </w:rPr>
        <w:t xml:space="preserve"> Dane</w:t>
      </w:r>
      <w:r w:rsidRPr="000F53BB">
        <w:rPr>
          <w:i/>
          <w:iCs/>
          <w:szCs w:val="18"/>
          <w:lang w:val="fr-FR"/>
        </w:rPr>
        <w:t>mark</w:t>
      </w:r>
      <w:r w:rsidRPr="000F53BB">
        <w:rPr>
          <w:szCs w:val="18"/>
          <w:lang w:val="fr-FR"/>
        </w:rPr>
        <w:t>, constatations adoptées le 1</w:t>
      </w:r>
      <w:r w:rsidRPr="000F53BB">
        <w:rPr>
          <w:szCs w:val="18"/>
          <w:vertAlign w:val="superscript"/>
          <w:lang w:val="fr-FR"/>
        </w:rPr>
        <w:t>er</w:t>
      </w:r>
      <w:r>
        <w:rPr>
          <w:szCs w:val="18"/>
          <w:lang w:val="fr-FR"/>
        </w:rPr>
        <w:t xml:space="preserve"> novembre</w:t>
      </w:r>
      <w:r w:rsidRPr="000F53BB">
        <w:rPr>
          <w:szCs w:val="18"/>
          <w:lang w:val="fr-FR"/>
        </w:rPr>
        <w:t xml:space="preserve"> 2004, par</w:t>
      </w:r>
      <w:r>
        <w:rPr>
          <w:szCs w:val="18"/>
          <w:lang w:val="fr-FR"/>
        </w:rPr>
        <w:t>.</w:t>
      </w:r>
      <w:r w:rsidRPr="000F53BB">
        <w:rPr>
          <w:szCs w:val="18"/>
          <w:lang w:val="fr-FR"/>
        </w:rPr>
        <w:t xml:space="preserve"> 11.5; </w:t>
      </w:r>
      <w:r w:rsidRPr="00D15963">
        <w:rPr>
          <w:szCs w:val="18"/>
          <w:lang w:val="fr-FR"/>
        </w:rPr>
        <w:t>n</w:t>
      </w:r>
      <w:r w:rsidRPr="00D15963">
        <w:rPr>
          <w:szCs w:val="18"/>
          <w:vertAlign w:val="superscript"/>
          <w:lang w:val="fr-FR"/>
        </w:rPr>
        <w:t>o</w:t>
      </w:r>
      <w:r>
        <w:rPr>
          <w:szCs w:val="18"/>
          <w:lang w:val="fr-FR"/>
        </w:rPr>
        <w:t> </w:t>
      </w:r>
      <w:r w:rsidRPr="000F53BB">
        <w:rPr>
          <w:lang w:val="fr-FR"/>
        </w:rPr>
        <w:t xml:space="preserve">1792/2008, </w:t>
      </w:r>
      <w:r w:rsidRPr="000F53BB">
        <w:rPr>
          <w:i/>
          <w:iCs/>
          <w:lang w:val="fr-FR"/>
        </w:rPr>
        <w:t xml:space="preserve">Dauphin </w:t>
      </w:r>
      <w:r w:rsidRPr="00D15963">
        <w:rPr>
          <w:iCs/>
          <w:lang w:val="fr-FR"/>
        </w:rPr>
        <w:t>c.</w:t>
      </w:r>
      <w:r w:rsidRPr="000F53BB">
        <w:rPr>
          <w:i/>
          <w:iCs/>
          <w:lang w:val="fr-FR"/>
        </w:rPr>
        <w:t xml:space="preserve"> Canada</w:t>
      </w:r>
      <w:r w:rsidRPr="000F53BB">
        <w:rPr>
          <w:lang w:val="fr-FR"/>
        </w:rPr>
        <w:t xml:space="preserve">, </w:t>
      </w:r>
      <w:r w:rsidRPr="000F53BB">
        <w:rPr>
          <w:szCs w:val="18"/>
          <w:lang w:val="fr-FR"/>
        </w:rPr>
        <w:t xml:space="preserve">constatations adoptées le </w:t>
      </w:r>
      <w:r>
        <w:rPr>
          <w:lang w:val="fr-FR"/>
        </w:rPr>
        <w:t xml:space="preserve">28 juillet </w:t>
      </w:r>
      <w:r w:rsidRPr="000F53BB">
        <w:rPr>
          <w:lang w:val="fr-FR"/>
        </w:rPr>
        <w:t>2009, par. 8.1.</w:t>
      </w:r>
    </w:p>
  </w:footnote>
  <w:footnote w:id="46">
    <w:p w:rsidR="00FE0408" w:rsidRPr="000F53BB" w:rsidRDefault="00FE0408" w:rsidP="00FE0408">
      <w:pPr>
        <w:pStyle w:val="FootnoteText"/>
        <w:rPr>
          <w:lang w:val="fr-FR"/>
        </w:rPr>
      </w:pPr>
      <w:r>
        <w:rPr>
          <w:lang w:val="fr-FR"/>
        </w:rPr>
        <w:tab/>
      </w:r>
      <w:r w:rsidRPr="009C2F89">
        <w:rPr>
          <w:rStyle w:val="FootnoteReference"/>
        </w:rPr>
        <w:footnoteRef/>
      </w:r>
      <w:r>
        <w:rPr>
          <w:lang w:val="fr-FR"/>
        </w:rPr>
        <w:tab/>
        <w:t xml:space="preserve">Voir l’Observation générale </w:t>
      </w:r>
      <w:r w:rsidRPr="00D15963">
        <w:rPr>
          <w:lang w:val="fr-FR"/>
        </w:rPr>
        <w:t>n</w:t>
      </w:r>
      <w:r w:rsidRPr="00D15963">
        <w:rPr>
          <w:vertAlign w:val="superscript"/>
          <w:lang w:val="fr-FR"/>
        </w:rPr>
        <w:t>o</w:t>
      </w:r>
      <w:r>
        <w:rPr>
          <w:lang w:val="fr-FR"/>
        </w:rPr>
        <w:t> </w:t>
      </w:r>
      <w:r w:rsidRPr="002A1ECB">
        <w:rPr>
          <w:lang w:val="fr-FR"/>
        </w:rPr>
        <w:t>16 (1988) relative au droit de toute personne à être protégée contre les immixtions arbitraires ou illégales dans</w:t>
      </w:r>
      <w:r>
        <w:rPr>
          <w:lang w:val="fr-FR"/>
        </w:rPr>
        <w:t xml:space="preserve"> sa vie privée, sa famille, son </w:t>
      </w:r>
      <w:r w:rsidRPr="002A1ECB">
        <w:rPr>
          <w:lang w:val="fr-FR"/>
        </w:rPr>
        <w:t>domicile et sa correspondance, ainsi</w:t>
      </w:r>
      <w:r>
        <w:rPr>
          <w:lang w:val="fr-FR"/>
        </w:rPr>
        <w:t xml:space="preserve"> </w:t>
      </w:r>
      <w:r w:rsidRPr="002A1ECB">
        <w:rPr>
          <w:lang w:val="fr-FR"/>
        </w:rPr>
        <w:t>que contre les atteintes illégales à</w:t>
      </w:r>
      <w:r>
        <w:rPr>
          <w:lang w:val="fr-FR"/>
        </w:rPr>
        <w:t xml:space="preserve"> </w:t>
      </w:r>
      <w:r w:rsidRPr="002A1ECB">
        <w:rPr>
          <w:lang w:val="fr-FR"/>
        </w:rPr>
        <w:t>son honneur et à sa réputation (art</w:t>
      </w:r>
      <w:r>
        <w:rPr>
          <w:lang w:val="fr-FR"/>
        </w:rPr>
        <w:t>. </w:t>
      </w:r>
      <w:r w:rsidRPr="002A1ECB">
        <w:rPr>
          <w:lang w:val="fr-FR"/>
        </w:rPr>
        <w:t>17</w:t>
      </w:r>
      <w:r w:rsidRPr="00E06CF1">
        <w:rPr>
          <w:lang w:val="fr-FR"/>
        </w:rPr>
        <w:t>), adoptée</w:t>
      </w:r>
      <w:r w:rsidRPr="004E2694">
        <w:rPr>
          <w:lang w:val="fr-FR"/>
        </w:rPr>
        <w:t xml:space="preserve"> le 8 avril 1988</w:t>
      </w:r>
      <w:r w:rsidRPr="00985EB3">
        <w:rPr>
          <w:lang w:val="fr-FR"/>
        </w:rPr>
        <w:t xml:space="preserve">; </w:t>
      </w:r>
      <w:r>
        <w:rPr>
          <w:lang w:val="fr-FR"/>
        </w:rPr>
        <w:t>O</w:t>
      </w:r>
      <w:r w:rsidRPr="002A1ECB">
        <w:rPr>
          <w:lang w:val="fr-FR"/>
        </w:rPr>
        <w:t xml:space="preserve">bservation générale </w:t>
      </w:r>
      <w:r w:rsidRPr="00D15963">
        <w:rPr>
          <w:lang w:val="fr-FR"/>
        </w:rPr>
        <w:t>n</w:t>
      </w:r>
      <w:r w:rsidRPr="00D15963">
        <w:rPr>
          <w:vertAlign w:val="superscript"/>
          <w:lang w:val="fr-FR"/>
        </w:rPr>
        <w:t>o</w:t>
      </w:r>
      <w:r>
        <w:rPr>
          <w:lang w:val="fr-FR"/>
        </w:rPr>
        <w:t> </w:t>
      </w:r>
      <w:r w:rsidRPr="002A1ECB">
        <w:rPr>
          <w:lang w:val="fr-FR"/>
        </w:rPr>
        <w:t>19</w:t>
      </w:r>
      <w:r>
        <w:rPr>
          <w:lang w:val="fr-FR"/>
        </w:rPr>
        <w:t xml:space="preserve"> (1990) </w:t>
      </w:r>
      <w:r w:rsidRPr="002A1ECB">
        <w:rPr>
          <w:lang w:val="fr-FR"/>
        </w:rPr>
        <w:t>sur la protection de la famille, le droit au mariage et l</w:t>
      </w:r>
      <w:r>
        <w:rPr>
          <w:lang w:val="fr-FR"/>
        </w:rPr>
        <w:t>’</w:t>
      </w:r>
      <w:r w:rsidRPr="002A1ECB">
        <w:rPr>
          <w:lang w:val="fr-FR"/>
        </w:rPr>
        <w:t xml:space="preserve">égalité des époux </w:t>
      </w:r>
      <w:r w:rsidRPr="00985EB3">
        <w:rPr>
          <w:lang w:val="fr-FR"/>
        </w:rPr>
        <w:t>(</w:t>
      </w:r>
      <w:r>
        <w:rPr>
          <w:lang w:val="fr-FR"/>
        </w:rPr>
        <w:t xml:space="preserve">art. 23), </w:t>
      </w:r>
      <w:r w:rsidRPr="004E2694">
        <w:rPr>
          <w:lang w:val="fr-FR"/>
        </w:rPr>
        <w:t xml:space="preserve">adoptée le </w:t>
      </w:r>
      <w:r>
        <w:rPr>
          <w:lang w:val="fr-FR"/>
        </w:rPr>
        <w:t>27 juillet 1990.</w:t>
      </w:r>
    </w:p>
  </w:footnote>
  <w:footnote w:id="47">
    <w:p w:rsidR="00FE0408" w:rsidRPr="000F53BB" w:rsidRDefault="00FE0408" w:rsidP="00FE0408">
      <w:pPr>
        <w:pStyle w:val="FootnoteText"/>
        <w:rPr>
          <w:lang w:val="fr-FR"/>
        </w:rPr>
      </w:pPr>
      <w:r>
        <w:rPr>
          <w:lang w:val="fr-FR"/>
        </w:rPr>
        <w:tab/>
      </w:r>
      <w:r w:rsidRPr="009C2F89">
        <w:rPr>
          <w:rStyle w:val="FootnoteReference"/>
        </w:rPr>
        <w:footnoteRef/>
      </w:r>
      <w:r>
        <w:rPr>
          <w:lang w:val="fr-FR"/>
        </w:rPr>
        <w:tab/>
        <w:t>Voir la</w:t>
      </w:r>
      <w:r w:rsidRPr="000F53BB">
        <w:rPr>
          <w:lang w:val="fr-FR"/>
        </w:rPr>
        <w:t xml:space="preserve"> communication </w:t>
      </w:r>
      <w:r w:rsidRPr="00363258">
        <w:rPr>
          <w:lang w:val="fr-FR"/>
        </w:rPr>
        <w:t>n</w:t>
      </w:r>
      <w:r w:rsidRPr="00363258">
        <w:rPr>
          <w:vertAlign w:val="superscript"/>
          <w:lang w:val="fr-FR"/>
        </w:rPr>
        <w:t>o</w:t>
      </w:r>
      <w:r>
        <w:rPr>
          <w:lang w:val="fr-FR"/>
        </w:rPr>
        <w:t> </w:t>
      </w:r>
      <w:r w:rsidRPr="000F53BB">
        <w:rPr>
          <w:lang w:val="fr-FR"/>
        </w:rPr>
        <w:t xml:space="preserve">558/1993, </w:t>
      </w:r>
      <w:r w:rsidRPr="000F53BB">
        <w:rPr>
          <w:i/>
          <w:iCs/>
          <w:lang w:val="fr-FR"/>
        </w:rPr>
        <w:t xml:space="preserve">Canepa </w:t>
      </w:r>
      <w:r w:rsidRPr="00363258">
        <w:rPr>
          <w:iCs/>
          <w:lang w:val="fr-FR"/>
        </w:rPr>
        <w:t>c.</w:t>
      </w:r>
      <w:r w:rsidRPr="000F53BB">
        <w:rPr>
          <w:i/>
          <w:iCs/>
          <w:lang w:val="fr-FR"/>
        </w:rPr>
        <w:t xml:space="preserve"> Canada</w:t>
      </w:r>
      <w:r w:rsidRPr="000F53BB">
        <w:rPr>
          <w:lang w:val="fr-FR"/>
        </w:rPr>
        <w:t>, constatations adoptées le 3 avril 1997, par.</w:t>
      </w:r>
      <w:r>
        <w:rPr>
          <w:lang w:val="fr-FR"/>
        </w:rPr>
        <w:t> </w:t>
      </w:r>
      <w:r w:rsidRPr="000F53BB">
        <w:rPr>
          <w:lang w:val="fr-FR"/>
        </w:rPr>
        <w:t>11.4.</w:t>
      </w:r>
    </w:p>
  </w:footnote>
  <w:footnote w:id="48">
    <w:p w:rsidR="00FE0408" w:rsidRPr="000F53BB" w:rsidRDefault="00FE0408" w:rsidP="00FE0408">
      <w:pPr>
        <w:pStyle w:val="FootnoteText"/>
        <w:rPr>
          <w:lang w:val="fr-FR"/>
        </w:rPr>
      </w:pPr>
      <w:r>
        <w:rPr>
          <w:lang w:val="fr-FR"/>
        </w:rPr>
        <w:tab/>
      </w:r>
      <w:r w:rsidRPr="009C2F89">
        <w:rPr>
          <w:rStyle w:val="FootnoteReference"/>
        </w:rPr>
        <w:footnoteRef/>
      </w:r>
      <w:r>
        <w:rPr>
          <w:lang w:val="fr-FR"/>
        </w:rPr>
        <w:tab/>
        <w:t>Voir la</w:t>
      </w:r>
      <w:r w:rsidRPr="000F53BB">
        <w:rPr>
          <w:lang w:val="fr-FR"/>
        </w:rPr>
        <w:t xml:space="preserve"> communication </w:t>
      </w:r>
      <w:r w:rsidRPr="00363258">
        <w:rPr>
          <w:lang w:val="fr-FR"/>
        </w:rPr>
        <w:t>n</w:t>
      </w:r>
      <w:r w:rsidRPr="00363258">
        <w:rPr>
          <w:vertAlign w:val="superscript"/>
          <w:lang w:val="fr-FR"/>
        </w:rPr>
        <w:t>o</w:t>
      </w:r>
      <w:r>
        <w:rPr>
          <w:lang w:val="fr-FR"/>
        </w:rPr>
        <w:t> </w:t>
      </w:r>
      <w:r w:rsidRPr="000F53BB">
        <w:rPr>
          <w:lang w:val="fr-FR"/>
        </w:rPr>
        <w:t xml:space="preserve">558/1993, </w:t>
      </w:r>
      <w:r w:rsidRPr="000F53BB">
        <w:rPr>
          <w:i/>
          <w:iCs/>
          <w:lang w:val="fr-FR"/>
        </w:rPr>
        <w:t xml:space="preserve">Canepa </w:t>
      </w:r>
      <w:r w:rsidRPr="00363258">
        <w:rPr>
          <w:iCs/>
          <w:lang w:val="fr-FR"/>
        </w:rPr>
        <w:t>c.</w:t>
      </w:r>
      <w:r w:rsidRPr="000F53BB">
        <w:rPr>
          <w:i/>
          <w:iCs/>
          <w:lang w:val="fr-FR"/>
        </w:rPr>
        <w:t xml:space="preserve"> Canada</w:t>
      </w:r>
      <w:r w:rsidRPr="000F53BB">
        <w:rPr>
          <w:lang w:val="fr-FR"/>
        </w:rPr>
        <w:t>, constatations adoptées le 3 avril 1997, par.</w:t>
      </w:r>
      <w:r>
        <w:rPr>
          <w:lang w:val="fr-FR"/>
        </w:rPr>
        <w:t> </w:t>
      </w:r>
      <w:r w:rsidRPr="000F53BB">
        <w:rPr>
          <w:lang w:val="fr-FR"/>
        </w:rPr>
        <w:t>11.4.</w:t>
      </w:r>
    </w:p>
  </w:footnote>
  <w:footnote w:id="49">
    <w:p w:rsidR="00FE0408" w:rsidRPr="005B7EBF" w:rsidRDefault="00FE0408" w:rsidP="00FE0408">
      <w:pPr>
        <w:pStyle w:val="FootnoteText"/>
      </w:pPr>
      <w:r>
        <w:tab/>
      </w:r>
      <w:r>
        <w:rPr>
          <w:rStyle w:val="FootnoteReference"/>
        </w:rPr>
        <w:footnoteRef/>
      </w:r>
      <w:r>
        <w:tab/>
        <w:t xml:space="preserve">Communication </w:t>
      </w:r>
      <w:r w:rsidRPr="00C14D2A">
        <w:t>n</w:t>
      </w:r>
      <w:r w:rsidRPr="00C14D2A">
        <w:rPr>
          <w:vertAlign w:val="superscript"/>
        </w:rPr>
        <w:t>o</w:t>
      </w:r>
      <w:r>
        <w:t xml:space="preserve"> 1792/2008, </w:t>
      </w:r>
      <w:r>
        <w:rPr>
          <w:i/>
        </w:rPr>
        <w:t>Dauphin</w:t>
      </w:r>
      <w:r>
        <w:t xml:space="preserve"> c. </w:t>
      </w:r>
      <w:r>
        <w:rPr>
          <w:i/>
        </w:rPr>
        <w:t>Canada</w:t>
      </w:r>
      <w:r>
        <w:t>, constatations adoptées le 28 juillet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8A4" w:rsidRPr="009C265E" w:rsidRDefault="001E38A4">
    <w:pPr>
      <w:pStyle w:val="Header"/>
    </w:pPr>
    <w:r>
      <w:t>CCPR/C/102/D/1959/2010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8A4" w:rsidRPr="009C265E" w:rsidRDefault="001E38A4" w:rsidP="009C265E">
    <w:pPr>
      <w:pStyle w:val="Header"/>
      <w:jc w:val="right"/>
    </w:pPr>
    <w:r>
      <w:t>CCPR/C/102/D/1959/2010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408" w:rsidRPr="009C265E" w:rsidRDefault="00FE0408" w:rsidP="009C265E">
    <w:pPr>
      <w:pStyle w:val="Header"/>
      <w:jc w:val="right"/>
    </w:pPr>
    <w:r>
      <w:t>CCPR/C/102/D/1959/2010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408" w:rsidRDefault="00FE04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44CB"/>
    <w:rsid w:val="00003421"/>
    <w:rsid w:val="00016AC5"/>
    <w:rsid w:val="00024F2E"/>
    <w:rsid w:val="00034BFE"/>
    <w:rsid w:val="00065ECB"/>
    <w:rsid w:val="0007545B"/>
    <w:rsid w:val="000C44CB"/>
    <w:rsid w:val="000C461C"/>
    <w:rsid w:val="000D680E"/>
    <w:rsid w:val="000F41F2"/>
    <w:rsid w:val="0010083F"/>
    <w:rsid w:val="001227DD"/>
    <w:rsid w:val="001252D7"/>
    <w:rsid w:val="001472B7"/>
    <w:rsid w:val="001539B5"/>
    <w:rsid w:val="001569E9"/>
    <w:rsid w:val="00160540"/>
    <w:rsid w:val="00170070"/>
    <w:rsid w:val="00175F9B"/>
    <w:rsid w:val="00192EEB"/>
    <w:rsid w:val="00196641"/>
    <w:rsid w:val="001A20FB"/>
    <w:rsid w:val="001C109C"/>
    <w:rsid w:val="001C4EEA"/>
    <w:rsid w:val="001E38A4"/>
    <w:rsid w:val="001E3FEB"/>
    <w:rsid w:val="001E4A02"/>
    <w:rsid w:val="001F4675"/>
    <w:rsid w:val="00225E54"/>
    <w:rsid w:val="0024293A"/>
    <w:rsid w:val="00251EDD"/>
    <w:rsid w:val="002558D1"/>
    <w:rsid w:val="002659F1"/>
    <w:rsid w:val="00287E79"/>
    <w:rsid w:val="002928F9"/>
    <w:rsid w:val="002A23F6"/>
    <w:rsid w:val="002A5D07"/>
    <w:rsid w:val="002A7D33"/>
    <w:rsid w:val="002B2F34"/>
    <w:rsid w:val="002C0F63"/>
    <w:rsid w:val="002D06DD"/>
    <w:rsid w:val="002E353E"/>
    <w:rsid w:val="002E6788"/>
    <w:rsid w:val="003016B7"/>
    <w:rsid w:val="003101C6"/>
    <w:rsid w:val="0031186B"/>
    <w:rsid w:val="00314737"/>
    <w:rsid w:val="0034214E"/>
    <w:rsid w:val="003515AA"/>
    <w:rsid w:val="0036726B"/>
    <w:rsid w:val="00374106"/>
    <w:rsid w:val="0038474B"/>
    <w:rsid w:val="00385399"/>
    <w:rsid w:val="003976D5"/>
    <w:rsid w:val="003A3ACB"/>
    <w:rsid w:val="003A7326"/>
    <w:rsid w:val="003B4CBD"/>
    <w:rsid w:val="003C01DB"/>
    <w:rsid w:val="003C6783"/>
    <w:rsid w:val="003D6C68"/>
    <w:rsid w:val="003F5551"/>
    <w:rsid w:val="004027B1"/>
    <w:rsid w:val="00414794"/>
    <w:rsid w:val="004159D0"/>
    <w:rsid w:val="00424FEB"/>
    <w:rsid w:val="0043344E"/>
    <w:rsid w:val="00467986"/>
    <w:rsid w:val="004811D3"/>
    <w:rsid w:val="00481EC5"/>
    <w:rsid w:val="00494389"/>
    <w:rsid w:val="004C52E8"/>
    <w:rsid w:val="004C777F"/>
    <w:rsid w:val="004F2C80"/>
    <w:rsid w:val="004F3196"/>
    <w:rsid w:val="005112AC"/>
    <w:rsid w:val="00555B65"/>
    <w:rsid w:val="00571F41"/>
    <w:rsid w:val="00572B3F"/>
    <w:rsid w:val="005753C4"/>
    <w:rsid w:val="005C0209"/>
    <w:rsid w:val="005D29C8"/>
    <w:rsid w:val="005E5D1F"/>
    <w:rsid w:val="00612D48"/>
    <w:rsid w:val="00616B45"/>
    <w:rsid w:val="006312C9"/>
    <w:rsid w:val="00631953"/>
    <w:rsid w:val="00642728"/>
    <w:rsid w:val="006439EC"/>
    <w:rsid w:val="00644659"/>
    <w:rsid w:val="00663CB6"/>
    <w:rsid w:val="00677635"/>
    <w:rsid w:val="006B2C1E"/>
    <w:rsid w:val="006B4590"/>
    <w:rsid w:val="006C340C"/>
    <w:rsid w:val="006C6E73"/>
    <w:rsid w:val="0070347C"/>
    <w:rsid w:val="00732673"/>
    <w:rsid w:val="0073404F"/>
    <w:rsid w:val="00736E0B"/>
    <w:rsid w:val="00757D82"/>
    <w:rsid w:val="007B0586"/>
    <w:rsid w:val="007C7DA4"/>
    <w:rsid w:val="0081795A"/>
    <w:rsid w:val="00817A26"/>
    <w:rsid w:val="00825D96"/>
    <w:rsid w:val="00833C05"/>
    <w:rsid w:val="00844750"/>
    <w:rsid w:val="00875324"/>
    <w:rsid w:val="00886128"/>
    <w:rsid w:val="00886D12"/>
    <w:rsid w:val="008D2F01"/>
    <w:rsid w:val="008D775B"/>
    <w:rsid w:val="008E38A2"/>
    <w:rsid w:val="008E7FAE"/>
    <w:rsid w:val="009033FB"/>
    <w:rsid w:val="00911BF7"/>
    <w:rsid w:val="00913DF3"/>
    <w:rsid w:val="00927969"/>
    <w:rsid w:val="009717AD"/>
    <w:rsid w:val="00977EC8"/>
    <w:rsid w:val="00986809"/>
    <w:rsid w:val="009A64A5"/>
    <w:rsid w:val="009B4252"/>
    <w:rsid w:val="009B6F64"/>
    <w:rsid w:val="009C265E"/>
    <w:rsid w:val="009D3A8C"/>
    <w:rsid w:val="009E7956"/>
    <w:rsid w:val="009F7F79"/>
    <w:rsid w:val="00A070EB"/>
    <w:rsid w:val="00A2492E"/>
    <w:rsid w:val="00A40577"/>
    <w:rsid w:val="00A82EED"/>
    <w:rsid w:val="00A85799"/>
    <w:rsid w:val="00A93A4E"/>
    <w:rsid w:val="00AC2A67"/>
    <w:rsid w:val="00AC7977"/>
    <w:rsid w:val="00AD41FE"/>
    <w:rsid w:val="00AE352C"/>
    <w:rsid w:val="00AE6F72"/>
    <w:rsid w:val="00B00515"/>
    <w:rsid w:val="00B22019"/>
    <w:rsid w:val="00B22B0B"/>
    <w:rsid w:val="00B32E2D"/>
    <w:rsid w:val="00B4684E"/>
    <w:rsid w:val="00B510C0"/>
    <w:rsid w:val="00B57784"/>
    <w:rsid w:val="00B61990"/>
    <w:rsid w:val="00B77F7F"/>
    <w:rsid w:val="00B955CB"/>
    <w:rsid w:val="00BA405E"/>
    <w:rsid w:val="00BA6836"/>
    <w:rsid w:val="00BB4097"/>
    <w:rsid w:val="00BB6E96"/>
    <w:rsid w:val="00BF0556"/>
    <w:rsid w:val="00C03F6A"/>
    <w:rsid w:val="00C17857"/>
    <w:rsid w:val="00C261F8"/>
    <w:rsid w:val="00C412CB"/>
    <w:rsid w:val="00C55CBE"/>
    <w:rsid w:val="00C60299"/>
    <w:rsid w:val="00CB2BAF"/>
    <w:rsid w:val="00CC207F"/>
    <w:rsid w:val="00CC25DC"/>
    <w:rsid w:val="00CD04C3"/>
    <w:rsid w:val="00CD1A71"/>
    <w:rsid w:val="00CD1FBB"/>
    <w:rsid w:val="00D00B9E"/>
    <w:rsid w:val="00D016B5"/>
    <w:rsid w:val="00D034F1"/>
    <w:rsid w:val="00D27D5E"/>
    <w:rsid w:val="00D652C8"/>
    <w:rsid w:val="00D77E85"/>
    <w:rsid w:val="00D80BC5"/>
    <w:rsid w:val="00D837BE"/>
    <w:rsid w:val="00DB681C"/>
    <w:rsid w:val="00DC2F07"/>
    <w:rsid w:val="00DE6D90"/>
    <w:rsid w:val="00DF002F"/>
    <w:rsid w:val="00DF5248"/>
    <w:rsid w:val="00DF586A"/>
    <w:rsid w:val="00DF5D80"/>
    <w:rsid w:val="00E0244D"/>
    <w:rsid w:val="00E02B22"/>
    <w:rsid w:val="00E50BEB"/>
    <w:rsid w:val="00E5485D"/>
    <w:rsid w:val="00E7202D"/>
    <w:rsid w:val="00E81E94"/>
    <w:rsid w:val="00E82607"/>
    <w:rsid w:val="00E849E1"/>
    <w:rsid w:val="00E97B19"/>
    <w:rsid w:val="00EA5BC9"/>
    <w:rsid w:val="00EA604E"/>
    <w:rsid w:val="00EB3164"/>
    <w:rsid w:val="00EC181F"/>
    <w:rsid w:val="00EC6E49"/>
    <w:rsid w:val="00EE66AB"/>
    <w:rsid w:val="00EF0EA1"/>
    <w:rsid w:val="00F501B4"/>
    <w:rsid w:val="00F7357A"/>
    <w:rsid w:val="00F91020"/>
    <w:rsid w:val="00F93100"/>
    <w:rsid w:val="00FA5A79"/>
    <w:rsid w:val="00FB0BFE"/>
    <w:rsid w:val="00FB40E3"/>
    <w:rsid w:val="00FB439B"/>
    <w:rsid w:val="00FB4C51"/>
    <w:rsid w:val="00FD511F"/>
    <w:rsid w:val="00FE0408"/>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E54"/>
    <w:pPr>
      <w:suppressAutoHyphens/>
      <w:spacing w:line="240" w:lineRule="atLeast"/>
    </w:pPr>
    <w:rPr>
      <w:lang w:eastAsia="en-US"/>
    </w:rPr>
  </w:style>
  <w:style w:type="paragraph" w:styleId="Heading1">
    <w:name w:val="heading 1"/>
    <w:aliases w:val="Table_G"/>
    <w:basedOn w:val="SingleTxtG"/>
    <w:next w:val="SingleTxtG"/>
    <w:qFormat/>
    <w:rsid w:val="00225E54"/>
    <w:pPr>
      <w:keepNext/>
      <w:keepLines/>
      <w:spacing w:after="0" w:line="240" w:lineRule="auto"/>
      <w:ind w:right="0"/>
      <w:jc w:val="left"/>
      <w:outlineLvl w:val="0"/>
    </w:pPr>
  </w:style>
  <w:style w:type="paragraph" w:styleId="Heading2">
    <w:name w:val="heading 2"/>
    <w:basedOn w:val="Normal"/>
    <w:next w:val="Normal"/>
    <w:qFormat/>
    <w:rsid w:val="00225E54"/>
    <w:pPr>
      <w:outlineLvl w:val="1"/>
    </w:pPr>
  </w:style>
  <w:style w:type="paragraph" w:styleId="Heading3">
    <w:name w:val="heading 3"/>
    <w:basedOn w:val="Normal"/>
    <w:next w:val="Normal"/>
    <w:qFormat/>
    <w:rsid w:val="00225E54"/>
    <w:pPr>
      <w:outlineLvl w:val="2"/>
    </w:pPr>
  </w:style>
  <w:style w:type="paragraph" w:styleId="Heading4">
    <w:name w:val="heading 4"/>
    <w:basedOn w:val="Normal"/>
    <w:next w:val="Normal"/>
    <w:qFormat/>
    <w:rsid w:val="00225E54"/>
    <w:pPr>
      <w:outlineLvl w:val="3"/>
    </w:pPr>
  </w:style>
  <w:style w:type="paragraph" w:styleId="Heading5">
    <w:name w:val="heading 5"/>
    <w:basedOn w:val="Normal"/>
    <w:next w:val="Normal"/>
    <w:qFormat/>
    <w:rsid w:val="00225E54"/>
    <w:pPr>
      <w:outlineLvl w:val="4"/>
    </w:pPr>
  </w:style>
  <w:style w:type="paragraph" w:styleId="Heading6">
    <w:name w:val="heading 6"/>
    <w:basedOn w:val="Normal"/>
    <w:next w:val="Normal"/>
    <w:qFormat/>
    <w:rsid w:val="00225E54"/>
    <w:pPr>
      <w:outlineLvl w:val="5"/>
    </w:pPr>
  </w:style>
  <w:style w:type="paragraph" w:styleId="Heading7">
    <w:name w:val="heading 7"/>
    <w:basedOn w:val="Normal"/>
    <w:next w:val="Normal"/>
    <w:qFormat/>
    <w:rsid w:val="00225E54"/>
    <w:pPr>
      <w:outlineLvl w:val="6"/>
    </w:pPr>
  </w:style>
  <w:style w:type="paragraph" w:styleId="Heading8">
    <w:name w:val="heading 8"/>
    <w:basedOn w:val="Normal"/>
    <w:next w:val="Normal"/>
    <w:qFormat/>
    <w:rsid w:val="00225E54"/>
    <w:pPr>
      <w:outlineLvl w:val="7"/>
    </w:pPr>
  </w:style>
  <w:style w:type="paragraph" w:styleId="Heading9">
    <w:name w:val="heading 9"/>
    <w:basedOn w:val="Normal"/>
    <w:next w:val="Normal"/>
    <w:qFormat/>
    <w:rsid w:val="00225E54"/>
    <w:pPr>
      <w:outlineLvl w:val="8"/>
    </w:pPr>
  </w:style>
  <w:style w:type="character" w:default="1" w:styleId="DefaultParagraphFont">
    <w:name w:val="Default Paragraph Font"/>
    <w:semiHidden/>
    <w:rsid w:val="00225E5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225E54"/>
  </w:style>
  <w:style w:type="paragraph" w:customStyle="1" w:styleId="SingleTxtG">
    <w:name w:val="_ Single Txt_G"/>
    <w:basedOn w:val="Normal"/>
    <w:rsid w:val="00225E54"/>
    <w:pPr>
      <w:spacing w:after="120"/>
      <w:ind w:left="1134" w:right="1134"/>
      <w:jc w:val="both"/>
    </w:pPr>
  </w:style>
  <w:style w:type="paragraph" w:customStyle="1" w:styleId="HMG">
    <w:name w:val="_ H __M_G"/>
    <w:basedOn w:val="Normal"/>
    <w:next w:val="Normal"/>
    <w:rsid w:val="00225E5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225E5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225E5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225E5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225E5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225E54"/>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225E54"/>
    <w:pPr>
      <w:keepNext/>
      <w:keepLines/>
      <w:spacing w:before="240" w:after="240" w:line="580" w:lineRule="exact"/>
      <w:ind w:left="1134" w:right="1134"/>
    </w:pPr>
    <w:rPr>
      <w:b/>
      <w:sz w:val="56"/>
    </w:rPr>
  </w:style>
  <w:style w:type="paragraph" w:customStyle="1" w:styleId="SMG">
    <w:name w:val="__S_M_G"/>
    <w:basedOn w:val="Normal"/>
    <w:next w:val="Normal"/>
    <w:rsid w:val="00225E54"/>
    <w:pPr>
      <w:keepNext/>
      <w:keepLines/>
      <w:spacing w:before="240" w:after="240" w:line="420" w:lineRule="exact"/>
      <w:ind w:left="1134" w:right="1134"/>
    </w:pPr>
    <w:rPr>
      <w:b/>
      <w:sz w:val="40"/>
    </w:rPr>
  </w:style>
  <w:style w:type="paragraph" w:customStyle="1" w:styleId="SSG">
    <w:name w:val="__S_S_G"/>
    <w:basedOn w:val="Normal"/>
    <w:next w:val="Normal"/>
    <w:rsid w:val="00225E54"/>
    <w:pPr>
      <w:keepNext/>
      <w:keepLines/>
      <w:spacing w:before="240" w:after="240" w:line="300" w:lineRule="exact"/>
      <w:ind w:left="1134" w:right="1134"/>
    </w:pPr>
    <w:rPr>
      <w:b/>
      <w:sz w:val="28"/>
    </w:rPr>
  </w:style>
  <w:style w:type="paragraph" w:customStyle="1" w:styleId="XLargeG">
    <w:name w:val="__XLarge_G"/>
    <w:basedOn w:val="Normal"/>
    <w:next w:val="Normal"/>
    <w:rsid w:val="00225E54"/>
    <w:pPr>
      <w:keepNext/>
      <w:keepLines/>
      <w:spacing w:before="240" w:after="240" w:line="420" w:lineRule="exact"/>
      <w:ind w:left="1134" w:right="1134"/>
    </w:pPr>
    <w:rPr>
      <w:b/>
      <w:sz w:val="40"/>
    </w:rPr>
  </w:style>
  <w:style w:type="paragraph" w:customStyle="1" w:styleId="Bullet1G">
    <w:name w:val="_Bullet 1_G"/>
    <w:basedOn w:val="Normal"/>
    <w:rsid w:val="00225E54"/>
    <w:pPr>
      <w:numPr>
        <w:numId w:val="1"/>
      </w:numPr>
      <w:spacing w:after="120"/>
      <w:ind w:right="1134"/>
      <w:jc w:val="both"/>
    </w:pPr>
  </w:style>
  <w:style w:type="paragraph" w:customStyle="1" w:styleId="Bullet2G">
    <w:name w:val="_Bullet 2_G"/>
    <w:basedOn w:val="Normal"/>
    <w:rsid w:val="00225E54"/>
    <w:pPr>
      <w:numPr>
        <w:numId w:val="2"/>
      </w:numPr>
      <w:spacing w:after="120"/>
      <w:ind w:right="1134"/>
      <w:jc w:val="both"/>
    </w:pPr>
  </w:style>
  <w:style w:type="character" w:styleId="FootnoteReference">
    <w:name w:val="footnote reference"/>
    <w:aliases w:val="4_G"/>
    <w:rsid w:val="00225E54"/>
    <w:rPr>
      <w:rFonts w:ascii="Times New Roman" w:hAnsi="Times New Roman"/>
      <w:sz w:val="18"/>
      <w:vertAlign w:val="superscript"/>
      <w:lang w:val="fr-CH"/>
    </w:rPr>
  </w:style>
  <w:style w:type="character" w:styleId="EndnoteReference">
    <w:name w:val="endnote reference"/>
    <w:aliases w:val="1_G"/>
    <w:basedOn w:val="FootnoteReference"/>
    <w:rsid w:val="00225E54"/>
    <w:rPr>
      <w:rFonts w:ascii="Times New Roman" w:hAnsi="Times New Roman"/>
      <w:sz w:val="18"/>
      <w:vertAlign w:val="superscript"/>
      <w:lang w:val="fr-CH"/>
    </w:rPr>
  </w:style>
  <w:style w:type="paragraph" w:styleId="FootnoteText">
    <w:name w:val="footnote text"/>
    <w:aliases w:val="5_G"/>
    <w:basedOn w:val="Normal"/>
    <w:rsid w:val="00225E54"/>
    <w:pPr>
      <w:tabs>
        <w:tab w:val="right" w:pos="1021"/>
      </w:tabs>
      <w:spacing w:line="220" w:lineRule="exact"/>
      <w:ind w:left="1134" w:right="1134" w:hanging="1134"/>
    </w:pPr>
    <w:rPr>
      <w:sz w:val="18"/>
    </w:rPr>
  </w:style>
  <w:style w:type="paragraph" w:styleId="EndnoteText">
    <w:name w:val="endnote text"/>
    <w:aliases w:val="2_G"/>
    <w:basedOn w:val="FootnoteText"/>
    <w:rsid w:val="00225E54"/>
  </w:style>
  <w:style w:type="character" w:styleId="PageNumber">
    <w:name w:val="page number"/>
    <w:aliases w:val="7_G"/>
    <w:rsid w:val="00225E54"/>
    <w:rPr>
      <w:rFonts w:ascii="Times New Roman" w:hAnsi="Times New Roman"/>
      <w:b/>
      <w:sz w:val="18"/>
      <w:lang w:val="fr-CH"/>
    </w:rPr>
  </w:style>
  <w:style w:type="paragraph" w:styleId="Footer">
    <w:name w:val="footer"/>
    <w:aliases w:val="3_G"/>
    <w:basedOn w:val="Normal"/>
    <w:next w:val="Normal"/>
    <w:rsid w:val="00225E54"/>
    <w:pPr>
      <w:spacing w:line="240" w:lineRule="auto"/>
    </w:pPr>
    <w:rPr>
      <w:sz w:val="16"/>
    </w:rPr>
  </w:style>
  <w:style w:type="paragraph" w:styleId="Header">
    <w:name w:val="header"/>
    <w:aliases w:val="6_G"/>
    <w:basedOn w:val="Normal"/>
    <w:next w:val="Normal"/>
    <w:rsid w:val="00225E54"/>
    <w:pPr>
      <w:pBdr>
        <w:bottom w:val="single" w:sz="4" w:space="4" w:color="auto"/>
      </w:pBdr>
      <w:spacing w:line="240" w:lineRule="auto"/>
    </w:pPr>
    <w:rPr>
      <w:b/>
      <w:sz w:val="18"/>
    </w:rPr>
  </w:style>
  <w:style w:type="table" w:styleId="TableGrid">
    <w:name w:val="Table Grid"/>
    <w:basedOn w:val="TableNormal"/>
    <w:semiHidden/>
    <w:rsid w:val="00225E5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225E54"/>
    <w:rPr>
      <w:color w:val="auto"/>
      <w:u w:val="none"/>
    </w:rPr>
  </w:style>
  <w:style w:type="character" w:styleId="FollowedHyperlink">
    <w:name w:val="FollowedHyperlink"/>
    <w:semiHidden/>
    <w:rsid w:val="00225E54"/>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CCPR2</Template>
  <TotalTime>1</TotalTime>
  <Pages>25</Pages>
  <Words>10298</Words>
  <Characters>56639</Characters>
  <Application>Microsoft Office Word</Application>
  <DocSecurity>4</DocSecurity>
  <Lines>471</Lines>
  <Paragraphs>133</Paragraphs>
  <ScaleCrop>false</ScaleCrop>
  <HeadingPairs>
    <vt:vector size="2" baseType="variant">
      <vt:variant>
        <vt:lpstr>Titre</vt:lpstr>
      </vt:variant>
      <vt:variant>
        <vt:i4>1</vt:i4>
      </vt:variant>
    </vt:vector>
  </HeadingPairs>
  <TitlesOfParts>
    <vt:vector size="1" baseType="lpstr">
      <vt:lpstr>CCPR/C/102/D/1959/2010</vt:lpstr>
    </vt:vector>
  </TitlesOfParts>
  <Company>CSD</Company>
  <LinksUpToDate>false</LinksUpToDate>
  <CharactersWithSpaces>66804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CCPR/C/102/D/1959/2010</dc:title>
  <dc:subject>FINAL</dc:subject>
  <dc:creator>Nath Vittoz</dc:creator>
  <cp:keywords/>
  <dc:description/>
  <cp:lastModifiedBy>Pool</cp:lastModifiedBy>
  <cp:revision>2</cp:revision>
  <cp:lastPrinted>2011-10-07T10:50:00Z</cp:lastPrinted>
  <dcterms:created xsi:type="dcterms:W3CDTF">2011-10-07T13:41:00Z</dcterms:created>
  <dcterms:modified xsi:type="dcterms:W3CDTF">2011-10-07T13:41:00Z</dcterms:modified>
</cp:coreProperties>
</file>